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1F50" w14:textId="668C00C4" w:rsidR="0094433F" w:rsidRPr="00E67A4C" w:rsidRDefault="00CF6E59" w:rsidP="0094433F">
      <w:pPr>
        <w:ind w:left="-1134"/>
        <w:jc w:val="center"/>
        <w:rPr>
          <w:rFonts w:ascii="Arial" w:hAnsi="Arial" w:cs="Arial"/>
          <w:b/>
          <w:sz w:val="36"/>
          <w:szCs w:val="36"/>
        </w:rPr>
      </w:pPr>
      <w:r w:rsidRPr="00E67A4C">
        <w:rPr>
          <w:noProof/>
          <w:lang w:eastAsia="en-AU"/>
        </w:rPr>
        <w:drawing>
          <wp:inline distT="0" distB="0" distL="0" distR="0" wp14:anchorId="06416B22" wp14:editId="18F108D7">
            <wp:extent cx="6664450" cy="1409700"/>
            <wp:effectExtent l="0" t="0" r="3175" b="0"/>
            <wp:docPr id="1" name="Picture 3" descr="Joint Food Regulation System"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oint Food Regulation System" title="Banner"/>
                    <pic:cNvPicPr/>
                  </pic:nvPicPr>
                  <pic:blipFill>
                    <a:blip r:embed="rId8">
                      <a:extLst>
                        <a:ext uri="{28A0092B-C50C-407E-A947-70E740481C1C}">
                          <a14:useLocalDpi xmlns:a14="http://schemas.microsoft.com/office/drawing/2010/main" val="0"/>
                        </a:ext>
                      </a:extLst>
                    </a:blip>
                    <a:stretch>
                      <a:fillRect/>
                    </a:stretch>
                  </pic:blipFill>
                  <pic:spPr>
                    <a:xfrm>
                      <a:off x="0" y="0"/>
                      <a:ext cx="6664450" cy="1409700"/>
                    </a:xfrm>
                    <a:prstGeom prst="rect">
                      <a:avLst/>
                    </a:prstGeom>
                  </pic:spPr>
                </pic:pic>
              </a:graphicData>
            </a:graphic>
          </wp:inline>
        </w:drawing>
      </w:r>
    </w:p>
    <w:p w14:paraId="175132B5" w14:textId="77777777" w:rsidR="0094433F" w:rsidRPr="00E67A4C" w:rsidRDefault="0094433F" w:rsidP="0094433F">
      <w:pPr>
        <w:jc w:val="center"/>
        <w:rPr>
          <w:rFonts w:ascii="Arial" w:hAnsi="Arial" w:cs="Arial"/>
          <w:b/>
          <w:sz w:val="36"/>
          <w:szCs w:val="36"/>
        </w:rPr>
      </w:pPr>
    </w:p>
    <w:p w14:paraId="2112F9C9" w14:textId="77777777" w:rsidR="0094433F" w:rsidRPr="00E67A4C" w:rsidRDefault="0094433F" w:rsidP="0094433F">
      <w:pPr>
        <w:jc w:val="center"/>
        <w:rPr>
          <w:rFonts w:ascii="Arial" w:hAnsi="Arial" w:cs="Arial"/>
          <w:b/>
          <w:sz w:val="36"/>
          <w:szCs w:val="36"/>
        </w:rPr>
      </w:pPr>
    </w:p>
    <w:p w14:paraId="7005580D" w14:textId="77777777" w:rsidR="0094433F" w:rsidRPr="00E67A4C" w:rsidRDefault="0094433F" w:rsidP="0094433F">
      <w:pPr>
        <w:jc w:val="center"/>
        <w:rPr>
          <w:rFonts w:ascii="Arial" w:hAnsi="Arial" w:cs="Arial"/>
          <w:b/>
          <w:sz w:val="36"/>
          <w:szCs w:val="36"/>
        </w:rPr>
      </w:pPr>
    </w:p>
    <w:p w14:paraId="354CDC80" w14:textId="77777777" w:rsidR="0094433F" w:rsidRPr="00636434" w:rsidRDefault="0094433F" w:rsidP="0094433F">
      <w:pPr>
        <w:jc w:val="center"/>
        <w:rPr>
          <w:b/>
          <w:sz w:val="48"/>
          <w:szCs w:val="48"/>
        </w:rPr>
      </w:pPr>
      <w:r w:rsidRPr="00636434">
        <w:rPr>
          <w:b/>
          <w:sz w:val="48"/>
          <w:szCs w:val="48"/>
        </w:rPr>
        <w:t>Consultation Regulation Impact Statement:</w:t>
      </w:r>
    </w:p>
    <w:p w14:paraId="60B3F5C3" w14:textId="77777777" w:rsidR="003E3E51" w:rsidRPr="00636434" w:rsidRDefault="003E3E51" w:rsidP="0094433F">
      <w:pPr>
        <w:jc w:val="center"/>
        <w:rPr>
          <w:b/>
          <w:sz w:val="48"/>
          <w:szCs w:val="48"/>
        </w:rPr>
      </w:pPr>
    </w:p>
    <w:p w14:paraId="72E81CD1" w14:textId="77777777" w:rsidR="009826B2" w:rsidRPr="00636434" w:rsidRDefault="009826B2" w:rsidP="0094433F">
      <w:pPr>
        <w:jc w:val="center"/>
        <w:rPr>
          <w:b/>
          <w:i/>
          <w:sz w:val="48"/>
          <w:szCs w:val="48"/>
        </w:rPr>
      </w:pPr>
      <w:r w:rsidRPr="00636434">
        <w:rPr>
          <w:b/>
          <w:i/>
          <w:sz w:val="48"/>
          <w:szCs w:val="48"/>
        </w:rPr>
        <w:t>Policy Guid</w:t>
      </w:r>
      <w:r w:rsidR="00CD12B5" w:rsidRPr="00636434">
        <w:rPr>
          <w:b/>
          <w:i/>
          <w:sz w:val="48"/>
          <w:szCs w:val="48"/>
        </w:rPr>
        <w:t>ance</w:t>
      </w:r>
      <w:r w:rsidRPr="00636434">
        <w:rPr>
          <w:b/>
          <w:i/>
          <w:sz w:val="48"/>
          <w:szCs w:val="48"/>
        </w:rPr>
        <w:t xml:space="preserve">: </w:t>
      </w:r>
    </w:p>
    <w:p w14:paraId="3B5F270F" w14:textId="77777777" w:rsidR="00AE68CF" w:rsidRPr="00636434" w:rsidRDefault="0033671D" w:rsidP="0094433F">
      <w:pPr>
        <w:jc w:val="center"/>
        <w:rPr>
          <w:b/>
          <w:i/>
          <w:sz w:val="48"/>
          <w:szCs w:val="48"/>
        </w:rPr>
      </w:pPr>
      <w:r w:rsidRPr="00636434">
        <w:rPr>
          <w:b/>
          <w:i/>
          <w:sz w:val="48"/>
          <w:szCs w:val="48"/>
        </w:rPr>
        <w:t>M</w:t>
      </w:r>
      <w:r w:rsidR="009826B2" w:rsidRPr="00636434">
        <w:rPr>
          <w:b/>
          <w:i/>
          <w:sz w:val="48"/>
          <w:szCs w:val="48"/>
        </w:rPr>
        <w:t>enu labelling</w:t>
      </w:r>
      <w:r w:rsidRPr="00636434">
        <w:rPr>
          <w:b/>
          <w:i/>
          <w:sz w:val="48"/>
          <w:szCs w:val="48"/>
        </w:rPr>
        <w:t xml:space="preserve"> in Australia and </w:t>
      </w:r>
    </w:p>
    <w:p w14:paraId="4DA67C1B" w14:textId="19C87C8F" w:rsidR="0094433F" w:rsidRPr="00636434" w:rsidRDefault="0033671D" w:rsidP="0094433F">
      <w:pPr>
        <w:jc w:val="center"/>
        <w:rPr>
          <w:b/>
          <w:i/>
          <w:sz w:val="48"/>
          <w:szCs w:val="48"/>
        </w:rPr>
      </w:pPr>
      <w:r w:rsidRPr="00636434">
        <w:rPr>
          <w:b/>
          <w:i/>
          <w:sz w:val="48"/>
          <w:szCs w:val="48"/>
        </w:rPr>
        <w:t>New Zealand</w:t>
      </w:r>
    </w:p>
    <w:p w14:paraId="0FEA7AE0" w14:textId="31789B0C" w:rsidR="008C3F43" w:rsidRPr="00636434" w:rsidRDefault="008C3F43" w:rsidP="0094433F">
      <w:pPr>
        <w:jc w:val="center"/>
        <w:rPr>
          <w:b/>
          <w:i/>
          <w:sz w:val="48"/>
          <w:szCs w:val="48"/>
        </w:rPr>
      </w:pPr>
    </w:p>
    <w:p w14:paraId="32B09E67" w14:textId="5E5CFC77" w:rsidR="001F21AA" w:rsidRPr="006A01BA" w:rsidRDefault="006A01BA" w:rsidP="0094433F">
      <w:pPr>
        <w:jc w:val="center"/>
        <w:rPr>
          <w:b/>
          <w:iCs/>
          <w:sz w:val="48"/>
          <w:szCs w:val="48"/>
        </w:rPr>
      </w:pPr>
      <w:r w:rsidRPr="006A01BA">
        <w:rPr>
          <w:b/>
          <w:iCs/>
          <w:sz w:val="48"/>
          <w:szCs w:val="48"/>
        </w:rPr>
        <w:t>2021</w:t>
      </w:r>
    </w:p>
    <w:p w14:paraId="151E04C6" w14:textId="77777777" w:rsidR="00E11379" w:rsidRPr="00E67A4C" w:rsidRDefault="00E11379" w:rsidP="00FC5B8F">
      <w:pPr>
        <w:jc w:val="center"/>
        <w:rPr>
          <w:rFonts w:ascii="Arial" w:hAnsi="Arial" w:cs="Arial"/>
          <w:b/>
          <w:sz w:val="36"/>
          <w:szCs w:val="36"/>
        </w:rPr>
        <w:sectPr w:rsidR="00E11379" w:rsidRPr="00E67A4C" w:rsidSect="003C34FF">
          <w:pgSz w:w="11906" w:h="16838"/>
          <w:pgMar w:top="1134" w:right="1418" w:bottom="1134" w:left="1418" w:header="708" w:footer="708" w:gutter="0"/>
          <w:cols w:space="708"/>
          <w:docGrid w:linePitch="360"/>
        </w:sectPr>
      </w:pPr>
    </w:p>
    <w:p w14:paraId="7DC3E714" w14:textId="277304D3" w:rsidR="0004125A" w:rsidRPr="00812051" w:rsidRDefault="0004125A" w:rsidP="00812051">
      <w:pPr>
        <w:pStyle w:val="Heading2"/>
        <w:rPr>
          <w:rStyle w:val="Heading1Char"/>
          <w:rFonts w:ascii="Times New Roman" w:hAnsi="Times New Roman" w:cs="Times New Roman"/>
          <w:b/>
          <w:bCs/>
          <w:kern w:val="0"/>
          <w:szCs w:val="28"/>
        </w:rPr>
      </w:pPr>
      <w:bookmarkStart w:id="0" w:name="_Toc385256257"/>
      <w:bookmarkStart w:id="1" w:name="_Toc426380819"/>
      <w:bookmarkStart w:id="2" w:name="_Toc426380884"/>
      <w:bookmarkStart w:id="3" w:name="_Toc426380915"/>
      <w:bookmarkStart w:id="4" w:name="_Toc51165260"/>
      <w:bookmarkStart w:id="5" w:name="_Toc24103519"/>
      <w:bookmarkStart w:id="6" w:name="_Toc505871606"/>
      <w:r w:rsidRPr="00812051">
        <w:rPr>
          <w:rStyle w:val="Heading1Char"/>
          <w:rFonts w:ascii="Times New Roman" w:hAnsi="Times New Roman" w:cs="Times New Roman"/>
          <w:b/>
          <w:bCs/>
          <w:kern w:val="0"/>
          <w:szCs w:val="28"/>
        </w:rPr>
        <w:lastRenderedPageBreak/>
        <w:t>Executive summary</w:t>
      </w:r>
      <w:bookmarkEnd w:id="0"/>
      <w:bookmarkEnd w:id="1"/>
      <w:bookmarkEnd w:id="2"/>
      <w:bookmarkEnd w:id="3"/>
      <w:bookmarkEnd w:id="4"/>
    </w:p>
    <w:bookmarkEnd w:id="5"/>
    <w:p w14:paraId="5F84E54C" w14:textId="74D961CD" w:rsidR="00FF57FD" w:rsidRPr="00E67A4C" w:rsidRDefault="00FF57FD" w:rsidP="00BB284A">
      <w:pPr>
        <w:pStyle w:val="Bodytext-TMRfont12"/>
      </w:pPr>
      <w:r w:rsidRPr="00E67A4C">
        <w:t xml:space="preserve">In October 2011, </w:t>
      </w:r>
      <w:r w:rsidR="00771D37" w:rsidRPr="00E67A4C">
        <w:t>Food Ministers</w:t>
      </w:r>
      <w:r w:rsidR="00A27CAE" w:rsidRPr="00E67A4C">
        <w:rPr>
          <w:rStyle w:val="FootnoteReference"/>
        </w:rPr>
        <w:footnoteReference w:id="2"/>
      </w:r>
      <w:r w:rsidR="00A27CAE" w:rsidRPr="00E67A4C">
        <w:t>,</w:t>
      </w:r>
      <w:r w:rsidR="00771D37" w:rsidRPr="00E67A4C">
        <w:t xml:space="preserve"> </w:t>
      </w:r>
      <w:r w:rsidR="00A27CAE" w:rsidRPr="00E67A4C">
        <w:t xml:space="preserve">convening as </w:t>
      </w:r>
      <w:r w:rsidRPr="00E67A4C">
        <w:t xml:space="preserve">the Australia and New Zealand Food Regulation Ministerial Council (ANZFRMC), agreed to </w:t>
      </w:r>
      <w:r w:rsidRPr="00E67A4C">
        <w:rPr>
          <w:i/>
          <w:iCs/>
        </w:rPr>
        <w:t xml:space="preserve">Principles </w:t>
      </w:r>
      <w:r w:rsidR="009536B9" w:rsidRPr="00E67A4C">
        <w:rPr>
          <w:i/>
          <w:iCs/>
        </w:rPr>
        <w:t>for introducing point-of-sale nutrition information at standard food outlets</w:t>
      </w:r>
      <w:r w:rsidR="009536B9" w:rsidRPr="00E67A4C">
        <w:t xml:space="preserve"> (the </w:t>
      </w:r>
      <w:r w:rsidR="00F038DE" w:rsidRPr="00E67A4C">
        <w:t xml:space="preserve">2011 </w:t>
      </w:r>
      <w:r w:rsidR="009536B9" w:rsidRPr="00E67A4C">
        <w:t>Principles)</w:t>
      </w:r>
      <w:r w:rsidR="004341E1" w:rsidRPr="00E67A4C">
        <w:t>.</w:t>
      </w:r>
      <w:r w:rsidR="005B5392" w:rsidRPr="00E67A4C">
        <w:rPr>
          <w:vertAlign w:val="superscript"/>
        </w:rPr>
        <w:footnoteReference w:id="3"/>
      </w:r>
      <w:r w:rsidR="005B5392" w:rsidRPr="00E67A4C">
        <w:t xml:space="preserve"> </w:t>
      </w:r>
      <w:r w:rsidR="004341E1" w:rsidRPr="00E67A4C">
        <w:t>These principles were</w:t>
      </w:r>
      <w:r w:rsidR="009536B9" w:rsidRPr="00E67A4C">
        <w:t xml:space="preserve"> </w:t>
      </w:r>
      <w:r w:rsidRPr="00E67A4C">
        <w:t xml:space="preserve">to assist jurisdictions </w:t>
      </w:r>
      <w:r w:rsidR="00902441" w:rsidRPr="00E67A4C">
        <w:t xml:space="preserve">to </w:t>
      </w:r>
      <w:r w:rsidR="00A27CAE" w:rsidRPr="00E67A4C">
        <w:t>consistently implement p</w:t>
      </w:r>
      <w:r w:rsidRPr="00E67A4C">
        <w:t xml:space="preserve">oint-of-sale nutrition information at standard food outlets </w:t>
      </w:r>
      <w:r w:rsidR="00A27CAE" w:rsidRPr="00E67A4C">
        <w:t>(‘menu labelling’)</w:t>
      </w:r>
      <w:r w:rsidRPr="00E67A4C">
        <w:t xml:space="preserve">. </w:t>
      </w:r>
      <w:r w:rsidR="00A27CAE" w:rsidRPr="00E67A4C">
        <w:t>F</w:t>
      </w:r>
      <w:r w:rsidRPr="00E67A4C">
        <w:t xml:space="preserve">ive Australian jurisdictions </w:t>
      </w:r>
      <w:r w:rsidR="00D82FB5" w:rsidRPr="00E67A4C">
        <w:t xml:space="preserve">(New South Wales, South Australia, Australian Capital Territory, Queensland and Victoria) </w:t>
      </w:r>
      <w:r w:rsidRPr="00E67A4C">
        <w:t>have introduced menu labelling</w:t>
      </w:r>
      <w:r w:rsidR="00A27CAE" w:rsidRPr="00E67A4C">
        <w:t>, with some variation from the 2011 Principles</w:t>
      </w:r>
      <w:r w:rsidRPr="00E67A4C">
        <w:t xml:space="preserve">. </w:t>
      </w:r>
      <w:r w:rsidR="00971064" w:rsidRPr="00E67A4C">
        <w:t xml:space="preserve">The </w:t>
      </w:r>
      <w:r w:rsidR="00F038DE" w:rsidRPr="00E67A4C">
        <w:t xml:space="preserve">2011 </w:t>
      </w:r>
      <w:r w:rsidR="00971064" w:rsidRPr="00E67A4C">
        <w:t>Principles have not been implemented in New Zealand.</w:t>
      </w:r>
    </w:p>
    <w:p w14:paraId="085D7858" w14:textId="77777777" w:rsidR="00FF57FD" w:rsidRPr="00E67A4C" w:rsidRDefault="00FF57FD" w:rsidP="00BB284A">
      <w:pPr>
        <w:pStyle w:val="Bodytext-TMRfont12"/>
      </w:pPr>
    </w:p>
    <w:p w14:paraId="1E6C969D" w14:textId="390131E2" w:rsidR="001953E6" w:rsidRPr="00E67A4C" w:rsidRDefault="00E47B40" w:rsidP="00BB284A">
      <w:pPr>
        <w:pStyle w:val="Bodytext-TMRfont12"/>
      </w:pPr>
      <w:r w:rsidRPr="00E67A4C">
        <w:t xml:space="preserve">In </w:t>
      </w:r>
      <w:r w:rsidR="00A27CAE" w:rsidRPr="00E67A4C">
        <w:t xml:space="preserve">August </w:t>
      </w:r>
      <w:r w:rsidRPr="00E67A4C">
        <w:t>201</w:t>
      </w:r>
      <w:r w:rsidR="00A27CAE" w:rsidRPr="00E67A4C">
        <w:t>9</w:t>
      </w:r>
      <w:r w:rsidRPr="00E67A4C">
        <w:t xml:space="preserve">, </w:t>
      </w:r>
      <w:r w:rsidR="00A27CAE" w:rsidRPr="00E67A4C">
        <w:t xml:space="preserve">in response to </w:t>
      </w:r>
      <w:r w:rsidRPr="00E67A4C">
        <w:t>t</w:t>
      </w:r>
      <w:r w:rsidR="00FF57FD" w:rsidRPr="00E67A4C">
        <w:t>he Health and Food Collaboration</w:t>
      </w:r>
      <w:r w:rsidR="00FF57FD" w:rsidRPr="00E67A4C">
        <w:rPr>
          <w:rStyle w:val="FootnoteReference"/>
        </w:rPr>
        <w:footnoteReference w:id="4"/>
      </w:r>
      <w:r w:rsidR="00FF57FD" w:rsidRPr="00E67A4C">
        <w:t xml:space="preserve"> review of fast food menu labelling schemes</w:t>
      </w:r>
      <w:r w:rsidR="001953E6" w:rsidRPr="00E67A4C">
        <w:t xml:space="preserve">, </w:t>
      </w:r>
      <w:r w:rsidR="009B0EE3" w:rsidRPr="00E67A4C">
        <w:t>Food Ministers</w:t>
      </w:r>
      <w:r w:rsidR="001953E6" w:rsidRPr="00E67A4C">
        <w:t xml:space="preserve"> agreed that nationally consistent menu labelling is desirable for the food industry, public health organisations and governments. Ministers </w:t>
      </w:r>
      <w:r w:rsidR="000042D0" w:rsidRPr="00E67A4C">
        <w:t>agreed</w:t>
      </w:r>
      <w:r w:rsidR="001953E6" w:rsidRPr="00E67A4C">
        <w:t xml:space="preserve"> the most effective way for this to occur would be to develop a food regulatory measure under the Australia New Zealand Food Standards Code (the </w:t>
      </w:r>
      <w:r w:rsidR="005B3970" w:rsidRPr="00E67A4C">
        <w:t xml:space="preserve">Food Standards </w:t>
      </w:r>
      <w:r w:rsidR="001953E6" w:rsidRPr="00E67A4C">
        <w:t xml:space="preserve">Code), and that development of a Ministerial Policy Guideline </w:t>
      </w:r>
      <w:r w:rsidR="009B0EE3" w:rsidRPr="00E67A4C">
        <w:t xml:space="preserve">should </w:t>
      </w:r>
      <w:r w:rsidR="001953E6" w:rsidRPr="00E67A4C">
        <w:t>be the first step.</w:t>
      </w:r>
      <w:r w:rsidR="00B35F56" w:rsidRPr="00E67A4C">
        <w:rPr>
          <w:rStyle w:val="FootnoteReference"/>
        </w:rPr>
        <w:footnoteReference w:id="5"/>
      </w:r>
      <w:r w:rsidR="001953E6" w:rsidRPr="00E67A4C">
        <w:t xml:space="preserve"> </w:t>
      </w:r>
      <w:r w:rsidR="00C26241" w:rsidRPr="00E67A4C">
        <w:t>Ministerial Policy Guidelines</w:t>
      </w:r>
      <w:r w:rsidR="0001138D" w:rsidRPr="00E67A4C">
        <w:t xml:space="preserve"> </w:t>
      </w:r>
      <w:r w:rsidR="00C26241" w:rsidRPr="00E67A4C">
        <w:t>and Food Standards Code apply to both Australia and New Zealand.</w:t>
      </w:r>
    </w:p>
    <w:p w14:paraId="7DE37294" w14:textId="19AFA2E9" w:rsidR="0001138D" w:rsidRPr="00E67A4C" w:rsidRDefault="0001138D" w:rsidP="00BB284A">
      <w:pPr>
        <w:pStyle w:val="Bodytext-TMRfont12"/>
      </w:pPr>
    </w:p>
    <w:p w14:paraId="7BAFA391" w14:textId="58DD81CD" w:rsidR="00D235CC" w:rsidRPr="00E67A4C" w:rsidRDefault="0001138D" w:rsidP="00BB284A">
      <w:pPr>
        <w:pStyle w:val="Bodytext-TMRfont12"/>
        <w:rPr>
          <w:rFonts w:cstheme="minorHAnsi"/>
          <w:color w:val="000000"/>
          <w:lang w:val="en" w:eastAsia="en-AU"/>
        </w:rPr>
      </w:pPr>
      <w:r w:rsidRPr="00E67A4C">
        <w:t xml:space="preserve">Ministerial Policy Guidelines </w:t>
      </w:r>
      <w:r w:rsidR="00D235CC" w:rsidRPr="00E67A4C">
        <w:rPr>
          <w:rFonts w:cstheme="minorHAnsi"/>
          <w:color w:val="000000"/>
          <w:lang w:val="en" w:eastAsia="en-AU"/>
        </w:rPr>
        <w:t xml:space="preserve">aim to improve outcomes by </w:t>
      </w:r>
      <w:r w:rsidR="009C248F" w:rsidRPr="00E67A4C">
        <w:rPr>
          <w:rFonts w:cstheme="minorHAnsi"/>
          <w:color w:val="000000"/>
          <w:lang w:val="en" w:eastAsia="en-AU"/>
        </w:rPr>
        <w:t>clarifying</w:t>
      </w:r>
      <w:r w:rsidR="00D235CC" w:rsidRPr="00E67A4C">
        <w:rPr>
          <w:rFonts w:cstheme="minorHAnsi"/>
          <w:color w:val="000000"/>
          <w:lang w:val="en" w:eastAsia="en-AU"/>
        </w:rPr>
        <w:t xml:space="preserve"> the policy principles that apply to jurisdictions and bodies making food regulations</w:t>
      </w:r>
      <w:r w:rsidR="002F196E" w:rsidRPr="00E67A4C">
        <w:rPr>
          <w:rFonts w:cstheme="minorHAnsi"/>
          <w:color w:val="000000"/>
          <w:lang w:val="en" w:eastAsia="en-AU"/>
        </w:rPr>
        <w:t xml:space="preserve"> (namely Food Standards Australia New Zealand (FSANZ))</w:t>
      </w:r>
      <w:r w:rsidR="00D235CC" w:rsidRPr="00E67A4C">
        <w:rPr>
          <w:rFonts w:cstheme="minorHAnsi"/>
          <w:color w:val="000000"/>
          <w:lang w:val="en" w:eastAsia="en-AU"/>
        </w:rPr>
        <w:t>. The creation of a policy guideline does not trigger regulatory action by</w:t>
      </w:r>
      <w:r w:rsidR="002F196E" w:rsidRPr="00E67A4C">
        <w:rPr>
          <w:rFonts w:cstheme="minorHAnsi"/>
          <w:color w:val="000000"/>
          <w:lang w:val="en" w:eastAsia="en-AU"/>
        </w:rPr>
        <w:t xml:space="preserve"> </w:t>
      </w:r>
      <w:r w:rsidR="00D235CC" w:rsidRPr="00E67A4C">
        <w:rPr>
          <w:rFonts w:cstheme="minorHAnsi"/>
          <w:color w:val="000000"/>
          <w:lang w:val="en" w:eastAsia="en-AU"/>
        </w:rPr>
        <w:t xml:space="preserve">FSANZ or changes to current food labelling. However, when FSANZ is developing or reviewing food regulatory measures, </w:t>
      </w:r>
      <w:r w:rsidR="00C409A1" w:rsidRPr="00E67A4C">
        <w:rPr>
          <w:rFonts w:cstheme="minorHAnsi"/>
          <w:color w:val="000000"/>
          <w:lang w:val="en" w:eastAsia="en-AU"/>
        </w:rPr>
        <w:t xml:space="preserve">as outlined in the </w:t>
      </w:r>
      <w:r w:rsidR="00C409A1" w:rsidRPr="00E67A4C">
        <w:rPr>
          <w:rFonts w:cstheme="minorHAnsi"/>
          <w:i/>
          <w:iCs/>
          <w:color w:val="000000"/>
          <w:lang w:val="en" w:eastAsia="en-AU"/>
        </w:rPr>
        <w:t xml:space="preserve">FSANZ Act 1991, </w:t>
      </w:r>
      <w:r w:rsidR="008F4E2D" w:rsidRPr="00E67A4C">
        <w:rPr>
          <w:rFonts w:cstheme="minorHAnsi"/>
          <w:color w:val="000000"/>
          <w:lang w:val="en" w:eastAsia="en-AU"/>
        </w:rPr>
        <w:t xml:space="preserve">FSANZ must have </w:t>
      </w:r>
      <w:r w:rsidRPr="00E67A4C">
        <w:rPr>
          <w:rFonts w:cstheme="minorHAnsi"/>
          <w:color w:val="000000"/>
          <w:lang w:val="en" w:eastAsia="en-AU"/>
        </w:rPr>
        <w:t xml:space="preserve">due </w:t>
      </w:r>
      <w:r w:rsidR="00D235CC" w:rsidRPr="00E67A4C">
        <w:rPr>
          <w:rFonts w:cstheme="minorHAnsi"/>
          <w:color w:val="000000"/>
          <w:lang w:val="en" w:eastAsia="en-AU"/>
        </w:rPr>
        <w:t>regard</w:t>
      </w:r>
      <w:r w:rsidR="00FB2FB2" w:rsidRPr="00E67A4C">
        <w:rPr>
          <w:rFonts w:cstheme="minorHAnsi"/>
          <w:color w:val="000000"/>
          <w:lang w:val="en" w:eastAsia="en-AU"/>
        </w:rPr>
        <w:t xml:space="preserve"> to any Ministerial Policy Guidelines</w:t>
      </w:r>
      <w:r w:rsidR="00BE692E" w:rsidRPr="00E67A4C">
        <w:rPr>
          <w:rFonts w:cstheme="minorHAnsi"/>
          <w:color w:val="000000"/>
          <w:lang w:val="en" w:eastAsia="en-AU"/>
        </w:rPr>
        <w:t xml:space="preserve"> relevant to the matter</w:t>
      </w:r>
      <w:r w:rsidRPr="00E67A4C">
        <w:rPr>
          <w:rFonts w:cstheme="minorHAnsi"/>
          <w:color w:val="000000"/>
          <w:lang w:val="en" w:eastAsia="en-AU"/>
        </w:rPr>
        <w:t>.</w:t>
      </w:r>
    </w:p>
    <w:p w14:paraId="367B0699" w14:textId="77777777" w:rsidR="00A04DD1" w:rsidRPr="00E67A4C" w:rsidRDefault="00A04DD1" w:rsidP="00BB284A">
      <w:pPr>
        <w:pStyle w:val="Bodytext-TMRfont12"/>
      </w:pPr>
    </w:p>
    <w:p w14:paraId="52DC291E" w14:textId="7BDA72FB" w:rsidR="00F85C1C" w:rsidRPr="00AE68CF" w:rsidRDefault="00F85C1C" w:rsidP="00BB284A">
      <w:pPr>
        <w:pStyle w:val="Bodytext-TMRfont12"/>
      </w:pPr>
      <w:r w:rsidRPr="00AE68CF">
        <w:t xml:space="preserve">The </w:t>
      </w:r>
      <w:r w:rsidR="00281176" w:rsidRPr="00AE68CF">
        <w:t>Food Regulation Standing Committee (FRSC) now</w:t>
      </w:r>
      <w:r w:rsidRPr="00AE68CF">
        <w:t xml:space="preserve"> seek</w:t>
      </w:r>
      <w:r w:rsidR="00281176" w:rsidRPr="00AE68CF">
        <w:t>s</w:t>
      </w:r>
      <w:r w:rsidRPr="00AE68CF">
        <w:t xml:space="preserve"> information from </w:t>
      </w:r>
      <w:r w:rsidR="00E85B67" w:rsidRPr="00AE68CF">
        <w:t xml:space="preserve">all </w:t>
      </w:r>
      <w:r w:rsidRPr="00AE68CF">
        <w:t xml:space="preserve">stakeholders to inform the development of </w:t>
      </w:r>
      <w:r w:rsidR="002D5988" w:rsidRPr="00AE68CF">
        <w:t xml:space="preserve">policy </w:t>
      </w:r>
      <w:r w:rsidR="00A04DD1" w:rsidRPr="00AE68CF">
        <w:t xml:space="preserve">guidance and an effective </w:t>
      </w:r>
      <w:r w:rsidR="009B0EE3" w:rsidRPr="00AE68CF">
        <w:t xml:space="preserve">policy </w:t>
      </w:r>
      <w:r w:rsidR="00A04DD1" w:rsidRPr="00AE68CF">
        <w:t>framework</w:t>
      </w:r>
      <w:r w:rsidR="002D5988" w:rsidRPr="00AE68CF">
        <w:t xml:space="preserve"> </w:t>
      </w:r>
      <w:r w:rsidR="002376B6" w:rsidRPr="00AE68CF">
        <w:t>for</w:t>
      </w:r>
      <w:r w:rsidR="009B0EE3" w:rsidRPr="00AE68CF">
        <w:t xml:space="preserve"> consistent </w:t>
      </w:r>
      <w:r w:rsidR="002376B6" w:rsidRPr="00AE68CF">
        <w:t>menu labelling.</w:t>
      </w:r>
      <w:r w:rsidR="00FD7519" w:rsidRPr="00AE68CF">
        <w:t xml:space="preserve"> </w:t>
      </w:r>
      <w:r w:rsidRPr="00AE68CF">
        <w:t xml:space="preserve">The </w:t>
      </w:r>
      <w:r w:rsidR="00972F54" w:rsidRPr="00AE68CF">
        <w:t xml:space="preserve">proposed </w:t>
      </w:r>
      <w:r w:rsidRPr="00AE68CF">
        <w:t>objective</w:t>
      </w:r>
      <w:r w:rsidR="00972F54" w:rsidRPr="00AE68CF">
        <w:t>s</w:t>
      </w:r>
      <w:r w:rsidRPr="00AE68CF">
        <w:t xml:space="preserve"> </w:t>
      </w:r>
      <w:r w:rsidR="00972F54" w:rsidRPr="00AE68CF">
        <w:t>are</w:t>
      </w:r>
      <w:r w:rsidRPr="00AE68CF">
        <w:t xml:space="preserve"> to</w:t>
      </w:r>
      <w:r w:rsidR="00971064" w:rsidRPr="00AE68CF">
        <w:t xml:space="preserve"> ensure any regulatory </w:t>
      </w:r>
      <w:r w:rsidR="001462CF" w:rsidRPr="00AE68CF">
        <w:t xml:space="preserve">or non-regulatory </w:t>
      </w:r>
      <w:r w:rsidR="00971064" w:rsidRPr="00AE68CF">
        <w:t>measure</w:t>
      </w:r>
      <w:r w:rsidR="001462CF" w:rsidRPr="00AE68CF">
        <w:t>s</w:t>
      </w:r>
      <w:r w:rsidR="00971064" w:rsidRPr="00AE68CF">
        <w:t xml:space="preserve"> developed for menu labelling</w:t>
      </w:r>
      <w:r w:rsidRPr="00AE68CF">
        <w:t xml:space="preserve">: </w:t>
      </w:r>
    </w:p>
    <w:p w14:paraId="605D718F" w14:textId="54A9E244" w:rsidR="00B02813" w:rsidRPr="00AE68CF" w:rsidRDefault="002E400C" w:rsidP="00BB284A">
      <w:pPr>
        <w:pStyle w:val="Bodytext-TMRfont12"/>
        <w:numPr>
          <w:ilvl w:val="0"/>
          <w:numId w:val="37"/>
        </w:numPr>
      </w:pPr>
      <w:r w:rsidRPr="00AE68CF">
        <w:t xml:space="preserve">minimise </w:t>
      </w:r>
      <w:r w:rsidR="00B02813" w:rsidRPr="00AE68CF">
        <w:t xml:space="preserve">the proliferation of different menu labelling systems; </w:t>
      </w:r>
    </w:p>
    <w:p w14:paraId="3744E3B1" w14:textId="33E2B493" w:rsidR="00F85C1C" w:rsidRPr="00AE68CF" w:rsidRDefault="00F85C1C" w:rsidP="00BB284A">
      <w:pPr>
        <w:pStyle w:val="Bodytext-TMRfont12"/>
        <w:numPr>
          <w:ilvl w:val="0"/>
          <w:numId w:val="37"/>
        </w:numPr>
      </w:pPr>
      <w:r w:rsidRPr="00AE68CF">
        <w:t xml:space="preserve">create a level playing field </w:t>
      </w:r>
      <w:r w:rsidR="00E13B9A" w:rsidRPr="00AE68CF">
        <w:t>(</w:t>
      </w:r>
      <w:r w:rsidR="0024226A" w:rsidRPr="00AE68CF">
        <w:t>with respect to menu labelling</w:t>
      </w:r>
      <w:r w:rsidR="00E13B9A" w:rsidRPr="00AE68CF">
        <w:t>)</w:t>
      </w:r>
      <w:r w:rsidR="0024226A" w:rsidRPr="00AE68CF">
        <w:t xml:space="preserve"> </w:t>
      </w:r>
      <w:r w:rsidRPr="00AE68CF">
        <w:t>for all businesses that sell standard food items</w:t>
      </w:r>
      <w:r w:rsidR="00533888" w:rsidRPr="00AE68CF">
        <w:rPr>
          <w:rStyle w:val="FootnoteReference"/>
        </w:rPr>
        <w:footnoteReference w:id="6"/>
      </w:r>
      <w:r w:rsidRPr="00AE68CF">
        <w:t>; and</w:t>
      </w:r>
    </w:p>
    <w:p w14:paraId="68DFC00F" w14:textId="7AD5D0D4" w:rsidR="00F85C1C" w:rsidRPr="00AE68CF" w:rsidRDefault="00F85C1C" w:rsidP="00BB284A">
      <w:pPr>
        <w:pStyle w:val="Bodytext-TMRfont12"/>
        <w:numPr>
          <w:ilvl w:val="0"/>
          <w:numId w:val="37"/>
        </w:numPr>
      </w:pPr>
      <w:r w:rsidRPr="00AE68CF">
        <w:t xml:space="preserve">ensure that </w:t>
      </w:r>
      <w:r w:rsidR="00E13B9A" w:rsidRPr="00AE68CF">
        <w:t xml:space="preserve">different modes of sale and types of menus </w:t>
      </w:r>
      <w:r w:rsidR="00CE2BA6" w:rsidRPr="00AE68CF">
        <w:t xml:space="preserve">enable </w:t>
      </w:r>
      <w:r w:rsidR="00E13B9A" w:rsidRPr="00AE68CF">
        <w:t xml:space="preserve">comparison of menu options to assist </w:t>
      </w:r>
      <w:r w:rsidRPr="00AE68CF">
        <w:t xml:space="preserve">people to make healthier food </w:t>
      </w:r>
      <w:r w:rsidR="00E13B9A" w:rsidRPr="00AE68CF">
        <w:t xml:space="preserve">purchase </w:t>
      </w:r>
      <w:r w:rsidRPr="00AE68CF">
        <w:t>choices at the point-of-sale.</w:t>
      </w:r>
      <w:r w:rsidR="00EF325A" w:rsidRPr="00AE68CF">
        <w:rPr>
          <w:rStyle w:val="FootnoteReference"/>
        </w:rPr>
        <w:footnoteReference w:id="7"/>
      </w:r>
    </w:p>
    <w:p w14:paraId="7E686A78" w14:textId="77777777" w:rsidR="00A43350" w:rsidRPr="00E67A4C" w:rsidRDefault="00A43350" w:rsidP="00BB284A">
      <w:pPr>
        <w:pStyle w:val="Bodytext-TMRfont12"/>
      </w:pPr>
    </w:p>
    <w:p w14:paraId="7A8EA5D0" w14:textId="21FE396A" w:rsidR="00F85C1C" w:rsidRPr="00E67A4C" w:rsidRDefault="00C510D7" w:rsidP="00BB284A">
      <w:pPr>
        <w:pStyle w:val="Bodytext-TMRfont12"/>
      </w:pPr>
      <w:r w:rsidRPr="00E67A4C">
        <w:t xml:space="preserve">To address these policy objectives, </w:t>
      </w:r>
      <w:r w:rsidR="008347C3" w:rsidRPr="00E67A4C">
        <w:t>four</w:t>
      </w:r>
      <w:r w:rsidR="0055141E" w:rsidRPr="00E67A4C">
        <w:t xml:space="preserve"> </w:t>
      </w:r>
      <w:r w:rsidR="00F85C1C" w:rsidRPr="00E67A4C">
        <w:t xml:space="preserve">options </w:t>
      </w:r>
      <w:r w:rsidR="00E85B67" w:rsidRPr="00E67A4C">
        <w:t xml:space="preserve">are </w:t>
      </w:r>
      <w:r w:rsidR="00F85C1C" w:rsidRPr="00E67A4C">
        <w:t>presented in the paper:</w:t>
      </w:r>
    </w:p>
    <w:p w14:paraId="300B0647" w14:textId="43071830" w:rsidR="00DA6644" w:rsidRPr="00E67A4C" w:rsidRDefault="00DA6644" w:rsidP="00BB284A">
      <w:pPr>
        <w:pStyle w:val="Bodytext-TMRfont12"/>
        <w:numPr>
          <w:ilvl w:val="0"/>
          <w:numId w:val="38"/>
        </w:numPr>
        <w:rPr>
          <w:i/>
        </w:rPr>
      </w:pPr>
      <w:r w:rsidRPr="00E67A4C">
        <w:rPr>
          <w:i/>
        </w:rPr>
        <w:t>Maintain the status quo</w:t>
      </w:r>
      <w:r w:rsidR="006E4F3B" w:rsidRPr="00E67A4C">
        <w:rPr>
          <w:i/>
        </w:rPr>
        <w:t xml:space="preserve">, </w:t>
      </w:r>
      <w:r w:rsidR="00866B9E" w:rsidRPr="00E67A4C">
        <w:rPr>
          <w:i/>
        </w:rPr>
        <w:t>allowing</w:t>
      </w:r>
      <w:r w:rsidR="006E4F3B" w:rsidRPr="00E67A4C">
        <w:rPr>
          <w:i/>
        </w:rPr>
        <w:t xml:space="preserve"> </w:t>
      </w:r>
      <w:r w:rsidR="00C510D7" w:rsidRPr="00E67A4C">
        <w:rPr>
          <w:i/>
        </w:rPr>
        <w:t xml:space="preserve">jurisdictions </w:t>
      </w:r>
      <w:r w:rsidR="00866B9E" w:rsidRPr="00E67A4C">
        <w:rPr>
          <w:i/>
        </w:rPr>
        <w:t>to</w:t>
      </w:r>
      <w:r w:rsidR="00C510D7" w:rsidRPr="00E67A4C">
        <w:rPr>
          <w:i/>
        </w:rPr>
        <w:t xml:space="preserve"> choose </w:t>
      </w:r>
      <w:r w:rsidR="00866B9E" w:rsidRPr="00E67A4C">
        <w:rPr>
          <w:i/>
        </w:rPr>
        <w:t xml:space="preserve">how </w:t>
      </w:r>
      <w:r w:rsidR="00C510D7" w:rsidRPr="00E67A4C">
        <w:rPr>
          <w:i/>
        </w:rPr>
        <w:t xml:space="preserve">to implement </w:t>
      </w:r>
      <w:r w:rsidR="006E4F3B" w:rsidRPr="00E67A4C">
        <w:rPr>
          <w:i/>
        </w:rPr>
        <w:t xml:space="preserve">menu labelling consistent with </w:t>
      </w:r>
      <w:r w:rsidR="00C510D7" w:rsidRPr="00E67A4C">
        <w:rPr>
          <w:i/>
        </w:rPr>
        <w:t xml:space="preserve">the 2011 </w:t>
      </w:r>
      <w:r w:rsidR="006E4F3B" w:rsidRPr="00E67A4C">
        <w:rPr>
          <w:i/>
        </w:rPr>
        <w:t>Principles</w:t>
      </w:r>
      <w:r w:rsidRPr="00E67A4C">
        <w:rPr>
          <w:i/>
        </w:rPr>
        <w:t>.</w:t>
      </w:r>
    </w:p>
    <w:p w14:paraId="63E4C7A8" w14:textId="77777777" w:rsidR="0063405C" w:rsidRPr="00E67A4C" w:rsidRDefault="0063405C" w:rsidP="00BB284A">
      <w:pPr>
        <w:pStyle w:val="Bodytext-TMRfont12"/>
        <w:numPr>
          <w:ilvl w:val="0"/>
          <w:numId w:val="38"/>
        </w:numPr>
        <w:rPr>
          <w:i/>
        </w:rPr>
      </w:pPr>
      <w:r w:rsidRPr="00E67A4C">
        <w:rPr>
          <w:i/>
        </w:rPr>
        <w:lastRenderedPageBreak/>
        <w:t xml:space="preserve">Amend the 2011 Principles and encourage all jurisdictions to consistently implement menu labelling schemes in their own legislation. </w:t>
      </w:r>
    </w:p>
    <w:p w14:paraId="4D7C10ED" w14:textId="24CA5CB2" w:rsidR="00F85C1C" w:rsidRPr="00E67A4C" w:rsidRDefault="00F85C1C" w:rsidP="00BB284A">
      <w:pPr>
        <w:pStyle w:val="Bodytext-TMRfont12"/>
        <w:numPr>
          <w:ilvl w:val="0"/>
          <w:numId w:val="38"/>
        </w:numPr>
        <w:rPr>
          <w:i/>
        </w:rPr>
      </w:pPr>
      <w:r w:rsidRPr="00E67A4C">
        <w:rPr>
          <w:i/>
        </w:rPr>
        <w:t xml:space="preserve">Develop a Ministerial Policy Guideline </w:t>
      </w:r>
      <w:r w:rsidR="00E71E5F" w:rsidRPr="00E67A4C">
        <w:rPr>
          <w:i/>
        </w:rPr>
        <w:t xml:space="preserve">for menu labelling </w:t>
      </w:r>
      <w:r w:rsidR="00503166" w:rsidRPr="00E67A4C">
        <w:rPr>
          <w:i/>
        </w:rPr>
        <w:t>to inform</w:t>
      </w:r>
      <w:r w:rsidR="0091018F" w:rsidRPr="00E67A4C">
        <w:rPr>
          <w:i/>
        </w:rPr>
        <w:t xml:space="preserve"> the development of </w:t>
      </w:r>
      <w:r w:rsidRPr="00E67A4C">
        <w:rPr>
          <w:i/>
        </w:rPr>
        <w:t xml:space="preserve">a </w:t>
      </w:r>
      <w:r w:rsidR="00F70EA9" w:rsidRPr="00E67A4C">
        <w:rPr>
          <w:i/>
        </w:rPr>
        <w:t xml:space="preserve">proposed </w:t>
      </w:r>
      <w:r w:rsidRPr="00E67A4C">
        <w:rPr>
          <w:i/>
        </w:rPr>
        <w:t xml:space="preserve">bi-national food regulatory measure in the </w:t>
      </w:r>
      <w:r w:rsidR="0091018F" w:rsidRPr="00E67A4C">
        <w:rPr>
          <w:i/>
        </w:rPr>
        <w:t xml:space="preserve">Food Standards </w:t>
      </w:r>
      <w:r w:rsidRPr="00E67A4C">
        <w:rPr>
          <w:i/>
        </w:rPr>
        <w:t>Code</w:t>
      </w:r>
      <w:r w:rsidR="00866B9E" w:rsidRPr="00E67A4C">
        <w:rPr>
          <w:i/>
        </w:rPr>
        <w:t xml:space="preserve"> (jurisdictions to repeal own legislation once regulatory measure </w:t>
      </w:r>
      <w:r w:rsidR="00F13298" w:rsidRPr="00E67A4C">
        <w:rPr>
          <w:i/>
        </w:rPr>
        <w:t>gazetted</w:t>
      </w:r>
      <w:r w:rsidR="00866B9E" w:rsidRPr="00E67A4C">
        <w:rPr>
          <w:i/>
        </w:rPr>
        <w:t>)</w:t>
      </w:r>
      <w:r w:rsidRPr="00E67A4C">
        <w:rPr>
          <w:i/>
        </w:rPr>
        <w:t>.</w:t>
      </w:r>
      <w:r w:rsidR="00DA6644" w:rsidRPr="00E67A4C">
        <w:rPr>
          <w:i/>
        </w:rPr>
        <w:t xml:space="preserve"> </w:t>
      </w:r>
    </w:p>
    <w:p w14:paraId="0AFDE093" w14:textId="367FCC58" w:rsidR="007F1AC0" w:rsidRPr="00E67A4C" w:rsidRDefault="007F1AC0" w:rsidP="00BB284A">
      <w:pPr>
        <w:pStyle w:val="Bodytext-TMRfont12"/>
        <w:numPr>
          <w:ilvl w:val="0"/>
          <w:numId w:val="38"/>
        </w:numPr>
        <w:rPr>
          <w:i/>
        </w:rPr>
      </w:pPr>
      <w:r w:rsidRPr="00E67A4C">
        <w:rPr>
          <w:i/>
        </w:rPr>
        <w:t xml:space="preserve">Encourage </w:t>
      </w:r>
      <w:r w:rsidR="00766241" w:rsidRPr="00E67A4C">
        <w:rPr>
          <w:i/>
        </w:rPr>
        <w:t>industry to voluntarily implemen</w:t>
      </w:r>
      <w:r w:rsidR="0030172D" w:rsidRPr="00E67A4C">
        <w:rPr>
          <w:i/>
        </w:rPr>
        <w:t>t enhancements</w:t>
      </w:r>
      <w:r w:rsidR="00094E35" w:rsidRPr="00E67A4C">
        <w:rPr>
          <w:i/>
        </w:rPr>
        <w:t xml:space="preserve"> to menu labelling</w:t>
      </w:r>
      <w:r w:rsidR="0030172D" w:rsidRPr="00E67A4C">
        <w:rPr>
          <w:i/>
        </w:rPr>
        <w:t>.</w:t>
      </w:r>
    </w:p>
    <w:p w14:paraId="4D6C4C86" w14:textId="229EDE51" w:rsidR="003D3C67" w:rsidRPr="00E67A4C" w:rsidRDefault="006847FE" w:rsidP="00BB284A">
      <w:pPr>
        <w:pStyle w:val="Bodytext-TMRfont12"/>
        <w:rPr>
          <w:iCs/>
        </w:rPr>
      </w:pPr>
      <w:r w:rsidRPr="00E67A4C">
        <w:rPr>
          <w:iCs/>
        </w:rPr>
        <w:t>C</w:t>
      </w:r>
      <w:r w:rsidR="00A80DDB" w:rsidRPr="00E67A4C">
        <w:rPr>
          <w:iCs/>
        </w:rPr>
        <w:t xml:space="preserve">onsumer education about kilojoules, ready-to-eat foods, making healthier food purchase choices, and using menu labelling </w:t>
      </w:r>
      <w:r w:rsidR="000821E5" w:rsidRPr="00E67A4C">
        <w:rPr>
          <w:iCs/>
        </w:rPr>
        <w:t>is proposed to complement</w:t>
      </w:r>
      <w:r w:rsidR="00C03207" w:rsidRPr="00E67A4C">
        <w:rPr>
          <w:iCs/>
        </w:rPr>
        <w:t xml:space="preserve"> any of </w:t>
      </w:r>
      <w:r w:rsidR="00290654" w:rsidRPr="00E67A4C">
        <w:rPr>
          <w:iCs/>
        </w:rPr>
        <w:t>the</w:t>
      </w:r>
      <w:r w:rsidR="00C03207" w:rsidRPr="00E67A4C">
        <w:rPr>
          <w:iCs/>
        </w:rPr>
        <w:t xml:space="preserve"> options.</w:t>
      </w:r>
      <w:r w:rsidR="0025014A" w:rsidRPr="00E67A4C">
        <w:rPr>
          <w:iCs/>
        </w:rPr>
        <w:t xml:space="preserve"> </w:t>
      </w:r>
      <w:r w:rsidR="003D3C67" w:rsidRPr="00E67A4C">
        <w:rPr>
          <w:iCs/>
        </w:rPr>
        <w:t xml:space="preserve"> </w:t>
      </w:r>
    </w:p>
    <w:p w14:paraId="43C386DE" w14:textId="3F19CA64" w:rsidR="00123399" w:rsidRPr="00E67A4C" w:rsidRDefault="00123399" w:rsidP="00BB284A">
      <w:pPr>
        <w:pStyle w:val="Bodytext-TMRfont12"/>
        <w:rPr>
          <w:iCs/>
        </w:rPr>
      </w:pPr>
    </w:p>
    <w:p w14:paraId="501C2265" w14:textId="6E33BF1A" w:rsidR="00CD63E6" w:rsidRPr="00E67A4C" w:rsidRDefault="00CD63E6" w:rsidP="00BB284A">
      <w:pPr>
        <w:pStyle w:val="Bodytext-TMRfont12"/>
        <w:rPr>
          <w:iCs/>
        </w:rPr>
      </w:pPr>
      <w:r w:rsidRPr="00E67A4C">
        <w:rPr>
          <w:iCs/>
        </w:rPr>
        <w:t xml:space="preserve">Compared to the status quo, the </w:t>
      </w:r>
      <w:r w:rsidRPr="00AD1FC3">
        <w:rPr>
          <w:b/>
          <w:bCs/>
          <w:iCs/>
        </w:rPr>
        <w:t>intent</w:t>
      </w:r>
      <w:r w:rsidRPr="00E67A4C">
        <w:rPr>
          <w:iCs/>
        </w:rPr>
        <w:t xml:space="preserve"> of amending the 2011 Principles (Option 2)</w:t>
      </w:r>
      <w:r w:rsidR="00201AFB" w:rsidRPr="00E67A4C">
        <w:rPr>
          <w:iCs/>
        </w:rPr>
        <w:t xml:space="preserve">, </w:t>
      </w:r>
      <w:r w:rsidRPr="00E67A4C">
        <w:rPr>
          <w:iCs/>
        </w:rPr>
        <w:t xml:space="preserve">the </w:t>
      </w:r>
      <w:r w:rsidR="00304B7B" w:rsidRPr="00E67A4C">
        <w:rPr>
          <w:iCs/>
        </w:rPr>
        <w:t>proposed</w:t>
      </w:r>
      <w:r w:rsidRPr="00E67A4C">
        <w:rPr>
          <w:iCs/>
        </w:rPr>
        <w:t xml:space="preserve"> Policy Guideline (Option 3) </w:t>
      </w:r>
      <w:r w:rsidR="00123399" w:rsidRPr="00E67A4C">
        <w:rPr>
          <w:iCs/>
        </w:rPr>
        <w:t xml:space="preserve">and voluntary implementation of menu labelling enhancements (Option 4) </w:t>
      </w:r>
      <w:r w:rsidRPr="00E67A4C">
        <w:rPr>
          <w:iCs/>
        </w:rPr>
        <w:t xml:space="preserve">is described in Table </w:t>
      </w:r>
      <w:r w:rsidR="00377B7C" w:rsidRPr="00E67A4C">
        <w:rPr>
          <w:iCs/>
        </w:rPr>
        <w:t>1</w:t>
      </w:r>
      <w:r w:rsidRPr="00E67A4C">
        <w:rPr>
          <w:iCs/>
        </w:rPr>
        <w:t xml:space="preserve"> below.</w:t>
      </w:r>
    </w:p>
    <w:p w14:paraId="23520330" w14:textId="758C3E69" w:rsidR="00CD63E6" w:rsidRPr="00E67A4C" w:rsidRDefault="00CD63E6" w:rsidP="00CD63E6">
      <w:pPr>
        <w:rPr>
          <w:iCs/>
        </w:rPr>
      </w:pPr>
    </w:p>
    <w:p w14:paraId="1C50FCF7" w14:textId="0ED36E2B" w:rsidR="00CD63E6" w:rsidRDefault="00CD63E6" w:rsidP="00BB284A">
      <w:pPr>
        <w:pStyle w:val="Bodytext-TMRfont12"/>
      </w:pPr>
      <w:r w:rsidRPr="00E67A4C">
        <w:t xml:space="preserve">Table </w:t>
      </w:r>
      <w:r w:rsidR="00377B7C" w:rsidRPr="00E67A4C">
        <w:t>1</w:t>
      </w:r>
      <w:r w:rsidRPr="00E67A4C">
        <w:t>: Intent of Option</w:t>
      </w:r>
      <w:r w:rsidR="00201AFB" w:rsidRPr="00E67A4C">
        <w:t>s</w:t>
      </w:r>
      <w:r w:rsidRPr="00E67A4C">
        <w:t xml:space="preserve"> 2</w:t>
      </w:r>
      <w:r w:rsidR="00201AFB" w:rsidRPr="00E67A4C">
        <w:t>,</w:t>
      </w:r>
      <w:r w:rsidRPr="00E67A4C">
        <w:t xml:space="preserve"> 3 </w:t>
      </w:r>
      <w:r w:rsidR="00201AFB" w:rsidRPr="00E67A4C">
        <w:t xml:space="preserve">and 4 </w:t>
      </w:r>
      <w:r w:rsidRPr="00E67A4C">
        <w:t>compared to the status quo</w:t>
      </w:r>
      <w:r w:rsidR="002D69FC" w:rsidRPr="00E67A4C">
        <w:t xml:space="preserve"> </w:t>
      </w:r>
    </w:p>
    <w:p w14:paraId="60361EFE" w14:textId="77777777" w:rsidR="00246032" w:rsidRDefault="00246032" w:rsidP="00BB284A">
      <w:pPr>
        <w:pStyle w:val="Bodytext-TMRfont12"/>
      </w:pPr>
    </w:p>
    <w:tbl>
      <w:tblPr>
        <w:tblStyle w:val="PlainTable3"/>
        <w:tblW w:w="9072" w:type="dxa"/>
        <w:tblLook w:val="04A0" w:firstRow="1" w:lastRow="0" w:firstColumn="1" w:lastColumn="0" w:noHBand="0" w:noVBand="1"/>
        <w:tblCaption w:val="Intent of Options 2, 3 and 4 compared to the status quo"/>
        <w:tblDescription w:val="Table describes what businesses would be required to do for each option. 4 columns: 1 Element. 2. Option 2. 3. Option 3. 4.Option. 7 rows: 1. Heading. 2. Jurisdictions. 3. Captured businesses. 4. Display of energy information. 5. Supermarkets. 6. Small businesses (below thresholds). 7. Third-party food delivery platforms. "/>
      </w:tblPr>
      <w:tblGrid>
        <w:gridCol w:w="1428"/>
        <w:gridCol w:w="2548"/>
        <w:gridCol w:w="2548"/>
        <w:gridCol w:w="2548"/>
      </w:tblGrid>
      <w:tr w:rsidR="009D57FA" w:rsidRPr="00E67A4C" w14:paraId="12D8E5E8" w14:textId="22B33949" w:rsidTr="00B66DD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8" w:type="dxa"/>
          </w:tcPr>
          <w:p w14:paraId="6A054FDE" w14:textId="75121CF2" w:rsidR="009D57FA" w:rsidRPr="00E67A4C" w:rsidRDefault="002B55D1" w:rsidP="009C248F">
            <w:pPr>
              <w:spacing w:after="40"/>
              <w:rPr>
                <w:rFonts w:eastAsia="Calibri"/>
                <w:b w:val="0"/>
                <w:sz w:val="20"/>
                <w:szCs w:val="20"/>
                <w:lang w:eastAsia="zh-CN" w:bidi="th-TH"/>
              </w:rPr>
            </w:pPr>
            <w:r w:rsidRPr="002B55D1">
              <w:rPr>
                <w:rFonts w:eastAsia="Calibri"/>
                <w:caps w:val="0"/>
                <w:sz w:val="20"/>
                <w:szCs w:val="20"/>
                <w:lang w:eastAsia="zh-CN" w:bidi="th-TH"/>
              </w:rPr>
              <w:t>Element</w:t>
            </w:r>
          </w:p>
        </w:tc>
        <w:tc>
          <w:tcPr>
            <w:tcW w:w="2548" w:type="dxa"/>
          </w:tcPr>
          <w:p w14:paraId="68D5E411" w14:textId="1B81C4F6" w:rsidR="009D57FA" w:rsidRPr="00E67A4C" w:rsidRDefault="00E6128E" w:rsidP="009C248F">
            <w:pPr>
              <w:spacing w:after="40"/>
              <w:cnfStyle w:val="100000000000" w:firstRow="1" w:lastRow="0" w:firstColumn="0" w:lastColumn="0" w:oddVBand="0" w:evenVBand="0" w:oddHBand="0" w:evenHBand="0" w:firstRowFirstColumn="0" w:firstRowLastColumn="0" w:lastRowFirstColumn="0" w:lastRowLastColumn="0"/>
              <w:rPr>
                <w:rFonts w:eastAsia="Calibri"/>
                <w:b w:val="0"/>
                <w:sz w:val="20"/>
                <w:szCs w:val="20"/>
                <w:lang w:eastAsia="zh-CN" w:bidi="th-TH"/>
              </w:rPr>
            </w:pPr>
            <w:r w:rsidRPr="00E67A4C">
              <w:rPr>
                <w:rFonts w:eastAsia="Calibri"/>
                <w:caps w:val="0"/>
                <w:sz w:val="20"/>
                <w:szCs w:val="20"/>
                <w:lang w:eastAsia="zh-CN" w:bidi="th-TH"/>
              </w:rPr>
              <w:t>Option 2</w:t>
            </w:r>
          </w:p>
        </w:tc>
        <w:tc>
          <w:tcPr>
            <w:tcW w:w="2548" w:type="dxa"/>
          </w:tcPr>
          <w:p w14:paraId="709B5A02" w14:textId="7E5E3383" w:rsidR="009D57FA" w:rsidRPr="00E67A4C" w:rsidRDefault="00E6128E" w:rsidP="009C248F">
            <w:pPr>
              <w:spacing w:after="40"/>
              <w:cnfStyle w:val="100000000000" w:firstRow="1" w:lastRow="0" w:firstColumn="0" w:lastColumn="0" w:oddVBand="0" w:evenVBand="0" w:oddHBand="0" w:evenHBand="0" w:firstRowFirstColumn="0" w:firstRowLastColumn="0" w:lastRowFirstColumn="0" w:lastRowLastColumn="0"/>
              <w:rPr>
                <w:rFonts w:eastAsia="Calibri"/>
                <w:b w:val="0"/>
                <w:sz w:val="20"/>
                <w:szCs w:val="20"/>
                <w:lang w:eastAsia="zh-CN" w:bidi="th-TH"/>
              </w:rPr>
            </w:pPr>
            <w:r w:rsidRPr="00E67A4C">
              <w:rPr>
                <w:rFonts w:eastAsia="Calibri"/>
                <w:caps w:val="0"/>
                <w:sz w:val="20"/>
                <w:szCs w:val="20"/>
                <w:lang w:eastAsia="zh-CN" w:bidi="th-TH"/>
              </w:rPr>
              <w:t>Option 3</w:t>
            </w:r>
          </w:p>
        </w:tc>
        <w:tc>
          <w:tcPr>
            <w:tcW w:w="2548" w:type="dxa"/>
          </w:tcPr>
          <w:p w14:paraId="50A95D6A" w14:textId="1C38A023" w:rsidR="009D57FA" w:rsidRPr="00E67A4C" w:rsidRDefault="00E6128E" w:rsidP="009C248F">
            <w:pPr>
              <w:spacing w:after="40"/>
              <w:cnfStyle w:val="100000000000" w:firstRow="1" w:lastRow="0" w:firstColumn="0" w:lastColumn="0" w:oddVBand="0" w:evenVBand="0" w:oddHBand="0" w:evenHBand="0" w:firstRowFirstColumn="0" w:firstRowLastColumn="0" w:lastRowFirstColumn="0" w:lastRowLastColumn="0"/>
              <w:rPr>
                <w:rFonts w:eastAsia="Calibri"/>
                <w:b w:val="0"/>
                <w:sz w:val="20"/>
                <w:szCs w:val="20"/>
                <w:lang w:eastAsia="zh-CN" w:bidi="th-TH"/>
              </w:rPr>
            </w:pPr>
            <w:r w:rsidRPr="00E67A4C">
              <w:rPr>
                <w:rFonts w:eastAsia="Calibri"/>
                <w:caps w:val="0"/>
                <w:sz w:val="20"/>
                <w:szCs w:val="20"/>
                <w:lang w:eastAsia="zh-CN" w:bidi="th-TH"/>
              </w:rPr>
              <w:t>Option 4</w:t>
            </w:r>
          </w:p>
        </w:tc>
      </w:tr>
      <w:tr w:rsidR="009D57FA" w:rsidRPr="00E67A4C" w14:paraId="544183F6" w14:textId="47C6AC8B" w:rsidTr="00B03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25F8AD68" w14:textId="72D55F8E" w:rsidR="009D57FA" w:rsidRPr="00E67A4C" w:rsidRDefault="00E6128E" w:rsidP="009C248F">
            <w:pPr>
              <w:spacing w:after="40"/>
              <w:rPr>
                <w:rFonts w:eastAsia="Calibri"/>
                <w:sz w:val="20"/>
                <w:szCs w:val="20"/>
                <w:lang w:eastAsia="zh-CN" w:bidi="th-TH"/>
              </w:rPr>
            </w:pPr>
            <w:r w:rsidRPr="00E67A4C">
              <w:rPr>
                <w:rFonts w:eastAsia="Calibri"/>
                <w:caps w:val="0"/>
                <w:sz w:val="20"/>
                <w:szCs w:val="20"/>
                <w:lang w:eastAsia="zh-CN" w:bidi="th-TH"/>
              </w:rPr>
              <w:t>Jurisdictions</w:t>
            </w:r>
          </w:p>
        </w:tc>
        <w:tc>
          <w:tcPr>
            <w:tcW w:w="2548" w:type="dxa"/>
          </w:tcPr>
          <w:p w14:paraId="50212421" w14:textId="78EFD228" w:rsidR="009D57FA" w:rsidRPr="00E67A4C" w:rsidRDefault="009D57FA"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In jurisdictions implementing the amended Principles through their own legislation</w:t>
            </w:r>
            <w:r w:rsidR="00AD1FC3">
              <w:rPr>
                <w:sz w:val="20"/>
                <w:szCs w:val="20"/>
                <w:lang w:eastAsia="zh-CN" w:bidi="th-TH"/>
              </w:rPr>
              <w:t>.</w:t>
            </w:r>
          </w:p>
        </w:tc>
        <w:tc>
          <w:tcPr>
            <w:tcW w:w="2548" w:type="dxa"/>
          </w:tcPr>
          <w:p w14:paraId="2273EC6B" w14:textId="7380A163" w:rsidR="009D57FA" w:rsidRPr="00E67A4C" w:rsidRDefault="009D57FA"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Automatically adopted in all Australian jurisdictions and New Zealand through the Food Standards Code</w:t>
            </w:r>
            <w:r w:rsidR="00AD1FC3">
              <w:rPr>
                <w:sz w:val="20"/>
                <w:szCs w:val="20"/>
                <w:lang w:eastAsia="zh-CN" w:bidi="th-TH"/>
              </w:rPr>
              <w:t>.</w:t>
            </w:r>
          </w:p>
        </w:tc>
        <w:tc>
          <w:tcPr>
            <w:tcW w:w="2548" w:type="dxa"/>
          </w:tcPr>
          <w:p w14:paraId="2BD632BB" w14:textId="37BB4F29" w:rsidR="009D57FA" w:rsidRPr="00E67A4C" w:rsidRDefault="00317479"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Voluntary implementation by industry</w:t>
            </w:r>
            <w:r w:rsidR="00587EFB" w:rsidRPr="00E67A4C">
              <w:rPr>
                <w:sz w:val="20"/>
                <w:szCs w:val="20"/>
                <w:lang w:eastAsia="zh-CN" w:bidi="th-TH"/>
              </w:rPr>
              <w:t>.</w:t>
            </w:r>
            <w:r w:rsidR="00884A1B" w:rsidRPr="00E67A4C">
              <w:rPr>
                <w:sz w:val="20"/>
                <w:szCs w:val="20"/>
                <w:lang w:eastAsia="zh-CN" w:bidi="th-TH"/>
              </w:rPr>
              <w:t xml:space="preserve"> </w:t>
            </w:r>
            <w:r w:rsidR="00123399" w:rsidRPr="00E67A4C">
              <w:rPr>
                <w:sz w:val="20"/>
                <w:szCs w:val="20"/>
                <w:lang w:eastAsia="zh-CN" w:bidi="th-TH"/>
              </w:rPr>
              <w:t>No additional regulatory mechanism</w:t>
            </w:r>
            <w:r w:rsidR="00441964" w:rsidRPr="00E67A4C">
              <w:rPr>
                <w:sz w:val="20"/>
                <w:szCs w:val="20"/>
                <w:lang w:eastAsia="zh-CN" w:bidi="th-TH"/>
              </w:rPr>
              <w:t xml:space="preserve"> by jurisdictions</w:t>
            </w:r>
            <w:r w:rsidR="00123399" w:rsidRPr="00E67A4C">
              <w:rPr>
                <w:sz w:val="20"/>
                <w:szCs w:val="20"/>
                <w:lang w:eastAsia="zh-CN" w:bidi="th-TH"/>
              </w:rPr>
              <w:t>.</w:t>
            </w:r>
          </w:p>
        </w:tc>
      </w:tr>
      <w:tr w:rsidR="009D57FA" w:rsidRPr="00E67A4C" w14:paraId="7E09ACC4" w14:textId="60B455FD" w:rsidTr="00B03297">
        <w:tc>
          <w:tcPr>
            <w:cnfStyle w:val="001000000000" w:firstRow="0" w:lastRow="0" w:firstColumn="1" w:lastColumn="0" w:oddVBand="0" w:evenVBand="0" w:oddHBand="0" w:evenHBand="0" w:firstRowFirstColumn="0" w:firstRowLastColumn="0" w:lastRowFirstColumn="0" w:lastRowLastColumn="0"/>
            <w:tcW w:w="1428" w:type="dxa"/>
          </w:tcPr>
          <w:p w14:paraId="70704BF5" w14:textId="1BA31DDC" w:rsidR="009D57FA" w:rsidRPr="00E67A4C" w:rsidRDefault="00E6128E" w:rsidP="009C248F">
            <w:pPr>
              <w:spacing w:after="40"/>
              <w:rPr>
                <w:rFonts w:eastAsia="Calibri"/>
                <w:sz w:val="20"/>
                <w:szCs w:val="20"/>
                <w:lang w:eastAsia="zh-CN" w:bidi="th-TH"/>
              </w:rPr>
            </w:pPr>
            <w:r w:rsidRPr="00E67A4C">
              <w:rPr>
                <w:rFonts w:eastAsia="Calibri"/>
                <w:caps w:val="0"/>
                <w:sz w:val="20"/>
                <w:szCs w:val="20"/>
                <w:lang w:eastAsia="zh-CN" w:bidi="th-TH"/>
              </w:rPr>
              <w:t>Captured Businesses</w:t>
            </w:r>
          </w:p>
        </w:tc>
        <w:tc>
          <w:tcPr>
            <w:tcW w:w="2548" w:type="dxa"/>
          </w:tcPr>
          <w:p w14:paraId="2E2060E0" w14:textId="77777777" w:rsidR="009D57FA" w:rsidRPr="00E67A4C" w:rsidRDefault="009D57FA" w:rsidP="009C248F">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All standard food outlets selling standard food items in a jurisdiction (with 50 or more outlets nationally in Australia, 20 or more outlets in a State or 7 or more outlets in a Territory, or in New Zealand with a threshold to be determined) would be required to implement menu labelling.</w:t>
            </w:r>
          </w:p>
          <w:p w14:paraId="4A44B17E" w14:textId="65AEA944" w:rsidR="009D57FA" w:rsidRPr="00E67A4C" w:rsidRDefault="009D57FA" w:rsidP="009C248F">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If all jurisdictions do not implement the amended Principles, cross-border businesses may make a business decision to implement nationally</w:t>
            </w:r>
            <w:r w:rsidR="004777E1">
              <w:rPr>
                <w:sz w:val="20"/>
                <w:szCs w:val="20"/>
                <w:lang w:eastAsia="zh-CN" w:bidi="th-TH"/>
              </w:rPr>
              <w:t>.</w:t>
            </w:r>
          </w:p>
        </w:tc>
        <w:tc>
          <w:tcPr>
            <w:tcW w:w="2548" w:type="dxa"/>
          </w:tcPr>
          <w:p w14:paraId="1F1EDCCF" w14:textId="72E6177E" w:rsidR="009D57FA" w:rsidRPr="00E67A4C" w:rsidRDefault="009D57FA" w:rsidP="009C248F">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All standard food outlets selling standard food items in Australia (50 or more outlets nationally, 20 or more outlets in a State or 7 or more outlets in a Territory) and New Zealand (threshold to be determined) would be required to implement menu labelling.</w:t>
            </w:r>
          </w:p>
        </w:tc>
        <w:tc>
          <w:tcPr>
            <w:tcW w:w="2548" w:type="dxa"/>
          </w:tcPr>
          <w:p w14:paraId="0153B23E" w14:textId="6FC2EAE2" w:rsidR="009D57FA" w:rsidRPr="00E67A4C" w:rsidRDefault="00F6255B" w:rsidP="009C248F">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Any business that chooses to voluntarily implement the enhancements to menu labelling.</w:t>
            </w:r>
          </w:p>
        </w:tc>
      </w:tr>
      <w:tr w:rsidR="009D57FA" w:rsidRPr="00E67A4C" w14:paraId="33FD0A92" w14:textId="516DE359" w:rsidTr="00B03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5435C48D" w14:textId="5089FDFF" w:rsidR="009D57FA" w:rsidRPr="00E67A4C" w:rsidRDefault="00E6128E" w:rsidP="009C248F">
            <w:pPr>
              <w:spacing w:after="40"/>
              <w:rPr>
                <w:rFonts w:eastAsia="Calibri"/>
                <w:sz w:val="20"/>
                <w:szCs w:val="20"/>
                <w:lang w:eastAsia="zh-CN" w:bidi="th-TH"/>
              </w:rPr>
            </w:pPr>
            <w:r w:rsidRPr="00E67A4C">
              <w:rPr>
                <w:rFonts w:eastAsia="Calibri"/>
                <w:caps w:val="0"/>
                <w:sz w:val="20"/>
                <w:szCs w:val="20"/>
                <w:lang w:eastAsia="zh-CN" w:bidi="th-TH"/>
              </w:rPr>
              <w:t xml:space="preserve">Display </w:t>
            </w:r>
            <w:r>
              <w:rPr>
                <w:rFonts w:eastAsia="Calibri"/>
                <w:caps w:val="0"/>
                <w:sz w:val="20"/>
                <w:szCs w:val="20"/>
                <w:lang w:eastAsia="zh-CN" w:bidi="th-TH"/>
              </w:rPr>
              <w:t>o</w:t>
            </w:r>
            <w:r w:rsidRPr="00E67A4C">
              <w:rPr>
                <w:rFonts w:eastAsia="Calibri"/>
                <w:caps w:val="0"/>
                <w:sz w:val="20"/>
                <w:szCs w:val="20"/>
                <w:lang w:eastAsia="zh-CN" w:bidi="th-TH"/>
              </w:rPr>
              <w:t>f Energy Information</w:t>
            </w:r>
          </w:p>
        </w:tc>
        <w:tc>
          <w:tcPr>
            <w:tcW w:w="2548" w:type="dxa"/>
          </w:tcPr>
          <w:p w14:paraId="62F8195F" w14:textId="5E920E4F" w:rsidR="009D57FA" w:rsidRDefault="009D57FA"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All standard food outlets in those jurisdictions would need to:</w:t>
            </w:r>
          </w:p>
          <w:p w14:paraId="243BC830" w14:textId="247BAAF6" w:rsidR="005460A4" w:rsidRDefault="005460A4"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p>
          <w:p w14:paraId="375A6AD2" w14:textId="77777777" w:rsidR="005460A4" w:rsidRDefault="005460A4"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p>
          <w:p w14:paraId="62F23863" w14:textId="77777777" w:rsidR="005460A4" w:rsidRPr="00E67A4C"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display the energy information of all available standard food items on all menus and at all physical and electronic points-of-sale;</w:t>
            </w:r>
          </w:p>
          <w:p w14:paraId="016A16DE" w14:textId="77777777" w:rsidR="005460A4" w:rsidRPr="00E67A4C"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display the energy information for combination meals including any pre-packaged items with the combination;</w:t>
            </w:r>
          </w:p>
          <w:p w14:paraId="003F9325" w14:textId="77777777" w:rsidR="005460A4"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lastRenderedPageBreak/>
              <w:t>display the energy information for multi-serve items as the whole item and per serving; and</w:t>
            </w:r>
          </w:p>
          <w:p w14:paraId="2DC23E0C" w14:textId="5AE437DA" w:rsidR="005460A4" w:rsidRPr="005460A4"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5460A4">
              <w:rPr>
                <w:sz w:val="20"/>
                <w:szCs w:val="20"/>
                <w:lang w:eastAsia="zh-CN" w:bidi="th-TH"/>
              </w:rPr>
              <w:t>ensure that customers have access to the energy information for standardised single ingredients and customisable menu items.</w:t>
            </w:r>
          </w:p>
        </w:tc>
        <w:tc>
          <w:tcPr>
            <w:tcW w:w="2548" w:type="dxa"/>
          </w:tcPr>
          <w:p w14:paraId="7511330F" w14:textId="22C0D0C2" w:rsidR="009D57FA" w:rsidRDefault="009D57FA"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lastRenderedPageBreak/>
              <w:t>All standard food outlets in Australia and New Zealand would need to:</w:t>
            </w:r>
          </w:p>
          <w:p w14:paraId="5A156D7B" w14:textId="0315DAB5" w:rsidR="005460A4" w:rsidRDefault="005460A4"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p>
          <w:p w14:paraId="78740F1E" w14:textId="77777777" w:rsidR="005460A4" w:rsidRDefault="005460A4"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p>
          <w:p w14:paraId="2FE0B5DE" w14:textId="77777777" w:rsidR="005460A4" w:rsidRPr="00E67A4C"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display the energy information of all available standard food items on all menus and at all physical and electronic points-of-sale;</w:t>
            </w:r>
          </w:p>
          <w:p w14:paraId="5AADE362" w14:textId="77777777" w:rsidR="005460A4" w:rsidRPr="00E67A4C"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display the energy information for combination meals including any pre-packaged items with the combination;</w:t>
            </w:r>
          </w:p>
          <w:p w14:paraId="20B51923" w14:textId="77777777" w:rsidR="005460A4"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lastRenderedPageBreak/>
              <w:t>display the energy information for multi-serve items as the whole item and per serving; and</w:t>
            </w:r>
          </w:p>
          <w:p w14:paraId="0FD3309F" w14:textId="1FFF5037" w:rsidR="005460A4" w:rsidRPr="005460A4"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5460A4">
              <w:rPr>
                <w:sz w:val="20"/>
                <w:szCs w:val="20"/>
                <w:lang w:eastAsia="zh-CN" w:bidi="th-TH"/>
              </w:rPr>
              <w:t>ensure that customers have access to the energy information for standardised single ingredients and customisable menu items.</w:t>
            </w:r>
          </w:p>
        </w:tc>
        <w:tc>
          <w:tcPr>
            <w:tcW w:w="2548" w:type="dxa"/>
          </w:tcPr>
          <w:p w14:paraId="5BFECDEF" w14:textId="77777777" w:rsidR="009D57FA" w:rsidRDefault="0098402F" w:rsidP="009C248F">
            <w:pPr>
              <w:spacing w:after="40"/>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lastRenderedPageBreak/>
              <w:t>A</w:t>
            </w:r>
            <w:r w:rsidR="006E45D8" w:rsidRPr="00E67A4C">
              <w:rPr>
                <w:sz w:val="20"/>
                <w:szCs w:val="20"/>
                <w:lang w:eastAsia="zh-CN" w:bidi="th-TH"/>
              </w:rPr>
              <w:t>ny</w:t>
            </w:r>
            <w:r w:rsidRPr="00E67A4C">
              <w:rPr>
                <w:sz w:val="20"/>
                <w:szCs w:val="20"/>
                <w:lang w:eastAsia="zh-CN" w:bidi="th-TH"/>
              </w:rPr>
              <w:t xml:space="preserve"> business that cho</w:t>
            </w:r>
            <w:r w:rsidR="001B7D20" w:rsidRPr="00E67A4C">
              <w:rPr>
                <w:sz w:val="20"/>
                <w:szCs w:val="20"/>
                <w:lang w:eastAsia="zh-CN" w:bidi="th-TH"/>
              </w:rPr>
              <w:t>o</w:t>
            </w:r>
            <w:r w:rsidRPr="00E67A4C">
              <w:rPr>
                <w:sz w:val="20"/>
                <w:szCs w:val="20"/>
                <w:lang w:eastAsia="zh-CN" w:bidi="th-TH"/>
              </w:rPr>
              <w:t>se</w:t>
            </w:r>
            <w:r w:rsidR="006E45D8" w:rsidRPr="00E67A4C">
              <w:rPr>
                <w:sz w:val="20"/>
                <w:szCs w:val="20"/>
                <w:lang w:eastAsia="zh-CN" w:bidi="th-TH"/>
              </w:rPr>
              <w:t>s</w:t>
            </w:r>
            <w:r w:rsidRPr="00E67A4C">
              <w:rPr>
                <w:sz w:val="20"/>
                <w:szCs w:val="20"/>
                <w:lang w:eastAsia="zh-CN" w:bidi="th-TH"/>
              </w:rPr>
              <w:t xml:space="preserve"> to voluntarily implement </w:t>
            </w:r>
            <w:r w:rsidR="001800B1" w:rsidRPr="00E67A4C">
              <w:rPr>
                <w:sz w:val="20"/>
                <w:szCs w:val="20"/>
                <w:lang w:eastAsia="zh-CN" w:bidi="th-TH"/>
              </w:rPr>
              <w:t>enhancements</w:t>
            </w:r>
            <w:r w:rsidR="00852B97" w:rsidRPr="00E67A4C">
              <w:rPr>
                <w:sz w:val="20"/>
                <w:szCs w:val="20"/>
                <w:lang w:eastAsia="zh-CN" w:bidi="th-TH"/>
              </w:rPr>
              <w:t xml:space="preserve"> could do one of more of the below display</w:t>
            </w:r>
            <w:r w:rsidR="006E45D8" w:rsidRPr="00E67A4C">
              <w:rPr>
                <w:sz w:val="20"/>
                <w:szCs w:val="20"/>
                <w:lang w:eastAsia="zh-CN" w:bidi="th-TH"/>
              </w:rPr>
              <w:t xml:space="preserve"> mechanisms</w:t>
            </w:r>
            <w:r w:rsidR="001800B1" w:rsidRPr="00E67A4C">
              <w:rPr>
                <w:sz w:val="20"/>
                <w:szCs w:val="20"/>
                <w:lang w:eastAsia="zh-CN" w:bidi="th-TH"/>
              </w:rPr>
              <w:t>:</w:t>
            </w:r>
            <w:r w:rsidRPr="00E67A4C">
              <w:rPr>
                <w:sz w:val="20"/>
                <w:szCs w:val="20"/>
                <w:lang w:eastAsia="zh-CN" w:bidi="th-TH"/>
              </w:rPr>
              <w:t xml:space="preserve"> </w:t>
            </w:r>
          </w:p>
          <w:p w14:paraId="592F3EDC" w14:textId="77777777" w:rsidR="005460A4" w:rsidRPr="00E67A4C"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display the energy information of all available standard food items on all menus and at all physical and electronic points-of-sale;</w:t>
            </w:r>
          </w:p>
          <w:p w14:paraId="048B737D" w14:textId="77777777" w:rsidR="005460A4" w:rsidRPr="00E67A4C"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display the energy information for combination meals including any pre-packaged items with the combination;</w:t>
            </w:r>
          </w:p>
          <w:p w14:paraId="273517A0" w14:textId="77777777" w:rsidR="005460A4"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lastRenderedPageBreak/>
              <w:t>display the energy information for multi-serve items as the whole item and per serving; and</w:t>
            </w:r>
          </w:p>
          <w:p w14:paraId="7FB7A30C" w14:textId="3F61D4FF" w:rsidR="005460A4" w:rsidRPr="005460A4" w:rsidRDefault="005460A4" w:rsidP="005460A4">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5460A4">
              <w:rPr>
                <w:sz w:val="20"/>
                <w:szCs w:val="20"/>
                <w:lang w:eastAsia="zh-CN" w:bidi="th-TH"/>
              </w:rPr>
              <w:t>ensure that customers have access to the energy information for standardised single ingredients and customisable menu items.</w:t>
            </w:r>
          </w:p>
        </w:tc>
      </w:tr>
      <w:tr w:rsidR="00C37A40" w:rsidRPr="00E67A4C" w14:paraId="1431F5EC" w14:textId="77777777" w:rsidTr="00B03297">
        <w:tc>
          <w:tcPr>
            <w:cnfStyle w:val="001000000000" w:firstRow="0" w:lastRow="0" w:firstColumn="1" w:lastColumn="0" w:oddVBand="0" w:evenVBand="0" w:oddHBand="0" w:evenHBand="0" w:firstRowFirstColumn="0" w:firstRowLastColumn="0" w:lastRowFirstColumn="0" w:lastRowLastColumn="0"/>
            <w:tcW w:w="1428" w:type="dxa"/>
          </w:tcPr>
          <w:p w14:paraId="4DD480A6" w14:textId="5BD7688C" w:rsidR="00C37A40" w:rsidRPr="00E67A4C" w:rsidRDefault="00C37A40" w:rsidP="009C248F">
            <w:pPr>
              <w:spacing w:after="40"/>
              <w:rPr>
                <w:rFonts w:eastAsia="Calibri"/>
                <w:caps w:val="0"/>
                <w:sz w:val="20"/>
                <w:szCs w:val="20"/>
                <w:lang w:eastAsia="zh-CN" w:bidi="th-TH"/>
              </w:rPr>
            </w:pPr>
            <w:r>
              <w:rPr>
                <w:rFonts w:eastAsia="Calibri"/>
                <w:caps w:val="0"/>
                <w:sz w:val="20"/>
                <w:szCs w:val="20"/>
                <w:lang w:eastAsia="zh-CN" w:bidi="th-TH"/>
              </w:rPr>
              <w:lastRenderedPageBreak/>
              <w:t>Supermarkets</w:t>
            </w:r>
          </w:p>
        </w:tc>
        <w:tc>
          <w:tcPr>
            <w:tcW w:w="2548" w:type="dxa"/>
          </w:tcPr>
          <w:p w14:paraId="6C584BD3" w14:textId="4A5588C7" w:rsidR="00C37A40" w:rsidRPr="00E67A4C" w:rsidRDefault="00C37A40" w:rsidP="00C37A40">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Supermarkets in those jurisdictions would not be permitted to display the energy information as per 100 grams or in the same font as the unit price.</w:t>
            </w:r>
          </w:p>
        </w:tc>
        <w:tc>
          <w:tcPr>
            <w:tcW w:w="2548" w:type="dxa"/>
          </w:tcPr>
          <w:p w14:paraId="1261D098" w14:textId="1F0BCBB9" w:rsidR="00C37A40" w:rsidRPr="00E67A4C" w:rsidRDefault="00C37A40" w:rsidP="00C37A40">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Supermarkets in Australia and New Zealand would be required to display the energy information for each standard food in the same font and font size as price (i.e. there would be no flexibility for supermarkets to display kilojoules per 100 grams and in the same font and font size as the unit price, as currently permitted in Australia).</w:t>
            </w:r>
          </w:p>
        </w:tc>
        <w:tc>
          <w:tcPr>
            <w:tcW w:w="2548" w:type="dxa"/>
          </w:tcPr>
          <w:p w14:paraId="4D8C2345" w14:textId="71ED2E02" w:rsidR="00C37A40" w:rsidRPr="00E67A4C" w:rsidRDefault="00C37A40" w:rsidP="00C37A40">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 xml:space="preserve">Supermarkets that choose to implement the enhancements to menu labelling could display the energy information for each standard food in the same font and font size as price.  </w:t>
            </w:r>
          </w:p>
        </w:tc>
      </w:tr>
      <w:tr w:rsidR="00B03297" w:rsidRPr="00E67A4C" w14:paraId="0AAAC793" w14:textId="77777777" w:rsidTr="00B03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675CE838" w14:textId="23BDABA5" w:rsidR="00B03297" w:rsidRDefault="00B03297" w:rsidP="009C248F">
            <w:pPr>
              <w:spacing w:after="40"/>
              <w:rPr>
                <w:rFonts w:eastAsia="Calibri"/>
                <w:caps w:val="0"/>
                <w:sz w:val="20"/>
                <w:szCs w:val="20"/>
                <w:lang w:eastAsia="zh-CN" w:bidi="th-TH"/>
              </w:rPr>
            </w:pPr>
            <w:r w:rsidRPr="00E67A4C">
              <w:rPr>
                <w:rFonts w:eastAsia="Calibri"/>
                <w:caps w:val="0"/>
                <w:sz w:val="20"/>
                <w:szCs w:val="20"/>
                <w:lang w:eastAsia="zh-CN" w:bidi="th-TH"/>
              </w:rPr>
              <w:t>Small Businesses (Below Thresholds)</w:t>
            </w:r>
          </w:p>
        </w:tc>
        <w:tc>
          <w:tcPr>
            <w:tcW w:w="2548" w:type="dxa"/>
          </w:tcPr>
          <w:p w14:paraId="36E8DB62" w14:textId="77777777" w:rsidR="00B03297" w:rsidRPr="00E67A4C" w:rsidRDefault="00B03297" w:rsidP="00B03297">
            <w:pPr>
              <w:pStyle w:val="ListParagraph"/>
              <w:numPr>
                <w:ilvl w:val="0"/>
                <w:numId w:val="3"/>
              </w:numPr>
              <w:spacing w:after="40"/>
              <w:ind w:left="321" w:hanging="284"/>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sz w:val="20"/>
                <w:szCs w:val="20"/>
                <w:lang w:eastAsia="zh-CN" w:bidi="th-TH"/>
              </w:rPr>
              <w:t>No change in Australian Capital Territory, New South Wales, Queensland, South Australia.</w:t>
            </w:r>
          </w:p>
          <w:p w14:paraId="724593E4" w14:textId="1E351B97" w:rsidR="00B03297" w:rsidRPr="00E67A4C" w:rsidRDefault="00B03297" w:rsidP="00B03297">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In Victoria, New Zealand, Northern Territory, Tasmania and Western Australia if amended Principles are implemented: all small businesses that chose to voluntarily implement menu labelling would need to comply with the mandatory menu labelling requirements.</w:t>
            </w:r>
          </w:p>
        </w:tc>
        <w:tc>
          <w:tcPr>
            <w:tcW w:w="2548" w:type="dxa"/>
          </w:tcPr>
          <w:p w14:paraId="72479314" w14:textId="1B88EF53" w:rsidR="00B03297" w:rsidRPr="00E67A4C" w:rsidRDefault="00B03297" w:rsidP="00C37A40">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All small businesses that chose to voluntarily implement menu labelling would need to comply with the mandatory menu labelling requirements.</w:t>
            </w:r>
          </w:p>
        </w:tc>
        <w:tc>
          <w:tcPr>
            <w:tcW w:w="2548" w:type="dxa"/>
          </w:tcPr>
          <w:p w14:paraId="3EE24CD8" w14:textId="2FFB71E8" w:rsidR="00B03297" w:rsidRPr="00E67A4C" w:rsidRDefault="00B03297" w:rsidP="00C37A40">
            <w:pPr>
              <w:pStyle w:val="ListParagraph"/>
              <w:numPr>
                <w:ilvl w:val="0"/>
                <w:numId w:val="3"/>
              </w:numPr>
              <w:spacing w:after="40"/>
              <w:ind w:left="328" w:hanging="284"/>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All small businesses that choose to voluntarily implement enhancements could do so.</w:t>
            </w:r>
          </w:p>
        </w:tc>
      </w:tr>
      <w:tr w:rsidR="00B03297" w:rsidRPr="00E67A4C" w14:paraId="4457209C" w14:textId="77777777" w:rsidTr="00B03297">
        <w:tc>
          <w:tcPr>
            <w:cnfStyle w:val="001000000000" w:firstRow="0" w:lastRow="0" w:firstColumn="1" w:lastColumn="0" w:oddVBand="0" w:evenVBand="0" w:oddHBand="0" w:evenHBand="0" w:firstRowFirstColumn="0" w:firstRowLastColumn="0" w:lastRowFirstColumn="0" w:lastRowLastColumn="0"/>
            <w:tcW w:w="1428" w:type="dxa"/>
          </w:tcPr>
          <w:p w14:paraId="7A36180C" w14:textId="4569A2B0" w:rsidR="00B03297" w:rsidRDefault="00B03297" w:rsidP="009C248F">
            <w:pPr>
              <w:spacing w:after="40"/>
              <w:rPr>
                <w:rFonts w:eastAsia="Calibri"/>
                <w:caps w:val="0"/>
                <w:sz w:val="20"/>
                <w:szCs w:val="20"/>
                <w:lang w:eastAsia="zh-CN" w:bidi="th-TH"/>
              </w:rPr>
            </w:pPr>
            <w:r w:rsidRPr="00E67A4C">
              <w:rPr>
                <w:rFonts w:eastAsia="Calibri"/>
                <w:caps w:val="0"/>
                <w:sz w:val="20"/>
                <w:szCs w:val="20"/>
                <w:lang w:eastAsia="zh-CN" w:bidi="th-TH"/>
              </w:rPr>
              <w:t>Third-Party Food Delivery Platforms</w:t>
            </w:r>
          </w:p>
        </w:tc>
        <w:tc>
          <w:tcPr>
            <w:tcW w:w="2548" w:type="dxa"/>
          </w:tcPr>
          <w:p w14:paraId="084570B6" w14:textId="1A0B74AF" w:rsidR="00B03297" w:rsidRPr="00E67A4C" w:rsidRDefault="00B03297" w:rsidP="00C37A40">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If a business in those jurisdictions uses a third-party to facilitate the sale of standard food items, the food business would need to provide the energy information to the third-party.</w:t>
            </w:r>
          </w:p>
        </w:tc>
        <w:tc>
          <w:tcPr>
            <w:tcW w:w="2548" w:type="dxa"/>
          </w:tcPr>
          <w:p w14:paraId="6B019C67" w14:textId="48567972" w:rsidR="00B03297" w:rsidRPr="00E67A4C" w:rsidRDefault="00B03297" w:rsidP="00C37A40">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If any Australian or New Zealand business uses a third-party to facilitate the sale of standard food items, the food business would need to provide the energy information to the third-party.</w:t>
            </w:r>
          </w:p>
        </w:tc>
        <w:tc>
          <w:tcPr>
            <w:tcW w:w="2548" w:type="dxa"/>
          </w:tcPr>
          <w:p w14:paraId="37DA14A7" w14:textId="2549333B" w:rsidR="00B03297" w:rsidRPr="00E67A4C" w:rsidRDefault="00B03297" w:rsidP="00C37A40">
            <w:pPr>
              <w:pStyle w:val="ListParagraph"/>
              <w:numPr>
                <w:ilvl w:val="0"/>
                <w:numId w:val="3"/>
              </w:numPr>
              <w:spacing w:after="40"/>
              <w:ind w:left="328" w:hanging="284"/>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Any businesses that choose to voluntarily implement enhancements could provide the energy information to third-parties.</w:t>
            </w:r>
          </w:p>
        </w:tc>
      </w:tr>
    </w:tbl>
    <w:p w14:paraId="2542F33B" w14:textId="77777777" w:rsidR="00B03297" w:rsidRDefault="00B03297" w:rsidP="005000B8">
      <w:pPr>
        <w:pStyle w:val="ListParagraph"/>
        <w:spacing w:after="40"/>
        <w:ind w:left="0"/>
        <w:contextualSpacing w:val="0"/>
        <w:jc w:val="both"/>
        <w:rPr>
          <w:iCs/>
        </w:rPr>
      </w:pPr>
    </w:p>
    <w:p w14:paraId="277B6B82" w14:textId="28C19377" w:rsidR="00BA3A2C" w:rsidRPr="00E67A4C" w:rsidRDefault="00BA3A2C" w:rsidP="00BB284A">
      <w:pPr>
        <w:pStyle w:val="Bodytext-TMRfont12"/>
      </w:pPr>
      <w:r w:rsidRPr="00E67A4C">
        <w:t>There are benefits and risks associated with the implementation mechanism for each of the options.</w:t>
      </w:r>
      <w:r w:rsidR="00F97138" w:rsidRPr="00E67A4C">
        <w:t xml:space="preserve"> </w:t>
      </w:r>
      <w:r w:rsidR="00704317" w:rsidRPr="00E67A4C">
        <w:t xml:space="preserve">These are outlined in detail in Section 5. </w:t>
      </w:r>
      <w:r w:rsidR="00F97138" w:rsidRPr="00E67A4C">
        <w:t>These include:</w:t>
      </w:r>
    </w:p>
    <w:p w14:paraId="011176B1" w14:textId="7DED134B" w:rsidR="00495C25" w:rsidRPr="00E67A4C" w:rsidRDefault="00F867AD" w:rsidP="00BB284A">
      <w:pPr>
        <w:pStyle w:val="Bodytextwithbullets-TMRfont12"/>
      </w:pPr>
      <w:r w:rsidRPr="00E67A4C">
        <w:t xml:space="preserve">Option 1 has not achieved </w:t>
      </w:r>
      <w:r w:rsidR="001D0EF1" w:rsidRPr="00E67A4C">
        <w:t xml:space="preserve">the objectives </w:t>
      </w:r>
      <w:r w:rsidR="00495C25" w:rsidRPr="00E67A4C">
        <w:t xml:space="preserve">in the </w:t>
      </w:r>
      <w:r w:rsidR="008A450E" w:rsidRPr="00E67A4C">
        <w:t>nine years since the 2011 Principles were endorsed</w:t>
      </w:r>
      <w:r w:rsidR="003511F7" w:rsidRPr="00E67A4C">
        <w:t>. Additionally,</w:t>
      </w:r>
      <w:r w:rsidR="00CD5703" w:rsidRPr="00E67A4C">
        <w:t xml:space="preserve"> it </w:t>
      </w:r>
      <w:r w:rsidR="003511F7" w:rsidRPr="00E67A4C">
        <w:t>took</w:t>
      </w:r>
      <w:r w:rsidR="004415CC" w:rsidRPr="00E67A4C">
        <w:t xml:space="preserve"> seven years between the</w:t>
      </w:r>
      <w:r w:rsidR="003511F7" w:rsidRPr="00E67A4C">
        <w:t xml:space="preserve"> development of the 2011 Principles and menu labelling </w:t>
      </w:r>
      <w:r w:rsidR="00292F6B" w:rsidRPr="00E67A4C">
        <w:t>becoming</w:t>
      </w:r>
      <w:r w:rsidR="003511F7" w:rsidRPr="00E67A4C">
        <w:t xml:space="preserve"> effective in the most recent</w:t>
      </w:r>
      <w:r w:rsidR="004415CC" w:rsidRPr="00E67A4C">
        <w:t xml:space="preserve"> jurisdiction </w:t>
      </w:r>
      <w:r w:rsidR="00292F6B" w:rsidRPr="00E67A4C">
        <w:t xml:space="preserve">to </w:t>
      </w:r>
      <w:r w:rsidR="00292F6B" w:rsidRPr="00E67A4C">
        <w:lastRenderedPageBreak/>
        <w:t>implement the 2011 Principles</w:t>
      </w:r>
      <w:r w:rsidR="008A450E" w:rsidRPr="00E67A4C">
        <w:t>.</w:t>
      </w:r>
      <w:r w:rsidR="007830BD" w:rsidRPr="00E67A4C">
        <w:t xml:space="preserve"> Three Australian jurisdictions and New Zealand have not implemented the 2011 Principles to date.</w:t>
      </w:r>
    </w:p>
    <w:p w14:paraId="0F042E75" w14:textId="16A46F5D" w:rsidR="009D7B3F" w:rsidRPr="00E67A4C" w:rsidRDefault="002C4504" w:rsidP="00BB284A">
      <w:pPr>
        <w:pStyle w:val="Bodytextwithbullets-TMRfont12"/>
      </w:pPr>
      <w:r w:rsidRPr="00E67A4C">
        <w:t>Achieving national consistency an</w:t>
      </w:r>
      <w:r w:rsidR="00444336" w:rsidRPr="00E67A4C">
        <w:t>d a level playing field for all businesses that sell standard food items</w:t>
      </w:r>
      <w:r w:rsidRPr="00E67A4C">
        <w:t xml:space="preserve"> via </w:t>
      </w:r>
      <w:r w:rsidR="00495C25" w:rsidRPr="00E67A4C">
        <w:t xml:space="preserve">Option 2 </w:t>
      </w:r>
      <w:r w:rsidRPr="00E67A4C">
        <w:t xml:space="preserve">is </w:t>
      </w:r>
      <w:r w:rsidR="00C60EA7" w:rsidRPr="00E67A4C">
        <w:t xml:space="preserve">largely </w:t>
      </w:r>
      <w:r w:rsidRPr="00E67A4C">
        <w:t>dependent</w:t>
      </w:r>
      <w:r w:rsidR="00444336" w:rsidRPr="00E67A4C">
        <w:t xml:space="preserve"> on all jurisdictions either changing existing legislation</w:t>
      </w:r>
      <w:r w:rsidR="00B1754F" w:rsidRPr="00E67A4C">
        <w:t xml:space="preserve"> or introducing </w:t>
      </w:r>
      <w:r w:rsidR="00056E4A" w:rsidRPr="00E67A4C">
        <w:t xml:space="preserve">new </w:t>
      </w:r>
      <w:r w:rsidR="00B1754F" w:rsidRPr="00E67A4C">
        <w:t>legislation that aligns with the amended Principles.</w:t>
      </w:r>
      <w:r w:rsidR="00DC7931" w:rsidRPr="00E67A4C">
        <w:t xml:space="preserve"> There is a significant risk that the current inconsistencies</w:t>
      </w:r>
      <w:r w:rsidR="00751D13" w:rsidRPr="00E67A4C">
        <w:t xml:space="preserve"> will remain, and additional consistencies may emerge if jurisdictional action does not occur in a timely (within 1-2 years</w:t>
      </w:r>
      <w:r w:rsidR="00D2011A" w:rsidRPr="00E67A4C">
        <w:t>) and uniform manner.</w:t>
      </w:r>
    </w:p>
    <w:p w14:paraId="1C5B8C9F" w14:textId="04D30214" w:rsidR="00117309" w:rsidRPr="00E67A4C" w:rsidRDefault="00E438E1" w:rsidP="00BB284A">
      <w:pPr>
        <w:pStyle w:val="Bodytextwithbullets-TMRfont12"/>
      </w:pPr>
      <w:r w:rsidRPr="00E67A4C">
        <w:t xml:space="preserve">However, </w:t>
      </w:r>
      <w:r w:rsidR="00117309" w:rsidRPr="00E67A4C">
        <w:t xml:space="preserve">Option </w:t>
      </w:r>
      <w:r w:rsidR="00C36411" w:rsidRPr="00E67A4C">
        <w:t xml:space="preserve">2 </w:t>
      </w:r>
      <w:r w:rsidR="001F378A" w:rsidRPr="00E67A4C">
        <w:t>may</w:t>
      </w:r>
      <w:r w:rsidR="00117309" w:rsidRPr="00E67A4C">
        <w:t xml:space="preserve"> result in most standard food outlets consistently implementing the strengthened menu labelling elements outlined in the amended Principles, even if only one jurisdiction changes their legislation</w:t>
      </w:r>
      <w:r w:rsidR="00C60EA7" w:rsidRPr="00E67A4C">
        <w:t xml:space="preserve">. It is </w:t>
      </w:r>
      <w:r w:rsidR="00CD745E" w:rsidRPr="00E67A4C">
        <w:t xml:space="preserve">possible </w:t>
      </w:r>
      <w:r w:rsidR="00C60EA7" w:rsidRPr="00E67A4C">
        <w:t xml:space="preserve">that </w:t>
      </w:r>
      <w:r w:rsidR="004F7E59" w:rsidRPr="00E67A4C">
        <w:t xml:space="preserve">some </w:t>
      </w:r>
      <w:r w:rsidR="00C60EA7" w:rsidRPr="00E67A4C">
        <w:t xml:space="preserve">cross-border businesses </w:t>
      </w:r>
      <w:r w:rsidRPr="00E67A4C">
        <w:t>may</w:t>
      </w:r>
      <w:r w:rsidR="00C60EA7" w:rsidRPr="00E67A4C">
        <w:t xml:space="preserve"> choose to </w:t>
      </w:r>
      <w:r w:rsidR="004F7E59" w:rsidRPr="00E67A4C">
        <w:t xml:space="preserve">voluntarily </w:t>
      </w:r>
      <w:r w:rsidR="00C60EA7" w:rsidRPr="00E67A4C">
        <w:t xml:space="preserve">implement menu labelling in the same manner </w:t>
      </w:r>
      <w:r w:rsidR="003F2B27" w:rsidRPr="00E67A4C">
        <w:t>in all outlets in Australia and/or New Zealand</w:t>
      </w:r>
      <w:r w:rsidR="00C60EA7" w:rsidRPr="00E67A4C">
        <w:t>.</w:t>
      </w:r>
      <w:r w:rsidR="007F4B33" w:rsidRPr="00E67A4C">
        <w:t xml:space="preserve"> </w:t>
      </w:r>
      <w:r w:rsidR="009D3430" w:rsidRPr="00E67A4C">
        <w:t>However, t</w:t>
      </w:r>
      <w:r w:rsidR="007F4B33" w:rsidRPr="00E67A4C">
        <w:t>his would not be enforceable in jurisdictions</w:t>
      </w:r>
      <w:r w:rsidR="00A546EC" w:rsidRPr="00E67A4C">
        <w:t xml:space="preserve"> that have not adopted the amended Principles.</w:t>
      </w:r>
    </w:p>
    <w:p w14:paraId="3AD13217" w14:textId="1BC00E17" w:rsidR="00883846" w:rsidRPr="00E67A4C" w:rsidRDefault="00883846" w:rsidP="00BB284A">
      <w:pPr>
        <w:pStyle w:val="Bodytextwithbullets-TMRfont12"/>
      </w:pPr>
      <w:r w:rsidRPr="00E67A4C">
        <w:t xml:space="preserve">A jurisdiction’s ability to amend their legislation is dependent on their work plan, competing priorities and complexity of the issues. </w:t>
      </w:r>
      <w:r w:rsidR="00200B75" w:rsidRPr="00E67A4C">
        <w:t xml:space="preserve">This process is likely to involve changes in primary legislation so would take an estimated 12-18 months per jurisdiction. </w:t>
      </w:r>
      <w:r w:rsidRPr="00E67A4C">
        <w:t xml:space="preserve">There is also a risk that jurisdictional legislative setting processes would result in deviations from the amended Principles. </w:t>
      </w:r>
    </w:p>
    <w:p w14:paraId="642451A0" w14:textId="7CC5CD5F" w:rsidR="007852E9" w:rsidRPr="00E67A4C" w:rsidRDefault="00410170" w:rsidP="00BB284A">
      <w:pPr>
        <w:pStyle w:val="Bodytextwithbullets-TMRfont12"/>
      </w:pPr>
      <w:r w:rsidRPr="00E67A4C">
        <w:t>Option 3</w:t>
      </w:r>
      <w:r w:rsidR="00595FAD" w:rsidRPr="00E67A4C">
        <w:t xml:space="preserve"> would result in one consistent system for Australia and New Zealand.</w:t>
      </w:r>
      <w:r w:rsidRPr="00E67A4C">
        <w:t xml:space="preserve"> </w:t>
      </w:r>
      <w:r w:rsidR="00103980" w:rsidRPr="00E67A4C">
        <w:t xml:space="preserve">This </w:t>
      </w:r>
      <w:r w:rsidR="004D5C54" w:rsidRPr="00E67A4C">
        <w:t xml:space="preserve">is an </w:t>
      </w:r>
      <w:r w:rsidR="00103980" w:rsidRPr="00E67A4C">
        <w:t xml:space="preserve">outcome </w:t>
      </w:r>
      <w:r w:rsidR="004D5C54" w:rsidRPr="00E67A4C">
        <w:t xml:space="preserve">that </w:t>
      </w:r>
      <w:r w:rsidR="00103980" w:rsidRPr="00E67A4C">
        <w:t xml:space="preserve">has not been achieved in the nine years of the current menu labelling policy principles. </w:t>
      </w:r>
      <w:r w:rsidR="00766D90" w:rsidRPr="00E67A4C">
        <w:t xml:space="preserve">It is estimated </w:t>
      </w:r>
      <w:r w:rsidR="00BD23C1" w:rsidRPr="00E67A4C">
        <w:t xml:space="preserve">there could be a </w:t>
      </w:r>
      <w:r w:rsidR="000317B5" w:rsidRPr="00E67A4C">
        <w:t>20 per cent reduction in compliance costs for Australian businesses</w:t>
      </w:r>
      <w:r w:rsidR="00C96EDC" w:rsidRPr="00E67A4C">
        <w:t xml:space="preserve"> </w:t>
      </w:r>
      <w:r w:rsidR="005F3B57" w:rsidRPr="00E67A4C">
        <w:t>by implementing one system.</w:t>
      </w:r>
      <w:r w:rsidR="004573E6" w:rsidRPr="00E67A4C">
        <w:t xml:space="preserve"> </w:t>
      </w:r>
    </w:p>
    <w:p w14:paraId="5092B4B2" w14:textId="6DB2ACA3" w:rsidR="00CB3959" w:rsidRPr="00E67A4C" w:rsidRDefault="004573E6" w:rsidP="00BB284A">
      <w:pPr>
        <w:pStyle w:val="Bodytextwithbullets-TMRfont12"/>
      </w:pPr>
      <w:r w:rsidRPr="00E67A4C">
        <w:t>While the proposed Policy Guideline is intended to guide FSANZ</w:t>
      </w:r>
      <w:r w:rsidR="00144183" w:rsidRPr="00E67A4C">
        <w:t xml:space="preserve"> in developing a food regulatory measure,</w:t>
      </w:r>
      <w:r w:rsidR="00A11A3E" w:rsidRPr="00E67A4C">
        <w:t xml:space="preserve"> </w:t>
      </w:r>
      <w:r w:rsidR="00FD08AC" w:rsidRPr="00E67A4C">
        <w:t>t</w:t>
      </w:r>
      <w:r w:rsidR="00AC1692" w:rsidRPr="00E67A4C">
        <w:t xml:space="preserve">here is no guarantee that </w:t>
      </w:r>
      <w:r w:rsidR="00D01FB8" w:rsidRPr="00E67A4C">
        <w:t>a food regulatory measure for menu</w:t>
      </w:r>
      <w:r w:rsidR="000245C0" w:rsidRPr="00E67A4C">
        <w:t xml:space="preserve"> labelling </w:t>
      </w:r>
      <w:r w:rsidR="00CF7ED5" w:rsidRPr="00E67A4C">
        <w:t xml:space="preserve">would align </w:t>
      </w:r>
      <w:r w:rsidR="006316C7" w:rsidRPr="00E67A4C">
        <w:t xml:space="preserve">exactly </w:t>
      </w:r>
      <w:r w:rsidR="00CF7ED5" w:rsidRPr="00E67A4C">
        <w:t>with</w:t>
      </w:r>
      <w:r w:rsidR="006316C7" w:rsidRPr="00E67A4C">
        <w:t xml:space="preserve"> </w:t>
      </w:r>
      <w:r w:rsidR="00A11A3E" w:rsidRPr="00E67A4C">
        <w:t>the</w:t>
      </w:r>
      <w:r w:rsidR="006316C7" w:rsidRPr="00E67A4C">
        <w:t xml:space="preserve"> Policy Guideline</w:t>
      </w:r>
      <w:r w:rsidR="00A11A3E" w:rsidRPr="00E67A4C">
        <w:t xml:space="preserve">. </w:t>
      </w:r>
      <w:r w:rsidR="00042E71" w:rsidRPr="00E67A4C">
        <w:t xml:space="preserve">However, </w:t>
      </w:r>
      <w:r w:rsidR="00BB5055" w:rsidRPr="00E67A4C">
        <w:t>the Fo</w:t>
      </w:r>
      <w:r w:rsidR="00D60AC6" w:rsidRPr="00E67A4C">
        <w:t>od Ministers</w:t>
      </w:r>
      <w:r w:rsidR="00BB5055" w:rsidRPr="00E67A4C">
        <w:t xml:space="preserve"> can ask FSANZ to review a food regulatory measure if it does not align with a </w:t>
      </w:r>
      <w:r w:rsidR="00A27BEF" w:rsidRPr="00E67A4C">
        <w:t xml:space="preserve">Ministerial </w:t>
      </w:r>
      <w:r w:rsidR="00BB5055" w:rsidRPr="00E67A4C">
        <w:t>Policy Guideline</w:t>
      </w:r>
      <w:r w:rsidR="006316C7" w:rsidRPr="00E67A4C">
        <w:t>.</w:t>
      </w:r>
      <w:r w:rsidR="0015554A" w:rsidRPr="00E67A4C">
        <w:t xml:space="preserve"> T</w:t>
      </w:r>
      <w:r w:rsidR="00CF781A" w:rsidRPr="00E67A4C">
        <w:t xml:space="preserve">he process of developing food regulatory measures can take approximately 12-18 months, </w:t>
      </w:r>
      <w:r w:rsidR="0015554A" w:rsidRPr="00E67A4C">
        <w:t xml:space="preserve">but </w:t>
      </w:r>
      <w:r w:rsidR="00CF781A" w:rsidRPr="00E67A4C">
        <w:t xml:space="preserve">this is dependent on FSANZ’s work plan, competing priorities and the complexity of the issues. </w:t>
      </w:r>
    </w:p>
    <w:p w14:paraId="2F1FCF75" w14:textId="433FD002" w:rsidR="003A167E" w:rsidRPr="00E67A4C" w:rsidRDefault="00CB3959" w:rsidP="00BB284A">
      <w:pPr>
        <w:pStyle w:val="Bodytextwithbullets-TMRfont12"/>
      </w:pPr>
      <w:r w:rsidRPr="00E67A4C">
        <w:t>Option 4 lacks the mandatory onus of a regulatory arrangement</w:t>
      </w:r>
      <w:r w:rsidR="00C76153" w:rsidRPr="00E67A4C">
        <w:t>.</w:t>
      </w:r>
      <w:r w:rsidRPr="00E67A4C">
        <w:t xml:space="preserve"> </w:t>
      </w:r>
      <w:r w:rsidR="00C76153" w:rsidRPr="00E67A4C">
        <w:t>Although the regulatory burden is lower, a</w:t>
      </w:r>
      <w:r w:rsidRPr="00E67A4C">
        <w:t xml:space="preserve">s a voluntary mechanism, </w:t>
      </w:r>
      <w:r w:rsidR="00C76153" w:rsidRPr="00E67A4C">
        <w:t>there could be less and slower industry adoption and greater inconsistencies.</w:t>
      </w:r>
      <w:r w:rsidR="003A167E" w:rsidRPr="00E67A4C">
        <w:t xml:space="preserve"> This would make achievement of the intended public health outcome</w:t>
      </w:r>
      <w:r w:rsidR="00BC718C" w:rsidRPr="00E67A4C">
        <w:t xml:space="preserve"> for menu labelling</w:t>
      </w:r>
      <w:r w:rsidR="003A167E" w:rsidRPr="00E67A4C">
        <w:t xml:space="preserve"> less certain. </w:t>
      </w:r>
    </w:p>
    <w:p w14:paraId="4B909A6D" w14:textId="77777777" w:rsidR="00CB3959" w:rsidRPr="00E67A4C" w:rsidRDefault="00CB3959" w:rsidP="00BB284A">
      <w:pPr>
        <w:pStyle w:val="Bodytext-TMRfont12"/>
      </w:pPr>
    </w:p>
    <w:p w14:paraId="4BE6F372" w14:textId="77777777" w:rsidR="00986951" w:rsidRPr="00E67A4C" w:rsidRDefault="001E7F4D" w:rsidP="00BB284A">
      <w:pPr>
        <w:pStyle w:val="Bodytext-TMRfont12"/>
      </w:pPr>
      <w:r w:rsidRPr="00E67A4C">
        <w:t>Delivering consumer education</w:t>
      </w:r>
      <w:r w:rsidR="00484C45" w:rsidRPr="00E67A4C">
        <w:t xml:space="preserve"> in conjunction with </w:t>
      </w:r>
      <w:r w:rsidR="00690307" w:rsidRPr="00E67A4C">
        <w:t xml:space="preserve">any of these options </w:t>
      </w:r>
      <w:r w:rsidR="00866B9E" w:rsidRPr="00E67A4C">
        <w:t>will likely yield a higher net benefit</w:t>
      </w:r>
      <w:r w:rsidR="00345031" w:rsidRPr="00E67A4C">
        <w:t>,</w:t>
      </w:r>
      <w:r w:rsidR="00866B9E" w:rsidRPr="00E67A4C">
        <w:t xml:space="preserve"> as </w:t>
      </w:r>
      <w:r w:rsidR="00390B27" w:rsidRPr="00E67A4C">
        <w:t>with education</w:t>
      </w:r>
      <w:r w:rsidR="00690307" w:rsidRPr="00E67A4C">
        <w:t xml:space="preserve"> </w:t>
      </w:r>
      <w:r w:rsidR="00866B9E" w:rsidRPr="00E67A4C">
        <w:t xml:space="preserve">consumers may </w:t>
      </w:r>
      <w:r w:rsidR="002861A4" w:rsidRPr="00E67A4C">
        <w:t xml:space="preserve">better </w:t>
      </w:r>
      <w:r w:rsidR="00866B9E" w:rsidRPr="00E67A4C">
        <w:t>understand how to use menu labelling</w:t>
      </w:r>
      <w:r w:rsidR="006F38BD" w:rsidRPr="00E67A4C">
        <w:t>,</w:t>
      </w:r>
      <w:r w:rsidR="00866B9E" w:rsidRPr="00E67A4C">
        <w:t xml:space="preserve"> one tool to facilitate healthier food choices. </w:t>
      </w:r>
      <w:r w:rsidR="00986951" w:rsidRPr="00E67A4C">
        <w:t>An assessment of which option has the greatest net benefit will be undertaken following consideration of stakeholder submissions received to this paper.</w:t>
      </w:r>
    </w:p>
    <w:p w14:paraId="6AE9DA26" w14:textId="377809EB" w:rsidR="00866B9E" w:rsidRPr="00E67A4C" w:rsidRDefault="00866B9E" w:rsidP="00BB284A">
      <w:pPr>
        <w:pStyle w:val="Bodytext-TMRfont12"/>
      </w:pPr>
    </w:p>
    <w:p w14:paraId="58C09C60" w14:textId="7F5B89CC" w:rsidR="0095113C" w:rsidRPr="00E67A4C" w:rsidRDefault="001A27A8" w:rsidP="00BB284A">
      <w:pPr>
        <w:pStyle w:val="Bodytext-TMRfont12"/>
      </w:pPr>
      <w:r w:rsidRPr="00E67A4C">
        <w:t>T</w:t>
      </w:r>
      <w:r w:rsidR="00CE2BA6" w:rsidRPr="00E67A4C">
        <w:t xml:space="preserve">his paper </w:t>
      </w:r>
      <w:r w:rsidR="008B493A" w:rsidRPr="00E67A4C">
        <w:t>builds on previous consultation with Australian stakeholders</w:t>
      </w:r>
      <w:r w:rsidR="009A2E73" w:rsidRPr="00E67A4C">
        <w:t xml:space="preserve"> (refer to Appendix </w:t>
      </w:r>
      <w:r w:rsidR="00BC3AEE" w:rsidRPr="00E67A4C">
        <w:t>1</w:t>
      </w:r>
      <w:r w:rsidR="009A2E73" w:rsidRPr="00E67A4C">
        <w:t>)</w:t>
      </w:r>
      <w:r w:rsidR="008B493A" w:rsidRPr="00E67A4C">
        <w:t xml:space="preserve"> and seeks</w:t>
      </w:r>
      <w:r w:rsidR="00CE2BA6" w:rsidRPr="00E67A4C">
        <w:t xml:space="preserve"> </w:t>
      </w:r>
      <w:r w:rsidR="0085244E" w:rsidRPr="00E67A4C">
        <w:t>views from Australia</w:t>
      </w:r>
      <w:r w:rsidR="00113696" w:rsidRPr="00E67A4C">
        <w:t>n</w:t>
      </w:r>
      <w:r w:rsidR="0085244E" w:rsidRPr="00E67A4C">
        <w:t xml:space="preserve"> and New Zealand </w:t>
      </w:r>
      <w:r w:rsidR="00113696" w:rsidRPr="00E67A4C">
        <w:t xml:space="preserve">stakeholders </w:t>
      </w:r>
      <w:r w:rsidR="003A3936" w:rsidRPr="00E67A4C">
        <w:t xml:space="preserve">on all </w:t>
      </w:r>
      <w:r w:rsidR="00CE2BA6" w:rsidRPr="00E67A4C">
        <w:t xml:space="preserve">proposed </w:t>
      </w:r>
      <w:r w:rsidR="003A3936" w:rsidRPr="00E67A4C">
        <w:t>options</w:t>
      </w:r>
      <w:r w:rsidR="008B493A" w:rsidRPr="00E67A4C">
        <w:t>. This will</w:t>
      </w:r>
      <w:r w:rsidR="00CE2BA6" w:rsidRPr="00E67A4C">
        <w:t xml:space="preserve"> assist FRSC </w:t>
      </w:r>
      <w:r w:rsidR="00BA370C" w:rsidRPr="00E67A4C">
        <w:t xml:space="preserve">to </w:t>
      </w:r>
      <w:r w:rsidR="0085244E" w:rsidRPr="00E67A4C">
        <w:t xml:space="preserve">provide clear advice to Food Ministers about the most appropriate vehicle for addressing the inconsistencies between the current jurisdictional menu labelling regulation and the 2011 Principles. </w:t>
      </w:r>
      <w:r w:rsidR="00A954EC" w:rsidRPr="00E67A4C">
        <w:rPr>
          <w:rFonts w:eastAsia="Calibri"/>
        </w:rPr>
        <w:t xml:space="preserve">Consideration will be given to how effectively the </w:t>
      </w:r>
      <w:r w:rsidR="00FB3DE7" w:rsidRPr="00E67A4C">
        <w:rPr>
          <w:rFonts w:eastAsia="Calibri"/>
        </w:rPr>
        <w:t xml:space="preserve">preferred </w:t>
      </w:r>
      <w:r w:rsidR="00A954EC" w:rsidRPr="00E67A4C">
        <w:rPr>
          <w:rFonts w:eastAsia="Calibri"/>
        </w:rPr>
        <w:t>option rectif</w:t>
      </w:r>
      <w:r w:rsidR="00FB3DE7" w:rsidRPr="00E67A4C">
        <w:rPr>
          <w:rFonts w:eastAsia="Calibri"/>
        </w:rPr>
        <w:t>ies</w:t>
      </w:r>
      <w:r w:rsidR="00A954EC" w:rsidRPr="00E67A4C">
        <w:rPr>
          <w:rFonts w:eastAsia="Calibri"/>
        </w:rPr>
        <w:t xml:space="preserve"> the policy problem, </w:t>
      </w:r>
      <w:r w:rsidR="00A954EC" w:rsidRPr="00E67A4C">
        <w:t>achieve</w:t>
      </w:r>
      <w:r w:rsidR="00FB3DE7" w:rsidRPr="00E67A4C">
        <w:t>s</w:t>
      </w:r>
      <w:r w:rsidR="00A954EC" w:rsidRPr="00E67A4C">
        <w:t xml:space="preserve"> the objectives, </w:t>
      </w:r>
      <w:r w:rsidR="00EE2A9E" w:rsidRPr="00E67A4C">
        <w:t xml:space="preserve">its </w:t>
      </w:r>
      <w:r w:rsidR="00A954EC" w:rsidRPr="00E67A4C">
        <w:t>feasibility, and associated implementation costs.</w:t>
      </w:r>
      <w:r w:rsidR="00DE3932" w:rsidRPr="00E67A4C">
        <w:t xml:space="preserve"> </w:t>
      </w:r>
      <w:r w:rsidR="0085244E" w:rsidRPr="00E67A4C">
        <w:t>A Decision Regulatory Impact Statement (</w:t>
      </w:r>
      <w:r w:rsidR="00902441" w:rsidRPr="00E67A4C">
        <w:t xml:space="preserve">Decision </w:t>
      </w:r>
      <w:r w:rsidR="0085244E" w:rsidRPr="00E67A4C">
        <w:t xml:space="preserve">RIS) will present </w:t>
      </w:r>
      <w:r w:rsidR="008B493A" w:rsidRPr="00E67A4C">
        <w:t xml:space="preserve">Food Ministers with </w:t>
      </w:r>
      <w:r w:rsidR="0085244E" w:rsidRPr="00E67A4C">
        <w:t xml:space="preserve">the preferred option for decision. </w:t>
      </w:r>
      <w:r w:rsidR="001C4D77" w:rsidRPr="00E67A4C">
        <w:t>I</w:t>
      </w:r>
      <w:r w:rsidR="00281176" w:rsidRPr="00E67A4C">
        <w:t xml:space="preserve">t is </w:t>
      </w:r>
      <w:r w:rsidR="00C93155" w:rsidRPr="00E67A4C">
        <w:t>anticipated</w:t>
      </w:r>
      <w:r w:rsidR="00281176" w:rsidRPr="00E67A4C">
        <w:t xml:space="preserve"> that the Decision RIS will be presented to </w:t>
      </w:r>
      <w:r w:rsidR="0085244E" w:rsidRPr="00E67A4C">
        <w:t>Food Ministers</w:t>
      </w:r>
      <w:r w:rsidR="00281176" w:rsidRPr="00E67A4C">
        <w:t xml:space="preserve"> in</w:t>
      </w:r>
      <w:r w:rsidR="005000B8" w:rsidRPr="00E67A4C">
        <w:t xml:space="preserve"> </w:t>
      </w:r>
      <w:r w:rsidR="00AD5306" w:rsidRPr="00E67A4C">
        <w:t xml:space="preserve">late </w:t>
      </w:r>
      <w:r w:rsidR="005000B8" w:rsidRPr="00E67A4C">
        <w:t>2021</w:t>
      </w:r>
      <w:r w:rsidR="00281176" w:rsidRPr="00E67A4C">
        <w:t xml:space="preserve">. </w:t>
      </w:r>
    </w:p>
    <w:p w14:paraId="17F87C2F" w14:textId="27BEE9D0" w:rsidR="0004125A" w:rsidRPr="002E1CE6" w:rsidRDefault="0004125A" w:rsidP="006B4443">
      <w:pPr>
        <w:spacing w:after="40"/>
        <w:jc w:val="both"/>
        <w:rPr>
          <w:b/>
          <w:i/>
          <w:iCs/>
          <w:sz w:val="28"/>
          <w:szCs w:val="28"/>
        </w:rPr>
      </w:pPr>
      <w:r w:rsidRPr="00E67A4C">
        <w:rPr>
          <w:b/>
        </w:rPr>
        <w:br w:type="page"/>
      </w:r>
      <w:r w:rsidR="00F85C1C" w:rsidRPr="002E1CE6">
        <w:rPr>
          <w:b/>
          <w:i/>
          <w:iCs/>
          <w:sz w:val="28"/>
          <w:szCs w:val="28"/>
        </w:rPr>
        <w:lastRenderedPageBreak/>
        <w:t>Contents</w:t>
      </w:r>
    </w:p>
    <w:p w14:paraId="621C9B7D" w14:textId="77777777" w:rsidR="00BE7437" w:rsidRPr="002E1CE6" w:rsidRDefault="00BE7437" w:rsidP="006B4443">
      <w:pPr>
        <w:spacing w:after="40"/>
        <w:jc w:val="both"/>
        <w:rPr>
          <w:b/>
          <w:i/>
          <w:iCs/>
          <w:sz w:val="28"/>
          <w:szCs w:val="28"/>
        </w:rPr>
      </w:pPr>
    </w:p>
    <w:p w14:paraId="744B9403" w14:textId="44D6048F" w:rsidR="002E400C" w:rsidRPr="002E1CE6" w:rsidRDefault="0004125A" w:rsidP="00D43BCB">
      <w:pPr>
        <w:pStyle w:val="TOC2"/>
        <w:rPr>
          <w:rStyle w:val="Hyperlink"/>
          <w:color w:val="auto"/>
        </w:rPr>
      </w:pPr>
      <w:r w:rsidRPr="002E1CE6">
        <w:fldChar w:fldCharType="begin"/>
      </w:r>
      <w:r w:rsidRPr="002E1CE6">
        <w:instrText xml:space="preserve"> TOC \o "1-2" \h \z \u </w:instrText>
      </w:r>
      <w:r w:rsidRPr="002E1CE6">
        <w:fldChar w:fldCharType="separate"/>
      </w:r>
      <w:hyperlink w:anchor="_Toc51165260" w:history="1">
        <w:r w:rsidR="002E400C" w:rsidRPr="002E1CE6">
          <w:rPr>
            <w:rStyle w:val="Hyperlink"/>
            <w:color w:val="auto"/>
          </w:rPr>
          <w:t>Executive summary</w:t>
        </w:r>
        <w:r w:rsidR="002E400C" w:rsidRPr="002E1CE6">
          <w:rPr>
            <w:rStyle w:val="Hyperlink"/>
            <w:webHidden/>
            <w:color w:val="auto"/>
          </w:rPr>
          <w:tab/>
        </w:r>
        <w:r w:rsidR="002E400C" w:rsidRPr="002E1CE6">
          <w:rPr>
            <w:rStyle w:val="Hyperlink"/>
            <w:webHidden/>
            <w:color w:val="auto"/>
          </w:rPr>
          <w:fldChar w:fldCharType="begin"/>
        </w:r>
        <w:r w:rsidR="002E400C" w:rsidRPr="002E1CE6">
          <w:rPr>
            <w:rStyle w:val="Hyperlink"/>
            <w:webHidden/>
            <w:color w:val="auto"/>
          </w:rPr>
          <w:instrText xml:space="preserve"> PAGEREF _Toc51165260 \h </w:instrText>
        </w:r>
        <w:r w:rsidR="002E400C" w:rsidRPr="002E1CE6">
          <w:rPr>
            <w:rStyle w:val="Hyperlink"/>
            <w:webHidden/>
            <w:color w:val="auto"/>
          </w:rPr>
        </w:r>
        <w:r w:rsidR="002E400C" w:rsidRPr="002E1CE6">
          <w:rPr>
            <w:rStyle w:val="Hyperlink"/>
            <w:webHidden/>
            <w:color w:val="auto"/>
          </w:rPr>
          <w:fldChar w:fldCharType="separate"/>
        </w:r>
        <w:r w:rsidR="007D10BD" w:rsidRPr="002E1CE6">
          <w:rPr>
            <w:rStyle w:val="Hyperlink"/>
            <w:webHidden/>
            <w:color w:val="auto"/>
          </w:rPr>
          <w:t>2</w:t>
        </w:r>
        <w:r w:rsidR="002E400C" w:rsidRPr="002E1CE6">
          <w:rPr>
            <w:rStyle w:val="Hyperlink"/>
            <w:webHidden/>
            <w:color w:val="auto"/>
          </w:rPr>
          <w:fldChar w:fldCharType="end"/>
        </w:r>
      </w:hyperlink>
    </w:p>
    <w:p w14:paraId="127A2B15" w14:textId="16E3BD86" w:rsidR="002E400C" w:rsidRPr="002E1CE6" w:rsidRDefault="002E1CE6">
      <w:pPr>
        <w:pStyle w:val="TOC2"/>
        <w:rPr>
          <w:rFonts w:asciiTheme="minorHAnsi" w:eastAsiaTheme="minorEastAsia" w:hAnsiTheme="minorHAnsi" w:cstheme="minorBidi"/>
          <w:kern w:val="0"/>
          <w:sz w:val="22"/>
          <w:szCs w:val="22"/>
          <w:lang w:eastAsia="en-AU"/>
        </w:rPr>
      </w:pPr>
      <w:hyperlink w:anchor="_Toc51165261" w:history="1">
        <w:r w:rsidR="002E400C" w:rsidRPr="002E1CE6">
          <w:rPr>
            <w:rStyle w:val="Hyperlink"/>
            <w:color w:val="auto"/>
          </w:rPr>
          <w:t>1 Introduction</w:t>
        </w:r>
        <w:r w:rsidR="002E400C" w:rsidRPr="002E1CE6">
          <w:rPr>
            <w:webHidden/>
          </w:rPr>
          <w:tab/>
        </w:r>
        <w:r w:rsidR="002E400C" w:rsidRPr="002E1CE6">
          <w:rPr>
            <w:webHidden/>
          </w:rPr>
          <w:fldChar w:fldCharType="begin"/>
        </w:r>
        <w:r w:rsidR="002E400C" w:rsidRPr="002E1CE6">
          <w:rPr>
            <w:webHidden/>
          </w:rPr>
          <w:instrText xml:space="preserve"> PAGEREF _Toc51165261 \h </w:instrText>
        </w:r>
        <w:r w:rsidR="002E400C" w:rsidRPr="002E1CE6">
          <w:rPr>
            <w:webHidden/>
          </w:rPr>
        </w:r>
        <w:r w:rsidR="002E400C" w:rsidRPr="002E1CE6">
          <w:rPr>
            <w:webHidden/>
          </w:rPr>
          <w:fldChar w:fldCharType="separate"/>
        </w:r>
        <w:r w:rsidR="007D10BD" w:rsidRPr="002E1CE6">
          <w:rPr>
            <w:webHidden/>
          </w:rPr>
          <w:t>7</w:t>
        </w:r>
        <w:r w:rsidR="002E400C" w:rsidRPr="002E1CE6">
          <w:rPr>
            <w:webHidden/>
          </w:rPr>
          <w:fldChar w:fldCharType="end"/>
        </w:r>
      </w:hyperlink>
    </w:p>
    <w:p w14:paraId="07480770" w14:textId="716E63ED" w:rsidR="002E400C" w:rsidRPr="002E1CE6" w:rsidRDefault="002E1CE6">
      <w:pPr>
        <w:pStyle w:val="TOC2"/>
        <w:rPr>
          <w:rFonts w:asciiTheme="minorHAnsi" w:eastAsiaTheme="minorEastAsia" w:hAnsiTheme="minorHAnsi" w:cstheme="minorBidi"/>
          <w:kern w:val="0"/>
          <w:sz w:val="22"/>
          <w:szCs w:val="22"/>
          <w:lang w:eastAsia="en-AU"/>
        </w:rPr>
      </w:pPr>
      <w:hyperlink w:anchor="_Toc51165269" w:history="1">
        <w:r w:rsidR="002E400C" w:rsidRPr="002E1CE6">
          <w:rPr>
            <w:rStyle w:val="Hyperlink"/>
            <w:color w:val="auto"/>
          </w:rPr>
          <w:t>2 Statement of the Problem</w:t>
        </w:r>
        <w:r w:rsidR="002E400C" w:rsidRPr="002E1CE6">
          <w:rPr>
            <w:webHidden/>
          </w:rPr>
          <w:tab/>
        </w:r>
        <w:r w:rsidR="002E400C" w:rsidRPr="002E1CE6">
          <w:rPr>
            <w:webHidden/>
          </w:rPr>
          <w:fldChar w:fldCharType="begin"/>
        </w:r>
        <w:r w:rsidR="002E400C" w:rsidRPr="002E1CE6">
          <w:rPr>
            <w:webHidden/>
          </w:rPr>
          <w:instrText xml:space="preserve"> PAGEREF _Toc51165269 \h </w:instrText>
        </w:r>
        <w:r w:rsidR="002E400C" w:rsidRPr="002E1CE6">
          <w:rPr>
            <w:webHidden/>
          </w:rPr>
        </w:r>
        <w:r w:rsidR="002E400C" w:rsidRPr="002E1CE6">
          <w:rPr>
            <w:webHidden/>
          </w:rPr>
          <w:fldChar w:fldCharType="separate"/>
        </w:r>
        <w:r w:rsidR="007D10BD" w:rsidRPr="002E1CE6">
          <w:rPr>
            <w:webHidden/>
          </w:rPr>
          <w:t>12</w:t>
        </w:r>
        <w:r w:rsidR="002E400C" w:rsidRPr="002E1CE6">
          <w:rPr>
            <w:webHidden/>
          </w:rPr>
          <w:fldChar w:fldCharType="end"/>
        </w:r>
      </w:hyperlink>
    </w:p>
    <w:p w14:paraId="2D8439C8" w14:textId="18A066EA" w:rsidR="002E400C" w:rsidRPr="002E1CE6" w:rsidRDefault="002E1CE6">
      <w:pPr>
        <w:pStyle w:val="TOC2"/>
        <w:rPr>
          <w:rFonts w:asciiTheme="minorHAnsi" w:eastAsiaTheme="minorEastAsia" w:hAnsiTheme="minorHAnsi" w:cstheme="minorBidi"/>
          <w:kern w:val="0"/>
          <w:sz w:val="22"/>
          <w:szCs w:val="22"/>
          <w:lang w:eastAsia="en-AU"/>
        </w:rPr>
      </w:pPr>
      <w:hyperlink w:anchor="_Toc51165273" w:history="1">
        <w:r w:rsidR="002E400C" w:rsidRPr="002E1CE6">
          <w:rPr>
            <w:rStyle w:val="Hyperlink"/>
            <w:color w:val="auto"/>
          </w:rPr>
          <w:t>3 Objectives</w:t>
        </w:r>
        <w:r w:rsidR="002E400C" w:rsidRPr="002E1CE6">
          <w:rPr>
            <w:webHidden/>
          </w:rPr>
          <w:tab/>
        </w:r>
        <w:r w:rsidR="002E400C" w:rsidRPr="002E1CE6">
          <w:rPr>
            <w:webHidden/>
          </w:rPr>
          <w:fldChar w:fldCharType="begin"/>
        </w:r>
        <w:r w:rsidR="002E400C" w:rsidRPr="002E1CE6">
          <w:rPr>
            <w:webHidden/>
          </w:rPr>
          <w:instrText xml:space="preserve"> PAGEREF _Toc51165273 \h </w:instrText>
        </w:r>
        <w:r w:rsidR="002E400C" w:rsidRPr="002E1CE6">
          <w:rPr>
            <w:webHidden/>
          </w:rPr>
        </w:r>
        <w:r w:rsidR="002E400C" w:rsidRPr="002E1CE6">
          <w:rPr>
            <w:webHidden/>
          </w:rPr>
          <w:fldChar w:fldCharType="separate"/>
        </w:r>
        <w:r w:rsidR="007D10BD" w:rsidRPr="002E1CE6">
          <w:rPr>
            <w:webHidden/>
          </w:rPr>
          <w:t>16</w:t>
        </w:r>
        <w:r w:rsidR="002E400C" w:rsidRPr="002E1CE6">
          <w:rPr>
            <w:webHidden/>
          </w:rPr>
          <w:fldChar w:fldCharType="end"/>
        </w:r>
      </w:hyperlink>
    </w:p>
    <w:p w14:paraId="44A980E7" w14:textId="7130E9CA" w:rsidR="002E400C" w:rsidRPr="002E1CE6" w:rsidRDefault="002E1CE6">
      <w:pPr>
        <w:pStyle w:val="TOC2"/>
        <w:rPr>
          <w:rFonts w:asciiTheme="minorHAnsi" w:eastAsiaTheme="minorEastAsia" w:hAnsiTheme="minorHAnsi" w:cstheme="minorBidi"/>
          <w:kern w:val="0"/>
          <w:sz w:val="22"/>
          <w:szCs w:val="22"/>
          <w:lang w:eastAsia="en-AU"/>
        </w:rPr>
      </w:pPr>
      <w:hyperlink w:anchor="_Toc51165274" w:history="1">
        <w:r w:rsidR="002E400C" w:rsidRPr="002E1CE6">
          <w:rPr>
            <w:rStyle w:val="Hyperlink"/>
            <w:color w:val="auto"/>
          </w:rPr>
          <w:t>4 Options</w:t>
        </w:r>
        <w:r w:rsidR="002E400C" w:rsidRPr="002E1CE6">
          <w:rPr>
            <w:webHidden/>
          </w:rPr>
          <w:tab/>
        </w:r>
        <w:r w:rsidR="002E400C" w:rsidRPr="002E1CE6">
          <w:rPr>
            <w:webHidden/>
          </w:rPr>
          <w:fldChar w:fldCharType="begin"/>
        </w:r>
        <w:r w:rsidR="002E400C" w:rsidRPr="002E1CE6">
          <w:rPr>
            <w:webHidden/>
          </w:rPr>
          <w:instrText xml:space="preserve"> PAGEREF _Toc51165274 \h </w:instrText>
        </w:r>
        <w:r w:rsidR="002E400C" w:rsidRPr="002E1CE6">
          <w:rPr>
            <w:webHidden/>
          </w:rPr>
        </w:r>
        <w:r w:rsidR="002E400C" w:rsidRPr="002E1CE6">
          <w:rPr>
            <w:webHidden/>
          </w:rPr>
          <w:fldChar w:fldCharType="separate"/>
        </w:r>
        <w:r w:rsidR="007D10BD" w:rsidRPr="002E1CE6">
          <w:rPr>
            <w:webHidden/>
          </w:rPr>
          <w:t>16</w:t>
        </w:r>
        <w:r w:rsidR="002E400C" w:rsidRPr="002E1CE6">
          <w:rPr>
            <w:webHidden/>
          </w:rPr>
          <w:fldChar w:fldCharType="end"/>
        </w:r>
      </w:hyperlink>
    </w:p>
    <w:p w14:paraId="6851660E" w14:textId="36888535" w:rsidR="002E400C" w:rsidRPr="002E1CE6" w:rsidRDefault="002E1CE6">
      <w:pPr>
        <w:pStyle w:val="TOC2"/>
        <w:rPr>
          <w:rFonts w:asciiTheme="minorHAnsi" w:eastAsiaTheme="minorEastAsia" w:hAnsiTheme="minorHAnsi" w:cstheme="minorBidi"/>
          <w:kern w:val="0"/>
          <w:sz w:val="22"/>
          <w:szCs w:val="22"/>
          <w:lang w:eastAsia="en-AU"/>
        </w:rPr>
      </w:pPr>
      <w:hyperlink w:anchor="_Toc51165280" w:history="1">
        <w:r w:rsidR="002E400C" w:rsidRPr="002E1CE6">
          <w:rPr>
            <w:rStyle w:val="Hyperlink"/>
            <w:color w:val="auto"/>
          </w:rPr>
          <w:t>5 Impact analysis</w:t>
        </w:r>
        <w:r w:rsidR="002E400C" w:rsidRPr="002E1CE6">
          <w:rPr>
            <w:webHidden/>
          </w:rPr>
          <w:tab/>
        </w:r>
        <w:r w:rsidR="002E400C" w:rsidRPr="002E1CE6">
          <w:rPr>
            <w:webHidden/>
          </w:rPr>
          <w:fldChar w:fldCharType="begin"/>
        </w:r>
        <w:r w:rsidR="002E400C" w:rsidRPr="002E1CE6">
          <w:rPr>
            <w:webHidden/>
          </w:rPr>
          <w:instrText xml:space="preserve"> PAGEREF _Toc51165280 \h </w:instrText>
        </w:r>
        <w:r w:rsidR="002E400C" w:rsidRPr="002E1CE6">
          <w:rPr>
            <w:webHidden/>
          </w:rPr>
        </w:r>
        <w:r w:rsidR="002E400C" w:rsidRPr="002E1CE6">
          <w:rPr>
            <w:webHidden/>
          </w:rPr>
          <w:fldChar w:fldCharType="separate"/>
        </w:r>
        <w:r w:rsidR="007D10BD" w:rsidRPr="002E1CE6">
          <w:rPr>
            <w:webHidden/>
          </w:rPr>
          <w:t>19</w:t>
        </w:r>
        <w:r w:rsidR="002E400C" w:rsidRPr="002E1CE6">
          <w:rPr>
            <w:webHidden/>
          </w:rPr>
          <w:fldChar w:fldCharType="end"/>
        </w:r>
      </w:hyperlink>
    </w:p>
    <w:p w14:paraId="2CC88714" w14:textId="5A7E404A" w:rsidR="002E400C" w:rsidRPr="002E1CE6" w:rsidRDefault="002E1CE6">
      <w:pPr>
        <w:pStyle w:val="TOC2"/>
        <w:rPr>
          <w:rFonts w:asciiTheme="minorHAnsi" w:eastAsiaTheme="minorEastAsia" w:hAnsiTheme="minorHAnsi" w:cstheme="minorBidi"/>
          <w:kern w:val="0"/>
          <w:sz w:val="22"/>
          <w:szCs w:val="22"/>
          <w:lang w:eastAsia="en-AU"/>
        </w:rPr>
      </w:pPr>
      <w:hyperlink w:anchor="_Toc51165288" w:history="1">
        <w:r w:rsidR="002E400C" w:rsidRPr="002E1CE6">
          <w:rPr>
            <w:rStyle w:val="Hyperlink"/>
            <w:color w:val="auto"/>
          </w:rPr>
          <w:t>6 Consultation</w:t>
        </w:r>
        <w:r w:rsidR="002E400C" w:rsidRPr="002E1CE6">
          <w:rPr>
            <w:webHidden/>
          </w:rPr>
          <w:tab/>
        </w:r>
        <w:r w:rsidR="002E400C" w:rsidRPr="002E1CE6">
          <w:rPr>
            <w:webHidden/>
          </w:rPr>
          <w:fldChar w:fldCharType="begin"/>
        </w:r>
        <w:r w:rsidR="002E400C" w:rsidRPr="002E1CE6">
          <w:rPr>
            <w:webHidden/>
          </w:rPr>
          <w:instrText xml:space="preserve"> PAGEREF _Toc51165288 \h </w:instrText>
        </w:r>
        <w:r w:rsidR="002E400C" w:rsidRPr="002E1CE6">
          <w:rPr>
            <w:webHidden/>
          </w:rPr>
        </w:r>
        <w:r w:rsidR="002E400C" w:rsidRPr="002E1CE6">
          <w:rPr>
            <w:webHidden/>
          </w:rPr>
          <w:fldChar w:fldCharType="separate"/>
        </w:r>
        <w:r w:rsidR="007D10BD" w:rsidRPr="002E1CE6">
          <w:rPr>
            <w:webHidden/>
          </w:rPr>
          <w:t>30</w:t>
        </w:r>
        <w:r w:rsidR="002E400C" w:rsidRPr="002E1CE6">
          <w:rPr>
            <w:webHidden/>
          </w:rPr>
          <w:fldChar w:fldCharType="end"/>
        </w:r>
      </w:hyperlink>
    </w:p>
    <w:p w14:paraId="23F2DD23" w14:textId="076A0660" w:rsidR="002E400C" w:rsidRPr="002E1CE6" w:rsidRDefault="002E1CE6">
      <w:pPr>
        <w:pStyle w:val="TOC2"/>
        <w:rPr>
          <w:rFonts w:asciiTheme="minorHAnsi" w:eastAsiaTheme="minorEastAsia" w:hAnsiTheme="minorHAnsi" w:cstheme="minorBidi"/>
          <w:kern w:val="0"/>
          <w:sz w:val="22"/>
          <w:szCs w:val="22"/>
          <w:lang w:eastAsia="en-AU"/>
        </w:rPr>
      </w:pPr>
      <w:hyperlink w:anchor="_Toc51165289" w:history="1">
        <w:r w:rsidR="002E400C" w:rsidRPr="002E1CE6">
          <w:rPr>
            <w:rStyle w:val="Hyperlink"/>
            <w:color w:val="auto"/>
          </w:rPr>
          <w:t>7 Preferred Option</w:t>
        </w:r>
        <w:r w:rsidR="002E400C" w:rsidRPr="002E1CE6">
          <w:rPr>
            <w:webHidden/>
          </w:rPr>
          <w:tab/>
        </w:r>
        <w:r w:rsidR="002E400C" w:rsidRPr="002E1CE6">
          <w:rPr>
            <w:webHidden/>
          </w:rPr>
          <w:fldChar w:fldCharType="begin"/>
        </w:r>
        <w:r w:rsidR="002E400C" w:rsidRPr="002E1CE6">
          <w:rPr>
            <w:webHidden/>
          </w:rPr>
          <w:instrText xml:space="preserve"> PAGEREF _Toc51165289 \h </w:instrText>
        </w:r>
        <w:r w:rsidR="002E400C" w:rsidRPr="002E1CE6">
          <w:rPr>
            <w:webHidden/>
          </w:rPr>
        </w:r>
        <w:r w:rsidR="002E400C" w:rsidRPr="002E1CE6">
          <w:rPr>
            <w:webHidden/>
          </w:rPr>
          <w:fldChar w:fldCharType="separate"/>
        </w:r>
        <w:r w:rsidR="007D10BD" w:rsidRPr="002E1CE6">
          <w:rPr>
            <w:webHidden/>
          </w:rPr>
          <w:t>30</w:t>
        </w:r>
        <w:r w:rsidR="002E400C" w:rsidRPr="002E1CE6">
          <w:rPr>
            <w:webHidden/>
          </w:rPr>
          <w:fldChar w:fldCharType="end"/>
        </w:r>
      </w:hyperlink>
    </w:p>
    <w:p w14:paraId="371A5D82" w14:textId="0E09E98A" w:rsidR="002E400C" w:rsidRPr="002E1CE6" w:rsidRDefault="002E1CE6">
      <w:pPr>
        <w:pStyle w:val="TOC2"/>
        <w:rPr>
          <w:rFonts w:asciiTheme="minorHAnsi" w:eastAsiaTheme="minorEastAsia" w:hAnsiTheme="minorHAnsi" w:cstheme="minorBidi"/>
          <w:kern w:val="0"/>
          <w:sz w:val="22"/>
          <w:szCs w:val="22"/>
          <w:lang w:eastAsia="en-AU"/>
        </w:rPr>
      </w:pPr>
      <w:hyperlink w:anchor="_Toc51165290" w:history="1">
        <w:r w:rsidR="002E400C" w:rsidRPr="002E1CE6">
          <w:rPr>
            <w:rStyle w:val="Hyperlink"/>
            <w:color w:val="auto"/>
          </w:rPr>
          <w:t>8 Implementation and review</w:t>
        </w:r>
        <w:r w:rsidR="002E400C" w:rsidRPr="002E1CE6">
          <w:rPr>
            <w:webHidden/>
          </w:rPr>
          <w:tab/>
        </w:r>
        <w:r w:rsidR="002E400C" w:rsidRPr="002E1CE6">
          <w:rPr>
            <w:webHidden/>
          </w:rPr>
          <w:fldChar w:fldCharType="begin"/>
        </w:r>
        <w:r w:rsidR="002E400C" w:rsidRPr="002E1CE6">
          <w:rPr>
            <w:webHidden/>
          </w:rPr>
          <w:instrText xml:space="preserve"> PAGEREF _Toc51165290 \h </w:instrText>
        </w:r>
        <w:r w:rsidR="002E400C" w:rsidRPr="002E1CE6">
          <w:rPr>
            <w:webHidden/>
          </w:rPr>
        </w:r>
        <w:r w:rsidR="002E400C" w:rsidRPr="002E1CE6">
          <w:rPr>
            <w:webHidden/>
          </w:rPr>
          <w:fldChar w:fldCharType="separate"/>
        </w:r>
        <w:r w:rsidR="007D10BD" w:rsidRPr="002E1CE6">
          <w:rPr>
            <w:webHidden/>
          </w:rPr>
          <w:t>30</w:t>
        </w:r>
        <w:r w:rsidR="002E400C" w:rsidRPr="002E1CE6">
          <w:rPr>
            <w:webHidden/>
          </w:rPr>
          <w:fldChar w:fldCharType="end"/>
        </w:r>
      </w:hyperlink>
    </w:p>
    <w:p w14:paraId="09821D3F" w14:textId="1A8E084B" w:rsidR="002E400C" w:rsidRPr="002E1CE6" w:rsidRDefault="002E1CE6">
      <w:pPr>
        <w:pStyle w:val="TOC2"/>
        <w:rPr>
          <w:rFonts w:asciiTheme="minorHAnsi" w:eastAsiaTheme="minorEastAsia" w:hAnsiTheme="minorHAnsi" w:cstheme="minorBidi"/>
          <w:kern w:val="0"/>
          <w:sz w:val="22"/>
          <w:szCs w:val="22"/>
          <w:lang w:eastAsia="en-AU"/>
        </w:rPr>
      </w:pPr>
      <w:hyperlink w:anchor="_Toc51165291" w:history="1">
        <w:r w:rsidR="002E400C" w:rsidRPr="002E1CE6">
          <w:rPr>
            <w:rStyle w:val="Hyperlink"/>
            <w:color w:val="auto"/>
          </w:rPr>
          <w:t>Appendix 1: Consideration of stakeholder views in option development</w:t>
        </w:r>
        <w:r w:rsidR="002E400C" w:rsidRPr="002E1CE6">
          <w:rPr>
            <w:webHidden/>
          </w:rPr>
          <w:tab/>
        </w:r>
        <w:r w:rsidR="002E400C" w:rsidRPr="002E1CE6">
          <w:rPr>
            <w:webHidden/>
          </w:rPr>
          <w:fldChar w:fldCharType="begin"/>
        </w:r>
        <w:r w:rsidR="002E400C" w:rsidRPr="002E1CE6">
          <w:rPr>
            <w:webHidden/>
          </w:rPr>
          <w:instrText xml:space="preserve"> PAGEREF _Toc51165291 \h </w:instrText>
        </w:r>
        <w:r w:rsidR="002E400C" w:rsidRPr="002E1CE6">
          <w:rPr>
            <w:webHidden/>
          </w:rPr>
        </w:r>
        <w:r w:rsidR="002E400C" w:rsidRPr="002E1CE6">
          <w:rPr>
            <w:webHidden/>
          </w:rPr>
          <w:fldChar w:fldCharType="separate"/>
        </w:r>
        <w:r w:rsidR="007D10BD" w:rsidRPr="002E1CE6">
          <w:rPr>
            <w:webHidden/>
          </w:rPr>
          <w:t>31</w:t>
        </w:r>
        <w:r w:rsidR="002E400C" w:rsidRPr="002E1CE6">
          <w:rPr>
            <w:webHidden/>
          </w:rPr>
          <w:fldChar w:fldCharType="end"/>
        </w:r>
      </w:hyperlink>
    </w:p>
    <w:p w14:paraId="5FA8A545" w14:textId="2DF2825D" w:rsidR="002E400C" w:rsidRPr="002E1CE6" w:rsidRDefault="002E1CE6">
      <w:pPr>
        <w:pStyle w:val="TOC2"/>
        <w:rPr>
          <w:rFonts w:asciiTheme="minorHAnsi" w:eastAsiaTheme="minorEastAsia" w:hAnsiTheme="minorHAnsi" w:cstheme="minorBidi"/>
          <w:kern w:val="0"/>
          <w:sz w:val="22"/>
          <w:szCs w:val="22"/>
          <w:lang w:eastAsia="en-AU"/>
        </w:rPr>
      </w:pPr>
      <w:hyperlink w:anchor="_Toc51165292" w:history="1">
        <w:r w:rsidR="002E400C" w:rsidRPr="002E1CE6">
          <w:rPr>
            <w:rStyle w:val="Hyperlink"/>
            <w:color w:val="auto"/>
          </w:rPr>
          <w:t>Appendix 2: Summary of evidence for the effectiveness of menu labelling</w:t>
        </w:r>
        <w:r w:rsidR="002E400C" w:rsidRPr="002E1CE6">
          <w:rPr>
            <w:webHidden/>
          </w:rPr>
          <w:tab/>
        </w:r>
        <w:r w:rsidR="002E400C" w:rsidRPr="002E1CE6">
          <w:rPr>
            <w:webHidden/>
          </w:rPr>
          <w:fldChar w:fldCharType="begin"/>
        </w:r>
        <w:r w:rsidR="002E400C" w:rsidRPr="002E1CE6">
          <w:rPr>
            <w:webHidden/>
          </w:rPr>
          <w:instrText xml:space="preserve"> PAGEREF _Toc51165292 \h </w:instrText>
        </w:r>
        <w:r w:rsidR="002E400C" w:rsidRPr="002E1CE6">
          <w:rPr>
            <w:webHidden/>
          </w:rPr>
        </w:r>
        <w:r w:rsidR="002E400C" w:rsidRPr="002E1CE6">
          <w:rPr>
            <w:webHidden/>
          </w:rPr>
          <w:fldChar w:fldCharType="separate"/>
        </w:r>
        <w:r w:rsidR="007D10BD" w:rsidRPr="002E1CE6">
          <w:rPr>
            <w:webHidden/>
          </w:rPr>
          <w:t>34</w:t>
        </w:r>
        <w:r w:rsidR="002E400C" w:rsidRPr="002E1CE6">
          <w:rPr>
            <w:webHidden/>
          </w:rPr>
          <w:fldChar w:fldCharType="end"/>
        </w:r>
      </w:hyperlink>
    </w:p>
    <w:p w14:paraId="63D9286C" w14:textId="068E4007" w:rsidR="002E400C" w:rsidRPr="002E1CE6" w:rsidRDefault="002E1CE6">
      <w:pPr>
        <w:pStyle w:val="TOC2"/>
        <w:rPr>
          <w:rFonts w:asciiTheme="minorHAnsi" w:eastAsiaTheme="minorEastAsia" w:hAnsiTheme="minorHAnsi" w:cstheme="minorBidi"/>
          <w:kern w:val="0"/>
          <w:sz w:val="22"/>
          <w:szCs w:val="22"/>
          <w:lang w:eastAsia="en-AU"/>
        </w:rPr>
      </w:pPr>
      <w:hyperlink w:anchor="_Toc51165293" w:history="1">
        <w:r w:rsidR="002E400C" w:rsidRPr="002E1CE6">
          <w:rPr>
            <w:rStyle w:val="Hyperlink"/>
            <w:color w:val="auto"/>
          </w:rPr>
          <w:t>Appendix 3: Business types that may sell standard food items</w:t>
        </w:r>
        <w:r w:rsidR="002E400C" w:rsidRPr="002E1CE6">
          <w:rPr>
            <w:webHidden/>
          </w:rPr>
          <w:tab/>
        </w:r>
        <w:r w:rsidR="002E400C" w:rsidRPr="002E1CE6">
          <w:rPr>
            <w:webHidden/>
          </w:rPr>
          <w:fldChar w:fldCharType="begin"/>
        </w:r>
        <w:r w:rsidR="002E400C" w:rsidRPr="002E1CE6">
          <w:rPr>
            <w:webHidden/>
          </w:rPr>
          <w:instrText xml:space="preserve"> PAGEREF _Toc51165293 \h </w:instrText>
        </w:r>
        <w:r w:rsidR="002E400C" w:rsidRPr="002E1CE6">
          <w:rPr>
            <w:webHidden/>
          </w:rPr>
        </w:r>
        <w:r w:rsidR="002E400C" w:rsidRPr="002E1CE6">
          <w:rPr>
            <w:webHidden/>
          </w:rPr>
          <w:fldChar w:fldCharType="separate"/>
        </w:r>
        <w:r w:rsidR="007D10BD" w:rsidRPr="002E1CE6">
          <w:rPr>
            <w:webHidden/>
          </w:rPr>
          <w:t>38</w:t>
        </w:r>
        <w:r w:rsidR="002E400C" w:rsidRPr="002E1CE6">
          <w:rPr>
            <w:webHidden/>
          </w:rPr>
          <w:fldChar w:fldCharType="end"/>
        </w:r>
      </w:hyperlink>
    </w:p>
    <w:p w14:paraId="1CF0A7B4" w14:textId="66037FE6" w:rsidR="002E400C" w:rsidRPr="002E1CE6" w:rsidRDefault="002E1CE6">
      <w:pPr>
        <w:pStyle w:val="TOC2"/>
        <w:rPr>
          <w:rFonts w:asciiTheme="minorHAnsi" w:eastAsiaTheme="minorEastAsia" w:hAnsiTheme="minorHAnsi" w:cstheme="minorBidi"/>
          <w:kern w:val="0"/>
          <w:sz w:val="22"/>
          <w:szCs w:val="22"/>
          <w:lang w:eastAsia="en-AU"/>
        </w:rPr>
      </w:pPr>
      <w:hyperlink w:anchor="_Toc51165294" w:history="1">
        <w:r w:rsidR="002E400C" w:rsidRPr="002E1CE6">
          <w:rPr>
            <w:rStyle w:val="Hyperlink"/>
            <w:color w:val="auto"/>
          </w:rPr>
          <w:t>Appendix 4: Draft Amended Principles for menu labelling (Option 2)</w:t>
        </w:r>
        <w:r w:rsidR="002E400C" w:rsidRPr="002E1CE6">
          <w:rPr>
            <w:webHidden/>
          </w:rPr>
          <w:tab/>
        </w:r>
        <w:r w:rsidR="002E400C" w:rsidRPr="002E1CE6">
          <w:rPr>
            <w:webHidden/>
          </w:rPr>
          <w:fldChar w:fldCharType="begin"/>
        </w:r>
        <w:r w:rsidR="002E400C" w:rsidRPr="002E1CE6">
          <w:rPr>
            <w:webHidden/>
          </w:rPr>
          <w:instrText xml:space="preserve"> PAGEREF _Toc51165294 \h </w:instrText>
        </w:r>
        <w:r w:rsidR="002E400C" w:rsidRPr="002E1CE6">
          <w:rPr>
            <w:webHidden/>
          </w:rPr>
        </w:r>
        <w:r w:rsidR="002E400C" w:rsidRPr="002E1CE6">
          <w:rPr>
            <w:webHidden/>
          </w:rPr>
          <w:fldChar w:fldCharType="separate"/>
        </w:r>
        <w:r w:rsidR="007D10BD" w:rsidRPr="002E1CE6">
          <w:rPr>
            <w:webHidden/>
          </w:rPr>
          <w:t>40</w:t>
        </w:r>
        <w:r w:rsidR="002E400C" w:rsidRPr="002E1CE6">
          <w:rPr>
            <w:webHidden/>
          </w:rPr>
          <w:fldChar w:fldCharType="end"/>
        </w:r>
      </w:hyperlink>
    </w:p>
    <w:p w14:paraId="575E7084" w14:textId="7201BF45" w:rsidR="002E400C" w:rsidRPr="002E1CE6" w:rsidRDefault="002E1CE6">
      <w:pPr>
        <w:pStyle w:val="TOC2"/>
        <w:rPr>
          <w:rFonts w:asciiTheme="minorHAnsi" w:eastAsiaTheme="minorEastAsia" w:hAnsiTheme="minorHAnsi" w:cstheme="minorBidi"/>
          <w:kern w:val="0"/>
          <w:sz w:val="22"/>
          <w:szCs w:val="22"/>
          <w:lang w:eastAsia="en-AU"/>
        </w:rPr>
      </w:pPr>
      <w:hyperlink w:anchor="_Toc51165295" w:history="1">
        <w:r w:rsidR="002E400C" w:rsidRPr="002E1CE6">
          <w:rPr>
            <w:rStyle w:val="Hyperlink"/>
            <w:color w:val="auto"/>
          </w:rPr>
          <w:t>Appendix 5: Draft Policy Guideline on menu labelling (Option 3)</w:t>
        </w:r>
        <w:r w:rsidR="002E400C" w:rsidRPr="002E1CE6">
          <w:rPr>
            <w:webHidden/>
          </w:rPr>
          <w:tab/>
        </w:r>
        <w:r w:rsidR="002E400C" w:rsidRPr="002E1CE6">
          <w:rPr>
            <w:webHidden/>
          </w:rPr>
          <w:fldChar w:fldCharType="begin"/>
        </w:r>
        <w:r w:rsidR="002E400C" w:rsidRPr="002E1CE6">
          <w:rPr>
            <w:webHidden/>
          </w:rPr>
          <w:instrText xml:space="preserve"> PAGEREF _Toc51165295 \h </w:instrText>
        </w:r>
        <w:r w:rsidR="002E400C" w:rsidRPr="002E1CE6">
          <w:rPr>
            <w:webHidden/>
          </w:rPr>
        </w:r>
        <w:r w:rsidR="002E400C" w:rsidRPr="002E1CE6">
          <w:rPr>
            <w:webHidden/>
          </w:rPr>
          <w:fldChar w:fldCharType="separate"/>
        </w:r>
        <w:r w:rsidR="007D10BD" w:rsidRPr="002E1CE6">
          <w:rPr>
            <w:webHidden/>
          </w:rPr>
          <w:t>43</w:t>
        </w:r>
        <w:r w:rsidR="002E400C" w:rsidRPr="002E1CE6">
          <w:rPr>
            <w:webHidden/>
          </w:rPr>
          <w:fldChar w:fldCharType="end"/>
        </w:r>
      </w:hyperlink>
    </w:p>
    <w:p w14:paraId="352C83CD" w14:textId="5232C834" w:rsidR="0004125A" w:rsidRPr="00BB284A" w:rsidRDefault="0004125A" w:rsidP="002E1CE6">
      <w:pPr>
        <w:pStyle w:val="Heading2"/>
        <w:rPr>
          <w:rStyle w:val="Heading1Char"/>
          <w:rFonts w:ascii="Times New Roman" w:hAnsi="Times New Roman" w:cs="Times New Roman"/>
          <w:b/>
          <w:bCs/>
          <w:kern w:val="0"/>
          <w:szCs w:val="28"/>
        </w:rPr>
      </w:pPr>
      <w:r w:rsidRPr="002E1CE6">
        <w:fldChar w:fldCharType="end"/>
      </w:r>
      <w:r w:rsidRPr="00E67A4C">
        <w:rPr>
          <w:sz w:val="22"/>
          <w:szCs w:val="22"/>
        </w:rPr>
        <w:br w:type="page"/>
      </w:r>
      <w:bookmarkStart w:id="8" w:name="_Toc426380820"/>
      <w:bookmarkStart w:id="9" w:name="_Toc426380885"/>
      <w:bookmarkStart w:id="10" w:name="_Toc426380916"/>
      <w:bookmarkStart w:id="11" w:name="_Toc51165261"/>
      <w:r w:rsidR="00EA1E18" w:rsidRPr="00BB284A">
        <w:rPr>
          <w:rStyle w:val="Heading1Char"/>
          <w:rFonts w:ascii="Times New Roman" w:hAnsi="Times New Roman" w:cs="Times New Roman"/>
          <w:b/>
          <w:bCs/>
          <w:kern w:val="0"/>
          <w:szCs w:val="28"/>
        </w:rPr>
        <w:lastRenderedPageBreak/>
        <w:t xml:space="preserve">1 </w:t>
      </w:r>
      <w:r w:rsidRPr="00BB284A">
        <w:rPr>
          <w:rStyle w:val="Heading1Char"/>
          <w:rFonts w:ascii="Times New Roman" w:hAnsi="Times New Roman" w:cs="Times New Roman"/>
          <w:b/>
          <w:bCs/>
          <w:kern w:val="0"/>
          <w:szCs w:val="28"/>
        </w:rPr>
        <w:t>Introduction</w:t>
      </w:r>
      <w:bookmarkStart w:id="12" w:name="_GoBack"/>
      <w:bookmarkEnd w:id="8"/>
      <w:bookmarkEnd w:id="9"/>
      <w:bookmarkEnd w:id="10"/>
      <w:bookmarkEnd w:id="11"/>
      <w:bookmarkEnd w:id="12"/>
    </w:p>
    <w:p w14:paraId="07C91BC1" w14:textId="77777777" w:rsidR="00B542E6" w:rsidRPr="00BB284A" w:rsidRDefault="00735889" w:rsidP="00246032">
      <w:pPr>
        <w:pStyle w:val="Heading3"/>
      </w:pPr>
      <w:bookmarkStart w:id="13" w:name="_Toc24103526"/>
      <w:bookmarkStart w:id="14" w:name="_Toc51165262"/>
      <w:bookmarkStart w:id="15" w:name="_Toc426380821"/>
      <w:bookmarkStart w:id="16" w:name="_Toc426380886"/>
      <w:bookmarkStart w:id="17" w:name="_Toc426380917"/>
      <w:r w:rsidRPr="00BB284A">
        <w:t xml:space="preserve">1.1 </w:t>
      </w:r>
      <w:r w:rsidR="00B542E6" w:rsidRPr="00BB284A">
        <w:t>Purpose of this paper</w:t>
      </w:r>
      <w:bookmarkEnd w:id="13"/>
      <w:bookmarkEnd w:id="14"/>
    </w:p>
    <w:p w14:paraId="493A6B24" w14:textId="0A042084" w:rsidR="005A7A94" w:rsidRDefault="0085244E" w:rsidP="00BB284A">
      <w:pPr>
        <w:pStyle w:val="Bodytext-TMRfont12"/>
      </w:pPr>
      <w:bookmarkStart w:id="18" w:name="_Hlk26281813"/>
      <w:r w:rsidRPr="00E67A4C">
        <w:t>I</w:t>
      </w:r>
      <w:r w:rsidR="005A7A94" w:rsidRPr="00E67A4C">
        <w:t xml:space="preserve">n August 2019, </w:t>
      </w:r>
      <w:r w:rsidRPr="00E67A4C">
        <w:t xml:space="preserve">Food Ministers, convening as the Australia </w:t>
      </w:r>
      <w:r w:rsidR="008B493A" w:rsidRPr="00E67A4C">
        <w:t xml:space="preserve">and </w:t>
      </w:r>
      <w:r w:rsidRPr="00E67A4C">
        <w:t xml:space="preserve">New Zealand </w:t>
      </w:r>
      <w:r w:rsidR="008B493A" w:rsidRPr="00E67A4C">
        <w:t xml:space="preserve">Ministerial </w:t>
      </w:r>
      <w:r w:rsidRPr="00E67A4C">
        <w:t>Forum on Food Regulation (</w:t>
      </w:r>
      <w:r w:rsidR="005A7A94" w:rsidRPr="00E67A4C">
        <w:t>the Forum</w:t>
      </w:r>
      <w:r w:rsidRPr="00E67A4C">
        <w:t>),</w:t>
      </w:r>
      <w:r w:rsidR="005A7A94" w:rsidRPr="00E67A4C">
        <w:t xml:space="preserve"> agreed that nationally consistent menu labelling is </w:t>
      </w:r>
      <w:r w:rsidR="00071281" w:rsidRPr="00E67A4C">
        <w:t xml:space="preserve">the </w:t>
      </w:r>
      <w:r w:rsidR="005A7A94" w:rsidRPr="00E67A4C">
        <w:t>desir</w:t>
      </w:r>
      <w:r w:rsidR="00071281" w:rsidRPr="00E67A4C">
        <w:t>ed outcome</w:t>
      </w:r>
      <w:r w:rsidR="005A7A94" w:rsidRPr="00E67A4C">
        <w:t xml:space="preserve"> for the Australian food industry, public health organisations and governments</w:t>
      </w:r>
      <w:r w:rsidR="00071281" w:rsidRPr="00E67A4C">
        <w:t xml:space="preserve">. The Forum </w:t>
      </w:r>
      <w:r w:rsidR="006A3D52" w:rsidRPr="00E67A4C">
        <w:t>agreed</w:t>
      </w:r>
      <w:r w:rsidR="00071281" w:rsidRPr="00E67A4C">
        <w:t xml:space="preserve"> </w:t>
      </w:r>
      <w:r w:rsidR="005A7A94" w:rsidRPr="00E67A4C">
        <w:t xml:space="preserve">that the most effective way to achieve this is to develop a food regulatory measure under the </w:t>
      </w:r>
      <w:r w:rsidR="00D82FB5" w:rsidRPr="00E67A4C">
        <w:t xml:space="preserve">Australia and New Zealand </w:t>
      </w:r>
      <w:r w:rsidR="005B3970" w:rsidRPr="00E67A4C">
        <w:t xml:space="preserve">Food Standards </w:t>
      </w:r>
      <w:r w:rsidR="00071281" w:rsidRPr="00E67A4C">
        <w:t>Code</w:t>
      </w:r>
      <w:r w:rsidR="00B96CBB" w:rsidRPr="00E67A4C">
        <w:t xml:space="preserve"> </w:t>
      </w:r>
      <w:r w:rsidR="00D82FB5" w:rsidRPr="00E67A4C">
        <w:t xml:space="preserve">(Food Standards Code) </w:t>
      </w:r>
      <w:r w:rsidR="00071281" w:rsidRPr="00E67A4C">
        <w:t xml:space="preserve">and that </w:t>
      </w:r>
      <w:r w:rsidR="006A3D52" w:rsidRPr="00E67A4C">
        <w:t>as a first step</w:t>
      </w:r>
      <w:r w:rsidR="00071281" w:rsidRPr="00E67A4C">
        <w:t xml:space="preserve"> a Ministerial Policy Guideline</w:t>
      </w:r>
      <w:r w:rsidR="00642562" w:rsidRPr="00E67A4C">
        <w:rPr>
          <w:rStyle w:val="FootnoteReference"/>
        </w:rPr>
        <w:footnoteReference w:id="8"/>
      </w:r>
      <w:r w:rsidR="00071281" w:rsidRPr="00E67A4C">
        <w:t xml:space="preserve"> should be developed</w:t>
      </w:r>
      <w:r w:rsidR="00B96CBB" w:rsidRPr="00E67A4C">
        <w:t xml:space="preserve">. </w:t>
      </w:r>
      <w:r w:rsidR="005A7A94" w:rsidRPr="00E67A4C">
        <w:t xml:space="preserve">Ministers agreed to </w:t>
      </w:r>
      <w:r w:rsidR="00D82FB5" w:rsidRPr="00E67A4C">
        <w:t>the Food Regulation Standing Committee (</w:t>
      </w:r>
      <w:r w:rsidR="00E47B40" w:rsidRPr="00E67A4C">
        <w:t>FRSC</w:t>
      </w:r>
      <w:r w:rsidR="00D82FB5" w:rsidRPr="00E67A4C">
        <w:t>)</w:t>
      </w:r>
      <w:r w:rsidR="005A7A94" w:rsidRPr="00E67A4C">
        <w:t xml:space="preserve"> developing a Ministerial Policy Guideline, in line with best practice regulatory requirements, and ongoing consultation with </w:t>
      </w:r>
      <w:r w:rsidR="006A3D52" w:rsidRPr="00E67A4C">
        <w:t xml:space="preserve">Australian and New Zealand </w:t>
      </w:r>
      <w:r w:rsidR="005A7A94" w:rsidRPr="00E67A4C">
        <w:t>stakeholders.</w:t>
      </w:r>
      <w:r w:rsidR="004E6060" w:rsidRPr="00E67A4C">
        <w:rPr>
          <w:rStyle w:val="FootnoteReference"/>
        </w:rPr>
        <w:footnoteReference w:id="9"/>
      </w:r>
      <w:r w:rsidR="00071281" w:rsidRPr="00E67A4C">
        <w:t xml:space="preserve"> </w:t>
      </w:r>
      <w:r w:rsidR="005A7A94" w:rsidRPr="00E67A4C">
        <w:t xml:space="preserve">  </w:t>
      </w:r>
    </w:p>
    <w:p w14:paraId="5B6020BF" w14:textId="11D53374" w:rsidR="008965D8" w:rsidRDefault="008965D8" w:rsidP="00BB284A">
      <w:pPr>
        <w:pStyle w:val="Bodytext-TMRfont12"/>
      </w:pPr>
    </w:p>
    <w:bookmarkEnd w:id="18"/>
    <w:p w14:paraId="0100A601" w14:textId="4275F23E" w:rsidR="000747AC" w:rsidRPr="00E67A4C" w:rsidRDefault="009B29DC" w:rsidP="00BB284A">
      <w:pPr>
        <w:pStyle w:val="Bodytext-TMRfont12"/>
      </w:pPr>
      <w:r w:rsidRPr="00E67A4C">
        <w:t xml:space="preserve">For this paper, menu labelling </w:t>
      </w:r>
      <w:r w:rsidR="000747AC" w:rsidRPr="00E67A4C">
        <w:t xml:space="preserve">is limited to energy </w:t>
      </w:r>
      <w:r w:rsidR="00AD60F0" w:rsidRPr="00E67A4C">
        <w:t xml:space="preserve">(kilojoules) </w:t>
      </w:r>
      <w:r w:rsidR="000747AC" w:rsidRPr="00E67A4C">
        <w:t>information for standard food items</w:t>
      </w:r>
      <w:r w:rsidR="006A3D52" w:rsidRPr="00E67A4C">
        <w:rPr>
          <w:rStyle w:val="FootnoteReference"/>
        </w:rPr>
        <w:footnoteReference w:id="10"/>
      </w:r>
      <w:r w:rsidR="000747AC" w:rsidRPr="00E67A4C">
        <w:t xml:space="preserve"> sold at standard food outlets</w:t>
      </w:r>
      <w:r w:rsidR="006A3D52" w:rsidRPr="00E67A4C">
        <w:rPr>
          <w:rStyle w:val="FootnoteReference"/>
        </w:rPr>
        <w:footnoteReference w:id="11"/>
      </w:r>
      <w:r w:rsidR="000747AC" w:rsidRPr="00E67A4C">
        <w:t xml:space="preserve"> (i.e. standardised ready-to-eat food and drinks </w:t>
      </w:r>
      <w:r w:rsidR="00843410" w:rsidRPr="00E67A4C">
        <w:t xml:space="preserve">that are </w:t>
      </w:r>
      <w:r w:rsidR="000747AC" w:rsidRPr="00E67A4C">
        <w:t xml:space="preserve">not required to </w:t>
      </w:r>
      <w:r w:rsidR="00843410" w:rsidRPr="00E67A4C">
        <w:t>bear a label</w:t>
      </w:r>
      <w:r w:rsidR="0011609E" w:rsidRPr="00E67A4C">
        <w:rPr>
          <w:rStyle w:val="FootnoteReference"/>
        </w:rPr>
        <w:footnoteReference w:id="12"/>
      </w:r>
      <w:r w:rsidR="000747AC" w:rsidRPr="00E67A4C">
        <w:t xml:space="preserve">). </w:t>
      </w:r>
      <w:r w:rsidR="00F347F6" w:rsidRPr="00E67A4C">
        <w:t xml:space="preserve">For this consultation, </w:t>
      </w:r>
      <w:r w:rsidR="00452A7F" w:rsidRPr="00E67A4C">
        <w:t xml:space="preserve">labelling </w:t>
      </w:r>
      <w:r w:rsidR="005D4C1C" w:rsidRPr="00E67A4C">
        <w:t xml:space="preserve">for </w:t>
      </w:r>
      <w:r w:rsidR="00A707B2" w:rsidRPr="00E67A4C">
        <w:t xml:space="preserve">other nutritional information (e.g. </w:t>
      </w:r>
      <w:r w:rsidR="000B7442" w:rsidRPr="00E67A4C">
        <w:t xml:space="preserve">sodium, </w:t>
      </w:r>
      <w:r w:rsidR="00462743" w:rsidRPr="00E67A4C">
        <w:t>sugar,</w:t>
      </w:r>
      <w:r w:rsidR="000B7442" w:rsidRPr="00E67A4C">
        <w:t xml:space="preserve"> or saturated fat content) </w:t>
      </w:r>
      <w:r w:rsidR="00452A7F" w:rsidRPr="00E67A4C">
        <w:t xml:space="preserve">at the point-of-sale </w:t>
      </w:r>
      <w:r w:rsidR="000B7442" w:rsidRPr="00E67A4C">
        <w:t xml:space="preserve">is </w:t>
      </w:r>
      <w:r w:rsidR="00452A7F" w:rsidRPr="00E67A4C">
        <w:t xml:space="preserve">out-of-scope. </w:t>
      </w:r>
      <w:r w:rsidR="000747AC" w:rsidRPr="00E67A4C">
        <w:t xml:space="preserve">The composition and package labelling of ready-to-eat food and drink is </w:t>
      </w:r>
      <w:r w:rsidR="005D4C1C" w:rsidRPr="00E67A4C">
        <w:t xml:space="preserve">also </w:t>
      </w:r>
      <w:r w:rsidR="000747AC" w:rsidRPr="00E67A4C">
        <w:t>out-of-scope</w:t>
      </w:r>
      <w:r w:rsidR="0028269C" w:rsidRPr="00E67A4C">
        <w:t xml:space="preserve"> for this consultation</w:t>
      </w:r>
      <w:r w:rsidR="000747AC" w:rsidRPr="00E67A4C">
        <w:t xml:space="preserve">. </w:t>
      </w:r>
    </w:p>
    <w:p w14:paraId="10ED351B" w14:textId="41B7A5BE" w:rsidR="00B542E6" w:rsidRPr="00E67A4C" w:rsidRDefault="00B542E6" w:rsidP="00BB284A">
      <w:pPr>
        <w:pStyle w:val="Bodytext-TMRfont12"/>
      </w:pPr>
    </w:p>
    <w:p w14:paraId="6AA57940" w14:textId="088627DD" w:rsidR="006509A8" w:rsidRPr="00E67A4C" w:rsidRDefault="00B542E6" w:rsidP="00BB284A">
      <w:pPr>
        <w:pStyle w:val="Bodytext-TMRfont12"/>
      </w:pPr>
      <w:r w:rsidRPr="00E67A4C">
        <w:t xml:space="preserve">This </w:t>
      </w:r>
      <w:r w:rsidR="00AE6BC8" w:rsidRPr="00E67A4C">
        <w:t xml:space="preserve">consultation </w:t>
      </w:r>
      <w:r w:rsidRPr="00E67A4C">
        <w:t xml:space="preserve">paper </w:t>
      </w:r>
      <w:r w:rsidR="002861A4" w:rsidRPr="00E67A4C">
        <w:t xml:space="preserve">presents </w:t>
      </w:r>
      <w:r w:rsidR="00AD5306" w:rsidRPr="00E67A4C">
        <w:t>four</w:t>
      </w:r>
      <w:r w:rsidR="002861A4" w:rsidRPr="00E67A4C">
        <w:t xml:space="preserve"> options for consideration and feedback</w:t>
      </w:r>
      <w:r w:rsidR="00724CF4" w:rsidRPr="00E67A4C">
        <w:t xml:space="preserve"> by Australian and New Zealand stakeholders</w:t>
      </w:r>
      <w:r w:rsidR="002861A4" w:rsidRPr="00E67A4C">
        <w:t xml:space="preserve">. It </w:t>
      </w:r>
      <w:r w:rsidR="00E47B40" w:rsidRPr="00E67A4C">
        <w:t xml:space="preserve">has been prepared by FRSC and </w:t>
      </w:r>
      <w:r w:rsidRPr="00E67A4C">
        <w:t xml:space="preserve">is based on the </w:t>
      </w:r>
      <w:r w:rsidRPr="00E67A4C">
        <w:rPr>
          <w:i/>
        </w:rPr>
        <w:t>Council of Australian Governments Best Practice Regulation: A Guide for Ministerial Councils and National Standard Setting Bodies</w:t>
      </w:r>
      <w:r w:rsidR="008820A1" w:rsidRPr="00E67A4C">
        <w:rPr>
          <w:i/>
        </w:rPr>
        <w:t>.</w:t>
      </w:r>
      <w:r w:rsidRPr="00E67A4C">
        <w:rPr>
          <w:vertAlign w:val="superscript"/>
        </w:rPr>
        <w:footnoteReference w:id="13"/>
      </w:r>
      <w:r w:rsidRPr="00E67A4C">
        <w:t xml:space="preserve"> </w:t>
      </w:r>
    </w:p>
    <w:p w14:paraId="78114422" w14:textId="77777777" w:rsidR="00B02813" w:rsidRPr="00E67A4C" w:rsidRDefault="00B02813" w:rsidP="00570A8A">
      <w:pPr>
        <w:spacing w:after="40"/>
        <w:jc w:val="both"/>
      </w:pPr>
    </w:p>
    <w:p w14:paraId="69A4B404" w14:textId="6FF64F07" w:rsidR="0030660D" w:rsidRPr="00E67A4C" w:rsidRDefault="006509A8" w:rsidP="0030660D">
      <w:pPr>
        <w:pBdr>
          <w:top w:val="single" w:sz="4" w:space="1" w:color="auto"/>
          <w:left w:val="single" w:sz="4" w:space="4" w:color="auto"/>
          <w:bottom w:val="single" w:sz="4" w:space="1" w:color="auto"/>
          <w:right w:val="single" w:sz="4" w:space="4" w:color="auto"/>
        </w:pBdr>
        <w:spacing w:after="40"/>
        <w:jc w:val="both"/>
        <w:rPr>
          <w:b/>
          <w:bCs/>
        </w:rPr>
      </w:pPr>
      <w:r w:rsidRPr="00E67A4C">
        <w:rPr>
          <w:b/>
          <w:bCs/>
        </w:rPr>
        <w:t>Instructions for stakeholders</w:t>
      </w:r>
    </w:p>
    <w:p w14:paraId="788D0016" w14:textId="77777777" w:rsidR="0030660D" w:rsidRPr="00E67A4C" w:rsidRDefault="0030660D" w:rsidP="0030660D">
      <w:pPr>
        <w:pStyle w:val="ListParagraph"/>
        <w:numPr>
          <w:ilvl w:val="0"/>
          <w:numId w:val="27"/>
        </w:numPr>
        <w:pBdr>
          <w:top w:val="single" w:sz="4" w:space="1" w:color="auto"/>
          <w:left w:val="single" w:sz="4" w:space="4" w:color="auto"/>
          <w:bottom w:val="single" w:sz="4" w:space="1" w:color="auto"/>
          <w:right w:val="single" w:sz="4" w:space="4" w:color="auto"/>
        </w:pBdr>
        <w:spacing w:after="40"/>
        <w:jc w:val="both"/>
        <w:rPr>
          <w:b/>
          <w:bCs/>
        </w:rPr>
      </w:pPr>
      <w:r w:rsidRPr="00E67A4C">
        <w:rPr>
          <w:lang w:eastAsia="zh-CN" w:bidi="th-TH"/>
        </w:rPr>
        <w:t>Questions for stakeholders are provided throughout the paper. You can choose to answer all, some or none of the questions.</w:t>
      </w:r>
    </w:p>
    <w:p w14:paraId="0D0B3FC1" w14:textId="77777777" w:rsidR="0030660D" w:rsidRPr="00E67A4C" w:rsidRDefault="0030660D" w:rsidP="0030660D">
      <w:pPr>
        <w:pStyle w:val="ListParagraph"/>
        <w:numPr>
          <w:ilvl w:val="0"/>
          <w:numId w:val="27"/>
        </w:numPr>
        <w:pBdr>
          <w:top w:val="single" w:sz="4" w:space="1" w:color="auto"/>
          <w:left w:val="single" w:sz="4" w:space="4" w:color="auto"/>
          <w:bottom w:val="single" w:sz="4" w:space="1" w:color="auto"/>
          <w:right w:val="single" w:sz="4" w:space="4" w:color="auto"/>
        </w:pBdr>
        <w:spacing w:after="40"/>
        <w:jc w:val="both"/>
        <w:rPr>
          <w:b/>
          <w:bCs/>
        </w:rPr>
      </w:pPr>
      <w:r w:rsidRPr="00E67A4C">
        <w:t xml:space="preserve">In providing responses to the questions, please provide evidence and references to support your statements, where possible. </w:t>
      </w:r>
    </w:p>
    <w:p w14:paraId="1A60BB2B" w14:textId="77777777" w:rsidR="0030660D" w:rsidRPr="00E67A4C" w:rsidRDefault="0030660D" w:rsidP="0030660D">
      <w:pPr>
        <w:pStyle w:val="ListParagraph"/>
        <w:numPr>
          <w:ilvl w:val="0"/>
          <w:numId w:val="27"/>
        </w:numPr>
        <w:pBdr>
          <w:top w:val="single" w:sz="4" w:space="1" w:color="auto"/>
          <w:left w:val="single" w:sz="4" w:space="4" w:color="auto"/>
          <w:bottom w:val="single" w:sz="4" w:space="1" w:color="auto"/>
          <w:right w:val="single" w:sz="4" w:space="4" w:color="auto"/>
        </w:pBdr>
        <w:spacing w:after="40"/>
        <w:jc w:val="both"/>
        <w:rPr>
          <w:b/>
          <w:bCs/>
        </w:rPr>
      </w:pPr>
      <w:r w:rsidRPr="00E67A4C">
        <w:t>All submissions will be considered and responses to the questions will be used to develop a Decision Regulatory Impact Statement (RIS) with a preferred option to recommend to the Forum. Identifiable business information will not be included in the Decision RIS.</w:t>
      </w:r>
    </w:p>
    <w:p w14:paraId="7E769BDC" w14:textId="465A2053" w:rsidR="0030660D" w:rsidRPr="00E67A4C" w:rsidRDefault="0030660D" w:rsidP="00902441">
      <w:pPr>
        <w:pStyle w:val="ListParagraph"/>
        <w:numPr>
          <w:ilvl w:val="0"/>
          <w:numId w:val="27"/>
        </w:numPr>
        <w:pBdr>
          <w:top w:val="single" w:sz="4" w:space="1" w:color="auto"/>
          <w:left w:val="single" w:sz="4" w:space="4" w:color="auto"/>
          <w:bottom w:val="single" w:sz="4" w:space="1" w:color="auto"/>
          <w:right w:val="single" w:sz="4" w:space="4" w:color="auto"/>
        </w:pBdr>
        <w:spacing w:after="40"/>
        <w:jc w:val="both"/>
        <w:rPr>
          <w:b/>
          <w:bCs/>
        </w:rPr>
      </w:pPr>
      <w:r w:rsidRPr="00E67A4C">
        <w:rPr>
          <w:color w:val="222222"/>
        </w:rPr>
        <w:t xml:space="preserve">Please note that all submissions are subject to the </w:t>
      </w:r>
      <w:r w:rsidRPr="00E67A4C">
        <w:rPr>
          <w:rStyle w:val="Emphasis"/>
          <w:color w:val="222222"/>
        </w:rPr>
        <w:t>Freedom of Information Act 1982</w:t>
      </w:r>
      <w:r w:rsidRPr="00E67A4C">
        <w:rPr>
          <w:color w:val="222222"/>
        </w:rPr>
        <w:t xml:space="preserve"> in Australia and the </w:t>
      </w:r>
      <w:r w:rsidRPr="00E67A4C">
        <w:rPr>
          <w:i/>
          <w:color w:val="222222"/>
        </w:rPr>
        <w:t>Official Information Act 1982</w:t>
      </w:r>
      <w:r w:rsidRPr="00E67A4C">
        <w:rPr>
          <w:color w:val="222222"/>
        </w:rPr>
        <w:t xml:space="preserve"> in New Zealand. If you consider that all or part of your submission should not be released, please make this clear when making your submission and indicate the grounds for withholding the information. </w:t>
      </w:r>
    </w:p>
    <w:p w14:paraId="25A0AAE0" w14:textId="496FBE8B" w:rsidR="00B542E6" w:rsidRPr="00E67A4C" w:rsidRDefault="00735889" w:rsidP="00246032">
      <w:pPr>
        <w:pStyle w:val="Heading3"/>
      </w:pPr>
      <w:bookmarkStart w:id="19" w:name="_Toc51165263"/>
      <w:r w:rsidRPr="00E67A4C">
        <w:lastRenderedPageBreak/>
        <w:t>1.</w:t>
      </w:r>
      <w:r w:rsidR="005A7A94" w:rsidRPr="00E67A4C">
        <w:t>2</w:t>
      </w:r>
      <w:r w:rsidRPr="00E67A4C">
        <w:t xml:space="preserve"> </w:t>
      </w:r>
      <w:r w:rsidR="008957ED" w:rsidRPr="00E67A4C">
        <w:t>Overweight and obesity in Australia and New Zealand</w:t>
      </w:r>
      <w:bookmarkEnd w:id="19"/>
    </w:p>
    <w:p w14:paraId="5D67498E" w14:textId="54683050" w:rsidR="005A7A94" w:rsidRPr="00E67A4C" w:rsidRDefault="005A7A94" w:rsidP="00570A8A">
      <w:pPr>
        <w:spacing w:after="40"/>
        <w:jc w:val="both"/>
        <w:rPr>
          <w:lang w:eastAsia="en-NZ"/>
        </w:rPr>
      </w:pPr>
      <w:r w:rsidRPr="00E67A4C">
        <w:t>In 2017-18, two-thirds (67%) of adults (18 years and older) and one-quarter (24.9%) of children (5-17 years) were overweight or obese in Australia.</w:t>
      </w:r>
      <w:r w:rsidRPr="00E67A4C">
        <w:rPr>
          <w:vertAlign w:val="superscript"/>
        </w:rPr>
        <w:footnoteReference w:id="14"/>
      </w:r>
      <w:r w:rsidRPr="00E67A4C">
        <w:t xml:space="preserve"> </w:t>
      </w:r>
      <w:r w:rsidR="0030660D" w:rsidRPr="00E67A4C">
        <w:t>In 2018-19, 71 per cent of Aboriginal and Torres Strait Islander adults (15 years and older) and more than one-third (37%) of Aboriginal and Torres Strait Islander children were overweight or obese.</w:t>
      </w:r>
      <w:r w:rsidR="0030660D" w:rsidRPr="00E67A4C">
        <w:rPr>
          <w:rStyle w:val="FootnoteReference"/>
        </w:rPr>
        <w:footnoteReference w:id="15"/>
      </w:r>
      <w:r w:rsidR="0030660D" w:rsidRPr="00E67A4C">
        <w:t xml:space="preserve"> </w:t>
      </w:r>
      <w:r w:rsidRPr="00E67A4C">
        <w:t xml:space="preserve">Results </w:t>
      </w:r>
      <w:r w:rsidR="007168DE" w:rsidRPr="00E67A4C">
        <w:t>were</w:t>
      </w:r>
      <w:r w:rsidRPr="00E67A4C">
        <w:t xml:space="preserve"> similar in New Zealand with 65 per cent of adults (15 years and older) and 31 per cent of children overweight or obese in 2018-19.</w:t>
      </w:r>
      <w:r w:rsidRPr="00E67A4C">
        <w:rPr>
          <w:vertAlign w:val="superscript"/>
        </w:rPr>
        <w:footnoteReference w:id="16"/>
      </w:r>
      <w:r w:rsidR="005A1FB8" w:rsidRPr="00E67A4C">
        <w:rPr>
          <w:lang w:eastAsia="en-NZ"/>
        </w:rPr>
        <w:t xml:space="preserve"> </w:t>
      </w:r>
      <w:r w:rsidR="00FA55B4" w:rsidRPr="00E67A4C">
        <w:rPr>
          <w:lang w:eastAsia="en-NZ"/>
        </w:rPr>
        <w:t>After</w:t>
      </w:r>
      <w:r w:rsidR="005A1FB8" w:rsidRPr="00E67A4C">
        <w:rPr>
          <w:lang w:eastAsia="en-NZ"/>
        </w:rPr>
        <w:t xml:space="preserve"> adjusting for age and gender, Pacific and Māori adults were 1.4 times and 1.2 times more likely to be overweight or obese as non-Pacific and non-Māori, respectively.</w:t>
      </w:r>
      <w:r w:rsidR="005A1FB8" w:rsidRPr="00E67A4C">
        <w:rPr>
          <w:vertAlign w:val="superscript"/>
        </w:rPr>
        <w:footnoteReference w:id="17"/>
      </w:r>
    </w:p>
    <w:p w14:paraId="2844F9BF" w14:textId="792DE216" w:rsidR="003D400A" w:rsidRPr="00E67A4C" w:rsidRDefault="003D400A" w:rsidP="00570A8A">
      <w:pPr>
        <w:spacing w:after="40"/>
        <w:jc w:val="both"/>
        <w:rPr>
          <w:lang w:eastAsia="en-NZ"/>
        </w:rPr>
      </w:pPr>
    </w:p>
    <w:p w14:paraId="19A7E442" w14:textId="496F2391" w:rsidR="005A7A94" w:rsidRPr="00E67A4C" w:rsidRDefault="003D400A" w:rsidP="00570A8A">
      <w:pPr>
        <w:spacing w:after="40"/>
        <w:jc w:val="both"/>
      </w:pPr>
      <w:r w:rsidRPr="00E67A4C">
        <w:t>In Australia, high body mass index was the second leading cause of health loss and dietary risks were the third leading cause in 2017 (8.7% and 7.1% of burden, respectively).</w:t>
      </w:r>
      <w:r w:rsidRPr="00E67A4C">
        <w:rPr>
          <w:rStyle w:val="FootnoteReference"/>
        </w:rPr>
        <w:footnoteReference w:id="18"/>
      </w:r>
      <w:r w:rsidR="005C3078" w:rsidRPr="00E67A4C">
        <w:t xml:space="preserve"> </w:t>
      </w:r>
      <w:bookmarkStart w:id="20" w:name="_Hlk40445863"/>
      <w:r w:rsidR="00E22790" w:rsidRPr="00E67A4C">
        <w:t xml:space="preserve">Dietary risk factors </w:t>
      </w:r>
      <w:r w:rsidR="008153D1" w:rsidRPr="00E67A4C">
        <w:t xml:space="preserve">(8.6%) </w:t>
      </w:r>
      <w:r w:rsidR="00E22790" w:rsidRPr="00E67A4C">
        <w:t>and high body mass index</w:t>
      </w:r>
      <w:r w:rsidR="008153D1" w:rsidRPr="00E67A4C">
        <w:t xml:space="preserve"> (8.2%)</w:t>
      </w:r>
      <w:r w:rsidR="00E22790" w:rsidRPr="00E67A4C">
        <w:t xml:space="preserve"> were the second and third leading causes of health loss in New Zealand in 2017.</w:t>
      </w:r>
      <w:r w:rsidR="00E22790" w:rsidRPr="00E67A4C">
        <w:rPr>
          <w:rStyle w:val="FootnoteReference"/>
        </w:rPr>
        <w:footnoteReference w:id="19"/>
      </w:r>
      <w:r w:rsidR="00E22790" w:rsidRPr="00E67A4C">
        <w:t xml:space="preserve"> </w:t>
      </w:r>
    </w:p>
    <w:bookmarkEnd w:id="20"/>
    <w:p w14:paraId="58EC7604" w14:textId="77777777" w:rsidR="005A7A94" w:rsidRPr="00E67A4C" w:rsidRDefault="005A7A94" w:rsidP="00570A8A">
      <w:pPr>
        <w:spacing w:after="40"/>
        <w:jc w:val="both"/>
      </w:pPr>
    </w:p>
    <w:p w14:paraId="4BD97065" w14:textId="7F0E9F1B" w:rsidR="00F7710F" w:rsidRPr="00E67A4C" w:rsidRDefault="005A7A94" w:rsidP="00570A8A">
      <w:pPr>
        <w:spacing w:after="40"/>
        <w:jc w:val="both"/>
      </w:pPr>
      <w:r w:rsidRPr="00E67A4C">
        <w:t>In 2015</w:t>
      </w:r>
      <w:r w:rsidR="00E8628B" w:rsidRPr="00E67A4C">
        <w:t>,</w:t>
      </w:r>
      <w:r w:rsidRPr="00E67A4C">
        <w:t xml:space="preserve"> PricewaterhouseCoopers (PwC) estimated the cost of obesity at $8.6 billion (AUD) per year in Australia. This included health system costs, tax foregone and productivity losses such as absenteeism.</w:t>
      </w:r>
      <w:r w:rsidR="00A87E17" w:rsidRPr="00E67A4C">
        <w:rPr>
          <w:rStyle w:val="FootnoteReference"/>
        </w:rPr>
        <w:footnoteReference w:id="20"/>
      </w:r>
      <w:r w:rsidRPr="00E67A4C">
        <w:t xml:space="preserve"> </w:t>
      </w:r>
      <w:r w:rsidR="003B02EC" w:rsidRPr="00E67A4C">
        <w:t xml:space="preserve">The Obesity Collective </w:t>
      </w:r>
      <w:r w:rsidR="00B80C31" w:rsidRPr="00E67A4C">
        <w:t>calculated that this cos</w:t>
      </w:r>
      <w:r w:rsidR="00E44108" w:rsidRPr="00E67A4C">
        <w:t>t had grown to $11.8 billion (AUD) in 2017-18</w:t>
      </w:r>
      <w:r w:rsidR="00464ABC" w:rsidRPr="00E67A4C">
        <w:t xml:space="preserve">, with </w:t>
      </w:r>
      <w:r w:rsidR="006F1B2D" w:rsidRPr="00E67A4C">
        <w:t xml:space="preserve">$5.4 billion in direct health costs and </w:t>
      </w:r>
      <w:r w:rsidR="00A134D6" w:rsidRPr="00E67A4C">
        <w:t>$6.4 billion in indirect costs</w:t>
      </w:r>
      <w:r w:rsidR="00464ABC" w:rsidRPr="00E67A4C">
        <w:t>.</w:t>
      </w:r>
      <w:r w:rsidR="00A87E17" w:rsidRPr="00E67A4C">
        <w:rPr>
          <w:rStyle w:val="FootnoteReference"/>
        </w:rPr>
        <w:footnoteReference w:id="21"/>
      </w:r>
      <w:r w:rsidR="0027530C" w:rsidRPr="00E67A4C">
        <w:t xml:space="preserve"> </w:t>
      </w:r>
      <w:r w:rsidRPr="00E67A4C">
        <w:t xml:space="preserve">PwC also estimated </w:t>
      </w:r>
      <w:r w:rsidR="00413FAE" w:rsidRPr="00E67A4C">
        <w:t xml:space="preserve">in 2015 </w:t>
      </w:r>
      <w:r w:rsidRPr="00E67A4C">
        <w:t xml:space="preserve">the </w:t>
      </w:r>
      <w:r w:rsidR="00E8628B" w:rsidRPr="00E67A4C">
        <w:t xml:space="preserve">annual </w:t>
      </w:r>
      <w:r w:rsidRPr="00E67A4C">
        <w:t>cost of loss of wellbeing and early death at $47.4 billion</w:t>
      </w:r>
      <w:r w:rsidRPr="00E67A4C">
        <w:rPr>
          <w:vertAlign w:val="superscript"/>
        </w:rPr>
        <w:t xml:space="preserve"> </w:t>
      </w:r>
      <w:r w:rsidRPr="00E67A4C">
        <w:t>(AUD)</w:t>
      </w:r>
      <w:r w:rsidRPr="00E67A4C">
        <w:rPr>
          <w:vertAlign w:val="superscript"/>
        </w:rPr>
        <w:footnoteReference w:id="22"/>
      </w:r>
      <w:r w:rsidRPr="00E67A4C">
        <w:t xml:space="preserve"> and that if the growth of obesity does not slowdown, 2.4 million Australians w</w:t>
      </w:r>
      <w:r w:rsidR="00C0115B" w:rsidRPr="00E67A4C">
        <w:t>ould</w:t>
      </w:r>
      <w:r w:rsidRPr="00E67A4C">
        <w:t xml:space="preserve"> be obese by 2025, costing society $87.7 billion</w:t>
      </w:r>
      <w:r w:rsidR="00E8628B" w:rsidRPr="00E67A4C">
        <w:t xml:space="preserve"> (AUD)</w:t>
      </w:r>
      <w:r w:rsidRPr="00E67A4C">
        <w:t xml:space="preserve">.  </w:t>
      </w:r>
    </w:p>
    <w:p w14:paraId="42F13A00" w14:textId="77777777" w:rsidR="00F7710F" w:rsidRPr="00E67A4C" w:rsidRDefault="00F7710F" w:rsidP="00570A8A">
      <w:pPr>
        <w:spacing w:after="40"/>
        <w:jc w:val="both"/>
      </w:pPr>
    </w:p>
    <w:p w14:paraId="04ED187F" w14:textId="28B1D43F" w:rsidR="00BF1621" w:rsidRDefault="005A7A94" w:rsidP="00570A8A">
      <w:pPr>
        <w:spacing w:after="40"/>
        <w:jc w:val="both"/>
      </w:pPr>
      <w:r w:rsidRPr="00E67A4C">
        <w:t>Comparable data on the cost of obesity in New Zealand is not available. However, in 2006, New Zealand healthcare costs due to the treatment of overweight and obesity-related conditions w</w:t>
      </w:r>
      <w:r w:rsidR="00901331" w:rsidRPr="00E67A4C">
        <w:t>ere</w:t>
      </w:r>
      <w:r w:rsidRPr="00E67A4C">
        <w:t xml:space="preserve"> estimated at $624 million (NZD). Given increased obesity rates since then, costs </w:t>
      </w:r>
      <w:r w:rsidR="00A106B2" w:rsidRPr="00E67A4C">
        <w:t xml:space="preserve">in New Zealand </w:t>
      </w:r>
      <w:r w:rsidRPr="00E67A4C">
        <w:t xml:space="preserve">are now likely to </w:t>
      </w:r>
      <w:r w:rsidR="00A106B2" w:rsidRPr="00E67A4C">
        <w:t xml:space="preserve">be </w:t>
      </w:r>
      <w:r w:rsidRPr="00E67A4C">
        <w:t>substantially higher.</w:t>
      </w:r>
      <w:r w:rsidR="00BF1621" w:rsidRPr="00E67A4C">
        <w:rPr>
          <w:rStyle w:val="FootnoteReference"/>
        </w:rPr>
        <w:footnoteReference w:id="23"/>
      </w:r>
    </w:p>
    <w:p w14:paraId="49283CE4" w14:textId="77777777" w:rsidR="00246032" w:rsidRDefault="00246032" w:rsidP="00570A8A">
      <w:pPr>
        <w:spacing w:after="40"/>
        <w:jc w:val="both"/>
      </w:pPr>
    </w:p>
    <w:p w14:paraId="18622176" w14:textId="1D6613D7" w:rsidR="005A7A94" w:rsidRPr="00E67A4C" w:rsidRDefault="005A7A94" w:rsidP="00246032">
      <w:pPr>
        <w:pStyle w:val="Heading3"/>
      </w:pPr>
      <w:bookmarkStart w:id="21" w:name="_Toc24103533"/>
      <w:bookmarkStart w:id="22" w:name="_Toc51165264"/>
      <w:r w:rsidRPr="00E67A4C">
        <w:t>1.</w:t>
      </w:r>
      <w:r w:rsidR="008957ED" w:rsidRPr="00E67A4C">
        <w:t>3</w:t>
      </w:r>
      <w:r w:rsidRPr="00E67A4C">
        <w:t xml:space="preserve"> </w:t>
      </w:r>
      <w:bookmarkEnd w:id="21"/>
      <w:r w:rsidRPr="00E67A4C">
        <w:t>Reliance on ready-to-eat meals and snacks</w:t>
      </w:r>
      <w:bookmarkEnd w:id="22"/>
    </w:p>
    <w:p w14:paraId="07AA6A70" w14:textId="61E904BC" w:rsidR="00400799" w:rsidRPr="00E67A4C" w:rsidRDefault="00400799" w:rsidP="00570A8A">
      <w:pPr>
        <w:spacing w:after="40"/>
        <w:jc w:val="both"/>
        <w:rPr>
          <w:vertAlign w:val="superscript"/>
        </w:rPr>
      </w:pPr>
      <w:r w:rsidRPr="00E67A4C">
        <w:t xml:space="preserve">Overweight and obesity is a complex problem with multiple causes. The </w:t>
      </w:r>
      <w:r w:rsidR="008820A1" w:rsidRPr="00E67A4C">
        <w:t xml:space="preserve">supply and </w:t>
      </w:r>
      <w:r w:rsidRPr="00E67A4C">
        <w:t xml:space="preserve">availability of </w:t>
      </w:r>
      <w:r w:rsidR="00A106B2" w:rsidRPr="00E67A4C">
        <w:t xml:space="preserve">ready-to-eat </w:t>
      </w:r>
      <w:r w:rsidRPr="00E67A4C">
        <w:t>food and drinks which are energy dense and nutrient poor is one of the key drivers of overweight and obesity.</w:t>
      </w:r>
      <w:r w:rsidRPr="00E67A4C">
        <w:rPr>
          <w:vertAlign w:val="superscript"/>
        </w:rPr>
        <w:footnoteReference w:id="24"/>
      </w:r>
      <w:r w:rsidRPr="00E67A4C">
        <w:rPr>
          <w:vertAlign w:val="superscript"/>
        </w:rPr>
        <w:t xml:space="preserve"> </w:t>
      </w:r>
    </w:p>
    <w:p w14:paraId="29A4EEB3" w14:textId="785AD115" w:rsidR="005A7A94" w:rsidRPr="00E67A4C" w:rsidRDefault="00B15535" w:rsidP="00570A8A">
      <w:pPr>
        <w:spacing w:after="40"/>
        <w:jc w:val="both"/>
      </w:pPr>
      <w:r w:rsidRPr="00E67A4C">
        <w:lastRenderedPageBreak/>
        <w:t>I</w:t>
      </w:r>
      <w:r w:rsidR="005A7A94" w:rsidRPr="00E67A4C">
        <w:t>ncreasingly, consumer</w:t>
      </w:r>
      <w:r w:rsidR="00A3768F" w:rsidRPr="00E67A4C">
        <w:t>s are making</w:t>
      </w:r>
      <w:r w:rsidR="005A7A94" w:rsidRPr="00E67A4C">
        <w:t xml:space="preserve"> food choices in a queue or on a device</w:t>
      </w:r>
      <w:r w:rsidR="00A3768F" w:rsidRPr="00E67A4C">
        <w:t>, rather than preparing food at home</w:t>
      </w:r>
      <w:r w:rsidR="005A7A94" w:rsidRPr="00E67A4C">
        <w:t xml:space="preserve">. </w:t>
      </w:r>
      <w:r w:rsidR="008C2A78" w:rsidRPr="00E67A4C">
        <w:t>In 2017-18, o</w:t>
      </w:r>
      <w:r w:rsidR="005A7A94" w:rsidRPr="00E67A4C">
        <w:t xml:space="preserve">ver 17 million </w:t>
      </w:r>
      <w:r w:rsidR="004666A7" w:rsidRPr="00E67A4C">
        <w:t>(</w:t>
      </w:r>
      <w:r w:rsidR="007766D8" w:rsidRPr="00E67A4C">
        <w:t>84.5</w:t>
      </w:r>
      <w:r w:rsidR="004666A7" w:rsidRPr="00E67A4C">
        <w:t xml:space="preserve">%) </w:t>
      </w:r>
      <w:r w:rsidR="005A7A94" w:rsidRPr="00E67A4C">
        <w:t>Australians</w:t>
      </w:r>
      <w:r w:rsidR="00F766EF" w:rsidRPr="00E67A4C">
        <w:rPr>
          <w:rStyle w:val="FootnoteReference"/>
        </w:rPr>
        <w:footnoteReference w:id="25"/>
      </w:r>
      <w:r w:rsidR="005A7A94" w:rsidRPr="00E67A4C">
        <w:t xml:space="preserve"> </w:t>
      </w:r>
      <w:r w:rsidR="00E03734" w:rsidRPr="00E67A4C">
        <w:t xml:space="preserve">and </w:t>
      </w:r>
      <w:r w:rsidR="000034A5" w:rsidRPr="00E67A4C">
        <w:t>over 3.2 million (84.8%) New Zealanders</w:t>
      </w:r>
      <w:r w:rsidR="00F766EF" w:rsidRPr="00E67A4C">
        <w:rPr>
          <w:rStyle w:val="FootnoteReference"/>
        </w:rPr>
        <w:footnoteReference w:id="26"/>
      </w:r>
      <w:r w:rsidR="000034A5" w:rsidRPr="00E67A4C">
        <w:t xml:space="preserve"> </w:t>
      </w:r>
      <w:r w:rsidR="008C2A78" w:rsidRPr="00E67A4C">
        <w:t xml:space="preserve">purchased </w:t>
      </w:r>
      <w:r w:rsidR="005A7A94" w:rsidRPr="00E67A4C">
        <w:t xml:space="preserve">ready-to-eat meals and snacks from major fast food outlets, independent takeaway </w:t>
      </w:r>
      <w:r w:rsidR="007B3C47" w:rsidRPr="00E67A4C">
        <w:t>shops,</w:t>
      </w:r>
      <w:r w:rsidR="005A7A94" w:rsidRPr="00E67A4C">
        <w:t xml:space="preserve"> and convenience stores. </w:t>
      </w:r>
      <w:r w:rsidR="00AC7700" w:rsidRPr="00E67A4C">
        <w:t xml:space="preserve">In both countries, </w:t>
      </w:r>
      <w:r w:rsidR="004C1CF1" w:rsidRPr="00E67A4C">
        <w:t xml:space="preserve">the </w:t>
      </w:r>
      <w:r w:rsidR="00601E60" w:rsidRPr="00E67A4C">
        <w:t xml:space="preserve">top </w:t>
      </w:r>
      <w:r w:rsidR="00405841" w:rsidRPr="00E67A4C">
        <w:t>five</w:t>
      </w:r>
      <w:r w:rsidR="00601E60" w:rsidRPr="00E67A4C">
        <w:t xml:space="preserve"> most frequented businesses were </w:t>
      </w:r>
      <w:r w:rsidR="00305034" w:rsidRPr="00E67A4C">
        <w:t>McDonald’s, KFC, Domino’s Pizza, Hungry Jacks/Burger King and Subway</w:t>
      </w:r>
      <w:r w:rsidR="0043376B" w:rsidRPr="00E67A4C">
        <w:t>.</w:t>
      </w:r>
      <w:r w:rsidR="00601E60" w:rsidRPr="00E67A4C">
        <w:t xml:space="preserve"> </w:t>
      </w:r>
      <w:r w:rsidR="00E563ED" w:rsidRPr="00E67A4C">
        <w:t>In 2019, Australian</w:t>
      </w:r>
      <w:r w:rsidR="00075A4D" w:rsidRPr="00E67A4C">
        <w:t>s</w:t>
      </w:r>
      <w:r w:rsidR="00E563ED" w:rsidRPr="00E67A4C">
        <w:t xml:space="preserve"> averaged 65 takeaway</w:t>
      </w:r>
      <w:r w:rsidR="00CE04B0" w:rsidRPr="00E67A4C">
        <w:t xml:space="preserve"> food</w:t>
      </w:r>
      <w:r w:rsidR="00E563ED" w:rsidRPr="00E67A4C">
        <w:t xml:space="preserve"> transactions, totalling 1.6 billion transactions.</w:t>
      </w:r>
      <w:r w:rsidR="00E563ED" w:rsidRPr="00E67A4C">
        <w:rPr>
          <w:rStyle w:val="FootnoteReference"/>
        </w:rPr>
        <w:footnoteReference w:id="27"/>
      </w:r>
      <w:r w:rsidR="00E563ED" w:rsidRPr="00E67A4C">
        <w:t xml:space="preserve"> </w:t>
      </w:r>
      <w:r w:rsidR="008C2A78" w:rsidRPr="00E67A4C">
        <w:t>In 2018, n</w:t>
      </w:r>
      <w:r w:rsidR="005A7A94" w:rsidRPr="00E67A4C">
        <w:t xml:space="preserve">early 2 million </w:t>
      </w:r>
      <w:r w:rsidR="00DB774E" w:rsidRPr="00E67A4C">
        <w:t xml:space="preserve">(8%) </w:t>
      </w:r>
      <w:r w:rsidR="005A7A94" w:rsidRPr="00E67A4C">
        <w:t xml:space="preserve">Australians, particularly those aged between 14 and 42 years, </w:t>
      </w:r>
      <w:r w:rsidR="008C2A78" w:rsidRPr="00E67A4C">
        <w:t xml:space="preserve">used </w:t>
      </w:r>
      <w:r w:rsidR="005A7A94" w:rsidRPr="00E67A4C">
        <w:t>third-party food delivery platforms.</w:t>
      </w:r>
      <w:r w:rsidR="005A7A94" w:rsidRPr="00E67A4C">
        <w:rPr>
          <w:rStyle w:val="FootnoteReference"/>
        </w:rPr>
        <w:footnoteReference w:id="28"/>
      </w:r>
      <w:r w:rsidR="005A7A94" w:rsidRPr="00E67A4C">
        <w:t xml:space="preserve"> </w:t>
      </w:r>
    </w:p>
    <w:p w14:paraId="7BDF36A9" w14:textId="77777777" w:rsidR="008F1005" w:rsidRPr="00E67A4C" w:rsidRDefault="008F1005" w:rsidP="00570A8A">
      <w:pPr>
        <w:spacing w:after="40"/>
        <w:jc w:val="both"/>
      </w:pPr>
    </w:p>
    <w:p w14:paraId="63EFD4D8" w14:textId="4D96C468" w:rsidR="005A7A94" w:rsidRPr="00E67A4C" w:rsidRDefault="005A7A94" w:rsidP="00570A8A">
      <w:pPr>
        <w:spacing w:after="40"/>
        <w:jc w:val="both"/>
      </w:pPr>
      <w:r w:rsidRPr="00E67A4C">
        <w:t xml:space="preserve">In 2015-16, Australian households </w:t>
      </w:r>
      <w:r w:rsidR="008C2A78" w:rsidRPr="00E67A4C">
        <w:t>spent</w:t>
      </w:r>
      <w:r w:rsidRPr="00E67A4C">
        <w:t xml:space="preserve"> 34 per cent of the food dollar on eating out, fast food and takeaway; with a greater proportion of expenditure as household income rose.</w:t>
      </w:r>
      <w:r w:rsidR="0024226A" w:rsidRPr="00E67A4C">
        <w:t xml:space="preserve"> Australians aged 15 to 34 years spen</w:t>
      </w:r>
      <w:r w:rsidR="00E10D56" w:rsidRPr="00E67A4C">
        <w:t>t</w:t>
      </w:r>
      <w:r w:rsidR="0024226A" w:rsidRPr="00E67A4C">
        <w:t xml:space="preserve"> the greatest amount (approximately $1,900 per annum) and the greatest share (41-42%) of food expenditure on eating out and fast food, while those aged 75 years and older spen</w:t>
      </w:r>
      <w:r w:rsidR="00E10D56" w:rsidRPr="00E67A4C">
        <w:t>t</w:t>
      </w:r>
      <w:r w:rsidR="0024226A" w:rsidRPr="00E67A4C">
        <w:t xml:space="preserve"> considerably less.</w:t>
      </w:r>
      <w:r w:rsidRPr="00E67A4C">
        <w:rPr>
          <w:rStyle w:val="FootnoteReference"/>
        </w:rPr>
        <w:footnoteReference w:id="29"/>
      </w:r>
    </w:p>
    <w:p w14:paraId="02C55902" w14:textId="77777777" w:rsidR="005A7A94" w:rsidRPr="00E67A4C" w:rsidRDefault="005A7A94" w:rsidP="00570A8A">
      <w:pPr>
        <w:spacing w:after="40"/>
        <w:jc w:val="both"/>
      </w:pPr>
    </w:p>
    <w:p w14:paraId="67F462D6" w14:textId="7FDE7C6E" w:rsidR="005A7A94" w:rsidRPr="00E67A4C" w:rsidRDefault="005A7A94" w:rsidP="00570A8A">
      <w:pPr>
        <w:spacing w:after="40"/>
        <w:jc w:val="both"/>
      </w:pPr>
      <w:r w:rsidRPr="00E67A4C">
        <w:t xml:space="preserve">In </w:t>
      </w:r>
      <w:r w:rsidR="008C2A78" w:rsidRPr="00E67A4C">
        <w:t>2015-</w:t>
      </w:r>
      <w:r w:rsidRPr="00E67A4C">
        <w:t>16, half of New Zealand households ate out at least weekly, with more than a quarter ($61) of the weekly food dollar spent on restaurant meals and ready-to-eat food.</w:t>
      </w:r>
      <w:r w:rsidR="0024226A" w:rsidRPr="00E67A4C">
        <w:t xml:space="preserve"> </w:t>
      </w:r>
      <w:r w:rsidR="00464EE2" w:rsidRPr="00E67A4C">
        <w:t>This was 2</w:t>
      </w:r>
      <w:r w:rsidR="0024226A" w:rsidRPr="00E67A4C">
        <w:t xml:space="preserve">5 per cent </w:t>
      </w:r>
      <w:r w:rsidR="00E14801" w:rsidRPr="00E67A4C">
        <w:t xml:space="preserve">higher than </w:t>
      </w:r>
      <w:r w:rsidR="0024226A" w:rsidRPr="00E67A4C">
        <w:t xml:space="preserve">2012-13, although, in part, </w:t>
      </w:r>
      <w:r w:rsidR="003C693F" w:rsidRPr="00E67A4C">
        <w:t xml:space="preserve">could reflect </w:t>
      </w:r>
      <w:r w:rsidR="0024226A" w:rsidRPr="00E67A4C">
        <w:t>increased restaurant prices.</w:t>
      </w:r>
      <w:r w:rsidRPr="00E67A4C">
        <w:rPr>
          <w:vertAlign w:val="superscript"/>
        </w:rPr>
        <w:footnoteReference w:id="30"/>
      </w:r>
      <w:r w:rsidRPr="00E67A4C">
        <w:t xml:space="preserve"> </w:t>
      </w:r>
    </w:p>
    <w:p w14:paraId="2580A608" w14:textId="77777777" w:rsidR="00584257" w:rsidRPr="00E67A4C" w:rsidRDefault="00584257" w:rsidP="00570A8A">
      <w:pPr>
        <w:spacing w:after="40"/>
        <w:jc w:val="both"/>
      </w:pPr>
    </w:p>
    <w:p w14:paraId="536E35CE" w14:textId="033B57A5" w:rsidR="005A7A94" w:rsidRPr="00E67A4C" w:rsidRDefault="005A7A94" w:rsidP="00246032">
      <w:pPr>
        <w:pStyle w:val="Heading3"/>
      </w:pPr>
      <w:bookmarkStart w:id="23" w:name="_Toc24103535"/>
      <w:bookmarkStart w:id="24" w:name="_Toc51165265"/>
      <w:r w:rsidRPr="00E67A4C">
        <w:t>1.</w:t>
      </w:r>
      <w:r w:rsidR="00F16176" w:rsidRPr="00E67A4C">
        <w:t>4</w:t>
      </w:r>
      <w:r w:rsidRPr="00E67A4C">
        <w:t xml:space="preserve"> Menu labelling schemes</w:t>
      </w:r>
      <w:bookmarkEnd w:id="23"/>
      <w:bookmarkEnd w:id="24"/>
    </w:p>
    <w:p w14:paraId="62503DAD" w14:textId="1DE9709D" w:rsidR="00517FD0" w:rsidRPr="00E67A4C" w:rsidRDefault="00EC33AC" w:rsidP="00517FD0">
      <w:pPr>
        <w:spacing w:after="40"/>
        <w:jc w:val="both"/>
      </w:pPr>
      <w:r w:rsidRPr="00E67A4C">
        <w:t xml:space="preserve">A range of factors influence consumer behaviour and dietary intakes. The provision of information through menu labelling </w:t>
      </w:r>
      <w:r w:rsidR="00DD553D" w:rsidRPr="00E67A4C">
        <w:t>may be</w:t>
      </w:r>
      <w:r w:rsidRPr="00E67A4C">
        <w:t xml:space="preserve"> one important </w:t>
      </w:r>
      <w:r w:rsidR="004D2715" w:rsidRPr="00E67A4C">
        <w:t xml:space="preserve">cost-effective </w:t>
      </w:r>
      <w:r w:rsidRPr="00E67A4C">
        <w:t>mechanism which can support people to make more informed choices about the ready-to-eat foods they purchase and consume.</w:t>
      </w:r>
      <w:r w:rsidR="00797561" w:rsidRPr="00E67A4C">
        <w:rPr>
          <w:rStyle w:val="FootnoteReference"/>
        </w:rPr>
        <w:footnoteReference w:id="31"/>
      </w:r>
      <w:r w:rsidR="008B5787" w:rsidRPr="00E67A4C">
        <w:rPr>
          <w:vertAlign w:val="superscript"/>
        </w:rPr>
        <w:t>,</w:t>
      </w:r>
      <w:r w:rsidR="008B5787" w:rsidRPr="00E67A4C">
        <w:rPr>
          <w:rStyle w:val="FootnoteReference"/>
        </w:rPr>
        <w:footnoteReference w:id="32"/>
      </w:r>
      <w:r w:rsidR="004D2715" w:rsidRPr="00E67A4C">
        <w:rPr>
          <w:vertAlign w:val="superscript"/>
        </w:rPr>
        <w:t>,</w:t>
      </w:r>
      <w:r w:rsidR="004D2715" w:rsidRPr="00E67A4C">
        <w:rPr>
          <w:rStyle w:val="FootnoteReference"/>
        </w:rPr>
        <w:footnoteReference w:id="33"/>
      </w:r>
      <w:r w:rsidR="001E15FE" w:rsidRPr="00E67A4C">
        <w:rPr>
          <w:vertAlign w:val="superscript"/>
        </w:rPr>
        <w:t>,</w:t>
      </w:r>
      <w:r w:rsidR="001E15FE" w:rsidRPr="00E67A4C">
        <w:rPr>
          <w:rStyle w:val="FootnoteReference"/>
        </w:rPr>
        <w:footnoteReference w:id="34"/>
      </w:r>
      <w:r w:rsidR="004D2715" w:rsidRPr="00E67A4C">
        <w:rPr>
          <w:vertAlign w:val="superscript"/>
        </w:rPr>
        <w:t xml:space="preserve"> </w:t>
      </w:r>
      <w:r w:rsidR="00517FD0" w:rsidRPr="00E67A4C">
        <w:t>Menu labelling alone will not reduce overall kilojoule intake, overweight and obesity or diet-related chronic disease</w:t>
      </w:r>
      <w:r w:rsidR="00991427" w:rsidRPr="00E67A4C">
        <w:t>. I</w:t>
      </w:r>
      <w:r w:rsidR="00DE699B" w:rsidRPr="00E67A4C">
        <w:t>t is an important part of a multi-strategy approach to supporting behaviour change</w:t>
      </w:r>
      <w:r w:rsidR="00517FD0" w:rsidRPr="00E67A4C">
        <w:t xml:space="preserve">.  </w:t>
      </w:r>
      <w:r w:rsidR="00323C69" w:rsidRPr="00E67A4C">
        <w:t>I</w:t>
      </w:r>
      <w:r w:rsidR="00517FD0" w:rsidRPr="00E67A4C">
        <w:t xml:space="preserve">f consumers use menu labelling to make healthier food choices, reduced consumption of kilojoules and associated better health outcomes could logically be expected. However, </w:t>
      </w:r>
      <w:r w:rsidR="00DE699B" w:rsidRPr="00E67A4C">
        <w:t>due to the complexity of understanding consumer behaviour</w:t>
      </w:r>
      <w:r w:rsidR="004B428F" w:rsidRPr="00E67A4C">
        <w:t>,</w:t>
      </w:r>
      <w:r w:rsidR="00DE699B" w:rsidRPr="00E67A4C">
        <w:t xml:space="preserve"> </w:t>
      </w:r>
      <w:r w:rsidR="00517FD0" w:rsidRPr="00E67A4C">
        <w:t xml:space="preserve">the evidence for the effectiveness of menu labelling schemes is equivocal. For example, some meta-analyses indicate that consumers purchase fewer kilojoules and that the energy content of menu items decreases when menu labelling is implemented. Other analyses and systematic reviews suggest </w:t>
      </w:r>
      <w:r w:rsidR="00517FD0" w:rsidRPr="00E67A4C">
        <w:lastRenderedPageBreak/>
        <w:t xml:space="preserve">that menu labelling has a minimal effect of food purchases and consumption. Refer to Appendix </w:t>
      </w:r>
      <w:r w:rsidR="00BC3AEE" w:rsidRPr="00E67A4C">
        <w:t>2</w:t>
      </w:r>
      <w:r w:rsidR="00517FD0" w:rsidRPr="00E67A4C">
        <w:t xml:space="preserve"> for a summary of evidence. </w:t>
      </w:r>
    </w:p>
    <w:p w14:paraId="7CF55AE9" w14:textId="58F2CCE1" w:rsidR="00664B59" w:rsidRPr="00E67A4C" w:rsidRDefault="00664B59" w:rsidP="00517FD0">
      <w:pPr>
        <w:spacing w:after="40"/>
        <w:jc w:val="both"/>
      </w:pPr>
    </w:p>
    <w:p w14:paraId="55650CED" w14:textId="1CC11CF7" w:rsidR="00F505CD" w:rsidRPr="00E67A4C" w:rsidRDefault="00664B59" w:rsidP="00F505CD">
      <w:pPr>
        <w:spacing w:after="40"/>
        <w:jc w:val="both"/>
        <w:rPr>
          <w:vertAlign w:val="superscript"/>
        </w:rPr>
      </w:pPr>
      <w:r w:rsidRPr="00E67A4C">
        <w:t>Labelling can only be effective when it is firstly noticed by the consumer. Then, followed by an understanding of the information being communicated, it can be used in a meaningful manner according to consumer needs and wants.</w:t>
      </w:r>
      <w:r w:rsidRPr="00E67A4C">
        <w:rPr>
          <w:rStyle w:val="FootnoteReference"/>
        </w:rPr>
        <w:footnoteReference w:id="35"/>
      </w:r>
      <w:r w:rsidRPr="00E67A4C">
        <w:t xml:space="preserve"> The content, format and context of food labels all influence how useful they are for consumers.</w:t>
      </w:r>
      <w:r w:rsidRPr="00E67A4C">
        <w:rPr>
          <w:rStyle w:val="FootnoteReference"/>
        </w:rPr>
        <w:footnoteReference w:id="36"/>
      </w:r>
      <w:r w:rsidRPr="00E67A4C">
        <w:t xml:space="preserve"> Consumers also need to be motivated to use the provided information to choose healthier foods.</w:t>
      </w:r>
      <w:r w:rsidR="00F505CD" w:rsidRPr="00E67A4C">
        <w:t xml:space="preserve"> The impact of menu labelling may also be influenced by an individual’s socioeconomic status, gender, body weight, taste preferences, emotional response to menu labelling and whether they are restricting energy intake, as well as by price and convenience on purchasing decisions.</w:t>
      </w:r>
      <w:r w:rsidR="00F505CD" w:rsidRPr="00E67A4C">
        <w:rPr>
          <w:rStyle w:val="FootnoteReference"/>
        </w:rPr>
        <w:footnoteReference w:id="37"/>
      </w:r>
      <w:r w:rsidR="00F505CD" w:rsidRPr="00E67A4C">
        <w:rPr>
          <w:vertAlign w:val="superscript"/>
        </w:rPr>
        <w:t>,</w:t>
      </w:r>
      <w:r w:rsidR="00F505CD" w:rsidRPr="00E67A4C">
        <w:rPr>
          <w:rStyle w:val="FootnoteReference"/>
        </w:rPr>
        <w:footnoteReference w:id="38"/>
      </w:r>
      <w:r w:rsidR="00F505CD" w:rsidRPr="00E67A4C">
        <w:rPr>
          <w:vertAlign w:val="superscript"/>
        </w:rPr>
        <w:t>,</w:t>
      </w:r>
      <w:r w:rsidR="00F505CD" w:rsidRPr="00E67A4C">
        <w:rPr>
          <w:rStyle w:val="FootnoteReference"/>
        </w:rPr>
        <w:footnoteReference w:id="39"/>
      </w:r>
      <w:r w:rsidR="00F505CD" w:rsidRPr="00E67A4C">
        <w:rPr>
          <w:vertAlign w:val="superscript"/>
        </w:rPr>
        <w:t>,</w:t>
      </w:r>
      <w:r w:rsidR="00F505CD" w:rsidRPr="00E67A4C">
        <w:rPr>
          <w:rStyle w:val="FootnoteReference"/>
        </w:rPr>
        <w:footnoteReference w:id="40"/>
      </w:r>
      <w:r w:rsidR="00F505CD" w:rsidRPr="00E67A4C">
        <w:rPr>
          <w:vertAlign w:val="superscript"/>
        </w:rPr>
        <w:t>,</w:t>
      </w:r>
      <w:r w:rsidR="00F505CD" w:rsidRPr="00E67A4C">
        <w:rPr>
          <w:rStyle w:val="FootnoteReference"/>
        </w:rPr>
        <w:footnoteReference w:id="41"/>
      </w:r>
      <w:r w:rsidR="00F505CD" w:rsidRPr="00E67A4C">
        <w:rPr>
          <w:vertAlign w:val="superscript"/>
        </w:rPr>
        <w:t xml:space="preserve"> </w:t>
      </w:r>
    </w:p>
    <w:p w14:paraId="59E06210" w14:textId="77777777" w:rsidR="00387595" w:rsidRPr="00E67A4C" w:rsidRDefault="00387595" w:rsidP="007D39FB">
      <w:pPr>
        <w:spacing w:after="40"/>
        <w:jc w:val="both"/>
      </w:pPr>
    </w:p>
    <w:p w14:paraId="5AFC7F0B" w14:textId="685EB598" w:rsidR="00F03189" w:rsidRPr="00E67A4C" w:rsidRDefault="00413FAE" w:rsidP="00246032">
      <w:pPr>
        <w:pStyle w:val="Heading3"/>
      </w:pPr>
      <w:bookmarkStart w:id="25" w:name="_Toc51165266"/>
      <w:r w:rsidRPr="00E67A4C">
        <w:t>1.</w:t>
      </w:r>
      <w:r w:rsidR="00F16176" w:rsidRPr="00E67A4C">
        <w:t>5</w:t>
      </w:r>
      <w:r w:rsidRPr="00E67A4C">
        <w:t xml:space="preserve"> </w:t>
      </w:r>
      <w:r w:rsidR="00456F55" w:rsidRPr="00E67A4C">
        <w:t>Current m</w:t>
      </w:r>
      <w:r w:rsidR="00BC2D61" w:rsidRPr="00E67A4C">
        <w:t xml:space="preserve">enu labelling </w:t>
      </w:r>
      <w:r w:rsidR="00146260" w:rsidRPr="00E67A4C">
        <w:t xml:space="preserve">principles, </w:t>
      </w:r>
      <w:r w:rsidR="00A71358" w:rsidRPr="00E67A4C">
        <w:t>policy,</w:t>
      </w:r>
      <w:r w:rsidR="00146260" w:rsidRPr="00E67A4C">
        <w:t xml:space="preserve"> </w:t>
      </w:r>
      <w:r w:rsidR="007D2C3D" w:rsidRPr="00E67A4C">
        <w:t>and regulation</w:t>
      </w:r>
      <w:bookmarkEnd w:id="25"/>
    </w:p>
    <w:p w14:paraId="07C3058B" w14:textId="2DF7907F" w:rsidR="00146260" w:rsidRPr="00E67A4C" w:rsidRDefault="006B5FFC" w:rsidP="00570A8A">
      <w:pPr>
        <w:pStyle w:val="Default"/>
        <w:jc w:val="both"/>
        <w:rPr>
          <w:color w:val="auto"/>
          <w:lang w:eastAsia="zh-CN" w:bidi="th-TH"/>
        </w:rPr>
      </w:pPr>
      <w:r w:rsidRPr="00E67A4C">
        <w:rPr>
          <w:color w:val="auto"/>
          <w:lang w:eastAsia="zh-CN" w:bidi="th-TH"/>
        </w:rPr>
        <w:t xml:space="preserve">In December 2010, Food Ministers agreed that Australians should have the opportunity when purchasing food from chain fast food outlets to know more about the nutritional content of foods prepared and served away from home. </w:t>
      </w:r>
      <w:r w:rsidR="00146260" w:rsidRPr="00E67A4C">
        <w:rPr>
          <w:color w:val="auto"/>
          <w:lang w:eastAsia="zh-CN" w:bidi="th-TH"/>
        </w:rPr>
        <w:t>Principles to guide the consistent implementation of menu labelling schemes were subsequently developed</w:t>
      </w:r>
      <w:r w:rsidR="006B6FF2" w:rsidRPr="00E67A4C">
        <w:rPr>
          <w:color w:val="auto"/>
          <w:lang w:eastAsia="zh-CN" w:bidi="th-TH"/>
        </w:rPr>
        <w:t>,</w:t>
      </w:r>
      <w:r w:rsidR="00146260" w:rsidRPr="00E67A4C">
        <w:rPr>
          <w:rStyle w:val="FootnoteReference"/>
          <w:color w:val="auto"/>
          <w:lang w:eastAsia="zh-CN" w:bidi="th-TH"/>
        </w:rPr>
        <w:footnoteReference w:id="42"/>
      </w:r>
      <w:r w:rsidR="00146260" w:rsidRPr="00E67A4C">
        <w:rPr>
          <w:color w:val="auto"/>
          <w:lang w:eastAsia="zh-CN" w:bidi="th-TH"/>
        </w:rPr>
        <w:t xml:space="preserve"> and endorsed by Ministers in October 2011.</w:t>
      </w:r>
    </w:p>
    <w:p w14:paraId="436A2861" w14:textId="77777777" w:rsidR="001043FB" w:rsidRPr="00E67A4C" w:rsidRDefault="001043FB" w:rsidP="00570A8A">
      <w:pPr>
        <w:spacing w:after="40"/>
        <w:jc w:val="both"/>
        <w:rPr>
          <w:vertAlign w:val="superscript"/>
          <w:lang w:eastAsia="zh-CN" w:bidi="th-TH"/>
        </w:rPr>
      </w:pPr>
    </w:p>
    <w:p w14:paraId="5A9BEBFA" w14:textId="5CC1D1B6" w:rsidR="00F03189" w:rsidRPr="00E67A4C" w:rsidRDefault="00F03189" w:rsidP="00570A8A">
      <w:pPr>
        <w:spacing w:after="40"/>
        <w:jc w:val="both"/>
        <w:rPr>
          <w:lang w:eastAsia="zh-CN" w:bidi="th-TH"/>
        </w:rPr>
      </w:pPr>
      <w:r w:rsidRPr="00E67A4C">
        <w:rPr>
          <w:lang w:eastAsia="zh-CN" w:bidi="th-TH"/>
        </w:rPr>
        <w:t xml:space="preserve">The </w:t>
      </w:r>
      <w:r w:rsidR="00473905" w:rsidRPr="00E67A4C">
        <w:rPr>
          <w:lang w:eastAsia="zh-CN" w:bidi="th-TH"/>
        </w:rPr>
        <w:t>2011 P</w:t>
      </w:r>
      <w:r w:rsidRPr="00E67A4C">
        <w:rPr>
          <w:lang w:eastAsia="zh-CN" w:bidi="th-TH"/>
        </w:rPr>
        <w:t>rinciples</w:t>
      </w:r>
      <w:r w:rsidR="00146260" w:rsidRPr="00E67A4C">
        <w:rPr>
          <w:rStyle w:val="FootnoteReference"/>
          <w:lang w:eastAsia="zh-CN" w:bidi="th-TH"/>
        </w:rPr>
        <w:footnoteReference w:id="43"/>
      </w:r>
      <w:r w:rsidRPr="00E67A4C">
        <w:rPr>
          <w:lang w:eastAsia="zh-CN" w:bidi="th-TH"/>
        </w:rPr>
        <w:t xml:space="preserve"> are</w:t>
      </w:r>
      <w:r w:rsidR="001043FB" w:rsidRPr="00E67A4C">
        <w:rPr>
          <w:lang w:eastAsia="zh-CN" w:bidi="th-TH"/>
        </w:rPr>
        <w:t xml:space="preserve"> that menu labelling should</w:t>
      </w:r>
      <w:r w:rsidRPr="00E67A4C">
        <w:rPr>
          <w:lang w:eastAsia="zh-CN" w:bidi="th-TH"/>
        </w:rPr>
        <w:t>:</w:t>
      </w:r>
    </w:p>
    <w:p w14:paraId="2AB8AE63" w14:textId="77777777" w:rsidR="00F03189" w:rsidRPr="00E67A4C" w:rsidRDefault="00F03189" w:rsidP="00F76FDC">
      <w:pPr>
        <w:pStyle w:val="ListParagraph"/>
        <w:numPr>
          <w:ilvl w:val="0"/>
          <w:numId w:val="5"/>
        </w:numPr>
        <w:spacing w:after="40"/>
        <w:jc w:val="both"/>
        <w:rPr>
          <w:lang w:eastAsia="zh-CN" w:bidi="th-TH"/>
        </w:rPr>
      </w:pPr>
      <w:r w:rsidRPr="00E67A4C">
        <w:t xml:space="preserve">Recognise that any change should contribute to improving public health outcomes. </w:t>
      </w:r>
    </w:p>
    <w:p w14:paraId="0A06DA45" w14:textId="58A9DE46" w:rsidR="00F03189" w:rsidRPr="00E67A4C" w:rsidRDefault="00F03189" w:rsidP="00F76FDC">
      <w:pPr>
        <w:pStyle w:val="ListParagraph"/>
        <w:numPr>
          <w:ilvl w:val="0"/>
          <w:numId w:val="5"/>
        </w:numPr>
        <w:spacing w:after="40"/>
        <w:jc w:val="both"/>
        <w:rPr>
          <w:lang w:eastAsia="zh-CN" w:bidi="th-TH"/>
        </w:rPr>
      </w:pPr>
      <w:r w:rsidRPr="00E67A4C">
        <w:t xml:space="preserve">Be consistent with the nationally agreed approach outlined below: Any jurisdiction that chooses to introduce </w:t>
      </w:r>
      <w:r w:rsidR="00843410" w:rsidRPr="00E67A4C">
        <w:t>point-of-sale (</w:t>
      </w:r>
      <w:r w:rsidRPr="00E67A4C">
        <w:t>POS</w:t>
      </w:r>
      <w:r w:rsidR="00843410" w:rsidRPr="00E67A4C">
        <w:t>)</w:t>
      </w:r>
      <w:r w:rsidRPr="00E67A4C">
        <w:t xml:space="preserve"> nutrition information at standard food outlets should: </w:t>
      </w:r>
    </w:p>
    <w:p w14:paraId="43F0356D" w14:textId="77777777" w:rsidR="00F03189" w:rsidRPr="00E67A4C" w:rsidRDefault="00F03189" w:rsidP="00246032">
      <w:pPr>
        <w:pStyle w:val="ListParagraph"/>
        <w:numPr>
          <w:ilvl w:val="1"/>
          <w:numId w:val="5"/>
        </w:numPr>
        <w:spacing w:after="40"/>
        <w:ind w:left="1276" w:hanging="283"/>
        <w:jc w:val="both"/>
        <w:rPr>
          <w:lang w:eastAsia="zh-CN" w:bidi="th-TH"/>
        </w:rPr>
      </w:pPr>
      <w:r w:rsidRPr="00E67A4C">
        <w:t xml:space="preserve">Use the guideline definitions and explanation of terms agreed by the ANZFRMC. </w:t>
      </w:r>
    </w:p>
    <w:p w14:paraId="713E5E74" w14:textId="77777777" w:rsidR="00F03189" w:rsidRPr="00E67A4C" w:rsidRDefault="00F03189" w:rsidP="00246032">
      <w:pPr>
        <w:pStyle w:val="ListParagraph"/>
        <w:numPr>
          <w:ilvl w:val="1"/>
          <w:numId w:val="5"/>
        </w:numPr>
        <w:spacing w:after="40"/>
        <w:ind w:left="1276" w:hanging="283"/>
        <w:jc w:val="both"/>
      </w:pPr>
      <w:r w:rsidRPr="00E67A4C">
        <w:t xml:space="preserve">Require the disclosure of energy content at POS by placing the average kilojoule (kJ) content of each standard food item on each menu: </w:t>
      </w:r>
    </w:p>
    <w:p w14:paraId="5444F1D7" w14:textId="0BB129BE" w:rsidR="003F035B" w:rsidRPr="00E67A4C" w:rsidRDefault="00F03189" w:rsidP="00246032">
      <w:pPr>
        <w:pStyle w:val="ListParagraph"/>
        <w:numPr>
          <w:ilvl w:val="2"/>
          <w:numId w:val="5"/>
        </w:numPr>
        <w:spacing w:after="40"/>
        <w:ind w:left="1560" w:hanging="284"/>
        <w:jc w:val="both"/>
        <w:rPr>
          <w:lang w:eastAsia="zh-CN" w:bidi="th-TH"/>
        </w:rPr>
      </w:pPr>
      <w:r w:rsidRPr="00E67A4C">
        <w:t xml:space="preserve">adjacent to the name of the standard food item, and </w:t>
      </w:r>
    </w:p>
    <w:p w14:paraId="0A6A3F35" w14:textId="34DE6E94" w:rsidR="00F03189" w:rsidRPr="00E67A4C" w:rsidRDefault="00F03189" w:rsidP="00246032">
      <w:pPr>
        <w:pStyle w:val="ListParagraph"/>
        <w:numPr>
          <w:ilvl w:val="2"/>
          <w:numId w:val="5"/>
        </w:numPr>
        <w:spacing w:after="40"/>
        <w:ind w:left="1560" w:hanging="284"/>
        <w:jc w:val="both"/>
        <w:rPr>
          <w:lang w:eastAsia="zh-CN" w:bidi="th-TH"/>
        </w:rPr>
      </w:pPr>
      <w:r w:rsidRPr="00E67A4C">
        <w:t xml:space="preserve">in text at least at the same size as the price for each item (or at least the same size as the food name if there is no price listed). </w:t>
      </w:r>
    </w:p>
    <w:p w14:paraId="29077CDE" w14:textId="2BF78F38" w:rsidR="00F03189" w:rsidRPr="00E67A4C" w:rsidRDefault="00F03189" w:rsidP="00246032">
      <w:pPr>
        <w:pStyle w:val="ListParagraph"/>
        <w:numPr>
          <w:ilvl w:val="1"/>
          <w:numId w:val="5"/>
        </w:numPr>
        <w:spacing w:after="40"/>
        <w:ind w:left="1276" w:hanging="283"/>
        <w:jc w:val="both"/>
      </w:pPr>
      <w:r w:rsidRPr="00E67A4C">
        <w:lastRenderedPageBreak/>
        <w:t xml:space="preserve">Require that where standard food items have a range of portion sizes available (e.g. large, </w:t>
      </w:r>
      <w:r w:rsidR="007B3C47" w:rsidRPr="00E67A4C">
        <w:t>medium,</w:t>
      </w:r>
      <w:r w:rsidRPr="00E67A4C">
        <w:t xml:space="preserve"> or small) there needs to be a statement of the energy content (kJ content) for each portion size. </w:t>
      </w:r>
    </w:p>
    <w:p w14:paraId="699DC7BB" w14:textId="1962C51C" w:rsidR="00E265D2" w:rsidRPr="00E67A4C" w:rsidRDefault="00F03189" w:rsidP="00246032">
      <w:pPr>
        <w:pStyle w:val="ListParagraph"/>
        <w:numPr>
          <w:ilvl w:val="1"/>
          <w:numId w:val="5"/>
        </w:numPr>
        <w:spacing w:after="40"/>
        <w:ind w:left="1276" w:hanging="283"/>
        <w:jc w:val="both"/>
      </w:pPr>
      <w:r w:rsidRPr="00E67A4C">
        <w:t xml:space="preserve">Require that a statement advising of the average daily kJ intake for adults (8,700 kJ) be placed prominently on the menu so that consumers have a point of reference to make informed choices. </w:t>
      </w:r>
    </w:p>
    <w:p w14:paraId="134F6FB4" w14:textId="77777777" w:rsidR="00F03189" w:rsidRPr="00E67A4C" w:rsidRDefault="00F03189" w:rsidP="00246032">
      <w:pPr>
        <w:pStyle w:val="ListParagraph"/>
        <w:numPr>
          <w:ilvl w:val="1"/>
          <w:numId w:val="5"/>
        </w:numPr>
        <w:spacing w:after="40"/>
        <w:ind w:left="1276" w:hanging="283"/>
        <w:jc w:val="both"/>
      </w:pPr>
      <w:r w:rsidRPr="00E67A4C">
        <w:t xml:space="preserve">Provide at least a 12-month transition/ compliance period for industry. </w:t>
      </w:r>
    </w:p>
    <w:p w14:paraId="697D0B11" w14:textId="77777777" w:rsidR="00F03189" w:rsidRPr="00E67A4C" w:rsidRDefault="00F03189" w:rsidP="00F76FDC">
      <w:pPr>
        <w:pStyle w:val="ListParagraph"/>
        <w:numPr>
          <w:ilvl w:val="0"/>
          <w:numId w:val="5"/>
        </w:numPr>
        <w:spacing w:after="40"/>
        <w:jc w:val="both"/>
        <w:rPr>
          <w:lang w:eastAsia="zh-CN" w:bidi="th-TH"/>
        </w:rPr>
      </w:pPr>
      <w:r w:rsidRPr="00E67A4C">
        <w:t xml:space="preserve">Be supported by a communication strategy that engages and informs appropriate stakeholders. </w:t>
      </w:r>
    </w:p>
    <w:p w14:paraId="7D1E75FC" w14:textId="77777777" w:rsidR="00F03189" w:rsidRPr="00E67A4C" w:rsidRDefault="00F03189" w:rsidP="00F76FDC">
      <w:pPr>
        <w:pStyle w:val="ListParagraph"/>
        <w:numPr>
          <w:ilvl w:val="0"/>
          <w:numId w:val="5"/>
        </w:numPr>
        <w:spacing w:after="40"/>
        <w:jc w:val="both"/>
        <w:rPr>
          <w:lang w:eastAsia="zh-CN" w:bidi="th-TH"/>
        </w:rPr>
      </w:pPr>
      <w:r w:rsidRPr="00E67A4C">
        <w:t xml:space="preserve">Include an evaluation strategy to assess the impacts of any POS approach introduced. </w:t>
      </w:r>
    </w:p>
    <w:p w14:paraId="14A12ECC" w14:textId="77777777" w:rsidR="00F03189" w:rsidRPr="00E67A4C" w:rsidRDefault="00F03189" w:rsidP="00F76FDC">
      <w:pPr>
        <w:pStyle w:val="ListParagraph"/>
        <w:numPr>
          <w:ilvl w:val="0"/>
          <w:numId w:val="5"/>
        </w:numPr>
        <w:spacing w:after="40"/>
        <w:jc w:val="both"/>
        <w:rPr>
          <w:lang w:eastAsia="zh-CN" w:bidi="th-TH"/>
        </w:rPr>
      </w:pPr>
      <w:r w:rsidRPr="00E67A4C">
        <w:t>Not preclude jurisdictions from expanding POS nutrition information at a later date to also include disclosure of other information such as sugar, sodium and fat content.</w:t>
      </w:r>
    </w:p>
    <w:p w14:paraId="068D1178" w14:textId="77777777" w:rsidR="00F03189" w:rsidRPr="00E67A4C" w:rsidRDefault="00F03189" w:rsidP="00570A8A">
      <w:pPr>
        <w:spacing w:after="40"/>
        <w:jc w:val="both"/>
        <w:rPr>
          <w:lang w:eastAsia="zh-CN" w:bidi="th-TH"/>
        </w:rPr>
      </w:pPr>
    </w:p>
    <w:p w14:paraId="37446C30" w14:textId="164856F5" w:rsidR="00F03189" w:rsidRPr="00E67A4C" w:rsidRDefault="00F03189" w:rsidP="00570A8A">
      <w:pPr>
        <w:spacing w:after="40"/>
        <w:jc w:val="both"/>
        <w:rPr>
          <w:lang w:eastAsia="zh-CN" w:bidi="th-TH"/>
        </w:rPr>
      </w:pPr>
      <w:r w:rsidRPr="00E67A4C">
        <w:rPr>
          <w:lang w:eastAsia="zh-CN" w:bidi="th-TH"/>
        </w:rPr>
        <w:t xml:space="preserve">To support the principles, a set of </w:t>
      </w:r>
      <w:r w:rsidRPr="00E67A4C">
        <w:t>definitions and explanation of terms were developed to inform the drafting of jurisdictional legislation. The definitions include</w:t>
      </w:r>
      <w:r w:rsidR="0041760A" w:rsidRPr="00E67A4C">
        <w:t xml:space="preserve"> m</w:t>
      </w:r>
      <w:r w:rsidRPr="00E67A4C">
        <w:rPr>
          <w:lang w:eastAsia="zh-CN" w:bidi="th-TH"/>
        </w:rPr>
        <w:t>enu</w:t>
      </w:r>
      <w:r w:rsidR="0041760A" w:rsidRPr="00E67A4C">
        <w:rPr>
          <w:lang w:eastAsia="zh-CN" w:bidi="th-TH"/>
        </w:rPr>
        <w:t>; r</w:t>
      </w:r>
      <w:r w:rsidRPr="00E67A4C">
        <w:rPr>
          <w:lang w:eastAsia="zh-CN" w:bidi="th-TH"/>
        </w:rPr>
        <w:t xml:space="preserve">eady-to-eat </w:t>
      </w:r>
      <w:r w:rsidR="0041760A" w:rsidRPr="00E67A4C">
        <w:rPr>
          <w:lang w:eastAsia="zh-CN" w:bidi="th-TH"/>
        </w:rPr>
        <w:t>f</w:t>
      </w:r>
      <w:r w:rsidRPr="00E67A4C">
        <w:rPr>
          <w:lang w:eastAsia="zh-CN" w:bidi="th-TH"/>
        </w:rPr>
        <w:t>ood</w:t>
      </w:r>
      <w:r w:rsidR="0041760A" w:rsidRPr="00E67A4C">
        <w:rPr>
          <w:lang w:eastAsia="zh-CN" w:bidi="th-TH"/>
        </w:rPr>
        <w:t>; p</w:t>
      </w:r>
      <w:r w:rsidRPr="00E67A4C">
        <w:rPr>
          <w:lang w:eastAsia="zh-CN" w:bidi="th-TH"/>
        </w:rPr>
        <w:t xml:space="preserve">re-packaged </w:t>
      </w:r>
      <w:r w:rsidR="0041760A" w:rsidRPr="00E67A4C">
        <w:rPr>
          <w:lang w:eastAsia="zh-CN" w:bidi="th-TH"/>
        </w:rPr>
        <w:t>f</w:t>
      </w:r>
      <w:r w:rsidRPr="00E67A4C">
        <w:rPr>
          <w:lang w:eastAsia="zh-CN" w:bidi="th-TH"/>
        </w:rPr>
        <w:t>oo</w:t>
      </w:r>
      <w:r w:rsidR="0041760A" w:rsidRPr="00E67A4C">
        <w:rPr>
          <w:lang w:eastAsia="zh-CN" w:bidi="th-TH"/>
        </w:rPr>
        <w:t>d; standard food outlet; standard food item; nutrition information; energy content and voluntary display.</w:t>
      </w:r>
    </w:p>
    <w:p w14:paraId="703CAC73" w14:textId="77777777" w:rsidR="00A623EA" w:rsidRPr="00E67A4C" w:rsidRDefault="00A623EA" w:rsidP="00570A8A">
      <w:pPr>
        <w:spacing w:after="40"/>
        <w:jc w:val="both"/>
        <w:rPr>
          <w:lang w:eastAsia="zh-CN" w:bidi="th-TH"/>
        </w:rPr>
      </w:pPr>
    </w:p>
    <w:p w14:paraId="561CF5E7" w14:textId="77777777" w:rsidR="0011609E" w:rsidRPr="00E67A4C" w:rsidRDefault="00D52D30" w:rsidP="00EE2723">
      <w:pPr>
        <w:spacing w:after="40"/>
        <w:jc w:val="both"/>
        <w:rPr>
          <w:lang w:eastAsia="zh-CN" w:bidi="th-TH"/>
        </w:rPr>
      </w:pPr>
      <w:r w:rsidRPr="00E67A4C">
        <w:rPr>
          <w:lang w:eastAsia="zh-CN" w:bidi="th-TH"/>
        </w:rPr>
        <w:t xml:space="preserve">The </w:t>
      </w:r>
      <w:r w:rsidR="005B3970" w:rsidRPr="00E67A4C">
        <w:rPr>
          <w:lang w:eastAsia="zh-CN" w:bidi="th-TH"/>
        </w:rPr>
        <w:t xml:space="preserve">Food Standards </w:t>
      </w:r>
      <w:r w:rsidRPr="00E67A4C">
        <w:rPr>
          <w:lang w:eastAsia="zh-CN" w:bidi="th-TH"/>
        </w:rPr>
        <w:t>Code does not currently regulate menu labelling</w:t>
      </w:r>
      <w:r w:rsidR="0011609E" w:rsidRPr="00E67A4C">
        <w:rPr>
          <w:lang w:eastAsia="zh-CN" w:bidi="th-TH"/>
        </w:rPr>
        <w:t>.</w:t>
      </w:r>
    </w:p>
    <w:p w14:paraId="0260CD44" w14:textId="77777777" w:rsidR="00D6524F" w:rsidRPr="00E67A4C" w:rsidRDefault="00D6524F" w:rsidP="00EE2723">
      <w:pPr>
        <w:spacing w:after="40"/>
        <w:jc w:val="both"/>
        <w:rPr>
          <w:lang w:eastAsia="zh-CN" w:bidi="th-TH"/>
        </w:rPr>
      </w:pPr>
    </w:p>
    <w:p w14:paraId="7F7794F3" w14:textId="69D76D4F" w:rsidR="00161ADB" w:rsidRPr="00E67A4C" w:rsidRDefault="00161ADB" w:rsidP="00246032">
      <w:pPr>
        <w:pStyle w:val="Heading3"/>
      </w:pPr>
      <w:bookmarkStart w:id="26" w:name="_Toc51165267"/>
      <w:r w:rsidRPr="00E67A4C">
        <w:t>1.</w:t>
      </w:r>
      <w:r w:rsidR="00F16176" w:rsidRPr="00E67A4C">
        <w:t>6</w:t>
      </w:r>
      <w:r w:rsidRPr="00E67A4C">
        <w:t xml:space="preserve"> </w:t>
      </w:r>
      <w:r w:rsidR="00BC2D61" w:rsidRPr="00E67A4C">
        <w:t>Implementation of m</w:t>
      </w:r>
      <w:r w:rsidR="007A00BB" w:rsidRPr="00E67A4C">
        <w:t xml:space="preserve">enu </w:t>
      </w:r>
      <w:r w:rsidR="00BC2D61" w:rsidRPr="00E67A4C">
        <w:t>l</w:t>
      </w:r>
      <w:r w:rsidR="007A00BB" w:rsidRPr="00E67A4C">
        <w:t>abelling in Australia</w:t>
      </w:r>
      <w:bookmarkEnd w:id="26"/>
    </w:p>
    <w:p w14:paraId="5F2335B9" w14:textId="7028794B" w:rsidR="00EA16F2" w:rsidRPr="00E67A4C" w:rsidRDefault="00E7497A" w:rsidP="00B90057">
      <w:pPr>
        <w:spacing w:after="40"/>
        <w:jc w:val="both"/>
        <w:rPr>
          <w:lang w:eastAsia="zh-CN" w:bidi="th-TH"/>
        </w:rPr>
      </w:pPr>
      <w:r w:rsidRPr="00E67A4C">
        <w:rPr>
          <w:lang w:eastAsia="zh-CN" w:bidi="th-TH"/>
        </w:rPr>
        <w:t>Since 2011, f</w:t>
      </w:r>
      <w:r w:rsidR="00161ADB" w:rsidRPr="00E67A4C">
        <w:rPr>
          <w:lang w:eastAsia="zh-CN" w:bidi="th-TH"/>
        </w:rPr>
        <w:t xml:space="preserve">ive Australian jurisdictions have introduced menu labelling legislation (see Table </w:t>
      </w:r>
      <w:r w:rsidR="002D45EB" w:rsidRPr="00E67A4C">
        <w:rPr>
          <w:lang w:eastAsia="zh-CN" w:bidi="th-TH"/>
        </w:rPr>
        <w:t>2</w:t>
      </w:r>
      <w:r w:rsidR="00161ADB" w:rsidRPr="00E67A4C">
        <w:rPr>
          <w:lang w:eastAsia="zh-CN" w:bidi="th-TH"/>
        </w:rPr>
        <w:t xml:space="preserve"> below).</w:t>
      </w:r>
      <w:r w:rsidR="001E2703" w:rsidRPr="00E67A4C">
        <w:rPr>
          <w:lang w:eastAsia="zh-CN" w:bidi="th-TH"/>
        </w:rPr>
        <w:t xml:space="preserve"> Although, Western Australia, Tasmania, and Northern Territory have not implemented menu labelling, many businesses have </w:t>
      </w:r>
      <w:r w:rsidR="00816DAB" w:rsidRPr="00E67A4C">
        <w:rPr>
          <w:lang w:eastAsia="zh-CN" w:bidi="th-TH"/>
        </w:rPr>
        <w:t xml:space="preserve">voluntarily </w:t>
      </w:r>
      <w:r w:rsidR="001E2703" w:rsidRPr="00E67A4C">
        <w:rPr>
          <w:lang w:eastAsia="zh-CN" w:bidi="th-TH"/>
        </w:rPr>
        <w:t xml:space="preserve">implemented menu labelling in all their Australian outlets. </w:t>
      </w:r>
      <w:r w:rsidR="00125630" w:rsidRPr="00E67A4C">
        <w:rPr>
          <w:lang w:eastAsia="zh-CN" w:bidi="th-TH"/>
        </w:rPr>
        <w:t xml:space="preserve">As </w:t>
      </w:r>
      <w:r w:rsidR="008E5346" w:rsidRPr="00E67A4C">
        <w:rPr>
          <w:lang w:eastAsia="zh-CN" w:bidi="th-TH"/>
        </w:rPr>
        <w:t>of</w:t>
      </w:r>
      <w:r w:rsidR="00125630" w:rsidRPr="00E67A4C">
        <w:rPr>
          <w:lang w:eastAsia="zh-CN" w:bidi="th-TH"/>
        </w:rPr>
        <w:t xml:space="preserve"> June 2020, i</w:t>
      </w:r>
      <w:r w:rsidR="00E02C1D" w:rsidRPr="00E67A4C">
        <w:rPr>
          <w:lang w:eastAsia="zh-CN" w:bidi="th-TH"/>
        </w:rPr>
        <w:t>t is estimated that approximately 75 chain businesses with over 13,750 outlets are implementing or are required to implement menu labelling in Australia.</w:t>
      </w:r>
      <w:r w:rsidR="00B90057" w:rsidRPr="00E67A4C">
        <w:rPr>
          <w:lang w:eastAsia="zh-CN" w:bidi="th-TH"/>
        </w:rPr>
        <w:t xml:space="preserve"> </w:t>
      </w:r>
    </w:p>
    <w:p w14:paraId="3C9708AF" w14:textId="77777777" w:rsidR="00EA16F2" w:rsidRPr="00E67A4C" w:rsidRDefault="00EA16F2" w:rsidP="00B90057">
      <w:pPr>
        <w:spacing w:after="40"/>
        <w:jc w:val="both"/>
        <w:rPr>
          <w:lang w:eastAsia="zh-CN" w:bidi="th-TH"/>
        </w:rPr>
      </w:pPr>
    </w:p>
    <w:p w14:paraId="3F69ABE9" w14:textId="64D0E2BB" w:rsidR="00B90057" w:rsidRPr="00E67A4C" w:rsidRDefault="00B90057" w:rsidP="00B90057">
      <w:pPr>
        <w:spacing w:after="40"/>
        <w:jc w:val="both"/>
        <w:rPr>
          <w:lang w:eastAsia="zh-CN" w:bidi="th-TH"/>
        </w:rPr>
      </w:pPr>
      <w:r w:rsidRPr="00E67A4C">
        <w:rPr>
          <w:lang w:eastAsia="zh-CN" w:bidi="th-TH"/>
        </w:rPr>
        <w:t>It is important to note that the food industry is dynamic and subject to changing consumer demands and economic climate</w:t>
      </w:r>
      <w:r w:rsidR="00287456" w:rsidRPr="00E67A4C">
        <w:rPr>
          <w:lang w:eastAsia="zh-CN" w:bidi="th-TH"/>
        </w:rPr>
        <w:t>. Therefore</w:t>
      </w:r>
      <w:r w:rsidRPr="00E67A4C">
        <w:rPr>
          <w:lang w:eastAsia="zh-CN" w:bidi="th-TH"/>
        </w:rPr>
        <w:t xml:space="preserve">, the number of businesses and outlets that </w:t>
      </w:r>
      <w:r w:rsidR="000E2277" w:rsidRPr="00E67A4C">
        <w:rPr>
          <w:lang w:eastAsia="zh-CN" w:bidi="th-TH"/>
        </w:rPr>
        <w:t>are</w:t>
      </w:r>
      <w:r w:rsidRPr="00E67A4C">
        <w:rPr>
          <w:lang w:eastAsia="zh-CN" w:bidi="th-TH"/>
        </w:rPr>
        <w:t xml:space="preserve"> required to implement menu labelling </w:t>
      </w:r>
      <w:r w:rsidR="00287456" w:rsidRPr="00E67A4C">
        <w:rPr>
          <w:lang w:eastAsia="zh-CN" w:bidi="th-TH"/>
        </w:rPr>
        <w:t xml:space="preserve">frequently </w:t>
      </w:r>
      <w:r w:rsidRPr="00E67A4C">
        <w:rPr>
          <w:lang w:eastAsia="zh-CN" w:bidi="th-TH"/>
        </w:rPr>
        <w:t>change</w:t>
      </w:r>
      <w:r w:rsidR="00287456" w:rsidRPr="00E67A4C">
        <w:rPr>
          <w:lang w:eastAsia="zh-CN" w:bidi="th-TH"/>
        </w:rPr>
        <w:t>s</w:t>
      </w:r>
      <w:r w:rsidRPr="00E67A4C">
        <w:rPr>
          <w:lang w:eastAsia="zh-CN" w:bidi="th-TH"/>
        </w:rPr>
        <w:t xml:space="preserve"> over time.</w:t>
      </w:r>
      <w:r w:rsidR="006E0738" w:rsidRPr="00E67A4C">
        <w:rPr>
          <w:lang w:eastAsia="zh-CN" w:bidi="th-TH"/>
        </w:rPr>
        <w:t xml:space="preserve"> Additionally, the </w:t>
      </w:r>
      <w:r w:rsidR="003C5DC1" w:rsidRPr="00E67A4C">
        <w:rPr>
          <w:lang w:eastAsia="zh-CN" w:bidi="th-TH"/>
        </w:rPr>
        <w:t xml:space="preserve">long-term </w:t>
      </w:r>
      <w:r w:rsidR="006E0738" w:rsidRPr="00E67A4C">
        <w:rPr>
          <w:lang w:eastAsia="zh-CN" w:bidi="th-TH"/>
        </w:rPr>
        <w:t xml:space="preserve">impact of the COVID-19 pandemic and </w:t>
      </w:r>
      <w:r w:rsidR="003C5DC1" w:rsidRPr="00E67A4C">
        <w:rPr>
          <w:lang w:eastAsia="zh-CN" w:bidi="th-TH"/>
        </w:rPr>
        <w:t xml:space="preserve">the </w:t>
      </w:r>
      <w:r w:rsidR="006E0738" w:rsidRPr="00E67A4C">
        <w:rPr>
          <w:lang w:eastAsia="zh-CN" w:bidi="th-TH"/>
        </w:rPr>
        <w:t>physical distancing restrictions</w:t>
      </w:r>
      <w:r w:rsidR="003C5DC1" w:rsidRPr="00E67A4C">
        <w:rPr>
          <w:lang w:eastAsia="zh-CN" w:bidi="th-TH"/>
        </w:rPr>
        <w:t xml:space="preserve"> is unknown</w:t>
      </w:r>
      <w:r w:rsidR="0040154C" w:rsidRPr="00E67A4C">
        <w:rPr>
          <w:lang w:eastAsia="zh-CN" w:bidi="th-TH"/>
        </w:rPr>
        <w:t>.</w:t>
      </w:r>
      <w:r w:rsidR="003C5DC1" w:rsidRPr="00E67A4C">
        <w:rPr>
          <w:lang w:eastAsia="zh-CN" w:bidi="th-TH"/>
        </w:rPr>
        <w:t xml:space="preserve"> </w:t>
      </w:r>
      <w:r w:rsidR="0040154C" w:rsidRPr="00E67A4C">
        <w:rPr>
          <w:lang w:eastAsia="zh-CN" w:bidi="th-TH"/>
        </w:rPr>
        <w:t xml:space="preserve">There could be a considerable reduction in </w:t>
      </w:r>
      <w:r w:rsidR="00A441E7" w:rsidRPr="00E67A4C">
        <w:rPr>
          <w:lang w:eastAsia="zh-CN" w:bidi="th-TH"/>
        </w:rPr>
        <w:t xml:space="preserve">the size of the </w:t>
      </w:r>
      <w:r w:rsidR="00EA16F2" w:rsidRPr="00E67A4C">
        <w:rPr>
          <w:lang w:eastAsia="zh-CN" w:bidi="th-TH"/>
        </w:rPr>
        <w:t>overall industry, and the size of individual businesses</w:t>
      </w:r>
      <w:r w:rsidR="006E0738" w:rsidRPr="00E67A4C">
        <w:rPr>
          <w:lang w:eastAsia="zh-CN" w:bidi="th-TH"/>
        </w:rPr>
        <w:t>.</w:t>
      </w:r>
    </w:p>
    <w:p w14:paraId="131CD8A6" w14:textId="77777777" w:rsidR="00A07E8C" w:rsidRDefault="00A07E8C" w:rsidP="00161ADB">
      <w:pPr>
        <w:rPr>
          <w:lang w:eastAsia="zh-CN" w:bidi="th-TH"/>
        </w:rPr>
      </w:pPr>
    </w:p>
    <w:p w14:paraId="7E1963AD" w14:textId="298295A2" w:rsidR="00161ADB" w:rsidRDefault="00161ADB" w:rsidP="00161ADB">
      <w:pPr>
        <w:rPr>
          <w:lang w:eastAsia="zh-CN" w:bidi="th-TH"/>
        </w:rPr>
      </w:pPr>
      <w:r w:rsidRPr="00E67A4C">
        <w:rPr>
          <w:lang w:eastAsia="zh-CN" w:bidi="th-TH"/>
        </w:rPr>
        <w:t xml:space="preserve">Table </w:t>
      </w:r>
      <w:r w:rsidR="004C000A" w:rsidRPr="00E67A4C">
        <w:rPr>
          <w:lang w:eastAsia="zh-CN" w:bidi="th-TH"/>
        </w:rPr>
        <w:t>2</w:t>
      </w:r>
      <w:r w:rsidRPr="00E67A4C">
        <w:rPr>
          <w:lang w:eastAsia="zh-CN" w:bidi="th-TH"/>
        </w:rPr>
        <w:t>: Australian legislation for menu labelling</w:t>
      </w:r>
    </w:p>
    <w:p w14:paraId="11B33C4D" w14:textId="77777777" w:rsidR="00246032" w:rsidRDefault="00246032" w:rsidP="00161ADB">
      <w:pPr>
        <w:rPr>
          <w:lang w:eastAsia="zh-CN" w:bidi="th-TH"/>
        </w:rPr>
      </w:pPr>
    </w:p>
    <w:tbl>
      <w:tblPr>
        <w:tblStyle w:val="PlainTable3"/>
        <w:tblW w:w="9072" w:type="dxa"/>
        <w:tblLook w:val="04A0" w:firstRow="1" w:lastRow="0" w:firstColumn="1" w:lastColumn="0" w:noHBand="0" w:noVBand="1"/>
        <w:tblCaption w:val="Australian legislation for menu labelling"/>
        <w:tblDescription w:val="4 columns. 1. Jurisdiction. 2. Primary legisation. 3. Subordinate legislation. 4. Effective date. 6 rows. 1. Heading. 2. New South Wales. 3. South Australia. 4. Australian Capital Territory. 5. Queensland. 6. Victoria"/>
      </w:tblPr>
      <w:tblGrid>
        <w:gridCol w:w="1556"/>
        <w:gridCol w:w="2964"/>
        <w:gridCol w:w="2964"/>
        <w:gridCol w:w="1588"/>
      </w:tblGrid>
      <w:tr w:rsidR="00161ADB" w:rsidRPr="00E67A4C" w14:paraId="17DB999B" w14:textId="77777777" w:rsidTr="00AD1FC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56" w:type="dxa"/>
          </w:tcPr>
          <w:p w14:paraId="2F11CD20" w14:textId="5D30569C" w:rsidR="00161ADB" w:rsidRPr="00E67A4C" w:rsidRDefault="00A07E8C" w:rsidP="00AD5CA7">
            <w:pPr>
              <w:spacing w:after="40"/>
              <w:rPr>
                <w:rFonts w:eastAsia="Calibri"/>
                <w:b w:val="0"/>
                <w:sz w:val="20"/>
                <w:szCs w:val="20"/>
                <w:lang w:eastAsia="zh-CN" w:bidi="th-TH"/>
              </w:rPr>
            </w:pPr>
            <w:r w:rsidRPr="00E67A4C">
              <w:rPr>
                <w:rFonts w:eastAsia="Calibri"/>
                <w:caps w:val="0"/>
                <w:sz w:val="20"/>
                <w:szCs w:val="20"/>
                <w:lang w:eastAsia="zh-CN" w:bidi="th-TH"/>
              </w:rPr>
              <w:t>Jurisdiction</w:t>
            </w:r>
          </w:p>
        </w:tc>
        <w:tc>
          <w:tcPr>
            <w:tcW w:w="2964" w:type="dxa"/>
          </w:tcPr>
          <w:p w14:paraId="58F7000B" w14:textId="5CF80405" w:rsidR="00161ADB" w:rsidRPr="00E67A4C" w:rsidRDefault="00A07E8C" w:rsidP="00AD5CA7">
            <w:pPr>
              <w:spacing w:after="40"/>
              <w:cnfStyle w:val="100000000000" w:firstRow="1" w:lastRow="0" w:firstColumn="0" w:lastColumn="0" w:oddVBand="0" w:evenVBand="0" w:oddHBand="0" w:evenHBand="0" w:firstRowFirstColumn="0" w:firstRowLastColumn="0" w:lastRowFirstColumn="0" w:lastRowLastColumn="0"/>
              <w:rPr>
                <w:rFonts w:eastAsia="Calibri"/>
                <w:b w:val="0"/>
                <w:sz w:val="20"/>
                <w:szCs w:val="20"/>
                <w:lang w:eastAsia="zh-CN" w:bidi="th-TH"/>
              </w:rPr>
            </w:pPr>
            <w:r w:rsidRPr="00E67A4C">
              <w:rPr>
                <w:rFonts w:eastAsia="Calibri"/>
                <w:caps w:val="0"/>
                <w:sz w:val="20"/>
                <w:szCs w:val="20"/>
                <w:lang w:eastAsia="zh-CN" w:bidi="th-TH"/>
              </w:rPr>
              <w:t>Primary Legislation</w:t>
            </w:r>
          </w:p>
        </w:tc>
        <w:tc>
          <w:tcPr>
            <w:tcW w:w="2964" w:type="dxa"/>
          </w:tcPr>
          <w:p w14:paraId="16C98169" w14:textId="04DF5D0C" w:rsidR="00161ADB" w:rsidRPr="00E67A4C" w:rsidRDefault="00A07E8C" w:rsidP="00AD5CA7">
            <w:pPr>
              <w:spacing w:after="40"/>
              <w:cnfStyle w:val="100000000000" w:firstRow="1" w:lastRow="0" w:firstColumn="0" w:lastColumn="0" w:oddVBand="0" w:evenVBand="0" w:oddHBand="0" w:evenHBand="0" w:firstRowFirstColumn="0" w:firstRowLastColumn="0" w:lastRowFirstColumn="0" w:lastRowLastColumn="0"/>
              <w:rPr>
                <w:rFonts w:eastAsia="Calibri"/>
                <w:b w:val="0"/>
                <w:sz w:val="20"/>
                <w:szCs w:val="20"/>
                <w:lang w:eastAsia="zh-CN" w:bidi="th-TH"/>
              </w:rPr>
            </w:pPr>
            <w:r w:rsidRPr="00E67A4C">
              <w:rPr>
                <w:rFonts w:eastAsia="Calibri"/>
                <w:caps w:val="0"/>
                <w:sz w:val="20"/>
                <w:szCs w:val="20"/>
                <w:lang w:eastAsia="zh-CN" w:bidi="th-TH"/>
              </w:rPr>
              <w:t>Subordinate Legislation</w:t>
            </w:r>
          </w:p>
        </w:tc>
        <w:tc>
          <w:tcPr>
            <w:tcW w:w="1588" w:type="dxa"/>
          </w:tcPr>
          <w:p w14:paraId="4B7663B3" w14:textId="33DB50D9" w:rsidR="00161ADB" w:rsidRPr="00E67A4C" w:rsidRDefault="00A07E8C" w:rsidP="00AD5CA7">
            <w:pPr>
              <w:spacing w:after="40"/>
              <w:cnfStyle w:val="100000000000" w:firstRow="1" w:lastRow="0" w:firstColumn="0" w:lastColumn="0" w:oddVBand="0" w:evenVBand="0" w:oddHBand="0" w:evenHBand="0" w:firstRowFirstColumn="0" w:firstRowLastColumn="0" w:lastRowFirstColumn="0" w:lastRowLastColumn="0"/>
              <w:rPr>
                <w:rFonts w:eastAsia="Calibri"/>
                <w:b w:val="0"/>
                <w:sz w:val="20"/>
                <w:szCs w:val="20"/>
                <w:lang w:eastAsia="zh-CN" w:bidi="th-TH"/>
              </w:rPr>
            </w:pPr>
            <w:r w:rsidRPr="00E67A4C">
              <w:rPr>
                <w:rFonts w:eastAsia="Calibri"/>
                <w:caps w:val="0"/>
                <w:sz w:val="20"/>
                <w:szCs w:val="20"/>
                <w:lang w:eastAsia="zh-CN" w:bidi="th-TH"/>
              </w:rPr>
              <w:t>Effective Date</w:t>
            </w:r>
          </w:p>
        </w:tc>
      </w:tr>
      <w:tr w:rsidR="00161ADB" w:rsidRPr="00E67A4C" w14:paraId="4033E359" w14:textId="77777777" w:rsidTr="00A07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5EA07F09" w14:textId="04F7AF45" w:rsidR="00161ADB" w:rsidRPr="00E67A4C" w:rsidRDefault="00A07E8C" w:rsidP="00AD5CA7">
            <w:pPr>
              <w:spacing w:after="40"/>
              <w:rPr>
                <w:rFonts w:eastAsia="Calibri"/>
                <w:sz w:val="20"/>
                <w:szCs w:val="20"/>
                <w:lang w:eastAsia="zh-CN" w:bidi="th-TH"/>
              </w:rPr>
            </w:pPr>
            <w:r w:rsidRPr="00E67A4C">
              <w:rPr>
                <w:rFonts w:eastAsia="Calibri"/>
                <w:caps w:val="0"/>
                <w:sz w:val="20"/>
                <w:szCs w:val="20"/>
                <w:lang w:eastAsia="zh-CN" w:bidi="th-TH"/>
              </w:rPr>
              <w:t>New South Wales</w:t>
            </w:r>
          </w:p>
        </w:tc>
        <w:tc>
          <w:tcPr>
            <w:tcW w:w="2964" w:type="dxa"/>
          </w:tcPr>
          <w:p w14:paraId="4E367128" w14:textId="77777777"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Act 2003</w:t>
            </w:r>
            <w:r w:rsidRPr="00E67A4C">
              <w:rPr>
                <w:rFonts w:eastAsia="Calibri"/>
                <w:sz w:val="20"/>
                <w:szCs w:val="20"/>
                <w:lang w:eastAsia="zh-CN" w:bidi="th-TH"/>
              </w:rPr>
              <w:t xml:space="preserve">: Part 8, Division 4 – Requirements for display of nutritional information </w:t>
            </w:r>
          </w:p>
        </w:tc>
        <w:tc>
          <w:tcPr>
            <w:tcW w:w="2964" w:type="dxa"/>
          </w:tcPr>
          <w:p w14:paraId="199FF329" w14:textId="77777777"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Regulation 2015</w:t>
            </w:r>
            <w:r w:rsidRPr="00E67A4C">
              <w:rPr>
                <w:rFonts w:eastAsia="Calibri"/>
                <w:sz w:val="20"/>
                <w:szCs w:val="20"/>
                <w:lang w:eastAsia="zh-CN" w:bidi="th-TH"/>
              </w:rPr>
              <w:t xml:space="preserve">: Part 5 – Requirements for display of nutritional information </w:t>
            </w:r>
          </w:p>
        </w:tc>
        <w:tc>
          <w:tcPr>
            <w:tcW w:w="1588" w:type="dxa"/>
          </w:tcPr>
          <w:p w14:paraId="28402764" w14:textId="77777777"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sz w:val="20"/>
                <w:szCs w:val="20"/>
                <w:lang w:eastAsia="zh-CN" w:bidi="th-TH"/>
              </w:rPr>
              <w:t>1 February 2011</w:t>
            </w:r>
          </w:p>
        </w:tc>
      </w:tr>
      <w:tr w:rsidR="00161ADB" w:rsidRPr="00E67A4C" w14:paraId="259A990D" w14:textId="77777777" w:rsidTr="00A07E8C">
        <w:tc>
          <w:tcPr>
            <w:cnfStyle w:val="001000000000" w:firstRow="0" w:lastRow="0" w:firstColumn="1" w:lastColumn="0" w:oddVBand="0" w:evenVBand="0" w:oddHBand="0" w:evenHBand="0" w:firstRowFirstColumn="0" w:firstRowLastColumn="0" w:lastRowFirstColumn="0" w:lastRowLastColumn="0"/>
            <w:tcW w:w="1556" w:type="dxa"/>
          </w:tcPr>
          <w:p w14:paraId="21A593C4" w14:textId="2EBC50CB" w:rsidR="00161ADB" w:rsidRPr="00E67A4C" w:rsidRDefault="00A07E8C" w:rsidP="00AD5CA7">
            <w:pPr>
              <w:spacing w:after="40"/>
              <w:rPr>
                <w:rFonts w:eastAsia="Calibri"/>
                <w:sz w:val="20"/>
                <w:szCs w:val="20"/>
                <w:lang w:eastAsia="zh-CN" w:bidi="th-TH"/>
              </w:rPr>
            </w:pPr>
            <w:r w:rsidRPr="00E67A4C">
              <w:rPr>
                <w:rFonts w:eastAsia="Calibri"/>
                <w:caps w:val="0"/>
                <w:sz w:val="20"/>
                <w:szCs w:val="20"/>
                <w:lang w:eastAsia="zh-CN" w:bidi="th-TH"/>
              </w:rPr>
              <w:t>South Australia</w:t>
            </w:r>
          </w:p>
        </w:tc>
        <w:tc>
          <w:tcPr>
            <w:tcW w:w="2964" w:type="dxa"/>
          </w:tcPr>
          <w:p w14:paraId="68229626" w14:textId="77777777" w:rsidR="00161ADB" w:rsidRPr="00E67A4C" w:rsidRDefault="00161ADB" w:rsidP="00AD5CA7">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Act 2001</w:t>
            </w:r>
            <w:r w:rsidRPr="00E67A4C">
              <w:rPr>
                <w:rFonts w:eastAsia="Calibri"/>
                <w:sz w:val="20"/>
                <w:szCs w:val="20"/>
                <w:lang w:eastAsia="zh-CN" w:bidi="th-TH"/>
              </w:rPr>
              <w:t xml:space="preserve">: Part 11 – Miscellaneous </w:t>
            </w:r>
          </w:p>
        </w:tc>
        <w:tc>
          <w:tcPr>
            <w:tcW w:w="2964" w:type="dxa"/>
          </w:tcPr>
          <w:p w14:paraId="11E728BE" w14:textId="77777777" w:rsidR="00161ADB" w:rsidRPr="00E67A4C" w:rsidRDefault="00161ADB" w:rsidP="00AD5CA7">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Regulation 2017</w:t>
            </w:r>
            <w:r w:rsidRPr="00E67A4C">
              <w:rPr>
                <w:rFonts w:eastAsia="Calibri"/>
                <w:sz w:val="20"/>
                <w:szCs w:val="20"/>
                <w:lang w:eastAsia="zh-CN" w:bidi="th-TH"/>
              </w:rPr>
              <w:t xml:space="preserve">: Part 4 – Miscellaneous </w:t>
            </w:r>
          </w:p>
        </w:tc>
        <w:tc>
          <w:tcPr>
            <w:tcW w:w="1588" w:type="dxa"/>
          </w:tcPr>
          <w:p w14:paraId="6C12BAF1" w14:textId="77777777" w:rsidR="00161ADB" w:rsidRPr="00E67A4C" w:rsidRDefault="00161ADB" w:rsidP="00AD5CA7">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lang w:eastAsia="zh-CN" w:bidi="th-TH"/>
              </w:rPr>
            </w:pPr>
            <w:r w:rsidRPr="00E67A4C">
              <w:rPr>
                <w:rFonts w:eastAsia="Calibri"/>
                <w:sz w:val="20"/>
                <w:szCs w:val="20"/>
                <w:lang w:eastAsia="zh-CN" w:bidi="th-TH"/>
              </w:rPr>
              <w:t>23 February 2012</w:t>
            </w:r>
          </w:p>
        </w:tc>
      </w:tr>
      <w:tr w:rsidR="00161ADB" w:rsidRPr="00E67A4C" w14:paraId="0BCA15FA" w14:textId="77777777" w:rsidTr="00A07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36EE57F9" w14:textId="4E8B7298" w:rsidR="00161ADB" w:rsidRPr="00E67A4C" w:rsidRDefault="00A07E8C" w:rsidP="00AD5CA7">
            <w:pPr>
              <w:spacing w:after="40"/>
              <w:rPr>
                <w:rFonts w:eastAsia="Calibri"/>
                <w:sz w:val="20"/>
                <w:szCs w:val="20"/>
                <w:lang w:eastAsia="zh-CN" w:bidi="th-TH"/>
              </w:rPr>
            </w:pPr>
            <w:r w:rsidRPr="00E67A4C">
              <w:rPr>
                <w:rFonts w:eastAsia="Calibri"/>
                <w:caps w:val="0"/>
                <w:sz w:val="20"/>
                <w:szCs w:val="20"/>
                <w:lang w:eastAsia="zh-CN" w:bidi="th-TH"/>
              </w:rPr>
              <w:t>Australian Capital Territory</w:t>
            </w:r>
          </w:p>
        </w:tc>
        <w:tc>
          <w:tcPr>
            <w:tcW w:w="2964" w:type="dxa"/>
          </w:tcPr>
          <w:p w14:paraId="70B1B389" w14:textId="77777777"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Act 2001</w:t>
            </w:r>
            <w:r w:rsidRPr="00E67A4C">
              <w:rPr>
                <w:rFonts w:eastAsia="Calibri"/>
                <w:sz w:val="20"/>
                <w:szCs w:val="20"/>
                <w:lang w:eastAsia="zh-CN" w:bidi="th-TH"/>
              </w:rPr>
              <w:t>: Part 9 – Display of nutritional information for food</w:t>
            </w:r>
          </w:p>
        </w:tc>
        <w:tc>
          <w:tcPr>
            <w:tcW w:w="2964" w:type="dxa"/>
          </w:tcPr>
          <w:p w14:paraId="6C4184EE" w14:textId="77777777"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Regulation 2002</w:t>
            </w:r>
            <w:r w:rsidRPr="00E67A4C">
              <w:rPr>
                <w:rFonts w:eastAsia="Calibri"/>
                <w:sz w:val="20"/>
                <w:szCs w:val="20"/>
                <w:lang w:eastAsia="zh-CN" w:bidi="th-TH"/>
              </w:rPr>
              <w:t>: Part 4 – Display of nutritional information for food</w:t>
            </w:r>
          </w:p>
        </w:tc>
        <w:tc>
          <w:tcPr>
            <w:tcW w:w="1588" w:type="dxa"/>
          </w:tcPr>
          <w:p w14:paraId="28958989" w14:textId="77777777"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sz w:val="20"/>
                <w:szCs w:val="20"/>
                <w:lang w:eastAsia="zh-CN" w:bidi="th-TH"/>
              </w:rPr>
              <w:t>1 January 2013</w:t>
            </w:r>
          </w:p>
        </w:tc>
      </w:tr>
      <w:tr w:rsidR="00161ADB" w:rsidRPr="00E67A4C" w14:paraId="4D363E32" w14:textId="77777777" w:rsidTr="00A07E8C">
        <w:tc>
          <w:tcPr>
            <w:cnfStyle w:val="001000000000" w:firstRow="0" w:lastRow="0" w:firstColumn="1" w:lastColumn="0" w:oddVBand="0" w:evenVBand="0" w:oddHBand="0" w:evenHBand="0" w:firstRowFirstColumn="0" w:firstRowLastColumn="0" w:lastRowFirstColumn="0" w:lastRowLastColumn="0"/>
            <w:tcW w:w="1556" w:type="dxa"/>
          </w:tcPr>
          <w:p w14:paraId="62B9DD0D" w14:textId="706CEF03" w:rsidR="00161ADB" w:rsidRPr="00E67A4C" w:rsidRDefault="00A07E8C" w:rsidP="00AD5CA7">
            <w:pPr>
              <w:spacing w:after="40"/>
              <w:rPr>
                <w:rFonts w:eastAsia="Calibri"/>
                <w:sz w:val="20"/>
                <w:szCs w:val="20"/>
                <w:lang w:eastAsia="zh-CN" w:bidi="th-TH"/>
              </w:rPr>
            </w:pPr>
            <w:r w:rsidRPr="00E67A4C">
              <w:rPr>
                <w:rFonts w:eastAsia="Calibri"/>
                <w:caps w:val="0"/>
                <w:sz w:val="20"/>
                <w:szCs w:val="20"/>
                <w:lang w:eastAsia="zh-CN" w:bidi="th-TH"/>
              </w:rPr>
              <w:t>Queensland</w:t>
            </w:r>
          </w:p>
        </w:tc>
        <w:tc>
          <w:tcPr>
            <w:tcW w:w="2964" w:type="dxa"/>
          </w:tcPr>
          <w:p w14:paraId="0F6235A2" w14:textId="77777777" w:rsidR="00161ADB" w:rsidRPr="00E67A4C" w:rsidRDefault="00161ADB" w:rsidP="00AD5CA7">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Act 2006</w:t>
            </w:r>
            <w:r w:rsidRPr="00E67A4C">
              <w:rPr>
                <w:rFonts w:eastAsia="Calibri"/>
                <w:sz w:val="20"/>
                <w:szCs w:val="20"/>
                <w:lang w:eastAsia="zh-CN" w:bidi="th-TH"/>
              </w:rPr>
              <w:t>: Chapter 6A – Display of nutritional information for food</w:t>
            </w:r>
          </w:p>
        </w:tc>
        <w:tc>
          <w:tcPr>
            <w:tcW w:w="2964" w:type="dxa"/>
          </w:tcPr>
          <w:p w14:paraId="45B04FA2" w14:textId="77777777" w:rsidR="00161ADB" w:rsidRPr="00E67A4C" w:rsidRDefault="00161ADB" w:rsidP="00AD5CA7">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Regulation 2016</w:t>
            </w:r>
            <w:r w:rsidRPr="00E67A4C">
              <w:rPr>
                <w:rFonts w:eastAsia="Calibri"/>
                <w:sz w:val="20"/>
                <w:szCs w:val="20"/>
                <w:lang w:eastAsia="zh-CN" w:bidi="th-TH"/>
              </w:rPr>
              <w:t>: Part 4 – Nutritional information for food</w:t>
            </w:r>
          </w:p>
        </w:tc>
        <w:tc>
          <w:tcPr>
            <w:tcW w:w="1588" w:type="dxa"/>
          </w:tcPr>
          <w:p w14:paraId="17EBD425" w14:textId="77777777" w:rsidR="00161ADB" w:rsidRPr="00E67A4C" w:rsidRDefault="00161ADB" w:rsidP="00AD5CA7">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lang w:eastAsia="zh-CN" w:bidi="th-TH"/>
              </w:rPr>
            </w:pPr>
            <w:r w:rsidRPr="00E67A4C">
              <w:rPr>
                <w:rFonts w:eastAsia="Calibri"/>
                <w:sz w:val="20"/>
                <w:szCs w:val="20"/>
                <w:lang w:eastAsia="zh-CN" w:bidi="th-TH"/>
              </w:rPr>
              <w:t>26 March 2016</w:t>
            </w:r>
          </w:p>
        </w:tc>
      </w:tr>
      <w:tr w:rsidR="00161ADB" w:rsidRPr="00E67A4C" w14:paraId="0A7A3778" w14:textId="77777777" w:rsidTr="00A07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14:paraId="34FCEB31" w14:textId="6E165EE0" w:rsidR="00161ADB" w:rsidRPr="00E67A4C" w:rsidRDefault="00A07E8C" w:rsidP="00AD5CA7">
            <w:pPr>
              <w:spacing w:after="40"/>
              <w:rPr>
                <w:rFonts w:eastAsia="Calibri"/>
                <w:sz w:val="20"/>
                <w:szCs w:val="20"/>
                <w:lang w:eastAsia="zh-CN" w:bidi="th-TH"/>
              </w:rPr>
            </w:pPr>
            <w:r w:rsidRPr="00E67A4C">
              <w:rPr>
                <w:rFonts w:eastAsia="Calibri"/>
                <w:caps w:val="0"/>
                <w:sz w:val="20"/>
                <w:szCs w:val="20"/>
                <w:lang w:eastAsia="zh-CN" w:bidi="th-TH"/>
              </w:rPr>
              <w:t>Victoria</w:t>
            </w:r>
          </w:p>
        </w:tc>
        <w:tc>
          <w:tcPr>
            <w:tcW w:w="2964" w:type="dxa"/>
          </w:tcPr>
          <w:p w14:paraId="186D656B" w14:textId="5BB0554E"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i/>
                <w:iCs/>
                <w:sz w:val="20"/>
                <w:szCs w:val="20"/>
                <w:lang w:eastAsia="zh-CN" w:bidi="th-TH"/>
              </w:rPr>
              <w:t>Food Act 1984</w:t>
            </w:r>
            <w:r w:rsidRPr="00E67A4C">
              <w:rPr>
                <w:rFonts w:eastAsia="Calibri"/>
                <w:sz w:val="20"/>
                <w:szCs w:val="20"/>
                <w:lang w:eastAsia="zh-CN" w:bidi="th-TH"/>
              </w:rPr>
              <w:t>: Part IIA – Kilojoule labelling scheme</w:t>
            </w:r>
          </w:p>
        </w:tc>
        <w:tc>
          <w:tcPr>
            <w:tcW w:w="2964" w:type="dxa"/>
          </w:tcPr>
          <w:p w14:paraId="37D87D4F" w14:textId="0F48303A"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sz w:val="20"/>
                <w:szCs w:val="20"/>
                <w:lang w:eastAsia="zh-CN" w:bidi="th-TH"/>
              </w:rPr>
              <w:t xml:space="preserve">Not applicable </w:t>
            </w:r>
          </w:p>
        </w:tc>
        <w:tc>
          <w:tcPr>
            <w:tcW w:w="1588" w:type="dxa"/>
          </w:tcPr>
          <w:p w14:paraId="074C0576" w14:textId="77777777" w:rsidR="00161ADB" w:rsidRPr="00E67A4C" w:rsidRDefault="00161ADB" w:rsidP="00AD5CA7">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lang w:eastAsia="zh-CN" w:bidi="th-TH"/>
              </w:rPr>
            </w:pPr>
            <w:r w:rsidRPr="00E67A4C">
              <w:rPr>
                <w:rFonts w:eastAsia="Calibri"/>
                <w:sz w:val="20"/>
                <w:szCs w:val="20"/>
                <w:lang w:eastAsia="zh-CN" w:bidi="th-TH"/>
              </w:rPr>
              <w:t>1 May 2018</w:t>
            </w:r>
          </w:p>
        </w:tc>
      </w:tr>
    </w:tbl>
    <w:p w14:paraId="13088E42" w14:textId="279D3858" w:rsidR="00D83D40" w:rsidRPr="00E67A4C" w:rsidRDefault="009639AD" w:rsidP="00664A21">
      <w:pPr>
        <w:spacing w:after="40"/>
        <w:jc w:val="both"/>
      </w:pPr>
      <w:r w:rsidRPr="00E67A4C">
        <w:lastRenderedPageBreak/>
        <w:t>If consumers do not understand kilojoules</w:t>
      </w:r>
      <w:r w:rsidR="00744139" w:rsidRPr="00E67A4C">
        <w:t xml:space="preserve">, their ability to use menu labelling </w:t>
      </w:r>
      <w:r w:rsidR="008961A1" w:rsidRPr="00E67A4C">
        <w:t xml:space="preserve">optimally is </w:t>
      </w:r>
      <w:r w:rsidR="0012083E" w:rsidRPr="00E67A4C">
        <w:t>impacted</w:t>
      </w:r>
      <w:r w:rsidR="008961A1" w:rsidRPr="00E67A4C">
        <w:t xml:space="preserve">. </w:t>
      </w:r>
      <w:r w:rsidR="00064A29" w:rsidRPr="00E67A4C">
        <w:t xml:space="preserve">To </w:t>
      </w:r>
      <w:r w:rsidR="00BD325F" w:rsidRPr="00E67A4C">
        <w:t xml:space="preserve">improve the effectiveness of </w:t>
      </w:r>
      <w:r w:rsidR="004E43EF" w:rsidRPr="00E67A4C">
        <w:t xml:space="preserve">its </w:t>
      </w:r>
      <w:r w:rsidR="00064A29" w:rsidRPr="00E67A4C">
        <w:t>menu labelling legislation</w:t>
      </w:r>
      <w:r w:rsidR="00BD325F" w:rsidRPr="00E67A4C">
        <w:t>, N</w:t>
      </w:r>
      <w:r w:rsidR="00D83D40" w:rsidRPr="00E67A4C">
        <w:t>ew South Wales has implemented and maintained the 8700kJ app and website as an ongoing means of consumer self-education</w:t>
      </w:r>
      <w:r w:rsidR="00BD325F" w:rsidRPr="00E67A4C">
        <w:t xml:space="preserve"> since 2011</w:t>
      </w:r>
      <w:r w:rsidR="00750C6F" w:rsidRPr="00E67A4C">
        <w:t>.</w:t>
      </w:r>
      <w:r w:rsidR="00D83D40" w:rsidRPr="00E67A4C">
        <w:rPr>
          <w:rStyle w:val="FootnoteReference"/>
        </w:rPr>
        <w:footnoteReference w:id="44"/>
      </w:r>
      <w:r w:rsidR="00D83D40" w:rsidRPr="00E67A4C">
        <w:t xml:space="preserve"> Queensland</w:t>
      </w:r>
      <w:r w:rsidR="00750C6F" w:rsidRPr="00E67A4C">
        <w:t xml:space="preserve"> delivered</w:t>
      </w:r>
      <w:r w:rsidR="00D83D40" w:rsidRPr="00E67A4C">
        <w:t xml:space="preserve"> ‘straight answers’ and ‘kilojoules on the menu’ campaigns in 2016-2017, and some resources remain available online.</w:t>
      </w:r>
      <w:r w:rsidR="00D83D40" w:rsidRPr="00E67A4C">
        <w:rPr>
          <w:rStyle w:val="FootnoteReference"/>
        </w:rPr>
        <w:footnoteReference w:id="45"/>
      </w:r>
      <w:r w:rsidR="00D83D40" w:rsidRPr="00E67A4C">
        <w:t xml:space="preserve"> And most recently, ‘kilojoules on the menu’ was added to </w:t>
      </w:r>
      <w:r w:rsidR="00577A21" w:rsidRPr="00E67A4C">
        <w:t>Victoria’s</w:t>
      </w:r>
      <w:r w:rsidR="00D83D40" w:rsidRPr="00E67A4C">
        <w:t xml:space="preserve"> Better Health Channel website.</w:t>
      </w:r>
      <w:r w:rsidR="00D83D40" w:rsidRPr="00E67A4C">
        <w:rPr>
          <w:rStyle w:val="FootnoteReference"/>
        </w:rPr>
        <w:footnoteReference w:id="46"/>
      </w:r>
      <w:r w:rsidR="00D83D40" w:rsidRPr="00E67A4C">
        <w:t xml:space="preserve"> </w:t>
      </w:r>
    </w:p>
    <w:p w14:paraId="0EEBC219" w14:textId="77777777" w:rsidR="000A0D58" w:rsidRPr="00E67A4C" w:rsidRDefault="000A0D58" w:rsidP="00E65037">
      <w:pPr>
        <w:spacing w:after="40"/>
        <w:jc w:val="both"/>
        <w:rPr>
          <w:lang w:eastAsia="zh-CN" w:bidi="th-TH"/>
        </w:rPr>
      </w:pPr>
    </w:p>
    <w:p w14:paraId="0581FB8C" w14:textId="345A339E" w:rsidR="000A0D58" w:rsidRPr="00E67A4C" w:rsidRDefault="000A0D58" w:rsidP="00246032">
      <w:pPr>
        <w:pStyle w:val="Heading3"/>
      </w:pPr>
      <w:bookmarkStart w:id="27" w:name="_Toc51165268"/>
      <w:r w:rsidRPr="00E67A4C">
        <w:t>1.</w:t>
      </w:r>
      <w:r w:rsidR="009A2E73" w:rsidRPr="00E67A4C">
        <w:t>7</w:t>
      </w:r>
      <w:r w:rsidRPr="00E67A4C">
        <w:t xml:space="preserve"> Menu Labelling in New Zealand</w:t>
      </w:r>
      <w:bookmarkEnd w:id="27"/>
    </w:p>
    <w:p w14:paraId="669BE1C1" w14:textId="3A626D25" w:rsidR="000A0D58" w:rsidRPr="00E67A4C" w:rsidRDefault="000A0D58" w:rsidP="00E65037">
      <w:pPr>
        <w:spacing w:after="40"/>
        <w:jc w:val="both"/>
      </w:pPr>
      <w:r w:rsidRPr="00E67A4C">
        <w:t xml:space="preserve">Menu labelling is not currently regulated in New Zealand. </w:t>
      </w:r>
      <w:r w:rsidR="00570AD8" w:rsidRPr="00E67A4C">
        <w:t xml:space="preserve">A survey of </w:t>
      </w:r>
      <w:r w:rsidR="008F079F">
        <w:t xml:space="preserve">food and beverage companies </w:t>
      </w:r>
      <w:r w:rsidR="00383342">
        <w:t xml:space="preserve">in 2018 by the </w:t>
      </w:r>
      <w:r w:rsidR="00570AD8" w:rsidRPr="00E67A4C">
        <w:t>New Zealand Food and Beverage Taskforce</w:t>
      </w:r>
      <w:r w:rsidR="00570AD8" w:rsidRPr="00C41D6A">
        <w:rPr>
          <w:rStyle w:val="FootnoteReference"/>
        </w:rPr>
        <w:footnoteReference w:id="47"/>
      </w:r>
      <w:r w:rsidR="00570AD8" w:rsidRPr="00C41D6A">
        <w:t xml:space="preserve"> found that while there was some support for voluntary menu labelling, it was not widely practised.</w:t>
      </w:r>
      <w:r w:rsidR="00FE73F3" w:rsidRPr="00C41D6A">
        <w:t xml:space="preserve"> </w:t>
      </w:r>
      <w:r w:rsidR="009548EA" w:rsidRPr="00C41D6A">
        <w:t>During</w:t>
      </w:r>
      <w:r w:rsidRPr="00C41D6A">
        <w:t xml:space="preserve"> 2020, the New Zealand Government </w:t>
      </w:r>
      <w:r w:rsidR="00383342" w:rsidRPr="00C41D6A">
        <w:t xml:space="preserve">commissioned </w:t>
      </w:r>
      <w:r w:rsidR="009B7071" w:rsidRPr="00C41D6A">
        <w:t xml:space="preserve">research to </w:t>
      </w:r>
      <w:r w:rsidRPr="00C41D6A">
        <w:t xml:space="preserve">test consumer understanding, and </w:t>
      </w:r>
      <w:r w:rsidR="00680AF9" w:rsidRPr="00C41D6A">
        <w:t xml:space="preserve">the </w:t>
      </w:r>
      <w:r w:rsidR="009B7071" w:rsidRPr="00C41D6A">
        <w:t xml:space="preserve">potential impact </w:t>
      </w:r>
      <w:r w:rsidRPr="00C41D6A">
        <w:t xml:space="preserve">of menu labelling including the current system </w:t>
      </w:r>
      <w:r w:rsidR="00536C0D" w:rsidRPr="00C41D6A">
        <w:t xml:space="preserve">used in Australia (as </w:t>
      </w:r>
      <w:r w:rsidRPr="00C41D6A">
        <w:t>outlined in the 2011 Principles</w:t>
      </w:r>
      <w:r w:rsidR="00536C0D" w:rsidRPr="00C41D6A">
        <w:t>)</w:t>
      </w:r>
      <w:r w:rsidRPr="00C41D6A">
        <w:t>.</w:t>
      </w:r>
      <w:r w:rsidR="00536C0D" w:rsidRPr="00C41D6A">
        <w:t xml:space="preserve"> In a fast food restaurant </w:t>
      </w:r>
      <w:r w:rsidR="00C41D6A" w:rsidRPr="00C41D6A">
        <w:t>setting</w:t>
      </w:r>
      <w:r w:rsidR="004206EF">
        <w:t>,</w:t>
      </w:r>
      <w:r w:rsidR="00C41D6A" w:rsidRPr="00C41D6A">
        <w:t xml:space="preserve"> the research found that menu labelling had the desired impact on respondents who eat for reasons of convenience, connection and taste. Menu labelling was found to be more effective when combined with consumer education.</w:t>
      </w:r>
    </w:p>
    <w:p w14:paraId="1C299200" w14:textId="77777777" w:rsidR="00B02813" w:rsidRPr="00E67A4C" w:rsidRDefault="00B02813" w:rsidP="00AC1D95">
      <w:pPr>
        <w:spacing w:after="40"/>
        <w:jc w:val="both"/>
        <w:rPr>
          <w:lang w:eastAsia="zh-CN" w:bidi="th-TH"/>
        </w:rPr>
      </w:pPr>
    </w:p>
    <w:p w14:paraId="23C481E7" w14:textId="4599BFD3" w:rsidR="001B3143" w:rsidRPr="00E67A4C" w:rsidRDefault="00A26678" w:rsidP="005F7DB5">
      <w:pPr>
        <w:pStyle w:val="ListParagraph"/>
        <w:pBdr>
          <w:top w:val="single" w:sz="4" w:space="1" w:color="auto"/>
          <w:left w:val="single" w:sz="4" w:space="4" w:color="auto"/>
          <w:bottom w:val="single" w:sz="4" w:space="1" w:color="auto"/>
          <w:right w:val="single" w:sz="4" w:space="6" w:color="auto"/>
        </w:pBdr>
        <w:spacing w:after="40"/>
        <w:ind w:left="0"/>
        <w:jc w:val="both"/>
      </w:pPr>
      <w:r w:rsidRPr="00E67A4C">
        <w:rPr>
          <w:b/>
          <w:bCs/>
        </w:rPr>
        <w:t>Consultation question 1:</w:t>
      </w:r>
      <w:r w:rsidRPr="00E67A4C">
        <w:t xml:space="preserve"> </w:t>
      </w:r>
      <w:r w:rsidR="00D42ADA" w:rsidRPr="00E67A4C">
        <w:t xml:space="preserve">Is your business </w:t>
      </w:r>
      <w:r w:rsidR="006B6E38" w:rsidRPr="00E67A4C">
        <w:t xml:space="preserve">voluntarily </w:t>
      </w:r>
      <w:r w:rsidRPr="00E67A4C">
        <w:t xml:space="preserve">displaying energy information in </w:t>
      </w:r>
      <w:r w:rsidRPr="00E67A4C">
        <w:rPr>
          <w:b/>
          <w:bCs/>
        </w:rPr>
        <w:t>New Zealand</w:t>
      </w:r>
      <w:r w:rsidRPr="00E67A4C">
        <w:t xml:space="preserve">? </w:t>
      </w:r>
      <w:r w:rsidR="00447884" w:rsidRPr="00E67A4C">
        <w:t>Please provide details, where possible.</w:t>
      </w:r>
    </w:p>
    <w:p w14:paraId="41B564D0" w14:textId="77777777" w:rsidR="004E3E67" w:rsidRPr="004E3E67" w:rsidRDefault="004E3E67" w:rsidP="005F7DB5">
      <w:pPr>
        <w:pStyle w:val="ListParagraph"/>
        <w:pBdr>
          <w:top w:val="single" w:sz="4" w:space="1" w:color="auto"/>
          <w:left w:val="single" w:sz="4" w:space="4" w:color="auto"/>
          <w:bottom w:val="single" w:sz="4" w:space="1" w:color="auto"/>
          <w:right w:val="single" w:sz="4" w:space="6" w:color="auto"/>
        </w:pBdr>
        <w:spacing w:after="40"/>
        <w:ind w:left="0"/>
        <w:jc w:val="both"/>
        <w:rPr>
          <w:b/>
          <w:bCs/>
          <w:sz w:val="16"/>
          <w:szCs w:val="16"/>
        </w:rPr>
      </w:pPr>
    </w:p>
    <w:p w14:paraId="32DE25AF" w14:textId="37CCAA7E" w:rsidR="001B3143" w:rsidRPr="00E67A4C" w:rsidRDefault="00C76252" w:rsidP="005F7DB5">
      <w:pPr>
        <w:pStyle w:val="ListParagraph"/>
        <w:pBdr>
          <w:top w:val="single" w:sz="4" w:space="1" w:color="auto"/>
          <w:left w:val="single" w:sz="4" w:space="4" w:color="auto"/>
          <w:bottom w:val="single" w:sz="4" w:space="1" w:color="auto"/>
          <w:right w:val="single" w:sz="4" w:space="6" w:color="auto"/>
        </w:pBdr>
        <w:spacing w:after="40"/>
        <w:ind w:left="0"/>
        <w:jc w:val="both"/>
      </w:pPr>
      <w:r w:rsidRPr="00E67A4C">
        <w:rPr>
          <w:b/>
          <w:bCs/>
        </w:rPr>
        <w:t xml:space="preserve">Consultation question </w:t>
      </w:r>
      <w:r w:rsidR="00F07BB9" w:rsidRPr="00E67A4C">
        <w:rPr>
          <w:b/>
          <w:bCs/>
        </w:rPr>
        <w:t>2</w:t>
      </w:r>
      <w:r w:rsidRPr="00E67A4C">
        <w:rPr>
          <w:b/>
          <w:bCs/>
        </w:rPr>
        <w:t>:</w:t>
      </w:r>
      <w:r w:rsidR="00F07BB9" w:rsidRPr="00E67A4C">
        <w:rPr>
          <w:b/>
          <w:bCs/>
        </w:rPr>
        <w:t xml:space="preserve"> </w:t>
      </w:r>
      <w:r w:rsidR="00F07BB9" w:rsidRPr="00E67A4C">
        <w:t xml:space="preserve">Does your </w:t>
      </w:r>
      <w:r w:rsidR="00E42A3E" w:rsidRPr="00E67A4C">
        <w:rPr>
          <w:b/>
          <w:bCs/>
        </w:rPr>
        <w:t>New Zealand</w:t>
      </w:r>
      <w:r w:rsidR="00E42A3E" w:rsidRPr="00E67A4C">
        <w:t xml:space="preserve"> </w:t>
      </w:r>
      <w:r w:rsidR="00F07BB9" w:rsidRPr="00E67A4C">
        <w:t xml:space="preserve">business </w:t>
      </w:r>
      <w:r w:rsidR="00E42A3E" w:rsidRPr="00E67A4C">
        <w:t>sell standard food items</w:t>
      </w:r>
      <w:r w:rsidR="001F5828" w:rsidRPr="00E67A4C">
        <w:t xml:space="preserve"> and is it </w:t>
      </w:r>
      <w:r w:rsidR="00497862" w:rsidRPr="00E67A4C">
        <w:t xml:space="preserve">a chain (i.e. </w:t>
      </w:r>
      <w:r w:rsidR="007D6F98" w:rsidRPr="00E67A4C">
        <w:t xml:space="preserve">more than one outlet </w:t>
      </w:r>
      <w:r w:rsidR="001F5828" w:rsidRPr="00E67A4C">
        <w:t xml:space="preserve">operated/owned under </w:t>
      </w:r>
      <w:r w:rsidR="00497862" w:rsidRPr="00E67A4C">
        <w:t>franchise arrangements</w:t>
      </w:r>
      <w:r w:rsidR="007D6F98" w:rsidRPr="00E67A4C">
        <w:t xml:space="preserve"> or </w:t>
      </w:r>
      <w:r w:rsidR="00497862" w:rsidRPr="00E67A4C">
        <w:t>the same trading name</w:t>
      </w:r>
      <w:r w:rsidR="007D6F98" w:rsidRPr="00E67A4C">
        <w:t xml:space="preserve">, or owned by one parent company/central owner/corporation)? </w:t>
      </w:r>
      <w:r w:rsidR="00E905A9" w:rsidRPr="00E67A4C">
        <w:t>If so, how many outlets do you have in New Zealand?</w:t>
      </w:r>
    </w:p>
    <w:p w14:paraId="4B26AF7A" w14:textId="2626C233" w:rsidR="00E96258" w:rsidRPr="004E3E67" w:rsidRDefault="00E96258" w:rsidP="005F7DB5">
      <w:pPr>
        <w:pStyle w:val="ListParagraph"/>
        <w:pBdr>
          <w:top w:val="single" w:sz="4" w:space="1" w:color="auto"/>
          <w:left w:val="single" w:sz="4" w:space="4" w:color="auto"/>
          <w:bottom w:val="single" w:sz="4" w:space="1" w:color="auto"/>
          <w:right w:val="single" w:sz="4" w:space="6" w:color="auto"/>
        </w:pBdr>
        <w:spacing w:after="40"/>
        <w:ind w:left="0"/>
        <w:jc w:val="both"/>
        <w:rPr>
          <w:sz w:val="16"/>
          <w:szCs w:val="16"/>
        </w:rPr>
      </w:pPr>
    </w:p>
    <w:p w14:paraId="4B600F7E" w14:textId="747C49A3" w:rsidR="00F07BB9" w:rsidRPr="00E67A4C" w:rsidRDefault="00E96258" w:rsidP="005F7DB5">
      <w:pPr>
        <w:pStyle w:val="ListParagraph"/>
        <w:pBdr>
          <w:top w:val="single" w:sz="4" w:space="1" w:color="auto"/>
          <w:left w:val="single" w:sz="4" w:space="4" w:color="auto"/>
          <w:bottom w:val="single" w:sz="4" w:space="1" w:color="auto"/>
          <w:right w:val="single" w:sz="4" w:space="6" w:color="auto"/>
        </w:pBdr>
        <w:spacing w:after="40"/>
        <w:ind w:left="0"/>
        <w:jc w:val="both"/>
        <w:rPr>
          <w:b/>
        </w:rPr>
      </w:pPr>
      <w:r w:rsidRPr="00E67A4C">
        <w:rPr>
          <w:b/>
        </w:rPr>
        <w:t xml:space="preserve">Consultation question 3: </w:t>
      </w:r>
      <w:r w:rsidR="00F07BB9" w:rsidRPr="00E67A4C">
        <w:t xml:space="preserve">Is it a problem for </w:t>
      </w:r>
      <w:r w:rsidR="00F07BB9" w:rsidRPr="00E67A4C">
        <w:rPr>
          <w:b/>
          <w:bCs/>
        </w:rPr>
        <w:t>New Zealand</w:t>
      </w:r>
      <w:r w:rsidR="00F07BB9" w:rsidRPr="00E67A4C">
        <w:t xml:space="preserve"> </w:t>
      </w:r>
      <w:r w:rsidR="00F07BB9" w:rsidRPr="00E67A4C">
        <w:rPr>
          <w:b/>
          <w:bCs/>
        </w:rPr>
        <w:t>consumers</w:t>
      </w:r>
      <w:r w:rsidR="00F07BB9" w:rsidRPr="00E67A4C">
        <w:t xml:space="preserve"> that energy information is not mandated at the point-of-sale? If so, please </w:t>
      </w:r>
      <w:r w:rsidR="004A6008" w:rsidRPr="00E67A4C">
        <w:t>explain your view</w:t>
      </w:r>
      <w:r w:rsidR="006172A5" w:rsidRPr="00E67A4C">
        <w:t xml:space="preserve"> and/or </w:t>
      </w:r>
      <w:r w:rsidR="00F07BB9" w:rsidRPr="00E67A4C">
        <w:t>detail the impact.</w:t>
      </w:r>
    </w:p>
    <w:p w14:paraId="03229C2C" w14:textId="77777777" w:rsidR="008158D0" w:rsidRPr="00246032" w:rsidRDefault="008158D0" w:rsidP="00246032">
      <w:pPr>
        <w:spacing w:after="40"/>
        <w:jc w:val="both"/>
        <w:rPr>
          <w:b/>
          <w:lang w:eastAsia="zh-CN" w:bidi="th-TH"/>
        </w:rPr>
      </w:pPr>
    </w:p>
    <w:p w14:paraId="702E3A54" w14:textId="3201822A" w:rsidR="0004125A" w:rsidRPr="00BB284A" w:rsidRDefault="0004125A" w:rsidP="00812051">
      <w:pPr>
        <w:pStyle w:val="Heading2"/>
        <w:rPr>
          <w:rStyle w:val="Heading1Char"/>
          <w:rFonts w:ascii="Times New Roman" w:hAnsi="Times New Roman" w:cs="Times New Roman"/>
          <w:kern w:val="0"/>
          <w:szCs w:val="28"/>
        </w:rPr>
      </w:pPr>
      <w:bookmarkStart w:id="28" w:name="_Toc51165269"/>
      <w:r w:rsidRPr="00BB284A">
        <w:rPr>
          <w:rStyle w:val="Heading1Char"/>
          <w:rFonts w:ascii="Times New Roman" w:hAnsi="Times New Roman" w:cs="Times New Roman"/>
          <w:b/>
          <w:bCs/>
          <w:kern w:val="0"/>
          <w:szCs w:val="28"/>
        </w:rPr>
        <w:t>2</w:t>
      </w:r>
      <w:r w:rsidR="00EA1E18" w:rsidRPr="00BB284A">
        <w:rPr>
          <w:rStyle w:val="Heading1Char"/>
          <w:rFonts w:ascii="Times New Roman" w:hAnsi="Times New Roman" w:cs="Times New Roman"/>
          <w:b/>
          <w:bCs/>
          <w:kern w:val="0"/>
          <w:szCs w:val="28"/>
        </w:rPr>
        <w:t xml:space="preserve"> Statement of the </w:t>
      </w:r>
      <w:r w:rsidRPr="00BB284A">
        <w:rPr>
          <w:rStyle w:val="Heading1Char"/>
          <w:rFonts w:ascii="Times New Roman" w:hAnsi="Times New Roman" w:cs="Times New Roman"/>
          <w:b/>
          <w:bCs/>
          <w:kern w:val="0"/>
          <w:szCs w:val="28"/>
        </w:rPr>
        <w:t>Problem</w:t>
      </w:r>
      <w:bookmarkEnd w:id="15"/>
      <w:bookmarkEnd w:id="16"/>
      <w:bookmarkEnd w:id="17"/>
      <w:bookmarkEnd w:id="28"/>
    </w:p>
    <w:p w14:paraId="3880A6B2" w14:textId="7B83C958" w:rsidR="00B542E6" w:rsidRPr="00E67A4C" w:rsidRDefault="00FA445E" w:rsidP="0006623E">
      <w:pPr>
        <w:spacing w:after="40"/>
        <w:jc w:val="both"/>
        <w:rPr>
          <w:lang w:eastAsia="zh-CN" w:bidi="th-TH"/>
        </w:rPr>
      </w:pPr>
      <w:r w:rsidRPr="00E67A4C">
        <w:rPr>
          <w:lang w:eastAsia="zh-CN" w:bidi="th-TH"/>
        </w:rPr>
        <w:t>S</w:t>
      </w:r>
      <w:r w:rsidR="004D1725" w:rsidRPr="00E67A4C">
        <w:rPr>
          <w:lang w:eastAsia="zh-CN" w:bidi="th-TH"/>
        </w:rPr>
        <w:t xml:space="preserve">ix years </w:t>
      </w:r>
      <w:r w:rsidRPr="00E67A4C">
        <w:rPr>
          <w:lang w:eastAsia="zh-CN" w:bidi="th-TH"/>
        </w:rPr>
        <w:t xml:space="preserve">after the </w:t>
      </w:r>
      <w:r w:rsidR="00DC7B68" w:rsidRPr="00E67A4C">
        <w:rPr>
          <w:lang w:eastAsia="zh-CN" w:bidi="th-TH"/>
        </w:rPr>
        <w:t>development of the</w:t>
      </w:r>
      <w:r w:rsidRPr="00E67A4C">
        <w:rPr>
          <w:lang w:eastAsia="zh-CN" w:bidi="th-TH"/>
        </w:rPr>
        <w:t xml:space="preserve"> </w:t>
      </w:r>
      <w:r w:rsidR="00520CD5" w:rsidRPr="00E67A4C">
        <w:rPr>
          <w:lang w:eastAsia="zh-CN" w:bidi="th-TH"/>
        </w:rPr>
        <w:t xml:space="preserve">2011 </w:t>
      </w:r>
      <w:r w:rsidR="004D1725" w:rsidRPr="00E67A4C">
        <w:rPr>
          <w:lang w:eastAsia="zh-CN" w:bidi="th-TH"/>
        </w:rPr>
        <w:t>Principles, t</w:t>
      </w:r>
      <w:r w:rsidR="001410B8" w:rsidRPr="00E67A4C">
        <w:rPr>
          <w:lang w:eastAsia="zh-CN" w:bidi="th-TH"/>
        </w:rPr>
        <w:t>he Health and Food Collaboration</w:t>
      </w:r>
      <w:r w:rsidR="007F03B2" w:rsidRPr="00E67A4C">
        <w:rPr>
          <w:lang w:eastAsia="zh-CN" w:bidi="th-TH"/>
        </w:rPr>
        <w:t xml:space="preserve"> undert</w:t>
      </w:r>
      <w:r w:rsidR="00DC7B68" w:rsidRPr="00E67A4C">
        <w:rPr>
          <w:lang w:eastAsia="zh-CN" w:bidi="th-TH"/>
        </w:rPr>
        <w:t>o</w:t>
      </w:r>
      <w:r w:rsidR="007F03B2" w:rsidRPr="00E67A4C">
        <w:rPr>
          <w:lang w:eastAsia="zh-CN" w:bidi="th-TH"/>
        </w:rPr>
        <w:t>ok</w:t>
      </w:r>
      <w:r w:rsidR="00DC7B68" w:rsidRPr="00E67A4C">
        <w:rPr>
          <w:lang w:eastAsia="zh-CN" w:bidi="th-TH"/>
        </w:rPr>
        <w:t xml:space="preserve"> a</w:t>
      </w:r>
      <w:r w:rsidR="007F03B2" w:rsidRPr="00E67A4C">
        <w:rPr>
          <w:lang w:eastAsia="zh-CN" w:bidi="th-TH"/>
        </w:rPr>
        <w:t xml:space="preserve"> </w:t>
      </w:r>
      <w:r w:rsidR="001410B8" w:rsidRPr="00E67A4C">
        <w:rPr>
          <w:lang w:eastAsia="zh-CN" w:bidi="th-TH"/>
        </w:rPr>
        <w:t>review of fast food menu labelling</w:t>
      </w:r>
      <w:r w:rsidR="006A462D" w:rsidRPr="00E67A4C">
        <w:rPr>
          <w:lang w:eastAsia="zh-CN" w:bidi="th-TH"/>
        </w:rPr>
        <w:t>. The review</w:t>
      </w:r>
      <w:r w:rsidR="001410B8" w:rsidRPr="00E67A4C">
        <w:rPr>
          <w:lang w:eastAsia="zh-CN" w:bidi="th-TH"/>
        </w:rPr>
        <w:t xml:space="preserve"> </w:t>
      </w:r>
      <w:r w:rsidR="00B542E6" w:rsidRPr="00E67A4C">
        <w:rPr>
          <w:lang w:eastAsia="zh-CN" w:bidi="th-TH"/>
        </w:rPr>
        <w:t>highlighted</w:t>
      </w:r>
      <w:r w:rsidR="0006623E" w:rsidRPr="00E67A4C">
        <w:rPr>
          <w:lang w:eastAsia="zh-CN" w:bidi="th-TH"/>
        </w:rPr>
        <w:t xml:space="preserve"> </w:t>
      </w:r>
      <w:r w:rsidR="0011139D" w:rsidRPr="00E67A4C">
        <w:rPr>
          <w:lang w:eastAsia="zh-CN" w:bidi="th-TH"/>
        </w:rPr>
        <w:t xml:space="preserve">three key </w:t>
      </w:r>
      <w:r w:rsidR="00F007DD" w:rsidRPr="00E67A4C">
        <w:rPr>
          <w:lang w:eastAsia="zh-CN" w:bidi="th-TH"/>
        </w:rPr>
        <w:t xml:space="preserve">concerns </w:t>
      </w:r>
      <w:r w:rsidR="0006623E" w:rsidRPr="00E67A4C">
        <w:rPr>
          <w:lang w:eastAsia="zh-CN" w:bidi="th-TH"/>
        </w:rPr>
        <w:t>with menu labelling in Australia (the status quo)</w:t>
      </w:r>
      <w:r w:rsidR="00B542E6" w:rsidRPr="00E67A4C">
        <w:rPr>
          <w:lang w:eastAsia="zh-CN" w:bidi="th-TH"/>
        </w:rPr>
        <w:t>:</w:t>
      </w:r>
    </w:p>
    <w:p w14:paraId="0BB488B6" w14:textId="3C71EE17" w:rsidR="00AF1BFD" w:rsidRPr="00E67A4C" w:rsidRDefault="009A4433" w:rsidP="00F76FDC">
      <w:pPr>
        <w:pStyle w:val="ListParagraph"/>
        <w:numPr>
          <w:ilvl w:val="0"/>
          <w:numId w:val="13"/>
        </w:numPr>
        <w:spacing w:after="40"/>
        <w:jc w:val="both"/>
        <w:rPr>
          <w:lang w:eastAsia="zh-CN" w:bidi="th-TH"/>
        </w:rPr>
      </w:pPr>
      <w:r w:rsidRPr="00E67A4C">
        <w:rPr>
          <w:lang w:eastAsia="zh-CN" w:bidi="th-TH"/>
        </w:rPr>
        <w:t>n</w:t>
      </w:r>
      <w:r w:rsidR="00AF1BFD" w:rsidRPr="00E67A4C">
        <w:rPr>
          <w:lang w:eastAsia="zh-CN" w:bidi="th-TH"/>
        </w:rPr>
        <w:t xml:space="preserve">ationally inconsistent </w:t>
      </w:r>
      <w:r w:rsidR="00783914" w:rsidRPr="00E67A4C">
        <w:rPr>
          <w:lang w:eastAsia="zh-CN" w:bidi="th-TH"/>
        </w:rPr>
        <w:t>menu labelling legislation;</w:t>
      </w:r>
    </w:p>
    <w:p w14:paraId="747EB08D" w14:textId="7FB6C6BB" w:rsidR="00783914" w:rsidRPr="00E67A4C" w:rsidRDefault="009A4433" w:rsidP="00F76FDC">
      <w:pPr>
        <w:pStyle w:val="ListParagraph"/>
        <w:numPr>
          <w:ilvl w:val="0"/>
          <w:numId w:val="13"/>
        </w:numPr>
        <w:spacing w:after="40"/>
        <w:jc w:val="both"/>
        <w:rPr>
          <w:lang w:eastAsia="zh-CN" w:bidi="th-TH"/>
        </w:rPr>
      </w:pPr>
      <w:r w:rsidRPr="00E67A4C">
        <w:rPr>
          <w:lang w:eastAsia="zh-CN" w:bidi="th-TH"/>
        </w:rPr>
        <w:t>a</w:t>
      </w:r>
      <w:r w:rsidR="00451427" w:rsidRPr="00E67A4C">
        <w:rPr>
          <w:lang w:eastAsia="zh-CN" w:bidi="th-TH"/>
        </w:rPr>
        <w:t>n u</w:t>
      </w:r>
      <w:r w:rsidR="006F7032" w:rsidRPr="00E67A4C">
        <w:rPr>
          <w:lang w:eastAsia="zh-CN" w:bidi="th-TH"/>
        </w:rPr>
        <w:t xml:space="preserve">neven </w:t>
      </w:r>
      <w:r w:rsidR="00B1608C" w:rsidRPr="00E67A4C">
        <w:rPr>
          <w:lang w:eastAsia="zh-CN" w:bidi="th-TH"/>
        </w:rPr>
        <w:t xml:space="preserve">playing field </w:t>
      </w:r>
      <w:r w:rsidR="00A52004" w:rsidRPr="00E67A4C">
        <w:rPr>
          <w:lang w:eastAsia="zh-CN" w:bidi="th-TH"/>
        </w:rPr>
        <w:t xml:space="preserve">with respect to menu labelling </w:t>
      </w:r>
      <w:r w:rsidR="00200A58" w:rsidRPr="00E67A4C">
        <w:rPr>
          <w:lang w:eastAsia="zh-CN" w:bidi="th-TH"/>
        </w:rPr>
        <w:t>for businesses selling standard food items</w:t>
      </w:r>
      <w:r w:rsidR="00A52004" w:rsidRPr="00E67A4C">
        <w:rPr>
          <w:lang w:eastAsia="zh-CN" w:bidi="th-TH"/>
        </w:rPr>
        <w:t>; and</w:t>
      </w:r>
    </w:p>
    <w:p w14:paraId="5206761E" w14:textId="7D2E5B42" w:rsidR="00A52004" w:rsidRPr="00E67A4C" w:rsidRDefault="009A4433" w:rsidP="00F76FDC">
      <w:pPr>
        <w:pStyle w:val="ListParagraph"/>
        <w:numPr>
          <w:ilvl w:val="0"/>
          <w:numId w:val="13"/>
        </w:numPr>
        <w:spacing w:after="40"/>
        <w:jc w:val="both"/>
        <w:rPr>
          <w:lang w:eastAsia="zh-CN" w:bidi="th-TH"/>
        </w:rPr>
      </w:pPr>
      <w:r w:rsidRPr="00E67A4C">
        <w:rPr>
          <w:lang w:eastAsia="zh-CN" w:bidi="th-TH"/>
        </w:rPr>
        <w:t>e</w:t>
      </w:r>
      <w:r w:rsidR="00EF7DD7" w:rsidRPr="00E67A4C">
        <w:rPr>
          <w:lang w:eastAsia="zh-CN" w:bidi="th-TH"/>
        </w:rPr>
        <w:t xml:space="preserve">merging trends for </w:t>
      </w:r>
      <w:r w:rsidR="006C0536" w:rsidRPr="00E67A4C">
        <w:rPr>
          <w:lang w:eastAsia="zh-CN" w:bidi="th-TH"/>
        </w:rPr>
        <w:t xml:space="preserve">promoting, </w:t>
      </w:r>
      <w:r w:rsidR="002874EA" w:rsidRPr="00E67A4C">
        <w:rPr>
          <w:lang w:eastAsia="zh-CN" w:bidi="th-TH"/>
        </w:rPr>
        <w:t>offering,</w:t>
      </w:r>
      <w:r w:rsidR="000C48FD" w:rsidRPr="00E67A4C">
        <w:rPr>
          <w:lang w:eastAsia="zh-CN" w:bidi="th-TH"/>
        </w:rPr>
        <w:t xml:space="preserve"> and s</w:t>
      </w:r>
      <w:r w:rsidR="006C0536" w:rsidRPr="00E67A4C">
        <w:rPr>
          <w:lang w:eastAsia="zh-CN" w:bidi="th-TH"/>
        </w:rPr>
        <w:t xml:space="preserve">elling </w:t>
      </w:r>
      <w:r w:rsidR="00EF7DD7" w:rsidRPr="00E67A4C">
        <w:rPr>
          <w:lang w:eastAsia="zh-CN" w:bidi="th-TH"/>
        </w:rPr>
        <w:t>standard food items</w:t>
      </w:r>
      <w:r w:rsidR="00102C9D" w:rsidRPr="00E67A4C">
        <w:rPr>
          <w:lang w:eastAsia="zh-CN" w:bidi="th-TH"/>
        </w:rPr>
        <w:t xml:space="preserve"> are not addressed by the 2011 Principles.</w:t>
      </w:r>
    </w:p>
    <w:p w14:paraId="096BCE43" w14:textId="31874923" w:rsidR="00A50A41" w:rsidRPr="00E67A4C" w:rsidRDefault="00A50A41" w:rsidP="00A50A41">
      <w:pPr>
        <w:pStyle w:val="ListParagraph"/>
        <w:spacing w:after="40"/>
        <w:ind w:left="0"/>
        <w:jc w:val="both"/>
        <w:rPr>
          <w:lang w:eastAsia="zh-CN" w:bidi="th-TH"/>
        </w:rPr>
      </w:pPr>
    </w:p>
    <w:p w14:paraId="62376F49" w14:textId="0996A48E" w:rsidR="00A27CAE" w:rsidRDefault="00A27CAE" w:rsidP="00A27CAE">
      <w:pPr>
        <w:spacing w:after="40"/>
        <w:jc w:val="both"/>
        <w:rPr>
          <w:lang w:eastAsia="zh-CN" w:bidi="th-TH"/>
        </w:rPr>
      </w:pPr>
      <w:r w:rsidRPr="00E67A4C">
        <w:rPr>
          <w:lang w:eastAsia="zh-CN" w:bidi="th-TH"/>
        </w:rPr>
        <w:t xml:space="preserve">Consultation in early 2018 with key Australian industry, public health and consumer organisations identified that there was strong support for national consistency and that new ways of promoting, </w:t>
      </w:r>
      <w:r w:rsidR="005E12BC" w:rsidRPr="00E67A4C">
        <w:rPr>
          <w:lang w:eastAsia="zh-CN" w:bidi="th-TH"/>
        </w:rPr>
        <w:t>offering,</w:t>
      </w:r>
      <w:r w:rsidRPr="00E67A4C">
        <w:rPr>
          <w:lang w:eastAsia="zh-CN" w:bidi="th-TH"/>
        </w:rPr>
        <w:t xml:space="preserve"> and selling food needed to be considered within menu labelling schemes.</w:t>
      </w:r>
      <w:r w:rsidR="005E12BC" w:rsidRPr="00E67A4C">
        <w:rPr>
          <w:lang w:eastAsia="zh-CN" w:bidi="th-TH"/>
        </w:rPr>
        <w:t xml:space="preserve"> Refer to Appendix </w:t>
      </w:r>
      <w:r w:rsidR="00BC3AEE" w:rsidRPr="00E67A4C">
        <w:rPr>
          <w:lang w:eastAsia="zh-CN" w:bidi="th-TH"/>
        </w:rPr>
        <w:t>1</w:t>
      </w:r>
      <w:r w:rsidR="005E12BC" w:rsidRPr="00E67A4C">
        <w:rPr>
          <w:lang w:eastAsia="zh-CN" w:bidi="th-TH"/>
        </w:rPr>
        <w:t xml:space="preserve"> for details about the consultation to-date. </w:t>
      </w:r>
      <w:r w:rsidRPr="00E67A4C">
        <w:rPr>
          <w:lang w:eastAsia="zh-CN" w:bidi="th-TH"/>
        </w:rPr>
        <w:t xml:space="preserve"> </w:t>
      </w:r>
    </w:p>
    <w:p w14:paraId="73338FBC" w14:textId="77777777" w:rsidR="004E3E67" w:rsidRPr="00E67A4C" w:rsidRDefault="004E3E67" w:rsidP="00A27CAE">
      <w:pPr>
        <w:spacing w:after="40"/>
        <w:jc w:val="both"/>
        <w:rPr>
          <w:lang w:eastAsia="zh-CN" w:bidi="th-TH"/>
        </w:rPr>
      </w:pPr>
    </w:p>
    <w:p w14:paraId="05E0BE0C" w14:textId="7EA7B65D" w:rsidR="00B542E6" w:rsidRPr="00E67A4C" w:rsidRDefault="00863D6E" w:rsidP="00246032">
      <w:pPr>
        <w:pStyle w:val="Heading3"/>
      </w:pPr>
      <w:bookmarkStart w:id="29" w:name="_Toc51165270"/>
      <w:r w:rsidRPr="00E67A4C">
        <w:lastRenderedPageBreak/>
        <w:t>2</w:t>
      </w:r>
      <w:r w:rsidR="00B542E6" w:rsidRPr="00E67A4C">
        <w:t>.</w:t>
      </w:r>
      <w:r w:rsidR="001410B8" w:rsidRPr="00E67A4C">
        <w:t>1</w:t>
      </w:r>
      <w:r w:rsidR="00B542E6" w:rsidRPr="00E67A4C">
        <w:t xml:space="preserve"> </w:t>
      </w:r>
      <w:r w:rsidR="00200A58" w:rsidRPr="00E67A4C">
        <w:t>N</w:t>
      </w:r>
      <w:r w:rsidR="00B542E6" w:rsidRPr="00E67A4C">
        <w:t xml:space="preserve">ationally </w:t>
      </w:r>
      <w:r w:rsidR="00200A58" w:rsidRPr="00E67A4C">
        <w:t>in</w:t>
      </w:r>
      <w:r w:rsidR="00B542E6" w:rsidRPr="00E67A4C">
        <w:t xml:space="preserve">consistent </w:t>
      </w:r>
      <w:r w:rsidR="00200A58" w:rsidRPr="00E67A4C">
        <w:t xml:space="preserve">menu labelling </w:t>
      </w:r>
      <w:r w:rsidR="00B542E6" w:rsidRPr="00E67A4C">
        <w:t>legislation</w:t>
      </w:r>
      <w:bookmarkEnd w:id="29"/>
    </w:p>
    <w:p w14:paraId="7AEF12AC" w14:textId="5B7F884B" w:rsidR="00B542E6" w:rsidRPr="00E67A4C" w:rsidRDefault="00B542E6" w:rsidP="00EA1E18">
      <w:pPr>
        <w:spacing w:after="40"/>
        <w:jc w:val="both"/>
        <w:rPr>
          <w:lang w:eastAsia="zh-CN" w:bidi="th-TH"/>
        </w:rPr>
      </w:pPr>
      <w:r w:rsidRPr="00E67A4C">
        <w:rPr>
          <w:lang w:eastAsia="zh-CN" w:bidi="th-TH"/>
        </w:rPr>
        <w:t xml:space="preserve">The menu labelling legislation in </w:t>
      </w:r>
      <w:r w:rsidR="00CA3FED" w:rsidRPr="00E67A4C">
        <w:rPr>
          <w:lang w:eastAsia="zh-CN" w:bidi="th-TH"/>
        </w:rPr>
        <w:t xml:space="preserve">five </w:t>
      </w:r>
      <w:r w:rsidR="00057B10" w:rsidRPr="00E67A4C">
        <w:rPr>
          <w:lang w:eastAsia="zh-CN" w:bidi="th-TH"/>
        </w:rPr>
        <w:t xml:space="preserve">Australian </w:t>
      </w:r>
      <w:r w:rsidRPr="00E67A4C">
        <w:rPr>
          <w:lang w:eastAsia="zh-CN" w:bidi="th-TH"/>
        </w:rPr>
        <w:t>jurisdiction</w:t>
      </w:r>
      <w:r w:rsidR="00CA3FED" w:rsidRPr="00E67A4C">
        <w:rPr>
          <w:lang w:eastAsia="zh-CN" w:bidi="th-TH"/>
        </w:rPr>
        <w:t>s</w:t>
      </w:r>
      <w:r w:rsidRPr="00E67A4C">
        <w:rPr>
          <w:lang w:eastAsia="zh-CN" w:bidi="th-TH"/>
        </w:rPr>
        <w:t xml:space="preserve"> </w:t>
      </w:r>
      <w:r w:rsidR="00614998" w:rsidRPr="00E67A4C">
        <w:rPr>
          <w:lang w:eastAsia="zh-CN" w:bidi="th-TH"/>
        </w:rPr>
        <w:t>are</w:t>
      </w:r>
      <w:r w:rsidRPr="00E67A4C">
        <w:rPr>
          <w:lang w:eastAsia="zh-CN" w:bidi="th-TH"/>
        </w:rPr>
        <w:t xml:space="preserve"> largely consistent with the </w:t>
      </w:r>
      <w:r w:rsidR="00F038DE" w:rsidRPr="00E67A4C">
        <w:rPr>
          <w:lang w:eastAsia="zh-CN" w:bidi="th-TH"/>
        </w:rPr>
        <w:t xml:space="preserve">2011 </w:t>
      </w:r>
      <w:r w:rsidR="0054177F" w:rsidRPr="00E67A4C">
        <w:rPr>
          <w:lang w:eastAsia="zh-CN" w:bidi="th-TH"/>
        </w:rPr>
        <w:t>P</w:t>
      </w:r>
      <w:r w:rsidR="00C71745" w:rsidRPr="00E67A4C">
        <w:rPr>
          <w:lang w:eastAsia="zh-CN" w:bidi="th-TH"/>
        </w:rPr>
        <w:t>rinciples</w:t>
      </w:r>
      <w:r w:rsidRPr="00E67A4C">
        <w:rPr>
          <w:lang w:eastAsia="zh-CN" w:bidi="th-TH"/>
        </w:rPr>
        <w:t xml:space="preserve">. There is consistency in definitions of a </w:t>
      </w:r>
      <w:r w:rsidR="00A46EE4" w:rsidRPr="00E67A4C">
        <w:rPr>
          <w:lang w:eastAsia="zh-CN" w:bidi="th-TH"/>
        </w:rPr>
        <w:t xml:space="preserve">menu, </w:t>
      </w:r>
      <w:r w:rsidRPr="00E67A4C">
        <w:rPr>
          <w:lang w:eastAsia="zh-CN" w:bidi="th-TH"/>
        </w:rPr>
        <w:t xml:space="preserve">standard food item and ready-to-eat food; information that must be displayed; prescribed method for calculating energy content; and places </w:t>
      </w:r>
      <w:r w:rsidR="00233957" w:rsidRPr="00E67A4C">
        <w:rPr>
          <w:lang w:eastAsia="zh-CN" w:bidi="th-TH"/>
        </w:rPr>
        <w:t xml:space="preserve">on a menu </w:t>
      </w:r>
      <w:r w:rsidRPr="00E67A4C">
        <w:rPr>
          <w:lang w:eastAsia="zh-CN" w:bidi="th-TH"/>
        </w:rPr>
        <w:t xml:space="preserve">where information must be displayed. </w:t>
      </w:r>
    </w:p>
    <w:p w14:paraId="40AC54BC" w14:textId="77777777" w:rsidR="00B542E6" w:rsidRPr="00E67A4C" w:rsidRDefault="00B542E6" w:rsidP="00EA1E18">
      <w:pPr>
        <w:spacing w:after="40"/>
        <w:jc w:val="both"/>
        <w:rPr>
          <w:lang w:eastAsia="zh-CN" w:bidi="th-TH"/>
        </w:rPr>
      </w:pPr>
    </w:p>
    <w:p w14:paraId="29168FFC" w14:textId="2A2FAB93" w:rsidR="00F3685E" w:rsidRPr="00E67A4C" w:rsidRDefault="00B542E6" w:rsidP="00F3685E">
      <w:pPr>
        <w:spacing w:after="40"/>
        <w:jc w:val="both"/>
      </w:pPr>
      <w:r w:rsidRPr="00E67A4C">
        <w:rPr>
          <w:lang w:eastAsia="zh-CN" w:bidi="th-TH"/>
        </w:rPr>
        <w:t xml:space="preserve">However, </w:t>
      </w:r>
      <w:r w:rsidR="00CD71FF" w:rsidRPr="00E67A4C">
        <w:rPr>
          <w:lang w:eastAsia="zh-CN" w:bidi="th-TH"/>
        </w:rPr>
        <w:t xml:space="preserve">jurisdictions have taken </w:t>
      </w:r>
      <w:r w:rsidRPr="00E67A4C">
        <w:rPr>
          <w:lang w:eastAsia="zh-CN" w:bidi="th-TH"/>
        </w:rPr>
        <w:t>different approaches</w:t>
      </w:r>
      <w:r w:rsidR="00CD71FF" w:rsidRPr="00E67A4C">
        <w:rPr>
          <w:lang w:eastAsia="zh-CN" w:bidi="th-TH"/>
        </w:rPr>
        <w:t xml:space="preserve"> to businesses that are exempt from menu labelling</w:t>
      </w:r>
      <w:r w:rsidR="0033677C" w:rsidRPr="00E67A4C">
        <w:rPr>
          <w:lang w:eastAsia="zh-CN" w:bidi="th-TH"/>
        </w:rPr>
        <w:t xml:space="preserve"> (</w:t>
      </w:r>
      <w:r w:rsidR="00EA1E18" w:rsidRPr="00E67A4C">
        <w:rPr>
          <w:lang w:eastAsia="zh-CN" w:bidi="th-TH"/>
        </w:rPr>
        <w:t>see</w:t>
      </w:r>
      <w:r w:rsidR="0033677C" w:rsidRPr="00E67A4C">
        <w:rPr>
          <w:lang w:eastAsia="zh-CN" w:bidi="th-TH"/>
        </w:rPr>
        <w:t xml:space="preserve"> Table </w:t>
      </w:r>
      <w:r w:rsidR="004C000A" w:rsidRPr="00E67A4C">
        <w:rPr>
          <w:lang w:eastAsia="zh-CN" w:bidi="th-TH"/>
        </w:rPr>
        <w:t>3</w:t>
      </w:r>
      <w:r w:rsidR="00897452" w:rsidRPr="00E67A4C">
        <w:rPr>
          <w:lang w:eastAsia="zh-CN" w:bidi="th-TH"/>
        </w:rPr>
        <w:t xml:space="preserve"> below</w:t>
      </w:r>
      <w:r w:rsidR="00603956" w:rsidRPr="00E67A4C">
        <w:rPr>
          <w:lang w:eastAsia="zh-CN" w:bidi="th-TH"/>
        </w:rPr>
        <w:t>)</w:t>
      </w:r>
      <w:r w:rsidR="00957204" w:rsidRPr="00E67A4C">
        <w:rPr>
          <w:lang w:eastAsia="zh-CN" w:bidi="th-TH"/>
        </w:rPr>
        <w:t xml:space="preserve">. </w:t>
      </w:r>
      <w:r w:rsidR="001043FB" w:rsidRPr="00E67A4C">
        <w:rPr>
          <w:lang w:eastAsia="zh-CN" w:bidi="th-TH"/>
        </w:rPr>
        <w:t xml:space="preserve">Most jurisdictions specify between </w:t>
      </w:r>
      <w:r w:rsidR="000A55F9" w:rsidRPr="00E67A4C">
        <w:rPr>
          <w:lang w:eastAsia="zh-CN" w:bidi="th-TH"/>
        </w:rPr>
        <w:t>five</w:t>
      </w:r>
      <w:r w:rsidR="001043FB" w:rsidRPr="00E67A4C">
        <w:rPr>
          <w:lang w:eastAsia="zh-CN" w:bidi="th-TH"/>
        </w:rPr>
        <w:t xml:space="preserve"> and </w:t>
      </w:r>
      <w:r w:rsidR="000A55F9" w:rsidRPr="00E67A4C">
        <w:rPr>
          <w:lang w:eastAsia="zh-CN" w:bidi="th-TH"/>
        </w:rPr>
        <w:t>nine</w:t>
      </w:r>
      <w:r w:rsidR="001043FB" w:rsidRPr="00E67A4C">
        <w:rPr>
          <w:lang w:eastAsia="zh-CN" w:bidi="th-TH"/>
        </w:rPr>
        <w:t xml:space="preserve"> business types that are exempt from menu labelling. </w:t>
      </w:r>
      <w:r w:rsidR="000A55F9" w:rsidRPr="00E67A4C">
        <w:rPr>
          <w:lang w:eastAsia="zh-CN" w:bidi="th-TH"/>
        </w:rPr>
        <w:t xml:space="preserve">There is not one business type that is specifically exempt </w:t>
      </w:r>
      <w:r w:rsidR="00137E9D" w:rsidRPr="00E67A4C">
        <w:rPr>
          <w:lang w:eastAsia="zh-CN" w:bidi="th-TH"/>
        </w:rPr>
        <w:t>in</w:t>
      </w:r>
      <w:r w:rsidR="000A55F9" w:rsidRPr="00E67A4C">
        <w:rPr>
          <w:lang w:eastAsia="zh-CN" w:bidi="th-TH"/>
        </w:rPr>
        <w:t xml:space="preserve"> all jurisdictions.</w:t>
      </w:r>
      <w:r w:rsidR="00F3685E" w:rsidRPr="00E67A4C">
        <w:rPr>
          <w:lang w:eastAsia="zh-CN" w:bidi="th-TH"/>
        </w:rPr>
        <w:t xml:space="preserve"> </w:t>
      </w:r>
      <w:r w:rsidR="00F3685E" w:rsidRPr="00E67A4C">
        <w:t xml:space="preserve">Stakeholders have identified that these exemptions do not align with the intent of the </w:t>
      </w:r>
      <w:r w:rsidR="00776073" w:rsidRPr="00E67A4C">
        <w:t xml:space="preserve">2011 </w:t>
      </w:r>
      <w:r w:rsidR="00F3685E" w:rsidRPr="00E67A4C">
        <w:t>Principles</w:t>
      </w:r>
      <w:r w:rsidR="007E7552" w:rsidRPr="00E67A4C">
        <w:t xml:space="preserve"> (</w:t>
      </w:r>
      <w:r w:rsidR="004757E2" w:rsidRPr="00E67A4C">
        <w:t xml:space="preserve">noting that </w:t>
      </w:r>
      <w:r w:rsidR="007E7552" w:rsidRPr="00E67A4C">
        <w:t xml:space="preserve">exemptions </w:t>
      </w:r>
      <w:r w:rsidR="00B61F1E" w:rsidRPr="00E67A4C">
        <w:t xml:space="preserve">are </w:t>
      </w:r>
      <w:r w:rsidR="003A0098" w:rsidRPr="00E67A4C">
        <w:t xml:space="preserve">not specified </w:t>
      </w:r>
      <w:r w:rsidR="007E7552" w:rsidRPr="00E67A4C">
        <w:t>in the 2011 Principles)</w:t>
      </w:r>
      <w:r w:rsidR="006C1EC9" w:rsidRPr="00E67A4C">
        <w:t>;</w:t>
      </w:r>
      <w:r w:rsidR="00F3685E" w:rsidRPr="00E67A4C">
        <w:t xml:space="preserve"> result</w:t>
      </w:r>
      <w:r w:rsidR="006C1EC9" w:rsidRPr="00E67A4C">
        <w:t>ing</w:t>
      </w:r>
      <w:r w:rsidR="00F3685E" w:rsidRPr="00E67A4C">
        <w:t xml:space="preserve"> in inconsistency</w:t>
      </w:r>
      <w:r w:rsidR="003E65D8" w:rsidRPr="00E67A4C">
        <w:t xml:space="preserve"> </w:t>
      </w:r>
      <w:r w:rsidR="00AE140C" w:rsidRPr="00E67A4C">
        <w:t xml:space="preserve">for </w:t>
      </w:r>
      <w:r w:rsidR="006C1EC9" w:rsidRPr="00E67A4C">
        <w:t xml:space="preserve">Australian </w:t>
      </w:r>
      <w:r w:rsidR="00AE140C" w:rsidRPr="00E67A4C">
        <w:t>businesses</w:t>
      </w:r>
      <w:r w:rsidR="006C1EC9" w:rsidRPr="00E67A4C">
        <w:t xml:space="preserve">, and </w:t>
      </w:r>
      <w:r w:rsidR="000642BE" w:rsidRPr="00E67A4C">
        <w:t xml:space="preserve">inequitable access </w:t>
      </w:r>
      <w:r w:rsidR="00893ACA" w:rsidRPr="00E67A4C">
        <w:t xml:space="preserve">to energy information </w:t>
      </w:r>
      <w:r w:rsidR="000445BE" w:rsidRPr="00E67A4C">
        <w:t xml:space="preserve">at the point-of-sale </w:t>
      </w:r>
      <w:r w:rsidR="00C00AC2" w:rsidRPr="00E67A4C">
        <w:t>for Australian consumers</w:t>
      </w:r>
      <w:r w:rsidR="00F3685E" w:rsidRPr="00E67A4C">
        <w:t>.</w:t>
      </w:r>
      <w:r w:rsidR="00DA0285" w:rsidRPr="00E67A4C">
        <w:rPr>
          <w:rStyle w:val="FootnoteReference"/>
        </w:rPr>
        <w:footnoteReference w:id="48"/>
      </w:r>
      <w:r w:rsidR="00AE140C" w:rsidRPr="00E67A4C">
        <w:t xml:space="preserve"> </w:t>
      </w:r>
    </w:p>
    <w:p w14:paraId="543EA777" w14:textId="77777777" w:rsidR="00B02813" w:rsidRPr="00E67A4C" w:rsidRDefault="00B02813" w:rsidP="0020514D">
      <w:pPr>
        <w:pStyle w:val="ListParagraph"/>
        <w:spacing w:after="40"/>
        <w:jc w:val="both"/>
      </w:pPr>
    </w:p>
    <w:p w14:paraId="05DF3AAD" w14:textId="1BD66858" w:rsidR="0020514D" w:rsidRDefault="0020514D" w:rsidP="0020514D">
      <w:pPr>
        <w:rPr>
          <w:lang w:eastAsia="zh-CN" w:bidi="th-TH"/>
        </w:rPr>
      </w:pPr>
      <w:r w:rsidRPr="00E67A4C">
        <w:rPr>
          <w:lang w:eastAsia="zh-CN" w:bidi="th-TH"/>
        </w:rPr>
        <w:t xml:space="preserve">Table </w:t>
      </w:r>
      <w:r w:rsidR="004C000A" w:rsidRPr="00E67A4C">
        <w:rPr>
          <w:lang w:eastAsia="zh-CN" w:bidi="th-TH"/>
        </w:rPr>
        <w:t>3</w:t>
      </w:r>
      <w:r w:rsidRPr="00E67A4C">
        <w:rPr>
          <w:lang w:eastAsia="zh-CN" w:bidi="th-TH"/>
        </w:rPr>
        <w:t>: Business types (X) specifically exempt in Australian jurisdictions’ legislation</w:t>
      </w:r>
    </w:p>
    <w:p w14:paraId="0B6DC261" w14:textId="77777777" w:rsidR="00246032" w:rsidRDefault="00246032" w:rsidP="0020514D">
      <w:pPr>
        <w:rPr>
          <w:lang w:eastAsia="zh-CN" w:bidi="th-TH"/>
        </w:rPr>
      </w:pPr>
    </w:p>
    <w:tbl>
      <w:tblPr>
        <w:tblStyle w:val="PlainTable3"/>
        <w:tblW w:w="0" w:type="auto"/>
        <w:tblLook w:val="04A0" w:firstRow="1" w:lastRow="0" w:firstColumn="1" w:lastColumn="0" w:noHBand="0" w:noVBand="1"/>
        <w:tblCaption w:val="Business types (X) specifically exempt in Australian jurisdictions' legislation"/>
        <w:tblDescription w:val="6 columns. 1. Business type. 2. New South Wales. 3. South Australia. 4. Australian Capital Territory. 5. Queensland. 6. Victoria. 16 rows. 1. Heading. 2 to 16. Different business types."/>
      </w:tblPr>
      <w:tblGrid>
        <w:gridCol w:w="4582"/>
        <w:gridCol w:w="894"/>
        <w:gridCol w:w="894"/>
        <w:gridCol w:w="895"/>
        <w:gridCol w:w="894"/>
        <w:gridCol w:w="895"/>
      </w:tblGrid>
      <w:tr w:rsidR="0020514D" w:rsidRPr="00E67A4C" w14:paraId="604BB783" w14:textId="77777777" w:rsidTr="009D51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582" w:type="dxa"/>
          </w:tcPr>
          <w:p w14:paraId="5FDABC96" w14:textId="00FF79F7" w:rsidR="0020514D" w:rsidRPr="00267D40" w:rsidRDefault="00267D40" w:rsidP="00B9299F">
            <w:pPr>
              <w:rPr>
                <w:sz w:val="20"/>
                <w:szCs w:val="20"/>
                <w:lang w:eastAsia="zh-CN" w:bidi="th-TH"/>
              </w:rPr>
            </w:pPr>
            <w:r w:rsidRPr="00267D40">
              <w:rPr>
                <w:caps w:val="0"/>
                <w:sz w:val="20"/>
                <w:szCs w:val="20"/>
                <w:lang w:eastAsia="zh-CN" w:bidi="th-TH"/>
              </w:rPr>
              <w:t>Business Type</w:t>
            </w:r>
          </w:p>
        </w:tc>
        <w:tc>
          <w:tcPr>
            <w:tcW w:w="894" w:type="dxa"/>
          </w:tcPr>
          <w:p w14:paraId="6581BA1B" w14:textId="77777777" w:rsidR="0020514D" w:rsidRPr="00267D40" w:rsidRDefault="0020514D" w:rsidP="00B9299F">
            <w:pPr>
              <w:jc w:val="center"/>
              <w:cnfStyle w:val="100000000000" w:firstRow="1" w:lastRow="0" w:firstColumn="0" w:lastColumn="0" w:oddVBand="0" w:evenVBand="0" w:oddHBand="0" w:evenHBand="0" w:firstRowFirstColumn="0" w:firstRowLastColumn="0" w:lastRowFirstColumn="0" w:lastRowLastColumn="0"/>
              <w:rPr>
                <w:sz w:val="20"/>
                <w:szCs w:val="20"/>
                <w:lang w:eastAsia="zh-CN" w:bidi="th-TH"/>
              </w:rPr>
            </w:pPr>
            <w:r w:rsidRPr="00267D40">
              <w:rPr>
                <w:sz w:val="20"/>
                <w:szCs w:val="20"/>
                <w:lang w:eastAsia="zh-CN" w:bidi="th-TH"/>
              </w:rPr>
              <w:t>NSW</w:t>
            </w:r>
          </w:p>
        </w:tc>
        <w:tc>
          <w:tcPr>
            <w:tcW w:w="894" w:type="dxa"/>
          </w:tcPr>
          <w:p w14:paraId="3CCD8210" w14:textId="77777777" w:rsidR="0020514D" w:rsidRPr="00267D40" w:rsidRDefault="0020514D" w:rsidP="00B9299F">
            <w:pPr>
              <w:jc w:val="center"/>
              <w:cnfStyle w:val="100000000000" w:firstRow="1" w:lastRow="0" w:firstColumn="0" w:lastColumn="0" w:oddVBand="0" w:evenVBand="0" w:oddHBand="0" w:evenHBand="0" w:firstRowFirstColumn="0" w:firstRowLastColumn="0" w:lastRowFirstColumn="0" w:lastRowLastColumn="0"/>
              <w:rPr>
                <w:sz w:val="20"/>
                <w:szCs w:val="20"/>
                <w:lang w:eastAsia="zh-CN" w:bidi="th-TH"/>
              </w:rPr>
            </w:pPr>
            <w:r w:rsidRPr="00267D40">
              <w:rPr>
                <w:sz w:val="20"/>
                <w:szCs w:val="20"/>
                <w:lang w:eastAsia="zh-CN" w:bidi="th-TH"/>
              </w:rPr>
              <w:t>SA</w:t>
            </w:r>
          </w:p>
        </w:tc>
        <w:tc>
          <w:tcPr>
            <w:tcW w:w="895" w:type="dxa"/>
          </w:tcPr>
          <w:p w14:paraId="33037B00" w14:textId="77777777" w:rsidR="0020514D" w:rsidRPr="00267D40" w:rsidRDefault="0020514D" w:rsidP="00B9299F">
            <w:pPr>
              <w:jc w:val="center"/>
              <w:cnfStyle w:val="100000000000" w:firstRow="1" w:lastRow="0" w:firstColumn="0" w:lastColumn="0" w:oddVBand="0" w:evenVBand="0" w:oddHBand="0" w:evenHBand="0" w:firstRowFirstColumn="0" w:firstRowLastColumn="0" w:lastRowFirstColumn="0" w:lastRowLastColumn="0"/>
              <w:rPr>
                <w:sz w:val="20"/>
                <w:szCs w:val="20"/>
                <w:lang w:eastAsia="zh-CN" w:bidi="th-TH"/>
              </w:rPr>
            </w:pPr>
            <w:r w:rsidRPr="00267D40">
              <w:rPr>
                <w:sz w:val="20"/>
                <w:szCs w:val="20"/>
                <w:lang w:eastAsia="zh-CN" w:bidi="th-TH"/>
              </w:rPr>
              <w:t>ACT</w:t>
            </w:r>
          </w:p>
        </w:tc>
        <w:tc>
          <w:tcPr>
            <w:tcW w:w="894" w:type="dxa"/>
          </w:tcPr>
          <w:p w14:paraId="27928B04" w14:textId="77777777" w:rsidR="0020514D" w:rsidRPr="00267D40" w:rsidRDefault="0020514D" w:rsidP="00B9299F">
            <w:pPr>
              <w:jc w:val="center"/>
              <w:cnfStyle w:val="100000000000" w:firstRow="1" w:lastRow="0" w:firstColumn="0" w:lastColumn="0" w:oddVBand="0" w:evenVBand="0" w:oddHBand="0" w:evenHBand="0" w:firstRowFirstColumn="0" w:firstRowLastColumn="0" w:lastRowFirstColumn="0" w:lastRowLastColumn="0"/>
              <w:rPr>
                <w:sz w:val="20"/>
                <w:szCs w:val="20"/>
                <w:lang w:eastAsia="zh-CN" w:bidi="th-TH"/>
              </w:rPr>
            </w:pPr>
            <w:r w:rsidRPr="00267D40">
              <w:rPr>
                <w:sz w:val="20"/>
                <w:szCs w:val="20"/>
                <w:lang w:eastAsia="zh-CN" w:bidi="th-TH"/>
              </w:rPr>
              <w:t>QLD</w:t>
            </w:r>
          </w:p>
        </w:tc>
        <w:tc>
          <w:tcPr>
            <w:tcW w:w="895" w:type="dxa"/>
          </w:tcPr>
          <w:p w14:paraId="3BEBCE07" w14:textId="77777777" w:rsidR="0020514D" w:rsidRPr="00267D40" w:rsidRDefault="0020514D" w:rsidP="00B9299F">
            <w:pPr>
              <w:jc w:val="center"/>
              <w:cnfStyle w:val="100000000000" w:firstRow="1" w:lastRow="0" w:firstColumn="0" w:lastColumn="0" w:oddVBand="0" w:evenVBand="0" w:oddHBand="0" w:evenHBand="0" w:firstRowFirstColumn="0" w:firstRowLastColumn="0" w:lastRowFirstColumn="0" w:lastRowLastColumn="0"/>
              <w:rPr>
                <w:sz w:val="20"/>
                <w:szCs w:val="20"/>
                <w:lang w:eastAsia="zh-CN" w:bidi="th-TH"/>
              </w:rPr>
            </w:pPr>
            <w:r w:rsidRPr="00267D40">
              <w:rPr>
                <w:sz w:val="20"/>
                <w:szCs w:val="20"/>
                <w:lang w:eastAsia="zh-CN" w:bidi="th-TH"/>
              </w:rPr>
              <w:t>VIC</w:t>
            </w:r>
          </w:p>
        </w:tc>
      </w:tr>
      <w:tr w:rsidR="0020514D" w:rsidRPr="00E67A4C" w14:paraId="7350D750" w14:textId="77777777" w:rsidTr="0026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5A877447" w14:textId="77777777" w:rsidR="0020514D" w:rsidRDefault="00267D40" w:rsidP="00B9299F">
            <w:pPr>
              <w:rPr>
                <w:b w:val="0"/>
                <w:bCs w:val="0"/>
                <w:sz w:val="20"/>
                <w:szCs w:val="20"/>
                <w:lang w:eastAsia="zh-CN" w:bidi="th-TH"/>
              </w:rPr>
            </w:pPr>
            <w:r w:rsidRPr="00E67A4C">
              <w:rPr>
                <w:caps w:val="0"/>
                <w:sz w:val="20"/>
                <w:szCs w:val="20"/>
                <w:lang w:eastAsia="zh-CN" w:bidi="th-TH"/>
              </w:rPr>
              <w:t>Supermarkets</w:t>
            </w:r>
          </w:p>
          <w:p w14:paraId="53CBF5AE" w14:textId="499B0123" w:rsidR="00267D40" w:rsidRPr="00E67A4C" w:rsidRDefault="00267D40" w:rsidP="00B9299F">
            <w:pPr>
              <w:rPr>
                <w:sz w:val="20"/>
                <w:szCs w:val="20"/>
                <w:lang w:eastAsia="zh-CN" w:bidi="th-TH"/>
              </w:rPr>
            </w:pPr>
          </w:p>
        </w:tc>
        <w:tc>
          <w:tcPr>
            <w:tcW w:w="894" w:type="dxa"/>
            <w:vAlign w:val="center"/>
          </w:tcPr>
          <w:p w14:paraId="529CECED"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693A1C55"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755DD9B8"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2C7656D0"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5" w:type="dxa"/>
            <w:vAlign w:val="center"/>
          </w:tcPr>
          <w:p w14:paraId="52ED43DA"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r>
      <w:tr w:rsidR="0020514D" w:rsidRPr="00E67A4C" w14:paraId="0F276D37" w14:textId="77777777" w:rsidTr="00267D40">
        <w:tc>
          <w:tcPr>
            <w:cnfStyle w:val="001000000000" w:firstRow="0" w:lastRow="0" w:firstColumn="1" w:lastColumn="0" w:oddVBand="0" w:evenVBand="0" w:oddHBand="0" w:evenHBand="0" w:firstRowFirstColumn="0" w:firstRowLastColumn="0" w:lastRowFirstColumn="0" w:lastRowLastColumn="0"/>
            <w:tcW w:w="4582" w:type="dxa"/>
          </w:tcPr>
          <w:p w14:paraId="50A93063" w14:textId="77777777" w:rsidR="0020514D" w:rsidRDefault="00267D40" w:rsidP="00B9299F">
            <w:pPr>
              <w:rPr>
                <w:b w:val="0"/>
                <w:bCs w:val="0"/>
                <w:sz w:val="20"/>
                <w:szCs w:val="20"/>
                <w:lang w:eastAsia="zh-CN" w:bidi="th-TH"/>
              </w:rPr>
            </w:pPr>
            <w:r w:rsidRPr="00E67A4C">
              <w:rPr>
                <w:caps w:val="0"/>
                <w:sz w:val="20"/>
                <w:szCs w:val="20"/>
                <w:lang w:eastAsia="zh-CN" w:bidi="th-TH"/>
              </w:rPr>
              <w:t>Convenience Stores</w:t>
            </w:r>
          </w:p>
          <w:p w14:paraId="7F60FF16" w14:textId="61B3FACB" w:rsidR="00267D40" w:rsidRPr="00E67A4C" w:rsidRDefault="00267D40" w:rsidP="00B9299F">
            <w:pPr>
              <w:rPr>
                <w:sz w:val="20"/>
                <w:szCs w:val="20"/>
                <w:lang w:eastAsia="zh-CN" w:bidi="th-TH"/>
              </w:rPr>
            </w:pPr>
          </w:p>
        </w:tc>
        <w:tc>
          <w:tcPr>
            <w:tcW w:w="894" w:type="dxa"/>
            <w:vAlign w:val="center"/>
          </w:tcPr>
          <w:p w14:paraId="4726E5E7"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3A4EB2F3"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7833DA8F"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78548852"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5DFEB30A"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r>
      <w:tr w:rsidR="0020514D" w:rsidRPr="00E67A4C" w14:paraId="3B7A1AA1" w14:textId="77777777" w:rsidTr="0026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1CF6B976" w14:textId="77777777" w:rsidR="0020514D" w:rsidRDefault="00267D40" w:rsidP="00B9299F">
            <w:pPr>
              <w:rPr>
                <w:b w:val="0"/>
                <w:bCs w:val="0"/>
                <w:sz w:val="20"/>
                <w:szCs w:val="20"/>
                <w:lang w:eastAsia="zh-CN" w:bidi="th-TH"/>
              </w:rPr>
            </w:pPr>
            <w:r w:rsidRPr="00E67A4C">
              <w:rPr>
                <w:caps w:val="0"/>
                <w:sz w:val="20"/>
                <w:szCs w:val="20"/>
                <w:lang w:eastAsia="zh-CN" w:bidi="th-TH"/>
              </w:rPr>
              <w:t>Service Stations</w:t>
            </w:r>
          </w:p>
          <w:p w14:paraId="76957DA4" w14:textId="05B21C5C" w:rsidR="00267D40" w:rsidRPr="00E67A4C" w:rsidRDefault="00267D40" w:rsidP="00B9299F">
            <w:pPr>
              <w:rPr>
                <w:sz w:val="20"/>
                <w:szCs w:val="20"/>
                <w:lang w:eastAsia="zh-CN" w:bidi="th-TH"/>
              </w:rPr>
            </w:pPr>
          </w:p>
        </w:tc>
        <w:tc>
          <w:tcPr>
            <w:tcW w:w="894" w:type="dxa"/>
            <w:vAlign w:val="center"/>
          </w:tcPr>
          <w:p w14:paraId="6001F24A"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45B8E882"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5" w:type="dxa"/>
            <w:vAlign w:val="center"/>
          </w:tcPr>
          <w:p w14:paraId="61BCA515"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1D15F903"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6EFEAE85"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r>
      <w:tr w:rsidR="0020514D" w:rsidRPr="00E67A4C" w14:paraId="42B9CD9F" w14:textId="77777777" w:rsidTr="00267D40">
        <w:tc>
          <w:tcPr>
            <w:cnfStyle w:val="001000000000" w:firstRow="0" w:lastRow="0" w:firstColumn="1" w:lastColumn="0" w:oddVBand="0" w:evenVBand="0" w:oddHBand="0" w:evenHBand="0" w:firstRowFirstColumn="0" w:firstRowLastColumn="0" w:lastRowFirstColumn="0" w:lastRowLastColumn="0"/>
            <w:tcW w:w="4582" w:type="dxa"/>
          </w:tcPr>
          <w:p w14:paraId="6294614B" w14:textId="77777777" w:rsidR="0020514D" w:rsidRDefault="00267D40" w:rsidP="00B9299F">
            <w:pPr>
              <w:rPr>
                <w:b w:val="0"/>
                <w:bCs w:val="0"/>
                <w:sz w:val="20"/>
                <w:szCs w:val="20"/>
                <w:lang w:eastAsia="zh-CN" w:bidi="th-TH"/>
              </w:rPr>
            </w:pPr>
            <w:r w:rsidRPr="00E67A4C">
              <w:rPr>
                <w:caps w:val="0"/>
                <w:sz w:val="20"/>
                <w:szCs w:val="20"/>
                <w:lang w:eastAsia="zh-CN" w:bidi="th-TH"/>
              </w:rPr>
              <w:t>Cinemas</w:t>
            </w:r>
          </w:p>
          <w:p w14:paraId="565C6522" w14:textId="403594A5" w:rsidR="00267D40" w:rsidRPr="00E67A4C" w:rsidRDefault="00267D40" w:rsidP="00B9299F">
            <w:pPr>
              <w:rPr>
                <w:sz w:val="20"/>
                <w:szCs w:val="20"/>
                <w:lang w:eastAsia="zh-CN" w:bidi="th-TH"/>
              </w:rPr>
            </w:pPr>
          </w:p>
        </w:tc>
        <w:tc>
          <w:tcPr>
            <w:tcW w:w="894" w:type="dxa"/>
            <w:vAlign w:val="center"/>
          </w:tcPr>
          <w:p w14:paraId="31A0B09B"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7CA3E952"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5" w:type="dxa"/>
            <w:vAlign w:val="center"/>
          </w:tcPr>
          <w:p w14:paraId="373AE5C7"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698DC7DA"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7F38D7C0"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r>
      <w:tr w:rsidR="0020514D" w:rsidRPr="00E67A4C" w14:paraId="162FB79F" w14:textId="77777777" w:rsidTr="0026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5C42A905" w14:textId="77777777" w:rsidR="0020514D" w:rsidRDefault="00267D40" w:rsidP="00B9299F">
            <w:pPr>
              <w:rPr>
                <w:b w:val="0"/>
                <w:bCs w:val="0"/>
                <w:sz w:val="20"/>
                <w:szCs w:val="20"/>
                <w:lang w:eastAsia="zh-CN" w:bidi="th-TH"/>
              </w:rPr>
            </w:pPr>
            <w:r w:rsidRPr="00E67A4C">
              <w:rPr>
                <w:caps w:val="0"/>
                <w:sz w:val="20"/>
                <w:szCs w:val="20"/>
                <w:lang w:eastAsia="zh-CN" w:bidi="th-TH"/>
              </w:rPr>
              <w:t>Dine-In Restaurants</w:t>
            </w:r>
          </w:p>
          <w:p w14:paraId="6D1223C0" w14:textId="716574E7" w:rsidR="00267D40" w:rsidRPr="00E67A4C" w:rsidRDefault="00267D40" w:rsidP="00B9299F">
            <w:pPr>
              <w:rPr>
                <w:sz w:val="20"/>
                <w:szCs w:val="20"/>
                <w:lang w:eastAsia="zh-CN" w:bidi="th-TH"/>
              </w:rPr>
            </w:pPr>
          </w:p>
        </w:tc>
        <w:tc>
          <w:tcPr>
            <w:tcW w:w="894" w:type="dxa"/>
            <w:vAlign w:val="center"/>
          </w:tcPr>
          <w:p w14:paraId="6BF27887"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5006D5F1"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314A64FB"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0E10B047"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31474506"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r>
      <w:tr w:rsidR="0020514D" w:rsidRPr="00E67A4C" w14:paraId="571AE108" w14:textId="77777777" w:rsidTr="00267D40">
        <w:tc>
          <w:tcPr>
            <w:cnfStyle w:val="001000000000" w:firstRow="0" w:lastRow="0" w:firstColumn="1" w:lastColumn="0" w:oddVBand="0" w:evenVBand="0" w:oddHBand="0" w:evenHBand="0" w:firstRowFirstColumn="0" w:firstRowLastColumn="0" w:lastRowFirstColumn="0" w:lastRowLastColumn="0"/>
            <w:tcW w:w="4582" w:type="dxa"/>
          </w:tcPr>
          <w:p w14:paraId="318C48D8" w14:textId="77777777" w:rsidR="0020514D" w:rsidRDefault="00267D40" w:rsidP="00B9299F">
            <w:pPr>
              <w:rPr>
                <w:b w:val="0"/>
                <w:bCs w:val="0"/>
                <w:sz w:val="20"/>
                <w:szCs w:val="20"/>
                <w:lang w:eastAsia="zh-CN" w:bidi="th-TH"/>
              </w:rPr>
            </w:pPr>
            <w:r w:rsidRPr="00E67A4C">
              <w:rPr>
                <w:caps w:val="0"/>
                <w:sz w:val="20"/>
                <w:szCs w:val="20"/>
                <w:lang w:eastAsia="zh-CN" w:bidi="th-TH"/>
              </w:rPr>
              <w:t>Mobile Vendors</w:t>
            </w:r>
          </w:p>
          <w:p w14:paraId="3FA40A54" w14:textId="045AFC43" w:rsidR="00267D40" w:rsidRPr="00E67A4C" w:rsidRDefault="00267D40" w:rsidP="00B9299F">
            <w:pPr>
              <w:rPr>
                <w:sz w:val="20"/>
                <w:szCs w:val="20"/>
                <w:lang w:eastAsia="zh-CN" w:bidi="th-TH"/>
              </w:rPr>
            </w:pPr>
          </w:p>
        </w:tc>
        <w:tc>
          <w:tcPr>
            <w:tcW w:w="894" w:type="dxa"/>
            <w:vAlign w:val="center"/>
          </w:tcPr>
          <w:p w14:paraId="132D21DE"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457903F6"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5" w:type="dxa"/>
            <w:vAlign w:val="center"/>
          </w:tcPr>
          <w:p w14:paraId="4E99C4B1"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7C1B8959"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47710D5F"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r>
      <w:tr w:rsidR="0020514D" w:rsidRPr="00E67A4C" w14:paraId="0E935FA5" w14:textId="77777777" w:rsidTr="0026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5DD56E64" w14:textId="77777777" w:rsidR="0020514D" w:rsidRDefault="00267D40" w:rsidP="00B9299F">
            <w:pPr>
              <w:rPr>
                <w:b w:val="0"/>
                <w:bCs w:val="0"/>
                <w:sz w:val="20"/>
                <w:szCs w:val="20"/>
                <w:lang w:eastAsia="zh-CN" w:bidi="th-TH"/>
              </w:rPr>
            </w:pPr>
            <w:r w:rsidRPr="00E67A4C">
              <w:rPr>
                <w:caps w:val="0"/>
                <w:sz w:val="20"/>
                <w:szCs w:val="20"/>
                <w:lang w:eastAsia="zh-CN" w:bidi="th-TH"/>
              </w:rPr>
              <w:t>Caterers</w:t>
            </w:r>
          </w:p>
          <w:p w14:paraId="3D37E2D9" w14:textId="6DD34A47" w:rsidR="00267D40" w:rsidRPr="00E67A4C" w:rsidRDefault="00267D40" w:rsidP="00B9299F">
            <w:pPr>
              <w:rPr>
                <w:sz w:val="20"/>
                <w:szCs w:val="20"/>
                <w:lang w:eastAsia="zh-CN" w:bidi="th-TH"/>
              </w:rPr>
            </w:pPr>
          </w:p>
        </w:tc>
        <w:tc>
          <w:tcPr>
            <w:tcW w:w="894" w:type="dxa"/>
            <w:vAlign w:val="center"/>
          </w:tcPr>
          <w:p w14:paraId="24066ABD"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25398836"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2B2B5842"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38E5B13F"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5ECD8C7C"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r>
      <w:tr w:rsidR="0020514D" w:rsidRPr="00E67A4C" w14:paraId="04977ABB" w14:textId="77777777" w:rsidTr="00267D40">
        <w:tc>
          <w:tcPr>
            <w:cnfStyle w:val="001000000000" w:firstRow="0" w:lastRow="0" w:firstColumn="1" w:lastColumn="0" w:oddVBand="0" w:evenVBand="0" w:oddHBand="0" w:evenHBand="0" w:firstRowFirstColumn="0" w:firstRowLastColumn="0" w:lastRowFirstColumn="0" w:lastRowLastColumn="0"/>
            <w:tcW w:w="4582" w:type="dxa"/>
          </w:tcPr>
          <w:p w14:paraId="6A04B987" w14:textId="77777777" w:rsidR="0020514D" w:rsidRDefault="00267D40" w:rsidP="00B9299F">
            <w:pPr>
              <w:rPr>
                <w:b w:val="0"/>
                <w:bCs w:val="0"/>
                <w:sz w:val="20"/>
                <w:szCs w:val="20"/>
                <w:lang w:eastAsia="zh-CN" w:bidi="th-TH"/>
              </w:rPr>
            </w:pPr>
            <w:r w:rsidRPr="00E67A4C">
              <w:rPr>
                <w:caps w:val="0"/>
                <w:sz w:val="20"/>
                <w:szCs w:val="20"/>
                <w:lang w:eastAsia="zh-CN" w:bidi="th-TH"/>
              </w:rPr>
              <w:t>Vending Machines</w:t>
            </w:r>
          </w:p>
          <w:p w14:paraId="46C8F450" w14:textId="5FF8E20B" w:rsidR="00267D40" w:rsidRPr="00E67A4C" w:rsidRDefault="00267D40" w:rsidP="00B9299F">
            <w:pPr>
              <w:rPr>
                <w:sz w:val="20"/>
                <w:szCs w:val="20"/>
                <w:lang w:eastAsia="zh-CN" w:bidi="th-TH"/>
              </w:rPr>
            </w:pPr>
          </w:p>
        </w:tc>
        <w:tc>
          <w:tcPr>
            <w:tcW w:w="894" w:type="dxa"/>
            <w:vAlign w:val="center"/>
          </w:tcPr>
          <w:p w14:paraId="265183D2"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203AD234"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5" w:type="dxa"/>
            <w:vAlign w:val="center"/>
          </w:tcPr>
          <w:p w14:paraId="0B9ED03D"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66A7623D"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5" w:type="dxa"/>
            <w:vAlign w:val="center"/>
          </w:tcPr>
          <w:p w14:paraId="3E70B333"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r>
      <w:tr w:rsidR="0020514D" w:rsidRPr="00E67A4C" w14:paraId="1D6CD572" w14:textId="77777777" w:rsidTr="0026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24074BA6" w14:textId="77777777" w:rsidR="0020514D" w:rsidRDefault="00267D40" w:rsidP="00B9299F">
            <w:pPr>
              <w:rPr>
                <w:b w:val="0"/>
                <w:bCs w:val="0"/>
                <w:sz w:val="20"/>
                <w:szCs w:val="20"/>
                <w:lang w:eastAsia="zh-CN" w:bidi="th-TH"/>
              </w:rPr>
            </w:pPr>
            <w:r w:rsidRPr="00E67A4C">
              <w:rPr>
                <w:caps w:val="0"/>
                <w:sz w:val="20"/>
                <w:szCs w:val="20"/>
                <w:lang w:eastAsia="zh-CN" w:bidi="th-TH"/>
              </w:rPr>
              <w:t>Temporary Food Premises</w:t>
            </w:r>
          </w:p>
          <w:p w14:paraId="424C0B2F" w14:textId="524E61B5" w:rsidR="00267D40" w:rsidRPr="00E67A4C" w:rsidRDefault="00267D40" w:rsidP="00B9299F">
            <w:pPr>
              <w:rPr>
                <w:sz w:val="20"/>
                <w:szCs w:val="20"/>
                <w:lang w:eastAsia="zh-CN" w:bidi="th-TH"/>
              </w:rPr>
            </w:pPr>
          </w:p>
        </w:tc>
        <w:tc>
          <w:tcPr>
            <w:tcW w:w="894" w:type="dxa"/>
            <w:vAlign w:val="center"/>
          </w:tcPr>
          <w:p w14:paraId="7A55ED33"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4D79C9A5"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5" w:type="dxa"/>
            <w:vAlign w:val="center"/>
          </w:tcPr>
          <w:p w14:paraId="54398C31"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3EC4180E"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5" w:type="dxa"/>
            <w:vAlign w:val="center"/>
          </w:tcPr>
          <w:p w14:paraId="03DBAC47"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r>
      <w:tr w:rsidR="0020514D" w:rsidRPr="00E67A4C" w14:paraId="16981294" w14:textId="77777777" w:rsidTr="00267D40">
        <w:tc>
          <w:tcPr>
            <w:cnfStyle w:val="001000000000" w:firstRow="0" w:lastRow="0" w:firstColumn="1" w:lastColumn="0" w:oddVBand="0" w:evenVBand="0" w:oddHBand="0" w:evenHBand="0" w:firstRowFirstColumn="0" w:firstRowLastColumn="0" w:lastRowFirstColumn="0" w:lastRowLastColumn="0"/>
            <w:tcW w:w="4582" w:type="dxa"/>
          </w:tcPr>
          <w:p w14:paraId="317EDD7F" w14:textId="77777777" w:rsidR="0020514D" w:rsidRDefault="00267D40" w:rsidP="00B9299F">
            <w:pPr>
              <w:rPr>
                <w:b w:val="0"/>
                <w:bCs w:val="0"/>
                <w:sz w:val="20"/>
                <w:szCs w:val="20"/>
                <w:lang w:eastAsia="zh-CN" w:bidi="th-TH"/>
              </w:rPr>
            </w:pPr>
            <w:r w:rsidRPr="00E67A4C">
              <w:rPr>
                <w:caps w:val="0"/>
                <w:sz w:val="20"/>
                <w:szCs w:val="20"/>
                <w:lang w:eastAsia="zh-CN" w:bidi="th-TH"/>
              </w:rPr>
              <w:t xml:space="preserve">Not-For-Profit Home Delivery </w:t>
            </w:r>
            <w:r>
              <w:rPr>
                <w:caps w:val="0"/>
                <w:sz w:val="20"/>
                <w:szCs w:val="20"/>
                <w:lang w:eastAsia="zh-CN" w:bidi="th-TH"/>
              </w:rPr>
              <w:t>o</w:t>
            </w:r>
            <w:r w:rsidRPr="00E67A4C">
              <w:rPr>
                <w:caps w:val="0"/>
                <w:sz w:val="20"/>
                <w:szCs w:val="20"/>
                <w:lang w:eastAsia="zh-CN" w:bidi="th-TH"/>
              </w:rPr>
              <w:t>f Meals</w:t>
            </w:r>
          </w:p>
          <w:p w14:paraId="73452BFC" w14:textId="46EDF28D" w:rsidR="00267D40" w:rsidRPr="00E67A4C" w:rsidRDefault="00267D40" w:rsidP="00B9299F">
            <w:pPr>
              <w:rPr>
                <w:sz w:val="20"/>
                <w:szCs w:val="20"/>
                <w:lang w:eastAsia="zh-CN" w:bidi="th-TH"/>
              </w:rPr>
            </w:pPr>
          </w:p>
        </w:tc>
        <w:tc>
          <w:tcPr>
            <w:tcW w:w="894" w:type="dxa"/>
            <w:vAlign w:val="center"/>
          </w:tcPr>
          <w:p w14:paraId="3FB55DE1"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2BDF59FB"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328BB279"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344A9FF4"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2DE71EDF"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r>
      <w:tr w:rsidR="0020514D" w:rsidRPr="00E67A4C" w14:paraId="00CE1C35" w14:textId="77777777" w:rsidTr="0026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16BB6F7B" w14:textId="77777777" w:rsidR="0020514D" w:rsidRDefault="00267D40" w:rsidP="00B9299F">
            <w:pPr>
              <w:rPr>
                <w:b w:val="0"/>
                <w:bCs w:val="0"/>
                <w:sz w:val="20"/>
                <w:szCs w:val="20"/>
                <w:lang w:eastAsia="zh-CN" w:bidi="th-TH"/>
              </w:rPr>
            </w:pPr>
            <w:r w:rsidRPr="00E67A4C">
              <w:rPr>
                <w:caps w:val="0"/>
                <w:sz w:val="20"/>
                <w:szCs w:val="20"/>
                <w:lang w:eastAsia="zh-CN" w:bidi="th-TH"/>
              </w:rPr>
              <w:t>Health Care Facilities</w:t>
            </w:r>
          </w:p>
          <w:p w14:paraId="630D68C4" w14:textId="6B04158B" w:rsidR="00267D40" w:rsidRPr="00E67A4C" w:rsidRDefault="00267D40" w:rsidP="00B9299F">
            <w:pPr>
              <w:rPr>
                <w:sz w:val="20"/>
                <w:szCs w:val="20"/>
                <w:lang w:eastAsia="zh-CN" w:bidi="th-TH"/>
              </w:rPr>
            </w:pPr>
          </w:p>
        </w:tc>
        <w:tc>
          <w:tcPr>
            <w:tcW w:w="894" w:type="dxa"/>
            <w:vAlign w:val="center"/>
          </w:tcPr>
          <w:p w14:paraId="14791F77"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05B8E02A"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5" w:type="dxa"/>
            <w:vAlign w:val="center"/>
          </w:tcPr>
          <w:p w14:paraId="207C6D1F"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60730B23"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387F257E"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r>
      <w:tr w:rsidR="0020514D" w:rsidRPr="00E67A4C" w14:paraId="4476E9F3" w14:textId="77777777" w:rsidTr="00267D40">
        <w:tc>
          <w:tcPr>
            <w:cnfStyle w:val="001000000000" w:firstRow="0" w:lastRow="0" w:firstColumn="1" w:lastColumn="0" w:oddVBand="0" w:evenVBand="0" w:oddHBand="0" w:evenHBand="0" w:firstRowFirstColumn="0" w:firstRowLastColumn="0" w:lastRowFirstColumn="0" w:lastRowLastColumn="0"/>
            <w:tcW w:w="4582" w:type="dxa"/>
          </w:tcPr>
          <w:p w14:paraId="1607A9E9" w14:textId="77777777" w:rsidR="0020514D" w:rsidRDefault="00267D40" w:rsidP="00B9299F">
            <w:pPr>
              <w:rPr>
                <w:b w:val="0"/>
                <w:bCs w:val="0"/>
                <w:sz w:val="20"/>
                <w:szCs w:val="20"/>
                <w:lang w:eastAsia="zh-CN" w:bidi="th-TH"/>
              </w:rPr>
            </w:pPr>
            <w:r w:rsidRPr="00E67A4C">
              <w:rPr>
                <w:caps w:val="0"/>
                <w:sz w:val="20"/>
                <w:szCs w:val="20"/>
                <w:lang w:eastAsia="zh-CN" w:bidi="th-TH"/>
              </w:rPr>
              <w:t xml:space="preserve">Aged Care Facilities, Hospices, Respite Care Facilities </w:t>
            </w:r>
            <w:r>
              <w:rPr>
                <w:caps w:val="0"/>
                <w:sz w:val="20"/>
                <w:szCs w:val="20"/>
                <w:lang w:eastAsia="zh-CN" w:bidi="th-TH"/>
              </w:rPr>
              <w:t>a</w:t>
            </w:r>
            <w:r w:rsidRPr="00E67A4C">
              <w:rPr>
                <w:caps w:val="0"/>
                <w:sz w:val="20"/>
                <w:szCs w:val="20"/>
                <w:lang w:eastAsia="zh-CN" w:bidi="th-TH"/>
              </w:rPr>
              <w:t>nd Crisis Accommodation</w:t>
            </w:r>
          </w:p>
          <w:p w14:paraId="7E1CD107" w14:textId="0CD9AE7D" w:rsidR="00267D40" w:rsidRPr="00E67A4C" w:rsidRDefault="00267D40" w:rsidP="00B9299F">
            <w:pPr>
              <w:rPr>
                <w:sz w:val="20"/>
                <w:szCs w:val="20"/>
                <w:lang w:eastAsia="zh-CN" w:bidi="th-TH"/>
              </w:rPr>
            </w:pPr>
          </w:p>
        </w:tc>
        <w:tc>
          <w:tcPr>
            <w:tcW w:w="894" w:type="dxa"/>
            <w:vAlign w:val="center"/>
          </w:tcPr>
          <w:p w14:paraId="328BE717"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3C2D31CD"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5" w:type="dxa"/>
            <w:vAlign w:val="center"/>
          </w:tcPr>
          <w:p w14:paraId="2CDC5426"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1B950502"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5" w:type="dxa"/>
            <w:vAlign w:val="center"/>
          </w:tcPr>
          <w:p w14:paraId="3EEDD0FA"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r>
      <w:tr w:rsidR="0020514D" w:rsidRPr="00E67A4C" w14:paraId="681C84BB" w14:textId="77777777" w:rsidTr="0026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175B50C8" w14:textId="77777777" w:rsidR="00267D40" w:rsidRDefault="00267D40" w:rsidP="00B9299F">
            <w:pPr>
              <w:rPr>
                <w:b w:val="0"/>
                <w:bCs w:val="0"/>
                <w:sz w:val="20"/>
                <w:szCs w:val="20"/>
                <w:lang w:eastAsia="zh-CN" w:bidi="th-TH"/>
              </w:rPr>
            </w:pPr>
            <w:r w:rsidRPr="00E67A4C">
              <w:rPr>
                <w:caps w:val="0"/>
                <w:sz w:val="20"/>
                <w:szCs w:val="20"/>
                <w:lang w:eastAsia="zh-CN" w:bidi="th-TH"/>
              </w:rPr>
              <w:t xml:space="preserve">Not-For-Profit Food Businesses Operated </w:t>
            </w:r>
            <w:r>
              <w:rPr>
                <w:caps w:val="0"/>
                <w:sz w:val="20"/>
                <w:szCs w:val="20"/>
                <w:lang w:eastAsia="zh-CN" w:bidi="th-TH"/>
              </w:rPr>
              <w:t>b</w:t>
            </w:r>
            <w:r w:rsidRPr="00E67A4C">
              <w:rPr>
                <w:caps w:val="0"/>
                <w:sz w:val="20"/>
                <w:szCs w:val="20"/>
                <w:lang w:eastAsia="zh-CN" w:bidi="th-TH"/>
              </w:rPr>
              <w:t xml:space="preserve">y </w:t>
            </w:r>
          </w:p>
          <w:p w14:paraId="41E19EBF" w14:textId="77777777" w:rsidR="0020514D" w:rsidRDefault="00267D40" w:rsidP="00B9299F">
            <w:pPr>
              <w:rPr>
                <w:b w:val="0"/>
                <w:bCs w:val="0"/>
                <w:sz w:val="20"/>
                <w:szCs w:val="20"/>
                <w:lang w:eastAsia="zh-CN" w:bidi="th-TH"/>
              </w:rPr>
            </w:pPr>
            <w:r w:rsidRPr="00E67A4C">
              <w:rPr>
                <w:caps w:val="0"/>
                <w:sz w:val="20"/>
                <w:szCs w:val="20"/>
                <w:lang w:eastAsia="zh-CN" w:bidi="th-TH"/>
              </w:rPr>
              <w:t>Schools, Sports Clubs, Workplace Social Clubs</w:t>
            </w:r>
          </w:p>
          <w:p w14:paraId="20F9F508" w14:textId="2536C99F" w:rsidR="00267D40" w:rsidRPr="00E67A4C" w:rsidRDefault="00267D40" w:rsidP="00B9299F">
            <w:pPr>
              <w:rPr>
                <w:sz w:val="20"/>
                <w:szCs w:val="20"/>
                <w:lang w:eastAsia="zh-CN" w:bidi="th-TH"/>
              </w:rPr>
            </w:pPr>
          </w:p>
        </w:tc>
        <w:tc>
          <w:tcPr>
            <w:tcW w:w="894" w:type="dxa"/>
            <w:vAlign w:val="center"/>
          </w:tcPr>
          <w:p w14:paraId="303A0102"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3C45800B"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5" w:type="dxa"/>
            <w:vAlign w:val="center"/>
          </w:tcPr>
          <w:p w14:paraId="514E096D"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39CC75DC"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5" w:type="dxa"/>
            <w:vAlign w:val="center"/>
          </w:tcPr>
          <w:p w14:paraId="73D25BE6"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r>
      <w:tr w:rsidR="0020514D" w:rsidRPr="00E67A4C" w14:paraId="3A35DC66" w14:textId="77777777" w:rsidTr="00267D40">
        <w:tc>
          <w:tcPr>
            <w:cnfStyle w:val="001000000000" w:firstRow="0" w:lastRow="0" w:firstColumn="1" w:lastColumn="0" w:oddVBand="0" w:evenVBand="0" w:oddHBand="0" w:evenHBand="0" w:firstRowFirstColumn="0" w:firstRowLastColumn="0" w:lastRowFirstColumn="0" w:lastRowLastColumn="0"/>
            <w:tcW w:w="4582" w:type="dxa"/>
          </w:tcPr>
          <w:p w14:paraId="23A1C87E" w14:textId="77777777" w:rsidR="0020514D" w:rsidRDefault="00267D40" w:rsidP="00B9299F">
            <w:pPr>
              <w:rPr>
                <w:b w:val="0"/>
                <w:bCs w:val="0"/>
                <w:sz w:val="20"/>
                <w:szCs w:val="20"/>
                <w:lang w:eastAsia="zh-CN" w:bidi="th-TH"/>
              </w:rPr>
            </w:pPr>
            <w:r w:rsidRPr="00E67A4C">
              <w:rPr>
                <w:caps w:val="0"/>
                <w:sz w:val="20"/>
                <w:szCs w:val="20"/>
                <w:lang w:eastAsia="zh-CN" w:bidi="th-TH"/>
              </w:rPr>
              <w:t>Charitable Organisations</w:t>
            </w:r>
          </w:p>
          <w:p w14:paraId="291CF5A4" w14:textId="2FB0906F" w:rsidR="00267D40" w:rsidRPr="00E67A4C" w:rsidRDefault="00267D40" w:rsidP="00B9299F">
            <w:pPr>
              <w:rPr>
                <w:sz w:val="20"/>
                <w:szCs w:val="20"/>
                <w:lang w:eastAsia="zh-CN" w:bidi="th-TH"/>
              </w:rPr>
            </w:pPr>
          </w:p>
        </w:tc>
        <w:tc>
          <w:tcPr>
            <w:tcW w:w="894" w:type="dxa"/>
            <w:vAlign w:val="center"/>
          </w:tcPr>
          <w:p w14:paraId="57086A25"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4" w:type="dxa"/>
            <w:vAlign w:val="center"/>
          </w:tcPr>
          <w:p w14:paraId="78DCF7E9"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5" w:type="dxa"/>
            <w:vAlign w:val="center"/>
          </w:tcPr>
          <w:p w14:paraId="501FAA1E"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69CE2021"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895" w:type="dxa"/>
            <w:vAlign w:val="center"/>
          </w:tcPr>
          <w:p w14:paraId="23B38D06" w14:textId="77777777" w:rsidR="0020514D" w:rsidRPr="00E67A4C" w:rsidRDefault="0020514D" w:rsidP="00267D40">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r>
      <w:tr w:rsidR="0020514D" w:rsidRPr="00E67A4C" w14:paraId="16521D32" w14:textId="77777777" w:rsidTr="00267D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4D749735" w14:textId="77777777" w:rsidR="0020514D" w:rsidRDefault="00267D40" w:rsidP="00B9299F">
            <w:pPr>
              <w:rPr>
                <w:b w:val="0"/>
                <w:bCs w:val="0"/>
                <w:sz w:val="20"/>
                <w:szCs w:val="20"/>
                <w:lang w:eastAsia="zh-CN" w:bidi="th-TH"/>
              </w:rPr>
            </w:pPr>
            <w:r w:rsidRPr="00E67A4C">
              <w:rPr>
                <w:caps w:val="0"/>
                <w:sz w:val="20"/>
                <w:szCs w:val="20"/>
                <w:lang w:eastAsia="zh-CN" w:bidi="th-TH"/>
              </w:rPr>
              <w:t xml:space="preserve">Schools </w:t>
            </w:r>
            <w:r>
              <w:rPr>
                <w:caps w:val="0"/>
                <w:sz w:val="20"/>
                <w:szCs w:val="20"/>
                <w:lang w:eastAsia="zh-CN" w:bidi="th-TH"/>
              </w:rPr>
              <w:t>a</w:t>
            </w:r>
            <w:r w:rsidRPr="00E67A4C">
              <w:rPr>
                <w:caps w:val="0"/>
                <w:sz w:val="20"/>
                <w:szCs w:val="20"/>
                <w:lang w:eastAsia="zh-CN" w:bidi="th-TH"/>
              </w:rPr>
              <w:t>nd Childcare Centres</w:t>
            </w:r>
          </w:p>
          <w:p w14:paraId="3F54F7E4" w14:textId="10955F45" w:rsidR="00267D40" w:rsidRPr="00E67A4C" w:rsidRDefault="00267D40" w:rsidP="00B9299F">
            <w:pPr>
              <w:rPr>
                <w:sz w:val="20"/>
                <w:szCs w:val="20"/>
                <w:lang w:eastAsia="zh-CN" w:bidi="th-TH"/>
              </w:rPr>
            </w:pPr>
          </w:p>
        </w:tc>
        <w:tc>
          <w:tcPr>
            <w:tcW w:w="894" w:type="dxa"/>
            <w:vAlign w:val="center"/>
          </w:tcPr>
          <w:p w14:paraId="39B6C091"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4" w:type="dxa"/>
            <w:vAlign w:val="center"/>
          </w:tcPr>
          <w:p w14:paraId="3306533E"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5" w:type="dxa"/>
            <w:vAlign w:val="center"/>
          </w:tcPr>
          <w:p w14:paraId="14B43FD4"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X</w:t>
            </w:r>
          </w:p>
        </w:tc>
        <w:tc>
          <w:tcPr>
            <w:tcW w:w="894" w:type="dxa"/>
            <w:vAlign w:val="center"/>
          </w:tcPr>
          <w:p w14:paraId="6201545F"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c>
          <w:tcPr>
            <w:tcW w:w="895" w:type="dxa"/>
            <w:vAlign w:val="center"/>
          </w:tcPr>
          <w:p w14:paraId="680EAEBB" w14:textId="77777777" w:rsidR="0020514D" w:rsidRPr="00E67A4C" w:rsidRDefault="0020514D" w:rsidP="00267D40">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p>
        </w:tc>
      </w:tr>
    </w:tbl>
    <w:p w14:paraId="1587702C" w14:textId="77777777" w:rsidR="00267D40" w:rsidRPr="00E67A4C" w:rsidRDefault="00267D40" w:rsidP="00EA1E18">
      <w:pPr>
        <w:spacing w:after="40"/>
        <w:jc w:val="both"/>
        <w:rPr>
          <w:lang w:eastAsia="zh-CN" w:bidi="th-TH"/>
        </w:rPr>
      </w:pPr>
    </w:p>
    <w:p w14:paraId="3711A428" w14:textId="34CCCC47" w:rsidR="00897452" w:rsidRPr="00E67A4C" w:rsidRDefault="00897452" w:rsidP="00897452">
      <w:pPr>
        <w:spacing w:after="40"/>
        <w:jc w:val="both"/>
        <w:rPr>
          <w:lang w:eastAsia="zh-CN" w:bidi="th-TH"/>
        </w:rPr>
      </w:pPr>
      <w:r w:rsidRPr="00E67A4C">
        <w:rPr>
          <w:lang w:eastAsia="zh-CN" w:bidi="th-TH"/>
        </w:rPr>
        <w:t>There are also some differences with respect to how and when to display energy information, as well as some definitions</w:t>
      </w:r>
      <w:r w:rsidR="00087D01" w:rsidRPr="00E67A4C">
        <w:rPr>
          <w:lang w:eastAsia="zh-CN" w:bidi="th-TH"/>
        </w:rPr>
        <w:t>, including</w:t>
      </w:r>
      <w:r w:rsidRPr="00E67A4C">
        <w:rPr>
          <w:lang w:eastAsia="zh-CN" w:bidi="th-TH"/>
        </w:rPr>
        <w:t xml:space="preserve">: </w:t>
      </w:r>
    </w:p>
    <w:p w14:paraId="3AD3548B" w14:textId="2CA4A0EC" w:rsidR="00897452" w:rsidRPr="00E67A4C" w:rsidRDefault="004C17A3" w:rsidP="00F76FDC">
      <w:pPr>
        <w:pStyle w:val="ListParagraph"/>
        <w:numPr>
          <w:ilvl w:val="0"/>
          <w:numId w:val="3"/>
        </w:numPr>
        <w:spacing w:after="40"/>
        <w:jc w:val="both"/>
        <w:rPr>
          <w:lang w:eastAsia="zh-CN" w:bidi="th-TH"/>
        </w:rPr>
      </w:pPr>
      <w:r w:rsidRPr="00E67A4C">
        <w:rPr>
          <w:lang w:eastAsia="zh-CN" w:bidi="th-TH"/>
        </w:rPr>
        <w:t xml:space="preserve">only </w:t>
      </w:r>
      <w:r w:rsidR="00973F64" w:rsidRPr="00E67A4C">
        <w:rPr>
          <w:lang w:eastAsia="zh-CN" w:bidi="th-TH"/>
        </w:rPr>
        <w:t xml:space="preserve">Queensland </w:t>
      </w:r>
      <w:r w:rsidR="00897452" w:rsidRPr="00E67A4C">
        <w:rPr>
          <w:lang w:eastAsia="zh-CN" w:bidi="th-TH"/>
        </w:rPr>
        <w:t>has a requirement relating to font colour, in addition to font type and size</w:t>
      </w:r>
      <w:r w:rsidR="00F475D8" w:rsidRPr="00E67A4C">
        <w:rPr>
          <w:lang w:eastAsia="zh-CN" w:bidi="th-TH"/>
        </w:rPr>
        <w:t>;</w:t>
      </w:r>
    </w:p>
    <w:p w14:paraId="585F334F" w14:textId="3EF5C37E" w:rsidR="00897452" w:rsidRPr="00E67A4C" w:rsidRDefault="00973F64" w:rsidP="00F76FDC">
      <w:pPr>
        <w:pStyle w:val="ListParagraph"/>
        <w:numPr>
          <w:ilvl w:val="0"/>
          <w:numId w:val="3"/>
        </w:numPr>
        <w:spacing w:after="40"/>
        <w:jc w:val="both"/>
        <w:rPr>
          <w:lang w:eastAsia="zh-CN" w:bidi="th-TH"/>
        </w:rPr>
      </w:pPr>
      <w:r w:rsidRPr="00E67A4C">
        <w:lastRenderedPageBreak/>
        <w:t>Queensland</w:t>
      </w:r>
      <w:r w:rsidR="00897452" w:rsidRPr="00E67A4C">
        <w:t xml:space="preserve"> specifically legislates simultaneous display of kilojoules </w:t>
      </w:r>
      <w:r w:rsidR="006440E3" w:rsidRPr="00E67A4C">
        <w:t>with</w:t>
      </w:r>
      <w:r w:rsidR="00897452" w:rsidRPr="00E67A4C">
        <w:t xml:space="preserve"> name </w:t>
      </w:r>
      <w:r w:rsidR="006440E3" w:rsidRPr="00E67A4C">
        <w:t>or</w:t>
      </w:r>
      <w:r w:rsidR="00897452" w:rsidRPr="00E67A4C">
        <w:t xml:space="preserve"> price on menus (noting that some jurisdictions interpret their legislation to provide for this already); </w:t>
      </w:r>
    </w:p>
    <w:p w14:paraId="066600F1" w14:textId="5D89F388" w:rsidR="007342A7" w:rsidRPr="00E67A4C" w:rsidRDefault="007013DB" w:rsidP="00F76FDC">
      <w:pPr>
        <w:pStyle w:val="ListParagraph"/>
        <w:numPr>
          <w:ilvl w:val="0"/>
          <w:numId w:val="3"/>
        </w:numPr>
        <w:spacing w:after="40"/>
        <w:jc w:val="both"/>
        <w:rPr>
          <w:lang w:eastAsia="zh-CN" w:bidi="th-TH"/>
        </w:rPr>
      </w:pPr>
      <w:r w:rsidRPr="00E67A4C">
        <w:t xml:space="preserve">only </w:t>
      </w:r>
      <w:r w:rsidR="007342A7" w:rsidRPr="00E67A4C">
        <w:t xml:space="preserve">Australian Capital Territory does not exempt businesses from displaying energy information for menu items sold on a trial basis; </w:t>
      </w:r>
    </w:p>
    <w:p w14:paraId="5679F0FA" w14:textId="1C9A929D" w:rsidR="00897452" w:rsidRPr="00E67A4C" w:rsidRDefault="007013DB" w:rsidP="00F76FDC">
      <w:pPr>
        <w:pStyle w:val="ListParagraph"/>
        <w:numPr>
          <w:ilvl w:val="0"/>
          <w:numId w:val="3"/>
        </w:numPr>
        <w:spacing w:after="40"/>
        <w:jc w:val="both"/>
        <w:rPr>
          <w:lang w:eastAsia="zh-CN" w:bidi="th-TH"/>
        </w:rPr>
      </w:pPr>
      <w:r w:rsidRPr="00E67A4C">
        <w:t xml:space="preserve">only </w:t>
      </w:r>
      <w:r w:rsidR="00973F64" w:rsidRPr="00E67A4C">
        <w:t>Victoria</w:t>
      </w:r>
      <w:r w:rsidR="00897452" w:rsidRPr="00E67A4C">
        <w:t xml:space="preserve"> does not specify requirements for the voluntary display of </w:t>
      </w:r>
      <w:r w:rsidR="001A2494" w:rsidRPr="00E67A4C">
        <w:t>energy</w:t>
      </w:r>
      <w:r w:rsidR="00897452" w:rsidRPr="00E67A4C">
        <w:t xml:space="preserve"> information; </w:t>
      </w:r>
    </w:p>
    <w:p w14:paraId="3C1D09AE" w14:textId="6B711038" w:rsidR="00D0772D" w:rsidRPr="00E67A4C" w:rsidRDefault="001477DC" w:rsidP="00F76FDC">
      <w:pPr>
        <w:pStyle w:val="ListParagraph"/>
        <w:numPr>
          <w:ilvl w:val="0"/>
          <w:numId w:val="3"/>
        </w:numPr>
        <w:spacing w:after="40"/>
        <w:jc w:val="both"/>
        <w:rPr>
          <w:lang w:eastAsia="zh-CN" w:bidi="th-TH"/>
        </w:rPr>
      </w:pPr>
      <w:r w:rsidRPr="00E67A4C">
        <w:rPr>
          <w:lang w:eastAsia="zh-CN" w:bidi="th-TH"/>
        </w:rPr>
        <w:t>South Australia</w:t>
      </w:r>
      <w:r w:rsidR="001075A3" w:rsidRPr="00E67A4C">
        <w:rPr>
          <w:lang w:eastAsia="zh-CN" w:bidi="th-TH"/>
        </w:rPr>
        <w:t xml:space="preserve"> </w:t>
      </w:r>
      <w:r w:rsidR="009C644B" w:rsidRPr="00E67A4C">
        <w:rPr>
          <w:lang w:eastAsia="zh-CN" w:bidi="th-TH"/>
        </w:rPr>
        <w:t xml:space="preserve">uses the </w:t>
      </w:r>
      <w:r w:rsidR="00792A97" w:rsidRPr="00E67A4C">
        <w:rPr>
          <w:lang w:eastAsia="zh-CN" w:bidi="th-TH"/>
        </w:rPr>
        <w:t>term</w:t>
      </w:r>
      <w:r w:rsidR="006663C0" w:rsidRPr="00E67A4C">
        <w:rPr>
          <w:lang w:eastAsia="zh-CN" w:bidi="th-TH"/>
        </w:rPr>
        <w:t xml:space="preserve"> </w:t>
      </w:r>
      <w:r w:rsidR="00792A97" w:rsidRPr="00E67A4C">
        <w:rPr>
          <w:lang w:eastAsia="zh-CN" w:bidi="th-TH"/>
        </w:rPr>
        <w:t>‘</w:t>
      </w:r>
      <w:r w:rsidR="00F97528" w:rsidRPr="00E67A4C">
        <w:rPr>
          <w:lang w:eastAsia="zh-CN" w:bidi="th-TH"/>
        </w:rPr>
        <w:t>multiple-site businesses</w:t>
      </w:r>
      <w:r w:rsidR="00792A97" w:rsidRPr="00E67A4C">
        <w:rPr>
          <w:lang w:eastAsia="zh-CN" w:bidi="th-TH"/>
        </w:rPr>
        <w:t>’</w:t>
      </w:r>
      <w:r w:rsidR="006663C0" w:rsidRPr="00E67A4C">
        <w:rPr>
          <w:lang w:eastAsia="zh-CN" w:bidi="th-TH"/>
        </w:rPr>
        <w:t xml:space="preserve"> </w:t>
      </w:r>
      <w:r w:rsidR="009C644B" w:rsidRPr="00E67A4C">
        <w:rPr>
          <w:lang w:eastAsia="zh-CN" w:bidi="th-TH"/>
        </w:rPr>
        <w:t>(</w:t>
      </w:r>
      <w:r w:rsidR="00501B3D" w:rsidRPr="00E67A4C">
        <w:rPr>
          <w:lang w:eastAsia="zh-CN" w:bidi="th-TH"/>
        </w:rPr>
        <w:t>operat</w:t>
      </w:r>
      <w:r w:rsidR="00BB2040" w:rsidRPr="00E67A4C">
        <w:rPr>
          <w:lang w:eastAsia="zh-CN" w:bidi="th-TH"/>
        </w:rPr>
        <w:t>ing</w:t>
      </w:r>
      <w:r w:rsidR="00501B3D" w:rsidRPr="00E67A4C">
        <w:rPr>
          <w:lang w:eastAsia="zh-CN" w:bidi="th-TH"/>
        </w:rPr>
        <w:t xml:space="preserve"> at five or more </w:t>
      </w:r>
      <w:r w:rsidR="00217CDD" w:rsidRPr="00E67A4C">
        <w:rPr>
          <w:lang w:eastAsia="zh-CN" w:bidi="th-TH"/>
        </w:rPr>
        <w:t xml:space="preserve">separate </w:t>
      </w:r>
      <w:r w:rsidR="00501B3D" w:rsidRPr="00E67A4C">
        <w:rPr>
          <w:lang w:eastAsia="zh-CN" w:bidi="th-TH"/>
        </w:rPr>
        <w:t>locations</w:t>
      </w:r>
      <w:r w:rsidR="009C644B" w:rsidRPr="00E67A4C">
        <w:rPr>
          <w:lang w:eastAsia="zh-CN" w:bidi="th-TH"/>
        </w:rPr>
        <w:t>)</w:t>
      </w:r>
      <w:r w:rsidR="007D5B1C" w:rsidRPr="00E67A4C">
        <w:rPr>
          <w:lang w:eastAsia="zh-CN" w:bidi="th-TH"/>
        </w:rPr>
        <w:t xml:space="preserve">, </w:t>
      </w:r>
      <w:r w:rsidR="00A937B1" w:rsidRPr="00E67A4C">
        <w:rPr>
          <w:lang w:eastAsia="zh-CN" w:bidi="th-TH"/>
        </w:rPr>
        <w:t xml:space="preserve">Victoria uses the </w:t>
      </w:r>
      <w:r w:rsidR="00792A97" w:rsidRPr="00E67A4C">
        <w:rPr>
          <w:lang w:eastAsia="zh-CN" w:bidi="th-TH"/>
        </w:rPr>
        <w:t>term</w:t>
      </w:r>
      <w:r w:rsidR="00A937B1" w:rsidRPr="00E67A4C">
        <w:rPr>
          <w:lang w:eastAsia="zh-CN" w:bidi="th-TH"/>
        </w:rPr>
        <w:t xml:space="preserve"> </w:t>
      </w:r>
      <w:r w:rsidR="00792A97" w:rsidRPr="00E67A4C">
        <w:rPr>
          <w:lang w:eastAsia="zh-CN" w:bidi="th-TH"/>
        </w:rPr>
        <w:t>‘</w:t>
      </w:r>
      <w:r w:rsidR="00A937B1" w:rsidRPr="00E67A4C">
        <w:rPr>
          <w:lang w:eastAsia="zh-CN" w:bidi="th-TH"/>
        </w:rPr>
        <w:t xml:space="preserve">chain </w:t>
      </w:r>
      <w:r w:rsidR="009E2768" w:rsidRPr="00E67A4C">
        <w:rPr>
          <w:lang w:eastAsia="zh-CN" w:bidi="th-TH"/>
        </w:rPr>
        <w:t>food premises</w:t>
      </w:r>
      <w:r w:rsidR="00792A97" w:rsidRPr="00E67A4C">
        <w:rPr>
          <w:lang w:eastAsia="zh-CN" w:bidi="th-TH"/>
        </w:rPr>
        <w:t>’</w:t>
      </w:r>
      <w:r w:rsidR="00A937B1" w:rsidRPr="00E67A4C">
        <w:rPr>
          <w:lang w:eastAsia="zh-CN" w:bidi="th-TH"/>
        </w:rPr>
        <w:t xml:space="preserve">, and </w:t>
      </w:r>
      <w:r w:rsidR="00501B3D" w:rsidRPr="00E67A4C">
        <w:rPr>
          <w:lang w:eastAsia="zh-CN" w:bidi="th-TH"/>
        </w:rPr>
        <w:t>the</w:t>
      </w:r>
      <w:r w:rsidR="007D5B1C" w:rsidRPr="00E67A4C">
        <w:rPr>
          <w:lang w:eastAsia="zh-CN" w:bidi="th-TH"/>
        </w:rPr>
        <w:t xml:space="preserve"> other jurisdictions</w:t>
      </w:r>
      <w:r w:rsidR="00B61B38" w:rsidRPr="00E67A4C">
        <w:rPr>
          <w:lang w:eastAsia="zh-CN" w:bidi="th-TH"/>
        </w:rPr>
        <w:t xml:space="preserve"> </w:t>
      </w:r>
      <w:r w:rsidR="00A375B3" w:rsidRPr="00E67A4C">
        <w:rPr>
          <w:lang w:eastAsia="zh-CN" w:bidi="th-TH"/>
        </w:rPr>
        <w:t>use</w:t>
      </w:r>
      <w:r w:rsidR="000A60E1" w:rsidRPr="00E67A4C">
        <w:rPr>
          <w:lang w:eastAsia="zh-CN" w:bidi="th-TH"/>
        </w:rPr>
        <w:t xml:space="preserve"> </w:t>
      </w:r>
      <w:r w:rsidR="00A375B3" w:rsidRPr="00E67A4C">
        <w:rPr>
          <w:lang w:eastAsia="zh-CN" w:bidi="th-TH"/>
        </w:rPr>
        <w:t>‘</w:t>
      </w:r>
      <w:r w:rsidR="00B61B38" w:rsidRPr="00E67A4C">
        <w:rPr>
          <w:lang w:eastAsia="zh-CN" w:bidi="th-TH"/>
        </w:rPr>
        <w:t>standard food outlets</w:t>
      </w:r>
      <w:r w:rsidR="00A375B3" w:rsidRPr="00E67A4C">
        <w:rPr>
          <w:lang w:eastAsia="zh-CN" w:bidi="th-TH"/>
        </w:rPr>
        <w:t>’</w:t>
      </w:r>
      <w:r w:rsidR="000A60E1" w:rsidRPr="00E67A4C">
        <w:rPr>
          <w:lang w:eastAsia="zh-CN" w:bidi="th-TH"/>
        </w:rPr>
        <w:t xml:space="preserve"> </w:t>
      </w:r>
      <w:r w:rsidR="008144C7" w:rsidRPr="00E67A4C">
        <w:rPr>
          <w:lang w:eastAsia="zh-CN" w:bidi="th-TH"/>
        </w:rPr>
        <w:t xml:space="preserve">to </w:t>
      </w:r>
      <w:r w:rsidR="00113515" w:rsidRPr="00E67A4C">
        <w:rPr>
          <w:lang w:eastAsia="zh-CN" w:bidi="th-TH"/>
        </w:rPr>
        <w:t xml:space="preserve">include businesses selling at </w:t>
      </w:r>
      <w:r w:rsidR="00BB2040" w:rsidRPr="00E67A4C">
        <w:rPr>
          <w:lang w:eastAsia="zh-CN" w:bidi="th-TH"/>
        </w:rPr>
        <w:t xml:space="preserve">least one </w:t>
      </w:r>
      <w:r w:rsidR="00113515" w:rsidRPr="00E67A4C">
        <w:rPr>
          <w:lang w:eastAsia="zh-CN" w:bidi="th-TH"/>
        </w:rPr>
        <w:t xml:space="preserve">standard food </w:t>
      </w:r>
      <w:r w:rsidR="006C6B57" w:rsidRPr="00E67A4C">
        <w:rPr>
          <w:lang w:eastAsia="zh-CN" w:bidi="th-TH"/>
        </w:rPr>
        <w:t xml:space="preserve">item at </w:t>
      </w:r>
      <w:r w:rsidR="00217CDD" w:rsidRPr="00E67A4C">
        <w:rPr>
          <w:lang w:eastAsia="zh-CN" w:bidi="th-TH"/>
        </w:rPr>
        <w:t>other</w:t>
      </w:r>
      <w:r w:rsidR="006C6B57" w:rsidRPr="00E67A4C">
        <w:rPr>
          <w:lang w:eastAsia="zh-CN" w:bidi="th-TH"/>
        </w:rPr>
        <w:t xml:space="preserve"> premises</w:t>
      </w:r>
      <w:r w:rsidR="00243AFF" w:rsidRPr="00E67A4C">
        <w:rPr>
          <w:lang w:eastAsia="zh-CN" w:bidi="th-TH"/>
        </w:rPr>
        <w:t xml:space="preserve"> or as a chain</w:t>
      </w:r>
      <w:r w:rsidR="008144C7" w:rsidRPr="00E67A4C">
        <w:rPr>
          <w:lang w:eastAsia="zh-CN" w:bidi="th-TH"/>
        </w:rPr>
        <w:t xml:space="preserve"> (</w:t>
      </w:r>
      <w:r w:rsidR="00C03151" w:rsidRPr="00E67A4C">
        <w:rPr>
          <w:lang w:eastAsia="zh-CN" w:bidi="th-TH"/>
        </w:rPr>
        <w:t xml:space="preserve">including under franchise arrangements, </w:t>
      </w:r>
      <w:r w:rsidR="00B76666" w:rsidRPr="00E67A4C">
        <w:rPr>
          <w:lang w:eastAsia="zh-CN" w:bidi="th-TH"/>
        </w:rPr>
        <w:t>same trading name/brand,</w:t>
      </w:r>
      <w:r w:rsidR="00CC1AB9" w:rsidRPr="00E67A4C">
        <w:rPr>
          <w:lang w:eastAsia="zh-CN" w:bidi="th-TH"/>
        </w:rPr>
        <w:t xml:space="preserve"> common ownership/control)</w:t>
      </w:r>
      <w:r w:rsidR="00CD2A17" w:rsidRPr="00E67A4C">
        <w:rPr>
          <w:lang w:eastAsia="zh-CN" w:bidi="th-TH"/>
        </w:rPr>
        <w:t>;</w:t>
      </w:r>
      <w:r w:rsidR="007D5B1C" w:rsidRPr="00E67A4C">
        <w:rPr>
          <w:lang w:eastAsia="zh-CN" w:bidi="th-TH"/>
        </w:rPr>
        <w:t xml:space="preserve"> </w:t>
      </w:r>
      <w:r w:rsidR="00501B3D" w:rsidRPr="00E67A4C">
        <w:rPr>
          <w:lang w:eastAsia="zh-CN" w:bidi="th-TH"/>
        </w:rPr>
        <w:t xml:space="preserve">  </w:t>
      </w:r>
    </w:p>
    <w:p w14:paraId="1F1E79EB" w14:textId="0F55FECE" w:rsidR="00897452" w:rsidRPr="00E67A4C" w:rsidRDefault="000112F2" w:rsidP="00F76FDC">
      <w:pPr>
        <w:pStyle w:val="ListParagraph"/>
        <w:numPr>
          <w:ilvl w:val="0"/>
          <w:numId w:val="3"/>
        </w:numPr>
        <w:spacing w:after="40"/>
        <w:jc w:val="both"/>
        <w:rPr>
          <w:lang w:eastAsia="zh-CN" w:bidi="th-TH"/>
        </w:rPr>
      </w:pPr>
      <w:bookmarkStart w:id="30" w:name="_Hlk40430835"/>
      <w:r w:rsidRPr="00E67A4C">
        <w:t>New South Wales</w:t>
      </w:r>
      <w:r w:rsidR="00353618" w:rsidRPr="00E67A4C">
        <w:t xml:space="preserve"> and Victoria</w:t>
      </w:r>
      <w:r w:rsidR="00897452" w:rsidRPr="00E67A4C">
        <w:t xml:space="preserve"> include a retail floor space threshold (1000m</w:t>
      </w:r>
      <w:r w:rsidR="00897452" w:rsidRPr="00E67A4C">
        <w:rPr>
          <w:vertAlign w:val="superscript"/>
        </w:rPr>
        <w:t>2</w:t>
      </w:r>
      <w:r w:rsidR="00897452" w:rsidRPr="00E67A4C">
        <w:t xml:space="preserve">) in the definition of supermarkets, </w:t>
      </w:r>
      <w:r w:rsidR="00734DEF" w:rsidRPr="00E67A4C">
        <w:t>South Australia</w:t>
      </w:r>
      <w:r w:rsidR="005F4EC7" w:rsidRPr="00E67A4C">
        <w:t xml:space="preserve"> </w:t>
      </w:r>
      <w:r w:rsidR="00A937B1" w:rsidRPr="00E67A4C">
        <w:t xml:space="preserve">(noting supermarkets are exempt) </w:t>
      </w:r>
      <w:r w:rsidR="005F4EC7" w:rsidRPr="00E67A4C">
        <w:t xml:space="preserve">and </w:t>
      </w:r>
      <w:r w:rsidRPr="00E67A4C">
        <w:t>Australian Capital Territory</w:t>
      </w:r>
      <w:r w:rsidR="00897452" w:rsidRPr="00E67A4C">
        <w:t xml:space="preserve"> focus on</w:t>
      </w:r>
      <w:r w:rsidR="005F4EC7" w:rsidRPr="00E67A4C">
        <w:t>ly on the</w:t>
      </w:r>
      <w:r w:rsidR="00897452" w:rsidRPr="00E67A4C">
        <w:t xml:space="preserve"> products sold, and </w:t>
      </w:r>
      <w:r w:rsidR="00C72CBD" w:rsidRPr="00E67A4C">
        <w:t>Queensland</w:t>
      </w:r>
      <w:r w:rsidR="00897452" w:rsidRPr="00E67A4C">
        <w:t xml:space="preserve"> does not define supermarkets;</w:t>
      </w:r>
    </w:p>
    <w:bookmarkEnd w:id="30"/>
    <w:p w14:paraId="25D5885D" w14:textId="428360E1" w:rsidR="00F735A0" w:rsidRPr="00E67A4C" w:rsidRDefault="007013DB" w:rsidP="00F76FDC">
      <w:pPr>
        <w:pStyle w:val="ListParagraph"/>
        <w:numPr>
          <w:ilvl w:val="0"/>
          <w:numId w:val="3"/>
        </w:numPr>
        <w:spacing w:after="40"/>
        <w:jc w:val="both"/>
        <w:rPr>
          <w:lang w:eastAsia="zh-CN" w:bidi="th-TH"/>
        </w:rPr>
      </w:pPr>
      <w:r w:rsidRPr="00E67A4C">
        <w:t>o</w:t>
      </w:r>
      <w:r w:rsidR="009E7E9B" w:rsidRPr="00E67A4C">
        <w:t xml:space="preserve">nly </w:t>
      </w:r>
      <w:r w:rsidR="00817705" w:rsidRPr="00E67A4C">
        <w:t>Victoria</w:t>
      </w:r>
      <w:r w:rsidR="00F735A0" w:rsidRPr="00E67A4C">
        <w:t xml:space="preserve"> specifically exempts alcoholic beverages from the definition of a standard food item</w:t>
      </w:r>
      <w:r w:rsidR="00F02306" w:rsidRPr="00E67A4C">
        <w:t xml:space="preserve">; </w:t>
      </w:r>
      <w:r w:rsidR="00F22238" w:rsidRPr="00E67A4C">
        <w:t xml:space="preserve">and </w:t>
      </w:r>
    </w:p>
    <w:p w14:paraId="2B6DCB67" w14:textId="52DF9F3A" w:rsidR="00F97C2E" w:rsidRPr="00E67A4C" w:rsidRDefault="00BE091B" w:rsidP="00F76FDC">
      <w:pPr>
        <w:pStyle w:val="ListParagraph"/>
        <w:numPr>
          <w:ilvl w:val="0"/>
          <w:numId w:val="3"/>
        </w:numPr>
        <w:spacing w:after="40"/>
        <w:jc w:val="both"/>
        <w:rPr>
          <w:lang w:eastAsia="zh-CN" w:bidi="th-TH"/>
        </w:rPr>
      </w:pPr>
      <w:r w:rsidRPr="00E67A4C">
        <w:t>only</w:t>
      </w:r>
      <w:r w:rsidR="00264BAC" w:rsidRPr="00E67A4C">
        <w:t xml:space="preserve"> Victoria</w:t>
      </w:r>
      <w:r w:rsidRPr="00E67A4C">
        <w:t xml:space="preserve"> allows</w:t>
      </w:r>
      <w:r w:rsidR="00264BAC" w:rsidRPr="00E67A4C">
        <w:t xml:space="preserve"> </w:t>
      </w:r>
      <w:r w:rsidRPr="00E67A4C">
        <w:t xml:space="preserve">the energy information for </w:t>
      </w:r>
      <w:r w:rsidR="00264BAC" w:rsidRPr="00E67A4C">
        <w:t>combination meals containing pre-packaged products</w:t>
      </w:r>
      <w:r w:rsidR="004C17A3" w:rsidRPr="00E67A4C">
        <w:t xml:space="preserve"> to not include the energy from any pre-packaged products</w:t>
      </w:r>
      <w:r w:rsidR="00F22238" w:rsidRPr="00E67A4C">
        <w:t>.</w:t>
      </w:r>
    </w:p>
    <w:p w14:paraId="6A8A5815" w14:textId="77777777" w:rsidR="00C80B05" w:rsidRPr="00E67A4C" w:rsidRDefault="00C80B05" w:rsidP="00C80B05">
      <w:pPr>
        <w:pStyle w:val="ListParagraph"/>
        <w:spacing w:after="40"/>
        <w:jc w:val="both"/>
        <w:rPr>
          <w:lang w:eastAsia="zh-CN" w:bidi="th-TH"/>
        </w:rPr>
      </w:pPr>
    </w:p>
    <w:p w14:paraId="54C8D86A" w14:textId="4BF9582F" w:rsidR="00D91FA7" w:rsidRPr="00E67A4C" w:rsidRDefault="001820A9" w:rsidP="00380BDE">
      <w:pPr>
        <w:spacing w:after="40"/>
        <w:jc w:val="both"/>
        <w:rPr>
          <w:rFonts w:eastAsia="Calibri"/>
        </w:rPr>
      </w:pPr>
      <w:r w:rsidRPr="00E67A4C">
        <w:rPr>
          <w:lang w:eastAsia="zh-CN" w:bidi="th-TH"/>
        </w:rPr>
        <w:t>The impact of these differences</w:t>
      </w:r>
      <w:r w:rsidR="00636CCC" w:rsidRPr="00E67A4C">
        <w:rPr>
          <w:lang w:eastAsia="zh-CN" w:bidi="th-TH"/>
        </w:rPr>
        <w:t xml:space="preserve"> between jurisdictions</w:t>
      </w:r>
      <w:r w:rsidRPr="00E67A4C">
        <w:rPr>
          <w:lang w:eastAsia="zh-CN" w:bidi="th-TH"/>
        </w:rPr>
        <w:t xml:space="preserve"> </w:t>
      </w:r>
      <w:r w:rsidR="00AA4AD1" w:rsidRPr="00E67A4C">
        <w:rPr>
          <w:lang w:eastAsia="zh-CN" w:bidi="th-TH"/>
        </w:rPr>
        <w:t xml:space="preserve">is likely to </w:t>
      </w:r>
      <w:r w:rsidRPr="00E67A4C">
        <w:rPr>
          <w:lang w:eastAsia="zh-CN" w:bidi="th-TH"/>
        </w:rPr>
        <w:t xml:space="preserve">be greatest on cross-border businesses </w:t>
      </w:r>
      <w:r w:rsidR="000755CB" w:rsidRPr="00E67A4C">
        <w:rPr>
          <w:lang w:eastAsia="zh-CN" w:bidi="th-TH"/>
        </w:rPr>
        <w:t xml:space="preserve">and </w:t>
      </w:r>
      <w:r w:rsidR="00AD064C" w:rsidRPr="00E67A4C">
        <w:rPr>
          <w:lang w:eastAsia="zh-CN" w:bidi="th-TH"/>
        </w:rPr>
        <w:t xml:space="preserve">parent companies with both </w:t>
      </w:r>
      <w:r w:rsidR="007C0803" w:rsidRPr="00E67A4C">
        <w:rPr>
          <w:lang w:eastAsia="zh-CN" w:bidi="th-TH"/>
        </w:rPr>
        <w:t>captured and exempt outlets</w:t>
      </w:r>
      <w:r w:rsidR="00D36A92" w:rsidRPr="00E67A4C">
        <w:rPr>
          <w:lang w:eastAsia="zh-CN" w:bidi="th-TH"/>
        </w:rPr>
        <w:t>, and/or outlets with different requirements</w:t>
      </w:r>
      <w:r w:rsidR="00A934A6" w:rsidRPr="00E67A4C">
        <w:rPr>
          <w:lang w:eastAsia="zh-CN" w:bidi="th-TH"/>
        </w:rPr>
        <w:t>, as</w:t>
      </w:r>
      <w:r w:rsidRPr="00E67A4C">
        <w:rPr>
          <w:lang w:eastAsia="zh-CN" w:bidi="th-TH"/>
        </w:rPr>
        <w:t xml:space="preserve"> </w:t>
      </w:r>
      <w:r w:rsidR="00A934A6" w:rsidRPr="00E67A4C">
        <w:rPr>
          <w:lang w:eastAsia="zh-CN" w:bidi="th-TH"/>
        </w:rPr>
        <w:t xml:space="preserve">they </w:t>
      </w:r>
      <w:r w:rsidRPr="00E67A4C">
        <w:rPr>
          <w:lang w:eastAsia="zh-CN" w:bidi="th-TH"/>
        </w:rPr>
        <w:t xml:space="preserve">may </w:t>
      </w:r>
      <w:r w:rsidR="00AA4AD1" w:rsidRPr="00E67A4C">
        <w:rPr>
          <w:lang w:eastAsia="zh-CN" w:bidi="th-TH"/>
        </w:rPr>
        <w:t>experience</w:t>
      </w:r>
      <w:r w:rsidRPr="00E67A4C">
        <w:rPr>
          <w:lang w:eastAsia="zh-CN" w:bidi="th-TH"/>
        </w:rPr>
        <w:t xml:space="preserve"> unnecessary </w:t>
      </w:r>
      <w:r w:rsidR="005D45E4" w:rsidRPr="00E67A4C">
        <w:rPr>
          <w:lang w:eastAsia="zh-CN" w:bidi="th-TH"/>
        </w:rPr>
        <w:t>complexit</w:t>
      </w:r>
      <w:r w:rsidR="00B32A92" w:rsidRPr="00E67A4C">
        <w:rPr>
          <w:lang w:eastAsia="zh-CN" w:bidi="th-TH"/>
        </w:rPr>
        <w:t>ies</w:t>
      </w:r>
      <w:r w:rsidR="009235A9" w:rsidRPr="00E67A4C">
        <w:rPr>
          <w:lang w:eastAsia="zh-CN" w:bidi="th-TH"/>
        </w:rPr>
        <w:t>, uncertainty</w:t>
      </w:r>
      <w:r w:rsidR="00C07B43" w:rsidRPr="00E67A4C">
        <w:rPr>
          <w:lang w:eastAsia="zh-CN" w:bidi="th-TH"/>
        </w:rPr>
        <w:t xml:space="preserve">, and </w:t>
      </w:r>
      <w:r w:rsidR="00BE5EDD" w:rsidRPr="00E67A4C">
        <w:rPr>
          <w:lang w:eastAsia="zh-CN" w:bidi="th-TH"/>
        </w:rPr>
        <w:t>increased costs and regulatory burden.</w:t>
      </w:r>
      <w:r w:rsidR="005D45E4" w:rsidRPr="00E67A4C">
        <w:rPr>
          <w:lang w:eastAsia="zh-CN" w:bidi="th-TH"/>
        </w:rPr>
        <w:t xml:space="preserve"> </w:t>
      </w:r>
      <w:r w:rsidR="009A7572" w:rsidRPr="00E67A4C">
        <w:rPr>
          <w:lang w:eastAsia="zh-CN" w:bidi="th-TH"/>
        </w:rPr>
        <w:t xml:space="preserve">Some of these costs could include interpretational/legal costs to review multiple legislative instruments; </w:t>
      </w:r>
      <w:r w:rsidR="00695BF3" w:rsidRPr="00E67A4C">
        <w:rPr>
          <w:lang w:eastAsia="zh-CN" w:bidi="th-TH"/>
        </w:rPr>
        <w:t xml:space="preserve">and higher </w:t>
      </w:r>
      <w:r w:rsidR="009A7572" w:rsidRPr="00E67A4C">
        <w:rPr>
          <w:lang w:eastAsia="zh-CN" w:bidi="th-TH"/>
        </w:rPr>
        <w:t xml:space="preserve">costs to design </w:t>
      </w:r>
      <w:r w:rsidR="00695BF3" w:rsidRPr="00E67A4C">
        <w:rPr>
          <w:lang w:eastAsia="zh-CN" w:bidi="th-TH"/>
        </w:rPr>
        <w:t xml:space="preserve">different </w:t>
      </w:r>
      <w:r w:rsidR="009A7572" w:rsidRPr="00E67A4C">
        <w:rPr>
          <w:lang w:eastAsia="zh-CN" w:bidi="th-TH"/>
        </w:rPr>
        <w:t>menus</w:t>
      </w:r>
      <w:r w:rsidR="00695BF3" w:rsidRPr="00E67A4C">
        <w:rPr>
          <w:lang w:eastAsia="zh-CN" w:bidi="th-TH"/>
        </w:rPr>
        <w:t xml:space="preserve"> and train staff</w:t>
      </w:r>
      <w:r w:rsidR="009A7572" w:rsidRPr="00E67A4C">
        <w:rPr>
          <w:lang w:eastAsia="zh-CN" w:bidi="th-TH"/>
        </w:rPr>
        <w:t xml:space="preserve"> if implemented on a jurisdictional basis (rather than nationally)</w:t>
      </w:r>
      <w:r w:rsidR="00695BF3" w:rsidRPr="00E67A4C">
        <w:rPr>
          <w:lang w:eastAsia="zh-CN" w:bidi="th-TH"/>
        </w:rPr>
        <w:t xml:space="preserve">. </w:t>
      </w:r>
      <w:r w:rsidR="00EC3133" w:rsidRPr="00E67A4C">
        <w:rPr>
          <w:rFonts w:eastAsia="Calibri"/>
        </w:rPr>
        <w:t xml:space="preserve">Smaller businesses may incur a more significant and administrative burden to comply with different menu labelling requirements compared to larger businesses which </w:t>
      </w:r>
      <w:r w:rsidR="009B2CF6" w:rsidRPr="00E67A4C">
        <w:rPr>
          <w:rFonts w:eastAsia="Calibri"/>
        </w:rPr>
        <w:t>may</w:t>
      </w:r>
      <w:r w:rsidR="00EC3133" w:rsidRPr="00E67A4C">
        <w:rPr>
          <w:rFonts w:eastAsia="Calibri"/>
        </w:rPr>
        <w:t xml:space="preserve"> have greater resources and capacity to absorb regulatory costs.</w:t>
      </w:r>
    </w:p>
    <w:p w14:paraId="54DE8115" w14:textId="77777777" w:rsidR="009235A9" w:rsidRPr="00E67A4C" w:rsidRDefault="009235A9" w:rsidP="00380BDE">
      <w:pPr>
        <w:spacing w:after="40"/>
        <w:jc w:val="both"/>
        <w:rPr>
          <w:rFonts w:eastAsia="Calibri"/>
        </w:rPr>
      </w:pPr>
    </w:p>
    <w:p w14:paraId="48EBAD56" w14:textId="2B463B90" w:rsidR="009615D5" w:rsidRPr="00E67A4C" w:rsidRDefault="003C7976" w:rsidP="00380BDE">
      <w:pPr>
        <w:spacing w:after="40"/>
        <w:jc w:val="both"/>
        <w:rPr>
          <w:lang w:eastAsia="zh-CN" w:bidi="th-TH"/>
        </w:rPr>
      </w:pPr>
      <w:r w:rsidRPr="00E67A4C">
        <w:rPr>
          <w:lang w:eastAsia="zh-CN" w:bidi="th-TH"/>
        </w:rPr>
        <w:t>The</w:t>
      </w:r>
      <w:r w:rsidR="00EE01A6" w:rsidRPr="00E67A4C">
        <w:rPr>
          <w:lang w:eastAsia="zh-CN" w:bidi="th-TH"/>
        </w:rPr>
        <w:t xml:space="preserve"> differences </w:t>
      </w:r>
      <w:r w:rsidR="00B04D9E" w:rsidRPr="00E67A4C">
        <w:rPr>
          <w:lang w:eastAsia="zh-CN" w:bidi="th-TH"/>
        </w:rPr>
        <w:t xml:space="preserve">in </w:t>
      </w:r>
      <w:r w:rsidR="00707E88" w:rsidRPr="00E67A4C">
        <w:rPr>
          <w:lang w:eastAsia="zh-CN" w:bidi="th-TH"/>
        </w:rPr>
        <w:t xml:space="preserve">jurisdictional </w:t>
      </w:r>
      <w:r w:rsidR="00B04D9E" w:rsidRPr="00E67A4C">
        <w:rPr>
          <w:lang w:eastAsia="zh-CN" w:bidi="th-TH"/>
        </w:rPr>
        <w:t>requirements</w:t>
      </w:r>
      <w:r w:rsidRPr="00E67A4C">
        <w:rPr>
          <w:lang w:eastAsia="zh-CN" w:bidi="th-TH"/>
        </w:rPr>
        <w:t xml:space="preserve"> may also impact consumers</w:t>
      </w:r>
      <w:r w:rsidR="00707E88" w:rsidRPr="00E67A4C">
        <w:rPr>
          <w:lang w:eastAsia="zh-CN" w:bidi="th-TH"/>
        </w:rPr>
        <w:t>;</w:t>
      </w:r>
      <w:r w:rsidR="00B04D9E" w:rsidRPr="00E67A4C">
        <w:rPr>
          <w:lang w:eastAsia="zh-CN" w:bidi="th-TH"/>
        </w:rPr>
        <w:t xml:space="preserve"> for example</w:t>
      </w:r>
      <w:r w:rsidR="00AE140C" w:rsidRPr="00E67A4C">
        <w:rPr>
          <w:lang w:eastAsia="zh-CN" w:bidi="th-TH"/>
        </w:rPr>
        <w:t>:</w:t>
      </w:r>
    </w:p>
    <w:p w14:paraId="53E8B25C" w14:textId="6A3A9791" w:rsidR="00916A9C" w:rsidRPr="00E67A4C" w:rsidRDefault="00D440DC" w:rsidP="00F76FDC">
      <w:pPr>
        <w:pStyle w:val="ListParagraph"/>
        <w:numPr>
          <w:ilvl w:val="0"/>
          <w:numId w:val="3"/>
        </w:numPr>
        <w:spacing w:after="40"/>
        <w:jc w:val="both"/>
      </w:pPr>
      <w:r w:rsidRPr="00E67A4C">
        <w:t>some consumers</w:t>
      </w:r>
      <w:r w:rsidR="003C7976" w:rsidRPr="00E67A4C">
        <w:t xml:space="preserve"> </w:t>
      </w:r>
      <w:r w:rsidR="000063CD" w:rsidRPr="00E67A4C">
        <w:t xml:space="preserve">may have </w:t>
      </w:r>
      <w:r w:rsidR="00CE49F7" w:rsidRPr="00E67A4C">
        <w:t xml:space="preserve">difficulty in noticing the kilojoules, where </w:t>
      </w:r>
      <w:r w:rsidR="009615D5" w:rsidRPr="00E67A4C">
        <w:t>the same font colour requirement can make the energy information indistinguishable from the price</w:t>
      </w:r>
      <w:r w:rsidR="0064749A" w:rsidRPr="00E67A4C">
        <w:t>;</w:t>
      </w:r>
      <w:r w:rsidR="00341C85" w:rsidRPr="00E67A4C">
        <w:t xml:space="preserve"> </w:t>
      </w:r>
      <w:r w:rsidRPr="00E67A4C">
        <w:t xml:space="preserve">and </w:t>
      </w:r>
    </w:p>
    <w:p w14:paraId="76AE96A5" w14:textId="1E75603D" w:rsidR="001A0E97" w:rsidRPr="00E67A4C" w:rsidRDefault="003C7976" w:rsidP="00F76FDC">
      <w:pPr>
        <w:pStyle w:val="ListParagraph"/>
        <w:numPr>
          <w:ilvl w:val="0"/>
          <w:numId w:val="3"/>
        </w:numPr>
        <w:spacing w:after="40"/>
        <w:jc w:val="both"/>
      </w:pPr>
      <w:r w:rsidRPr="00E67A4C">
        <w:t xml:space="preserve">some </w:t>
      </w:r>
      <w:r w:rsidR="009C7DA0" w:rsidRPr="00E67A4C">
        <w:t>consumers</w:t>
      </w:r>
      <w:r w:rsidR="0071780E" w:rsidRPr="00E67A4C">
        <w:t xml:space="preserve"> </w:t>
      </w:r>
      <w:r w:rsidR="000063CD" w:rsidRPr="00E67A4C">
        <w:t xml:space="preserve">may </w:t>
      </w:r>
      <w:r w:rsidR="001A0E97" w:rsidRPr="00E67A4C">
        <w:t>receiv</w:t>
      </w:r>
      <w:r w:rsidR="000063CD" w:rsidRPr="00E67A4C">
        <w:t>e</w:t>
      </w:r>
      <w:r w:rsidR="001A0E97" w:rsidRPr="00E67A4C">
        <w:t xml:space="preserve"> </w:t>
      </w:r>
      <w:r w:rsidR="009D2F4A" w:rsidRPr="00E67A4C">
        <w:t>c</w:t>
      </w:r>
      <w:r w:rsidRPr="00E67A4C">
        <w:t xml:space="preserve">onfusing </w:t>
      </w:r>
      <w:r w:rsidR="001A0E97" w:rsidRPr="00E67A4C">
        <w:t>information if the kilojoules displayed are inconsistent with product image promoted</w:t>
      </w:r>
      <w:r w:rsidRPr="00E67A4C">
        <w:t xml:space="preserve"> (e.g. </w:t>
      </w:r>
      <w:r w:rsidR="001A0E97" w:rsidRPr="00E67A4C">
        <w:t xml:space="preserve">if a combination meal of burger, chips and </w:t>
      </w:r>
      <w:r w:rsidR="005B731C" w:rsidRPr="00E67A4C">
        <w:t xml:space="preserve">can of </w:t>
      </w:r>
      <w:r w:rsidR="001A0E97" w:rsidRPr="00E67A4C">
        <w:t xml:space="preserve">soft drink is displayed, but the kilojoules are </w:t>
      </w:r>
      <w:r w:rsidR="00261B93" w:rsidRPr="00E67A4C">
        <w:t xml:space="preserve">calculated </w:t>
      </w:r>
      <w:r w:rsidR="00E3432F" w:rsidRPr="00E67A4C">
        <w:t>without the soft drink</w:t>
      </w:r>
      <w:r w:rsidR="009D2F4A" w:rsidRPr="00E67A4C">
        <w:t>).</w:t>
      </w:r>
    </w:p>
    <w:p w14:paraId="17F9D649" w14:textId="19161851" w:rsidR="006376CE" w:rsidRPr="00E67A4C" w:rsidRDefault="006376CE" w:rsidP="006376CE">
      <w:pPr>
        <w:spacing w:after="40"/>
        <w:jc w:val="both"/>
      </w:pPr>
    </w:p>
    <w:p w14:paraId="7FAFABAC" w14:textId="2BD8B527" w:rsidR="006376CE" w:rsidRPr="00E67A4C" w:rsidRDefault="00EB20F5" w:rsidP="006376CE">
      <w:pPr>
        <w:spacing w:after="40"/>
        <w:jc w:val="both"/>
        <w:rPr>
          <w:lang w:eastAsia="zh-CN" w:bidi="th-TH"/>
        </w:rPr>
      </w:pPr>
      <w:r w:rsidRPr="00E67A4C">
        <w:rPr>
          <w:lang w:eastAsia="zh-CN" w:bidi="th-TH"/>
        </w:rPr>
        <w:t xml:space="preserve">Although there is consistency </w:t>
      </w:r>
      <w:r w:rsidR="00270CA2" w:rsidRPr="00E67A4C">
        <w:rPr>
          <w:lang w:eastAsia="zh-CN" w:bidi="th-TH"/>
        </w:rPr>
        <w:t xml:space="preserve">in requirements </w:t>
      </w:r>
      <w:r w:rsidRPr="00E67A4C">
        <w:rPr>
          <w:lang w:eastAsia="zh-CN" w:bidi="th-TH"/>
        </w:rPr>
        <w:t xml:space="preserve">among </w:t>
      </w:r>
      <w:r w:rsidR="009D41D5" w:rsidRPr="00E67A4C">
        <w:rPr>
          <w:lang w:eastAsia="zh-CN" w:bidi="th-TH"/>
        </w:rPr>
        <w:t xml:space="preserve">the four </w:t>
      </w:r>
      <w:r w:rsidRPr="00E67A4C">
        <w:rPr>
          <w:lang w:eastAsia="zh-CN" w:bidi="th-TH"/>
        </w:rPr>
        <w:t>jurisdictions</w:t>
      </w:r>
      <w:r w:rsidR="009D41D5" w:rsidRPr="00E67A4C">
        <w:rPr>
          <w:lang w:eastAsia="zh-CN" w:bidi="th-TH"/>
        </w:rPr>
        <w:t xml:space="preserve"> which capture supermarkets</w:t>
      </w:r>
      <w:r w:rsidRPr="00E67A4C">
        <w:rPr>
          <w:lang w:eastAsia="zh-CN" w:bidi="th-TH"/>
        </w:rPr>
        <w:t>,</w:t>
      </w:r>
      <w:r w:rsidR="001F2FB5" w:rsidRPr="00E67A4C">
        <w:rPr>
          <w:lang w:eastAsia="zh-CN" w:bidi="th-TH"/>
        </w:rPr>
        <w:t xml:space="preserve"> the </w:t>
      </w:r>
      <w:r w:rsidR="00277E82" w:rsidRPr="00E67A4C">
        <w:rPr>
          <w:lang w:eastAsia="zh-CN" w:bidi="th-TH"/>
        </w:rPr>
        <w:t xml:space="preserve">flexibility afforded to supermarkets </w:t>
      </w:r>
      <w:r w:rsidR="00CC0EBD" w:rsidRPr="00E67A4C">
        <w:rPr>
          <w:lang w:eastAsia="zh-CN" w:bidi="th-TH"/>
        </w:rPr>
        <w:t xml:space="preserve">in </w:t>
      </w:r>
      <w:r w:rsidR="00365A55" w:rsidRPr="00E67A4C">
        <w:rPr>
          <w:lang w:eastAsia="zh-CN" w:bidi="th-TH"/>
        </w:rPr>
        <w:t>displaying</w:t>
      </w:r>
      <w:r w:rsidR="00CC0EBD" w:rsidRPr="00E67A4C">
        <w:rPr>
          <w:lang w:eastAsia="zh-CN" w:bidi="th-TH"/>
        </w:rPr>
        <w:t xml:space="preserve"> energy info</w:t>
      </w:r>
      <w:r w:rsidR="00365A55" w:rsidRPr="00E67A4C">
        <w:rPr>
          <w:lang w:eastAsia="zh-CN" w:bidi="th-TH"/>
        </w:rPr>
        <w:t>rmation</w:t>
      </w:r>
      <w:r w:rsidR="00C856FE" w:rsidRPr="00E67A4C">
        <w:rPr>
          <w:lang w:eastAsia="zh-CN" w:bidi="th-TH"/>
        </w:rPr>
        <w:t xml:space="preserve"> is </w:t>
      </w:r>
      <w:r w:rsidR="00B91B65" w:rsidRPr="00E67A4C">
        <w:rPr>
          <w:lang w:eastAsia="zh-CN" w:bidi="th-TH"/>
        </w:rPr>
        <w:t xml:space="preserve">not </w:t>
      </w:r>
      <w:r w:rsidR="00984B99" w:rsidRPr="00E67A4C">
        <w:rPr>
          <w:lang w:eastAsia="zh-CN" w:bidi="th-TH"/>
        </w:rPr>
        <w:t>an element of the 2011 Principles.</w:t>
      </w:r>
      <w:r w:rsidRPr="00E67A4C">
        <w:rPr>
          <w:lang w:eastAsia="zh-CN" w:bidi="th-TH"/>
        </w:rPr>
        <w:t xml:space="preserve"> </w:t>
      </w:r>
      <w:r w:rsidR="006C79BE" w:rsidRPr="00E67A4C">
        <w:rPr>
          <w:lang w:eastAsia="zh-CN" w:bidi="th-TH"/>
        </w:rPr>
        <w:t>T</w:t>
      </w:r>
      <w:r w:rsidR="006376CE" w:rsidRPr="00E67A4C">
        <w:rPr>
          <w:lang w:eastAsia="zh-CN" w:bidi="th-TH"/>
        </w:rPr>
        <w:t xml:space="preserve">he state and territory regulations allow supermarkets to display energy information </w:t>
      </w:r>
      <w:r w:rsidR="008B218D" w:rsidRPr="00E67A4C">
        <w:rPr>
          <w:lang w:eastAsia="zh-CN" w:bidi="th-TH"/>
        </w:rPr>
        <w:t xml:space="preserve">for standard food items </w:t>
      </w:r>
      <w:r w:rsidR="006376CE" w:rsidRPr="00E67A4C">
        <w:rPr>
          <w:lang w:eastAsia="zh-CN" w:bidi="th-TH"/>
        </w:rPr>
        <w:t xml:space="preserve">differently to all other standard food outlets. Supermarkets are permitted to display energy information </w:t>
      </w:r>
      <w:r w:rsidR="00E87D45" w:rsidRPr="00E67A4C">
        <w:rPr>
          <w:lang w:eastAsia="zh-CN" w:bidi="th-TH"/>
        </w:rPr>
        <w:t>for standard food items as ‘</w:t>
      </w:r>
      <w:r w:rsidR="006376CE" w:rsidRPr="00E67A4C">
        <w:rPr>
          <w:lang w:eastAsia="zh-CN" w:bidi="th-TH"/>
        </w:rPr>
        <w:t>per 100 grams</w:t>
      </w:r>
      <w:r w:rsidR="00E87D45" w:rsidRPr="00E67A4C">
        <w:rPr>
          <w:lang w:eastAsia="zh-CN" w:bidi="th-TH"/>
        </w:rPr>
        <w:t>’</w:t>
      </w:r>
      <w:r w:rsidR="003F0555" w:rsidRPr="00E67A4C">
        <w:rPr>
          <w:lang w:eastAsia="zh-CN" w:bidi="th-TH"/>
        </w:rPr>
        <w:t xml:space="preserve"> on menus</w:t>
      </w:r>
      <w:r w:rsidR="00756EA8" w:rsidRPr="00E67A4C">
        <w:rPr>
          <w:lang w:eastAsia="zh-CN" w:bidi="th-TH"/>
        </w:rPr>
        <w:t xml:space="preserve"> (includ</w:t>
      </w:r>
      <w:r w:rsidR="00431A11" w:rsidRPr="00E67A4C">
        <w:rPr>
          <w:lang w:eastAsia="zh-CN" w:bidi="th-TH"/>
        </w:rPr>
        <w:t>ing</w:t>
      </w:r>
      <w:r w:rsidR="00756EA8" w:rsidRPr="00E67A4C">
        <w:rPr>
          <w:lang w:eastAsia="zh-CN" w:bidi="th-TH"/>
        </w:rPr>
        <w:t xml:space="preserve"> price labels/tags)</w:t>
      </w:r>
      <w:r w:rsidR="006376CE" w:rsidRPr="00E67A4C">
        <w:rPr>
          <w:lang w:eastAsia="zh-CN" w:bidi="th-TH"/>
        </w:rPr>
        <w:t xml:space="preserve">, while other businesses must display the information as the energy </w:t>
      </w:r>
      <w:r w:rsidR="00C65637" w:rsidRPr="00E67A4C">
        <w:rPr>
          <w:lang w:eastAsia="zh-CN" w:bidi="th-TH"/>
        </w:rPr>
        <w:t>‘</w:t>
      </w:r>
      <w:r w:rsidR="006376CE" w:rsidRPr="00E67A4C">
        <w:rPr>
          <w:lang w:eastAsia="zh-CN" w:bidi="th-TH"/>
        </w:rPr>
        <w:t>per item</w:t>
      </w:r>
      <w:r w:rsidR="00C65637" w:rsidRPr="00E67A4C">
        <w:rPr>
          <w:lang w:eastAsia="zh-CN" w:bidi="th-TH"/>
        </w:rPr>
        <w:t>’</w:t>
      </w:r>
      <w:r w:rsidR="006376CE" w:rsidRPr="00E67A4C">
        <w:rPr>
          <w:lang w:eastAsia="zh-CN" w:bidi="th-TH"/>
        </w:rPr>
        <w:t>. This could make it more difficult for consumers wishing to compare the same item across business types (e.g. hot cross buns sold by a supermarket versus a bakery chain). Supermarkets are also permitted to display energy information in the same font size as the unit price, which is typically in smaller font than the price of the item, and this may reduce the visibility of the energy information on the price label/tag.</w:t>
      </w:r>
    </w:p>
    <w:p w14:paraId="181E5E6E" w14:textId="6794C42F" w:rsidR="00D91FA7" w:rsidRPr="00E67A4C" w:rsidRDefault="00D91FA7" w:rsidP="005F7DB5">
      <w:pPr>
        <w:pStyle w:val="ListParagraph"/>
        <w:pBdr>
          <w:top w:val="single" w:sz="4" w:space="1" w:color="auto"/>
          <w:left w:val="single" w:sz="4" w:space="4" w:color="auto"/>
          <w:bottom w:val="single" w:sz="4" w:space="1" w:color="auto"/>
          <w:right w:val="single" w:sz="4" w:space="4" w:color="auto"/>
        </w:pBdr>
        <w:spacing w:after="40"/>
        <w:ind w:left="0"/>
        <w:jc w:val="both"/>
      </w:pPr>
      <w:r w:rsidRPr="00E67A4C">
        <w:rPr>
          <w:b/>
        </w:rPr>
        <w:lastRenderedPageBreak/>
        <w:t xml:space="preserve">Consultation question </w:t>
      </w:r>
      <w:r w:rsidR="00E96258" w:rsidRPr="00E67A4C">
        <w:rPr>
          <w:b/>
        </w:rPr>
        <w:t>4</w:t>
      </w:r>
      <w:r w:rsidRPr="00E67A4C">
        <w:rPr>
          <w:b/>
        </w:rPr>
        <w:t xml:space="preserve">: </w:t>
      </w:r>
      <w:r w:rsidR="00871383" w:rsidRPr="00E67A4C">
        <w:rPr>
          <w:bCs/>
        </w:rPr>
        <w:t xml:space="preserve">Do </w:t>
      </w:r>
      <w:r w:rsidRPr="00E67A4C">
        <w:t>these differences</w:t>
      </w:r>
      <w:r w:rsidR="00843410" w:rsidRPr="00E67A4C">
        <w:t xml:space="preserve"> between states and territories</w:t>
      </w:r>
      <w:r w:rsidRPr="00E67A4C">
        <w:t xml:space="preserve"> </w:t>
      </w:r>
      <w:r w:rsidR="009222F1" w:rsidRPr="00E67A4C">
        <w:t>create</w:t>
      </w:r>
      <w:r w:rsidR="00871383" w:rsidRPr="00E67A4C">
        <w:t xml:space="preserve"> problems</w:t>
      </w:r>
      <w:r w:rsidR="009222F1" w:rsidRPr="00E67A4C">
        <w:t xml:space="preserve"> for</w:t>
      </w:r>
      <w:r w:rsidRPr="00E67A4C">
        <w:t xml:space="preserve"> </w:t>
      </w:r>
      <w:r w:rsidR="00D3616A" w:rsidRPr="00E67A4C">
        <w:rPr>
          <w:b/>
          <w:bCs/>
        </w:rPr>
        <w:t>Australian</w:t>
      </w:r>
      <w:r w:rsidR="00D3616A" w:rsidRPr="00E67A4C">
        <w:t xml:space="preserve"> </w:t>
      </w:r>
      <w:r w:rsidRPr="00E67A4C">
        <w:rPr>
          <w:b/>
          <w:bCs/>
        </w:rPr>
        <w:t>businesses</w:t>
      </w:r>
      <w:r w:rsidRPr="00E67A4C">
        <w:t xml:space="preserve">? </w:t>
      </w:r>
      <w:r w:rsidR="001D06DE" w:rsidRPr="00E67A4C">
        <w:t xml:space="preserve">If so, please detail the impact. </w:t>
      </w:r>
    </w:p>
    <w:p w14:paraId="1C137836" w14:textId="31F77EF8" w:rsidR="00D91FA7" w:rsidRPr="004E3E67" w:rsidRDefault="00D91FA7" w:rsidP="005F7DB5">
      <w:pPr>
        <w:pStyle w:val="ListParagraph"/>
        <w:pBdr>
          <w:top w:val="single" w:sz="4" w:space="1" w:color="auto"/>
          <w:left w:val="single" w:sz="4" w:space="4" w:color="auto"/>
          <w:bottom w:val="single" w:sz="4" w:space="1" w:color="auto"/>
          <w:right w:val="single" w:sz="4" w:space="4" w:color="auto"/>
        </w:pBdr>
        <w:spacing w:after="40"/>
        <w:ind w:left="0"/>
        <w:jc w:val="both"/>
        <w:rPr>
          <w:sz w:val="16"/>
          <w:szCs w:val="16"/>
        </w:rPr>
      </w:pPr>
    </w:p>
    <w:p w14:paraId="5008235F" w14:textId="3D4A421F" w:rsidR="00D91FA7" w:rsidRPr="00E67A4C" w:rsidRDefault="00D91FA7" w:rsidP="005F7DB5">
      <w:pPr>
        <w:pStyle w:val="ListParagraph"/>
        <w:pBdr>
          <w:top w:val="single" w:sz="4" w:space="1" w:color="auto"/>
          <w:left w:val="single" w:sz="4" w:space="4" w:color="auto"/>
          <w:bottom w:val="single" w:sz="4" w:space="1" w:color="auto"/>
          <w:right w:val="single" w:sz="4" w:space="4" w:color="auto"/>
        </w:pBdr>
        <w:spacing w:after="40"/>
        <w:ind w:left="0"/>
        <w:jc w:val="both"/>
      </w:pPr>
      <w:r w:rsidRPr="00E67A4C">
        <w:rPr>
          <w:b/>
        </w:rPr>
        <w:t xml:space="preserve">Consultation question </w:t>
      </w:r>
      <w:r w:rsidR="00E96258" w:rsidRPr="00E67A4C">
        <w:rPr>
          <w:b/>
        </w:rPr>
        <w:t>5</w:t>
      </w:r>
      <w:r w:rsidRPr="00E67A4C">
        <w:rPr>
          <w:b/>
        </w:rPr>
        <w:t xml:space="preserve">: </w:t>
      </w:r>
      <w:r w:rsidR="003B6B65" w:rsidRPr="00E67A4C">
        <w:rPr>
          <w:bCs/>
        </w:rPr>
        <w:t>Do</w:t>
      </w:r>
      <w:r w:rsidR="009172ED" w:rsidRPr="00E67A4C">
        <w:rPr>
          <w:bCs/>
        </w:rPr>
        <w:t xml:space="preserve"> </w:t>
      </w:r>
      <w:r w:rsidRPr="00E67A4C">
        <w:t xml:space="preserve">these differences </w:t>
      </w:r>
      <w:r w:rsidR="009172ED" w:rsidRPr="00E67A4C">
        <w:t xml:space="preserve">impact </w:t>
      </w:r>
      <w:r w:rsidR="00D3616A" w:rsidRPr="00E67A4C">
        <w:rPr>
          <w:b/>
          <w:bCs/>
        </w:rPr>
        <w:t xml:space="preserve">Australian </w:t>
      </w:r>
      <w:r w:rsidR="009172ED" w:rsidRPr="00E67A4C">
        <w:rPr>
          <w:b/>
          <w:bCs/>
        </w:rPr>
        <w:t>consumers</w:t>
      </w:r>
      <w:r w:rsidRPr="00E67A4C">
        <w:t xml:space="preserve">? </w:t>
      </w:r>
      <w:r w:rsidR="001D06DE" w:rsidRPr="00E67A4C">
        <w:t xml:space="preserve">If so, please detail the impact. </w:t>
      </w:r>
    </w:p>
    <w:p w14:paraId="601958BB" w14:textId="77777777" w:rsidR="00D91FA7" w:rsidRPr="00E67A4C" w:rsidRDefault="00D91FA7" w:rsidP="00D91FA7">
      <w:pPr>
        <w:spacing w:after="40"/>
        <w:jc w:val="both"/>
        <w:rPr>
          <w:lang w:eastAsia="zh-CN" w:bidi="th-TH"/>
        </w:rPr>
      </w:pPr>
    </w:p>
    <w:p w14:paraId="0DDA27B3" w14:textId="7B91C43D" w:rsidR="00040CDA" w:rsidRPr="00E67A4C" w:rsidRDefault="00044F66" w:rsidP="00246032">
      <w:pPr>
        <w:pStyle w:val="Heading3"/>
      </w:pPr>
      <w:bookmarkStart w:id="31" w:name="_Toc51165271"/>
      <w:r w:rsidRPr="00E67A4C">
        <w:t xml:space="preserve">2.2 </w:t>
      </w:r>
      <w:r w:rsidR="00040CDA" w:rsidRPr="00E67A4C">
        <w:t>An uneven playing field for businesses selling standard food items</w:t>
      </w:r>
      <w:bookmarkEnd w:id="31"/>
    </w:p>
    <w:p w14:paraId="7ED2890A" w14:textId="4167365C" w:rsidR="00544C57" w:rsidRPr="00E67A4C" w:rsidRDefault="0054433F" w:rsidP="00650306">
      <w:pPr>
        <w:spacing w:after="40"/>
        <w:jc w:val="both"/>
        <w:rPr>
          <w:lang w:eastAsia="zh-CN" w:bidi="th-TH"/>
        </w:rPr>
      </w:pPr>
      <w:r w:rsidRPr="00E67A4C">
        <w:t>While s</w:t>
      </w:r>
      <w:r w:rsidR="00E412C9" w:rsidRPr="00E67A4C">
        <w:t xml:space="preserve">tandard food items </w:t>
      </w:r>
      <w:r w:rsidR="003F4560" w:rsidRPr="00E67A4C">
        <w:t xml:space="preserve">(i.e. food and drinks standardised for portion and content) </w:t>
      </w:r>
      <w:r w:rsidR="0086230C" w:rsidRPr="00E67A4C">
        <w:t xml:space="preserve">are </w:t>
      </w:r>
      <w:r w:rsidR="003436FA" w:rsidRPr="00E67A4C">
        <w:t>typically</w:t>
      </w:r>
      <w:r w:rsidR="0086230C" w:rsidRPr="00E67A4C">
        <w:t xml:space="preserve"> sold by fast food and takeaway chains, </w:t>
      </w:r>
      <w:r w:rsidR="00961D40" w:rsidRPr="00E67A4C">
        <w:t xml:space="preserve">a </w:t>
      </w:r>
      <w:r w:rsidR="0086230C" w:rsidRPr="00E67A4C">
        <w:t xml:space="preserve">broad range of </w:t>
      </w:r>
      <w:r w:rsidRPr="00E67A4C">
        <w:t xml:space="preserve">other </w:t>
      </w:r>
      <w:r w:rsidR="0086230C" w:rsidRPr="00E67A4C">
        <w:t>business types</w:t>
      </w:r>
      <w:r w:rsidRPr="00E67A4C">
        <w:t xml:space="preserve"> may sell standard</w:t>
      </w:r>
      <w:r w:rsidR="00364EA3" w:rsidRPr="00E67A4C">
        <w:t xml:space="preserve"> food items</w:t>
      </w:r>
      <w:r w:rsidR="006C2646" w:rsidRPr="00E67A4C">
        <w:t xml:space="preserve">, for example </w:t>
      </w:r>
      <w:r w:rsidR="00263539" w:rsidRPr="00E67A4C">
        <w:t>convenience stores, service stations (fuel retailers), cinemas</w:t>
      </w:r>
      <w:r w:rsidR="00155190" w:rsidRPr="00E67A4C">
        <w:t>, caterers, pubs and clubs, and dine-in restaurants</w:t>
      </w:r>
      <w:r w:rsidR="00AD6915" w:rsidRPr="00E67A4C">
        <w:rPr>
          <w:lang w:eastAsia="zh-CN" w:bidi="th-TH"/>
        </w:rPr>
        <w:t xml:space="preserve"> (refer to </w:t>
      </w:r>
      <w:r w:rsidR="00605EC6" w:rsidRPr="00E67A4C">
        <w:rPr>
          <w:lang w:eastAsia="zh-CN" w:bidi="th-TH"/>
        </w:rPr>
        <w:t xml:space="preserve">Appendix </w:t>
      </w:r>
      <w:r w:rsidR="00BC3AEE" w:rsidRPr="00E67A4C">
        <w:rPr>
          <w:lang w:eastAsia="zh-CN" w:bidi="th-TH"/>
        </w:rPr>
        <w:t>3</w:t>
      </w:r>
      <w:r w:rsidR="00605EC6" w:rsidRPr="00E67A4C">
        <w:rPr>
          <w:lang w:eastAsia="zh-CN" w:bidi="th-TH"/>
        </w:rPr>
        <w:t>)</w:t>
      </w:r>
      <w:r w:rsidR="00E412C9" w:rsidRPr="00E67A4C">
        <w:t>.</w:t>
      </w:r>
      <w:r w:rsidR="00AD6915" w:rsidRPr="00E67A4C">
        <w:t xml:space="preserve"> </w:t>
      </w:r>
      <w:r w:rsidR="00364EA3" w:rsidRPr="00E67A4C">
        <w:t>However, n</w:t>
      </w:r>
      <w:r w:rsidR="001811EC" w:rsidRPr="00E67A4C">
        <w:t xml:space="preserve">ot all these business types are required to display energy information due to exemptions in jurisdictional legislation (refer to Table </w:t>
      </w:r>
      <w:r w:rsidR="002D45EB" w:rsidRPr="00E67A4C">
        <w:t>3</w:t>
      </w:r>
      <w:r w:rsidR="001811EC" w:rsidRPr="00E67A4C">
        <w:t xml:space="preserve"> above). This leads to an uneven playing </w:t>
      </w:r>
      <w:r w:rsidR="001811EC" w:rsidRPr="00E67A4C">
        <w:rPr>
          <w:lang w:eastAsia="zh-CN" w:bidi="th-TH"/>
        </w:rPr>
        <w:t xml:space="preserve">field with respect to menu labelling regulatory requirements across businesses that sell standard food items. Some stakeholders have indicated that </w:t>
      </w:r>
      <w:r w:rsidR="00FA763C" w:rsidRPr="00E67A4C">
        <w:rPr>
          <w:lang w:eastAsia="zh-CN" w:bidi="th-TH"/>
        </w:rPr>
        <w:t>these</w:t>
      </w:r>
      <w:r w:rsidR="007942B8" w:rsidRPr="00E67A4C">
        <w:rPr>
          <w:lang w:eastAsia="zh-CN" w:bidi="th-TH"/>
        </w:rPr>
        <w:t xml:space="preserve"> differences</w:t>
      </w:r>
      <w:r w:rsidR="001811EC" w:rsidRPr="00E67A4C">
        <w:rPr>
          <w:lang w:eastAsia="zh-CN" w:bidi="th-TH"/>
        </w:rPr>
        <w:t xml:space="preserve"> </w:t>
      </w:r>
      <w:r w:rsidR="00FA0E83" w:rsidRPr="00E67A4C">
        <w:rPr>
          <w:lang w:eastAsia="zh-CN" w:bidi="th-TH"/>
        </w:rPr>
        <w:t xml:space="preserve">in coverage </w:t>
      </w:r>
      <w:r w:rsidR="001811EC" w:rsidRPr="00E67A4C">
        <w:rPr>
          <w:lang w:eastAsia="zh-CN" w:bidi="th-TH"/>
        </w:rPr>
        <w:t>contribute to an anti-competitive market as only some business types are required to display energy information</w:t>
      </w:r>
      <w:r w:rsidR="00FA0E83" w:rsidRPr="00E67A4C">
        <w:rPr>
          <w:lang w:eastAsia="zh-CN" w:bidi="th-TH"/>
        </w:rPr>
        <w:t>.</w:t>
      </w:r>
      <w:r w:rsidR="00BD608F" w:rsidRPr="00E67A4C">
        <w:rPr>
          <w:lang w:eastAsia="zh-CN" w:bidi="th-TH"/>
        </w:rPr>
        <w:t xml:space="preserve"> </w:t>
      </w:r>
    </w:p>
    <w:p w14:paraId="16601478" w14:textId="77777777" w:rsidR="00883052" w:rsidRPr="00E67A4C" w:rsidRDefault="00883052" w:rsidP="00650306">
      <w:pPr>
        <w:spacing w:after="40"/>
        <w:jc w:val="both"/>
        <w:rPr>
          <w:lang w:eastAsia="zh-CN" w:bidi="th-TH"/>
        </w:rPr>
      </w:pPr>
    </w:p>
    <w:p w14:paraId="75EC781A" w14:textId="016879BE" w:rsidR="00B259A3" w:rsidRPr="00E67A4C" w:rsidRDefault="00D23DA3" w:rsidP="005F7DB5">
      <w:pPr>
        <w:pStyle w:val="ListParagraph"/>
        <w:pBdr>
          <w:top w:val="single" w:sz="4" w:space="1" w:color="auto"/>
          <w:left w:val="single" w:sz="4" w:space="4" w:color="auto"/>
          <w:bottom w:val="single" w:sz="4" w:space="1" w:color="auto"/>
          <w:right w:val="single" w:sz="4" w:space="6" w:color="auto"/>
        </w:pBdr>
        <w:spacing w:after="40"/>
        <w:ind w:left="0"/>
        <w:jc w:val="both"/>
      </w:pPr>
      <w:r w:rsidRPr="00E67A4C">
        <w:rPr>
          <w:b/>
          <w:bCs/>
        </w:rPr>
        <w:t xml:space="preserve">Consultation question </w:t>
      </w:r>
      <w:r w:rsidR="00E96258" w:rsidRPr="00E67A4C">
        <w:rPr>
          <w:b/>
          <w:bCs/>
        </w:rPr>
        <w:t>6</w:t>
      </w:r>
      <w:r w:rsidRPr="00E67A4C">
        <w:rPr>
          <w:b/>
          <w:bCs/>
        </w:rPr>
        <w:t>:</w:t>
      </w:r>
      <w:r w:rsidRPr="00E67A4C">
        <w:t xml:space="preserve"> </w:t>
      </w:r>
      <w:r w:rsidR="00F673BA" w:rsidRPr="00E67A4C">
        <w:t>I</w:t>
      </w:r>
      <w:r w:rsidR="00247F93" w:rsidRPr="00E67A4C">
        <w:t xml:space="preserve">s the </w:t>
      </w:r>
      <w:r w:rsidR="00672994" w:rsidRPr="00E67A4C">
        <w:t xml:space="preserve">uneven playing field </w:t>
      </w:r>
      <w:r w:rsidR="00562305" w:rsidRPr="00E67A4C">
        <w:t xml:space="preserve">with respect to menu labelling requirements </w:t>
      </w:r>
      <w:r w:rsidR="00F673BA" w:rsidRPr="00E67A4C">
        <w:t xml:space="preserve">a problem </w:t>
      </w:r>
      <w:r w:rsidR="00CE4D5E" w:rsidRPr="00E67A4C">
        <w:t>for</w:t>
      </w:r>
      <w:r w:rsidR="00E0718C" w:rsidRPr="00E67A4C">
        <w:t xml:space="preserve"> </w:t>
      </w:r>
      <w:r w:rsidR="00E0718C" w:rsidRPr="00E67A4C">
        <w:rPr>
          <w:b/>
          <w:bCs/>
        </w:rPr>
        <w:t>standard food outlets</w:t>
      </w:r>
      <w:r w:rsidR="00906F92" w:rsidRPr="00E67A4C">
        <w:rPr>
          <w:b/>
          <w:bCs/>
        </w:rPr>
        <w:t xml:space="preserve"> in</w:t>
      </w:r>
      <w:r w:rsidR="00906F92" w:rsidRPr="00E67A4C">
        <w:t xml:space="preserve"> </w:t>
      </w:r>
      <w:r w:rsidR="00906F92" w:rsidRPr="00E67A4C">
        <w:rPr>
          <w:b/>
          <w:bCs/>
        </w:rPr>
        <w:t>Australia</w:t>
      </w:r>
      <w:r w:rsidR="00E0718C" w:rsidRPr="00E67A4C">
        <w:t>?</w:t>
      </w:r>
      <w:r w:rsidR="00C303EB" w:rsidRPr="00E67A4C">
        <w:t xml:space="preserve"> </w:t>
      </w:r>
      <w:r w:rsidR="002A2C85" w:rsidRPr="00E67A4C">
        <w:t xml:space="preserve">If so, please detail the impact. </w:t>
      </w:r>
      <w:r w:rsidR="00C303EB" w:rsidRPr="00E67A4C">
        <w:rPr>
          <w:i/>
          <w:iCs/>
        </w:rPr>
        <w:t>Please indicate if your business</w:t>
      </w:r>
      <w:r w:rsidR="00202047" w:rsidRPr="00E67A4C">
        <w:rPr>
          <w:i/>
          <w:iCs/>
        </w:rPr>
        <w:t xml:space="preserve"> </w:t>
      </w:r>
      <w:r w:rsidR="000C653A" w:rsidRPr="00E67A4C">
        <w:rPr>
          <w:i/>
          <w:iCs/>
        </w:rPr>
        <w:t xml:space="preserve">is currently captured </w:t>
      </w:r>
      <w:r w:rsidR="003B17E1" w:rsidRPr="00E67A4C">
        <w:rPr>
          <w:i/>
          <w:iCs/>
        </w:rPr>
        <w:t>by state or territory legislation</w:t>
      </w:r>
      <w:r w:rsidR="004A7103" w:rsidRPr="00E67A4C">
        <w:rPr>
          <w:i/>
          <w:iCs/>
        </w:rPr>
        <w:t xml:space="preserve">, </w:t>
      </w:r>
      <w:r w:rsidR="00B439B5" w:rsidRPr="00E67A4C">
        <w:rPr>
          <w:i/>
          <w:iCs/>
        </w:rPr>
        <w:t>and/</w:t>
      </w:r>
      <w:r w:rsidR="004A7103" w:rsidRPr="00E67A4C">
        <w:rPr>
          <w:i/>
          <w:iCs/>
        </w:rPr>
        <w:t>or whether your business is exempt</w:t>
      </w:r>
      <w:r w:rsidR="00143C1F" w:rsidRPr="00E67A4C">
        <w:rPr>
          <w:i/>
          <w:iCs/>
        </w:rPr>
        <w:t xml:space="preserve"> in one or more jurisdictions</w:t>
      </w:r>
      <w:r w:rsidR="004A7103" w:rsidRPr="00E67A4C">
        <w:rPr>
          <w:i/>
          <w:iCs/>
        </w:rPr>
        <w:t>.</w:t>
      </w:r>
      <w:r w:rsidR="004A7103" w:rsidRPr="00E67A4C">
        <w:t xml:space="preserve"> </w:t>
      </w:r>
    </w:p>
    <w:p w14:paraId="22A37C6B" w14:textId="77777777" w:rsidR="00B259A3" w:rsidRPr="004E3E67" w:rsidRDefault="00B259A3" w:rsidP="005F7DB5">
      <w:pPr>
        <w:pStyle w:val="ListParagraph"/>
        <w:pBdr>
          <w:top w:val="single" w:sz="4" w:space="1" w:color="auto"/>
          <w:left w:val="single" w:sz="4" w:space="4" w:color="auto"/>
          <w:bottom w:val="single" w:sz="4" w:space="1" w:color="auto"/>
          <w:right w:val="single" w:sz="4" w:space="6" w:color="auto"/>
        </w:pBdr>
        <w:spacing w:after="40"/>
        <w:ind w:left="0"/>
        <w:jc w:val="both"/>
        <w:rPr>
          <w:sz w:val="16"/>
          <w:szCs w:val="16"/>
        </w:rPr>
      </w:pPr>
    </w:p>
    <w:p w14:paraId="5316F50E" w14:textId="60A768A7" w:rsidR="00392967" w:rsidRPr="00E67A4C" w:rsidRDefault="00B259A3" w:rsidP="005F7DB5">
      <w:pPr>
        <w:pStyle w:val="ListParagraph"/>
        <w:pBdr>
          <w:top w:val="single" w:sz="4" w:space="1" w:color="auto"/>
          <w:left w:val="single" w:sz="4" w:space="4" w:color="auto"/>
          <w:bottom w:val="single" w:sz="4" w:space="1" w:color="auto"/>
          <w:right w:val="single" w:sz="4" w:space="6" w:color="auto"/>
        </w:pBdr>
        <w:spacing w:after="40"/>
        <w:ind w:left="0"/>
        <w:jc w:val="both"/>
      </w:pPr>
      <w:r w:rsidRPr="00E67A4C">
        <w:rPr>
          <w:b/>
        </w:rPr>
        <w:t xml:space="preserve">Consultation question </w:t>
      </w:r>
      <w:r w:rsidR="00E96258" w:rsidRPr="00E67A4C">
        <w:rPr>
          <w:b/>
        </w:rPr>
        <w:t>7</w:t>
      </w:r>
      <w:r w:rsidRPr="00E67A4C">
        <w:rPr>
          <w:b/>
        </w:rPr>
        <w:t xml:space="preserve">: </w:t>
      </w:r>
      <w:r w:rsidR="002A2C85" w:rsidRPr="00E67A4C">
        <w:t>I</w:t>
      </w:r>
      <w:r w:rsidR="00D3616A" w:rsidRPr="00E67A4C">
        <w:t xml:space="preserve">s it </w:t>
      </w:r>
      <w:r w:rsidR="002A2C85" w:rsidRPr="00E67A4C">
        <w:t xml:space="preserve">a problem </w:t>
      </w:r>
      <w:r w:rsidR="00D3616A" w:rsidRPr="00E67A4C">
        <w:t xml:space="preserve">for </w:t>
      </w:r>
      <w:r w:rsidR="00D3616A" w:rsidRPr="00E67A4C">
        <w:rPr>
          <w:b/>
          <w:bCs/>
        </w:rPr>
        <w:t>Australian</w:t>
      </w:r>
      <w:r w:rsidR="00D3616A" w:rsidRPr="00E67A4C">
        <w:t xml:space="preserve"> </w:t>
      </w:r>
      <w:r w:rsidR="00D3616A" w:rsidRPr="00E67A4C">
        <w:rPr>
          <w:b/>
          <w:bCs/>
        </w:rPr>
        <w:t>consumers</w:t>
      </w:r>
      <w:r w:rsidR="00D3616A" w:rsidRPr="00E67A4C">
        <w:t xml:space="preserve"> that energy information is not at the point-of-sale</w:t>
      </w:r>
      <w:r w:rsidR="00683F55" w:rsidRPr="00E67A4C">
        <w:t xml:space="preserve"> in all businesses selling standard food items</w:t>
      </w:r>
      <w:r w:rsidR="00D3616A" w:rsidRPr="00E67A4C">
        <w:t xml:space="preserve">? </w:t>
      </w:r>
      <w:r w:rsidR="002A2C85" w:rsidRPr="00E67A4C">
        <w:t xml:space="preserve">If so, please detail the impact. </w:t>
      </w:r>
    </w:p>
    <w:p w14:paraId="6A2D43AF" w14:textId="658A6D69" w:rsidR="001400BB" w:rsidRPr="004E3E67" w:rsidRDefault="001400BB" w:rsidP="005F7DB5">
      <w:pPr>
        <w:pStyle w:val="ListParagraph"/>
        <w:pBdr>
          <w:top w:val="single" w:sz="4" w:space="1" w:color="auto"/>
          <w:left w:val="single" w:sz="4" w:space="4" w:color="auto"/>
          <w:bottom w:val="single" w:sz="4" w:space="1" w:color="auto"/>
          <w:right w:val="single" w:sz="4" w:space="6" w:color="auto"/>
        </w:pBdr>
        <w:spacing w:after="40"/>
        <w:ind w:left="0"/>
        <w:jc w:val="both"/>
        <w:rPr>
          <w:sz w:val="16"/>
          <w:szCs w:val="16"/>
        </w:rPr>
      </w:pPr>
    </w:p>
    <w:p w14:paraId="704E8F9E" w14:textId="6BAC1FE4" w:rsidR="00BE63C3" w:rsidRPr="00E67A4C" w:rsidRDefault="001400BB" w:rsidP="005F7DB5">
      <w:pPr>
        <w:pStyle w:val="ListParagraph"/>
        <w:pBdr>
          <w:top w:val="single" w:sz="4" w:space="1" w:color="auto"/>
          <w:left w:val="single" w:sz="4" w:space="4" w:color="auto"/>
          <w:bottom w:val="single" w:sz="4" w:space="1" w:color="auto"/>
          <w:right w:val="single" w:sz="4" w:space="6" w:color="auto"/>
        </w:pBdr>
        <w:spacing w:after="40"/>
        <w:ind w:left="0"/>
        <w:jc w:val="both"/>
      </w:pPr>
      <w:r w:rsidRPr="00E67A4C">
        <w:rPr>
          <w:b/>
          <w:bCs/>
        </w:rPr>
        <w:t>Consultation question 8:</w:t>
      </w:r>
      <w:r w:rsidRPr="00E67A4C">
        <w:t xml:space="preserve"> </w:t>
      </w:r>
      <w:r w:rsidR="00413993" w:rsidRPr="00E67A4C">
        <w:t>Are there</w:t>
      </w:r>
      <w:r w:rsidRPr="00E67A4C">
        <w:t xml:space="preserve"> other business types </w:t>
      </w:r>
      <w:r w:rsidR="00084F65" w:rsidRPr="00E67A4C">
        <w:t xml:space="preserve">(not already listed in </w:t>
      </w:r>
      <w:r w:rsidR="00DB13E5" w:rsidRPr="00E67A4C">
        <w:t xml:space="preserve">Appendix </w:t>
      </w:r>
      <w:r w:rsidR="00BC3AEE" w:rsidRPr="00E67A4C">
        <w:t>3</w:t>
      </w:r>
      <w:r w:rsidR="00084F65" w:rsidRPr="00E67A4C">
        <w:t xml:space="preserve">) </w:t>
      </w:r>
      <w:r w:rsidR="00413993" w:rsidRPr="00E67A4C">
        <w:t xml:space="preserve">that </w:t>
      </w:r>
      <w:r w:rsidRPr="00E67A4C">
        <w:t xml:space="preserve">are selling standard food items in </w:t>
      </w:r>
      <w:r w:rsidRPr="00E67A4C">
        <w:rPr>
          <w:b/>
          <w:bCs/>
        </w:rPr>
        <w:t>Australia or New Zealand</w:t>
      </w:r>
      <w:r w:rsidRPr="00E67A4C">
        <w:t xml:space="preserve">? </w:t>
      </w:r>
      <w:bookmarkStart w:id="32" w:name="_Hlk35509594"/>
      <w:r w:rsidR="00BE63C3" w:rsidRPr="00E67A4C">
        <w:t>If so, please detail.</w:t>
      </w:r>
    </w:p>
    <w:bookmarkEnd w:id="32"/>
    <w:p w14:paraId="60E1FB18" w14:textId="77777777" w:rsidR="004A74E7" w:rsidRPr="00E67A4C" w:rsidRDefault="004A74E7" w:rsidP="002C451F">
      <w:pPr>
        <w:spacing w:after="40"/>
        <w:jc w:val="both"/>
      </w:pPr>
    </w:p>
    <w:p w14:paraId="269CFEDF" w14:textId="5F2E4F3C" w:rsidR="00330B73" w:rsidRPr="00E67A4C" w:rsidRDefault="00330B73" w:rsidP="00246032">
      <w:pPr>
        <w:pStyle w:val="Heading3"/>
      </w:pPr>
      <w:bookmarkStart w:id="33" w:name="_Toc51165272"/>
      <w:r w:rsidRPr="00E67A4C">
        <w:t xml:space="preserve">2.3 Emerging trends for promoting, </w:t>
      </w:r>
      <w:r w:rsidR="00EA7DEA" w:rsidRPr="00E67A4C">
        <w:t>offering,</w:t>
      </w:r>
      <w:r w:rsidRPr="00E67A4C">
        <w:t xml:space="preserve"> and selling standard food items </w:t>
      </w:r>
      <w:bookmarkEnd w:id="33"/>
    </w:p>
    <w:p w14:paraId="6CCEE12E" w14:textId="654E1756" w:rsidR="0035575B" w:rsidRPr="00E67A4C" w:rsidRDefault="00330B73" w:rsidP="00330B73">
      <w:pPr>
        <w:spacing w:after="40"/>
        <w:jc w:val="both"/>
        <w:rPr>
          <w:lang w:eastAsia="zh-CN" w:bidi="th-TH"/>
        </w:rPr>
      </w:pPr>
      <w:r w:rsidRPr="00E67A4C">
        <w:rPr>
          <w:lang w:eastAsia="zh-CN" w:bidi="th-TH"/>
        </w:rPr>
        <w:t xml:space="preserve">The food industry is a dynamic environment with sophisticated stakeholders that is continually evolving with new products and new ways of </w:t>
      </w:r>
      <w:bookmarkStart w:id="34" w:name="_Hlk35341319"/>
      <w:r w:rsidRPr="00E67A4C">
        <w:rPr>
          <w:lang w:eastAsia="zh-CN" w:bidi="th-TH"/>
        </w:rPr>
        <w:t xml:space="preserve">promoting, </w:t>
      </w:r>
      <w:r w:rsidR="00EA7DEA" w:rsidRPr="00E67A4C">
        <w:rPr>
          <w:lang w:eastAsia="zh-CN" w:bidi="th-TH"/>
        </w:rPr>
        <w:t>offering,</w:t>
      </w:r>
      <w:r w:rsidR="00D83D40" w:rsidRPr="00E67A4C">
        <w:rPr>
          <w:lang w:eastAsia="zh-CN" w:bidi="th-TH"/>
        </w:rPr>
        <w:t xml:space="preserve"> </w:t>
      </w:r>
      <w:r w:rsidRPr="00E67A4C">
        <w:rPr>
          <w:lang w:eastAsia="zh-CN" w:bidi="th-TH"/>
        </w:rPr>
        <w:t>and selling products</w:t>
      </w:r>
      <w:bookmarkEnd w:id="34"/>
      <w:r w:rsidRPr="00E67A4C">
        <w:rPr>
          <w:lang w:eastAsia="zh-CN" w:bidi="th-TH"/>
        </w:rPr>
        <w:t>. Since the 2011 Principles were developed the methods of displaying standard food items for sale ha</w:t>
      </w:r>
      <w:r w:rsidR="0005393A" w:rsidRPr="00E67A4C">
        <w:rPr>
          <w:lang w:eastAsia="zh-CN" w:bidi="th-TH"/>
        </w:rPr>
        <w:t>ve</w:t>
      </w:r>
      <w:r w:rsidRPr="00E67A4C">
        <w:rPr>
          <w:lang w:eastAsia="zh-CN" w:bidi="th-TH"/>
        </w:rPr>
        <w:t xml:space="preserve"> changed</w:t>
      </w:r>
      <w:r w:rsidR="0035575B" w:rsidRPr="00E67A4C">
        <w:rPr>
          <w:lang w:eastAsia="zh-CN" w:bidi="th-TH"/>
        </w:rPr>
        <w:t>, for example</w:t>
      </w:r>
      <w:r w:rsidR="004C525F" w:rsidRPr="00E67A4C">
        <w:rPr>
          <w:lang w:eastAsia="zh-CN" w:bidi="th-TH"/>
        </w:rPr>
        <w:t xml:space="preserve"> some businesses</w:t>
      </w:r>
      <w:r w:rsidR="0035575B" w:rsidRPr="00E67A4C">
        <w:rPr>
          <w:lang w:eastAsia="zh-CN" w:bidi="th-TH"/>
        </w:rPr>
        <w:t>:</w:t>
      </w:r>
    </w:p>
    <w:p w14:paraId="6E82887F" w14:textId="1E36C87A" w:rsidR="0035575B" w:rsidRPr="00E67A4C" w:rsidRDefault="00330B73" w:rsidP="00F76FDC">
      <w:pPr>
        <w:pStyle w:val="ListParagraph"/>
        <w:numPr>
          <w:ilvl w:val="0"/>
          <w:numId w:val="14"/>
        </w:numPr>
        <w:spacing w:after="40"/>
        <w:jc w:val="both"/>
        <w:rPr>
          <w:lang w:eastAsia="zh-CN" w:bidi="th-TH"/>
        </w:rPr>
      </w:pPr>
      <w:r w:rsidRPr="00E67A4C">
        <w:rPr>
          <w:lang w:eastAsia="zh-CN" w:bidi="th-TH"/>
        </w:rPr>
        <w:t>no longer use traditional ‘menu boards’, and have instead introduced digital panel menus</w:t>
      </w:r>
      <w:r w:rsidR="0035575B" w:rsidRPr="00E67A4C">
        <w:rPr>
          <w:lang w:eastAsia="zh-CN" w:bidi="th-TH"/>
        </w:rPr>
        <w:t>;</w:t>
      </w:r>
    </w:p>
    <w:p w14:paraId="1E2DADCA" w14:textId="5B4C7AC1" w:rsidR="004C525F" w:rsidRPr="00E67A4C" w:rsidRDefault="00330B73" w:rsidP="00F76FDC">
      <w:pPr>
        <w:pStyle w:val="ListParagraph"/>
        <w:numPr>
          <w:ilvl w:val="0"/>
          <w:numId w:val="14"/>
        </w:numPr>
        <w:spacing w:after="40"/>
        <w:jc w:val="both"/>
        <w:rPr>
          <w:lang w:eastAsia="zh-CN" w:bidi="th-TH"/>
        </w:rPr>
      </w:pPr>
      <w:r w:rsidRPr="00E67A4C">
        <w:rPr>
          <w:lang w:eastAsia="zh-CN" w:bidi="th-TH"/>
        </w:rPr>
        <w:t>are using third-party food delivery platforms</w:t>
      </w:r>
      <w:r w:rsidR="0035575B" w:rsidRPr="00E67A4C">
        <w:rPr>
          <w:lang w:eastAsia="zh-CN" w:bidi="th-TH"/>
        </w:rPr>
        <w:t xml:space="preserve"> to supplement </w:t>
      </w:r>
      <w:r w:rsidR="004C525F" w:rsidRPr="00E67A4C">
        <w:rPr>
          <w:lang w:eastAsia="zh-CN" w:bidi="th-TH"/>
        </w:rPr>
        <w:t xml:space="preserve">existing customer base; </w:t>
      </w:r>
    </w:p>
    <w:p w14:paraId="51DFC86C" w14:textId="77777777" w:rsidR="00450AB8" w:rsidRPr="00E67A4C" w:rsidRDefault="004C525F" w:rsidP="00F76FDC">
      <w:pPr>
        <w:pStyle w:val="ListParagraph"/>
        <w:numPr>
          <w:ilvl w:val="0"/>
          <w:numId w:val="14"/>
        </w:numPr>
        <w:spacing w:after="40"/>
        <w:jc w:val="both"/>
        <w:rPr>
          <w:lang w:eastAsia="zh-CN" w:bidi="th-TH"/>
        </w:rPr>
      </w:pPr>
      <w:r w:rsidRPr="00E67A4C">
        <w:rPr>
          <w:lang w:eastAsia="zh-CN" w:bidi="th-TH"/>
        </w:rPr>
        <w:t>n</w:t>
      </w:r>
      <w:r w:rsidR="00330B73" w:rsidRPr="00E67A4C">
        <w:rPr>
          <w:lang w:eastAsia="zh-CN" w:bidi="th-TH"/>
        </w:rPr>
        <w:t xml:space="preserve">ow </w:t>
      </w:r>
      <w:r w:rsidR="00534221" w:rsidRPr="00E67A4C">
        <w:rPr>
          <w:lang w:eastAsia="zh-CN" w:bidi="th-TH"/>
        </w:rPr>
        <w:t xml:space="preserve">actively promote </w:t>
      </w:r>
      <w:r w:rsidR="00330B73" w:rsidRPr="00E67A4C">
        <w:rPr>
          <w:lang w:eastAsia="zh-CN" w:bidi="th-TH"/>
        </w:rPr>
        <w:t>build your own menu items from a range of standardised ingredients</w:t>
      </w:r>
      <w:r w:rsidR="00450AB8" w:rsidRPr="00E67A4C">
        <w:rPr>
          <w:lang w:eastAsia="zh-CN" w:bidi="th-TH"/>
        </w:rPr>
        <w:t>; and</w:t>
      </w:r>
    </w:p>
    <w:p w14:paraId="0808C20F" w14:textId="667ED3F9" w:rsidR="00FD0A7E" w:rsidRPr="00E67A4C" w:rsidRDefault="00450AB8" w:rsidP="00F76FDC">
      <w:pPr>
        <w:pStyle w:val="ListParagraph"/>
        <w:numPr>
          <w:ilvl w:val="0"/>
          <w:numId w:val="14"/>
        </w:numPr>
        <w:spacing w:after="40"/>
        <w:jc w:val="both"/>
        <w:rPr>
          <w:lang w:eastAsia="zh-CN" w:bidi="th-TH"/>
        </w:rPr>
      </w:pPr>
      <w:r w:rsidRPr="00E67A4C">
        <w:rPr>
          <w:lang w:eastAsia="zh-CN" w:bidi="th-TH"/>
        </w:rPr>
        <w:t>are offering contactless ordering, payment and/or delivery</w:t>
      </w:r>
      <w:r w:rsidR="00335765" w:rsidRPr="00E67A4C">
        <w:rPr>
          <w:lang w:eastAsia="zh-CN" w:bidi="th-TH"/>
        </w:rPr>
        <w:t xml:space="preserve"> through mobile apps or other digital platforms</w:t>
      </w:r>
      <w:r w:rsidR="00F5356D" w:rsidRPr="00E67A4C">
        <w:rPr>
          <w:lang w:eastAsia="zh-CN" w:bidi="th-TH"/>
        </w:rPr>
        <w:t xml:space="preserve"> </w:t>
      </w:r>
      <w:bookmarkStart w:id="35" w:name="_Hlk43385341"/>
      <w:r w:rsidR="00F5356D" w:rsidRPr="00E67A4C">
        <w:rPr>
          <w:lang w:eastAsia="zh-CN" w:bidi="th-TH"/>
        </w:rPr>
        <w:t>(</w:t>
      </w:r>
      <w:r w:rsidR="00335765" w:rsidRPr="00E67A4C">
        <w:rPr>
          <w:lang w:eastAsia="zh-CN" w:bidi="th-TH"/>
        </w:rPr>
        <w:t>linked</w:t>
      </w:r>
      <w:r w:rsidR="00F5356D" w:rsidRPr="00E67A4C">
        <w:rPr>
          <w:lang w:eastAsia="zh-CN" w:bidi="th-TH"/>
        </w:rPr>
        <w:t xml:space="preserve"> to the COVID-19 pandemic and physical distancing restrictions in place).</w:t>
      </w:r>
      <w:r w:rsidR="00330B73" w:rsidRPr="00E67A4C">
        <w:rPr>
          <w:lang w:eastAsia="zh-CN" w:bidi="th-TH"/>
        </w:rPr>
        <w:t xml:space="preserve"> </w:t>
      </w:r>
      <w:bookmarkEnd w:id="35"/>
    </w:p>
    <w:p w14:paraId="2A96DCD6" w14:textId="77777777" w:rsidR="005673D1" w:rsidRPr="00E67A4C" w:rsidRDefault="005673D1" w:rsidP="005673D1">
      <w:pPr>
        <w:pStyle w:val="ListParagraph"/>
        <w:spacing w:after="40"/>
        <w:jc w:val="both"/>
        <w:rPr>
          <w:lang w:eastAsia="zh-CN" w:bidi="th-TH"/>
        </w:rPr>
      </w:pPr>
    </w:p>
    <w:p w14:paraId="5D2D5A3D" w14:textId="1B01497A" w:rsidR="00820314" w:rsidRPr="00E67A4C" w:rsidRDefault="009A3652" w:rsidP="00330B73">
      <w:pPr>
        <w:spacing w:after="40"/>
        <w:jc w:val="both"/>
        <w:rPr>
          <w:lang w:eastAsia="zh-CN" w:bidi="th-TH"/>
        </w:rPr>
      </w:pPr>
      <w:r w:rsidRPr="00E67A4C">
        <w:rPr>
          <w:lang w:eastAsia="zh-CN" w:bidi="th-TH"/>
        </w:rPr>
        <w:t xml:space="preserve">Without </w:t>
      </w:r>
      <w:r w:rsidR="008B6181" w:rsidRPr="00E67A4C">
        <w:rPr>
          <w:lang w:eastAsia="zh-CN" w:bidi="th-TH"/>
        </w:rPr>
        <w:t>t</w:t>
      </w:r>
      <w:r w:rsidR="00724912" w:rsidRPr="00E67A4C">
        <w:rPr>
          <w:lang w:eastAsia="zh-CN" w:bidi="th-TH"/>
        </w:rPr>
        <w:t>he 2011 Principles</w:t>
      </w:r>
      <w:r w:rsidR="00593371" w:rsidRPr="00E67A4C">
        <w:rPr>
          <w:lang w:eastAsia="zh-CN" w:bidi="th-TH"/>
        </w:rPr>
        <w:t xml:space="preserve"> and jurisdiction legislation</w:t>
      </w:r>
      <w:r w:rsidR="00724912" w:rsidRPr="00E67A4C">
        <w:rPr>
          <w:lang w:eastAsia="zh-CN" w:bidi="th-TH"/>
        </w:rPr>
        <w:t xml:space="preserve"> specifically refer</w:t>
      </w:r>
      <w:r w:rsidR="008B6181" w:rsidRPr="00E67A4C">
        <w:rPr>
          <w:lang w:eastAsia="zh-CN" w:bidi="th-TH"/>
        </w:rPr>
        <w:t>ring</w:t>
      </w:r>
      <w:r w:rsidR="00724912" w:rsidRPr="00E67A4C">
        <w:rPr>
          <w:lang w:eastAsia="zh-CN" w:bidi="th-TH"/>
        </w:rPr>
        <w:t xml:space="preserve"> to </w:t>
      </w:r>
      <w:r w:rsidR="00E87471" w:rsidRPr="00E67A4C">
        <w:rPr>
          <w:lang w:eastAsia="zh-CN" w:bidi="th-TH"/>
        </w:rPr>
        <w:t>these approaches,</w:t>
      </w:r>
      <w:r w:rsidR="00D758AA" w:rsidRPr="00E67A4C">
        <w:rPr>
          <w:lang w:eastAsia="zh-CN" w:bidi="th-TH"/>
        </w:rPr>
        <w:t xml:space="preserve"> businesses may not </w:t>
      </w:r>
      <w:r w:rsidR="00722238" w:rsidRPr="00E67A4C">
        <w:rPr>
          <w:lang w:eastAsia="zh-CN" w:bidi="th-TH"/>
        </w:rPr>
        <w:t xml:space="preserve">be required to </w:t>
      </w:r>
      <w:r w:rsidR="00D758AA" w:rsidRPr="00E67A4C">
        <w:rPr>
          <w:lang w:eastAsia="zh-CN" w:bidi="th-TH"/>
        </w:rPr>
        <w:t>display energy information</w:t>
      </w:r>
      <w:r w:rsidR="00AA1DCC" w:rsidRPr="00E67A4C">
        <w:rPr>
          <w:lang w:eastAsia="zh-CN" w:bidi="th-TH"/>
        </w:rPr>
        <w:t xml:space="preserve"> on all</w:t>
      </w:r>
      <w:r w:rsidR="00865AA2" w:rsidRPr="00E67A4C">
        <w:rPr>
          <w:lang w:eastAsia="zh-CN" w:bidi="th-TH"/>
        </w:rPr>
        <w:t xml:space="preserve"> </w:t>
      </w:r>
      <w:r w:rsidR="0095665E" w:rsidRPr="00E67A4C">
        <w:rPr>
          <w:lang w:eastAsia="zh-CN" w:bidi="th-TH"/>
        </w:rPr>
        <w:t xml:space="preserve">menu infrastructure and </w:t>
      </w:r>
      <w:r w:rsidR="00865AA2" w:rsidRPr="00E67A4C">
        <w:rPr>
          <w:lang w:eastAsia="zh-CN" w:bidi="th-TH"/>
        </w:rPr>
        <w:t>platforms or for all standard</w:t>
      </w:r>
      <w:r w:rsidR="00ED05E8" w:rsidRPr="00E67A4C">
        <w:rPr>
          <w:lang w:eastAsia="zh-CN" w:bidi="th-TH"/>
        </w:rPr>
        <w:t xml:space="preserve"> food items</w:t>
      </w:r>
      <w:r w:rsidR="00D758AA" w:rsidRPr="00E67A4C">
        <w:rPr>
          <w:lang w:eastAsia="zh-CN" w:bidi="th-TH"/>
        </w:rPr>
        <w:t>.</w:t>
      </w:r>
      <w:r w:rsidR="00E87471" w:rsidRPr="00E67A4C">
        <w:rPr>
          <w:lang w:eastAsia="zh-CN" w:bidi="th-TH"/>
        </w:rPr>
        <w:t xml:space="preserve"> </w:t>
      </w:r>
      <w:r w:rsidR="00E439C4" w:rsidRPr="00E67A4C">
        <w:rPr>
          <w:lang w:eastAsia="zh-CN" w:bidi="th-TH"/>
        </w:rPr>
        <w:t xml:space="preserve">As such, </w:t>
      </w:r>
      <w:r w:rsidR="00042BF0" w:rsidRPr="00E67A4C">
        <w:rPr>
          <w:lang w:eastAsia="zh-CN" w:bidi="th-TH"/>
        </w:rPr>
        <w:t xml:space="preserve">the </w:t>
      </w:r>
      <w:r w:rsidR="00EE271F" w:rsidRPr="00E67A4C">
        <w:rPr>
          <w:lang w:eastAsia="zh-CN" w:bidi="th-TH"/>
        </w:rPr>
        <w:t>availability</w:t>
      </w:r>
      <w:r w:rsidR="00042BF0" w:rsidRPr="00E67A4C">
        <w:rPr>
          <w:lang w:eastAsia="zh-CN" w:bidi="th-TH"/>
        </w:rPr>
        <w:t xml:space="preserve"> of energy information </w:t>
      </w:r>
      <w:r w:rsidR="00EE271F" w:rsidRPr="00E67A4C">
        <w:rPr>
          <w:lang w:eastAsia="zh-CN" w:bidi="th-TH"/>
        </w:rPr>
        <w:t xml:space="preserve">at the point-of-sale </w:t>
      </w:r>
      <w:r w:rsidR="00F21C93" w:rsidRPr="00E67A4C">
        <w:rPr>
          <w:lang w:eastAsia="zh-CN" w:bidi="th-TH"/>
        </w:rPr>
        <w:t>may</w:t>
      </w:r>
      <w:r w:rsidR="00EE271F" w:rsidRPr="00E67A4C">
        <w:rPr>
          <w:lang w:eastAsia="zh-CN" w:bidi="th-TH"/>
        </w:rPr>
        <w:t xml:space="preserve"> be</w:t>
      </w:r>
      <w:r w:rsidR="00042BF0" w:rsidRPr="00E67A4C">
        <w:rPr>
          <w:lang w:eastAsia="zh-CN" w:bidi="th-TH"/>
        </w:rPr>
        <w:t xml:space="preserve"> inconsistent</w:t>
      </w:r>
      <w:r w:rsidR="00220D92" w:rsidRPr="00E67A4C">
        <w:rPr>
          <w:lang w:eastAsia="zh-CN" w:bidi="th-TH"/>
        </w:rPr>
        <w:t xml:space="preserve"> and this could </w:t>
      </w:r>
      <w:r w:rsidR="00E750D8" w:rsidRPr="00E67A4C">
        <w:rPr>
          <w:lang w:eastAsia="zh-CN" w:bidi="th-TH"/>
        </w:rPr>
        <w:t>impact c</w:t>
      </w:r>
      <w:r w:rsidR="007D3C13" w:rsidRPr="00E67A4C">
        <w:rPr>
          <w:lang w:eastAsia="zh-CN" w:bidi="th-TH"/>
        </w:rPr>
        <w:t xml:space="preserve">onsumers’ ability to </w:t>
      </w:r>
      <w:r w:rsidR="00CC133F" w:rsidRPr="00E67A4C">
        <w:rPr>
          <w:lang w:eastAsia="zh-CN" w:bidi="th-TH"/>
        </w:rPr>
        <w:t xml:space="preserve">compare </w:t>
      </w:r>
      <w:r w:rsidR="002D6EA6" w:rsidRPr="00E67A4C">
        <w:rPr>
          <w:lang w:eastAsia="zh-CN" w:bidi="th-TH"/>
        </w:rPr>
        <w:t xml:space="preserve">products and </w:t>
      </w:r>
      <w:r w:rsidR="007D3C13" w:rsidRPr="00E67A4C">
        <w:rPr>
          <w:lang w:eastAsia="zh-CN" w:bidi="th-TH"/>
        </w:rPr>
        <w:t xml:space="preserve">make fully informed </w:t>
      </w:r>
      <w:r w:rsidR="00220D92" w:rsidRPr="00E67A4C">
        <w:rPr>
          <w:lang w:eastAsia="zh-CN" w:bidi="th-TH"/>
        </w:rPr>
        <w:t xml:space="preserve">purchasing </w:t>
      </w:r>
      <w:r w:rsidR="007D3C13" w:rsidRPr="00E67A4C">
        <w:rPr>
          <w:lang w:eastAsia="zh-CN" w:bidi="th-TH"/>
        </w:rPr>
        <w:t>decisions</w:t>
      </w:r>
      <w:r w:rsidR="00220D92" w:rsidRPr="00E67A4C">
        <w:rPr>
          <w:lang w:eastAsia="zh-CN" w:bidi="th-TH"/>
        </w:rPr>
        <w:t>.</w:t>
      </w:r>
    </w:p>
    <w:p w14:paraId="47586987" w14:textId="77777777" w:rsidR="004E3E67" w:rsidRDefault="004E3E67" w:rsidP="00355725">
      <w:pPr>
        <w:spacing w:after="40"/>
        <w:jc w:val="both"/>
        <w:rPr>
          <w:lang w:eastAsia="zh-CN" w:bidi="th-TH"/>
        </w:rPr>
      </w:pPr>
    </w:p>
    <w:p w14:paraId="72C6A9A4" w14:textId="1C1E0953" w:rsidR="00355725" w:rsidRPr="00E67A4C" w:rsidRDefault="00ED05E8" w:rsidP="00355725">
      <w:pPr>
        <w:spacing w:after="40"/>
        <w:jc w:val="both"/>
        <w:rPr>
          <w:lang w:eastAsia="zh-CN" w:bidi="th-TH"/>
        </w:rPr>
      </w:pPr>
      <w:r w:rsidRPr="00E67A4C">
        <w:rPr>
          <w:lang w:eastAsia="zh-CN" w:bidi="th-TH"/>
        </w:rPr>
        <w:lastRenderedPageBreak/>
        <w:t xml:space="preserve">Future </w:t>
      </w:r>
      <w:r w:rsidR="00355725" w:rsidRPr="00E67A4C">
        <w:rPr>
          <w:lang w:eastAsia="zh-CN" w:bidi="th-TH"/>
        </w:rPr>
        <w:t>technological advancements</w:t>
      </w:r>
      <w:r w:rsidR="003E3B7A" w:rsidRPr="00E67A4C">
        <w:rPr>
          <w:lang w:eastAsia="zh-CN" w:bidi="th-TH"/>
        </w:rPr>
        <w:t xml:space="preserve"> </w:t>
      </w:r>
      <w:r w:rsidRPr="00E67A4C">
        <w:rPr>
          <w:lang w:eastAsia="zh-CN" w:bidi="th-TH"/>
        </w:rPr>
        <w:t xml:space="preserve">may increase </w:t>
      </w:r>
      <w:r w:rsidR="00355725" w:rsidRPr="00E67A4C">
        <w:rPr>
          <w:lang w:eastAsia="zh-CN" w:bidi="th-TH"/>
        </w:rPr>
        <w:t xml:space="preserve">the number of creative approaches that businesses use to promote, </w:t>
      </w:r>
      <w:r w:rsidR="00A71358" w:rsidRPr="00E67A4C">
        <w:rPr>
          <w:lang w:eastAsia="zh-CN" w:bidi="th-TH"/>
        </w:rPr>
        <w:t>offer,</w:t>
      </w:r>
      <w:r w:rsidR="00355725" w:rsidRPr="00E67A4C">
        <w:rPr>
          <w:lang w:eastAsia="zh-CN" w:bidi="th-TH"/>
        </w:rPr>
        <w:t xml:space="preserve"> and sell standard food items</w:t>
      </w:r>
      <w:r w:rsidR="006D7D86" w:rsidRPr="00E67A4C">
        <w:rPr>
          <w:lang w:eastAsia="zh-CN" w:bidi="th-TH"/>
        </w:rPr>
        <w:t>. Consequently,</w:t>
      </w:r>
      <w:r w:rsidR="00355725" w:rsidRPr="00E67A4C">
        <w:rPr>
          <w:lang w:eastAsia="zh-CN" w:bidi="th-TH"/>
        </w:rPr>
        <w:t xml:space="preserve"> the 2011 Principles</w:t>
      </w:r>
      <w:r w:rsidR="00FD0A7E" w:rsidRPr="00E67A4C">
        <w:rPr>
          <w:lang w:eastAsia="zh-CN" w:bidi="th-TH"/>
        </w:rPr>
        <w:t xml:space="preserve"> </w:t>
      </w:r>
      <w:r w:rsidR="004C0F49" w:rsidRPr="00E67A4C">
        <w:rPr>
          <w:lang w:eastAsia="zh-CN" w:bidi="th-TH"/>
        </w:rPr>
        <w:t xml:space="preserve">and </w:t>
      </w:r>
      <w:r w:rsidR="00402BC6" w:rsidRPr="00E67A4C">
        <w:rPr>
          <w:lang w:eastAsia="zh-CN" w:bidi="th-TH"/>
        </w:rPr>
        <w:t xml:space="preserve">jurisdictional </w:t>
      </w:r>
      <w:r w:rsidR="00BD1198" w:rsidRPr="00E67A4C">
        <w:rPr>
          <w:lang w:eastAsia="zh-CN" w:bidi="th-TH"/>
        </w:rPr>
        <w:t>legislation</w:t>
      </w:r>
      <w:r w:rsidR="00355725" w:rsidRPr="00E67A4C">
        <w:rPr>
          <w:lang w:eastAsia="zh-CN" w:bidi="th-TH"/>
        </w:rPr>
        <w:t xml:space="preserve"> </w:t>
      </w:r>
      <w:r w:rsidR="00BD1198" w:rsidRPr="00E67A4C">
        <w:rPr>
          <w:lang w:eastAsia="zh-CN" w:bidi="th-TH"/>
        </w:rPr>
        <w:t>are</w:t>
      </w:r>
      <w:r w:rsidR="00355725" w:rsidRPr="00E67A4C">
        <w:rPr>
          <w:lang w:eastAsia="zh-CN" w:bidi="th-TH"/>
        </w:rPr>
        <w:t xml:space="preserve"> unlikely to capture all new approaches</w:t>
      </w:r>
      <w:r w:rsidR="005F6588" w:rsidRPr="00E67A4C">
        <w:rPr>
          <w:lang w:eastAsia="zh-CN" w:bidi="th-TH"/>
        </w:rPr>
        <w:t xml:space="preserve"> within existing definitions and provisions</w:t>
      </w:r>
      <w:r w:rsidR="00645D8F" w:rsidRPr="00E67A4C">
        <w:rPr>
          <w:lang w:eastAsia="zh-CN" w:bidi="th-TH"/>
        </w:rPr>
        <w:t>/principles</w:t>
      </w:r>
      <w:r w:rsidR="00355725" w:rsidRPr="00E67A4C">
        <w:rPr>
          <w:lang w:eastAsia="zh-CN" w:bidi="th-TH"/>
        </w:rPr>
        <w:t xml:space="preserve">.   </w:t>
      </w:r>
    </w:p>
    <w:p w14:paraId="361574BE" w14:textId="702C5D62" w:rsidR="00544575" w:rsidRPr="00E67A4C" w:rsidRDefault="00544575" w:rsidP="00355725">
      <w:pPr>
        <w:spacing w:after="40"/>
        <w:jc w:val="both"/>
        <w:rPr>
          <w:lang w:eastAsia="zh-CN" w:bidi="th-TH"/>
        </w:rPr>
      </w:pPr>
    </w:p>
    <w:p w14:paraId="46DD66B8" w14:textId="292414FA" w:rsidR="00544575" w:rsidRPr="00E67A4C" w:rsidRDefault="00544575" w:rsidP="005F7DB5">
      <w:pPr>
        <w:pStyle w:val="ListParagraph"/>
        <w:pBdr>
          <w:top w:val="single" w:sz="4" w:space="1" w:color="auto"/>
          <w:left w:val="single" w:sz="4" w:space="4" w:color="auto"/>
          <w:bottom w:val="single" w:sz="4" w:space="1" w:color="auto"/>
          <w:right w:val="single" w:sz="4" w:space="4" w:color="auto"/>
        </w:pBdr>
        <w:spacing w:after="40"/>
        <w:ind w:left="0"/>
        <w:jc w:val="both"/>
      </w:pPr>
      <w:r w:rsidRPr="00E67A4C">
        <w:rPr>
          <w:b/>
        </w:rPr>
        <w:t xml:space="preserve">Consultation question </w:t>
      </w:r>
      <w:r w:rsidR="00396A75" w:rsidRPr="00E67A4C">
        <w:rPr>
          <w:b/>
        </w:rPr>
        <w:t>9</w:t>
      </w:r>
      <w:r w:rsidRPr="00E67A4C">
        <w:rPr>
          <w:b/>
        </w:rPr>
        <w:t xml:space="preserve">: </w:t>
      </w:r>
      <w:r w:rsidRPr="00E67A4C">
        <w:rPr>
          <w:bCs/>
        </w:rPr>
        <w:t xml:space="preserve">What, if any, other new ways of </w:t>
      </w:r>
      <w:r w:rsidRPr="00E67A4C">
        <w:rPr>
          <w:lang w:eastAsia="zh-CN" w:bidi="th-TH"/>
        </w:rPr>
        <w:t xml:space="preserve">promoting, </w:t>
      </w:r>
      <w:r w:rsidR="00EA7DEA" w:rsidRPr="00E67A4C">
        <w:rPr>
          <w:lang w:eastAsia="zh-CN" w:bidi="th-TH"/>
        </w:rPr>
        <w:t>offering,</w:t>
      </w:r>
      <w:r w:rsidRPr="00E67A4C">
        <w:rPr>
          <w:lang w:eastAsia="zh-CN" w:bidi="th-TH"/>
        </w:rPr>
        <w:t xml:space="preserve"> and selling </w:t>
      </w:r>
      <w:r w:rsidRPr="00E67A4C">
        <w:rPr>
          <w:bCs/>
        </w:rPr>
        <w:t xml:space="preserve">standard food items have emerged since 2011, or are likely to emerge in the future, and are not covered in this document? </w:t>
      </w:r>
    </w:p>
    <w:p w14:paraId="7A591E22" w14:textId="47E60346" w:rsidR="00746FFC" w:rsidRPr="004E3E67" w:rsidRDefault="00746FFC" w:rsidP="005F7DB5">
      <w:pPr>
        <w:pStyle w:val="ListParagraph"/>
        <w:pBdr>
          <w:top w:val="single" w:sz="4" w:space="1" w:color="auto"/>
          <w:left w:val="single" w:sz="4" w:space="4" w:color="auto"/>
          <w:bottom w:val="single" w:sz="4" w:space="1" w:color="auto"/>
          <w:right w:val="single" w:sz="4" w:space="4" w:color="auto"/>
        </w:pBdr>
        <w:spacing w:after="40"/>
        <w:ind w:left="0"/>
        <w:jc w:val="both"/>
        <w:rPr>
          <w:sz w:val="16"/>
          <w:szCs w:val="16"/>
        </w:rPr>
      </w:pPr>
    </w:p>
    <w:p w14:paraId="5E187742" w14:textId="394421D8" w:rsidR="00746FFC" w:rsidRPr="00E67A4C" w:rsidRDefault="00746FFC" w:rsidP="005F7DB5">
      <w:pPr>
        <w:pStyle w:val="ListParagraph"/>
        <w:pBdr>
          <w:top w:val="single" w:sz="4" w:space="1" w:color="auto"/>
          <w:left w:val="single" w:sz="4" w:space="4" w:color="auto"/>
          <w:bottom w:val="single" w:sz="4" w:space="1" w:color="auto"/>
          <w:right w:val="single" w:sz="4" w:space="4" w:color="auto"/>
        </w:pBdr>
        <w:spacing w:after="40"/>
        <w:ind w:left="0"/>
        <w:jc w:val="both"/>
      </w:pPr>
      <w:r w:rsidRPr="00E67A4C">
        <w:rPr>
          <w:b/>
          <w:bCs/>
        </w:rPr>
        <w:t xml:space="preserve">Consultation question </w:t>
      </w:r>
      <w:r w:rsidR="00396A75" w:rsidRPr="00E67A4C">
        <w:rPr>
          <w:b/>
          <w:bCs/>
        </w:rPr>
        <w:t>10</w:t>
      </w:r>
      <w:r w:rsidRPr="00E67A4C">
        <w:rPr>
          <w:b/>
          <w:bCs/>
        </w:rPr>
        <w:t>:</w:t>
      </w:r>
      <w:r w:rsidR="000A4B89" w:rsidRPr="00E67A4C">
        <w:rPr>
          <w:b/>
          <w:bCs/>
        </w:rPr>
        <w:t xml:space="preserve"> </w:t>
      </w:r>
      <w:r w:rsidR="00402BC6" w:rsidRPr="00E67A4C">
        <w:t>I</w:t>
      </w:r>
      <w:r w:rsidR="003666E1" w:rsidRPr="00E67A4C">
        <w:t xml:space="preserve">s it </w:t>
      </w:r>
      <w:r w:rsidR="00402BC6" w:rsidRPr="00E67A4C">
        <w:t xml:space="preserve">a problem </w:t>
      </w:r>
      <w:r w:rsidR="003666E1" w:rsidRPr="00E67A4C">
        <w:t xml:space="preserve">for </w:t>
      </w:r>
      <w:r w:rsidR="003666E1" w:rsidRPr="00E67A4C">
        <w:rPr>
          <w:b/>
          <w:bCs/>
        </w:rPr>
        <w:t>consumers</w:t>
      </w:r>
      <w:r w:rsidR="003666E1" w:rsidRPr="00E67A4C">
        <w:t xml:space="preserve"> </w:t>
      </w:r>
      <w:r w:rsidR="00F07053" w:rsidRPr="00E67A4C">
        <w:t xml:space="preserve">when </w:t>
      </w:r>
      <w:r w:rsidR="00531C14" w:rsidRPr="00E67A4C">
        <w:t xml:space="preserve">energy information is not available for all menu items </w:t>
      </w:r>
      <w:r w:rsidR="00661F67" w:rsidRPr="00E67A4C">
        <w:t>and/</w:t>
      </w:r>
      <w:r w:rsidR="00531C14" w:rsidRPr="00E67A4C">
        <w:t>or o</w:t>
      </w:r>
      <w:r w:rsidR="008B43DC" w:rsidRPr="00E67A4C">
        <w:t xml:space="preserve">n all ordering platforms and </w:t>
      </w:r>
      <w:r w:rsidR="00AE3762" w:rsidRPr="00E67A4C">
        <w:t>menu infrastructure?</w:t>
      </w:r>
      <w:r w:rsidR="00661F67" w:rsidRPr="00E67A4C">
        <w:t xml:space="preserve"> </w:t>
      </w:r>
      <w:r w:rsidR="00402BC6" w:rsidRPr="00E67A4C">
        <w:t xml:space="preserve">If so, please detail the </w:t>
      </w:r>
      <w:r w:rsidR="00094C55" w:rsidRPr="00E67A4C">
        <w:t xml:space="preserve">problem and its </w:t>
      </w:r>
      <w:r w:rsidR="00402BC6" w:rsidRPr="00E67A4C">
        <w:t>impact.</w:t>
      </w:r>
    </w:p>
    <w:p w14:paraId="6ADB3E3A" w14:textId="77EF2E94" w:rsidR="00160924" w:rsidRPr="004E3E67" w:rsidRDefault="00160924" w:rsidP="005F7DB5">
      <w:pPr>
        <w:pStyle w:val="ListParagraph"/>
        <w:pBdr>
          <w:top w:val="single" w:sz="4" w:space="1" w:color="auto"/>
          <w:left w:val="single" w:sz="4" w:space="4" w:color="auto"/>
          <w:bottom w:val="single" w:sz="4" w:space="1" w:color="auto"/>
          <w:right w:val="single" w:sz="4" w:space="4" w:color="auto"/>
        </w:pBdr>
        <w:spacing w:after="40"/>
        <w:ind w:left="0"/>
        <w:jc w:val="both"/>
        <w:rPr>
          <w:sz w:val="16"/>
          <w:szCs w:val="16"/>
        </w:rPr>
      </w:pPr>
    </w:p>
    <w:p w14:paraId="01282055" w14:textId="24590770" w:rsidR="00585675" w:rsidRPr="00862868" w:rsidRDefault="00160924" w:rsidP="005F7DB5">
      <w:pPr>
        <w:pStyle w:val="ListParagraph"/>
        <w:pBdr>
          <w:top w:val="single" w:sz="4" w:space="1" w:color="auto"/>
          <w:left w:val="single" w:sz="4" w:space="4" w:color="auto"/>
          <w:bottom w:val="single" w:sz="4" w:space="1" w:color="auto"/>
          <w:right w:val="single" w:sz="4" w:space="4" w:color="auto"/>
        </w:pBdr>
        <w:spacing w:after="40"/>
        <w:ind w:left="0"/>
        <w:jc w:val="both"/>
        <w:rPr>
          <w:b/>
          <w:bCs/>
        </w:rPr>
      </w:pPr>
      <w:r w:rsidRPr="00E67A4C">
        <w:rPr>
          <w:b/>
          <w:bCs/>
        </w:rPr>
        <w:t>Consultation question 11:</w:t>
      </w:r>
      <w:r w:rsidR="00AC03DB" w:rsidRPr="00E67A4C">
        <w:rPr>
          <w:b/>
          <w:bCs/>
        </w:rPr>
        <w:t xml:space="preserve"> </w:t>
      </w:r>
      <w:r w:rsidR="00AC03DB" w:rsidRPr="00E67A4C">
        <w:t>Has th</w:t>
      </w:r>
      <w:r w:rsidR="00D22D74" w:rsidRPr="00E67A4C">
        <w:t xml:space="preserve">e increased use of different menu infrastructure and </w:t>
      </w:r>
      <w:r w:rsidR="000C3AA8" w:rsidRPr="00E67A4C">
        <w:t>online platforms changed the cost of implementing menu labelling</w:t>
      </w:r>
      <w:r w:rsidR="005D49AF" w:rsidRPr="00E67A4C">
        <w:t xml:space="preserve"> in </w:t>
      </w:r>
      <w:r w:rsidR="005D49AF" w:rsidRPr="00E67A4C">
        <w:rPr>
          <w:b/>
          <w:bCs/>
        </w:rPr>
        <w:t>Australia</w:t>
      </w:r>
      <w:r w:rsidR="000C3AA8" w:rsidRPr="00E67A4C">
        <w:t xml:space="preserve">? </w:t>
      </w:r>
    </w:p>
    <w:p w14:paraId="4742608F" w14:textId="77777777" w:rsidR="002C23FA" w:rsidRPr="00E67A4C" w:rsidRDefault="002C23FA" w:rsidP="002C23FA">
      <w:pPr>
        <w:spacing w:after="40"/>
        <w:jc w:val="both"/>
        <w:rPr>
          <w:bCs/>
          <w:lang w:eastAsia="zh-CN" w:bidi="th-TH"/>
        </w:rPr>
      </w:pPr>
      <w:bookmarkStart w:id="36" w:name="_Toc426380824"/>
      <w:bookmarkStart w:id="37" w:name="_Toc426380889"/>
      <w:bookmarkStart w:id="38" w:name="_Toc426380920"/>
    </w:p>
    <w:p w14:paraId="68F296C6" w14:textId="6EDEED85" w:rsidR="001E5E77" w:rsidRPr="00E67A4C" w:rsidRDefault="001E5E77" w:rsidP="001E5E77">
      <w:pPr>
        <w:pStyle w:val="ListParagraph"/>
        <w:pBdr>
          <w:top w:val="single" w:sz="4" w:space="1" w:color="auto"/>
          <w:left w:val="single" w:sz="4" w:space="4" w:color="auto"/>
          <w:bottom w:val="single" w:sz="4" w:space="1" w:color="auto"/>
          <w:right w:val="single" w:sz="4" w:space="4" w:color="auto"/>
        </w:pBdr>
        <w:spacing w:after="40"/>
        <w:ind w:left="0"/>
        <w:jc w:val="both"/>
      </w:pPr>
      <w:r w:rsidRPr="00E67A4C">
        <w:rPr>
          <w:b/>
        </w:rPr>
        <w:t xml:space="preserve">Consultation question 12: </w:t>
      </w:r>
      <w:r w:rsidRPr="00E67A4C">
        <w:t>Do you agree with the overall statement of the problem presented</w:t>
      </w:r>
      <w:r w:rsidR="00CB768F" w:rsidRPr="00E67A4C">
        <w:t xml:space="preserve"> (section 2, 2.1-2.3)</w:t>
      </w:r>
      <w:r w:rsidRPr="00E67A4C">
        <w:t xml:space="preserve">? If so, why? If you do not agree with this statement, please provide your reasons. </w:t>
      </w:r>
    </w:p>
    <w:p w14:paraId="3D8F0F9C" w14:textId="77777777" w:rsidR="001E5E77" w:rsidRPr="004E3E67" w:rsidRDefault="001E5E77" w:rsidP="001E5E77">
      <w:pPr>
        <w:pStyle w:val="ListParagraph"/>
        <w:pBdr>
          <w:top w:val="single" w:sz="4" w:space="1" w:color="auto"/>
          <w:left w:val="single" w:sz="4" w:space="4" w:color="auto"/>
          <w:bottom w:val="single" w:sz="4" w:space="1" w:color="auto"/>
          <w:right w:val="single" w:sz="4" w:space="4" w:color="auto"/>
        </w:pBdr>
        <w:spacing w:after="40"/>
        <w:ind w:left="0"/>
        <w:jc w:val="both"/>
        <w:rPr>
          <w:sz w:val="16"/>
          <w:szCs w:val="16"/>
        </w:rPr>
      </w:pPr>
    </w:p>
    <w:p w14:paraId="345699CE" w14:textId="794B02DF" w:rsidR="001E5E77" w:rsidRPr="00E67A4C" w:rsidRDefault="001E5E77" w:rsidP="001E5E77">
      <w:pPr>
        <w:pBdr>
          <w:top w:val="single" w:sz="4" w:space="1" w:color="auto"/>
          <w:left w:val="single" w:sz="4" w:space="4" w:color="auto"/>
          <w:bottom w:val="single" w:sz="4" w:space="1" w:color="auto"/>
          <w:right w:val="single" w:sz="4" w:space="4" w:color="auto"/>
        </w:pBdr>
        <w:spacing w:after="40"/>
        <w:jc w:val="both"/>
      </w:pPr>
      <w:r w:rsidRPr="00E67A4C">
        <w:rPr>
          <w:b/>
          <w:bCs/>
        </w:rPr>
        <w:t>Consultation question 13</w:t>
      </w:r>
      <w:r w:rsidRPr="00E67A4C">
        <w:t>: Do you agree that this problem</w:t>
      </w:r>
      <w:r w:rsidR="00D745F5" w:rsidRPr="00E67A4C">
        <w:t xml:space="preserve"> (</w:t>
      </w:r>
      <w:r w:rsidR="00CB768F" w:rsidRPr="00E67A4C">
        <w:t>section 2, 2.1-2.3</w:t>
      </w:r>
      <w:r w:rsidR="00D745F5" w:rsidRPr="00E67A4C">
        <w:t>)</w:t>
      </w:r>
      <w:r w:rsidRPr="00E67A4C">
        <w:t xml:space="preserve"> requires government intervention? If so, why? If not, please provide your reasons. </w:t>
      </w:r>
    </w:p>
    <w:p w14:paraId="18C56CFB" w14:textId="77777777" w:rsidR="001E5E77" w:rsidRPr="00E67A4C" w:rsidRDefault="001E5E77" w:rsidP="002C23FA">
      <w:pPr>
        <w:spacing w:after="40"/>
        <w:jc w:val="both"/>
        <w:rPr>
          <w:bCs/>
          <w:lang w:eastAsia="zh-CN" w:bidi="th-TH"/>
        </w:rPr>
      </w:pPr>
    </w:p>
    <w:p w14:paraId="67A8C44D" w14:textId="0624A7B4" w:rsidR="0004125A" w:rsidRPr="00E67A4C" w:rsidRDefault="0004125A" w:rsidP="00812051">
      <w:pPr>
        <w:pStyle w:val="Heading2"/>
        <w:rPr>
          <w:rStyle w:val="Heading1Char"/>
          <w:rFonts w:ascii="Times New Roman" w:hAnsi="Times New Roman" w:cs="Times New Roman"/>
          <w:b/>
          <w:szCs w:val="28"/>
        </w:rPr>
      </w:pPr>
      <w:bookmarkStart w:id="39" w:name="_Toc51165273"/>
      <w:r w:rsidRPr="00246032">
        <w:rPr>
          <w:rStyle w:val="Heading1Char"/>
          <w:rFonts w:ascii="Times New Roman" w:hAnsi="Times New Roman" w:cs="Times New Roman"/>
          <w:b/>
          <w:bCs/>
          <w:kern w:val="0"/>
          <w:szCs w:val="28"/>
        </w:rPr>
        <w:t>3</w:t>
      </w:r>
      <w:r w:rsidR="00EA1E18" w:rsidRPr="00246032">
        <w:rPr>
          <w:rStyle w:val="Heading1Char"/>
          <w:rFonts w:ascii="Times New Roman" w:hAnsi="Times New Roman" w:cs="Times New Roman"/>
          <w:b/>
          <w:bCs/>
          <w:kern w:val="0"/>
          <w:szCs w:val="28"/>
        </w:rPr>
        <w:t xml:space="preserve"> </w:t>
      </w:r>
      <w:r w:rsidRPr="00246032">
        <w:rPr>
          <w:rStyle w:val="Heading1Char"/>
          <w:rFonts w:ascii="Times New Roman" w:hAnsi="Times New Roman" w:cs="Times New Roman"/>
          <w:b/>
          <w:bCs/>
          <w:kern w:val="0"/>
          <w:szCs w:val="28"/>
        </w:rPr>
        <w:t>Objectives</w:t>
      </w:r>
      <w:bookmarkEnd w:id="36"/>
      <w:bookmarkEnd w:id="37"/>
      <w:bookmarkEnd w:id="38"/>
      <w:bookmarkEnd w:id="39"/>
      <w:r w:rsidRPr="00E67A4C">
        <w:rPr>
          <w:rStyle w:val="Heading1Char"/>
          <w:rFonts w:ascii="Times New Roman" w:hAnsi="Times New Roman" w:cs="Times New Roman"/>
          <w:b/>
          <w:szCs w:val="28"/>
        </w:rPr>
        <w:tab/>
      </w:r>
    </w:p>
    <w:p w14:paraId="00CC8F4A" w14:textId="3821E16A" w:rsidR="00E53F3B" w:rsidRPr="00AE68CF" w:rsidRDefault="00E53F3B" w:rsidP="00E53F3B">
      <w:pPr>
        <w:spacing w:after="40"/>
        <w:jc w:val="both"/>
        <w:rPr>
          <w:lang w:eastAsia="zh-CN" w:bidi="th-TH"/>
        </w:rPr>
      </w:pPr>
      <w:r w:rsidRPr="00AE68CF">
        <w:rPr>
          <w:lang w:eastAsia="zh-CN" w:bidi="th-TH"/>
        </w:rPr>
        <w:t>Section 2 outlines three concerns with menu labelling in Australia:</w:t>
      </w:r>
    </w:p>
    <w:p w14:paraId="42A1C873" w14:textId="77777777" w:rsidR="00E53F3B" w:rsidRPr="00AE68CF" w:rsidRDefault="00E53F3B" w:rsidP="00E53F3B">
      <w:pPr>
        <w:pStyle w:val="ListParagraph"/>
        <w:numPr>
          <w:ilvl w:val="0"/>
          <w:numId w:val="36"/>
        </w:numPr>
        <w:spacing w:after="40"/>
        <w:jc w:val="both"/>
        <w:rPr>
          <w:lang w:eastAsia="zh-CN" w:bidi="th-TH"/>
        </w:rPr>
      </w:pPr>
      <w:r w:rsidRPr="00AE68CF">
        <w:rPr>
          <w:lang w:eastAsia="zh-CN" w:bidi="th-TH"/>
        </w:rPr>
        <w:t>nationally inconsistent menu labelling legislation;</w:t>
      </w:r>
    </w:p>
    <w:p w14:paraId="5393B0F4" w14:textId="77777777" w:rsidR="00E53F3B" w:rsidRPr="00AE68CF" w:rsidRDefault="00E53F3B" w:rsidP="00E53F3B">
      <w:pPr>
        <w:pStyle w:val="ListParagraph"/>
        <w:numPr>
          <w:ilvl w:val="0"/>
          <w:numId w:val="36"/>
        </w:numPr>
        <w:spacing w:after="40"/>
        <w:jc w:val="both"/>
        <w:rPr>
          <w:lang w:eastAsia="zh-CN" w:bidi="th-TH"/>
        </w:rPr>
      </w:pPr>
      <w:r w:rsidRPr="00AE68CF">
        <w:rPr>
          <w:lang w:eastAsia="zh-CN" w:bidi="th-TH"/>
        </w:rPr>
        <w:t>an uneven playing field with respect to menu labelling for businesses selling standard food items; and</w:t>
      </w:r>
    </w:p>
    <w:p w14:paraId="63F86963" w14:textId="77777777" w:rsidR="00E53F3B" w:rsidRPr="00AE68CF" w:rsidRDefault="00E53F3B" w:rsidP="00E53F3B">
      <w:pPr>
        <w:pStyle w:val="ListParagraph"/>
        <w:numPr>
          <w:ilvl w:val="0"/>
          <w:numId w:val="36"/>
        </w:numPr>
        <w:spacing w:after="40"/>
        <w:jc w:val="both"/>
        <w:rPr>
          <w:lang w:eastAsia="zh-CN" w:bidi="th-TH"/>
        </w:rPr>
      </w:pPr>
      <w:r w:rsidRPr="00AE68CF">
        <w:rPr>
          <w:lang w:eastAsia="zh-CN" w:bidi="th-TH"/>
        </w:rPr>
        <w:t>emerging trends for promoting, offering, and selling standard food items are not addressed by the 2011 Principles.</w:t>
      </w:r>
    </w:p>
    <w:p w14:paraId="793EFF14" w14:textId="77777777" w:rsidR="00E53F3B" w:rsidRPr="00AE68CF" w:rsidRDefault="00E53F3B" w:rsidP="00AD1415">
      <w:pPr>
        <w:spacing w:after="40"/>
        <w:jc w:val="both"/>
        <w:rPr>
          <w:lang w:eastAsia="zh-CN" w:bidi="th-TH"/>
        </w:rPr>
      </w:pPr>
    </w:p>
    <w:p w14:paraId="57FF303E" w14:textId="4CD0AC8A" w:rsidR="00804C83" w:rsidRPr="00AE68CF" w:rsidRDefault="008965D8" w:rsidP="00AD1415">
      <w:pPr>
        <w:spacing w:after="40"/>
        <w:jc w:val="both"/>
        <w:rPr>
          <w:lang w:eastAsia="zh-CN" w:bidi="th-TH"/>
        </w:rPr>
      </w:pPr>
      <w:r w:rsidRPr="00AE68CF">
        <w:rPr>
          <w:lang w:eastAsia="zh-CN" w:bidi="th-TH"/>
        </w:rPr>
        <w:t>To address the</w:t>
      </w:r>
      <w:r w:rsidR="00E53F3B" w:rsidRPr="00AE68CF">
        <w:rPr>
          <w:lang w:eastAsia="zh-CN" w:bidi="th-TH"/>
        </w:rPr>
        <w:t>se</w:t>
      </w:r>
      <w:r w:rsidRPr="00AE68CF">
        <w:rPr>
          <w:lang w:eastAsia="zh-CN" w:bidi="th-TH"/>
        </w:rPr>
        <w:t xml:space="preserve"> </w:t>
      </w:r>
      <w:r w:rsidR="00E53F3B" w:rsidRPr="00AE68CF">
        <w:rPr>
          <w:lang w:eastAsia="zh-CN" w:bidi="th-TH"/>
        </w:rPr>
        <w:t>c</w:t>
      </w:r>
      <w:r w:rsidRPr="00AE68CF">
        <w:rPr>
          <w:lang w:eastAsia="zh-CN" w:bidi="th-TH"/>
        </w:rPr>
        <w:t>oncerns identified</w:t>
      </w:r>
      <w:r w:rsidR="00B02813" w:rsidRPr="00AE68CF">
        <w:rPr>
          <w:lang w:eastAsia="zh-CN" w:bidi="th-TH"/>
        </w:rPr>
        <w:t>, t</w:t>
      </w:r>
      <w:r w:rsidR="008442F3" w:rsidRPr="00AE68CF">
        <w:rPr>
          <w:lang w:eastAsia="zh-CN" w:bidi="th-TH"/>
        </w:rPr>
        <w:t xml:space="preserve">he </w:t>
      </w:r>
      <w:r w:rsidR="00371122" w:rsidRPr="00AE68CF">
        <w:rPr>
          <w:lang w:eastAsia="zh-CN" w:bidi="th-TH"/>
        </w:rPr>
        <w:t xml:space="preserve">objective of the </w:t>
      </w:r>
      <w:r w:rsidR="00DC05CE" w:rsidRPr="00AE68CF">
        <w:rPr>
          <w:lang w:eastAsia="zh-CN" w:bidi="th-TH"/>
        </w:rPr>
        <w:t>policy guidance</w:t>
      </w:r>
      <w:r w:rsidR="00804C83" w:rsidRPr="00AE68CF">
        <w:rPr>
          <w:lang w:eastAsia="zh-CN" w:bidi="th-TH"/>
        </w:rPr>
        <w:t xml:space="preserve"> and framework</w:t>
      </w:r>
      <w:r w:rsidR="00371122" w:rsidRPr="00AE68CF">
        <w:rPr>
          <w:lang w:eastAsia="zh-CN" w:bidi="th-TH"/>
        </w:rPr>
        <w:t xml:space="preserve"> is</w:t>
      </w:r>
      <w:r w:rsidR="00B7302C" w:rsidRPr="00AE68CF">
        <w:rPr>
          <w:lang w:eastAsia="zh-CN" w:bidi="th-TH"/>
        </w:rPr>
        <w:t xml:space="preserve"> to</w:t>
      </w:r>
      <w:r w:rsidR="009A02BA" w:rsidRPr="00AE68CF">
        <w:rPr>
          <w:lang w:eastAsia="zh-CN" w:bidi="th-TH"/>
        </w:rPr>
        <w:t xml:space="preserve"> ensure</w:t>
      </w:r>
      <w:r w:rsidR="0079405A" w:rsidRPr="00AE68CF">
        <w:rPr>
          <w:lang w:eastAsia="zh-CN" w:bidi="th-TH"/>
        </w:rPr>
        <w:t xml:space="preserve"> </w:t>
      </w:r>
      <w:r w:rsidR="003027E1" w:rsidRPr="00AE68CF">
        <w:rPr>
          <w:lang w:eastAsia="zh-CN" w:bidi="th-TH"/>
        </w:rPr>
        <w:t>any regulat</w:t>
      </w:r>
      <w:r w:rsidR="004B6DC0" w:rsidRPr="00AE68CF">
        <w:rPr>
          <w:lang w:eastAsia="zh-CN" w:bidi="th-TH"/>
        </w:rPr>
        <w:t xml:space="preserve">ory </w:t>
      </w:r>
      <w:r w:rsidR="00C56257" w:rsidRPr="00AE68CF">
        <w:rPr>
          <w:lang w:eastAsia="zh-CN" w:bidi="th-TH"/>
        </w:rPr>
        <w:t>o</w:t>
      </w:r>
      <w:r w:rsidR="009A3991" w:rsidRPr="00AE68CF">
        <w:rPr>
          <w:lang w:eastAsia="zh-CN" w:bidi="th-TH"/>
        </w:rPr>
        <w:t>r</w:t>
      </w:r>
      <w:r w:rsidR="00C56257" w:rsidRPr="00AE68CF">
        <w:rPr>
          <w:lang w:eastAsia="zh-CN" w:bidi="th-TH"/>
        </w:rPr>
        <w:t xml:space="preserve"> non-regulatory </w:t>
      </w:r>
      <w:r w:rsidR="004B6DC0" w:rsidRPr="00AE68CF">
        <w:rPr>
          <w:lang w:eastAsia="zh-CN" w:bidi="th-TH"/>
        </w:rPr>
        <w:t>measure</w:t>
      </w:r>
      <w:r w:rsidR="00C56257" w:rsidRPr="00AE68CF">
        <w:rPr>
          <w:lang w:eastAsia="zh-CN" w:bidi="th-TH"/>
        </w:rPr>
        <w:t>s</w:t>
      </w:r>
      <w:r w:rsidR="004B6DC0" w:rsidRPr="00AE68CF">
        <w:rPr>
          <w:lang w:eastAsia="zh-CN" w:bidi="th-TH"/>
        </w:rPr>
        <w:t xml:space="preserve"> developed</w:t>
      </w:r>
      <w:r w:rsidR="008D2601" w:rsidRPr="00AE68CF">
        <w:rPr>
          <w:lang w:eastAsia="zh-CN" w:bidi="th-TH"/>
        </w:rPr>
        <w:t xml:space="preserve"> for menu labelling</w:t>
      </w:r>
      <w:r w:rsidR="00641F9C" w:rsidRPr="00AE68CF">
        <w:rPr>
          <w:lang w:eastAsia="zh-CN" w:bidi="th-TH"/>
        </w:rPr>
        <w:t>:</w:t>
      </w:r>
    </w:p>
    <w:p w14:paraId="152DBA98" w14:textId="1089AC29" w:rsidR="002F6CC5" w:rsidRPr="00AE68CF" w:rsidRDefault="002E400C" w:rsidP="00F76FDC">
      <w:pPr>
        <w:pStyle w:val="ListParagraph"/>
        <w:numPr>
          <w:ilvl w:val="0"/>
          <w:numId w:val="3"/>
        </w:numPr>
        <w:spacing w:after="40"/>
        <w:jc w:val="both"/>
        <w:rPr>
          <w:lang w:eastAsia="zh-CN" w:bidi="th-TH"/>
        </w:rPr>
      </w:pPr>
      <w:r w:rsidRPr="00AE68CF">
        <w:rPr>
          <w:lang w:eastAsia="zh-CN" w:bidi="th-TH"/>
        </w:rPr>
        <w:t xml:space="preserve">minimise </w:t>
      </w:r>
      <w:r w:rsidR="00FA0B26" w:rsidRPr="00AE68CF">
        <w:rPr>
          <w:lang w:eastAsia="zh-CN" w:bidi="th-TH"/>
        </w:rPr>
        <w:t xml:space="preserve">the proliferation of different </w:t>
      </w:r>
      <w:r w:rsidR="008965D8" w:rsidRPr="00AE68CF">
        <w:rPr>
          <w:lang w:eastAsia="zh-CN" w:bidi="th-TH"/>
        </w:rPr>
        <w:t>menu labelling systems</w:t>
      </w:r>
      <w:r w:rsidR="002F6CC5" w:rsidRPr="00AE68CF">
        <w:rPr>
          <w:lang w:eastAsia="zh-CN" w:bidi="th-TH"/>
        </w:rPr>
        <w:t xml:space="preserve">; </w:t>
      </w:r>
    </w:p>
    <w:p w14:paraId="165C06B4" w14:textId="77777777" w:rsidR="002F6CC5" w:rsidRPr="00AE68CF" w:rsidRDefault="002F6CC5" w:rsidP="00F76FDC">
      <w:pPr>
        <w:pStyle w:val="ListParagraph"/>
        <w:numPr>
          <w:ilvl w:val="0"/>
          <w:numId w:val="3"/>
        </w:numPr>
        <w:spacing w:after="40"/>
        <w:jc w:val="both"/>
        <w:rPr>
          <w:lang w:eastAsia="zh-CN" w:bidi="th-TH"/>
        </w:rPr>
      </w:pPr>
      <w:r w:rsidRPr="00AE68CF">
        <w:rPr>
          <w:lang w:eastAsia="zh-CN" w:bidi="th-TH"/>
        </w:rPr>
        <w:t>create a level playing field (with respect to menu labelling) for all businesses that sell standard food items; and</w:t>
      </w:r>
    </w:p>
    <w:p w14:paraId="19B6FDB9" w14:textId="77777777" w:rsidR="006531D8" w:rsidRPr="00AE68CF" w:rsidRDefault="006531D8" w:rsidP="00F76FDC">
      <w:pPr>
        <w:pStyle w:val="ListParagraph"/>
        <w:numPr>
          <w:ilvl w:val="0"/>
          <w:numId w:val="3"/>
        </w:numPr>
        <w:spacing w:after="40"/>
        <w:jc w:val="both"/>
      </w:pPr>
      <w:r w:rsidRPr="00AE68CF">
        <w:rPr>
          <w:lang w:eastAsia="zh-CN" w:bidi="th-TH"/>
        </w:rPr>
        <w:t>ensure that different modes of sale and types of menus enable comparison of menu options to assist people to make healthier food purchase choices at the point-of-sale.</w:t>
      </w:r>
      <w:r w:rsidRPr="00AE68CF">
        <w:rPr>
          <w:rStyle w:val="FootnoteReference"/>
          <w:lang w:eastAsia="zh-CN" w:bidi="th-TH"/>
        </w:rPr>
        <w:footnoteReference w:id="49"/>
      </w:r>
    </w:p>
    <w:p w14:paraId="4A872D55" w14:textId="77777777" w:rsidR="00206AE1" w:rsidRPr="00E67A4C" w:rsidRDefault="00206AE1" w:rsidP="005F7DB5">
      <w:pPr>
        <w:pStyle w:val="ListParagraph"/>
        <w:spacing w:after="40"/>
        <w:jc w:val="both"/>
      </w:pPr>
    </w:p>
    <w:p w14:paraId="3EE2EF28" w14:textId="496D0C99" w:rsidR="007F0E57" w:rsidRPr="00E67A4C" w:rsidRDefault="00B542E6" w:rsidP="005F7DB5">
      <w:pPr>
        <w:pBdr>
          <w:top w:val="single" w:sz="4" w:space="1" w:color="auto"/>
          <w:left w:val="single" w:sz="4" w:space="4" w:color="auto"/>
          <w:bottom w:val="single" w:sz="4" w:space="1" w:color="auto"/>
          <w:right w:val="single" w:sz="4" w:space="4" w:color="auto"/>
        </w:pBdr>
        <w:spacing w:after="40"/>
        <w:jc w:val="both"/>
        <w:rPr>
          <w:rStyle w:val="Heading1Char"/>
          <w:rFonts w:ascii="Times New Roman" w:hAnsi="Times New Roman" w:cs="Times New Roman"/>
          <w:b w:val="0"/>
          <w:bCs w:val="0"/>
          <w:kern w:val="0"/>
          <w:sz w:val="24"/>
          <w:szCs w:val="24"/>
        </w:rPr>
      </w:pPr>
      <w:r w:rsidRPr="00E67A4C">
        <w:rPr>
          <w:b/>
        </w:rPr>
        <w:t xml:space="preserve">Consultation question </w:t>
      </w:r>
      <w:r w:rsidR="00134E1C" w:rsidRPr="00E67A4C">
        <w:rPr>
          <w:b/>
        </w:rPr>
        <w:t>1</w:t>
      </w:r>
      <w:r w:rsidR="00CE19EB" w:rsidRPr="00E67A4C">
        <w:rPr>
          <w:b/>
        </w:rPr>
        <w:t>4</w:t>
      </w:r>
      <w:r w:rsidRPr="00E67A4C">
        <w:rPr>
          <w:b/>
        </w:rPr>
        <w:t xml:space="preserve">: </w:t>
      </w:r>
      <w:r w:rsidRPr="00E67A4C">
        <w:t>Do you agree with the o</w:t>
      </w:r>
      <w:r w:rsidR="0079006B" w:rsidRPr="00E67A4C">
        <w:t>bjectives</w:t>
      </w:r>
      <w:r w:rsidR="007D5EEE" w:rsidRPr="00E67A4C">
        <w:t xml:space="preserve"> </w:t>
      </w:r>
      <w:r w:rsidRPr="00E67A4C">
        <w:t xml:space="preserve">proposed above? If not, please suggest alternate </w:t>
      </w:r>
      <w:r w:rsidR="00AD09F0" w:rsidRPr="00E67A4C">
        <w:t>o</w:t>
      </w:r>
      <w:r w:rsidR="007D5EEE" w:rsidRPr="00E67A4C">
        <w:t xml:space="preserve">bjectives </w:t>
      </w:r>
      <w:r w:rsidRPr="00E67A4C">
        <w:t>and</w:t>
      </w:r>
      <w:r w:rsidR="00C54CD7" w:rsidRPr="00E67A4C">
        <w:t xml:space="preserve"> provide your reasons</w:t>
      </w:r>
      <w:r w:rsidRPr="00E67A4C">
        <w:t xml:space="preserve">. </w:t>
      </w:r>
      <w:bookmarkStart w:id="40" w:name="_Toc426380825"/>
      <w:bookmarkStart w:id="41" w:name="_Toc426380890"/>
      <w:bookmarkStart w:id="42" w:name="_Toc426380921"/>
    </w:p>
    <w:p w14:paraId="78341239" w14:textId="5D4D3453" w:rsidR="0004125A" w:rsidRPr="00246032" w:rsidRDefault="0004125A" w:rsidP="00812051">
      <w:pPr>
        <w:pStyle w:val="Heading2"/>
        <w:rPr>
          <w:rStyle w:val="Heading1Char"/>
          <w:rFonts w:ascii="Times New Roman" w:hAnsi="Times New Roman" w:cs="Times New Roman"/>
          <w:b/>
          <w:bCs/>
          <w:kern w:val="0"/>
          <w:szCs w:val="28"/>
        </w:rPr>
      </w:pPr>
      <w:bookmarkStart w:id="43" w:name="_Toc51165274"/>
      <w:r w:rsidRPr="00246032">
        <w:rPr>
          <w:rStyle w:val="Heading1Char"/>
          <w:rFonts w:ascii="Times New Roman" w:hAnsi="Times New Roman" w:cs="Times New Roman"/>
          <w:b/>
          <w:bCs/>
          <w:kern w:val="0"/>
          <w:szCs w:val="28"/>
        </w:rPr>
        <w:t>4</w:t>
      </w:r>
      <w:r w:rsidR="00EA1E18" w:rsidRPr="00246032">
        <w:rPr>
          <w:rStyle w:val="Heading1Char"/>
          <w:rFonts w:ascii="Times New Roman" w:hAnsi="Times New Roman" w:cs="Times New Roman"/>
          <w:b/>
          <w:bCs/>
          <w:kern w:val="0"/>
          <w:szCs w:val="28"/>
        </w:rPr>
        <w:t xml:space="preserve"> </w:t>
      </w:r>
      <w:r w:rsidRPr="00246032">
        <w:rPr>
          <w:rStyle w:val="Heading1Char"/>
          <w:rFonts w:ascii="Times New Roman" w:hAnsi="Times New Roman" w:cs="Times New Roman"/>
          <w:b/>
          <w:bCs/>
          <w:kern w:val="0"/>
          <w:szCs w:val="28"/>
        </w:rPr>
        <w:t>Options</w:t>
      </w:r>
      <w:bookmarkEnd w:id="40"/>
      <w:bookmarkEnd w:id="41"/>
      <w:bookmarkEnd w:id="42"/>
      <w:bookmarkEnd w:id="43"/>
    </w:p>
    <w:p w14:paraId="56C14EFC" w14:textId="0DCBBDBC" w:rsidR="00275974" w:rsidRPr="00E67A4C" w:rsidRDefault="000D7D65" w:rsidP="001B4765">
      <w:pPr>
        <w:pStyle w:val="ListParagraph"/>
        <w:tabs>
          <w:tab w:val="left" w:pos="8295"/>
        </w:tabs>
        <w:spacing w:after="40"/>
        <w:ind w:left="0"/>
        <w:jc w:val="both"/>
        <w:rPr>
          <w:lang w:eastAsia="zh-CN" w:bidi="th-TH"/>
        </w:rPr>
      </w:pPr>
      <w:r w:rsidRPr="00910441">
        <w:t>O</w:t>
      </w:r>
      <w:r w:rsidR="00F92999" w:rsidRPr="00910441">
        <w:t>ption</w:t>
      </w:r>
      <w:r w:rsidR="00A960DE" w:rsidRPr="00910441">
        <w:t>s</w:t>
      </w:r>
      <w:r w:rsidR="00F92999" w:rsidRPr="00910441">
        <w:t xml:space="preserve"> to </w:t>
      </w:r>
      <w:r w:rsidR="0083176E" w:rsidRPr="00910441">
        <w:t xml:space="preserve">address </w:t>
      </w:r>
      <w:r w:rsidR="00F92999" w:rsidRPr="00910441">
        <w:t xml:space="preserve">the </w:t>
      </w:r>
      <w:r w:rsidR="0083176E" w:rsidRPr="00910441">
        <w:t>problem and</w:t>
      </w:r>
      <w:r w:rsidR="00A960DE" w:rsidRPr="00910441">
        <w:t xml:space="preserve"> </w:t>
      </w:r>
      <w:r w:rsidR="00F92999" w:rsidRPr="00910441">
        <w:t xml:space="preserve">achieve the </w:t>
      </w:r>
      <w:r w:rsidR="00965C91" w:rsidRPr="00910441">
        <w:t xml:space="preserve">three </w:t>
      </w:r>
      <w:r w:rsidR="00A960DE" w:rsidRPr="00910441">
        <w:t>objectives</w:t>
      </w:r>
      <w:r w:rsidR="001A3F7A" w:rsidRPr="00910441">
        <w:t xml:space="preserve"> have been identified</w:t>
      </w:r>
      <w:r w:rsidR="001D09EE" w:rsidRPr="00910441">
        <w:t>.</w:t>
      </w:r>
      <w:r w:rsidRPr="00910441">
        <w:t xml:space="preserve"> </w:t>
      </w:r>
      <w:r w:rsidR="004A045E" w:rsidRPr="00910441">
        <w:t xml:space="preserve">To </w:t>
      </w:r>
      <w:r w:rsidR="00910441">
        <w:t>mini</w:t>
      </w:r>
      <w:r w:rsidR="006E3B7E">
        <w:t>mise</w:t>
      </w:r>
      <w:r w:rsidR="00E53F3B" w:rsidRPr="00910441">
        <w:t xml:space="preserve"> the proliferation of different menu labelling systems (and therefore reduce costs and regulatory burden)</w:t>
      </w:r>
      <w:r w:rsidR="00961ED5" w:rsidRPr="00910441">
        <w:rPr>
          <w:lang w:eastAsia="zh-CN" w:bidi="th-TH"/>
        </w:rPr>
        <w:t xml:space="preserve">, </w:t>
      </w:r>
      <w:r w:rsidR="003E721C" w:rsidRPr="00910441">
        <w:rPr>
          <w:lang w:eastAsia="zh-CN" w:bidi="th-TH"/>
        </w:rPr>
        <w:t>alternative approaches to the status quo are</w:t>
      </w:r>
      <w:r w:rsidR="007C727B" w:rsidRPr="00910441">
        <w:rPr>
          <w:lang w:eastAsia="zh-CN" w:bidi="th-TH"/>
        </w:rPr>
        <w:t xml:space="preserve"> to</w:t>
      </w:r>
      <w:r w:rsidR="00B611E0" w:rsidRPr="00910441">
        <w:rPr>
          <w:lang w:eastAsia="zh-CN" w:bidi="th-TH"/>
        </w:rPr>
        <w:t xml:space="preserve"> mandate menu labelling </w:t>
      </w:r>
      <w:r w:rsidR="008F55E5" w:rsidRPr="00910441">
        <w:rPr>
          <w:lang w:eastAsia="zh-CN" w:bidi="th-TH"/>
        </w:rPr>
        <w:t xml:space="preserve">in </w:t>
      </w:r>
      <w:r w:rsidR="008F55E5" w:rsidRPr="00910441">
        <w:rPr>
          <w:lang w:eastAsia="zh-CN" w:bidi="th-TH"/>
        </w:rPr>
        <w:lastRenderedPageBreak/>
        <w:t>the Food Standards Code</w:t>
      </w:r>
      <w:r w:rsidR="00855332" w:rsidRPr="00910441">
        <w:rPr>
          <w:lang w:eastAsia="zh-CN" w:bidi="th-TH"/>
        </w:rPr>
        <w:t xml:space="preserve"> or to</w:t>
      </w:r>
      <w:r w:rsidR="008F55E5" w:rsidRPr="00910441">
        <w:rPr>
          <w:lang w:eastAsia="zh-CN" w:bidi="th-TH"/>
        </w:rPr>
        <w:t xml:space="preserve"> </w:t>
      </w:r>
      <w:r w:rsidR="00783DEC" w:rsidRPr="00910441">
        <w:rPr>
          <w:lang w:eastAsia="zh-CN" w:bidi="th-TH"/>
        </w:rPr>
        <w:t>e</w:t>
      </w:r>
      <w:r w:rsidR="00BC53E3" w:rsidRPr="00910441">
        <w:rPr>
          <w:lang w:eastAsia="zh-CN" w:bidi="th-TH"/>
        </w:rPr>
        <w:t>ncourage all jurisdictions to consistent</w:t>
      </w:r>
      <w:r w:rsidR="00841E21" w:rsidRPr="00910441">
        <w:rPr>
          <w:lang w:eastAsia="zh-CN" w:bidi="th-TH"/>
        </w:rPr>
        <w:t>ly implement menu labelling</w:t>
      </w:r>
      <w:r w:rsidR="001B4765" w:rsidRPr="00910441">
        <w:rPr>
          <w:lang w:eastAsia="zh-CN" w:bidi="th-TH"/>
        </w:rPr>
        <w:t xml:space="preserve"> in a uniformly and timely manner</w:t>
      </w:r>
      <w:r w:rsidR="0077451B" w:rsidRPr="00910441">
        <w:rPr>
          <w:lang w:eastAsia="zh-CN" w:bidi="th-TH"/>
        </w:rPr>
        <w:t>.</w:t>
      </w:r>
    </w:p>
    <w:p w14:paraId="538607CC" w14:textId="77777777" w:rsidR="001B4765" w:rsidRPr="00E67A4C" w:rsidRDefault="001B4765" w:rsidP="002C451F">
      <w:pPr>
        <w:pStyle w:val="ListParagraph"/>
        <w:tabs>
          <w:tab w:val="left" w:pos="8295"/>
        </w:tabs>
        <w:spacing w:after="40"/>
        <w:ind w:left="0"/>
        <w:jc w:val="both"/>
        <w:rPr>
          <w:lang w:eastAsia="zh-CN" w:bidi="th-TH"/>
        </w:rPr>
      </w:pPr>
    </w:p>
    <w:p w14:paraId="6270AD21" w14:textId="79CF5BDE" w:rsidR="00117102" w:rsidRPr="00E67A4C" w:rsidRDefault="001F1466" w:rsidP="001F1466">
      <w:pPr>
        <w:spacing w:after="40"/>
        <w:jc w:val="both"/>
        <w:rPr>
          <w:lang w:eastAsia="zh-CN" w:bidi="th-TH"/>
        </w:rPr>
      </w:pPr>
      <w:r w:rsidRPr="00E67A4C">
        <w:rPr>
          <w:lang w:eastAsia="zh-CN" w:bidi="th-TH"/>
        </w:rPr>
        <w:t>To create a level playing field for all businesses that sell standard food items</w:t>
      </w:r>
      <w:r w:rsidR="00B0139D" w:rsidRPr="00E67A4C">
        <w:rPr>
          <w:lang w:eastAsia="zh-CN" w:bidi="th-TH"/>
        </w:rPr>
        <w:t>,</w:t>
      </w:r>
      <w:r w:rsidR="00162837" w:rsidRPr="00E67A4C">
        <w:rPr>
          <w:lang w:eastAsia="zh-CN" w:bidi="th-TH"/>
        </w:rPr>
        <w:t xml:space="preserve"> </w:t>
      </w:r>
      <w:r w:rsidR="00D110E0" w:rsidRPr="00E67A4C">
        <w:rPr>
          <w:lang w:eastAsia="zh-CN" w:bidi="th-TH"/>
        </w:rPr>
        <w:t xml:space="preserve">jurisdictions </w:t>
      </w:r>
      <w:r w:rsidR="00B0139D" w:rsidRPr="00E67A4C">
        <w:rPr>
          <w:lang w:eastAsia="zh-CN" w:bidi="th-TH"/>
        </w:rPr>
        <w:t xml:space="preserve">could either </w:t>
      </w:r>
      <w:r w:rsidR="00D110E0" w:rsidRPr="00E67A4C">
        <w:rPr>
          <w:lang w:eastAsia="zh-CN" w:bidi="th-TH"/>
        </w:rPr>
        <w:t xml:space="preserve">continue to </w:t>
      </w:r>
      <w:r w:rsidR="00162837" w:rsidRPr="00E67A4C">
        <w:rPr>
          <w:lang w:eastAsia="zh-CN" w:bidi="th-TH"/>
        </w:rPr>
        <w:t>exempt specific businesses (as per the status quo)</w:t>
      </w:r>
      <w:r w:rsidR="00E37366" w:rsidRPr="00E67A4C">
        <w:rPr>
          <w:lang w:eastAsia="zh-CN" w:bidi="th-TH"/>
        </w:rPr>
        <w:t xml:space="preserve"> </w:t>
      </w:r>
      <w:r w:rsidR="00B0139D" w:rsidRPr="00E67A4C">
        <w:rPr>
          <w:lang w:eastAsia="zh-CN" w:bidi="th-TH"/>
        </w:rPr>
        <w:t>or remove a</w:t>
      </w:r>
      <w:r w:rsidR="00E37366" w:rsidRPr="00E67A4C">
        <w:rPr>
          <w:lang w:eastAsia="zh-CN" w:bidi="th-TH"/>
        </w:rPr>
        <w:t xml:space="preserve">ll or some exemptions. Alternatively, all businesses </w:t>
      </w:r>
      <w:r w:rsidR="000E6529" w:rsidRPr="00E67A4C">
        <w:rPr>
          <w:lang w:eastAsia="zh-CN" w:bidi="th-TH"/>
        </w:rPr>
        <w:t xml:space="preserve">that meet the definition of a standard food outlet </w:t>
      </w:r>
      <w:r w:rsidR="00E37366" w:rsidRPr="00E67A4C">
        <w:rPr>
          <w:lang w:eastAsia="zh-CN" w:bidi="th-TH"/>
        </w:rPr>
        <w:t>could be mandated</w:t>
      </w:r>
      <w:r w:rsidR="000E6529" w:rsidRPr="00E67A4C">
        <w:rPr>
          <w:lang w:eastAsia="zh-CN" w:bidi="th-TH"/>
        </w:rPr>
        <w:t xml:space="preserve"> to implement menu labelling</w:t>
      </w:r>
      <w:r w:rsidR="005A2C66" w:rsidRPr="00E67A4C">
        <w:rPr>
          <w:lang w:eastAsia="zh-CN" w:bidi="th-TH"/>
        </w:rPr>
        <w:t>.</w:t>
      </w:r>
      <w:r w:rsidR="004526B4" w:rsidRPr="00E67A4C">
        <w:rPr>
          <w:lang w:eastAsia="zh-CN" w:bidi="th-TH"/>
        </w:rPr>
        <w:t xml:space="preserve"> </w:t>
      </w:r>
      <w:r w:rsidR="00625C78" w:rsidRPr="00E67A4C">
        <w:rPr>
          <w:lang w:eastAsia="zh-CN" w:bidi="th-TH"/>
        </w:rPr>
        <w:t>Businesses that are not required to implement menu labelling</w:t>
      </w:r>
      <w:r w:rsidR="006B4D00" w:rsidRPr="00E67A4C">
        <w:rPr>
          <w:lang w:eastAsia="zh-CN" w:bidi="th-TH"/>
        </w:rPr>
        <w:t xml:space="preserve"> could voluntarily do so (as per the status quo)</w:t>
      </w:r>
      <w:r w:rsidR="000E6529" w:rsidRPr="00E67A4C">
        <w:rPr>
          <w:lang w:eastAsia="zh-CN" w:bidi="th-TH"/>
        </w:rPr>
        <w:t>.</w:t>
      </w:r>
    </w:p>
    <w:p w14:paraId="24602EE2" w14:textId="77777777" w:rsidR="00117102" w:rsidRPr="00E67A4C" w:rsidRDefault="00117102" w:rsidP="001F1466">
      <w:pPr>
        <w:spacing w:after="40"/>
        <w:jc w:val="both"/>
        <w:rPr>
          <w:lang w:eastAsia="zh-CN" w:bidi="th-TH"/>
        </w:rPr>
      </w:pPr>
    </w:p>
    <w:p w14:paraId="32F26D6C" w14:textId="5F440FDA" w:rsidR="00560EB8" w:rsidRPr="00E67A4C" w:rsidRDefault="00FB2C67" w:rsidP="00275974">
      <w:pPr>
        <w:spacing w:after="40"/>
        <w:jc w:val="both"/>
        <w:rPr>
          <w:lang w:eastAsia="zh-CN" w:bidi="th-TH"/>
        </w:rPr>
      </w:pPr>
      <w:r w:rsidRPr="00E67A4C">
        <w:rPr>
          <w:lang w:eastAsia="zh-CN" w:bidi="th-TH"/>
        </w:rPr>
        <w:t xml:space="preserve">Supporting people to make healthier food purchases choices at the point-of-sale requires </w:t>
      </w:r>
      <w:r w:rsidR="00155628" w:rsidRPr="00E67A4C">
        <w:rPr>
          <w:lang w:eastAsia="zh-CN" w:bidi="th-TH"/>
        </w:rPr>
        <w:t xml:space="preserve">all modes of sale and types of menus to enable comparison of menu options. Approaches to </w:t>
      </w:r>
      <w:r w:rsidR="00431758" w:rsidRPr="00E67A4C">
        <w:rPr>
          <w:lang w:eastAsia="zh-CN" w:bidi="th-TH"/>
        </w:rPr>
        <w:t>address</w:t>
      </w:r>
      <w:r w:rsidR="00155628" w:rsidRPr="00E67A4C">
        <w:rPr>
          <w:lang w:eastAsia="zh-CN" w:bidi="th-TH"/>
        </w:rPr>
        <w:t xml:space="preserve"> this </w:t>
      </w:r>
      <w:r w:rsidR="008745CB" w:rsidRPr="00E67A4C">
        <w:rPr>
          <w:lang w:eastAsia="zh-CN" w:bidi="th-TH"/>
        </w:rPr>
        <w:t xml:space="preserve">are to </w:t>
      </w:r>
      <w:r w:rsidR="00431758" w:rsidRPr="00E67A4C">
        <w:rPr>
          <w:lang w:eastAsia="zh-CN" w:bidi="th-TH"/>
        </w:rPr>
        <w:t xml:space="preserve">maintain the </w:t>
      </w:r>
      <w:r w:rsidR="008766A3" w:rsidRPr="00E67A4C">
        <w:rPr>
          <w:lang w:eastAsia="zh-CN" w:bidi="th-TH"/>
        </w:rPr>
        <w:t>current policy guidance on what constitutes a menu</w:t>
      </w:r>
      <w:r w:rsidR="008745CB" w:rsidRPr="00E67A4C">
        <w:rPr>
          <w:lang w:eastAsia="zh-CN" w:bidi="th-TH"/>
        </w:rPr>
        <w:t xml:space="preserve">, </w:t>
      </w:r>
      <w:r w:rsidR="0035058F" w:rsidRPr="00E67A4C">
        <w:rPr>
          <w:lang w:eastAsia="zh-CN" w:bidi="th-TH"/>
        </w:rPr>
        <w:t xml:space="preserve">broaden the definitions of </w:t>
      </w:r>
      <w:r w:rsidR="007E2EFA" w:rsidRPr="00E67A4C">
        <w:rPr>
          <w:lang w:eastAsia="zh-CN" w:bidi="th-TH"/>
        </w:rPr>
        <w:t>menu and point-of-sale/modes of sale</w:t>
      </w:r>
      <w:r w:rsidR="00173EA3" w:rsidRPr="00E67A4C">
        <w:rPr>
          <w:lang w:eastAsia="zh-CN" w:bidi="th-TH"/>
        </w:rPr>
        <w:t xml:space="preserve"> to capture more ways of </w:t>
      </w:r>
      <w:r w:rsidR="005F0C9A" w:rsidRPr="00E67A4C">
        <w:rPr>
          <w:lang w:eastAsia="zh-CN" w:bidi="th-TH"/>
        </w:rPr>
        <w:t xml:space="preserve">promoting, </w:t>
      </w:r>
      <w:r w:rsidR="008766A3" w:rsidRPr="00E67A4C">
        <w:rPr>
          <w:lang w:eastAsia="zh-CN" w:bidi="th-TH"/>
        </w:rPr>
        <w:t>offering,</w:t>
      </w:r>
      <w:r w:rsidR="005F0C9A" w:rsidRPr="00E67A4C">
        <w:rPr>
          <w:lang w:eastAsia="zh-CN" w:bidi="th-TH"/>
        </w:rPr>
        <w:t xml:space="preserve"> and selling standard food items</w:t>
      </w:r>
      <w:r w:rsidR="00721099" w:rsidRPr="00E67A4C">
        <w:rPr>
          <w:lang w:eastAsia="zh-CN" w:bidi="th-TH"/>
        </w:rPr>
        <w:t>,</w:t>
      </w:r>
      <w:r w:rsidR="008766A3" w:rsidRPr="00E67A4C">
        <w:rPr>
          <w:lang w:eastAsia="zh-CN" w:bidi="th-TH"/>
        </w:rPr>
        <w:t xml:space="preserve"> </w:t>
      </w:r>
      <w:r w:rsidR="00173EA3" w:rsidRPr="00E67A4C">
        <w:rPr>
          <w:lang w:eastAsia="zh-CN" w:bidi="th-TH"/>
        </w:rPr>
        <w:t>or</w:t>
      </w:r>
      <w:r w:rsidR="00721099" w:rsidRPr="00E67A4C">
        <w:rPr>
          <w:lang w:eastAsia="zh-CN" w:bidi="th-TH"/>
        </w:rPr>
        <w:t xml:space="preserve"> </w:t>
      </w:r>
      <w:r w:rsidR="007F6E1A" w:rsidRPr="00E67A4C">
        <w:rPr>
          <w:lang w:eastAsia="zh-CN" w:bidi="th-TH"/>
        </w:rPr>
        <w:t xml:space="preserve">allow </w:t>
      </w:r>
      <w:r w:rsidR="00DF53EC" w:rsidRPr="00E67A4C">
        <w:rPr>
          <w:lang w:eastAsia="zh-CN" w:bidi="th-TH"/>
        </w:rPr>
        <w:t xml:space="preserve">industry </w:t>
      </w:r>
      <w:r w:rsidR="007F6E1A" w:rsidRPr="00E67A4C">
        <w:rPr>
          <w:lang w:eastAsia="zh-CN" w:bidi="th-TH"/>
        </w:rPr>
        <w:t>interpretation</w:t>
      </w:r>
      <w:r w:rsidR="00080C23" w:rsidRPr="00E67A4C">
        <w:rPr>
          <w:lang w:eastAsia="zh-CN" w:bidi="th-TH"/>
        </w:rPr>
        <w:t xml:space="preserve"> of </w:t>
      </w:r>
      <w:r w:rsidR="00721099" w:rsidRPr="00E67A4C">
        <w:rPr>
          <w:lang w:eastAsia="zh-CN" w:bidi="th-TH"/>
        </w:rPr>
        <w:t xml:space="preserve">a </w:t>
      </w:r>
      <w:r w:rsidR="00080C23" w:rsidRPr="00E67A4C">
        <w:rPr>
          <w:lang w:eastAsia="zh-CN" w:bidi="th-TH"/>
        </w:rPr>
        <w:t xml:space="preserve">menu and the sale of food to </w:t>
      </w:r>
      <w:r w:rsidR="00DF53EC" w:rsidRPr="00E67A4C">
        <w:rPr>
          <w:lang w:eastAsia="zh-CN" w:bidi="th-TH"/>
        </w:rPr>
        <w:t>capture future trends.</w:t>
      </w:r>
      <w:r w:rsidR="007F6E1A" w:rsidRPr="00E67A4C">
        <w:rPr>
          <w:lang w:eastAsia="zh-CN" w:bidi="th-TH"/>
        </w:rPr>
        <w:t xml:space="preserve"> </w:t>
      </w:r>
      <w:r w:rsidR="00683F5A" w:rsidRPr="00E67A4C">
        <w:rPr>
          <w:lang w:eastAsia="zh-CN" w:bidi="th-TH"/>
        </w:rPr>
        <w:t xml:space="preserve">Complementary </w:t>
      </w:r>
      <w:r w:rsidR="00965C91" w:rsidRPr="00E67A4C">
        <w:rPr>
          <w:lang w:eastAsia="zh-CN" w:bidi="th-TH"/>
        </w:rPr>
        <w:t>consumer education and promotional strategies would further support people to make healthier choices.</w:t>
      </w:r>
    </w:p>
    <w:p w14:paraId="13DE8657" w14:textId="77777777" w:rsidR="00DF53EC" w:rsidRPr="00E67A4C" w:rsidRDefault="00DF53EC" w:rsidP="00275974">
      <w:pPr>
        <w:spacing w:after="40"/>
        <w:jc w:val="both"/>
        <w:rPr>
          <w:lang w:eastAsia="zh-CN" w:bidi="th-TH"/>
        </w:rPr>
      </w:pPr>
    </w:p>
    <w:p w14:paraId="4C7901D6" w14:textId="52B88A1A" w:rsidR="00365750" w:rsidRPr="00E67A4C" w:rsidRDefault="00AB15A2" w:rsidP="002C451F">
      <w:pPr>
        <w:spacing w:after="40"/>
        <w:jc w:val="both"/>
        <w:rPr>
          <w:lang w:eastAsia="zh-CN" w:bidi="th-TH"/>
        </w:rPr>
      </w:pPr>
      <w:r w:rsidRPr="00E67A4C">
        <w:rPr>
          <w:lang w:eastAsia="zh-CN" w:bidi="th-TH"/>
        </w:rPr>
        <w:t>Th</w:t>
      </w:r>
      <w:r w:rsidR="00FC4502" w:rsidRPr="00E67A4C">
        <w:rPr>
          <w:lang w:eastAsia="zh-CN" w:bidi="th-TH"/>
        </w:rPr>
        <w:t xml:space="preserve">ese approaches </w:t>
      </w:r>
      <w:r w:rsidR="00965C91" w:rsidRPr="00E67A4C">
        <w:rPr>
          <w:lang w:eastAsia="zh-CN" w:bidi="th-TH"/>
        </w:rPr>
        <w:t xml:space="preserve">to addressing the three objectives </w:t>
      </w:r>
      <w:r w:rsidR="00FC4502" w:rsidRPr="00E67A4C">
        <w:rPr>
          <w:lang w:eastAsia="zh-CN" w:bidi="th-TH"/>
        </w:rPr>
        <w:t>have</w:t>
      </w:r>
      <w:r w:rsidRPr="00E67A4C">
        <w:rPr>
          <w:lang w:eastAsia="zh-CN" w:bidi="th-TH"/>
        </w:rPr>
        <w:t xml:space="preserve"> been translated into </w:t>
      </w:r>
      <w:r w:rsidR="006B4D00" w:rsidRPr="00E67A4C">
        <w:rPr>
          <w:lang w:eastAsia="zh-CN" w:bidi="th-TH"/>
        </w:rPr>
        <w:t xml:space="preserve">four </w:t>
      </w:r>
      <w:r w:rsidRPr="00E67A4C">
        <w:rPr>
          <w:lang w:eastAsia="zh-CN" w:bidi="th-TH"/>
        </w:rPr>
        <w:t>options:</w:t>
      </w:r>
    </w:p>
    <w:p w14:paraId="1926DECB" w14:textId="3C2EECFE" w:rsidR="00370152" w:rsidRPr="00E67A4C" w:rsidRDefault="00370152" w:rsidP="00F76FDC">
      <w:pPr>
        <w:pStyle w:val="ListParagraph"/>
        <w:numPr>
          <w:ilvl w:val="0"/>
          <w:numId w:val="12"/>
        </w:numPr>
        <w:spacing w:after="40"/>
        <w:contextualSpacing w:val="0"/>
        <w:jc w:val="both"/>
        <w:rPr>
          <w:i/>
        </w:rPr>
      </w:pPr>
      <w:r w:rsidRPr="00E67A4C">
        <w:rPr>
          <w:i/>
        </w:rPr>
        <w:t xml:space="preserve">Option 1: Maintain the status quo, </w:t>
      </w:r>
      <w:r w:rsidR="0032520E" w:rsidRPr="00E67A4C">
        <w:rPr>
          <w:i/>
        </w:rPr>
        <w:t>allowing</w:t>
      </w:r>
      <w:r w:rsidRPr="00E67A4C">
        <w:rPr>
          <w:i/>
        </w:rPr>
        <w:t xml:space="preserve"> jurisdictions </w:t>
      </w:r>
      <w:r w:rsidR="0032520E" w:rsidRPr="00E67A4C">
        <w:rPr>
          <w:i/>
        </w:rPr>
        <w:t>to</w:t>
      </w:r>
      <w:r w:rsidRPr="00E67A4C">
        <w:rPr>
          <w:i/>
        </w:rPr>
        <w:t xml:space="preserve"> choose </w:t>
      </w:r>
      <w:r w:rsidR="0032520E" w:rsidRPr="00E67A4C">
        <w:rPr>
          <w:i/>
        </w:rPr>
        <w:t>how to</w:t>
      </w:r>
      <w:r w:rsidRPr="00E67A4C">
        <w:rPr>
          <w:i/>
        </w:rPr>
        <w:t xml:space="preserve"> implement menu labelling consistent with the 2011 Principles.</w:t>
      </w:r>
    </w:p>
    <w:p w14:paraId="5595FE76" w14:textId="52A99519" w:rsidR="006B4D00" w:rsidRPr="00E67A4C" w:rsidRDefault="006B4D00" w:rsidP="006B4D00">
      <w:pPr>
        <w:pStyle w:val="ListParagraph"/>
        <w:numPr>
          <w:ilvl w:val="0"/>
          <w:numId w:val="12"/>
        </w:numPr>
        <w:spacing w:after="40"/>
        <w:contextualSpacing w:val="0"/>
        <w:jc w:val="both"/>
        <w:rPr>
          <w:i/>
        </w:rPr>
      </w:pPr>
      <w:r w:rsidRPr="00E67A4C">
        <w:rPr>
          <w:i/>
        </w:rPr>
        <w:t xml:space="preserve">Option 2: </w:t>
      </w:r>
      <w:r w:rsidRPr="00E67A4C">
        <w:rPr>
          <w:rFonts w:eastAsia="Calibri"/>
          <w:i/>
          <w:lang w:eastAsia="en-GB"/>
        </w:rPr>
        <w:t>Amend the 2011 Principles and encourage all jurisdictions to consistently implement menu labelling schemes in their own legislation.</w:t>
      </w:r>
      <w:r w:rsidRPr="00E67A4C">
        <w:rPr>
          <w:rFonts w:eastAsia="Calibri"/>
          <w:lang w:eastAsia="en-GB"/>
        </w:rPr>
        <w:t xml:space="preserve"> </w:t>
      </w:r>
    </w:p>
    <w:p w14:paraId="033DE299" w14:textId="07711481" w:rsidR="00370152" w:rsidRPr="00E67A4C" w:rsidRDefault="00370152" w:rsidP="00F76FDC">
      <w:pPr>
        <w:pStyle w:val="ListParagraph"/>
        <w:numPr>
          <w:ilvl w:val="0"/>
          <w:numId w:val="12"/>
        </w:numPr>
        <w:spacing w:after="40"/>
        <w:contextualSpacing w:val="0"/>
        <w:jc w:val="both"/>
        <w:rPr>
          <w:i/>
        </w:rPr>
      </w:pPr>
      <w:r w:rsidRPr="00E67A4C">
        <w:rPr>
          <w:i/>
        </w:rPr>
        <w:t>Option</w:t>
      </w:r>
      <w:r w:rsidR="006B4D00" w:rsidRPr="00E67A4C">
        <w:rPr>
          <w:i/>
        </w:rPr>
        <w:t xml:space="preserve"> 3</w:t>
      </w:r>
      <w:r w:rsidRPr="00E67A4C">
        <w:rPr>
          <w:i/>
        </w:rPr>
        <w:t>: Develop a Ministerial Policy Guideline for menu labelling to inform the development of a proposed bi-national food regulatory measure in the Food Standards Code</w:t>
      </w:r>
      <w:r w:rsidR="007E08F3" w:rsidRPr="00E67A4C">
        <w:rPr>
          <w:i/>
        </w:rPr>
        <w:t xml:space="preserve"> (jurisdictions to repeal own legislation once regulatory measure developed).</w:t>
      </w:r>
    </w:p>
    <w:p w14:paraId="3AE3D0F9" w14:textId="19F5E4F2" w:rsidR="006B4D00" w:rsidRDefault="00370152" w:rsidP="006B4D00">
      <w:pPr>
        <w:pStyle w:val="ListParagraph"/>
        <w:numPr>
          <w:ilvl w:val="0"/>
          <w:numId w:val="12"/>
        </w:numPr>
        <w:spacing w:after="40"/>
        <w:contextualSpacing w:val="0"/>
        <w:jc w:val="both"/>
        <w:rPr>
          <w:i/>
        </w:rPr>
      </w:pPr>
      <w:r w:rsidRPr="00E67A4C">
        <w:rPr>
          <w:i/>
        </w:rPr>
        <w:t>Option 4:</w:t>
      </w:r>
      <w:r w:rsidR="006B4D00" w:rsidRPr="00E67A4C">
        <w:rPr>
          <w:i/>
        </w:rPr>
        <w:t xml:space="preserve"> Encourage industry to voluntarily implement enhancements to menu labelling.</w:t>
      </w:r>
    </w:p>
    <w:p w14:paraId="095CCB2B" w14:textId="77777777" w:rsidR="00B02813" w:rsidRPr="00812051" w:rsidRDefault="00B02813" w:rsidP="00812051">
      <w:pPr>
        <w:spacing w:after="40"/>
        <w:jc w:val="both"/>
        <w:rPr>
          <w:lang w:eastAsia="zh-CN" w:bidi="th-TH"/>
        </w:rPr>
      </w:pPr>
    </w:p>
    <w:p w14:paraId="4245609C" w14:textId="29C9E705" w:rsidR="0004125A" w:rsidRPr="00E67A4C" w:rsidRDefault="007C77C7" w:rsidP="00246032">
      <w:pPr>
        <w:pStyle w:val="Heading3"/>
      </w:pPr>
      <w:bookmarkStart w:id="44" w:name="_Toc426380826"/>
      <w:bookmarkStart w:id="45" w:name="_Toc426380891"/>
      <w:bookmarkStart w:id="46" w:name="_Toc426380922"/>
      <w:bookmarkStart w:id="47" w:name="_Toc51165275"/>
      <w:r w:rsidRPr="00E67A4C">
        <w:t xml:space="preserve">4.1 </w:t>
      </w:r>
      <w:r w:rsidR="0004125A" w:rsidRPr="00E67A4C">
        <w:t xml:space="preserve">Option 1 </w:t>
      </w:r>
      <w:bookmarkEnd w:id="44"/>
      <w:bookmarkEnd w:id="45"/>
      <w:bookmarkEnd w:id="46"/>
      <w:bookmarkEnd w:id="47"/>
    </w:p>
    <w:p w14:paraId="2A89AC78" w14:textId="18946C6D" w:rsidR="00DE7BB7" w:rsidRPr="00E67A4C" w:rsidRDefault="00622357" w:rsidP="00DE7BB7">
      <w:pPr>
        <w:spacing w:after="40"/>
        <w:jc w:val="both"/>
      </w:pPr>
      <w:r w:rsidRPr="00E67A4C">
        <w:t xml:space="preserve">Under Option 1, </w:t>
      </w:r>
      <w:r w:rsidR="00403DD4" w:rsidRPr="00E67A4C">
        <w:t>t</w:t>
      </w:r>
      <w:r w:rsidR="00120266" w:rsidRPr="00E67A4C">
        <w:t xml:space="preserve">he 2011 </w:t>
      </w:r>
      <w:r w:rsidR="00120266" w:rsidRPr="00E67A4C">
        <w:rPr>
          <w:lang w:eastAsia="zh-CN" w:bidi="th-TH"/>
        </w:rPr>
        <w:t>Principles would remain as the only statement concerning menu labelling in Australia</w:t>
      </w:r>
      <w:r w:rsidR="004C7449" w:rsidRPr="00E67A4C">
        <w:rPr>
          <w:lang w:eastAsia="zh-CN" w:bidi="th-TH"/>
        </w:rPr>
        <w:t>, noting they are not reflective</w:t>
      </w:r>
      <w:r w:rsidR="007428E5" w:rsidRPr="00E67A4C">
        <w:rPr>
          <w:lang w:eastAsia="zh-CN" w:bidi="th-TH"/>
        </w:rPr>
        <w:t xml:space="preserve"> of current industry trends and practices</w:t>
      </w:r>
      <w:r w:rsidR="00BB5B29" w:rsidRPr="00E67A4C">
        <w:rPr>
          <w:lang w:eastAsia="zh-CN" w:bidi="th-TH"/>
        </w:rPr>
        <w:t>, and do not specifically apply to New Zealand.</w:t>
      </w:r>
      <w:r w:rsidR="00DE7BB7" w:rsidRPr="00E67A4C">
        <w:t xml:space="preserve"> </w:t>
      </w:r>
      <w:r w:rsidR="00695BF3" w:rsidRPr="00E67A4C">
        <w:t xml:space="preserve">Jurisdictions could choose to amend their legislation to address the </w:t>
      </w:r>
      <w:r w:rsidR="006D726D" w:rsidRPr="00E67A4C">
        <w:t xml:space="preserve">identified </w:t>
      </w:r>
      <w:r w:rsidR="00695BF3" w:rsidRPr="00E67A4C">
        <w:t xml:space="preserve">issues of business coverage and emerging trends (noting that this </w:t>
      </w:r>
      <w:r w:rsidR="006727C6" w:rsidRPr="00E67A4C">
        <w:t>c</w:t>
      </w:r>
      <w:r w:rsidR="00695BF3" w:rsidRPr="00E67A4C">
        <w:t xml:space="preserve">ould </w:t>
      </w:r>
      <w:r w:rsidR="001708B5" w:rsidRPr="00E67A4C">
        <w:t>further increase</w:t>
      </w:r>
      <w:r w:rsidR="00695BF3" w:rsidRPr="00E67A4C">
        <w:t xml:space="preserve"> jurisdictional inconsistency). </w:t>
      </w:r>
      <w:r w:rsidR="00DE7BB7" w:rsidRPr="00E67A4C">
        <w:t>Australian jurisdictions could continue to choose to deliver a range of consumer education strategies and provide support to businesses to complement their legislation</w:t>
      </w:r>
      <w:r w:rsidR="00EA7DEA" w:rsidRPr="00E67A4C">
        <w:t xml:space="preserve">. </w:t>
      </w:r>
      <w:r w:rsidR="00DE7BB7" w:rsidRPr="00E67A4C">
        <w:t xml:space="preserve"> </w:t>
      </w:r>
    </w:p>
    <w:p w14:paraId="269987F9" w14:textId="77777777" w:rsidR="00A20A11" w:rsidRPr="00E67A4C" w:rsidRDefault="00A20A11" w:rsidP="00DE7BB7">
      <w:pPr>
        <w:spacing w:after="40"/>
        <w:jc w:val="both"/>
      </w:pPr>
    </w:p>
    <w:p w14:paraId="0BD29487" w14:textId="41B073CC" w:rsidR="0046136B" w:rsidRPr="00E67A4C" w:rsidRDefault="0004125A" w:rsidP="00246032">
      <w:pPr>
        <w:pStyle w:val="Heading3"/>
      </w:pPr>
      <w:bookmarkStart w:id="48" w:name="_Toc51165276"/>
      <w:bookmarkStart w:id="49" w:name="_Toc426380829"/>
      <w:bookmarkStart w:id="50" w:name="_Toc426380894"/>
      <w:bookmarkStart w:id="51" w:name="_Toc426380925"/>
      <w:r w:rsidRPr="00E67A4C">
        <w:t>4.</w:t>
      </w:r>
      <w:r w:rsidR="00114267" w:rsidRPr="00E67A4C">
        <w:t>2</w:t>
      </w:r>
      <w:r w:rsidR="00F140BC" w:rsidRPr="00E67A4C">
        <w:t xml:space="preserve"> </w:t>
      </w:r>
      <w:r w:rsidR="0046136B" w:rsidRPr="00E67A4C">
        <w:t xml:space="preserve">Option 2 </w:t>
      </w:r>
      <w:bookmarkEnd w:id="48"/>
    </w:p>
    <w:p w14:paraId="315DE989" w14:textId="32CCE4D0" w:rsidR="0046136B" w:rsidRPr="00E67A4C" w:rsidRDefault="0046136B" w:rsidP="0046136B">
      <w:pPr>
        <w:spacing w:after="40"/>
        <w:jc w:val="both"/>
        <w:rPr>
          <w:lang w:eastAsia="zh-CN" w:bidi="th-TH"/>
        </w:rPr>
      </w:pPr>
      <w:r w:rsidRPr="00E67A4C">
        <w:t xml:space="preserve">This option involves amending the 2011 Principles to have a policy statement for menu labelling for Australia and New Zealand, which all jurisdictions could choose to voluntarily implement in their own legislation. A draft of the amended Principles is provided at Appendix 5. The amended Principles address the identified issues of business coverage and emerging trends and provide direction on a consistent approach to address the current jurisdictional inconsistencies. </w:t>
      </w:r>
      <w:r w:rsidR="00AD2E01" w:rsidRPr="00E67A4C">
        <w:t xml:space="preserve">The implementation mechanism for Option 2 is the same as the status quo. </w:t>
      </w:r>
      <w:r w:rsidRPr="00E67A4C">
        <w:t xml:space="preserve">If jurisdictions chose to amend their legislation, they would most likely be required to prepare a RIS. This option would become a regulatory approach to </w:t>
      </w:r>
      <w:r w:rsidR="004F3C4C" w:rsidRPr="00E67A4C">
        <w:t xml:space="preserve">enhancing </w:t>
      </w:r>
      <w:r w:rsidRPr="00E67A4C">
        <w:t xml:space="preserve">menu labelling if the amended Principles are implemented by jurisdictions; but would not if jurisdictions chose not to implement the amended Principles. </w:t>
      </w:r>
    </w:p>
    <w:p w14:paraId="6E1E9FD0" w14:textId="77777777" w:rsidR="0046136B" w:rsidRPr="00E67A4C" w:rsidRDefault="0046136B" w:rsidP="0046136B"/>
    <w:p w14:paraId="2B0CD2B5" w14:textId="29572FCE" w:rsidR="0004125A" w:rsidRPr="00E67A4C" w:rsidRDefault="0046136B" w:rsidP="00246032">
      <w:pPr>
        <w:pStyle w:val="Heading3"/>
      </w:pPr>
      <w:bookmarkStart w:id="52" w:name="_Toc51165277"/>
      <w:r w:rsidRPr="00E67A4C">
        <w:lastRenderedPageBreak/>
        <w:t xml:space="preserve">4.3 </w:t>
      </w:r>
      <w:r w:rsidR="0004125A" w:rsidRPr="00E67A4C">
        <w:t xml:space="preserve">Option </w:t>
      </w:r>
      <w:r w:rsidRPr="00E67A4C">
        <w:t>3</w:t>
      </w:r>
      <w:r w:rsidR="0004125A" w:rsidRPr="00E67A4C">
        <w:t xml:space="preserve"> </w:t>
      </w:r>
      <w:bookmarkEnd w:id="49"/>
      <w:bookmarkEnd w:id="50"/>
      <w:bookmarkEnd w:id="51"/>
      <w:bookmarkEnd w:id="52"/>
    </w:p>
    <w:p w14:paraId="06107F5C" w14:textId="77777777" w:rsidR="00F92FA0" w:rsidRPr="00E67A4C" w:rsidRDefault="00EB0A97" w:rsidP="007253F0">
      <w:pPr>
        <w:spacing w:after="40"/>
        <w:jc w:val="both"/>
        <w:rPr>
          <w:lang w:eastAsia="zh-CN" w:bidi="th-TH"/>
        </w:rPr>
      </w:pPr>
      <w:r w:rsidRPr="00E67A4C">
        <w:t>This option</w:t>
      </w:r>
      <w:r w:rsidR="00455A50" w:rsidRPr="00E67A4C">
        <w:t xml:space="preserve"> </w:t>
      </w:r>
      <w:r w:rsidR="00454D3B" w:rsidRPr="00E67A4C">
        <w:t>involves</w:t>
      </w:r>
      <w:r w:rsidR="00455A50" w:rsidRPr="00E67A4C">
        <w:t xml:space="preserve"> developing a </w:t>
      </w:r>
      <w:r w:rsidRPr="00E67A4C">
        <w:rPr>
          <w:i/>
          <w:iCs/>
        </w:rPr>
        <w:t xml:space="preserve">Ministerial Policy Guideline on </w:t>
      </w:r>
      <w:r w:rsidR="001F544E" w:rsidRPr="00E67A4C">
        <w:rPr>
          <w:i/>
          <w:iCs/>
        </w:rPr>
        <w:t>M</w:t>
      </w:r>
      <w:r w:rsidRPr="00E67A4C">
        <w:rPr>
          <w:i/>
          <w:iCs/>
        </w:rPr>
        <w:t xml:space="preserve">enu </w:t>
      </w:r>
      <w:r w:rsidR="001F544E" w:rsidRPr="00E67A4C">
        <w:rPr>
          <w:i/>
          <w:iCs/>
        </w:rPr>
        <w:t>L</w:t>
      </w:r>
      <w:r w:rsidRPr="00E67A4C">
        <w:rPr>
          <w:i/>
          <w:iCs/>
        </w:rPr>
        <w:t>abelling</w:t>
      </w:r>
      <w:r w:rsidR="00450BFC" w:rsidRPr="00E67A4C">
        <w:rPr>
          <w:i/>
          <w:iCs/>
        </w:rPr>
        <w:t xml:space="preserve">: </w:t>
      </w:r>
      <w:r w:rsidR="00A06EE8" w:rsidRPr="00E67A4C">
        <w:rPr>
          <w:i/>
          <w:iCs/>
        </w:rPr>
        <w:t>Displaying energy information for standard food items at the point-of-sale in standard food outlets</w:t>
      </w:r>
      <w:r w:rsidR="00ED12CD" w:rsidRPr="00E67A4C">
        <w:t xml:space="preserve"> (the Policy Guideline)</w:t>
      </w:r>
      <w:r w:rsidR="00ED12CD" w:rsidRPr="00E67A4C">
        <w:rPr>
          <w:i/>
          <w:iCs/>
        </w:rPr>
        <w:t xml:space="preserve">. </w:t>
      </w:r>
      <w:r w:rsidR="00A94D2E" w:rsidRPr="00E67A4C">
        <w:t xml:space="preserve">A draft Policy Guideline is provided at Appendix </w:t>
      </w:r>
      <w:r w:rsidR="00BC3AEE" w:rsidRPr="00E67A4C">
        <w:t>4</w:t>
      </w:r>
      <w:r w:rsidR="00A94D2E" w:rsidRPr="00E67A4C">
        <w:t xml:space="preserve">. </w:t>
      </w:r>
      <w:r w:rsidR="00D57CCC" w:rsidRPr="00E67A4C">
        <w:t xml:space="preserve">The </w:t>
      </w:r>
      <w:r w:rsidR="000A36C5" w:rsidRPr="00E67A4C">
        <w:t>intent is that</w:t>
      </w:r>
      <w:r w:rsidR="00D57CCC" w:rsidRPr="00E67A4C">
        <w:t xml:space="preserve"> menu labelling would be mandatory for </w:t>
      </w:r>
      <w:r w:rsidR="00105D83" w:rsidRPr="00E67A4C">
        <w:t xml:space="preserve">all </w:t>
      </w:r>
      <w:r w:rsidR="00D57CCC" w:rsidRPr="00E67A4C">
        <w:t>businesses that meet the definition of a standard food outlet</w:t>
      </w:r>
      <w:r w:rsidR="000A5A85" w:rsidRPr="00E67A4C">
        <w:t xml:space="preserve">; and that </w:t>
      </w:r>
      <w:r w:rsidR="000A5A85" w:rsidRPr="00E67A4C">
        <w:rPr>
          <w:lang w:eastAsia="zh-CN" w:bidi="th-TH"/>
        </w:rPr>
        <w:t xml:space="preserve">all types of menus and points-of-sale/modes of sale </w:t>
      </w:r>
      <w:r w:rsidR="00F92FA0" w:rsidRPr="00E67A4C">
        <w:rPr>
          <w:lang w:eastAsia="zh-CN" w:bidi="th-TH"/>
        </w:rPr>
        <w:t xml:space="preserve">would be </w:t>
      </w:r>
      <w:r w:rsidR="000A5A85" w:rsidRPr="00E67A4C">
        <w:rPr>
          <w:lang w:eastAsia="zh-CN" w:bidi="th-TH"/>
        </w:rPr>
        <w:t>capture</w:t>
      </w:r>
      <w:r w:rsidR="00F92FA0" w:rsidRPr="00E67A4C">
        <w:rPr>
          <w:lang w:eastAsia="zh-CN" w:bidi="th-TH"/>
        </w:rPr>
        <w:t>d.</w:t>
      </w:r>
    </w:p>
    <w:p w14:paraId="2B0533BA" w14:textId="2C73FF34" w:rsidR="00CF2F8A" w:rsidRPr="00E67A4C" w:rsidRDefault="000A5A85" w:rsidP="007253F0">
      <w:pPr>
        <w:spacing w:after="40"/>
        <w:jc w:val="both"/>
      </w:pPr>
      <w:r w:rsidRPr="00E67A4C">
        <w:rPr>
          <w:lang w:eastAsia="zh-CN" w:bidi="th-TH"/>
        </w:rPr>
        <w:t xml:space="preserve"> </w:t>
      </w:r>
    </w:p>
    <w:p w14:paraId="553AAD00" w14:textId="47242692" w:rsidR="007253F0" w:rsidRPr="00E67A4C" w:rsidRDefault="00ED12CD" w:rsidP="007253F0">
      <w:pPr>
        <w:spacing w:after="40"/>
        <w:jc w:val="both"/>
      </w:pPr>
      <w:r w:rsidRPr="00E67A4C">
        <w:t>T</w:t>
      </w:r>
      <w:r w:rsidR="000535E1" w:rsidRPr="00E67A4C">
        <w:t xml:space="preserve">o </w:t>
      </w:r>
      <w:r w:rsidR="00C05360" w:rsidRPr="00E67A4C">
        <w:t>achieve</w:t>
      </w:r>
      <w:r w:rsidR="000535E1" w:rsidRPr="00E67A4C">
        <w:t xml:space="preserve"> a bi-nationally</w:t>
      </w:r>
      <w:r w:rsidR="00B05A66" w:rsidRPr="00E67A4C">
        <w:t xml:space="preserve"> consistent approach to menu labelling, t</w:t>
      </w:r>
      <w:r w:rsidRPr="00E67A4C">
        <w:t>he Policy Guideline</w:t>
      </w:r>
      <w:r w:rsidR="002960B0" w:rsidRPr="00E67A4C">
        <w:t xml:space="preserve"> </w:t>
      </w:r>
      <w:r w:rsidR="00C64280" w:rsidRPr="00E67A4C">
        <w:t>would</w:t>
      </w:r>
      <w:r w:rsidR="00691294" w:rsidRPr="00E67A4C">
        <w:t xml:space="preserve"> </w:t>
      </w:r>
      <w:r w:rsidR="0016581F" w:rsidRPr="00E67A4C">
        <w:t xml:space="preserve">be referred to FSANZ to </w:t>
      </w:r>
      <w:r w:rsidR="00691294" w:rsidRPr="00E67A4C">
        <w:t>inform development of a food regulatory measure</w:t>
      </w:r>
      <w:r w:rsidR="002227D5" w:rsidRPr="00E67A4C">
        <w:rPr>
          <w:rStyle w:val="FootnoteReference"/>
        </w:rPr>
        <w:footnoteReference w:id="50"/>
      </w:r>
      <w:r w:rsidR="00691294" w:rsidRPr="00E67A4C">
        <w:t xml:space="preserve"> under the </w:t>
      </w:r>
      <w:r w:rsidR="005B3970" w:rsidRPr="00E67A4C">
        <w:t xml:space="preserve">Food Standards </w:t>
      </w:r>
      <w:r w:rsidR="00691294" w:rsidRPr="00E67A4C">
        <w:t xml:space="preserve">Code that applies to </w:t>
      </w:r>
      <w:r w:rsidR="00736E91" w:rsidRPr="00E67A4C">
        <w:t>standard food outlets</w:t>
      </w:r>
      <w:r w:rsidR="0087277D" w:rsidRPr="00E67A4C">
        <w:t xml:space="preserve"> in </w:t>
      </w:r>
      <w:r w:rsidR="00691294" w:rsidRPr="00E67A4C">
        <w:t xml:space="preserve">Australia and New Zealand. </w:t>
      </w:r>
      <w:r w:rsidR="0069512C" w:rsidRPr="00E67A4C">
        <w:t xml:space="preserve">In developing a food regulatory measure, </w:t>
      </w:r>
      <w:r w:rsidR="00B6162B" w:rsidRPr="00E67A4C">
        <w:t>FSANZ</w:t>
      </w:r>
      <w:r w:rsidR="002A68DE" w:rsidRPr="00E67A4C">
        <w:t xml:space="preserve"> </w:t>
      </w:r>
      <w:r w:rsidR="00190098" w:rsidRPr="00E67A4C">
        <w:t>would</w:t>
      </w:r>
      <w:r w:rsidR="009C0DE0" w:rsidRPr="00E67A4C">
        <w:t xml:space="preserve"> have to </w:t>
      </w:r>
      <w:r w:rsidR="00D846E8" w:rsidRPr="00E67A4C">
        <w:t>have regard to</w:t>
      </w:r>
      <w:r w:rsidR="009730D2" w:rsidRPr="00E67A4C">
        <w:t xml:space="preserve"> whether costs of the </w:t>
      </w:r>
      <w:r w:rsidR="00667755" w:rsidRPr="00E67A4C">
        <w:t xml:space="preserve">food regulatory </w:t>
      </w:r>
      <w:r w:rsidR="009730D2" w:rsidRPr="00E67A4C">
        <w:t xml:space="preserve">measure outweigh the benefits </w:t>
      </w:r>
      <w:r w:rsidR="006E7C7D" w:rsidRPr="00E67A4C">
        <w:t xml:space="preserve">to the community, </w:t>
      </w:r>
      <w:r w:rsidR="009C0DE0" w:rsidRPr="00E67A4C">
        <w:t>industry,</w:t>
      </w:r>
      <w:r w:rsidR="006E7C7D" w:rsidRPr="00E67A4C">
        <w:t xml:space="preserve"> and government</w:t>
      </w:r>
      <w:r w:rsidR="007E68ED" w:rsidRPr="00E67A4C">
        <w:t>; and whether any other measures would be more cost-effective</w:t>
      </w:r>
      <w:r w:rsidR="00667755" w:rsidRPr="00E67A4C">
        <w:t xml:space="preserve"> than a food regulatory measure</w:t>
      </w:r>
      <w:r w:rsidR="002A68DE" w:rsidRPr="00E67A4C">
        <w:t xml:space="preserve">. </w:t>
      </w:r>
      <w:r w:rsidR="000C00E0" w:rsidRPr="00E67A4C">
        <w:t xml:space="preserve"> </w:t>
      </w:r>
      <w:r w:rsidR="00DF1B2D" w:rsidRPr="00E67A4C">
        <w:t xml:space="preserve">Five </w:t>
      </w:r>
      <w:r w:rsidR="00260C7A" w:rsidRPr="00E67A4C">
        <w:t xml:space="preserve">Australian </w:t>
      </w:r>
      <w:r w:rsidR="00CF2F8A" w:rsidRPr="00E67A4C">
        <w:t>j</w:t>
      </w:r>
      <w:r w:rsidR="000C00E0" w:rsidRPr="00E67A4C">
        <w:t xml:space="preserve">urisdictions would be expected to repeal menu labelling legislation </w:t>
      </w:r>
      <w:r w:rsidR="00EC0832" w:rsidRPr="00E67A4C">
        <w:t xml:space="preserve">once a food regulatory measure was in place </w:t>
      </w:r>
      <w:r w:rsidR="000C00E0" w:rsidRPr="00E67A4C">
        <w:t>to ensure there was only one system.</w:t>
      </w:r>
      <w:r w:rsidR="00113284" w:rsidRPr="00E67A4C">
        <w:t xml:space="preserve"> </w:t>
      </w:r>
    </w:p>
    <w:p w14:paraId="03C97EF4" w14:textId="77777777" w:rsidR="003E2685" w:rsidRPr="00E67A4C" w:rsidRDefault="003E2685" w:rsidP="007253F0">
      <w:pPr>
        <w:spacing w:after="40"/>
        <w:jc w:val="both"/>
      </w:pPr>
    </w:p>
    <w:p w14:paraId="12757D69" w14:textId="10D1AB62" w:rsidR="005C0AF7" w:rsidRPr="00E67A4C" w:rsidRDefault="009A0678" w:rsidP="00246032">
      <w:pPr>
        <w:pStyle w:val="Heading3"/>
      </w:pPr>
      <w:bookmarkStart w:id="53" w:name="_Toc51165278"/>
      <w:r w:rsidRPr="00E67A4C">
        <w:t>4.</w:t>
      </w:r>
      <w:r w:rsidR="00A960DE" w:rsidRPr="00E67A4C">
        <w:t xml:space="preserve">4 </w:t>
      </w:r>
      <w:r w:rsidRPr="00E67A4C">
        <w:t xml:space="preserve">Option </w:t>
      </w:r>
      <w:r w:rsidR="00A960DE" w:rsidRPr="00E67A4C">
        <w:t>4</w:t>
      </w:r>
      <w:r w:rsidRPr="00E67A4C">
        <w:t xml:space="preserve"> </w:t>
      </w:r>
      <w:bookmarkEnd w:id="53"/>
    </w:p>
    <w:p w14:paraId="633C9D5B" w14:textId="55677A2B" w:rsidR="00ED777E" w:rsidRPr="00E67A4C" w:rsidRDefault="00ED777E" w:rsidP="00ED777E">
      <w:pPr>
        <w:spacing w:after="40"/>
        <w:jc w:val="both"/>
      </w:pPr>
      <w:r w:rsidRPr="00E67A4C">
        <w:t xml:space="preserve">This option </w:t>
      </w:r>
      <w:r w:rsidR="000A1DEC" w:rsidRPr="00E67A4C">
        <w:t>involves</w:t>
      </w:r>
      <w:r w:rsidRPr="00E67A4C">
        <w:t xml:space="preserve"> </w:t>
      </w:r>
      <w:r w:rsidR="001E07CC" w:rsidRPr="00E67A4C">
        <w:t xml:space="preserve">maintaining </w:t>
      </w:r>
      <w:r w:rsidR="00034029" w:rsidRPr="00E67A4C">
        <w:t xml:space="preserve">the existing regulatory </w:t>
      </w:r>
      <w:r w:rsidR="00A80B14" w:rsidRPr="00E67A4C">
        <w:t>framework (the status quo) and</w:t>
      </w:r>
      <w:r w:rsidR="008C1705" w:rsidRPr="00E67A4C">
        <w:t xml:space="preserve"> </w:t>
      </w:r>
      <w:r w:rsidR="00B77EF5" w:rsidRPr="00E67A4C">
        <w:t xml:space="preserve">encouraging </w:t>
      </w:r>
      <w:r w:rsidR="002B44D6" w:rsidRPr="00E67A4C">
        <w:t>businesses</w:t>
      </w:r>
      <w:r w:rsidR="007A4921" w:rsidRPr="00E67A4C">
        <w:t xml:space="preserve"> in Australia and New Zealand</w:t>
      </w:r>
      <w:r w:rsidRPr="00E67A4C">
        <w:t xml:space="preserve"> to </w:t>
      </w:r>
      <w:r w:rsidR="002B44D6" w:rsidRPr="00E67A4C">
        <w:t xml:space="preserve">voluntarily implement </w:t>
      </w:r>
      <w:r w:rsidR="00D237DE" w:rsidRPr="00E67A4C">
        <w:t xml:space="preserve">a range of </w:t>
      </w:r>
      <w:r w:rsidR="002B44D6" w:rsidRPr="00E67A4C">
        <w:t>enhancements to menu labelling.</w:t>
      </w:r>
      <w:r w:rsidR="00EA7DEA" w:rsidRPr="00E67A4C">
        <w:t xml:space="preserve"> </w:t>
      </w:r>
      <w:r w:rsidR="000D3886" w:rsidRPr="00E67A4C">
        <w:t>Enhancements</w:t>
      </w:r>
      <w:r w:rsidR="009B489D" w:rsidRPr="00E67A4C">
        <w:t xml:space="preserve"> to menu labelling</w:t>
      </w:r>
      <w:r w:rsidR="000D3886" w:rsidRPr="00E67A4C">
        <w:t xml:space="preserve"> include</w:t>
      </w:r>
      <w:r w:rsidR="00F8448E" w:rsidRPr="00E67A4C">
        <w:t xml:space="preserve"> displaying energy information for combination meals (inclu</w:t>
      </w:r>
      <w:r w:rsidR="003155F7" w:rsidRPr="00E67A4C">
        <w:t>sive of</w:t>
      </w:r>
      <w:r w:rsidR="00F8448E" w:rsidRPr="00E67A4C">
        <w:t xml:space="preserve"> pre-packaged </w:t>
      </w:r>
      <w:r w:rsidR="003155F7" w:rsidRPr="00E67A4C">
        <w:t>drinks)</w:t>
      </w:r>
      <w:r w:rsidR="00722708" w:rsidRPr="00E67A4C">
        <w:t xml:space="preserve"> and standardised </w:t>
      </w:r>
      <w:r w:rsidR="002A0E0E" w:rsidRPr="00E67A4C">
        <w:t xml:space="preserve">ingredients for customised menu </w:t>
      </w:r>
      <w:r w:rsidR="002E400C" w:rsidRPr="00E67A4C">
        <w:t>items and</w:t>
      </w:r>
      <w:r w:rsidR="002A0E0E" w:rsidRPr="00E67A4C">
        <w:t xml:space="preserve"> </w:t>
      </w:r>
      <w:r w:rsidR="008F319B" w:rsidRPr="00E67A4C">
        <w:t xml:space="preserve">increasing the availability of energy information </w:t>
      </w:r>
      <w:r w:rsidR="002A0E0E" w:rsidRPr="00E67A4C">
        <w:t xml:space="preserve">at all points-of-sale, including </w:t>
      </w:r>
      <w:r w:rsidR="008F319B" w:rsidRPr="00E67A4C">
        <w:t>third-party</w:t>
      </w:r>
      <w:r w:rsidR="00161AD8" w:rsidRPr="00E67A4C">
        <w:t xml:space="preserve"> food delivery platforms</w:t>
      </w:r>
      <w:r w:rsidR="002A0E0E" w:rsidRPr="00E67A4C">
        <w:t xml:space="preserve">. </w:t>
      </w:r>
      <w:r w:rsidR="002E1E87" w:rsidRPr="00E67A4C">
        <w:t xml:space="preserve">The mechanism for operationalising this </w:t>
      </w:r>
      <w:r w:rsidR="002B7EEB" w:rsidRPr="00E67A4C">
        <w:t xml:space="preserve">option could include the provision of support by peak industry bodies. </w:t>
      </w:r>
      <w:r w:rsidR="00FF5714" w:rsidRPr="00E67A4C">
        <w:t xml:space="preserve">This option is a </w:t>
      </w:r>
      <w:r w:rsidR="002B44D6" w:rsidRPr="00E67A4C">
        <w:t>non</w:t>
      </w:r>
      <w:r w:rsidR="00FF5714" w:rsidRPr="00E67A4C">
        <w:t xml:space="preserve">-regulatory approach to </w:t>
      </w:r>
      <w:r w:rsidR="002B44D6" w:rsidRPr="00E67A4C">
        <w:t xml:space="preserve">enhancing </w:t>
      </w:r>
      <w:r w:rsidR="00FF5714" w:rsidRPr="00E67A4C">
        <w:t>menu labelling.</w:t>
      </w:r>
      <w:r w:rsidR="00113284" w:rsidRPr="00E67A4C">
        <w:t xml:space="preserve"> </w:t>
      </w:r>
    </w:p>
    <w:p w14:paraId="6B877CCC" w14:textId="451E4D17" w:rsidR="004A1A86" w:rsidRPr="00E67A4C" w:rsidRDefault="004A1A86" w:rsidP="004A1A86">
      <w:pPr>
        <w:tabs>
          <w:tab w:val="left" w:pos="1410"/>
        </w:tabs>
      </w:pPr>
    </w:p>
    <w:p w14:paraId="39AC9B09" w14:textId="06AAF1F1" w:rsidR="00916FD2" w:rsidRPr="00E67A4C" w:rsidRDefault="00004074" w:rsidP="00246032">
      <w:pPr>
        <w:pStyle w:val="Heading3"/>
      </w:pPr>
      <w:bookmarkStart w:id="54" w:name="_Toc51165279"/>
      <w:bookmarkStart w:id="55" w:name="_Toc41900508"/>
      <w:bookmarkStart w:id="56" w:name="_Hlk33167205"/>
      <w:r w:rsidRPr="00E67A4C">
        <w:t>4.5 Complementary strategies</w:t>
      </w:r>
      <w:bookmarkEnd w:id="54"/>
    </w:p>
    <w:p w14:paraId="1CA49708" w14:textId="03109092" w:rsidR="008712A4" w:rsidRPr="00E67A4C" w:rsidRDefault="00E109A8" w:rsidP="00A72138">
      <w:pPr>
        <w:spacing w:after="40"/>
        <w:jc w:val="both"/>
      </w:pPr>
      <w:bookmarkStart w:id="57" w:name="_Hlk33167249"/>
      <w:bookmarkEnd w:id="55"/>
      <w:bookmarkEnd w:id="56"/>
      <w:r w:rsidRPr="00E67A4C">
        <w:t xml:space="preserve">Regardless of the preferred option, </w:t>
      </w:r>
      <w:r w:rsidR="00E93E28" w:rsidRPr="00E67A4C">
        <w:t xml:space="preserve">it is proposed that an </w:t>
      </w:r>
      <w:r w:rsidR="005C29B3" w:rsidRPr="00E67A4C">
        <w:t xml:space="preserve">education </w:t>
      </w:r>
      <w:r w:rsidR="00D33156" w:rsidRPr="00E67A4C">
        <w:t>strategy</w:t>
      </w:r>
      <w:r w:rsidR="00AC4204" w:rsidRPr="00E67A4C">
        <w:t xml:space="preserve"> </w:t>
      </w:r>
      <w:r w:rsidR="0046136B" w:rsidRPr="00E67A4C">
        <w:t xml:space="preserve">be developed </w:t>
      </w:r>
      <w:r w:rsidR="00AC4204" w:rsidRPr="00E67A4C">
        <w:t xml:space="preserve">to </w:t>
      </w:r>
      <w:r w:rsidR="00AB4699" w:rsidRPr="00E67A4C">
        <w:t xml:space="preserve">increase </w:t>
      </w:r>
      <w:r w:rsidR="0076043A" w:rsidRPr="00E67A4C">
        <w:t>consumer</w:t>
      </w:r>
      <w:r w:rsidR="00AB4699" w:rsidRPr="00E67A4C">
        <w:t xml:space="preserve"> </w:t>
      </w:r>
      <w:r w:rsidR="0083176E" w:rsidRPr="00E67A4C">
        <w:t xml:space="preserve">awareness and </w:t>
      </w:r>
      <w:r w:rsidR="00AB4699" w:rsidRPr="00E67A4C">
        <w:t>understanding of</w:t>
      </w:r>
      <w:r w:rsidR="0076043A" w:rsidRPr="00E67A4C">
        <w:t xml:space="preserve"> kilojoules</w:t>
      </w:r>
      <w:r w:rsidR="0083176E" w:rsidRPr="00E67A4C">
        <w:t>, energy density</w:t>
      </w:r>
      <w:r w:rsidR="00F1328B" w:rsidRPr="00E67A4C">
        <w:t>,</w:t>
      </w:r>
      <w:r w:rsidR="000A062F" w:rsidRPr="00E67A4C">
        <w:t xml:space="preserve"> </w:t>
      </w:r>
      <w:r w:rsidR="0083176E" w:rsidRPr="00E67A4C">
        <w:t>energy needs</w:t>
      </w:r>
      <w:r w:rsidR="0046136B" w:rsidRPr="00E67A4C">
        <w:t xml:space="preserve">, </w:t>
      </w:r>
      <w:r w:rsidR="00F1328B" w:rsidRPr="00E67A4C">
        <w:t>making healthier food choices</w:t>
      </w:r>
      <w:r w:rsidR="0046136B" w:rsidRPr="00E67A4C">
        <w:t>,</w:t>
      </w:r>
      <w:r w:rsidR="00C1406E" w:rsidRPr="00E67A4C">
        <w:t xml:space="preserve"> </w:t>
      </w:r>
      <w:r w:rsidR="0046136B" w:rsidRPr="00E67A4C">
        <w:t xml:space="preserve">and </w:t>
      </w:r>
      <w:r w:rsidR="0076043A" w:rsidRPr="00E67A4C">
        <w:t xml:space="preserve">how to use menu labelling </w:t>
      </w:r>
      <w:r w:rsidR="005D78FF" w:rsidRPr="00E67A4C">
        <w:t>at the point-of-sale</w:t>
      </w:r>
      <w:r w:rsidR="003D27AC" w:rsidRPr="00E67A4C">
        <w:t>.</w:t>
      </w:r>
      <w:r w:rsidR="003500DD" w:rsidRPr="00E67A4C">
        <w:t xml:space="preserve"> </w:t>
      </w:r>
      <w:r w:rsidR="00F26079" w:rsidRPr="00E67A4C">
        <w:t xml:space="preserve">Pending agreement, </w:t>
      </w:r>
      <w:r w:rsidR="0083176E" w:rsidRPr="00E67A4C">
        <w:t>Governments would fund</w:t>
      </w:r>
      <w:r w:rsidR="00D06461" w:rsidRPr="00E67A4C">
        <w:t xml:space="preserve"> and manage</w:t>
      </w:r>
      <w:r w:rsidR="0083176E" w:rsidRPr="00E67A4C">
        <w:t xml:space="preserve"> the development, </w:t>
      </w:r>
      <w:r w:rsidR="00EA7DEA" w:rsidRPr="00E67A4C">
        <w:t>implementation,</w:t>
      </w:r>
      <w:r w:rsidR="0083176E" w:rsidRPr="00E67A4C">
        <w:t xml:space="preserve"> and evaluation of </w:t>
      </w:r>
      <w:r w:rsidR="00610015" w:rsidRPr="00E67A4C">
        <w:t>all education activities</w:t>
      </w:r>
      <w:r w:rsidR="0083176E" w:rsidRPr="00E67A4C">
        <w:t>.</w:t>
      </w:r>
      <w:r w:rsidR="00CC3C93" w:rsidRPr="00E67A4C">
        <w:t xml:space="preserve"> </w:t>
      </w:r>
      <w:r w:rsidR="005E4EEF" w:rsidRPr="00E67A4C">
        <w:t xml:space="preserve">Governments may </w:t>
      </w:r>
      <w:r w:rsidR="000A263E" w:rsidRPr="00E67A4C">
        <w:t xml:space="preserve">liaise with </w:t>
      </w:r>
      <w:r w:rsidR="00D70F53" w:rsidRPr="00E67A4C">
        <w:t xml:space="preserve">food </w:t>
      </w:r>
      <w:r w:rsidR="005E4EEF" w:rsidRPr="00E67A4C">
        <w:t>businesses’ communications and marketing exper</w:t>
      </w:r>
      <w:r w:rsidR="00D70F53" w:rsidRPr="00E67A4C">
        <w:t>ts</w:t>
      </w:r>
      <w:r w:rsidR="005E4EEF" w:rsidRPr="00E67A4C">
        <w:t xml:space="preserve"> </w:t>
      </w:r>
      <w:r w:rsidR="00F73857" w:rsidRPr="00E67A4C">
        <w:t>in</w:t>
      </w:r>
      <w:r w:rsidR="005E4EEF" w:rsidRPr="00E67A4C">
        <w:t xml:space="preserve"> </w:t>
      </w:r>
      <w:r w:rsidR="00D70F53" w:rsidRPr="00E67A4C">
        <w:t>developing a</w:t>
      </w:r>
      <w:r w:rsidR="00F73857" w:rsidRPr="00E67A4C">
        <w:t>n education strategy</w:t>
      </w:r>
      <w:r w:rsidR="005E4EEF" w:rsidRPr="00E67A4C">
        <w:t xml:space="preserve">. </w:t>
      </w:r>
      <w:r w:rsidR="00A73692" w:rsidRPr="00E67A4C">
        <w:t>In developing the strategy, c</w:t>
      </w:r>
      <w:r w:rsidR="00D06461" w:rsidRPr="00E67A4C">
        <w:t xml:space="preserve">onsideration would need to be given to the modes of education and key messages </w:t>
      </w:r>
      <w:r w:rsidR="00A73692" w:rsidRPr="00E67A4C">
        <w:t>needed</w:t>
      </w:r>
      <w:r w:rsidR="00D06461" w:rsidRPr="00E67A4C">
        <w:t xml:space="preserve">; however, it is proposed that a multi-media strategy </w:t>
      </w:r>
      <w:r w:rsidR="004D0F0D" w:rsidRPr="00E67A4C">
        <w:t xml:space="preserve">that achieves the desired reach </w:t>
      </w:r>
      <w:r w:rsidR="0088776B" w:rsidRPr="00E67A4C">
        <w:t xml:space="preserve">and sustained effectiveness </w:t>
      </w:r>
      <w:r w:rsidR="00D06461" w:rsidRPr="00E67A4C">
        <w:t>would be required.</w:t>
      </w:r>
      <w:r w:rsidR="0083176E" w:rsidRPr="00E67A4C">
        <w:t xml:space="preserve"> </w:t>
      </w:r>
      <w:r w:rsidR="00A4608B" w:rsidRPr="00E67A4C">
        <w:t>E</w:t>
      </w:r>
      <w:r w:rsidR="00317263" w:rsidRPr="00E67A4C">
        <w:t>ducation activities would be tailored separately for Australian and New Zealand consumers</w:t>
      </w:r>
      <w:r w:rsidR="007F5C5E" w:rsidRPr="00E67A4C">
        <w:t>, and for different sub-population groups within each country</w:t>
      </w:r>
      <w:r w:rsidR="00EA7DEA" w:rsidRPr="00E67A4C">
        <w:t xml:space="preserve">. </w:t>
      </w:r>
      <w:r w:rsidR="00D06461" w:rsidRPr="00E67A4C">
        <w:t xml:space="preserve">Consideration could be given to an overarching consumer education strategy about food labelling, healthy </w:t>
      </w:r>
      <w:r w:rsidR="00EA7DEA" w:rsidRPr="00E67A4C">
        <w:t>eating,</w:t>
      </w:r>
      <w:r w:rsidR="00D06461" w:rsidRPr="00E67A4C">
        <w:t xml:space="preserve"> and nutrition literacy to manage the costs</w:t>
      </w:r>
      <w:r w:rsidR="00C05D6B" w:rsidRPr="00E67A4C">
        <w:t xml:space="preserve"> and to encompass future labelling changes on packaged food</w:t>
      </w:r>
      <w:r w:rsidR="00D06461" w:rsidRPr="00E67A4C">
        <w:t xml:space="preserve">. </w:t>
      </w:r>
    </w:p>
    <w:bookmarkEnd w:id="57"/>
    <w:p w14:paraId="78F019E7" w14:textId="1BB45E0F" w:rsidR="00104D2B" w:rsidRPr="00E67A4C" w:rsidRDefault="00104D2B" w:rsidP="00EA1E18">
      <w:pPr>
        <w:spacing w:after="40"/>
        <w:rPr>
          <w:u w:val="single"/>
        </w:rPr>
      </w:pPr>
    </w:p>
    <w:p w14:paraId="271C62B5" w14:textId="5E90EB8E" w:rsidR="00BD615E" w:rsidRPr="00E67A4C" w:rsidRDefault="0021523D" w:rsidP="005F7DB5">
      <w:pPr>
        <w:pBdr>
          <w:top w:val="single" w:sz="4" w:space="1" w:color="auto"/>
          <w:left w:val="single" w:sz="4" w:space="4" w:color="auto"/>
          <w:bottom w:val="single" w:sz="4" w:space="1" w:color="auto"/>
          <w:right w:val="single" w:sz="4" w:space="4" w:color="auto"/>
        </w:pBdr>
        <w:spacing w:after="40"/>
        <w:jc w:val="both"/>
      </w:pPr>
      <w:r w:rsidRPr="00E67A4C">
        <w:rPr>
          <w:b/>
        </w:rPr>
        <w:t>C</w:t>
      </w:r>
      <w:r w:rsidR="00BD615E" w:rsidRPr="00E67A4C">
        <w:rPr>
          <w:b/>
        </w:rPr>
        <w:t>onsultation question 1</w:t>
      </w:r>
      <w:r w:rsidR="00CE19EB" w:rsidRPr="00E67A4C">
        <w:rPr>
          <w:b/>
        </w:rPr>
        <w:t>5</w:t>
      </w:r>
      <w:r w:rsidR="00BD615E" w:rsidRPr="00E67A4C">
        <w:rPr>
          <w:b/>
        </w:rPr>
        <w:t xml:space="preserve">: </w:t>
      </w:r>
      <w:r w:rsidR="00F9720B" w:rsidRPr="00E67A4C">
        <w:t xml:space="preserve">Are the proposed </w:t>
      </w:r>
      <w:r w:rsidR="004F7C24" w:rsidRPr="00E67A4C">
        <w:t xml:space="preserve">options </w:t>
      </w:r>
      <w:r w:rsidR="001B355F" w:rsidRPr="00E67A4C">
        <w:t>appropriate to</w:t>
      </w:r>
      <w:r w:rsidR="004F7C24" w:rsidRPr="00E67A4C">
        <w:t xml:space="preserve"> address the stated problem and achiev</w:t>
      </w:r>
      <w:r w:rsidR="001B355F" w:rsidRPr="00E67A4C">
        <w:t>e</w:t>
      </w:r>
      <w:r w:rsidR="004F7C24" w:rsidRPr="00E67A4C">
        <w:t xml:space="preserve"> the </w:t>
      </w:r>
      <w:r w:rsidR="004B1814" w:rsidRPr="00E67A4C">
        <w:t xml:space="preserve">proposed </w:t>
      </w:r>
      <w:r w:rsidR="004F7C24" w:rsidRPr="00E67A4C">
        <w:t xml:space="preserve">objectives? </w:t>
      </w:r>
      <w:r w:rsidR="00DA0F49" w:rsidRPr="00E67A4C">
        <w:t xml:space="preserve">If not, please </w:t>
      </w:r>
      <w:r w:rsidR="007075DB" w:rsidRPr="00E67A4C">
        <w:t xml:space="preserve">suggest variations or </w:t>
      </w:r>
      <w:r w:rsidR="00DB0F08" w:rsidRPr="00E67A4C">
        <w:t>alternative</w:t>
      </w:r>
      <w:r w:rsidR="007075DB" w:rsidRPr="00E67A4C">
        <w:t xml:space="preserve"> options</w:t>
      </w:r>
      <w:r w:rsidR="005603A8" w:rsidRPr="00E67A4C">
        <w:t xml:space="preserve">. Please justify </w:t>
      </w:r>
      <w:r w:rsidR="00DB0F08" w:rsidRPr="00E67A4C">
        <w:t>variations / alternatives and describe their costs and benefits.</w:t>
      </w:r>
    </w:p>
    <w:p w14:paraId="030BE6F7" w14:textId="77777777" w:rsidR="008C6723" w:rsidRPr="00E67A4C" w:rsidRDefault="008C6723" w:rsidP="008C6723">
      <w:pPr>
        <w:spacing w:after="40"/>
        <w:jc w:val="both"/>
        <w:rPr>
          <w:bCs/>
        </w:rPr>
      </w:pPr>
      <w:bookmarkStart w:id="58" w:name="_Toc426380830"/>
      <w:bookmarkStart w:id="59" w:name="_Toc426380895"/>
      <w:bookmarkStart w:id="60" w:name="_Toc426380926"/>
    </w:p>
    <w:p w14:paraId="03A32410" w14:textId="301725A5" w:rsidR="0004125A" w:rsidRPr="00246032" w:rsidRDefault="0004125A" w:rsidP="00812051">
      <w:pPr>
        <w:pStyle w:val="Heading2"/>
        <w:rPr>
          <w:rStyle w:val="Heading1Char"/>
          <w:rFonts w:ascii="Times New Roman" w:hAnsi="Times New Roman" w:cs="Times New Roman"/>
          <w:b/>
          <w:bCs/>
          <w:kern w:val="0"/>
          <w:szCs w:val="28"/>
        </w:rPr>
      </w:pPr>
      <w:bookmarkStart w:id="61" w:name="_Toc51165280"/>
      <w:r w:rsidRPr="00246032">
        <w:rPr>
          <w:rStyle w:val="Heading1Char"/>
          <w:rFonts w:ascii="Times New Roman" w:hAnsi="Times New Roman" w:cs="Times New Roman"/>
          <w:b/>
          <w:bCs/>
          <w:kern w:val="0"/>
          <w:szCs w:val="28"/>
        </w:rPr>
        <w:lastRenderedPageBreak/>
        <w:t>5</w:t>
      </w:r>
      <w:r w:rsidR="00EA1E18" w:rsidRPr="00246032">
        <w:rPr>
          <w:rStyle w:val="Heading1Char"/>
          <w:rFonts w:ascii="Times New Roman" w:hAnsi="Times New Roman" w:cs="Times New Roman"/>
          <w:b/>
          <w:bCs/>
          <w:kern w:val="0"/>
          <w:szCs w:val="28"/>
        </w:rPr>
        <w:t xml:space="preserve"> </w:t>
      </w:r>
      <w:r w:rsidRPr="00246032">
        <w:rPr>
          <w:rStyle w:val="Heading1Char"/>
          <w:rFonts w:ascii="Times New Roman" w:hAnsi="Times New Roman" w:cs="Times New Roman"/>
          <w:b/>
          <w:bCs/>
          <w:kern w:val="0"/>
          <w:szCs w:val="28"/>
        </w:rPr>
        <w:t>Impact analysis</w:t>
      </w:r>
      <w:bookmarkEnd w:id="58"/>
      <w:bookmarkEnd w:id="59"/>
      <w:bookmarkEnd w:id="60"/>
      <w:bookmarkEnd w:id="61"/>
    </w:p>
    <w:p w14:paraId="7F5B0521" w14:textId="00686657" w:rsidR="00665C54" w:rsidRPr="00E67A4C" w:rsidRDefault="001000B9" w:rsidP="00EA1E18">
      <w:pPr>
        <w:spacing w:after="40"/>
        <w:jc w:val="both"/>
        <w:rPr>
          <w:color w:val="222222"/>
        </w:rPr>
      </w:pPr>
      <w:bookmarkStart w:id="62" w:name="_Toc426380831"/>
      <w:bookmarkStart w:id="63" w:name="_Toc426380896"/>
      <w:bookmarkStart w:id="64" w:name="_Toc426380927"/>
      <w:r w:rsidRPr="00E67A4C">
        <w:t xml:space="preserve">In determining which option has the greatest net benefit, it is important to consider how </w:t>
      </w:r>
      <w:r w:rsidR="00126170" w:rsidRPr="00E67A4C">
        <w:t>well</w:t>
      </w:r>
      <w:r w:rsidRPr="00E67A4C">
        <w:t xml:space="preserve"> the options could achieve the policy objectives</w:t>
      </w:r>
      <w:r w:rsidR="00CB6FCB" w:rsidRPr="00E67A4C">
        <w:t xml:space="preserve"> </w:t>
      </w:r>
      <w:r w:rsidR="002179A2" w:rsidRPr="00E67A4C">
        <w:t>as well as</w:t>
      </w:r>
      <w:r w:rsidR="00C67B99" w:rsidRPr="00E67A4C">
        <w:t xml:space="preserve"> the costs and benefits of the options </w:t>
      </w:r>
      <w:r w:rsidR="0039742E" w:rsidRPr="00E67A4C">
        <w:t xml:space="preserve">(in comparison to the status quo) </w:t>
      </w:r>
      <w:r w:rsidR="00CB6FCB" w:rsidRPr="00E67A4C">
        <w:t xml:space="preserve">for </w:t>
      </w:r>
      <w:r w:rsidR="00C67B99" w:rsidRPr="00E67A4C">
        <w:t xml:space="preserve">the groups in the community that would be </w:t>
      </w:r>
      <w:r w:rsidR="00387CFE" w:rsidRPr="00E67A4C">
        <w:t xml:space="preserve">most </w:t>
      </w:r>
      <w:r w:rsidR="00C67B99" w:rsidRPr="00E67A4C">
        <w:t xml:space="preserve">affected by each option. This section discusses the </w:t>
      </w:r>
      <w:r w:rsidR="00104D2B" w:rsidRPr="00E67A4C">
        <w:t>predicted</w:t>
      </w:r>
      <w:r w:rsidR="00C67B99" w:rsidRPr="00E67A4C">
        <w:t xml:space="preserve"> </w:t>
      </w:r>
      <w:r w:rsidR="005A579D" w:rsidRPr="00E67A4C">
        <w:t xml:space="preserve">qualitative and </w:t>
      </w:r>
      <w:r w:rsidR="00490F1C" w:rsidRPr="00E67A4C">
        <w:t xml:space="preserve">where possible, </w:t>
      </w:r>
      <w:r w:rsidR="005A579D" w:rsidRPr="00E67A4C">
        <w:t xml:space="preserve">quantitative </w:t>
      </w:r>
      <w:r w:rsidR="00C67B99" w:rsidRPr="00E67A4C">
        <w:t xml:space="preserve">costs and benefits of </w:t>
      </w:r>
      <w:r w:rsidR="00CB6FCB" w:rsidRPr="00E67A4C">
        <w:t>each</w:t>
      </w:r>
      <w:r w:rsidR="00C67B99" w:rsidRPr="00E67A4C">
        <w:t xml:space="preserve"> option</w:t>
      </w:r>
      <w:r w:rsidR="00CB6FCB" w:rsidRPr="00E67A4C">
        <w:t>, as well as the anticipated changes for industry</w:t>
      </w:r>
      <w:r w:rsidR="00C67B99" w:rsidRPr="00E67A4C">
        <w:t>.</w:t>
      </w:r>
      <w:r w:rsidR="00961EB3" w:rsidRPr="00E67A4C">
        <w:t xml:space="preserve"> The costs and benefits draw on </w:t>
      </w:r>
      <w:r w:rsidR="00CF455A" w:rsidRPr="00E67A4C">
        <w:t xml:space="preserve">information provided by </w:t>
      </w:r>
      <w:r w:rsidR="009C69A6" w:rsidRPr="00E67A4C">
        <w:t xml:space="preserve">Australian </w:t>
      </w:r>
      <w:r w:rsidR="00CF455A" w:rsidRPr="00E67A4C">
        <w:t>stakeholders during the consultation</w:t>
      </w:r>
      <w:r w:rsidR="00B537DA" w:rsidRPr="00E67A4C">
        <w:t>s in 2018.</w:t>
      </w:r>
      <w:r w:rsidR="00527A08" w:rsidRPr="00E67A4C">
        <w:t xml:space="preserve"> </w:t>
      </w:r>
      <w:r w:rsidR="00A57852" w:rsidRPr="00E67A4C">
        <w:t xml:space="preserve">Any </w:t>
      </w:r>
      <w:r w:rsidR="00527A08" w:rsidRPr="00E67A4C">
        <w:t xml:space="preserve">data provided by </w:t>
      </w:r>
      <w:r w:rsidR="00104D2B" w:rsidRPr="00E67A4C">
        <w:t>stakeholders</w:t>
      </w:r>
      <w:r w:rsidR="00527A08" w:rsidRPr="00E67A4C">
        <w:t xml:space="preserve"> through this process will be taken into consideration as part of the development of the </w:t>
      </w:r>
      <w:r w:rsidR="000C21C7" w:rsidRPr="00E67A4C">
        <w:t xml:space="preserve">Decision </w:t>
      </w:r>
      <w:r w:rsidR="00527A08" w:rsidRPr="00E67A4C">
        <w:t>RIS</w:t>
      </w:r>
      <w:r w:rsidR="003401DF" w:rsidRPr="00E67A4C">
        <w:t xml:space="preserve">. </w:t>
      </w:r>
      <w:r w:rsidR="00C41D6B" w:rsidRPr="00E67A4C">
        <w:t xml:space="preserve">Identifiable business </w:t>
      </w:r>
      <w:r w:rsidR="00C33292" w:rsidRPr="00E67A4C">
        <w:t>information</w:t>
      </w:r>
      <w:r w:rsidR="00C41D6B" w:rsidRPr="00E67A4C">
        <w:t xml:space="preserve"> will not be</w:t>
      </w:r>
      <w:r w:rsidR="00715B89" w:rsidRPr="00E67A4C">
        <w:t xml:space="preserve"> included in the Decision RIS.</w:t>
      </w:r>
    </w:p>
    <w:p w14:paraId="5562A826" w14:textId="3392F316" w:rsidR="0049663A" w:rsidRPr="00E67A4C" w:rsidRDefault="0049663A" w:rsidP="00EA1E18">
      <w:pPr>
        <w:spacing w:after="40"/>
        <w:jc w:val="both"/>
      </w:pPr>
    </w:p>
    <w:p w14:paraId="44D9A58D" w14:textId="77777777" w:rsidR="0004125A" w:rsidRPr="00E67A4C" w:rsidRDefault="0004125A" w:rsidP="00246032">
      <w:pPr>
        <w:pStyle w:val="Heading3"/>
      </w:pPr>
      <w:bookmarkStart w:id="65" w:name="_Toc51165281"/>
      <w:r w:rsidRPr="00E67A4C">
        <w:t>5.1</w:t>
      </w:r>
      <w:r w:rsidR="00EA1E18" w:rsidRPr="00E67A4C">
        <w:t xml:space="preserve"> </w:t>
      </w:r>
      <w:r w:rsidRPr="00E67A4C">
        <w:t>Affected parties</w:t>
      </w:r>
      <w:bookmarkEnd w:id="62"/>
      <w:bookmarkEnd w:id="63"/>
      <w:bookmarkEnd w:id="64"/>
      <w:bookmarkEnd w:id="65"/>
    </w:p>
    <w:p w14:paraId="6CB0F3B4" w14:textId="77777777" w:rsidR="00F15C27" w:rsidRPr="00E67A4C" w:rsidRDefault="00F15C27" w:rsidP="00EA1E18">
      <w:pPr>
        <w:spacing w:after="40"/>
        <w:jc w:val="both"/>
      </w:pPr>
      <w:bookmarkStart w:id="66" w:name="_Toc426380832"/>
      <w:bookmarkStart w:id="67" w:name="_Toc426380897"/>
      <w:bookmarkStart w:id="68" w:name="_Toc426380928"/>
      <w:r w:rsidRPr="00E67A4C">
        <w:t>Parties that have been identified as potentially being affected</w:t>
      </w:r>
      <w:r w:rsidR="00F7321E" w:rsidRPr="00E67A4C">
        <w:t xml:space="preserve"> include:</w:t>
      </w:r>
    </w:p>
    <w:p w14:paraId="5B82264B" w14:textId="505F7EF2" w:rsidR="00F15C27" w:rsidRPr="00E67A4C" w:rsidRDefault="008376B0" w:rsidP="00F76FDC">
      <w:pPr>
        <w:pStyle w:val="ListParagraph"/>
        <w:numPr>
          <w:ilvl w:val="0"/>
          <w:numId w:val="3"/>
        </w:numPr>
        <w:spacing w:after="40"/>
        <w:jc w:val="both"/>
        <w:rPr>
          <w:lang w:eastAsia="zh-CN" w:bidi="th-TH"/>
        </w:rPr>
      </w:pPr>
      <w:r w:rsidRPr="00E67A4C">
        <w:rPr>
          <w:lang w:eastAsia="zh-CN" w:bidi="th-TH"/>
        </w:rPr>
        <w:t>Australian and New Zealand food i</w:t>
      </w:r>
      <w:r w:rsidR="00F15C27" w:rsidRPr="00E67A4C">
        <w:rPr>
          <w:lang w:eastAsia="zh-CN" w:bidi="th-TH"/>
        </w:rPr>
        <w:t>ndustr</w:t>
      </w:r>
      <w:r w:rsidR="009C69A6" w:rsidRPr="00E67A4C">
        <w:rPr>
          <w:lang w:eastAsia="zh-CN" w:bidi="th-TH"/>
        </w:rPr>
        <w:t>ies</w:t>
      </w:r>
      <w:r w:rsidR="00515D24" w:rsidRPr="00E67A4C">
        <w:rPr>
          <w:lang w:eastAsia="zh-CN" w:bidi="th-TH"/>
        </w:rPr>
        <w:t xml:space="preserve">, </w:t>
      </w:r>
      <w:r w:rsidR="00B40DF1" w:rsidRPr="00E67A4C">
        <w:rPr>
          <w:lang w:eastAsia="zh-CN" w:bidi="th-TH"/>
        </w:rPr>
        <w:t xml:space="preserve">specifically </w:t>
      </w:r>
      <w:r w:rsidR="005C0F9C" w:rsidRPr="00E67A4C">
        <w:rPr>
          <w:lang w:eastAsia="zh-CN" w:bidi="th-TH"/>
        </w:rPr>
        <w:t>businesses</w:t>
      </w:r>
      <w:r w:rsidR="00515D24" w:rsidRPr="00E67A4C">
        <w:rPr>
          <w:lang w:eastAsia="zh-CN" w:bidi="th-TH"/>
        </w:rPr>
        <w:t xml:space="preserve"> involved in the </w:t>
      </w:r>
      <w:r w:rsidR="005C0F9C" w:rsidRPr="00E67A4C">
        <w:rPr>
          <w:lang w:eastAsia="zh-CN" w:bidi="th-TH"/>
        </w:rPr>
        <w:t>selling of standard food items</w:t>
      </w:r>
      <w:r w:rsidR="001E0154" w:rsidRPr="00E67A4C">
        <w:rPr>
          <w:lang w:eastAsia="zh-CN" w:bidi="th-TH"/>
        </w:rPr>
        <w:t>;</w:t>
      </w:r>
      <w:r w:rsidR="00CC1C80" w:rsidRPr="00E67A4C">
        <w:rPr>
          <w:lang w:eastAsia="zh-CN" w:bidi="th-TH"/>
        </w:rPr>
        <w:t xml:space="preserve"> and</w:t>
      </w:r>
    </w:p>
    <w:p w14:paraId="2CEC6DD6" w14:textId="6E458411" w:rsidR="00CC1C80" w:rsidRPr="00E67A4C" w:rsidRDefault="008376B0" w:rsidP="00F76FDC">
      <w:pPr>
        <w:pStyle w:val="ListParagraph"/>
        <w:numPr>
          <w:ilvl w:val="0"/>
          <w:numId w:val="3"/>
        </w:numPr>
        <w:spacing w:after="40"/>
        <w:jc w:val="both"/>
        <w:rPr>
          <w:lang w:eastAsia="zh-CN" w:bidi="th-TH"/>
        </w:rPr>
      </w:pPr>
      <w:r w:rsidRPr="00E67A4C">
        <w:rPr>
          <w:lang w:eastAsia="zh-CN" w:bidi="th-TH"/>
        </w:rPr>
        <w:t xml:space="preserve">Australian and New Zealand </w:t>
      </w:r>
      <w:r w:rsidR="0062069A" w:rsidRPr="00E67A4C">
        <w:rPr>
          <w:lang w:eastAsia="zh-CN" w:bidi="th-TH"/>
        </w:rPr>
        <w:t xml:space="preserve">individuals that purchase and consume </w:t>
      </w:r>
      <w:r w:rsidR="00F15C27" w:rsidRPr="00E67A4C">
        <w:rPr>
          <w:lang w:eastAsia="zh-CN" w:bidi="th-TH"/>
        </w:rPr>
        <w:t>standard food items</w:t>
      </w:r>
      <w:r w:rsidR="00EF6F3B" w:rsidRPr="00E67A4C">
        <w:rPr>
          <w:lang w:eastAsia="zh-CN" w:bidi="th-TH"/>
        </w:rPr>
        <w:t>.</w:t>
      </w:r>
    </w:p>
    <w:p w14:paraId="1084CA7C" w14:textId="3C570C29" w:rsidR="00CC1C80" w:rsidRPr="00E67A4C" w:rsidRDefault="00CC1C80" w:rsidP="00CC1C80">
      <w:pPr>
        <w:spacing w:after="40"/>
        <w:jc w:val="both"/>
        <w:rPr>
          <w:lang w:eastAsia="zh-CN" w:bidi="th-TH"/>
        </w:rPr>
      </w:pPr>
    </w:p>
    <w:p w14:paraId="6521F93A" w14:textId="597888D9" w:rsidR="00500690" w:rsidRPr="00E67A4C" w:rsidRDefault="00286C3A" w:rsidP="00CC1C80">
      <w:pPr>
        <w:spacing w:after="40"/>
        <w:jc w:val="both"/>
      </w:pPr>
      <w:r w:rsidRPr="00E67A4C">
        <w:rPr>
          <w:lang w:eastAsia="zh-CN" w:bidi="th-TH"/>
        </w:rPr>
        <w:t xml:space="preserve">For the purposes of the RIS, </w:t>
      </w:r>
      <w:r w:rsidR="00926E0A" w:rsidRPr="00E67A4C">
        <w:rPr>
          <w:lang w:eastAsia="zh-CN" w:bidi="th-TH"/>
        </w:rPr>
        <w:t xml:space="preserve">the expected </w:t>
      </w:r>
      <w:r w:rsidRPr="00E67A4C">
        <w:rPr>
          <w:lang w:eastAsia="zh-CN" w:bidi="th-TH"/>
        </w:rPr>
        <w:t xml:space="preserve">benefits and costs </w:t>
      </w:r>
      <w:r w:rsidR="00AF5193" w:rsidRPr="00E67A4C">
        <w:rPr>
          <w:lang w:eastAsia="zh-CN" w:bidi="th-TH"/>
        </w:rPr>
        <w:t xml:space="preserve">to </w:t>
      </w:r>
      <w:r w:rsidRPr="00E67A4C">
        <w:rPr>
          <w:lang w:eastAsia="zh-CN" w:bidi="th-TH"/>
        </w:rPr>
        <w:t>government</w:t>
      </w:r>
      <w:r w:rsidR="00AF5193" w:rsidRPr="00E67A4C">
        <w:rPr>
          <w:lang w:eastAsia="zh-CN" w:bidi="th-TH"/>
        </w:rPr>
        <w:t xml:space="preserve"> </w:t>
      </w:r>
      <w:r w:rsidR="008E6332" w:rsidRPr="00E67A4C">
        <w:rPr>
          <w:lang w:eastAsia="zh-CN" w:bidi="th-TH"/>
        </w:rPr>
        <w:t xml:space="preserve">for each </w:t>
      </w:r>
      <w:r w:rsidR="00E05628" w:rsidRPr="00E67A4C">
        <w:rPr>
          <w:lang w:eastAsia="zh-CN" w:bidi="th-TH"/>
        </w:rPr>
        <w:t xml:space="preserve">proposed </w:t>
      </w:r>
      <w:r w:rsidR="008E6332" w:rsidRPr="00E67A4C">
        <w:rPr>
          <w:lang w:eastAsia="zh-CN" w:bidi="th-TH"/>
        </w:rPr>
        <w:t xml:space="preserve">option </w:t>
      </w:r>
      <w:r w:rsidR="00AF5193" w:rsidRPr="00E67A4C">
        <w:rPr>
          <w:lang w:eastAsia="zh-CN" w:bidi="th-TH"/>
        </w:rPr>
        <w:t xml:space="preserve">have not been included in the </w:t>
      </w:r>
      <w:r w:rsidR="006C043B" w:rsidRPr="00E67A4C">
        <w:rPr>
          <w:lang w:eastAsia="zh-CN" w:bidi="th-TH"/>
        </w:rPr>
        <w:t xml:space="preserve">impact </w:t>
      </w:r>
      <w:r w:rsidR="00AF5193" w:rsidRPr="00E67A4C">
        <w:rPr>
          <w:lang w:eastAsia="zh-CN" w:bidi="th-TH"/>
        </w:rPr>
        <w:t xml:space="preserve">analysis. </w:t>
      </w:r>
    </w:p>
    <w:p w14:paraId="7AA6607A" w14:textId="77777777" w:rsidR="00E109A8" w:rsidRPr="00E67A4C" w:rsidRDefault="00E109A8" w:rsidP="00CC1C80">
      <w:pPr>
        <w:spacing w:after="40"/>
        <w:jc w:val="both"/>
      </w:pPr>
    </w:p>
    <w:p w14:paraId="5D8B60E0" w14:textId="56A89542" w:rsidR="0004125A" w:rsidRPr="00E67A4C" w:rsidRDefault="0004125A" w:rsidP="00246032">
      <w:pPr>
        <w:pStyle w:val="Heading3"/>
      </w:pPr>
      <w:bookmarkStart w:id="69" w:name="_Toc51165282"/>
      <w:r w:rsidRPr="00E67A4C">
        <w:t>5.2</w:t>
      </w:r>
      <w:r w:rsidR="00EA1E18" w:rsidRPr="00E67A4C">
        <w:t xml:space="preserve"> </w:t>
      </w:r>
      <w:r w:rsidRPr="00E67A4C">
        <w:t xml:space="preserve">Option 1 </w:t>
      </w:r>
      <w:bookmarkEnd w:id="66"/>
      <w:bookmarkEnd w:id="67"/>
      <w:bookmarkEnd w:id="68"/>
      <w:bookmarkEnd w:id="69"/>
    </w:p>
    <w:p w14:paraId="5165ABCE" w14:textId="4EBE3FFF" w:rsidR="00F53A5B" w:rsidRPr="00E67A4C" w:rsidRDefault="00F53A5B" w:rsidP="00F53A5B">
      <w:pPr>
        <w:spacing w:after="40"/>
        <w:jc w:val="both"/>
      </w:pPr>
      <w:r w:rsidRPr="00E67A4C">
        <w:t>This option means that:</w:t>
      </w:r>
    </w:p>
    <w:p w14:paraId="447CE922" w14:textId="298CE0C2" w:rsidR="00F53A5B" w:rsidRPr="00E67A4C" w:rsidRDefault="00F53A5B" w:rsidP="00F76FDC">
      <w:pPr>
        <w:pStyle w:val="ListParagraph"/>
        <w:numPr>
          <w:ilvl w:val="0"/>
          <w:numId w:val="3"/>
        </w:numPr>
        <w:spacing w:after="40"/>
        <w:jc w:val="both"/>
        <w:rPr>
          <w:lang w:eastAsia="zh-CN" w:bidi="th-TH"/>
        </w:rPr>
      </w:pPr>
      <w:r w:rsidRPr="00E67A4C">
        <w:rPr>
          <w:lang w:eastAsia="zh-CN" w:bidi="th-TH"/>
        </w:rPr>
        <w:t>Businesses with standard food outlets</w:t>
      </w:r>
      <w:r w:rsidR="006E6A0E" w:rsidRPr="00E67A4C">
        <w:rPr>
          <w:rStyle w:val="FootnoteReference"/>
          <w:lang w:eastAsia="zh-CN" w:bidi="th-TH"/>
        </w:rPr>
        <w:footnoteReference w:id="51"/>
      </w:r>
      <w:r w:rsidRPr="00E67A4C">
        <w:rPr>
          <w:lang w:eastAsia="zh-CN" w:bidi="th-TH"/>
        </w:rPr>
        <w:t xml:space="preserve"> in the Australian Capital Territory, New South Wales, Queensland, South Australia and Victoria would need to </w:t>
      </w:r>
      <w:r w:rsidR="0006142B" w:rsidRPr="00E67A4C">
        <w:rPr>
          <w:lang w:eastAsia="zh-CN" w:bidi="th-TH"/>
        </w:rPr>
        <w:t xml:space="preserve">continue to </w:t>
      </w:r>
      <w:r w:rsidRPr="00E67A4C">
        <w:rPr>
          <w:lang w:eastAsia="zh-CN" w:bidi="th-TH"/>
        </w:rPr>
        <w:t>comply with the legislation in th</w:t>
      </w:r>
      <w:r w:rsidR="00EB6FAF" w:rsidRPr="00E67A4C">
        <w:rPr>
          <w:lang w:eastAsia="zh-CN" w:bidi="th-TH"/>
        </w:rPr>
        <w:t>ose</w:t>
      </w:r>
      <w:r w:rsidRPr="00E67A4C">
        <w:rPr>
          <w:lang w:eastAsia="zh-CN" w:bidi="th-TH"/>
        </w:rPr>
        <w:t xml:space="preserve"> jurisdiction</w:t>
      </w:r>
      <w:r w:rsidR="00EB6FAF" w:rsidRPr="00E67A4C">
        <w:rPr>
          <w:lang w:eastAsia="zh-CN" w:bidi="th-TH"/>
        </w:rPr>
        <w:t>s</w:t>
      </w:r>
      <w:r w:rsidRPr="00E67A4C">
        <w:rPr>
          <w:lang w:eastAsia="zh-CN" w:bidi="th-TH"/>
        </w:rPr>
        <w:t xml:space="preserve">; and may </w:t>
      </w:r>
      <w:r w:rsidR="00A944DF" w:rsidRPr="00E67A4C">
        <w:rPr>
          <w:lang w:eastAsia="zh-CN" w:bidi="th-TH"/>
        </w:rPr>
        <w:t>contin</w:t>
      </w:r>
      <w:r w:rsidR="006C096F" w:rsidRPr="00E67A4C">
        <w:rPr>
          <w:lang w:eastAsia="zh-CN" w:bidi="th-TH"/>
        </w:rPr>
        <w:t xml:space="preserve">ue to </w:t>
      </w:r>
      <w:r w:rsidRPr="00E67A4C">
        <w:rPr>
          <w:lang w:eastAsia="zh-CN" w:bidi="th-TH"/>
        </w:rPr>
        <w:t xml:space="preserve">face </w:t>
      </w:r>
      <w:r w:rsidR="003C0FD0" w:rsidRPr="00E67A4C">
        <w:rPr>
          <w:lang w:eastAsia="zh-CN" w:bidi="th-TH"/>
        </w:rPr>
        <w:t xml:space="preserve">higher </w:t>
      </w:r>
      <w:r w:rsidRPr="00E67A4C">
        <w:rPr>
          <w:lang w:eastAsia="zh-CN" w:bidi="th-TH"/>
        </w:rPr>
        <w:t>regulatory burden and costs due to national inconsistenc</w:t>
      </w:r>
      <w:r w:rsidR="00EB6FAF" w:rsidRPr="00E67A4C">
        <w:rPr>
          <w:lang w:eastAsia="zh-CN" w:bidi="th-TH"/>
        </w:rPr>
        <w:t>y</w:t>
      </w:r>
      <w:r w:rsidRPr="00E67A4C">
        <w:rPr>
          <w:lang w:eastAsia="zh-CN" w:bidi="th-TH"/>
        </w:rPr>
        <w:t>.</w:t>
      </w:r>
    </w:p>
    <w:p w14:paraId="703DFD3A" w14:textId="77777777" w:rsidR="00F53A5B" w:rsidRPr="00E67A4C" w:rsidRDefault="00F53A5B" w:rsidP="00F76FDC">
      <w:pPr>
        <w:pStyle w:val="ListParagraph"/>
        <w:numPr>
          <w:ilvl w:val="0"/>
          <w:numId w:val="3"/>
        </w:numPr>
        <w:spacing w:after="40"/>
        <w:jc w:val="both"/>
        <w:rPr>
          <w:lang w:eastAsia="zh-CN" w:bidi="th-TH"/>
        </w:rPr>
      </w:pPr>
      <w:r w:rsidRPr="00E67A4C">
        <w:rPr>
          <w:lang w:eastAsia="zh-CN" w:bidi="th-TH"/>
        </w:rPr>
        <w:t>Businesses exempted by a jurisdiction would not need to comply with the legislation in that jurisdiction.</w:t>
      </w:r>
    </w:p>
    <w:p w14:paraId="75258DCC" w14:textId="0A6A9406" w:rsidR="00F12387" w:rsidRPr="00E67A4C" w:rsidRDefault="009C3AA8" w:rsidP="00F76FDC">
      <w:pPr>
        <w:pStyle w:val="ListParagraph"/>
        <w:numPr>
          <w:ilvl w:val="0"/>
          <w:numId w:val="3"/>
        </w:numPr>
        <w:spacing w:after="40"/>
        <w:jc w:val="both"/>
        <w:rPr>
          <w:lang w:eastAsia="zh-CN" w:bidi="th-TH"/>
        </w:rPr>
      </w:pPr>
      <w:r w:rsidRPr="00E67A4C">
        <w:rPr>
          <w:lang w:eastAsia="zh-CN" w:bidi="th-TH"/>
        </w:rPr>
        <w:t>Australian s</w:t>
      </w:r>
      <w:r w:rsidR="005D6824" w:rsidRPr="00E67A4C">
        <w:rPr>
          <w:lang w:eastAsia="zh-CN" w:bidi="th-TH"/>
        </w:rPr>
        <w:t xml:space="preserve">upermarkets would be allowed to display energy information as per 100 grams </w:t>
      </w:r>
      <w:r w:rsidR="006E6A0E" w:rsidRPr="00E67A4C">
        <w:rPr>
          <w:lang w:eastAsia="zh-CN" w:bidi="th-TH"/>
        </w:rPr>
        <w:t xml:space="preserve">or per standard food item, </w:t>
      </w:r>
      <w:r w:rsidR="005D6824" w:rsidRPr="00E67A4C">
        <w:rPr>
          <w:lang w:eastAsia="zh-CN" w:bidi="th-TH"/>
        </w:rPr>
        <w:t>and in the same font as the unit price.</w:t>
      </w:r>
    </w:p>
    <w:p w14:paraId="2D10895F" w14:textId="360F47B1" w:rsidR="00B42F83" w:rsidRPr="00E67A4C" w:rsidRDefault="00F12387" w:rsidP="00B42F83">
      <w:pPr>
        <w:pStyle w:val="ListParagraph"/>
        <w:numPr>
          <w:ilvl w:val="0"/>
          <w:numId w:val="3"/>
        </w:numPr>
        <w:spacing w:after="40"/>
        <w:jc w:val="both"/>
        <w:rPr>
          <w:lang w:eastAsia="zh-CN" w:bidi="th-TH"/>
        </w:rPr>
      </w:pPr>
      <w:r w:rsidRPr="00E67A4C">
        <w:rPr>
          <w:lang w:eastAsia="zh-CN" w:bidi="th-TH"/>
        </w:rPr>
        <w:t xml:space="preserve">Menu labelling would be optional for smaller businesses to implement. </w:t>
      </w:r>
      <w:r w:rsidR="00B42F83" w:rsidRPr="00E67A4C">
        <w:rPr>
          <w:lang w:eastAsia="zh-CN" w:bidi="th-TH"/>
        </w:rPr>
        <w:t>Smaller businesses in Australian Capital Territory, New South Wales, Queensland, and South Australia would need to comply with the mandatory requirements.</w:t>
      </w:r>
    </w:p>
    <w:p w14:paraId="518B02FC" w14:textId="2EB4FFB9" w:rsidR="00F53A5B" w:rsidRPr="00E67A4C" w:rsidRDefault="00F53A5B" w:rsidP="00F76FDC">
      <w:pPr>
        <w:pStyle w:val="ListParagraph"/>
        <w:numPr>
          <w:ilvl w:val="0"/>
          <w:numId w:val="3"/>
        </w:numPr>
        <w:spacing w:after="40"/>
        <w:jc w:val="both"/>
        <w:rPr>
          <w:lang w:eastAsia="zh-CN" w:bidi="th-TH"/>
        </w:rPr>
      </w:pPr>
      <w:r w:rsidRPr="00E67A4C">
        <w:rPr>
          <w:lang w:eastAsia="zh-CN" w:bidi="th-TH"/>
        </w:rPr>
        <w:t xml:space="preserve">Businesses would not need to comply with menu labelling requirements for any new ways of promoting, </w:t>
      </w:r>
      <w:r w:rsidR="00C87007" w:rsidRPr="00E67A4C">
        <w:rPr>
          <w:lang w:eastAsia="zh-CN" w:bidi="th-TH"/>
        </w:rPr>
        <w:t>offering,</w:t>
      </w:r>
      <w:r w:rsidRPr="00E67A4C">
        <w:rPr>
          <w:lang w:eastAsia="zh-CN" w:bidi="th-TH"/>
        </w:rPr>
        <w:t xml:space="preserve"> or selling standard food items, if not covered by existing legislation</w:t>
      </w:r>
      <w:r w:rsidR="000C46A2" w:rsidRPr="00E67A4C">
        <w:rPr>
          <w:lang w:eastAsia="zh-CN" w:bidi="th-TH"/>
        </w:rPr>
        <w:t xml:space="preserve">, or if not captured by </w:t>
      </w:r>
      <w:r w:rsidR="000E778D" w:rsidRPr="00E67A4C">
        <w:rPr>
          <w:lang w:eastAsia="zh-CN" w:bidi="th-TH"/>
        </w:rPr>
        <w:t>jurisdictions newly introducing menu labelling</w:t>
      </w:r>
      <w:r w:rsidRPr="00E67A4C">
        <w:rPr>
          <w:lang w:eastAsia="zh-CN" w:bidi="th-TH"/>
        </w:rPr>
        <w:t>.</w:t>
      </w:r>
    </w:p>
    <w:p w14:paraId="08F1BC47" w14:textId="6575DB44" w:rsidR="00A57976" w:rsidRPr="00E67A4C" w:rsidRDefault="00A57976" w:rsidP="00F76FDC">
      <w:pPr>
        <w:pStyle w:val="ListParagraph"/>
        <w:numPr>
          <w:ilvl w:val="0"/>
          <w:numId w:val="3"/>
        </w:numPr>
        <w:spacing w:after="40"/>
        <w:jc w:val="both"/>
        <w:rPr>
          <w:lang w:eastAsia="zh-CN" w:bidi="th-TH"/>
        </w:rPr>
      </w:pPr>
      <w:r w:rsidRPr="00E67A4C">
        <w:rPr>
          <w:lang w:eastAsia="zh-CN" w:bidi="th-TH"/>
        </w:rPr>
        <w:t>Businesses would continue to receive support from jurisdictions to implement the legislation</w:t>
      </w:r>
      <w:r w:rsidR="009A7572" w:rsidRPr="00E67A4C">
        <w:rPr>
          <w:lang w:eastAsia="zh-CN" w:bidi="th-TH"/>
        </w:rPr>
        <w:t>, albeit limited to the scope of the jurisdictions’ capacity noting that many chains operate across jurisdictional borders.</w:t>
      </w:r>
    </w:p>
    <w:p w14:paraId="35EAC601" w14:textId="5666B190" w:rsidR="001A063E" w:rsidRPr="00E67A4C" w:rsidRDefault="00C571BA" w:rsidP="00F76FDC">
      <w:pPr>
        <w:pStyle w:val="ListParagraph"/>
        <w:numPr>
          <w:ilvl w:val="0"/>
          <w:numId w:val="3"/>
        </w:numPr>
        <w:spacing w:after="40"/>
        <w:jc w:val="both"/>
        <w:rPr>
          <w:lang w:eastAsia="zh-CN" w:bidi="th-TH"/>
        </w:rPr>
      </w:pPr>
      <w:r w:rsidRPr="00E67A4C">
        <w:rPr>
          <w:lang w:eastAsia="zh-CN" w:bidi="th-TH"/>
        </w:rPr>
        <w:t>Australian</w:t>
      </w:r>
      <w:r w:rsidR="00D0464D" w:rsidRPr="00E67A4C">
        <w:rPr>
          <w:lang w:eastAsia="zh-CN" w:bidi="th-TH"/>
        </w:rPr>
        <w:t xml:space="preserve"> consumers</w:t>
      </w:r>
      <w:r w:rsidR="009A7572" w:rsidRPr="00E67A4C">
        <w:rPr>
          <w:lang w:eastAsia="zh-CN" w:bidi="th-TH"/>
        </w:rPr>
        <w:t>, in most jurisdictions,</w:t>
      </w:r>
      <w:r w:rsidR="00D0464D" w:rsidRPr="00E67A4C">
        <w:rPr>
          <w:lang w:eastAsia="zh-CN" w:bidi="th-TH"/>
        </w:rPr>
        <w:t xml:space="preserve"> </w:t>
      </w:r>
      <w:r w:rsidR="00DD2AB4" w:rsidRPr="00E67A4C">
        <w:rPr>
          <w:lang w:eastAsia="zh-CN" w:bidi="th-TH"/>
        </w:rPr>
        <w:t xml:space="preserve">will continue to have </w:t>
      </w:r>
      <w:r w:rsidR="00D0464D" w:rsidRPr="00E67A4C">
        <w:rPr>
          <w:lang w:eastAsia="zh-CN" w:bidi="th-TH"/>
        </w:rPr>
        <w:t xml:space="preserve">access to energy information at the point-of-sale </w:t>
      </w:r>
      <w:r w:rsidR="00DD2AB4" w:rsidRPr="00E67A4C">
        <w:rPr>
          <w:lang w:eastAsia="zh-CN" w:bidi="th-TH"/>
        </w:rPr>
        <w:t>in many businesses that sell standard food items.</w:t>
      </w:r>
      <w:r w:rsidR="001A063E" w:rsidRPr="00E67A4C">
        <w:rPr>
          <w:lang w:eastAsia="zh-CN" w:bidi="th-TH"/>
        </w:rPr>
        <w:t xml:space="preserve"> </w:t>
      </w:r>
    </w:p>
    <w:p w14:paraId="72A0F3B9" w14:textId="77777777" w:rsidR="00240799" w:rsidRPr="00E67A4C" w:rsidRDefault="00240799" w:rsidP="00240799">
      <w:pPr>
        <w:pStyle w:val="ListParagraph"/>
        <w:spacing w:after="40"/>
        <w:jc w:val="both"/>
        <w:rPr>
          <w:lang w:eastAsia="zh-CN" w:bidi="th-TH"/>
        </w:rPr>
      </w:pPr>
    </w:p>
    <w:p w14:paraId="04199C59" w14:textId="4D9524CE" w:rsidR="009E297B" w:rsidRPr="00E67A4C" w:rsidRDefault="00F64C43" w:rsidP="00F64C43">
      <w:pPr>
        <w:spacing w:after="40"/>
        <w:jc w:val="both"/>
        <w:rPr>
          <w:lang w:eastAsia="zh-CN" w:bidi="th-TH"/>
        </w:rPr>
      </w:pPr>
      <w:r w:rsidRPr="00E67A4C">
        <w:rPr>
          <w:lang w:eastAsia="zh-CN" w:bidi="th-TH"/>
        </w:rPr>
        <w:t>The primary risk associated with this option is that the problems outlined in section 2 of this paper would continue</w:t>
      </w:r>
      <w:r w:rsidR="00031A86" w:rsidRPr="00E67A4C">
        <w:rPr>
          <w:lang w:eastAsia="zh-CN" w:bidi="th-TH"/>
        </w:rPr>
        <w:t xml:space="preserve">. </w:t>
      </w:r>
      <w:r w:rsidR="006D44E5" w:rsidRPr="00E67A4C">
        <w:rPr>
          <w:lang w:eastAsia="zh-CN" w:bidi="th-TH"/>
        </w:rPr>
        <w:t>Further</w:t>
      </w:r>
      <w:r w:rsidR="002A6CEE" w:rsidRPr="00E67A4C">
        <w:rPr>
          <w:lang w:eastAsia="zh-CN" w:bidi="th-TH"/>
        </w:rPr>
        <w:t xml:space="preserve"> inconsistency may </w:t>
      </w:r>
      <w:r w:rsidR="00031A86" w:rsidRPr="00E67A4C">
        <w:rPr>
          <w:lang w:eastAsia="zh-CN" w:bidi="th-TH"/>
        </w:rPr>
        <w:t xml:space="preserve">also </w:t>
      </w:r>
      <w:r w:rsidR="002A6CEE" w:rsidRPr="00E67A4C">
        <w:rPr>
          <w:lang w:eastAsia="zh-CN" w:bidi="th-TH"/>
        </w:rPr>
        <w:t xml:space="preserve">result if </w:t>
      </w:r>
      <w:r w:rsidR="00EC15CD" w:rsidRPr="00E67A4C">
        <w:rPr>
          <w:lang w:eastAsia="zh-CN" w:bidi="th-TH"/>
        </w:rPr>
        <w:t xml:space="preserve">any jurisdiction </w:t>
      </w:r>
      <w:r w:rsidR="00D87E37" w:rsidRPr="00E67A4C">
        <w:rPr>
          <w:lang w:eastAsia="zh-CN" w:bidi="th-TH"/>
        </w:rPr>
        <w:t>seeks to capture emerging trends (e.g. digital menus)</w:t>
      </w:r>
      <w:r w:rsidR="00031A86" w:rsidRPr="00E67A4C">
        <w:rPr>
          <w:lang w:eastAsia="zh-CN" w:bidi="th-TH"/>
        </w:rPr>
        <w:t>, address changes in industry practice (e.g. enhanced customisation options)</w:t>
      </w:r>
      <w:r w:rsidR="00EC15CD" w:rsidRPr="00E67A4C">
        <w:rPr>
          <w:lang w:eastAsia="zh-CN" w:bidi="th-TH"/>
        </w:rPr>
        <w:t xml:space="preserve"> </w:t>
      </w:r>
      <w:r w:rsidR="00031A86" w:rsidRPr="00E67A4C">
        <w:rPr>
          <w:lang w:eastAsia="zh-CN" w:bidi="th-TH"/>
        </w:rPr>
        <w:t>or remove</w:t>
      </w:r>
      <w:r w:rsidR="00CC2457" w:rsidRPr="00E67A4C">
        <w:rPr>
          <w:lang w:eastAsia="zh-CN" w:bidi="th-TH"/>
        </w:rPr>
        <w:t xml:space="preserve"> or introduce exemptions</w:t>
      </w:r>
      <w:r w:rsidR="006D44E5" w:rsidRPr="00E67A4C">
        <w:rPr>
          <w:lang w:eastAsia="zh-CN" w:bidi="th-TH"/>
        </w:rPr>
        <w:t xml:space="preserve"> for different business types.</w:t>
      </w:r>
    </w:p>
    <w:p w14:paraId="7FE986F8" w14:textId="77777777" w:rsidR="004E3E67" w:rsidRDefault="004E3E67" w:rsidP="00E109A8">
      <w:pPr>
        <w:spacing w:after="40"/>
        <w:jc w:val="both"/>
        <w:rPr>
          <w:lang w:eastAsia="zh-CN" w:bidi="th-TH"/>
        </w:rPr>
      </w:pPr>
    </w:p>
    <w:p w14:paraId="758BCA4B" w14:textId="25D5389C" w:rsidR="00E87A24" w:rsidRPr="00E67A4C" w:rsidRDefault="00D877C9" w:rsidP="00E109A8">
      <w:pPr>
        <w:spacing w:after="40"/>
        <w:jc w:val="both"/>
        <w:rPr>
          <w:lang w:eastAsia="zh-CN" w:bidi="th-TH"/>
        </w:rPr>
      </w:pPr>
      <w:r w:rsidRPr="00E67A4C">
        <w:rPr>
          <w:lang w:eastAsia="zh-CN" w:bidi="th-TH"/>
        </w:rPr>
        <w:t xml:space="preserve">The estimated cost to implement menu labelling </w:t>
      </w:r>
      <w:r w:rsidR="0011438A" w:rsidRPr="00E67A4C">
        <w:rPr>
          <w:lang w:eastAsia="zh-CN" w:bidi="th-TH"/>
        </w:rPr>
        <w:t xml:space="preserve">is </w:t>
      </w:r>
      <w:r w:rsidR="00927E6E" w:rsidRPr="00E67A4C">
        <w:rPr>
          <w:lang w:eastAsia="zh-CN" w:bidi="th-TH"/>
        </w:rPr>
        <w:t xml:space="preserve">$1,585 (AUD) per </w:t>
      </w:r>
      <w:r w:rsidR="006E6A0E" w:rsidRPr="00E67A4C">
        <w:rPr>
          <w:lang w:eastAsia="zh-CN" w:bidi="th-TH"/>
        </w:rPr>
        <w:t xml:space="preserve">standard food </w:t>
      </w:r>
      <w:r w:rsidR="00927E6E" w:rsidRPr="00E67A4C">
        <w:rPr>
          <w:lang w:eastAsia="zh-CN" w:bidi="th-TH"/>
        </w:rPr>
        <w:t xml:space="preserve">outlet in start-up costs, and a further </w:t>
      </w:r>
      <w:r w:rsidR="000E7B12" w:rsidRPr="00E67A4C">
        <w:rPr>
          <w:lang w:eastAsia="zh-CN" w:bidi="th-TH"/>
        </w:rPr>
        <w:t xml:space="preserve">$560 (AUD) </w:t>
      </w:r>
      <w:r w:rsidR="00EB6EBF" w:rsidRPr="00E67A4C">
        <w:rPr>
          <w:lang w:eastAsia="zh-CN" w:bidi="th-TH"/>
        </w:rPr>
        <w:t xml:space="preserve">per outlet </w:t>
      </w:r>
      <w:r w:rsidR="003A363D" w:rsidRPr="00E67A4C">
        <w:rPr>
          <w:lang w:eastAsia="zh-CN" w:bidi="th-TH"/>
        </w:rPr>
        <w:t>in ongoing annual maintenance costs</w:t>
      </w:r>
      <w:r w:rsidR="00EB6EBF" w:rsidRPr="00E67A4C">
        <w:rPr>
          <w:lang w:eastAsia="zh-CN" w:bidi="th-TH"/>
        </w:rPr>
        <w:t>.</w:t>
      </w:r>
      <w:r w:rsidR="00EB6EBF" w:rsidRPr="00E67A4C">
        <w:rPr>
          <w:rStyle w:val="FootnoteReference"/>
          <w:lang w:eastAsia="zh-CN" w:bidi="th-TH"/>
        </w:rPr>
        <w:footnoteReference w:id="52"/>
      </w:r>
      <w:r w:rsidR="006E6A0E" w:rsidRPr="00E67A4C">
        <w:rPr>
          <w:lang w:eastAsia="zh-CN" w:bidi="th-TH"/>
        </w:rPr>
        <w:t xml:space="preserve"> </w:t>
      </w:r>
      <w:r w:rsidR="006978BA" w:rsidRPr="00E67A4C">
        <w:rPr>
          <w:lang w:eastAsia="zh-CN" w:bidi="th-TH"/>
        </w:rPr>
        <w:t>As of June 2020, i</w:t>
      </w:r>
      <w:r w:rsidR="006E6A0E" w:rsidRPr="00E67A4C">
        <w:rPr>
          <w:lang w:eastAsia="zh-CN" w:bidi="th-TH"/>
        </w:rPr>
        <w:t xml:space="preserve">t </w:t>
      </w:r>
      <w:r w:rsidR="00534007" w:rsidRPr="00E67A4C">
        <w:rPr>
          <w:lang w:eastAsia="zh-CN" w:bidi="th-TH"/>
        </w:rPr>
        <w:t>was</w:t>
      </w:r>
      <w:r w:rsidR="006E6A0E" w:rsidRPr="00E67A4C">
        <w:rPr>
          <w:lang w:eastAsia="zh-CN" w:bidi="th-TH"/>
        </w:rPr>
        <w:t xml:space="preserve"> </w:t>
      </w:r>
      <w:r w:rsidR="006727C6" w:rsidRPr="00E67A4C">
        <w:rPr>
          <w:lang w:eastAsia="zh-CN" w:bidi="th-TH"/>
        </w:rPr>
        <w:t>estimated</w:t>
      </w:r>
      <w:r w:rsidR="006E6A0E" w:rsidRPr="00E67A4C">
        <w:rPr>
          <w:lang w:eastAsia="zh-CN" w:bidi="th-TH"/>
        </w:rPr>
        <w:t xml:space="preserve"> that approximately 75 chain businesses with over 13,750 outlets </w:t>
      </w:r>
      <w:r w:rsidR="00534007" w:rsidRPr="00E67A4C">
        <w:rPr>
          <w:lang w:eastAsia="zh-CN" w:bidi="th-TH"/>
        </w:rPr>
        <w:t>we</w:t>
      </w:r>
      <w:r w:rsidR="006E6A0E" w:rsidRPr="00E67A4C">
        <w:rPr>
          <w:lang w:eastAsia="zh-CN" w:bidi="th-TH"/>
        </w:rPr>
        <w:t xml:space="preserve">re implementing or </w:t>
      </w:r>
      <w:r w:rsidR="00534007" w:rsidRPr="00E67A4C">
        <w:rPr>
          <w:lang w:eastAsia="zh-CN" w:bidi="th-TH"/>
        </w:rPr>
        <w:t>we</w:t>
      </w:r>
      <w:r w:rsidR="006E6A0E" w:rsidRPr="00E67A4C">
        <w:rPr>
          <w:lang w:eastAsia="zh-CN" w:bidi="th-TH"/>
        </w:rPr>
        <w:t>re required to implement menu labelling in Australia.</w:t>
      </w:r>
      <w:r w:rsidR="006978BA" w:rsidRPr="00E67A4C">
        <w:rPr>
          <w:lang w:eastAsia="zh-CN" w:bidi="th-TH"/>
        </w:rPr>
        <w:t xml:space="preserve"> As noted </w:t>
      </w:r>
      <w:r w:rsidR="00665C54" w:rsidRPr="00E67A4C">
        <w:rPr>
          <w:lang w:eastAsia="zh-CN" w:bidi="th-TH"/>
        </w:rPr>
        <w:t>in section 1.6, the number of businesses and outlets required to implement menu labelling frequently changes over time.</w:t>
      </w:r>
      <w:r w:rsidR="00E87A24" w:rsidRPr="00E67A4C">
        <w:rPr>
          <w:lang w:eastAsia="zh-CN" w:bidi="th-TH"/>
        </w:rPr>
        <w:t xml:space="preserve"> </w:t>
      </w:r>
      <w:r w:rsidR="00E87A24" w:rsidRPr="00E67A4C">
        <w:t xml:space="preserve">The number of businesses voluntarily implementing menu labelling </w:t>
      </w:r>
      <w:r w:rsidR="005D134E" w:rsidRPr="00E67A4C">
        <w:t xml:space="preserve">in Australia </w:t>
      </w:r>
      <w:r w:rsidR="00285FE3" w:rsidRPr="00E67A4C">
        <w:t xml:space="preserve">and </w:t>
      </w:r>
      <w:r w:rsidR="00AE5656" w:rsidRPr="00E67A4C">
        <w:t>N</w:t>
      </w:r>
      <w:r w:rsidR="00285FE3" w:rsidRPr="00E67A4C">
        <w:t xml:space="preserve">ew Zealand </w:t>
      </w:r>
      <w:r w:rsidR="005D134E" w:rsidRPr="00E67A4C">
        <w:t>is unknown.</w:t>
      </w:r>
      <w:r w:rsidR="00E87A24" w:rsidRPr="00E67A4C">
        <w:t xml:space="preserve"> </w:t>
      </w:r>
    </w:p>
    <w:p w14:paraId="5B2FEFD0" w14:textId="77777777" w:rsidR="00AE5656" w:rsidRPr="00E67A4C" w:rsidRDefault="00AE5656" w:rsidP="00D877C9">
      <w:pPr>
        <w:spacing w:after="40"/>
        <w:jc w:val="both"/>
        <w:rPr>
          <w:lang w:eastAsia="zh-CN" w:bidi="th-TH"/>
        </w:rPr>
      </w:pPr>
    </w:p>
    <w:p w14:paraId="1A7BD372" w14:textId="1C72E9D5" w:rsidR="0018353F" w:rsidRPr="00E67A4C" w:rsidRDefault="0018353F" w:rsidP="00246032">
      <w:pPr>
        <w:pStyle w:val="Heading3"/>
      </w:pPr>
      <w:bookmarkStart w:id="70" w:name="_Toc51165283"/>
      <w:r w:rsidRPr="00E67A4C">
        <w:t xml:space="preserve">5.3 Option 2 </w:t>
      </w:r>
      <w:bookmarkEnd w:id="70"/>
    </w:p>
    <w:p w14:paraId="0445C8C7" w14:textId="376018D6" w:rsidR="0018353F" w:rsidRPr="00812051" w:rsidRDefault="0018353F" w:rsidP="00812051">
      <w:pPr>
        <w:pStyle w:val="Heading4"/>
        <w:spacing w:before="120"/>
      </w:pPr>
      <w:r w:rsidRPr="00812051">
        <w:t>5.3.1 Impacts on Australian and New Zealand Food Industries</w:t>
      </w:r>
    </w:p>
    <w:p w14:paraId="6B1DB431" w14:textId="2A2613B2" w:rsidR="00752528" w:rsidRPr="00E67A4C" w:rsidRDefault="0018353F" w:rsidP="00752528">
      <w:pPr>
        <w:spacing w:after="40"/>
        <w:jc w:val="both"/>
        <w:rPr>
          <w:lang w:eastAsia="zh-CN" w:bidi="th-TH"/>
        </w:rPr>
      </w:pPr>
      <w:r w:rsidRPr="00E67A4C">
        <w:rPr>
          <w:lang w:eastAsia="zh-CN" w:bidi="th-TH"/>
        </w:rPr>
        <w:t>The potential impact of this option on businesses is dependent on five jurisdictions</w:t>
      </w:r>
      <w:r w:rsidRPr="00E67A4C">
        <w:rPr>
          <w:rStyle w:val="FootnoteReference"/>
          <w:lang w:eastAsia="zh-CN" w:bidi="th-TH"/>
        </w:rPr>
        <w:footnoteReference w:id="53"/>
      </w:r>
      <w:r w:rsidRPr="00E67A4C">
        <w:rPr>
          <w:lang w:eastAsia="zh-CN" w:bidi="th-TH"/>
        </w:rPr>
        <w:t xml:space="preserve"> changing existing legislation to align exactly with the amended Principles, and four jurisdictions</w:t>
      </w:r>
      <w:r w:rsidRPr="00E67A4C">
        <w:rPr>
          <w:rStyle w:val="FootnoteReference"/>
          <w:lang w:eastAsia="zh-CN" w:bidi="th-TH"/>
        </w:rPr>
        <w:footnoteReference w:id="54"/>
      </w:r>
      <w:r w:rsidRPr="00E67A4C">
        <w:rPr>
          <w:lang w:eastAsia="zh-CN" w:bidi="th-TH"/>
        </w:rPr>
        <w:t xml:space="preserve"> introducing menu labelling legislation that also aligns</w:t>
      </w:r>
      <w:r w:rsidR="00177787" w:rsidRPr="00E67A4C">
        <w:rPr>
          <w:lang w:eastAsia="zh-CN" w:bidi="th-TH"/>
        </w:rPr>
        <w:t xml:space="preserve"> exactly</w:t>
      </w:r>
      <w:r w:rsidRPr="00E67A4C">
        <w:rPr>
          <w:lang w:eastAsia="zh-CN" w:bidi="th-TH"/>
        </w:rPr>
        <w:t xml:space="preserve"> with the amended Principles. As uptake of Option 2 would be voluntary for jurisdictions, it is difficult to accurately determine the benefits, costs, and impacts. </w:t>
      </w:r>
      <w:r w:rsidR="005F78CA" w:rsidRPr="00E67A4C">
        <w:rPr>
          <w:lang w:eastAsia="zh-CN" w:bidi="th-TH"/>
        </w:rPr>
        <w:t>To determine the impact on industry, i</w:t>
      </w:r>
      <w:r w:rsidR="00417912" w:rsidRPr="00E67A4C">
        <w:rPr>
          <w:lang w:eastAsia="zh-CN" w:bidi="th-TH"/>
        </w:rPr>
        <w:t>ndividual jurisdictions w</w:t>
      </w:r>
      <w:r w:rsidR="00CC2AB9" w:rsidRPr="00E67A4C">
        <w:rPr>
          <w:lang w:eastAsia="zh-CN" w:bidi="th-TH"/>
        </w:rPr>
        <w:t>ould</w:t>
      </w:r>
      <w:r w:rsidR="00417912" w:rsidRPr="00E67A4C">
        <w:rPr>
          <w:lang w:eastAsia="zh-CN" w:bidi="th-TH"/>
        </w:rPr>
        <w:t xml:space="preserve"> need to determine which and how many businesses are captured by changing legislation or introducing new legislation.</w:t>
      </w:r>
    </w:p>
    <w:p w14:paraId="04343D35" w14:textId="6D96BB54" w:rsidR="0018353F" w:rsidRPr="00E67A4C" w:rsidRDefault="0018353F" w:rsidP="0018353F">
      <w:pPr>
        <w:spacing w:after="40"/>
        <w:jc w:val="both"/>
        <w:rPr>
          <w:lang w:eastAsia="zh-CN" w:bidi="th-TH"/>
        </w:rPr>
      </w:pPr>
    </w:p>
    <w:p w14:paraId="643B2306" w14:textId="623B2746" w:rsidR="0018353F" w:rsidRPr="00E67A4C" w:rsidRDefault="0018353F" w:rsidP="0018353F">
      <w:pPr>
        <w:pStyle w:val="ListParagraph"/>
        <w:spacing w:after="40"/>
        <w:ind w:left="0"/>
        <w:jc w:val="both"/>
      </w:pPr>
      <w:r w:rsidRPr="00E67A4C">
        <w:t xml:space="preserve">If </w:t>
      </w:r>
      <w:r w:rsidRPr="009D51AF">
        <w:rPr>
          <w:b/>
          <w:bCs/>
        </w:rPr>
        <w:t>one or more jurisdictions</w:t>
      </w:r>
      <w:r w:rsidRPr="00E67A4C">
        <w:t xml:space="preserve"> changed legislation to implement the amended Principles, it would mean that compared to the status quo, under Option 2:</w:t>
      </w:r>
    </w:p>
    <w:p w14:paraId="4BBB9238" w14:textId="77777777" w:rsidR="0018353F" w:rsidRPr="00E67A4C" w:rsidRDefault="0018353F" w:rsidP="0018353F">
      <w:pPr>
        <w:pStyle w:val="ListParagraph"/>
        <w:numPr>
          <w:ilvl w:val="0"/>
          <w:numId w:val="3"/>
        </w:numPr>
        <w:spacing w:after="40"/>
        <w:jc w:val="both"/>
        <w:rPr>
          <w:lang w:eastAsia="zh-CN" w:bidi="th-TH"/>
        </w:rPr>
      </w:pPr>
      <w:r w:rsidRPr="00E67A4C">
        <w:rPr>
          <w:lang w:eastAsia="zh-CN" w:bidi="th-TH"/>
        </w:rPr>
        <w:t xml:space="preserve">All standard food outlets </w:t>
      </w:r>
      <w:r w:rsidRPr="009D51AF">
        <w:rPr>
          <w:b/>
          <w:bCs/>
          <w:lang w:eastAsia="zh-CN" w:bidi="th-TH"/>
        </w:rPr>
        <w:t>in that jurisdiction</w:t>
      </w:r>
      <w:r w:rsidRPr="00E67A4C">
        <w:rPr>
          <w:lang w:eastAsia="zh-CN" w:bidi="th-TH"/>
        </w:rPr>
        <w:t xml:space="preserve"> would need to:</w:t>
      </w:r>
    </w:p>
    <w:p w14:paraId="75E53D8A" w14:textId="77777777" w:rsidR="0018353F" w:rsidRPr="00E67A4C" w:rsidRDefault="0018353F" w:rsidP="0018353F">
      <w:pPr>
        <w:pStyle w:val="ListParagraph"/>
        <w:numPr>
          <w:ilvl w:val="1"/>
          <w:numId w:val="3"/>
        </w:numPr>
        <w:spacing w:after="40"/>
        <w:jc w:val="both"/>
        <w:rPr>
          <w:lang w:eastAsia="zh-CN" w:bidi="th-TH"/>
        </w:rPr>
      </w:pPr>
      <w:r w:rsidRPr="00E67A4C">
        <w:t>display the energy information of all available standard food items on all menus and at all physical and electronic points-of-sale;</w:t>
      </w:r>
    </w:p>
    <w:p w14:paraId="7676D71B" w14:textId="77777777" w:rsidR="0018353F" w:rsidRPr="00E67A4C" w:rsidRDefault="0018353F" w:rsidP="0018353F">
      <w:pPr>
        <w:pStyle w:val="ListParagraph"/>
        <w:numPr>
          <w:ilvl w:val="1"/>
          <w:numId w:val="3"/>
        </w:numPr>
        <w:spacing w:after="40"/>
        <w:jc w:val="both"/>
        <w:rPr>
          <w:lang w:eastAsia="zh-CN" w:bidi="th-TH"/>
        </w:rPr>
      </w:pPr>
      <w:r w:rsidRPr="00E67A4C">
        <w:rPr>
          <w:lang w:eastAsia="zh-CN" w:bidi="th-TH"/>
        </w:rPr>
        <w:t>display the energy information for combination meals including any pre-packaged items with the combination;</w:t>
      </w:r>
    </w:p>
    <w:p w14:paraId="4827304D" w14:textId="77777777" w:rsidR="0018353F" w:rsidRPr="00E67A4C" w:rsidRDefault="0018353F" w:rsidP="0018353F">
      <w:pPr>
        <w:pStyle w:val="ListParagraph"/>
        <w:numPr>
          <w:ilvl w:val="1"/>
          <w:numId w:val="3"/>
        </w:numPr>
        <w:spacing w:after="40"/>
        <w:jc w:val="both"/>
        <w:rPr>
          <w:lang w:eastAsia="zh-CN" w:bidi="th-TH"/>
        </w:rPr>
      </w:pPr>
      <w:r w:rsidRPr="00E67A4C">
        <w:rPr>
          <w:lang w:eastAsia="zh-CN" w:bidi="th-TH"/>
        </w:rPr>
        <w:t>display the energy information for multi-serve items as the whole item and per serving; and</w:t>
      </w:r>
    </w:p>
    <w:p w14:paraId="2274DFCD" w14:textId="77777777" w:rsidR="0018353F" w:rsidRPr="00E67A4C" w:rsidRDefault="0018353F" w:rsidP="0018353F">
      <w:pPr>
        <w:pStyle w:val="ListParagraph"/>
        <w:numPr>
          <w:ilvl w:val="1"/>
          <w:numId w:val="3"/>
        </w:numPr>
        <w:spacing w:after="40"/>
        <w:jc w:val="both"/>
        <w:rPr>
          <w:lang w:eastAsia="zh-CN" w:bidi="th-TH"/>
        </w:rPr>
      </w:pPr>
      <w:r w:rsidRPr="00E67A4C">
        <w:t xml:space="preserve">ensure </w:t>
      </w:r>
      <w:r w:rsidRPr="00E67A4C">
        <w:rPr>
          <w:lang w:eastAsia="zh-CN" w:bidi="th-TH"/>
        </w:rPr>
        <w:t>that customers have access to the energy information for standardised single ingredients and customisable menu items.</w:t>
      </w:r>
    </w:p>
    <w:p w14:paraId="78BA8F8A" w14:textId="77777777" w:rsidR="0018353F" w:rsidRPr="00E67A4C" w:rsidRDefault="0018353F" w:rsidP="0018353F">
      <w:pPr>
        <w:pStyle w:val="ListParagraph"/>
        <w:numPr>
          <w:ilvl w:val="0"/>
          <w:numId w:val="3"/>
        </w:numPr>
        <w:spacing w:after="40"/>
        <w:jc w:val="both"/>
        <w:rPr>
          <w:lang w:eastAsia="zh-CN" w:bidi="th-TH"/>
        </w:rPr>
      </w:pPr>
      <w:r w:rsidRPr="00E67A4C">
        <w:rPr>
          <w:lang w:eastAsia="zh-CN" w:bidi="th-TH"/>
        </w:rPr>
        <w:t xml:space="preserve">Supermarkets </w:t>
      </w:r>
      <w:r w:rsidRPr="00FE5316">
        <w:rPr>
          <w:b/>
          <w:bCs/>
          <w:lang w:eastAsia="zh-CN" w:bidi="th-TH"/>
        </w:rPr>
        <w:t>in that jurisdiction</w:t>
      </w:r>
      <w:r w:rsidRPr="00E67A4C">
        <w:rPr>
          <w:lang w:eastAsia="zh-CN" w:bidi="th-TH"/>
        </w:rPr>
        <w:t xml:space="preserve"> would not be permitted to display the energy information as per 100 grams or in the same font as the unit price. </w:t>
      </w:r>
    </w:p>
    <w:p w14:paraId="282199B2" w14:textId="77777777" w:rsidR="0018353F" w:rsidRPr="00E67A4C" w:rsidRDefault="0018353F" w:rsidP="0018353F">
      <w:pPr>
        <w:pStyle w:val="ListParagraph"/>
        <w:numPr>
          <w:ilvl w:val="0"/>
          <w:numId w:val="3"/>
        </w:numPr>
        <w:spacing w:after="40"/>
        <w:jc w:val="both"/>
        <w:rPr>
          <w:lang w:eastAsia="zh-CN" w:bidi="th-TH"/>
        </w:rPr>
      </w:pPr>
      <w:r w:rsidRPr="00E67A4C">
        <w:rPr>
          <w:lang w:eastAsia="zh-CN" w:bidi="th-TH"/>
        </w:rPr>
        <w:t xml:space="preserve">If a business </w:t>
      </w:r>
      <w:r w:rsidRPr="00FE5316">
        <w:rPr>
          <w:b/>
          <w:bCs/>
          <w:lang w:eastAsia="zh-CN" w:bidi="th-TH"/>
        </w:rPr>
        <w:t>in that jurisdiction</w:t>
      </w:r>
      <w:r w:rsidRPr="00E67A4C">
        <w:rPr>
          <w:lang w:eastAsia="zh-CN" w:bidi="th-TH"/>
        </w:rPr>
        <w:t xml:space="preserve"> uses a third-party to facilitate the sale of standard food items, the food business would need to provide the energy information to the third-party.</w:t>
      </w:r>
    </w:p>
    <w:p w14:paraId="2C11FF2F" w14:textId="77777777" w:rsidR="0018353F" w:rsidRPr="00E67A4C" w:rsidRDefault="0018353F" w:rsidP="0018353F">
      <w:pPr>
        <w:spacing w:after="40"/>
        <w:jc w:val="both"/>
        <w:rPr>
          <w:lang w:eastAsia="zh-CN" w:bidi="th-TH"/>
        </w:rPr>
      </w:pPr>
    </w:p>
    <w:p w14:paraId="12E9ECE9" w14:textId="4B874A62" w:rsidR="00A3461A" w:rsidRPr="00E67A4C" w:rsidRDefault="00710BB9" w:rsidP="0018353F">
      <w:pPr>
        <w:spacing w:after="40"/>
        <w:jc w:val="both"/>
        <w:rPr>
          <w:lang w:eastAsia="zh-CN" w:bidi="th-TH"/>
        </w:rPr>
      </w:pPr>
      <w:r w:rsidRPr="00E67A4C">
        <w:rPr>
          <w:lang w:eastAsia="zh-CN" w:bidi="th-TH"/>
        </w:rPr>
        <w:t xml:space="preserve">Should </w:t>
      </w:r>
      <w:r w:rsidR="00145BD3" w:rsidRPr="00E67A4C">
        <w:rPr>
          <w:lang w:eastAsia="zh-CN" w:bidi="th-TH"/>
        </w:rPr>
        <w:t xml:space="preserve">one or more jurisdictions strengthen </w:t>
      </w:r>
      <w:r w:rsidR="00E6295F" w:rsidRPr="00E67A4C">
        <w:rPr>
          <w:lang w:eastAsia="zh-CN" w:bidi="th-TH"/>
        </w:rPr>
        <w:t xml:space="preserve">their legislation, </w:t>
      </w:r>
      <w:r w:rsidR="00CB3D54" w:rsidRPr="00E67A4C">
        <w:rPr>
          <w:lang w:eastAsia="zh-CN" w:bidi="th-TH"/>
        </w:rPr>
        <w:t xml:space="preserve">it is possible that </w:t>
      </w:r>
      <w:r w:rsidR="00E6295F" w:rsidRPr="00E67A4C">
        <w:rPr>
          <w:lang w:eastAsia="zh-CN" w:bidi="th-TH"/>
        </w:rPr>
        <w:t xml:space="preserve">cross-border businesses </w:t>
      </w:r>
      <w:r w:rsidR="00EF3AA1" w:rsidRPr="00E67A4C">
        <w:rPr>
          <w:lang w:eastAsia="zh-CN" w:bidi="th-TH"/>
        </w:rPr>
        <w:t xml:space="preserve">(i.e. businesses with a national </w:t>
      </w:r>
      <w:r w:rsidR="009E4586" w:rsidRPr="00E67A4C">
        <w:rPr>
          <w:lang w:eastAsia="zh-CN" w:bidi="th-TH"/>
        </w:rPr>
        <w:t xml:space="preserve">head office and national </w:t>
      </w:r>
      <w:r w:rsidR="00EF3AA1" w:rsidRPr="00E67A4C">
        <w:rPr>
          <w:lang w:eastAsia="zh-CN" w:bidi="th-TH"/>
        </w:rPr>
        <w:t>reach</w:t>
      </w:r>
      <w:r w:rsidR="00341B86" w:rsidRPr="00E67A4C">
        <w:rPr>
          <w:lang w:eastAsia="zh-CN" w:bidi="th-TH"/>
        </w:rPr>
        <w:t>, and/or bi-national businesses with outlets in Australia and New Zealand</w:t>
      </w:r>
      <w:r w:rsidR="00EF3AA1" w:rsidRPr="00E67A4C">
        <w:rPr>
          <w:lang w:eastAsia="zh-CN" w:bidi="th-TH"/>
        </w:rPr>
        <w:t>)</w:t>
      </w:r>
      <w:r w:rsidR="00B745CC" w:rsidRPr="00E67A4C">
        <w:rPr>
          <w:lang w:eastAsia="zh-CN" w:bidi="th-TH"/>
        </w:rPr>
        <w:t xml:space="preserve"> </w:t>
      </w:r>
      <w:r w:rsidR="00E267B2" w:rsidRPr="00E67A4C">
        <w:rPr>
          <w:lang w:eastAsia="zh-CN" w:bidi="th-TH"/>
        </w:rPr>
        <w:t>may</w:t>
      </w:r>
      <w:r w:rsidR="00B745CC" w:rsidRPr="00E67A4C">
        <w:rPr>
          <w:lang w:eastAsia="zh-CN" w:bidi="th-TH"/>
        </w:rPr>
        <w:t xml:space="preserve"> </w:t>
      </w:r>
      <w:r w:rsidR="0018353F" w:rsidRPr="00E67A4C">
        <w:rPr>
          <w:lang w:eastAsia="zh-CN" w:bidi="th-TH"/>
        </w:rPr>
        <w:t xml:space="preserve">choose to </w:t>
      </w:r>
      <w:r w:rsidR="00CB3D54" w:rsidRPr="00E67A4C">
        <w:rPr>
          <w:lang w:eastAsia="zh-CN" w:bidi="th-TH"/>
        </w:rPr>
        <w:t xml:space="preserve">voluntarily </w:t>
      </w:r>
      <w:r w:rsidR="0018353F" w:rsidRPr="00E67A4C">
        <w:rPr>
          <w:lang w:eastAsia="zh-CN" w:bidi="th-TH"/>
        </w:rPr>
        <w:t xml:space="preserve">implement menu labelling in the same manner </w:t>
      </w:r>
      <w:r w:rsidR="00341B86" w:rsidRPr="00E67A4C">
        <w:rPr>
          <w:lang w:eastAsia="zh-CN" w:bidi="th-TH"/>
        </w:rPr>
        <w:t>in all outlets</w:t>
      </w:r>
      <w:r w:rsidR="0018353F" w:rsidRPr="00E67A4C">
        <w:rPr>
          <w:lang w:eastAsia="zh-CN" w:bidi="th-TH"/>
        </w:rPr>
        <w:t xml:space="preserve"> (if would remain compliant with </w:t>
      </w:r>
      <w:r w:rsidR="00702B88" w:rsidRPr="00E67A4C">
        <w:rPr>
          <w:lang w:eastAsia="zh-CN" w:bidi="th-TH"/>
        </w:rPr>
        <w:t xml:space="preserve">existing </w:t>
      </w:r>
      <w:r w:rsidR="0018353F" w:rsidRPr="00E67A4C">
        <w:rPr>
          <w:lang w:eastAsia="zh-CN" w:bidi="th-TH"/>
        </w:rPr>
        <w:t xml:space="preserve">legislation in other jurisdictions). </w:t>
      </w:r>
      <w:r w:rsidR="008807FA" w:rsidRPr="00E67A4C">
        <w:rPr>
          <w:lang w:eastAsia="zh-CN" w:bidi="th-TH"/>
        </w:rPr>
        <w:t xml:space="preserve">This would be a business decision that could not be enforced beyond the jurisdictions that chose to strengthen their legislation. </w:t>
      </w:r>
      <w:r w:rsidR="00407114" w:rsidRPr="00E67A4C">
        <w:rPr>
          <w:lang w:eastAsia="zh-CN" w:bidi="th-TH"/>
        </w:rPr>
        <w:t>T</w:t>
      </w:r>
      <w:r w:rsidR="006F0DAB" w:rsidRPr="00E67A4C">
        <w:rPr>
          <w:lang w:eastAsia="zh-CN" w:bidi="th-TH"/>
        </w:rPr>
        <w:t xml:space="preserve">herefore, </w:t>
      </w:r>
      <w:r w:rsidR="00D43F6C" w:rsidRPr="00E67A4C">
        <w:rPr>
          <w:lang w:eastAsia="zh-CN" w:bidi="th-TH"/>
        </w:rPr>
        <w:t xml:space="preserve">it is possible that </w:t>
      </w:r>
      <w:r w:rsidR="006C4C6B" w:rsidRPr="00E67A4C">
        <w:rPr>
          <w:lang w:eastAsia="zh-CN" w:bidi="th-TH"/>
        </w:rPr>
        <w:t xml:space="preserve">Option 2 may result in </w:t>
      </w:r>
      <w:r w:rsidR="000E3604" w:rsidRPr="00E67A4C">
        <w:rPr>
          <w:lang w:eastAsia="zh-CN" w:bidi="th-TH"/>
        </w:rPr>
        <w:t xml:space="preserve">standard food outlets </w:t>
      </w:r>
      <w:r w:rsidR="001E665C" w:rsidRPr="00E67A4C">
        <w:rPr>
          <w:lang w:eastAsia="zh-CN" w:bidi="th-TH"/>
        </w:rPr>
        <w:t xml:space="preserve">consistently </w:t>
      </w:r>
      <w:r w:rsidR="000E3604" w:rsidRPr="00E67A4C">
        <w:rPr>
          <w:lang w:eastAsia="zh-CN" w:bidi="th-TH"/>
        </w:rPr>
        <w:t xml:space="preserve">implementing </w:t>
      </w:r>
      <w:r w:rsidR="001E665C" w:rsidRPr="00E67A4C">
        <w:rPr>
          <w:lang w:eastAsia="zh-CN" w:bidi="th-TH"/>
        </w:rPr>
        <w:t xml:space="preserve">the strengthened </w:t>
      </w:r>
      <w:r w:rsidR="00CF72CA" w:rsidRPr="00E67A4C">
        <w:rPr>
          <w:lang w:eastAsia="zh-CN" w:bidi="th-TH"/>
        </w:rPr>
        <w:t xml:space="preserve">menu labelling </w:t>
      </w:r>
      <w:r w:rsidR="001E665C" w:rsidRPr="00E67A4C">
        <w:rPr>
          <w:lang w:eastAsia="zh-CN" w:bidi="th-TH"/>
        </w:rPr>
        <w:t>elements outlined in the amended Principles.</w:t>
      </w:r>
    </w:p>
    <w:p w14:paraId="2FF42F33" w14:textId="77777777" w:rsidR="00A3461A" w:rsidRPr="00E67A4C" w:rsidRDefault="00A3461A" w:rsidP="0018353F">
      <w:pPr>
        <w:spacing w:after="40"/>
        <w:jc w:val="both"/>
        <w:rPr>
          <w:lang w:eastAsia="zh-CN" w:bidi="th-TH"/>
        </w:rPr>
      </w:pPr>
    </w:p>
    <w:p w14:paraId="4977666C" w14:textId="73B22377" w:rsidR="0018353F" w:rsidRPr="00E67A4C" w:rsidRDefault="0018353F" w:rsidP="0018353F">
      <w:pPr>
        <w:spacing w:after="40"/>
        <w:jc w:val="both"/>
        <w:rPr>
          <w:lang w:eastAsia="zh-CN" w:bidi="th-TH"/>
        </w:rPr>
      </w:pPr>
      <w:r w:rsidRPr="00E67A4C">
        <w:rPr>
          <w:lang w:eastAsia="zh-CN" w:bidi="th-TH"/>
        </w:rPr>
        <w:lastRenderedPageBreak/>
        <w:t>Howeve</w:t>
      </w:r>
      <w:r w:rsidR="003A559F" w:rsidRPr="00E67A4C">
        <w:rPr>
          <w:lang w:eastAsia="zh-CN" w:bidi="th-TH"/>
        </w:rPr>
        <w:t xml:space="preserve">r, </w:t>
      </w:r>
      <w:r w:rsidRPr="00E67A4C">
        <w:rPr>
          <w:lang w:eastAsia="zh-CN" w:bidi="th-TH"/>
        </w:rPr>
        <w:t xml:space="preserve">these </w:t>
      </w:r>
      <w:r w:rsidR="003A559F" w:rsidRPr="00E67A4C">
        <w:rPr>
          <w:lang w:eastAsia="zh-CN" w:bidi="th-TH"/>
        </w:rPr>
        <w:t xml:space="preserve">cross-border </w:t>
      </w:r>
      <w:r w:rsidRPr="00E67A4C">
        <w:rPr>
          <w:lang w:eastAsia="zh-CN" w:bidi="th-TH"/>
        </w:rPr>
        <w:t>businesses would continue to:</w:t>
      </w:r>
    </w:p>
    <w:p w14:paraId="04A1077E" w14:textId="77777777" w:rsidR="0018353F" w:rsidRPr="00E67A4C" w:rsidRDefault="0018353F" w:rsidP="0018353F">
      <w:pPr>
        <w:pStyle w:val="ListParagraph"/>
        <w:numPr>
          <w:ilvl w:val="0"/>
          <w:numId w:val="3"/>
        </w:numPr>
        <w:spacing w:after="40"/>
        <w:jc w:val="both"/>
        <w:rPr>
          <w:lang w:eastAsia="zh-CN" w:bidi="th-TH"/>
        </w:rPr>
      </w:pPr>
      <w:r w:rsidRPr="00E67A4C">
        <w:rPr>
          <w:lang w:eastAsia="zh-CN" w:bidi="th-TH"/>
        </w:rPr>
        <w:t xml:space="preserve">be required to interpret and analyse legal and policy issues associated with maintaining a jurisdictional legislative approach; and </w:t>
      </w:r>
    </w:p>
    <w:p w14:paraId="30A9207A" w14:textId="77777777" w:rsidR="0018353F" w:rsidRPr="00E67A4C" w:rsidRDefault="0018353F" w:rsidP="0018353F">
      <w:pPr>
        <w:pStyle w:val="ListParagraph"/>
        <w:numPr>
          <w:ilvl w:val="0"/>
          <w:numId w:val="3"/>
        </w:numPr>
        <w:spacing w:after="40"/>
        <w:jc w:val="both"/>
        <w:rPr>
          <w:lang w:eastAsia="zh-CN" w:bidi="th-TH"/>
        </w:rPr>
      </w:pPr>
      <w:r w:rsidRPr="00E67A4C">
        <w:rPr>
          <w:lang w:eastAsia="zh-CN" w:bidi="th-TH"/>
        </w:rPr>
        <w:t xml:space="preserve">to incur the on-going costs associated with re-visiting the implementation of menu labelling legislation in all outlets nationally each time a jurisdiction commenced a policy and legal process to amend its legislation. </w:t>
      </w:r>
    </w:p>
    <w:p w14:paraId="634FA888" w14:textId="2A4D52EF" w:rsidR="0018353F" w:rsidRPr="00E67A4C" w:rsidRDefault="0018353F" w:rsidP="0018353F">
      <w:pPr>
        <w:spacing w:after="40"/>
        <w:jc w:val="both"/>
        <w:rPr>
          <w:lang w:eastAsia="zh-CN" w:bidi="th-TH"/>
        </w:rPr>
      </w:pPr>
      <w:r w:rsidRPr="00E67A4C">
        <w:rPr>
          <w:lang w:eastAsia="zh-CN" w:bidi="th-TH"/>
        </w:rPr>
        <w:t>These costs and the disruption to a national approach to trading would likely continue as changes may require debate and agreement by each jurisdiction’s parliament to adopt into law</w:t>
      </w:r>
      <w:r w:rsidR="008B3774" w:rsidRPr="00E67A4C">
        <w:rPr>
          <w:lang w:eastAsia="zh-CN" w:bidi="th-TH"/>
        </w:rPr>
        <w:t>.</w:t>
      </w:r>
      <w:r w:rsidR="008807FA" w:rsidRPr="00E67A4C">
        <w:rPr>
          <w:lang w:eastAsia="zh-CN" w:bidi="th-TH"/>
        </w:rPr>
        <w:t xml:space="preserve"> </w:t>
      </w:r>
    </w:p>
    <w:p w14:paraId="6039D569" w14:textId="7EDBF9A8" w:rsidR="00285FE3" w:rsidRPr="00E67A4C" w:rsidRDefault="00285FE3" w:rsidP="0018353F">
      <w:pPr>
        <w:spacing w:after="40"/>
        <w:jc w:val="both"/>
        <w:rPr>
          <w:lang w:eastAsia="zh-CN" w:bidi="th-TH"/>
        </w:rPr>
      </w:pPr>
    </w:p>
    <w:p w14:paraId="0951CD76" w14:textId="102CD5B8" w:rsidR="0018353F" w:rsidRPr="002605C2" w:rsidRDefault="002605C2" w:rsidP="0018353F">
      <w:pPr>
        <w:pStyle w:val="ListParagraph"/>
        <w:spacing w:after="40"/>
        <w:ind w:left="0"/>
        <w:jc w:val="both"/>
      </w:pPr>
      <w:r>
        <w:t xml:space="preserve">For Option 2, </w:t>
      </w:r>
      <w:r w:rsidRPr="00FE5316">
        <w:t>a</w:t>
      </w:r>
      <w:r w:rsidR="0018353F" w:rsidRPr="00FE5316">
        <w:t>nticipated benefits</w:t>
      </w:r>
      <w:r w:rsidR="0018353F" w:rsidRPr="002605C2">
        <w:t xml:space="preserve"> </w:t>
      </w:r>
      <w:r w:rsidR="00566D33" w:rsidRPr="002605C2">
        <w:t xml:space="preserve">(compared to </w:t>
      </w:r>
      <w:r w:rsidR="00FA49F1">
        <w:t xml:space="preserve">the </w:t>
      </w:r>
      <w:r w:rsidR="00566D33" w:rsidRPr="002605C2">
        <w:t xml:space="preserve">status quo) </w:t>
      </w:r>
      <w:r w:rsidR="0018353F" w:rsidRPr="002605C2">
        <w:t>for Australian and/or New Zealand food industries (if one or more jurisdictions change legislation to exactly mirror the amended Principles)</w:t>
      </w:r>
      <w:r>
        <w:t xml:space="preserve"> include</w:t>
      </w:r>
      <w:r w:rsidR="0018353F" w:rsidRPr="002605C2">
        <w:t>:</w:t>
      </w:r>
    </w:p>
    <w:p w14:paraId="28484017" w14:textId="77777777" w:rsidR="00566D33" w:rsidRDefault="00566D33" w:rsidP="00566D33">
      <w:pPr>
        <w:pStyle w:val="BodyText1"/>
        <w:numPr>
          <w:ilvl w:val="0"/>
          <w:numId w:val="8"/>
        </w:numPr>
        <w:spacing w:after="40" w:line="240" w:lineRule="auto"/>
        <w:rPr>
          <w:rFonts w:ascii="Times New Roman" w:eastAsia="Calibri" w:hAnsi="Times New Roman"/>
          <w:sz w:val="24"/>
        </w:rPr>
      </w:pPr>
      <w:r w:rsidRPr="00566D33">
        <w:rPr>
          <w:rFonts w:ascii="Times New Roman" w:eastAsia="Calibri" w:hAnsi="Times New Roman"/>
          <w:sz w:val="24"/>
        </w:rPr>
        <w:t xml:space="preserve">Businesses would be more likely to be participating in a level playing field </w:t>
      </w:r>
      <w:r w:rsidRPr="00FE5316">
        <w:rPr>
          <w:rFonts w:ascii="Times New Roman" w:eastAsia="Calibri" w:hAnsi="Times New Roman"/>
          <w:b/>
          <w:bCs/>
          <w:sz w:val="24"/>
        </w:rPr>
        <w:t>within one or more jurisdictions</w:t>
      </w:r>
      <w:r w:rsidRPr="00566D33">
        <w:rPr>
          <w:rFonts w:ascii="Times New Roman" w:eastAsia="Calibri" w:hAnsi="Times New Roman"/>
          <w:sz w:val="24"/>
        </w:rPr>
        <w:t xml:space="preserve">, possibly removing the anti-competitive disadvantage experienced by some businesses being exempt from menu labelling. </w:t>
      </w:r>
    </w:p>
    <w:p w14:paraId="6A42036E" w14:textId="1D1750A0" w:rsidR="00566D33" w:rsidRDefault="00566D33" w:rsidP="00566D33">
      <w:pPr>
        <w:pStyle w:val="BodyText1"/>
        <w:numPr>
          <w:ilvl w:val="0"/>
          <w:numId w:val="8"/>
        </w:numPr>
        <w:spacing w:after="40" w:line="240" w:lineRule="auto"/>
        <w:rPr>
          <w:rFonts w:ascii="Times New Roman" w:eastAsia="Calibri" w:hAnsi="Times New Roman"/>
          <w:sz w:val="24"/>
        </w:rPr>
      </w:pPr>
      <w:r w:rsidRPr="00566D33">
        <w:rPr>
          <w:rFonts w:ascii="Times New Roman" w:eastAsia="Calibri" w:hAnsi="Times New Roman"/>
          <w:sz w:val="24"/>
        </w:rPr>
        <w:t xml:space="preserve">Confusion about the definition of supermarkets versus convenience stores </w:t>
      </w:r>
      <w:r w:rsidRPr="00FE5316">
        <w:rPr>
          <w:rFonts w:ascii="Times New Roman" w:eastAsia="Calibri" w:hAnsi="Times New Roman"/>
          <w:b/>
          <w:bCs/>
          <w:sz w:val="24"/>
        </w:rPr>
        <w:t>within one or more jurisdictions</w:t>
      </w:r>
      <w:r w:rsidRPr="00566D33">
        <w:rPr>
          <w:rFonts w:ascii="Times New Roman" w:eastAsia="Calibri" w:hAnsi="Times New Roman"/>
          <w:sz w:val="24"/>
        </w:rPr>
        <w:t xml:space="preserve"> would be resolved, as capture by the regulation would be based on outlet number and food sold, not on square meterage of retail floor space.</w:t>
      </w:r>
    </w:p>
    <w:p w14:paraId="227CBE6D" w14:textId="29F81599" w:rsidR="00566D33" w:rsidRDefault="00566D33" w:rsidP="00566D33">
      <w:pPr>
        <w:pStyle w:val="BodyText1"/>
        <w:spacing w:after="40" w:line="240" w:lineRule="auto"/>
        <w:ind w:left="360"/>
        <w:rPr>
          <w:rFonts w:ascii="Times New Roman" w:eastAsia="Calibri" w:hAnsi="Times New Roman"/>
          <w:sz w:val="24"/>
        </w:rPr>
      </w:pPr>
    </w:p>
    <w:p w14:paraId="2D615265" w14:textId="3090669D" w:rsidR="00566D33" w:rsidRPr="002605C2" w:rsidRDefault="002605C2" w:rsidP="00566D33">
      <w:pPr>
        <w:pStyle w:val="ListParagraph"/>
        <w:spacing w:after="40"/>
        <w:ind w:left="0"/>
        <w:jc w:val="both"/>
      </w:pPr>
      <w:r w:rsidRPr="002605C2">
        <w:t xml:space="preserve">For </w:t>
      </w:r>
      <w:r w:rsidR="00566D33" w:rsidRPr="002605C2">
        <w:t>Option 2</w:t>
      </w:r>
      <w:r w:rsidRPr="002605C2">
        <w:t>,</w:t>
      </w:r>
      <w:r w:rsidR="00566D33" w:rsidRPr="002605C2">
        <w:t xml:space="preserve"> </w:t>
      </w:r>
      <w:r w:rsidRPr="00FE5316">
        <w:t>a</w:t>
      </w:r>
      <w:r w:rsidR="00566D33" w:rsidRPr="00FE5316">
        <w:t>nticipated costs</w:t>
      </w:r>
      <w:r w:rsidR="00566D33" w:rsidRPr="002605C2">
        <w:t xml:space="preserve"> (compared to </w:t>
      </w:r>
      <w:r w:rsidR="00FA49F1">
        <w:t xml:space="preserve">the </w:t>
      </w:r>
      <w:r w:rsidR="00566D33" w:rsidRPr="002605C2">
        <w:t>status quo) for Australian and/or New Zealand food industries (if one or more jurisdictions change legislation to exactly mirror the amended Principles)</w:t>
      </w:r>
      <w:r w:rsidRPr="002605C2">
        <w:t xml:space="preserve"> include</w:t>
      </w:r>
      <w:r w:rsidR="00566D33" w:rsidRPr="002605C2">
        <w:t>:</w:t>
      </w:r>
    </w:p>
    <w:p w14:paraId="2ADFF2CA" w14:textId="77777777" w:rsidR="00566D33" w:rsidRPr="00E67A4C" w:rsidRDefault="00566D33" w:rsidP="00566D33">
      <w:pPr>
        <w:pStyle w:val="ListParagraph"/>
        <w:numPr>
          <w:ilvl w:val="0"/>
          <w:numId w:val="8"/>
        </w:numPr>
        <w:spacing w:after="40"/>
      </w:pPr>
      <w:r w:rsidRPr="00E67A4C">
        <w:rPr>
          <w:rFonts w:eastAsia="Calibri"/>
        </w:rPr>
        <w:t xml:space="preserve">Businesses </w:t>
      </w:r>
      <w:r w:rsidRPr="00FE5316">
        <w:rPr>
          <w:rFonts w:eastAsia="Calibri"/>
          <w:b/>
          <w:bCs/>
        </w:rPr>
        <w:t>within an Australian jurisdiction that do not already implement menu labelling</w:t>
      </w:r>
      <w:r w:rsidRPr="00E67A4C">
        <w:rPr>
          <w:rFonts w:eastAsia="Calibri"/>
        </w:rPr>
        <w:t xml:space="preserve"> would incur estimated start-up costs of $1,585 (AUD) start-up per outlet; and $560 (AUD) per annum ongoing costs per outlet.</w:t>
      </w:r>
      <w:r w:rsidRPr="00E67A4C">
        <w:rPr>
          <w:rStyle w:val="FootnoteReference"/>
          <w:rFonts w:eastAsia="Calibri"/>
        </w:rPr>
        <w:footnoteReference w:id="55"/>
      </w:r>
      <w:r w:rsidRPr="00E67A4C">
        <w:rPr>
          <w:rFonts w:eastAsia="Calibri"/>
        </w:rPr>
        <w:t xml:space="preserve"> These costs may include nutritional analysis of menu items (noting lower cost option of using the freely-available FSANZ Nutrition Panel Calculator or higher cost option of laboratory testing); design and production of menus, associated materials and infrastructure (e.g. changes to IT systems); and staff training about menu labelling. </w:t>
      </w:r>
    </w:p>
    <w:p w14:paraId="6C7205B3" w14:textId="77777777" w:rsidR="00566D33" w:rsidRPr="00E67A4C" w:rsidRDefault="00566D33" w:rsidP="00566D33">
      <w:pPr>
        <w:pStyle w:val="ListParagraph"/>
        <w:numPr>
          <w:ilvl w:val="0"/>
          <w:numId w:val="8"/>
        </w:numPr>
        <w:spacing w:after="40"/>
        <w:rPr>
          <w:rFonts w:eastAsia="Calibri"/>
        </w:rPr>
      </w:pPr>
      <w:r w:rsidRPr="00E67A4C">
        <w:rPr>
          <w:rFonts w:eastAsia="Calibri"/>
        </w:rPr>
        <w:t xml:space="preserve">Australian businesses </w:t>
      </w:r>
      <w:r w:rsidRPr="00FE5316">
        <w:rPr>
          <w:rFonts w:eastAsia="Calibri"/>
          <w:b/>
          <w:bCs/>
        </w:rPr>
        <w:t>that already implement menu labelling</w:t>
      </w:r>
      <w:r w:rsidRPr="00E67A4C">
        <w:rPr>
          <w:rFonts w:eastAsia="Calibri"/>
        </w:rPr>
        <w:t xml:space="preserve"> may incur costs for the re-design and production of menus and associated materials and infrastructure; however, these costs may be covered by the $560 (AUD) per annum ongoing costs per outlet, already incurred under Option 1.</w:t>
      </w:r>
      <w:r w:rsidRPr="00E67A4C">
        <w:rPr>
          <w:rFonts w:eastAsia="Calibri"/>
          <w:vertAlign w:val="superscript"/>
        </w:rPr>
        <w:t xml:space="preserve"> </w:t>
      </w:r>
    </w:p>
    <w:p w14:paraId="6D518774" w14:textId="77777777" w:rsidR="00566D33" w:rsidRPr="00E67A4C" w:rsidRDefault="00566D33" w:rsidP="00566D33">
      <w:pPr>
        <w:pStyle w:val="ListParagraph"/>
        <w:numPr>
          <w:ilvl w:val="0"/>
          <w:numId w:val="8"/>
        </w:numPr>
        <w:spacing w:after="40"/>
        <w:rPr>
          <w:rFonts w:eastAsia="Calibri"/>
        </w:rPr>
      </w:pPr>
      <w:r w:rsidRPr="00E67A4C">
        <w:rPr>
          <w:rFonts w:eastAsia="Calibri"/>
        </w:rPr>
        <w:t xml:space="preserve">As New Zealand does not have menu labelling regulation, the compliance costs for New Zealand businesses are yet to be determined but are assumed to be like Australian businesses that are required to introduce menu labelling. </w:t>
      </w:r>
    </w:p>
    <w:p w14:paraId="2D4BB720" w14:textId="77777777" w:rsidR="00566D33" w:rsidRDefault="00566D33" w:rsidP="00566D33">
      <w:pPr>
        <w:pStyle w:val="BodyText1"/>
        <w:numPr>
          <w:ilvl w:val="0"/>
          <w:numId w:val="8"/>
        </w:numPr>
        <w:spacing w:after="40" w:line="240" w:lineRule="auto"/>
        <w:rPr>
          <w:rFonts w:ascii="Times New Roman" w:eastAsia="Calibri" w:hAnsi="Times New Roman"/>
          <w:sz w:val="24"/>
        </w:rPr>
      </w:pPr>
      <w:r w:rsidRPr="00E67A4C">
        <w:rPr>
          <w:rFonts w:ascii="Times New Roman" w:eastAsia="Calibri" w:hAnsi="Times New Roman"/>
          <w:sz w:val="24"/>
        </w:rPr>
        <w:t xml:space="preserve">Some Australian businesses may lose some competitive advantage or a point-of-difference </w:t>
      </w:r>
      <w:r w:rsidRPr="00FE5316">
        <w:rPr>
          <w:rFonts w:ascii="Times New Roman" w:eastAsia="Calibri" w:hAnsi="Times New Roman"/>
          <w:b/>
          <w:bCs/>
          <w:sz w:val="24"/>
        </w:rPr>
        <w:t>within one or more jurisdictions</w:t>
      </w:r>
      <w:r w:rsidRPr="00E67A4C">
        <w:rPr>
          <w:rFonts w:ascii="Times New Roman" w:eastAsia="Calibri" w:hAnsi="Times New Roman"/>
          <w:sz w:val="24"/>
        </w:rPr>
        <w:t xml:space="preserve"> by no longer being exempt from menu labelling. </w:t>
      </w:r>
    </w:p>
    <w:p w14:paraId="45E2F6E0" w14:textId="22D054A3" w:rsidR="00566D33" w:rsidRPr="00566D33" w:rsidRDefault="00566D33" w:rsidP="00566D33">
      <w:pPr>
        <w:pStyle w:val="BodyText1"/>
        <w:numPr>
          <w:ilvl w:val="0"/>
          <w:numId w:val="8"/>
        </w:numPr>
        <w:spacing w:after="40" w:line="240" w:lineRule="auto"/>
        <w:rPr>
          <w:rFonts w:ascii="Times New Roman" w:eastAsia="Calibri" w:hAnsi="Times New Roman"/>
          <w:sz w:val="24"/>
        </w:rPr>
      </w:pPr>
      <w:r w:rsidRPr="00566D33">
        <w:rPr>
          <w:rFonts w:ascii="Times New Roman" w:eastAsia="Calibri" w:hAnsi="Times New Roman"/>
          <w:sz w:val="24"/>
        </w:rPr>
        <w:t>Incurred costs may negatively impact the sustainability of businesses that are not already required to implement menu labelling.</w:t>
      </w:r>
    </w:p>
    <w:p w14:paraId="7E9A24FF" w14:textId="77777777" w:rsidR="00566D33" w:rsidRPr="00E67A4C" w:rsidRDefault="00566D33" w:rsidP="0018353F">
      <w:pPr>
        <w:pStyle w:val="ListParagraph"/>
        <w:spacing w:after="40"/>
        <w:ind w:left="0"/>
        <w:jc w:val="both"/>
      </w:pPr>
    </w:p>
    <w:p w14:paraId="6D46D39C" w14:textId="64C71DEA" w:rsidR="0018353F" w:rsidRPr="00E67A4C" w:rsidRDefault="0018353F" w:rsidP="0018353F">
      <w:pPr>
        <w:pBdr>
          <w:top w:val="single" w:sz="4" w:space="1" w:color="auto"/>
          <w:left w:val="single" w:sz="4" w:space="0" w:color="auto"/>
          <w:bottom w:val="single" w:sz="4" w:space="1" w:color="auto"/>
          <w:right w:val="single" w:sz="4" w:space="1" w:color="auto"/>
        </w:pBdr>
        <w:spacing w:after="40"/>
        <w:jc w:val="both"/>
        <w:rPr>
          <w:i/>
          <w:iCs/>
        </w:rPr>
      </w:pPr>
      <w:r w:rsidRPr="00E67A4C">
        <w:rPr>
          <w:b/>
        </w:rPr>
        <w:t>Consultation question 1</w:t>
      </w:r>
      <w:r w:rsidR="008B5B62" w:rsidRPr="00E67A4C">
        <w:rPr>
          <w:b/>
        </w:rPr>
        <w:t>6</w:t>
      </w:r>
      <w:r w:rsidRPr="00E67A4C">
        <w:rPr>
          <w:b/>
        </w:rPr>
        <w:t>:</w:t>
      </w:r>
      <w:r w:rsidRPr="00E67A4C">
        <w:t xml:space="preserve"> Would your business incur higher implementation costs if legislative changes were not timely and uniform across all jurisdictions? If so, please describe.</w:t>
      </w:r>
    </w:p>
    <w:p w14:paraId="38606D98" w14:textId="77777777" w:rsidR="004E3E67" w:rsidRDefault="004E3E67" w:rsidP="004E3E67">
      <w:pPr>
        <w:pStyle w:val="ListParagraph"/>
        <w:spacing w:after="40"/>
        <w:ind w:left="0"/>
        <w:jc w:val="both"/>
      </w:pPr>
    </w:p>
    <w:p w14:paraId="41DD179C" w14:textId="245DAA71" w:rsidR="0018353F" w:rsidRPr="00812051" w:rsidRDefault="0018353F" w:rsidP="00812051">
      <w:pPr>
        <w:pStyle w:val="Heading4"/>
        <w:spacing w:before="120"/>
      </w:pPr>
      <w:r w:rsidRPr="00812051">
        <w:t>5.</w:t>
      </w:r>
      <w:r w:rsidR="00F6567B" w:rsidRPr="00812051">
        <w:t>3</w:t>
      </w:r>
      <w:r w:rsidRPr="00812051">
        <w:t>.2 Impacts on Australian and New Zealand Consumers</w:t>
      </w:r>
    </w:p>
    <w:p w14:paraId="59DF98F5" w14:textId="62BAB231" w:rsidR="0018353F" w:rsidRPr="00E67A4C" w:rsidRDefault="0018353F" w:rsidP="0018353F">
      <w:pPr>
        <w:spacing w:after="40"/>
        <w:jc w:val="both"/>
      </w:pPr>
      <w:r w:rsidRPr="00E67A4C">
        <w:rPr>
          <w:lang w:eastAsia="zh-CN" w:bidi="th-TH"/>
        </w:rPr>
        <w:t xml:space="preserve">The potential impacts on consumers is dependent on jurisdictions amending existing legislation. Under Option 2, for consumers living in jurisdictions that chose to implement menu labelling, </w:t>
      </w:r>
      <w:r w:rsidRPr="00E67A4C">
        <w:lastRenderedPageBreak/>
        <w:t>they would have accessible, clear, legible, easy-to-read, easy-to-interpret and easy-to-compare energy information for food and drinks at the point-of-sale for all larger businesses selling standard food items.</w:t>
      </w:r>
    </w:p>
    <w:p w14:paraId="69987DA5" w14:textId="77777777" w:rsidR="000E2D90" w:rsidRPr="00E67A4C" w:rsidRDefault="000E2D90" w:rsidP="0018353F">
      <w:pPr>
        <w:pStyle w:val="ListParagraph"/>
        <w:spacing w:after="40"/>
        <w:ind w:left="0"/>
        <w:jc w:val="both"/>
        <w:rPr>
          <w:u w:val="single"/>
        </w:rPr>
      </w:pPr>
    </w:p>
    <w:p w14:paraId="6426AEB3" w14:textId="5A34C5E2" w:rsidR="0018353F" w:rsidRPr="002605C2" w:rsidRDefault="00130874" w:rsidP="0018353F">
      <w:pPr>
        <w:pStyle w:val="ListParagraph"/>
        <w:spacing w:after="40"/>
        <w:ind w:left="0"/>
        <w:jc w:val="both"/>
      </w:pPr>
      <w:r>
        <w:t xml:space="preserve">For </w:t>
      </w:r>
      <w:r w:rsidR="0018353F" w:rsidRPr="002605C2">
        <w:t>Option 2</w:t>
      </w:r>
      <w:r>
        <w:t xml:space="preserve">, </w:t>
      </w:r>
      <w:r w:rsidRPr="00FE5316">
        <w:t>a</w:t>
      </w:r>
      <w:r w:rsidR="0018353F" w:rsidRPr="00FE5316">
        <w:t>nticipated benefits</w:t>
      </w:r>
      <w:r w:rsidR="0018353F" w:rsidRPr="002605C2">
        <w:t xml:space="preserve"> </w:t>
      </w:r>
      <w:r w:rsidR="001C1CF8" w:rsidRPr="002605C2">
        <w:t xml:space="preserve">(compared to </w:t>
      </w:r>
      <w:r w:rsidR="00FA49F1">
        <w:t xml:space="preserve">the </w:t>
      </w:r>
      <w:r w:rsidR="001C1CF8" w:rsidRPr="002605C2">
        <w:t xml:space="preserve">status quo) </w:t>
      </w:r>
      <w:r w:rsidR="0018353F" w:rsidRPr="002605C2">
        <w:t>for consumers (if one or more jurisdictions change legislation to exactly mirror the amended Principles)</w:t>
      </w:r>
      <w:r w:rsidR="002605C2" w:rsidRPr="002605C2">
        <w:t xml:space="preserve"> include</w:t>
      </w:r>
      <w:r w:rsidR="0018353F" w:rsidRPr="002605C2">
        <w:t>:</w:t>
      </w:r>
    </w:p>
    <w:p w14:paraId="59DE3D2B" w14:textId="77777777" w:rsidR="001C1CF8" w:rsidRPr="001C1CF8" w:rsidRDefault="001C1CF8" w:rsidP="001C1CF8">
      <w:pPr>
        <w:keepNext/>
        <w:numPr>
          <w:ilvl w:val="0"/>
          <w:numId w:val="8"/>
        </w:numPr>
        <w:spacing w:after="40"/>
        <w:rPr>
          <w:lang w:eastAsia="zh-CN" w:bidi="th-TH"/>
        </w:rPr>
      </w:pPr>
      <w:r w:rsidRPr="001C1CF8">
        <w:rPr>
          <w:lang w:eastAsia="zh-CN" w:bidi="th-TH"/>
        </w:rPr>
        <w:t xml:space="preserve">More consumers </w:t>
      </w:r>
      <w:r w:rsidRPr="00FE5316">
        <w:rPr>
          <w:b/>
          <w:bCs/>
          <w:lang w:eastAsia="zh-CN" w:bidi="th-TH"/>
        </w:rPr>
        <w:t>within one or more jurisdictions</w:t>
      </w:r>
      <w:r w:rsidRPr="001C1CF8">
        <w:rPr>
          <w:lang w:eastAsia="zh-CN" w:bidi="th-TH"/>
        </w:rPr>
        <w:t xml:space="preserve"> would have access to energy information at the point-of-sale in more businesses that sell standard food items; and energy information for more food and drinks.</w:t>
      </w:r>
    </w:p>
    <w:p w14:paraId="3DDD77AF" w14:textId="77777777" w:rsidR="001C1CF8" w:rsidRPr="001C1CF8" w:rsidRDefault="001C1CF8" w:rsidP="001C1CF8">
      <w:pPr>
        <w:keepNext/>
        <w:numPr>
          <w:ilvl w:val="0"/>
          <w:numId w:val="8"/>
        </w:numPr>
        <w:spacing w:after="40"/>
        <w:rPr>
          <w:lang w:eastAsia="zh-CN" w:bidi="th-TH"/>
        </w:rPr>
      </w:pPr>
      <w:r w:rsidRPr="001C1CF8">
        <w:rPr>
          <w:rFonts w:eastAsia="Calibri"/>
        </w:rPr>
        <w:t xml:space="preserve">Easier comparison of menu choices within a business, and across different businesses on third-party food delivery platforms operating </w:t>
      </w:r>
      <w:r w:rsidRPr="00FE5316">
        <w:rPr>
          <w:rFonts w:eastAsia="Calibri"/>
          <w:b/>
          <w:bCs/>
        </w:rPr>
        <w:t>within one or more jurisdictions</w:t>
      </w:r>
      <w:r w:rsidRPr="001C1CF8">
        <w:rPr>
          <w:rFonts w:eastAsia="Calibri"/>
        </w:rPr>
        <w:t>.</w:t>
      </w:r>
    </w:p>
    <w:p w14:paraId="74453EFA" w14:textId="77777777" w:rsidR="001C1CF8" w:rsidRPr="001C1CF8" w:rsidRDefault="001C1CF8" w:rsidP="001C1CF8">
      <w:pPr>
        <w:pStyle w:val="BodyText1"/>
        <w:numPr>
          <w:ilvl w:val="0"/>
          <w:numId w:val="8"/>
        </w:numPr>
        <w:spacing w:after="40" w:line="240" w:lineRule="auto"/>
        <w:rPr>
          <w:rFonts w:ascii="Times New Roman" w:eastAsia="Calibri" w:hAnsi="Times New Roman"/>
          <w:sz w:val="24"/>
        </w:rPr>
      </w:pPr>
      <w:r w:rsidRPr="001C1CF8">
        <w:rPr>
          <w:rFonts w:ascii="Times New Roman" w:eastAsia="Calibri" w:hAnsi="Times New Roman"/>
          <w:sz w:val="24"/>
        </w:rPr>
        <w:t xml:space="preserve">Greater equity among consumers </w:t>
      </w:r>
      <w:r w:rsidRPr="00FE5316">
        <w:rPr>
          <w:rFonts w:ascii="Times New Roman" w:eastAsia="Calibri" w:hAnsi="Times New Roman"/>
          <w:b/>
          <w:bCs/>
          <w:sz w:val="24"/>
        </w:rPr>
        <w:t>within one or more jurisdictions</w:t>
      </w:r>
      <w:r w:rsidRPr="001C1CF8">
        <w:rPr>
          <w:rFonts w:ascii="Times New Roman" w:eastAsia="Calibri" w:hAnsi="Times New Roman"/>
          <w:sz w:val="24"/>
        </w:rPr>
        <w:t xml:space="preserve"> as information would be available at standard food outlets regardless of which business standard food items</w:t>
      </w:r>
      <w:r w:rsidRPr="001C1CF8">
        <w:rPr>
          <w:rFonts w:ascii="Times New Roman" w:hAnsi="Times New Roman"/>
          <w:sz w:val="24"/>
        </w:rPr>
        <w:t xml:space="preserve"> are purchased</w:t>
      </w:r>
      <w:r w:rsidRPr="001C1CF8">
        <w:rPr>
          <w:rFonts w:ascii="Times New Roman" w:eastAsia="Calibri" w:hAnsi="Times New Roman"/>
          <w:sz w:val="24"/>
        </w:rPr>
        <w:t>.</w:t>
      </w:r>
    </w:p>
    <w:p w14:paraId="4A5121F6" w14:textId="1F8DE4D3" w:rsidR="001C1CF8" w:rsidRPr="001C1CF8" w:rsidRDefault="001C1CF8" w:rsidP="001C1CF8">
      <w:pPr>
        <w:pStyle w:val="ListParagraph"/>
        <w:numPr>
          <w:ilvl w:val="0"/>
          <w:numId w:val="8"/>
        </w:numPr>
        <w:spacing w:after="40"/>
        <w:jc w:val="both"/>
      </w:pPr>
      <w:r w:rsidRPr="001C1CF8">
        <w:rPr>
          <w:rFonts w:eastAsia="Calibri"/>
        </w:rPr>
        <w:t>More opportunities to use menu labelling to make healthier eating decisions could contribute to more individuals reducing their daily energy intake and body weight, thus reducing the risk of obesity and other chronic diseases. (Noting healthcare cost savings would be less than as described in section 5.3.2 above, as would only dee savings at a jurisdictional level.)</w:t>
      </w:r>
    </w:p>
    <w:p w14:paraId="39951B7D" w14:textId="284C66E0" w:rsidR="001C1CF8" w:rsidRDefault="001C1CF8" w:rsidP="0018353F">
      <w:pPr>
        <w:pStyle w:val="ListParagraph"/>
        <w:spacing w:after="40"/>
        <w:ind w:left="0"/>
        <w:jc w:val="both"/>
      </w:pPr>
    </w:p>
    <w:p w14:paraId="0F31C9DB" w14:textId="364F1847" w:rsidR="001C1CF8" w:rsidRPr="002605C2" w:rsidRDefault="00130874" w:rsidP="001C1CF8">
      <w:pPr>
        <w:pStyle w:val="ListParagraph"/>
        <w:spacing w:after="40"/>
        <w:ind w:left="0"/>
        <w:jc w:val="both"/>
      </w:pPr>
      <w:r>
        <w:t xml:space="preserve">For </w:t>
      </w:r>
      <w:r w:rsidR="001C1CF8" w:rsidRPr="002605C2">
        <w:t>Option 2</w:t>
      </w:r>
      <w:r w:rsidRPr="00FE5316">
        <w:t>, a</w:t>
      </w:r>
      <w:r w:rsidR="001C1CF8" w:rsidRPr="00FE5316">
        <w:t>nticipated costs (</w:t>
      </w:r>
      <w:r w:rsidR="001C1CF8" w:rsidRPr="002605C2">
        <w:t xml:space="preserve">compared to </w:t>
      </w:r>
      <w:r w:rsidR="00FA49F1">
        <w:t xml:space="preserve">the </w:t>
      </w:r>
      <w:r w:rsidR="001C1CF8" w:rsidRPr="002605C2">
        <w:t>status quo) for consumers (if one or more jurisdictions change legislation to exactly mirror the amended Principles)</w:t>
      </w:r>
      <w:r w:rsidR="002605C2">
        <w:t xml:space="preserve"> include</w:t>
      </w:r>
      <w:r w:rsidR="001C1CF8" w:rsidRPr="002605C2">
        <w:t>:</w:t>
      </w:r>
    </w:p>
    <w:p w14:paraId="0E1E6312" w14:textId="77777777" w:rsidR="001C1CF8" w:rsidRPr="00E67A4C" w:rsidRDefault="001C1CF8" w:rsidP="001C1CF8">
      <w:pPr>
        <w:pStyle w:val="BodyText1"/>
        <w:numPr>
          <w:ilvl w:val="0"/>
          <w:numId w:val="8"/>
        </w:numPr>
        <w:spacing w:after="40" w:line="240" w:lineRule="auto"/>
        <w:rPr>
          <w:rFonts w:ascii="Times New Roman" w:eastAsia="Calibri" w:hAnsi="Times New Roman"/>
          <w:sz w:val="24"/>
        </w:rPr>
      </w:pPr>
      <w:r w:rsidRPr="00E67A4C">
        <w:rPr>
          <w:rFonts w:ascii="Times New Roman" w:eastAsia="Calibri" w:hAnsi="Times New Roman"/>
          <w:sz w:val="24"/>
        </w:rPr>
        <w:t xml:space="preserve">Additional information on menus and at the point-of-sale may reduce usability for some consumers </w:t>
      </w:r>
      <w:r w:rsidRPr="00FE5316">
        <w:rPr>
          <w:rFonts w:ascii="Times New Roman" w:eastAsia="Calibri" w:hAnsi="Times New Roman"/>
          <w:b/>
          <w:bCs/>
          <w:sz w:val="24"/>
        </w:rPr>
        <w:t>within one or more jurisdictions</w:t>
      </w:r>
      <w:r w:rsidRPr="00E67A4C">
        <w:rPr>
          <w:rFonts w:ascii="Times New Roman" w:eastAsia="Calibri" w:hAnsi="Times New Roman"/>
          <w:sz w:val="24"/>
        </w:rPr>
        <w:t>.</w:t>
      </w:r>
    </w:p>
    <w:p w14:paraId="3ECB60D6" w14:textId="77777777" w:rsidR="001C1CF8" w:rsidRDefault="001C1CF8" w:rsidP="001C1CF8">
      <w:pPr>
        <w:pStyle w:val="BodyText1"/>
        <w:numPr>
          <w:ilvl w:val="0"/>
          <w:numId w:val="8"/>
        </w:numPr>
        <w:spacing w:after="40" w:line="240" w:lineRule="auto"/>
        <w:rPr>
          <w:rFonts w:ascii="Times New Roman" w:eastAsia="Calibri" w:hAnsi="Times New Roman"/>
          <w:sz w:val="24"/>
        </w:rPr>
      </w:pPr>
      <w:r w:rsidRPr="00E67A4C">
        <w:rPr>
          <w:rFonts w:ascii="Times New Roman" w:eastAsia="Calibri" w:hAnsi="Times New Roman"/>
          <w:sz w:val="24"/>
        </w:rPr>
        <w:t xml:space="preserve">Difficulty in calculating the energy content for customised menus items (where the energy information is not provided for the final item) for consumers </w:t>
      </w:r>
      <w:r w:rsidRPr="00FE5316">
        <w:rPr>
          <w:rFonts w:ascii="Times New Roman" w:eastAsia="Calibri" w:hAnsi="Times New Roman"/>
          <w:b/>
          <w:bCs/>
          <w:sz w:val="24"/>
        </w:rPr>
        <w:t>within a jurisdiction</w:t>
      </w:r>
      <w:r w:rsidRPr="00E67A4C">
        <w:rPr>
          <w:rFonts w:ascii="Times New Roman" w:eastAsia="Calibri" w:hAnsi="Times New Roman"/>
          <w:sz w:val="24"/>
          <w:u w:val="single"/>
        </w:rPr>
        <w:t xml:space="preserve"> </w:t>
      </w:r>
      <w:r w:rsidRPr="00E67A4C">
        <w:rPr>
          <w:rFonts w:ascii="Times New Roman" w:eastAsia="Calibri" w:hAnsi="Times New Roman"/>
          <w:sz w:val="24"/>
        </w:rPr>
        <w:t>(noting that under the status quo, this could already be a cost for consumers in the five jurisdictions with menu labelling legislation).</w:t>
      </w:r>
    </w:p>
    <w:p w14:paraId="1B4ECD88" w14:textId="77777777" w:rsidR="001C1CF8" w:rsidRDefault="001C1CF8" w:rsidP="001C1CF8">
      <w:pPr>
        <w:pStyle w:val="BodyText1"/>
        <w:numPr>
          <w:ilvl w:val="0"/>
          <w:numId w:val="8"/>
        </w:numPr>
        <w:spacing w:after="40" w:line="240" w:lineRule="auto"/>
        <w:rPr>
          <w:rFonts w:ascii="Times New Roman" w:eastAsia="Calibri" w:hAnsi="Times New Roman"/>
          <w:sz w:val="24"/>
        </w:rPr>
      </w:pPr>
      <w:r w:rsidRPr="00E67A4C">
        <w:rPr>
          <w:rFonts w:ascii="Times New Roman" w:eastAsia="Calibri" w:hAnsi="Times New Roman"/>
          <w:sz w:val="24"/>
        </w:rPr>
        <w:t xml:space="preserve">Consumers in </w:t>
      </w:r>
      <w:r w:rsidRPr="00FE5316">
        <w:rPr>
          <w:rFonts w:ascii="Times New Roman" w:eastAsia="Calibri" w:hAnsi="Times New Roman"/>
          <w:b/>
          <w:bCs/>
          <w:sz w:val="24"/>
        </w:rPr>
        <w:t>New Zealand, Northern Territory, Tasmania, and Western Australia</w:t>
      </w:r>
      <w:r w:rsidRPr="00E67A4C">
        <w:rPr>
          <w:rFonts w:ascii="Times New Roman" w:eastAsia="Calibri" w:hAnsi="Times New Roman"/>
          <w:sz w:val="24"/>
        </w:rPr>
        <w:t xml:space="preserve"> (which do not implement menu labelling under the status quo) may not be able to make informed purchasing decisions if energy information is not displayed at the point-of-sale.</w:t>
      </w:r>
    </w:p>
    <w:p w14:paraId="16135866" w14:textId="392FA170" w:rsidR="001C1CF8" w:rsidRDefault="001C1CF8" w:rsidP="001C1CF8">
      <w:pPr>
        <w:pStyle w:val="ListParagraph"/>
        <w:numPr>
          <w:ilvl w:val="0"/>
          <w:numId w:val="8"/>
        </w:numPr>
        <w:spacing w:after="40"/>
        <w:jc w:val="both"/>
      </w:pPr>
      <w:r w:rsidRPr="000E2D90">
        <w:rPr>
          <w:rFonts w:eastAsia="Calibri"/>
        </w:rPr>
        <w:t>Emotional cost (e.g. guilt/anxiety) for those individuals who want to avoid knowing the energy content of menu choices, and/or those who want to avoid eating high kilojoule menu choices, but purchase, nonetheless.</w:t>
      </w:r>
    </w:p>
    <w:p w14:paraId="622C27F2" w14:textId="77777777" w:rsidR="001C1CF8" w:rsidRPr="00E67A4C" w:rsidRDefault="001C1CF8" w:rsidP="0018353F">
      <w:pPr>
        <w:pStyle w:val="ListParagraph"/>
        <w:spacing w:after="40"/>
        <w:ind w:left="0"/>
        <w:jc w:val="both"/>
      </w:pPr>
    </w:p>
    <w:p w14:paraId="7D0D7692" w14:textId="4FC8C8D2" w:rsidR="00752528" w:rsidRPr="00812051" w:rsidRDefault="00752528" w:rsidP="00812051">
      <w:pPr>
        <w:pStyle w:val="Heading4"/>
        <w:spacing w:before="120"/>
      </w:pPr>
      <w:r w:rsidRPr="00812051">
        <w:t>5.3.3 Benefits and risks associated with implementation mechanism</w:t>
      </w:r>
    </w:p>
    <w:p w14:paraId="33ECDFCE" w14:textId="68B424EA" w:rsidR="00596C8F" w:rsidRPr="00E67A4C" w:rsidRDefault="00596C8F" w:rsidP="00D877C9">
      <w:pPr>
        <w:spacing w:after="40"/>
        <w:jc w:val="both"/>
      </w:pPr>
      <w:r w:rsidRPr="00E67A4C">
        <w:t xml:space="preserve">If all nine Australian jurisdictions and New Zealand changed their legislation to align </w:t>
      </w:r>
      <w:r w:rsidR="009F1FC1" w:rsidRPr="00E67A4C">
        <w:t xml:space="preserve">exactly </w:t>
      </w:r>
      <w:r w:rsidRPr="00E67A4C">
        <w:t>with the amended Principles</w:t>
      </w:r>
      <w:r w:rsidR="009F1FC1" w:rsidRPr="00E67A4C">
        <w:t xml:space="preserve">, this mechanism </w:t>
      </w:r>
      <w:r w:rsidR="001D5874" w:rsidRPr="00E67A4C">
        <w:t>is likely to</w:t>
      </w:r>
      <w:r w:rsidR="009F1FC1" w:rsidRPr="00E67A4C">
        <w:t xml:space="preserve"> prevent the proliferation of different menu labelling systems. Similarly, a more level playing field with respect to menu labelling could be created by Option 2 if </w:t>
      </w:r>
      <w:r w:rsidR="007C7A52" w:rsidRPr="00E67A4C">
        <w:t xml:space="preserve">five </w:t>
      </w:r>
      <w:r w:rsidR="009F1FC1" w:rsidRPr="00E67A4C">
        <w:t>jurisdictions removed the existing exemptions</w:t>
      </w:r>
      <w:r w:rsidR="00885BE2" w:rsidRPr="00E67A4C">
        <w:t xml:space="preserve"> identically</w:t>
      </w:r>
      <w:r w:rsidR="009F1FC1" w:rsidRPr="00E67A4C">
        <w:t xml:space="preserve">.  </w:t>
      </w:r>
    </w:p>
    <w:p w14:paraId="209E266D" w14:textId="77777777" w:rsidR="00E609A9" w:rsidRPr="00E67A4C" w:rsidRDefault="00E609A9" w:rsidP="00D877C9">
      <w:pPr>
        <w:spacing w:after="40"/>
        <w:jc w:val="both"/>
        <w:rPr>
          <w:lang w:eastAsia="zh-CN" w:bidi="th-TH"/>
        </w:rPr>
      </w:pPr>
    </w:p>
    <w:p w14:paraId="7D77B657" w14:textId="1FDED496" w:rsidR="00160CAA" w:rsidRDefault="00E609A9" w:rsidP="00160CAA">
      <w:pPr>
        <w:spacing w:after="40"/>
        <w:jc w:val="both"/>
      </w:pPr>
      <w:r w:rsidRPr="00E67A4C">
        <w:t>However, t</w:t>
      </w:r>
      <w:r w:rsidR="009F1FC1" w:rsidRPr="00E67A4C">
        <w:t>his harmonisation of implementation between jurisdictions has not been possible since the Principles were endorsed by Food Ministers in 2011 as most jurisdictions have implemented systems that deviate from the 2011 Principles to some degree.</w:t>
      </w:r>
      <w:r w:rsidR="00870E44" w:rsidRPr="00E67A4C">
        <w:t xml:space="preserve"> </w:t>
      </w:r>
      <w:r w:rsidR="00EA138E" w:rsidRPr="00E67A4C">
        <w:t>There is a</w:t>
      </w:r>
      <w:r w:rsidR="00B24821" w:rsidRPr="00E67A4C">
        <w:t xml:space="preserve"> likelihood </w:t>
      </w:r>
      <w:r w:rsidR="00EA138E" w:rsidRPr="00E67A4C">
        <w:t>that</w:t>
      </w:r>
      <w:r w:rsidR="00870E44" w:rsidRPr="00E67A4C">
        <w:t xml:space="preserve"> </w:t>
      </w:r>
      <w:r w:rsidR="00EA138E" w:rsidRPr="00E67A4C">
        <w:t xml:space="preserve">future </w:t>
      </w:r>
      <w:r w:rsidR="00870E44" w:rsidRPr="00E67A4C">
        <w:t xml:space="preserve">jurisdictional legislative setting processes </w:t>
      </w:r>
      <w:r w:rsidR="00EA138E" w:rsidRPr="00E67A4C">
        <w:t xml:space="preserve">would </w:t>
      </w:r>
      <w:r w:rsidR="00F35052" w:rsidRPr="00E67A4C">
        <w:t xml:space="preserve">result in </w:t>
      </w:r>
      <w:r w:rsidR="00870E44" w:rsidRPr="00E67A4C">
        <w:t>deviat</w:t>
      </w:r>
      <w:r w:rsidR="00F35052" w:rsidRPr="00E67A4C">
        <w:t>ions</w:t>
      </w:r>
      <w:r w:rsidR="00EA138E" w:rsidRPr="00E67A4C">
        <w:t xml:space="preserve"> </w:t>
      </w:r>
      <w:r w:rsidR="00870E44" w:rsidRPr="00E67A4C">
        <w:t xml:space="preserve">from the </w:t>
      </w:r>
      <w:r w:rsidR="002727BA" w:rsidRPr="00E67A4C">
        <w:t>amended Principles</w:t>
      </w:r>
      <w:r w:rsidR="00870E44" w:rsidRPr="00E67A4C">
        <w:t xml:space="preserve">. </w:t>
      </w:r>
      <w:r w:rsidR="00160CAA" w:rsidRPr="00E67A4C">
        <w:t xml:space="preserve">No guarantees can be offered that jurisdictions could implement modified or new legislation that identically mirrors the amended Principles. </w:t>
      </w:r>
    </w:p>
    <w:p w14:paraId="0DDE7D91" w14:textId="77777777" w:rsidR="004E3E67" w:rsidRDefault="004E3E67" w:rsidP="00D877C9">
      <w:pPr>
        <w:spacing w:after="40"/>
        <w:jc w:val="both"/>
        <w:rPr>
          <w:lang w:eastAsia="zh-CN" w:bidi="th-TH"/>
        </w:rPr>
      </w:pPr>
    </w:p>
    <w:p w14:paraId="5CCAD9BB" w14:textId="7CEF92C5" w:rsidR="00752528" w:rsidRPr="00E67A4C" w:rsidRDefault="00F02CD6" w:rsidP="00D877C9">
      <w:pPr>
        <w:spacing w:after="40"/>
        <w:jc w:val="both"/>
      </w:pPr>
      <w:r w:rsidRPr="00E67A4C">
        <w:rPr>
          <w:lang w:eastAsia="zh-CN" w:bidi="th-TH"/>
        </w:rPr>
        <w:lastRenderedPageBreak/>
        <w:t>Additionally,</w:t>
      </w:r>
      <w:r w:rsidR="00F35052" w:rsidRPr="00E67A4C">
        <w:rPr>
          <w:lang w:eastAsia="zh-CN" w:bidi="th-TH"/>
        </w:rPr>
        <w:t xml:space="preserve"> there is a</w:t>
      </w:r>
      <w:r w:rsidR="00752528" w:rsidRPr="00E67A4C">
        <w:rPr>
          <w:lang w:eastAsia="zh-CN" w:bidi="th-TH"/>
        </w:rPr>
        <w:t xml:space="preserve"> risk that the current inconsistencies will remain, and additional inconsistencies may emerge if jurisdictional action does not occur in a timely (within 1-2 years) and uniform manner.</w:t>
      </w:r>
      <w:r w:rsidR="00752528" w:rsidRPr="00E67A4C">
        <w:t xml:space="preserve"> A jurisdiction’s ability to amend their legislation is dependent on their work plan, competing priorities</w:t>
      </w:r>
      <w:r w:rsidR="00B24821" w:rsidRPr="00E67A4C">
        <w:t xml:space="preserve">, </w:t>
      </w:r>
      <w:r w:rsidR="00752528" w:rsidRPr="00E67A4C">
        <w:t>complexity of the issues</w:t>
      </w:r>
      <w:r w:rsidR="00B24821" w:rsidRPr="00E67A4C">
        <w:t xml:space="preserve"> and parliamentary debate</w:t>
      </w:r>
      <w:r w:rsidR="00752528" w:rsidRPr="00E67A4C">
        <w:t>.</w:t>
      </w:r>
      <w:r w:rsidR="00EE3166" w:rsidRPr="00E67A4C">
        <w:t xml:space="preserve"> </w:t>
      </w:r>
      <w:r w:rsidR="00EC434F" w:rsidRPr="00E67A4C">
        <w:t>S</w:t>
      </w:r>
      <w:r w:rsidR="00AE7B5A" w:rsidRPr="00E67A4C">
        <w:t xml:space="preserve">ince the 2011 Principles were created, </w:t>
      </w:r>
      <w:r w:rsidR="001C4D9C" w:rsidRPr="00E67A4C">
        <w:t xml:space="preserve">only </w:t>
      </w:r>
      <w:r w:rsidR="00AE7B5A" w:rsidRPr="00E67A4C">
        <w:t>five jurisdictions have implemented menu labelling legislation</w:t>
      </w:r>
      <w:r w:rsidR="00EF6B58" w:rsidRPr="00E67A4C">
        <w:t xml:space="preserve">, with the most </w:t>
      </w:r>
      <w:r w:rsidR="001F1299" w:rsidRPr="00E67A4C">
        <w:t>recent scheme be</w:t>
      </w:r>
      <w:r w:rsidR="000325A8" w:rsidRPr="00E67A4C">
        <w:t>coming</w:t>
      </w:r>
      <w:r w:rsidR="001F1299" w:rsidRPr="00E67A4C">
        <w:t xml:space="preserve"> effective </w:t>
      </w:r>
      <w:r w:rsidR="000325A8" w:rsidRPr="00E67A4C">
        <w:t>seven years after the 2011 Principles were developed</w:t>
      </w:r>
      <w:r w:rsidR="007D06DF" w:rsidRPr="00E67A4C">
        <w:t xml:space="preserve">. </w:t>
      </w:r>
    </w:p>
    <w:p w14:paraId="4E833C07" w14:textId="1BA2BEAC" w:rsidR="004B130B" w:rsidRPr="00E67A4C" w:rsidRDefault="004B130B" w:rsidP="00D877C9">
      <w:pPr>
        <w:spacing w:after="40"/>
        <w:jc w:val="both"/>
        <w:rPr>
          <w:lang w:eastAsia="zh-CN" w:bidi="th-TH"/>
        </w:rPr>
      </w:pPr>
    </w:p>
    <w:p w14:paraId="1BF22FB9" w14:textId="77777777" w:rsidR="00E609A9" w:rsidRPr="00E67A4C" w:rsidRDefault="00E609A9" w:rsidP="00E609A9">
      <w:pPr>
        <w:spacing w:after="40"/>
        <w:jc w:val="both"/>
        <w:rPr>
          <w:lang w:eastAsia="zh-CN" w:bidi="th-TH"/>
        </w:rPr>
      </w:pPr>
      <w:r w:rsidRPr="00E67A4C">
        <w:rPr>
          <w:lang w:eastAsia="zh-CN" w:bidi="th-TH"/>
        </w:rPr>
        <w:t>Should one or more jurisdictions strengthen their legislation, it is possible that cross-border businesses (i.e. businesses with a national head office and national reach) may choose to voluntarily implement menu labelling in the same manner nationally (if would remain compliant with existing legislation in other jurisdictions). This would be a business decision that could not be enforced beyond the jurisdictions that chose to strengthen their legislation. Therefore, it is possible that Option 2 may result in standard food outlets consistently implementing the strengthened menu labelling elements outlined in the amended Principles.</w:t>
      </w:r>
    </w:p>
    <w:p w14:paraId="1A236E32" w14:textId="77777777" w:rsidR="00B02813" w:rsidRPr="00E67A4C" w:rsidRDefault="00B02813" w:rsidP="00D877C9">
      <w:pPr>
        <w:spacing w:after="40"/>
        <w:jc w:val="both"/>
        <w:rPr>
          <w:lang w:eastAsia="zh-CN" w:bidi="th-TH"/>
        </w:rPr>
      </w:pPr>
    </w:p>
    <w:p w14:paraId="39A9B472" w14:textId="629B632C" w:rsidR="005B2425" w:rsidRPr="00E67A4C" w:rsidRDefault="00114267" w:rsidP="00246032">
      <w:pPr>
        <w:pStyle w:val="Heading3"/>
      </w:pPr>
      <w:bookmarkStart w:id="71" w:name="_Toc51165284"/>
      <w:bookmarkStart w:id="72" w:name="_Toc426380836"/>
      <w:bookmarkStart w:id="73" w:name="_Toc426380901"/>
      <w:bookmarkStart w:id="74" w:name="_Toc426380932"/>
      <w:r w:rsidRPr="00E67A4C">
        <w:t>5.</w:t>
      </w:r>
      <w:r w:rsidR="00D12D77" w:rsidRPr="00E67A4C">
        <w:t>4</w:t>
      </w:r>
      <w:r w:rsidRPr="00E67A4C">
        <w:t xml:space="preserve"> </w:t>
      </w:r>
      <w:r w:rsidR="00E152E4" w:rsidRPr="00E67A4C">
        <w:t xml:space="preserve">Option </w:t>
      </w:r>
      <w:r w:rsidR="00D12D77" w:rsidRPr="00E67A4C">
        <w:t>3</w:t>
      </w:r>
      <w:r w:rsidR="00E152E4" w:rsidRPr="00E67A4C">
        <w:t xml:space="preserve"> </w:t>
      </w:r>
      <w:bookmarkEnd w:id="71"/>
    </w:p>
    <w:p w14:paraId="42AA6597" w14:textId="3D67F07A" w:rsidR="00006525" w:rsidRPr="00812051" w:rsidRDefault="00314139" w:rsidP="00812051">
      <w:pPr>
        <w:pStyle w:val="Heading4"/>
        <w:spacing w:before="120"/>
      </w:pPr>
      <w:r w:rsidRPr="00812051">
        <w:t>5.</w:t>
      </w:r>
      <w:r w:rsidR="00D12D77" w:rsidRPr="00812051">
        <w:t>4</w:t>
      </w:r>
      <w:r w:rsidRPr="00812051">
        <w:t xml:space="preserve">.1 </w:t>
      </w:r>
      <w:r w:rsidR="00F77640" w:rsidRPr="00812051">
        <w:t xml:space="preserve">Impacts on </w:t>
      </w:r>
      <w:r w:rsidR="00A101FC" w:rsidRPr="00812051">
        <w:t xml:space="preserve">Australian and New Zealand </w:t>
      </w:r>
      <w:r w:rsidR="00CA29F7" w:rsidRPr="00812051">
        <w:t xml:space="preserve">Food </w:t>
      </w:r>
      <w:r w:rsidRPr="00812051">
        <w:t>Industr</w:t>
      </w:r>
      <w:r w:rsidR="009D1296" w:rsidRPr="00812051">
        <w:t>ies</w:t>
      </w:r>
    </w:p>
    <w:p w14:paraId="2A1AB216" w14:textId="4C6C2EA1" w:rsidR="00981A1B" w:rsidRPr="00E67A4C" w:rsidRDefault="00B30ACC" w:rsidP="0012573F">
      <w:pPr>
        <w:spacing w:after="40"/>
        <w:jc w:val="both"/>
        <w:rPr>
          <w:lang w:eastAsia="zh-CN" w:bidi="th-TH"/>
        </w:rPr>
      </w:pPr>
      <w:r w:rsidRPr="00E67A4C">
        <w:rPr>
          <w:lang w:eastAsia="zh-CN" w:bidi="th-TH"/>
        </w:rPr>
        <w:t>The potential impact on businesses is dependent on FSANZ developing a food regulatory measure</w:t>
      </w:r>
      <w:r w:rsidR="00B47E9C" w:rsidRPr="00E67A4C">
        <w:rPr>
          <w:lang w:eastAsia="zh-CN" w:bidi="th-TH"/>
        </w:rPr>
        <w:t xml:space="preserve"> that </w:t>
      </w:r>
      <w:r w:rsidR="00AD2A5E" w:rsidRPr="00E67A4C">
        <w:rPr>
          <w:lang w:eastAsia="zh-CN" w:bidi="th-TH"/>
        </w:rPr>
        <w:t xml:space="preserve">exactly </w:t>
      </w:r>
      <w:r w:rsidR="00B47E9C" w:rsidRPr="00E67A4C">
        <w:rPr>
          <w:lang w:eastAsia="zh-CN" w:bidi="th-TH"/>
        </w:rPr>
        <w:t xml:space="preserve">aligns with the intent of the </w:t>
      </w:r>
      <w:r w:rsidR="00304B7B" w:rsidRPr="00E67A4C">
        <w:rPr>
          <w:lang w:eastAsia="zh-CN" w:bidi="th-TH"/>
        </w:rPr>
        <w:t>proposed</w:t>
      </w:r>
      <w:r w:rsidR="00B47E9C" w:rsidRPr="00E67A4C">
        <w:rPr>
          <w:lang w:eastAsia="zh-CN" w:bidi="th-TH"/>
        </w:rPr>
        <w:t xml:space="preserve"> Policy Guideline</w:t>
      </w:r>
      <w:r w:rsidR="00F07D9A" w:rsidRPr="00E67A4C">
        <w:rPr>
          <w:lang w:eastAsia="zh-CN" w:bidi="th-TH"/>
        </w:rPr>
        <w:t xml:space="preserve">; and then </w:t>
      </w:r>
      <w:r w:rsidR="007D1572" w:rsidRPr="00E67A4C">
        <w:rPr>
          <w:lang w:eastAsia="zh-CN" w:bidi="th-TH"/>
        </w:rPr>
        <w:t xml:space="preserve">on </w:t>
      </w:r>
      <w:r w:rsidR="00F07D9A" w:rsidRPr="00E67A4C">
        <w:rPr>
          <w:lang w:eastAsia="zh-CN" w:bidi="th-TH"/>
        </w:rPr>
        <w:t>all jurisdiction</w:t>
      </w:r>
      <w:r w:rsidR="007D1572" w:rsidRPr="00E67A4C">
        <w:rPr>
          <w:lang w:eastAsia="zh-CN" w:bidi="th-TH"/>
        </w:rPr>
        <w:t xml:space="preserve">s repealing their </w:t>
      </w:r>
      <w:r w:rsidR="00F07D9A" w:rsidRPr="00E67A4C">
        <w:rPr>
          <w:lang w:eastAsia="zh-CN" w:bidi="th-TH"/>
        </w:rPr>
        <w:t>menu labelling legislation.</w:t>
      </w:r>
      <w:r w:rsidR="001F1B40" w:rsidRPr="00E67A4C">
        <w:rPr>
          <w:lang w:eastAsia="zh-CN" w:bidi="th-TH"/>
        </w:rPr>
        <w:t xml:space="preserve"> </w:t>
      </w:r>
      <w:r w:rsidR="000275BB" w:rsidRPr="00E67A4C">
        <w:rPr>
          <w:lang w:eastAsia="zh-CN" w:bidi="th-TH"/>
        </w:rPr>
        <w:t>FSANZ would need to determine the number of businesses that would be required to implement menu labelling in Australia and New Zealand</w:t>
      </w:r>
      <w:r w:rsidR="00FF1B45" w:rsidRPr="00E67A4C">
        <w:rPr>
          <w:lang w:eastAsia="zh-CN" w:bidi="th-TH"/>
        </w:rPr>
        <w:t>.</w:t>
      </w:r>
    </w:p>
    <w:p w14:paraId="240A16D3" w14:textId="339D03C1" w:rsidR="004E65A8" w:rsidRPr="00E67A4C" w:rsidRDefault="004E65A8" w:rsidP="00006525">
      <w:pPr>
        <w:spacing w:after="40"/>
        <w:jc w:val="both"/>
        <w:rPr>
          <w:lang w:eastAsia="zh-CN" w:bidi="th-TH"/>
        </w:rPr>
      </w:pPr>
    </w:p>
    <w:p w14:paraId="5697396C" w14:textId="5A6F7629" w:rsidR="00006525" w:rsidRPr="00E67A4C" w:rsidRDefault="00DE51AB" w:rsidP="00006525">
      <w:pPr>
        <w:spacing w:after="40"/>
        <w:jc w:val="both"/>
      </w:pPr>
      <w:r w:rsidRPr="00E67A4C">
        <w:rPr>
          <w:lang w:eastAsia="zh-CN" w:bidi="th-TH"/>
        </w:rPr>
        <w:t>On th</w:t>
      </w:r>
      <w:r w:rsidR="004E65A8" w:rsidRPr="00E67A4C">
        <w:rPr>
          <w:lang w:eastAsia="zh-CN" w:bidi="th-TH"/>
        </w:rPr>
        <w:t>e</w:t>
      </w:r>
      <w:r w:rsidRPr="00E67A4C">
        <w:rPr>
          <w:lang w:eastAsia="zh-CN" w:bidi="th-TH"/>
        </w:rPr>
        <w:t xml:space="preserve"> basis</w:t>
      </w:r>
      <w:r w:rsidR="009D56C4" w:rsidRPr="00E67A4C">
        <w:rPr>
          <w:lang w:eastAsia="zh-CN" w:bidi="th-TH"/>
        </w:rPr>
        <w:t xml:space="preserve"> that a food regulatory measure </w:t>
      </w:r>
      <w:r w:rsidR="00B666A9" w:rsidRPr="00E67A4C">
        <w:rPr>
          <w:lang w:eastAsia="zh-CN" w:bidi="th-TH"/>
        </w:rPr>
        <w:t xml:space="preserve">under the Food Standards Code </w:t>
      </w:r>
      <w:r w:rsidR="009D56C4" w:rsidRPr="00E67A4C">
        <w:rPr>
          <w:lang w:eastAsia="zh-CN" w:bidi="th-TH"/>
        </w:rPr>
        <w:t xml:space="preserve">aligns with the </w:t>
      </w:r>
      <w:r w:rsidR="00304B7B" w:rsidRPr="00E67A4C">
        <w:rPr>
          <w:lang w:eastAsia="zh-CN" w:bidi="th-TH"/>
        </w:rPr>
        <w:t>proposed</w:t>
      </w:r>
      <w:r w:rsidR="009D56C4" w:rsidRPr="00E67A4C">
        <w:rPr>
          <w:lang w:eastAsia="zh-CN" w:bidi="th-TH"/>
        </w:rPr>
        <w:t xml:space="preserve"> Policy Guideline</w:t>
      </w:r>
      <w:r w:rsidR="0024420B" w:rsidRPr="00E67A4C">
        <w:rPr>
          <w:lang w:eastAsia="zh-CN" w:bidi="th-TH"/>
        </w:rPr>
        <w:t xml:space="preserve">, </w:t>
      </w:r>
      <w:r w:rsidR="0024420B" w:rsidRPr="00E67A4C">
        <w:t>c</w:t>
      </w:r>
      <w:r w:rsidR="003F637F" w:rsidRPr="00E67A4C">
        <w:t xml:space="preserve">ompared to the status quo, the changes for </w:t>
      </w:r>
      <w:r w:rsidR="00440683" w:rsidRPr="00E67A4C">
        <w:t xml:space="preserve">all affected </w:t>
      </w:r>
      <w:r w:rsidR="003F637F" w:rsidRPr="00E67A4C">
        <w:t xml:space="preserve">businesses </w:t>
      </w:r>
      <w:r w:rsidR="00440683" w:rsidRPr="00E67A4C">
        <w:t>in Australia and New Zealand</w:t>
      </w:r>
      <w:r w:rsidR="003D2DF4" w:rsidRPr="00E67A4C">
        <w:t xml:space="preserve"> from</w:t>
      </w:r>
      <w:r w:rsidR="00006525" w:rsidRPr="00E67A4C">
        <w:t xml:space="preserve"> </w:t>
      </w:r>
      <w:r w:rsidR="0053518B" w:rsidRPr="00E67A4C">
        <w:t xml:space="preserve">Option </w:t>
      </w:r>
      <w:r w:rsidR="00D12D77" w:rsidRPr="00E67A4C">
        <w:t>3</w:t>
      </w:r>
      <w:r w:rsidR="0053518B" w:rsidRPr="00E67A4C">
        <w:t xml:space="preserve"> </w:t>
      </w:r>
      <w:r w:rsidR="00632BB3" w:rsidRPr="00E67A4C">
        <w:t>would</w:t>
      </w:r>
      <w:r w:rsidR="00006525" w:rsidRPr="00E67A4C">
        <w:t xml:space="preserve"> </w:t>
      </w:r>
      <w:r w:rsidR="003D2DF4" w:rsidRPr="00E67A4C">
        <w:t>include</w:t>
      </w:r>
      <w:r w:rsidR="00AA0F6A" w:rsidRPr="00E67A4C">
        <w:t>:</w:t>
      </w:r>
    </w:p>
    <w:p w14:paraId="14187456" w14:textId="3876EC36" w:rsidR="00AE5AAC" w:rsidRPr="00E67A4C" w:rsidRDefault="009F5C15" w:rsidP="00F76FDC">
      <w:pPr>
        <w:pStyle w:val="ListParagraph"/>
        <w:numPr>
          <w:ilvl w:val="0"/>
          <w:numId w:val="3"/>
        </w:numPr>
        <w:spacing w:after="40"/>
        <w:jc w:val="both"/>
        <w:rPr>
          <w:lang w:eastAsia="zh-CN" w:bidi="th-TH"/>
        </w:rPr>
      </w:pPr>
      <w:r w:rsidRPr="00E67A4C">
        <w:rPr>
          <w:lang w:eastAsia="zh-CN" w:bidi="th-TH"/>
        </w:rPr>
        <w:t>All businesses in Australia and New Zealand that meet the proposed definition of a standard food outlet</w:t>
      </w:r>
      <w:r w:rsidRPr="00E67A4C">
        <w:rPr>
          <w:vertAlign w:val="superscript"/>
        </w:rPr>
        <w:footnoteReference w:id="56"/>
      </w:r>
      <w:r w:rsidRPr="00E67A4C">
        <w:rPr>
          <w:lang w:eastAsia="zh-CN" w:bidi="th-TH"/>
        </w:rPr>
        <w:t xml:space="preserve"> </w:t>
      </w:r>
      <w:r w:rsidR="00AE5AAC" w:rsidRPr="00E67A4C">
        <w:rPr>
          <w:lang w:eastAsia="zh-CN" w:bidi="th-TH"/>
        </w:rPr>
        <w:t xml:space="preserve">would be required to implement </w:t>
      </w:r>
      <w:r w:rsidR="00B666A9" w:rsidRPr="00E67A4C">
        <w:rPr>
          <w:lang w:eastAsia="zh-CN" w:bidi="th-TH"/>
        </w:rPr>
        <w:t xml:space="preserve">the same </w:t>
      </w:r>
      <w:r w:rsidR="00AE5AAC" w:rsidRPr="00E67A4C">
        <w:rPr>
          <w:lang w:eastAsia="zh-CN" w:bidi="th-TH"/>
        </w:rPr>
        <w:t>menu labelling</w:t>
      </w:r>
      <w:r w:rsidR="00B666A9" w:rsidRPr="00E67A4C">
        <w:rPr>
          <w:lang w:eastAsia="zh-CN" w:bidi="th-TH"/>
        </w:rPr>
        <w:t xml:space="preserve"> requirements</w:t>
      </w:r>
      <w:r w:rsidR="009C063E" w:rsidRPr="00E67A4C">
        <w:rPr>
          <w:lang w:eastAsia="zh-CN" w:bidi="th-TH"/>
        </w:rPr>
        <w:t>.</w:t>
      </w:r>
      <w:r w:rsidR="00AE5AAC" w:rsidRPr="00E67A4C">
        <w:rPr>
          <w:lang w:eastAsia="zh-CN" w:bidi="th-TH"/>
        </w:rPr>
        <w:t xml:space="preserve"> </w:t>
      </w:r>
    </w:p>
    <w:p w14:paraId="36EC0F71" w14:textId="0CC29002" w:rsidR="005A1407" w:rsidRPr="00E67A4C" w:rsidRDefault="005A1407" w:rsidP="00F76FDC">
      <w:pPr>
        <w:pStyle w:val="ListParagraph"/>
        <w:numPr>
          <w:ilvl w:val="0"/>
          <w:numId w:val="3"/>
        </w:numPr>
        <w:spacing w:after="40"/>
        <w:jc w:val="both"/>
        <w:rPr>
          <w:lang w:eastAsia="zh-CN" w:bidi="th-TH"/>
        </w:rPr>
      </w:pPr>
      <w:r w:rsidRPr="00E67A4C">
        <w:rPr>
          <w:lang w:eastAsia="zh-CN" w:bidi="th-TH"/>
        </w:rPr>
        <w:t xml:space="preserve">All </w:t>
      </w:r>
      <w:r w:rsidR="00F27602" w:rsidRPr="00E67A4C">
        <w:rPr>
          <w:lang w:eastAsia="zh-CN" w:bidi="th-TH"/>
        </w:rPr>
        <w:t>standard food outlets</w:t>
      </w:r>
      <w:r w:rsidR="00E10F05" w:rsidRPr="00E67A4C">
        <w:rPr>
          <w:lang w:eastAsia="zh-CN" w:bidi="th-TH"/>
        </w:rPr>
        <w:t xml:space="preserve"> </w:t>
      </w:r>
      <w:r w:rsidR="00381FCD" w:rsidRPr="00E67A4C">
        <w:rPr>
          <w:lang w:eastAsia="zh-CN" w:bidi="th-TH"/>
        </w:rPr>
        <w:t xml:space="preserve">in </w:t>
      </w:r>
      <w:r w:rsidR="00F37A4E" w:rsidRPr="00E67A4C">
        <w:rPr>
          <w:lang w:eastAsia="zh-CN" w:bidi="th-TH"/>
        </w:rPr>
        <w:t xml:space="preserve">Australia and New Zealand </w:t>
      </w:r>
      <w:r w:rsidR="00E10F05" w:rsidRPr="00E67A4C">
        <w:rPr>
          <w:lang w:eastAsia="zh-CN" w:bidi="th-TH"/>
        </w:rPr>
        <w:t>would need to</w:t>
      </w:r>
      <w:r w:rsidR="008E571B" w:rsidRPr="00E67A4C">
        <w:rPr>
          <w:lang w:eastAsia="zh-CN" w:bidi="th-TH"/>
        </w:rPr>
        <w:t xml:space="preserve"> (in the same manner)</w:t>
      </w:r>
      <w:r w:rsidRPr="00E67A4C">
        <w:rPr>
          <w:lang w:eastAsia="zh-CN" w:bidi="th-TH"/>
        </w:rPr>
        <w:t>:</w:t>
      </w:r>
    </w:p>
    <w:p w14:paraId="3467717D" w14:textId="3CAC5561" w:rsidR="00C02D9D" w:rsidRPr="00E67A4C" w:rsidRDefault="00B61D7F" w:rsidP="00F76FDC">
      <w:pPr>
        <w:pStyle w:val="ListParagraph"/>
        <w:numPr>
          <w:ilvl w:val="1"/>
          <w:numId w:val="3"/>
        </w:numPr>
        <w:spacing w:after="40"/>
        <w:jc w:val="both"/>
        <w:rPr>
          <w:lang w:eastAsia="zh-CN" w:bidi="th-TH"/>
        </w:rPr>
      </w:pPr>
      <w:r w:rsidRPr="00E67A4C">
        <w:t xml:space="preserve">display the energy information of all available standard food items </w:t>
      </w:r>
      <w:r w:rsidR="005D6824" w:rsidRPr="00E67A4C">
        <w:t xml:space="preserve">on all menus and </w:t>
      </w:r>
      <w:r w:rsidRPr="00E67A4C">
        <w:t xml:space="preserve">at all </w:t>
      </w:r>
      <w:r w:rsidR="005D6824" w:rsidRPr="00E67A4C">
        <w:t xml:space="preserve">physical and electronic </w:t>
      </w:r>
      <w:r w:rsidRPr="00E67A4C">
        <w:t>points-of-sale</w:t>
      </w:r>
      <w:r w:rsidR="00C02D9D" w:rsidRPr="00E67A4C">
        <w:t>;</w:t>
      </w:r>
    </w:p>
    <w:p w14:paraId="6CDB3EDD" w14:textId="3A545024" w:rsidR="00C02D9D" w:rsidRPr="00E67A4C" w:rsidRDefault="00C02D9D" w:rsidP="00F76FDC">
      <w:pPr>
        <w:pStyle w:val="ListParagraph"/>
        <w:numPr>
          <w:ilvl w:val="1"/>
          <w:numId w:val="3"/>
        </w:numPr>
        <w:spacing w:after="40"/>
        <w:jc w:val="both"/>
        <w:rPr>
          <w:lang w:eastAsia="zh-CN" w:bidi="th-TH"/>
        </w:rPr>
      </w:pPr>
      <w:r w:rsidRPr="00E67A4C">
        <w:rPr>
          <w:lang w:eastAsia="zh-CN" w:bidi="th-TH"/>
        </w:rPr>
        <w:t>display the energy information for combination meals including any pre-packaged items</w:t>
      </w:r>
      <w:r w:rsidR="005D6824" w:rsidRPr="00E67A4C">
        <w:rPr>
          <w:lang w:eastAsia="zh-CN" w:bidi="th-TH"/>
        </w:rPr>
        <w:t xml:space="preserve"> with the combination</w:t>
      </w:r>
      <w:r w:rsidRPr="00E67A4C">
        <w:rPr>
          <w:lang w:eastAsia="zh-CN" w:bidi="th-TH"/>
        </w:rPr>
        <w:t>;</w:t>
      </w:r>
    </w:p>
    <w:p w14:paraId="0D96CA4A" w14:textId="4F93501E" w:rsidR="00C02D9D" w:rsidRPr="00E67A4C" w:rsidRDefault="00C02D9D" w:rsidP="00F76FDC">
      <w:pPr>
        <w:pStyle w:val="ListParagraph"/>
        <w:numPr>
          <w:ilvl w:val="1"/>
          <w:numId w:val="3"/>
        </w:numPr>
        <w:spacing w:after="40"/>
        <w:jc w:val="both"/>
        <w:rPr>
          <w:lang w:eastAsia="zh-CN" w:bidi="th-TH"/>
        </w:rPr>
      </w:pPr>
      <w:r w:rsidRPr="00E67A4C">
        <w:rPr>
          <w:lang w:eastAsia="zh-CN" w:bidi="th-TH"/>
        </w:rPr>
        <w:t>display the energy information for multi-serve items as the whole item and per serving</w:t>
      </w:r>
      <w:r w:rsidR="00F74887" w:rsidRPr="00E67A4C">
        <w:rPr>
          <w:lang w:eastAsia="zh-CN" w:bidi="th-TH"/>
        </w:rPr>
        <w:t>;</w:t>
      </w:r>
      <w:r w:rsidR="002F7CA4" w:rsidRPr="00E67A4C">
        <w:rPr>
          <w:lang w:eastAsia="zh-CN" w:bidi="th-TH"/>
        </w:rPr>
        <w:t xml:space="preserve"> and</w:t>
      </w:r>
    </w:p>
    <w:p w14:paraId="33C67C34" w14:textId="23EC2FF7" w:rsidR="00C438D0" w:rsidRPr="00E67A4C" w:rsidRDefault="00C02D9D" w:rsidP="00F76FDC">
      <w:pPr>
        <w:pStyle w:val="ListParagraph"/>
        <w:numPr>
          <w:ilvl w:val="1"/>
          <w:numId w:val="3"/>
        </w:numPr>
        <w:spacing w:after="40"/>
        <w:jc w:val="both"/>
        <w:rPr>
          <w:lang w:eastAsia="zh-CN" w:bidi="th-TH"/>
        </w:rPr>
      </w:pPr>
      <w:r w:rsidRPr="00E67A4C">
        <w:t xml:space="preserve">ensure </w:t>
      </w:r>
      <w:r w:rsidR="00BC7158" w:rsidRPr="00E67A4C">
        <w:rPr>
          <w:lang w:eastAsia="zh-CN" w:bidi="th-TH"/>
        </w:rPr>
        <w:t>that</w:t>
      </w:r>
      <w:r w:rsidR="006C171E" w:rsidRPr="00E67A4C">
        <w:rPr>
          <w:lang w:eastAsia="zh-CN" w:bidi="th-TH"/>
        </w:rPr>
        <w:t xml:space="preserve"> customers have access to</w:t>
      </w:r>
      <w:r w:rsidR="00C438D0" w:rsidRPr="00E67A4C">
        <w:rPr>
          <w:lang w:eastAsia="zh-CN" w:bidi="th-TH"/>
        </w:rPr>
        <w:t xml:space="preserve"> </w:t>
      </w:r>
      <w:r w:rsidRPr="00E67A4C">
        <w:rPr>
          <w:lang w:eastAsia="zh-CN" w:bidi="th-TH"/>
        </w:rPr>
        <w:t xml:space="preserve">the </w:t>
      </w:r>
      <w:r w:rsidR="00C438D0" w:rsidRPr="00E67A4C">
        <w:rPr>
          <w:lang w:eastAsia="zh-CN" w:bidi="th-TH"/>
        </w:rPr>
        <w:t>energy information for standardised single ingredients and customi</w:t>
      </w:r>
      <w:r w:rsidR="00EE05C4" w:rsidRPr="00E67A4C">
        <w:rPr>
          <w:lang w:eastAsia="zh-CN" w:bidi="th-TH"/>
        </w:rPr>
        <w:t>sable</w:t>
      </w:r>
      <w:r w:rsidR="00C438D0" w:rsidRPr="00E67A4C">
        <w:rPr>
          <w:lang w:eastAsia="zh-CN" w:bidi="th-TH"/>
        </w:rPr>
        <w:t xml:space="preserve"> menu items</w:t>
      </w:r>
      <w:r w:rsidR="002F7CA4" w:rsidRPr="00E67A4C">
        <w:rPr>
          <w:lang w:eastAsia="zh-CN" w:bidi="th-TH"/>
        </w:rPr>
        <w:t>.</w:t>
      </w:r>
    </w:p>
    <w:p w14:paraId="2880AC0F" w14:textId="11640924" w:rsidR="009A11BE" w:rsidRPr="00E67A4C" w:rsidRDefault="009A11BE" w:rsidP="00F76FDC">
      <w:pPr>
        <w:pStyle w:val="ListParagraph"/>
        <w:numPr>
          <w:ilvl w:val="0"/>
          <w:numId w:val="3"/>
        </w:numPr>
        <w:spacing w:after="40"/>
        <w:jc w:val="both"/>
        <w:rPr>
          <w:lang w:eastAsia="zh-CN" w:bidi="th-TH"/>
        </w:rPr>
      </w:pPr>
      <w:r w:rsidRPr="00E67A4C">
        <w:rPr>
          <w:lang w:eastAsia="zh-CN" w:bidi="th-TH"/>
        </w:rPr>
        <w:t xml:space="preserve">Supermarkets in Australia and New Zealand would be required to display kilojoules for each standard food in the same font and font size as price (i.e. no flexibility </w:t>
      </w:r>
      <w:r w:rsidR="007C7A52" w:rsidRPr="00E67A4C">
        <w:rPr>
          <w:lang w:eastAsia="zh-CN" w:bidi="th-TH"/>
        </w:rPr>
        <w:t xml:space="preserve">to </w:t>
      </w:r>
      <w:r w:rsidRPr="00E67A4C">
        <w:rPr>
          <w:lang w:eastAsia="zh-CN" w:bidi="th-TH"/>
        </w:rPr>
        <w:t xml:space="preserve">display kilojoules per 100 grams </w:t>
      </w:r>
      <w:r w:rsidR="007C7A52" w:rsidRPr="00E67A4C">
        <w:rPr>
          <w:lang w:eastAsia="zh-CN" w:bidi="th-TH"/>
        </w:rPr>
        <w:t>or</w:t>
      </w:r>
      <w:r w:rsidRPr="00E67A4C">
        <w:rPr>
          <w:lang w:eastAsia="zh-CN" w:bidi="th-TH"/>
        </w:rPr>
        <w:t xml:space="preserve"> in the same font</w:t>
      </w:r>
      <w:r w:rsidR="007C7A52" w:rsidRPr="00E67A4C">
        <w:rPr>
          <w:lang w:eastAsia="zh-CN" w:bidi="th-TH"/>
        </w:rPr>
        <w:t>/</w:t>
      </w:r>
      <w:r w:rsidRPr="00E67A4C">
        <w:rPr>
          <w:lang w:eastAsia="zh-CN" w:bidi="th-TH"/>
        </w:rPr>
        <w:t>font size as the unit price, as currently permitted in Australia</w:t>
      </w:r>
      <w:r w:rsidRPr="00E67A4C">
        <w:rPr>
          <w:sz w:val="20"/>
          <w:szCs w:val="20"/>
          <w:lang w:eastAsia="zh-CN" w:bidi="th-TH"/>
        </w:rPr>
        <w:t>).</w:t>
      </w:r>
    </w:p>
    <w:p w14:paraId="7BB6363F" w14:textId="4C23C768" w:rsidR="00435E19" w:rsidRPr="00E67A4C" w:rsidRDefault="009E50F2" w:rsidP="00F76FDC">
      <w:pPr>
        <w:pStyle w:val="ListParagraph"/>
        <w:numPr>
          <w:ilvl w:val="0"/>
          <w:numId w:val="3"/>
        </w:numPr>
        <w:spacing w:after="40"/>
        <w:jc w:val="both"/>
        <w:rPr>
          <w:lang w:eastAsia="zh-CN" w:bidi="th-TH"/>
        </w:rPr>
      </w:pPr>
      <w:r w:rsidRPr="00E67A4C">
        <w:rPr>
          <w:lang w:eastAsia="zh-CN" w:bidi="th-TH"/>
        </w:rPr>
        <w:t>All s</w:t>
      </w:r>
      <w:r w:rsidR="00435E19" w:rsidRPr="00E67A4C">
        <w:rPr>
          <w:lang w:eastAsia="zh-CN" w:bidi="th-TH"/>
        </w:rPr>
        <w:t xml:space="preserve">maller businesses that voluntarily choose to implement menu labelling would need to comply with </w:t>
      </w:r>
      <w:r w:rsidR="00FE70B7" w:rsidRPr="00E67A4C">
        <w:rPr>
          <w:lang w:eastAsia="zh-CN" w:bidi="th-TH"/>
        </w:rPr>
        <w:t>any menu labelling regulation developed.</w:t>
      </w:r>
    </w:p>
    <w:p w14:paraId="12629B19" w14:textId="5BDDA600" w:rsidR="00054A92" w:rsidRPr="00E67A4C" w:rsidRDefault="00054A92" w:rsidP="00F76FDC">
      <w:pPr>
        <w:pStyle w:val="ListParagraph"/>
        <w:numPr>
          <w:ilvl w:val="0"/>
          <w:numId w:val="3"/>
        </w:numPr>
        <w:spacing w:after="40"/>
        <w:jc w:val="both"/>
        <w:rPr>
          <w:lang w:eastAsia="zh-CN" w:bidi="th-TH"/>
        </w:rPr>
      </w:pPr>
      <w:r w:rsidRPr="00E67A4C">
        <w:rPr>
          <w:lang w:eastAsia="zh-CN" w:bidi="th-TH"/>
        </w:rPr>
        <w:lastRenderedPageBreak/>
        <w:t xml:space="preserve">If a business uses a third-party to facilitate </w:t>
      </w:r>
      <w:r w:rsidR="00C20065" w:rsidRPr="00E67A4C">
        <w:rPr>
          <w:lang w:eastAsia="zh-CN" w:bidi="th-TH"/>
        </w:rPr>
        <w:t xml:space="preserve">the sale of </w:t>
      </w:r>
      <w:r w:rsidRPr="00E67A4C">
        <w:rPr>
          <w:lang w:eastAsia="zh-CN" w:bidi="th-TH"/>
        </w:rPr>
        <w:t>standard food items, the food business would need to provide the energy information to the third-party.</w:t>
      </w:r>
    </w:p>
    <w:p w14:paraId="61364788" w14:textId="5C473DD1" w:rsidR="00830333" w:rsidRDefault="00830333" w:rsidP="00830333">
      <w:pPr>
        <w:spacing w:after="40"/>
        <w:jc w:val="both"/>
        <w:rPr>
          <w:lang w:eastAsia="zh-CN" w:bidi="th-TH"/>
        </w:rPr>
      </w:pPr>
    </w:p>
    <w:p w14:paraId="7920A9D8" w14:textId="734BBDE5" w:rsidR="00F27DC4" w:rsidRPr="002605C2" w:rsidRDefault="00130874" w:rsidP="00F27DC4">
      <w:pPr>
        <w:pStyle w:val="ListParagraph"/>
        <w:spacing w:after="40"/>
        <w:ind w:left="0"/>
        <w:jc w:val="both"/>
      </w:pPr>
      <w:r>
        <w:t xml:space="preserve">For </w:t>
      </w:r>
      <w:r w:rsidR="0053518B" w:rsidRPr="00FE5316">
        <w:t xml:space="preserve">Option </w:t>
      </w:r>
      <w:r w:rsidR="00D12D77" w:rsidRPr="00FE5316">
        <w:t>3</w:t>
      </w:r>
      <w:r w:rsidR="00E81831" w:rsidRPr="00FE5316">
        <w:t>, a</w:t>
      </w:r>
      <w:r w:rsidR="00F27DC4" w:rsidRPr="00FE5316">
        <w:t xml:space="preserve">nticipated benefits </w:t>
      </w:r>
      <w:r w:rsidR="001C1CF8" w:rsidRPr="00FE5316">
        <w:t>(compared</w:t>
      </w:r>
      <w:r w:rsidR="001C1CF8" w:rsidRPr="002605C2">
        <w:t xml:space="preserve"> to </w:t>
      </w:r>
      <w:r w:rsidR="00FA49F1">
        <w:t xml:space="preserve">the </w:t>
      </w:r>
      <w:r w:rsidR="001C1CF8" w:rsidRPr="002605C2">
        <w:t>status quo)</w:t>
      </w:r>
      <w:r w:rsidR="00AF759A" w:rsidRPr="002605C2">
        <w:t xml:space="preserve"> for </w:t>
      </w:r>
      <w:r w:rsidR="00E26B4A" w:rsidRPr="002605C2">
        <w:t xml:space="preserve">Australian and New Zealand </w:t>
      </w:r>
      <w:r w:rsidR="009D1296" w:rsidRPr="002605C2">
        <w:t xml:space="preserve">food </w:t>
      </w:r>
      <w:r w:rsidR="00AF759A" w:rsidRPr="002605C2">
        <w:t>industr</w:t>
      </w:r>
      <w:r w:rsidR="009D1296" w:rsidRPr="002605C2">
        <w:t>ies</w:t>
      </w:r>
      <w:r w:rsidR="002605C2">
        <w:t xml:space="preserve"> include</w:t>
      </w:r>
      <w:r w:rsidR="00F27DC4" w:rsidRPr="002605C2">
        <w:t>:</w:t>
      </w:r>
    </w:p>
    <w:p w14:paraId="1409A266" w14:textId="77777777" w:rsidR="001C1CF8" w:rsidRPr="001C1CF8" w:rsidRDefault="001C1CF8" w:rsidP="001C1CF8">
      <w:pPr>
        <w:pStyle w:val="BodyText1"/>
        <w:numPr>
          <w:ilvl w:val="0"/>
          <w:numId w:val="8"/>
        </w:numPr>
        <w:spacing w:after="40" w:line="240" w:lineRule="auto"/>
        <w:rPr>
          <w:rFonts w:ascii="Times New Roman" w:eastAsia="Calibri" w:hAnsi="Times New Roman"/>
          <w:i/>
          <w:iCs/>
          <w:sz w:val="24"/>
        </w:rPr>
      </w:pPr>
      <w:r w:rsidRPr="001C1CF8">
        <w:rPr>
          <w:rFonts w:ascii="Times New Roman" w:eastAsia="Calibri" w:hAnsi="Times New Roman"/>
          <w:sz w:val="24"/>
        </w:rPr>
        <w:t xml:space="preserve">A potential cost saving for </w:t>
      </w:r>
      <w:r w:rsidRPr="00FE5316">
        <w:rPr>
          <w:rFonts w:ascii="Times New Roman" w:eastAsia="Calibri" w:hAnsi="Times New Roman"/>
          <w:b/>
          <w:bCs/>
          <w:sz w:val="24"/>
        </w:rPr>
        <w:t>Australian businesses</w:t>
      </w:r>
      <w:r w:rsidRPr="001C1CF8">
        <w:rPr>
          <w:rFonts w:ascii="Times New Roman" w:eastAsia="Calibri" w:hAnsi="Times New Roman"/>
          <w:sz w:val="24"/>
        </w:rPr>
        <w:t xml:space="preserve"> created by a single regulatory mechanism (in lieu of multiple jurisdictional schemes and the need to review menu labelling implementation each time a new scheme is introduced).</w:t>
      </w:r>
      <w:r w:rsidRPr="001C1CF8">
        <w:rPr>
          <w:rStyle w:val="FootnoteReference"/>
          <w:rFonts w:ascii="Times New Roman" w:eastAsia="Calibri" w:hAnsi="Times New Roman"/>
          <w:sz w:val="24"/>
        </w:rPr>
        <w:footnoteReference w:id="57"/>
      </w:r>
      <w:r w:rsidRPr="001C1CF8">
        <w:rPr>
          <w:rFonts w:ascii="Times New Roman" w:eastAsia="Calibri" w:hAnsi="Times New Roman"/>
          <w:sz w:val="24"/>
        </w:rPr>
        <w:t xml:space="preserve"> </w:t>
      </w:r>
    </w:p>
    <w:p w14:paraId="2111C1AA" w14:textId="77777777" w:rsidR="001C1CF8" w:rsidRPr="001C1CF8" w:rsidRDefault="001C1CF8" w:rsidP="001C1CF8">
      <w:pPr>
        <w:pStyle w:val="BodyText1"/>
        <w:numPr>
          <w:ilvl w:val="0"/>
          <w:numId w:val="8"/>
        </w:numPr>
        <w:spacing w:after="40" w:line="240" w:lineRule="auto"/>
        <w:rPr>
          <w:rFonts w:ascii="Times New Roman" w:eastAsia="Calibri" w:hAnsi="Times New Roman"/>
          <w:sz w:val="24"/>
        </w:rPr>
      </w:pPr>
      <w:r w:rsidRPr="001C1CF8">
        <w:rPr>
          <w:rFonts w:ascii="Times New Roman" w:eastAsia="Calibri" w:hAnsi="Times New Roman"/>
          <w:sz w:val="24"/>
        </w:rPr>
        <w:t xml:space="preserve">All businesses selling standard food items would have assurance that </w:t>
      </w:r>
    </w:p>
    <w:p w14:paraId="413F4F41" w14:textId="77777777" w:rsidR="001C1CF8" w:rsidRPr="001C1CF8" w:rsidRDefault="001C1CF8" w:rsidP="001C1CF8">
      <w:pPr>
        <w:pStyle w:val="BodyText1"/>
        <w:numPr>
          <w:ilvl w:val="1"/>
          <w:numId w:val="8"/>
        </w:numPr>
        <w:spacing w:after="40" w:line="240" w:lineRule="auto"/>
        <w:rPr>
          <w:rFonts w:ascii="Times New Roman" w:eastAsia="Calibri" w:hAnsi="Times New Roman"/>
          <w:sz w:val="24"/>
        </w:rPr>
      </w:pPr>
      <w:r w:rsidRPr="00FE5316">
        <w:rPr>
          <w:rFonts w:ascii="Times New Roman" w:eastAsia="Calibri" w:hAnsi="Times New Roman"/>
          <w:b/>
          <w:bCs/>
          <w:sz w:val="24"/>
        </w:rPr>
        <w:t>all Australian and New Zealand jurisdictions</w:t>
      </w:r>
      <w:r w:rsidRPr="001C1CF8">
        <w:rPr>
          <w:rFonts w:ascii="Times New Roman" w:eastAsia="Calibri" w:hAnsi="Times New Roman"/>
          <w:sz w:val="24"/>
        </w:rPr>
        <w:t xml:space="preserve"> have consistent requirements, a consistent approach to compliance, consistent interpretation of legislative provisions and clear expectations for menu labelling; </w:t>
      </w:r>
    </w:p>
    <w:p w14:paraId="34D0544E" w14:textId="77777777" w:rsidR="001C1CF8" w:rsidRPr="001C1CF8" w:rsidRDefault="001C1CF8" w:rsidP="001C1CF8">
      <w:pPr>
        <w:pStyle w:val="BodyText1"/>
        <w:numPr>
          <w:ilvl w:val="1"/>
          <w:numId w:val="8"/>
        </w:numPr>
        <w:spacing w:after="40" w:line="240" w:lineRule="auto"/>
        <w:rPr>
          <w:rFonts w:ascii="Times New Roman" w:eastAsia="Calibri" w:hAnsi="Times New Roman"/>
          <w:sz w:val="24"/>
        </w:rPr>
      </w:pPr>
      <w:r w:rsidRPr="001C1CF8">
        <w:rPr>
          <w:rFonts w:ascii="Times New Roman" w:eastAsia="Calibri" w:hAnsi="Times New Roman"/>
          <w:sz w:val="24"/>
        </w:rPr>
        <w:t xml:space="preserve">under the </w:t>
      </w:r>
      <w:r w:rsidRPr="001C1CF8">
        <w:rPr>
          <w:rFonts w:ascii="Times New Roman" w:eastAsia="Calibri" w:hAnsi="Times New Roman"/>
          <w:i/>
          <w:iCs/>
          <w:sz w:val="24"/>
        </w:rPr>
        <w:t>FSANZ Act 1991</w:t>
      </w:r>
      <w:r w:rsidRPr="001C1CF8">
        <w:rPr>
          <w:rFonts w:ascii="Times New Roman" w:eastAsia="Calibri" w:hAnsi="Times New Roman"/>
          <w:sz w:val="24"/>
        </w:rPr>
        <w:t xml:space="preserve"> there are legislated processes (e.g. public consultation, application to FSANZ) to review and change the regulatory measure in the future. </w:t>
      </w:r>
    </w:p>
    <w:p w14:paraId="381AE655" w14:textId="77777777" w:rsidR="001C1CF8" w:rsidRPr="001C1CF8" w:rsidRDefault="001C1CF8" w:rsidP="001C1CF8">
      <w:pPr>
        <w:pStyle w:val="BodyText1"/>
        <w:numPr>
          <w:ilvl w:val="0"/>
          <w:numId w:val="8"/>
        </w:numPr>
        <w:spacing w:after="40" w:line="240" w:lineRule="auto"/>
        <w:rPr>
          <w:rFonts w:ascii="Times New Roman" w:eastAsia="Calibri" w:hAnsi="Times New Roman"/>
          <w:sz w:val="24"/>
        </w:rPr>
      </w:pPr>
      <w:r w:rsidRPr="00FE5316">
        <w:rPr>
          <w:rFonts w:ascii="Times New Roman" w:eastAsia="Calibri" w:hAnsi="Times New Roman"/>
          <w:b/>
          <w:bCs/>
          <w:sz w:val="24"/>
        </w:rPr>
        <w:t>Australian businesses</w:t>
      </w:r>
      <w:r w:rsidRPr="001C1CF8">
        <w:rPr>
          <w:rFonts w:ascii="Times New Roman" w:eastAsia="Calibri" w:hAnsi="Times New Roman"/>
          <w:sz w:val="24"/>
        </w:rPr>
        <w:t xml:space="preserve"> would be more likely to be participating in a level playing field, removing the anti-competitive disadvantage experienced by some businesses being exempt from menu labelling. </w:t>
      </w:r>
    </w:p>
    <w:p w14:paraId="621DF070" w14:textId="3BC0E50A" w:rsidR="001C1CF8" w:rsidRPr="00FA49F1" w:rsidRDefault="001C1CF8" w:rsidP="001C1CF8">
      <w:pPr>
        <w:pStyle w:val="ListParagraph"/>
        <w:numPr>
          <w:ilvl w:val="0"/>
          <w:numId w:val="8"/>
        </w:numPr>
        <w:spacing w:after="40"/>
        <w:jc w:val="both"/>
      </w:pPr>
      <w:r w:rsidRPr="001C1CF8">
        <w:rPr>
          <w:rFonts w:eastAsia="Calibri"/>
        </w:rPr>
        <w:t xml:space="preserve">Confusion about the definition of supermarkets versus convenience stores in </w:t>
      </w:r>
      <w:r w:rsidRPr="00FE5316">
        <w:rPr>
          <w:rFonts w:eastAsia="Calibri"/>
          <w:b/>
          <w:bCs/>
        </w:rPr>
        <w:t xml:space="preserve">Australia </w:t>
      </w:r>
      <w:r w:rsidRPr="001C1CF8">
        <w:rPr>
          <w:rFonts w:eastAsia="Calibri"/>
        </w:rPr>
        <w:t>for menu labelling schemes would be resolved, as capture by the regulation would be based on outlet number and food sold, not on square meterage of retail floor space.</w:t>
      </w:r>
    </w:p>
    <w:p w14:paraId="721F8B5E" w14:textId="77777777" w:rsidR="00FA49F1" w:rsidRPr="001C1CF8" w:rsidRDefault="00FA49F1" w:rsidP="00FA49F1">
      <w:pPr>
        <w:pStyle w:val="ListParagraph"/>
        <w:spacing w:after="40"/>
        <w:ind w:left="360"/>
        <w:jc w:val="both"/>
      </w:pPr>
    </w:p>
    <w:p w14:paraId="1CF939E2" w14:textId="4326EFC2" w:rsidR="001C1CF8" w:rsidRPr="002605C2" w:rsidRDefault="00862868" w:rsidP="001C1CF8">
      <w:pPr>
        <w:pStyle w:val="ListParagraph"/>
        <w:spacing w:after="40"/>
        <w:ind w:left="0"/>
        <w:jc w:val="both"/>
      </w:pPr>
      <w:r>
        <w:t xml:space="preserve">For </w:t>
      </w:r>
      <w:r w:rsidR="001C1CF8" w:rsidRPr="002605C2">
        <w:t>Option 3</w:t>
      </w:r>
      <w:r w:rsidR="00E81831">
        <w:t xml:space="preserve">, </w:t>
      </w:r>
      <w:r w:rsidR="00E81831" w:rsidRPr="00FE5316">
        <w:t>a</w:t>
      </w:r>
      <w:r w:rsidR="001C1CF8" w:rsidRPr="00FE5316">
        <w:t>nticipated costs</w:t>
      </w:r>
      <w:r w:rsidR="001C1CF8" w:rsidRPr="002605C2">
        <w:t xml:space="preserve"> (compared to </w:t>
      </w:r>
      <w:r w:rsidR="00FA49F1">
        <w:t xml:space="preserve">the </w:t>
      </w:r>
      <w:r w:rsidR="001C1CF8" w:rsidRPr="002605C2">
        <w:t>status quo) for Australian and New Zealand food industries</w:t>
      </w:r>
      <w:r w:rsidR="002605C2">
        <w:t xml:space="preserve"> include</w:t>
      </w:r>
      <w:r w:rsidR="001C1CF8" w:rsidRPr="002605C2">
        <w:t>:</w:t>
      </w:r>
    </w:p>
    <w:p w14:paraId="096DEFE1" w14:textId="77777777" w:rsidR="001C1CF8" w:rsidRPr="00E67A4C" w:rsidRDefault="001C1CF8" w:rsidP="001C1CF8">
      <w:pPr>
        <w:pStyle w:val="ListParagraph"/>
        <w:numPr>
          <w:ilvl w:val="0"/>
          <w:numId w:val="8"/>
        </w:numPr>
        <w:spacing w:after="40"/>
        <w:rPr>
          <w:rFonts w:eastAsia="Calibri"/>
        </w:rPr>
      </w:pPr>
      <w:r w:rsidRPr="00E67A4C">
        <w:rPr>
          <w:rFonts w:eastAsia="Calibri"/>
        </w:rPr>
        <w:t xml:space="preserve">Australian businesses </w:t>
      </w:r>
      <w:r w:rsidRPr="00FE5316">
        <w:rPr>
          <w:rFonts w:eastAsia="Calibri"/>
          <w:b/>
          <w:bCs/>
        </w:rPr>
        <w:t>that do not already implement menu labelling</w:t>
      </w:r>
      <w:r w:rsidRPr="00E67A4C">
        <w:rPr>
          <w:rFonts w:eastAsia="Calibri"/>
        </w:rPr>
        <w:t xml:space="preserve"> would incur estimated start-up costs of $1,585 (AUD) start-up per outlet; and $560 (AUD) per annum ongoing costs per outlet.</w:t>
      </w:r>
      <w:r w:rsidRPr="00E67A4C">
        <w:rPr>
          <w:rFonts w:eastAsia="Calibri"/>
          <w:vertAlign w:val="superscript"/>
        </w:rPr>
        <w:footnoteReference w:id="58"/>
      </w:r>
      <w:r w:rsidRPr="00E67A4C">
        <w:rPr>
          <w:rFonts w:eastAsia="Calibri"/>
          <w:vertAlign w:val="superscript"/>
        </w:rPr>
        <w:t xml:space="preserve"> </w:t>
      </w:r>
      <w:r w:rsidRPr="00E67A4C">
        <w:rPr>
          <w:rFonts w:eastAsia="Calibri"/>
        </w:rPr>
        <w:t xml:space="preserve">These costs may include nutritional analysis of menu items (noting lower cost option of using the freely-available FSANZ Nutrition Panel Calculator or higher cost option of laboratory testing); design and production of menus, associated materials and infrastructure (e.g. changes to IT systems); and staff training about menu labelling. </w:t>
      </w:r>
    </w:p>
    <w:p w14:paraId="5998506C" w14:textId="77777777" w:rsidR="001C1CF8" w:rsidRPr="00E67A4C" w:rsidRDefault="001C1CF8" w:rsidP="001C1CF8">
      <w:pPr>
        <w:pStyle w:val="ListParagraph"/>
        <w:numPr>
          <w:ilvl w:val="0"/>
          <w:numId w:val="8"/>
        </w:numPr>
        <w:spacing w:after="40"/>
        <w:rPr>
          <w:rFonts w:eastAsia="Calibri"/>
        </w:rPr>
      </w:pPr>
      <w:r w:rsidRPr="00E67A4C">
        <w:rPr>
          <w:rFonts w:eastAsia="Calibri"/>
        </w:rPr>
        <w:t xml:space="preserve">Australian businesses </w:t>
      </w:r>
      <w:r w:rsidRPr="00FE5316">
        <w:rPr>
          <w:rFonts w:eastAsia="Calibri"/>
          <w:b/>
          <w:bCs/>
        </w:rPr>
        <w:t>that already implement menu labelling</w:t>
      </w:r>
      <w:r w:rsidRPr="00E67A4C">
        <w:rPr>
          <w:rFonts w:eastAsia="Calibri"/>
        </w:rPr>
        <w:t xml:space="preserve"> may incur costs for the re-design and production of menus and associated materials and infrastructure; however, these costs may be covered by the $560 (AUD) per annum ongoing costs per outlet, already incurred under Option 1.</w:t>
      </w:r>
      <w:r w:rsidRPr="00E67A4C">
        <w:rPr>
          <w:rFonts w:eastAsia="Calibri"/>
          <w:vertAlign w:val="superscript"/>
        </w:rPr>
        <w:t xml:space="preserve"> </w:t>
      </w:r>
    </w:p>
    <w:p w14:paraId="4352163A" w14:textId="77777777" w:rsidR="001C1CF8" w:rsidRPr="00E67A4C" w:rsidRDefault="001C1CF8" w:rsidP="001C1CF8">
      <w:pPr>
        <w:pStyle w:val="ListParagraph"/>
        <w:numPr>
          <w:ilvl w:val="0"/>
          <w:numId w:val="8"/>
        </w:numPr>
        <w:spacing w:after="40"/>
        <w:rPr>
          <w:rFonts w:eastAsia="Calibri"/>
        </w:rPr>
      </w:pPr>
      <w:r w:rsidRPr="00E67A4C">
        <w:rPr>
          <w:rFonts w:eastAsia="Calibri"/>
        </w:rPr>
        <w:t xml:space="preserve">As New Zealand does not have menu labelling regulation, the compliance costs for </w:t>
      </w:r>
      <w:r w:rsidRPr="00FE5316">
        <w:rPr>
          <w:rFonts w:eastAsia="Calibri"/>
          <w:b/>
          <w:bCs/>
        </w:rPr>
        <w:t>New Zealand businesses</w:t>
      </w:r>
      <w:r w:rsidRPr="00E67A4C">
        <w:rPr>
          <w:rFonts w:eastAsia="Calibri"/>
        </w:rPr>
        <w:t xml:space="preserve"> are yet to be determined but are assumed to be like Australian businesses also required to introduce menu labelling. </w:t>
      </w:r>
    </w:p>
    <w:p w14:paraId="3F2B847D" w14:textId="77777777" w:rsidR="001C1CF8" w:rsidRPr="00E67A4C" w:rsidRDefault="001C1CF8" w:rsidP="001C1CF8">
      <w:pPr>
        <w:pStyle w:val="BodyText1"/>
        <w:numPr>
          <w:ilvl w:val="0"/>
          <w:numId w:val="8"/>
        </w:numPr>
        <w:spacing w:after="40" w:line="240" w:lineRule="auto"/>
        <w:rPr>
          <w:rFonts w:ascii="Times New Roman" w:eastAsia="Calibri" w:hAnsi="Times New Roman"/>
          <w:sz w:val="24"/>
        </w:rPr>
      </w:pPr>
      <w:r w:rsidRPr="00E67A4C">
        <w:rPr>
          <w:rFonts w:ascii="Times New Roman" w:eastAsia="Calibri" w:hAnsi="Times New Roman"/>
          <w:sz w:val="24"/>
        </w:rPr>
        <w:t xml:space="preserve">Some </w:t>
      </w:r>
      <w:r w:rsidRPr="00FE5316">
        <w:rPr>
          <w:rFonts w:ascii="Times New Roman" w:eastAsia="Calibri" w:hAnsi="Times New Roman"/>
          <w:b/>
          <w:bCs/>
          <w:sz w:val="24"/>
        </w:rPr>
        <w:t xml:space="preserve">Australian businesses </w:t>
      </w:r>
      <w:r w:rsidRPr="00E67A4C">
        <w:rPr>
          <w:rFonts w:ascii="Times New Roman" w:eastAsia="Calibri" w:hAnsi="Times New Roman"/>
          <w:sz w:val="24"/>
        </w:rPr>
        <w:t xml:space="preserve">may lose some competitive advantage or a point-of-difference by no longer being exempt from menu labelling. </w:t>
      </w:r>
    </w:p>
    <w:p w14:paraId="0FD8C8C0" w14:textId="03868BF3" w:rsidR="001C1CF8" w:rsidRDefault="001C1CF8" w:rsidP="001C1CF8">
      <w:pPr>
        <w:pStyle w:val="ListParagraph"/>
        <w:numPr>
          <w:ilvl w:val="0"/>
          <w:numId w:val="8"/>
        </w:numPr>
        <w:spacing w:after="40"/>
        <w:jc w:val="both"/>
      </w:pPr>
      <w:r w:rsidRPr="00E67A4C">
        <w:rPr>
          <w:rFonts w:eastAsia="Calibri"/>
        </w:rPr>
        <w:t>Incurred costs may negatively impact the sustainability of businesses that are not already required to implement menu labelling.</w:t>
      </w:r>
    </w:p>
    <w:p w14:paraId="5832A622" w14:textId="77777777" w:rsidR="001C1CF8" w:rsidRPr="00E67A4C" w:rsidRDefault="001C1CF8" w:rsidP="00F27DC4">
      <w:pPr>
        <w:pStyle w:val="ListParagraph"/>
        <w:spacing w:after="40"/>
        <w:ind w:left="0"/>
        <w:jc w:val="both"/>
      </w:pPr>
    </w:p>
    <w:p w14:paraId="3A4DD17E" w14:textId="3D11EC25" w:rsidR="001829AD" w:rsidRPr="00812051" w:rsidRDefault="007E6C9F" w:rsidP="00812051">
      <w:pPr>
        <w:pStyle w:val="Heading4"/>
        <w:spacing w:before="120"/>
      </w:pPr>
      <w:r w:rsidRPr="00812051">
        <w:t xml:space="preserve">5.4.2 </w:t>
      </w:r>
      <w:r w:rsidR="001829AD" w:rsidRPr="00812051">
        <w:t>Impacts on Australian and New Zealand Consumers</w:t>
      </w:r>
    </w:p>
    <w:p w14:paraId="6154DC7E" w14:textId="220E06CC" w:rsidR="00452C78" w:rsidRPr="00E67A4C" w:rsidRDefault="003D2B1E" w:rsidP="0022765D">
      <w:pPr>
        <w:spacing w:after="40"/>
        <w:jc w:val="both"/>
      </w:pPr>
      <w:r w:rsidRPr="00E67A4C">
        <w:t>Compared to the status quo,</w:t>
      </w:r>
      <w:r w:rsidR="0053518B" w:rsidRPr="00E67A4C">
        <w:t xml:space="preserve"> under Option </w:t>
      </w:r>
      <w:r w:rsidR="007E6C9F" w:rsidRPr="00E67A4C">
        <w:t>3</w:t>
      </w:r>
      <w:r w:rsidRPr="00E67A4C">
        <w:t xml:space="preserve"> </w:t>
      </w:r>
      <w:r w:rsidR="00DA5ECB" w:rsidRPr="00E67A4C">
        <w:t xml:space="preserve">all </w:t>
      </w:r>
      <w:r w:rsidR="004E38E7" w:rsidRPr="00E67A4C">
        <w:t xml:space="preserve">Australian and New Zealand </w:t>
      </w:r>
      <w:r w:rsidR="001F3C7D" w:rsidRPr="00E67A4C">
        <w:t>consumers</w:t>
      </w:r>
      <w:r w:rsidR="00452C78" w:rsidRPr="00E67A4C">
        <w:t xml:space="preserve"> would have accessible, clear, legible, easy-to-read, easy-to-interpret and easy-to-compare energy </w:t>
      </w:r>
      <w:r w:rsidR="00452C78" w:rsidRPr="00E67A4C">
        <w:lastRenderedPageBreak/>
        <w:t>information for food and drinks at the point-of-sale for all larger businesses selling standard food items.</w:t>
      </w:r>
      <w:r w:rsidR="00DA5ECB" w:rsidRPr="00E67A4C">
        <w:t xml:space="preserve"> </w:t>
      </w:r>
    </w:p>
    <w:p w14:paraId="5FB7FD64" w14:textId="77777777" w:rsidR="00B02813" w:rsidRPr="00E67A4C" w:rsidRDefault="00B02813" w:rsidP="00092532">
      <w:pPr>
        <w:pStyle w:val="ListParagraph"/>
        <w:tabs>
          <w:tab w:val="left" w:pos="1440"/>
        </w:tabs>
        <w:spacing w:after="40"/>
        <w:ind w:left="360"/>
        <w:jc w:val="both"/>
      </w:pPr>
    </w:p>
    <w:p w14:paraId="7F62AF9B" w14:textId="49E58FC2" w:rsidR="00164810" w:rsidRDefault="006316F3" w:rsidP="00164810">
      <w:pPr>
        <w:pStyle w:val="ListParagraph"/>
        <w:spacing w:after="40"/>
        <w:ind w:left="0"/>
        <w:jc w:val="both"/>
      </w:pPr>
      <w:r w:rsidRPr="006316F3">
        <w:t xml:space="preserve">For </w:t>
      </w:r>
      <w:r w:rsidR="0053518B" w:rsidRPr="006316F3">
        <w:t xml:space="preserve">Option </w:t>
      </w:r>
      <w:r w:rsidR="007E6C9F" w:rsidRPr="006316F3">
        <w:t>3</w:t>
      </w:r>
      <w:r w:rsidRPr="00FE5316">
        <w:t>, a</w:t>
      </w:r>
      <w:r w:rsidR="00164810" w:rsidRPr="00FE5316">
        <w:t>nticipated benefits</w:t>
      </w:r>
      <w:r w:rsidR="00164810" w:rsidRPr="006316F3">
        <w:t xml:space="preserve"> </w:t>
      </w:r>
      <w:r w:rsidRPr="006316F3">
        <w:t xml:space="preserve">(compared to the status quo) </w:t>
      </w:r>
      <w:r w:rsidR="00AF759A" w:rsidRPr="006316F3">
        <w:t>for consumers</w:t>
      </w:r>
      <w:r w:rsidRPr="006316F3">
        <w:t xml:space="preserve"> include</w:t>
      </w:r>
      <w:r w:rsidR="00164810" w:rsidRPr="006316F3">
        <w:t>:</w:t>
      </w:r>
    </w:p>
    <w:p w14:paraId="65737DD8" w14:textId="77777777" w:rsidR="006316F3" w:rsidRPr="006316F3" w:rsidRDefault="006316F3" w:rsidP="006316F3">
      <w:pPr>
        <w:keepNext/>
        <w:numPr>
          <w:ilvl w:val="0"/>
          <w:numId w:val="8"/>
        </w:numPr>
        <w:spacing w:after="40"/>
        <w:rPr>
          <w:lang w:eastAsia="zh-CN" w:bidi="th-TH"/>
        </w:rPr>
      </w:pPr>
      <w:r w:rsidRPr="006316F3">
        <w:rPr>
          <w:lang w:eastAsia="zh-CN" w:bidi="th-TH"/>
        </w:rPr>
        <w:t xml:space="preserve">More consumers </w:t>
      </w:r>
      <w:r w:rsidRPr="00FE5316">
        <w:rPr>
          <w:lang w:eastAsia="zh-CN" w:bidi="th-TH"/>
        </w:rPr>
        <w:t xml:space="preserve">in </w:t>
      </w:r>
      <w:r w:rsidRPr="00FE5316">
        <w:rPr>
          <w:b/>
          <w:bCs/>
          <w:lang w:eastAsia="zh-CN" w:bidi="th-TH"/>
        </w:rPr>
        <w:t>Australia and New Zealand</w:t>
      </w:r>
      <w:r w:rsidRPr="006316F3">
        <w:rPr>
          <w:lang w:eastAsia="zh-CN" w:bidi="th-TH"/>
        </w:rPr>
        <w:t xml:space="preserve"> would have access to energy information at the point-of-sale in more businesses that sell standard food items; and access to energy information for more food and drinks.</w:t>
      </w:r>
    </w:p>
    <w:p w14:paraId="1AAFA847" w14:textId="77777777" w:rsidR="006316F3" w:rsidRPr="006316F3" w:rsidRDefault="006316F3" w:rsidP="006316F3">
      <w:pPr>
        <w:keepNext/>
        <w:numPr>
          <w:ilvl w:val="0"/>
          <w:numId w:val="8"/>
        </w:numPr>
        <w:spacing w:after="40"/>
        <w:rPr>
          <w:lang w:eastAsia="zh-CN" w:bidi="th-TH"/>
        </w:rPr>
      </w:pPr>
      <w:r w:rsidRPr="006316F3">
        <w:rPr>
          <w:rFonts w:eastAsia="Calibri"/>
        </w:rPr>
        <w:t>Easier comparison of menu choices within a business, and across different businesses on third-party food delivery platforms.</w:t>
      </w:r>
    </w:p>
    <w:p w14:paraId="5FD77958" w14:textId="77777777" w:rsidR="006316F3" w:rsidRPr="006316F3" w:rsidRDefault="006316F3" w:rsidP="006316F3">
      <w:pPr>
        <w:pStyle w:val="BodyText1"/>
        <w:numPr>
          <w:ilvl w:val="0"/>
          <w:numId w:val="8"/>
        </w:numPr>
        <w:spacing w:after="40" w:line="240" w:lineRule="auto"/>
        <w:rPr>
          <w:rFonts w:ascii="Times New Roman" w:eastAsia="Calibri" w:hAnsi="Times New Roman"/>
          <w:sz w:val="24"/>
        </w:rPr>
      </w:pPr>
      <w:r w:rsidRPr="006316F3">
        <w:rPr>
          <w:rFonts w:ascii="Times New Roman" w:hAnsi="Times New Roman"/>
          <w:sz w:val="24"/>
          <w:lang w:bidi="th-TH"/>
        </w:rPr>
        <w:t xml:space="preserve">Greater equity among </w:t>
      </w:r>
      <w:r w:rsidRPr="00FE5316">
        <w:rPr>
          <w:rFonts w:ascii="Times New Roman" w:eastAsia="Calibri" w:hAnsi="Times New Roman"/>
          <w:b/>
          <w:bCs/>
          <w:sz w:val="24"/>
        </w:rPr>
        <w:t>Australian and New Zealand</w:t>
      </w:r>
      <w:r w:rsidRPr="006316F3">
        <w:rPr>
          <w:rFonts w:ascii="Times New Roman" w:eastAsia="Calibri" w:hAnsi="Times New Roman"/>
          <w:sz w:val="24"/>
        </w:rPr>
        <w:t xml:space="preserve"> consumers as information would be available at standard food outlets regardless of which business standard food items</w:t>
      </w:r>
      <w:r w:rsidRPr="006316F3">
        <w:rPr>
          <w:rFonts w:ascii="Times New Roman" w:hAnsi="Times New Roman"/>
          <w:sz w:val="24"/>
        </w:rPr>
        <w:t xml:space="preserve"> are purchased</w:t>
      </w:r>
      <w:r w:rsidRPr="006316F3">
        <w:rPr>
          <w:rFonts w:ascii="Times New Roman" w:eastAsia="Calibri" w:hAnsi="Times New Roman"/>
          <w:sz w:val="24"/>
        </w:rPr>
        <w:t>.</w:t>
      </w:r>
    </w:p>
    <w:p w14:paraId="06C8EE88" w14:textId="6856FEBB" w:rsidR="006316F3" w:rsidRPr="006316F3" w:rsidRDefault="006316F3" w:rsidP="006316F3">
      <w:pPr>
        <w:pStyle w:val="ListParagraph"/>
        <w:numPr>
          <w:ilvl w:val="0"/>
          <w:numId w:val="8"/>
        </w:numPr>
        <w:spacing w:after="40"/>
        <w:jc w:val="both"/>
      </w:pPr>
      <w:r w:rsidRPr="006316F3">
        <w:rPr>
          <w:rFonts w:eastAsia="Calibri"/>
        </w:rPr>
        <w:t xml:space="preserve">More opportunities to use menu labelling to make healthier eating decisions could contribute to more </w:t>
      </w:r>
      <w:r w:rsidRPr="00FE5316">
        <w:rPr>
          <w:rFonts w:eastAsia="Calibri"/>
          <w:b/>
          <w:bCs/>
        </w:rPr>
        <w:t>Australian and New Zealand</w:t>
      </w:r>
      <w:r w:rsidRPr="006316F3">
        <w:rPr>
          <w:rFonts w:eastAsia="Calibri"/>
        </w:rPr>
        <w:t xml:space="preserve"> consumers reducing their daily energy intake and body weight, thus reducing the risk of obesity and other chronic diseases.</w:t>
      </w:r>
      <w:r w:rsidRPr="006316F3">
        <w:rPr>
          <w:rStyle w:val="FootnoteReference"/>
        </w:rPr>
        <w:t xml:space="preserve"> </w:t>
      </w:r>
      <w:r w:rsidRPr="006316F3">
        <w:rPr>
          <w:rStyle w:val="FootnoteReference"/>
        </w:rPr>
        <w:footnoteReference w:id="59"/>
      </w:r>
    </w:p>
    <w:p w14:paraId="02089CC0" w14:textId="7A75B0BB" w:rsidR="006316F3" w:rsidRDefault="006316F3" w:rsidP="00164810">
      <w:pPr>
        <w:pStyle w:val="ListParagraph"/>
        <w:spacing w:after="40"/>
        <w:ind w:left="0"/>
        <w:jc w:val="both"/>
      </w:pPr>
    </w:p>
    <w:p w14:paraId="69F7E5AA" w14:textId="5574DA5A" w:rsidR="006316F3" w:rsidRDefault="006316F3" w:rsidP="006316F3">
      <w:pPr>
        <w:pStyle w:val="ListParagraph"/>
        <w:spacing w:after="40"/>
        <w:ind w:left="0"/>
        <w:jc w:val="both"/>
      </w:pPr>
      <w:r w:rsidRPr="006316F3">
        <w:t xml:space="preserve">For Option 3, </w:t>
      </w:r>
      <w:r w:rsidRPr="00FE5316">
        <w:t>anticipated costs</w:t>
      </w:r>
      <w:r w:rsidRPr="006316F3">
        <w:t xml:space="preserve"> (compared to the status quo) for consumers include:</w:t>
      </w:r>
    </w:p>
    <w:p w14:paraId="7CD8AA57" w14:textId="77777777" w:rsidR="006316F3" w:rsidRPr="00E67A4C" w:rsidRDefault="006316F3" w:rsidP="006316F3">
      <w:pPr>
        <w:pStyle w:val="BodyText1"/>
        <w:numPr>
          <w:ilvl w:val="0"/>
          <w:numId w:val="8"/>
        </w:numPr>
        <w:spacing w:after="40" w:line="240" w:lineRule="auto"/>
        <w:rPr>
          <w:rFonts w:ascii="Times New Roman" w:eastAsia="Calibri" w:hAnsi="Times New Roman"/>
          <w:sz w:val="24"/>
        </w:rPr>
      </w:pPr>
      <w:r w:rsidRPr="00E67A4C">
        <w:rPr>
          <w:rFonts w:ascii="Times New Roman" w:eastAsia="Calibri" w:hAnsi="Times New Roman"/>
          <w:sz w:val="24"/>
        </w:rPr>
        <w:t xml:space="preserve">Some </w:t>
      </w:r>
      <w:r w:rsidRPr="00FE5316">
        <w:rPr>
          <w:rFonts w:ascii="Times New Roman" w:eastAsia="Calibri" w:hAnsi="Times New Roman"/>
          <w:b/>
          <w:bCs/>
          <w:sz w:val="24"/>
        </w:rPr>
        <w:t>Australian and New Zealand consumers</w:t>
      </w:r>
      <w:r w:rsidRPr="00E67A4C">
        <w:rPr>
          <w:rFonts w:ascii="Times New Roman" w:eastAsia="Calibri" w:hAnsi="Times New Roman"/>
          <w:sz w:val="24"/>
        </w:rPr>
        <w:t xml:space="preserve"> may find that the additional information on menus and at the point-of-sale reduces usability. </w:t>
      </w:r>
    </w:p>
    <w:p w14:paraId="1F0BB3C2" w14:textId="77777777" w:rsidR="006316F3" w:rsidRPr="00E67A4C" w:rsidRDefault="006316F3" w:rsidP="006316F3">
      <w:pPr>
        <w:pStyle w:val="BodyText1"/>
        <w:numPr>
          <w:ilvl w:val="0"/>
          <w:numId w:val="8"/>
        </w:numPr>
        <w:spacing w:after="40" w:line="240" w:lineRule="auto"/>
        <w:rPr>
          <w:rFonts w:ascii="Times New Roman" w:eastAsia="Calibri" w:hAnsi="Times New Roman"/>
          <w:sz w:val="24"/>
        </w:rPr>
      </w:pPr>
      <w:r w:rsidRPr="00E67A4C">
        <w:rPr>
          <w:rFonts w:ascii="Times New Roman" w:eastAsia="Calibri" w:hAnsi="Times New Roman"/>
          <w:sz w:val="24"/>
        </w:rPr>
        <w:t xml:space="preserve">Difficulty in calculating the energy content for customised menus items (where the energy information is not provided for the final item) for </w:t>
      </w:r>
      <w:r w:rsidRPr="00FE5316">
        <w:rPr>
          <w:rFonts w:ascii="Times New Roman" w:eastAsia="Calibri" w:hAnsi="Times New Roman"/>
          <w:b/>
          <w:bCs/>
          <w:sz w:val="24"/>
        </w:rPr>
        <w:t xml:space="preserve">some Australian and New Zealand consumers </w:t>
      </w:r>
      <w:r w:rsidRPr="00E67A4C">
        <w:rPr>
          <w:rFonts w:ascii="Times New Roman" w:eastAsia="Calibri" w:hAnsi="Times New Roman"/>
          <w:sz w:val="24"/>
        </w:rPr>
        <w:t>(noting that under the status quo, this could already be a cost for consumers in the five jurisdictions with menu labelling legislation).</w:t>
      </w:r>
    </w:p>
    <w:p w14:paraId="1009FB3C" w14:textId="5B445816" w:rsidR="006316F3" w:rsidRPr="00D52299" w:rsidRDefault="006316F3" w:rsidP="00D52299">
      <w:pPr>
        <w:pStyle w:val="ListParagraph"/>
        <w:numPr>
          <w:ilvl w:val="0"/>
          <w:numId w:val="8"/>
        </w:numPr>
        <w:spacing w:after="40"/>
        <w:jc w:val="both"/>
      </w:pPr>
      <w:r w:rsidRPr="00E67A4C">
        <w:rPr>
          <w:rFonts w:eastAsia="Calibri"/>
        </w:rPr>
        <w:t>Emotional cost (e.g. guilt/anxiety) for those individuals who want to avoid knowing the energy content of menu choices, and/or those who want to avoid eating high kilojoule menu choices, but purchase, nonetheless.</w:t>
      </w:r>
    </w:p>
    <w:p w14:paraId="67F429CF" w14:textId="77777777" w:rsidR="00D52299" w:rsidRPr="00E67A4C" w:rsidRDefault="00D52299" w:rsidP="00D52299">
      <w:pPr>
        <w:pStyle w:val="ListParagraph"/>
        <w:spacing w:after="40"/>
        <w:ind w:left="360"/>
        <w:jc w:val="both"/>
      </w:pPr>
    </w:p>
    <w:p w14:paraId="4AB8F3FD" w14:textId="52747713" w:rsidR="00F775C6" w:rsidRPr="00812051" w:rsidRDefault="00F775C6" w:rsidP="00812051">
      <w:pPr>
        <w:pStyle w:val="Heading4"/>
        <w:spacing w:before="120"/>
      </w:pPr>
      <w:r w:rsidRPr="00812051">
        <w:t xml:space="preserve">5.4.3 Benefits and risks associated with implementation </w:t>
      </w:r>
      <w:r w:rsidR="006A51D2" w:rsidRPr="00812051">
        <w:t>mechanism</w:t>
      </w:r>
    </w:p>
    <w:p w14:paraId="0D05AB84" w14:textId="4FAE9F60" w:rsidR="00877CC7" w:rsidRPr="00E67A4C" w:rsidRDefault="00EF753D" w:rsidP="004342F6">
      <w:pPr>
        <w:jc w:val="both"/>
      </w:pPr>
      <w:r w:rsidRPr="00E67A4C">
        <w:t>The mechanism of a food regulatory measure under the Food Standards Code has the benefits of generating a uniform set of menu labelling requirements</w:t>
      </w:r>
      <w:r w:rsidR="00704317" w:rsidRPr="00E67A4C">
        <w:t xml:space="preserve"> </w:t>
      </w:r>
      <w:r w:rsidRPr="00E67A4C">
        <w:t>and having applicability in all Australian states and territories and New Zealand</w:t>
      </w:r>
      <w:r w:rsidR="00E065C1" w:rsidRPr="00E67A4C">
        <w:t>, through automatic adoption in jurisdictional legislation</w:t>
      </w:r>
      <w:r w:rsidR="00DF0D03" w:rsidRPr="00E67A4C">
        <w:t xml:space="preserve"> (i.e. Food Acts)</w:t>
      </w:r>
      <w:r w:rsidR="00E065C1" w:rsidRPr="00E67A4C">
        <w:t>.</w:t>
      </w:r>
      <w:r w:rsidR="00877CC7" w:rsidRPr="00E67A4C">
        <w:t xml:space="preserve"> Therefore, </w:t>
      </w:r>
      <w:r w:rsidR="004342F6" w:rsidRPr="00E67A4C">
        <w:t xml:space="preserve">Option 3 would prevent the proliferation of different menu labelling systems as it would result in one consistent system for Australia and New Zealand. </w:t>
      </w:r>
    </w:p>
    <w:p w14:paraId="493C98D6" w14:textId="77777777" w:rsidR="00877CC7" w:rsidRPr="00E67A4C" w:rsidRDefault="00877CC7" w:rsidP="004342F6">
      <w:pPr>
        <w:jc w:val="both"/>
      </w:pPr>
    </w:p>
    <w:p w14:paraId="215F889C" w14:textId="11985304" w:rsidR="004342F6" w:rsidRPr="00E67A4C" w:rsidRDefault="004D53A2" w:rsidP="004342F6">
      <w:pPr>
        <w:jc w:val="both"/>
      </w:pPr>
      <w:r w:rsidRPr="00E67A4C">
        <w:t>As a mandatory option, Option 3 could create a level playing field for all businesses across Australia and New Zealand that sell standard food items. Option 3 could also support people to make healthier choices as it would ensure that more consumers are able to access energy information at more places where standard food items are sold.</w:t>
      </w:r>
      <w:r w:rsidR="00877CC7" w:rsidRPr="00E67A4C">
        <w:t xml:space="preserve"> The policy </w:t>
      </w:r>
      <w:r w:rsidR="003D4796" w:rsidRPr="00E67A4C">
        <w:t>principles</w:t>
      </w:r>
      <w:r w:rsidR="00877CC7" w:rsidRPr="00E67A4C">
        <w:t xml:space="preserve"> for </w:t>
      </w:r>
      <w:r w:rsidR="00C93B3F" w:rsidRPr="00E67A4C">
        <w:t xml:space="preserve">achieving these elements </w:t>
      </w:r>
      <w:r w:rsidR="003D4796" w:rsidRPr="00E67A4C">
        <w:t>are</w:t>
      </w:r>
      <w:r w:rsidR="00C93B3F" w:rsidRPr="00E67A4C">
        <w:t xml:space="preserve"> outlined in the proposed Policy Guideline.</w:t>
      </w:r>
      <w:r w:rsidR="00C93B3F" w:rsidRPr="00E67A4C">
        <w:rPr>
          <w:lang w:eastAsia="zh-CN" w:bidi="th-TH"/>
        </w:rPr>
        <w:t xml:space="preserve"> As outlined in the </w:t>
      </w:r>
      <w:r w:rsidR="00C93B3F" w:rsidRPr="00E67A4C">
        <w:rPr>
          <w:i/>
          <w:iCs/>
          <w:lang w:eastAsia="zh-CN" w:bidi="th-TH"/>
        </w:rPr>
        <w:t>FSANZ Act 1991</w:t>
      </w:r>
      <w:r w:rsidR="00C93B3F" w:rsidRPr="00E67A4C">
        <w:rPr>
          <w:lang w:eastAsia="zh-CN" w:bidi="th-TH"/>
        </w:rPr>
        <w:t>, FSANZ must have due regard to policy guidelines in developing food regulatory measures.</w:t>
      </w:r>
    </w:p>
    <w:p w14:paraId="4966A851" w14:textId="0253F576" w:rsidR="00BC31E6" w:rsidRPr="00E67A4C" w:rsidRDefault="00BC31E6" w:rsidP="004342F6">
      <w:pPr>
        <w:jc w:val="both"/>
      </w:pPr>
    </w:p>
    <w:p w14:paraId="29A3DEA9" w14:textId="3D604ADC" w:rsidR="00F775C6" w:rsidRPr="00E67A4C" w:rsidRDefault="00F775C6" w:rsidP="00F775C6">
      <w:pPr>
        <w:spacing w:after="40"/>
        <w:jc w:val="both"/>
        <w:rPr>
          <w:iCs/>
        </w:rPr>
      </w:pPr>
      <w:r w:rsidRPr="00E67A4C">
        <w:rPr>
          <w:lang w:eastAsia="zh-CN" w:bidi="th-TH"/>
        </w:rPr>
        <w:t xml:space="preserve">However, FSANZ </w:t>
      </w:r>
      <w:r w:rsidR="00C96BBD" w:rsidRPr="00E67A4C">
        <w:rPr>
          <w:lang w:eastAsia="zh-CN" w:bidi="th-TH"/>
        </w:rPr>
        <w:t>is also legislated to</w:t>
      </w:r>
      <w:r w:rsidRPr="00E67A4C">
        <w:rPr>
          <w:lang w:eastAsia="zh-CN" w:bidi="th-TH"/>
        </w:rPr>
        <w:t xml:space="preserve"> undertake an assessment process</w:t>
      </w:r>
      <w:r w:rsidR="006A51D2" w:rsidRPr="00E67A4C">
        <w:rPr>
          <w:lang w:eastAsia="zh-CN" w:bidi="th-TH"/>
        </w:rPr>
        <w:t>, including stakeholder consultation</w:t>
      </w:r>
      <w:r w:rsidR="0076141F" w:rsidRPr="00E67A4C">
        <w:rPr>
          <w:lang w:eastAsia="zh-CN" w:bidi="th-TH"/>
        </w:rPr>
        <w:t>, in developing a food regulatory measure.</w:t>
      </w:r>
      <w:r w:rsidRPr="00E67A4C">
        <w:rPr>
          <w:lang w:eastAsia="zh-CN" w:bidi="th-TH"/>
        </w:rPr>
        <w:t xml:space="preserve"> </w:t>
      </w:r>
      <w:r w:rsidR="0076141F" w:rsidRPr="00E67A4C">
        <w:rPr>
          <w:lang w:eastAsia="zh-CN" w:bidi="th-TH"/>
        </w:rPr>
        <w:t xml:space="preserve">Additionally, </w:t>
      </w:r>
      <w:r w:rsidRPr="00E67A4C">
        <w:rPr>
          <w:lang w:eastAsia="zh-CN" w:bidi="th-TH"/>
        </w:rPr>
        <w:t xml:space="preserve">the draft food regulatory </w:t>
      </w:r>
      <w:r w:rsidRPr="00E67A4C">
        <w:rPr>
          <w:lang w:eastAsia="zh-CN" w:bidi="th-TH"/>
        </w:rPr>
        <w:lastRenderedPageBreak/>
        <w:t xml:space="preserve">measure will require FSANZ Board approval. Therefore, there is a risk that any food regulatory measure for menu labelling will not match </w:t>
      </w:r>
      <w:r w:rsidR="009C1142" w:rsidRPr="00E67A4C">
        <w:rPr>
          <w:lang w:eastAsia="zh-CN" w:bidi="th-TH"/>
        </w:rPr>
        <w:t>all elements of the</w:t>
      </w:r>
      <w:r w:rsidRPr="00E67A4C">
        <w:rPr>
          <w:lang w:eastAsia="zh-CN" w:bidi="th-TH"/>
        </w:rPr>
        <w:t xml:space="preserve"> proposed Policy Guideline and </w:t>
      </w:r>
      <w:r w:rsidR="009B7AE1" w:rsidRPr="00E67A4C">
        <w:rPr>
          <w:lang w:eastAsia="zh-CN" w:bidi="th-TH"/>
        </w:rPr>
        <w:t xml:space="preserve">some of the </w:t>
      </w:r>
      <w:r w:rsidRPr="00E67A4C">
        <w:rPr>
          <w:lang w:eastAsia="zh-CN" w:bidi="th-TH"/>
        </w:rPr>
        <w:t xml:space="preserve">progress made by jurisdictional legislation could be lost. </w:t>
      </w:r>
      <w:r w:rsidR="001760C9" w:rsidRPr="00E67A4C">
        <w:rPr>
          <w:lang w:eastAsia="zh-CN" w:bidi="th-TH"/>
        </w:rPr>
        <w:t>Th</w:t>
      </w:r>
      <w:r w:rsidRPr="00E67A4C">
        <w:rPr>
          <w:lang w:eastAsia="zh-CN" w:bidi="th-TH"/>
        </w:rPr>
        <w:t xml:space="preserve">is risk can be reduced as </w:t>
      </w:r>
      <w:r w:rsidRPr="00E67A4C">
        <w:rPr>
          <w:iCs/>
        </w:rPr>
        <w:t xml:space="preserve">the Food Ministers can ask FSANZ to review a food regulatory measure if it does not align with a Ministerial Policy Guideline.  </w:t>
      </w:r>
    </w:p>
    <w:p w14:paraId="473F8139" w14:textId="6A4D3315" w:rsidR="00A71612" w:rsidRPr="00E67A4C" w:rsidRDefault="00A71612" w:rsidP="00F775C6">
      <w:pPr>
        <w:spacing w:after="40"/>
        <w:jc w:val="both"/>
        <w:rPr>
          <w:iCs/>
        </w:rPr>
      </w:pPr>
    </w:p>
    <w:p w14:paraId="563F8AE6" w14:textId="71080AC9" w:rsidR="00A71612" w:rsidRPr="00E67A4C" w:rsidRDefault="00A71612" w:rsidP="00A71612">
      <w:pPr>
        <w:spacing w:after="40"/>
        <w:jc w:val="both"/>
        <w:rPr>
          <w:lang w:eastAsia="zh-CN" w:bidi="th-TH"/>
        </w:rPr>
      </w:pPr>
      <w:r w:rsidRPr="00E67A4C">
        <w:rPr>
          <w:lang w:eastAsia="zh-CN" w:bidi="th-TH"/>
        </w:rPr>
        <w:t xml:space="preserve">Should the FSANZ </w:t>
      </w:r>
      <w:r w:rsidR="00E7754F" w:rsidRPr="00E67A4C">
        <w:rPr>
          <w:lang w:eastAsia="zh-CN" w:bidi="th-TH"/>
        </w:rPr>
        <w:t>development of a food regulatory measure</w:t>
      </w:r>
      <w:r w:rsidRPr="00E67A4C">
        <w:rPr>
          <w:lang w:eastAsia="zh-CN" w:bidi="th-TH"/>
        </w:rPr>
        <w:t xml:space="preserve"> process deviate from the proposed Policy Guideline, th</w:t>
      </w:r>
      <w:r w:rsidR="00E7754F" w:rsidRPr="00E67A4C">
        <w:rPr>
          <w:lang w:eastAsia="zh-CN" w:bidi="th-TH"/>
        </w:rPr>
        <w:t>e regulatory requirements</w:t>
      </w:r>
      <w:r w:rsidRPr="00E67A4C">
        <w:rPr>
          <w:lang w:eastAsia="zh-CN" w:bidi="th-TH"/>
        </w:rPr>
        <w:t xml:space="preserve"> will be still be carried uniformly across all jurisdictions</w:t>
      </w:r>
      <w:r w:rsidR="00EA3B2E" w:rsidRPr="00E67A4C">
        <w:rPr>
          <w:lang w:eastAsia="zh-CN" w:bidi="th-TH"/>
        </w:rPr>
        <w:t xml:space="preserve"> at the same time</w:t>
      </w:r>
      <w:r w:rsidRPr="00E67A4C">
        <w:rPr>
          <w:lang w:eastAsia="zh-CN" w:bidi="th-TH"/>
        </w:rPr>
        <w:t>, creating nationally consistent requirements for menu labelling as an outcome.</w:t>
      </w:r>
      <w:r w:rsidR="00EA3B2E" w:rsidRPr="00E67A4C">
        <w:rPr>
          <w:lang w:eastAsia="zh-CN" w:bidi="th-TH"/>
        </w:rPr>
        <w:t xml:space="preserve"> </w:t>
      </w:r>
    </w:p>
    <w:p w14:paraId="0EA1CF27" w14:textId="77777777" w:rsidR="00F775C6" w:rsidRPr="00E67A4C" w:rsidRDefault="00F775C6" w:rsidP="00F775C6">
      <w:pPr>
        <w:spacing w:after="40"/>
        <w:jc w:val="both"/>
        <w:rPr>
          <w:lang w:eastAsia="zh-CN" w:bidi="th-TH"/>
        </w:rPr>
      </w:pPr>
    </w:p>
    <w:p w14:paraId="031228D6" w14:textId="0B896091" w:rsidR="00F775C6" w:rsidRPr="00E67A4C" w:rsidRDefault="00F775C6" w:rsidP="00F775C6">
      <w:pPr>
        <w:spacing w:after="40"/>
        <w:jc w:val="both"/>
        <w:rPr>
          <w:lang w:eastAsia="zh-CN" w:bidi="th-TH"/>
        </w:rPr>
      </w:pPr>
      <w:r w:rsidRPr="00E67A4C">
        <w:rPr>
          <w:lang w:eastAsia="zh-CN" w:bidi="th-TH"/>
        </w:rPr>
        <w:t xml:space="preserve">While the </w:t>
      </w:r>
      <w:r w:rsidR="00314A04" w:rsidRPr="00E67A4C">
        <w:rPr>
          <w:lang w:eastAsia="zh-CN" w:bidi="th-TH"/>
        </w:rPr>
        <w:t>process of developing</w:t>
      </w:r>
      <w:r w:rsidR="00003B33" w:rsidRPr="00E67A4C">
        <w:rPr>
          <w:lang w:eastAsia="zh-CN" w:bidi="th-TH"/>
        </w:rPr>
        <w:t xml:space="preserve"> </w:t>
      </w:r>
      <w:r w:rsidR="00314A04" w:rsidRPr="00E67A4C">
        <w:rPr>
          <w:lang w:eastAsia="zh-CN" w:bidi="th-TH"/>
        </w:rPr>
        <w:t>food regulatory measure</w:t>
      </w:r>
      <w:r w:rsidR="00003B33" w:rsidRPr="00E67A4C">
        <w:rPr>
          <w:lang w:eastAsia="zh-CN" w:bidi="th-TH"/>
        </w:rPr>
        <w:t>s</w:t>
      </w:r>
      <w:r w:rsidR="00314A04" w:rsidRPr="00E67A4C">
        <w:rPr>
          <w:lang w:eastAsia="zh-CN" w:bidi="th-TH"/>
        </w:rPr>
        <w:t xml:space="preserve"> </w:t>
      </w:r>
      <w:r w:rsidRPr="00E67A4C">
        <w:rPr>
          <w:lang w:eastAsia="zh-CN" w:bidi="th-TH"/>
        </w:rPr>
        <w:t xml:space="preserve">can take approximately 12-18 months, this is dependent on FSANZ’s work plan, competing priorities and the complexity of the issues. With FRSC undertaking this Consultation RIS and subsequent Decision RIS, there may be a reduction in the amount of work that FSANZ would need to complete. </w:t>
      </w:r>
      <w:r w:rsidR="00580633" w:rsidRPr="00E67A4C">
        <w:rPr>
          <w:lang w:eastAsia="zh-CN" w:bidi="th-TH"/>
        </w:rPr>
        <w:t>However, t</w:t>
      </w:r>
      <w:r w:rsidRPr="00E67A4C">
        <w:rPr>
          <w:lang w:eastAsia="zh-CN" w:bidi="th-TH"/>
        </w:rPr>
        <w:t>here remains a risk that developing a food regulatory measure for menu labelling could</w:t>
      </w:r>
      <w:r w:rsidR="0027792D" w:rsidRPr="00E67A4C">
        <w:rPr>
          <w:lang w:eastAsia="zh-CN" w:bidi="th-TH"/>
        </w:rPr>
        <w:t xml:space="preserve"> </w:t>
      </w:r>
      <w:r w:rsidRPr="00E67A4C">
        <w:rPr>
          <w:lang w:eastAsia="zh-CN" w:bidi="th-TH"/>
        </w:rPr>
        <w:t>take considerably longer</w:t>
      </w:r>
      <w:r w:rsidR="001958A1" w:rsidRPr="00E67A4C">
        <w:rPr>
          <w:lang w:eastAsia="zh-CN" w:bidi="th-TH"/>
        </w:rPr>
        <w:t xml:space="preserve"> than 12-18 months</w:t>
      </w:r>
      <w:r w:rsidRPr="00E67A4C">
        <w:rPr>
          <w:lang w:eastAsia="zh-CN" w:bidi="th-TH"/>
        </w:rPr>
        <w:t xml:space="preserve">. </w:t>
      </w:r>
    </w:p>
    <w:p w14:paraId="5BF3CEC0" w14:textId="334F76DD" w:rsidR="00980503" w:rsidRPr="00E67A4C" w:rsidRDefault="00980503" w:rsidP="00F775C6">
      <w:pPr>
        <w:spacing w:after="40"/>
        <w:jc w:val="both"/>
        <w:rPr>
          <w:lang w:eastAsia="zh-CN" w:bidi="th-TH"/>
        </w:rPr>
      </w:pPr>
    </w:p>
    <w:p w14:paraId="0A8FD155" w14:textId="0112BF09" w:rsidR="00980503" w:rsidRPr="00E67A4C" w:rsidRDefault="00980503" w:rsidP="00F775C6">
      <w:pPr>
        <w:spacing w:after="40"/>
        <w:jc w:val="both"/>
        <w:rPr>
          <w:lang w:eastAsia="zh-CN" w:bidi="th-TH"/>
        </w:rPr>
      </w:pPr>
      <w:r w:rsidRPr="00E67A4C">
        <w:t>Five Australian jurisdictions would be expected to repeal menu labelling legislation once a food regulatory measure was in place to ensure there was only one system.</w:t>
      </w:r>
      <w:r w:rsidR="00B47A46" w:rsidRPr="00E67A4C">
        <w:t xml:space="preserve"> Repealing the legislation is expected to be a less resource-intensive </w:t>
      </w:r>
      <w:r w:rsidR="00561ADD" w:rsidRPr="00E67A4C">
        <w:t xml:space="preserve">process </w:t>
      </w:r>
      <w:r w:rsidR="00B47A46" w:rsidRPr="00E67A4C">
        <w:t xml:space="preserve">and </w:t>
      </w:r>
      <w:r w:rsidR="00282F8F" w:rsidRPr="00E67A4C">
        <w:t>of shorter duration</w:t>
      </w:r>
      <w:r w:rsidR="00561ADD" w:rsidRPr="00E67A4C">
        <w:t xml:space="preserve">, compared </w:t>
      </w:r>
      <w:r w:rsidR="00AD4560" w:rsidRPr="00E67A4C">
        <w:t>to</w:t>
      </w:r>
      <w:r w:rsidR="00561ADD" w:rsidRPr="00E67A4C">
        <w:t xml:space="preserve"> changing legislation to </w:t>
      </w:r>
      <w:r w:rsidR="00AD4560" w:rsidRPr="00E67A4C">
        <w:t>align with the amended principles (Option 2).</w:t>
      </w:r>
    </w:p>
    <w:p w14:paraId="64DF9FB3" w14:textId="77777777" w:rsidR="004B130B" w:rsidRPr="00E67A4C" w:rsidRDefault="004B130B">
      <w:pPr>
        <w:rPr>
          <w:b/>
          <w:bCs/>
          <w:i/>
          <w:iCs/>
        </w:rPr>
      </w:pPr>
    </w:p>
    <w:p w14:paraId="31D9823D" w14:textId="47C8C203" w:rsidR="00776259" w:rsidRPr="00E67A4C" w:rsidRDefault="00776259" w:rsidP="00246032">
      <w:pPr>
        <w:pStyle w:val="Heading3"/>
      </w:pPr>
      <w:bookmarkStart w:id="75" w:name="_Toc51165285"/>
      <w:r w:rsidRPr="00E67A4C">
        <w:t>5.</w:t>
      </w:r>
      <w:r w:rsidR="005B2425" w:rsidRPr="00E67A4C">
        <w:t>5</w:t>
      </w:r>
      <w:r w:rsidRPr="00E67A4C">
        <w:t xml:space="preserve"> Option 4 </w:t>
      </w:r>
      <w:bookmarkEnd w:id="75"/>
    </w:p>
    <w:p w14:paraId="69BEE95B" w14:textId="39F25042" w:rsidR="00776259" w:rsidRPr="00E67A4C" w:rsidRDefault="00776259" w:rsidP="00812051">
      <w:pPr>
        <w:pStyle w:val="Heading4"/>
        <w:spacing w:before="120"/>
        <w:rPr>
          <w:u w:val="single"/>
        </w:rPr>
      </w:pPr>
      <w:r w:rsidRPr="00812051">
        <w:t>5.</w:t>
      </w:r>
      <w:r w:rsidR="005B2425" w:rsidRPr="00812051">
        <w:t>5</w:t>
      </w:r>
      <w:r w:rsidRPr="00812051">
        <w:t>.1 Impacts on Australian and New Zealand Food Industr</w:t>
      </w:r>
      <w:r w:rsidR="009D1296" w:rsidRPr="00812051">
        <w:t>ies</w:t>
      </w:r>
    </w:p>
    <w:p w14:paraId="1BC19BC5" w14:textId="62AD3C85" w:rsidR="00752528" w:rsidRPr="00E67A4C" w:rsidRDefault="002E6BCD" w:rsidP="00752528">
      <w:pPr>
        <w:spacing w:after="40"/>
        <w:jc w:val="both"/>
        <w:rPr>
          <w:lang w:eastAsia="zh-CN" w:bidi="th-TH"/>
        </w:rPr>
      </w:pPr>
      <w:r w:rsidRPr="00E67A4C">
        <w:rPr>
          <w:lang w:eastAsia="zh-CN" w:bidi="th-TH"/>
        </w:rPr>
        <w:t xml:space="preserve">The potential impact of </w:t>
      </w:r>
      <w:r w:rsidR="000915DB" w:rsidRPr="00E67A4C">
        <w:rPr>
          <w:lang w:eastAsia="zh-CN" w:bidi="th-TH"/>
        </w:rPr>
        <w:t>Option 4</w:t>
      </w:r>
      <w:r w:rsidRPr="00E67A4C">
        <w:rPr>
          <w:lang w:eastAsia="zh-CN" w:bidi="th-TH"/>
        </w:rPr>
        <w:t xml:space="preserve"> on businesses is dependent on </w:t>
      </w:r>
      <w:r w:rsidR="0092087F" w:rsidRPr="00E67A4C">
        <w:rPr>
          <w:lang w:eastAsia="zh-CN" w:bidi="th-TH"/>
        </w:rPr>
        <w:t>whether businesses voluntarily implement any of the recommended enhancements to menu labelling.</w:t>
      </w:r>
      <w:r w:rsidR="00102B43" w:rsidRPr="00E67A4C">
        <w:rPr>
          <w:lang w:eastAsia="zh-CN" w:bidi="th-TH"/>
        </w:rPr>
        <w:t xml:space="preserve"> </w:t>
      </w:r>
    </w:p>
    <w:p w14:paraId="2290683F" w14:textId="77777777" w:rsidR="005A6A0B" w:rsidRPr="00E67A4C" w:rsidRDefault="005A6A0B" w:rsidP="002E6BCD">
      <w:pPr>
        <w:spacing w:after="40"/>
        <w:jc w:val="both"/>
        <w:rPr>
          <w:lang w:eastAsia="zh-CN" w:bidi="th-TH"/>
        </w:rPr>
      </w:pPr>
    </w:p>
    <w:p w14:paraId="0CAC7309" w14:textId="13E4B0D2" w:rsidR="00905799" w:rsidRPr="00E67A4C" w:rsidRDefault="00776259" w:rsidP="002E6BCD">
      <w:pPr>
        <w:spacing w:after="40"/>
        <w:jc w:val="both"/>
      </w:pPr>
      <w:r w:rsidRPr="00E67A4C">
        <w:t xml:space="preserve">Compared to the status quo, the </w:t>
      </w:r>
      <w:r w:rsidR="00905799" w:rsidRPr="00E67A4C">
        <w:t xml:space="preserve">recommended enhancements </w:t>
      </w:r>
      <w:r w:rsidR="005A6A0B" w:rsidRPr="00E67A4C">
        <w:t xml:space="preserve">to menu labelling </w:t>
      </w:r>
      <w:r w:rsidR="00905799" w:rsidRPr="00E67A4C">
        <w:t>include:</w:t>
      </w:r>
    </w:p>
    <w:p w14:paraId="3BCF970A" w14:textId="5F2AE04E" w:rsidR="00184CF1" w:rsidRPr="00E67A4C" w:rsidRDefault="00905799" w:rsidP="00905799">
      <w:pPr>
        <w:pStyle w:val="ListParagraph"/>
        <w:numPr>
          <w:ilvl w:val="0"/>
          <w:numId w:val="3"/>
        </w:numPr>
        <w:spacing w:after="40"/>
        <w:jc w:val="both"/>
        <w:rPr>
          <w:lang w:eastAsia="zh-CN" w:bidi="th-TH"/>
        </w:rPr>
      </w:pPr>
      <w:r w:rsidRPr="00E67A4C">
        <w:rPr>
          <w:lang w:eastAsia="zh-CN" w:bidi="th-TH"/>
        </w:rPr>
        <w:t>D</w:t>
      </w:r>
      <w:r w:rsidRPr="00E67A4C">
        <w:t>isplaying the energy information</w:t>
      </w:r>
      <w:r w:rsidR="00184CF1" w:rsidRPr="00E67A4C">
        <w:t xml:space="preserve"> for:</w:t>
      </w:r>
    </w:p>
    <w:p w14:paraId="71F618F0" w14:textId="6CDB1E0F" w:rsidR="00905799" w:rsidRPr="00E67A4C" w:rsidRDefault="00905799" w:rsidP="00184CF1">
      <w:pPr>
        <w:pStyle w:val="ListParagraph"/>
        <w:numPr>
          <w:ilvl w:val="1"/>
          <w:numId w:val="3"/>
        </w:numPr>
        <w:spacing w:after="40"/>
        <w:jc w:val="both"/>
        <w:rPr>
          <w:lang w:eastAsia="zh-CN" w:bidi="th-TH"/>
        </w:rPr>
      </w:pPr>
      <w:r w:rsidRPr="00E67A4C">
        <w:t>all available standard food items on all menus and at all physical and electronic points-of-sale;</w:t>
      </w:r>
    </w:p>
    <w:p w14:paraId="6C9F4786" w14:textId="096B5C74" w:rsidR="00905799" w:rsidRPr="00E67A4C" w:rsidRDefault="00905799" w:rsidP="00184CF1">
      <w:pPr>
        <w:pStyle w:val="ListParagraph"/>
        <w:numPr>
          <w:ilvl w:val="1"/>
          <w:numId w:val="3"/>
        </w:numPr>
        <w:spacing w:after="40"/>
        <w:jc w:val="both"/>
        <w:rPr>
          <w:lang w:eastAsia="zh-CN" w:bidi="th-TH"/>
        </w:rPr>
      </w:pPr>
      <w:r w:rsidRPr="00E67A4C">
        <w:rPr>
          <w:lang w:eastAsia="zh-CN" w:bidi="th-TH"/>
        </w:rPr>
        <w:t>combination meals including any pre-packaged items with the combination;</w:t>
      </w:r>
      <w:r w:rsidR="00F90F32" w:rsidRPr="00E67A4C">
        <w:rPr>
          <w:lang w:eastAsia="zh-CN" w:bidi="th-TH"/>
        </w:rPr>
        <w:t xml:space="preserve"> and</w:t>
      </w:r>
    </w:p>
    <w:p w14:paraId="3587C189" w14:textId="3009FC2F" w:rsidR="00905799" w:rsidRPr="00E67A4C" w:rsidRDefault="00905799" w:rsidP="00905799">
      <w:pPr>
        <w:pStyle w:val="ListParagraph"/>
        <w:numPr>
          <w:ilvl w:val="1"/>
          <w:numId w:val="3"/>
        </w:numPr>
        <w:spacing w:after="40"/>
        <w:jc w:val="both"/>
        <w:rPr>
          <w:lang w:eastAsia="zh-CN" w:bidi="th-TH"/>
        </w:rPr>
      </w:pPr>
      <w:r w:rsidRPr="00E67A4C">
        <w:rPr>
          <w:lang w:eastAsia="zh-CN" w:bidi="th-TH"/>
        </w:rPr>
        <w:t>multi-serve items as the whole item and per serving</w:t>
      </w:r>
      <w:r w:rsidR="00F90F32" w:rsidRPr="00E67A4C">
        <w:rPr>
          <w:lang w:eastAsia="zh-CN" w:bidi="th-TH"/>
        </w:rPr>
        <w:t>.</w:t>
      </w:r>
    </w:p>
    <w:p w14:paraId="3418874D" w14:textId="6B88FA03" w:rsidR="00905799" w:rsidRPr="00E67A4C" w:rsidRDefault="00F90F32" w:rsidP="00F90F32">
      <w:pPr>
        <w:pStyle w:val="ListParagraph"/>
        <w:numPr>
          <w:ilvl w:val="0"/>
          <w:numId w:val="3"/>
        </w:numPr>
        <w:spacing w:after="40"/>
        <w:jc w:val="both"/>
        <w:rPr>
          <w:lang w:eastAsia="zh-CN" w:bidi="th-TH"/>
        </w:rPr>
      </w:pPr>
      <w:r w:rsidRPr="00E67A4C">
        <w:rPr>
          <w:lang w:eastAsia="zh-CN" w:bidi="th-TH"/>
        </w:rPr>
        <w:t>E</w:t>
      </w:r>
      <w:r w:rsidR="00905799" w:rsidRPr="00E67A4C">
        <w:rPr>
          <w:lang w:eastAsia="zh-CN" w:bidi="th-TH"/>
        </w:rPr>
        <w:t>nsur</w:t>
      </w:r>
      <w:r w:rsidRPr="00E67A4C">
        <w:rPr>
          <w:lang w:eastAsia="zh-CN" w:bidi="th-TH"/>
        </w:rPr>
        <w:t>ing</w:t>
      </w:r>
      <w:r w:rsidR="00905799" w:rsidRPr="00E67A4C">
        <w:rPr>
          <w:lang w:eastAsia="zh-CN" w:bidi="th-TH"/>
        </w:rPr>
        <w:t xml:space="preserve"> that customers have access to the energy information for standardised single ingredients and customisable menu items.</w:t>
      </w:r>
    </w:p>
    <w:p w14:paraId="2C0B6958" w14:textId="6E3AB023" w:rsidR="00905799" w:rsidRPr="00E67A4C" w:rsidRDefault="00905799" w:rsidP="00905799">
      <w:pPr>
        <w:pStyle w:val="ListParagraph"/>
        <w:numPr>
          <w:ilvl w:val="0"/>
          <w:numId w:val="3"/>
        </w:numPr>
        <w:spacing w:after="40"/>
        <w:jc w:val="both"/>
        <w:rPr>
          <w:lang w:eastAsia="zh-CN" w:bidi="th-TH"/>
        </w:rPr>
      </w:pPr>
      <w:r w:rsidRPr="00E67A4C">
        <w:rPr>
          <w:lang w:eastAsia="zh-CN" w:bidi="th-TH"/>
        </w:rPr>
        <w:t>Supermarkets display</w:t>
      </w:r>
      <w:r w:rsidR="0035182D" w:rsidRPr="00E67A4C">
        <w:rPr>
          <w:lang w:eastAsia="zh-CN" w:bidi="th-TH"/>
        </w:rPr>
        <w:t>ing</w:t>
      </w:r>
      <w:r w:rsidRPr="00E67A4C">
        <w:rPr>
          <w:lang w:eastAsia="zh-CN" w:bidi="th-TH"/>
        </w:rPr>
        <w:t xml:space="preserve"> the energy information as per </w:t>
      </w:r>
      <w:r w:rsidR="0035182D" w:rsidRPr="00E67A4C">
        <w:rPr>
          <w:lang w:eastAsia="zh-CN" w:bidi="th-TH"/>
        </w:rPr>
        <w:t>whole item</w:t>
      </w:r>
      <w:r w:rsidRPr="00E67A4C">
        <w:rPr>
          <w:lang w:eastAsia="zh-CN" w:bidi="th-TH"/>
        </w:rPr>
        <w:t xml:space="preserve"> </w:t>
      </w:r>
      <w:r w:rsidR="0035182D" w:rsidRPr="00E67A4C">
        <w:rPr>
          <w:lang w:eastAsia="zh-CN" w:bidi="th-TH"/>
        </w:rPr>
        <w:t>and</w:t>
      </w:r>
      <w:r w:rsidRPr="00E67A4C">
        <w:rPr>
          <w:lang w:eastAsia="zh-CN" w:bidi="th-TH"/>
        </w:rPr>
        <w:t xml:space="preserve"> in the same font as the </w:t>
      </w:r>
      <w:r w:rsidR="0035182D" w:rsidRPr="00E67A4C">
        <w:rPr>
          <w:lang w:eastAsia="zh-CN" w:bidi="th-TH"/>
        </w:rPr>
        <w:t>largest</w:t>
      </w:r>
      <w:r w:rsidR="004F1214" w:rsidRPr="00E67A4C">
        <w:rPr>
          <w:lang w:eastAsia="zh-CN" w:bidi="th-TH"/>
        </w:rPr>
        <w:t xml:space="preserve"> size of the</w:t>
      </w:r>
      <w:r w:rsidR="0035182D" w:rsidRPr="00E67A4C">
        <w:rPr>
          <w:lang w:eastAsia="zh-CN" w:bidi="th-TH"/>
        </w:rPr>
        <w:t xml:space="preserve"> price</w:t>
      </w:r>
      <w:r w:rsidRPr="00E67A4C">
        <w:rPr>
          <w:lang w:eastAsia="zh-CN" w:bidi="th-TH"/>
        </w:rPr>
        <w:t xml:space="preserve">. </w:t>
      </w:r>
    </w:p>
    <w:p w14:paraId="26B9EC2B" w14:textId="5F6B4508" w:rsidR="00905799" w:rsidRPr="00E67A4C" w:rsidRDefault="00645C67" w:rsidP="00905799">
      <w:pPr>
        <w:pStyle w:val="ListParagraph"/>
        <w:numPr>
          <w:ilvl w:val="0"/>
          <w:numId w:val="3"/>
        </w:numPr>
        <w:spacing w:after="40"/>
        <w:jc w:val="both"/>
        <w:rPr>
          <w:lang w:eastAsia="zh-CN" w:bidi="th-TH"/>
        </w:rPr>
      </w:pPr>
      <w:r w:rsidRPr="00E67A4C">
        <w:rPr>
          <w:lang w:eastAsia="zh-CN" w:bidi="th-TH"/>
        </w:rPr>
        <w:t xml:space="preserve">Providing </w:t>
      </w:r>
      <w:r w:rsidR="00905799" w:rsidRPr="00E67A4C">
        <w:rPr>
          <w:lang w:eastAsia="zh-CN" w:bidi="th-TH"/>
        </w:rPr>
        <w:t xml:space="preserve">the energy information to </w:t>
      </w:r>
      <w:r w:rsidR="00E86475" w:rsidRPr="00E67A4C">
        <w:rPr>
          <w:lang w:eastAsia="zh-CN" w:bidi="th-TH"/>
        </w:rPr>
        <w:t>any</w:t>
      </w:r>
      <w:r w:rsidR="00905799" w:rsidRPr="00E67A4C">
        <w:rPr>
          <w:lang w:eastAsia="zh-CN" w:bidi="th-TH"/>
        </w:rPr>
        <w:t xml:space="preserve"> third-party</w:t>
      </w:r>
      <w:r w:rsidR="00E86475" w:rsidRPr="00E67A4C">
        <w:rPr>
          <w:lang w:eastAsia="zh-CN" w:bidi="th-TH"/>
        </w:rPr>
        <w:t xml:space="preserve"> used to facilitate the sale of standard food items</w:t>
      </w:r>
      <w:r w:rsidR="00905799" w:rsidRPr="00E67A4C">
        <w:rPr>
          <w:lang w:eastAsia="zh-CN" w:bidi="th-TH"/>
        </w:rPr>
        <w:t>.</w:t>
      </w:r>
    </w:p>
    <w:p w14:paraId="31442C82" w14:textId="3453D27F" w:rsidR="0010722A" w:rsidRDefault="000D1634" w:rsidP="00905799">
      <w:pPr>
        <w:pStyle w:val="ListParagraph"/>
        <w:numPr>
          <w:ilvl w:val="0"/>
          <w:numId w:val="3"/>
        </w:numPr>
        <w:spacing w:after="40"/>
        <w:jc w:val="both"/>
        <w:rPr>
          <w:lang w:eastAsia="zh-CN" w:bidi="th-TH"/>
        </w:rPr>
      </w:pPr>
      <w:r w:rsidRPr="00E67A4C">
        <w:rPr>
          <w:lang w:eastAsia="zh-CN" w:bidi="th-TH"/>
        </w:rPr>
        <w:t>Voluntarily i</w:t>
      </w:r>
      <w:r w:rsidR="00D80947" w:rsidRPr="00E67A4C">
        <w:rPr>
          <w:lang w:eastAsia="zh-CN" w:bidi="th-TH"/>
        </w:rPr>
        <w:t xml:space="preserve">mplementing menu labelling if </w:t>
      </w:r>
      <w:r w:rsidRPr="00E67A4C">
        <w:rPr>
          <w:lang w:eastAsia="zh-CN" w:bidi="th-TH"/>
        </w:rPr>
        <w:t>currently exempt in one or more jurisdiction.</w:t>
      </w:r>
      <w:r w:rsidR="00D80947" w:rsidRPr="00E67A4C">
        <w:rPr>
          <w:lang w:eastAsia="zh-CN" w:bidi="th-TH"/>
        </w:rPr>
        <w:t xml:space="preserve"> </w:t>
      </w:r>
    </w:p>
    <w:p w14:paraId="0EBF2ED4" w14:textId="57742294" w:rsidR="002E400C" w:rsidRDefault="002E400C" w:rsidP="002E400C">
      <w:pPr>
        <w:pStyle w:val="ListParagraph"/>
        <w:spacing w:after="40"/>
        <w:jc w:val="both"/>
        <w:rPr>
          <w:lang w:eastAsia="zh-CN" w:bidi="th-TH"/>
        </w:rPr>
      </w:pPr>
    </w:p>
    <w:p w14:paraId="046ADA15" w14:textId="6CF5D7A4" w:rsidR="00350047" w:rsidRDefault="00D52299" w:rsidP="009E4D4E">
      <w:pPr>
        <w:pStyle w:val="ListParagraph"/>
        <w:spacing w:after="40"/>
        <w:ind w:left="0"/>
        <w:jc w:val="both"/>
        <w:rPr>
          <w:rFonts w:eastAsia="Calibri"/>
        </w:rPr>
      </w:pPr>
      <w:r w:rsidRPr="00350047">
        <w:t xml:space="preserve">For </w:t>
      </w:r>
      <w:r w:rsidR="00FE7DF0" w:rsidRPr="00350047">
        <w:t>Option 4</w:t>
      </w:r>
      <w:r w:rsidRPr="00350047">
        <w:t xml:space="preserve">, </w:t>
      </w:r>
      <w:r w:rsidR="00350047" w:rsidRPr="00FE5316">
        <w:t xml:space="preserve">an </w:t>
      </w:r>
      <w:r w:rsidRPr="00FE5316">
        <w:t>a</w:t>
      </w:r>
      <w:r w:rsidR="009E4D4E" w:rsidRPr="00FE5316">
        <w:t xml:space="preserve">nticipated benefit </w:t>
      </w:r>
      <w:r w:rsidRPr="00FE5316">
        <w:t xml:space="preserve">(compared to the status quo) </w:t>
      </w:r>
      <w:r w:rsidR="00CF5BD5" w:rsidRPr="00FE5316">
        <w:t xml:space="preserve">for </w:t>
      </w:r>
      <w:r w:rsidR="00A3559F" w:rsidRPr="00FE5316">
        <w:t xml:space="preserve">Australian and/or New Zealand </w:t>
      </w:r>
      <w:r w:rsidR="009D1296" w:rsidRPr="00FE5316">
        <w:t xml:space="preserve">food </w:t>
      </w:r>
      <w:r w:rsidR="00CF5BD5" w:rsidRPr="00FE5316">
        <w:t>industr</w:t>
      </w:r>
      <w:r w:rsidR="009D1296" w:rsidRPr="00FE5316">
        <w:t>ies</w:t>
      </w:r>
      <w:r w:rsidR="00350047" w:rsidRPr="00FE5316">
        <w:t xml:space="preserve"> includes a</w:t>
      </w:r>
      <w:r w:rsidR="00350047" w:rsidRPr="00FE5316">
        <w:rPr>
          <w:lang w:eastAsia="zh-CN" w:bidi="th-TH"/>
        </w:rPr>
        <w:t>utonomy/ownership for decision to implement enhancements to menu labelling (compared to being regulated).</w:t>
      </w:r>
      <w:r w:rsidR="004E3E67">
        <w:rPr>
          <w:lang w:eastAsia="zh-CN" w:bidi="th-TH"/>
        </w:rPr>
        <w:t xml:space="preserve"> A</w:t>
      </w:r>
      <w:r w:rsidR="00350047" w:rsidRPr="00FE5316">
        <w:t xml:space="preserve">n anticipated cost </w:t>
      </w:r>
      <w:r w:rsidR="004E3E67">
        <w:t xml:space="preserve">of Option 4 </w:t>
      </w:r>
      <w:r w:rsidR="00350047" w:rsidRPr="00FE5316">
        <w:t>(compared</w:t>
      </w:r>
      <w:r w:rsidR="00350047" w:rsidRPr="00350047">
        <w:t xml:space="preserve"> to the status quo) for Australian and/or New Zealand food industries includes</w:t>
      </w:r>
      <w:r w:rsidR="00350047">
        <w:t xml:space="preserve"> that </w:t>
      </w:r>
      <w:r w:rsidR="00350047">
        <w:rPr>
          <w:rFonts w:eastAsia="Calibri"/>
        </w:rPr>
        <w:t>s</w:t>
      </w:r>
      <w:r w:rsidR="00350047" w:rsidRPr="00E67A4C">
        <w:rPr>
          <w:rFonts w:eastAsia="Calibri"/>
        </w:rPr>
        <w:t xml:space="preserve">ome businesses may incur costs for the </w:t>
      </w:r>
      <w:r w:rsidR="00350047" w:rsidRPr="00E67A4C">
        <w:t>re-design</w:t>
      </w:r>
      <w:r w:rsidR="00350047" w:rsidRPr="00E67A4C">
        <w:rPr>
          <w:rFonts w:eastAsia="Calibri"/>
        </w:rPr>
        <w:t xml:space="preserve"> and production of menus and associated materials and for nutritional analysis.</w:t>
      </w:r>
    </w:p>
    <w:p w14:paraId="0AC4F864" w14:textId="1AD2B19A" w:rsidR="009E4D4E" w:rsidRPr="00812051" w:rsidRDefault="009E4D4E" w:rsidP="00812051">
      <w:pPr>
        <w:pStyle w:val="Heading4"/>
        <w:spacing w:before="120"/>
      </w:pPr>
      <w:r w:rsidRPr="00812051">
        <w:lastRenderedPageBreak/>
        <w:t>5.</w:t>
      </w:r>
      <w:r w:rsidR="005B2425" w:rsidRPr="00812051">
        <w:t>5</w:t>
      </w:r>
      <w:r w:rsidRPr="00812051">
        <w:t>.2 Impacts on Australian and New Zealand Consumers</w:t>
      </w:r>
    </w:p>
    <w:p w14:paraId="53406890" w14:textId="67701FA7" w:rsidR="000915DB" w:rsidRPr="00E67A4C" w:rsidRDefault="000915DB" w:rsidP="009E4D4E">
      <w:pPr>
        <w:spacing w:after="40"/>
        <w:jc w:val="both"/>
        <w:rPr>
          <w:lang w:eastAsia="zh-CN" w:bidi="th-TH"/>
        </w:rPr>
      </w:pPr>
      <w:r w:rsidRPr="00E67A4C">
        <w:rPr>
          <w:lang w:eastAsia="zh-CN" w:bidi="th-TH"/>
        </w:rPr>
        <w:t xml:space="preserve">The potential impact on consumers is dependent on whether businesses voluntarily implement any of the recommended enhancements to menu labelling. </w:t>
      </w:r>
    </w:p>
    <w:p w14:paraId="51A77BD8" w14:textId="77777777" w:rsidR="005D6B52" w:rsidRPr="00E67A4C" w:rsidRDefault="005D6B52" w:rsidP="009E4D4E">
      <w:pPr>
        <w:spacing w:after="40"/>
        <w:jc w:val="both"/>
        <w:rPr>
          <w:lang w:eastAsia="zh-CN" w:bidi="th-TH"/>
        </w:rPr>
      </w:pPr>
    </w:p>
    <w:p w14:paraId="23CFE7A8" w14:textId="00E8CAD5" w:rsidR="009E4D4E" w:rsidRDefault="00F92745" w:rsidP="005D6B52">
      <w:pPr>
        <w:spacing w:after="40"/>
        <w:jc w:val="both"/>
      </w:pPr>
      <w:r>
        <w:rPr>
          <w:lang w:eastAsia="zh-CN" w:bidi="th-TH"/>
        </w:rPr>
        <w:t xml:space="preserve">For </w:t>
      </w:r>
      <w:r w:rsidR="00FE7DF0" w:rsidRPr="00E67A4C">
        <w:rPr>
          <w:lang w:eastAsia="zh-CN" w:bidi="th-TH"/>
        </w:rPr>
        <w:t>Option 4</w:t>
      </w:r>
      <w:r>
        <w:rPr>
          <w:lang w:eastAsia="zh-CN" w:bidi="th-TH"/>
        </w:rPr>
        <w:t xml:space="preserve">, </w:t>
      </w:r>
      <w:r w:rsidRPr="00FE5316">
        <w:rPr>
          <w:lang w:eastAsia="zh-CN" w:bidi="th-TH"/>
        </w:rPr>
        <w:t>a</w:t>
      </w:r>
      <w:r w:rsidR="009E4D4E" w:rsidRPr="00FE5316">
        <w:t>nticipated benefits</w:t>
      </w:r>
      <w:r w:rsidR="009E4D4E" w:rsidRPr="00F92745">
        <w:t xml:space="preserve"> </w:t>
      </w:r>
      <w:r w:rsidRPr="00F92745">
        <w:t xml:space="preserve">(compared to the status quo) </w:t>
      </w:r>
      <w:r w:rsidR="00CF5BD5" w:rsidRPr="00F92745">
        <w:t>for consumers</w:t>
      </w:r>
      <w:r w:rsidRPr="00F92745">
        <w:t xml:space="preserve"> include</w:t>
      </w:r>
      <w:r w:rsidR="009E4D4E" w:rsidRPr="00F92745">
        <w:t>:</w:t>
      </w:r>
    </w:p>
    <w:p w14:paraId="593A5443" w14:textId="77777777" w:rsidR="00F92745" w:rsidRPr="00F92745" w:rsidRDefault="00F92745" w:rsidP="00F92745">
      <w:pPr>
        <w:keepNext/>
        <w:numPr>
          <w:ilvl w:val="0"/>
          <w:numId w:val="8"/>
        </w:numPr>
        <w:spacing w:after="40"/>
        <w:rPr>
          <w:lang w:eastAsia="zh-CN" w:bidi="th-TH"/>
        </w:rPr>
      </w:pPr>
      <w:r w:rsidRPr="00FE5316">
        <w:rPr>
          <w:b/>
          <w:bCs/>
          <w:lang w:eastAsia="zh-CN" w:bidi="th-TH"/>
        </w:rPr>
        <w:t>New Zealand consumers</w:t>
      </w:r>
      <w:r w:rsidRPr="00F92745">
        <w:rPr>
          <w:lang w:eastAsia="zh-CN" w:bidi="th-TH"/>
        </w:rPr>
        <w:t xml:space="preserve"> may have access to energy information at the point-of-sale.</w:t>
      </w:r>
    </w:p>
    <w:p w14:paraId="7DBA06D8" w14:textId="0B0A3987" w:rsidR="00F92745" w:rsidRDefault="00F92745" w:rsidP="00F92745">
      <w:pPr>
        <w:pStyle w:val="ListParagraph"/>
        <w:numPr>
          <w:ilvl w:val="0"/>
          <w:numId w:val="8"/>
        </w:numPr>
        <w:spacing w:after="40"/>
        <w:jc w:val="both"/>
      </w:pPr>
      <w:r w:rsidRPr="00FE5316">
        <w:rPr>
          <w:b/>
          <w:bCs/>
          <w:lang w:eastAsia="zh-CN" w:bidi="th-TH"/>
        </w:rPr>
        <w:t>Australian consumers</w:t>
      </w:r>
      <w:r w:rsidRPr="00F92745">
        <w:rPr>
          <w:u w:val="single"/>
          <w:lang w:eastAsia="zh-CN" w:bidi="th-TH"/>
        </w:rPr>
        <w:t xml:space="preserve"> </w:t>
      </w:r>
      <w:r w:rsidRPr="00F92745">
        <w:rPr>
          <w:lang w:eastAsia="zh-CN" w:bidi="th-TH"/>
        </w:rPr>
        <w:t>may have access to energy information at the point-of-sale in more businesses that sell standard food items; and access to energy information for more food and drinks.</w:t>
      </w:r>
    </w:p>
    <w:p w14:paraId="224DAE9C" w14:textId="193063DA" w:rsidR="00F92745" w:rsidRDefault="00F92745" w:rsidP="00F92745">
      <w:pPr>
        <w:pStyle w:val="ListParagraph"/>
        <w:spacing w:after="40"/>
        <w:ind w:left="360"/>
        <w:jc w:val="both"/>
        <w:rPr>
          <w:u w:val="single"/>
          <w:lang w:eastAsia="zh-CN" w:bidi="th-TH"/>
        </w:rPr>
      </w:pPr>
    </w:p>
    <w:p w14:paraId="7073591D" w14:textId="114648A8" w:rsidR="00F92745" w:rsidRDefault="00F92745" w:rsidP="00F92745">
      <w:pPr>
        <w:spacing w:after="40"/>
        <w:jc w:val="both"/>
        <w:rPr>
          <w:rFonts w:eastAsia="Calibri"/>
        </w:rPr>
      </w:pPr>
      <w:r w:rsidRPr="00350047">
        <w:t xml:space="preserve">For Option 4, </w:t>
      </w:r>
      <w:r w:rsidRPr="00FE5316">
        <w:t>an anticipated cost</w:t>
      </w:r>
      <w:r w:rsidRPr="00350047">
        <w:t xml:space="preserve"> (compared to the status quo) for</w:t>
      </w:r>
      <w:r>
        <w:t xml:space="preserve"> consumers includes </w:t>
      </w:r>
      <w:r>
        <w:rPr>
          <w:rFonts w:eastAsia="Calibri"/>
        </w:rPr>
        <w:t>i</w:t>
      </w:r>
      <w:r w:rsidRPr="00E67A4C">
        <w:rPr>
          <w:rFonts w:eastAsia="Calibri"/>
        </w:rPr>
        <w:t>ncreased confusion about energy information if any enhancements are implemented inconsistently.</w:t>
      </w:r>
    </w:p>
    <w:p w14:paraId="505E05F5" w14:textId="77777777" w:rsidR="00F92745" w:rsidRPr="00F92745" w:rsidRDefault="00F92745" w:rsidP="00F92745">
      <w:pPr>
        <w:spacing w:after="40"/>
        <w:jc w:val="both"/>
      </w:pPr>
    </w:p>
    <w:p w14:paraId="4F7FFB87" w14:textId="068F5577" w:rsidR="00752528" w:rsidRPr="00812051" w:rsidRDefault="00752528" w:rsidP="00812051">
      <w:pPr>
        <w:pStyle w:val="Heading4"/>
        <w:spacing w:before="120"/>
      </w:pPr>
      <w:r w:rsidRPr="00812051">
        <w:t>5.5.3 Benefits and risks associated with implementation mechanism</w:t>
      </w:r>
    </w:p>
    <w:p w14:paraId="64715FA4" w14:textId="67C70133" w:rsidR="00A27CFD" w:rsidRPr="00E67A4C" w:rsidRDefault="00A27CFD" w:rsidP="00F74699">
      <w:pPr>
        <w:spacing w:after="40"/>
        <w:jc w:val="both"/>
      </w:pPr>
      <w:r w:rsidRPr="00E67A4C">
        <w:t xml:space="preserve">Businesses voluntarily implementing the menu labelling enhancements could support their customers to make healthier choices. </w:t>
      </w:r>
      <w:r w:rsidR="004C1217" w:rsidRPr="00E67A4C">
        <w:t xml:space="preserve">However, </w:t>
      </w:r>
      <w:r w:rsidR="001D164E" w:rsidRPr="00E67A4C">
        <w:t>as a voluntary mechanism, it is uncertain th</w:t>
      </w:r>
      <w:r w:rsidR="0008673C" w:rsidRPr="00E67A4C">
        <w:t xml:space="preserve">at businesses would provide </w:t>
      </w:r>
      <w:r w:rsidR="000C55C9" w:rsidRPr="00E67A4C">
        <w:t xml:space="preserve">consumers </w:t>
      </w:r>
      <w:r w:rsidR="0008673C" w:rsidRPr="00E67A4C">
        <w:t xml:space="preserve">with enough </w:t>
      </w:r>
      <w:r w:rsidR="000C55C9" w:rsidRPr="00E67A4C">
        <w:t xml:space="preserve">information </w:t>
      </w:r>
      <w:r w:rsidR="00B739F3" w:rsidRPr="00E67A4C">
        <w:t xml:space="preserve">to </w:t>
      </w:r>
      <w:r w:rsidR="0008673C" w:rsidRPr="00E67A4C">
        <w:t xml:space="preserve">allow them to </w:t>
      </w:r>
      <w:r w:rsidR="00B739F3" w:rsidRPr="00E67A4C">
        <w:t xml:space="preserve">make healthier choices </w:t>
      </w:r>
      <w:r w:rsidR="000C55C9" w:rsidRPr="00E67A4C">
        <w:t>at the point-of-sale.</w:t>
      </w:r>
    </w:p>
    <w:p w14:paraId="7C5F6D1C" w14:textId="77777777" w:rsidR="00A27CFD" w:rsidRPr="00E67A4C" w:rsidRDefault="00A27CFD" w:rsidP="00F74699">
      <w:pPr>
        <w:spacing w:after="40"/>
        <w:jc w:val="both"/>
      </w:pPr>
    </w:p>
    <w:p w14:paraId="25533A39" w14:textId="77950328" w:rsidR="00E3774B" w:rsidRPr="00E67A4C" w:rsidRDefault="00F74699" w:rsidP="00F74699">
      <w:pPr>
        <w:spacing w:after="40"/>
        <w:jc w:val="both"/>
      </w:pPr>
      <w:r w:rsidRPr="00E67A4C">
        <w:t xml:space="preserve">Option 4 lacks the mandatory onus of a regulatory arrangement. </w:t>
      </w:r>
      <w:r w:rsidR="00E3774B" w:rsidRPr="00E67A4C">
        <w:t>As a voluntary mechanism, there are</w:t>
      </w:r>
      <w:r w:rsidR="0008673C" w:rsidRPr="00E67A4C">
        <w:t xml:space="preserve"> </w:t>
      </w:r>
      <w:r w:rsidR="00E3774B" w:rsidRPr="00E67A4C">
        <w:t xml:space="preserve">risks </w:t>
      </w:r>
      <w:r w:rsidR="0042334F" w:rsidRPr="00E67A4C">
        <w:t>such as</w:t>
      </w:r>
      <w:r w:rsidR="00E3774B" w:rsidRPr="00E67A4C">
        <w:t>:</w:t>
      </w:r>
    </w:p>
    <w:p w14:paraId="33C732F3" w14:textId="36A0E68D" w:rsidR="00F74699" w:rsidRPr="00E67A4C" w:rsidRDefault="00F74699" w:rsidP="00F74699">
      <w:pPr>
        <w:pStyle w:val="ListParagraph"/>
        <w:numPr>
          <w:ilvl w:val="0"/>
          <w:numId w:val="33"/>
        </w:numPr>
        <w:spacing w:after="40"/>
        <w:jc w:val="both"/>
      </w:pPr>
      <w:r w:rsidRPr="00E67A4C">
        <w:t>less adoption</w:t>
      </w:r>
      <w:r w:rsidR="0053433A" w:rsidRPr="00E67A4C">
        <w:t xml:space="preserve"> and longer to adopt th</w:t>
      </w:r>
      <w:r w:rsidRPr="00E67A4C">
        <w:t xml:space="preserve">e enhancements to the menu labelling system by industry participants </w:t>
      </w:r>
      <w:r w:rsidR="00E3774B" w:rsidRPr="00E67A4C">
        <w:t>compared to</w:t>
      </w:r>
      <w:r w:rsidRPr="00E67A4C">
        <w:t xml:space="preserve"> what can be achieved under a regulatory arrangement</w:t>
      </w:r>
      <w:r w:rsidR="00E3774B" w:rsidRPr="00E67A4C">
        <w:t>;</w:t>
      </w:r>
    </w:p>
    <w:p w14:paraId="13A8F63D" w14:textId="79AC8FFD" w:rsidR="00863DCF" w:rsidRPr="00E67A4C" w:rsidRDefault="00E3774B" w:rsidP="00F74699">
      <w:pPr>
        <w:pStyle w:val="ListParagraph"/>
        <w:numPr>
          <w:ilvl w:val="0"/>
          <w:numId w:val="33"/>
        </w:numPr>
        <w:spacing w:after="40"/>
        <w:jc w:val="both"/>
      </w:pPr>
      <w:r w:rsidRPr="00E67A4C">
        <w:rPr>
          <w:lang w:eastAsia="zh-CN" w:bidi="th-TH"/>
        </w:rPr>
        <w:t>the current inconsistencies</w:t>
      </w:r>
      <w:r w:rsidR="0042334F" w:rsidRPr="00E67A4C">
        <w:rPr>
          <w:lang w:eastAsia="zh-CN" w:bidi="th-TH"/>
        </w:rPr>
        <w:t xml:space="preserve"> </w:t>
      </w:r>
      <w:r w:rsidRPr="00E67A4C">
        <w:rPr>
          <w:lang w:eastAsia="zh-CN" w:bidi="th-TH"/>
        </w:rPr>
        <w:t>remain</w:t>
      </w:r>
      <w:r w:rsidR="0042334F" w:rsidRPr="00E67A4C">
        <w:rPr>
          <w:lang w:eastAsia="zh-CN" w:bidi="th-TH"/>
        </w:rPr>
        <w:t>ing</w:t>
      </w:r>
      <w:r w:rsidRPr="00E67A4C">
        <w:rPr>
          <w:lang w:eastAsia="zh-CN" w:bidi="th-TH"/>
        </w:rPr>
        <w:t>, and additional inconsistencies emerg</w:t>
      </w:r>
      <w:r w:rsidR="0042334F" w:rsidRPr="00E67A4C">
        <w:rPr>
          <w:lang w:eastAsia="zh-CN" w:bidi="th-TH"/>
        </w:rPr>
        <w:t>ing</w:t>
      </w:r>
      <w:r w:rsidRPr="00E67A4C">
        <w:rPr>
          <w:lang w:eastAsia="zh-CN" w:bidi="th-TH"/>
        </w:rPr>
        <w:t xml:space="preserve"> depending on how businesses implement any enhancements</w:t>
      </w:r>
      <w:r w:rsidR="007D792C" w:rsidRPr="00E67A4C">
        <w:rPr>
          <w:lang w:eastAsia="zh-CN" w:bidi="th-TH"/>
        </w:rPr>
        <w:t>, leading to proliferation of different menu labelling system;</w:t>
      </w:r>
    </w:p>
    <w:p w14:paraId="75441575" w14:textId="77777777" w:rsidR="0037336E" w:rsidRPr="00E67A4C" w:rsidRDefault="00863DCF" w:rsidP="00F74699">
      <w:pPr>
        <w:pStyle w:val="ListParagraph"/>
        <w:numPr>
          <w:ilvl w:val="0"/>
          <w:numId w:val="33"/>
        </w:numPr>
        <w:spacing w:after="40"/>
        <w:jc w:val="both"/>
      </w:pPr>
      <w:r w:rsidRPr="00E67A4C">
        <w:rPr>
          <w:lang w:eastAsia="zh-CN" w:bidi="th-TH"/>
        </w:rPr>
        <w:t>no creation of a level playing field for businesses selling standard food items</w:t>
      </w:r>
      <w:r w:rsidR="0037336E" w:rsidRPr="00E67A4C">
        <w:rPr>
          <w:lang w:eastAsia="zh-CN" w:bidi="th-TH"/>
        </w:rPr>
        <w:t xml:space="preserve">; </w:t>
      </w:r>
    </w:p>
    <w:p w14:paraId="4537EF43" w14:textId="65AB5A44" w:rsidR="00752528" w:rsidRPr="00E67A4C" w:rsidRDefault="001511F5" w:rsidP="00752528">
      <w:pPr>
        <w:pStyle w:val="ListParagraph"/>
        <w:numPr>
          <w:ilvl w:val="0"/>
          <w:numId w:val="33"/>
        </w:numPr>
        <w:spacing w:after="40"/>
        <w:jc w:val="both"/>
      </w:pPr>
      <w:r w:rsidRPr="00E67A4C">
        <w:t xml:space="preserve">some </w:t>
      </w:r>
      <w:r w:rsidR="00E3774B" w:rsidRPr="00E67A4C">
        <w:t>businesses</w:t>
      </w:r>
      <w:r w:rsidR="001049FC" w:rsidRPr="00E67A4C">
        <w:t xml:space="preserve"> implementing an amended arrangement that favours labelling </w:t>
      </w:r>
      <w:r w:rsidR="00006738" w:rsidRPr="00E67A4C">
        <w:t>for</w:t>
      </w:r>
      <w:r w:rsidR="001049FC" w:rsidRPr="00E67A4C">
        <w:t xml:space="preserve"> less</w:t>
      </w:r>
      <w:r w:rsidR="0037336E" w:rsidRPr="00E67A4C">
        <w:t xml:space="preserve"> energy-dense</w:t>
      </w:r>
      <w:r w:rsidR="001049FC" w:rsidRPr="00E67A4C">
        <w:t xml:space="preserve"> product</w:t>
      </w:r>
      <w:r w:rsidR="0037336E" w:rsidRPr="00E67A4C">
        <w:t>s</w:t>
      </w:r>
      <w:r w:rsidR="00006738" w:rsidRPr="00E67A4C">
        <w:t xml:space="preserve">, rather than all menu items, leading to reduced </w:t>
      </w:r>
      <w:r w:rsidR="001049FC" w:rsidRPr="00E67A4C">
        <w:t xml:space="preserve">transparency of information </w:t>
      </w:r>
      <w:r w:rsidR="00464346" w:rsidRPr="00E67A4C">
        <w:t xml:space="preserve">about standard food items </w:t>
      </w:r>
      <w:r w:rsidR="001049FC" w:rsidRPr="00E67A4C">
        <w:t>communicated to consumers.</w:t>
      </w:r>
    </w:p>
    <w:p w14:paraId="3FC7C335" w14:textId="08C33E1C" w:rsidR="00752528" w:rsidRPr="00E67A4C" w:rsidRDefault="00752528" w:rsidP="007A36AE"/>
    <w:p w14:paraId="4532764A" w14:textId="57CAAB20" w:rsidR="00B019FF" w:rsidRPr="00E67A4C" w:rsidRDefault="00F03C0F" w:rsidP="00C87257">
      <w:pPr>
        <w:jc w:val="both"/>
      </w:pPr>
      <w:r w:rsidRPr="00E67A4C">
        <w:t xml:space="preserve">Without a </w:t>
      </w:r>
      <w:r w:rsidR="00C87257" w:rsidRPr="00E67A4C">
        <w:t xml:space="preserve">bi-national, or state and territory-based </w:t>
      </w:r>
      <w:r w:rsidRPr="00E67A4C">
        <w:t xml:space="preserve">regulatory framework, </w:t>
      </w:r>
      <w:r w:rsidR="00C87257" w:rsidRPr="00E67A4C">
        <w:t>there is not an existing well-resourced, co-ordinated approach to work with industry and encourage businesses to implement enhancements to menu labelling.</w:t>
      </w:r>
      <w:r w:rsidR="009F2430" w:rsidRPr="00E67A4C">
        <w:t xml:space="preserve"> There is unlikely to be </w:t>
      </w:r>
      <w:r w:rsidR="00CF4ED4" w:rsidRPr="00E67A4C">
        <w:t>implementation support from government.</w:t>
      </w:r>
    </w:p>
    <w:p w14:paraId="1DCD5CB0" w14:textId="7BB35D42" w:rsidR="00B019FF" w:rsidRDefault="00B019FF" w:rsidP="007A36AE"/>
    <w:p w14:paraId="16B11C8A" w14:textId="0A1CB9FC" w:rsidR="00DE1C9E" w:rsidRPr="00E67A4C" w:rsidRDefault="0096577F" w:rsidP="00246032">
      <w:pPr>
        <w:pStyle w:val="Heading3"/>
      </w:pPr>
      <w:bookmarkStart w:id="76" w:name="_Toc41900515"/>
      <w:bookmarkStart w:id="77" w:name="_Toc51165286"/>
      <w:r w:rsidRPr="00E67A4C">
        <w:t>5.</w:t>
      </w:r>
      <w:r w:rsidR="005B2425" w:rsidRPr="00E67A4C">
        <w:t>6</w:t>
      </w:r>
      <w:r w:rsidRPr="00E67A4C">
        <w:t xml:space="preserve"> </w:t>
      </w:r>
      <w:bookmarkEnd w:id="76"/>
      <w:r w:rsidR="000A2A27" w:rsidRPr="00E67A4C">
        <w:t>Complementary strategies</w:t>
      </w:r>
      <w:bookmarkEnd w:id="77"/>
    </w:p>
    <w:p w14:paraId="54C300E4" w14:textId="794CED08" w:rsidR="008D58CE" w:rsidRPr="00E67A4C" w:rsidRDefault="00BC53B8" w:rsidP="008D58CE">
      <w:pPr>
        <w:spacing w:after="40"/>
        <w:jc w:val="both"/>
      </w:pPr>
      <w:r w:rsidRPr="00E67A4C">
        <w:rPr>
          <w:lang w:eastAsia="zh-CN" w:bidi="th-TH"/>
        </w:rPr>
        <w:t>Consumer education is required to maximise the effectiveness of menu labelling</w:t>
      </w:r>
      <w:r w:rsidR="00F574FE" w:rsidRPr="00E67A4C">
        <w:rPr>
          <w:lang w:eastAsia="zh-CN" w:bidi="th-TH"/>
        </w:rPr>
        <w:t xml:space="preserve"> in supporting </w:t>
      </w:r>
      <w:r w:rsidR="00896178" w:rsidRPr="00E67A4C">
        <w:rPr>
          <w:lang w:eastAsia="zh-CN" w:bidi="th-TH"/>
        </w:rPr>
        <w:t>consumer choice</w:t>
      </w:r>
      <w:r w:rsidRPr="00E67A4C">
        <w:rPr>
          <w:lang w:eastAsia="zh-CN" w:bidi="th-TH"/>
        </w:rPr>
        <w:t>.</w:t>
      </w:r>
      <w:r w:rsidR="008D58CE" w:rsidRPr="00E67A4C">
        <w:t xml:space="preserve"> Providing consumers with a tool (i.e. menu labelling) and the means to understand how to use that tool to make healthier food choice can help in addressing the health system impacts and costs noted above. </w:t>
      </w:r>
    </w:p>
    <w:p w14:paraId="2EDF9355" w14:textId="77777777" w:rsidR="00B02813" w:rsidRPr="00E67A4C" w:rsidRDefault="00B02813" w:rsidP="00076C78"/>
    <w:p w14:paraId="1A7CFF54" w14:textId="1D19B49E" w:rsidR="00CB46C2" w:rsidRPr="00812051" w:rsidRDefault="00CB46C2" w:rsidP="00812051">
      <w:pPr>
        <w:pStyle w:val="Heading4"/>
        <w:spacing w:before="120"/>
      </w:pPr>
      <w:r w:rsidRPr="00812051">
        <w:t>5.</w:t>
      </w:r>
      <w:r w:rsidR="005B2425" w:rsidRPr="00812051">
        <w:t>6</w:t>
      </w:r>
      <w:r w:rsidRPr="00812051">
        <w:t>.1 Impacts on Australian and New Zealand Food Industr</w:t>
      </w:r>
      <w:r w:rsidR="00E04B10" w:rsidRPr="00812051">
        <w:t>ies</w:t>
      </w:r>
    </w:p>
    <w:p w14:paraId="08CA3744" w14:textId="5915283D" w:rsidR="00B82C06" w:rsidRDefault="00B82C06" w:rsidP="00F92745">
      <w:r w:rsidRPr="00FE5316">
        <w:t xml:space="preserve">An anticipated benefit (compared to the status quo) of consumer education for food industries is that businesses </w:t>
      </w:r>
      <w:r w:rsidRPr="00FE5316">
        <w:rPr>
          <w:rFonts w:eastAsia="Calibri"/>
        </w:rPr>
        <w:t>may experience changes in consumer demand and therefore revenue growth if sales of healthier choices rise because of education.</w:t>
      </w:r>
      <w:r w:rsidR="004E3E67">
        <w:rPr>
          <w:rFonts w:eastAsia="Calibri"/>
        </w:rPr>
        <w:t xml:space="preserve"> </w:t>
      </w:r>
      <w:r w:rsidRPr="00FE5316">
        <w:t xml:space="preserve">Conversely, an anticipated cost (compared to the status quo) of consumer education for food industries is that </w:t>
      </w:r>
      <w:r w:rsidRPr="00FE5316">
        <w:rPr>
          <w:rFonts w:eastAsia="Calibri"/>
        </w:rPr>
        <w:t>businesses may experience</w:t>
      </w:r>
      <w:r w:rsidRPr="00E67A4C">
        <w:rPr>
          <w:rFonts w:eastAsia="Calibri"/>
        </w:rPr>
        <w:t xml:space="preserve"> reduced revenue if consumers’ purchasing patterns change because of education.</w:t>
      </w:r>
    </w:p>
    <w:p w14:paraId="50F65EC5" w14:textId="7B039F02" w:rsidR="007A4921" w:rsidRPr="00812051" w:rsidRDefault="007A4921" w:rsidP="00812051">
      <w:pPr>
        <w:pStyle w:val="Heading4"/>
        <w:spacing w:before="120"/>
      </w:pPr>
      <w:r w:rsidRPr="00812051">
        <w:lastRenderedPageBreak/>
        <w:t>5.</w:t>
      </w:r>
      <w:r w:rsidR="005B2425" w:rsidRPr="00812051">
        <w:t>6</w:t>
      </w:r>
      <w:r w:rsidRPr="00812051">
        <w:t>.</w:t>
      </w:r>
      <w:r w:rsidR="00CB46C2" w:rsidRPr="00812051">
        <w:t>2</w:t>
      </w:r>
      <w:r w:rsidRPr="00812051">
        <w:t xml:space="preserve"> Impacts on Australian and New Zealand Consumers</w:t>
      </w:r>
    </w:p>
    <w:p w14:paraId="3D15931F" w14:textId="514E5C2D" w:rsidR="002C480D" w:rsidRPr="006D00B4" w:rsidRDefault="002C480D" w:rsidP="002C480D">
      <w:pPr>
        <w:spacing w:after="40"/>
        <w:jc w:val="both"/>
      </w:pPr>
      <w:r w:rsidRPr="00FE5316">
        <w:t>Anticipated benefits</w:t>
      </w:r>
      <w:r w:rsidRPr="006D00B4">
        <w:t xml:space="preserve"> </w:t>
      </w:r>
      <w:r w:rsidR="00B82C06" w:rsidRPr="006D00B4">
        <w:t>(compared to the status quo) of consumer education for</w:t>
      </w:r>
      <w:r w:rsidR="003C7CDD" w:rsidRPr="006D00B4">
        <w:t xml:space="preserve"> consumers</w:t>
      </w:r>
      <w:r w:rsidR="00B82C06" w:rsidRPr="006D00B4">
        <w:t xml:space="preserve"> include</w:t>
      </w:r>
      <w:r w:rsidRPr="006D00B4">
        <w:t>:</w:t>
      </w:r>
    </w:p>
    <w:p w14:paraId="282223B1" w14:textId="77777777" w:rsidR="00B82C06" w:rsidRPr="00E67A4C" w:rsidRDefault="00B82C06" w:rsidP="00B82C06">
      <w:pPr>
        <w:keepNext/>
        <w:numPr>
          <w:ilvl w:val="0"/>
          <w:numId w:val="8"/>
        </w:numPr>
        <w:spacing w:after="40"/>
        <w:rPr>
          <w:lang w:eastAsia="zh-CN" w:bidi="th-TH"/>
        </w:rPr>
      </w:pPr>
      <w:r w:rsidRPr="00E67A4C">
        <w:rPr>
          <w:lang w:eastAsia="zh-CN" w:bidi="th-TH"/>
        </w:rPr>
        <w:t>Consumers may have an improved understanding of kilojoules and the 8700kJ average daily intake; greater opportunities to learn how many kilojoules they require; a greater awareness of healthier ready-to-eat food choices; and support to make healthier food purchasing decisions.</w:t>
      </w:r>
    </w:p>
    <w:p w14:paraId="3991C43D" w14:textId="2E9A1A2E" w:rsidR="00B82C06" w:rsidRDefault="00B82C06" w:rsidP="00B82C06">
      <w:pPr>
        <w:pStyle w:val="ListParagraph"/>
        <w:numPr>
          <w:ilvl w:val="0"/>
          <w:numId w:val="8"/>
        </w:numPr>
        <w:spacing w:after="40"/>
        <w:jc w:val="both"/>
      </w:pPr>
      <w:r w:rsidRPr="00E67A4C">
        <w:rPr>
          <w:lang w:eastAsia="zh-CN" w:bidi="th-TH"/>
        </w:rPr>
        <w:t>Consumers may have a better awareness of menu labelling; and an improved understanding how to interpret and use energy information to make healthier food choices.</w:t>
      </w:r>
    </w:p>
    <w:p w14:paraId="68EB2310" w14:textId="0CEA1A16" w:rsidR="00B82C06" w:rsidRDefault="00B82C06" w:rsidP="00B82C06">
      <w:pPr>
        <w:spacing w:after="40"/>
        <w:jc w:val="both"/>
      </w:pPr>
    </w:p>
    <w:p w14:paraId="0BF77FB5" w14:textId="1D817957" w:rsidR="00B82C06" w:rsidRDefault="00B82C06" w:rsidP="00B82C06">
      <w:pPr>
        <w:spacing w:after="40"/>
        <w:jc w:val="both"/>
      </w:pPr>
      <w:r>
        <w:t xml:space="preserve">No costs of consumer education for consumers have been </w:t>
      </w:r>
      <w:r w:rsidR="006D00B4">
        <w:t>anticipated</w:t>
      </w:r>
      <w:r>
        <w:t>.</w:t>
      </w:r>
    </w:p>
    <w:p w14:paraId="48BB19AC" w14:textId="77777777" w:rsidR="00B02813" w:rsidRPr="00E67A4C" w:rsidRDefault="00B02813" w:rsidP="007A4921"/>
    <w:p w14:paraId="5F667D62" w14:textId="64DAA2D1" w:rsidR="00DE2FB8" w:rsidRPr="00E67A4C" w:rsidRDefault="00DE2FB8" w:rsidP="00E75D97">
      <w:pPr>
        <w:pBdr>
          <w:top w:val="single" w:sz="4" w:space="1" w:color="auto"/>
          <w:left w:val="single" w:sz="4" w:space="1" w:color="auto"/>
          <w:bottom w:val="single" w:sz="4" w:space="1" w:color="auto"/>
          <w:right w:val="single" w:sz="4" w:space="1" w:color="auto"/>
        </w:pBdr>
        <w:spacing w:after="40"/>
        <w:jc w:val="both"/>
      </w:pPr>
      <w:r w:rsidRPr="00E67A4C">
        <w:rPr>
          <w:b/>
        </w:rPr>
        <w:t xml:space="preserve">Consultation question </w:t>
      </w:r>
      <w:r w:rsidR="00474DD0" w:rsidRPr="00E67A4C">
        <w:rPr>
          <w:b/>
        </w:rPr>
        <w:t>1</w:t>
      </w:r>
      <w:r w:rsidR="00E47079" w:rsidRPr="00E67A4C">
        <w:rPr>
          <w:b/>
        </w:rPr>
        <w:t>7</w:t>
      </w:r>
      <w:r w:rsidRPr="00E67A4C">
        <w:rPr>
          <w:b/>
        </w:rPr>
        <w:t xml:space="preserve">: </w:t>
      </w:r>
      <w:r w:rsidRPr="00E67A4C">
        <w:t xml:space="preserve"> Are</w:t>
      </w:r>
      <w:r w:rsidR="00B86E0D" w:rsidRPr="00E67A4C">
        <w:t xml:space="preserve"> the </w:t>
      </w:r>
      <w:r w:rsidR="001128B3" w:rsidRPr="00E67A4C">
        <w:t xml:space="preserve">benefits and costs associated with the </w:t>
      </w:r>
      <w:r w:rsidR="00041946" w:rsidRPr="00E67A4C">
        <w:t xml:space="preserve">four </w:t>
      </w:r>
      <w:r w:rsidR="001128B3" w:rsidRPr="00E67A4C">
        <w:t>proposed option</w:t>
      </w:r>
      <w:r w:rsidR="00761709" w:rsidRPr="00E67A4C">
        <w:t>s</w:t>
      </w:r>
      <w:r w:rsidR="000D67B4" w:rsidRPr="00E67A4C">
        <w:t xml:space="preserve"> and the complementary strategies</w:t>
      </w:r>
      <w:r w:rsidR="001128B3" w:rsidRPr="00E67A4C">
        <w:t xml:space="preserve"> accurate</w:t>
      </w:r>
      <w:r w:rsidR="00C965F3" w:rsidRPr="00E67A4C">
        <w:t xml:space="preserve"> and </w:t>
      </w:r>
      <w:r w:rsidR="001128B3" w:rsidRPr="00E67A4C">
        <w:t xml:space="preserve">are </w:t>
      </w:r>
      <w:r w:rsidRPr="00E67A4C">
        <w:t>there any other benefits</w:t>
      </w:r>
      <w:r w:rsidR="00796733" w:rsidRPr="00E67A4C">
        <w:t>,</w:t>
      </w:r>
      <w:r w:rsidRPr="00E67A4C">
        <w:t xml:space="preserve"> costs</w:t>
      </w:r>
      <w:r w:rsidR="00796733" w:rsidRPr="00E67A4C">
        <w:t xml:space="preserve"> or unintended consequences</w:t>
      </w:r>
      <w:r w:rsidRPr="00E67A4C">
        <w:t xml:space="preserve"> which have not been identified above?</w:t>
      </w:r>
      <w:r w:rsidR="00C965F3" w:rsidRPr="00E67A4C">
        <w:t xml:space="preserve"> If so, please describe?</w:t>
      </w:r>
    </w:p>
    <w:p w14:paraId="28BA1435" w14:textId="5A94378F" w:rsidR="0049663A" w:rsidRPr="00E67A4C" w:rsidRDefault="0049663A" w:rsidP="00860A47">
      <w:pPr>
        <w:spacing w:after="40"/>
        <w:jc w:val="both"/>
        <w:rPr>
          <w:rStyle w:val="Heading1Char"/>
          <w:rFonts w:ascii="Times New Roman" w:hAnsi="Times New Roman" w:cs="Times New Roman"/>
          <w:b w:val="0"/>
          <w:szCs w:val="28"/>
        </w:rPr>
      </w:pPr>
      <w:bookmarkStart w:id="78" w:name="_Toc426380837"/>
      <w:bookmarkStart w:id="79" w:name="_Toc426380902"/>
      <w:bookmarkStart w:id="80" w:name="_Toc426380933"/>
      <w:bookmarkEnd w:id="72"/>
      <w:bookmarkEnd w:id="73"/>
      <w:bookmarkEnd w:id="74"/>
    </w:p>
    <w:p w14:paraId="7073A861" w14:textId="5705CC20" w:rsidR="00A2186C" w:rsidRPr="006E3B7E" w:rsidRDefault="006424CE" w:rsidP="00A2186C">
      <w:pPr>
        <w:spacing w:after="40"/>
        <w:jc w:val="both"/>
      </w:pPr>
      <w:r w:rsidRPr="00E67A4C">
        <w:t>An assessment</w:t>
      </w:r>
      <w:r w:rsidR="00A2186C" w:rsidRPr="00E67A4C">
        <w:t xml:space="preserve"> of which option has the greatest net benefit will be undertaken following </w:t>
      </w:r>
      <w:r w:rsidR="000A7A32" w:rsidRPr="006E3B7E">
        <w:t xml:space="preserve">consideration </w:t>
      </w:r>
      <w:r w:rsidR="00A2186C" w:rsidRPr="006E3B7E">
        <w:t>of stakeholder submissions received to this paper.</w:t>
      </w:r>
    </w:p>
    <w:p w14:paraId="1474DD44" w14:textId="77777777" w:rsidR="00467564" w:rsidRPr="006E3B7E" w:rsidRDefault="00467564" w:rsidP="00A2186C">
      <w:pPr>
        <w:spacing w:after="40"/>
        <w:jc w:val="both"/>
      </w:pPr>
    </w:p>
    <w:p w14:paraId="5A35A4F2" w14:textId="58E0B00E" w:rsidR="00467564" w:rsidRPr="006E3B7E" w:rsidRDefault="00467564" w:rsidP="00812051">
      <w:pPr>
        <w:pStyle w:val="Heading3"/>
      </w:pPr>
      <w:bookmarkStart w:id="81" w:name="_Toc51165287"/>
      <w:r w:rsidRPr="006E3B7E">
        <w:t>5.</w:t>
      </w:r>
      <w:r w:rsidR="002E400C" w:rsidRPr="006E3B7E">
        <w:t>7</w:t>
      </w:r>
      <w:r w:rsidRPr="006E3B7E">
        <w:t xml:space="preserve"> Estimated compliance costs and number of affected businesses</w:t>
      </w:r>
      <w:bookmarkEnd w:id="81"/>
    </w:p>
    <w:bookmarkEnd w:id="78"/>
    <w:bookmarkEnd w:id="79"/>
    <w:bookmarkEnd w:id="80"/>
    <w:p w14:paraId="7E717CF0" w14:textId="3A7F3CAC" w:rsidR="00FE6F54" w:rsidRDefault="00FE6F54" w:rsidP="00FE6F54">
      <w:pPr>
        <w:spacing w:after="40"/>
        <w:jc w:val="both"/>
      </w:pPr>
      <w:r w:rsidRPr="006E3B7E">
        <w:t xml:space="preserve">This consultation paper </w:t>
      </w:r>
      <w:r w:rsidR="00733738" w:rsidRPr="006E3B7E">
        <w:t>presents the estimated change in compliance costs (compared to the status quo)</w:t>
      </w:r>
      <w:r w:rsidR="007F18CD" w:rsidRPr="006E3B7E">
        <w:t xml:space="preserve"> for each option</w:t>
      </w:r>
      <w:r w:rsidR="007D66A1" w:rsidRPr="006E3B7E">
        <w:t xml:space="preserve"> in Table </w:t>
      </w:r>
      <w:r w:rsidR="002D45EB" w:rsidRPr="006E3B7E">
        <w:t>4</w:t>
      </w:r>
      <w:r w:rsidR="007D66A1" w:rsidRPr="006E3B7E">
        <w:t xml:space="preserve"> below</w:t>
      </w:r>
      <w:r w:rsidR="007F18CD" w:rsidRPr="006E3B7E">
        <w:t xml:space="preserve">. </w:t>
      </w:r>
      <w:r w:rsidR="003A79BF" w:rsidRPr="006E3B7E">
        <w:t xml:space="preserve">As the </w:t>
      </w:r>
      <w:r w:rsidR="00EC355C" w:rsidRPr="006E3B7E">
        <w:t xml:space="preserve">total </w:t>
      </w:r>
      <w:r w:rsidR="003A79BF" w:rsidRPr="006E3B7E">
        <w:t xml:space="preserve">number of </w:t>
      </w:r>
      <w:r w:rsidR="00EC355C" w:rsidRPr="006E3B7E">
        <w:t xml:space="preserve">businesses and outlets that would be affected by Options 2 to 4 is not known, the change in compliance cost has been presented as cost per standard food outlet. </w:t>
      </w:r>
      <w:r w:rsidR="003A79BF" w:rsidRPr="006E3B7E">
        <w:t xml:space="preserve"> </w:t>
      </w:r>
      <w:r w:rsidR="007F18CD" w:rsidRPr="006E3B7E">
        <w:t xml:space="preserve">FRSC </w:t>
      </w:r>
      <w:r w:rsidRPr="006E3B7E">
        <w:t>seeks views from industry on the estimated start-up and ongoing maintenance costs for menu labelling, and the number of potentially affected businesses.</w:t>
      </w:r>
    </w:p>
    <w:p w14:paraId="31A17BB6" w14:textId="6FC5DA8F" w:rsidR="00812051" w:rsidRDefault="00812051" w:rsidP="00812051">
      <w:pPr>
        <w:spacing w:after="40"/>
        <w:jc w:val="both"/>
      </w:pPr>
    </w:p>
    <w:p w14:paraId="68D8647A" w14:textId="226CAF39" w:rsidR="00812051" w:rsidRPr="006E3B7E" w:rsidRDefault="00812051" w:rsidP="00812051">
      <w:pPr>
        <w:spacing w:after="40"/>
        <w:jc w:val="both"/>
      </w:pPr>
      <w:r w:rsidRPr="006E3B7E">
        <w:t>The following assumptions underpin the cost estimations</w:t>
      </w:r>
      <w:r>
        <w:t xml:space="preserve"> in Table 4</w:t>
      </w:r>
      <w:r w:rsidRPr="006E3B7E">
        <w:t>:</w:t>
      </w:r>
    </w:p>
    <w:p w14:paraId="5093788E" w14:textId="77777777" w:rsidR="00812051" w:rsidRPr="006E3B7E" w:rsidRDefault="00812051" w:rsidP="00812051">
      <w:pPr>
        <w:pStyle w:val="ListParagraph"/>
        <w:numPr>
          <w:ilvl w:val="0"/>
          <w:numId w:val="3"/>
        </w:numPr>
        <w:spacing w:after="40"/>
        <w:ind w:left="360"/>
        <w:jc w:val="both"/>
        <w:rPr>
          <w:lang w:eastAsia="zh-CN" w:bidi="th-TH"/>
        </w:rPr>
      </w:pPr>
      <w:r w:rsidRPr="006E3B7E">
        <w:rPr>
          <w:lang w:eastAsia="zh-CN" w:bidi="th-TH"/>
        </w:rPr>
        <w:t>Based on previously reported industry data</w:t>
      </w:r>
      <w:r w:rsidRPr="006E3B7E">
        <w:rPr>
          <w:rStyle w:val="FootnoteReference"/>
          <w:lang w:eastAsia="zh-CN" w:bidi="th-TH"/>
        </w:rPr>
        <w:footnoteReference w:id="60"/>
      </w:r>
      <w:r w:rsidRPr="006E3B7E">
        <w:rPr>
          <w:lang w:eastAsia="zh-CN" w:bidi="th-TH"/>
        </w:rPr>
        <w:t>, it is estimated that the status quo (Option 1) on average costs an Australian standard food outlet $1,585 (AUD) in start-up costs and a further $560 per annum in maintenance costs. These compliance costs may cover menu design and printing, nutritional analysis, staff training, professional services for external marketing and legal counsel, and record keeping.</w:t>
      </w:r>
    </w:p>
    <w:p w14:paraId="4484D06E" w14:textId="77777777" w:rsidR="00812051" w:rsidRPr="006E3B7E" w:rsidRDefault="00812051" w:rsidP="00812051">
      <w:pPr>
        <w:pStyle w:val="ListParagraph"/>
        <w:numPr>
          <w:ilvl w:val="0"/>
          <w:numId w:val="3"/>
        </w:numPr>
        <w:spacing w:after="40"/>
        <w:ind w:left="360"/>
        <w:jc w:val="both"/>
        <w:rPr>
          <w:lang w:eastAsia="zh-CN" w:bidi="th-TH"/>
        </w:rPr>
      </w:pPr>
      <w:r w:rsidRPr="006E3B7E">
        <w:rPr>
          <w:lang w:eastAsia="zh-CN" w:bidi="th-TH"/>
        </w:rPr>
        <w:t>Over a 10-year period, these start-up and annual maintenance costs average out to $705 (AUD) per year (converted to $740 (NZD)). A two per cent annual inflation rate was applied to the annual maintenance costs in years two to 10.</w:t>
      </w:r>
    </w:p>
    <w:p w14:paraId="363CD491" w14:textId="77777777" w:rsidR="00812051" w:rsidRPr="006E3B7E" w:rsidRDefault="00812051" w:rsidP="00812051">
      <w:pPr>
        <w:pStyle w:val="ListParagraph"/>
        <w:numPr>
          <w:ilvl w:val="0"/>
          <w:numId w:val="3"/>
        </w:numPr>
        <w:spacing w:after="40"/>
        <w:ind w:left="360"/>
        <w:jc w:val="both"/>
        <w:rPr>
          <w:lang w:eastAsia="zh-CN" w:bidi="th-TH"/>
        </w:rPr>
      </w:pPr>
      <w:r w:rsidRPr="006E3B7E">
        <w:rPr>
          <w:lang w:eastAsia="zh-CN" w:bidi="th-TH"/>
        </w:rPr>
        <w:t xml:space="preserve">For Australian businesses already required to implement menu labelling, compliance costs do not include the $1,585 in start-up costs as these have already been incurred (therefore, average $602 (AUD) per year over 10 years). Any costs associated with </w:t>
      </w:r>
      <w:r w:rsidRPr="006E3B7E">
        <w:t>re-designing and reproducing menus and making changes to point-of-sale infrastructure would be covered by the annual maintenance costs.</w:t>
      </w:r>
    </w:p>
    <w:p w14:paraId="56B398E3" w14:textId="77777777" w:rsidR="00812051" w:rsidRPr="006E3B7E" w:rsidRDefault="00812051" w:rsidP="00812051">
      <w:pPr>
        <w:pStyle w:val="ListParagraph"/>
        <w:numPr>
          <w:ilvl w:val="0"/>
          <w:numId w:val="3"/>
        </w:numPr>
        <w:spacing w:after="40"/>
        <w:ind w:left="360"/>
        <w:jc w:val="both"/>
        <w:rPr>
          <w:lang w:eastAsia="zh-CN" w:bidi="th-TH"/>
        </w:rPr>
      </w:pPr>
      <w:r w:rsidRPr="006E3B7E">
        <w:rPr>
          <w:lang w:eastAsia="zh-CN" w:bidi="th-TH"/>
        </w:rPr>
        <w:t xml:space="preserve">When there is a nationally consistent system in place (Option 3), there is an estimated 20 per cent reduction in compliance costs for Australian businesses. This equates to a cost saving of $120 per outlet for Australian businesses with menu labelling, or a cost saving of </w:t>
      </w:r>
      <w:r w:rsidRPr="006E3B7E">
        <w:rPr>
          <w:lang w:eastAsia="zh-CN" w:bidi="th-TH"/>
        </w:rPr>
        <w:lastRenderedPageBreak/>
        <w:t>$141 (and therefore, a cost of $564) for Australian businesses without menu labelling currently in place.</w:t>
      </w:r>
    </w:p>
    <w:p w14:paraId="42FD30FA" w14:textId="77777777" w:rsidR="00812051" w:rsidRPr="00E67A4C" w:rsidRDefault="00812051" w:rsidP="00812051">
      <w:pPr>
        <w:pStyle w:val="ListParagraph"/>
        <w:numPr>
          <w:ilvl w:val="0"/>
          <w:numId w:val="3"/>
        </w:numPr>
        <w:spacing w:after="40"/>
        <w:ind w:left="360"/>
        <w:jc w:val="both"/>
        <w:rPr>
          <w:lang w:eastAsia="zh-CN" w:bidi="th-TH"/>
        </w:rPr>
      </w:pPr>
      <w:r w:rsidRPr="006E3B7E">
        <w:rPr>
          <w:lang w:eastAsia="zh-CN" w:bidi="th-TH"/>
        </w:rPr>
        <w:t>Start-up and maintenance</w:t>
      </w:r>
      <w:r w:rsidRPr="00E67A4C">
        <w:rPr>
          <w:lang w:eastAsia="zh-CN" w:bidi="th-TH"/>
        </w:rPr>
        <w:t xml:space="preserve"> costs will be similar in New Zealand to those in Australia. </w:t>
      </w:r>
    </w:p>
    <w:p w14:paraId="064CD1F9" w14:textId="77777777" w:rsidR="00812051" w:rsidRPr="00E67A4C" w:rsidRDefault="00812051" w:rsidP="00812051">
      <w:pPr>
        <w:pStyle w:val="ListParagraph"/>
        <w:numPr>
          <w:ilvl w:val="0"/>
          <w:numId w:val="3"/>
        </w:numPr>
        <w:spacing w:after="40"/>
        <w:ind w:left="360"/>
        <w:jc w:val="both"/>
        <w:rPr>
          <w:lang w:eastAsia="zh-CN" w:bidi="th-TH"/>
        </w:rPr>
      </w:pPr>
      <w:r w:rsidRPr="00E67A4C">
        <w:rPr>
          <w:lang w:eastAsia="zh-CN" w:bidi="th-TH"/>
        </w:rPr>
        <w:t xml:space="preserve">Start-up and maintenance costs will be the same across business types and individual businesses. </w:t>
      </w:r>
    </w:p>
    <w:p w14:paraId="4C1FE731" w14:textId="77777777" w:rsidR="00812051" w:rsidRPr="00E67A4C" w:rsidRDefault="00812051" w:rsidP="00812051">
      <w:pPr>
        <w:pStyle w:val="ListParagraph"/>
        <w:numPr>
          <w:ilvl w:val="0"/>
          <w:numId w:val="3"/>
        </w:numPr>
        <w:spacing w:after="40"/>
        <w:ind w:left="360"/>
        <w:jc w:val="both"/>
        <w:rPr>
          <w:lang w:eastAsia="zh-CN" w:bidi="th-TH"/>
        </w:rPr>
      </w:pPr>
      <w:r w:rsidRPr="00E67A4C">
        <w:t xml:space="preserve">Costs for Option 2 are conditional on Australian jurisdictions and New Zealand changing or introducing menu labelling. </w:t>
      </w:r>
    </w:p>
    <w:p w14:paraId="7EF5234E" w14:textId="77777777" w:rsidR="00812051" w:rsidRPr="00E67A4C" w:rsidRDefault="00812051" w:rsidP="00812051">
      <w:pPr>
        <w:pStyle w:val="ListParagraph"/>
        <w:numPr>
          <w:ilvl w:val="0"/>
          <w:numId w:val="3"/>
        </w:numPr>
        <w:spacing w:after="40"/>
        <w:ind w:left="360"/>
        <w:jc w:val="both"/>
        <w:rPr>
          <w:lang w:eastAsia="zh-CN" w:bidi="th-TH"/>
        </w:rPr>
      </w:pPr>
      <w:r w:rsidRPr="00E67A4C">
        <w:t>Costs for Option 4 are conditional on Australian and/or New Zealand businesses voluntarily implementing enhancements to menu labelling. While businesses required to implement menu labelling under the status quo are more likely to implement the enhancements, than those businesses not required to implement menu labelling, a cost of voluntarily implementing the menu enhancements has been estimated for all businesses.</w:t>
      </w:r>
    </w:p>
    <w:p w14:paraId="1D5865BE" w14:textId="77777777" w:rsidR="00812051" w:rsidRPr="00E67A4C" w:rsidRDefault="00812051" w:rsidP="00812051">
      <w:pPr>
        <w:pStyle w:val="ListParagraph"/>
        <w:numPr>
          <w:ilvl w:val="0"/>
          <w:numId w:val="3"/>
        </w:numPr>
        <w:spacing w:after="40"/>
        <w:ind w:left="360"/>
        <w:jc w:val="both"/>
        <w:rPr>
          <w:lang w:eastAsia="zh-CN" w:bidi="th-TH"/>
        </w:rPr>
      </w:pPr>
      <w:r w:rsidRPr="00E67A4C">
        <w:rPr>
          <w:lang w:eastAsia="zh-CN" w:bidi="th-TH"/>
        </w:rPr>
        <w:t xml:space="preserve">Industry peak bodies have been considered a community organisation for the purposes of calculating the regulatory burden estimate. In the absence of government implementation support for implementing menu labelling enhancements under Option 4, industry peak bodies may need to provide implementation support to businesses. This has been estimated as an average one hour of support per outlet at a cost of $50 per hour. </w:t>
      </w:r>
    </w:p>
    <w:p w14:paraId="6631A7FC" w14:textId="72CC5CD4" w:rsidR="00862868" w:rsidRDefault="00862868" w:rsidP="00862868">
      <w:pPr>
        <w:spacing w:after="40"/>
        <w:jc w:val="both"/>
      </w:pPr>
    </w:p>
    <w:p w14:paraId="4564699C" w14:textId="77777777" w:rsidR="004E3E67" w:rsidRDefault="004E3E67" w:rsidP="004E3E67">
      <w:pPr>
        <w:spacing w:after="40"/>
        <w:jc w:val="both"/>
      </w:pPr>
      <w:r w:rsidRPr="006E3B7E">
        <w:t xml:space="preserve">Table 4: Estimated change in </w:t>
      </w:r>
      <w:r>
        <w:t xml:space="preserve">annual </w:t>
      </w:r>
      <w:r w:rsidRPr="006E3B7E">
        <w:t>compliance costs</w:t>
      </w:r>
      <w:r w:rsidRPr="00E67A4C">
        <w:t xml:space="preserve">  </w:t>
      </w:r>
    </w:p>
    <w:p w14:paraId="3834716B" w14:textId="77777777" w:rsidR="004E3E67" w:rsidRPr="00E67A4C" w:rsidRDefault="004E3E67" w:rsidP="004E3E67">
      <w:pPr>
        <w:spacing w:after="40"/>
        <w:jc w:val="both"/>
      </w:pPr>
    </w:p>
    <w:tbl>
      <w:tblPr>
        <w:tblStyle w:val="PlainTable3"/>
        <w:tblW w:w="9067" w:type="dxa"/>
        <w:tblLayout w:type="fixed"/>
        <w:tblLook w:val="04A0" w:firstRow="1" w:lastRow="0" w:firstColumn="1" w:lastColumn="0" w:noHBand="0" w:noVBand="1"/>
        <w:tblCaption w:val="Estimated change in annual compliance costs"/>
        <w:tblDescription w:val="7 columns. 1. Option. 2. Australian businesses with menu labelling. 3. Australian businesses without menu labelling. 4. New Zealand businesses. 5. Community organisations. 6. Individuals. 7. Total Change (avergae per outet). 5 rows. 1. Heading. 2. Option 1. 3. Option 2. 4. Option 3. 5. Option 4."/>
      </w:tblPr>
      <w:tblGrid>
        <w:gridCol w:w="1134"/>
        <w:gridCol w:w="1271"/>
        <w:gridCol w:w="1281"/>
        <w:gridCol w:w="1271"/>
        <w:gridCol w:w="1417"/>
        <w:gridCol w:w="1276"/>
        <w:gridCol w:w="1417"/>
      </w:tblGrid>
      <w:tr w:rsidR="004E3E67" w:rsidRPr="00E67A4C" w14:paraId="1485A8C7" w14:textId="77777777" w:rsidTr="00F8152F">
        <w:trPr>
          <w:cnfStyle w:val="100000000000" w:firstRow="1" w:lastRow="0" w:firstColumn="0" w:lastColumn="0" w:oddVBand="0" w:evenVBand="0" w:oddHBand="0" w:evenHBand="0" w:firstRowFirstColumn="0" w:firstRowLastColumn="0" w:lastRowFirstColumn="0" w:lastRowLastColumn="0"/>
          <w:cantSplit/>
          <w:trHeight w:val="1355"/>
          <w:tblHeader/>
        </w:trPr>
        <w:tc>
          <w:tcPr>
            <w:cnfStyle w:val="001000000100" w:firstRow="0" w:lastRow="0" w:firstColumn="1" w:lastColumn="0" w:oddVBand="0" w:evenVBand="0" w:oddHBand="0" w:evenHBand="0" w:firstRowFirstColumn="1" w:firstRowLastColumn="0" w:lastRowFirstColumn="0" w:lastRowLastColumn="0"/>
            <w:tcW w:w="1134" w:type="dxa"/>
          </w:tcPr>
          <w:p w14:paraId="4EEFF75A" w14:textId="77777777" w:rsidR="004E3E67" w:rsidRPr="00B03297" w:rsidRDefault="004E3E67" w:rsidP="00F8152F">
            <w:pPr>
              <w:rPr>
                <w:sz w:val="20"/>
                <w:szCs w:val="20"/>
              </w:rPr>
            </w:pPr>
            <w:r>
              <w:rPr>
                <w:caps w:val="0"/>
                <w:sz w:val="20"/>
                <w:szCs w:val="20"/>
              </w:rPr>
              <w:t>Option</w:t>
            </w:r>
          </w:p>
        </w:tc>
        <w:tc>
          <w:tcPr>
            <w:tcW w:w="1271" w:type="dxa"/>
          </w:tcPr>
          <w:p w14:paraId="66F11D99" w14:textId="77777777" w:rsidR="004E3E67" w:rsidRPr="00B03297" w:rsidRDefault="004E3E67" w:rsidP="00F8152F">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3297">
              <w:rPr>
                <w:caps w:val="0"/>
                <w:sz w:val="20"/>
                <w:szCs w:val="20"/>
              </w:rPr>
              <w:t>Australian Businesses with Menu Labelling *</w:t>
            </w:r>
          </w:p>
        </w:tc>
        <w:tc>
          <w:tcPr>
            <w:tcW w:w="1281" w:type="dxa"/>
          </w:tcPr>
          <w:p w14:paraId="4B09519F" w14:textId="77777777" w:rsidR="004E3E67" w:rsidRPr="00B03297" w:rsidRDefault="004E3E67" w:rsidP="00F8152F">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3297">
              <w:rPr>
                <w:caps w:val="0"/>
                <w:sz w:val="20"/>
                <w:szCs w:val="20"/>
              </w:rPr>
              <w:t>Australian Businesses without Menu Labelling *</w:t>
            </w:r>
          </w:p>
        </w:tc>
        <w:tc>
          <w:tcPr>
            <w:tcW w:w="1271" w:type="dxa"/>
          </w:tcPr>
          <w:p w14:paraId="3F8D0ED6" w14:textId="77777777" w:rsidR="004E3E67" w:rsidRPr="00B03297" w:rsidRDefault="004E3E67" w:rsidP="00F8152F">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3297">
              <w:rPr>
                <w:caps w:val="0"/>
                <w:sz w:val="20"/>
                <w:szCs w:val="20"/>
              </w:rPr>
              <w:t>New Zealand Businesses *</w:t>
            </w:r>
          </w:p>
          <w:p w14:paraId="217F0BEC" w14:textId="77777777" w:rsidR="004E3E67" w:rsidRPr="00B03297" w:rsidRDefault="004E3E67" w:rsidP="00F8152F">
            <w:pPr>
              <w:jc w:val="center"/>
              <w:cnfStyle w:val="100000000000" w:firstRow="1" w:lastRow="0" w:firstColumn="0" w:lastColumn="0" w:oddVBand="0" w:evenVBand="0" w:oddHBand="0" w:evenHBand="0" w:firstRowFirstColumn="0" w:firstRowLastColumn="0" w:lastRowFirstColumn="0" w:lastRowLastColumn="0"/>
              <w:rPr>
                <w:sz w:val="20"/>
                <w:szCs w:val="20"/>
              </w:rPr>
            </w:pPr>
          </w:p>
          <w:p w14:paraId="21F930F5" w14:textId="77777777" w:rsidR="004E3E67" w:rsidRPr="00B03297" w:rsidRDefault="004E3E67" w:rsidP="00F8152F">
            <w:pPr>
              <w:jc w:val="center"/>
              <w:cnfStyle w:val="100000000000" w:firstRow="1" w:lastRow="0" w:firstColumn="0" w:lastColumn="0" w:oddVBand="0" w:evenVBand="0" w:oddHBand="0" w:evenHBand="0" w:firstRowFirstColumn="0" w:firstRowLastColumn="0" w:lastRowFirstColumn="0" w:lastRowLastColumn="0"/>
              <w:rPr>
                <w:sz w:val="20"/>
                <w:szCs w:val="20"/>
                <w:lang w:eastAsia="zh-CN" w:bidi="th-TH"/>
              </w:rPr>
            </w:pPr>
          </w:p>
        </w:tc>
        <w:tc>
          <w:tcPr>
            <w:tcW w:w="1417" w:type="dxa"/>
          </w:tcPr>
          <w:p w14:paraId="6FD7E0C5" w14:textId="77777777" w:rsidR="004E3E67" w:rsidRPr="00B03297" w:rsidRDefault="004E3E67" w:rsidP="00F8152F">
            <w:pPr>
              <w:cnfStyle w:val="100000000000" w:firstRow="1" w:lastRow="0" w:firstColumn="0" w:lastColumn="0" w:oddVBand="0" w:evenVBand="0" w:oddHBand="0" w:evenHBand="0" w:firstRowFirstColumn="0" w:firstRowLastColumn="0" w:lastRowFirstColumn="0" w:lastRowLastColumn="0"/>
              <w:rPr>
                <w:sz w:val="20"/>
                <w:szCs w:val="20"/>
                <w:lang w:eastAsia="zh-CN" w:bidi="th-TH"/>
              </w:rPr>
            </w:pPr>
            <w:r w:rsidRPr="00B03297">
              <w:rPr>
                <w:caps w:val="0"/>
                <w:sz w:val="20"/>
                <w:szCs w:val="20"/>
                <w:lang w:eastAsia="zh-CN" w:bidi="th-TH"/>
              </w:rPr>
              <w:t>Community Organisations</w:t>
            </w:r>
          </w:p>
        </w:tc>
        <w:tc>
          <w:tcPr>
            <w:tcW w:w="1276" w:type="dxa"/>
          </w:tcPr>
          <w:p w14:paraId="47D6E77E" w14:textId="77777777" w:rsidR="004E3E67" w:rsidRPr="00B03297" w:rsidRDefault="004E3E67" w:rsidP="00F8152F">
            <w:pPr>
              <w:jc w:val="center"/>
              <w:cnfStyle w:val="100000000000" w:firstRow="1" w:lastRow="0" w:firstColumn="0" w:lastColumn="0" w:oddVBand="0" w:evenVBand="0" w:oddHBand="0" w:evenHBand="0" w:firstRowFirstColumn="0" w:firstRowLastColumn="0" w:lastRowFirstColumn="0" w:lastRowLastColumn="0"/>
              <w:rPr>
                <w:sz w:val="20"/>
                <w:szCs w:val="20"/>
                <w:lang w:eastAsia="zh-CN" w:bidi="th-TH"/>
              </w:rPr>
            </w:pPr>
            <w:r w:rsidRPr="00B03297">
              <w:rPr>
                <w:caps w:val="0"/>
                <w:sz w:val="20"/>
                <w:szCs w:val="20"/>
                <w:lang w:eastAsia="zh-CN" w:bidi="th-TH"/>
              </w:rPr>
              <w:t>Individuals</w:t>
            </w:r>
          </w:p>
        </w:tc>
        <w:tc>
          <w:tcPr>
            <w:tcW w:w="1417" w:type="dxa"/>
          </w:tcPr>
          <w:p w14:paraId="1A7BA56B" w14:textId="77777777" w:rsidR="004E3E67" w:rsidRPr="00B03297" w:rsidRDefault="004E3E67" w:rsidP="00F8152F">
            <w:pPr>
              <w:jc w:val="center"/>
              <w:cnfStyle w:val="100000000000" w:firstRow="1" w:lastRow="0" w:firstColumn="0" w:lastColumn="0" w:oddVBand="0" w:evenVBand="0" w:oddHBand="0" w:evenHBand="0" w:firstRowFirstColumn="0" w:firstRowLastColumn="0" w:lastRowFirstColumn="0" w:lastRowLastColumn="0"/>
              <w:rPr>
                <w:sz w:val="20"/>
                <w:szCs w:val="20"/>
                <w:lang w:eastAsia="zh-CN" w:bidi="th-TH"/>
              </w:rPr>
            </w:pPr>
            <w:r w:rsidRPr="00B03297">
              <w:rPr>
                <w:caps w:val="0"/>
                <w:sz w:val="20"/>
                <w:szCs w:val="20"/>
                <w:lang w:eastAsia="zh-CN" w:bidi="th-TH"/>
              </w:rPr>
              <w:t>Total Change (Average Per Outlet)</w:t>
            </w:r>
          </w:p>
        </w:tc>
      </w:tr>
      <w:tr w:rsidR="004E3E67" w:rsidRPr="00E67A4C" w14:paraId="1C8B3269" w14:textId="77777777" w:rsidTr="00F8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6A8A8E4" w14:textId="77777777" w:rsidR="004E3E67" w:rsidRPr="00E67A4C" w:rsidRDefault="004E3E67" w:rsidP="00F8152F">
            <w:pPr>
              <w:rPr>
                <w:sz w:val="20"/>
                <w:szCs w:val="20"/>
              </w:rPr>
            </w:pPr>
            <w:r w:rsidRPr="00E67A4C">
              <w:rPr>
                <w:caps w:val="0"/>
                <w:sz w:val="20"/>
                <w:szCs w:val="20"/>
              </w:rPr>
              <w:t>Option 1</w:t>
            </w:r>
          </w:p>
        </w:tc>
        <w:tc>
          <w:tcPr>
            <w:tcW w:w="1271" w:type="dxa"/>
          </w:tcPr>
          <w:p w14:paraId="6F64216B" w14:textId="77777777" w:rsidR="004E3E67"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$602</w:t>
            </w:r>
          </w:p>
          <w:p w14:paraId="6F6309F8"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Pr>
                <w:sz w:val="20"/>
                <w:szCs w:val="20"/>
                <w:lang w:eastAsia="zh-CN" w:bidi="th-TH"/>
              </w:rPr>
              <w:t>(AUD)</w:t>
            </w:r>
          </w:p>
        </w:tc>
        <w:tc>
          <w:tcPr>
            <w:tcW w:w="1281" w:type="dxa"/>
          </w:tcPr>
          <w:p w14:paraId="458251ED"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271" w:type="dxa"/>
          </w:tcPr>
          <w:p w14:paraId="338DBB0E"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417" w:type="dxa"/>
          </w:tcPr>
          <w:p w14:paraId="5F4DC646"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276" w:type="dxa"/>
          </w:tcPr>
          <w:p w14:paraId="45BC627E"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417" w:type="dxa"/>
          </w:tcPr>
          <w:p w14:paraId="671B474D"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Pr>
                <w:sz w:val="20"/>
                <w:szCs w:val="20"/>
                <w:lang w:eastAsia="zh-CN" w:bidi="th-TH"/>
              </w:rPr>
              <w:t>n/a</w:t>
            </w:r>
          </w:p>
        </w:tc>
      </w:tr>
      <w:tr w:rsidR="004E3E67" w:rsidRPr="00E67A4C" w14:paraId="7728BA03" w14:textId="77777777" w:rsidTr="00F8152F">
        <w:tc>
          <w:tcPr>
            <w:cnfStyle w:val="001000000000" w:firstRow="0" w:lastRow="0" w:firstColumn="1" w:lastColumn="0" w:oddVBand="0" w:evenVBand="0" w:oddHBand="0" w:evenHBand="0" w:firstRowFirstColumn="0" w:firstRowLastColumn="0" w:lastRowFirstColumn="0" w:lastRowLastColumn="0"/>
            <w:tcW w:w="1134" w:type="dxa"/>
          </w:tcPr>
          <w:p w14:paraId="2319AD07" w14:textId="77777777" w:rsidR="004E3E67" w:rsidRDefault="004E3E67" w:rsidP="00F8152F">
            <w:pPr>
              <w:rPr>
                <w:sz w:val="20"/>
                <w:szCs w:val="20"/>
              </w:rPr>
            </w:pPr>
            <w:r w:rsidRPr="00E67A4C">
              <w:rPr>
                <w:caps w:val="0"/>
                <w:sz w:val="20"/>
                <w:szCs w:val="20"/>
              </w:rPr>
              <w:t>Option 2</w:t>
            </w:r>
            <w:r>
              <w:rPr>
                <w:caps w:val="0"/>
                <w:sz w:val="20"/>
                <w:szCs w:val="20"/>
              </w:rPr>
              <w:t xml:space="preserve"> </w:t>
            </w:r>
          </w:p>
          <w:p w14:paraId="2B0FB8F1" w14:textId="77777777" w:rsidR="004E3E67" w:rsidRPr="002142A4" w:rsidRDefault="004E3E67" w:rsidP="00F8152F">
            <w:pPr>
              <w:rPr>
                <w:i/>
                <w:iCs/>
                <w:sz w:val="20"/>
                <w:szCs w:val="20"/>
              </w:rPr>
            </w:pPr>
            <w:r w:rsidRPr="002142A4">
              <w:rPr>
                <w:i/>
                <w:iCs/>
                <w:caps w:val="0"/>
                <w:sz w:val="20"/>
                <w:szCs w:val="20"/>
              </w:rPr>
              <w:t xml:space="preserve">Change </w:t>
            </w:r>
            <w:r>
              <w:rPr>
                <w:i/>
                <w:iCs/>
                <w:caps w:val="0"/>
                <w:sz w:val="20"/>
                <w:szCs w:val="20"/>
              </w:rPr>
              <w:t>i</w:t>
            </w:r>
            <w:r w:rsidRPr="002142A4">
              <w:rPr>
                <w:i/>
                <w:iCs/>
                <w:caps w:val="0"/>
                <w:sz w:val="20"/>
                <w:szCs w:val="20"/>
              </w:rPr>
              <w:t xml:space="preserve">n </w:t>
            </w:r>
            <w:r>
              <w:rPr>
                <w:i/>
                <w:iCs/>
                <w:caps w:val="0"/>
                <w:sz w:val="20"/>
                <w:szCs w:val="20"/>
              </w:rPr>
              <w:t>c</w:t>
            </w:r>
            <w:r w:rsidRPr="002142A4">
              <w:rPr>
                <w:i/>
                <w:iCs/>
                <w:caps w:val="0"/>
                <w:sz w:val="20"/>
                <w:szCs w:val="20"/>
              </w:rPr>
              <w:t xml:space="preserve">osts </w:t>
            </w:r>
            <w:r>
              <w:rPr>
                <w:i/>
                <w:iCs/>
                <w:caps w:val="0"/>
                <w:sz w:val="20"/>
                <w:szCs w:val="20"/>
              </w:rPr>
              <w:t>f</w:t>
            </w:r>
            <w:r w:rsidRPr="002142A4">
              <w:rPr>
                <w:i/>
                <w:iCs/>
                <w:caps w:val="0"/>
                <w:sz w:val="20"/>
                <w:szCs w:val="20"/>
              </w:rPr>
              <w:t xml:space="preserve">rom </w:t>
            </w:r>
            <w:r>
              <w:rPr>
                <w:i/>
                <w:iCs/>
                <w:caps w:val="0"/>
                <w:sz w:val="20"/>
                <w:szCs w:val="20"/>
              </w:rPr>
              <w:t>s</w:t>
            </w:r>
            <w:r w:rsidRPr="002142A4">
              <w:rPr>
                <w:i/>
                <w:iCs/>
                <w:caps w:val="0"/>
                <w:sz w:val="20"/>
                <w:szCs w:val="20"/>
              </w:rPr>
              <w:t xml:space="preserve">tatus </w:t>
            </w:r>
            <w:r>
              <w:rPr>
                <w:i/>
                <w:iCs/>
                <w:caps w:val="0"/>
                <w:sz w:val="20"/>
                <w:szCs w:val="20"/>
              </w:rPr>
              <w:t>q</w:t>
            </w:r>
            <w:r w:rsidRPr="002142A4">
              <w:rPr>
                <w:i/>
                <w:iCs/>
                <w:caps w:val="0"/>
                <w:sz w:val="20"/>
                <w:szCs w:val="20"/>
              </w:rPr>
              <w:t xml:space="preserve">uo </w:t>
            </w:r>
          </w:p>
        </w:tc>
        <w:tc>
          <w:tcPr>
            <w:tcW w:w="1271" w:type="dxa"/>
          </w:tcPr>
          <w:p w14:paraId="1536AF66" w14:textId="77777777" w:rsidR="004E3E67"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$0</w:t>
            </w:r>
          </w:p>
          <w:p w14:paraId="6DF39838"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1281" w:type="dxa"/>
          </w:tcPr>
          <w:p w14:paraId="35239714" w14:textId="77777777" w:rsidR="004E3E67"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$705</w:t>
            </w:r>
          </w:p>
          <w:p w14:paraId="3167A220"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Pr>
                <w:sz w:val="20"/>
                <w:szCs w:val="20"/>
                <w:lang w:eastAsia="zh-CN" w:bidi="th-TH"/>
              </w:rPr>
              <w:t>(AUD)</w:t>
            </w:r>
          </w:p>
        </w:tc>
        <w:tc>
          <w:tcPr>
            <w:tcW w:w="1271" w:type="dxa"/>
          </w:tcPr>
          <w:p w14:paraId="6FC36084" w14:textId="77777777" w:rsidR="004E3E67"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$740</w:t>
            </w:r>
          </w:p>
          <w:p w14:paraId="355A9F51"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Pr>
                <w:sz w:val="20"/>
                <w:szCs w:val="20"/>
                <w:lang w:eastAsia="zh-CN" w:bidi="th-TH"/>
              </w:rPr>
              <w:t>(NZD)</w:t>
            </w:r>
          </w:p>
        </w:tc>
        <w:tc>
          <w:tcPr>
            <w:tcW w:w="1417" w:type="dxa"/>
          </w:tcPr>
          <w:p w14:paraId="709EA789"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276" w:type="dxa"/>
          </w:tcPr>
          <w:p w14:paraId="118E2D0E"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417" w:type="dxa"/>
          </w:tcPr>
          <w:p w14:paraId="16633659"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$705 (AUD) / $740 (NZ</w:t>
            </w:r>
            <w:r>
              <w:rPr>
                <w:sz w:val="20"/>
                <w:szCs w:val="20"/>
                <w:lang w:eastAsia="zh-CN" w:bidi="th-TH"/>
              </w:rPr>
              <w:t>D</w:t>
            </w:r>
            <w:r w:rsidRPr="00E67A4C">
              <w:rPr>
                <w:sz w:val="20"/>
                <w:szCs w:val="20"/>
                <w:lang w:eastAsia="zh-CN" w:bidi="th-TH"/>
              </w:rPr>
              <w:t>)</w:t>
            </w:r>
          </w:p>
        </w:tc>
      </w:tr>
      <w:tr w:rsidR="004E3E67" w:rsidRPr="00E67A4C" w14:paraId="074B3372" w14:textId="77777777" w:rsidTr="00F81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0750271" w14:textId="77777777" w:rsidR="004E3E67" w:rsidRDefault="004E3E67" w:rsidP="00F8152F">
            <w:pPr>
              <w:rPr>
                <w:sz w:val="20"/>
                <w:szCs w:val="20"/>
              </w:rPr>
            </w:pPr>
            <w:r w:rsidRPr="00E67A4C">
              <w:rPr>
                <w:caps w:val="0"/>
                <w:sz w:val="20"/>
                <w:szCs w:val="20"/>
              </w:rPr>
              <w:t>Option 3</w:t>
            </w:r>
          </w:p>
          <w:p w14:paraId="53EBA4E8" w14:textId="77777777" w:rsidR="004E3E67" w:rsidRPr="00E67A4C" w:rsidRDefault="004E3E67" w:rsidP="00F8152F">
            <w:pPr>
              <w:rPr>
                <w:sz w:val="20"/>
                <w:szCs w:val="20"/>
              </w:rPr>
            </w:pPr>
            <w:r w:rsidRPr="002142A4">
              <w:rPr>
                <w:i/>
                <w:iCs/>
                <w:caps w:val="0"/>
                <w:sz w:val="20"/>
                <w:szCs w:val="20"/>
              </w:rPr>
              <w:t xml:space="preserve">Change </w:t>
            </w:r>
            <w:r>
              <w:rPr>
                <w:i/>
                <w:iCs/>
                <w:caps w:val="0"/>
                <w:sz w:val="20"/>
                <w:szCs w:val="20"/>
              </w:rPr>
              <w:t>i</w:t>
            </w:r>
            <w:r w:rsidRPr="002142A4">
              <w:rPr>
                <w:i/>
                <w:iCs/>
                <w:caps w:val="0"/>
                <w:sz w:val="20"/>
                <w:szCs w:val="20"/>
              </w:rPr>
              <w:t xml:space="preserve">n </w:t>
            </w:r>
            <w:r>
              <w:rPr>
                <w:i/>
                <w:iCs/>
                <w:caps w:val="0"/>
                <w:sz w:val="20"/>
                <w:szCs w:val="20"/>
              </w:rPr>
              <w:t>c</w:t>
            </w:r>
            <w:r w:rsidRPr="002142A4">
              <w:rPr>
                <w:i/>
                <w:iCs/>
                <w:caps w:val="0"/>
                <w:sz w:val="20"/>
                <w:szCs w:val="20"/>
              </w:rPr>
              <w:t xml:space="preserve">osts </w:t>
            </w:r>
            <w:r>
              <w:rPr>
                <w:i/>
                <w:iCs/>
                <w:caps w:val="0"/>
                <w:sz w:val="20"/>
                <w:szCs w:val="20"/>
              </w:rPr>
              <w:t>f</w:t>
            </w:r>
            <w:r w:rsidRPr="002142A4">
              <w:rPr>
                <w:i/>
                <w:iCs/>
                <w:caps w:val="0"/>
                <w:sz w:val="20"/>
                <w:szCs w:val="20"/>
              </w:rPr>
              <w:t xml:space="preserve">rom </w:t>
            </w:r>
            <w:r>
              <w:rPr>
                <w:i/>
                <w:iCs/>
                <w:caps w:val="0"/>
                <w:sz w:val="20"/>
                <w:szCs w:val="20"/>
              </w:rPr>
              <w:t>s</w:t>
            </w:r>
            <w:r w:rsidRPr="002142A4">
              <w:rPr>
                <w:i/>
                <w:iCs/>
                <w:caps w:val="0"/>
                <w:sz w:val="20"/>
                <w:szCs w:val="20"/>
              </w:rPr>
              <w:t xml:space="preserve">tatus </w:t>
            </w:r>
            <w:r>
              <w:rPr>
                <w:i/>
                <w:iCs/>
                <w:caps w:val="0"/>
                <w:sz w:val="20"/>
                <w:szCs w:val="20"/>
              </w:rPr>
              <w:t>q</w:t>
            </w:r>
            <w:r w:rsidRPr="002142A4">
              <w:rPr>
                <w:i/>
                <w:iCs/>
                <w:caps w:val="0"/>
                <w:sz w:val="20"/>
                <w:szCs w:val="20"/>
              </w:rPr>
              <w:t>uo</w:t>
            </w:r>
          </w:p>
        </w:tc>
        <w:tc>
          <w:tcPr>
            <w:tcW w:w="1271" w:type="dxa"/>
          </w:tcPr>
          <w:p w14:paraId="12223BDD" w14:textId="77777777" w:rsidR="004E3E67"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-$120</w:t>
            </w:r>
          </w:p>
          <w:p w14:paraId="465F501F"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Pr>
                <w:sz w:val="20"/>
                <w:szCs w:val="20"/>
                <w:lang w:eastAsia="zh-CN" w:bidi="th-TH"/>
              </w:rPr>
              <w:t>(AUD)</w:t>
            </w:r>
          </w:p>
        </w:tc>
        <w:tc>
          <w:tcPr>
            <w:tcW w:w="1281" w:type="dxa"/>
          </w:tcPr>
          <w:p w14:paraId="51919000" w14:textId="77777777" w:rsidR="004E3E67"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$564</w:t>
            </w:r>
          </w:p>
          <w:p w14:paraId="584E2890"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Pr>
                <w:sz w:val="20"/>
                <w:szCs w:val="20"/>
                <w:lang w:eastAsia="zh-CN" w:bidi="th-TH"/>
              </w:rPr>
              <w:t>(AUD)</w:t>
            </w:r>
          </w:p>
        </w:tc>
        <w:tc>
          <w:tcPr>
            <w:tcW w:w="1271" w:type="dxa"/>
          </w:tcPr>
          <w:p w14:paraId="497710FA" w14:textId="77777777" w:rsidR="004E3E67"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$740</w:t>
            </w:r>
          </w:p>
          <w:p w14:paraId="77D3198A"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Pr>
                <w:sz w:val="20"/>
                <w:szCs w:val="20"/>
                <w:lang w:eastAsia="zh-CN" w:bidi="th-TH"/>
              </w:rPr>
              <w:t>(NZD)</w:t>
            </w:r>
          </w:p>
        </w:tc>
        <w:tc>
          <w:tcPr>
            <w:tcW w:w="1417" w:type="dxa"/>
          </w:tcPr>
          <w:p w14:paraId="7887B159"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276" w:type="dxa"/>
          </w:tcPr>
          <w:p w14:paraId="08ABAB08"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417" w:type="dxa"/>
          </w:tcPr>
          <w:p w14:paraId="3CCD0396"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-$120 to 564 (AUD) /</w:t>
            </w:r>
          </w:p>
          <w:p w14:paraId="200F5561" w14:textId="77777777" w:rsidR="004E3E67" w:rsidRPr="00E67A4C" w:rsidRDefault="004E3E67" w:rsidP="00F8152F">
            <w:pPr>
              <w:jc w:val="center"/>
              <w:cnfStyle w:val="000000100000" w:firstRow="0" w:lastRow="0" w:firstColumn="0" w:lastColumn="0" w:oddVBand="0" w:evenVBand="0" w:oddHBand="1" w:evenHBand="0" w:firstRowFirstColumn="0" w:firstRowLastColumn="0" w:lastRowFirstColumn="0" w:lastRowLastColumn="0"/>
              <w:rPr>
                <w:sz w:val="20"/>
                <w:szCs w:val="20"/>
                <w:lang w:eastAsia="zh-CN" w:bidi="th-TH"/>
              </w:rPr>
            </w:pPr>
            <w:r w:rsidRPr="00E67A4C">
              <w:rPr>
                <w:sz w:val="20"/>
                <w:szCs w:val="20"/>
                <w:lang w:eastAsia="zh-CN" w:bidi="th-TH"/>
              </w:rPr>
              <w:t>$740 (NZ</w:t>
            </w:r>
            <w:r>
              <w:rPr>
                <w:sz w:val="20"/>
                <w:szCs w:val="20"/>
                <w:lang w:eastAsia="zh-CN" w:bidi="th-TH"/>
              </w:rPr>
              <w:t>D</w:t>
            </w:r>
            <w:r w:rsidRPr="00E67A4C">
              <w:rPr>
                <w:sz w:val="20"/>
                <w:szCs w:val="20"/>
                <w:lang w:eastAsia="zh-CN" w:bidi="th-TH"/>
              </w:rPr>
              <w:t>)</w:t>
            </w:r>
          </w:p>
        </w:tc>
      </w:tr>
      <w:tr w:rsidR="004E3E67" w:rsidRPr="00E67A4C" w14:paraId="76047574" w14:textId="77777777" w:rsidTr="00F8152F">
        <w:tc>
          <w:tcPr>
            <w:cnfStyle w:val="001000000000" w:firstRow="0" w:lastRow="0" w:firstColumn="1" w:lastColumn="0" w:oddVBand="0" w:evenVBand="0" w:oddHBand="0" w:evenHBand="0" w:firstRowFirstColumn="0" w:firstRowLastColumn="0" w:lastRowFirstColumn="0" w:lastRowLastColumn="0"/>
            <w:tcW w:w="1134" w:type="dxa"/>
          </w:tcPr>
          <w:p w14:paraId="6B0161A5" w14:textId="77777777" w:rsidR="004E3E67" w:rsidRDefault="004E3E67" w:rsidP="00F8152F">
            <w:pPr>
              <w:rPr>
                <w:sz w:val="20"/>
                <w:szCs w:val="20"/>
              </w:rPr>
            </w:pPr>
            <w:r w:rsidRPr="00E67A4C">
              <w:rPr>
                <w:caps w:val="0"/>
                <w:sz w:val="20"/>
                <w:szCs w:val="20"/>
              </w:rPr>
              <w:t>Option 4</w:t>
            </w:r>
          </w:p>
          <w:p w14:paraId="2F0BF0DA" w14:textId="77777777" w:rsidR="004E3E67" w:rsidRPr="00E67A4C" w:rsidRDefault="004E3E67" w:rsidP="00F8152F">
            <w:pPr>
              <w:rPr>
                <w:sz w:val="20"/>
                <w:szCs w:val="20"/>
              </w:rPr>
            </w:pPr>
            <w:r w:rsidRPr="002142A4">
              <w:rPr>
                <w:i/>
                <w:iCs/>
                <w:caps w:val="0"/>
                <w:sz w:val="20"/>
                <w:szCs w:val="20"/>
              </w:rPr>
              <w:t xml:space="preserve">Change </w:t>
            </w:r>
            <w:r>
              <w:rPr>
                <w:i/>
                <w:iCs/>
                <w:caps w:val="0"/>
                <w:sz w:val="20"/>
                <w:szCs w:val="20"/>
              </w:rPr>
              <w:t>i</w:t>
            </w:r>
            <w:r w:rsidRPr="002142A4">
              <w:rPr>
                <w:i/>
                <w:iCs/>
                <w:caps w:val="0"/>
                <w:sz w:val="20"/>
                <w:szCs w:val="20"/>
              </w:rPr>
              <w:t xml:space="preserve">n </w:t>
            </w:r>
            <w:r>
              <w:rPr>
                <w:i/>
                <w:iCs/>
                <w:caps w:val="0"/>
                <w:sz w:val="20"/>
                <w:szCs w:val="20"/>
              </w:rPr>
              <w:t>c</w:t>
            </w:r>
            <w:r w:rsidRPr="002142A4">
              <w:rPr>
                <w:i/>
                <w:iCs/>
                <w:caps w:val="0"/>
                <w:sz w:val="20"/>
                <w:szCs w:val="20"/>
              </w:rPr>
              <w:t xml:space="preserve">osts </w:t>
            </w:r>
            <w:r>
              <w:rPr>
                <w:i/>
                <w:iCs/>
                <w:caps w:val="0"/>
                <w:sz w:val="20"/>
                <w:szCs w:val="20"/>
              </w:rPr>
              <w:t>f</w:t>
            </w:r>
            <w:r w:rsidRPr="002142A4">
              <w:rPr>
                <w:i/>
                <w:iCs/>
                <w:caps w:val="0"/>
                <w:sz w:val="20"/>
                <w:szCs w:val="20"/>
              </w:rPr>
              <w:t xml:space="preserve">rom </w:t>
            </w:r>
            <w:r>
              <w:rPr>
                <w:i/>
                <w:iCs/>
                <w:caps w:val="0"/>
                <w:sz w:val="20"/>
                <w:szCs w:val="20"/>
              </w:rPr>
              <w:t>s</w:t>
            </w:r>
            <w:r w:rsidRPr="002142A4">
              <w:rPr>
                <w:i/>
                <w:iCs/>
                <w:caps w:val="0"/>
                <w:sz w:val="20"/>
                <w:szCs w:val="20"/>
              </w:rPr>
              <w:t xml:space="preserve">tatus </w:t>
            </w:r>
            <w:r>
              <w:rPr>
                <w:i/>
                <w:iCs/>
                <w:caps w:val="0"/>
                <w:sz w:val="20"/>
                <w:szCs w:val="20"/>
              </w:rPr>
              <w:t>q</w:t>
            </w:r>
            <w:r w:rsidRPr="002142A4">
              <w:rPr>
                <w:i/>
                <w:iCs/>
                <w:caps w:val="0"/>
                <w:sz w:val="20"/>
                <w:szCs w:val="20"/>
              </w:rPr>
              <w:t>uo</w:t>
            </w:r>
          </w:p>
        </w:tc>
        <w:tc>
          <w:tcPr>
            <w:tcW w:w="1271" w:type="dxa"/>
          </w:tcPr>
          <w:p w14:paraId="7823A30C" w14:textId="77777777" w:rsidR="004E3E67"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$0</w:t>
            </w:r>
          </w:p>
          <w:p w14:paraId="0A330AFC"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Pr>
                <w:sz w:val="20"/>
                <w:szCs w:val="20"/>
                <w:lang w:eastAsia="zh-CN" w:bidi="th-TH"/>
              </w:rPr>
              <w:t>(AUD)</w:t>
            </w:r>
          </w:p>
        </w:tc>
        <w:tc>
          <w:tcPr>
            <w:tcW w:w="1281" w:type="dxa"/>
          </w:tcPr>
          <w:p w14:paraId="63391054" w14:textId="77777777" w:rsidR="004E3E67"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$705</w:t>
            </w:r>
          </w:p>
          <w:p w14:paraId="1F345BDB"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Pr>
                <w:sz w:val="20"/>
                <w:szCs w:val="20"/>
                <w:lang w:eastAsia="zh-CN" w:bidi="th-TH"/>
              </w:rPr>
              <w:t>(AUD)</w:t>
            </w:r>
          </w:p>
        </w:tc>
        <w:tc>
          <w:tcPr>
            <w:tcW w:w="1271" w:type="dxa"/>
          </w:tcPr>
          <w:p w14:paraId="36B4A545" w14:textId="77777777" w:rsidR="004E3E67"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$740</w:t>
            </w:r>
          </w:p>
          <w:p w14:paraId="4B351132"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Pr>
                <w:sz w:val="20"/>
                <w:szCs w:val="20"/>
                <w:lang w:eastAsia="zh-CN" w:bidi="th-TH"/>
              </w:rPr>
              <w:t>(NZD)</w:t>
            </w:r>
          </w:p>
        </w:tc>
        <w:tc>
          <w:tcPr>
            <w:tcW w:w="1417" w:type="dxa"/>
          </w:tcPr>
          <w:p w14:paraId="4DE18FCB" w14:textId="77777777" w:rsidR="004E3E67"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$50 per outlet</w:t>
            </w:r>
          </w:p>
          <w:p w14:paraId="61563669"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Pr>
                <w:sz w:val="20"/>
                <w:szCs w:val="20"/>
                <w:lang w:eastAsia="zh-CN" w:bidi="th-TH"/>
              </w:rPr>
              <w:t>(AUD)</w:t>
            </w:r>
          </w:p>
          <w:p w14:paraId="437247EA"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p>
        </w:tc>
        <w:tc>
          <w:tcPr>
            <w:tcW w:w="1276" w:type="dxa"/>
          </w:tcPr>
          <w:p w14:paraId="123DB9D2"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$0</w:t>
            </w:r>
          </w:p>
        </w:tc>
        <w:tc>
          <w:tcPr>
            <w:tcW w:w="1417" w:type="dxa"/>
          </w:tcPr>
          <w:p w14:paraId="650E70A6" w14:textId="77777777" w:rsidR="004E3E67" w:rsidRPr="00E67A4C" w:rsidRDefault="004E3E67" w:rsidP="00F8152F">
            <w:pPr>
              <w:jc w:val="center"/>
              <w:cnfStyle w:val="000000000000" w:firstRow="0" w:lastRow="0" w:firstColumn="0" w:lastColumn="0" w:oddVBand="0" w:evenVBand="0" w:oddHBand="0" w:evenHBand="0" w:firstRowFirstColumn="0" w:firstRowLastColumn="0" w:lastRowFirstColumn="0" w:lastRowLastColumn="0"/>
              <w:rPr>
                <w:sz w:val="20"/>
                <w:szCs w:val="20"/>
                <w:lang w:eastAsia="zh-CN" w:bidi="th-TH"/>
              </w:rPr>
            </w:pPr>
            <w:r w:rsidRPr="00E67A4C">
              <w:rPr>
                <w:sz w:val="20"/>
                <w:szCs w:val="20"/>
                <w:lang w:eastAsia="zh-CN" w:bidi="th-TH"/>
              </w:rPr>
              <w:t>$755 (AUD) / $790(NZ</w:t>
            </w:r>
            <w:r>
              <w:rPr>
                <w:sz w:val="20"/>
                <w:szCs w:val="20"/>
                <w:lang w:eastAsia="zh-CN" w:bidi="th-TH"/>
              </w:rPr>
              <w:t>D</w:t>
            </w:r>
            <w:r w:rsidRPr="00E67A4C">
              <w:rPr>
                <w:sz w:val="20"/>
                <w:szCs w:val="20"/>
                <w:lang w:eastAsia="zh-CN" w:bidi="th-TH"/>
              </w:rPr>
              <w:t>)</w:t>
            </w:r>
          </w:p>
        </w:tc>
      </w:tr>
    </w:tbl>
    <w:p w14:paraId="241AEB96" w14:textId="77777777" w:rsidR="004E3E67" w:rsidRPr="00256D14" w:rsidRDefault="004E3E67" w:rsidP="004E3E67">
      <w:pPr>
        <w:pStyle w:val="ListParagraph"/>
        <w:spacing w:after="40"/>
        <w:ind w:left="360"/>
        <w:jc w:val="both"/>
        <w:rPr>
          <w:i/>
          <w:iCs/>
          <w:sz w:val="20"/>
          <w:szCs w:val="20"/>
        </w:rPr>
      </w:pPr>
      <w:r w:rsidRPr="00256D14">
        <w:rPr>
          <w:i/>
          <w:iCs/>
          <w:sz w:val="20"/>
          <w:szCs w:val="20"/>
        </w:rPr>
        <w:t>* Per standard food outlet</w:t>
      </w:r>
    </w:p>
    <w:p w14:paraId="25122D66" w14:textId="77777777" w:rsidR="004E3E67" w:rsidRDefault="004E3E67" w:rsidP="00862868">
      <w:pPr>
        <w:spacing w:after="40"/>
        <w:jc w:val="both"/>
      </w:pPr>
    </w:p>
    <w:p w14:paraId="5F6E0FB7" w14:textId="5BBF4344" w:rsidR="00467564" w:rsidRDefault="00060FDE" w:rsidP="00060FDE">
      <w:pPr>
        <w:pBdr>
          <w:top w:val="single" w:sz="4" w:space="1" w:color="auto"/>
          <w:left w:val="single" w:sz="4" w:space="4" w:color="auto"/>
          <w:bottom w:val="single" w:sz="4" w:space="1" w:color="auto"/>
          <w:right w:val="single" w:sz="4" w:space="4" w:color="auto"/>
        </w:pBdr>
        <w:spacing w:after="40"/>
        <w:jc w:val="both"/>
        <w:rPr>
          <w:bCs/>
        </w:rPr>
      </w:pPr>
      <w:r w:rsidRPr="006E3B7E">
        <w:rPr>
          <w:b/>
        </w:rPr>
        <w:t xml:space="preserve">Consultation question </w:t>
      </w:r>
      <w:r w:rsidR="007C43F3" w:rsidRPr="006E3B7E">
        <w:rPr>
          <w:b/>
        </w:rPr>
        <w:t>1</w:t>
      </w:r>
      <w:r w:rsidR="00784DE9" w:rsidRPr="006E3B7E">
        <w:rPr>
          <w:b/>
        </w:rPr>
        <w:t>8</w:t>
      </w:r>
      <w:r w:rsidRPr="006E3B7E">
        <w:rPr>
          <w:b/>
        </w:rPr>
        <w:t>:</w:t>
      </w:r>
      <w:r w:rsidRPr="006E3B7E">
        <w:rPr>
          <w:bCs/>
        </w:rPr>
        <w:t xml:space="preserve"> </w:t>
      </w:r>
      <w:r w:rsidR="00467564" w:rsidRPr="006E3B7E">
        <w:rPr>
          <w:bCs/>
        </w:rPr>
        <w:t>Are</w:t>
      </w:r>
      <w:r w:rsidRPr="006E3B7E">
        <w:rPr>
          <w:bCs/>
        </w:rPr>
        <w:t xml:space="preserve"> </w:t>
      </w:r>
      <w:r w:rsidR="00467564" w:rsidRPr="006E3B7E">
        <w:rPr>
          <w:bCs/>
        </w:rPr>
        <w:t>the</w:t>
      </w:r>
      <w:r w:rsidRPr="006E3B7E">
        <w:rPr>
          <w:bCs/>
        </w:rPr>
        <w:t xml:space="preserve"> average annual </w:t>
      </w:r>
      <w:r w:rsidR="007A74F4">
        <w:rPr>
          <w:bCs/>
        </w:rPr>
        <w:t>compliance</w:t>
      </w:r>
      <w:r w:rsidRPr="006E3B7E">
        <w:rPr>
          <w:bCs/>
        </w:rPr>
        <w:t xml:space="preserve"> costs </w:t>
      </w:r>
      <w:r w:rsidR="00467564" w:rsidRPr="006E3B7E">
        <w:rPr>
          <w:bCs/>
        </w:rPr>
        <w:t>representative of the costs incurred/likely to be incurred by your business? Please provide your reasons.</w:t>
      </w:r>
    </w:p>
    <w:p w14:paraId="524DB3F4" w14:textId="77777777" w:rsidR="00467564" w:rsidRPr="004E3E67" w:rsidRDefault="00467564" w:rsidP="00060FDE">
      <w:pPr>
        <w:pBdr>
          <w:top w:val="single" w:sz="4" w:space="1" w:color="auto"/>
          <w:left w:val="single" w:sz="4" w:space="4" w:color="auto"/>
          <w:bottom w:val="single" w:sz="4" w:space="1" w:color="auto"/>
          <w:right w:val="single" w:sz="4" w:space="4" w:color="auto"/>
        </w:pBdr>
        <w:spacing w:after="40"/>
        <w:jc w:val="both"/>
        <w:rPr>
          <w:bCs/>
          <w:sz w:val="16"/>
          <w:szCs w:val="16"/>
        </w:rPr>
      </w:pPr>
    </w:p>
    <w:p w14:paraId="3C969BD7" w14:textId="1DB93F9F" w:rsidR="008347B7" w:rsidRPr="00E67A4C" w:rsidRDefault="00B5487F" w:rsidP="008347B7">
      <w:pPr>
        <w:pBdr>
          <w:top w:val="single" w:sz="4" w:space="1" w:color="auto"/>
          <w:left w:val="single" w:sz="4" w:space="4" w:color="auto"/>
          <w:bottom w:val="single" w:sz="4" w:space="1" w:color="auto"/>
          <w:right w:val="single" w:sz="4" w:space="4" w:color="auto"/>
        </w:pBdr>
        <w:spacing w:after="40"/>
        <w:jc w:val="both"/>
      </w:pPr>
      <w:r w:rsidRPr="00E67A4C">
        <w:rPr>
          <w:b/>
          <w:bCs/>
        </w:rPr>
        <w:t xml:space="preserve">Consultation question </w:t>
      </w:r>
      <w:r w:rsidR="00784DE9" w:rsidRPr="00E67A4C">
        <w:rPr>
          <w:b/>
          <w:bCs/>
        </w:rPr>
        <w:t>19</w:t>
      </w:r>
      <w:r w:rsidR="00F75394" w:rsidRPr="00E67A4C">
        <w:t xml:space="preserve">: If the regulatory costs outlined above do not represent the costs incurred </w:t>
      </w:r>
      <w:r w:rsidR="000A2098" w:rsidRPr="00E67A4C">
        <w:t xml:space="preserve">/ likely to be incurred </w:t>
      </w:r>
      <w:r w:rsidR="00F75394" w:rsidRPr="00E67A4C">
        <w:t xml:space="preserve">by your business, </w:t>
      </w:r>
      <w:r w:rsidR="000A2098" w:rsidRPr="00E67A4C">
        <w:t xml:space="preserve">what are </w:t>
      </w:r>
      <w:r w:rsidR="00247AE2" w:rsidRPr="00E67A4C">
        <w:t xml:space="preserve">/ would be </w:t>
      </w:r>
      <w:r w:rsidR="000A2098" w:rsidRPr="00E67A4C">
        <w:t>the costs per year to comply with the proposed changes to menu labelling regulation</w:t>
      </w:r>
      <w:r w:rsidR="00EE4687" w:rsidRPr="00E67A4C">
        <w:t>?</w:t>
      </w:r>
    </w:p>
    <w:p w14:paraId="1CFA06B1" w14:textId="1AB68CB1" w:rsidR="00845CE7" w:rsidRPr="00E67A4C" w:rsidRDefault="000A2098" w:rsidP="008347B7">
      <w:pPr>
        <w:pBdr>
          <w:top w:val="single" w:sz="4" w:space="1" w:color="auto"/>
          <w:left w:val="single" w:sz="4" w:space="4" w:color="auto"/>
          <w:bottom w:val="single" w:sz="4" w:space="1" w:color="auto"/>
          <w:right w:val="single" w:sz="4" w:space="4" w:color="auto"/>
        </w:pBdr>
        <w:spacing w:after="40"/>
        <w:jc w:val="both"/>
        <w:rPr>
          <w:i/>
          <w:iCs/>
        </w:rPr>
      </w:pPr>
      <w:r w:rsidRPr="00E67A4C">
        <w:rPr>
          <w:i/>
          <w:iCs/>
        </w:rPr>
        <w:t xml:space="preserve">Please indicate if costs are for initial implementation or for ongoing maintenance, </w:t>
      </w:r>
      <w:r w:rsidR="003D51CA" w:rsidRPr="00E67A4C">
        <w:rPr>
          <w:i/>
          <w:iCs/>
        </w:rPr>
        <w:t>the type of costs (e.g. administrative, menu design and printing</w:t>
      </w:r>
      <w:r w:rsidR="00B630C9" w:rsidRPr="00E67A4C">
        <w:rPr>
          <w:i/>
          <w:iCs/>
        </w:rPr>
        <w:t xml:space="preserve">, nutritional analysis) </w:t>
      </w:r>
      <w:r w:rsidRPr="00E67A4C">
        <w:rPr>
          <w:i/>
          <w:iCs/>
        </w:rPr>
        <w:t xml:space="preserve">and which jurisdiction/s </w:t>
      </w:r>
      <w:r w:rsidR="00EE4687" w:rsidRPr="00E67A4C">
        <w:rPr>
          <w:i/>
          <w:iCs/>
        </w:rPr>
        <w:t>your</w:t>
      </w:r>
      <w:r w:rsidRPr="00E67A4C">
        <w:rPr>
          <w:i/>
          <w:iCs/>
        </w:rPr>
        <w:t xml:space="preserve"> business operates in.</w:t>
      </w:r>
      <w:r w:rsidR="004E3E67">
        <w:rPr>
          <w:i/>
          <w:iCs/>
        </w:rPr>
        <w:t xml:space="preserve"> </w:t>
      </w:r>
      <w:r w:rsidR="00B630C9" w:rsidRPr="00E67A4C">
        <w:rPr>
          <w:i/>
          <w:iCs/>
        </w:rPr>
        <w:t>F</w:t>
      </w:r>
      <w:r w:rsidRPr="00E67A4C">
        <w:rPr>
          <w:i/>
          <w:iCs/>
        </w:rPr>
        <w:t xml:space="preserve">or businesses already implementing menu labelling, please only provide the additional costs associated with implementing the proposed changes to the regulation. </w:t>
      </w:r>
      <w:r w:rsidR="00EE4687" w:rsidRPr="00E67A4C">
        <w:rPr>
          <w:i/>
          <w:iCs/>
        </w:rPr>
        <w:t>Please only provide the cost of providing energy information, and do not include business-as-usual costs that would be incurred in the absence of menu labelling regulation.</w:t>
      </w:r>
    </w:p>
    <w:p w14:paraId="34C3C213" w14:textId="0973A97B" w:rsidR="006C049D" w:rsidRPr="00E67A4C" w:rsidRDefault="00D91DEE" w:rsidP="00186788">
      <w:pPr>
        <w:spacing w:after="40"/>
        <w:jc w:val="both"/>
        <w:rPr>
          <w:lang w:eastAsia="zh-CN" w:bidi="th-TH"/>
        </w:rPr>
      </w:pPr>
      <w:r w:rsidRPr="00E67A4C">
        <w:rPr>
          <w:lang w:eastAsia="zh-CN" w:bidi="th-TH"/>
        </w:rPr>
        <w:lastRenderedPageBreak/>
        <w:t xml:space="preserve">As </w:t>
      </w:r>
      <w:r w:rsidR="003A2683" w:rsidRPr="00E67A4C">
        <w:rPr>
          <w:lang w:eastAsia="zh-CN" w:bidi="th-TH"/>
        </w:rPr>
        <w:t>of</w:t>
      </w:r>
      <w:r w:rsidRPr="00E67A4C">
        <w:rPr>
          <w:lang w:eastAsia="zh-CN" w:bidi="th-TH"/>
        </w:rPr>
        <w:t xml:space="preserve"> June 2020, a</w:t>
      </w:r>
      <w:r w:rsidR="00186788" w:rsidRPr="00E67A4C">
        <w:rPr>
          <w:lang w:eastAsia="zh-CN" w:bidi="th-TH"/>
        </w:rPr>
        <w:t xml:space="preserve">pproximately 75 chain businesses (more than 13,750 outlets) </w:t>
      </w:r>
      <w:r w:rsidR="007A74F4">
        <w:rPr>
          <w:lang w:eastAsia="zh-CN" w:bidi="th-TH"/>
        </w:rPr>
        <w:t>are</w:t>
      </w:r>
      <w:r w:rsidR="00186788" w:rsidRPr="00E67A4C">
        <w:rPr>
          <w:lang w:eastAsia="zh-CN" w:bidi="th-TH"/>
        </w:rPr>
        <w:t xml:space="preserve"> already required to comply with menu labelling in one or more Australian jurisdictions. As the food industry is a dynamic one and subject to changing consumer demands and economic climate, the number of businesses and outlets that may be required to implement menu labelling would be expected to change over time.</w:t>
      </w:r>
      <w:r w:rsidR="00ED7F12" w:rsidRPr="00E67A4C">
        <w:rPr>
          <w:lang w:eastAsia="zh-CN" w:bidi="th-TH"/>
        </w:rPr>
        <w:t xml:space="preserve"> </w:t>
      </w:r>
      <w:r w:rsidR="00FD20D8" w:rsidRPr="00E67A4C">
        <w:rPr>
          <w:lang w:eastAsia="zh-CN" w:bidi="th-TH"/>
        </w:rPr>
        <w:t>T</w:t>
      </w:r>
      <w:r w:rsidR="006C049D" w:rsidRPr="00E67A4C">
        <w:rPr>
          <w:lang w:eastAsia="zh-CN" w:bidi="th-TH"/>
        </w:rPr>
        <w:t xml:space="preserve">he number of </w:t>
      </w:r>
      <w:r w:rsidR="00ED7F12" w:rsidRPr="00E67A4C">
        <w:rPr>
          <w:lang w:eastAsia="zh-CN" w:bidi="th-TH"/>
        </w:rPr>
        <w:t xml:space="preserve">Australian and New Zealand </w:t>
      </w:r>
      <w:r w:rsidR="006C049D" w:rsidRPr="00E67A4C">
        <w:rPr>
          <w:lang w:eastAsia="zh-CN" w:bidi="th-TH"/>
        </w:rPr>
        <w:t xml:space="preserve">businesses </w:t>
      </w:r>
      <w:r w:rsidR="003F712B" w:rsidRPr="00E67A4C">
        <w:rPr>
          <w:lang w:eastAsia="zh-CN" w:bidi="th-TH"/>
        </w:rPr>
        <w:t xml:space="preserve">that may be affected by </w:t>
      </w:r>
      <w:r w:rsidR="00FD20D8" w:rsidRPr="00E67A4C">
        <w:rPr>
          <w:lang w:eastAsia="zh-CN" w:bidi="th-TH"/>
        </w:rPr>
        <w:t>O</w:t>
      </w:r>
      <w:r w:rsidR="003F712B" w:rsidRPr="00E67A4C">
        <w:rPr>
          <w:lang w:eastAsia="zh-CN" w:bidi="th-TH"/>
        </w:rPr>
        <w:t xml:space="preserve">ptions 2, 3 or 4 </w:t>
      </w:r>
      <w:r w:rsidR="00ED7F12" w:rsidRPr="00E67A4C">
        <w:rPr>
          <w:lang w:eastAsia="zh-CN" w:bidi="th-TH"/>
        </w:rPr>
        <w:t>is uncertain</w:t>
      </w:r>
      <w:r w:rsidR="00DA227C" w:rsidRPr="00E67A4C">
        <w:rPr>
          <w:lang w:eastAsia="zh-CN" w:bidi="th-TH"/>
        </w:rPr>
        <w:t xml:space="preserve"> at this time</w:t>
      </w:r>
      <w:r w:rsidR="007A74F4">
        <w:rPr>
          <w:lang w:eastAsia="zh-CN" w:bidi="th-TH"/>
        </w:rPr>
        <w:t>.</w:t>
      </w:r>
      <w:r w:rsidR="00992292" w:rsidRPr="00E67A4C">
        <w:rPr>
          <w:lang w:eastAsia="zh-CN" w:bidi="th-TH"/>
        </w:rPr>
        <w:t xml:space="preserve"> </w:t>
      </w:r>
    </w:p>
    <w:p w14:paraId="2D78532A" w14:textId="77777777" w:rsidR="00186788" w:rsidRPr="00E67A4C" w:rsidRDefault="00186788" w:rsidP="00186788">
      <w:pPr>
        <w:spacing w:after="40"/>
        <w:jc w:val="both"/>
        <w:rPr>
          <w:lang w:eastAsia="zh-CN" w:bidi="th-TH"/>
        </w:rPr>
      </w:pPr>
    </w:p>
    <w:p w14:paraId="7C1B305F" w14:textId="77777777" w:rsidR="00186788" w:rsidRPr="00E67A4C" w:rsidRDefault="00186788" w:rsidP="00186788">
      <w:pPr>
        <w:pBdr>
          <w:top w:val="single" w:sz="4" w:space="1" w:color="auto"/>
          <w:left w:val="single" w:sz="4" w:space="4" w:color="auto"/>
          <w:bottom w:val="single" w:sz="4" w:space="1" w:color="auto"/>
          <w:right w:val="single" w:sz="4" w:space="4" w:color="auto"/>
        </w:pBdr>
        <w:spacing w:after="40"/>
        <w:jc w:val="both"/>
      </w:pPr>
      <w:r w:rsidRPr="00E67A4C">
        <w:rPr>
          <w:b/>
          <w:bCs/>
        </w:rPr>
        <w:t>Consultation question 2</w:t>
      </w:r>
      <w:r w:rsidR="00E712BE" w:rsidRPr="00E67A4C">
        <w:rPr>
          <w:b/>
          <w:bCs/>
        </w:rPr>
        <w:t>0</w:t>
      </w:r>
      <w:r w:rsidRPr="00E67A4C">
        <w:rPr>
          <w:b/>
          <w:bCs/>
        </w:rPr>
        <w:t xml:space="preserve">: </w:t>
      </w:r>
      <w:r w:rsidRPr="00E67A4C">
        <w:t xml:space="preserve">Would your </w:t>
      </w:r>
      <w:r w:rsidRPr="00E67A4C">
        <w:rPr>
          <w:b/>
          <w:bCs/>
        </w:rPr>
        <w:t>Australian</w:t>
      </w:r>
      <w:r w:rsidRPr="00E67A4C">
        <w:t xml:space="preserve"> business be likely to meet the proposed definition of a standard food outlet</w:t>
      </w:r>
      <w:r w:rsidRPr="00E67A4C">
        <w:rPr>
          <w:rStyle w:val="FootnoteReference"/>
        </w:rPr>
        <w:footnoteReference w:id="61"/>
      </w:r>
      <w:r w:rsidRPr="00E67A4C">
        <w:t>? If so, how many outlets do you have in each jurisdiction? If not, is the reason because you do not sell standard food items, do not meet the business size threshold, or do not operate as a chain?</w:t>
      </w:r>
    </w:p>
    <w:p w14:paraId="3A1B9C9B" w14:textId="50AAC144" w:rsidR="00186788" w:rsidRPr="00E67A4C" w:rsidRDefault="00186788" w:rsidP="00186788">
      <w:pPr>
        <w:pBdr>
          <w:top w:val="single" w:sz="4" w:space="1" w:color="auto"/>
          <w:left w:val="single" w:sz="4" w:space="4" w:color="auto"/>
          <w:bottom w:val="single" w:sz="4" w:space="1" w:color="auto"/>
          <w:right w:val="single" w:sz="4" w:space="4" w:color="auto"/>
        </w:pBdr>
        <w:spacing w:after="40"/>
        <w:jc w:val="both"/>
        <w:rPr>
          <w:i/>
          <w:iCs/>
        </w:rPr>
      </w:pPr>
      <w:r w:rsidRPr="00E67A4C">
        <w:rPr>
          <w:i/>
          <w:iCs/>
        </w:rPr>
        <w:t>Note: For New Zealand businesses, this information is sought at Question</w:t>
      </w:r>
      <w:r w:rsidR="00CD5589" w:rsidRPr="00E67A4C">
        <w:rPr>
          <w:i/>
          <w:iCs/>
        </w:rPr>
        <w:t xml:space="preserve"> 2</w:t>
      </w:r>
      <w:r w:rsidRPr="00E67A4C">
        <w:rPr>
          <w:i/>
          <w:iCs/>
        </w:rPr>
        <w:t>.</w:t>
      </w:r>
    </w:p>
    <w:p w14:paraId="25C8AB9B" w14:textId="77777777" w:rsidR="000A2098" w:rsidRPr="00E67A4C" w:rsidRDefault="000A2098" w:rsidP="00F174D4">
      <w:pPr>
        <w:pStyle w:val="ListParagraph"/>
        <w:spacing w:after="40"/>
        <w:ind w:left="360"/>
        <w:jc w:val="both"/>
        <w:rPr>
          <w:rStyle w:val="Heading1Char"/>
          <w:rFonts w:ascii="Times New Roman" w:hAnsi="Times New Roman" w:cs="Times New Roman"/>
          <w:b w:val="0"/>
          <w:sz w:val="24"/>
          <w:szCs w:val="24"/>
        </w:rPr>
      </w:pPr>
    </w:p>
    <w:p w14:paraId="42B75F9F" w14:textId="437824B4" w:rsidR="0004125A" w:rsidRPr="00812051" w:rsidRDefault="00467564" w:rsidP="00812051">
      <w:pPr>
        <w:pStyle w:val="Heading2"/>
        <w:rPr>
          <w:rStyle w:val="Heading1Char"/>
          <w:rFonts w:ascii="Times New Roman" w:hAnsi="Times New Roman" w:cs="Times New Roman"/>
          <w:b/>
          <w:bCs/>
          <w:kern w:val="0"/>
          <w:szCs w:val="28"/>
        </w:rPr>
      </w:pPr>
      <w:bookmarkStart w:id="82" w:name="_Toc426380838"/>
      <w:bookmarkStart w:id="83" w:name="_Toc426380903"/>
      <w:bookmarkStart w:id="84" w:name="_Toc426380934"/>
      <w:bookmarkStart w:id="85" w:name="_Toc51165288"/>
      <w:r w:rsidRPr="00812051">
        <w:rPr>
          <w:rStyle w:val="Heading1Char"/>
          <w:rFonts w:ascii="Times New Roman" w:hAnsi="Times New Roman" w:cs="Times New Roman"/>
          <w:b/>
          <w:bCs/>
          <w:kern w:val="0"/>
          <w:szCs w:val="28"/>
        </w:rPr>
        <w:t>6</w:t>
      </w:r>
      <w:r w:rsidR="00EA1E18" w:rsidRPr="00812051">
        <w:rPr>
          <w:rStyle w:val="Heading1Char"/>
          <w:rFonts w:ascii="Times New Roman" w:hAnsi="Times New Roman" w:cs="Times New Roman"/>
          <w:b/>
          <w:bCs/>
          <w:kern w:val="0"/>
          <w:szCs w:val="28"/>
        </w:rPr>
        <w:t xml:space="preserve"> </w:t>
      </w:r>
      <w:r w:rsidR="0004125A" w:rsidRPr="00812051">
        <w:rPr>
          <w:rStyle w:val="Heading1Char"/>
          <w:rFonts w:ascii="Times New Roman" w:hAnsi="Times New Roman" w:cs="Times New Roman"/>
          <w:b/>
          <w:bCs/>
          <w:kern w:val="0"/>
          <w:szCs w:val="28"/>
        </w:rPr>
        <w:t>Consultation</w:t>
      </w:r>
      <w:bookmarkEnd w:id="82"/>
      <w:bookmarkEnd w:id="83"/>
      <w:bookmarkEnd w:id="84"/>
      <w:bookmarkEnd w:id="85"/>
    </w:p>
    <w:p w14:paraId="5CC253D3" w14:textId="35401BC1" w:rsidR="009A23A7" w:rsidRPr="00E67A4C" w:rsidRDefault="009A23A7" w:rsidP="00EA1E18">
      <w:pPr>
        <w:spacing w:after="40"/>
        <w:jc w:val="both"/>
      </w:pPr>
      <w:r w:rsidRPr="00E67A4C">
        <w:t>A summary of the findings from this consultation paper will be presented in the D</w:t>
      </w:r>
      <w:r w:rsidR="000C21C7" w:rsidRPr="00E67A4C">
        <w:t xml:space="preserve">ecision </w:t>
      </w:r>
      <w:r w:rsidRPr="00E67A4C">
        <w:t>RIS</w:t>
      </w:r>
      <w:r w:rsidR="00F3496F" w:rsidRPr="00E67A4C">
        <w:t>.</w:t>
      </w:r>
      <w:r w:rsidRPr="00E67A4C">
        <w:t xml:space="preserve"> </w:t>
      </w:r>
    </w:p>
    <w:p w14:paraId="2616AB2F" w14:textId="77777777" w:rsidR="007F0E57" w:rsidRPr="00E67A4C" w:rsidRDefault="007F0E57" w:rsidP="00EA1E18">
      <w:pPr>
        <w:spacing w:after="40"/>
        <w:jc w:val="both"/>
      </w:pPr>
    </w:p>
    <w:p w14:paraId="4EB1E245" w14:textId="10A84454" w:rsidR="0004125A" w:rsidRPr="00812051" w:rsidRDefault="00467564" w:rsidP="00812051">
      <w:pPr>
        <w:pStyle w:val="Heading2"/>
        <w:rPr>
          <w:rStyle w:val="Heading1Char"/>
          <w:rFonts w:ascii="Times New Roman" w:hAnsi="Times New Roman" w:cs="Times New Roman"/>
          <w:b/>
          <w:bCs/>
          <w:kern w:val="0"/>
          <w:szCs w:val="28"/>
        </w:rPr>
      </w:pPr>
      <w:bookmarkStart w:id="86" w:name="_Toc426380839"/>
      <w:bookmarkStart w:id="87" w:name="_Toc426380904"/>
      <w:bookmarkStart w:id="88" w:name="_Toc426380935"/>
      <w:bookmarkStart w:id="89" w:name="_Toc51165289"/>
      <w:r w:rsidRPr="00812051">
        <w:rPr>
          <w:rStyle w:val="Heading1Char"/>
          <w:rFonts w:ascii="Times New Roman" w:hAnsi="Times New Roman" w:cs="Times New Roman"/>
          <w:b/>
          <w:bCs/>
          <w:kern w:val="0"/>
          <w:szCs w:val="28"/>
        </w:rPr>
        <w:t>7</w:t>
      </w:r>
      <w:r w:rsidR="00EA1E18" w:rsidRPr="00812051">
        <w:rPr>
          <w:rStyle w:val="Heading1Char"/>
          <w:rFonts w:ascii="Times New Roman" w:hAnsi="Times New Roman" w:cs="Times New Roman"/>
          <w:b/>
          <w:bCs/>
          <w:kern w:val="0"/>
          <w:szCs w:val="28"/>
        </w:rPr>
        <w:t xml:space="preserve"> </w:t>
      </w:r>
      <w:bookmarkEnd w:id="86"/>
      <w:bookmarkEnd w:id="87"/>
      <w:bookmarkEnd w:id="88"/>
      <w:r w:rsidR="00643F04" w:rsidRPr="00812051">
        <w:rPr>
          <w:rStyle w:val="Heading1Char"/>
          <w:rFonts w:ascii="Times New Roman" w:hAnsi="Times New Roman" w:cs="Times New Roman"/>
          <w:b/>
          <w:bCs/>
          <w:kern w:val="0"/>
          <w:szCs w:val="28"/>
        </w:rPr>
        <w:t>Preferred Option</w:t>
      </w:r>
      <w:bookmarkEnd w:id="89"/>
    </w:p>
    <w:p w14:paraId="4BBBE665" w14:textId="167B2D3D" w:rsidR="00F3496F" w:rsidRPr="00E67A4C" w:rsidRDefault="00B542E6" w:rsidP="00EA1E18">
      <w:pPr>
        <w:spacing w:after="40"/>
        <w:jc w:val="both"/>
      </w:pPr>
      <w:bookmarkStart w:id="90" w:name="_Hlk27475944"/>
      <w:r w:rsidRPr="00E67A4C">
        <w:t xml:space="preserve">Submissions received in response to this </w:t>
      </w:r>
      <w:r w:rsidR="00D712ED" w:rsidRPr="00E67A4C">
        <w:t>C</w:t>
      </w:r>
      <w:r w:rsidRPr="00E67A4C">
        <w:t xml:space="preserve">onsultation RIS will be used to prepare </w:t>
      </w:r>
      <w:r w:rsidR="00B36DCD" w:rsidRPr="00E67A4C">
        <w:t>the</w:t>
      </w:r>
      <w:r w:rsidRPr="00E67A4C">
        <w:t xml:space="preserve"> Decision RIS </w:t>
      </w:r>
      <w:r w:rsidR="006B71CA" w:rsidRPr="00E67A4C">
        <w:t xml:space="preserve">which will </w:t>
      </w:r>
      <w:r w:rsidRPr="00E67A4C">
        <w:t>recommend a preferred option to the Forum. The option recommended to the Forum will be t</w:t>
      </w:r>
      <w:r w:rsidR="00803223" w:rsidRPr="00E67A4C">
        <w:t>he one</w:t>
      </w:r>
      <w:r w:rsidRPr="00E67A4C">
        <w:t xml:space="preserve"> </w:t>
      </w:r>
      <w:r w:rsidRPr="00E67A4C">
        <w:rPr>
          <w:rFonts w:eastAsia="Calibri"/>
        </w:rPr>
        <w:t xml:space="preserve">likely to have the highest </w:t>
      </w:r>
      <w:r w:rsidR="00E87628" w:rsidRPr="00E67A4C">
        <w:rPr>
          <w:rFonts w:eastAsia="Calibri"/>
        </w:rPr>
        <w:t xml:space="preserve">estimated </w:t>
      </w:r>
      <w:r w:rsidRPr="00E67A4C">
        <w:rPr>
          <w:rFonts w:eastAsia="Calibri"/>
        </w:rPr>
        <w:t>net benefit</w:t>
      </w:r>
      <w:r w:rsidR="001952C5" w:rsidRPr="00E67A4C">
        <w:rPr>
          <w:rFonts w:eastAsia="Calibri"/>
        </w:rPr>
        <w:t xml:space="preserve">. </w:t>
      </w:r>
      <w:bookmarkStart w:id="91" w:name="_Hlk50359280"/>
      <w:r w:rsidR="001952C5" w:rsidRPr="00E67A4C">
        <w:rPr>
          <w:rFonts w:eastAsia="Calibri"/>
        </w:rPr>
        <w:t>C</w:t>
      </w:r>
      <w:r w:rsidR="005C53D4" w:rsidRPr="00E67A4C">
        <w:rPr>
          <w:rFonts w:eastAsia="Calibri"/>
        </w:rPr>
        <w:t xml:space="preserve">onsideration </w:t>
      </w:r>
      <w:r w:rsidR="001952C5" w:rsidRPr="00E67A4C">
        <w:rPr>
          <w:rFonts w:eastAsia="Calibri"/>
        </w:rPr>
        <w:t xml:space="preserve">will be </w:t>
      </w:r>
      <w:r w:rsidR="005C53D4" w:rsidRPr="00E67A4C">
        <w:rPr>
          <w:rFonts w:eastAsia="Calibri"/>
        </w:rPr>
        <w:t xml:space="preserve">given to how </w:t>
      </w:r>
      <w:r w:rsidR="005C53D4" w:rsidRPr="006E3B7E">
        <w:rPr>
          <w:rFonts w:eastAsia="Calibri"/>
        </w:rPr>
        <w:t xml:space="preserve">effectively it </w:t>
      </w:r>
      <w:r w:rsidR="00315EF5" w:rsidRPr="006E3B7E">
        <w:rPr>
          <w:rFonts w:eastAsia="Calibri"/>
        </w:rPr>
        <w:t>rectifies the policy problem</w:t>
      </w:r>
      <w:r w:rsidR="00DC7704" w:rsidRPr="006E3B7E">
        <w:rPr>
          <w:rFonts w:eastAsia="Calibri"/>
        </w:rPr>
        <w:t xml:space="preserve">, </w:t>
      </w:r>
      <w:r w:rsidRPr="006E3B7E">
        <w:t xml:space="preserve">achieves the </w:t>
      </w:r>
      <w:r w:rsidR="005442C3" w:rsidRPr="006E3B7E">
        <w:t>objectives</w:t>
      </w:r>
      <w:r w:rsidRPr="006E3B7E">
        <w:t xml:space="preserve">, feasibility, and </w:t>
      </w:r>
      <w:r w:rsidR="002B67EC" w:rsidRPr="006E3B7E">
        <w:t xml:space="preserve">associated implementation </w:t>
      </w:r>
      <w:r w:rsidRPr="006E3B7E">
        <w:t>cost</w:t>
      </w:r>
      <w:r w:rsidR="002B67EC" w:rsidRPr="006E3B7E">
        <w:t>s</w:t>
      </w:r>
      <w:r w:rsidRPr="006E3B7E">
        <w:t>.</w:t>
      </w:r>
      <w:bookmarkEnd w:id="91"/>
      <w:r w:rsidRPr="006E3B7E">
        <w:t xml:space="preserve"> </w:t>
      </w:r>
      <w:r w:rsidR="00E53F3B" w:rsidRPr="006E3B7E">
        <w:t xml:space="preserve">A primary factor in determining the highest net benefit is the change in the number of outlets/businesses and consumers affected, rather than a reliance on the cost per outlet/business estimates. </w:t>
      </w:r>
      <w:r w:rsidR="00F3496F" w:rsidRPr="006E3B7E">
        <w:t>Depending</w:t>
      </w:r>
      <w:r w:rsidR="00F3496F" w:rsidRPr="00E67A4C">
        <w:t xml:space="preserve"> on the volume and complexity of submissions received, it is expected that the Decision RIS will be presented to the Forum in late 2021.</w:t>
      </w:r>
    </w:p>
    <w:p w14:paraId="00C58D9F" w14:textId="77777777" w:rsidR="00862868" w:rsidRPr="00E67A4C" w:rsidRDefault="00862868" w:rsidP="00EA1E18">
      <w:pPr>
        <w:spacing w:after="40"/>
        <w:jc w:val="both"/>
      </w:pPr>
    </w:p>
    <w:p w14:paraId="6C780CF2" w14:textId="700338AC" w:rsidR="003A2683" w:rsidRDefault="00D77A31" w:rsidP="00862868">
      <w:pPr>
        <w:pBdr>
          <w:top w:val="single" w:sz="4" w:space="1" w:color="auto"/>
          <w:left w:val="single" w:sz="4" w:space="4" w:color="auto"/>
          <w:bottom w:val="single" w:sz="4" w:space="1" w:color="auto"/>
          <w:right w:val="single" w:sz="4" w:space="4" w:color="auto"/>
        </w:pBdr>
        <w:spacing w:after="40"/>
        <w:jc w:val="both"/>
      </w:pPr>
      <w:r w:rsidRPr="00E67A4C">
        <w:rPr>
          <w:b/>
        </w:rPr>
        <w:t xml:space="preserve">Consultation question </w:t>
      </w:r>
      <w:r w:rsidR="00784DE9" w:rsidRPr="00E67A4C">
        <w:rPr>
          <w:b/>
        </w:rPr>
        <w:t>2</w:t>
      </w:r>
      <w:r w:rsidR="00E712BE" w:rsidRPr="00E67A4C">
        <w:rPr>
          <w:b/>
        </w:rPr>
        <w:t>1</w:t>
      </w:r>
      <w:r w:rsidRPr="00E67A4C">
        <w:rPr>
          <w:b/>
        </w:rPr>
        <w:t>:</w:t>
      </w:r>
      <w:r w:rsidRPr="00E67A4C">
        <w:t xml:space="preserve"> What is your preferred option and why?</w:t>
      </w:r>
    </w:p>
    <w:p w14:paraId="46A21758" w14:textId="77777777" w:rsidR="004E3E67" w:rsidRPr="004E3E67" w:rsidRDefault="004E3E67" w:rsidP="00862868">
      <w:pPr>
        <w:pBdr>
          <w:top w:val="single" w:sz="4" w:space="1" w:color="auto"/>
          <w:left w:val="single" w:sz="4" w:space="4" w:color="auto"/>
          <w:bottom w:val="single" w:sz="4" w:space="1" w:color="auto"/>
          <w:right w:val="single" w:sz="4" w:space="4" w:color="auto"/>
        </w:pBdr>
        <w:spacing w:after="40"/>
        <w:jc w:val="both"/>
        <w:rPr>
          <w:sz w:val="16"/>
          <w:szCs w:val="16"/>
        </w:rPr>
      </w:pPr>
    </w:p>
    <w:p w14:paraId="5E239E63" w14:textId="241DB1D3" w:rsidR="00862868" w:rsidRPr="00E67A4C" w:rsidRDefault="00862868" w:rsidP="00862868">
      <w:pPr>
        <w:pBdr>
          <w:top w:val="single" w:sz="4" w:space="1" w:color="auto"/>
          <w:left w:val="single" w:sz="4" w:space="4" w:color="auto"/>
          <w:bottom w:val="single" w:sz="4" w:space="1" w:color="auto"/>
          <w:right w:val="single" w:sz="4" w:space="4" w:color="auto"/>
        </w:pBdr>
        <w:spacing w:after="40"/>
        <w:jc w:val="both"/>
      </w:pPr>
      <w:r w:rsidRPr="00E67A4C">
        <w:rPr>
          <w:b/>
          <w:bCs/>
        </w:rPr>
        <w:t>Consultation question 22</w:t>
      </w:r>
      <w:r w:rsidRPr="00E67A4C">
        <w:t>: If Option 4 is your preferred option, how do you see it being implemented and operationalised?</w:t>
      </w:r>
    </w:p>
    <w:p w14:paraId="5BBB7421" w14:textId="3E338ED3" w:rsidR="0004125A" w:rsidRPr="00812051" w:rsidRDefault="00467564" w:rsidP="00812051">
      <w:pPr>
        <w:pStyle w:val="Heading2"/>
        <w:rPr>
          <w:rStyle w:val="Heading1Char"/>
          <w:rFonts w:ascii="Times New Roman" w:hAnsi="Times New Roman" w:cs="Times New Roman"/>
          <w:b/>
          <w:bCs/>
          <w:kern w:val="0"/>
          <w:szCs w:val="28"/>
        </w:rPr>
      </w:pPr>
      <w:bookmarkStart w:id="92" w:name="_Toc426380840"/>
      <w:bookmarkStart w:id="93" w:name="_Toc426380905"/>
      <w:bookmarkStart w:id="94" w:name="_Toc426380936"/>
      <w:bookmarkStart w:id="95" w:name="_Toc51165290"/>
      <w:bookmarkEnd w:id="90"/>
      <w:r w:rsidRPr="00812051">
        <w:rPr>
          <w:rStyle w:val="Heading1Char"/>
          <w:rFonts w:ascii="Times New Roman" w:hAnsi="Times New Roman" w:cs="Times New Roman"/>
          <w:b/>
          <w:bCs/>
          <w:kern w:val="0"/>
          <w:szCs w:val="28"/>
        </w:rPr>
        <w:t>8</w:t>
      </w:r>
      <w:r w:rsidR="00EA1E18" w:rsidRPr="00812051">
        <w:rPr>
          <w:rStyle w:val="Heading1Char"/>
          <w:rFonts w:ascii="Times New Roman" w:hAnsi="Times New Roman" w:cs="Times New Roman"/>
          <w:b/>
          <w:bCs/>
          <w:kern w:val="0"/>
          <w:szCs w:val="28"/>
        </w:rPr>
        <w:t xml:space="preserve"> </w:t>
      </w:r>
      <w:r w:rsidR="0004125A" w:rsidRPr="00812051">
        <w:rPr>
          <w:rStyle w:val="Heading1Char"/>
          <w:rFonts w:ascii="Times New Roman" w:hAnsi="Times New Roman" w:cs="Times New Roman"/>
          <w:b/>
          <w:bCs/>
          <w:kern w:val="0"/>
          <w:szCs w:val="28"/>
        </w:rPr>
        <w:t>Implementation and review</w:t>
      </w:r>
      <w:bookmarkEnd w:id="92"/>
      <w:bookmarkEnd w:id="93"/>
      <w:bookmarkEnd w:id="94"/>
      <w:bookmarkEnd w:id="95"/>
    </w:p>
    <w:p w14:paraId="4162EA0F" w14:textId="13CAC9F8" w:rsidR="00D473D2" w:rsidRPr="00E67A4C" w:rsidRDefault="00544B5F" w:rsidP="00D473D2">
      <w:pPr>
        <w:spacing w:after="40"/>
        <w:jc w:val="both"/>
      </w:pPr>
      <w:r w:rsidRPr="00E67A4C">
        <w:t>I</w:t>
      </w:r>
      <w:r w:rsidR="00B542E6" w:rsidRPr="00E67A4C">
        <w:t xml:space="preserve">mplementation and </w:t>
      </w:r>
      <w:r w:rsidR="00CB5546" w:rsidRPr="00E67A4C">
        <w:t xml:space="preserve">other </w:t>
      </w:r>
      <w:r w:rsidR="00B542E6" w:rsidRPr="00E67A4C">
        <w:t xml:space="preserve">technical issues will be considered </w:t>
      </w:r>
      <w:r w:rsidR="00AC2828" w:rsidRPr="00E67A4C">
        <w:t xml:space="preserve">by the appropriate </w:t>
      </w:r>
      <w:r w:rsidR="00F94EF6" w:rsidRPr="00E67A4C">
        <w:t xml:space="preserve">entities </w:t>
      </w:r>
      <w:r w:rsidR="00B542E6" w:rsidRPr="00E67A4C">
        <w:t>following the Forum’s decision</w:t>
      </w:r>
      <w:r w:rsidR="00B542E6" w:rsidRPr="00E67A4C">
        <w:rPr>
          <w:color w:val="000000"/>
          <w:lang w:eastAsia="en-AU"/>
        </w:rPr>
        <w:t xml:space="preserve">. </w:t>
      </w:r>
      <w:bookmarkEnd w:id="6"/>
      <w:r w:rsidR="005922A2" w:rsidRPr="00E67A4C">
        <w:rPr>
          <w:color w:val="000000"/>
          <w:lang w:eastAsia="en-AU"/>
        </w:rPr>
        <w:t xml:space="preserve">Any </w:t>
      </w:r>
      <w:r w:rsidR="009D5604" w:rsidRPr="00E67A4C">
        <w:rPr>
          <w:color w:val="000000"/>
          <w:lang w:eastAsia="en-AU"/>
        </w:rPr>
        <w:t xml:space="preserve">information related to implementation </w:t>
      </w:r>
      <w:r w:rsidR="00284B86" w:rsidRPr="00E67A4C">
        <w:rPr>
          <w:color w:val="000000"/>
          <w:lang w:eastAsia="en-AU"/>
        </w:rPr>
        <w:t xml:space="preserve">or technical issues </w:t>
      </w:r>
      <w:r w:rsidR="00D473D2" w:rsidRPr="00E67A4C">
        <w:t xml:space="preserve">identified by stakeholders </w:t>
      </w:r>
      <w:r w:rsidR="00284B86" w:rsidRPr="00E67A4C">
        <w:t xml:space="preserve">will be collated and provided </w:t>
      </w:r>
      <w:r w:rsidR="00B47EAD" w:rsidRPr="00E67A4C">
        <w:t>as appropriate</w:t>
      </w:r>
      <w:r w:rsidR="00D473D2" w:rsidRPr="00E67A4C">
        <w:t xml:space="preserve">. </w:t>
      </w:r>
    </w:p>
    <w:p w14:paraId="67959671" w14:textId="70B958CC" w:rsidR="00E41200" w:rsidRPr="00E67A4C" w:rsidRDefault="00E41200" w:rsidP="00D473D2">
      <w:pPr>
        <w:spacing w:after="40"/>
        <w:jc w:val="both"/>
      </w:pPr>
    </w:p>
    <w:p w14:paraId="0FA7C4BD" w14:textId="49578EBF" w:rsidR="00916903" w:rsidRPr="00E67A4C" w:rsidRDefault="00A0731D" w:rsidP="0076377E">
      <w:pPr>
        <w:spacing w:after="40"/>
        <w:jc w:val="both"/>
      </w:pPr>
      <w:r w:rsidRPr="00E67A4C">
        <w:t xml:space="preserve">Monitoring and evaluation were identified by </w:t>
      </w:r>
      <w:r w:rsidR="00DC1E31" w:rsidRPr="00E67A4C">
        <w:t xml:space="preserve">Australian </w:t>
      </w:r>
      <w:r w:rsidRPr="00E67A4C">
        <w:t>stakeholders as important components of menu labelling regulation.</w:t>
      </w:r>
      <w:r w:rsidR="005C3997" w:rsidRPr="00E67A4C">
        <w:t xml:space="preserve"> </w:t>
      </w:r>
      <w:r w:rsidR="00E01DC8" w:rsidRPr="00E67A4C">
        <w:t>Both t</w:t>
      </w:r>
      <w:r w:rsidR="00D6054D" w:rsidRPr="00E67A4C">
        <w:t xml:space="preserve">he </w:t>
      </w:r>
      <w:r w:rsidR="008F674E" w:rsidRPr="00E67A4C">
        <w:t>proposed P</w:t>
      </w:r>
      <w:r w:rsidR="00D6054D" w:rsidRPr="00E67A4C">
        <w:t xml:space="preserve">olicy </w:t>
      </w:r>
      <w:r w:rsidR="008F674E" w:rsidRPr="00E67A4C">
        <w:t>G</w:t>
      </w:r>
      <w:r w:rsidR="00D6054D" w:rsidRPr="00E67A4C">
        <w:t>uid</w:t>
      </w:r>
      <w:r w:rsidR="00F35AFE" w:rsidRPr="00E67A4C">
        <w:t>eline</w:t>
      </w:r>
      <w:r w:rsidR="008F674E" w:rsidRPr="00E67A4C">
        <w:t xml:space="preserve"> (Option </w:t>
      </w:r>
      <w:r w:rsidR="00285FE3" w:rsidRPr="00E67A4C">
        <w:t>3</w:t>
      </w:r>
      <w:r w:rsidR="008F674E" w:rsidRPr="00E67A4C">
        <w:t>)</w:t>
      </w:r>
      <w:r w:rsidR="00E01DC8" w:rsidRPr="00E67A4C">
        <w:t xml:space="preserve"> and the Amended Principles (Option </w:t>
      </w:r>
      <w:r w:rsidR="00285FE3" w:rsidRPr="00E67A4C">
        <w:t>2</w:t>
      </w:r>
      <w:r w:rsidR="00E01DC8" w:rsidRPr="00E67A4C">
        <w:t>)</w:t>
      </w:r>
      <w:r w:rsidR="004E7704" w:rsidRPr="00E67A4C">
        <w:t xml:space="preserve"> recommend a coordinated, collaborative</w:t>
      </w:r>
      <w:r w:rsidR="000536FF" w:rsidRPr="00E67A4C">
        <w:t xml:space="preserve">, bi-national </w:t>
      </w:r>
      <w:r w:rsidR="00165107" w:rsidRPr="00E67A4C">
        <w:t xml:space="preserve">evaluation </w:t>
      </w:r>
      <w:r w:rsidR="000536FF" w:rsidRPr="00E67A4C">
        <w:t>approach to</w:t>
      </w:r>
      <w:r w:rsidR="00165107" w:rsidRPr="00E67A4C">
        <w:t xml:space="preserve"> ensure consistency and </w:t>
      </w:r>
      <w:r w:rsidR="003841D8" w:rsidRPr="00E67A4C">
        <w:t xml:space="preserve">maximum limited government resources. </w:t>
      </w:r>
      <w:r w:rsidR="00D8025F" w:rsidRPr="00E67A4C">
        <w:t xml:space="preserve">Possible </w:t>
      </w:r>
      <w:r w:rsidR="00832FA4" w:rsidRPr="00E67A4C">
        <w:t>i</w:t>
      </w:r>
      <w:r w:rsidR="00D8025F" w:rsidRPr="00E67A4C">
        <w:t xml:space="preserve">ndicators to include in </w:t>
      </w:r>
      <w:r w:rsidR="00F35AFE" w:rsidRPr="00E67A4C">
        <w:t>an</w:t>
      </w:r>
      <w:r w:rsidR="001A3DE2" w:rsidRPr="00E67A4C">
        <w:t xml:space="preserve"> evaluation include</w:t>
      </w:r>
      <w:r w:rsidR="00476043" w:rsidRPr="00E67A4C">
        <w:t xml:space="preserve"> the </w:t>
      </w:r>
      <w:r w:rsidR="00832FA4" w:rsidRPr="00E67A4C">
        <w:t xml:space="preserve">level of </w:t>
      </w:r>
      <w:r w:rsidR="008F7216" w:rsidRPr="00E67A4C">
        <w:t xml:space="preserve">and cost of </w:t>
      </w:r>
      <w:r w:rsidR="00832FA4" w:rsidRPr="00E67A4C">
        <w:t>business compliance</w:t>
      </w:r>
      <w:r w:rsidR="00151A87" w:rsidRPr="00E67A4C">
        <w:t>;</w:t>
      </w:r>
      <w:r w:rsidR="00476043" w:rsidRPr="00E67A4C">
        <w:t xml:space="preserve"> </w:t>
      </w:r>
      <w:r w:rsidR="00B92DB4" w:rsidRPr="00E67A4C">
        <w:t xml:space="preserve">impacts on </w:t>
      </w:r>
      <w:r w:rsidR="00D50507" w:rsidRPr="00E67A4C">
        <w:t>consumer knowledge</w:t>
      </w:r>
      <w:r w:rsidR="00476043" w:rsidRPr="00E67A4C">
        <w:t xml:space="preserve">, </w:t>
      </w:r>
      <w:r w:rsidR="00D50507" w:rsidRPr="00E67A4C">
        <w:t>understanding</w:t>
      </w:r>
      <w:r w:rsidR="00476043" w:rsidRPr="00E67A4C">
        <w:t xml:space="preserve">, </w:t>
      </w:r>
      <w:r w:rsidR="00D50507" w:rsidRPr="00E67A4C">
        <w:t xml:space="preserve">food purchasing </w:t>
      </w:r>
      <w:r w:rsidR="00EC5552" w:rsidRPr="00E67A4C">
        <w:t>behaviours</w:t>
      </w:r>
      <w:r w:rsidR="004E71DE" w:rsidRPr="00E67A4C">
        <w:t xml:space="preserve"> and food consumption; and </w:t>
      </w:r>
      <w:r w:rsidR="004163CF" w:rsidRPr="00E67A4C">
        <w:t xml:space="preserve">changes in nutritional profile of available </w:t>
      </w:r>
      <w:r w:rsidR="00326C41" w:rsidRPr="00E67A4C">
        <w:t>food and drinks</w:t>
      </w:r>
      <w:r w:rsidR="00B92DB4" w:rsidRPr="00E67A4C">
        <w:t>.</w:t>
      </w:r>
      <w:r w:rsidR="00B54F8C" w:rsidRPr="00E67A4C">
        <w:br w:type="page"/>
      </w:r>
      <w:bookmarkStart w:id="96" w:name="_Hlk530408105"/>
    </w:p>
    <w:p w14:paraId="14254564" w14:textId="1C83CC7D" w:rsidR="00C8402E" w:rsidRPr="00E67A4C" w:rsidRDefault="00C8402E" w:rsidP="00812051">
      <w:pPr>
        <w:pStyle w:val="Heading2"/>
        <w:rPr>
          <w:rStyle w:val="Heading1Char"/>
          <w:rFonts w:ascii="Times New Roman" w:hAnsi="Times New Roman" w:cs="Times New Roman"/>
          <w:b/>
          <w:bCs/>
          <w:szCs w:val="28"/>
        </w:rPr>
      </w:pPr>
      <w:bookmarkStart w:id="97" w:name="_Toc47605596"/>
      <w:bookmarkStart w:id="98" w:name="_Toc51165291"/>
      <w:bookmarkStart w:id="99" w:name="_Hlk40447625"/>
      <w:r w:rsidRPr="00E67A4C">
        <w:rPr>
          <w:rStyle w:val="Heading1Char"/>
          <w:rFonts w:ascii="Times New Roman" w:hAnsi="Times New Roman" w:cs="Times New Roman"/>
          <w:b/>
          <w:bCs/>
          <w:szCs w:val="28"/>
        </w:rPr>
        <w:lastRenderedPageBreak/>
        <w:t xml:space="preserve">Appendix </w:t>
      </w:r>
      <w:r w:rsidR="00BC3AEE" w:rsidRPr="00E67A4C">
        <w:rPr>
          <w:rStyle w:val="Heading1Char"/>
          <w:rFonts w:ascii="Times New Roman" w:hAnsi="Times New Roman" w:cs="Times New Roman"/>
          <w:b/>
          <w:bCs/>
          <w:szCs w:val="28"/>
        </w:rPr>
        <w:t>1</w:t>
      </w:r>
      <w:r w:rsidRPr="00E67A4C">
        <w:rPr>
          <w:rStyle w:val="Heading1Char"/>
          <w:rFonts w:ascii="Times New Roman" w:hAnsi="Times New Roman" w:cs="Times New Roman"/>
          <w:b/>
          <w:bCs/>
          <w:szCs w:val="28"/>
        </w:rPr>
        <w:t>: Consideration of stakeholder views in option development</w:t>
      </w:r>
      <w:bookmarkEnd w:id="97"/>
      <w:bookmarkEnd w:id="98"/>
    </w:p>
    <w:p w14:paraId="624B2A4A" w14:textId="6157BB53" w:rsidR="009A2E73" w:rsidRPr="00E67A4C" w:rsidRDefault="009A2E73" w:rsidP="009A2E73"/>
    <w:p w14:paraId="51C2AA8B" w14:textId="58084EED" w:rsidR="00316F55" w:rsidRPr="00E67A4C" w:rsidRDefault="009A2E73" w:rsidP="009A2E73">
      <w:pPr>
        <w:pStyle w:val="BodyText1"/>
        <w:spacing w:after="40" w:line="240" w:lineRule="auto"/>
        <w:jc w:val="both"/>
        <w:rPr>
          <w:rFonts w:ascii="Times New Roman" w:hAnsi="Times New Roman"/>
          <w:sz w:val="24"/>
        </w:rPr>
      </w:pPr>
      <w:r w:rsidRPr="00E67A4C">
        <w:rPr>
          <w:rFonts w:ascii="Times New Roman" w:hAnsi="Times New Roman"/>
          <w:sz w:val="24"/>
        </w:rPr>
        <w:t xml:space="preserve">During 2018, two rounds of consultation with Australian food industry, public health organisations and consumer representatives were undertaken. </w:t>
      </w:r>
      <w:r w:rsidR="00316F55" w:rsidRPr="00E67A4C">
        <w:rPr>
          <w:rFonts w:ascii="Times New Roman" w:hAnsi="Times New Roman"/>
          <w:sz w:val="24"/>
        </w:rPr>
        <w:t xml:space="preserve">New Zealand stakeholders were not consulted as menu labelling </w:t>
      </w:r>
      <w:r w:rsidR="00CA75F1" w:rsidRPr="00E67A4C">
        <w:rPr>
          <w:rFonts w:ascii="Times New Roman" w:hAnsi="Times New Roman"/>
          <w:sz w:val="24"/>
        </w:rPr>
        <w:t>had not been mandated</w:t>
      </w:r>
      <w:r w:rsidR="00316F55" w:rsidRPr="00E67A4C">
        <w:rPr>
          <w:rFonts w:ascii="Times New Roman" w:hAnsi="Times New Roman"/>
          <w:sz w:val="24"/>
        </w:rPr>
        <w:t>.</w:t>
      </w:r>
    </w:p>
    <w:p w14:paraId="5445A448" w14:textId="77777777" w:rsidR="009A2E73" w:rsidRPr="00E67A4C" w:rsidRDefault="009A2E73" w:rsidP="009A2E73">
      <w:pPr>
        <w:pStyle w:val="BodyText1"/>
        <w:spacing w:after="40" w:line="240" w:lineRule="auto"/>
        <w:jc w:val="both"/>
        <w:rPr>
          <w:rFonts w:ascii="Times New Roman" w:hAnsi="Times New Roman"/>
          <w:sz w:val="24"/>
        </w:rPr>
      </w:pPr>
    </w:p>
    <w:p w14:paraId="16DE8832" w14:textId="6443EAB6" w:rsidR="009A2E73" w:rsidRPr="00E67A4C" w:rsidRDefault="009A2E73" w:rsidP="009A2E73">
      <w:pPr>
        <w:pStyle w:val="BodyText1"/>
        <w:spacing w:after="40" w:line="240" w:lineRule="auto"/>
        <w:jc w:val="both"/>
        <w:rPr>
          <w:rFonts w:ascii="Times New Roman" w:hAnsi="Times New Roman"/>
          <w:sz w:val="24"/>
        </w:rPr>
      </w:pPr>
      <w:r w:rsidRPr="00E67A4C">
        <w:rPr>
          <w:rFonts w:ascii="Times New Roman" w:hAnsi="Times New Roman"/>
          <w:bCs/>
          <w:sz w:val="24"/>
        </w:rPr>
        <w:t xml:space="preserve">During the first round of consultation in February and March 2018, stakeholders were consulted about the issues with menu labelling schemes; specifically, </w:t>
      </w:r>
      <w:r w:rsidRPr="00E67A4C">
        <w:rPr>
          <w:rFonts w:ascii="Times New Roman" w:hAnsi="Times New Roman"/>
          <w:sz w:val="24"/>
        </w:rPr>
        <w:t>inconsistencies between jurisdictions’ menu labelling legislation; emerging trends in the food industry sector; and difficulties faced by consumers in using energy information. There were two industry-specific roundtables to which 16 organisations attended from the 83 Australian-based organisations invited. Additionally, a consultation paper</w:t>
      </w:r>
      <w:r w:rsidRPr="00E67A4C">
        <w:rPr>
          <w:rStyle w:val="FootnoteReference"/>
          <w:rFonts w:ascii="Times New Roman" w:hAnsi="Times New Roman"/>
          <w:sz w:val="24"/>
        </w:rPr>
        <w:footnoteReference w:id="62"/>
      </w:r>
      <w:r w:rsidRPr="00E67A4C">
        <w:rPr>
          <w:rFonts w:ascii="Times New Roman" w:hAnsi="Times New Roman"/>
          <w:sz w:val="24"/>
        </w:rPr>
        <w:t xml:space="preserve"> was released on the Food Regulation website </w:t>
      </w:r>
      <w:r w:rsidR="00E617EA" w:rsidRPr="00E67A4C">
        <w:rPr>
          <w:rFonts w:ascii="Times New Roman" w:hAnsi="Times New Roman"/>
          <w:sz w:val="24"/>
        </w:rPr>
        <w:t>(</w:t>
      </w:r>
      <w:hyperlink r:id="rId9" w:history="1">
        <w:r w:rsidR="00E617EA" w:rsidRPr="00E67A4C">
          <w:rPr>
            <w:rStyle w:val="Hyperlink"/>
            <w:rFonts w:ascii="Times New Roman" w:hAnsi="Times New Roman"/>
            <w:sz w:val="24"/>
          </w:rPr>
          <w:t>www.foodregulation.gov.au</w:t>
        </w:r>
      </w:hyperlink>
      <w:r w:rsidR="00E617EA" w:rsidRPr="00E67A4C">
        <w:rPr>
          <w:rFonts w:ascii="Times New Roman" w:hAnsi="Times New Roman"/>
          <w:sz w:val="24"/>
        </w:rPr>
        <w:t xml:space="preserve">) </w:t>
      </w:r>
      <w:r w:rsidRPr="00E67A4C">
        <w:rPr>
          <w:rFonts w:ascii="Times New Roman" w:hAnsi="Times New Roman"/>
          <w:sz w:val="24"/>
        </w:rPr>
        <w:t>for a six-week period. Written submissions were received from 13 public health organisations, 10 industry representatives (including one from New Zealand), four Australian State and Territory governments, and one consumer organisation. A summary of the consultation outcomes from this first round is available</w:t>
      </w:r>
      <w:r w:rsidR="00E617EA" w:rsidRPr="00E67A4C">
        <w:rPr>
          <w:rFonts w:ascii="Times New Roman" w:hAnsi="Times New Roman"/>
          <w:sz w:val="24"/>
        </w:rPr>
        <w:t xml:space="preserve"> online</w:t>
      </w:r>
      <w:r w:rsidRPr="00E67A4C">
        <w:rPr>
          <w:rFonts w:ascii="Times New Roman" w:hAnsi="Times New Roman"/>
          <w:sz w:val="24"/>
        </w:rPr>
        <w:t>.</w:t>
      </w:r>
      <w:r w:rsidRPr="00E67A4C">
        <w:rPr>
          <w:rStyle w:val="FootnoteReference"/>
          <w:rFonts w:ascii="Times New Roman" w:hAnsi="Times New Roman"/>
          <w:sz w:val="24"/>
        </w:rPr>
        <w:footnoteReference w:id="63"/>
      </w:r>
    </w:p>
    <w:p w14:paraId="69EF3860" w14:textId="29F3ECBA" w:rsidR="009A2E73" w:rsidRPr="00E67A4C" w:rsidRDefault="009A2E73" w:rsidP="009A2E73">
      <w:pPr>
        <w:pStyle w:val="BodyText1"/>
        <w:spacing w:after="40" w:line="240" w:lineRule="auto"/>
        <w:jc w:val="both"/>
        <w:rPr>
          <w:rFonts w:ascii="Times New Roman" w:hAnsi="Times New Roman"/>
          <w:sz w:val="24"/>
        </w:rPr>
      </w:pPr>
    </w:p>
    <w:p w14:paraId="18E03D0B" w14:textId="4269EB49" w:rsidR="009A2E73" w:rsidRPr="00E67A4C" w:rsidRDefault="009A2E73" w:rsidP="009A2E73">
      <w:pPr>
        <w:pStyle w:val="BodyText1"/>
        <w:spacing w:after="40" w:line="240" w:lineRule="auto"/>
        <w:jc w:val="both"/>
        <w:rPr>
          <w:rFonts w:ascii="Times New Roman" w:hAnsi="Times New Roman"/>
          <w:sz w:val="24"/>
        </w:rPr>
      </w:pPr>
      <w:r w:rsidRPr="00E67A4C">
        <w:rPr>
          <w:rFonts w:ascii="Times New Roman" w:hAnsi="Times New Roman"/>
          <w:sz w:val="24"/>
        </w:rPr>
        <w:t>A second round of consultation was held between October and December 2018 to work with stakeholders on possible solutions for five key issues: legibility; business coverage and equity; electronic menus; combination meals; multiple serve items. This involved two co-design roundtables attended by representatives from 14 industry groups and four public health organisations (55 organisations were invited). Subsequently, three time-limited working groups were established with a total of 21 members from across 11 industry groups and four public health organisations.</w:t>
      </w:r>
    </w:p>
    <w:p w14:paraId="74742EAD" w14:textId="2F20E93E" w:rsidR="009A2E73" w:rsidRPr="00E67A4C" w:rsidRDefault="009A2E73" w:rsidP="009A2E73">
      <w:pPr>
        <w:pStyle w:val="BodyText1"/>
        <w:spacing w:after="40" w:line="240" w:lineRule="auto"/>
        <w:jc w:val="both"/>
        <w:rPr>
          <w:rFonts w:ascii="Times New Roman" w:hAnsi="Times New Roman"/>
          <w:sz w:val="24"/>
        </w:rPr>
      </w:pPr>
    </w:p>
    <w:p w14:paraId="75C12C07" w14:textId="353984C3" w:rsidR="009A2E73" w:rsidRDefault="009A2E73" w:rsidP="009A2E73">
      <w:pPr>
        <w:spacing w:after="40"/>
        <w:jc w:val="both"/>
      </w:pPr>
      <w:r w:rsidRPr="00E67A4C">
        <w:t xml:space="preserve">The outcomes from these previous rounds of consultation shaped the options described in this consultation paper. </w:t>
      </w:r>
      <w:r w:rsidR="00E120A0">
        <w:t>H</w:t>
      </w:r>
      <w:r w:rsidRPr="00E67A4C">
        <w:t>ow these stakeholder views have been considered and incorporated in the</w:t>
      </w:r>
      <w:r w:rsidR="00B676CB" w:rsidRPr="00E67A4C">
        <w:t>se</w:t>
      </w:r>
      <w:r w:rsidRPr="00E67A4C">
        <w:t xml:space="preserve"> options</w:t>
      </w:r>
      <w:r w:rsidR="00E120A0">
        <w:t xml:space="preserve"> is described below</w:t>
      </w:r>
      <w:r w:rsidRPr="00E67A4C">
        <w:t>.</w:t>
      </w:r>
    </w:p>
    <w:p w14:paraId="7AA705B4" w14:textId="77777777" w:rsidR="007A74F4" w:rsidRPr="00E67A4C" w:rsidRDefault="007A74F4" w:rsidP="009A2E73">
      <w:pPr>
        <w:spacing w:after="40"/>
        <w:jc w:val="both"/>
      </w:pPr>
    </w:p>
    <w:tbl>
      <w:tblPr>
        <w:tblStyle w:val="PlainTable3"/>
        <w:tblW w:w="8959" w:type="dxa"/>
        <w:tblLook w:val="04A0" w:firstRow="1" w:lastRow="0" w:firstColumn="1" w:lastColumn="0" w:noHBand="0" w:noVBand="1"/>
        <w:tblCaption w:val="How stakeholder views have been considered and incorporated in the four options"/>
        <w:tblDescription w:val="Table describes each of the outcomes from the 2018 consultation and how these outcomes have been considered in the development of the 4 options. 2 columns. 1. Consultation Outcomes. 2. How Outcomes Considered by Options."/>
      </w:tblPr>
      <w:tblGrid>
        <w:gridCol w:w="4479"/>
        <w:gridCol w:w="4480"/>
      </w:tblGrid>
      <w:tr w:rsidR="00C8402E" w:rsidRPr="00E67A4C" w14:paraId="1792FED7" w14:textId="77777777" w:rsidTr="007A74F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79" w:type="dxa"/>
          </w:tcPr>
          <w:bookmarkEnd w:id="99"/>
          <w:p w14:paraId="74E3CBAA" w14:textId="7B429BC7" w:rsidR="00C8402E" w:rsidRPr="007A74F4" w:rsidRDefault="00605B08" w:rsidP="00AD5CA7">
            <w:pPr>
              <w:pStyle w:val="BodyText1"/>
              <w:spacing w:after="40" w:line="240" w:lineRule="auto"/>
              <w:rPr>
                <w:rFonts w:ascii="Times New Roman" w:hAnsi="Times New Roman"/>
                <w:bCs w:val="0"/>
                <w:sz w:val="20"/>
                <w:szCs w:val="20"/>
              </w:rPr>
            </w:pPr>
            <w:r w:rsidRPr="007A74F4">
              <w:rPr>
                <w:rFonts w:ascii="Times New Roman" w:hAnsi="Times New Roman"/>
                <w:bCs w:val="0"/>
                <w:caps w:val="0"/>
                <w:sz w:val="20"/>
                <w:szCs w:val="20"/>
              </w:rPr>
              <w:t>Consultation Outcomes</w:t>
            </w:r>
          </w:p>
        </w:tc>
        <w:tc>
          <w:tcPr>
            <w:tcW w:w="4480" w:type="dxa"/>
          </w:tcPr>
          <w:p w14:paraId="62093DC1" w14:textId="2A52288C" w:rsidR="00C8402E" w:rsidRPr="007A74F4" w:rsidRDefault="00605B08" w:rsidP="00AD5CA7">
            <w:pPr>
              <w:pStyle w:val="BodyText1"/>
              <w:spacing w:after="4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7A74F4">
              <w:rPr>
                <w:rFonts w:ascii="Times New Roman" w:hAnsi="Times New Roman"/>
                <w:bCs w:val="0"/>
                <w:caps w:val="0"/>
                <w:sz w:val="20"/>
                <w:szCs w:val="20"/>
              </w:rPr>
              <w:t>How Outcomes Considered by Options</w:t>
            </w:r>
          </w:p>
        </w:tc>
      </w:tr>
      <w:tr w:rsidR="00C8402E" w:rsidRPr="00E67A4C" w14:paraId="3508F16E"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7D473CE4" w14:textId="176992E5"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Addressing the inconsistencies between jurisdictions and achieving national consistency was a recurring theme throughout submissions and across the key issues canvassed. Reviewing the principles was a recommended approach where an approach was discussed. </w:t>
            </w:r>
          </w:p>
        </w:tc>
        <w:tc>
          <w:tcPr>
            <w:tcW w:w="4480" w:type="dxa"/>
          </w:tcPr>
          <w:p w14:paraId="30F7FF46" w14:textId="77777777" w:rsidR="00C8402E" w:rsidRPr="007A74F4" w:rsidRDefault="00C8402E" w:rsidP="00AD5CA7">
            <w:pPr>
              <w:pStyle w:val="BodyText1"/>
              <w:spacing w:after="4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A74F4">
              <w:rPr>
                <w:rFonts w:ascii="Times New Roman" w:hAnsi="Times New Roman"/>
                <w:sz w:val="20"/>
                <w:szCs w:val="20"/>
              </w:rPr>
              <w:t>This feedback was noted and has shaped the decision to continue working on achieving consistent menu labelling schemes. Options 2 and 3 are the result of reviewing the Principles.</w:t>
            </w:r>
          </w:p>
        </w:tc>
      </w:tr>
      <w:tr w:rsidR="00C8402E" w:rsidRPr="00E67A4C" w14:paraId="4F397BEC"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3322CA00" w14:textId="3AAAF7D0"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1: There was support among industry, public health, and government stakeholders that menu labelling be based on the type of food sold, not the type of business that sells it. These stakeholders supported the removal of exemptions for cinemas, convenience stores, service stations, dine-in restaurants, and mobile vendors.</w:t>
            </w:r>
          </w:p>
          <w:p w14:paraId="58AC2EF3" w14:textId="1535582B"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2:</w:t>
            </w:r>
            <w:r w:rsidR="00C8402E" w:rsidRPr="007A74F4">
              <w:rPr>
                <w:rFonts w:ascii="Times New Roman" w:hAnsi="Times New Roman"/>
                <w:b w:val="0"/>
                <w:bCs w:val="0"/>
                <w:sz w:val="20"/>
                <w:szCs w:val="20"/>
              </w:rPr>
              <w:t xml:space="preserve"> </w:t>
            </w:r>
            <w:r w:rsidRPr="007A74F4">
              <w:rPr>
                <w:rFonts w:ascii="Times New Roman" w:hAnsi="Times New Roman"/>
                <w:b w:val="0"/>
                <w:bCs w:val="0"/>
                <w:sz w:val="20"/>
                <w:szCs w:val="20"/>
              </w:rPr>
              <w:t>S</w:t>
            </w:r>
            <w:r w:rsidRPr="007A74F4">
              <w:rPr>
                <w:rFonts w:ascii="Times New Roman" w:hAnsi="Times New Roman"/>
                <w:b w:val="0"/>
                <w:bCs w:val="0"/>
                <w:caps w:val="0"/>
                <w:sz w:val="20"/>
                <w:szCs w:val="20"/>
              </w:rPr>
              <w:t xml:space="preserve">tandard food outlets should include convenience stores and cinemas. </w:t>
            </w:r>
          </w:p>
        </w:tc>
        <w:tc>
          <w:tcPr>
            <w:tcW w:w="4480" w:type="dxa"/>
          </w:tcPr>
          <w:p w14:paraId="60920F05" w14:textId="77777777"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Options 2 and 3 include a change to the definition of a standard food outlet and the inclusion of the policy principle focused on business equity across standard food outlets. This results in menu labelling being food-based rather than business-based.</w:t>
            </w:r>
          </w:p>
          <w:p w14:paraId="5E571E7D" w14:textId="77777777" w:rsidR="00C8402E" w:rsidRPr="007A74F4" w:rsidRDefault="00C8402E" w:rsidP="00AD5CA7">
            <w:pPr>
              <w:pStyle w:val="BodyText1"/>
              <w:spacing w:after="4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C8402E" w:rsidRPr="00E67A4C" w14:paraId="7E0575D2"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6B53F6C1" w14:textId="7CAD1399"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There was a dissenting position from three industry stakeholders currently exempt from menu labelling, that the scope should not be broadened to capture convenience stores, restaurants, and cafés. </w:t>
            </w:r>
          </w:p>
        </w:tc>
        <w:tc>
          <w:tcPr>
            <w:tcW w:w="4480" w:type="dxa"/>
          </w:tcPr>
          <w:p w14:paraId="0F2E4B25" w14:textId="77777777" w:rsidR="00C8402E" w:rsidRPr="007A74F4" w:rsidRDefault="00C8402E" w:rsidP="00AD5CA7">
            <w:pPr>
              <w:pStyle w:val="BodyText1"/>
              <w:spacing w:after="4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A74F4">
              <w:rPr>
                <w:rFonts w:ascii="Times New Roman" w:hAnsi="Times New Roman"/>
                <w:sz w:val="20"/>
                <w:szCs w:val="20"/>
              </w:rPr>
              <w:t xml:space="preserve">This feedback was noted; however, there was significant support for nationally consistent treatment of all food businesses that meet the definition of a standard food outlet. The intent of Options 2 and 3 is that convenience stores, </w:t>
            </w:r>
            <w:r w:rsidRPr="007A74F4">
              <w:rPr>
                <w:rFonts w:ascii="Times New Roman" w:hAnsi="Times New Roman"/>
                <w:sz w:val="20"/>
                <w:szCs w:val="20"/>
              </w:rPr>
              <w:lastRenderedPageBreak/>
              <w:t xml:space="preserve">restaurants and cafes are captured if meet the definition of a standard food outlet. </w:t>
            </w:r>
          </w:p>
        </w:tc>
      </w:tr>
      <w:tr w:rsidR="00C8402E" w:rsidRPr="00E67A4C" w14:paraId="7F2D3307"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32860003" w14:textId="2608C0E8"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lastRenderedPageBreak/>
              <w:t xml:space="preserve">Round 1: Maintaining the national threshold of 50 or more outlets had overall support. </w:t>
            </w:r>
          </w:p>
        </w:tc>
        <w:tc>
          <w:tcPr>
            <w:tcW w:w="4480" w:type="dxa"/>
          </w:tcPr>
          <w:p w14:paraId="59BB3D58" w14:textId="17B38D06"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Options 2 and 3 specifies that a food business is a standard food outlet if meet</w:t>
            </w:r>
            <w:r w:rsidR="00F96BD7" w:rsidRPr="007A74F4">
              <w:rPr>
                <w:sz w:val="20"/>
                <w:szCs w:val="20"/>
              </w:rPr>
              <w:t>ing</w:t>
            </w:r>
            <w:r w:rsidRPr="007A74F4">
              <w:rPr>
                <w:sz w:val="20"/>
                <w:szCs w:val="20"/>
              </w:rPr>
              <w:t xml:space="preserve"> the Australian threshold of 50 or more outlets. </w:t>
            </w:r>
          </w:p>
        </w:tc>
      </w:tr>
      <w:tr w:rsidR="00C8402E" w:rsidRPr="00E67A4C" w14:paraId="21EF464C"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040BA07D" w14:textId="1CDE5A8D"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1: Lowering the threshold to 10 outlets within a state or territory was a commonly suggested approach to extending the reach of menu labelling.</w:t>
            </w:r>
          </w:p>
          <w:p w14:paraId="4D188226" w14:textId="78518BC5"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2: Jurisdictions are encouraged to assess the appropriate state level threshold for outlet numbers; support businesses to comply as they approach the threshold; and ensure new businesses are given a transition period.</w:t>
            </w:r>
          </w:p>
        </w:tc>
        <w:tc>
          <w:tcPr>
            <w:tcW w:w="4480" w:type="dxa"/>
          </w:tcPr>
          <w:p w14:paraId="4045C21F" w14:textId="77777777" w:rsidR="00C8402E" w:rsidRPr="007A74F4" w:rsidRDefault="00C8402E" w:rsidP="00AD5CA7">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t xml:space="preserve">This feedback was noted. </w:t>
            </w:r>
          </w:p>
          <w:p w14:paraId="4F3502B1" w14:textId="77777777" w:rsidR="00C8402E" w:rsidRPr="007A74F4" w:rsidRDefault="00C8402E" w:rsidP="00AD5CA7">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t>In developing Options 2 and 3, jurisdictions considered appropriate thresholds. It was determined that the Australian State threshold of 20 or more outlets, or the Australian Territory threshold of 7 or more outlets, be maintained.</w:t>
            </w:r>
          </w:p>
          <w:p w14:paraId="3FB51B90" w14:textId="77777777" w:rsidR="00C8402E" w:rsidRPr="007A74F4" w:rsidRDefault="00C8402E" w:rsidP="00AD5CA7">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t>Support for businesses and transition period would be part of the implementation phase.</w:t>
            </w:r>
          </w:p>
        </w:tc>
      </w:tr>
      <w:tr w:rsidR="00C8402E" w:rsidRPr="00E67A4C" w14:paraId="35231E2D"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7368830F" w14:textId="28030248"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There was acknowledgment from industry that whilst larger businesses may have greater capacity to absorb the costs of implementing regulation, they should not be disadvantaged and constrained by regulation. </w:t>
            </w:r>
          </w:p>
        </w:tc>
        <w:tc>
          <w:tcPr>
            <w:tcW w:w="4480" w:type="dxa"/>
          </w:tcPr>
          <w:p w14:paraId="0B78D229" w14:textId="77777777"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 xml:space="preserve">Options 2 and 3 include the principle that “Menu labelling should promote equity for regulatory requirements across standard food outlets”. </w:t>
            </w:r>
          </w:p>
        </w:tc>
      </w:tr>
      <w:tr w:rsidR="00C8402E" w:rsidRPr="00E67A4C" w14:paraId="62529419"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1F496F6E" w14:textId="122E7B37"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There was a request from industry to consider the realities of franchise/group business models in that many are operated as small businesses despite being part of a chain. </w:t>
            </w:r>
          </w:p>
        </w:tc>
        <w:tc>
          <w:tcPr>
            <w:tcW w:w="4480" w:type="dxa"/>
          </w:tcPr>
          <w:p w14:paraId="5F448296" w14:textId="77777777" w:rsidR="00C8402E" w:rsidRPr="007A74F4" w:rsidRDefault="00C8402E" w:rsidP="00AD5CA7">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t>This finding was noted. Any additional support for businesses to implement menu labelling would be considered during the implementation phase.</w:t>
            </w:r>
          </w:p>
        </w:tc>
      </w:tr>
      <w:tr w:rsidR="00C8402E" w:rsidRPr="00E67A4C" w14:paraId="0AFF8AE0"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15087A98" w14:textId="689CC7E2"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There was a consistent call for national consistency in prescribing voluntary display requirements. </w:t>
            </w:r>
          </w:p>
        </w:tc>
        <w:tc>
          <w:tcPr>
            <w:tcW w:w="4480" w:type="dxa"/>
          </w:tcPr>
          <w:p w14:paraId="0153E833" w14:textId="12F6F8F1" w:rsidR="00C8402E" w:rsidRPr="007A74F4" w:rsidRDefault="00C8402E" w:rsidP="00AD5CA7">
            <w:pPr>
              <w:pStyle w:val="BodyText1"/>
              <w:spacing w:after="4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A74F4">
              <w:rPr>
                <w:rFonts w:ascii="Times New Roman" w:hAnsi="Times New Roman"/>
                <w:sz w:val="20"/>
                <w:szCs w:val="20"/>
              </w:rPr>
              <w:t xml:space="preserve">Options 2 and 3 include the principle: “Enable </w:t>
            </w:r>
            <w:r w:rsidR="00884720" w:rsidRPr="007A74F4">
              <w:rPr>
                <w:rFonts w:ascii="Times New Roman" w:hAnsi="Times New Roman"/>
                <w:sz w:val="20"/>
                <w:szCs w:val="20"/>
              </w:rPr>
              <w:t xml:space="preserve">other </w:t>
            </w:r>
            <w:r w:rsidRPr="007A74F4">
              <w:rPr>
                <w:rFonts w:ascii="Times New Roman" w:hAnsi="Times New Roman"/>
                <w:sz w:val="20"/>
                <w:szCs w:val="20"/>
              </w:rPr>
              <w:t xml:space="preserve">businesses to voluntarily display energy information in a manner consistent with </w:t>
            </w:r>
            <w:r w:rsidR="007D31D3" w:rsidRPr="007A74F4">
              <w:rPr>
                <w:rFonts w:ascii="Times New Roman" w:hAnsi="Times New Roman"/>
                <w:sz w:val="20"/>
                <w:szCs w:val="20"/>
              </w:rPr>
              <w:t xml:space="preserve">the requirements for </w:t>
            </w:r>
            <w:r w:rsidRPr="007A74F4">
              <w:rPr>
                <w:rFonts w:ascii="Times New Roman" w:hAnsi="Times New Roman"/>
                <w:sz w:val="20"/>
                <w:szCs w:val="20"/>
              </w:rPr>
              <w:t>standard food outlets”.</w:t>
            </w:r>
          </w:p>
        </w:tc>
      </w:tr>
      <w:tr w:rsidR="00C8402E" w:rsidRPr="00E67A4C" w14:paraId="40CE3570"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087F7C83" w14:textId="477E9064"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1: Public health organisations called for tighter regulation to ensure</w:t>
            </w:r>
            <w:r w:rsidR="00C8402E" w:rsidRPr="007A74F4">
              <w:rPr>
                <w:rFonts w:ascii="Times New Roman" w:hAnsi="Times New Roman"/>
                <w:b w:val="0"/>
                <w:bCs w:val="0"/>
                <w:sz w:val="20"/>
                <w:szCs w:val="20"/>
              </w:rPr>
              <w:t xml:space="preserve"> </w:t>
            </w:r>
            <w:r w:rsidRPr="007A74F4">
              <w:rPr>
                <w:rFonts w:ascii="Times New Roman" w:hAnsi="Times New Roman"/>
                <w:b w:val="0"/>
                <w:bCs w:val="0"/>
                <w:caps w:val="0"/>
                <w:sz w:val="20"/>
                <w:szCs w:val="20"/>
              </w:rPr>
              <w:t xml:space="preserve">energy information is legible, while industry called for less prescriptive legibility requirements. Industry agreed legibility is important, but regulations should not stifle creativity in menu board design. There was industry support for a co-creation approach to ensure the intent is met but some flexibility is built in. </w:t>
            </w:r>
          </w:p>
          <w:p w14:paraId="1DD850FF" w14:textId="0AD9E990"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2: a set of legibility principles and a style guide outlining how the principles could be achieved for different forms of menu labelling.</w:t>
            </w:r>
          </w:p>
        </w:tc>
        <w:tc>
          <w:tcPr>
            <w:tcW w:w="4480" w:type="dxa"/>
          </w:tcPr>
          <w:p w14:paraId="0EA80697" w14:textId="58406A2E" w:rsidR="00C8402E" w:rsidRPr="007A74F4" w:rsidRDefault="00C8402E" w:rsidP="00AD5CA7">
            <w:pPr>
              <w:pStyle w:val="BodyText1"/>
              <w:spacing w:after="4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A74F4">
              <w:rPr>
                <w:rFonts w:ascii="Times New Roman" w:hAnsi="Times New Roman"/>
                <w:sz w:val="20"/>
                <w:szCs w:val="20"/>
              </w:rPr>
              <w:t xml:space="preserve">The round 1 feedback was further considered by the Legibility Working Group (round two consultation). Options 2 and 3 include the principle: “Menu labelling should facilitate </w:t>
            </w:r>
            <w:r w:rsidR="007D31D3" w:rsidRPr="007A74F4">
              <w:rPr>
                <w:rFonts w:ascii="Times New Roman" w:hAnsi="Times New Roman"/>
                <w:sz w:val="20"/>
                <w:szCs w:val="20"/>
              </w:rPr>
              <w:t>the utility</w:t>
            </w:r>
            <w:r w:rsidRPr="007A74F4">
              <w:rPr>
                <w:rFonts w:ascii="Times New Roman" w:hAnsi="Times New Roman"/>
                <w:sz w:val="20"/>
                <w:szCs w:val="20"/>
              </w:rPr>
              <w:t xml:space="preserve"> of energy information by consumers, by ensuring that energy information is </w:t>
            </w:r>
            <w:r w:rsidR="00277486" w:rsidRPr="007A74F4">
              <w:rPr>
                <w:rFonts w:ascii="Times New Roman" w:hAnsi="Times New Roman"/>
                <w:sz w:val="20"/>
                <w:szCs w:val="20"/>
              </w:rPr>
              <w:t xml:space="preserve">available, </w:t>
            </w:r>
            <w:r w:rsidRPr="007A74F4">
              <w:rPr>
                <w:rFonts w:ascii="Times New Roman" w:hAnsi="Times New Roman"/>
                <w:sz w:val="20"/>
                <w:szCs w:val="20"/>
              </w:rPr>
              <w:t xml:space="preserve">clear, legible, and easy-to-read and interpret at-a-glance”. </w:t>
            </w:r>
          </w:p>
          <w:p w14:paraId="5F1196AC" w14:textId="77777777" w:rsidR="00C8402E" w:rsidRPr="007A74F4" w:rsidRDefault="00C8402E" w:rsidP="00AD5CA7">
            <w:pPr>
              <w:pStyle w:val="BodyText1"/>
              <w:spacing w:after="4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A74F4">
              <w:rPr>
                <w:rFonts w:ascii="Times New Roman" w:hAnsi="Times New Roman"/>
                <w:sz w:val="20"/>
                <w:szCs w:val="20"/>
              </w:rPr>
              <w:t>Achieving this policy principle would be considered during the development of a food regulatory measure. It is intended that the outcomes from the legibility working group and all consultation outcomes would be provided to FSANZ or governments.</w:t>
            </w:r>
          </w:p>
        </w:tc>
      </w:tr>
      <w:tr w:rsidR="00C8402E" w:rsidRPr="00E67A4C" w14:paraId="6DDBD6B1"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41E4EFE4" w14:textId="4B747B04"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most stakeholders recognised the importance of customer access to energy information for customised menu items but noted it is only possible using an </w:t>
            </w:r>
            <w:r w:rsidR="0049557E">
              <w:rPr>
                <w:rFonts w:ascii="Times New Roman" w:hAnsi="Times New Roman"/>
                <w:b w:val="0"/>
                <w:bCs w:val="0"/>
                <w:caps w:val="0"/>
                <w:sz w:val="20"/>
                <w:szCs w:val="20"/>
              </w:rPr>
              <w:t>IT</w:t>
            </w:r>
            <w:r w:rsidRPr="007A74F4">
              <w:rPr>
                <w:rFonts w:ascii="Times New Roman" w:hAnsi="Times New Roman"/>
                <w:b w:val="0"/>
                <w:bCs w:val="0"/>
                <w:caps w:val="0"/>
                <w:sz w:val="20"/>
                <w:szCs w:val="20"/>
              </w:rPr>
              <w:t xml:space="preserve"> solution which is currently not widely in use (due to cost). Thus, industry stakeholders believed this information should be provided online; public health and government stakeholders wanted to see this information at the point-of-sale (i.e. In-store and online). </w:t>
            </w:r>
          </w:p>
        </w:tc>
        <w:tc>
          <w:tcPr>
            <w:tcW w:w="4480" w:type="dxa"/>
          </w:tcPr>
          <w:p w14:paraId="06D3CE61" w14:textId="3FBB30BE"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 xml:space="preserve">Options 2 and 3 include the principle: “Menu labelling should enable consumers to </w:t>
            </w:r>
            <w:r w:rsidR="00277486" w:rsidRPr="007A74F4">
              <w:rPr>
                <w:sz w:val="20"/>
                <w:szCs w:val="20"/>
              </w:rPr>
              <w:t xml:space="preserve">access energy information for </w:t>
            </w:r>
            <w:r w:rsidRPr="007A74F4">
              <w:rPr>
                <w:sz w:val="20"/>
                <w:szCs w:val="20"/>
              </w:rPr>
              <w:t xml:space="preserve">menu items that can be customised with standardised ingredients”. </w:t>
            </w:r>
          </w:p>
          <w:p w14:paraId="06A11CD5" w14:textId="01CD107B"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 xml:space="preserve">The decision about whether </w:t>
            </w:r>
            <w:r w:rsidR="00E97B9D" w:rsidRPr="007A74F4">
              <w:rPr>
                <w:sz w:val="20"/>
                <w:szCs w:val="20"/>
              </w:rPr>
              <w:t xml:space="preserve">energy </w:t>
            </w:r>
            <w:r w:rsidRPr="007A74F4">
              <w:rPr>
                <w:sz w:val="20"/>
                <w:szCs w:val="20"/>
              </w:rPr>
              <w:t xml:space="preserve">information for customised menu items and/or standardised ingredients is displayed at all points of sale, or only online would be made during the development of any food regulatory measure. </w:t>
            </w:r>
          </w:p>
        </w:tc>
      </w:tr>
      <w:tr w:rsidR="00C8402E" w:rsidRPr="00E67A4C" w14:paraId="2787F4CB"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25C830CD" w14:textId="78F861B1"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there was consistent support for rolling menu boards to comply with menu labelling requirements, with adoption of </w:t>
            </w:r>
            <w:r w:rsidR="00E120A0" w:rsidRPr="007A74F4">
              <w:rPr>
                <w:rFonts w:ascii="Times New Roman" w:hAnsi="Times New Roman"/>
                <w:b w:val="0"/>
                <w:bCs w:val="0"/>
                <w:caps w:val="0"/>
                <w:sz w:val="20"/>
                <w:szCs w:val="20"/>
              </w:rPr>
              <w:t>Queensland’s</w:t>
            </w:r>
            <w:r w:rsidRPr="007A74F4">
              <w:rPr>
                <w:rFonts w:ascii="Times New Roman" w:hAnsi="Times New Roman"/>
                <w:b w:val="0"/>
                <w:bCs w:val="0"/>
                <w:caps w:val="0"/>
                <w:sz w:val="20"/>
                <w:szCs w:val="20"/>
              </w:rPr>
              <w:t xml:space="preserve"> simultaneous display provisions proposed by public health organisations as one way to address this. </w:t>
            </w:r>
          </w:p>
          <w:p w14:paraId="0C04DC8D" w14:textId="2C6FADC4"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2: for online menus and digital panel menus: kilojoules should be displayed with an item whenever it is displayed on a menu; kilojoules should be easy to compare at the point of sale; and businesses should be encouraged to enable comparison (e.g. Across categories, between </w:t>
            </w:r>
            <w:r w:rsidRPr="007A74F4">
              <w:rPr>
                <w:rFonts w:ascii="Times New Roman" w:hAnsi="Times New Roman"/>
                <w:b w:val="0"/>
                <w:bCs w:val="0"/>
                <w:caps w:val="0"/>
                <w:sz w:val="20"/>
                <w:szCs w:val="20"/>
              </w:rPr>
              <w:lastRenderedPageBreak/>
              <w:t>categories, sizes) through user guides with examples and options of how to compare items.</w:t>
            </w:r>
          </w:p>
        </w:tc>
        <w:tc>
          <w:tcPr>
            <w:tcW w:w="4480" w:type="dxa"/>
          </w:tcPr>
          <w:p w14:paraId="318DC9EA" w14:textId="1EB5380A" w:rsidR="00C8402E" w:rsidRPr="007A74F4" w:rsidRDefault="00C8402E" w:rsidP="00AD5CA7">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lastRenderedPageBreak/>
              <w:t xml:space="preserve">Options 2 and 3 include the principle: “Menu labelling should </w:t>
            </w:r>
            <w:r w:rsidR="002010FF" w:rsidRPr="007A74F4">
              <w:rPr>
                <w:sz w:val="20"/>
                <w:szCs w:val="20"/>
              </w:rPr>
              <w:t>provide</w:t>
            </w:r>
            <w:r w:rsidRPr="007A74F4">
              <w:rPr>
                <w:sz w:val="20"/>
                <w:szCs w:val="20"/>
              </w:rPr>
              <w:t xml:space="preserve"> consumers of the energy content of all standard food items, combination meals and multi-serve items</w:t>
            </w:r>
            <w:r w:rsidR="002010FF" w:rsidRPr="007A74F4">
              <w:rPr>
                <w:sz w:val="20"/>
                <w:szCs w:val="20"/>
              </w:rPr>
              <w:t xml:space="preserve"> shown on menus and at points-of-sale</w:t>
            </w:r>
            <w:r w:rsidRPr="007A74F4">
              <w:rPr>
                <w:sz w:val="20"/>
                <w:szCs w:val="20"/>
              </w:rPr>
              <w:t xml:space="preserve">; and </w:t>
            </w:r>
            <w:r w:rsidR="003847E2" w:rsidRPr="007A74F4">
              <w:rPr>
                <w:sz w:val="20"/>
                <w:szCs w:val="20"/>
              </w:rPr>
              <w:t xml:space="preserve">for dietary context, provide </w:t>
            </w:r>
            <w:r w:rsidRPr="007A74F4">
              <w:rPr>
                <w:sz w:val="20"/>
                <w:szCs w:val="20"/>
              </w:rPr>
              <w:t xml:space="preserve">the average daily energy intake at </w:t>
            </w:r>
            <w:r w:rsidR="003847E2" w:rsidRPr="007A74F4">
              <w:rPr>
                <w:sz w:val="20"/>
                <w:szCs w:val="20"/>
              </w:rPr>
              <w:t>the</w:t>
            </w:r>
            <w:r w:rsidRPr="007A74F4">
              <w:rPr>
                <w:sz w:val="20"/>
                <w:szCs w:val="20"/>
              </w:rPr>
              <w:t xml:space="preserve"> point-of-sale”. The definition of menu was expanded to specify digital menu panels, business websites and mobile applications; and a new definition of point-of-sale has been developed which includes all places where customers order and purchase ready-to-eat food.</w:t>
            </w:r>
          </w:p>
        </w:tc>
      </w:tr>
      <w:tr w:rsidR="00C8402E" w:rsidRPr="00E67A4C" w14:paraId="12A56622"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25C6E0F8" w14:textId="60573AEF"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1: public health, industry and government stakeholders supported energy information on third-party ordering platforms. The two approaches identified to achieve this were requiring chain businesses to provide the information to third-party delivery services, or alternatively capturing third-party delivery services in legislation. I.e. The responsibilities of the third-party agent need clarification.</w:t>
            </w:r>
          </w:p>
          <w:p w14:paraId="59B16009" w14:textId="76B60CCA"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2: the obligation of third-party platforms should only be to provide the capability to display the kilojoules and to not impede display of kilojoules; and the food business should be obligated to provide energy information to the third-party. </w:t>
            </w:r>
          </w:p>
          <w:p w14:paraId="04BE203A" w14:textId="77777777" w:rsidR="00C8402E" w:rsidRPr="007A74F4" w:rsidRDefault="00C8402E" w:rsidP="00AD5CA7">
            <w:pPr>
              <w:pStyle w:val="BodyText1"/>
              <w:spacing w:after="40" w:line="240" w:lineRule="auto"/>
              <w:rPr>
                <w:rFonts w:ascii="Times New Roman" w:hAnsi="Times New Roman"/>
                <w:b w:val="0"/>
                <w:bCs w:val="0"/>
                <w:sz w:val="20"/>
                <w:szCs w:val="20"/>
              </w:rPr>
            </w:pPr>
          </w:p>
          <w:p w14:paraId="0CE6F437" w14:textId="77777777" w:rsidR="00C8402E" w:rsidRPr="007A74F4" w:rsidRDefault="00C8402E" w:rsidP="00AD5CA7">
            <w:pPr>
              <w:pStyle w:val="BodyText1"/>
              <w:spacing w:after="40" w:line="240" w:lineRule="auto"/>
              <w:ind w:left="720"/>
              <w:rPr>
                <w:rFonts w:ascii="Times New Roman" w:hAnsi="Times New Roman"/>
                <w:b w:val="0"/>
                <w:bCs w:val="0"/>
                <w:sz w:val="20"/>
                <w:szCs w:val="20"/>
              </w:rPr>
            </w:pPr>
          </w:p>
        </w:tc>
        <w:tc>
          <w:tcPr>
            <w:tcW w:w="4480" w:type="dxa"/>
          </w:tcPr>
          <w:p w14:paraId="13339CBA" w14:textId="4E041A97"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 xml:space="preserve">Options 2 and 3 include the principle: </w:t>
            </w:r>
            <w:r w:rsidR="003847E2" w:rsidRPr="007A74F4">
              <w:rPr>
                <w:sz w:val="20"/>
                <w:szCs w:val="20"/>
              </w:rPr>
              <w:t xml:space="preserve">“Menu labelling should provide consumers of the energy content of all standard food items, combination meals and multi-serve items shown on menus and at points-of-sale; and for dietary context, provide the average daily energy intake at the point-of-sale”. </w:t>
            </w:r>
            <w:r w:rsidRPr="007A74F4">
              <w:rPr>
                <w:sz w:val="20"/>
                <w:szCs w:val="20"/>
              </w:rPr>
              <w:t>The definition of menu was expanded to specify third-party food delivery platforms; and a new definition of point-of-sale has been developed which includes all electronic sales points where customers order and purchase ready-to-eat food.</w:t>
            </w:r>
          </w:p>
          <w:p w14:paraId="3E104EA2" w14:textId="77777777"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 xml:space="preserve">The intent of the policy guidance is that regulatory requirements apply to standard food outlets, which are defined as food businesses selling standard food items at 50 or more outlets in Australia, or 20 or more outlets in an Australian State, or 7 or more outlets in an Australian Territory. Third-party food delivery platforms do not meet this definition and therefore it would be the responsibility of standard food outlets to provide the appropriate information to the third-party for display on its platform. </w:t>
            </w:r>
          </w:p>
        </w:tc>
      </w:tr>
      <w:tr w:rsidR="00C8402E" w:rsidRPr="00E67A4C" w14:paraId="40BDF06A"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6E4BF28D" w14:textId="1AB9B93E"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Most stakeholders recommended that energy information for combination meals should include all components, including pre-packaged products, with an emphasis in submissions on drinks. Clarity on which pre-packaged product should be the default for calculating total kilojoules was still lacking following the consultation. </w:t>
            </w:r>
          </w:p>
          <w:p w14:paraId="72A50102" w14:textId="5630D827"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2: Pre-packaged drinks to be included in the kilojoules displayed for combination meals. The default drink used to calculate the total kilojoules for the combination meal is the drink with the highest kilojoule content. </w:t>
            </w:r>
          </w:p>
        </w:tc>
        <w:tc>
          <w:tcPr>
            <w:tcW w:w="4480" w:type="dxa"/>
          </w:tcPr>
          <w:p w14:paraId="3F24983F" w14:textId="77777777" w:rsidR="00C8402E" w:rsidRPr="007A74F4" w:rsidRDefault="00C8402E" w:rsidP="00AD5CA7">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t xml:space="preserve">A definition of combination meals has been included in Options 2 and 3. The intent of the policy guidance is that the energy content displayed for combination meals includes all components of the meal, including pre-packaged drinks and other pre-packaged items.  </w:t>
            </w:r>
          </w:p>
          <w:p w14:paraId="79F17FBA" w14:textId="77777777" w:rsidR="00C8402E" w:rsidRPr="007A74F4" w:rsidRDefault="00C8402E" w:rsidP="00AD5CA7">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t xml:space="preserve">The policy guidance does not include the specific technical requirements which would need to be considered as part of the development of any food regulatory measure. In developing a regulatory measure, options for the default drink or other pre-packaged product would need to be considered. </w:t>
            </w:r>
          </w:p>
        </w:tc>
      </w:tr>
      <w:tr w:rsidR="00C8402E" w:rsidRPr="00E67A4C" w14:paraId="51C40B92"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51BCF76F" w14:textId="695DD7BB"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Overall, industry submissions did not support additional and interpretative information as a part of menu labelling schemes; with specific mention that the health star rating (HSR) system is not appropriate for fast food. In contrast, many public health organisations called for the adaptation of HSR for fast food. </w:t>
            </w:r>
          </w:p>
        </w:tc>
        <w:tc>
          <w:tcPr>
            <w:tcW w:w="4480" w:type="dxa"/>
          </w:tcPr>
          <w:p w14:paraId="596D50DD" w14:textId="4E54889A" w:rsidR="00C8402E" w:rsidRPr="007A74F4" w:rsidRDefault="00C8402E" w:rsidP="00AD5CA7">
            <w:pPr>
              <w:pStyle w:val="BodyText1"/>
              <w:spacing w:after="4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A74F4">
              <w:rPr>
                <w:rFonts w:ascii="Times New Roman" w:hAnsi="Times New Roman"/>
                <w:sz w:val="20"/>
                <w:szCs w:val="20"/>
              </w:rPr>
              <w:t>This feedback was noted, and while Options 2 and 3 include principles that menu labelling should enable comparisons between menu items and that energy information should be able to be interpreted at a glance, consideration of how these principles are reflected in a regulatory measure would be undertaken.</w:t>
            </w:r>
          </w:p>
        </w:tc>
      </w:tr>
      <w:tr w:rsidR="00C8402E" w:rsidRPr="00E67A4C" w14:paraId="2DEF0054"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434594F8" w14:textId="7B8DEA26" w:rsidR="00C8402E" w:rsidRPr="007A74F4" w:rsidRDefault="00605B08" w:rsidP="006B00FF">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Education to help consumers understand and use kilojoules to make healthier choices, which is government-funded, nationally consistent, multi-phased, and sustained, was called for by some industry stakeholders and public health organisations. </w:t>
            </w:r>
          </w:p>
        </w:tc>
        <w:tc>
          <w:tcPr>
            <w:tcW w:w="4480" w:type="dxa"/>
          </w:tcPr>
          <w:p w14:paraId="058A83CD" w14:textId="77734AF2" w:rsidR="00C8402E" w:rsidRPr="007A74F4" w:rsidRDefault="00C8402E" w:rsidP="006B00FF">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t xml:space="preserve">Stakeholder views shaped </w:t>
            </w:r>
            <w:r w:rsidR="0023491B" w:rsidRPr="007A74F4">
              <w:rPr>
                <w:sz w:val="20"/>
                <w:szCs w:val="20"/>
              </w:rPr>
              <w:t>the complementary consumer education strategy</w:t>
            </w:r>
            <w:r w:rsidRPr="007A74F4">
              <w:rPr>
                <w:sz w:val="20"/>
                <w:szCs w:val="20"/>
              </w:rPr>
              <w:t xml:space="preserve">. Any additional information and views provided by stakeholders in this round of consultation will be used to further develop a consumer education strategy. </w:t>
            </w:r>
          </w:p>
        </w:tc>
      </w:tr>
      <w:tr w:rsidR="00C8402E" w:rsidRPr="00E67A4C" w14:paraId="55002B40"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44EC5A7A" w14:textId="17300E81"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Round 1: Kilojoule display per 100 grams was noted to be confusing and not consistent with policy intent. A preference for all standard food outlets (including supermarkets) to display kilojoules ‘per serve’ was strongly indicated in submissions. </w:t>
            </w:r>
          </w:p>
        </w:tc>
        <w:tc>
          <w:tcPr>
            <w:tcW w:w="4480" w:type="dxa"/>
          </w:tcPr>
          <w:p w14:paraId="3A57CA7F" w14:textId="77777777" w:rsidR="00C8402E" w:rsidRPr="007A74F4" w:rsidRDefault="00C8402E" w:rsidP="00AD5CA7">
            <w:pPr>
              <w:pStyle w:val="BodyText1"/>
              <w:spacing w:after="4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A74F4">
              <w:rPr>
                <w:rFonts w:ascii="Times New Roman" w:hAnsi="Times New Roman"/>
                <w:sz w:val="20"/>
                <w:szCs w:val="20"/>
              </w:rPr>
              <w:t xml:space="preserve">Options 2 and 3 include a definition of energy information, being the “average energy content of standard food items (expressed as kilojoules per item)”. This coupled with the principle that menu labelling should promote equity for regulatory requirements across standard food businesses, addresses the concern about inconsistency in kilojoule display. </w:t>
            </w:r>
          </w:p>
        </w:tc>
      </w:tr>
      <w:tr w:rsidR="00CD5589" w:rsidRPr="00E67A4C" w14:paraId="14E8C459"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4DB56209" w14:textId="5C05B2D9" w:rsidR="00CD5589"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1: Monitoring, enforcement and evaluation were all seen as important components of menu labelling schemes.</w:t>
            </w:r>
          </w:p>
        </w:tc>
        <w:tc>
          <w:tcPr>
            <w:tcW w:w="4480" w:type="dxa"/>
          </w:tcPr>
          <w:p w14:paraId="427EC8C3" w14:textId="3AA09A2C" w:rsidR="00CD5589" w:rsidRPr="007A74F4" w:rsidRDefault="00CD5589" w:rsidP="00AD5CA7">
            <w:pPr>
              <w:pStyle w:val="BodyText1"/>
              <w:spacing w:after="4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A74F4">
              <w:rPr>
                <w:rFonts w:ascii="Times New Roman" w:hAnsi="Times New Roman"/>
                <w:sz w:val="20"/>
                <w:szCs w:val="20"/>
              </w:rPr>
              <w:t>This feedback has been noted and depending on the preferred option would be considered in the implementation phase.</w:t>
            </w:r>
          </w:p>
        </w:tc>
      </w:tr>
      <w:tr w:rsidR="00CD5589" w:rsidRPr="00E67A4C" w14:paraId="524EC92B" w14:textId="77777777" w:rsidTr="00605B08">
        <w:tc>
          <w:tcPr>
            <w:cnfStyle w:val="001000000000" w:firstRow="0" w:lastRow="0" w:firstColumn="1" w:lastColumn="0" w:oddVBand="0" w:evenVBand="0" w:oddHBand="0" w:evenHBand="0" w:firstRowFirstColumn="0" w:firstRowLastColumn="0" w:lastRowFirstColumn="0" w:lastRowLastColumn="0"/>
            <w:tcW w:w="4479" w:type="dxa"/>
          </w:tcPr>
          <w:p w14:paraId="6FEB27DA" w14:textId="7BE84417" w:rsidR="00CD5589"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lastRenderedPageBreak/>
              <w:t>Round 1: Future legislation needs to be clear and simple as it is viewed by some as currently being overly complex.</w:t>
            </w:r>
          </w:p>
        </w:tc>
        <w:tc>
          <w:tcPr>
            <w:tcW w:w="4480" w:type="dxa"/>
          </w:tcPr>
          <w:p w14:paraId="2B64BA60" w14:textId="6B5ED03C" w:rsidR="00CD5589" w:rsidRPr="007A74F4" w:rsidRDefault="00CD5589"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This feedback has been noted and depending on the preferred option would be considered in the implementation phase.</w:t>
            </w:r>
          </w:p>
        </w:tc>
      </w:tr>
      <w:tr w:rsidR="00C8402E" w:rsidRPr="00E67A4C" w14:paraId="12EB5C05" w14:textId="77777777" w:rsidTr="0060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213F438B" w14:textId="5EBEC31C"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2: Standard food items should display kilojoules when a customer can make a purchase from the online catalogue. A transition period may be required to allow businesses to enhance it systems’ capability to display energy information.</w:t>
            </w:r>
          </w:p>
          <w:p w14:paraId="130EF9F3" w14:textId="77777777" w:rsidR="00C8402E" w:rsidRPr="007A74F4" w:rsidRDefault="00C8402E" w:rsidP="00AD5CA7">
            <w:pPr>
              <w:pStyle w:val="BodyText1"/>
              <w:spacing w:after="40" w:line="240" w:lineRule="auto"/>
              <w:rPr>
                <w:rFonts w:ascii="Times New Roman" w:hAnsi="Times New Roman"/>
                <w:b w:val="0"/>
                <w:bCs w:val="0"/>
                <w:sz w:val="20"/>
                <w:szCs w:val="20"/>
              </w:rPr>
            </w:pPr>
          </w:p>
        </w:tc>
        <w:tc>
          <w:tcPr>
            <w:tcW w:w="4480" w:type="dxa"/>
          </w:tcPr>
          <w:p w14:paraId="40979992" w14:textId="6C2C1C54" w:rsidR="00C8402E" w:rsidRPr="007A74F4" w:rsidRDefault="00C8402E" w:rsidP="00AD5CA7">
            <w:pPr>
              <w:spacing w:after="40"/>
              <w:cnfStyle w:val="000000100000" w:firstRow="0" w:lastRow="0" w:firstColumn="0" w:lastColumn="0" w:oddVBand="0" w:evenVBand="0" w:oddHBand="1" w:evenHBand="0" w:firstRowFirstColumn="0" w:firstRowLastColumn="0" w:lastRowFirstColumn="0" w:lastRowLastColumn="0"/>
              <w:rPr>
                <w:sz w:val="20"/>
                <w:szCs w:val="20"/>
              </w:rPr>
            </w:pPr>
            <w:r w:rsidRPr="007A74F4">
              <w:rPr>
                <w:sz w:val="20"/>
                <w:szCs w:val="20"/>
              </w:rPr>
              <w:t xml:space="preserve">Options 2 and 3 include the principle: </w:t>
            </w:r>
            <w:r w:rsidR="003847E2" w:rsidRPr="007A74F4">
              <w:rPr>
                <w:sz w:val="20"/>
                <w:szCs w:val="20"/>
              </w:rPr>
              <w:t xml:space="preserve">“Menu labelling should provide consumers of the energy content of all standard food items, combination meals and multi-serve items shown on menus and at points-of-sale; and for dietary context, provide the average daily energy intake at the point-of-sale”. </w:t>
            </w:r>
            <w:r w:rsidRPr="007A74F4">
              <w:rPr>
                <w:sz w:val="20"/>
                <w:szCs w:val="20"/>
              </w:rPr>
              <w:t xml:space="preserve">Additionally, the definition of menu was expanded to specify online catalogues. Transition periods would be considered in the development of any regulatory measure. </w:t>
            </w:r>
          </w:p>
        </w:tc>
      </w:tr>
      <w:tr w:rsidR="00C8402E" w:rsidRPr="00E67A4C" w14:paraId="6C827B25" w14:textId="77777777" w:rsidTr="000E0763">
        <w:trPr>
          <w:trHeight w:val="2539"/>
        </w:trPr>
        <w:tc>
          <w:tcPr>
            <w:cnfStyle w:val="001000000000" w:firstRow="0" w:lastRow="0" w:firstColumn="1" w:lastColumn="0" w:oddVBand="0" w:evenVBand="0" w:oddHBand="0" w:evenHBand="0" w:firstRowFirstColumn="0" w:firstRowLastColumn="0" w:lastRowFirstColumn="0" w:lastRowLastColumn="0"/>
            <w:tcW w:w="4479" w:type="dxa"/>
          </w:tcPr>
          <w:p w14:paraId="6A35E775" w14:textId="2F34D6B8"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Round 2: Businesses can elect to display kilojoules for multiple serve items either for the whole item (as required in the current legislation) or per serving, allowing for different labelling options. Regardless of whether businesses chose to display kilojoules per serving or per whole item, they must ensure consumers are able to access information on the kilojoules per serving at the point of purchase, either online or instore.</w:t>
            </w:r>
          </w:p>
          <w:p w14:paraId="30FD63D3" w14:textId="62B6E69C" w:rsidR="00C8402E" w:rsidRPr="007A74F4" w:rsidRDefault="00605B08" w:rsidP="00AD5CA7">
            <w:pPr>
              <w:pStyle w:val="BodyText1"/>
              <w:spacing w:after="40" w:line="240" w:lineRule="auto"/>
              <w:rPr>
                <w:rFonts w:ascii="Times New Roman" w:hAnsi="Times New Roman"/>
                <w:b w:val="0"/>
                <w:bCs w:val="0"/>
                <w:sz w:val="20"/>
                <w:szCs w:val="20"/>
              </w:rPr>
            </w:pPr>
            <w:r w:rsidRPr="007A74F4">
              <w:rPr>
                <w:rFonts w:ascii="Times New Roman" w:hAnsi="Times New Roman"/>
                <w:b w:val="0"/>
                <w:bCs w:val="0"/>
                <w:caps w:val="0"/>
                <w:sz w:val="20"/>
                <w:szCs w:val="20"/>
              </w:rPr>
              <w:t xml:space="preserve">A national resource providing guidance on recommended serving sizes for various item types (e.g. Pull-apart) and sizes (e.g. 500g, 750g) be made available to businesses. </w:t>
            </w:r>
          </w:p>
        </w:tc>
        <w:tc>
          <w:tcPr>
            <w:tcW w:w="4480" w:type="dxa"/>
          </w:tcPr>
          <w:p w14:paraId="03EB53D9" w14:textId="75831491"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 xml:space="preserve">Options 2 and 3 include principles that menu labelling should </w:t>
            </w:r>
            <w:r w:rsidR="001A5E94" w:rsidRPr="007A74F4">
              <w:rPr>
                <w:sz w:val="20"/>
                <w:szCs w:val="20"/>
              </w:rPr>
              <w:t xml:space="preserve">provide </w:t>
            </w:r>
            <w:r w:rsidRPr="007A74F4">
              <w:rPr>
                <w:sz w:val="20"/>
                <w:szCs w:val="20"/>
              </w:rPr>
              <w:t xml:space="preserve">consumers </w:t>
            </w:r>
            <w:r w:rsidR="001A5E94" w:rsidRPr="007A74F4">
              <w:rPr>
                <w:sz w:val="20"/>
                <w:szCs w:val="20"/>
              </w:rPr>
              <w:t>with</w:t>
            </w:r>
            <w:r w:rsidRPr="007A74F4">
              <w:rPr>
                <w:sz w:val="20"/>
                <w:szCs w:val="20"/>
              </w:rPr>
              <w:t xml:space="preserve"> the energy content of all multi-serve items and enable consumers to make comparisons between standard food items. These principles provide for the energy content to be displayed for the whole item, as well as per serving to enable comparison with single serve standard food items. </w:t>
            </w:r>
          </w:p>
          <w:p w14:paraId="75FC562A" w14:textId="36F41EF6" w:rsidR="00C8402E" w:rsidRPr="007A74F4" w:rsidRDefault="00C8402E" w:rsidP="00AD5CA7">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7A74F4">
              <w:rPr>
                <w:sz w:val="20"/>
                <w:szCs w:val="20"/>
              </w:rPr>
              <w:t>Any resource development would be part of the implementation phase</w:t>
            </w:r>
            <w:r w:rsidR="00C70EF7" w:rsidRPr="007A74F4">
              <w:rPr>
                <w:sz w:val="20"/>
                <w:szCs w:val="20"/>
              </w:rPr>
              <w:t>, noting that t</w:t>
            </w:r>
            <w:r w:rsidRPr="007A74F4">
              <w:rPr>
                <w:sz w:val="20"/>
                <w:szCs w:val="20"/>
              </w:rPr>
              <w:t>here is a Healthy Food Partnership working group tasked with developing an industry best practice guide to support businesses to consider nutrition as a key driver of labelling decisions regarding the size of servings and the size of food and drinks offered.</w:t>
            </w:r>
          </w:p>
        </w:tc>
      </w:tr>
    </w:tbl>
    <w:p w14:paraId="06CD300C" w14:textId="77777777" w:rsidR="00D82BEA" w:rsidRPr="00E67A4C" w:rsidRDefault="00D82BEA">
      <w:pPr>
        <w:rPr>
          <w:rStyle w:val="Heading1Char"/>
          <w:rFonts w:ascii="Times New Roman" w:hAnsi="Times New Roman" w:cs="Times New Roman"/>
          <w:szCs w:val="28"/>
        </w:rPr>
      </w:pPr>
    </w:p>
    <w:p w14:paraId="3D4F966D" w14:textId="39A91667" w:rsidR="00D82BEA" w:rsidRPr="00E67A4C" w:rsidRDefault="00D82BEA" w:rsidP="00812051">
      <w:pPr>
        <w:pStyle w:val="Heading2"/>
        <w:rPr>
          <w:rStyle w:val="Heading1Char"/>
          <w:rFonts w:ascii="Times New Roman" w:hAnsi="Times New Roman" w:cs="Times New Roman"/>
          <w:b/>
          <w:bCs/>
          <w:szCs w:val="28"/>
        </w:rPr>
      </w:pPr>
      <w:bookmarkStart w:id="100" w:name="_Toc47605597"/>
      <w:bookmarkStart w:id="101" w:name="_Toc51165292"/>
      <w:r w:rsidRPr="00E67A4C">
        <w:rPr>
          <w:rStyle w:val="Heading1Char"/>
          <w:rFonts w:ascii="Times New Roman" w:hAnsi="Times New Roman" w:cs="Times New Roman"/>
          <w:b/>
          <w:bCs/>
          <w:szCs w:val="28"/>
        </w:rPr>
        <w:t xml:space="preserve">Appendix </w:t>
      </w:r>
      <w:r w:rsidR="00BC3AEE" w:rsidRPr="00E67A4C">
        <w:rPr>
          <w:rStyle w:val="Heading1Char"/>
          <w:rFonts w:ascii="Times New Roman" w:hAnsi="Times New Roman" w:cs="Times New Roman"/>
          <w:b/>
          <w:bCs/>
          <w:szCs w:val="28"/>
        </w:rPr>
        <w:t>2</w:t>
      </w:r>
      <w:r w:rsidRPr="00E67A4C">
        <w:rPr>
          <w:rStyle w:val="Heading1Char"/>
          <w:rFonts w:ascii="Times New Roman" w:hAnsi="Times New Roman" w:cs="Times New Roman"/>
          <w:b/>
          <w:bCs/>
          <w:szCs w:val="28"/>
        </w:rPr>
        <w:t>: Summary of evidence for the effectiveness of menu labelling</w:t>
      </w:r>
      <w:bookmarkEnd w:id="100"/>
      <w:bookmarkEnd w:id="101"/>
    </w:p>
    <w:p w14:paraId="314AAAF7" w14:textId="77777777" w:rsidR="00D82BEA" w:rsidRPr="00E67A4C" w:rsidRDefault="00D82BEA" w:rsidP="00D82BEA"/>
    <w:p w14:paraId="188D97A1" w14:textId="560D5C71" w:rsidR="00D82BEA" w:rsidRPr="00E67A4C" w:rsidRDefault="00D82BEA" w:rsidP="00D82BEA">
      <w:r w:rsidRPr="00E67A4C">
        <w:t>The below table outlines a selection of</w:t>
      </w:r>
      <w:r w:rsidR="006D5123" w:rsidRPr="00E67A4C">
        <w:t xml:space="preserve"> </w:t>
      </w:r>
      <w:r w:rsidRPr="00E67A4C">
        <w:t>systematic reviews and meta-analyses on menu labelling</w:t>
      </w:r>
      <w:r w:rsidR="006D5123" w:rsidRPr="00E67A4C">
        <w:t xml:space="preserve"> </w:t>
      </w:r>
      <w:r w:rsidR="00C90582" w:rsidRPr="00E67A4C">
        <w:t>since 2015</w:t>
      </w:r>
      <w:r w:rsidRPr="00E67A4C">
        <w:t>. Individual studies are not included.</w:t>
      </w:r>
    </w:p>
    <w:p w14:paraId="0AFEC36C" w14:textId="77777777" w:rsidR="00D82BEA" w:rsidRPr="00E67A4C" w:rsidRDefault="00D82BEA" w:rsidP="00D82BEA"/>
    <w:tbl>
      <w:tblPr>
        <w:tblStyle w:val="PlainTable4"/>
        <w:tblW w:w="9067" w:type="dxa"/>
        <w:tblLook w:val="04A0" w:firstRow="1" w:lastRow="0" w:firstColumn="1" w:lastColumn="0" w:noHBand="0" w:noVBand="1"/>
        <w:tblCaption w:val="Selection of systematic reviews and meta-analyses on menu labelling since 2015"/>
        <w:tblDescription w:val="3 columns. 1. Meta-analysis or systematic review. 2. Studies. 3. Results / Concusions. 8. Rows. 1. Headings. 2 to 8 are specific titles with author, journal and date."/>
      </w:tblPr>
      <w:tblGrid>
        <w:gridCol w:w="2830"/>
        <w:gridCol w:w="1843"/>
        <w:gridCol w:w="4394"/>
      </w:tblGrid>
      <w:tr w:rsidR="00AD38CC" w:rsidRPr="00E67A4C" w14:paraId="268C332A" w14:textId="77777777" w:rsidTr="004206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6A9BC818" w14:textId="7E59F71C" w:rsidR="00D82BEA" w:rsidRPr="00E30A5F" w:rsidRDefault="00B03297" w:rsidP="00920A81">
            <w:pPr>
              <w:rPr>
                <w:sz w:val="20"/>
                <w:szCs w:val="20"/>
              </w:rPr>
            </w:pPr>
            <w:r w:rsidRPr="00E30A5F">
              <w:rPr>
                <w:sz w:val="20"/>
                <w:szCs w:val="20"/>
              </w:rPr>
              <w:t xml:space="preserve">Meta-Analysis or Systematic Review </w:t>
            </w:r>
          </w:p>
        </w:tc>
        <w:tc>
          <w:tcPr>
            <w:tcW w:w="1843" w:type="dxa"/>
          </w:tcPr>
          <w:p w14:paraId="755833F5" w14:textId="4BD2E712" w:rsidR="00D82BEA" w:rsidRPr="00E30A5F" w:rsidRDefault="00B03297" w:rsidP="00920A81">
            <w:pPr>
              <w:cnfStyle w:val="100000000000" w:firstRow="1" w:lastRow="0" w:firstColumn="0" w:lastColumn="0" w:oddVBand="0" w:evenVBand="0" w:oddHBand="0" w:evenHBand="0" w:firstRowFirstColumn="0" w:firstRowLastColumn="0" w:lastRowFirstColumn="0" w:lastRowLastColumn="0"/>
              <w:rPr>
                <w:sz w:val="20"/>
                <w:szCs w:val="20"/>
              </w:rPr>
            </w:pPr>
            <w:r w:rsidRPr="00E30A5F">
              <w:rPr>
                <w:sz w:val="20"/>
                <w:szCs w:val="20"/>
              </w:rPr>
              <w:t>Studies</w:t>
            </w:r>
          </w:p>
        </w:tc>
        <w:tc>
          <w:tcPr>
            <w:tcW w:w="4394" w:type="dxa"/>
          </w:tcPr>
          <w:p w14:paraId="53CE25C7" w14:textId="54DF5395" w:rsidR="00D82BEA" w:rsidRPr="00E30A5F" w:rsidRDefault="00B03297" w:rsidP="00920A81">
            <w:pPr>
              <w:cnfStyle w:val="100000000000" w:firstRow="1" w:lastRow="0" w:firstColumn="0" w:lastColumn="0" w:oddVBand="0" w:evenVBand="0" w:oddHBand="0" w:evenHBand="0" w:firstRowFirstColumn="0" w:firstRowLastColumn="0" w:lastRowFirstColumn="0" w:lastRowLastColumn="0"/>
              <w:rPr>
                <w:sz w:val="20"/>
                <w:szCs w:val="20"/>
              </w:rPr>
            </w:pPr>
            <w:r w:rsidRPr="00E30A5F">
              <w:rPr>
                <w:sz w:val="20"/>
                <w:szCs w:val="20"/>
              </w:rPr>
              <w:t>Results / Conclusions</w:t>
            </w:r>
          </w:p>
        </w:tc>
      </w:tr>
      <w:tr w:rsidR="001D35F0" w:rsidRPr="00E67A4C" w14:paraId="497B6DF7" w14:textId="77777777" w:rsidTr="00085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6DE6433" w14:textId="591D2656" w:rsidR="001D35F0" w:rsidRPr="00E30A5F" w:rsidRDefault="00B03297" w:rsidP="001D35F0">
            <w:pPr>
              <w:rPr>
                <w:b w:val="0"/>
                <w:bCs w:val="0"/>
                <w:sz w:val="20"/>
                <w:szCs w:val="20"/>
              </w:rPr>
            </w:pPr>
            <w:r w:rsidRPr="00E30A5F">
              <w:rPr>
                <w:b w:val="0"/>
                <w:bCs w:val="0"/>
                <w:sz w:val="20"/>
                <w:szCs w:val="20"/>
              </w:rPr>
              <w:t xml:space="preserve">Bleich et al. 2017. A systematic review of calorie labeling and modified calorie labeling interventions: impact on consumer and restaurant behavior. </w:t>
            </w:r>
            <w:r w:rsidRPr="00E30A5F">
              <w:rPr>
                <w:b w:val="0"/>
                <w:bCs w:val="0"/>
                <w:i/>
                <w:sz w:val="20"/>
                <w:szCs w:val="20"/>
              </w:rPr>
              <w:t>Obesity</w:t>
            </w:r>
            <w:r w:rsidR="001D35F0" w:rsidRPr="00E30A5F">
              <w:rPr>
                <w:b w:val="0"/>
                <w:bCs w:val="0"/>
                <w:sz w:val="20"/>
                <w:szCs w:val="20"/>
              </w:rPr>
              <w:t>, 25(12), 2018-2044.</w:t>
            </w:r>
          </w:p>
        </w:tc>
        <w:tc>
          <w:tcPr>
            <w:tcW w:w="1843" w:type="dxa"/>
          </w:tcPr>
          <w:p w14:paraId="1CB6A184" w14:textId="4CC462C8"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53 studies – 27 in restaurants / cafeterias and 21 in experimental settings</w:t>
            </w:r>
          </w:p>
        </w:tc>
        <w:tc>
          <w:tcPr>
            <w:tcW w:w="4394" w:type="dxa"/>
          </w:tcPr>
          <w:p w14:paraId="250E6A19" w14:textId="77777777"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Limited evidence that menu labelling affects calories purchased at fast‐food restaurants.</w:t>
            </w:r>
          </w:p>
          <w:p w14:paraId="255F0625" w14:textId="350919F3"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 xml:space="preserve">Some evidence demonstrates that menu labelling lowers calories purchased at certain types of restaurants and in cafeteria settings. </w:t>
            </w:r>
          </w:p>
        </w:tc>
      </w:tr>
      <w:tr w:rsidR="001D35F0" w:rsidRPr="00E67A4C" w14:paraId="6B1B1D88" w14:textId="77777777" w:rsidTr="00085D4C">
        <w:tc>
          <w:tcPr>
            <w:cnfStyle w:val="001000000000" w:firstRow="0" w:lastRow="0" w:firstColumn="1" w:lastColumn="0" w:oddVBand="0" w:evenVBand="0" w:oddHBand="0" w:evenHBand="0" w:firstRowFirstColumn="0" w:firstRowLastColumn="0" w:lastRowFirstColumn="0" w:lastRowLastColumn="0"/>
            <w:tcW w:w="2830" w:type="dxa"/>
          </w:tcPr>
          <w:p w14:paraId="61EFE92E" w14:textId="082556DC" w:rsidR="001D35F0" w:rsidRPr="00E30A5F" w:rsidRDefault="00B03297" w:rsidP="001D35F0">
            <w:pPr>
              <w:rPr>
                <w:b w:val="0"/>
                <w:bCs w:val="0"/>
                <w:sz w:val="20"/>
                <w:szCs w:val="20"/>
              </w:rPr>
            </w:pPr>
            <w:r w:rsidRPr="00E30A5F">
              <w:rPr>
                <w:b w:val="0"/>
                <w:bCs w:val="0"/>
                <w:sz w:val="20"/>
                <w:szCs w:val="20"/>
              </w:rPr>
              <w:t>Cantu-jungles et al. 2017. A meta-analysis to determine the impact of restaurant menu labeling on calories and nutrients (ordered or consumed) in U</w:t>
            </w:r>
            <w:r w:rsidR="007269E8" w:rsidRPr="00E30A5F">
              <w:rPr>
                <w:b w:val="0"/>
                <w:bCs w:val="0"/>
                <w:caps/>
                <w:sz w:val="20"/>
                <w:szCs w:val="20"/>
              </w:rPr>
              <w:t>.</w:t>
            </w:r>
            <w:r w:rsidRPr="00E30A5F">
              <w:rPr>
                <w:b w:val="0"/>
                <w:bCs w:val="0"/>
                <w:caps/>
                <w:sz w:val="20"/>
                <w:szCs w:val="20"/>
              </w:rPr>
              <w:t>S</w:t>
            </w:r>
            <w:r w:rsidRPr="00E30A5F">
              <w:rPr>
                <w:b w:val="0"/>
                <w:bCs w:val="0"/>
                <w:sz w:val="20"/>
                <w:szCs w:val="20"/>
              </w:rPr>
              <w:t xml:space="preserve">. adults. </w:t>
            </w:r>
            <w:r w:rsidRPr="00E30A5F">
              <w:rPr>
                <w:b w:val="0"/>
                <w:bCs w:val="0"/>
                <w:i/>
                <w:sz w:val="20"/>
                <w:szCs w:val="20"/>
              </w:rPr>
              <w:t>Nutrients</w:t>
            </w:r>
            <w:r w:rsidR="001D35F0" w:rsidRPr="00E30A5F">
              <w:rPr>
                <w:b w:val="0"/>
                <w:bCs w:val="0"/>
                <w:sz w:val="20"/>
                <w:szCs w:val="20"/>
              </w:rPr>
              <w:t>, 9(10), 1088.</w:t>
            </w:r>
          </w:p>
        </w:tc>
        <w:tc>
          <w:tcPr>
            <w:tcW w:w="1843" w:type="dxa"/>
          </w:tcPr>
          <w:p w14:paraId="4BD16652" w14:textId="0FF4286E" w:rsidR="001D35F0" w:rsidRPr="00E30A5F" w:rsidRDefault="001D35F0" w:rsidP="001D35F0">
            <w:pPr>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14 studies – USA; 9 in real-world settings, 5 in experimental settings</w:t>
            </w:r>
          </w:p>
        </w:tc>
        <w:tc>
          <w:tcPr>
            <w:tcW w:w="4394" w:type="dxa"/>
          </w:tcPr>
          <w:p w14:paraId="24BFAC0D" w14:textId="77777777" w:rsidR="001D35F0" w:rsidRPr="00E30A5F" w:rsidRDefault="001D35F0"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Menu labelling in away-from-home settings did not result in a change in quantity or quality of calories ordered or consumed among U.S. adults.</w:t>
            </w:r>
          </w:p>
          <w:p w14:paraId="68382904" w14:textId="77777777" w:rsidR="001D35F0" w:rsidRPr="00E30A5F" w:rsidRDefault="001D35F0"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In experimental settings, there was a decrease of 115 calories (460kJ).</w:t>
            </w:r>
          </w:p>
          <w:p w14:paraId="3B4F451C" w14:textId="4D8A646E" w:rsidR="001D35F0" w:rsidRPr="00E30A5F" w:rsidRDefault="001D35F0"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Did not consider the effect that displaying energy requirements as well as energy content of menu items would have on ordering or consumption.</w:t>
            </w:r>
          </w:p>
        </w:tc>
      </w:tr>
      <w:tr w:rsidR="001D35F0" w:rsidRPr="00E67A4C" w14:paraId="5B87DC71" w14:textId="77777777" w:rsidTr="00085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B938D00" w14:textId="03839183" w:rsidR="001D35F0" w:rsidRPr="00E30A5F" w:rsidRDefault="00B03297" w:rsidP="001D35F0">
            <w:pPr>
              <w:rPr>
                <w:b w:val="0"/>
                <w:bCs w:val="0"/>
                <w:sz w:val="20"/>
                <w:szCs w:val="20"/>
              </w:rPr>
            </w:pPr>
            <w:r w:rsidRPr="00E30A5F">
              <w:rPr>
                <w:b w:val="0"/>
                <w:bCs w:val="0"/>
                <w:sz w:val="20"/>
                <w:szCs w:val="20"/>
              </w:rPr>
              <w:t xml:space="preserve">Crockett et al. 2018. Nutritional labelling for healthier food or non-alcoholic drink purchasing and consumption. </w:t>
            </w:r>
            <w:r w:rsidRPr="00E30A5F">
              <w:rPr>
                <w:b w:val="0"/>
                <w:bCs w:val="0"/>
                <w:i/>
                <w:sz w:val="20"/>
                <w:szCs w:val="20"/>
              </w:rPr>
              <w:t xml:space="preserve">Cochrane Database of Systematic </w:t>
            </w:r>
            <w:r w:rsidRPr="00E30A5F">
              <w:rPr>
                <w:b w:val="0"/>
                <w:bCs w:val="0"/>
                <w:i/>
                <w:sz w:val="20"/>
                <w:szCs w:val="20"/>
              </w:rPr>
              <w:lastRenderedPageBreak/>
              <w:t>Reviews</w:t>
            </w:r>
            <w:r w:rsidRPr="00E30A5F">
              <w:rPr>
                <w:b w:val="0"/>
                <w:bCs w:val="0"/>
                <w:sz w:val="20"/>
                <w:szCs w:val="20"/>
              </w:rPr>
              <w:t xml:space="preserve">, issue 2. Art. No.: cd009315. </w:t>
            </w:r>
          </w:p>
        </w:tc>
        <w:tc>
          <w:tcPr>
            <w:tcW w:w="1843" w:type="dxa"/>
          </w:tcPr>
          <w:p w14:paraId="0A22E35B" w14:textId="77777777"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lastRenderedPageBreak/>
              <w:t xml:space="preserve">28 studies – </w:t>
            </w:r>
          </w:p>
          <w:p w14:paraId="0DF6D63B" w14:textId="7462B767"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21 in USA;</w:t>
            </w:r>
          </w:p>
          <w:p w14:paraId="1695226D" w14:textId="39A7C1F4"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 xml:space="preserve">19 in university settings; 3 in restaurants / </w:t>
            </w:r>
            <w:r w:rsidRPr="00E30A5F">
              <w:rPr>
                <w:sz w:val="20"/>
                <w:szCs w:val="20"/>
              </w:rPr>
              <w:lastRenderedPageBreak/>
              <w:t>cafeterias / coffee shops.</w:t>
            </w:r>
          </w:p>
        </w:tc>
        <w:tc>
          <w:tcPr>
            <w:tcW w:w="4394" w:type="dxa"/>
          </w:tcPr>
          <w:p w14:paraId="7A6AFBCF" w14:textId="567167B4"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lastRenderedPageBreak/>
              <w:t>Nutritional labelling on menus could reduce kilojoules purchased by eight per cent in restaurants (based on three low-quality randomised-control trials).</w:t>
            </w:r>
          </w:p>
          <w:p w14:paraId="5EFE3DFE" w14:textId="229A2217"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lastRenderedPageBreak/>
              <w:t>Nutritional labelling on menus did not unintentionally increase the amount of energy purchased or consumed.</w:t>
            </w:r>
          </w:p>
          <w:p w14:paraId="5A9D31AF" w14:textId="77777777"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Nutrition labelling on restaurant menus could form part of a suite of measures to address obesity, with further monitoring and research required in real-world settings.</w:t>
            </w:r>
          </w:p>
        </w:tc>
      </w:tr>
      <w:tr w:rsidR="001D35F0" w:rsidRPr="00E67A4C" w14:paraId="6E4E4C6B" w14:textId="77777777" w:rsidTr="00085D4C">
        <w:tc>
          <w:tcPr>
            <w:cnfStyle w:val="001000000000" w:firstRow="0" w:lastRow="0" w:firstColumn="1" w:lastColumn="0" w:oddVBand="0" w:evenVBand="0" w:oddHBand="0" w:evenHBand="0" w:firstRowFirstColumn="0" w:firstRowLastColumn="0" w:lastRowFirstColumn="0" w:lastRowLastColumn="0"/>
            <w:tcW w:w="2830" w:type="dxa"/>
          </w:tcPr>
          <w:p w14:paraId="38B19EA1" w14:textId="202FB537" w:rsidR="001D35F0" w:rsidRPr="00E30A5F" w:rsidRDefault="00B03297" w:rsidP="001D35F0">
            <w:pPr>
              <w:rPr>
                <w:b w:val="0"/>
                <w:bCs w:val="0"/>
                <w:sz w:val="20"/>
                <w:szCs w:val="20"/>
              </w:rPr>
            </w:pPr>
            <w:r w:rsidRPr="00E30A5F">
              <w:rPr>
                <w:b w:val="0"/>
                <w:bCs w:val="0"/>
                <w:sz w:val="20"/>
                <w:szCs w:val="20"/>
              </w:rPr>
              <w:lastRenderedPageBreak/>
              <w:t xml:space="preserve">Fernandes et al. 2016. Influence of menu labeling on food choices in real-life settings: a systematic review. </w:t>
            </w:r>
            <w:r w:rsidRPr="00E30A5F">
              <w:rPr>
                <w:b w:val="0"/>
                <w:bCs w:val="0"/>
                <w:i/>
                <w:sz w:val="20"/>
                <w:szCs w:val="20"/>
              </w:rPr>
              <w:t>Nutrition Reviews</w:t>
            </w:r>
            <w:r w:rsidR="001D35F0" w:rsidRPr="00E30A5F">
              <w:rPr>
                <w:b w:val="0"/>
                <w:bCs w:val="0"/>
                <w:sz w:val="20"/>
                <w:szCs w:val="20"/>
              </w:rPr>
              <w:t>, 74(8), 534-548.</w:t>
            </w:r>
          </w:p>
        </w:tc>
        <w:tc>
          <w:tcPr>
            <w:tcW w:w="1843" w:type="dxa"/>
          </w:tcPr>
          <w:p w14:paraId="111F61FB" w14:textId="5148353E" w:rsidR="001D35F0" w:rsidRPr="00E30A5F" w:rsidRDefault="001D35F0" w:rsidP="001D35F0">
            <w:pPr>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38 studies – 32 in USA, 6 in UK and EU</w:t>
            </w:r>
          </w:p>
        </w:tc>
        <w:tc>
          <w:tcPr>
            <w:tcW w:w="4394" w:type="dxa"/>
          </w:tcPr>
          <w:p w14:paraId="5A2F5C85" w14:textId="77777777" w:rsidR="001D35F0" w:rsidRPr="00E30A5F" w:rsidRDefault="001D35F0"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Analysis suggested that the effect of menu labelling was mixed.</w:t>
            </w:r>
          </w:p>
          <w:p w14:paraId="65FD41B7" w14:textId="77777777" w:rsidR="001D35F0" w:rsidRPr="00E30A5F" w:rsidRDefault="001D35F0"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Menu labelling was more effective in cafeteria settings than in fast food and dine-in restaurants.</w:t>
            </w:r>
          </w:p>
          <w:p w14:paraId="3FCEFCCC" w14:textId="77777777" w:rsidR="001D35F0" w:rsidRPr="00E30A5F" w:rsidRDefault="001D35F0"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 xml:space="preserve">Qualitative information, such as healthy food symbols and traffic-light labelling, was most effective in promoting healthy eating. </w:t>
            </w:r>
          </w:p>
          <w:p w14:paraId="7BFE8557" w14:textId="02C4E67F" w:rsidR="001D35F0" w:rsidRPr="00E30A5F" w:rsidRDefault="001D35F0"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Calorie labelling in menus is not effective to promote healthier food choices.</w:t>
            </w:r>
          </w:p>
        </w:tc>
      </w:tr>
      <w:tr w:rsidR="001D35F0" w:rsidRPr="00E67A4C" w14:paraId="4494E1D7" w14:textId="77777777" w:rsidTr="00085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6A763A3" w14:textId="3480E450" w:rsidR="001D35F0" w:rsidRPr="00E30A5F" w:rsidRDefault="001D35F0" w:rsidP="001D35F0">
            <w:pPr>
              <w:rPr>
                <w:b w:val="0"/>
                <w:bCs w:val="0"/>
                <w:sz w:val="20"/>
                <w:szCs w:val="20"/>
              </w:rPr>
            </w:pPr>
            <w:r w:rsidRPr="00E30A5F">
              <w:rPr>
                <w:rFonts w:eastAsia="Arial"/>
                <w:b w:val="0"/>
                <w:bCs w:val="0"/>
                <w:spacing w:val="-1"/>
                <w:sz w:val="20"/>
                <w:szCs w:val="20"/>
              </w:rPr>
              <w:t>L</w:t>
            </w:r>
            <w:r w:rsidR="00B03297" w:rsidRPr="00E30A5F">
              <w:rPr>
                <w:rFonts w:eastAsia="Arial"/>
                <w:b w:val="0"/>
                <w:bCs w:val="0"/>
                <w:spacing w:val="-2"/>
                <w:sz w:val="20"/>
                <w:szCs w:val="20"/>
              </w:rPr>
              <w:t>i</w:t>
            </w:r>
            <w:r w:rsidR="00B03297" w:rsidRPr="00E30A5F">
              <w:rPr>
                <w:rFonts w:eastAsia="Arial"/>
                <w:b w:val="0"/>
                <w:bCs w:val="0"/>
                <w:spacing w:val="1"/>
                <w:sz w:val="20"/>
                <w:szCs w:val="20"/>
              </w:rPr>
              <w:t>t</w:t>
            </w:r>
            <w:r w:rsidR="00B03297" w:rsidRPr="00E30A5F">
              <w:rPr>
                <w:rFonts w:eastAsia="Arial"/>
                <w:b w:val="0"/>
                <w:bCs w:val="0"/>
                <w:spacing w:val="-1"/>
                <w:sz w:val="20"/>
                <w:szCs w:val="20"/>
              </w:rPr>
              <w:t>t</w:t>
            </w:r>
            <w:r w:rsidR="00B03297" w:rsidRPr="00E30A5F">
              <w:rPr>
                <w:rFonts w:eastAsia="Arial"/>
                <w:b w:val="0"/>
                <w:bCs w:val="0"/>
                <w:sz w:val="20"/>
                <w:szCs w:val="20"/>
              </w:rPr>
              <w:t>l</w:t>
            </w:r>
            <w:r w:rsidR="00B03297" w:rsidRPr="00E30A5F">
              <w:rPr>
                <w:rFonts w:eastAsia="Arial"/>
                <w:b w:val="0"/>
                <w:bCs w:val="0"/>
                <w:spacing w:val="-1"/>
                <w:sz w:val="20"/>
                <w:szCs w:val="20"/>
              </w:rPr>
              <w:t>e</w:t>
            </w:r>
            <w:r w:rsidR="00B03297" w:rsidRPr="00E30A5F">
              <w:rPr>
                <w:rFonts w:eastAsia="Arial"/>
                <w:b w:val="0"/>
                <w:bCs w:val="0"/>
                <w:spacing w:val="-3"/>
                <w:sz w:val="20"/>
                <w:szCs w:val="20"/>
              </w:rPr>
              <w:t>w</w:t>
            </w:r>
            <w:r w:rsidR="00B03297" w:rsidRPr="00E30A5F">
              <w:rPr>
                <w:rFonts w:eastAsia="Arial"/>
                <w:b w:val="0"/>
                <w:bCs w:val="0"/>
                <w:spacing w:val="-1"/>
                <w:sz w:val="20"/>
                <w:szCs w:val="20"/>
              </w:rPr>
              <w:t>ood et al. 2015</w:t>
            </w:r>
            <w:r w:rsidRPr="00E30A5F">
              <w:rPr>
                <w:rFonts w:eastAsia="Arial"/>
                <w:b w:val="0"/>
                <w:bCs w:val="0"/>
                <w:sz w:val="20"/>
                <w:szCs w:val="20"/>
              </w:rPr>
              <w:t>.</w:t>
            </w:r>
            <w:r w:rsidRPr="00E30A5F">
              <w:rPr>
                <w:rFonts w:eastAsia="Arial"/>
                <w:b w:val="0"/>
                <w:bCs w:val="0"/>
                <w:spacing w:val="2"/>
                <w:sz w:val="20"/>
                <w:szCs w:val="20"/>
              </w:rPr>
              <w:t xml:space="preserve"> </w:t>
            </w:r>
            <w:r w:rsidRPr="00E30A5F">
              <w:rPr>
                <w:rFonts w:eastAsia="Arial"/>
                <w:b w:val="0"/>
                <w:bCs w:val="0"/>
                <w:spacing w:val="-2"/>
                <w:sz w:val="20"/>
                <w:szCs w:val="20"/>
              </w:rPr>
              <w:t>M</w:t>
            </w:r>
            <w:r w:rsidR="00B03297" w:rsidRPr="00E30A5F">
              <w:rPr>
                <w:rFonts w:eastAsia="Arial"/>
                <w:b w:val="0"/>
                <w:bCs w:val="0"/>
                <w:spacing w:val="-1"/>
                <w:sz w:val="20"/>
                <w:szCs w:val="20"/>
              </w:rPr>
              <w:t>en</w:t>
            </w:r>
            <w:r w:rsidR="00B03297" w:rsidRPr="00E30A5F">
              <w:rPr>
                <w:rFonts w:eastAsia="Arial"/>
                <w:b w:val="0"/>
                <w:bCs w:val="0"/>
                <w:sz w:val="20"/>
                <w:szCs w:val="20"/>
              </w:rPr>
              <w:t>u</w:t>
            </w:r>
            <w:r w:rsidRPr="00E30A5F">
              <w:rPr>
                <w:rFonts w:eastAsia="Arial"/>
                <w:b w:val="0"/>
                <w:bCs w:val="0"/>
                <w:spacing w:val="1"/>
                <w:sz w:val="20"/>
                <w:szCs w:val="20"/>
              </w:rPr>
              <w:t xml:space="preserve"> </w:t>
            </w:r>
            <w:r w:rsidR="00B03297" w:rsidRPr="00E30A5F">
              <w:rPr>
                <w:rFonts w:eastAsia="Arial"/>
                <w:b w:val="0"/>
                <w:bCs w:val="0"/>
                <w:spacing w:val="-2"/>
                <w:sz w:val="20"/>
                <w:szCs w:val="20"/>
              </w:rPr>
              <w:t>l</w:t>
            </w:r>
            <w:r w:rsidR="00B03297" w:rsidRPr="00E30A5F">
              <w:rPr>
                <w:rFonts w:eastAsia="Arial"/>
                <w:b w:val="0"/>
                <w:bCs w:val="0"/>
                <w:spacing w:val="-1"/>
                <w:sz w:val="20"/>
                <w:szCs w:val="20"/>
              </w:rPr>
              <w:t>abe</w:t>
            </w:r>
            <w:r w:rsidR="00B03297" w:rsidRPr="00E30A5F">
              <w:rPr>
                <w:rFonts w:eastAsia="Arial"/>
                <w:b w:val="0"/>
                <w:bCs w:val="0"/>
                <w:sz w:val="20"/>
                <w:szCs w:val="20"/>
              </w:rPr>
              <w:t>lli</w:t>
            </w:r>
            <w:r w:rsidR="00B03297" w:rsidRPr="00E30A5F">
              <w:rPr>
                <w:rFonts w:eastAsia="Arial"/>
                <w:b w:val="0"/>
                <w:bCs w:val="0"/>
                <w:spacing w:val="-1"/>
                <w:sz w:val="20"/>
                <w:szCs w:val="20"/>
              </w:rPr>
              <w:t>n</w:t>
            </w:r>
            <w:r w:rsidR="00B03297" w:rsidRPr="00E30A5F">
              <w:rPr>
                <w:rFonts w:eastAsia="Arial"/>
                <w:b w:val="0"/>
                <w:bCs w:val="0"/>
                <w:sz w:val="20"/>
                <w:szCs w:val="20"/>
              </w:rPr>
              <w:t>g</w:t>
            </w:r>
            <w:r w:rsidRPr="00E30A5F">
              <w:rPr>
                <w:rFonts w:eastAsia="Arial"/>
                <w:b w:val="0"/>
                <w:bCs w:val="0"/>
                <w:spacing w:val="1"/>
                <w:sz w:val="20"/>
                <w:szCs w:val="20"/>
              </w:rPr>
              <w:t xml:space="preserve"> </w:t>
            </w:r>
            <w:r w:rsidR="00B03297" w:rsidRPr="00E30A5F">
              <w:rPr>
                <w:rFonts w:eastAsia="Arial"/>
                <w:b w:val="0"/>
                <w:bCs w:val="0"/>
                <w:sz w:val="20"/>
                <w:szCs w:val="20"/>
              </w:rPr>
              <w:t xml:space="preserve">is </w:t>
            </w:r>
            <w:r w:rsidR="00B03297" w:rsidRPr="00E30A5F">
              <w:rPr>
                <w:rFonts w:eastAsia="Arial"/>
                <w:b w:val="0"/>
                <w:bCs w:val="0"/>
                <w:spacing w:val="-1"/>
                <w:sz w:val="20"/>
                <w:szCs w:val="20"/>
              </w:rPr>
              <w:t>e</w:t>
            </w:r>
            <w:r w:rsidR="00B03297" w:rsidRPr="00E30A5F">
              <w:rPr>
                <w:rFonts w:eastAsia="Arial"/>
                <w:b w:val="0"/>
                <w:bCs w:val="0"/>
                <w:spacing w:val="-2"/>
                <w:sz w:val="20"/>
                <w:szCs w:val="20"/>
              </w:rPr>
              <w:t>f</w:t>
            </w:r>
            <w:r w:rsidR="00B03297" w:rsidRPr="00E30A5F">
              <w:rPr>
                <w:rFonts w:eastAsia="Arial"/>
                <w:b w:val="0"/>
                <w:bCs w:val="0"/>
                <w:spacing w:val="1"/>
                <w:sz w:val="20"/>
                <w:szCs w:val="20"/>
              </w:rPr>
              <w:t>f</w:t>
            </w:r>
            <w:r w:rsidR="00B03297" w:rsidRPr="00E30A5F">
              <w:rPr>
                <w:rFonts w:eastAsia="Arial"/>
                <w:b w:val="0"/>
                <w:bCs w:val="0"/>
                <w:spacing w:val="-1"/>
                <w:sz w:val="20"/>
                <w:szCs w:val="20"/>
              </w:rPr>
              <w:t>ec</w:t>
            </w:r>
            <w:r w:rsidR="00B03297" w:rsidRPr="00E30A5F">
              <w:rPr>
                <w:rFonts w:eastAsia="Arial"/>
                <w:b w:val="0"/>
                <w:bCs w:val="0"/>
                <w:spacing w:val="1"/>
                <w:sz w:val="20"/>
                <w:szCs w:val="20"/>
              </w:rPr>
              <w:t>t</w:t>
            </w:r>
            <w:r w:rsidR="00B03297" w:rsidRPr="00E30A5F">
              <w:rPr>
                <w:rFonts w:eastAsia="Arial"/>
                <w:b w:val="0"/>
                <w:bCs w:val="0"/>
                <w:sz w:val="20"/>
                <w:szCs w:val="20"/>
              </w:rPr>
              <w:t>i</w:t>
            </w:r>
            <w:r w:rsidR="00B03297" w:rsidRPr="00E30A5F">
              <w:rPr>
                <w:rFonts w:eastAsia="Arial"/>
                <w:b w:val="0"/>
                <w:bCs w:val="0"/>
                <w:spacing w:val="-1"/>
                <w:sz w:val="20"/>
                <w:szCs w:val="20"/>
              </w:rPr>
              <w:t>v</w:t>
            </w:r>
            <w:r w:rsidR="00B03297" w:rsidRPr="00E30A5F">
              <w:rPr>
                <w:rFonts w:eastAsia="Arial"/>
                <w:b w:val="0"/>
                <w:bCs w:val="0"/>
                <w:sz w:val="20"/>
                <w:szCs w:val="20"/>
              </w:rPr>
              <w:t>e</w:t>
            </w:r>
            <w:r w:rsidRPr="00E30A5F">
              <w:rPr>
                <w:rFonts w:eastAsia="Arial"/>
                <w:b w:val="0"/>
                <w:bCs w:val="0"/>
                <w:spacing w:val="1"/>
                <w:sz w:val="20"/>
                <w:szCs w:val="20"/>
              </w:rPr>
              <w:t xml:space="preserve"> </w:t>
            </w:r>
            <w:r w:rsidR="00B03297" w:rsidRPr="00E30A5F">
              <w:rPr>
                <w:rFonts w:eastAsia="Arial"/>
                <w:b w:val="0"/>
                <w:bCs w:val="0"/>
                <w:sz w:val="20"/>
                <w:szCs w:val="20"/>
              </w:rPr>
              <w:t xml:space="preserve">in </w:t>
            </w:r>
            <w:r w:rsidR="00B03297" w:rsidRPr="00E30A5F">
              <w:rPr>
                <w:rFonts w:eastAsia="Arial"/>
                <w:b w:val="0"/>
                <w:bCs w:val="0"/>
                <w:spacing w:val="-1"/>
                <w:sz w:val="20"/>
                <w:szCs w:val="20"/>
              </w:rPr>
              <w:t>redu</w:t>
            </w:r>
            <w:r w:rsidR="00B03297" w:rsidRPr="00E30A5F">
              <w:rPr>
                <w:rFonts w:eastAsia="Arial"/>
                <w:b w:val="0"/>
                <w:bCs w:val="0"/>
                <w:spacing w:val="1"/>
                <w:sz w:val="20"/>
                <w:szCs w:val="20"/>
              </w:rPr>
              <w:t>c</w:t>
            </w:r>
            <w:r w:rsidR="00B03297" w:rsidRPr="00E30A5F">
              <w:rPr>
                <w:rFonts w:eastAsia="Arial"/>
                <w:b w:val="0"/>
                <w:bCs w:val="0"/>
                <w:sz w:val="20"/>
                <w:szCs w:val="20"/>
              </w:rPr>
              <w:t>i</w:t>
            </w:r>
            <w:r w:rsidR="00B03297" w:rsidRPr="00E30A5F">
              <w:rPr>
                <w:rFonts w:eastAsia="Arial"/>
                <w:b w:val="0"/>
                <w:bCs w:val="0"/>
                <w:spacing w:val="-1"/>
                <w:sz w:val="20"/>
                <w:szCs w:val="20"/>
              </w:rPr>
              <w:t>n</w:t>
            </w:r>
            <w:r w:rsidR="00B03297" w:rsidRPr="00E30A5F">
              <w:rPr>
                <w:rFonts w:eastAsia="Arial"/>
                <w:b w:val="0"/>
                <w:bCs w:val="0"/>
                <w:sz w:val="20"/>
                <w:szCs w:val="20"/>
              </w:rPr>
              <w:t>g</w:t>
            </w:r>
            <w:r w:rsidRPr="00E30A5F">
              <w:rPr>
                <w:rFonts w:eastAsia="Arial"/>
                <w:b w:val="0"/>
                <w:bCs w:val="0"/>
                <w:spacing w:val="1"/>
                <w:sz w:val="20"/>
                <w:szCs w:val="20"/>
              </w:rPr>
              <w:t xml:space="preserve"> </w:t>
            </w:r>
            <w:r w:rsidR="00B03297" w:rsidRPr="00E30A5F">
              <w:rPr>
                <w:rFonts w:eastAsia="Arial"/>
                <w:b w:val="0"/>
                <w:bCs w:val="0"/>
                <w:spacing w:val="-1"/>
                <w:sz w:val="20"/>
                <w:szCs w:val="20"/>
              </w:rPr>
              <w:t>energ</w:t>
            </w:r>
            <w:r w:rsidR="00B03297" w:rsidRPr="00E30A5F">
              <w:rPr>
                <w:rFonts w:eastAsia="Arial"/>
                <w:b w:val="0"/>
                <w:bCs w:val="0"/>
                <w:sz w:val="20"/>
                <w:szCs w:val="20"/>
              </w:rPr>
              <w:t xml:space="preserve">y </w:t>
            </w:r>
            <w:r w:rsidR="00B03297" w:rsidRPr="00E30A5F">
              <w:rPr>
                <w:rFonts w:eastAsia="Arial"/>
                <w:b w:val="0"/>
                <w:bCs w:val="0"/>
                <w:spacing w:val="-1"/>
                <w:sz w:val="20"/>
                <w:szCs w:val="20"/>
              </w:rPr>
              <w:t>ordere</w:t>
            </w:r>
            <w:r w:rsidR="00B03297" w:rsidRPr="00E30A5F">
              <w:rPr>
                <w:rFonts w:eastAsia="Arial"/>
                <w:b w:val="0"/>
                <w:bCs w:val="0"/>
                <w:sz w:val="20"/>
                <w:szCs w:val="20"/>
              </w:rPr>
              <w:t>d</w:t>
            </w:r>
            <w:r w:rsidRPr="00E30A5F">
              <w:rPr>
                <w:rFonts w:eastAsia="Arial"/>
                <w:b w:val="0"/>
                <w:bCs w:val="0"/>
                <w:spacing w:val="1"/>
                <w:sz w:val="20"/>
                <w:szCs w:val="20"/>
              </w:rPr>
              <w:t xml:space="preserve"> </w:t>
            </w:r>
            <w:r w:rsidR="00B03297" w:rsidRPr="00E30A5F">
              <w:rPr>
                <w:rFonts w:eastAsia="Arial"/>
                <w:b w:val="0"/>
                <w:bCs w:val="0"/>
                <w:spacing w:val="-1"/>
                <w:sz w:val="20"/>
                <w:szCs w:val="20"/>
              </w:rPr>
              <w:t>an</w:t>
            </w:r>
            <w:r w:rsidR="00B03297" w:rsidRPr="00E30A5F">
              <w:rPr>
                <w:rFonts w:eastAsia="Arial"/>
                <w:b w:val="0"/>
                <w:bCs w:val="0"/>
                <w:sz w:val="20"/>
                <w:szCs w:val="20"/>
              </w:rPr>
              <w:t>d</w:t>
            </w:r>
            <w:r w:rsidR="00B03297" w:rsidRPr="00E30A5F">
              <w:rPr>
                <w:rFonts w:eastAsia="Arial"/>
                <w:b w:val="0"/>
                <w:bCs w:val="0"/>
                <w:spacing w:val="1"/>
                <w:sz w:val="20"/>
                <w:szCs w:val="20"/>
              </w:rPr>
              <w:t xml:space="preserve"> c</w:t>
            </w:r>
            <w:r w:rsidR="00B03297" w:rsidRPr="00E30A5F">
              <w:rPr>
                <w:rFonts w:eastAsia="Arial"/>
                <w:b w:val="0"/>
                <w:bCs w:val="0"/>
                <w:spacing w:val="-1"/>
                <w:sz w:val="20"/>
                <w:szCs w:val="20"/>
              </w:rPr>
              <w:t>onsu</w:t>
            </w:r>
            <w:r w:rsidR="00B03297" w:rsidRPr="00E30A5F">
              <w:rPr>
                <w:rFonts w:eastAsia="Arial"/>
                <w:b w:val="0"/>
                <w:bCs w:val="0"/>
                <w:spacing w:val="3"/>
                <w:sz w:val="20"/>
                <w:szCs w:val="20"/>
              </w:rPr>
              <w:t>m</w:t>
            </w:r>
            <w:r w:rsidR="00B03297" w:rsidRPr="00E30A5F">
              <w:rPr>
                <w:rFonts w:eastAsia="Arial"/>
                <w:b w:val="0"/>
                <w:bCs w:val="0"/>
                <w:spacing w:val="-1"/>
                <w:sz w:val="20"/>
                <w:szCs w:val="20"/>
              </w:rPr>
              <w:t>e</w:t>
            </w:r>
            <w:r w:rsidR="00B03297" w:rsidRPr="00E30A5F">
              <w:rPr>
                <w:rFonts w:eastAsia="Arial"/>
                <w:b w:val="0"/>
                <w:bCs w:val="0"/>
                <w:spacing w:val="-3"/>
                <w:sz w:val="20"/>
                <w:szCs w:val="20"/>
              </w:rPr>
              <w:t>d</w:t>
            </w:r>
            <w:r w:rsidRPr="00E30A5F">
              <w:rPr>
                <w:rFonts w:eastAsia="Arial"/>
                <w:b w:val="0"/>
                <w:bCs w:val="0"/>
                <w:sz w:val="20"/>
                <w:szCs w:val="20"/>
              </w:rPr>
              <w:t>:</w:t>
            </w:r>
            <w:r w:rsidRPr="00E30A5F">
              <w:rPr>
                <w:rFonts w:eastAsia="Arial"/>
                <w:b w:val="0"/>
                <w:bCs w:val="0"/>
                <w:spacing w:val="2"/>
                <w:sz w:val="20"/>
                <w:szCs w:val="20"/>
              </w:rPr>
              <w:t xml:space="preserve"> </w:t>
            </w:r>
            <w:r w:rsidR="00B03297" w:rsidRPr="00E30A5F">
              <w:rPr>
                <w:rFonts w:eastAsia="Arial"/>
                <w:b w:val="0"/>
                <w:bCs w:val="0"/>
                <w:sz w:val="20"/>
                <w:szCs w:val="20"/>
              </w:rPr>
              <w:t>a</w:t>
            </w:r>
            <w:r w:rsidRPr="00E30A5F">
              <w:rPr>
                <w:rFonts w:eastAsia="Arial"/>
                <w:b w:val="0"/>
                <w:bCs w:val="0"/>
                <w:spacing w:val="-2"/>
                <w:sz w:val="20"/>
                <w:szCs w:val="20"/>
              </w:rPr>
              <w:t xml:space="preserve"> </w:t>
            </w:r>
            <w:r w:rsidR="00B03297" w:rsidRPr="00E30A5F">
              <w:rPr>
                <w:rFonts w:eastAsia="Arial"/>
                <w:b w:val="0"/>
                <w:bCs w:val="0"/>
                <w:spacing w:val="1"/>
                <w:sz w:val="20"/>
                <w:szCs w:val="20"/>
              </w:rPr>
              <w:t>s</w:t>
            </w:r>
            <w:r w:rsidR="00B03297" w:rsidRPr="00E30A5F">
              <w:rPr>
                <w:rFonts w:eastAsia="Arial"/>
                <w:b w:val="0"/>
                <w:bCs w:val="0"/>
                <w:spacing w:val="-4"/>
                <w:sz w:val="20"/>
                <w:szCs w:val="20"/>
              </w:rPr>
              <w:t>y</w:t>
            </w:r>
            <w:r w:rsidR="00B03297" w:rsidRPr="00E30A5F">
              <w:rPr>
                <w:rFonts w:eastAsia="Arial"/>
                <w:b w:val="0"/>
                <w:bCs w:val="0"/>
                <w:spacing w:val="1"/>
                <w:sz w:val="20"/>
                <w:szCs w:val="20"/>
              </w:rPr>
              <w:t>st</w:t>
            </w:r>
            <w:r w:rsidR="00B03297" w:rsidRPr="00E30A5F">
              <w:rPr>
                <w:rFonts w:eastAsia="Arial"/>
                <w:b w:val="0"/>
                <w:bCs w:val="0"/>
                <w:spacing w:val="-3"/>
                <w:sz w:val="20"/>
                <w:szCs w:val="20"/>
              </w:rPr>
              <w:t>e</w:t>
            </w:r>
            <w:r w:rsidR="00B03297" w:rsidRPr="00E30A5F">
              <w:rPr>
                <w:rFonts w:eastAsia="Arial"/>
                <w:b w:val="0"/>
                <w:bCs w:val="0"/>
                <w:spacing w:val="3"/>
                <w:sz w:val="20"/>
                <w:szCs w:val="20"/>
              </w:rPr>
              <w:t>m</w:t>
            </w:r>
            <w:r w:rsidR="00B03297" w:rsidRPr="00E30A5F">
              <w:rPr>
                <w:rFonts w:eastAsia="Arial"/>
                <w:b w:val="0"/>
                <w:bCs w:val="0"/>
                <w:spacing w:val="-3"/>
                <w:sz w:val="20"/>
                <w:szCs w:val="20"/>
              </w:rPr>
              <w:t>a</w:t>
            </w:r>
            <w:r w:rsidR="00B03297" w:rsidRPr="00E30A5F">
              <w:rPr>
                <w:rFonts w:eastAsia="Arial"/>
                <w:b w:val="0"/>
                <w:bCs w:val="0"/>
                <w:spacing w:val="1"/>
                <w:sz w:val="20"/>
                <w:szCs w:val="20"/>
              </w:rPr>
              <w:t>t</w:t>
            </w:r>
            <w:r w:rsidR="00B03297" w:rsidRPr="00E30A5F">
              <w:rPr>
                <w:rFonts w:eastAsia="Arial"/>
                <w:b w:val="0"/>
                <w:bCs w:val="0"/>
                <w:spacing w:val="-2"/>
                <w:sz w:val="20"/>
                <w:szCs w:val="20"/>
              </w:rPr>
              <w:t>i</w:t>
            </w:r>
            <w:r w:rsidR="00B03297" w:rsidRPr="00E30A5F">
              <w:rPr>
                <w:rFonts w:eastAsia="Arial"/>
                <w:b w:val="0"/>
                <w:bCs w:val="0"/>
                <w:sz w:val="20"/>
                <w:szCs w:val="20"/>
              </w:rPr>
              <w:t>c</w:t>
            </w:r>
            <w:r w:rsidRPr="00E30A5F">
              <w:rPr>
                <w:rFonts w:eastAsia="Arial"/>
                <w:b w:val="0"/>
                <w:bCs w:val="0"/>
                <w:spacing w:val="2"/>
                <w:sz w:val="20"/>
                <w:szCs w:val="20"/>
              </w:rPr>
              <w:t xml:space="preserve"> </w:t>
            </w:r>
            <w:r w:rsidR="00B03297" w:rsidRPr="00E30A5F">
              <w:rPr>
                <w:rFonts w:eastAsia="Arial"/>
                <w:b w:val="0"/>
                <w:bCs w:val="0"/>
                <w:spacing w:val="-1"/>
                <w:sz w:val="20"/>
                <w:szCs w:val="20"/>
              </w:rPr>
              <w:t>rev</w:t>
            </w:r>
            <w:r w:rsidR="00B03297" w:rsidRPr="00E30A5F">
              <w:rPr>
                <w:rFonts w:eastAsia="Arial"/>
                <w:b w:val="0"/>
                <w:bCs w:val="0"/>
                <w:sz w:val="20"/>
                <w:szCs w:val="20"/>
              </w:rPr>
              <w:t>i</w:t>
            </w:r>
            <w:r w:rsidR="00B03297" w:rsidRPr="00E30A5F">
              <w:rPr>
                <w:rFonts w:eastAsia="Arial"/>
                <w:b w:val="0"/>
                <w:bCs w:val="0"/>
                <w:spacing w:val="-1"/>
                <w:sz w:val="20"/>
                <w:szCs w:val="20"/>
              </w:rPr>
              <w:t>e</w:t>
            </w:r>
            <w:r w:rsidR="00B03297" w:rsidRPr="00E30A5F">
              <w:rPr>
                <w:rFonts w:eastAsia="Arial"/>
                <w:b w:val="0"/>
                <w:bCs w:val="0"/>
                <w:sz w:val="20"/>
                <w:szCs w:val="20"/>
              </w:rPr>
              <w:t>w</w:t>
            </w:r>
            <w:r w:rsidRPr="00E30A5F">
              <w:rPr>
                <w:rFonts w:eastAsia="Arial"/>
                <w:b w:val="0"/>
                <w:bCs w:val="0"/>
                <w:spacing w:val="-2"/>
                <w:sz w:val="20"/>
                <w:szCs w:val="20"/>
              </w:rPr>
              <w:t xml:space="preserve"> </w:t>
            </w:r>
            <w:r w:rsidR="00B03297" w:rsidRPr="00E30A5F">
              <w:rPr>
                <w:rFonts w:eastAsia="Arial"/>
                <w:b w:val="0"/>
                <w:bCs w:val="0"/>
                <w:spacing w:val="-1"/>
                <w:sz w:val="20"/>
                <w:szCs w:val="20"/>
              </w:rPr>
              <w:t>an</w:t>
            </w:r>
            <w:r w:rsidR="00B03297" w:rsidRPr="00E30A5F">
              <w:rPr>
                <w:rFonts w:eastAsia="Arial"/>
                <w:b w:val="0"/>
                <w:bCs w:val="0"/>
                <w:sz w:val="20"/>
                <w:szCs w:val="20"/>
              </w:rPr>
              <w:t>d</w:t>
            </w:r>
            <w:r w:rsidRPr="00E30A5F">
              <w:rPr>
                <w:rFonts w:eastAsia="Arial"/>
                <w:b w:val="0"/>
                <w:bCs w:val="0"/>
                <w:spacing w:val="-2"/>
                <w:sz w:val="20"/>
                <w:szCs w:val="20"/>
              </w:rPr>
              <w:t xml:space="preserve"> </w:t>
            </w:r>
            <w:r w:rsidR="00B03297" w:rsidRPr="00E30A5F">
              <w:rPr>
                <w:rFonts w:eastAsia="Arial"/>
                <w:b w:val="0"/>
                <w:bCs w:val="0"/>
                <w:sz w:val="20"/>
                <w:szCs w:val="20"/>
              </w:rPr>
              <w:t>m</w:t>
            </w:r>
            <w:r w:rsidR="00B03297" w:rsidRPr="00E30A5F">
              <w:rPr>
                <w:rFonts w:eastAsia="Arial"/>
                <w:b w:val="0"/>
                <w:bCs w:val="0"/>
                <w:spacing w:val="-1"/>
                <w:sz w:val="20"/>
                <w:szCs w:val="20"/>
              </w:rPr>
              <w:t>e</w:t>
            </w:r>
            <w:r w:rsidR="00B03297" w:rsidRPr="00E30A5F">
              <w:rPr>
                <w:rFonts w:eastAsia="Arial"/>
                <w:b w:val="0"/>
                <w:bCs w:val="0"/>
                <w:spacing w:val="1"/>
                <w:sz w:val="20"/>
                <w:szCs w:val="20"/>
              </w:rPr>
              <w:t>t</w:t>
            </w:r>
            <w:r w:rsidR="00B03297" w:rsidRPr="00E30A5F">
              <w:rPr>
                <w:rFonts w:eastAsia="Arial"/>
                <w:b w:val="0"/>
                <w:bCs w:val="0"/>
                <w:spacing w:val="-1"/>
                <w:sz w:val="20"/>
                <w:szCs w:val="20"/>
              </w:rPr>
              <w:t>a</w:t>
            </w:r>
            <w:r w:rsidRPr="00E30A5F">
              <w:rPr>
                <w:rFonts w:eastAsia="Arial"/>
                <w:b w:val="0"/>
                <w:bCs w:val="0"/>
                <w:sz w:val="20"/>
                <w:szCs w:val="20"/>
              </w:rPr>
              <w:t>-</w:t>
            </w:r>
            <w:r w:rsidR="00B03297" w:rsidRPr="00E30A5F">
              <w:rPr>
                <w:rFonts w:eastAsia="Arial"/>
                <w:b w:val="0"/>
                <w:bCs w:val="0"/>
                <w:spacing w:val="-1"/>
                <w:sz w:val="20"/>
                <w:szCs w:val="20"/>
              </w:rPr>
              <w:t>ana</w:t>
            </w:r>
            <w:r w:rsidR="00B03297" w:rsidRPr="00E30A5F">
              <w:rPr>
                <w:rFonts w:eastAsia="Arial"/>
                <w:b w:val="0"/>
                <w:bCs w:val="0"/>
                <w:sz w:val="20"/>
                <w:szCs w:val="20"/>
              </w:rPr>
              <w:t>l</w:t>
            </w:r>
            <w:r w:rsidR="00B03297" w:rsidRPr="00E30A5F">
              <w:rPr>
                <w:rFonts w:eastAsia="Arial"/>
                <w:b w:val="0"/>
                <w:bCs w:val="0"/>
                <w:spacing w:val="-1"/>
                <w:sz w:val="20"/>
                <w:szCs w:val="20"/>
              </w:rPr>
              <w:t>y</w:t>
            </w:r>
            <w:r w:rsidR="00B03297" w:rsidRPr="00E30A5F">
              <w:rPr>
                <w:rFonts w:eastAsia="Arial"/>
                <w:b w:val="0"/>
                <w:bCs w:val="0"/>
                <w:spacing w:val="1"/>
                <w:sz w:val="20"/>
                <w:szCs w:val="20"/>
              </w:rPr>
              <w:t>s</w:t>
            </w:r>
            <w:r w:rsidR="00B03297" w:rsidRPr="00E30A5F">
              <w:rPr>
                <w:rFonts w:eastAsia="Arial"/>
                <w:b w:val="0"/>
                <w:bCs w:val="0"/>
                <w:sz w:val="20"/>
                <w:szCs w:val="20"/>
              </w:rPr>
              <w:t xml:space="preserve">is </w:t>
            </w:r>
            <w:r w:rsidR="00B03297" w:rsidRPr="00E30A5F">
              <w:rPr>
                <w:rFonts w:eastAsia="Arial"/>
                <w:b w:val="0"/>
                <w:bCs w:val="0"/>
                <w:spacing w:val="-1"/>
                <w:sz w:val="20"/>
                <w:szCs w:val="20"/>
              </w:rPr>
              <w:t>o</w:t>
            </w:r>
            <w:r w:rsidR="00B03297" w:rsidRPr="00E30A5F">
              <w:rPr>
                <w:rFonts w:eastAsia="Arial"/>
                <w:b w:val="0"/>
                <w:bCs w:val="0"/>
                <w:sz w:val="20"/>
                <w:szCs w:val="20"/>
              </w:rPr>
              <w:t xml:space="preserve">f </w:t>
            </w:r>
            <w:r w:rsidR="00B03297" w:rsidRPr="00E30A5F">
              <w:rPr>
                <w:rFonts w:eastAsia="Arial"/>
                <w:b w:val="0"/>
                <w:bCs w:val="0"/>
                <w:spacing w:val="-1"/>
                <w:sz w:val="20"/>
                <w:szCs w:val="20"/>
              </w:rPr>
              <w:t>re</w:t>
            </w:r>
            <w:r w:rsidR="00B03297" w:rsidRPr="00E30A5F">
              <w:rPr>
                <w:rFonts w:eastAsia="Arial"/>
                <w:b w:val="0"/>
                <w:bCs w:val="0"/>
                <w:spacing w:val="1"/>
                <w:sz w:val="20"/>
                <w:szCs w:val="20"/>
              </w:rPr>
              <w:t>c</w:t>
            </w:r>
            <w:r w:rsidR="00B03297" w:rsidRPr="00E30A5F">
              <w:rPr>
                <w:rFonts w:eastAsia="Arial"/>
                <w:b w:val="0"/>
                <w:bCs w:val="0"/>
                <w:spacing w:val="-1"/>
                <w:sz w:val="20"/>
                <w:szCs w:val="20"/>
              </w:rPr>
              <w:t>en</w:t>
            </w:r>
            <w:r w:rsidR="00B03297" w:rsidRPr="00E30A5F">
              <w:rPr>
                <w:rFonts w:eastAsia="Arial"/>
                <w:b w:val="0"/>
                <w:bCs w:val="0"/>
                <w:sz w:val="20"/>
                <w:szCs w:val="20"/>
              </w:rPr>
              <w:t xml:space="preserve">t </w:t>
            </w:r>
            <w:r w:rsidR="00B03297" w:rsidRPr="00E30A5F">
              <w:rPr>
                <w:rFonts w:eastAsia="Arial"/>
                <w:b w:val="0"/>
                <w:bCs w:val="0"/>
                <w:spacing w:val="-1"/>
                <w:sz w:val="20"/>
                <w:szCs w:val="20"/>
              </w:rPr>
              <w:t>s</w:t>
            </w:r>
            <w:r w:rsidR="00B03297" w:rsidRPr="00E30A5F">
              <w:rPr>
                <w:rFonts w:eastAsia="Arial"/>
                <w:b w:val="0"/>
                <w:bCs w:val="0"/>
                <w:spacing w:val="1"/>
                <w:sz w:val="20"/>
                <w:szCs w:val="20"/>
              </w:rPr>
              <w:t>t</w:t>
            </w:r>
            <w:r w:rsidR="00B03297" w:rsidRPr="00E30A5F">
              <w:rPr>
                <w:rFonts w:eastAsia="Arial"/>
                <w:b w:val="0"/>
                <w:bCs w:val="0"/>
                <w:spacing w:val="-1"/>
                <w:sz w:val="20"/>
                <w:szCs w:val="20"/>
              </w:rPr>
              <w:t>ud</w:t>
            </w:r>
            <w:r w:rsidR="00B03297" w:rsidRPr="00E30A5F">
              <w:rPr>
                <w:rFonts w:eastAsia="Arial"/>
                <w:b w:val="0"/>
                <w:bCs w:val="0"/>
                <w:sz w:val="20"/>
                <w:szCs w:val="20"/>
              </w:rPr>
              <w:t>i</w:t>
            </w:r>
            <w:r w:rsidR="00B03297" w:rsidRPr="00E30A5F">
              <w:rPr>
                <w:rFonts w:eastAsia="Arial"/>
                <w:b w:val="0"/>
                <w:bCs w:val="0"/>
                <w:spacing w:val="-3"/>
                <w:sz w:val="20"/>
                <w:szCs w:val="20"/>
              </w:rPr>
              <w:t>e</w:t>
            </w:r>
            <w:r w:rsidR="00B03297" w:rsidRPr="00E30A5F">
              <w:rPr>
                <w:rFonts w:eastAsia="Arial"/>
                <w:b w:val="0"/>
                <w:bCs w:val="0"/>
                <w:spacing w:val="1"/>
                <w:sz w:val="20"/>
                <w:szCs w:val="20"/>
              </w:rPr>
              <w:t>s</w:t>
            </w:r>
            <w:r w:rsidR="00C71FFA" w:rsidRPr="00E30A5F">
              <w:rPr>
                <w:rFonts w:eastAsia="Arial"/>
                <w:b w:val="0"/>
                <w:bCs w:val="0"/>
                <w:spacing w:val="1"/>
                <w:sz w:val="20"/>
                <w:szCs w:val="20"/>
              </w:rPr>
              <w:t>.</w:t>
            </w:r>
            <w:r w:rsidRPr="00E30A5F">
              <w:rPr>
                <w:rFonts w:eastAsia="Arial"/>
                <w:b w:val="0"/>
                <w:bCs w:val="0"/>
                <w:sz w:val="20"/>
                <w:szCs w:val="20"/>
              </w:rPr>
              <w:t xml:space="preserve"> </w:t>
            </w:r>
            <w:r w:rsidR="00B03297" w:rsidRPr="00E30A5F">
              <w:rPr>
                <w:rFonts w:eastAsia="Arial"/>
                <w:b w:val="0"/>
                <w:bCs w:val="0"/>
                <w:i/>
                <w:spacing w:val="-1"/>
                <w:sz w:val="20"/>
                <w:szCs w:val="20"/>
              </w:rPr>
              <w:t>Pu</w:t>
            </w:r>
            <w:r w:rsidR="00B03297" w:rsidRPr="00E30A5F">
              <w:rPr>
                <w:rFonts w:eastAsia="Arial"/>
                <w:b w:val="0"/>
                <w:bCs w:val="0"/>
                <w:i/>
                <w:spacing w:val="-3"/>
                <w:sz w:val="20"/>
                <w:szCs w:val="20"/>
              </w:rPr>
              <w:t>b</w:t>
            </w:r>
            <w:r w:rsidR="00B03297" w:rsidRPr="00E30A5F">
              <w:rPr>
                <w:rFonts w:eastAsia="Arial"/>
                <w:b w:val="0"/>
                <w:bCs w:val="0"/>
                <w:i/>
                <w:sz w:val="20"/>
                <w:szCs w:val="20"/>
              </w:rPr>
              <w:t>lic H</w:t>
            </w:r>
            <w:r w:rsidR="00B03297" w:rsidRPr="00E30A5F">
              <w:rPr>
                <w:rFonts w:eastAsia="Arial"/>
                <w:b w:val="0"/>
                <w:bCs w:val="0"/>
                <w:i/>
                <w:spacing w:val="-1"/>
                <w:sz w:val="20"/>
                <w:szCs w:val="20"/>
              </w:rPr>
              <w:t>ea</w:t>
            </w:r>
            <w:r w:rsidR="00B03297" w:rsidRPr="00E30A5F">
              <w:rPr>
                <w:rFonts w:eastAsia="Arial"/>
                <w:b w:val="0"/>
                <w:bCs w:val="0"/>
                <w:i/>
                <w:sz w:val="20"/>
                <w:szCs w:val="20"/>
              </w:rPr>
              <w:t>l</w:t>
            </w:r>
            <w:r w:rsidR="00B03297" w:rsidRPr="00E30A5F">
              <w:rPr>
                <w:rFonts w:eastAsia="Arial"/>
                <w:b w:val="0"/>
                <w:bCs w:val="0"/>
                <w:i/>
                <w:spacing w:val="1"/>
                <w:sz w:val="20"/>
                <w:szCs w:val="20"/>
              </w:rPr>
              <w:t>t</w:t>
            </w:r>
            <w:r w:rsidR="00B03297" w:rsidRPr="00E30A5F">
              <w:rPr>
                <w:rFonts w:eastAsia="Arial"/>
                <w:b w:val="0"/>
                <w:bCs w:val="0"/>
                <w:i/>
                <w:sz w:val="20"/>
                <w:szCs w:val="20"/>
              </w:rPr>
              <w:t>h</w:t>
            </w:r>
            <w:r w:rsidRPr="00E30A5F">
              <w:rPr>
                <w:rFonts w:eastAsia="Arial"/>
                <w:b w:val="0"/>
                <w:bCs w:val="0"/>
                <w:i/>
                <w:spacing w:val="1"/>
                <w:sz w:val="20"/>
                <w:szCs w:val="20"/>
              </w:rPr>
              <w:t xml:space="preserve"> </w:t>
            </w:r>
            <w:r w:rsidR="00B03297" w:rsidRPr="00E30A5F">
              <w:rPr>
                <w:rFonts w:eastAsia="Arial"/>
                <w:b w:val="0"/>
                <w:bCs w:val="0"/>
                <w:i/>
                <w:spacing w:val="1"/>
                <w:sz w:val="20"/>
                <w:szCs w:val="20"/>
              </w:rPr>
              <w:t>N</w:t>
            </w:r>
            <w:r w:rsidR="00B03297" w:rsidRPr="00E30A5F">
              <w:rPr>
                <w:rFonts w:eastAsia="Arial"/>
                <w:b w:val="0"/>
                <w:bCs w:val="0"/>
                <w:i/>
                <w:spacing w:val="-3"/>
                <w:sz w:val="20"/>
                <w:szCs w:val="20"/>
              </w:rPr>
              <w:t>u</w:t>
            </w:r>
            <w:r w:rsidR="00B03297" w:rsidRPr="00E30A5F">
              <w:rPr>
                <w:rFonts w:eastAsia="Arial"/>
                <w:b w:val="0"/>
                <w:bCs w:val="0"/>
                <w:i/>
                <w:spacing w:val="1"/>
                <w:sz w:val="20"/>
                <w:szCs w:val="20"/>
              </w:rPr>
              <w:t>t</w:t>
            </w:r>
            <w:r w:rsidR="00B03297" w:rsidRPr="00E30A5F">
              <w:rPr>
                <w:rFonts w:eastAsia="Arial"/>
                <w:b w:val="0"/>
                <w:bCs w:val="0"/>
                <w:i/>
                <w:spacing w:val="-1"/>
                <w:sz w:val="20"/>
                <w:szCs w:val="20"/>
              </w:rPr>
              <w:t>r</w:t>
            </w:r>
            <w:r w:rsidR="00B03297" w:rsidRPr="00E30A5F">
              <w:rPr>
                <w:rFonts w:eastAsia="Arial"/>
                <w:b w:val="0"/>
                <w:bCs w:val="0"/>
                <w:i/>
                <w:sz w:val="20"/>
                <w:szCs w:val="20"/>
              </w:rPr>
              <w:t>i</w:t>
            </w:r>
            <w:r w:rsidR="00B03297" w:rsidRPr="00E30A5F">
              <w:rPr>
                <w:rFonts w:eastAsia="Arial"/>
                <w:b w:val="0"/>
                <w:bCs w:val="0"/>
                <w:i/>
                <w:spacing w:val="1"/>
                <w:sz w:val="20"/>
                <w:szCs w:val="20"/>
              </w:rPr>
              <w:t>t</w:t>
            </w:r>
            <w:r w:rsidR="00B03297" w:rsidRPr="00E30A5F">
              <w:rPr>
                <w:rFonts w:eastAsia="Arial"/>
                <w:b w:val="0"/>
                <w:bCs w:val="0"/>
                <w:i/>
                <w:sz w:val="20"/>
                <w:szCs w:val="20"/>
              </w:rPr>
              <w:t>i</w:t>
            </w:r>
            <w:r w:rsidR="00B03297" w:rsidRPr="00E30A5F">
              <w:rPr>
                <w:rFonts w:eastAsia="Arial"/>
                <w:b w:val="0"/>
                <w:bCs w:val="0"/>
                <w:i/>
                <w:spacing w:val="-1"/>
                <w:sz w:val="20"/>
                <w:szCs w:val="20"/>
              </w:rPr>
              <w:t>on,</w:t>
            </w:r>
            <w:r w:rsidRPr="00E30A5F">
              <w:rPr>
                <w:rFonts w:eastAsia="Arial"/>
                <w:b w:val="0"/>
                <w:bCs w:val="0"/>
                <w:sz w:val="20"/>
                <w:szCs w:val="20"/>
              </w:rPr>
              <w:t xml:space="preserve"> </w:t>
            </w:r>
            <w:r w:rsidRPr="00E30A5F">
              <w:rPr>
                <w:rFonts w:eastAsia="Arial"/>
                <w:b w:val="0"/>
                <w:bCs w:val="0"/>
                <w:spacing w:val="-1"/>
                <w:sz w:val="20"/>
                <w:szCs w:val="20"/>
              </w:rPr>
              <w:t>19(12)</w:t>
            </w:r>
            <w:r w:rsidRPr="00E30A5F">
              <w:rPr>
                <w:rFonts w:eastAsia="Arial"/>
                <w:b w:val="0"/>
                <w:bCs w:val="0"/>
                <w:sz w:val="20"/>
                <w:szCs w:val="20"/>
              </w:rPr>
              <w:t>,</w:t>
            </w:r>
            <w:r w:rsidRPr="00E30A5F">
              <w:rPr>
                <w:rFonts w:eastAsia="Arial"/>
                <w:b w:val="0"/>
                <w:bCs w:val="0"/>
                <w:spacing w:val="-16"/>
                <w:sz w:val="20"/>
                <w:szCs w:val="20"/>
              </w:rPr>
              <w:t xml:space="preserve"> </w:t>
            </w:r>
            <w:r w:rsidRPr="00E30A5F">
              <w:rPr>
                <w:rFonts w:eastAsia="Arial"/>
                <w:b w:val="0"/>
                <w:bCs w:val="0"/>
                <w:spacing w:val="-1"/>
                <w:sz w:val="20"/>
                <w:szCs w:val="20"/>
              </w:rPr>
              <w:t>2106</w:t>
            </w:r>
            <w:r w:rsidRPr="00E30A5F">
              <w:rPr>
                <w:rFonts w:eastAsia="Arial"/>
                <w:b w:val="0"/>
                <w:bCs w:val="0"/>
                <w:sz w:val="20"/>
                <w:szCs w:val="20"/>
              </w:rPr>
              <w:t>-</w:t>
            </w:r>
            <w:r w:rsidRPr="00E30A5F">
              <w:rPr>
                <w:rFonts w:eastAsia="Arial"/>
                <w:b w:val="0"/>
                <w:bCs w:val="0"/>
                <w:spacing w:val="-1"/>
                <w:sz w:val="20"/>
                <w:szCs w:val="20"/>
              </w:rPr>
              <w:t>2121.</w:t>
            </w:r>
          </w:p>
        </w:tc>
        <w:tc>
          <w:tcPr>
            <w:tcW w:w="1843" w:type="dxa"/>
          </w:tcPr>
          <w:p w14:paraId="5A7B1B2E" w14:textId="77777777"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15 studies – 2 in Australia; 13 in USA / Canada; 7 in real-world settings, 8 in experimental settings.</w:t>
            </w:r>
          </w:p>
          <w:p w14:paraId="5EA60E19" w14:textId="3FCE8A67"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12 of 15 used for meta-analysis.</w:t>
            </w:r>
          </w:p>
        </w:tc>
        <w:tc>
          <w:tcPr>
            <w:tcW w:w="4394" w:type="dxa"/>
          </w:tcPr>
          <w:p w14:paraId="71A07153" w14:textId="3219CBA3"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Overall estimated effect of menu labelling – energy consumed was reduced by an average of 420</w:t>
            </w:r>
            <w:r w:rsidR="00F73556" w:rsidRPr="00E30A5F">
              <w:rPr>
                <w:sz w:val="20"/>
                <w:szCs w:val="20"/>
              </w:rPr>
              <w:t>kJ</w:t>
            </w:r>
            <w:r w:rsidRPr="00E30A5F">
              <w:rPr>
                <w:sz w:val="20"/>
                <w:szCs w:val="20"/>
              </w:rPr>
              <w:t>.</w:t>
            </w:r>
          </w:p>
          <w:p w14:paraId="33286A2D" w14:textId="77777777"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In real-world settings, an average 325 fewer kilojoules were ordered per sale for that eating occasion.</w:t>
            </w:r>
          </w:p>
          <w:p w14:paraId="2377C387" w14:textId="307DFEEA"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Menu labelling can effectively reduce energy ordered and consumed in the away-from-home food environment.</w:t>
            </w:r>
          </w:p>
        </w:tc>
      </w:tr>
      <w:tr w:rsidR="001D35F0" w:rsidRPr="00E67A4C" w14:paraId="27EE01B0" w14:textId="77777777" w:rsidTr="00085D4C">
        <w:tc>
          <w:tcPr>
            <w:cnfStyle w:val="001000000000" w:firstRow="0" w:lastRow="0" w:firstColumn="1" w:lastColumn="0" w:oddVBand="0" w:evenVBand="0" w:oddHBand="0" w:evenHBand="0" w:firstRowFirstColumn="0" w:firstRowLastColumn="0" w:lastRowFirstColumn="0" w:lastRowLastColumn="0"/>
            <w:tcW w:w="2830" w:type="dxa"/>
          </w:tcPr>
          <w:p w14:paraId="6F3648B7" w14:textId="39F8F6AF" w:rsidR="001D35F0" w:rsidRPr="00E30A5F" w:rsidRDefault="00B03297" w:rsidP="001D35F0">
            <w:pPr>
              <w:rPr>
                <w:rFonts w:eastAsia="Arial"/>
                <w:b w:val="0"/>
                <w:bCs w:val="0"/>
                <w:spacing w:val="-1"/>
                <w:sz w:val="20"/>
                <w:szCs w:val="20"/>
              </w:rPr>
            </w:pPr>
            <w:r w:rsidRPr="00E30A5F">
              <w:rPr>
                <w:b w:val="0"/>
                <w:bCs w:val="0"/>
                <w:sz w:val="20"/>
                <w:szCs w:val="20"/>
              </w:rPr>
              <w:t xml:space="preserve">Sarink et al. 2016. The impact of menu labelling across socioeconomic groups: a systematic review. </w:t>
            </w:r>
            <w:r w:rsidRPr="00E30A5F">
              <w:rPr>
                <w:b w:val="0"/>
                <w:bCs w:val="0"/>
                <w:i/>
                <w:sz w:val="20"/>
                <w:szCs w:val="20"/>
              </w:rPr>
              <w:t xml:space="preserve">Appetite, </w:t>
            </w:r>
            <w:r w:rsidR="001D35F0" w:rsidRPr="00E30A5F">
              <w:rPr>
                <w:b w:val="0"/>
                <w:bCs w:val="0"/>
                <w:sz w:val="20"/>
                <w:szCs w:val="20"/>
              </w:rPr>
              <w:t>99, 59-75.</w:t>
            </w:r>
          </w:p>
        </w:tc>
        <w:tc>
          <w:tcPr>
            <w:tcW w:w="1843" w:type="dxa"/>
          </w:tcPr>
          <w:p w14:paraId="1090901E" w14:textId="7C317BB2" w:rsidR="001D35F0" w:rsidRPr="00E30A5F" w:rsidRDefault="001D35F0" w:rsidP="001D35F0">
            <w:pPr>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14 studies</w:t>
            </w:r>
            <w:r w:rsidR="00B169DB" w:rsidRPr="00E30A5F">
              <w:rPr>
                <w:sz w:val="20"/>
                <w:szCs w:val="20"/>
              </w:rPr>
              <w:t xml:space="preserve"> (18 papers)</w:t>
            </w:r>
            <w:r w:rsidR="007D2416" w:rsidRPr="00E30A5F">
              <w:rPr>
                <w:sz w:val="20"/>
                <w:szCs w:val="20"/>
              </w:rPr>
              <w:t xml:space="preserve"> </w:t>
            </w:r>
            <w:r w:rsidR="000D27BE" w:rsidRPr="00E30A5F">
              <w:rPr>
                <w:sz w:val="20"/>
                <w:szCs w:val="20"/>
              </w:rPr>
              <w:t>– 10 in real-w</w:t>
            </w:r>
            <w:r w:rsidR="00130C85" w:rsidRPr="00E30A5F">
              <w:rPr>
                <w:sz w:val="20"/>
                <w:szCs w:val="20"/>
              </w:rPr>
              <w:t>o</w:t>
            </w:r>
            <w:r w:rsidR="000D27BE" w:rsidRPr="00E30A5F">
              <w:rPr>
                <w:sz w:val="20"/>
                <w:szCs w:val="20"/>
              </w:rPr>
              <w:t>rld settings in USA,</w:t>
            </w:r>
            <w:r w:rsidR="007D2416" w:rsidRPr="00E30A5F">
              <w:rPr>
                <w:sz w:val="20"/>
                <w:szCs w:val="20"/>
              </w:rPr>
              <w:t xml:space="preserve"> 4 in experimental</w:t>
            </w:r>
            <w:r w:rsidR="000D27BE" w:rsidRPr="00E30A5F">
              <w:rPr>
                <w:sz w:val="20"/>
                <w:szCs w:val="20"/>
              </w:rPr>
              <w:t xml:space="preserve"> settings</w:t>
            </w:r>
          </w:p>
        </w:tc>
        <w:tc>
          <w:tcPr>
            <w:tcW w:w="4394" w:type="dxa"/>
          </w:tcPr>
          <w:p w14:paraId="14F5774A" w14:textId="4F290E6A" w:rsidR="001D35F0" w:rsidRPr="00E30A5F" w:rsidRDefault="009734F2"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 xml:space="preserve">Current evidence of impact of menu labelling within or across socioeconomic position </w:t>
            </w:r>
            <w:r w:rsidR="004C797A" w:rsidRPr="00E30A5F">
              <w:rPr>
                <w:sz w:val="20"/>
                <w:szCs w:val="20"/>
              </w:rPr>
              <w:t>is limited.</w:t>
            </w:r>
          </w:p>
        </w:tc>
      </w:tr>
      <w:tr w:rsidR="001D35F0" w:rsidRPr="00E67A4C" w14:paraId="2E428363" w14:textId="77777777" w:rsidTr="00085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620BB0A" w14:textId="43A24D65" w:rsidR="001D35F0" w:rsidRPr="00E30A5F" w:rsidRDefault="00B03297" w:rsidP="001D35F0">
            <w:pPr>
              <w:rPr>
                <w:b w:val="0"/>
                <w:bCs w:val="0"/>
                <w:sz w:val="20"/>
                <w:szCs w:val="20"/>
              </w:rPr>
            </w:pPr>
            <w:r w:rsidRPr="00E30A5F">
              <w:rPr>
                <w:b w:val="0"/>
                <w:bCs w:val="0"/>
                <w:sz w:val="20"/>
                <w:szCs w:val="20"/>
              </w:rPr>
              <w:t xml:space="preserve">Zlatevska et al. 2017. Mandatory calorie disclosure: a comprehensive analysis of its effect on consumers and retailers. </w:t>
            </w:r>
            <w:r w:rsidRPr="00E30A5F">
              <w:rPr>
                <w:b w:val="0"/>
                <w:bCs w:val="0"/>
                <w:i/>
                <w:sz w:val="20"/>
                <w:szCs w:val="20"/>
              </w:rPr>
              <w:t>Journal of Retailing</w:t>
            </w:r>
            <w:r w:rsidR="001D35F0" w:rsidRPr="00E30A5F">
              <w:rPr>
                <w:b w:val="0"/>
                <w:bCs w:val="0"/>
                <w:sz w:val="20"/>
                <w:szCs w:val="20"/>
              </w:rPr>
              <w:t>, 94(1), 89-101.</w:t>
            </w:r>
          </w:p>
        </w:tc>
        <w:tc>
          <w:tcPr>
            <w:tcW w:w="1843" w:type="dxa"/>
          </w:tcPr>
          <w:p w14:paraId="30B415E6" w14:textId="458C30E7"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186 studies</w:t>
            </w:r>
            <w:r w:rsidR="00E529D9" w:rsidRPr="00E30A5F">
              <w:rPr>
                <w:sz w:val="20"/>
                <w:szCs w:val="20"/>
              </w:rPr>
              <w:t xml:space="preserve"> in meta-analysis </w:t>
            </w:r>
            <w:r w:rsidR="003A0762" w:rsidRPr="00E30A5F">
              <w:rPr>
                <w:sz w:val="20"/>
                <w:szCs w:val="20"/>
              </w:rPr>
              <w:t>of effect on calories selected by consumers</w:t>
            </w:r>
          </w:p>
          <w:p w14:paraId="588094AE" w14:textId="77777777"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p>
          <w:p w14:paraId="57D4B518" w14:textId="796E5D8F" w:rsidR="001D35F0" w:rsidRPr="00E30A5F" w:rsidRDefault="001D35F0" w:rsidP="001D35F0">
            <w:pPr>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41 studies</w:t>
            </w:r>
            <w:r w:rsidR="003A0762" w:rsidRPr="00E30A5F">
              <w:rPr>
                <w:sz w:val="20"/>
                <w:szCs w:val="20"/>
              </w:rPr>
              <w:t xml:space="preserve"> in meta-analysis of effect on calories offered by retailers</w:t>
            </w:r>
          </w:p>
        </w:tc>
        <w:tc>
          <w:tcPr>
            <w:tcW w:w="4394" w:type="dxa"/>
          </w:tcPr>
          <w:p w14:paraId="6F177F2D" w14:textId="40F1B303"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 xml:space="preserve">Consumers purchased </w:t>
            </w:r>
            <w:r w:rsidR="008C42AD" w:rsidRPr="00E30A5F">
              <w:rPr>
                <w:sz w:val="20"/>
                <w:szCs w:val="20"/>
              </w:rPr>
              <w:t xml:space="preserve">27 </w:t>
            </w:r>
            <w:r w:rsidRPr="00E30A5F">
              <w:rPr>
                <w:sz w:val="20"/>
                <w:szCs w:val="20"/>
              </w:rPr>
              <w:t xml:space="preserve">fewer </w:t>
            </w:r>
            <w:r w:rsidR="008C42AD" w:rsidRPr="00E30A5F">
              <w:rPr>
                <w:sz w:val="20"/>
                <w:szCs w:val="20"/>
              </w:rPr>
              <w:t>calories</w:t>
            </w:r>
            <w:r w:rsidRPr="00E30A5F">
              <w:rPr>
                <w:sz w:val="20"/>
                <w:szCs w:val="20"/>
              </w:rPr>
              <w:t xml:space="preserve"> (115kJ) when menu labelling was implemented.</w:t>
            </w:r>
          </w:p>
          <w:p w14:paraId="57C4EC2A" w14:textId="77777777" w:rsidR="00DB553F" w:rsidRPr="00E30A5F" w:rsidRDefault="00DB553F" w:rsidP="00DB553F">
            <w:pPr>
              <w:pStyle w:val="ListParagraph"/>
              <w:spacing w:after="40"/>
              <w:ind w:left="360"/>
              <w:cnfStyle w:val="000000100000" w:firstRow="0" w:lastRow="0" w:firstColumn="0" w:lastColumn="0" w:oddVBand="0" w:evenVBand="0" w:oddHBand="1" w:evenHBand="0" w:firstRowFirstColumn="0" w:firstRowLastColumn="0" w:lastRowFirstColumn="0" w:lastRowLastColumn="0"/>
              <w:rPr>
                <w:sz w:val="20"/>
                <w:szCs w:val="20"/>
              </w:rPr>
            </w:pPr>
          </w:p>
          <w:p w14:paraId="42C33E24" w14:textId="77777777" w:rsidR="00DB553F" w:rsidRPr="00E30A5F" w:rsidRDefault="00DB553F" w:rsidP="00DB553F">
            <w:pPr>
              <w:pStyle w:val="ListParagraph"/>
              <w:spacing w:after="40"/>
              <w:ind w:left="360"/>
              <w:cnfStyle w:val="000000100000" w:firstRow="0" w:lastRow="0" w:firstColumn="0" w:lastColumn="0" w:oddVBand="0" w:evenVBand="0" w:oddHBand="1" w:evenHBand="0" w:firstRowFirstColumn="0" w:firstRowLastColumn="0" w:lastRowFirstColumn="0" w:lastRowLastColumn="0"/>
              <w:rPr>
                <w:sz w:val="20"/>
                <w:szCs w:val="20"/>
              </w:rPr>
            </w:pPr>
          </w:p>
          <w:p w14:paraId="7376C3CD" w14:textId="4A4042D0" w:rsidR="001D35F0" w:rsidRPr="00E30A5F" w:rsidRDefault="001D35F0"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 xml:space="preserve">The energy content of menu items decreased by </w:t>
            </w:r>
            <w:r w:rsidR="008C42AD" w:rsidRPr="00E30A5F">
              <w:rPr>
                <w:sz w:val="20"/>
                <w:szCs w:val="20"/>
              </w:rPr>
              <w:t>15 calories (</w:t>
            </w:r>
            <w:r w:rsidRPr="00E30A5F">
              <w:rPr>
                <w:sz w:val="20"/>
                <w:szCs w:val="20"/>
              </w:rPr>
              <w:t>60</w:t>
            </w:r>
            <w:r w:rsidR="008C42AD" w:rsidRPr="00E30A5F">
              <w:rPr>
                <w:sz w:val="20"/>
                <w:szCs w:val="20"/>
              </w:rPr>
              <w:t>kJ)</w:t>
            </w:r>
            <w:r w:rsidRPr="00E30A5F">
              <w:rPr>
                <w:sz w:val="20"/>
                <w:szCs w:val="20"/>
              </w:rPr>
              <w:t xml:space="preserve"> on average, following the introduction of mandatory menu labelling.</w:t>
            </w:r>
          </w:p>
        </w:tc>
      </w:tr>
    </w:tbl>
    <w:p w14:paraId="0DD23E2A" w14:textId="77777777" w:rsidR="00D82BEA" w:rsidRPr="00E67A4C" w:rsidRDefault="00D82BEA" w:rsidP="00D82BEA"/>
    <w:p w14:paraId="55A77D8A" w14:textId="70A28072" w:rsidR="00D82BEA" w:rsidRPr="00E67A4C" w:rsidRDefault="00D82BEA" w:rsidP="00D82BEA">
      <w:pPr>
        <w:spacing w:after="40"/>
        <w:jc w:val="both"/>
      </w:pPr>
      <w:r w:rsidRPr="00E67A4C">
        <w:t>As many of the published studies analysed in the above reviews and meta-analyses were focused on menu labelling in the United States, United Kingdom and European Union, the outcomes may not necessarily be replicated in Australia and New Zealand. It should also be noted that studies measuring only consumption of energy in a single meal do not allow an assessment of whether menu labelling has an impact on subsequent meals, that is,</w:t>
      </w:r>
      <w:r w:rsidR="00CD5589" w:rsidRPr="00E67A4C">
        <w:t xml:space="preserve"> whether people eat less for other meals, or alternatively are more physically active.</w:t>
      </w:r>
      <w:r w:rsidRPr="00E67A4C">
        <w:t xml:space="preserve"> This limits the real-world applicability of such studies.</w:t>
      </w:r>
    </w:p>
    <w:p w14:paraId="1587FE63" w14:textId="77777777" w:rsidR="00D82BEA" w:rsidRPr="00E67A4C" w:rsidRDefault="00D82BEA" w:rsidP="00D82BEA"/>
    <w:p w14:paraId="1D36DAFB" w14:textId="77A3CDCC" w:rsidR="00D82BEA" w:rsidRDefault="00D82BEA" w:rsidP="00D82BEA">
      <w:pPr>
        <w:spacing w:after="40"/>
        <w:jc w:val="both"/>
      </w:pPr>
      <w:r w:rsidRPr="00E67A4C">
        <w:t>In Australia, evaluations and reviews of current menu labelling schemes have considered the impact of menu labelling legislation and consumer education. However, the results across jurisdictions are not directly comparable as consumer education activities and evaluation methods varied.</w:t>
      </w:r>
    </w:p>
    <w:p w14:paraId="621AF08F" w14:textId="77777777" w:rsidR="007A74F4" w:rsidRDefault="007A74F4" w:rsidP="00D82BEA">
      <w:pPr>
        <w:spacing w:after="40"/>
        <w:jc w:val="both"/>
      </w:pPr>
    </w:p>
    <w:p w14:paraId="6E0BA82B" w14:textId="503F5E40" w:rsidR="000E0763" w:rsidRDefault="000E0763" w:rsidP="00D82BEA">
      <w:pPr>
        <w:spacing w:after="40"/>
        <w:jc w:val="both"/>
      </w:pPr>
    </w:p>
    <w:tbl>
      <w:tblPr>
        <w:tblStyle w:val="PlainTable3"/>
        <w:tblW w:w="0" w:type="auto"/>
        <w:tblLook w:val="04A0" w:firstRow="1" w:lastRow="0" w:firstColumn="1" w:lastColumn="0" w:noHBand="0" w:noVBand="1"/>
        <w:tblCaption w:val="Evaluation of menu labelling in New South Wales"/>
        <w:tblDescription w:val="2 columns. 1. Data collection in New South Wales. 2. Results. 4 rows. 1. Heading. 2. Describes online survey. 3. Describes customer-intercept survey. 4. Describes cost-effective modelling."/>
      </w:tblPr>
      <w:tblGrid>
        <w:gridCol w:w="3119"/>
        <w:gridCol w:w="5935"/>
      </w:tblGrid>
      <w:tr w:rsidR="00F44A11" w:rsidRPr="00E30A5F" w14:paraId="66C33C48" w14:textId="77777777" w:rsidTr="007A74F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19" w:type="dxa"/>
          </w:tcPr>
          <w:p w14:paraId="452B159A" w14:textId="0C9AD7CF" w:rsidR="006876D6" w:rsidRPr="00E30A5F" w:rsidRDefault="00256D14" w:rsidP="00920A81">
            <w:pPr>
              <w:rPr>
                <w:sz w:val="20"/>
                <w:szCs w:val="20"/>
              </w:rPr>
            </w:pPr>
            <w:r w:rsidRPr="00E30A5F">
              <w:rPr>
                <w:caps w:val="0"/>
                <w:sz w:val="20"/>
                <w:szCs w:val="20"/>
              </w:rPr>
              <w:lastRenderedPageBreak/>
              <w:t xml:space="preserve">Data Collection in </w:t>
            </w:r>
          </w:p>
          <w:p w14:paraId="7C5AD008" w14:textId="6797352F" w:rsidR="00F44A11" w:rsidRPr="00E30A5F" w:rsidRDefault="00256D14" w:rsidP="00920A81">
            <w:pPr>
              <w:rPr>
                <w:sz w:val="20"/>
                <w:szCs w:val="20"/>
              </w:rPr>
            </w:pPr>
            <w:r w:rsidRPr="00E30A5F">
              <w:rPr>
                <w:caps w:val="0"/>
                <w:sz w:val="20"/>
                <w:szCs w:val="20"/>
              </w:rPr>
              <w:t>New South Wales</w:t>
            </w:r>
            <w:r w:rsidR="006876D6" w:rsidRPr="00E30A5F">
              <w:rPr>
                <w:rStyle w:val="FootnoteReference"/>
                <w:sz w:val="20"/>
                <w:szCs w:val="20"/>
              </w:rPr>
              <w:footnoteReference w:id="64"/>
            </w:r>
          </w:p>
        </w:tc>
        <w:tc>
          <w:tcPr>
            <w:tcW w:w="5935" w:type="dxa"/>
          </w:tcPr>
          <w:p w14:paraId="42EBAFC7" w14:textId="6AB075EF" w:rsidR="00F44A11" w:rsidRPr="00E30A5F" w:rsidRDefault="00256D14" w:rsidP="00920A81">
            <w:pPr>
              <w:cnfStyle w:val="100000000000" w:firstRow="1" w:lastRow="0" w:firstColumn="0" w:lastColumn="0" w:oddVBand="0" w:evenVBand="0" w:oddHBand="0" w:evenHBand="0" w:firstRowFirstColumn="0" w:firstRowLastColumn="0" w:lastRowFirstColumn="0" w:lastRowLastColumn="0"/>
              <w:rPr>
                <w:sz w:val="20"/>
                <w:szCs w:val="20"/>
              </w:rPr>
            </w:pPr>
            <w:r w:rsidRPr="00E30A5F">
              <w:rPr>
                <w:caps w:val="0"/>
                <w:sz w:val="20"/>
                <w:szCs w:val="20"/>
              </w:rPr>
              <w:t>Results</w:t>
            </w:r>
          </w:p>
        </w:tc>
      </w:tr>
      <w:tr w:rsidR="00F44A11" w:rsidRPr="00E30A5F" w14:paraId="3D846F4E" w14:textId="77777777" w:rsidTr="00E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0A780BA" w14:textId="19A3031F" w:rsidR="00F44A11" w:rsidRPr="00E30A5F" w:rsidRDefault="00256D14" w:rsidP="00920A81">
            <w:pPr>
              <w:spacing w:after="40"/>
              <w:rPr>
                <w:b w:val="0"/>
                <w:bCs w:val="0"/>
                <w:sz w:val="20"/>
                <w:szCs w:val="20"/>
              </w:rPr>
            </w:pPr>
            <w:r w:rsidRPr="00E30A5F">
              <w:rPr>
                <w:b w:val="0"/>
                <w:bCs w:val="0"/>
                <w:caps w:val="0"/>
                <w:sz w:val="20"/>
                <w:szCs w:val="20"/>
              </w:rPr>
              <w:t>Online surveys of 500 people and 200 young adults (18-24 yr)</w:t>
            </w:r>
          </w:p>
        </w:tc>
        <w:tc>
          <w:tcPr>
            <w:tcW w:w="5935" w:type="dxa"/>
          </w:tcPr>
          <w:p w14:paraId="669F0DA0" w14:textId="77777777" w:rsidR="00AB19E2" w:rsidRPr="00E30A5F" w:rsidRDefault="00F44A11"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Twelve months after the legislation commenced and six months after consumer education had launched</w:t>
            </w:r>
            <w:r w:rsidR="00AB19E2" w:rsidRPr="00E30A5F">
              <w:rPr>
                <w:sz w:val="20"/>
                <w:szCs w:val="20"/>
              </w:rPr>
              <w:t>:</w:t>
            </w:r>
          </w:p>
          <w:p w14:paraId="7408D4A0" w14:textId="65A3560B" w:rsidR="00F44A11" w:rsidRPr="00E30A5F" w:rsidRDefault="00F44A11" w:rsidP="00F76FDC">
            <w:pPr>
              <w:pStyle w:val="ListParagraph"/>
              <w:numPr>
                <w:ilvl w:val="1"/>
                <w:numId w:val="22"/>
              </w:numPr>
              <w:spacing w:after="40"/>
              <w:ind w:left="737" w:hanging="283"/>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awareness of 8700kJ reference statement had increased to 9%</w:t>
            </w:r>
            <w:r w:rsidR="00D15BE1" w:rsidRPr="00E30A5F">
              <w:rPr>
                <w:sz w:val="20"/>
                <w:szCs w:val="20"/>
              </w:rPr>
              <w:t xml:space="preserve"> from 3%</w:t>
            </w:r>
            <w:r w:rsidRPr="00E30A5F">
              <w:rPr>
                <w:sz w:val="20"/>
                <w:szCs w:val="20"/>
              </w:rPr>
              <w:t xml:space="preserve"> (19% </w:t>
            </w:r>
            <w:r w:rsidR="0056609D" w:rsidRPr="00E30A5F">
              <w:rPr>
                <w:sz w:val="20"/>
                <w:szCs w:val="20"/>
              </w:rPr>
              <w:t xml:space="preserve">from 8% </w:t>
            </w:r>
            <w:r w:rsidRPr="00E30A5F">
              <w:rPr>
                <w:sz w:val="20"/>
                <w:szCs w:val="20"/>
              </w:rPr>
              <w:t>among young adults)</w:t>
            </w:r>
          </w:p>
          <w:p w14:paraId="05021FA3" w14:textId="346C0FDF" w:rsidR="00F44A11" w:rsidRPr="00E30A5F" w:rsidRDefault="00CF6E29" w:rsidP="00F76FDC">
            <w:pPr>
              <w:pStyle w:val="ListParagraph"/>
              <w:numPr>
                <w:ilvl w:val="1"/>
                <w:numId w:val="22"/>
              </w:numPr>
              <w:spacing w:after="40"/>
              <w:ind w:left="737" w:hanging="283"/>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 xml:space="preserve">proportion noticing </w:t>
            </w:r>
            <w:r w:rsidR="001A7CCA" w:rsidRPr="00E30A5F">
              <w:rPr>
                <w:sz w:val="20"/>
                <w:szCs w:val="20"/>
              </w:rPr>
              <w:t>energy</w:t>
            </w:r>
            <w:r w:rsidRPr="00E30A5F">
              <w:rPr>
                <w:sz w:val="20"/>
                <w:szCs w:val="20"/>
              </w:rPr>
              <w:t xml:space="preserve"> information on menus increased from 46 to 52%, and </w:t>
            </w:r>
            <w:r w:rsidR="00BD4496" w:rsidRPr="00E30A5F">
              <w:rPr>
                <w:sz w:val="20"/>
                <w:szCs w:val="20"/>
              </w:rPr>
              <w:t>59% to 63% among young adults</w:t>
            </w:r>
            <w:r w:rsidR="00374604" w:rsidRPr="00E30A5F">
              <w:rPr>
                <w:sz w:val="20"/>
                <w:szCs w:val="20"/>
              </w:rPr>
              <w:t>.</w:t>
            </w:r>
          </w:p>
        </w:tc>
      </w:tr>
      <w:tr w:rsidR="00F44A11" w:rsidRPr="00E30A5F" w14:paraId="135D9E51" w14:textId="77777777" w:rsidTr="00E30A5F">
        <w:tc>
          <w:tcPr>
            <w:cnfStyle w:val="001000000000" w:firstRow="0" w:lastRow="0" w:firstColumn="1" w:lastColumn="0" w:oddVBand="0" w:evenVBand="0" w:oddHBand="0" w:evenHBand="0" w:firstRowFirstColumn="0" w:firstRowLastColumn="0" w:lastRowFirstColumn="0" w:lastRowLastColumn="0"/>
            <w:tcW w:w="3119" w:type="dxa"/>
          </w:tcPr>
          <w:p w14:paraId="7B119CE5" w14:textId="6E46DEAE" w:rsidR="00F44A11" w:rsidRPr="00E30A5F" w:rsidRDefault="00256D14" w:rsidP="00920A81">
            <w:pPr>
              <w:spacing w:after="40"/>
              <w:rPr>
                <w:b w:val="0"/>
                <w:bCs w:val="0"/>
                <w:sz w:val="20"/>
                <w:szCs w:val="20"/>
              </w:rPr>
            </w:pPr>
            <w:r w:rsidRPr="00E30A5F">
              <w:rPr>
                <w:b w:val="0"/>
                <w:bCs w:val="0"/>
                <w:caps w:val="0"/>
                <w:sz w:val="20"/>
                <w:szCs w:val="20"/>
              </w:rPr>
              <w:t>Pre and post customer-intercept surveys of 800 people in September 2011 and September 2012, immediately following a food or drink purchase from one of 10 different chains.</w:t>
            </w:r>
          </w:p>
        </w:tc>
        <w:tc>
          <w:tcPr>
            <w:tcW w:w="5935" w:type="dxa"/>
          </w:tcPr>
          <w:p w14:paraId="6DBD057C" w14:textId="12A92180" w:rsidR="00F44A11" w:rsidRPr="00E30A5F" w:rsidRDefault="00F44A11"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lang w:eastAsia="zh-CN" w:bidi="th-TH"/>
              </w:rPr>
              <w:t xml:space="preserve">Following consumer education, the proportion of New South Wales consumers noticing </w:t>
            </w:r>
            <w:r w:rsidR="001A7CCA" w:rsidRPr="00E30A5F">
              <w:rPr>
                <w:sz w:val="20"/>
                <w:szCs w:val="20"/>
                <w:lang w:eastAsia="zh-CN" w:bidi="th-TH"/>
              </w:rPr>
              <w:t>energy information</w:t>
            </w:r>
            <w:r w:rsidRPr="00E30A5F">
              <w:rPr>
                <w:sz w:val="20"/>
                <w:szCs w:val="20"/>
                <w:lang w:eastAsia="zh-CN" w:bidi="th-TH"/>
              </w:rPr>
              <w:t xml:space="preserve"> rose from 15% to 40%, falling to 36% six-months after education first launched.</w:t>
            </w:r>
          </w:p>
          <w:p w14:paraId="07884F7A" w14:textId="77777777" w:rsidR="00F44A11" w:rsidRPr="00E30A5F" w:rsidRDefault="00F44A11" w:rsidP="00F76FDC">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A comparison of sales receipts found a 15% (519kJ) reduction in median kilojoules purchased 12 months after legislation was introduced in New South Wales.</w:t>
            </w:r>
          </w:p>
        </w:tc>
      </w:tr>
      <w:tr w:rsidR="00F44A11" w:rsidRPr="00E30A5F" w14:paraId="4E6B0211" w14:textId="77777777" w:rsidTr="00E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6206719" w14:textId="151AAA82" w:rsidR="00F44A11" w:rsidRPr="00E30A5F" w:rsidRDefault="001021FE" w:rsidP="007A74F4">
            <w:pPr>
              <w:spacing w:after="40"/>
              <w:rPr>
                <w:sz w:val="20"/>
                <w:szCs w:val="20"/>
              </w:rPr>
            </w:pPr>
            <w:r w:rsidRPr="00E30A5F">
              <w:rPr>
                <w:b w:val="0"/>
                <w:bCs w:val="0"/>
                <w:caps w:val="0"/>
                <w:sz w:val="20"/>
                <w:szCs w:val="20"/>
              </w:rPr>
              <w:t>Cost-effectiveness analysis / modelling</w:t>
            </w:r>
            <w:r w:rsidR="00F44A11" w:rsidRPr="00E30A5F">
              <w:rPr>
                <w:rStyle w:val="FootnoteReference"/>
                <w:b w:val="0"/>
                <w:bCs w:val="0"/>
                <w:sz w:val="20"/>
                <w:szCs w:val="20"/>
              </w:rPr>
              <w:footnoteReference w:id="65"/>
            </w:r>
          </w:p>
        </w:tc>
        <w:tc>
          <w:tcPr>
            <w:tcW w:w="5935" w:type="dxa"/>
          </w:tcPr>
          <w:p w14:paraId="54441E61" w14:textId="4E87F05D" w:rsidR="00F44A11" w:rsidRPr="00E30A5F" w:rsidRDefault="00F44A11"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A possible $672 million (AUD) national saving of healthcare costs over the population’s lifetime in Australia. This based on modelling which looked at the impact of introducing mandatory menu labelling across Australia.</w:t>
            </w:r>
          </w:p>
          <w:p w14:paraId="5C83FCD9" w14:textId="1779FF91" w:rsidR="00F44A11" w:rsidRPr="00E30A5F" w:rsidRDefault="00F44A11"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The New South Wales evaluation found that menu labelling can lead to an average reduction of daily energy intake from fast food of approximately 25kJ.</w:t>
            </w:r>
          </w:p>
          <w:p w14:paraId="342018FA" w14:textId="41062344" w:rsidR="00F44A11" w:rsidRPr="00E30A5F" w:rsidRDefault="00F44A11" w:rsidP="00F76FDC">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The modelling found that th</w:t>
            </w:r>
            <w:r w:rsidR="001A7CCA" w:rsidRPr="00E30A5F">
              <w:rPr>
                <w:sz w:val="20"/>
                <w:szCs w:val="20"/>
              </w:rPr>
              <w:t>is</w:t>
            </w:r>
            <w:r w:rsidRPr="00E30A5F">
              <w:rPr>
                <w:sz w:val="20"/>
                <w:szCs w:val="20"/>
              </w:rPr>
              <w:t xml:space="preserve"> 25kJ reduction in energy intake, although small, would result in an average body weight decrease of 0.2kg across the Australian adult population. It was further estimated that over 63,000 health-adjusted life years would be gained. </w:t>
            </w:r>
          </w:p>
        </w:tc>
      </w:tr>
    </w:tbl>
    <w:p w14:paraId="621CD51F" w14:textId="595AC8A4" w:rsidR="00C64C57" w:rsidRDefault="00C64C57">
      <w:pPr>
        <w:rPr>
          <w:sz w:val="20"/>
          <w:szCs w:val="20"/>
        </w:rPr>
      </w:pPr>
    </w:p>
    <w:tbl>
      <w:tblPr>
        <w:tblStyle w:val="PlainTable3"/>
        <w:tblW w:w="0" w:type="auto"/>
        <w:tblLook w:val="04A0" w:firstRow="1" w:lastRow="0" w:firstColumn="1" w:lastColumn="0" w:noHBand="0" w:noVBand="1"/>
        <w:tblCaption w:val="Evaluation of menu labelling in Australian Capital Territory"/>
        <w:tblDescription w:val="2 columns. 1. Data collection in Australian Capital Territory. 2. Results. 4 rows. 1. Heading. 2. Describes customer-intercept survey. 3. Describes focus groups. 4. Describes interviews with  businesses."/>
      </w:tblPr>
      <w:tblGrid>
        <w:gridCol w:w="3119"/>
        <w:gridCol w:w="5935"/>
      </w:tblGrid>
      <w:tr w:rsidR="006876D6" w:rsidRPr="00E30A5F" w14:paraId="2753C3C9" w14:textId="77777777" w:rsidTr="007A74F4">
        <w:trPr>
          <w:cnfStyle w:val="100000000000" w:firstRow="1" w:lastRow="0" w:firstColumn="0" w:lastColumn="0" w:oddVBand="0" w:evenVBand="0" w:oddHBand="0" w:evenHBand="0" w:firstRowFirstColumn="0" w:firstRowLastColumn="0" w:lastRowFirstColumn="0" w:lastRowLastColumn="0"/>
          <w:cantSplit/>
          <w:trHeight w:val="407"/>
          <w:tblHeader/>
        </w:trPr>
        <w:tc>
          <w:tcPr>
            <w:cnfStyle w:val="001000000100" w:firstRow="0" w:lastRow="0" w:firstColumn="1" w:lastColumn="0" w:oddVBand="0" w:evenVBand="0" w:oddHBand="0" w:evenHBand="0" w:firstRowFirstColumn="1" w:firstRowLastColumn="0" w:lastRowFirstColumn="0" w:lastRowLastColumn="0"/>
            <w:tcW w:w="3119" w:type="dxa"/>
          </w:tcPr>
          <w:p w14:paraId="44346F1B" w14:textId="0AC2223A" w:rsidR="006876D6" w:rsidRPr="00E30A5F" w:rsidRDefault="001021FE" w:rsidP="006876D6">
            <w:pPr>
              <w:rPr>
                <w:sz w:val="20"/>
                <w:szCs w:val="20"/>
              </w:rPr>
            </w:pPr>
            <w:r w:rsidRPr="00E30A5F">
              <w:rPr>
                <w:caps w:val="0"/>
                <w:sz w:val="20"/>
                <w:szCs w:val="20"/>
              </w:rPr>
              <w:t xml:space="preserve">Data Collection in </w:t>
            </w:r>
          </w:p>
          <w:p w14:paraId="239431C5" w14:textId="343F4CB3" w:rsidR="006876D6" w:rsidRPr="00E30A5F" w:rsidRDefault="001021FE" w:rsidP="006876D6">
            <w:pPr>
              <w:spacing w:after="40"/>
              <w:rPr>
                <w:sz w:val="20"/>
                <w:szCs w:val="20"/>
              </w:rPr>
            </w:pPr>
            <w:r w:rsidRPr="00E30A5F">
              <w:rPr>
                <w:caps w:val="0"/>
                <w:sz w:val="20"/>
                <w:szCs w:val="20"/>
              </w:rPr>
              <w:t>Australian Capital Territory</w:t>
            </w:r>
            <w:r w:rsidR="006876D6" w:rsidRPr="00E30A5F">
              <w:rPr>
                <w:rStyle w:val="FootnoteReference"/>
                <w:sz w:val="20"/>
                <w:szCs w:val="20"/>
              </w:rPr>
              <w:footnoteReference w:id="66"/>
            </w:r>
          </w:p>
        </w:tc>
        <w:tc>
          <w:tcPr>
            <w:tcW w:w="5935" w:type="dxa"/>
          </w:tcPr>
          <w:p w14:paraId="074619AD" w14:textId="0776DB41" w:rsidR="006876D6" w:rsidRPr="00E30A5F" w:rsidRDefault="000E0763" w:rsidP="006876D6">
            <w:pPr>
              <w:spacing w:after="40"/>
              <w:cnfStyle w:val="100000000000" w:firstRow="1" w:lastRow="0" w:firstColumn="0" w:lastColumn="0" w:oddVBand="0" w:evenVBand="0" w:oddHBand="0" w:evenHBand="0" w:firstRowFirstColumn="0" w:firstRowLastColumn="0" w:lastRowFirstColumn="0" w:lastRowLastColumn="0"/>
              <w:rPr>
                <w:sz w:val="20"/>
                <w:szCs w:val="20"/>
              </w:rPr>
            </w:pPr>
            <w:r w:rsidRPr="00E30A5F">
              <w:rPr>
                <w:caps w:val="0"/>
                <w:sz w:val="20"/>
                <w:szCs w:val="20"/>
              </w:rPr>
              <w:t>Results</w:t>
            </w:r>
          </w:p>
        </w:tc>
      </w:tr>
      <w:tr w:rsidR="006876D6" w:rsidRPr="00E30A5F" w14:paraId="67CC7F95" w14:textId="77777777" w:rsidTr="007A74F4">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3119" w:type="dxa"/>
          </w:tcPr>
          <w:p w14:paraId="4825B830" w14:textId="3673D3AE" w:rsidR="006876D6" w:rsidRPr="00010088" w:rsidRDefault="001021FE" w:rsidP="006876D6">
            <w:pPr>
              <w:spacing w:after="40"/>
              <w:rPr>
                <w:b w:val="0"/>
                <w:bCs w:val="0"/>
                <w:sz w:val="20"/>
                <w:szCs w:val="20"/>
              </w:rPr>
            </w:pPr>
            <w:r w:rsidRPr="00010088">
              <w:rPr>
                <w:b w:val="0"/>
                <w:bCs w:val="0"/>
                <w:caps w:val="0"/>
                <w:sz w:val="20"/>
                <w:szCs w:val="20"/>
              </w:rPr>
              <w:t>Customer-intercept survey of 288 people in November to December 2016, following a food or drink purchase from one of three food courts</w:t>
            </w:r>
          </w:p>
        </w:tc>
        <w:tc>
          <w:tcPr>
            <w:tcW w:w="5935" w:type="dxa"/>
          </w:tcPr>
          <w:p w14:paraId="6A17DD21" w14:textId="2D55880E" w:rsidR="006876D6" w:rsidRPr="00E30A5F" w:rsidRDefault="006876D6" w:rsidP="006876D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Without consumer education, more than a third of consumers did not understand kilojoules or calories; and 27% knew the average adult intake is 8700kJ, yet many found it difficult to interpret.</w:t>
            </w:r>
          </w:p>
          <w:p w14:paraId="4D5FDC9F" w14:textId="75007355" w:rsidR="006876D6" w:rsidRPr="00E30A5F" w:rsidRDefault="006876D6" w:rsidP="006876D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 xml:space="preserve">Three in ten consumers noticed the energy information, and half went on to read the information. </w:t>
            </w:r>
          </w:p>
          <w:p w14:paraId="308B3712" w14:textId="5E578163" w:rsidR="006876D6" w:rsidRPr="00E30A5F" w:rsidRDefault="006876D6" w:rsidP="006876D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15% of consumers were influenced a little or a lot by menu labelling.</w:t>
            </w:r>
          </w:p>
        </w:tc>
      </w:tr>
      <w:tr w:rsidR="006876D6" w:rsidRPr="00E30A5F" w14:paraId="2C0F5D84" w14:textId="77777777" w:rsidTr="00E30A5F">
        <w:tc>
          <w:tcPr>
            <w:cnfStyle w:val="001000000000" w:firstRow="0" w:lastRow="0" w:firstColumn="1" w:lastColumn="0" w:oddVBand="0" w:evenVBand="0" w:oddHBand="0" w:evenHBand="0" w:firstRowFirstColumn="0" w:firstRowLastColumn="0" w:lastRowFirstColumn="0" w:lastRowLastColumn="0"/>
            <w:tcW w:w="3119" w:type="dxa"/>
          </w:tcPr>
          <w:p w14:paraId="6F217067" w14:textId="645B12E3" w:rsidR="006876D6" w:rsidRPr="00010088" w:rsidRDefault="001021FE" w:rsidP="006876D6">
            <w:pPr>
              <w:spacing w:after="40"/>
              <w:rPr>
                <w:b w:val="0"/>
                <w:bCs w:val="0"/>
                <w:sz w:val="20"/>
                <w:szCs w:val="20"/>
              </w:rPr>
            </w:pPr>
            <w:r w:rsidRPr="00010088">
              <w:rPr>
                <w:b w:val="0"/>
                <w:bCs w:val="0"/>
                <w:caps w:val="0"/>
                <w:sz w:val="20"/>
                <w:szCs w:val="20"/>
              </w:rPr>
              <w:t>Focus groups with 35 consumers</w:t>
            </w:r>
          </w:p>
        </w:tc>
        <w:tc>
          <w:tcPr>
            <w:tcW w:w="5935" w:type="dxa"/>
          </w:tcPr>
          <w:p w14:paraId="2ED5CE8B" w14:textId="46A42B64" w:rsidR="006876D6" w:rsidRPr="00E30A5F" w:rsidRDefault="006876D6" w:rsidP="006876D6">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For some consumers, the existence of the two measures of energy is confusing. Fat, sugar and salt were identified as alternative measures of nutritional quality.</w:t>
            </w:r>
          </w:p>
          <w:p w14:paraId="2D1BEDE4" w14:textId="07A0137D" w:rsidR="006876D6" w:rsidRPr="00E30A5F" w:rsidRDefault="006876D6" w:rsidP="006876D6">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Suggestions to extend laws to all food court outlets, clubs, pubs, online orders.</w:t>
            </w:r>
          </w:p>
          <w:p w14:paraId="70E21368" w14:textId="2B9E445B" w:rsidR="006876D6" w:rsidRPr="00E30A5F" w:rsidRDefault="006876D6" w:rsidP="006876D6">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The viability of small businesses should be considered.</w:t>
            </w:r>
          </w:p>
        </w:tc>
      </w:tr>
      <w:tr w:rsidR="006876D6" w:rsidRPr="00E67A4C" w14:paraId="55518B34" w14:textId="77777777" w:rsidTr="00E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A49946C" w14:textId="674BE017" w:rsidR="006876D6" w:rsidRPr="00010088" w:rsidRDefault="001021FE" w:rsidP="006876D6">
            <w:pPr>
              <w:spacing w:after="40"/>
              <w:rPr>
                <w:b w:val="0"/>
                <w:bCs w:val="0"/>
                <w:sz w:val="20"/>
                <w:szCs w:val="20"/>
              </w:rPr>
            </w:pPr>
            <w:r w:rsidRPr="00010088">
              <w:rPr>
                <w:b w:val="0"/>
                <w:bCs w:val="0"/>
                <w:caps w:val="0"/>
                <w:sz w:val="20"/>
                <w:szCs w:val="20"/>
              </w:rPr>
              <w:t>Interviews with 15 businesses</w:t>
            </w:r>
          </w:p>
        </w:tc>
        <w:tc>
          <w:tcPr>
            <w:tcW w:w="5935" w:type="dxa"/>
          </w:tcPr>
          <w:p w14:paraId="4B7C7A19" w14:textId="232174B8" w:rsidR="006876D6" w:rsidRPr="00E30A5F" w:rsidRDefault="006876D6" w:rsidP="006876D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Reported there was no reduction in overall sales resulting from displaying kilojoules; and that menu labelling increased demand for lower kilojoule varieties of combination meals, side orders and drinks.</w:t>
            </w:r>
          </w:p>
          <w:p w14:paraId="4B5D33F0" w14:textId="77777777" w:rsidR="006876D6" w:rsidRPr="00E30A5F" w:rsidRDefault="006876D6" w:rsidP="006876D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 xml:space="preserve">Expressed strong support for a nationally consistent approach to any changes in the future, noting that differences in display requirements between states and territories had the potential to drive uncertainty, increase the cost of compliance for businesses </w:t>
            </w:r>
            <w:r w:rsidRPr="00E30A5F">
              <w:rPr>
                <w:sz w:val="20"/>
                <w:szCs w:val="20"/>
              </w:rPr>
              <w:lastRenderedPageBreak/>
              <w:t>that operate in more than one jurisdiction, and stifle investment in new technologies, such as digitised kilojoule displays.</w:t>
            </w:r>
          </w:p>
          <w:p w14:paraId="03CFC8A8" w14:textId="770ABD41" w:rsidR="006876D6" w:rsidRPr="00E30A5F" w:rsidRDefault="006876D6" w:rsidP="006876D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Menu labelling and consumer demand for healthier options contributed to reformulation and changes to portion size.</w:t>
            </w:r>
          </w:p>
        </w:tc>
      </w:tr>
    </w:tbl>
    <w:p w14:paraId="04A23F1A" w14:textId="5F5B6883" w:rsidR="001021FE" w:rsidRDefault="001021FE"/>
    <w:tbl>
      <w:tblPr>
        <w:tblStyle w:val="PlainTable3"/>
        <w:tblW w:w="0" w:type="auto"/>
        <w:tblLook w:val="04A0" w:firstRow="1" w:lastRow="0" w:firstColumn="1" w:lastColumn="0" w:noHBand="0" w:noVBand="1"/>
        <w:tblCaption w:val="Evaluation of menu labelling in Queensland"/>
        <w:tblDescription w:val="2 columns. 1. Data collection in Queensland. 2. Results. 3 rows. 1. Heading. 2. Describes online survey. 3. Describes customer-intercept survey."/>
      </w:tblPr>
      <w:tblGrid>
        <w:gridCol w:w="3119"/>
        <w:gridCol w:w="5935"/>
      </w:tblGrid>
      <w:tr w:rsidR="00E30A5F" w:rsidRPr="00E30A5F" w14:paraId="42F6AA50" w14:textId="77777777" w:rsidTr="007A74F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19" w:type="dxa"/>
          </w:tcPr>
          <w:p w14:paraId="6F193F08" w14:textId="77777777" w:rsidR="00E30A5F" w:rsidRPr="00E30A5F" w:rsidRDefault="00E30A5F" w:rsidP="00F8152F">
            <w:pPr>
              <w:rPr>
                <w:sz w:val="20"/>
                <w:szCs w:val="20"/>
              </w:rPr>
            </w:pPr>
            <w:r w:rsidRPr="00E30A5F">
              <w:rPr>
                <w:caps w:val="0"/>
                <w:sz w:val="20"/>
                <w:szCs w:val="20"/>
              </w:rPr>
              <w:t xml:space="preserve">Data Collection in </w:t>
            </w:r>
          </w:p>
          <w:p w14:paraId="36940494" w14:textId="77777777" w:rsidR="00E30A5F" w:rsidRPr="00E30A5F" w:rsidRDefault="00E30A5F" w:rsidP="00F8152F">
            <w:pPr>
              <w:spacing w:after="40"/>
              <w:rPr>
                <w:sz w:val="20"/>
                <w:szCs w:val="20"/>
              </w:rPr>
            </w:pPr>
            <w:r w:rsidRPr="00E30A5F">
              <w:rPr>
                <w:caps w:val="0"/>
                <w:sz w:val="20"/>
                <w:szCs w:val="20"/>
              </w:rPr>
              <w:t>Queensland</w:t>
            </w:r>
            <w:r w:rsidRPr="00E30A5F">
              <w:rPr>
                <w:rStyle w:val="FootnoteReference"/>
                <w:sz w:val="20"/>
                <w:szCs w:val="20"/>
              </w:rPr>
              <w:footnoteReference w:id="67"/>
            </w:r>
          </w:p>
        </w:tc>
        <w:tc>
          <w:tcPr>
            <w:tcW w:w="5935" w:type="dxa"/>
          </w:tcPr>
          <w:p w14:paraId="6780602E" w14:textId="77777777" w:rsidR="00E30A5F" w:rsidRPr="00E30A5F" w:rsidRDefault="00E30A5F" w:rsidP="00F8152F">
            <w:pPr>
              <w:spacing w:after="40"/>
              <w:cnfStyle w:val="100000000000" w:firstRow="1" w:lastRow="0" w:firstColumn="0" w:lastColumn="0" w:oddVBand="0" w:evenVBand="0" w:oddHBand="0" w:evenHBand="0" w:firstRowFirstColumn="0" w:firstRowLastColumn="0" w:lastRowFirstColumn="0" w:lastRowLastColumn="0"/>
              <w:rPr>
                <w:sz w:val="20"/>
                <w:szCs w:val="20"/>
              </w:rPr>
            </w:pPr>
            <w:r w:rsidRPr="00E30A5F">
              <w:rPr>
                <w:caps w:val="0"/>
                <w:sz w:val="20"/>
                <w:szCs w:val="20"/>
              </w:rPr>
              <w:t>Results</w:t>
            </w:r>
          </w:p>
        </w:tc>
      </w:tr>
      <w:tr w:rsidR="00E30A5F" w:rsidRPr="00E30A5F" w14:paraId="20E0AC31" w14:textId="77777777" w:rsidTr="00E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BF0A498" w14:textId="77777777" w:rsidR="00E30A5F" w:rsidRPr="00E30A5F" w:rsidRDefault="00E30A5F" w:rsidP="00F8152F">
            <w:pPr>
              <w:spacing w:after="40"/>
              <w:rPr>
                <w:b w:val="0"/>
                <w:bCs w:val="0"/>
                <w:sz w:val="20"/>
                <w:szCs w:val="20"/>
              </w:rPr>
            </w:pPr>
            <w:r w:rsidRPr="00E30A5F">
              <w:rPr>
                <w:b w:val="0"/>
                <w:bCs w:val="0"/>
                <w:caps w:val="0"/>
                <w:sz w:val="20"/>
                <w:szCs w:val="20"/>
              </w:rPr>
              <w:t>Online survey of 750 people in June 2018</w:t>
            </w:r>
          </w:p>
        </w:tc>
        <w:tc>
          <w:tcPr>
            <w:tcW w:w="5935" w:type="dxa"/>
          </w:tcPr>
          <w:p w14:paraId="29E7136B" w14:textId="77777777" w:rsidR="00E30A5F" w:rsidRPr="00E30A5F" w:rsidRDefault="00E30A5F" w:rsidP="00F8152F">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sz w:val="20"/>
                <w:szCs w:val="20"/>
              </w:rPr>
            </w:pPr>
            <w:r w:rsidRPr="00E30A5F">
              <w:rPr>
                <w:sz w:val="20"/>
                <w:szCs w:val="20"/>
              </w:rPr>
              <w:t>More than a year after the end of an education campaign, half of Queenslanders knew that kilojoules measured energy, yet less than 10% knew that the average adult intake is 8700kJ.</w:t>
            </w:r>
          </w:p>
        </w:tc>
      </w:tr>
      <w:tr w:rsidR="00E30A5F" w:rsidRPr="00E30A5F" w14:paraId="43EF211A" w14:textId="77777777" w:rsidTr="00E30A5F">
        <w:tc>
          <w:tcPr>
            <w:cnfStyle w:val="001000000000" w:firstRow="0" w:lastRow="0" w:firstColumn="1" w:lastColumn="0" w:oddVBand="0" w:evenVBand="0" w:oddHBand="0" w:evenHBand="0" w:firstRowFirstColumn="0" w:firstRowLastColumn="0" w:lastRowFirstColumn="0" w:lastRowLastColumn="0"/>
            <w:tcW w:w="3119" w:type="dxa"/>
          </w:tcPr>
          <w:p w14:paraId="663A8FBE" w14:textId="77777777" w:rsidR="00E30A5F" w:rsidRPr="00E30A5F" w:rsidRDefault="00E30A5F" w:rsidP="00F8152F">
            <w:pPr>
              <w:spacing w:after="40"/>
              <w:rPr>
                <w:b w:val="0"/>
                <w:bCs w:val="0"/>
                <w:sz w:val="20"/>
                <w:szCs w:val="20"/>
              </w:rPr>
            </w:pPr>
            <w:r w:rsidRPr="00E30A5F">
              <w:rPr>
                <w:b w:val="0"/>
                <w:bCs w:val="0"/>
                <w:caps w:val="0"/>
                <w:sz w:val="20"/>
                <w:szCs w:val="20"/>
              </w:rPr>
              <w:t>Customer-intercept survey of 787 people in June 2018, immediately following a food or drink purchase from one of 11 different chains.</w:t>
            </w:r>
          </w:p>
        </w:tc>
        <w:tc>
          <w:tcPr>
            <w:tcW w:w="5935" w:type="dxa"/>
          </w:tcPr>
          <w:p w14:paraId="6FA951D9" w14:textId="77777777" w:rsidR="00E30A5F" w:rsidRPr="00E30A5F" w:rsidRDefault="00E30A5F" w:rsidP="00F8152F">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Six in ten Queensland consumers believed having energy information displayed gave them confidence to make a healthy choice.</w:t>
            </w:r>
          </w:p>
          <w:p w14:paraId="4DB5EC44" w14:textId="77777777" w:rsidR="00E30A5F" w:rsidRPr="00E30A5F" w:rsidRDefault="00E30A5F" w:rsidP="00F8152F">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Most (79%) consumers would not change the frequency of visiting a fast food outlet because of knowing the kilojoule content of menu items.</w:t>
            </w:r>
          </w:p>
          <w:p w14:paraId="5735BF0C" w14:textId="77777777" w:rsidR="00E30A5F" w:rsidRPr="00E30A5F" w:rsidRDefault="00E30A5F" w:rsidP="00F8152F">
            <w:pPr>
              <w:pStyle w:val="ListParagraph"/>
              <w:numPr>
                <w:ilvl w:val="0"/>
                <w:numId w:val="22"/>
              </w:numPr>
              <w:spacing w:after="40"/>
              <w:cnfStyle w:val="000000000000" w:firstRow="0" w:lastRow="0" w:firstColumn="0" w:lastColumn="0" w:oddVBand="0" w:evenVBand="0" w:oddHBand="0" w:evenHBand="0" w:firstRowFirstColumn="0" w:firstRowLastColumn="0" w:lastRowFirstColumn="0" w:lastRowLastColumn="0"/>
              <w:rPr>
                <w:sz w:val="20"/>
                <w:szCs w:val="20"/>
              </w:rPr>
            </w:pPr>
            <w:r w:rsidRPr="00E30A5F">
              <w:rPr>
                <w:sz w:val="20"/>
                <w:szCs w:val="20"/>
              </w:rPr>
              <w:t>Only 6% of consumers considered that energy information influenced their purchase, with most of these consumers swapping to a healthier alternative or reducing the serving size purchased.</w:t>
            </w:r>
          </w:p>
        </w:tc>
      </w:tr>
    </w:tbl>
    <w:p w14:paraId="46DFD619" w14:textId="52AC90F7" w:rsidR="00C8402E" w:rsidRPr="00E67A4C" w:rsidRDefault="00C8402E">
      <w:pPr>
        <w:rPr>
          <w:rStyle w:val="Heading1Char"/>
          <w:rFonts w:ascii="Times New Roman" w:hAnsi="Times New Roman" w:cs="Times New Roman"/>
          <w:b w:val="0"/>
          <w:bCs w:val="0"/>
          <w:i/>
          <w:iCs/>
          <w:szCs w:val="28"/>
        </w:rPr>
      </w:pPr>
    </w:p>
    <w:p w14:paraId="39EE7286" w14:textId="77777777" w:rsidR="00453438" w:rsidRPr="00E67A4C" w:rsidRDefault="00453438" w:rsidP="00812051">
      <w:pPr>
        <w:pStyle w:val="Heading2"/>
        <w:rPr>
          <w:rStyle w:val="Heading1Char"/>
          <w:rFonts w:ascii="Times New Roman" w:hAnsi="Times New Roman" w:cs="Times New Roman"/>
          <w:szCs w:val="28"/>
        </w:rPr>
        <w:sectPr w:rsidR="00453438" w:rsidRPr="00E67A4C" w:rsidSect="00246032">
          <w:footerReference w:type="default" r:id="rId10"/>
          <w:pgSz w:w="11900" w:h="16840"/>
          <w:pgMar w:top="1134" w:right="1418" w:bottom="1134" w:left="1418" w:header="227" w:footer="283" w:gutter="0"/>
          <w:cols w:space="720"/>
          <w:docGrid w:linePitch="326"/>
        </w:sectPr>
      </w:pPr>
    </w:p>
    <w:p w14:paraId="507DAB3A" w14:textId="0B8A47BB" w:rsidR="00453438" w:rsidRPr="00E67A4C" w:rsidRDefault="00605EC6" w:rsidP="00812051">
      <w:pPr>
        <w:pStyle w:val="Heading2"/>
        <w:rPr>
          <w:rStyle w:val="Heading1Char"/>
          <w:rFonts w:ascii="Times New Roman" w:hAnsi="Times New Roman" w:cs="Times New Roman"/>
          <w:szCs w:val="28"/>
        </w:rPr>
      </w:pPr>
      <w:bookmarkStart w:id="102" w:name="_Toc47605598"/>
      <w:bookmarkStart w:id="103" w:name="_Toc51165293"/>
      <w:r w:rsidRPr="00E67A4C">
        <w:rPr>
          <w:rStyle w:val="Heading1Char"/>
          <w:rFonts w:ascii="Times New Roman" w:hAnsi="Times New Roman" w:cs="Times New Roman"/>
          <w:b/>
          <w:bCs/>
          <w:szCs w:val="28"/>
        </w:rPr>
        <w:lastRenderedPageBreak/>
        <w:t xml:space="preserve">Appendix </w:t>
      </w:r>
      <w:r w:rsidR="00BC3AEE" w:rsidRPr="00E67A4C">
        <w:rPr>
          <w:rStyle w:val="Heading1Char"/>
          <w:rFonts w:ascii="Times New Roman" w:hAnsi="Times New Roman" w:cs="Times New Roman"/>
          <w:b/>
          <w:bCs/>
          <w:szCs w:val="28"/>
        </w:rPr>
        <w:t>3</w:t>
      </w:r>
      <w:r w:rsidRPr="00E67A4C">
        <w:rPr>
          <w:rStyle w:val="Heading1Char"/>
          <w:rFonts w:ascii="Times New Roman" w:hAnsi="Times New Roman" w:cs="Times New Roman"/>
          <w:b/>
          <w:bCs/>
          <w:szCs w:val="28"/>
        </w:rPr>
        <w:t xml:space="preserve">: </w:t>
      </w:r>
      <w:r w:rsidR="00453438" w:rsidRPr="00E67A4C">
        <w:rPr>
          <w:rStyle w:val="Heading1Char"/>
          <w:rFonts w:ascii="Times New Roman" w:hAnsi="Times New Roman" w:cs="Times New Roman"/>
          <w:b/>
          <w:bCs/>
          <w:szCs w:val="28"/>
        </w:rPr>
        <w:t>Business types that may sell standard food items</w:t>
      </w:r>
      <w:r w:rsidR="00453438" w:rsidRPr="00E67A4C">
        <w:rPr>
          <w:rStyle w:val="Heading1Char"/>
          <w:rFonts w:ascii="Times New Roman" w:hAnsi="Times New Roman" w:cs="Times New Roman"/>
          <w:szCs w:val="28"/>
          <w:vertAlign w:val="superscript"/>
        </w:rPr>
        <w:footnoteReference w:id="68"/>
      </w:r>
      <w:bookmarkEnd w:id="102"/>
      <w:bookmarkEnd w:id="103"/>
      <w:r w:rsidR="00453438" w:rsidRPr="00E67A4C">
        <w:rPr>
          <w:rStyle w:val="Heading1Char"/>
          <w:rFonts w:ascii="Times New Roman" w:hAnsi="Times New Roman" w:cs="Times New Roman"/>
          <w:szCs w:val="28"/>
          <w:vertAlign w:val="superscript"/>
        </w:rPr>
        <w:t xml:space="preserve"> </w:t>
      </w:r>
    </w:p>
    <w:p w14:paraId="4AF1C7DD" w14:textId="77777777" w:rsidR="00F571D9" w:rsidRPr="00E67A4C" w:rsidRDefault="00F571D9" w:rsidP="00F571D9">
      <w:pPr>
        <w:rPr>
          <w:lang w:eastAsia="zh-CN" w:bidi="th-TH"/>
        </w:rPr>
      </w:pPr>
    </w:p>
    <w:tbl>
      <w:tblPr>
        <w:tblStyle w:val="PlainTable3"/>
        <w:tblW w:w="14735" w:type="dxa"/>
        <w:tblLook w:val="04A0" w:firstRow="1" w:lastRow="0" w:firstColumn="1" w:lastColumn="0" w:noHBand="0" w:noVBand="1"/>
        <w:tblCaption w:val="Business types that may sell standard food items"/>
        <w:tblDescription w:val="4 columns. 1. Business type. 2. Industry definition. 3. Businesses in Australia. 4. Businesses in New Zealand. 11 rows. 1 Heading. 2 to 11 describes different business types."/>
      </w:tblPr>
      <w:tblGrid>
        <w:gridCol w:w="1701"/>
        <w:gridCol w:w="4962"/>
        <w:gridCol w:w="4036"/>
        <w:gridCol w:w="4036"/>
      </w:tblGrid>
      <w:tr w:rsidR="00453438" w:rsidRPr="00E67A4C" w14:paraId="654C83F3" w14:textId="77777777" w:rsidTr="007A74F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701" w:type="dxa"/>
          </w:tcPr>
          <w:p w14:paraId="001EB36E" w14:textId="67EB82FB" w:rsidR="00453438" w:rsidRPr="00866F7B" w:rsidRDefault="003D5688" w:rsidP="0041608F">
            <w:pPr>
              <w:spacing w:after="40"/>
              <w:rPr>
                <w:rFonts w:eastAsia="Calibri"/>
                <w:sz w:val="20"/>
                <w:szCs w:val="20"/>
              </w:rPr>
            </w:pPr>
            <w:r w:rsidRPr="00866F7B">
              <w:rPr>
                <w:rFonts w:eastAsia="Calibri"/>
                <w:caps w:val="0"/>
                <w:sz w:val="20"/>
                <w:szCs w:val="20"/>
              </w:rPr>
              <w:t>Business Type</w:t>
            </w:r>
          </w:p>
        </w:tc>
        <w:tc>
          <w:tcPr>
            <w:tcW w:w="4962" w:type="dxa"/>
          </w:tcPr>
          <w:p w14:paraId="34D630E5" w14:textId="678CAF52" w:rsidR="00453438" w:rsidRPr="00866F7B" w:rsidRDefault="003D5688" w:rsidP="0041608F">
            <w:pPr>
              <w:spacing w:after="40"/>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866F7B">
              <w:rPr>
                <w:rFonts w:eastAsia="Calibri"/>
                <w:caps w:val="0"/>
                <w:sz w:val="20"/>
                <w:szCs w:val="20"/>
              </w:rPr>
              <w:t>Industry Definition (As defined by IBISWorld)</w:t>
            </w:r>
          </w:p>
        </w:tc>
        <w:tc>
          <w:tcPr>
            <w:tcW w:w="4036" w:type="dxa"/>
          </w:tcPr>
          <w:p w14:paraId="181E81EF" w14:textId="2EE43DA9" w:rsidR="00453438" w:rsidRPr="00866F7B" w:rsidRDefault="003D5688" w:rsidP="0041608F">
            <w:pPr>
              <w:spacing w:after="40"/>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866F7B">
              <w:rPr>
                <w:rFonts w:eastAsia="Calibri"/>
                <w:caps w:val="0"/>
                <w:sz w:val="20"/>
                <w:szCs w:val="20"/>
              </w:rPr>
              <w:t xml:space="preserve">Businesses in Australia </w:t>
            </w:r>
          </w:p>
        </w:tc>
        <w:tc>
          <w:tcPr>
            <w:tcW w:w="4036" w:type="dxa"/>
          </w:tcPr>
          <w:p w14:paraId="656B6D49" w14:textId="76E7D896" w:rsidR="00453438" w:rsidRPr="00866F7B" w:rsidRDefault="003D5688" w:rsidP="0041608F">
            <w:pPr>
              <w:spacing w:after="40"/>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866F7B">
              <w:rPr>
                <w:rFonts w:eastAsia="Calibri"/>
                <w:caps w:val="0"/>
                <w:sz w:val="20"/>
                <w:szCs w:val="20"/>
              </w:rPr>
              <w:t>Businesses in New Zealand</w:t>
            </w:r>
          </w:p>
        </w:tc>
      </w:tr>
      <w:tr w:rsidR="00453438" w:rsidRPr="00E67A4C" w14:paraId="33D9EB67" w14:textId="77777777" w:rsidTr="008F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36EF9D6" w14:textId="3C4EAD6D" w:rsidR="00453438" w:rsidRPr="00E67A4C" w:rsidRDefault="003D5688" w:rsidP="0041608F">
            <w:pPr>
              <w:spacing w:after="40"/>
              <w:rPr>
                <w:rFonts w:eastAsia="Calibri"/>
                <w:sz w:val="20"/>
                <w:szCs w:val="20"/>
              </w:rPr>
            </w:pPr>
            <w:r w:rsidRPr="00E67A4C">
              <w:rPr>
                <w:rFonts w:eastAsia="Calibri"/>
                <w:caps w:val="0"/>
                <w:sz w:val="20"/>
                <w:szCs w:val="20"/>
              </w:rPr>
              <w:t xml:space="preserve">Fast Food </w:t>
            </w:r>
            <w:r>
              <w:rPr>
                <w:rFonts w:eastAsia="Calibri"/>
                <w:caps w:val="0"/>
                <w:sz w:val="20"/>
                <w:szCs w:val="20"/>
              </w:rPr>
              <w:t>a</w:t>
            </w:r>
            <w:r w:rsidRPr="00E67A4C">
              <w:rPr>
                <w:rFonts w:eastAsia="Calibri"/>
                <w:caps w:val="0"/>
                <w:sz w:val="20"/>
                <w:szCs w:val="20"/>
              </w:rPr>
              <w:t>nd Takeaway Food Services</w:t>
            </w:r>
          </w:p>
        </w:tc>
        <w:tc>
          <w:tcPr>
            <w:tcW w:w="4962" w:type="dxa"/>
          </w:tcPr>
          <w:p w14:paraId="13736A8D" w14:textId="77777777" w:rsidR="00453438" w:rsidRPr="00E67A4C" w:rsidRDefault="00453438" w:rsidP="0041608F">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Primarily provide fast food, such as burgers, pizza, sandwiches and sushi, and takeaway for immediate consumption. Customers order or select items and pay before eating. Food is usually provided in takeaway containers or packaging, and is consumed on the premises, taken away or delivered. The industry also includes fast food sold in food halls and food courts.</w:t>
            </w:r>
          </w:p>
        </w:tc>
        <w:tc>
          <w:tcPr>
            <w:tcW w:w="4036" w:type="dxa"/>
          </w:tcPr>
          <w:p w14:paraId="4DCB549A" w14:textId="77777777" w:rsidR="00453438" w:rsidRPr="00E67A4C" w:rsidRDefault="00453438" w:rsidP="00F76FDC">
            <w:pPr>
              <w:pStyle w:val="ListParagraph"/>
              <w:numPr>
                <w:ilvl w:val="0"/>
                <w:numId w:val="9"/>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37,500 establishments</w:t>
            </w:r>
          </w:p>
          <w:p w14:paraId="0C796653" w14:textId="77777777" w:rsidR="00453438" w:rsidRPr="00E67A4C" w:rsidRDefault="00453438" w:rsidP="00F76FDC">
            <w:pPr>
              <w:pStyle w:val="ListParagraph"/>
              <w:numPr>
                <w:ilvl w:val="0"/>
                <w:numId w:val="9"/>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$20bn</w:t>
            </w:r>
          </w:p>
          <w:p w14:paraId="2857317B" w14:textId="77777777" w:rsidR="00453438" w:rsidRPr="00E67A4C" w:rsidRDefault="00453438" w:rsidP="00F76FDC">
            <w:pPr>
              <w:pStyle w:val="ListParagraph"/>
              <w:numPr>
                <w:ilvl w:val="0"/>
                <w:numId w:val="9"/>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McDonald’s Australia Holdings Pty Ltd; Competitive Foods Australia Pty Ltd, Yum! Restaurants Australia Pty Ltd; Domino’s Pizza Enterprises Ltd</w:t>
            </w:r>
          </w:p>
        </w:tc>
        <w:tc>
          <w:tcPr>
            <w:tcW w:w="4036" w:type="dxa"/>
          </w:tcPr>
          <w:p w14:paraId="3411FF6B" w14:textId="77777777" w:rsidR="00453438" w:rsidRPr="00E67A4C" w:rsidRDefault="00453438" w:rsidP="00F76FDC">
            <w:pPr>
              <w:pStyle w:val="ListParagraph"/>
              <w:numPr>
                <w:ilvl w:val="0"/>
                <w:numId w:val="9"/>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6,800 establishments</w:t>
            </w:r>
          </w:p>
          <w:p w14:paraId="31808D81" w14:textId="77777777" w:rsidR="00453438" w:rsidRPr="00E67A4C" w:rsidRDefault="00453438" w:rsidP="00F76FDC">
            <w:pPr>
              <w:pStyle w:val="ListParagraph"/>
              <w:numPr>
                <w:ilvl w:val="0"/>
                <w:numId w:val="9"/>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$3bn</w:t>
            </w:r>
          </w:p>
          <w:p w14:paraId="2BC15B57" w14:textId="77777777" w:rsidR="00453438" w:rsidRPr="00E67A4C" w:rsidRDefault="00453438" w:rsidP="00F76FDC">
            <w:pPr>
              <w:pStyle w:val="ListParagraph"/>
              <w:numPr>
                <w:ilvl w:val="0"/>
                <w:numId w:val="9"/>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McDonald’s Restaurants (New Zealand) Ltd; Restaurant Brands New Zealand Ltd; Tango Holdings NZ; Domino’s Pizza Enterprises Ltd</w:t>
            </w:r>
          </w:p>
        </w:tc>
      </w:tr>
      <w:tr w:rsidR="00453438" w:rsidRPr="00E67A4C" w14:paraId="5F341164" w14:textId="77777777" w:rsidTr="008F2E93">
        <w:tc>
          <w:tcPr>
            <w:cnfStyle w:val="001000000000" w:firstRow="0" w:lastRow="0" w:firstColumn="1" w:lastColumn="0" w:oddVBand="0" w:evenVBand="0" w:oddHBand="0" w:evenHBand="0" w:firstRowFirstColumn="0" w:firstRowLastColumn="0" w:lastRowFirstColumn="0" w:lastRowLastColumn="0"/>
            <w:tcW w:w="1701" w:type="dxa"/>
          </w:tcPr>
          <w:p w14:paraId="4A289D3E" w14:textId="4B9B0915" w:rsidR="00453438" w:rsidRPr="00E67A4C" w:rsidRDefault="003D5688" w:rsidP="0041608F">
            <w:pPr>
              <w:spacing w:after="40"/>
              <w:rPr>
                <w:rFonts w:eastAsia="Calibri"/>
                <w:sz w:val="20"/>
                <w:szCs w:val="20"/>
              </w:rPr>
            </w:pPr>
            <w:r w:rsidRPr="00E67A4C">
              <w:rPr>
                <w:rFonts w:eastAsia="Calibri"/>
                <w:caps w:val="0"/>
                <w:sz w:val="20"/>
                <w:szCs w:val="20"/>
              </w:rPr>
              <w:t xml:space="preserve">Cafés, Coffee Shops </w:t>
            </w:r>
            <w:r>
              <w:rPr>
                <w:rFonts w:eastAsia="Calibri"/>
                <w:caps w:val="0"/>
                <w:sz w:val="20"/>
                <w:szCs w:val="20"/>
              </w:rPr>
              <w:t>a</w:t>
            </w:r>
            <w:r w:rsidRPr="00E67A4C">
              <w:rPr>
                <w:rFonts w:eastAsia="Calibri"/>
                <w:caps w:val="0"/>
                <w:sz w:val="20"/>
                <w:szCs w:val="20"/>
              </w:rPr>
              <w:t>nd Restaurants</w:t>
            </w:r>
            <w:r w:rsidR="00453438" w:rsidRPr="00E67A4C">
              <w:rPr>
                <w:rStyle w:val="FootnoteReference"/>
                <w:rFonts w:eastAsia="Calibri"/>
                <w:sz w:val="20"/>
                <w:szCs w:val="20"/>
              </w:rPr>
              <w:footnoteReference w:id="69"/>
            </w:r>
          </w:p>
        </w:tc>
        <w:tc>
          <w:tcPr>
            <w:tcW w:w="4962" w:type="dxa"/>
          </w:tcPr>
          <w:p w14:paraId="132530AA" w14:textId="77777777" w:rsidR="00453438" w:rsidRPr="00E67A4C" w:rsidRDefault="00453438" w:rsidP="0041608F">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Mainly serve food and beverages for consumption on the premises. Customers generally order and are served while seated and pay after eating. The industry includes cafes and coffee shops, and licensed, unlicensed and BYO restaurants.</w:t>
            </w:r>
          </w:p>
        </w:tc>
        <w:tc>
          <w:tcPr>
            <w:tcW w:w="4036" w:type="dxa"/>
          </w:tcPr>
          <w:p w14:paraId="14C894C5"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Over 47,000 establishments</w:t>
            </w:r>
          </w:p>
          <w:p w14:paraId="6E000714"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Market size: $29bn</w:t>
            </w:r>
          </w:p>
          <w:p w14:paraId="121C8F57"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No companies with dominant market share</w:t>
            </w:r>
          </w:p>
        </w:tc>
        <w:tc>
          <w:tcPr>
            <w:tcW w:w="4036" w:type="dxa"/>
          </w:tcPr>
          <w:p w14:paraId="6CB3C6DB"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Over 8,900 establishments</w:t>
            </w:r>
          </w:p>
          <w:p w14:paraId="47E0BFFC"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Market size: $6bn</w:t>
            </w:r>
          </w:p>
          <w:p w14:paraId="14320D47"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No companies with dominant market share</w:t>
            </w:r>
          </w:p>
        </w:tc>
      </w:tr>
      <w:tr w:rsidR="00453438" w:rsidRPr="00E67A4C" w14:paraId="177E6D63" w14:textId="77777777" w:rsidTr="008F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B8C16CC" w14:textId="5C749B3E" w:rsidR="00453438" w:rsidRPr="00E67A4C" w:rsidRDefault="003D5688" w:rsidP="0041608F">
            <w:pPr>
              <w:spacing w:after="40"/>
              <w:rPr>
                <w:rFonts w:eastAsia="Calibri"/>
                <w:sz w:val="20"/>
                <w:szCs w:val="20"/>
              </w:rPr>
            </w:pPr>
            <w:r w:rsidRPr="00E67A4C">
              <w:rPr>
                <w:rFonts w:eastAsia="Calibri"/>
                <w:caps w:val="0"/>
                <w:sz w:val="20"/>
                <w:szCs w:val="20"/>
              </w:rPr>
              <w:t xml:space="preserve">Supermarkets </w:t>
            </w:r>
            <w:r>
              <w:rPr>
                <w:rFonts w:eastAsia="Calibri"/>
                <w:caps w:val="0"/>
                <w:sz w:val="20"/>
                <w:szCs w:val="20"/>
              </w:rPr>
              <w:t>a</w:t>
            </w:r>
            <w:r w:rsidRPr="00E67A4C">
              <w:rPr>
                <w:rFonts w:eastAsia="Calibri"/>
                <w:caps w:val="0"/>
                <w:sz w:val="20"/>
                <w:szCs w:val="20"/>
              </w:rPr>
              <w:t>nd Grocery Stores</w:t>
            </w:r>
          </w:p>
        </w:tc>
        <w:tc>
          <w:tcPr>
            <w:tcW w:w="4962" w:type="dxa"/>
          </w:tcPr>
          <w:p w14:paraId="78537868" w14:textId="77777777" w:rsidR="00453438" w:rsidRPr="00E67A4C" w:rsidRDefault="00453438" w:rsidP="0041608F">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Retail a range of groceries and food products, including fruit and vegetables, bread, cigarettes, canned goods, toiletries, dairy goods, delicatessen items and cleaning goods.</w:t>
            </w:r>
          </w:p>
          <w:p w14:paraId="353F27FE" w14:textId="77777777" w:rsidR="00453438" w:rsidRPr="00E67A4C" w:rsidRDefault="00453438" w:rsidP="0041608F">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In New Zealand: includes full-service supermarkets, grocery stores and convenience stores.</w:t>
            </w:r>
          </w:p>
        </w:tc>
        <w:tc>
          <w:tcPr>
            <w:tcW w:w="4036" w:type="dxa"/>
          </w:tcPr>
          <w:p w14:paraId="52EDF8A4"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6,600 establishments</w:t>
            </w:r>
          </w:p>
          <w:p w14:paraId="0E687C5B"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$108bn</w:t>
            </w:r>
          </w:p>
          <w:p w14:paraId="59775B31"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Woolworths Group Ltd; Coles Group Ltd; Aldi Stores; Metcash Ltd</w:t>
            </w:r>
          </w:p>
        </w:tc>
        <w:tc>
          <w:tcPr>
            <w:tcW w:w="4036" w:type="dxa"/>
          </w:tcPr>
          <w:p w14:paraId="52F2401D"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3,800 establishments</w:t>
            </w:r>
          </w:p>
          <w:p w14:paraId="32928628"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$21bn</w:t>
            </w:r>
          </w:p>
          <w:p w14:paraId="3A317C68"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Foodstuffs (NZ) Ltd, Woolworths New Zealand Group Ltd</w:t>
            </w:r>
          </w:p>
        </w:tc>
      </w:tr>
      <w:tr w:rsidR="00453438" w:rsidRPr="00E67A4C" w14:paraId="620EB724" w14:textId="77777777" w:rsidTr="008F2E93">
        <w:tc>
          <w:tcPr>
            <w:cnfStyle w:val="001000000000" w:firstRow="0" w:lastRow="0" w:firstColumn="1" w:lastColumn="0" w:oddVBand="0" w:evenVBand="0" w:oddHBand="0" w:evenHBand="0" w:firstRowFirstColumn="0" w:firstRowLastColumn="0" w:lastRowFirstColumn="0" w:lastRowLastColumn="0"/>
            <w:tcW w:w="1701" w:type="dxa"/>
          </w:tcPr>
          <w:p w14:paraId="68372D01" w14:textId="6E07FB39" w:rsidR="00453438" w:rsidRPr="00E67A4C" w:rsidRDefault="003D5688" w:rsidP="0041608F">
            <w:pPr>
              <w:spacing w:after="40"/>
              <w:rPr>
                <w:rFonts w:eastAsia="Calibri"/>
                <w:sz w:val="20"/>
                <w:szCs w:val="20"/>
              </w:rPr>
            </w:pPr>
            <w:r w:rsidRPr="00E67A4C">
              <w:rPr>
                <w:rFonts w:eastAsia="Calibri"/>
                <w:caps w:val="0"/>
                <w:sz w:val="20"/>
                <w:szCs w:val="20"/>
              </w:rPr>
              <w:t xml:space="preserve">Convenience Stores </w:t>
            </w:r>
          </w:p>
        </w:tc>
        <w:tc>
          <w:tcPr>
            <w:tcW w:w="4962" w:type="dxa"/>
          </w:tcPr>
          <w:p w14:paraId="27C6687D" w14:textId="77777777" w:rsidR="00453438" w:rsidRPr="00E67A4C" w:rsidRDefault="00453438" w:rsidP="0041608F">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Sell a range of products including cigarettes, beverages, confectionery, snack foods, ready-to-eat foods, mobile phones and accessories, magazines, newspapers, and general merchandise. Includes milk bars and corner stores.</w:t>
            </w:r>
          </w:p>
        </w:tc>
        <w:tc>
          <w:tcPr>
            <w:tcW w:w="4036" w:type="dxa"/>
          </w:tcPr>
          <w:p w14:paraId="01A3572F"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Over 8,900 establishments</w:t>
            </w:r>
          </w:p>
          <w:p w14:paraId="72545C65"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Market size: $5bn</w:t>
            </w:r>
          </w:p>
          <w:p w14:paraId="296982FC"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Biggest companies: 7-Eleven Stores Pty Ltd</w:t>
            </w:r>
          </w:p>
        </w:tc>
        <w:tc>
          <w:tcPr>
            <w:tcW w:w="4036" w:type="dxa"/>
          </w:tcPr>
          <w:p w14:paraId="4FD2B8F7"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Not applicable – see Supermarkets and grocery stores above</w:t>
            </w:r>
          </w:p>
        </w:tc>
      </w:tr>
      <w:tr w:rsidR="00453438" w:rsidRPr="00E67A4C" w14:paraId="0E4FFB70" w14:textId="77777777" w:rsidTr="008F2E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994D0FE" w14:textId="10D06D8F" w:rsidR="00453438" w:rsidRPr="00E67A4C" w:rsidRDefault="003D5688" w:rsidP="0041608F">
            <w:pPr>
              <w:spacing w:after="40"/>
              <w:rPr>
                <w:rFonts w:eastAsia="Calibri"/>
                <w:sz w:val="20"/>
                <w:szCs w:val="20"/>
              </w:rPr>
            </w:pPr>
            <w:r w:rsidRPr="00E67A4C">
              <w:rPr>
                <w:rFonts w:eastAsia="Calibri"/>
                <w:caps w:val="0"/>
                <w:sz w:val="20"/>
                <w:szCs w:val="20"/>
              </w:rPr>
              <w:t xml:space="preserve">Bread </w:t>
            </w:r>
            <w:r>
              <w:rPr>
                <w:rFonts w:eastAsia="Calibri"/>
                <w:caps w:val="0"/>
                <w:sz w:val="20"/>
                <w:szCs w:val="20"/>
              </w:rPr>
              <w:t>a</w:t>
            </w:r>
            <w:r w:rsidRPr="00E67A4C">
              <w:rPr>
                <w:rFonts w:eastAsia="Calibri"/>
                <w:caps w:val="0"/>
                <w:sz w:val="20"/>
                <w:szCs w:val="20"/>
              </w:rPr>
              <w:t>nd Cake Retailing</w:t>
            </w:r>
          </w:p>
        </w:tc>
        <w:tc>
          <w:tcPr>
            <w:tcW w:w="4962" w:type="dxa"/>
          </w:tcPr>
          <w:p w14:paraId="0D229637" w14:textId="77777777" w:rsidR="00453438" w:rsidRPr="00E67A4C" w:rsidRDefault="00453438" w:rsidP="0041608F">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Sell a range of baked goods including bread, cakes, pastries and biscuits. Industry players can operate independently or as part of a franchise network. Products are made off-premises, purchased from wholesalers or supplied by franchise parent companies.</w:t>
            </w:r>
          </w:p>
        </w:tc>
        <w:tc>
          <w:tcPr>
            <w:tcW w:w="4036" w:type="dxa"/>
          </w:tcPr>
          <w:p w14:paraId="02E96BB7"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1,800 establishments</w:t>
            </w:r>
          </w:p>
          <w:p w14:paraId="4FD5F3A4"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$776m</w:t>
            </w:r>
          </w:p>
          <w:p w14:paraId="5DF0C234"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Retail Food Group Ltd</w:t>
            </w:r>
          </w:p>
        </w:tc>
        <w:tc>
          <w:tcPr>
            <w:tcW w:w="4036" w:type="dxa"/>
          </w:tcPr>
          <w:p w14:paraId="78573DBF"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Business numbers and companies unknown as included in a broader ‘specialised grocery retailing’ business type in New Zealand</w:t>
            </w:r>
          </w:p>
          <w:p w14:paraId="45E8C811" w14:textId="77777777" w:rsidR="00453438" w:rsidRPr="00E67A4C" w:rsidRDefault="00453438" w:rsidP="00FD52D0">
            <w:pPr>
              <w:pStyle w:val="ListParagraph"/>
              <w:spacing w:after="40"/>
              <w:ind w:left="360"/>
              <w:cnfStyle w:val="000000100000" w:firstRow="0" w:lastRow="0" w:firstColumn="0" w:lastColumn="0" w:oddVBand="0" w:evenVBand="0" w:oddHBand="1" w:evenHBand="0" w:firstRowFirstColumn="0" w:firstRowLastColumn="0" w:lastRowFirstColumn="0" w:lastRowLastColumn="0"/>
              <w:rPr>
                <w:rFonts w:eastAsia="Calibri"/>
                <w:sz w:val="20"/>
                <w:szCs w:val="20"/>
              </w:rPr>
            </w:pPr>
          </w:p>
        </w:tc>
      </w:tr>
      <w:tr w:rsidR="003D5688" w:rsidRPr="00E67A4C" w14:paraId="3B9C5714" w14:textId="77777777" w:rsidTr="003D5688">
        <w:tc>
          <w:tcPr>
            <w:cnfStyle w:val="001000000000" w:firstRow="0" w:lastRow="0" w:firstColumn="1" w:lastColumn="0" w:oddVBand="0" w:evenVBand="0" w:oddHBand="0" w:evenHBand="0" w:firstRowFirstColumn="0" w:firstRowLastColumn="0" w:lastRowFirstColumn="0" w:lastRowLastColumn="0"/>
            <w:tcW w:w="1701" w:type="dxa"/>
          </w:tcPr>
          <w:p w14:paraId="3C02B874" w14:textId="3D77A765" w:rsidR="003D5688" w:rsidRPr="00866F7B" w:rsidRDefault="003D5688" w:rsidP="003D5688">
            <w:pPr>
              <w:spacing w:after="40"/>
              <w:rPr>
                <w:rFonts w:eastAsia="Calibri"/>
                <w:sz w:val="20"/>
                <w:szCs w:val="20"/>
              </w:rPr>
            </w:pPr>
          </w:p>
        </w:tc>
        <w:tc>
          <w:tcPr>
            <w:tcW w:w="4962" w:type="dxa"/>
          </w:tcPr>
          <w:p w14:paraId="4F6B0DE9" w14:textId="7081C536" w:rsidR="003D5688" w:rsidRPr="00866F7B" w:rsidRDefault="003D5688" w:rsidP="003D5688">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4036" w:type="dxa"/>
          </w:tcPr>
          <w:p w14:paraId="59018054" w14:textId="1435D6E5" w:rsidR="003D5688" w:rsidRPr="00866F7B" w:rsidRDefault="003D5688" w:rsidP="003D5688">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4036" w:type="dxa"/>
          </w:tcPr>
          <w:p w14:paraId="29A50ACE" w14:textId="1A88FBF0" w:rsidR="003D5688" w:rsidRPr="00866F7B" w:rsidRDefault="003D5688" w:rsidP="003D5688">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p>
        </w:tc>
      </w:tr>
      <w:tr w:rsidR="00453438" w:rsidRPr="00E67A4C" w14:paraId="15C0FF65" w14:textId="77777777" w:rsidTr="003D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7C576B9" w14:textId="54D69AE9" w:rsidR="00453438" w:rsidRPr="00E67A4C" w:rsidRDefault="003D5688" w:rsidP="0041608F">
            <w:pPr>
              <w:spacing w:after="40"/>
              <w:rPr>
                <w:rFonts w:eastAsia="Calibri"/>
                <w:sz w:val="20"/>
                <w:szCs w:val="20"/>
              </w:rPr>
            </w:pPr>
            <w:r w:rsidRPr="00E67A4C">
              <w:rPr>
                <w:rFonts w:eastAsia="Calibri"/>
                <w:caps w:val="0"/>
                <w:sz w:val="20"/>
                <w:szCs w:val="20"/>
              </w:rPr>
              <w:t>Fuel Retailing</w:t>
            </w:r>
          </w:p>
        </w:tc>
        <w:tc>
          <w:tcPr>
            <w:tcW w:w="4962" w:type="dxa"/>
          </w:tcPr>
          <w:p w14:paraId="6D689CF4" w14:textId="77777777" w:rsidR="00453438" w:rsidRPr="00E67A4C" w:rsidRDefault="00453438" w:rsidP="0041608F">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Mainly retail automotive fuel or lubricating oils, typically at a service station. Participants also retail convenience store goods and provide services such as car washing as a supplement to fuel sales.</w:t>
            </w:r>
          </w:p>
        </w:tc>
        <w:tc>
          <w:tcPr>
            <w:tcW w:w="4036" w:type="dxa"/>
          </w:tcPr>
          <w:p w14:paraId="615A1F52"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6,500 establishments</w:t>
            </w:r>
          </w:p>
          <w:p w14:paraId="59706F2B"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$38bn</w:t>
            </w:r>
          </w:p>
          <w:p w14:paraId="4965B16B"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Coles Group Ltd; Caltex Australia Ltd; Woolworths Group; 7-Eleven Stores Pty Ltd; BP Australia Investments Pty Ltd</w:t>
            </w:r>
          </w:p>
        </w:tc>
        <w:tc>
          <w:tcPr>
            <w:tcW w:w="4036" w:type="dxa"/>
          </w:tcPr>
          <w:p w14:paraId="5D5425D1"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1,100 establishments</w:t>
            </w:r>
          </w:p>
          <w:p w14:paraId="003BBBDD"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$8bn</w:t>
            </w:r>
          </w:p>
          <w:p w14:paraId="0EA2C735"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Z Energy Ltd, BP New Zealand Holdings Ltd, Exxon Mobile New Zealand Holdings Ltd, Boran NZ Ltd</w:t>
            </w:r>
          </w:p>
        </w:tc>
      </w:tr>
      <w:tr w:rsidR="00453438" w:rsidRPr="00E67A4C" w14:paraId="5FEE1D49" w14:textId="77777777" w:rsidTr="003D5688">
        <w:tc>
          <w:tcPr>
            <w:cnfStyle w:val="001000000000" w:firstRow="0" w:lastRow="0" w:firstColumn="1" w:lastColumn="0" w:oddVBand="0" w:evenVBand="0" w:oddHBand="0" w:evenHBand="0" w:firstRowFirstColumn="0" w:firstRowLastColumn="0" w:lastRowFirstColumn="0" w:lastRowLastColumn="0"/>
            <w:tcW w:w="1701" w:type="dxa"/>
          </w:tcPr>
          <w:p w14:paraId="28127DF2" w14:textId="068B9029" w:rsidR="00453438" w:rsidRPr="00E67A4C" w:rsidRDefault="003D5688" w:rsidP="0041608F">
            <w:pPr>
              <w:spacing w:after="40"/>
              <w:rPr>
                <w:rFonts w:eastAsia="Calibri"/>
                <w:sz w:val="20"/>
                <w:szCs w:val="20"/>
              </w:rPr>
            </w:pPr>
            <w:r w:rsidRPr="00E67A4C">
              <w:rPr>
                <w:rFonts w:eastAsia="Calibri"/>
                <w:caps w:val="0"/>
                <w:sz w:val="20"/>
                <w:szCs w:val="20"/>
              </w:rPr>
              <w:t>Cinemas</w:t>
            </w:r>
          </w:p>
        </w:tc>
        <w:tc>
          <w:tcPr>
            <w:tcW w:w="4962" w:type="dxa"/>
          </w:tcPr>
          <w:p w14:paraId="6876780C" w14:textId="77777777" w:rsidR="00453438" w:rsidRPr="00E67A4C" w:rsidRDefault="00453438" w:rsidP="0041608F">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7A4C">
              <w:rPr>
                <w:sz w:val="20"/>
                <w:szCs w:val="20"/>
              </w:rPr>
              <w:t>Includes companies that are involved in screening commercial motion pictures from film or videotape. The industry includes independent and chain operators, and single-screen and multi-screen multiplexes.</w:t>
            </w:r>
          </w:p>
          <w:p w14:paraId="23E84D30" w14:textId="77777777" w:rsidR="00453438" w:rsidRPr="00E67A4C" w:rsidRDefault="00453438" w:rsidP="0041608F">
            <w:p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4036" w:type="dxa"/>
          </w:tcPr>
          <w:p w14:paraId="21E5E256"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Over 500 establishments</w:t>
            </w:r>
          </w:p>
          <w:p w14:paraId="0B28C40E"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Market size: $2bn</w:t>
            </w:r>
          </w:p>
          <w:p w14:paraId="35F5F327"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Biggest companies: Event Hospitality &amp; Entertainment Ltd; Auholdco1 Pty Ltd; Village Roadshow Ltd; Reading Entertainment Australia Pty Ltd</w:t>
            </w:r>
          </w:p>
        </w:tc>
        <w:tc>
          <w:tcPr>
            <w:tcW w:w="4036" w:type="dxa"/>
          </w:tcPr>
          <w:p w14:paraId="377DDD22"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Over 100 establishments</w:t>
            </w:r>
          </w:p>
          <w:p w14:paraId="72994381"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Market size: $255m</w:t>
            </w:r>
          </w:p>
          <w:p w14:paraId="7CBFAA1D"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Biggest companies: Amalgamated Cinema Holdings Ltd; HCH Bidco (NZ) Ltd; Reading New Zealand Ltd</w:t>
            </w:r>
          </w:p>
        </w:tc>
      </w:tr>
      <w:tr w:rsidR="00453438" w:rsidRPr="00E67A4C" w14:paraId="1D5FCDDB" w14:textId="77777777" w:rsidTr="003D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CE65202" w14:textId="59607C43" w:rsidR="00453438" w:rsidRPr="00E67A4C" w:rsidRDefault="003D5688" w:rsidP="0041608F">
            <w:pPr>
              <w:spacing w:after="40"/>
              <w:rPr>
                <w:rFonts w:eastAsia="Calibri"/>
                <w:sz w:val="20"/>
                <w:szCs w:val="20"/>
              </w:rPr>
            </w:pPr>
            <w:r w:rsidRPr="00E67A4C">
              <w:rPr>
                <w:rFonts w:eastAsia="Calibri"/>
                <w:caps w:val="0"/>
                <w:sz w:val="20"/>
                <w:szCs w:val="20"/>
              </w:rPr>
              <w:t>Catering Services</w:t>
            </w:r>
          </w:p>
          <w:p w14:paraId="3AE5046C" w14:textId="77777777" w:rsidR="00453438" w:rsidRPr="00E67A4C" w:rsidRDefault="00453438" w:rsidP="0041608F">
            <w:pPr>
              <w:spacing w:after="40"/>
              <w:rPr>
                <w:rFonts w:eastAsia="Calibri"/>
                <w:sz w:val="20"/>
                <w:szCs w:val="20"/>
              </w:rPr>
            </w:pPr>
          </w:p>
        </w:tc>
        <w:tc>
          <w:tcPr>
            <w:tcW w:w="4962" w:type="dxa"/>
          </w:tcPr>
          <w:p w14:paraId="7EE77A13" w14:textId="77777777" w:rsidR="00453438" w:rsidRPr="00E67A4C" w:rsidRDefault="00453438" w:rsidP="0041608F">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sz w:val="20"/>
                <w:szCs w:val="20"/>
              </w:rPr>
              <w:t>Primarily provide catering services at specified locations or events. Meals and snacks may be transported or prepared</w:t>
            </w:r>
            <w:r w:rsidRPr="00E67A4C">
              <w:rPr>
                <w:rFonts w:ascii="Roboto" w:hAnsi="Roboto"/>
                <w:color w:val="000000"/>
                <w:spacing w:val="4"/>
                <w:sz w:val="20"/>
                <w:szCs w:val="20"/>
                <w:shd w:val="clear" w:color="auto" w:fill="FFFFFF"/>
              </w:rPr>
              <w:t xml:space="preserve"> </w:t>
            </w:r>
            <w:r w:rsidRPr="00E67A4C">
              <w:rPr>
                <w:sz w:val="20"/>
                <w:szCs w:val="20"/>
              </w:rPr>
              <w:t>and served on or off the premises, as required by the client.</w:t>
            </w:r>
          </w:p>
        </w:tc>
        <w:tc>
          <w:tcPr>
            <w:tcW w:w="4036" w:type="dxa"/>
          </w:tcPr>
          <w:p w14:paraId="114318C0"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3,900 establishments</w:t>
            </w:r>
          </w:p>
          <w:p w14:paraId="56193C50"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$8bn</w:t>
            </w:r>
          </w:p>
          <w:p w14:paraId="212BBC9B"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Spotless Group Holdings Ltd; Compass Group (Australia) Pty Ltd; Sodexo Australia Pty Ltd</w:t>
            </w:r>
          </w:p>
        </w:tc>
        <w:tc>
          <w:tcPr>
            <w:tcW w:w="4036" w:type="dxa"/>
          </w:tcPr>
          <w:p w14:paraId="25EF3D3C"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800 establishments</w:t>
            </w:r>
          </w:p>
          <w:p w14:paraId="660CDFBE"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$788m</w:t>
            </w:r>
          </w:p>
          <w:p w14:paraId="16F057AA"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Biggest companies: LSG Sky Chefs New Zealand Ltd, Spotless Holdings (NZ) Ltd, Compass Group New Zealand Ltd</w:t>
            </w:r>
          </w:p>
        </w:tc>
      </w:tr>
      <w:tr w:rsidR="00453438" w:rsidRPr="00E67A4C" w14:paraId="406C4E6D" w14:textId="77777777" w:rsidTr="003D5688">
        <w:tc>
          <w:tcPr>
            <w:cnfStyle w:val="001000000000" w:firstRow="0" w:lastRow="0" w:firstColumn="1" w:lastColumn="0" w:oddVBand="0" w:evenVBand="0" w:oddHBand="0" w:evenHBand="0" w:firstRowFirstColumn="0" w:firstRowLastColumn="0" w:lastRowFirstColumn="0" w:lastRowLastColumn="0"/>
            <w:tcW w:w="1701" w:type="dxa"/>
          </w:tcPr>
          <w:p w14:paraId="7F690DC4" w14:textId="0220D05B" w:rsidR="00453438" w:rsidRPr="00E67A4C" w:rsidRDefault="003D5688" w:rsidP="0041608F">
            <w:pPr>
              <w:spacing w:after="40"/>
              <w:rPr>
                <w:rFonts w:eastAsia="Calibri"/>
                <w:sz w:val="20"/>
                <w:szCs w:val="20"/>
              </w:rPr>
            </w:pPr>
            <w:r w:rsidRPr="00E67A4C">
              <w:rPr>
                <w:rFonts w:eastAsia="Calibri"/>
                <w:caps w:val="0"/>
                <w:sz w:val="20"/>
                <w:szCs w:val="20"/>
              </w:rPr>
              <w:t>Pubs, Bars, Nightclubs</w:t>
            </w:r>
          </w:p>
        </w:tc>
        <w:tc>
          <w:tcPr>
            <w:tcW w:w="4962" w:type="dxa"/>
          </w:tcPr>
          <w:p w14:paraId="7C4215C8" w14:textId="77777777" w:rsidR="00453438" w:rsidRPr="00E67A4C" w:rsidRDefault="00453438" w:rsidP="0041608F">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7A4C">
              <w:rPr>
                <w:sz w:val="20"/>
                <w:szCs w:val="20"/>
              </w:rPr>
              <w:t>Operators sell alcoholic beverages for consumption either on the premises (e.g. bars) or off the premises (e.g. drive-through bottle shops). Venues sometimes also provide food service, live entertainment, and gaming and betting facilities.</w:t>
            </w:r>
          </w:p>
        </w:tc>
        <w:tc>
          <w:tcPr>
            <w:tcW w:w="4036" w:type="dxa"/>
          </w:tcPr>
          <w:p w14:paraId="0E4A83FC"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Over 7,400 establishments</w:t>
            </w:r>
          </w:p>
          <w:p w14:paraId="5BB6046E"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Market size: $18bn</w:t>
            </w:r>
          </w:p>
          <w:p w14:paraId="70D4DE67" w14:textId="77777777" w:rsidR="00453438" w:rsidRPr="00E67A4C" w:rsidRDefault="00453438" w:rsidP="00F76FDC">
            <w:pPr>
              <w:pStyle w:val="ListParagraph"/>
              <w:numPr>
                <w:ilvl w:val="0"/>
                <w:numId w:val="11"/>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Biggest companies: Woolworths Group Ltd</w:t>
            </w:r>
          </w:p>
        </w:tc>
        <w:tc>
          <w:tcPr>
            <w:tcW w:w="4036" w:type="dxa"/>
          </w:tcPr>
          <w:p w14:paraId="31650B95"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Over 1,500 establishments</w:t>
            </w:r>
          </w:p>
          <w:p w14:paraId="0C7A17D7"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Market size: $2bn</w:t>
            </w:r>
          </w:p>
          <w:p w14:paraId="42F15C3C" w14:textId="77777777" w:rsidR="00453438" w:rsidRPr="00E67A4C" w:rsidRDefault="00453438" w:rsidP="00F76FDC">
            <w:pPr>
              <w:pStyle w:val="ListParagraph"/>
              <w:numPr>
                <w:ilvl w:val="0"/>
                <w:numId w:val="10"/>
              </w:numPr>
              <w:spacing w:after="40"/>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E67A4C">
              <w:rPr>
                <w:rFonts w:eastAsia="Calibri"/>
                <w:sz w:val="20"/>
                <w:szCs w:val="20"/>
              </w:rPr>
              <w:t>No companies with dominant market share</w:t>
            </w:r>
          </w:p>
        </w:tc>
      </w:tr>
      <w:tr w:rsidR="00453438" w:rsidRPr="00E67A4C" w14:paraId="436B6907" w14:textId="77777777" w:rsidTr="003D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6098344" w14:textId="71260ED0" w:rsidR="00453438" w:rsidRPr="00E67A4C" w:rsidRDefault="003D5688" w:rsidP="0041608F">
            <w:pPr>
              <w:spacing w:after="40"/>
              <w:rPr>
                <w:rFonts w:eastAsia="Calibri"/>
                <w:sz w:val="20"/>
                <w:szCs w:val="20"/>
              </w:rPr>
            </w:pPr>
            <w:r w:rsidRPr="00E67A4C">
              <w:rPr>
                <w:rFonts w:eastAsia="Calibri"/>
                <w:caps w:val="0"/>
                <w:sz w:val="20"/>
                <w:szCs w:val="20"/>
              </w:rPr>
              <w:t>Social Clubs</w:t>
            </w:r>
          </w:p>
        </w:tc>
        <w:tc>
          <w:tcPr>
            <w:tcW w:w="4962" w:type="dxa"/>
          </w:tcPr>
          <w:p w14:paraId="05FD8F1D" w14:textId="77777777" w:rsidR="00453438" w:rsidRPr="00E67A4C" w:rsidRDefault="00453438" w:rsidP="0041608F">
            <w:p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sz w:val="20"/>
                <w:szCs w:val="20"/>
              </w:rPr>
              <w:t>Includes gambling, sporting, recreational and social (such as RSL) clubs or associations that generate income predominantly from hospitality services. Clubs that mainly provide sporting services, including racing clubs, are not included in the industry. The industry covers both licensed and unlicensed clubs, and clubs with gambling licences.</w:t>
            </w:r>
          </w:p>
        </w:tc>
        <w:tc>
          <w:tcPr>
            <w:tcW w:w="4036" w:type="dxa"/>
          </w:tcPr>
          <w:p w14:paraId="6B6802FB"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Over 6,100 establishments</w:t>
            </w:r>
          </w:p>
          <w:p w14:paraId="104740E9"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Market size: $13bn</w:t>
            </w:r>
          </w:p>
          <w:p w14:paraId="1891E983" w14:textId="77777777" w:rsidR="00453438" w:rsidRPr="00E67A4C" w:rsidRDefault="00453438" w:rsidP="00F76FDC">
            <w:pPr>
              <w:pStyle w:val="ListParagraph"/>
              <w:numPr>
                <w:ilvl w:val="0"/>
                <w:numId w:val="11"/>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No companies with dominant market share</w:t>
            </w:r>
          </w:p>
        </w:tc>
        <w:tc>
          <w:tcPr>
            <w:tcW w:w="4036" w:type="dxa"/>
          </w:tcPr>
          <w:p w14:paraId="30B80947"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Business numbers and market size unavailable</w:t>
            </w:r>
          </w:p>
          <w:p w14:paraId="1F48B599" w14:textId="77777777" w:rsidR="00453438" w:rsidRPr="00E67A4C" w:rsidRDefault="00453438" w:rsidP="00F76FDC">
            <w:pPr>
              <w:pStyle w:val="ListParagraph"/>
              <w:numPr>
                <w:ilvl w:val="0"/>
                <w:numId w:val="10"/>
              </w:numPr>
              <w:spacing w:after="40"/>
              <w:cnfStyle w:val="000000100000" w:firstRow="0" w:lastRow="0" w:firstColumn="0" w:lastColumn="0" w:oddVBand="0" w:evenVBand="0" w:oddHBand="1" w:evenHBand="0" w:firstRowFirstColumn="0" w:firstRowLastColumn="0" w:lastRowFirstColumn="0" w:lastRowLastColumn="0"/>
              <w:rPr>
                <w:rFonts w:eastAsia="Calibri"/>
                <w:sz w:val="20"/>
                <w:szCs w:val="20"/>
              </w:rPr>
            </w:pPr>
            <w:r w:rsidRPr="00E67A4C">
              <w:rPr>
                <w:rFonts w:eastAsia="Calibri"/>
                <w:sz w:val="20"/>
                <w:szCs w:val="20"/>
              </w:rPr>
              <w:t>No companies with dominant market share</w:t>
            </w:r>
          </w:p>
        </w:tc>
      </w:tr>
    </w:tbl>
    <w:p w14:paraId="1567F70F" w14:textId="77777777" w:rsidR="00453438" w:rsidRPr="00E67A4C" w:rsidRDefault="00453438" w:rsidP="0022765D"/>
    <w:p w14:paraId="33F5F957" w14:textId="77777777" w:rsidR="00605EC6" w:rsidRPr="00E67A4C" w:rsidRDefault="00605EC6">
      <w:pPr>
        <w:rPr>
          <w:rStyle w:val="Heading1Char"/>
          <w:rFonts w:ascii="Times New Roman" w:hAnsi="Times New Roman" w:cs="Times New Roman"/>
          <w:b w:val="0"/>
          <w:bCs w:val="0"/>
          <w:i/>
          <w:iCs/>
          <w:szCs w:val="28"/>
        </w:rPr>
      </w:pPr>
      <w:r w:rsidRPr="00E67A4C">
        <w:rPr>
          <w:rStyle w:val="Heading1Char"/>
          <w:rFonts w:ascii="Times New Roman" w:hAnsi="Times New Roman" w:cs="Times New Roman"/>
          <w:szCs w:val="28"/>
        </w:rPr>
        <w:br w:type="page"/>
      </w:r>
    </w:p>
    <w:p w14:paraId="6B2EF61E" w14:textId="77777777" w:rsidR="00453438" w:rsidRPr="00E67A4C" w:rsidRDefault="00453438" w:rsidP="00812051">
      <w:pPr>
        <w:pStyle w:val="Heading2"/>
        <w:rPr>
          <w:rStyle w:val="Heading1Char"/>
          <w:rFonts w:ascii="Times New Roman" w:hAnsi="Times New Roman" w:cs="Times New Roman"/>
          <w:szCs w:val="28"/>
        </w:rPr>
        <w:sectPr w:rsidR="00453438" w:rsidRPr="00E67A4C" w:rsidSect="003C34FF">
          <w:pgSz w:w="16840" w:h="11900" w:orient="landscape"/>
          <w:pgMar w:top="1418" w:right="1134" w:bottom="1418" w:left="1134" w:header="709" w:footer="397" w:gutter="0"/>
          <w:cols w:space="720"/>
        </w:sectPr>
      </w:pPr>
    </w:p>
    <w:p w14:paraId="03DFF30B" w14:textId="159154E5" w:rsidR="00BC3AEE" w:rsidRPr="00E67A4C" w:rsidRDefault="00BC3AEE" w:rsidP="00812051">
      <w:pPr>
        <w:pStyle w:val="Heading2"/>
        <w:rPr>
          <w:rStyle w:val="Heading1Char"/>
          <w:rFonts w:ascii="Times New Roman" w:hAnsi="Times New Roman" w:cs="Times New Roman"/>
          <w:b/>
          <w:bCs/>
          <w:szCs w:val="28"/>
        </w:rPr>
      </w:pPr>
      <w:bookmarkStart w:id="104" w:name="_Toc47605599"/>
      <w:bookmarkStart w:id="105" w:name="_Toc51165294"/>
      <w:bookmarkStart w:id="106" w:name="_Hlk42108715"/>
      <w:bookmarkEnd w:id="96"/>
      <w:r w:rsidRPr="00E67A4C">
        <w:rPr>
          <w:rStyle w:val="Heading1Char"/>
          <w:rFonts w:ascii="Times New Roman" w:hAnsi="Times New Roman" w:cs="Times New Roman"/>
          <w:b/>
          <w:bCs/>
          <w:szCs w:val="28"/>
        </w:rPr>
        <w:lastRenderedPageBreak/>
        <w:t xml:space="preserve">Appendix </w:t>
      </w:r>
      <w:r w:rsidR="003E2685" w:rsidRPr="00E67A4C">
        <w:rPr>
          <w:rStyle w:val="Heading1Char"/>
          <w:rFonts w:ascii="Times New Roman" w:hAnsi="Times New Roman" w:cs="Times New Roman"/>
          <w:b/>
          <w:bCs/>
          <w:szCs w:val="28"/>
        </w:rPr>
        <w:t>4</w:t>
      </w:r>
      <w:r w:rsidRPr="00E67A4C">
        <w:rPr>
          <w:rStyle w:val="Heading1Char"/>
          <w:rFonts w:ascii="Times New Roman" w:hAnsi="Times New Roman" w:cs="Times New Roman"/>
          <w:b/>
          <w:bCs/>
          <w:szCs w:val="28"/>
        </w:rPr>
        <w:t xml:space="preserve">: Draft Amended Principles for menu labelling (Option </w:t>
      </w:r>
      <w:r w:rsidR="003E2685" w:rsidRPr="00E67A4C">
        <w:rPr>
          <w:rStyle w:val="Heading1Char"/>
          <w:rFonts w:ascii="Times New Roman" w:hAnsi="Times New Roman" w:cs="Times New Roman"/>
          <w:b/>
          <w:bCs/>
          <w:szCs w:val="28"/>
        </w:rPr>
        <w:t>2</w:t>
      </w:r>
      <w:r w:rsidRPr="00E67A4C">
        <w:rPr>
          <w:rStyle w:val="Heading1Char"/>
          <w:rFonts w:ascii="Times New Roman" w:hAnsi="Times New Roman" w:cs="Times New Roman"/>
          <w:b/>
          <w:bCs/>
          <w:szCs w:val="28"/>
        </w:rPr>
        <w:t>)</w:t>
      </w:r>
      <w:bookmarkEnd w:id="104"/>
      <w:bookmarkEnd w:id="105"/>
    </w:p>
    <w:bookmarkEnd w:id="106"/>
    <w:p w14:paraId="58399C95" w14:textId="77777777" w:rsidR="00A00CAE" w:rsidRPr="00E67A4C" w:rsidRDefault="00A00CAE" w:rsidP="00A00CAE"/>
    <w:p w14:paraId="05CC9792" w14:textId="2C272DF1" w:rsidR="00A320D6" w:rsidRPr="00E67A4C" w:rsidRDefault="008A1A80" w:rsidP="008A1A80">
      <w:pPr>
        <w:spacing w:after="40"/>
        <w:jc w:val="center"/>
        <w:rPr>
          <w:b/>
          <w:bCs/>
        </w:rPr>
      </w:pPr>
      <w:r w:rsidRPr="00E67A4C">
        <w:rPr>
          <w:b/>
        </w:rPr>
        <w:t xml:space="preserve">PRINCIPLES FOR </w:t>
      </w:r>
      <w:r w:rsidR="00B8702D" w:rsidRPr="00E67A4C">
        <w:rPr>
          <w:b/>
        </w:rPr>
        <w:t>DISPLAYING AND PROVIDING ENERGY INFORMATION FOR STANDARD FOOD ITEMS AT THE POINT-OF-SALE IN STANDARD FOOD OUTLETS</w:t>
      </w:r>
      <w:r w:rsidRPr="00E67A4C">
        <w:rPr>
          <w:b/>
        </w:rPr>
        <w:t xml:space="preserve"> </w:t>
      </w:r>
      <w:r w:rsidR="007F0AC9" w:rsidRPr="00E67A4C">
        <w:rPr>
          <w:b/>
          <w:bCs/>
        </w:rPr>
        <w:t>(</w:t>
      </w:r>
      <w:r w:rsidR="00FF7957" w:rsidRPr="00E67A4C">
        <w:rPr>
          <w:b/>
          <w:bCs/>
        </w:rPr>
        <w:t>‘</w:t>
      </w:r>
      <w:r w:rsidR="007F0AC9" w:rsidRPr="00E67A4C">
        <w:rPr>
          <w:b/>
          <w:bCs/>
        </w:rPr>
        <w:t>MENU LABELLING’)</w:t>
      </w:r>
    </w:p>
    <w:p w14:paraId="77D3F932" w14:textId="77777777" w:rsidR="00340F26" w:rsidRPr="00E67A4C" w:rsidRDefault="00340F26" w:rsidP="00FE312D">
      <w:pPr>
        <w:pStyle w:val="paragraph"/>
        <w:spacing w:before="0" w:beforeAutospacing="0" w:after="0" w:afterAutospacing="0"/>
        <w:jc w:val="both"/>
        <w:textAlignment w:val="baseline"/>
        <w:rPr>
          <w:rStyle w:val="normaltextrun"/>
          <w:color w:val="000000"/>
          <w:lang w:val="en-US"/>
        </w:rPr>
      </w:pPr>
    </w:p>
    <w:p w14:paraId="6BF12A6F" w14:textId="3CCB78F3" w:rsidR="00836004" w:rsidRPr="00E67A4C" w:rsidRDefault="00A320D6" w:rsidP="00FE312D">
      <w:pPr>
        <w:pStyle w:val="paragraph"/>
        <w:spacing w:before="0" w:beforeAutospacing="0" w:after="0" w:afterAutospacing="0"/>
        <w:jc w:val="both"/>
        <w:textAlignment w:val="baseline"/>
        <w:rPr>
          <w:rStyle w:val="eop"/>
          <w:color w:val="000000"/>
        </w:rPr>
      </w:pPr>
      <w:r w:rsidRPr="00E67A4C">
        <w:rPr>
          <w:rStyle w:val="normaltextrun"/>
          <w:color w:val="000000"/>
          <w:lang w:val="en-US"/>
        </w:rPr>
        <w:t>The</w:t>
      </w:r>
      <w:r w:rsidR="008A1A80" w:rsidRPr="00E67A4C">
        <w:rPr>
          <w:rStyle w:val="normaltextrun"/>
          <w:color w:val="000000"/>
          <w:lang w:val="en-US"/>
        </w:rPr>
        <w:t>se</w:t>
      </w:r>
      <w:r w:rsidRPr="00E67A4C">
        <w:rPr>
          <w:rStyle w:val="normaltextrun"/>
          <w:color w:val="000000"/>
          <w:lang w:val="en-US"/>
        </w:rPr>
        <w:t xml:space="preserve"> principles provide direction to assist </w:t>
      </w:r>
      <w:r w:rsidR="007B4BCC" w:rsidRPr="005E2BFA">
        <w:rPr>
          <w:rStyle w:val="normaltextrun"/>
          <w:b/>
          <w:bCs/>
          <w:color w:val="000000"/>
          <w:lang w:val="en-US"/>
        </w:rPr>
        <w:t>Australian state and territory governments</w:t>
      </w:r>
      <w:r w:rsidRPr="005E2BFA">
        <w:rPr>
          <w:rStyle w:val="normaltextrun"/>
          <w:b/>
          <w:bCs/>
          <w:color w:val="000000"/>
          <w:lang w:val="en-US"/>
        </w:rPr>
        <w:t xml:space="preserve"> </w:t>
      </w:r>
      <w:r w:rsidR="007B4BCC" w:rsidRPr="005E2BFA">
        <w:rPr>
          <w:rStyle w:val="normaltextrun"/>
          <w:b/>
          <w:bCs/>
          <w:color w:val="000000"/>
          <w:lang w:val="en-US"/>
        </w:rPr>
        <w:t>and the New Zealand Government</w:t>
      </w:r>
      <w:r w:rsidR="007B4BCC" w:rsidRPr="00E67A4C">
        <w:rPr>
          <w:rStyle w:val="normaltextrun"/>
          <w:color w:val="000000"/>
          <w:lang w:val="en-US"/>
        </w:rPr>
        <w:t xml:space="preserve"> </w:t>
      </w:r>
      <w:r w:rsidRPr="00E67A4C">
        <w:rPr>
          <w:rStyle w:val="normaltextrun"/>
          <w:color w:val="000000"/>
          <w:lang w:val="en-US"/>
        </w:rPr>
        <w:t>to introduce</w:t>
      </w:r>
      <w:r w:rsidR="00C60B2B" w:rsidRPr="00E67A4C">
        <w:rPr>
          <w:rStyle w:val="normaltextrun"/>
          <w:color w:val="000000"/>
          <w:lang w:val="en-US"/>
        </w:rPr>
        <w:t xml:space="preserve"> </w:t>
      </w:r>
      <w:r w:rsidR="00E57581" w:rsidRPr="00E67A4C">
        <w:rPr>
          <w:rStyle w:val="normaltextrun"/>
          <w:color w:val="000000"/>
          <w:lang w:val="en-US"/>
        </w:rPr>
        <w:t>(</w:t>
      </w:r>
      <w:r w:rsidR="00C60B2B" w:rsidRPr="00E67A4C">
        <w:rPr>
          <w:rStyle w:val="normaltextrun"/>
          <w:color w:val="000000"/>
          <w:lang w:val="en-US"/>
        </w:rPr>
        <w:t>or update</w:t>
      </w:r>
      <w:r w:rsidR="00E57581" w:rsidRPr="00E67A4C">
        <w:rPr>
          <w:rStyle w:val="normaltextrun"/>
          <w:color w:val="000000"/>
          <w:lang w:val="en-US"/>
        </w:rPr>
        <w:t>)</w:t>
      </w:r>
      <w:r w:rsidR="00FF7957" w:rsidRPr="00E67A4C">
        <w:rPr>
          <w:rStyle w:val="normaltextrun"/>
          <w:color w:val="000000"/>
          <w:lang w:val="en-US"/>
        </w:rPr>
        <w:t xml:space="preserve"> regulation for menu labelling</w:t>
      </w:r>
      <w:r w:rsidRPr="00E67A4C">
        <w:rPr>
          <w:rStyle w:val="normaltextrun"/>
          <w:color w:val="000000"/>
          <w:lang w:val="en-US"/>
        </w:rPr>
        <w:t>.</w:t>
      </w:r>
      <w:r w:rsidRPr="00E67A4C">
        <w:rPr>
          <w:rStyle w:val="eop"/>
          <w:color w:val="000000"/>
        </w:rPr>
        <w:t> </w:t>
      </w:r>
    </w:p>
    <w:p w14:paraId="7A75A195" w14:textId="77777777" w:rsidR="00836004" w:rsidRPr="00E67A4C" w:rsidRDefault="00836004" w:rsidP="00FE312D">
      <w:pPr>
        <w:pStyle w:val="paragraph"/>
        <w:spacing w:before="0" w:beforeAutospacing="0" w:after="0" w:afterAutospacing="0"/>
        <w:jc w:val="both"/>
        <w:textAlignment w:val="baseline"/>
        <w:rPr>
          <w:rStyle w:val="eop"/>
          <w:color w:val="000000"/>
        </w:rPr>
      </w:pPr>
    </w:p>
    <w:p w14:paraId="02348839" w14:textId="76E93351" w:rsidR="009D5F36" w:rsidRPr="00E67A4C" w:rsidRDefault="009D5F36" w:rsidP="00FE312D">
      <w:pPr>
        <w:pStyle w:val="paragraph"/>
        <w:spacing w:before="0" w:beforeAutospacing="0" w:after="0" w:afterAutospacing="0"/>
        <w:jc w:val="both"/>
        <w:textAlignment w:val="baseline"/>
        <w:rPr>
          <w:rStyle w:val="eop"/>
          <w:color w:val="000000"/>
        </w:rPr>
      </w:pPr>
      <w:r w:rsidRPr="00E67A4C">
        <w:rPr>
          <w:rStyle w:val="normaltextrun"/>
          <w:color w:val="000000"/>
          <w:lang w:val="en-US"/>
        </w:rPr>
        <w:t xml:space="preserve">This guidance </w:t>
      </w:r>
      <w:r w:rsidR="006B1D7D" w:rsidRPr="00E67A4C">
        <w:rPr>
          <w:rStyle w:val="normaltextrun"/>
          <w:color w:val="000000"/>
          <w:lang w:val="en-US"/>
        </w:rPr>
        <w:t>replaces</w:t>
      </w:r>
      <w:r w:rsidRPr="00E67A4C">
        <w:rPr>
          <w:rStyle w:val="normaltextrun"/>
          <w:color w:val="000000"/>
          <w:lang w:val="en-US"/>
        </w:rPr>
        <w:t xml:space="preserve"> the Principles endorsed by the then </w:t>
      </w:r>
      <w:r w:rsidR="00C5384B" w:rsidRPr="00E67A4C">
        <w:rPr>
          <w:rStyle w:val="normaltextrun"/>
          <w:color w:val="000000"/>
          <w:lang w:val="en-US"/>
        </w:rPr>
        <w:t xml:space="preserve">Australia and New Zealand </w:t>
      </w:r>
      <w:r w:rsidRPr="00E67A4C">
        <w:rPr>
          <w:rStyle w:val="normaltextrun"/>
          <w:color w:val="000000"/>
          <w:lang w:val="en-US"/>
        </w:rPr>
        <w:t>Food Regulation Ministerial Council in 2011</w:t>
      </w:r>
      <w:r w:rsidR="00836004" w:rsidRPr="00E67A4C">
        <w:rPr>
          <w:rStyle w:val="normaltextrun"/>
          <w:color w:val="000000"/>
          <w:lang w:val="en-US"/>
        </w:rPr>
        <w:t xml:space="preserve">; and was informed by </w:t>
      </w:r>
      <w:r w:rsidRPr="00E67A4C">
        <w:rPr>
          <w:rStyle w:val="normaltextrun"/>
          <w:color w:val="000000"/>
          <w:lang w:val="en-US"/>
        </w:rPr>
        <w:t>a review of existing menu labelling schemes</w:t>
      </w:r>
      <w:r w:rsidR="007C6B54" w:rsidRPr="00E67A4C">
        <w:rPr>
          <w:rStyle w:val="normaltextrun"/>
          <w:color w:val="000000"/>
          <w:lang w:val="en-US"/>
        </w:rPr>
        <w:t xml:space="preserve"> in Australia</w:t>
      </w:r>
      <w:r w:rsidRPr="00E67A4C">
        <w:rPr>
          <w:rStyle w:val="normaltextrun"/>
          <w:color w:val="000000"/>
          <w:lang w:val="en-US"/>
        </w:rPr>
        <w:t xml:space="preserve">, and consultative processes with food industry and public health organisations. </w:t>
      </w:r>
    </w:p>
    <w:p w14:paraId="54804B6B" w14:textId="77777777" w:rsidR="009A0785" w:rsidRPr="00E67A4C" w:rsidRDefault="009A0785" w:rsidP="00A320D6">
      <w:pPr>
        <w:pStyle w:val="paragraph"/>
        <w:spacing w:before="0" w:beforeAutospacing="0" w:after="0" w:afterAutospacing="0"/>
        <w:textAlignment w:val="baseline"/>
        <w:rPr>
          <w:rStyle w:val="eop"/>
          <w:color w:val="000000"/>
        </w:rPr>
      </w:pPr>
    </w:p>
    <w:p w14:paraId="574205A2" w14:textId="2ABA6159" w:rsidR="00FE312D" w:rsidRPr="005E2BFA" w:rsidRDefault="00FE312D" w:rsidP="00A320D6">
      <w:pPr>
        <w:pStyle w:val="paragraph"/>
        <w:spacing w:before="0" w:beforeAutospacing="0" w:after="0" w:afterAutospacing="0"/>
        <w:textAlignment w:val="baseline"/>
        <w:rPr>
          <w:b/>
          <w:bCs/>
          <w:i/>
          <w:iCs/>
        </w:rPr>
      </w:pPr>
      <w:r w:rsidRPr="005E2BFA">
        <w:rPr>
          <w:b/>
          <w:bCs/>
          <w:i/>
          <w:iCs/>
        </w:rPr>
        <w:t>Context:</w:t>
      </w:r>
    </w:p>
    <w:p w14:paraId="39238BCE" w14:textId="4EBBE432" w:rsidR="00E57581" w:rsidRPr="00E67A4C" w:rsidRDefault="00E57581" w:rsidP="00E57581">
      <w:pPr>
        <w:pStyle w:val="Default"/>
        <w:spacing w:after="40"/>
        <w:jc w:val="both"/>
        <w:rPr>
          <w:vertAlign w:val="superscript"/>
        </w:rPr>
      </w:pPr>
      <w:r w:rsidRPr="00E67A4C">
        <w:t>Increasingly, people are choosing ready-to-eat meals and snacks, rather than choosing food prepared at home.</w:t>
      </w:r>
      <w:r w:rsidRPr="00E67A4C">
        <w:rPr>
          <w:vertAlign w:val="superscript"/>
        </w:rPr>
        <w:t xml:space="preserve">1-3 </w:t>
      </w:r>
      <w:r w:rsidRPr="00E67A4C">
        <w:t xml:space="preserve">How a food is labelled may influence choice, with food labelling providing useful information to support consumers in making dietary (e.g. </w:t>
      </w:r>
      <w:r w:rsidR="00861CBA" w:rsidRPr="00E67A4C">
        <w:t xml:space="preserve">what or </w:t>
      </w:r>
      <w:r w:rsidRPr="00E67A4C">
        <w:t>how much to eat) or shopping-based (e.g. comparing products) decisions.</w:t>
      </w:r>
      <w:r w:rsidRPr="00E67A4C">
        <w:rPr>
          <w:vertAlign w:val="superscript"/>
        </w:rPr>
        <w:t>4</w:t>
      </w:r>
      <w:r w:rsidRPr="00E67A4C">
        <w:t xml:space="preserve"> A food label’s content, format and context contributes to its usefulness.</w:t>
      </w:r>
      <w:r w:rsidRPr="00E67A4C">
        <w:rPr>
          <w:vertAlign w:val="superscript"/>
        </w:rPr>
        <w:t>4</w:t>
      </w:r>
    </w:p>
    <w:p w14:paraId="23B7264B" w14:textId="77777777" w:rsidR="00E57581" w:rsidRPr="00E67A4C" w:rsidRDefault="00E57581" w:rsidP="00E57581">
      <w:pPr>
        <w:pStyle w:val="Default"/>
        <w:spacing w:after="40"/>
        <w:jc w:val="both"/>
        <w:rPr>
          <w:vertAlign w:val="superscript"/>
        </w:rPr>
      </w:pPr>
    </w:p>
    <w:p w14:paraId="2EAECAF0" w14:textId="0744253E" w:rsidR="00E57581" w:rsidRPr="00E67A4C" w:rsidRDefault="00E57581" w:rsidP="00E57581">
      <w:pPr>
        <w:pStyle w:val="Default"/>
        <w:spacing w:after="40"/>
        <w:jc w:val="both"/>
      </w:pPr>
      <w:r w:rsidRPr="00E67A4C">
        <w:t>Information on the energy contribution of ready-to-eat food may support people to make more informed purchasing decisions. Information about the overall daily energy intake is also necessary so that consumers have a point of reference to help understand the contribution of individual food items to overall energy intake.</w:t>
      </w:r>
      <w:r w:rsidR="00FE312D" w:rsidRPr="00E67A4C">
        <w:t xml:space="preserve"> </w:t>
      </w:r>
      <w:r w:rsidRPr="00E67A4C">
        <w:t xml:space="preserve">Many ready-to-eat meals and snacks are not required to bear a food label, and therefore lack information about energy content. Menu labelling is one approach for providing energy information to consumers for these foods. </w:t>
      </w:r>
    </w:p>
    <w:p w14:paraId="5301F24C" w14:textId="77777777" w:rsidR="00E26C48" w:rsidRPr="00E67A4C" w:rsidRDefault="00E26C48" w:rsidP="00E57581">
      <w:pPr>
        <w:pStyle w:val="Default"/>
        <w:spacing w:after="40"/>
        <w:jc w:val="both"/>
      </w:pPr>
    </w:p>
    <w:p w14:paraId="3747CBA6" w14:textId="612976FD" w:rsidR="00E26C48" w:rsidRPr="005E2BFA" w:rsidRDefault="00E26C48" w:rsidP="005E2BFA">
      <w:pPr>
        <w:pStyle w:val="paragraph"/>
        <w:spacing w:before="0" w:beforeAutospacing="0" w:after="0" w:afterAutospacing="0"/>
        <w:textAlignment w:val="baseline"/>
        <w:rPr>
          <w:b/>
          <w:bCs/>
          <w:i/>
          <w:iCs/>
        </w:rPr>
      </w:pPr>
      <w:r w:rsidRPr="005E2BFA">
        <w:rPr>
          <w:b/>
          <w:bCs/>
          <w:i/>
          <w:iCs/>
        </w:rPr>
        <w:t>Aim:</w:t>
      </w:r>
    </w:p>
    <w:p w14:paraId="259B7E60" w14:textId="465F317E" w:rsidR="00E26C48" w:rsidRPr="00E67A4C" w:rsidRDefault="00E26C48" w:rsidP="00E26C48">
      <w:pPr>
        <w:pStyle w:val="ListParagraph"/>
        <w:tabs>
          <w:tab w:val="left" w:pos="567"/>
        </w:tabs>
        <w:spacing w:after="40"/>
        <w:ind w:left="0"/>
        <w:contextualSpacing w:val="0"/>
        <w:jc w:val="both"/>
      </w:pPr>
      <w:r w:rsidRPr="00E67A4C">
        <w:t xml:space="preserve">The intent of these principles is to </w:t>
      </w:r>
      <w:r w:rsidR="00B6212E" w:rsidRPr="00E67A4C">
        <w:t xml:space="preserve">enable a consistent approach to menu labelling and: </w:t>
      </w:r>
    </w:p>
    <w:p w14:paraId="5559F44D" w14:textId="4BBAEED6" w:rsidR="00E26C48" w:rsidRPr="00E67A4C" w:rsidRDefault="00E26C48" w:rsidP="00FD52D0">
      <w:pPr>
        <w:pStyle w:val="Default"/>
        <w:numPr>
          <w:ilvl w:val="0"/>
          <w:numId w:val="29"/>
        </w:numPr>
        <w:spacing w:after="40"/>
        <w:jc w:val="both"/>
      </w:pPr>
      <w:r w:rsidRPr="00E67A4C">
        <w:t xml:space="preserve">prevent the proliferation of different menu labelling systems; </w:t>
      </w:r>
    </w:p>
    <w:p w14:paraId="3BF3FCFC" w14:textId="5D6970B7" w:rsidR="00A83E8B" w:rsidRPr="00E67A4C" w:rsidRDefault="00A83E8B" w:rsidP="00FD52D0">
      <w:pPr>
        <w:pStyle w:val="Default"/>
        <w:numPr>
          <w:ilvl w:val="0"/>
          <w:numId w:val="29"/>
        </w:numPr>
        <w:spacing w:after="40"/>
        <w:jc w:val="both"/>
      </w:pPr>
      <w:r w:rsidRPr="00E67A4C">
        <w:t>creates a level playing field (with respect to menu labelling) for all standard food outlets that sell standard food items; and</w:t>
      </w:r>
    </w:p>
    <w:p w14:paraId="1A3D2245" w14:textId="017ED479" w:rsidR="00A83E8B" w:rsidRPr="00E67A4C" w:rsidRDefault="00A83E8B" w:rsidP="00FD52D0">
      <w:pPr>
        <w:pStyle w:val="Default"/>
        <w:numPr>
          <w:ilvl w:val="0"/>
          <w:numId w:val="29"/>
        </w:numPr>
        <w:spacing w:after="40"/>
        <w:jc w:val="both"/>
      </w:pPr>
      <w:r w:rsidRPr="00E67A4C">
        <w:t>ensures that different modes of sale (e.g. in-store, online, third-party providers) and types of menus (e.g. digital menu panels, paper menus, menu boards, online menus) enable comparison of menu options to assist people to make healthier food purchase choices at the point-of-sale.</w:t>
      </w:r>
    </w:p>
    <w:p w14:paraId="74279F37" w14:textId="77777777" w:rsidR="00E26C48" w:rsidRPr="00E67A4C" w:rsidRDefault="00E26C48" w:rsidP="00A320D6">
      <w:pPr>
        <w:pStyle w:val="paragraph"/>
        <w:spacing w:before="0" w:beforeAutospacing="0" w:after="0" w:afterAutospacing="0"/>
        <w:textAlignment w:val="baseline"/>
        <w:rPr>
          <w:rFonts w:ascii="Segoe UI" w:hAnsi="Segoe UI" w:cs="Segoe UI"/>
          <w:color w:val="000000"/>
          <w:sz w:val="18"/>
          <w:szCs w:val="18"/>
        </w:rPr>
      </w:pPr>
    </w:p>
    <w:p w14:paraId="48F91582" w14:textId="276A6B28" w:rsidR="001F2C40" w:rsidRPr="005E2BFA" w:rsidRDefault="001F2C40" w:rsidP="005E2BFA">
      <w:pPr>
        <w:pStyle w:val="paragraph"/>
        <w:spacing w:before="0" w:beforeAutospacing="0" w:after="0" w:afterAutospacing="0"/>
        <w:textAlignment w:val="baseline"/>
        <w:rPr>
          <w:b/>
          <w:bCs/>
          <w:i/>
          <w:iCs/>
        </w:rPr>
      </w:pPr>
      <w:r w:rsidRPr="005E2BFA">
        <w:rPr>
          <w:b/>
          <w:bCs/>
          <w:i/>
          <w:iCs/>
        </w:rPr>
        <w:t>Scope:</w:t>
      </w:r>
    </w:p>
    <w:p w14:paraId="16BAFA6A" w14:textId="6BFC7DD9" w:rsidR="001F2C40" w:rsidRDefault="00C506D9" w:rsidP="001F2C40">
      <w:pPr>
        <w:pStyle w:val="Default"/>
        <w:spacing w:after="40"/>
        <w:jc w:val="both"/>
      </w:pPr>
      <w:r w:rsidRPr="00E67A4C">
        <w:rPr>
          <w:i/>
          <w:iCs/>
        </w:rPr>
        <w:t>In scope</w:t>
      </w:r>
      <w:r w:rsidRPr="00E67A4C">
        <w:t xml:space="preserve">: </w:t>
      </w:r>
      <w:r w:rsidR="001F2C40" w:rsidRPr="00E67A4C">
        <w:t xml:space="preserve">Information about the energy content for standardised ready-to-eat food and drinks (i.e. products not already required to bear a label by the Food Standards Code) on menus at the point-of-sale to allow consumers to compare the energy value of menu items before committing to a purchase. </w:t>
      </w:r>
    </w:p>
    <w:p w14:paraId="5074D96E" w14:textId="77777777" w:rsidR="005E2BFA" w:rsidRPr="00E67A4C" w:rsidRDefault="005E2BFA" w:rsidP="001F2C40">
      <w:pPr>
        <w:pStyle w:val="Default"/>
        <w:spacing w:after="40"/>
        <w:jc w:val="both"/>
      </w:pPr>
    </w:p>
    <w:p w14:paraId="1DED4AE2" w14:textId="37A4FB92" w:rsidR="001F2C40" w:rsidRPr="00E67A4C" w:rsidRDefault="001F2C40" w:rsidP="001F2C40">
      <w:pPr>
        <w:pStyle w:val="Default"/>
        <w:spacing w:after="40"/>
        <w:jc w:val="both"/>
      </w:pPr>
      <w:r w:rsidRPr="005E2BFA">
        <w:rPr>
          <w:i/>
          <w:iCs/>
          <w:color w:val="auto"/>
        </w:rPr>
        <w:t>Out-of-scope</w:t>
      </w:r>
      <w:r w:rsidR="00C506D9" w:rsidRPr="005E2BFA">
        <w:rPr>
          <w:i/>
          <w:iCs/>
          <w:color w:val="auto"/>
        </w:rPr>
        <w:t>:</w:t>
      </w:r>
      <w:r w:rsidR="00C506D9" w:rsidRPr="00E67A4C">
        <w:t xml:space="preserve"> E</w:t>
      </w:r>
      <w:r w:rsidRPr="00E67A4C">
        <w:t>nergy labelling on the product packaging of standard food items, and the composition of standard food items. Pre-packaged items which have a nutritional information panel, unless sold as part of a combination meal.</w:t>
      </w:r>
    </w:p>
    <w:p w14:paraId="353EE58D" w14:textId="05E54780" w:rsidR="001F2C40" w:rsidRDefault="001F2C40" w:rsidP="00A320D6">
      <w:pPr>
        <w:pStyle w:val="paragraph"/>
        <w:spacing w:before="0" w:beforeAutospacing="0" w:after="0" w:afterAutospacing="0"/>
        <w:textAlignment w:val="baseline"/>
        <w:rPr>
          <w:rFonts w:ascii="Segoe UI" w:hAnsi="Segoe UI" w:cs="Segoe UI"/>
          <w:color w:val="000000"/>
          <w:sz w:val="18"/>
          <w:szCs w:val="18"/>
        </w:rPr>
      </w:pPr>
    </w:p>
    <w:p w14:paraId="2E9AF699" w14:textId="02808912" w:rsidR="00A320D6" w:rsidRPr="005E2BFA" w:rsidRDefault="007F0AC9" w:rsidP="00A320D6">
      <w:pPr>
        <w:pStyle w:val="paragraph"/>
        <w:spacing w:before="0" w:beforeAutospacing="0" w:after="0" w:afterAutospacing="0"/>
        <w:textAlignment w:val="baseline"/>
        <w:rPr>
          <w:b/>
          <w:bCs/>
          <w:i/>
          <w:iCs/>
        </w:rPr>
      </w:pPr>
      <w:r w:rsidRPr="005E2BFA">
        <w:rPr>
          <w:b/>
          <w:bCs/>
          <w:i/>
          <w:iCs/>
        </w:rPr>
        <w:t>Guiding principles:</w:t>
      </w:r>
    </w:p>
    <w:p w14:paraId="1C610E91" w14:textId="77777777" w:rsidR="006267A4" w:rsidRPr="00E67A4C" w:rsidRDefault="006267A4" w:rsidP="00F76FDC">
      <w:pPr>
        <w:pStyle w:val="ListParagraph"/>
        <w:numPr>
          <w:ilvl w:val="0"/>
          <w:numId w:val="23"/>
        </w:numPr>
        <w:tabs>
          <w:tab w:val="left" w:pos="567"/>
        </w:tabs>
        <w:spacing w:after="40"/>
        <w:jc w:val="both"/>
      </w:pPr>
      <w:r w:rsidRPr="00E67A4C">
        <w:t>Menu labelling should:</w:t>
      </w:r>
    </w:p>
    <w:p w14:paraId="52788B0B" w14:textId="77777777"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lastRenderedPageBreak/>
        <w:t>Enable consumers to make comparisons between standard food items (including within and between categories) and therefore make informed choices at the point-of-sale.</w:t>
      </w:r>
    </w:p>
    <w:p w14:paraId="757B11F0" w14:textId="77777777"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t>Provide consumers with energy information for all standard food items, combination meals and multi-serve items on menus and/or at the point-of-sale; and for dietary context, provide the average adult daily energy intake at the point-of-sale.</w:t>
      </w:r>
    </w:p>
    <w:p w14:paraId="0D6C2870" w14:textId="0FB41AEB" w:rsidR="006267A4" w:rsidRPr="00E67A4C" w:rsidRDefault="008559AD" w:rsidP="00E448FA">
      <w:pPr>
        <w:pStyle w:val="ListParagraph"/>
        <w:numPr>
          <w:ilvl w:val="1"/>
          <w:numId w:val="17"/>
        </w:numPr>
        <w:tabs>
          <w:tab w:val="left" w:pos="567"/>
        </w:tabs>
        <w:spacing w:after="40"/>
        <w:ind w:left="851" w:hanging="284"/>
        <w:contextualSpacing w:val="0"/>
        <w:jc w:val="both"/>
      </w:pPr>
      <w:r w:rsidRPr="00E67A4C">
        <w:t>E</w:t>
      </w:r>
      <w:r w:rsidR="006267A4" w:rsidRPr="00E67A4C">
        <w:t>nsur</w:t>
      </w:r>
      <w:r w:rsidRPr="00E67A4C">
        <w:t>e</w:t>
      </w:r>
      <w:r w:rsidR="006267A4" w:rsidRPr="00E67A4C">
        <w:t xml:space="preserve"> that energy information </w:t>
      </w:r>
      <w:r w:rsidRPr="00E67A4C">
        <w:t xml:space="preserve">provided </w:t>
      </w:r>
      <w:r w:rsidR="006267A4" w:rsidRPr="00E67A4C">
        <w:t xml:space="preserve">is available, clear, legible, and easy-to-read and </w:t>
      </w:r>
      <w:r w:rsidRPr="00E67A4C">
        <w:t>understand</w:t>
      </w:r>
      <w:r w:rsidR="006267A4" w:rsidRPr="00E67A4C">
        <w:t xml:space="preserve"> at-a-glance. </w:t>
      </w:r>
    </w:p>
    <w:p w14:paraId="09581B18" w14:textId="33B06775"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t xml:space="preserve">Enable consumers to access energy information for </w:t>
      </w:r>
      <w:r w:rsidR="00B27013" w:rsidRPr="00E67A4C">
        <w:t>standardised ingredients which can be used to customise standard</w:t>
      </w:r>
      <w:r w:rsidR="00112D6A" w:rsidRPr="00E67A4C">
        <w:t xml:space="preserve"> food</w:t>
      </w:r>
      <w:r w:rsidRPr="00E67A4C">
        <w:t xml:space="preserve"> items</w:t>
      </w:r>
      <w:r w:rsidR="00062A48" w:rsidRPr="00E67A4C">
        <w:t xml:space="preserve"> </w:t>
      </w:r>
      <w:r w:rsidR="00C10EE9" w:rsidRPr="00E67A4C">
        <w:t xml:space="preserve">or </w:t>
      </w:r>
      <w:r w:rsidR="00062A48" w:rsidRPr="00E67A4C">
        <w:t xml:space="preserve">can </w:t>
      </w:r>
      <w:r w:rsidR="00BF0A97" w:rsidRPr="00E67A4C">
        <w:t>be combined to make customised menu items</w:t>
      </w:r>
      <w:r w:rsidRPr="00E67A4C">
        <w:t xml:space="preserve">. </w:t>
      </w:r>
    </w:p>
    <w:p w14:paraId="33BE5191" w14:textId="77777777" w:rsidR="00FE312D" w:rsidRPr="00E67A4C" w:rsidRDefault="00FE312D" w:rsidP="006267A4">
      <w:pPr>
        <w:tabs>
          <w:tab w:val="left" w:pos="567"/>
        </w:tabs>
        <w:spacing w:after="40"/>
        <w:jc w:val="both"/>
      </w:pPr>
    </w:p>
    <w:p w14:paraId="64836664" w14:textId="77777777" w:rsidR="006267A4" w:rsidRPr="00E67A4C" w:rsidRDefault="006267A4" w:rsidP="00F76FDC">
      <w:pPr>
        <w:pStyle w:val="ListParagraph"/>
        <w:numPr>
          <w:ilvl w:val="0"/>
          <w:numId w:val="23"/>
        </w:numPr>
        <w:tabs>
          <w:tab w:val="left" w:pos="567"/>
        </w:tabs>
        <w:spacing w:after="40"/>
        <w:jc w:val="both"/>
      </w:pPr>
      <w:r w:rsidRPr="00E67A4C">
        <w:t>Menu labelling regulation should:</w:t>
      </w:r>
    </w:p>
    <w:p w14:paraId="1FFBFE78" w14:textId="77777777"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t xml:space="preserve">Promote equity for regulatory requirements across standard food outlets. </w:t>
      </w:r>
    </w:p>
    <w:p w14:paraId="0F67412E" w14:textId="77777777" w:rsidR="007579B9" w:rsidRPr="00E67A4C" w:rsidRDefault="006267A4" w:rsidP="00E448FA">
      <w:pPr>
        <w:pStyle w:val="ListParagraph"/>
        <w:numPr>
          <w:ilvl w:val="1"/>
          <w:numId w:val="17"/>
        </w:numPr>
        <w:tabs>
          <w:tab w:val="left" w:pos="567"/>
        </w:tabs>
        <w:spacing w:after="40"/>
        <w:ind w:left="851" w:hanging="284"/>
        <w:contextualSpacing w:val="0"/>
        <w:jc w:val="both"/>
      </w:pPr>
      <w:r w:rsidRPr="00E67A4C">
        <w:t>Enable other businesses to voluntarily display energy information in a manner consistent with the requirements for standard food outlets.</w:t>
      </w:r>
    </w:p>
    <w:p w14:paraId="5206D515" w14:textId="1E644DA7" w:rsidR="007579B9" w:rsidRPr="00E67A4C" w:rsidRDefault="007579B9" w:rsidP="00E448FA">
      <w:pPr>
        <w:pStyle w:val="ListParagraph"/>
        <w:numPr>
          <w:ilvl w:val="1"/>
          <w:numId w:val="17"/>
        </w:numPr>
        <w:tabs>
          <w:tab w:val="left" w:pos="567"/>
        </w:tabs>
        <w:spacing w:after="40"/>
        <w:ind w:left="851" w:hanging="284"/>
        <w:contextualSpacing w:val="0"/>
        <w:jc w:val="both"/>
      </w:pPr>
      <w:r w:rsidRPr="00E67A4C">
        <w:t>Be complemented by promotional strategies that increase consumer understanding of kilojoules and how to use menu labelling within the broader context of healthy eating and energy balance; and encourage consumers to make healthier ready-to-eat food choices.</w:t>
      </w:r>
    </w:p>
    <w:p w14:paraId="68ADB377" w14:textId="77777777" w:rsidR="008A1A80" w:rsidRPr="00E67A4C" w:rsidRDefault="008A1A80" w:rsidP="008A1A80">
      <w:pPr>
        <w:pStyle w:val="ListParagraph"/>
        <w:tabs>
          <w:tab w:val="left" w:pos="567"/>
        </w:tabs>
        <w:spacing w:after="40"/>
        <w:ind w:left="1080"/>
        <w:contextualSpacing w:val="0"/>
        <w:jc w:val="both"/>
      </w:pPr>
    </w:p>
    <w:p w14:paraId="16D6083E" w14:textId="79D77608" w:rsidR="006267A4" w:rsidRPr="00E67A4C" w:rsidRDefault="006B2CFB" w:rsidP="00F76FDC">
      <w:pPr>
        <w:pStyle w:val="ListParagraph"/>
        <w:numPr>
          <w:ilvl w:val="0"/>
          <w:numId w:val="23"/>
        </w:numPr>
        <w:tabs>
          <w:tab w:val="left" w:pos="567"/>
        </w:tabs>
        <w:spacing w:after="40"/>
        <w:jc w:val="both"/>
      </w:pPr>
      <w:r w:rsidRPr="00E67A4C">
        <w:t xml:space="preserve">Menu labelling </w:t>
      </w:r>
      <w:r w:rsidR="007579B9" w:rsidRPr="00E67A4C">
        <w:t xml:space="preserve">initiatives </w:t>
      </w:r>
      <w:r w:rsidRPr="00E67A4C">
        <w:t>should be evaluated</w:t>
      </w:r>
      <w:r w:rsidR="00FD6C90" w:rsidRPr="00E67A4C">
        <w:t>. Any evaluation should:</w:t>
      </w:r>
    </w:p>
    <w:p w14:paraId="57DB76A1" w14:textId="77777777"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t>Assess whether displaying nutrition information such as the amount of added sugars, sodium, saturated fat, alcohol, and/or other nutrients, would assist people to make healthier choices.</w:t>
      </w:r>
    </w:p>
    <w:p w14:paraId="1962D050" w14:textId="77777777"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t xml:space="preserve">Consider the impacts of any promotional approaches on consumer behaviour and health outcomes. </w:t>
      </w:r>
    </w:p>
    <w:p w14:paraId="7EDE4E06" w14:textId="37CCED5E"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t>Be informed by emerging evidence of the impacts of menu labelling in Australia and New Zealand as well as the regulation of menu labelling in</w:t>
      </w:r>
      <w:r w:rsidR="00E448FA" w:rsidRPr="00E67A4C">
        <w:t xml:space="preserve"> other</w:t>
      </w:r>
      <w:r w:rsidRPr="00E67A4C">
        <w:t xml:space="preserve"> jurisdictions.</w:t>
      </w:r>
    </w:p>
    <w:p w14:paraId="31642887" w14:textId="77777777"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t>Use a coordinated, collaborative bi-national approach to evaluation for consistency and to maximise the outputs from limited resources.</w:t>
      </w:r>
    </w:p>
    <w:p w14:paraId="6A738FB1" w14:textId="77777777" w:rsidR="006267A4" w:rsidRPr="00E67A4C" w:rsidRDefault="006267A4" w:rsidP="00E448FA">
      <w:pPr>
        <w:pStyle w:val="ListParagraph"/>
        <w:numPr>
          <w:ilvl w:val="1"/>
          <w:numId w:val="17"/>
        </w:numPr>
        <w:tabs>
          <w:tab w:val="left" w:pos="567"/>
        </w:tabs>
        <w:spacing w:after="40"/>
        <w:ind w:left="851" w:hanging="284"/>
        <w:contextualSpacing w:val="0"/>
        <w:jc w:val="both"/>
      </w:pPr>
      <w:r w:rsidRPr="00E67A4C">
        <w:t>Be informed by consultation with stakeholders.</w:t>
      </w:r>
    </w:p>
    <w:p w14:paraId="69C4CADD" w14:textId="6E5C7288" w:rsidR="00A320D6" w:rsidRPr="00E67A4C" w:rsidRDefault="00A320D6" w:rsidP="00FE312D">
      <w:pPr>
        <w:tabs>
          <w:tab w:val="left" w:pos="567"/>
        </w:tabs>
        <w:spacing w:after="40"/>
        <w:jc w:val="both"/>
      </w:pPr>
    </w:p>
    <w:p w14:paraId="580A2A2E" w14:textId="0956E93F" w:rsidR="00FE312D" w:rsidRPr="00E67A4C" w:rsidRDefault="00FE312D" w:rsidP="00FE312D">
      <w:pPr>
        <w:pStyle w:val="paragraph"/>
        <w:spacing w:before="0" w:beforeAutospacing="0" w:after="0" w:afterAutospacing="0"/>
        <w:textAlignment w:val="baseline"/>
        <w:rPr>
          <w:rStyle w:val="eop"/>
          <w:color w:val="000000"/>
        </w:rPr>
      </w:pPr>
      <w:r w:rsidRPr="005E2BFA">
        <w:rPr>
          <w:b/>
          <w:bCs/>
          <w:i/>
          <w:iCs/>
        </w:rPr>
        <w:t>Definitions:</w:t>
      </w:r>
    </w:p>
    <w:p w14:paraId="0D10DB6B" w14:textId="444BF78D" w:rsidR="00E26C48" w:rsidRPr="00E67A4C" w:rsidRDefault="00453DB6" w:rsidP="00453DB6">
      <w:pPr>
        <w:tabs>
          <w:tab w:val="left" w:pos="567"/>
        </w:tabs>
        <w:spacing w:after="40"/>
        <w:jc w:val="both"/>
      </w:pPr>
      <w:r w:rsidRPr="00E67A4C">
        <w:t xml:space="preserve">Definitions have been developed to inform the drafting of </w:t>
      </w:r>
      <w:r w:rsidR="00B8702D" w:rsidRPr="00E67A4C">
        <w:t xml:space="preserve">jurisdictional </w:t>
      </w:r>
      <w:r w:rsidRPr="00E67A4C">
        <w:t>legislation to enable a nationally consistent approach. </w:t>
      </w:r>
    </w:p>
    <w:p w14:paraId="63CC7C7B" w14:textId="77777777" w:rsidR="00FD6C90" w:rsidRPr="00E67A4C" w:rsidRDefault="00FD6C90" w:rsidP="00F76FDC">
      <w:pPr>
        <w:pStyle w:val="ListParagraph"/>
        <w:numPr>
          <w:ilvl w:val="0"/>
          <w:numId w:val="18"/>
        </w:numPr>
        <w:tabs>
          <w:tab w:val="left" w:pos="567"/>
        </w:tabs>
        <w:spacing w:after="40"/>
        <w:contextualSpacing w:val="0"/>
        <w:jc w:val="both"/>
      </w:pPr>
      <w:r w:rsidRPr="00E67A4C">
        <w:rPr>
          <w:b/>
        </w:rPr>
        <w:t>Menu labelling</w:t>
      </w:r>
      <w:r w:rsidRPr="00E67A4C">
        <w:t xml:space="preserve">: energy information for standard food items on menus at the point-of-sale. </w:t>
      </w:r>
    </w:p>
    <w:p w14:paraId="36D06947" w14:textId="77777777" w:rsidR="00FD6C90" w:rsidRPr="00E67A4C" w:rsidRDefault="00FD6C90" w:rsidP="00F76FDC">
      <w:pPr>
        <w:pStyle w:val="ListParagraph"/>
        <w:numPr>
          <w:ilvl w:val="0"/>
          <w:numId w:val="18"/>
        </w:numPr>
        <w:tabs>
          <w:tab w:val="left" w:pos="567"/>
        </w:tabs>
        <w:spacing w:after="40"/>
        <w:contextualSpacing w:val="0"/>
        <w:jc w:val="both"/>
      </w:pPr>
      <w:r w:rsidRPr="00E67A4C">
        <w:rPr>
          <w:b/>
        </w:rPr>
        <w:t>Energy information</w:t>
      </w:r>
      <w:r w:rsidRPr="00E67A4C">
        <w:t>: the average energy content of standard food items (expressed as kilojoules per item).</w:t>
      </w:r>
    </w:p>
    <w:p w14:paraId="7463A686" w14:textId="305899D9" w:rsidR="00FD6C90" w:rsidRPr="00E67A4C" w:rsidRDefault="00FD6C90" w:rsidP="00F76FDC">
      <w:pPr>
        <w:pStyle w:val="ListParagraph"/>
        <w:numPr>
          <w:ilvl w:val="0"/>
          <w:numId w:val="18"/>
        </w:numPr>
        <w:tabs>
          <w:tab w:val="left" w:pos="567"/>
        </w:tabs>
        <w:spacing w:after="40"/>
        <w:contextualSpacing w:val="0"/>
        <w:jc w:val="both"/>
      </w:pPr>
      <w:r w:rsidRPr="00E67A4C">
        <w:rPr>
          <w:b/>
        </w:rPr>
        <w:t>Average daily energy intake</w:t>
      </w:r>
      <w:r w:rsidRPr="00E67A4C">
        <w:t xml:space="preserve">: a reference statement expressed as </w:t>
      </w:r>
      <w:r w:rsidRPr="00E67A4C">
        <w:rPr>
          <w:i/>
        </w:rPr>
        <w:t>the average adult daily energy intake is 8700kJ</w:t>
      </w:r>
      <w:r w:rsidRPr="00E67A4C">
        <w:t>.</w:t>
      </w:r>
      <w:r w:rsidR="00D86ADC" w:rsidRPr="00E67A4C">
        <w:rPr>
          <w:vertAlign w:val="superscript"/>
        </w:rPr>
        <w:t>5</w:t>
      </w:r>
    </w:p>
    <w:p w14:paraId="2DF86BCD" w14:textId="77777777" w:rsidR="00FD6C90" w:rsidRPr="00E67A4C" w:rsidRDefault="00FD6C90" w:rsidP="00F76FDC">
      <w:pPr>
        <w:pStyle w:val="ListParagraph"/>
        <w:numPr>
          <w:ilvl w:val="0"/>
          <w:numId w:val="18"/>
        </w:numPr>
        <w:tabs>
          <w:tab w:val="left" w:pos="567"/>
        </w:tabs>
        <w:spacing w:after="40"/>
        <w:contextualSpacing w:val="0"/>
        <w:jc w:val="both"/>
      </w:pPr>
      <w:r w:rsidRPr="00E67A4C">
        <w:rPr>
          <w:b/>
        </w:rPr>
        <w:t>Point-of-sale</w:t>
      </w:r>
      <w:r w:rsidRPr="00E67A4C">
        <w:t xml:space="preserve">: the place where a customer orders and purchases ready-to-eat food, (places include checkouts, drive-through facilities and self-service devices within physical premises; and electronic sales point via business websites and mobile applications and third-party food delivery platforms).  </w:t>
      </w:r>
    </w:p>
    <w:p w14:paraId="2E4C5A89" w14:textId="77777777" w:rsidR="00FD6C90" w:rsidRPr="00E67A4C" w:rsidRDefault="00FD6C90" w:rsidP="00F76FDC">
      <w:pPr>
        <w:pStyle w:val="ListParagraph"/>
        <w:numPr>
          <w:ilvl w:val="0"/>
          <w:numId w:val="18"/>
        </w:numPr>
        <w:tabs>
          <w:tab w:val="left" w:pos="567"/>
        </w:tabs>
        <w:spacing w:after="40"/>
        <w:contextualSpacing w:val="0"/>
        <w:jc w:val="both"/>
      </w:pPr>
      <w:r w:rsidRPr="00E67A4C">
        <w:rPr>
          <w:b/>
        </w:rPr>
        <w:t>Category</w:t>
      </w:r>
      <w:r w:rsidRPr="00E67A4C">
        <w:rPr>
          <w:bCs/>
        </w:rPr>
        <w:t xml:space="preserve">: a type or group of standard food items, for example burgers, sandwiches, beverages, sides, desserts. </w:t>
      </w:r>
    </w:p>
    <w:p w14:paraId="423A030D" w14:textId="77777777" w:rsidR="00FD6C90" w:rsidRPr="00E67A4C" w:rsidRDefault="00FD6C90" w:rsidP="00F76FDC">
      <w:pPr>
        <w:pStyle w:val="ListParagraph"/>
        <w:numPr>
          <w:ilvl w:val="0"/>
          <w:numId w:val="18"/>
        </w:numPr>
        <w:tabs>
          <w:tab w:val="left" w:pos="567"/>
        </w:tabs>
        <w:spacing w:after="40"/>
        <w:contextualSpacing w:val="0"/>
        <w:jc w:val="both"/>
      </w:pPr>
      <w:r w:rsidRPr="00E67A4C">
        <w:rPr>
          <w:b/>
        </w:rPr>
        <w:lastRenderedPageBreak/>
        <w:t>Menu</w:t>
      </w:r>
      <w:r w:rsidRPr="00E67A4C">
        <w:t>: a list or similar that shows one or more standard food items available for sale, in printed or electronic form (including, but not limited to, menu boards, posters, leaflets, price/food/identifying tags or labels, digital menu panels, business websites, mobile applications, third-party food delivery platforms, printed and online catalogues).</w:t>
      </w:r>
    </w:p>
    <w:p w14:paraId="4693D5ED" w14:textId="27E4E998" w:rsidR="00FD6C90" w:rsidRPr="00E67A4C" w:rsidRDefault="00FD6C90" w:rsidP="00F76FDC">
      <w:pPr>
        <w:pStyle w:val="ListParagraph"/>
        <w:numPr>
          <w:ilvl w:val="0"/>
          <w:numId w:val="18"/>
        </w:numPr>
        <w:tabs>
          <w:tab w:val="left" w:pos="567"/>
        </w:tabs>
        <w:spacing w:after="40"/>
        <w:contextualSpacing w:val="0"/>
        <w:jc w:val="both"/>
      </w:pPr>
      <w:r w:rsidRPr="00E67A4C">
        <w:rPr>
          <w:b/>
        </w:rPr>
        <w:t>Standard food item</w:t>
      </w:r>
      <w:r w:rsidRPr="00E67A4C">
        <w:t>: ready-to-eat food</w:t>
      </w:r>
      <w:r w:rsidR="004D1D5F" w:rsidRPr="00E67A4C">
        <w:rPr>
          <w:vertAlign w:val="superscript"/>
        </w:rPr>
        <w:t>2</w:t>
      </w:r>
      <w:r w:rsidRPr="00E67A4C">
        <w:t xml:space="preserve"> that is sold in servings that are standardised for portion and content, and which is not required to bear a label</w:t>
      </w:r>
      <w:r w:rsidR="00D86ADC" w:rsidRPr="00E67A4C">
        <w:rPr>
          <w:vertAlign w:val="superscript"/>
        </w:rPr>
        <w:t>6</w:t>
      </w:r>
      <w:r w:rsidRPr="00E67A4C">
        <w:t xml:space="preserve">; includes items available in different serving sizes (e.g. small, medium, large), but not items sold by weight (e.g. salads from a deli) as not standardised by portion. </w:t>
      </w:r>
    </w:p>
    <w:p w14:paraId="3082B486" w14:textId="77777777" w:rsidR="00FD6C90" w:rsidRPr="00E67A4C" w:rsidRDefault="00FD6C90" w:rsidP="00F76FDC">
      <w:pPr>
        <w:pStyle w:val="ListParagraph"/>
        <w:numPr>
          <w:ilvl w:val="0"/>
          <w:numId w:val="18"/>
        </w:numPr>
        <w:tabs>
          <w:tab w:val="left" w:pos="567"/>
        </w:tabs>
        <w:spacing w:after="40"/>
        <w:contextualSpacing w:val="0"/>
        <w:jc w:val="both"/>
      </w:pPr>
      <w:r w:rsidRPr="00E67A4C">
        <w:rPr>
          <w:b/>
        </w:rPr>
        <w:t>Combination meal</w:t>
      </w:r>
      <w:r w:rsidRPr="00E67A4C">
        <w:t>: a combination of two or more standard food items (e.g. cheeseburger and hot chips); or a combination of standard food items and pre-packaged food (e.g. salad sandwich and a can of drink).</w:t>
      </w:r>
    </w:p>
    <w:p w14:paraId="215440D6" w14:textId="77777777" w:rsidR="00FD6C90" w:rsidRPr="00E67A4C" w:rsidRDefault="00FD6C90" w:rsidP="00F76FDC">
      <w:pPr>
        <w:pStyle w:val="ListParagraph"/>
        <w:numPr>
          <w:ilvl w:val="0"/>
          <w:numId w:val="18"/>
        </w:numPr>
        <w:tabs>
          <w:tab w:val="left" w:pos="567"/>
        </w:tabs>
        <w:spacing w:after="40"/>
        <w:contextualSpacing w:val="0"/>
        <w:jc w:val="both"/>
      </w:pPr>
      <w:r w:rsidRPr="00E67A4C">
        <w:rPr>
          <w:b/>
        </w:rPr>
        <w:t>Multi-serve item</w:t>
      </w:r>
      <w:r w:rsidRPr="00E67A4C">
        <w:t>: a standard food item that provides more than one serving and is not intended to be consumed by one person (e.g. whole cake, pizza). Energy information to be displayed for the whole item as well as per serving to enable comparison with single-serve items.</w:t>
      </w:r>
    </w:p>
    <w:p w14:paraId="38482883" w14:textId="7A83F893" w:rsidR="00FD6C90" w:rsidRPr="00E67A4C" w:rsidRDefault="00FD6C90" w:rsidP="00F76FDC">
      <w:pPr>
        <w:pStyle w:val="ListParagraph"/>
        <w:numPr>
          <w:ilvl w:val="0"/>
          <w:numId w:val="18"/>
        </w:numPr>
        <w:tabs>
          <w:tab w:val="left" w:pos="567"/>
        </w:tabs>
        <w:spacing w:after="40"/>
        <w:contextualSpacing w:val="0"/>
        <w:jc w:val="both"/>
      </w:pPr>
      <w:r w:rsidRPr="00E67A4C">
        <w:rPr>
          <w:b/>
        </w:rPr>
        <w:t>Standardised ingredient</w:t>
      </w:r>
      <w:r w:rsidRPr="00E67A4C">
        <w:t>: ingredient that is standardised for portion and content</w:t>
      </w:r>
      <w:r w:rsidR="007F72CE" w:rsidRPr="00E67A4C">
        <w:t xml:space="preserve"> (e.g. bacon, slice of cheese)</w:t>
      </w:r>
      <w:r w:rsidRPr="00E67A4C">
        <w:t xml:space="preserve"> which can be added by customers to standard food items</w:t>
      </w:r>
      <w:r w:rsidR="00A21BFB" w:rsidRPr="00E67A4C">
        <w:t xml:space="preserve"> (e.g. burger)</w:t>
      </w:r>
      <w:r w:rsidRPr="00E67A4C">
        <w:t xml:space="preserve">; or combined with other standardised ingredients to make a customised menu item (e.g. tortilla, beef filling and guacamole). </w:t>
      </w:r>
    </w:p>
    <w:p w14:paraId="3958E394" w14:textId="132537A9" w:rsidR="00A320D6" w:rsidRPr="00E67A4C" w:rsidRDefault="00FD6C90" w:rsidP="00F76FDC">
      <w:pPr>
        <w:pStyle w:val="ListParagraph"/>
        <w:numPr>
          <w:ilvl w:val="0"/>
          <w:numId w:val="18"/>
        </w:numPr>
        <w:tabs>
          <w:tab w:val="left" w:pos="567"/>
        </w:tabs>
        <w:spacing w:after="40"/>
        <w:contextualSpacing w:val="0"/>
        <w:jc w:val="both"/>
        <w:rPr>
          <w:b/>
        </w:rPr>
      </w:pPr>
      <w:r w:rsidRPr="00E67A4C">
        <w:rPr>
          <w:b/>
        </w:rPr>
        <w:t xml:space="preserve">Standard food outlet: </w:t>
      </w:r>
      <w:r w:rsidRPr="00E67A4C">
        <w:rPr>
          <w:bCs/>
        </w:rPr>
        <w:t>a food business that sells standard food items at 50 or more outlets in Australia, or 20 or more outlets in an Australian State or 7 or more in an Australian Territory. (Note: the threshold for New Zealand is to be determined following consultation). Food businesses are those owned/operated under franchise arrangements; outlets operated under the same trading name; and outlets owned by the one parent company/central owner/corporation.</w:t>
      </w:r>
      <w:r w:rsidR="00A320D6" w:rsidRPr="00E67A4C">
        <w:rPr>
          <w:b/>
        </w:rPr>
        <w:t> </w:t>
      </w:r>
    </w:p>
    <w:p w14:paraId="252ADCEF" w14:textId="77777777" w:rsidR="001F2C40" w:rsidRPr="00B66DDF" w:rsidRDefault="001F2C40" w:rsidP="00B66DDF">
      <w:pPr>
        <w:tabs>
          <w:tab w:val="left" w:pos="567"/>
        </w:tabs>
        <w:spacing w:after="40"/>
        <w:jc w:val="both"/>
        <w:rPr>
          <w:b/>
        </w:rPr>
      </w:pPr>
    </w:p>
    <w:p w14:paraId="587AF692" w14:textId="77777777" w:rsidR="000047F6" w:rsidRPr="00E67A4C" w:rsidRDefault="000047F6" w:rsidP="000047F6">
      <w:pPr>
        <w:pStyle w:val="EndnoteText"/>
        <w:spacing w:after="40"/>
        <w:rPr>
          <w:rFonts w:ascii="Times New Roman" w:hAnsi="Times New Roman"/>
          <w:i/>
          <w:sz w:val="18"/>
          <w:szCs w:val="18"/>
        </w:rPr>
      </w:pPr>
      <w:r w:rsidRPr="00E67A4C">
        <w:rPr>
          <w:rFonts w:ascii="Times New Roman" w:hAnsi="Times New Roman"/>
          <w:sz w:val="18"/>
          <w:szCs w:val="18"/>
          <w:lang w:val="en-US"/>
        </w:rPr>
        <w:t xml:space="preserve">1 </w:t>
      </w:r>
      <w:r w:rsidRPr="00E67A4C">
        <w:rPr>
          <w:rFonts w:ascii="Times New Roman" w:hAnsi="Times New Roman"/>
          <w:sz w:val="18"/>
          <w:szCs w:val="18"/>
        </w:rPr>
        <w:t xml:space="preserve">Enhanced Media Metrics Australia. 2014. </w:t>
      </w:r>
      <w:r w:rsidRPr="00E67A4C">
        <w:rPr>
          <w:rFonts w:ascii="Times New Roman" w:hAnsi="Times New Roman"/>
          <w:i/>
          <w:sz w:val="18"/>
          <w:szCs w:val="18"/>
        </w:rPr>
        <w:t>Industry Report: Out of Home Dining.</w:t>
      </w:r>
      <w:r w:rsidRPr="00E67A4C">
        <w:rPr>
          <w:rFonts w:ascii="Times New Roman" w:hAnsi="Times New Roman"/>
          <w:sz w:val="18"/>
          <w:szCs w:val="18"/>
        </w:rPr>
        <w:t xml:space="preserve"> </w:t>
      </w:r>
      <w:hyperlink r:id="rId11" w:history="1">
        <w:r w:rsidRPr="00E67A4C">
          <w:rPr>
            <w:rStyle w:val="Hyperlink"/>
            <w:rFonts w:ascii="Times New Roman" w:hAnsi="Times New Roman"/>
            <w:sz w:val="18"/>
            <w:szCs w:val="18"/>
          </w:rPr>
          <w:t>https://www.emma.com.au/wp-content/uploads/2014/03/emma-Industry-Report_Out-of-Home-Dining_website-version.pdf</w:t>
        </w:r>
      </w:hyperlink>
      <w:r w:rsidRPr="00E67A4C">
        <w:rPr>
          <w:rFonts w:ascii="Times New Roman" w:hAnsi="Times New Roman"/>
          <w:i/>
          <w:sz w:val="18"/>
          <w:szCs w:val="18"/>
        </w:rPr>
        <w:t xml:space="preserve"> </w:t>
      </w:r>
    </w:p>
    <w:p w14:paraId="00521A4E" w14:textId="77777777" w:rsidR="000047F6" w:rsidRPr="00E67A4C" w:rsidRDefault="000047F6" w:rsidP="000047F6">
      <w:pPr>
        <w:pStyle w:val="EndnoteText"/>
        <w:spacing w:after="40"/>
        <w:rPr>
          <w:rFonts w:ascii="Times New Roman" w:hAnsi="Times New Roman"/>
          <w:iCs/>
          <w:sz w:val="18"/>
          <w:szCs w:val="18"/>
          <w:lang w:val="en-AU"/>
        </w:rPr>
      </w:pPr>
      <w:r w:rsidRPr="00E67A4C">
        <w:rPr>
          <w:rFonts w:ascii="Times New Roman" w:hAnsi="Times New Roman"/>
          <w:iCs/>
          <w:sz w:val="18"/>
          <w:szCs w:val="18"/>
        </w:rPr>
        <w:t xml:space="preserve">2 </w:t>
      </w:r>
      <w:r w:rsidRPr="00E67A4C">
        <w:rPr>
          <w:rFonts w:ascii="Times New Roman" w:hAnsi="Times New Roman"/>
          <w:sz w:val="18"/>
          <w:szCs w:val="18"/>
        </w:rPr>
        <w:t xml:space="preserve">Department of Agriculture and Water Resources. 2018. </w:t>
      </w:r>
      <w:r w:rsidRPr="00E67A4C">
        <w:rPr>
          <w:rFonts w:ascii="Times New Roman" w:hAnsi="Times New Roman"/>
          <w:i/>
          <w:iCs/>
          <w:sz w:val="18"/>
          <w:szCs w:val="18"/>
        </w:rPr>
        <w:t xml:space="preserve">Food demand in Australia: trends and issues 2018. </w:t>
      </w:r>
      <w:hyperlink r:id="rId12" w:history="1">
        <w:r w:rsidRPr="00E67A4C">
          <w:rPr>
            <w:rStyle w:val="Hyperlink"/>
            <w:rFonts w:ascii="Times New Roman" w:hAnsi="Times New Roman"/>
            <w:sz w:val="18"/>
            <w:szCs w:val="18"/>
          </w:rPr>
          <w:t>http://data.daff.gov.au/data/warehouse/9aat/2018/fdati9aat20180822/FoodDemandInAustralia_20180822_v1.0.0.pdf</w:t>
        </w:r>
      </w:hyperlink>
    </w:p>
    <w:p w14:paraId="68C7DEF3" w14:textId="77777777" w:rsidR="000047F6" w:rsidRPr="00E67A4C" w:rsidRDefault="000047F6" w:rsidP="000047F6">
      <w:pPr>
        <w:pStyle w:val="EndnoteText"/>
        <w:spacing w:after="40"/>
        <w:rPr>
          <w:rFonts w:ascii="Times New Roman" w:hAnsi="Times New Roman"/>
          <w:sz w:val="18"/>
          <w:szCs w:val="18"/>
        </w:rPr>
      </w:pPr>
      <w:r w:rsidRPr="00E67A4C">
        <w:rPr>
          <w:rFonts w:ascii="Times New Roman" w:hAnsi="Times New Roman"/>
          <w:sz w:val="18"/>
          <w:szCs w:val="18"/>
          <w:lang w:val="en-US"/>
        </w:rPr>
        <w:t xml:space="preserve">3 </w:t>
      </w:r>
      <w:r w:rsidRPr="00E67A4C">
        <w:rPr>
          <w:rFonts w:ascii="Times New Roman" w:hAnsi="Times New Roman"/>
          <w:sz w:val="18"/>
          <w:szCs w:val="18"/>
        </w:rPr>
        <w:t xml:space="preserve">Stats NZ. </w:t>
      </w:r>
      <w:r w:rsidRPr="00E67A4C">
        <w:rPr>
          <w:rFonts w:ascii="Times New Roman" w:hAnsi="Times New Roman"/>
          <w:i/>
          <w:sz w:val="18"/>
          <w:szCs w:val="18"/>
        </w:rPr>
        <w:t>Household Expenditure Statistics: Year ended June 2016</w:t>
      </w:r>
      <w:r w:rsidRPr="00E67A4C">
        <w:rPr>
          <w:rFonts w:ascii="Times New Roman" w:hAnsi="Times New Roman"/>
          <w:sz w:val="18"/>
          <w:szCs w:val="18"/>
        </w:rPr>
        <w:t xml:space="preserve">. </w:t>
      </w:r>
      <w:hyperlink r:id="rId13" w:history="1">
        <w:r w:rsidRPr="00E67A4C">
          <w:rPr>
            <w:rStyle w:val="Hyperlink"/>
            <w:rFonts w:ascii="Times New Roman" w:hAnsi="Times New Roman"/>
            <w:sz w:val="18"/>
            <w:szCs w:val="18"/>
          </w:rPr>
          <w:t>https://www.stats.govt.nz/information-releases/household-expenditure-statistics-year-ended-june-2016</w:t>
        </w:r>
      </w:hyperlink>
      <w:r w:rsidRPr="00E67A4C">
        <w:rPr>
          <w:rFonts w:ascii="Times New Roman" w:hAnsi="Times New Roman"/>
          <w:sz w:val="18"/>
          <w:szCs w:val="18"/>
        </w:rPr>
        <w:t xml:space="preserve"> </w:t>
      </w:r>
    </w:p>
    <w:p w14:paraId="56C10E75" w14:textId="77777777" w:rsidR="000047F6" w:rsidRPr="00E67A4C" w:rsidRDefault="000047F6" w:rsidP="000047F6">
      <w:pPr>
        <w:pStyle w:val="EndnoteText"/>
        <w:spacing w:after="40"/>
        <w:rPr>
          <w:rFonts w:ascii="Times New Roman" w:hAnsi="Times New Roman"/>
          <w:sz w:val="18"/>
          <w:szCs w:val="18"/>
          <w:lang w:val="en-US"/>
        </w:rPr>
      </w:pPr>
      <w:r w:rsidRPr="00E67A4C">
        <w:rPr>
          <w:rFonts w:ascii="Times New Roman" w:hAnsi="Times New Roman"/>
          <w:sz w:val="18"/>
          <w:szCs w:val="18"/>
          <w:lang w:val="en-US"/>
        </w:rPr>
        <w:t xml:space="preserve">4 </w:t>
      </w:r>
      <w:r w:rsidRPr="00E67A4C">
        <w:rPr>
          <w:rFonts w:ascii="Times New Roman" w:eastAsia="Calibri" w:hAnsi="Times New Roman"/>
          <w:bCs/>
          <w:iCs/>
          <w:color w:val="000000"/>
          <w:sz w:val="18"/>
          <w:szCs w:val="18"/>
          <w:lang w:val="en-AU"/>
        </w:rPr>
        <w:t xml:space="preserve">Rayner M et al. 2013. Monitoring the health-related labelling on foods and non-alcoholic beverages in retail settings. </w:t>
      </w:r>
      <w:r w:rsidRPr="00E67A4C">
        <w:rPr>
          <w:rFonts w:ascii="Times New Roman" w:eastAsia="Calibri" w:hAnsi="Times New Roman"/>
          <w:bCs/>
          <w:i/>
          <w:color w:val="000000"/>
          <w:sz w:val="18"/>
          <w:szCs w:val="18"/>
          <w:lang w:val="en-AU"/>
        </w:rPr>
        <w:t>Obesity Reviews</w:t>
      </w:r>
      <w:r w:rsidRPr="00E67A4C">
        <w:rPr>
          <w:rFonts w:ascii="Times New Roman" w:eastAsia="Calibri" w:hAnsi="Times New Roman"/>
          <w:bCs/>
          <w:iCs/>
          <w:color w:val="000000"/>
          <w:sz w:val="18"/>
          <w:szCs w:val="18"/>
          <w:lang w:val="en-AU"/>
        </w:rPr>
        <w:t>, 14(S1): 70-81.</w:t>
      </w:r>
    </w:p>
    <w:p w14:paraId="3C26B5A9" w14:textId="664E4334" w:rsidR="00656A38" w:rsidRPr="00E67A4C" w:rsidRDefault="00D86ADC" w:rsidP="00656A38">
      <w:pPr>
        <w:spacing w:after="40"/>
        <w:rPr>
          <w:sz w:val="18"/>
          <w:szCs w:val="18"/>
        </w:rPr>
      </w:pPr>
      <w:r w:rsidRPr="00E67A4C">
        <w:rPr>
          <w:sz w:val="18"/>
          <w:szCs w:val="18"/>
        </w:rPr>
        <w:t>5</w:t>
      </w:r>
      <w:r w:rsidR="004D1D5F" w:rsidRPr="00E67A4C">
        <w:rPr>
          <w:sz w:val="18"/>
          <w:szCs w:val="18"/>
        </w:rPr>
        <w:t>.</w:t>
      </w:r>
      <w:r w:rsidR="00656A38" w:rsidRPr="00E67A4C">
        <w:rPr>
          <w:sz w:val="18"/>
          <w:szCs w:val="18"/>
        </w:rPr>
        <w:t xml:space="preserve"> 8700kJ is the reference value for energy as defined in the Australia New Zealand Food Standards Code – Standard 1.2.8—8 – Percentage daily intake information.</w:t>
      </w:r>
    </w:p>
    <w:p w14:paraId="48FF43FC" w14:textId="1E5A837B" w:rsidR="00BC3AEE" w:rsidRPr="00E67A4C" w:rsidRDefault="00D86ADC" w:rsidP="00FB1DA0">
      <w:pPr>
        <w:spacing w:after="40"/>
        <w:rPr>
          <w:sz w:val="18"/>
          <w:szCs w:val="18"/>
        </w:rPr>
      </w:pPr>
      <w:r w:rsidRPr="00E67A4C">
        <w:rPr>
          <w:sz w:val="18"/>
          <w:szCs w:val="18"/>
        </w:rPr>
        <w:t>6</w:t>
      </w:r>
      <w:r w:rsidR="004D1D5F" w:rsidRPr="00E67A4C">
        <w:rPr>
          <w:sz w:val="18"/>
          <w:szCs w:val="18"/>
        </w:rPr>
        <w:t>.</w:t>
      </w:r>
      <w:r w:rsidR="00656A38" w:rsidRPr="00E67A4C">
        <w:rPr>
          <w:sz w:val="18"/>
          <w:szCs w:val="18"/>
        </w:rPr>
        <w:t xml:space="preserve"> As defined in the Australia New Zealand Food Standards Code – Standard 1.1.2 – Definitions used through the Code.</w:t>
      </w:r>
    </w:p>
    <w:p w14:paraId="1172D124" w14:textId="68E85CD4" w:rsidR="003E2685" w:rsidRPr="00E67A4C" w:rsidRDefault="003E2685">
      <w:pPr>
        <w:rPr>
          <w:sz w:val="18"/>
          <w:szCs w:val="18"/>
        </w:rPr>
      </w:pPr>
      <w:r w:rsidRPr="00E67A4C">
        <w:rPr>
          <w:sz w:val="18"/>
          <w:szCs w:val="18"/>
        </w:rPr>
        <w:br w:type="page"/>
      </w:r>
    </w:p>
    <w:p w14:paraId="51F2F685" w14:textId="0F56EB09" w:rsidR="003E2685" w:rsidRPr="00E67A4C" w:rsidRDefault="003E2685" w:rsidP="00812051">
      <w:pPr>
        <w:pStyle w:val="Heading2"/>
        <w:rPr>
          <w:rStyle w:val="Heading1Char"/>
          <w:rFonts w:ascii="Times New Roman" w:hAnsi="Times New Roman" w:cs="Times New Roman"/>
          <w:b/>
          <w:bCs/>
          <w:szCs w:val="28"/>
        </w:rPr>
      </w:pPr>
      <w:bookmarkStart w:id="107" w:name="_Toc47605600"/>
      <w:bookmarkStart w:id="108" w:name="_Toc51165295"/>
      <w:r w:rsidRPr="00E67A4C">
        <w:rPr>
          <w:rStyle w:val="Heading1Char"/>
          <w:rFonts w:ascii="Times New Roman" w:hAnsi="Times New Roman" w:cs="Times New Roman"/>
          <w:b/>
          <w:bCs/>
          <w:szCs w:val="28"/>
        </w:rPr>
        <w:lastRenderedPageBreak/>
        <w:t>Appendix 5: Draft Policy Guideline on menu labelling (Option 3)</w:t>
      </w:r>
      <w:bookmarkEnd w:id="107"/>
      <w:bookmarkEnd w:id="108"/>
    </w:p>
    <w:p w14:paraId="70E827F3" w14:textId="77777777" w:rsidR="003E2685" w:rsidRPr="00E67A4C" w:rsidRDefault="003E2685" w:rsidP="003E2685"/>
    <w:p w14:paraId="0AAA7EFE" w14:textId="77777777" w:rsidR="003E2685" w:rsidRPr="00E67A4C" w:rsidRDefault="003E2685" w:rsidP="003E2685">
      <w:pPr>
        <w:spacing w:after="40"/>
        <w:jc w:val="center"/>
        <w:rPr>
          <w:b/>
        </w:rPr>
      </w:pPr>
      <w:r w:rsidRPr="00E67A4C">
        <w:rPr>
          <w:b/>
        </w:rPr>
        <w:t xml:space="preserve">POLICY GUIDELINE ON MENU LABELLING: </w:t>
      </w:r>
    </w:p>
    <w:p w14:paraId="49D69224" w14:textId="77777777" w:rsidR="003E2685" w:rsidRPr="00E67A4C" w:rsidRDefault="003E2685" w:rsidP="003E2685">
      <w:pPr>
        <w:spacing w:after="40"/>
        <w:jc w:val="center"/>
        <w:rPr>
          <w:b/>
        </w:rPr>
      </w:pPr>
      <w:r w:rsidRPr="00E67A4C">
        <w:rPr>
          <w:b/>
        </w:rPr>
        <w:t>DISPLAYING AND PROVIDING ENERGY INFORMATION FOR STANDARD FOOD ITEMS AT THE POINT-OF-SALE IN STANDARD FOOD OUTLETS</w:t>
      </w:r>
    </w:p>
    <w:p w14:paraId="47B14DF0" w14:textId="77777777" w:rsidR="003E2685" w:rsidRPr="005E2BFA" w:rsidRDefault="003E2685" w:rsidP="003E2685">
      <w:pPr>
        <w:spacing w:after="40"/>
        <w:jc w:val="center"/>
        <w:rPr>
          <w:b/>
          <w:i/>
        </w:rPr>
      </w:pPr>
    </w:p>
    <w:p w14:paraId="7807C860" w14:textId="77777777" w:rsidR="003E2685" w:rsidRPr="00E67A4C" w:rsidRDefault="003E2685" w:rsidP="003E2685">
      <w:pPr>
        <w:pStyle w:val="Default"/>
        <w:spacing w:after="40"/>
        <w:jc w:val="both"/>
        <w:rPr>
          <w:b/>
          <w:bCs/>
        </w:rPr>
      </w:pPr>
      <w:r w:rsidRPr="00E67A4C">
        <w:rPr>
          <w:b/>
          <w:bCs/>
        </w:rPr>
        <w:t>CONTEXT</w:t>
      </w:r>
    </w:p>
    <w:p w14:paraId="5D9F030F" w14:textId="77777777" w:rsidR="003E2685" w:rsidRPr="00E67A4C" w:rsidRDefault="003E2685" w:rsidP="003E2685">
      <w:pPr>
        <w:pStyle w:val="Default"/>
        <w:spacing w:after="40"/>
        <w:jc w:val="both"/>
        <w:rPr>
          <w:vertAlign w:val="superscript"/>
        </w:rPr>
      </w:pPr>
      <w:r w:rsidRPr="00E67A4C">
        <w:t>Increasingly, people are choosing ready-to-eat meals and snacks, rather than choosing food prepared at home.</w:t>
      </w:r>
      <w:r w:rsidRPr="00E67A4C">
        <w:rPr>
          <w:vertAlign w:val="superscript"/>
        </w:rPr>
        <w:t xml:space="preserve">1-3 </w:t>
      </w:r>
      <w:r w:rsidRPr="00E67A4C">
        <w:t>How a food is labelled may influence choice, with food labelling providing useful information to support consumers in making dietary (e.g. what or how much to eat) or shopping-based (e.g. comparing products) decisions.</w:t>
      </w:r>
      <w:r w:rsidRPr="00E67A4C">
        <w:rPr>
          <w:vertAlign w:val="superscript"/>
        </w:rPr>
        <w:t>4</w:t>
      </w:r>
      <w:r w:rsidRPr="00E67A4C">
        <w:t xml:space="preserve"> A food label’s content, format and context contributes to its usefulness.</w:t>
      </w:r>
      <w:r w:rsidRPr="00E67A4C">
        <w:rPr>
          <w:vertAlign w:val="superscript"/>
        </w:rPr>
        <w:t>4</w:t>
      </w:r>
    </w:p>
    <w:p w14:paraId="38453DC7" w14:textId="77777777" w:rsidR="003E2685" w:rsidRPr="00E67A4C" w:rsidRDefault="003E2685" w:rsidP="003E2685">
      <w:pPr>
        <w:pStyle w:val="Default"/>
        <w:spacing w:after="40"/>
        <w:jc w:val="both"/>
        <w:rPr>
          <w:vertAlign w:val="superscript"/>
        </w:rPr>
      </w:pPr>
    </w:p>
    <w:p w14:paraId="535FC146" w14:textId="77777777" w:rsidR="003E2685" w:rsidRPr="00E67A4C" w:rsidRDefault="003E2685" w:rsidP="003E2685">
      <w:pPr>
        <w:pStyle w:val="Default"/>
        <w:spacing w:after="40"/>
        <w:jc w:val="both"/>
      </w:pPr>
      <w:r w:rsidRPr="00E67A4C">
        <w:t>Information on the energy contribution of ready-to-eat food may support people to make more informed purchasing decisions. Information about the overall daily energy intake is also necessary so that consumers have a point of reference to help understand the contribution of individual food items to overall energy intake.</w:t>
      </w:r>
    </w:p>
    <w:p w14:paraId="1B868D4C" w14:textId="77777777" w:rsidR="003E2685" w:rsidRPr="00E67A4C" w:rsidRDefault="003E2685" w:rsidP="003E2685">
      <w:pPr>
        <w:pStyle w:val="Default"/>
        <w:spacing w:after="40"/>
        <w:jc w:val="both"/>
      </w:pPr>
    </w:p>
    <w:p w14:paraId="13E7618C" w14:textId="77777777" w:rsidR="003E2685" w:rsidRPr="00E67A4C" w:rsidRDefault="003E2685" w:rsidP="003E2685">
      <w:pPr>
        <w:pStyle w:val="Default"/>
        <w:spacing w:after="40"/>
        <w:jc w:val="both"/>
      </w:pPr>
      <w:r w:rsidRPr="00E67A4C">
        <w:t xml:space="preserve">Many ready-to-eat meals and snacks are not required to bear a food label, and therefore lack information about energy content. Menu labelling is one approach for providing energy information to consumers for these foods. </w:t>
      </w:r>
    </w:p>
    <w:p w14:paraId="2E95EF88" w14:textId="77777777" w:rsidR="003E2685" w:rsidRPr="00E67A4C" w:rsidRDefault="003E2685" w:rsidP="003E2685">
      <w:pPr>
        <w:pStyle w:val="Default"/>
        <w:spacing w:after="40"/>
        <w:jc w:val="both"/>
      </w:pPr>
    </w:p>
    <w:p w14:paraId="49130CAC" w14:textId="77777777" w:rsidR="003E2685" w:rsidRPr="00E67A4C" w:rsidRDefault="003E2685" w:rsidP="003E2685">
      <w:pPr>
        <w:tabs>
          <w:tab w:val="left" w:pos="567"/>
        </w:tabs>
        <w:spacing w:after="40"/>
        <w:jc w:val="both"/>
      </w:pPr>
      <w:r w:rsidRPr="00E67A4C">
        <w:t>Menu labelling should be complemented by promotional strategies that increase consumer understanding of kilojoules and how to use menu labelling within the broader context of healthy eating and energy balance; and encourage consumers to make healthier ready-to-eat food choices.</w:t>
      </w:r>
    </w:p>
    <w:p w14:paraId="7AD9FB45" w14:textId="77777777" w:rsidR="003E2685" w:rsidRPr="00E67A4C" w:rsidRDefault="003E2685" w:rsidP="003E2685">
      <w:pPr>
        <w:tabs>
          <w:tab w:val="left" w:pos="567"/>
        </w:tabs>
        <w:spacing w:after="40"/>
        <w:jc w:val="both"/>
      </w:pPr>
    </w:p>
    <w:p w14:paraId="17898FA3" w14:textId="77777777" w:rsidR="003E2685" w:rsidRPr="00E67A4C" w:rsidRDefault="003E2685" w:rsidP="003E2685">
      <w:pPr>
        <w:pStyle w:val="Default"/>
        <w:spacing w:after="40"/>
        <w:jc w:val="both"/>
      </w:pPr>
      <w:r w:rsidRPr="00E67A4C">
        <w:t xml:space="preserve">Between 2011 and 2017, mandatory menu labelling schemes were introduced by five Australian jurisdictions. Variations between these schemes relate to captured businesses, and how and when to display energy information. During this time, the food industry has </w:t>
      </w:r>
      <w:r w:rsidRPr="00E67A4C">
        <w:rPr>
          <w:lang w:eastAsia="zh-CN" w:bidi="th-TH"/>
        </w:rPr>
        <w:t xml:space="preserve">continually evolved with new products and new ways of promoting, offering, and selling food and drinks. </w:t>
      </w:r>
    </w:p>
    <w:p w14:paraId="13582693" w14:textId="77777777" w:rsidR="003E2685" w:rsidRPr="00E67A4C" w:rsidRDefault="003E2685" w:rsidP="003E2685">
      <w:pPr>
        <w:pStyle w:val="Default"/>
        <w:spacing w:after="40"/>
        <w:jc w:val="both"/>
        <w:rPr>
          <w:b/>
          <w:bCs/>
        </w:rPr>
      </w:pPr>
    </w:p>
    <w:p w14:paraId="37CC9E62" w14:textId="77777777" w:rsidR="003E2685" w:rsidRPr="00E67A4C" w:rsidRDefault="003E2685" w:rsidP="003E2685">
      <w:pPr>
        <w:pStyle w:val="Default"/>
        <w:spacing w:after="40"/>
        <w:jc w:val="both"/>
        <w:rPr>
          <w:b/>
          <w:bCs/>
        </w:rPr>
      </w:pPr>
      <w:r w:rsidRPr="00E67A4C">
        <w:rPr>
          <w:b/>
          <w:bCs/>
        </w:rPr>
        <w:t>AIM</w:t>
      </w:r>
    </w:p>
    <w:p w14:paraId="3FE4EC4B" w14:textId="77777777" w:rsidR="003E2685" w:rsidRPr="00E67A4C" w:rsidRDefault="003E2685" w:rsidP="003E2685">
      <w:pPr>
        <w:pStyle w:val="Default"/>
        <w:spacing w:after="40"/>
        <w:jc w:val="both"/>
      </w:pPr>
      <w:r w:rsidRPr="00E67A4C">
        <w:t xml:space="preserve">The intent of this Policy Guideline is to ensure any food regulatory measure developed for menu labelling: </w:t>
      </w:r>
    </w:p>
    <w:p w14:paraId="4C49D927" w14:textId="77777777" w:rsidR="003E2685" w:rsidRPr="00E67A4C" w:rsidRDefault="003E2685" w:rsidP="003E2685">
      <w:pPr>
        <w:pStyle w:val="Default"/>
        <w:numPr>
          <w:ilvl w:val="0"/>
          <w:numId w:val="15"/>
        </w:numPr>
        <w:spacing w:after="40"/>
        <w:jc w:val="both"/>
      </w:pPr>
      <w:r w:rsidRPr="00E67A4C">
        <w:t xml:space="preserve">prevents the proliferation of different menu labelling systems; </w:t>
      </w:r>
    </w:p>
    <w:p w14:paraId="481C9A30" w14:textId="77777777" w:rsidR="003E2685" w:rsidRPr="00E67A4C" w:rsidRDefault="003E2685" w:rsidP="003E2685">
      <w:pPr>
        <w:pStyle w:val="Default"/>
        <w:numPr>
          <w:ilvl w:val="0"/>
          <w:numId w:val="15"/>
        </w:numPr>
        <w:spacing w:after="40"/>
        <w:jc w:val="both"/>
      </w:pPr>
      <w:r w:rsidRPr="00E67A4C">
        <w:t>creates a level playing field (with respect to menu labelling) for all standard food outlets that sell standard food items; and</w:t>
      </w:r>
    </w:p>
    <w:p w14:paraId="0ECEEB75" w14:textId="63472ED4" w:rsidR="003E2685" w:rsidRPr="00E67A4C" w:rsidRDefault="003E2685" w:rsidP="003E2685">
      <w:pPr>
        <w:pStyle w:val="Default"/>
        <w:numPr>
          <w:ilvl w:val="0"/>
          <w:numId w:val="15"/>
        </w:numPr>
        <w:spacing w:after="40"/>
        <w:jc w:val="both"/>
      </w:pPr>
      <w:r w:rsidRPr="00E67A4C">
        <w:t>ensures that different modes of sale (e.g. in-store, online, third-party providers) and types of menus (e.g. digital menu panels, paper menus, menu boards, online menus) enable comparison of menu options to assist people to make healthier food purchase choices at the point-of-sale.</w:t>
      </w:r>
    </w:p>
    <w:p w14:paraId="33F23BAF" w14:textId="77777777" w:rsidR="003E2685" w:rsidRPr="00E67A4C" w:rsidRDefault="003E2685" w:rsidP="003E2685">
      <w:pPr>
        <w:pStyle w:val="Default"/>
        <w:spacing w:after="40"/>
        <w:jc w:val="both"/>
      </w:pPr>
    </w:p>
    <w:p w14:paraId="332BA28C" w14:textId="0F7D39A4" w:rsidR="003E2685" w:rsidRDefault="003E2685" w:rsidP="003E2685">
      <w:pPr>
        <w:pStyle w:val="Default"/>
        <w:spacing w:after="40"/>
        <w:jc w:val="both"/>
      </w:pPr>
      <w:r w:rsidRPr="00E67A4C">
        <w:t>This Policy Guideline provides guidance for Food Standards Australia New Zealand (FSANZ) in developing a food regulatory measure</w:t>
      </w:r>
      <w:r w:rsidR="00DA0BDD" w:rsidRPr="00E67A4C">
        <w:rPr>
          <w:vertAlign w:val="superscript"/>
        </w:rPr>
        <w:t xml:space="preserve"> </w:t>
      </w:r>
      <w:r w:rsidRPr="00E67A4C">
        <w:t xml:space="preserve">under the </w:t>
      </w:r>
      <w:r w:rsidRPr="00E67A4C">
        <w:rPr>
          <w:i/>
          <w:iCs/>
        </w:rPr>
        <w:t>Australia and New Zealand Food Standards Code</w:t>
      </w:r>
      <w:r w:rsidRPr="00E67A4C">
        <w:t xml:space="preserve"> for the provision and display of energy information for standard food items at the point-of-sale (i.e. menu labelling). </w:t>
      </w:r>
    </w:p>
    <w:p w14:paraId="5218F6F5" w14:textId="22C6FF8E" w:rsidR="005E2BFA" w:rsidRDefault="005E2BFA" w:rsidP="003E2685">
      <w:pPr>
        <w:pStyle w:val="Default"/>
        <w:spacing w:after="40"/>
        <w:jc w:val="both"/>
      </w:pPr>
    </w:p>
    <w:p w14:paraId="4746A94D" w14:textId="77777777" w:rsidR="005E2BFA" w:rsidRPr="00E67A4C" w:rsidRDefault="005E2BFA" w:rsidP="003E2685">
      <w:pPr>
        <w:pStyle w:val="Default"/>
        <w:spacing w:after="40"/>
        <w:jc w:val="both"/>
      </w:pPr>
    </w:p>
    <w:p w14:paraId="3E8951E8" w14:textId="77777777" w:rsidR="003E2685" w:rsidRPr="00E67A4C" w:rsidRDefault="003E2685" w:rsidP="003E2685">
      <w:pPr>
        <w:pStyle w:val="Default"/>
        <w:spacing w:after="40"/>
        <w:jc w:val="both"/>
        <w:rPr>
          <w:b/>
          <w:bCs/>
        </w:rPr>
      </w:pPr>
      <w:r w:rsidRPr="00E67A4C">
        <w:rPr>
          <w:b/>
          <w:bCs/>
        </w:rPr>
        <w:lastRenderedPageBreak/>
        <w:t>SCOPE</w:t>
      </w:r>
    </w:p>
    <w:p w14:paraId="3517FEFC" w14:textId="77777777" w:rsidR="003E2685" w:rsidRPr="00E67A4C" w:rsidRDefault="003E2685" w:rsidP="003E2685">
      <w:pPr>
        <w:pStyle w:val="Default"/>
        <w:spacing w:after="40"/>
        <w:jc w:val="both"/>
      </w:pPr>
      <w:r w:rsidRPr="00E67A4C">
        <w:t xml:space="preserve">The scope for this Policy Guideline is information about the energy content for standardised ready-to-eat food and drinks (i.e. products not already required to bear a label by the Food Standards Code) on menus at the point-of-sale to allow consumers to compare the energy value of menu items before committing to a purchase. </w:t>
      </w:r>
    </w:p>
    <w:p w14:paraId="749DCAE2" w14:textId="77777777" w:rsidR="003E2685" w:rsidRPr="00E67A4C" w:rsidRDefault="003E2685" w:rsidP="003E2685">
      <w:pPr>
        <w:pStyle w:val="Default"/>
        <w:spacing w:after="40"/>
        <w:jc w:val="both"/>
        <w:rPr>
          <w:b/>
          <w:bCs/>
        </w:rPr>
      </w:pPr>
    </w:p>
    <w:p w14:paraId="647D28ED" w14:textId="77777777" w:rsidR="003E2685" w:rsidRPr="00E67A4C" w:rsidRDefault="003E2685" w:rsidP="003E2685">
      <w:pPr>
        <w:pStyle w:val="Default"/>
        <w:spacing w:after="40"/>
        <w:jc w:val="both"/>
      </w:pPr>
      <w:r w:rsidRPr="00E67A4C">
        <w:t>Out-of-scope for this Policy Guideline is energy labelling on the product packaging of standard food items, and the composition of standard food items. Pre-packaged items which have a nutritional information panel are also out-of-scope, unless sold as part of a combination meal.</w:t>
      </w:r>
    </w:p>
    <w:p w14:paraId="3097EA6F" w14:textId="77777777" w:rsidR="003E2685" w:rsidRPr="00E67A4C" w:rsidRDefault="003E2685" w:rsidP="003E2685">
      <w:pPr>
        <w:pStyle w:val="Default"/>
        <w:spacing w:after="40"/>
        <w:jc w:val="both"/>
      </w:pPr>
    </w:p>
    <w:p w14:paraId="4F097219" w14:textId="77777777" w:rsidR="003E2685" w:rsidRPr="00E67A4C" w:rsidRDefault="003E2685" w:rsidP="003E2685">
      <w:pPr>
        <w:pStyle w:val="Default"/>
        <w:spacing w:after="40"/>
        <w:jc w:val="both"/>
        <w:rPr>
          <w:b/>
          <w:bCs/>
        </w:rPr>
      </w:pPr>
      <w:r w:rsidRPr="00E67A4C">
        <w:rPr>
          <w:b/>
          <w:bCs/>
        </w:rPr>
        <w:t>HIGH ORDER POLICY PRINCIPLES</w:t>
      </w:r>
    </w:p>
    <w:p w14:paraId="386B17C0" w14:textId="77777777" w:rsidR="003E2685" w:rsidRPr="00E67A4C" w:rsidRDefault="003E2685" w:rsidP="003E2685">
      <w:pPr>
        <w:tabs>
          <w:tab w:val="left" w:pos="567"/>
        </w:tabs>
        <w:spacing w:after="40"/>
        <w:jc w:val="both"/>
      </w:pPr>
      <w:r w:rsidRPr="00E67A4C">
        <w:t xml:space="preserve">Menu labelling should: </w:t>
      </w:r>
    </w:p>
    <w:p w14:paraId="7F7B0573" w14:textId="77777777" w:rsidR="003E2685" w:rsidRPr="00E67A4C" w:rsidRDefault="003E2685" w:rsidP="003E2685">
      <w:pPr>
        <w:pStyle w:val="Default"/>
        <w:numPr>
          <w:ilvl w:val="0"/>
          <w:numId w:val="20"/>
        </w:numPr>
        <w:spacing w:after="40"/>
        <w:jc w:val="both"/>
      </w:pPr>
      <w:r w:rsidRPr="00E67A4C">
        <w:t>Contribute to improving public health outcomes, and reducing chronic disease related to overweight and obesity.</w:t>
      </w:r>
    </w:p>
    <w:p w14:paraId="2D8D11C7" w14:textId="77777777" w:rsidR="003E2685" w:rsidRPr="00E67A4C" w:rsidRDefault="003E2685" w:rsidP="003E2685">
      <w:pPr>
        <w:pStyle w:val="Default"/>
        <w:numPr>
          <w:ilvl w:val="0"/>
          <w:numId w:val="20"/>
        </w:numPr>
        <w:spacing w:after="40"/>
        <w:jc w:val="both"/>
      </w:pPr>
      <w:r w:rsidRPr="00E67A4C">
        <w:t>Guide consumer choice towards healthier food options consistent with the Australian and New Zealand dietary guidelines.</w:t>
      </w:r>
    </w:p>
    <w:p w14:paraId="17EFC2A8" w14:textId="77777777" w:rsidR="003E2685" w:rsidRPr="00E67A4C" w:rsidRDefault="003E2685" w:rsidP="003E2685">
      <w:pPr>
        <w:tabs>
          <w:tab w:val="left" w:pos="567"/>
        </w:tabs>
        <w:spacing w:after="40"/>
        <w:jc w:val="both"/>
      </w:pPr>
    </w:p>
    <w:p w14:paraId="640B65D2" w14:textId="77777777" w:rsidR="003E2685" w:rsidRPr="00E67A4C" w:rsidRDefault="003E2685" w:rsidP="003E2685">
      <w:pPr>
        <w:tabs>
          <w:tab w:val="left" w:pos="567"/>
        </w:tabs>
        <w:spacing w:after="40"/>
        <w:jc w:val="both"/>
      </w:pPr>
      <w:r w:rsidRPr="00E67A4C">
        <w:t xml:space="preserve">The </w:t>
      </w:r>
      <w:r w:rsidRPr="00E67A4C">
        <w:rPr>
          <w:i/>
          <w:iCs/>
        </w:rPr>
        <w:t>Food Standards Australia New Zealand Act 1991</w:t>
      </w:r>
      <w:r w:rsidRPr="00E67A4C">
        <w:t xml:space="preserve"> (the Act) establishes three objectives for FSANZ in developing or reviewing food standards:</w:t>
      </w:r>
    </w:p>
    <w:p w14:paraId="244E0B5F" w14:textId="77777777" w:rsidR="003E2685" w:rsidRPr="00E67A4C" w:rsidRDefault="003E2685" w:rsidP="003E2685">
      <w:pPr>
        <w:pStyle w:val="Default"/>
        <w:numPr>
          <w:ilvl w:val="0"/>
          <w:numId w:val="28"/>
        </w:numPr>
        <w:spacing w:after="40"/>
        <w:jc w:val="both"/>
      </w:pPr>
      <w:r w:rsidRPr="00E67A4C">
        <w:t xml:space="preserve">the protection of public health and safety; </w:t>
      </w:r>
    </w:p>
    <w:p w14:paraId="61170C6F" w14:textId="77777777" w:rsidR="003E2685" w:rsidRPr="00E67A4C" w:rsidRDefault="003E2685" w:rsidP="003E2685">
      <w:pPr>
        <w:pStyle w:val="Default"/>
        <w:numPr>
          <w:ilvl w:val="0"/>
          <w:numId w:val="28"/>
        </w:numPr>
        <w:spacing w:after="40"/>
        <w:jc w:val="both"/>
      </w:pPr>
      <w:r w:rsidRPr="00E67A4C">
        <w:t>the provision of adequate information relating to food to enable consumers to make informed choices; and</w:t>
      </w:r>
    </w:p>
    <w:p w14:paraId="4C44DEC2" w14:textId="0DD32FA8" w:rsidR="003E2685" w:rsidRPr="00E67A4C" w:rsidRDefault="003E2685" w:rsidP="003E2685">
      <w:pPr>
        <w:pStyle w:val="Default"/>
        <w:numPr>
          <w:ilvl w:val="0"/>
          <w:numId w:val="28"/>
        </w:numPr>
        <w:spacing w:after="40"/>
        <w:jc w:val="both"/>
      </w:pPr>
      <w:r w:rsidRPr="00E67A4C">
        <w:t>the prevention of misleading or deceptive conduct.</w:t>
      </w:r>
      <w:r w:rsidR="00DA0BDD" w:rsidRPr="00E67A4C">
        <w:rPr>
          <w:vertAlign w:val="superscript"/>
        </w:rPr>
        <w:t>5</w:t>
      </w:r>
    </w:p>
    <w:p w14:paraId="0922898D" w14:textId="77777777" w:rsidR="003E2685" w:rsidRPr="00E67A4C" w:rsidRDefault="003E2685" w:rsidP="003E2685">
      <w:pPr>
        <w:tabs>
          <w:tab w:val="left" w:pos="567"/>
        </w:tabs>
        <w:spacing w:after="40"/>
        <w:jc w:val="both"/>
      </w:pPr>
    </w:p>
    <w:p w14:paraId="0D03AE3B" w14:textId="45BED8E4" w:rsidR="003E2685" w:rsidRPr="00E67A4C" w:rsidRDefault="003E2685" w:rsidP="003E2685">
      <w:pPr>
        <w:tabs>
          <w:tab w:val="left" w:pos="567"/>
        </w:tabs>
        <w:spacing w:after="40"/>
        <w:jc w:val="both"/>
      </w:pPr>
      <w:r w:rsidRPr="00E67A4C">
        <w:t>The Agreement between the Government of Australia and the Government of New Zealand concerning a Joint Food Standards System;</w:t>
      </w:r>
      <w:r w:rsidRPr="00E67A4C">
        <w:rPr>
          <w:vertAlign w:val="superscript"/>
        </w:rPr>
        <w:t xml:space="preserve"> </w:t>
      </w:r>
      <w:r w:rsidR="00DA0BDD" w:rsidRPr="00E67A4C">
        <w:rPr>
          <w:vertAlign w:val="superscript"/>
        </w:rPr>
        <w:t>6</w:t>
      </w:r>
      <w:r w:rsidRPr="00E67A4C">
        <w:t xml:space="preserve"> and Australian and New Zealand Governments guidelines for regulatory action</w:t>
      </w:r>
      <w:r w:rsidRPr="00E67A4C">
        <w:rPr>
          <w:vertAlign w:val="superscript"/>
        </w:rPr>
        <w:t xml:space="preserve"> </w:t>
      </w:r>
      <w:r w:rsidR="00DA0BDD" w:rsidRPr="00E67A4C">
        <w:rPr>
          <w:vertAlign w:val="superscript"/>
        </w:rPr>
        <w:t>7</w:t>
      </w:r>
      <w:r w:rsidRPr="00E67A4C">
        <w:rPr>
          <w:vertAlign w:val="superscript"/>
        </w:rPr>
        <w:t>-</w:t>
      </w:r>
      <w:r w:rsidR="00DA0BDD" w:rsidRPr="00E67A4C">
        <w:rPr>
          <w:vertAlign w:val="superscript"/>
        </w:rPr>
        <w:t>8</w:t>
      </w:r>
      <w:r w:rsidRPr="00E67A4C">
        <w:t xml:space="preserve"> are also relevant to the development of any food regulatory measure for menu labelling.</w:t>
      </w:r>
    </w:p>
    <w:p w14:paraId="613FD643" w14:textId="77777777" w:rsidR="003E2685" w:rsidRPr="00E67A4C" w:rsidRDefault="003E2685" w:rsidP="003E2685">
      <w:pPr>
        <w:pStyle w:val="Default"/>
        <w:spacing w:after="40"/>
        <w:jc w:val="both"/>
        <w:rPr>
          <w:b/>
          <w:bCs/>
        </w:rPr>
      </w:pPr>
    </w:p>
    <w:p w14:paraId="690BB775" w14:textId="77777777" w:rsidR="003E2685" w:rsidRPr="00E67A4C" w:rsidRDefault="003E2685" w:rsidP="003E2685">
      <w:pPr>
        <w:pStyle w:val="Default"/>
        <w:spacing w:after="40"/>
        <w:jc w:val="both"/>
        <w:rPr>
          <w:b/>
          <w:bCs/>
        </w:rPr>
      </w:pPr>
      <w:r w:rsidRPr="00E67A4C">
        <w:rPr>
          <w:b/>
          <w:bCs/>
        </w:rPr>
        <w:t>SPECIFIC POLICY PRINCIPLES</w:t>
      </w:r>
    </w:p>
    <w:p w14:paraId="0189EBA9" w14:textId="77777777" w:rsidR="003E2685" w:rsidRPr="00E67A4C" w:rsidRDefault="003E2685" w:rsidP="003E2685">
      <w:pPr>
        <w:pStyle w:val="ListParagraph"/>
        <w:numPr>
          <w:ilvl w:val="0"/>
          <w:numId w:val="16"/>
        </w:numPr>
        <w:tabs>
          <w:tab w:val="left" w:pos="567"/>
        </w:tabs>
        <w:spacing w:after="40"/>
        <w:jc w:val="both"/>
      </w:pPr>
      <w:r w:rsidRPr="00E67A4C">
        <w:t>Menu labelling should:</w:t>
      </w:r>
    </w:p>
    <w:p w14:paraId="232251F1" w14:textId="77777777" w:rsidR="003E2685" w:rsidRPr="00E67A4C" w:rsidRDefault="003E2685" w:rsidP="003E2685">
      <w:pPr>
        <w:pStyle w:val="ListParagraph"/>
        <w:numPr>
          <w:ilvl w:val="1"/>
          <w:numId w:val="17"/>
        </w:numPr>
        <w:tabs>
          <w:tab w:val="left" w:pos="567"/>
        </w:tabs>
        <w:spacing w:after="40"/>
        <w:ind w:left="851" w:hanging="284"/>
        <w:contextualSpacing w:val="0"/>
        <w:jc w:val="both"/>
      </w:pPr>
      <w:r w:rsidRPr="00E67A4C">
        <w:t>Enable consumers to make comparisons between standard food items (including within and between categories) and therefore make informed choices at the point-of-sale.</w:t>
      </w:r>
    </w:p>
    <w:p w14:paraId="76AE5015" w14:textId="77777777" w:rsidR="003E2685" w:rsidRPr="00E67A4C" w:rsidRDefault="003E2685" w:rsidP="003E2685">
      <w:pPr>
        <w:pStyle w:val="ListParagraph"/>
        <w:numPr>
          <w:ilvl w:val="1"/>
          <w:numId w:val="17"/>
        </w:numPr>
        <w:tabs>
          <w:tab w:val="left" w:pos="567"/>
        </w:tabs>
        <w:spacing w:after="40"/>
        <w:ind w:left="851" w:hanging="284"/>
        <w:contextualSpacing w:val="0"/>
        <w:jc w:val="both"/>
      </w:pPr>
      <w:r w:rsidRPr="00E67A4C">
        <w:t>Provide consumers with energy information for all standard food items, combination meals and multi-serve items on menus and/or at the point-of-sale; and for dietary context, provide the average adult daily energy intake at the point-of-sale.</w:t>
      </w:r>
    </w:p>
    <w:p w14:paraId="1843308D" w14:textId="77777777" w:rsidR="003E2685" w:rsidRPr="00E67A4C" w:rsidRDefault="003E2685" w:rsidP="003E2685">
      <w:pPr>
        <w:pStyle w:val="ListParagraph"/>
        <w:numPr>
          <w:ilvl w:val="1"/>
          <w:numId w:val="17"/>
        </w:numPr>
        <w:tabs>
          <w:tab w:val="left" w:pos="567"/>
        </w:tabs>
        <w:spacing w:after="40"/>
        <w:ind w:left="851" w:hanging="284"/>
        <w:contextualSpacing w:val="0"/>
        <w:jc w:val="both"/>
      </w:pPr>
      <w:r w:rsidRPr="00E67A4C">
        <w:t xml:space="preserve">Ensure that energy information provided is available, clear, legible, and easy-to-read and understand at-a-glance. </w:t>
      </w:r>
    </w:p>
    <w:p w14:paraId="64AA5747" w14:textId="21924056" w:rsidR="003E2685" w:rsidRDefault="003E2685" w:rsidP="003E2685">
      <w:pPr>
        <w:pStyle w:val="ListParagraph"/>
        <w:numPr>
          <w:ilvl w:val="1"/>
          <w:numId w:val="17"/>
        </w:numPr>
        <w:tabs>
          <w:tab w:val="left" w:pos="567"/>
        </w:tabs>
        <w:spacing w:after="40"/>
        <w:ind w:left="851" w:hanging="284"/>
        <w:contextualSpacing w:val="0"/>
        <w:jc w:val="both"/>
      </w:pPr>
      <w:r w:rsidRPr="00E67A4C">
        <w:t xml:space="preserve">Enable consumers to access energy information for standardised ingredients which can be used to customise standard food items or can be combined to make customised menu items. </w:t>
      </w:r>
    </w:p>
    <w:p w14:paraId="02BADAD8" w14:textId="77777777" w:rsidR="005E2BFA" w:rsidRPr="00E67A4C" w:rsidRDefault="005E2BFA" w:rsidP="005E2BFA">
      <w:pPr>
        <w:pStyle w:val="ListParagraph"/>
        <w:tabs>
          <w:tab w:val="left" w:pos="567"/>
        </w:tabs>
        <w:spacing w:after="40"/>
        <w:ind w:left="851"/>
        <w:contextualSpacing w:val="0"/>
        <w:jc w:val="both"/>
      </w:pPr>
    </w:p>
    <w:p w14:paraId="08A31D76" w14:textId="77777777" w:rsidR="003E2685" w:rsidRPr="00E67A4C" w:rsidRDefault="003E2685" w:rsidP="003E2685">
      <w:pPr>
        <w:pStyle w:val="ListParagraph"/>
        <w:numPr>
          <w:ilvl w:val="0"/>
          <w:numId w:val="16"/>
        </w:numPr>
        <w:tabs>
          <w:tab w:val="left" w:pos="567"/>
        </w:tabs>
        <w:spacing w:after="40"/>
        <w:jc w:val="both"/>
      </w:pPr>
      <w:r w:rsidRPr="00E67A4C">
        <w:t>Menu labelling regulation should:</w:t>
      </w:r>
    </w:p>
    <w:p w14:paraId="74ADED37" w14:textId="77777777" w:rsidR="003E2685" w:rsidRPr="00E67A4C" w:rsidRDefault="003E2685" w:rsidP="003E2685">
      <w:pPr>
        <w:pStyle w:val="ListParagraph"/>
        <w:numPr>
          <w:ilvl w:val="1"/>
          <w:numId w:val="17"/>
        </w:numPr>
        <w:tabs>
          <w:tab w:val="left" w:pos="567"/>
        </w:tabs>
        <w:spacing w:after="40"/>
        <w:ind w:left="851" w:hanging="284"/>
        <w:contextualSpacing w:val="0"/>
        <w:jc w:val="both"/>
      </w:pPr>
      <w:r w:rsidRPr="00E67A4C">
        <w:t xml:space="preserve">Promote equity for regulatory requirements across standard food outlets. </w:t>
      </w:r>
    </w:p>
    <w:p w14:paraId="4F723D68" w14:textId="77777777" w:rsidR="003E2685" w:rsidRPr="00E67A4C" w:rsidRDefault="003E2685" w:rsidP="003E2685">
      <w:pPr>
        <w:pStyle w:val="ListParagraph"/>
        <w:numPr>
          <w:ilvl w:val="1"/>
          <w:numId w:val="17"/>
        </w:numPr>
        <w:tabs>
          <w:tab w:val="left" w:pos="567"/>
        </w:tabs>
        <w:spacing w:after="40"/>
        <w:ind w:left="851" w:hanging="284"/>
        <w:contextualSpacing w:val="0"/>
        <w:jc w:val="both"/>
      </w:pPr>
      <w:r w:rsidRPr="00E67A4C">
        <w:t>Enable other businesses to voluntarily display energy information in a manner consistent with the requirements for standard food outlets.</w:t>
      </w:r>
    </w:p>
    <w:p w14:paraId="54024340" w14:textId="77777777" w:rsidR="001021FE" w:rsidRPr="00E67A4C" w:rsidRDefault="001021FE" w:rsidP="003E2685">
      <w:pPr>
        <w:pStyle w:val="ListParagraph"/>
        <w:tabs>
          <w:tab w:val="left" w:pos="567"/>
        </w:tabs>
        <w:spacing w:after="40"/>
        <w:ind w:left="1080"/>
        <w:contextualSpacing w:val="0"/>
        <w:jc w:val="both"/>
      </w:pPr>
    </w:p>
    <w:p w14:paraId="696E4942" w14:textId="77777777" w:rsidR="003E2685" w:rsidRPr="00E67A4C" w:rsidRDefault="003E2685" w:rsidP="003E2685">
      <w:pPr>
        <w:pStyle w:val="Default"/>
        <w:spacing w:after="40"/>
        <w:jc w:val="both"/>
        <w:rPr>
          <w:b/>
          <w:bCs/>
        </w:rPr>
      </w:pPr>
      <w:r w:rsidRPr="00E67A4C">
        <w:rPr>
          <w:b/>
          <w:bCs/>
        </w:rPr>
        <w:lastRenderedPageBreak/>
        <w:t>ADDITIONAL POLICY GUIDANCE</w:t>
      </w:r>
    </w:p>
    <w:p w14:paraId="46FD4BCF" w14:textId="77777777" w:rsidR="003E2685" w:rsidRPr="00E67A4C" w:rsidRDefault="003E2685" w:rsidP="003E2685">
      <w:pPr>
        <w:pStyle w:val="Default"/>
        <w:numPr>
          <w:ilvl w:val="0"/>
          <w:numId w:val="20"/>
        </w:numPr>
        <w:spacing w:after="40"/>
        <w:jc w:val="both"/>
      </w:pPr>
      <w:r w:rsidRPr="00E67A4C">
        <w:t>Tools should be freely provided to support businesses to calculate the energy content of standard food items.</w:t>
      </w:r>
    </w:p>
    <w:p w14:paraId="7E520E13" w14:textId="77777777" w:rsidR="003E2685" w:rsidRPr="00E67A4C" w:rsidRDefault="003E2685" w:rsidP="003E2685">
      <w:pPr>
        <w:pStyle w:val="Default"/>
        <w:spacing w:after="40"/>
        <w:jc w:val="both"/>
        <w:rPr>
          <w:b/>
          <w:bCs/>
        </w:rPr>
      </w:pPr>
    </w:p>
    <w:p w14:paraId="2CF2F2DA" w14:textId="4661BAF3" w:rsidR="003E2685" w:rsidRPr="00E67A4C" w:rsidRDefault="003E2685" w:rsidP="003E2685">
      <w:pPr>
        <w:pStyle w:val="Default"/>
        <w:spacing w:after="40"/>
        <w:jc w:val="both"/>
        <w:rPr>
          <w:b/>
          <w:bCs/>
        </w:rPr>
      </w:pPr>
      <w:r w:rsidRPr="00E67A4C">
        <w:rPr>
          <w:b/>
          <w:bCs/>
        </w:rPr>
        <w:t>DEFINITIONS</w:t>
      </w:r>
      <w:r w:rsidRPr="00E67A4C">
        <w:rPr>
          <w:vertAlign w:val="superscript"/>
        </w:rPr>
        <w:t xml:space="preserve"> </w:t>
      </w:r>
      <w:r w:rsidR="00DA0BDD" w:rsidRPr="00E67A4C">
        <w:rPr>
          <w:vertAlign w:val="superscript"/>
        </w:rPr>
        <w:t>9</w:t>
      </w:r>
    </w:p>
    <w:p w14:paraId="7F5B6A16" w14:textId="51DF94BD" w:rsidR="003E2685" w:rsidRPr="00E67A4C" w:rsidRDefault="009A602D" w:rsidP="003E2685">
      <w:pPr>
        <w:tabs>
          <w:tab w:val="left" w:pos="567"/>
        </w:tabs>
        <w:spacing w:after="40"/>
        <w:jc w:val="both"/>
      </w:pPr>
      <w:r w:rsidRPr="00E67A4C">
        <w:t>For</w:t>
      </w:r>
      <w:r w:rsidR="003E2685" w:rsidRPr="00E67A4C">
        <w:t xml:space="preserve"> this Policy Guideline: </w:t>
      </w:r>
    </w:p>
    <w:p w14:paraId="7101C679" w14:textId="77777777" w:rsidR="003E2685" w:rsidRPr="00E67A4C" w:rsidRDefault="003E2685" w:rsidP="003E2685">
      <w:pPr>
        <w:pStyle w:val="ListParagraph"/>
        <w:numPr>
          <w:ilvl w:val="0"/>
          <w:numId w:val="18"/>
        </w:numPr>
        <w:tabs>
          <w:tab w:val="left" w:pos="567"/>
        </w:tabs>
        <w:spacing w:after="40"/>
        <w:contextualSpacing w:val="0"/>
        <w:jc w:val="both"/>
      </w:pPr>
      <w:r w:rsidRPr="00E67A4C">
        <w:rPr>
          <w:b/>
        </w:rPr>
        <w:t>Menu labelling</w:t>
      </w:r>
      <w:r w:rsidRPr="00E67A4C">
        <w:t xml:space="preserve">: energy information for standard food items on menus at the point-of-sale. </w:t>
      </w:r>
    </w:p>
    <w:p w14:paraId="6C281327" w14:textId="77777777" w:rsidR="003E2685" w:rsidRPr="00E67A4C" w:rsidRDefault="003E2685" w:rsidP="003E2685">
      <w:pPr>
        <w:pStyle w:val="ListParagraph"/>
        <w:numPr>
          <w:ilvl w:val="0"/>
          <w:numId w:val="18"/>
        </w:numPr>
        <w:tabs>
          <w:tab w:val="left" w:pos="567"/>
        </w:tabs>
        <w:spacing w:after="40"/>
        <w:contextualSpacing w:val="0"/>
        <w:jc w:val="both"/>
      </w:pPr>
      <w:r w:rsidRPr="00E67A4C">
        <w:rPr>
          <w:b/>
        </w:rPr>
        <w:t>Energy information</w:t>
      </w:r>
      <w:r w:rsidRPr="00E67A4C">
        <w:t>: the average energy content of standard food items (expressed as kilojoules per item).</w:t>
      </w:r>
    </w:p>
    <w:p w14:paraId="5873C178" w14:textId="78F42766" w:rsidR="003E2685" w:rsidRPr="00E67A4C" w:rsidRDefault="003E2685" w:rsidP="003E2685">
      <w:pPr>
        <w:pStyle w:val="ListParagraph"/>
        <w:numPr>
          <w:ilvl w:val="0"/>
          <w:numId w:val="18"/>
        </w:numPr>
        <w:tabs>
          <w:tab w:val="left" w:pos="567"/>
        </w:tabs>
        <w:spacing w:after="40"/>
        <w:contextualSpacing w:val="0"/>
        <w:jc w:val="both"/>
      </w:pPr>
      <w:r w:rsidRPr="00E67A4C">
        <w:rPr>
          <w:b/>
        </w:rPr>
        <w:t>Average daily energy intake</w:t>
      </w:r>
      <w:r w:rsidRPr="00E67A4C">
        <w:t xml:space="preserve">: a reference statement expressed as </w:t>
      </w:r>
      <w:r w:rsidRPr="00E67A4C">
        <w:rPr>
          <w:i/>
        </w:rPr>
        <w:t>the average adult daily energy intake is 8700kJ</w:t>
      </w:r>
      <w:r w:rsidRPr="00E67A4C">
        <w:t>.</w:t>
      </w:r>
      <w:r w:rsidRPr="00E67A4C">
        <w:rPr>
          <w:vertAlign w:val="superscript"/>
        </w:rPr>
        <w:t>1</w:t>
      </w:r>
      <w:r w:rsidR="00DA0BDD" w:rsidRPr="00E67A4C">
        <w:rPr>
          <w:vertAlign w:val="superscript"/>
        </w:rPr>
        <w:t>0</w:t>
      </w:r>
    </w:p>
    <w:p w14:paraId="6BD1EDA3" w14:textId="77777777" w:rsidR="003E2685" w:rsidRPr="00E67A4C" w:rsidRDefault="003E2685" w:rsidP="003E2685">
      <w:pPr>
        <w:pStyle w:val="ListParagraph"/>
        <w:numPr>
          <w:ilvl w:val="0"/>
          <w:numId w:val="18"/>
        </w:numPr>
        <w:tabs>
          <w:tab w:val="left" w:pos="567"/>
        </w:tabs>
        <w:spacing w:after="40"/>
        <w:contextualSpacing w:val="0"/>
        <w:jc w:val="both"/>
      </w:pPr>
      <w:r w:rsidRPr="00E67A4C">
        <w:rPr>
          <w:b/>
        </w:rPr>
        <w:t>Point-of-sale</w:t>
      </w:r>
      <w:r w:rsidRPr="00E67A4C">
        <w:t xml:space="preserve">: the place where a customer orders and purchases ready-to-eat food, (places include checkouts, drive-through facilities and self-service devices within physical premises; and electronic sales point via business websites and mobile applications and third-party food delivery platforms).  </w:t>
      </w:r>
    </w:p>
    <w:p w14:paraId="6F966645" w14:textId="77777777" w:rsidR="003E2685" w:rsidRPr="00E67A4C" w:rsidRDefault="003E2685" w:rsidP="003E2685">
      <w:pPr>
        <w:pStyle w:val="ListParagraph"/>
        <w:numPr>
          <w:ilvl w:val="0"/>
          <w:numId w:val="18"/>
        </w:numPr>
        <w:tabs>
          <w:tab w:val="left" w:pos="567"/>
        </w:tabs>
        <w:spacing w:after="40"/>
        <w:contextualSpacing w:val="0"/>
        <w:jc w:val="both"/>
      </w:pPr>
      <w:r w:rsidRPr="00E67A4C">
        <w:rPr>
          <w:b/>
        </w:rPr>
        <w:t>Category</w:t>
      </w:r>
      <w:r w:rsidRPr="00E67A4C">
        <w:rPr>
          <w:bCs/>
        </w:rPr>
        <w:t xml:space="preserve">: a type or group of standard food items, for example burgers, sandwiches, beverages, sides, desserts. </w:t>
      </w:r>
    </w:p>
    <w:p w14:paraId="77DE602C" w14:textId="77777777" w:rsidR="003E2685" w:rsidRPr="00E67A4C" w:rsidRDefault="003E2685" w:rsidP="003E2685">
      <w:pPr>
        <w:pStyle w:val="ListParagraph"/>
        <w:numPr>
          <w:ilvl w:val="0"/>
          <w:numId w:val="18"/>
        </w:numPr>
        <w:tabs>
          <w:tab w:val="left" w:pos="567"/>
        </w:tabs>
        <w:spacing w:after="40"/>
        <w:contextualSpacing w:val="0"/>
        <w:jc w:val="both"/>
      </w:pPr>
      <w:r w:rsidRPr="00E67A4C">
        <w:rPr>
          <w:b/>
        </w:rPr>
        <w:t>Menu</w:t>
      </w:r>
      <w:r w:rsidRPr="00E67A4C">
        <w:t>: a list or similar that shows one or more standard food items available for sale, in printed or electronic form (including, but not limited to, menu boards, posters, leaflets, price/food/identifying tags or labels, digital menu panels, business websites, mobile applications, third-party food delivery platforms, printed and online catalogues).</w:t>
      </w:r>
    </w:p>
    <w:p w14:paraId="291C629C" w14:textId="2CA172A2" w:rsidR="003E2685" w:rsidRPr="00E67A4C" w:rsidRDefault="003E2685" w:rsidP="003E2685">
      <w:pPr>
        <w:pStyle w:val="ListParagraph"/>
        <w:numPr>
          <w:ilvl w:val="0"/>
          <w:numId w:val="18"/>
        </w:numPr>
        <w:tabs>
          <w:tab w:val="left" w:pos="567"/>
        </w:tabs>
        <w:spacing w:after="40"/>
        <w:contextualSpacing w:val="0"/>
        <w:jc w:val="both"/>
      </w:pPr>
      <w:r w:rsidRPr="00E67A4C">
        <w:rPr>
          <w:b/>
        </w:rPr>
        <w:t>Standard food item</w:t>
      </w:r>
      <w:r w:rsidRPr="00E67A4C">
        <w:t>: ready-to-eat food</w:t>
      </w:r>
      <w:r w:rsidRPr="00E67A4C">
        <w:rPr>
          <w:vertAlign w:val="superscript"/>
        </w:rPr>
        <w:t>1</w:t>
      </w:r>
      <w:r w:rsidR="00DA0BDD" w:rsidRPr="00E67A4C">
        <w:rPr>
          <w:vertAlign w:val="superscript"/>
        </w:rPr>
        <w:t>1</w:t>
      </w:r>
      <w:r w:rsidRPr="00E67A4C">
        <w:t xml:space="preserve"> that is sold in servings that are standardised for portion and content, and which is not required to bear a label</w:t>
      </w:r>
      <w:r w:rsidRPr="00E67A4C">
        <w:rPr>
          <w:vertAlign w:val="superscript"/>
        </w:rPr>
        <w:t>1</w:t>
      </w:r>
      <w:r w:rsidR="00DA0BDD" w:rsidRPr="00E67A4C">
        <w:rPr>
          <w:vertAlign w:val="superscript"/>
        </w:rPr>
        <w:t>1</w:t>
      </w:r>
      <w:r w:rsidRPr="00E67A4C">
        <w:t xml:space="preserve">; includes items available in different serving sizes (e.g. small, medium, large), but not items sold by weight (e.g. salads from a deli) as not standardised by portion. </w:t>
      </w:r>
    </w:p>
    <w:p w14:paraId="40FFC06E" w14:textId="77777777" w:rsidR="003E2685" w:rsidRPr="00E67A4C" w:rsidRDefault="003E2685" w:rsidP="003E2685">
      <w:pPr>
        <w:pStyle w:val="ListParagraph"/>
        <w:numPr>
          <w:ilvl w:val="0"/>
          <w:numId w:val="18"/>
        </w:numPr>
        <w:tabs>
          <w:tab w:val="left" w:pos="567"/>
        </w:tabs>
        <w:spacing w:after="40"/>
        <w:contextualSpacing w:val="0"/>
        <w:jc w:val="both"/>
      </w:pPr>
      <w:r w:rsidRPr="00E67A4C">
        <w:rPr>
          <w:b/>
        </w:rPr>
        <w:t>Combination meal</w:t>
      </w:r>
      <w:r w:rsidRPr="00E67A4C">
        <w:t>: a combination of two or more standard food items (e.g. cheeseburger and hot chips); or a combination of standard food items and pre-packaged food (e.g. salad sandwich and a can of drink).</w:t>
      </w:r>
    </w:p>
    <w:p w14:paraId="2E8619EC" w14:textId="77777777" w:rsidR="003E2685" w:rsidRPr="00E67A4C" w:rsidRDefault="003E2685" w:rsidP="003E2685">
      <w:pPr>
        <w:pStyle w:val="ListParagraph"/>
        <w:numPr>
          <w:ilvl w:val="0"/>
          <w:numId w:val="18"/>
        </w:numPr>
        <w:tabs>
          <w:tab w:val="left" w:pos="567"/>
        </w:tabs>
        <w:spacing w:after="40"/>
        <w:contextualSpacing w:val="0"/>
        <w:jc w:val="both"/>
      </w:pPr>
      <w:r w:rsidRPr="00E67A4C">
        <w:rPr>
          <w:b/>
        </w:rPr>
        <w:t>Multi-serve item</w:t>
      </w:r>
      <w:r w:rsidRPr="00E67A4C">
        <w:t>: a standard food item that provides more than one serving and is not intended to be consumed by one person (e.g. whole cake, pizza). Energy information to be displayed for the whole item as well as per serving to enable comparison with single-serve items.</w:t>
      </w:r>
    </w:p>
    <w:p w14:paraId="699D4408" w14:textId="77777777" w:rsidR="003E2685" w:rsidRPr="00E67A4C" w:rsidRDefault="003E2685" w:rsidP="003E2685">
      <w:pPr>
        <w:pStyle w:val="ListParagraph"/>
        <w:numPr>
          <w:ilvl w:val="0"/>
          <w:numId w:val="18"/>
        </w:numPr>
        <w:tabs>
          <w:tab w:val="left" w:pos="567"/>
        </w:tabs>
        <w:spacing w:after="40"/>
        <w:contextualSpacing w:val="0"/>
        <w:jc w:val="both"/>
      </w:pPr>
      <w:r w:rsidRPr="00E67A4C">
        <w:rPr>
          <w:b/>
        </w:rPr>
        <w:t>Standardised ingredient</w:t>
      </w:r>
      <w:r w:rsidRPr="00E67A4C">
        <w:t xml:space="preserve">: ingredient that is standardised for portion and content (e.g. bacon, slice of cheese) which can be added by customers to standard food items (e.g. burger); or combined with other standardised ingredients to make a customised menu item (e.g. tortilla, beef filling and guacamole). </w:t>
      </w:r>
    </w:p>
    <w:p w14:paraId="5147C3D1" w14:textId="5AB5A0B4" w:rsidR="003E2685" w:rsidRPr="00E67A4C" w:rsidRDefault="003E2685" w:rsidP="003E2685">
      <w:pPr>
        <w:pStyle w:val="ListParagraph"/>
        <w:numPr>
          <w:ilvl w:val="0"/>
          <w:numId w:val="18"/>
        </w:numPr>
        <w:tabs>
          <w:tab w:val="left" w:pos="567"/>
        </w:tabs>
        <w:spacing w:after="40"/>
        <w:contextualSpacing w:val="0"/>
        <w:jc w:val="both"/>
      </w:pPr>
      <w:r w:rsidRPr="00E67A4C">
        <w:rPr>
          <w:b/>
        </w:rPr>
        <w:t>Standard food outlet</w:t>
      </w:r>
      <w:r w:rsidRPr="00E67A4C">
        <w:t xml:space="preserve">: a food business that sells standard food items at 50 or more outlets in Australia, or 20 or more outlets in an Australian State or 7 or more in an Australian Territory. </w:t>
      </w:r>
      <w:r w:rsidRPr="00E67A4C">
        <w:rPr>
          <w:i/>
        </w:rPr>
        <w:t>(Note: the threshold for New Zealand is to be determined following consultation).</w:t>
      </w:r>
      <w:r w:rsidRPr="00E67A4C">
        <w:t xml:space="preserve"> Food businesses are those owned/operated under franchise arrangements; outlets operated under the same trading name; and outlets owned by the one parent company/central owner/corporation.</w:t>
      </w:r>
    </w:p>
    <w:p w14:paraId="2F1C21CC" w14:textId="4D710360" w:rsidR="00742987" w:rsidRPr="00E67A4C" w:rsidRDefault="00DA0BDD" w:rsidP="00742987">
      <w:pPr>
        <w:pStyle w:val="ListParagraph"/>
        <w:numPr>
          <w:ilvl w:val="0"/>
          <w:numId w:val="34"/>
        </w:numPr>
        <w:tabs>
          <w:tab w:val="left" w:pos="567"/>
        </w:tabs>
        <w:spacing w:after="40"/>
        <w:jc w:val="both"/>
        <w:rPr>
          <w:b/>
          <w:bCs/>
        </w:rPr>
      </w:pPr>
      <w:r w:rsidRPr="00E67A4C">
        <w:rPr>
          <w:b/>
        </w:rPr>
        <w:t>Food regulatory measure</w:t>
      </w:r>
      <w:r w:rsidRPr="00E67A4C">
        <w:rPr>
          <w:bCs/>
        </w:rPr>
        <w:t xml:space="preserve">: </w:t>
      </w:r>
      <w:r w:rsidR="00742987" w:rsidRPr="00E67A4C">
        <w:rPr>
          <w:bCs/>
        </w:rPr>
        <w:t xml:space="preserve">means </w:t>
      </w:r>
      <w:r w:rsidR="00742987" w:rsidRPr="00E67A4C">
        <w:t xml:space="preserve">a food standard developed by Food Standards Australia New Zealand under the </w:t>
      </w:r>
      <w:r w:rsidR="00742987" w:rsidRPr="00E67A4C">
        <w:rPr>
          <w:i/>
          <w:iCs/>
        </w:rPr>
        <w:t>Food Standards Australia New Zealand Act 1991</w:t>
      </w:r>
      <w:r w:rsidR="009462BA" w:rsidRPr="00E67A4C">
        <w:rPr>
          <w:i/>
          <w:iCs/>
        </w:rPr>
        <w:t>.</w:t>
      </w:r>
      <w:r w:rsidR="00742987" w:rsidRPr="00E67A4C">
        <w:t xml:space="preserve"> </w:t>
      </w:r>
    </w:p>
    <w:p w14:paraId="4B900D07" w14:textId="77777777" w:rsidR="00DA0BDD" w:rsidRPr="00E67A4C" w:rsidRDefault="00DA0BDD" w:rsidP="00DA0BDD">
      <w:pPr>
        <w:pStyle w:val="ListParagraph"/>
        <w:tabs>
          <w:tab w:val="left" w:pos="567"/>
        </w:tabs>
        <w:spacing w:after="40"/>
        <w:ind w:left="360"/>
        <w:contextualSpacing w:val="0"/>
        <w:jc w:val="both"/>
      </w:pPr>
    </w:p>
    <w:p w14:paraId="49300BC2" w14:textId="77777777" w:rsidR="003E2685" w:rsidRPr="00E67A4C" w:rsidRDefault="003E2685" w:rsidP="003E2685">
      <w:pPr>
        <w:pStyle w:val="Default"/>
        <w:spacing w:after="40"/>
        <w:jc w:val="both"/>
        <w:rPr>
          <w:b/>
          <w:bCs/>
        </w:rPr>
      </w:pPr>
      <w:r w:rsidRPr="00E67A4C">
        <w:rPr>
          <w:b/>
          <w:bCs/>
        </w:rPr>
        <w:t>REVIEWS AND UPDATES</w:t>
      </w:r>
    </w:p>
    <w:p w14:paraId="499801C3" w14:textId="17523E8E" w:rsidR="003E2685" w:rsidRPr="00E67A4C" w:rsidRDefault="003E2685" w:rsidP="003E2685">
      <w:pPr>
        <w:tabs>
          <w:tab w:val="left" w:pos="567"/>
        </w:tabs>
        <w:spacing w:after="40"/>
        <w:jc w:val="both"/>
      </w:pPr>
      <w:r w:rsidRPr="00E67A4C">
        <w:t>This Policy Guideline should be reviewed and updated as required. Any review should:</w:t>
      </w:r>
    </w:p>
    <w:p w14:paraId="678860FE" w14:textId="77777777" w:rsidR="003E2685" w:rsidRPr="00E67A4C" w:rsidRDefault="003E2685" w:rsidP="003E2685">
      <w:pPr>
        <w:pStyle w:val="ListParagraph"/>
        <w:numPr>
          <w:ilvl w:val="0"/>
          <w:numId w:val="19"/>
        </w:numPr>
        <w:tabs>
          <w:tab w:val="left" w:pos="567"/>
        </w:tabs>
        <w:spacing w:after="40"/>
        <w:contextualSpacing w:val="0"/>
        <w:jc w:val="both"/>
      </w:pPr>
      <w:r w:rsidRPr="00E67A4C">
        <w:t>Assess whether the Policy Guideline continues to reflect the food environment, dietary patterns, and dietary guidelines.</w:t>
      </w:r>
    </w:p>
    <w:p w14:paraId="75FDD13A" w14:textId="77777777" w:rsidR="003E2685" w:rsidRPr="00E67A4C" w:rsidRDefault="003E2685" w:rsidP="003E2685">
      <w:pPr>
        <w:pStyle w:val="ListParagraph"/>
        <w:numPr>
          <w:ilvl w:val="0"/>
          <w:numId w:val="19"/>
        </w:numPr>
        <w:tabs>
          <w:tab w:val="left" w:pos="567"/>
        </w:tabs>
        <w:spacing w:after="40"/>
        <w:contextualSpacing w:val="0"/>
        <w:jc w:val="both"/>
      </w:pPr>
      <w:r w:rsidRPr="00E67A4C">
        <w:lastRenderedPageBreak/>
        <w:t>Assess whether displaying nutrition information such as the amount of added sugars, sodium, saturated fat, alcohol, and/or other nutrients, would assist people to make healthier choices.</w:t>
      </w:r>
    </w:p>
    <w:p w14:paraId="25509FEC" w14:textId="77777777" w:rsidR="003E2685" w:rsidRPr="00E67A4C" w:rsidRDefault="003E2685" w:rsidP="003E2685">
      <w:pPr>
        <w:pStyle w:val="ListParagraph"/>
        <w:numPr>
          <w:ilvl w:val="0"/>
          <w:numId w:val="19"/>
        </w:numPr>
        <w:tabs>
          <w:tab w:val="left" w:pos="567"/>
        </w:tabs>
        <w:spacing w:after="40"/>
        <w:contextualSpacing w:val="0"/>
        <w:jc w:val="both"/>
      </w:pPr>
      <w:r w:rsidRPr="00E67A4C">
        <w:t xml:space="preserve">Consider the impacts of any promotional approaches on consumer behaviour and health outcomes. </w:t>
      </w:r>
    </w:p>
    <w:p w14:paraId="2113F255" w14:textId="77777777" w:rsidR="003E2685" w:rsidRPr="00E67A4C" w:rsidRDefault="003E2685" w:rsidP="003E2685">
      <w:pPr>
        <w:pStyle w:val="ListParagraph"/>
        <w:numPr>
          <w:ilvl w:val="0"/>
          <w:numId w:val="19"/>
        </w:numPr>
        <w:tabs>
          <w:tab w:val="left" w:pos="567"/>
        </w:tabs>
        <w:spacing w:after="40"/>
        <w:contextualSpacing w:val="0"/>
        <w:jc w:val="both"/>
      </w:pPr>
      <w:r w:rsidRPr="00E67A4C">
        <w:t>Be informed by emerging evidence of the impacts of menu labelling in Australia and New Zealand as well as the regulation of menu labelling in other jurisdictions.</w:t>
      </w:r>
    </w:p>
    <w:p w14:paraId="1544794E" w14:textId="77777777" w:rsidR="003E2685" w:rsidRPr="00E67A4C" w:rsidRDefault="003E2685" w:rsidP="003E2685">
      <w:pPr>
        <w:pStyle w:val="ListParagraph"/>
        <w:numPr>
          <w:ilvl w:val="0"/>
          <w:numId w:val="19"/>
        </w:numPr>
        <w:tabs>
          <w:tab w:val="left" w:pos="567"/>
        </w:tabs>
        <w:spacing w:after="40"/>
        <w:contextualSpacing w:val="0"/>
        <w:jc w:val="both"/>
      </w:pPr>
      <w:r w:rsidRPr="00E67A4C">
        <w:t>Use a coordinated, collaborative bi-national approach to evaluation for consistency and to maximise the outputs from limited resources.</w:t>
      </w:r>
    </w:p>
    <w:p w14:paraId="7EEE5151" w14:textId="77777777" w:rsidR="003E2685" w:rsidRPr="00E67A4C" w:rsidRDefault="003E2685" w:rsidP="003E2685">
      <w:pPr>
        <w:pStyle w:val="ListParagraph"/>
        <w:numPr>
          <w:ilvl w:val="0"/>
          <w:numId w:val="19"/>
        </w:numPr>
        <w:tabs>
          <w:tab w:val="left" w:pos="567"/>
        </w:tabs>
        <w:spacing w:after="40"/>
        <w:contextualSpacing w:val="0"/>
        <w:jc w:val="both"/>
      </w:pPr>
      <w:r w:rsidRPr="00E67A4C">
        <w:t>Be informed by consultation with stakeholders.</w:t>
      </w:r>
    </w:p>
    <w:p w14:paraId="17B2822B" w14:textId="77777777" w:rsidR="003E2685" w:rsidRPr="00E67A4C" w:rsidRDefault="003E2685" w:rsidP="003E2685">
      <w:pPr>
        <w:pStyle w:val="ListParagraph"/>
        <w:tabs>
          <w:tab w:val="left" w:pos="567"/>
        </w:tabs>
        <w:spacing w:after="40"/>
        <w:ind w:left="0"/>
        <w:contextualSpacing w:val="0"/>
      </w:pPr>
    </w:p>
    <w:p w14:paraId="2E460A9F" w14:textId="77777777" w:rsidR="003E2685" w:rsidRPr="00E67A4C" w:rsidRDefault="003E2685" w:rsidP="003E2685">
      <w:pPr>
        <w:pStyle w:val="EndnoteText"/>
        <w:spacing w:after="40"/>
        <w:rPr>
          <w:rFonts w:ascii="Times New Roman" w:hAnsi="Times New Roman"/>
          <w:i/>
          <w:sz w:val="18"/>
          <w:szCs w:val="18"/>
        </w:rPr>
      </w:pPr>
      <w:r w:rsidRPr="00E67A4C">
        <w:rPr>
          <w:rFonts w:ascii="Times New Roman" w:hAnsi="Times New Roman"/>
          <w:sz w:val="18"/>
          <w:szCs w:val="18"/>
          <w:lang w:val="en-US"/>
        </w:rPr>
        <w:t xml:space="preserve">1 </w:t>
      </w:r>
      <w:r w:rsidRPr="00E67A4C">
        <w:rPr>
          <w:rFonts w:ascii="Times New Roman" w:hAnsi="Times New Roman"/>
          <w:sz w:val="18"/>
          <w:szCs w:val="18"/>
        </w:rPr>
        <w:t xml:space="preserve">Enhanced Media Metrics Australia. 2014. </w:t>
      </w:r>
      <w:r w:rsidRPr="00E67A4C">
        <w:rPr>
          <w:rFonts w:ascii="Times New Roman" w:hAnsi="Times New Roman"/>
          <w:i/>
          <w:sz w:val="18"/>
          <w:szCs w:val="18"/>
        </w:rPr>
        <w:t>Industry Report: Out of Home Dining.</w:t>
      </w:r>
      <w:r w:rsidRPr="00E67A4C">
        <w:rPr>
          <w:rFonts w:ascii="Times New Roman" w:hAnsi="Times New Roman"/>
          <w:sz w:val="18"/>
          <w:szCs w:val="18"/>
        </w:rPr>
        <w:t xml:space="preserve"> </w:t>
      </w:r>
      <w:hyperlink r:id="rId14" w:history="1">
        <w:r w:rsidRPr="00E67A4C">
          <w:rPr>
            <w:rStyle w:val="Hyperlink"/>
            <w:rFonts w:ascii="Times New Roman" w:hAnsi="Times New Roman"/>
            <w:sz w:val="18"/>
            <w:szCs w:val="18"/>
          </w:rPr>
          <w:t>https://www.emma.com.au/wp-content/uploads/2014/03/emma-Industry-Report_Out-of-Home-Dining_website-version.pdf</w:t>
        </w:r>
      </w:hyperlink>
      <w:r w:rsidRPr="00E67A4C">
        <w:rPr>
          <w:rFonts w:ascii="Times New Roman" w:hAnsi="Times New Roman"/>
          <w:i/>
          <w:sz w:val="18"/>
          <w:szCs w:val="18"/>
        </w:rPr>
        <w:t xml:space="preserve"> </w:t>
      </w:r>
    </w:p>
    <w:p w14:paraId="50123035" w14:textId="77777777" w:rsidR="003E2685" w:rsidRPr="00E67A4C" w:rsidRDefault="003E2685" w:rsidP="003E2685">
      <w:pPr>
        <w:pStyle w:val="EndnoteText"/>
        <w:spacing w:after="40"/>
        <w:rPr>
          <w:rFonts w:ascii="Times New Roman" w:hAnsi="Times New Roman"/>
          <w:iCs/>
          <w:sz w:val="18"/>
          <w:szCs w:val="18"/>
          <w:lang w:val="en-AU"/>
        </w:rPr>
      </w:pPr>
      <w:r w:rsidRPr="00E67A4C">
        <w:rPr>
          <w:rFonts w:ascii="Times New Roman" w:hAnsi="Times New Roman"/>
          <w:iCs/>
          <w:sz w:val="18"/>
          <w:szCs w:val="18"/>
        </w:rPr>
        <w:t xml:space="preserve">2 </w:t>
      </w:r>
      <w:r w:rsidRPr="00E67A4C">
        <w:rPr>
          <w:rFonts w:ascii="Times New Roman" w:hAnsi="Times New Roman"/>
          <w:sz w:val="18"/>
          <w:szCs w:val="18"/>
        </w:rPr>
        <w:t xml:space="preserve">Department of Agriculture and Water Resources. 2018. </w:t>
      </w:r>
      <w:r w:rsidRPr="00E67A4C">
        <w:rPr>
          <w:rFonts w:ascii="Times New Roman" w:hAnsi="Times New Roman"/>
          <w:i/>
          <w:iCs/>
          <w:sz w:val="18"/>
          <w:szCs w:val="18"/>
        </w:rPr>
        <w:t xml:space="preserve">Food demand in Australia: trends and issues 2018. </w:t>
      </w:r>
      <w:hyperlink r:id="rId15" w:history="1">
        <w:r w:rsidRPr="00E67A4C">
          <w:rPr>
            <w:rStyle w:val="Hyperlink"/>
            <w:rFonts w:ascii="Times New Roman" w:hAnsi="Times New Roman"/>
            <w:sz w:val="18"/>
            <w:szCs w:val="18"/>
          </w:rPr>
          <w:t>http://data.daff.gov.au/data/warehouse/9aat/2018/fdati9aat20180822/FoodDemandInAustralia_20180822_v1.0.0.pdf</w:t>
        </w:r>
      </w:hyperlink>
    </w:p>
    <w:p w14:paraId="64D02ECE" w14:textId="77777777" w:rsidR="003E2685" w:rsidRPr="00E67A4C" w:rsidRDefault="003E2685" w:rsidP="003E2685">
      <w:pPr>
        <w:pStyle w:val="EndnoteText"/>
        <w:spacing w:after="40"/>
        <w:rPr>
          <w:rFonts w:ascii="Times New Roman" w:hAnsi="Times New Roman"/>
          <w:sz w:val="18"/>
          <w:szCs w:val="18"/>
        </w:rPr>
      </w:pPr>
      <w:r w:rsidRPr="00E67A4C">
        <w:rPr>
          <w:rFonts w:ascii="Times New Roman" w:hAnsi="Times New Roman"/>
          <w:sz w:val="18"/>
          <w:szCs w:val="18"/>
          <w:lang w:val="en-US"/>
        </w:rPr>
        <w:t xml:space="preserve">3 </w:t>
      </w:r>
      <w:r w:rsidRPr="00E67A4C">
        <w:rPr>
          <w:rFonts w:ascii="Times New Roman" w:hAnsi="Times New Roman"/>
          <w:sz w:val="18"/>
          <w:szCs w:val="18"/>
        </w:rPr>
        <w:t xml:space="preserve">Stats NZ. </w:t>
      </w:r>
      <w:r w:rsidRPr="00E67A4C">
        <w:rPr>
          <w:rFonts w:ascii="Times New Roman" w:hAnsi="Times New Roman"/>
          <w:i/>
          <w:sz w:val="18"/>
          <w:szCs w:val="18"/>
        </w:rPr>
        <w:t>Household Expenditure Statistics: Year ended June 2016</w:t>
      </w:r>
      <w:r w:rsidRPr="00E67A4C">
        <w:rPr>
          <w:rFonts w:ascii="Times New Roman" w:hAnsi="Times New Roman"/>
          <w:sz w:val="18"/>
          <w:szCs w:val="18"/>
        </w:rPr>
        <w:t xml:space="preserve">. </w:t>
      </w:r>
      <w:hyperlink r:id="rId16" w:history="1">
        <w:r w:rsidRPr="00E67A4C">
          <w:rPr>
            <w:rStyle w:val="Hyperlink"/>
            <w:rFonts w:ascii="Times New Roman" w:hAnsi="Times New Roman"/>
            <w:sz w:val="18"/>
            <w:szCs w:val="18"/>
          </w:rPr>
          <w:t>https://www.stats.govt.nz/information-releases/household-expenditure-statistics-year-ended-june-2016</w:t>
        </w:r>
      </w:hyperlink>
      <w:r w:rsidRPr="00E67A4C">
        <w:rPr>
          <w:rFonts w:ascii="Times New Roman" w:hAnsi="Times New Roman"/>
          <w:sz w:val="18"/>
          <w:szCs w:val="18"/>
        </w:rPr>
        <w:t xml:space="preserve"> </w:t>
      </w:r>
    </w:p>
    <w:p w14:paraId="21A06E9A" w14:textId="1A59995C" w:rsidR="003E2685" w:rsidRPr="00E67A4C" w:rsidRDefault="003E2685" w:rsidP="003E2685">
      <w:pPr>
        <w:pStyle w:val="EndnoteText"/>
        <w:spacing w:after="40"/>
        <w:rPr>
          <w:rFonts w:ascii="Times New Roman" w:eastAsia="Calibri" w:hAnsi="Times New Roman"/>
          <w:bCs/>
          <w:iCs/>
          <w:color w:val="000000"/>
          <w:sz w:val="18"/>
          <w:szCs w:val="18"/>
          <w:lang w:val="en-AU"/>
        </w:rPr>
      </w:pPr>
      <w:r w:rsidRPr="00E67A4C">
        <w:rPr>
          <w:rFonts w:ascii="Times New Roman" w:hAnsi="Times New Roman"/>
          <w:sz w:val="18"/>
          <w:szCs w:val="18"/>
          <w:lang w:val="en-US"/>
        </w:rPr>
        <w:t xml:space="preserve">4 </w:t>
      </w:r>
      <w:r w:rsidRPr="00E67A4C">
        <w:rPr>
          <w:rFonts w:ascii="Times New Roman" w:eastAsia="Calibri" w:hAnsi="Times New Roman"/>
          <w:bCs/>
          <w:iCs/>
          <w:color w:val="000000"/>
          <w:sz w:val="18"/>
          <w:szCs w:val="18"/>
          <w:lang w:val="en-AU"/>
        </w:rPr>
        <w:t xml:space="preserve">Rayner M et al. 2013. Monitoring the health-related labelling on foods and non-alcoholic beverages in retail settings. </w:t>
      </w:r>
      <w:r w:rsidRPr="00E67A4C">
        <w:rPr>
          <w:rFonts w:ascii="Times New Roman" w:eastAsia="Calibri" w:hAnsi="Times New Roman"/>
          <w:bCs/>
          <w:i/>
          <w:color w:val="000000"/>
          <w:sz w:val="18"/>
          <w:szCs w:val="18"/>
          <w:lang w:val="en-AU"/>
        </w:rPr>
        <w:t>Obesity Reviews</w:t>
      </w:r>
      <w:r w:rsidRPr="00E67A4C">
        <w:rPr>
          <w:rFonts w:ascii="Times New Roman" w:eastAsia="Calibri" w:hAnsi="Times New Roman"/>
          <w:bCs/>
          <w:iCs/>
          <w:color w:val="000000"/>
          <w:sz w:val="18"/>
          <w:szCs w:val="18"/>
          <w:lang w:val="en-AU"/>
        </w:rPr>
        <w:t>, 14(S1): 70-81.</w:t>
      </w:r>
    </w:p>
    <w:p w14:paraId="22BFD4A7" w14:textId="17C19897" w:rsidR="003E2685" w:rsidRPr="00E67A4C" w:rsidRDefault="00DA0BDD" w:rsidP="003E2685">
      <w:pPr>
        <w:pStyle w:val="EndnoteText"/>
        <w:spacing w:after="40"/>
        <w:rPr>
          <w:rFonts w:ascii="Times New Roman" w:hAnsi="Times New Roman"/>
          <w:sz w:val="18"/>
          <w:szCs w:val="18"/>
          <w:lang w:val="en-US"/>
        </w:rPr>
      </w:pPr>
      <w:r w:rsidRPr="00E67A4C">
        <w:rPr>
          <w:rFonts w:ascii="Times New Roman" w:hAnsi="Times New Roman"/>
          <w:sz w:val="18"/>
          <w:szCs w:val="18"/>
          <w:lang w:val="en-US"/>
        </w:rPr>
        <w:t>5</w:t>
      </w:r>
      <w:r w:rsidR="003E2685" w:rsidRPr="00E67A4C">
        <w:rPr>
          <w:rFonts w:ascii="Times New Roman" w:hAnsi="Times New Roman"/>
          <w:sz w:val="18"/>
          <w:szCs w:val="18"/>
          <w:lang w:val="en-US"/>
        </w:rPr>
        <w:t xml:space="preserve"> </w:t>
      </w:r>
      <w:r w:rsidR="003E2685" w:rsidRPr="00E67A4C">
        <w:rPr>
          <w:rFonts w:ascii="Times New Roman" w:hAnsi="Times New Roman"/>
          <w:i/>
          <w:sz w:val="18"/>
          <w:szCs w:val="18"/>
          <w:lang w:val="en-AU"/>
        </w:rPr>
        <w:t>Food Standards Australia New Zealand (FSANZ) Act 1991, Part 2, Division 2, Section 18(1)</w:t>
      </w:r>
    </w:p>
    <w:p w14:paraId="344DC1D1" w14:textId="75E16F4F" w:rsidR="003E2685" w:rsidRPr="00E67A4C" w:rsidRDefault="00DA0BDD" w:rsidP="003E2685">
      <w:pPr>
        <w:pStyle w:val="EndnoteText"/>
        <w:spacing w:after="40"/>
        <w:rPr>
          <w:rFonts w:ascii="Times New Roman" w:hAnsi="Times New Roman"/>
          <w:sz w:val="18"/>
          <w:szCs w:val="18"/>
          <w:lang w:val="en-US"/>
        </w:rPr>
      </w:pPr>
      <w:r w:rsidRPr="00E67A4C">
        <w:rPr>
          <w:rFonts w:ascii="Times New Roman" w:hAnsi="Times New Roman"/>
          <w:sz w:val="18"/>
          <w:szCs w:val="18"/>
          <w:lang w:val="en-US"/>
        </w:rPr>
        <w:t>6</w:t>
      </w:r>
      <w:r w:rsidR="003E2685" w:rsidRPr="00E67A4C">
        <w:rPr>
          <w:rFonts w:ascii="Times New Roman" w:hAnsi="Times New Roman"/>
          <w:sz w:val="18"/>
          <w:szCs w:val="18"/>
        </w:rPr>
        <w:t xml:space="preserve"> Available at: </w:t>
      </w:r>
      <w:hyperlink r:id="rId17" w:history="1">
        <w:r w:rsidR="003E2685" w:rsidRPr="00E67A4C">
          <w:rPr>
            <w:rStyle w:val="Hyperlink"/>
            <w:rFonts w:ascii="Times New Roman" w:hAnsi="Times New Roman"/>
            <w:sz w:val="18"/>
            <w:szCs w:val="18"/>
          </w:rPr>
          <w:t>https://foodregulation.gov.au/internet/fr/publishing.nsf/Content/key-system-documents</w:t>
        </w:r>
      </w:hyperlink>
    </w:p>
    <w:p w14:paraId="26113CC7" w14:textId="6EBEADC0" w:rsidR="003E2685" w:rsidRPr="00E67A4C" w:rsidRDefault="00DA0BDD" w:rsidP="003E2685">
      <w:pPr>
        <w:pStyle w:val="EndnoteText"/>
        <w:spacing w:after="40"/>
        <w:rPr>
          <w:rFonts w:ascii="Times New Roman" w:hAnsi="Times New Roman"/>
          <w:sz w:val="18"/>
          <w:szCs w:val="18"/>
          <w:lang w:val="en-US"/>
        </w:rPr>
      </w:pPr>
      <w:r w:rsidRPr="00E67A4C">
        <w:rPr>
          <w:rFonts w:ascii="Times New Roman" w:hAnsi="Times New Roman"/>
          <w:sz w:val="18"/>
          <w:szCs w:val="18"/>
          <w:lang w:val="en-US"/>
        </w:rPr>
        <w:t>7</w:t>
      </w:r>
      <w:r w:rsidR="003E2685" w:rsidRPr="00E67A4C">
        <w:rPr>
          <w:rFonts w:ascii="Times New Roman" w:hAnsi="Times New Roman"/>
          <w:iCs/>
          <w:sz w:val="18"/>
          <w:szCs w:val="18"/>
          <w:lang w:val="en-AU"/>
        </w:rPr>
        <w:t xml:space="preserve"> Council of Australian Government. 2007. </w:t>
      </w:r>
      <w:r w:rsidR="003E2685" w:rsidRPr="00E67A4C">
        <w:rPr>
          <w:rFonts w:ascii="Times New Roman" w:hAnsi="Times New Roman"/>
          <w:i/>
          <w:sz w:val="18"/>
          <w:szCs w:val="18"/>
          <w:lang w:val="en-AU"/>
        </w:rPr>
        <w:t>Best Practice Regulation: A guide for ministerial councils and national standard setting bodies.</w:t>
      </w:r>
      <w:r w:rsidR="003E2685" w:rsidRPr="00E67A4C">
        <w:rPr>
          <w:rFonts w:ascii="Times New Roman" w:hAnsi="Times New Roman"/>
          <w:sz w:val="18"/>
          <w:szCs w:val="18"/>
        </w:rPr>
        <w:t xml:space="preserve"> </w:t>
      </w:r>
      <w:hyperlink r:id="rId18" w:history="1">
        <w:r w:rsidR="003E2685" w:rsidRPr="00E67A4C">
          <w:rPr>
            <w:rStyle w:val="Hyperlink"/>
            <w:rFonts w:ascii="Times New Roman" w:hAnsi="Times New Roman"/>
            <w:sz w:val="18"/>
            <w:szCs w:val="18"/>
          </w:rPr>
          <w:t>https://www.pmc.gov.au/resource-centre/regulation/best-practice-regulation-guide-ministerial-councils-and-national-standard-setting-bodies</w:t>
        </w:r>
      </w:hyperlink>
    </w:p>
    <w:p w14:paraId="7E556D90" w14:textId="791927AA" w:rsidR="003E2685" w:rsidRPr="00E67A4C" w:rsidRDefault="00DA0BDD" w:rsidP="003E2685">
      <w:pPr>
        <w:pStyle w:val="EndnoteText"/>
        <w:spacing w:after="40"/>
        <w:rPr>
          <w:rStyle w:val="Hyperlink"/>
          <w:rFonts w:ascii="Times New Roman" w:hAnsi="Times New Roman"/>
          <w:color w:val="auto"/>
          <w:sz w:val="18"/>
          <w:szCs w:val="18"/>
          <w:u w:val="none"/>
          <w:lang w:val="en-US"/>
        </w:rPr>
      </w:pPr>
      <w:r w:rsidRPr="00E67A4C">
        <w:rPr>
          <w:rFonts w:ascii="Times New Roman" w:hAnsi="Times New Roman"/>
          <w:sz w:val="18"/>
          <w:szCs w:val="18"/>
          <w:lang w:val="en-US"/>
        </w:rPr>
        <w:t>8</w:t>
      </w:r>
      <w:r w:rsidR="003E2685" w:rsidRPr="00E67A4C">
        <w:rPr>
          <w:rFonts w:ascii="Times New Roman" w:hAnsi="Times New Roman"/>
          <w:sz w:val="18"/>
          <w:szCs w:val="18"/>
        </w:rPr>
        <w:t xml:space="preserve"> Government of New Zealand. 2017. </w:t>
      </w:r>
      <w:r w:rsidR="003E2685" w:rsidRPr="00E67A4C">
        <w:rPr>
          <w:rFonts w:ascii="Times New Roman" w:hAnsi="Times New Roman"/>
          <w:i/>
          <w:iCs/>
          <w:sz w:val="18"/>
          <w:szCs w:val="18"/>
        </w:rPr>
        <w:t xml:space="preserve">Government Expectations for Good Regulatory Practice. </w:t>
      </w:r>
      <w:hyperlink r:id="rId19" w:history="1">
        <w:r w:rsidR="003E2685" w:rsidRPr="00E67A4C">
          <w:rPr>
            <w:rStyle w:val="Hyperlink"/>
            <w:rFonts w:ascii="Times New Roman" w:hAnsi="Times New Roman"/>
            <w:sz w:val="18"/>
            <w:szCs w:val="18"/>
          </w:rPr>
          <w:t>https://treasury.govt.nz/publications/guide/government-expectations-good-regulatory-practice</w:t>
        </w:r>
      </w:hyperlink>
    </w:p>
    <w:p w14:paraId="2E593442" w14:textId="7950347C" w:rsidR="003E2685" w:rsidRPr="00E67A4C" w:rsidRDefault="00DA0BDD" w:rsidP="003E2685">
      <w:pPr>
        <w:spacing w:after="40"/>
        <w:rPr>
          <w:sz w:val="18"/>
          <w:szCs w:val="18"/>
        </w:rPr>
      </w:pPr>
      <w:r w:rsidRPr="00E67A4C">
        <w:rPr>
          <w:sz w:val="18"/>
          <w:szCs w:val="18"/>
          <w:lang w:val="en-US"/>
        </w:rPr>
        <w:t>9</w:t>
      </w:r>
      <w:r w:rsidR="003E2685" w:rsidRPr="00E67A4C">
        <w:rPr>
          <w:sz w:val="18"/>
          <w:szCs w:val="18"/>
        </w:rPr>
        <w:t xml:space="preserve"> Note: Some terms defined in the Policy Guideline are already defined in the Australia New Zealand Food Standards Code. It is acknowledged that in developing a food regulatory measure for menu labelling, FSANZ will need to consider the interaction with existing definitions. </w:t>
      </w:r>
    </w:p>
    <w:p w14:paraId="2F36A710" w14:textId="66892F53" w:rsidR="003E2685" w:rsidRPr="00E67A4C" w:rsidRDefault="00753C77" w:rsidP="003E2685">
      <w:pPr>
        <w:spacing w:after="40"/>
        <w:rPr>
          <w:sz w:val="18"/>
          <w:szCs w:val="18"/>
        </w:rPr>
      </w:pPr>
      <w:r w:rsidRPr="00E67A4C">
        <w:rPr>
          <w:sz w:val="18"/>
          <w:szCs w:val="18"/>
        </w:rPr>
        <w:t>1</w:t>
      </w:r>
      <w:r w:rsidR="00DA0BDD" w:rsidRPr="00E67A4C">
        <w:rPr>
          <w:sz w:val="18"/>
          <w:szCs w:val="18"/>
        </w:rPr>
        <w:t>0</w:t>
      </w:r>
      <w:r w:rsidR="003E2685" w:rsidRPr="00E67A4C">
        <w:rPr>
          <w:sz w:val="18"/>
          <w:szCs w:val="18"/>
        </w:rPr>
        <w:t xml:space="preserve"> 8700kJ is the reference value for energy as defined in the Australia New Zealand Food Standards Code – Standard 1.2.8—8 – Percentage daily intake information.</w:t>
      </w:r>
    </w:p>
    <w:p w14:paraId="5EB3D78B" w14:textId="11E00893" w:rsidR="003E2685" w:rsidRPr="001A5E94" w:rsidRDefault="003E2685" w:rsidP="003E2685">
      <w:pPr>
        <w:spacing w:after="40"/>
        <w:rPr>
          <w:sz w:val="18"/>
          <w:szCs w:val="18"/>
        </w:rPr>
      </w:pPr>
      <w:r w:rsidRPr="00E67A4C">
        <w:rPr>
          <w:sz w:val="18"/>
          <w:szCs w:val="18"/>
        </w:rPr>
        <w:t>1</w:t>
      </w:r>
      <w:r w:rsidR="00DA0BDD" w:rsidRPr="00E67A4C">
        <w:rPr>
          <w:sz w:val="18"/>
          <w:szCs w:val="18"/>
        </w:rPr>
        <w:t>1</w:t>
      </w:r>
      <w:r w:rsidRPr="00E67A4C">
        <w:rPr>
          <w:sz w:val="18"/>
          <w:szCs w:val="18"/>
        </w:rPr>
        <w:t xml:space="preserve"> As defined in the Australia New Zealand Food Standards Code – Standard 1.1.2 – Definitions used through the Code.</w:t>
      </w:r>
    </w:p>
    <w:sectPr w:rsidR="003E2685" w:rsidRPr="001A5E94" w:rsidSect="003C34FF">
      <w:pgSz w:w="11900" w:h="16840"/>
      <w:pgMar w:top="1134" w:right="1418" w:bottom="1134" w:left="1418"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E393" w14:textId="77777777" w:rsidR="002B55D1" w:rsidRDefault="002B55D1" w:rsidP="00316D3C">
      <w:r>
        <w:separator/>
      </w:r>
    </w:p>
  </w:endnote>
  <w:endnote w:type="continuationSeparator" w:id="0">
    <w:p w14:paraId="0B0F9C04" w14:textId="77777777" w:rsidR="002B55D1" w:rsidRDefault="002B55D1" w:rsidP="00316D3C">
      <w:r>
        <w:continuationSeparator/>
      </w:r>
    </w:p>
  </w:endnote>
  <w:endnote w:type="continuationNotice" w:id="1">
    <w:p w14:paraId="012ADA9A" w14:textId="77777777" w:rsidR="002B55D1" w:rsidRDefault="002B5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C47C" w14:textId="41C156AD" w:rsidR="002B55D1" w:rsidRPr="002C6055" w:rsidRDefault="002B55D1" w:rsidP="002C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6614" w14:textId="77777777" w:rsidR="002B55D1" w:rsidRDefault="002B55D1" w:rsidP="00316D3C">
      <w:r>
        <w:separator/>
      </w:r>
    </w:p>
  </w:footnote>
  <w:footnote w:type="continuationSeparator" w:id="0">
    <w:p w14:paraId="40F08619" w14:textId="77777777" w:rsidR="002B55D1" w:rsidRDefault="002B55D1" w:rsidP="00316D3C">
      <w:r>
        <w:continuationSeparator/>
      </w:r>
    </w:p>
  </w:footnote>
  <w:footnote w:type="continuationNotice" w:id="1">
    <w:p w14:paraId="6E3018B1" w14:textId="77777777" w:rsidR="002B55D1" w:rsidRDefault="002B55D1"/>
  </w:footnote>
  <w:footnote w:id="2">
    <w:p w14:paraId="77215578" w14:textId="2DCD7BD9" w:rsidR="002B55D1" w:rsidRPr="003D3C4F" w:rsidRDefault="002B55D1" w:rsidP="001F4027">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sz w:val="18"/>
          <w:szCs w:val="18"/>
          <w:lang w:val="en-NZ"/>
        </w:rPr>
        <w:t>Ministers responsible for food regulation from the Australia Federal Government; New Zealand Government; and Australian states and territories.</w:t>
      </w:r>
    </w:p>
  </w:footnote>
  <w:footnote w:id="3">
    <w:p w14:paraId="54017DA1" w14:textId="77777777" w:rsidR="002B55D1" w:rsidRPr="003D3C4F" w:rsidRDefault="002B55D1" w:rsidP="001F4027">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i/>
          <w:iCs/>
          <w:sz w:val="18"/>
          <w:szCs w:val="18"/>
        </w:rPr>
        <w:t>Principles for introducing Point-of-Sale nutrition information at standard food outlets</w:t>
      </w:r>
      <w:r w:rsidRPr="003D3C4F">
        <w:rPr>
          <w:rFonts w:ascii="Times New Roman" w:hAnsi="Times New Roman"/>
          <w:sz w:val="18"/>
          <w:szCs w:val="18"/>
        </w:rPr>
        <w:t xml:space="preserve">. 2011. </w:t>
      </w:r>
      <w:hyperlink r:id="rId1" w:history="1">
        <w:r w:rsidRPr="003D3C4F">
          <w:rPr>
            <w:rStyle w:val="Hyperlink"/>
            <w:rFonts w:ascii="Times New Roman" w:hAnsi="Times New Roman"/>
            <w:sz w:val="18"/>
            <w:szCs w:val="18"/>
          </w:rPr>
          <w:t>https://foodregulation.gov.au/internet/fr/publishing.nsf/Content/publication-principles-point-of-sale-nutrition</w:t>
        </w:r>
      </w:hyperlink>
      <w:r w:rsidRPr="003D3C4F">
        <w:rPr>
          <w:rFonts w:ascii="Times New Roman" w:hAnsi="Times New Roman"/>
          <w:sz w:val="18"/>
          <w:szCs w:val="18"/>
        </w:rPr>
        <w:t xml:space="preserve"> </w:t>
      </w:r>
    </w:p>
  </w:footnote>
  <w:footnote w:id="4">
    <w:p w14:paraId="2FECCAF6" w14:textId="756F83CE" w:rsidR="002B55D1" w:rsidRPr="003D3C4F" w:rsidRDefault="002B55D1" w:rsidP="001F4027">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The Health and Food Collaboration was established to progress work on identifying opportunities for the food regulation system to support obesity prevention objectives. It was a collaboration of Food Regulation Standing Committee (FRSC) and Australian Health Ministers’ Advisory Committee representatives; and has now been disbanded.</w:t>
      </w:r>
    </w:p>
  </w:footnote>
  <w:footnote w:id="5">
    <w:p w14:paraId="2FB013B8" w14:textId="5654DE59" w:rsidR="002B55D1" w:rsidRPr="003D3C4F" w:rsidRDefault="002B55D1" w:rsidP="001F4027">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bookmarkStart w:id="7" w:name="_Hlk37338117"/>
      <w:r w:rsidRPr="003D3C4F">
        <w:rPr>
          <w:rFonts w:ascii="Times New Roman" w:hAnsi="Times New Roman"/>
          <w:sz w:val="18"/>
          <w:szCs w:val="18"/>
        </w:rPr>
        <w:t xml:space="preserve">Australia and New Zealand Ministerial Forum on Food Regulation Communique 16 August 2019. </w:t>
      </w:r>
      <w:hyperlink r:id="rId2" w:history="1">
        <w:r w:rsidRPr="003D3C4F">
          <w:rPr>
            <w:rStyle w:val="Hyperlink"/>
            <w:rFonts w:ascii="Times New Roman" w:eastAsia="Times New Roman" w:hAnsi="Times New Roman"/>
            <w:sz w:val="18"/>
            <w:szCs w:val="18"/>
          </w:rPr>
          <w:t>https://foodregulation.gov.au/internet/fr/publishing.nsf/Content/forum-communique-2019-August</w:t>
        </w:r>
      </w:hyperlink>
      <w:bookmarkEnd w:id="7"/>
    </w:p>
  </w:footnote>
  <w:footnote w:id="6">
    <w:p w14:paraId="1B36312A" w14:textId="25D2861E" w:rsidR="002B55D1" w:rsidRPr="00533888" w:rsidRDefault="002B55D1">
      <w:pPr>
        <w:pStyle w:val="FootnoteText"/>
        <w:rPr>
          <w:lang w:val="en-US"/>
        </w:rPr>
      </w:pPr>
      <w:r w:rsidRPr="00E67A4C">
        <w:rPr>
          <w:rStyle w:val="FootnoteReference"/>
          <w:rFonts w:ascii="Times New Roman" w:hAnsi="Times New Roman"/>
          <w:sz w:val="18"/>
          <w:szCs w:val="18"/>
        </w:rPr>
        <w:footnoteRef/>
      </w:r>
      <w:r w:rsidRPr="00E67A4C">
        <w:rPr>
          <w:rStyle w:val="FootnoteReference"/>
          <w:rFonts w:ascii="Times New Roman" w:hAnsi="Times New Roman"/>
          <w:sz w:val="18"/>
          <w:szCs w:val="18"/>
        </w:rPr>
        <w:t xml:space="preserve"> </w:t>
      </w:r>
      <w:r w:rsidRPr="00E67A4C">
        <w:rPr>
          <w:rFonts w:ascii="Times New Roman" w:hAnsi="Times New Roman"/>
          <w:sz w:val="18"/>
          <w:szCs w:val="18"/>
          <w:lang w:val="en-US"/>
        </w:rPr>
        <w:t>Standard food items are ready-to eat food and drinks that are standardised for content and portion and are not required to bear a label (therefore do not have a nutrition information panel on the packaging).</w:t>
      </w:r>
    </w:p>
  </w:footnote>
  <w:footnote w:id="7">
    <w:p w14:paraId="697F7065" w14:textId="03E1BDCC" w:rsidR="002B55D1" w:rsidRPr="003D3C4F" w:rsidRDefault="002B55D1">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sz w:val="18"/>
          <w:szCs w:val="18"/>
          <w:lang w:val="en-US"/>
        </w:rPr>
        <w:t>Modes of sale include in-store, online, third-party providers; types of menus include digital menu panels, paper menus, menu boards, online menus.</w:t>
      </w:r>
    </w:p>
  </w:footnote>
  <w:footnote w:id="8">
    <w:p w14:paraId="2AD5716D" w14:textId="34A44240" w:rsidR="002B55D1" w:rsidRPr="003D3C4F" w:rsidRDefault="002B55D1" w:rsidP="001F4027">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sz w:val="18"/>
          <w:szCs w:val="18"/>
          <w:lang w:val="en-US"/>
        </w:rPr>
        <w:t xml:space="preserve">Ministerial Policy Guidelines aim to improve outcomes by providing clear and unambiguous policy principles that apply to jurisdictions and bodies making food regulations. The creation of a policy guideline does not trigger regulatory action by FSANZ or changes to current food labelling; however, when FSANZ is developing or reviewing food regulatory measures, regard must be given to any written policy guidelines.   </w:t>
      </w:r>
    </w:p>
  </w:footnote>
  <w:footnote w:id="9">
    <w:p w14:paraId="578565D2" w14:textId="72F002C7" w:rsidR="002B55D1" w:rsidRPr="003D3C4F" w:rsidRDefault="002B55D1" w:rsidP="001F4027">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i/>
          <w:iCs/>
          <w:sz w:val="18"/>
          <w:szCs w:val="18"/>
        </w:rPr>
        <w:t>Australia and New Zealand Ministerial Forum on Food Regulation Communique 16 August 2019</w:t>
      </w:r>
      <w:r w:rsidRPr="003D3C4F">
        <w:rPr>
          <w:rFonts w:ascii="Times New Roman" w:hAnsi="Times New Roman"/>
          <w:sz w:val="18"/>
          <w:szCs w:val="18"/>
        </w:rPr>
        <w:t xml:space="preserve">. </w:t>
      </w:r>
      <w:hyperlink r:id="rId3" w:history="1">
        <w:r w:rsidRPr="003D3C4F">
          <w:rPr>
            <w:rStyle w:val="Hyperlink"/>
            <w:rFonts w:ascii="Times New Roman" w:eastAsia="Times New Roman" w:hAnsi="Times New Roman"/>
            <w:sz w:val="18"/>
            <w:szCs w:val="18"/>
          </w:rPr>
          <w:t>https://foodregulation.gov.au/internet/fr/publishing.nsf/Content/forum-communique-2019-August</w:t>
        </w:r>
      </w:hyperlink>
    </w:p>
  </w:footnote>
  <w:footnote w:id="10">
    <w:p w14:paraId="544637A5" w14:textId="3C9B4C2D" w:rsidR="002B55D1" w:rsidRPr="003D3C4F" w:rsidRDefault="002B55D1" w:rsidP="001F4027">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As defined in the </w:t>
      </w:r>
      <w:r w:rsidRPr="003D3C4F">
        <w:rPr>
          <w:rFonts w:ascii="Times New Roman" w:hAnsi="Times New Roman"/>
          <w:i/>
          <w:iCs/>
          <w:sz w:val="18"/>
          <w:szCs w:val="18"/>
        </w:rPr>
        <w:t>Principles for introducing Point-of-Sale nutrition information at standard food outlets</w:t>
      </w:r>
      <w:r w:rsidRPr="003D3C4F">
        <w:rPr>
          <w:rFonts w:ascii="Times New Roman" w:hAnsi="Times New Roman"/>
          <w:sz w:val="18"/>
          <w:szCs w:val="18"/>
        </w:rPr>
        <w:t xml:space="preserve">. 2011. </w:t>
      </w:r>
      <w:hyperlink r:id="rId4" w:history="1">
        <w:r w:rsidRPr="003D3C4F">
          <w:rPr>
            <w:rStyle w:val="Hyperlink"/>
            <w:rFonts w:ascii="Times New Roman" w:hAnsi="Times New Roman"/>
            <w:sz w:val="18"/>
            <w:szCs w:val="18"/>
          </w:rPr>
          <w:t>https://foodregulation.gov.au/internet/fr/publishing.nsf/Content/publication-principles-point-of-sale-nutrition</w:t>
        </w:r>
      </w:hyperlink>
    </w:p>
  </w:footnote>
  <w:footnote w:id="11">
    <w:p w14:paraId="2B9DA397" w14:textId="3BFFD143" w:rsidR="002B55D1" w:rsidRPr="003D3C4F" w:rsidRDefault="002B55D1" w:rsidP="001F4027">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Ibid.</w:t>
      </w:r>
    </w:p>
  </w:footnote>
  <w:footnote w:id="12">
    <w:p w14:paraId="44933B29" w14:textId="5AB1B1E5" w:rsidR="002B55D1" w:rsidRPr="003D3C4F" w:rsidRDefault="002B55D1" w:rsidP="001F4027">
      <w:pPr>
        <w:rPr>
          <w:sz w:val="18"/>
          <w:szCs w:val="18"/>
        </w:rPr>
      </w:pPr>
      <w:r w:rsidRPr="003D3C4F">
        <w:rPr>
          <w:rStyle w:val="FootnoteReference"/>
          <w:sz w:val="18"/>
          <w:szCs w:val="18"/>
        </w:rPr>
        <w:footnoteRef/>
      </w:r>
      <w:r w:rsidRPr="003D3C4F">
        <w:rPr>
          <w:sz w:val="18"/>
          <w:szCs w:val="18"/>
        </w:rPr>
        <w:t xml:space="preserve"> Under </w:t>
      </w:r>
      <w:r w:rsidRPr="003D3C4F">
        <w:rPr>
          <w:sz w:val="18"/>
          <w:szCs w:val="18"/>
          <w:lang w:eastAsia="zh-CN" w:bidi="th-TH"/>
        </w:rPr>
        <w:t xml:space="preserve">the Food Standards Code, Standard 1.2.1-6 does not require food to bear a label if it is made and packaged on the premises from which it is sold; is packaged in the presence of the purchaser; is delivered packaged, and ready for consumption, at the express order of the purchaser (other than when the food is sold from a vending machine); or is displayed in an assisted service display cabinet. </w:t>
      </w:r>
    </w:p>
  </w:footnote>
  <w:footnote w:id="13">
    <w:p w14:paraId="2A331157" w14:textId="11F44ED2" w:rsidR="002B55D1" w:rsidRPr="00462743" w:rsidRDefault="002B55D1" w:rsidP="001F4027">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Council of Australian Governments. 2007. </w:t>
      </w:r>
      <w:r w:rsidRPr="003D3C4F">
        <w:rPr>
          <w:rFonts w:ascii="Times New Roman" w:hAnsi="Times New Roman"/>
          <w:i/>
          <w:sz w:val="18"/>
          <w:szCs w:val="18"/>
        </w:rPr>
        <w:t>Best Practice Regulation: A Guide for Ministerial Councils and National Standard Setting Bodies</w:t>
      </w:r>
      <w:r w:rsidRPr="003D3C4F">
        <w:rPr>
          <w:rFonts w:ascii="Times New Roman" w:hAnsi="Times New Roman"/>
          <w:sz w:val="18"/>
          <w:szCs w:val="18"/>
        </w:rPr>
        <w:t xml:space="preserve">. </w:t>
      </w:r>
      <w:hyperlink r:id="rId5" w:history="1">
        <w:r w:rsidRPr="003D3C4F">
          <w:rPr>
            <w:rStyle w:val="Hyperlink"/>
            <w:rFonts w:ascii="Times New Roman" w:hAnsi="Times New Roman"/>
            <w:sz w:val="18"/>
            <w:szCs w:val="18"/>
          </w:rPr>
          <w:t>https://www.pmc.gov.au/sites/default/files/publications/COAG_best_practice_guide_2007.pdf</w:t>
        </w:r>
      </w:hyperlink>
    </w:p>
  </w:footnote>
  <w:footnote w:id="14">
    <w:p w14:paraId="042D0582" w14:textId="77777777" w:rsidR="002B55D1" w:rsidRPr="003D3C4F" w:rsidRDefault="002B55D1" w:rsidP="001F4027">
      <w:pPr>
        <w:pStyle w:val="Default"/>
        <w:rPr>
          <w:color w:val="auto"/>
          <w:sz w:val="18"/>
          <w:szCs w:val="18"/>
        </w:rPr>
      </w:pPr>
      <w:r w:rsidRPr="003D3C4F">
        <w:rPr>
          <w:rStyle w:val="FootnoteReference"/>
          <w:color w:val="auto"/>
          <w:sz w:val="18"/>
          <w:szCs w:val="18"/>
        </w:rPr>
        <w:footnoteRef/>
      </w:r>
      <w:r w:rsidRPr="003D3C4F">
        <w:rPr>
          <w:color w:val="auto"/>
          <w:sz w:val="18"/>
          <w:szCs w:val="18"/>
        </w:rPr>
        <w:t xml:space="preserve"> Australian Bureau of Statistics. 2018. </w:t>
      </w:r>
      <w:r w:rsidRPr="003D3C4F">
        <w:rPr>
          <w:i/>
          <w:color w:val="auto"/>
          <w:sz w:val="18"/>
          <w:szCs w:val="18"/>
        </w:rPr>
        <w:t xml:space="preserve">National Health Survey – First Results, Australia 2017-18. </w:t>
      </w:r>
      <w:hyperlink r:id="rId6" w:history="1">
        <w:r w:rsidRPr="003D3C4F">
          <w:rPr>
            <w:rStyle w:val="Hyperlink"/>
            <w:sz w:val="18"/>
            <w:szCs w:val="18"/>
          </w:rPr>
          <w:t>https://www.abs.gov.au/ausstats/abs@.nsf/PrimaryMainFeatures/4364.0.55.001?OpenDocument</w:t>
        </w:r>
      </w:hyperlink>
    </w:p>
  </w:footnote>
  <w:footnote w:id="15">
    <w:p w14:paraId="272B7247" w14:textId="63FF6940" w:rsidR="002B55D1" w:rsidRPr="003D3C4F" w:rsidRDefault="002B55D1">
      <w:pPr>
        <w:pStyle w:val="FootnoteText"/>
        <w:rPr>
          <w:rStyle w:val="Hyperlink"/>
          <w:rFonts w:ascii="Times New Roman" w:eastAsia="Times New Roman" w:hAnsi="Times New Roman"/>
          <w:sz w:val="18"/>
          <w:szCs w:val="18"/>
          <w:lang w:eastAsia="en-AU"/>
        </w:rPr>
      </w:pPr>
      <w:r w:rsidRPr="003D3C4F">
        <w:rPr>
          <w:rStyle w:val="FootnoteReference"/>
          <w:rFonts w:ascii="Times New Roman" w:eastAsia="Times New Roman" w:hAnsi="Times New Roman"/>
          <w:sz w:val="18"/>
          <w:szCs w:val="18"/>
          <w:lang w:eastAsia="en-AU"/>
        </w:rPr>
        <w:footnoteRef/>
      </w:r>
      <w:r w:rsidRPr="003D3C4F">
        <w:rPr>
          <w:rStyle w:val="FootnoteReference"/>
          <w:rFonts w:ascii="Times New Roman" w:eastAsia="Times New Roman" w:hAnsi="Times New Roman"/>
          <w:sz w:val="18"/>
          <w:szCs w:val="18"/>
          <w:lang w:eastAsia="en-AU"/>
        </w:rPr>
        <w:t xml:space="preserve"> </w:t>
      </w:r>
      <w:r w:rsidRPr="003D3C4F">
        <w:rPr>
          <w:rFonts w:ascii="Times New Roman" w:eastAsia="Times New Roman" w:hAnsi="Times New Roman"/>
          <w:sz w:val="18"/>
          <w:szCs w:val="18"/>
          <w:lang w:eastAsia="en-AU"/>
        </w:rPr>
        <w:t>Australian Bureau of Statistics. 2019. National Aboriginal and Torres Strait Islander Health Survey, 2018-19.</w:t>
      </w:r>
      <w:r w:rsidRPr="003D3C4F">
        <w:rPr>
          <w:rFonts w:ascii="Times New Roman" w:hAnsi="Times New Roman"/>
          <w:i/>
          <w:sz w:val="18"/>
          <w:szCs w:val="18"/>
        </w:rPr>
        <w:t xml:space="preserve"> </w:t>
      </w:r>
      <w:r w:rsidRPr="003D3C4F">
        <w:rPr>
          <w:rStyle w:val="Hyperlink"/>
          <w:rFonts w:ascii="Times New Roman" w:eastAsia="Times New Roman" w:hAnsi="Times New Roman"/>
          <w:sz w:val="18"/>
          <w:szCs w:val="18"/>
          <w:lang w:eastAsia="en-AU"/>
        </w:rPr>
        <w:t>https://www.abs.gov.au/AUSSTATS/abs@.nsf/Lookup/4715.0Main+Features12018-19?OpenDocument</w:t>
      </w:r>
    </w:p>
  </w:footnote>
  <w:footnote w:id="16">
    <w:p w14:paraId="4E3909F8" w14:textId="77777777" w:rsidR="002B55D1" w:rsidRPr="003D3C4F" w:rsidRDefault="002B55D1" w:rsidP="001F4027">
      <w:pPr>
        <w:pStyle w:val="FootnoteText"/>
        <w:tabs>
          <w:tab w:val="left" w:pos="142"/>
        </w:tabs>
        <w:rPr>
          <w:rFonts w:ascii="Times New Roman" w:hAnsi="Times New Roman"/>
          <w:sz w:val="18"/>
          <w:szCs w:val="18"/>
        </w:rPr>
      </w:pPr>
      <w:r w:rsidRPr="003D3C4F">
        <w:rPr>
          <w:rStyle w:val="FootnoteReference"/>
          <w:rFonts w:ascii="Times New Roman" w:hAnsi="Times New Roman"/>
          <w:sz w:val="18"/>
          <w:szCs w:val="18"/>
        </w:rPr>
        <w:footnoteRef/>
      </w:r>
      <w:r w:rsidRPr="003D3C4F">
        <w:rPr>
          <w:rStyle w:val="FootnoteReference"/>
          <w:rFonts w:ascii="Times New Roman" w:hAnsi="Times New Roman"/>
          <w:sz w:val="18"/>
          <w:szCs w:val="18"/>
        </w:rPr>
        <w:t xml:space="preserve"> </w:t>
      </w:r>
      <w:r w:rsidRPr="003D3C4F">
        <w:rPr>
          <w:rFonts w:ascii="Times New Roman" w:hAnsi="Times New Roman"/>
          <w:sz w:val="18"/>
          <w:szCs w:val="18"/>
        </w:rPr>
        <w:t xml:space="preserve">Ministry of Health. 2019. </w:t>
      </w:r>
      <w:r w:rsidRPr="003D3C4F">
        <w:rPr>
          <w:rFonts w:ascii="Times New Roman" w:hAnsi="Times New Roman"/>
          <w:i/>
          <w:sz w:val="18"/>
          <w:szCs w:val="18"/>
        </w:rPr>
        <w:t>2018/19: New Zealand Health Survey</w:t>
      </w:r>
      <w:r w:rsidRPr="003D3C4F">
        <w:rPr>
          <w:rFonts w:ascii="Times New Roman" w:hAnsi="Times New Roman"/>
          <w:sz w:val="18"/>
          <w:szCs w:val="18"/>
        </w:rPr>
        <w:t xml:space="preserve">. </w:t>
      </w:r>
      <w:hyperlink r:id="rId7" w:history="1">
        <w:r w:rsidRPr="003D3C4F">
          <w:rPr>
            <w:rStyle w:val="Hyperlink"/>
            <w:rFonts w:ascii="Times New Roman" w:hAnsi="Times New Roman"/>
            <w:sz w:val="18"/>
            <w:szCs w:val="18"/>
          </w:rPr>
          <w:t>https://www.health.govt.nz/nz-health-statistics/health-statistics-and-data-sets/obesity-statistics</w:t>
        </w:r>
      </w:hyperlink>
      <w:r w:rsidRPr="003D3C4F">
        <w:rPr>
          <w:rFonts w:ascii="Times New Roman" w:hAnsi="Times New Roman"/>
          <w:sz w:val="18"/>
          <w:szCs w:val="18"/>
        </w:rPr>
        <w:t xml:space="preserve"> </w:t>
      </w:r>
    </w:p>
  </w:footnote>
  <w:footnote w:id="17">
    <w:p w14:paraId="54C8CDB1" w14:textId="1C491C19" w:rsidR="002B55D1" w:rsidRPr="003D3C4F" w:rsidRDefault="002B55D1" w:rsidP="001F4027">
      <w:pPr>
        <w:pStyle w:val="FootnoteText"/>
        <w:tabs>
          <w:tab w:val="left" w:pos="142"/>
        </w:tabs>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Ibid. </w:t>
      </w:r>
    </w:p>
  </w:footnote>
  <w:footnote w:id="18">
    <w:p w14:paraId="628616E3" w14:textId="031481C4" w:rsidR="002B55D1" w:rsidRPr="003D3C4F" w:rsidRDefault="002B55D1" w:rsidP="001F4027">
      <w:pPr>
        <w:rPr>
          <w:sz w:val="18"/>
          <w:szCs w:val="18"/>
          <w:lang w:val="en-US"/>
        </w:rPr>
      </w:pPr>
      <w:r w:rsidRPr="003D3C4F">
        <w:rPr>
          <w:rStyle w:val="FootnoteReference"/>
          <w:sz w:val="18"/>
          <w:szCs w:val="18"/>
        </w:rPr>
        <w:footnoteRef/>
      </w:r>
      <w:r w:rsidRPr="003D3C4F">
        <w:rPr>
          <w:sz w:val="18"/>
          <w:szCs w:val="18"/>
        </w:rPr>
        <w:t xml:space="preserve"> Institute for Health Metrics and Evaluation. 2020. </w:t>
      </w:r>
      <w:r w:rsidRPr="003D3C4F">
        <w:rPr>
          <w:i/>
          <w:iCs/>
          <w:sz w:val="18"/>
          <w:szCs w:val="18"/>
        </w:rPr>
        <w:t xml:space="preserve">GBD 2017. </w:t>
      </w:r>
      <w:r w:rsidRPr="003D3C4F">
        <w:rPr>
          <w:sz w:val="18"/>
          <w:szCs w:val="18"/>
        </w:rPr>
        <w:t xml:space="preserve">Available from </w:t>
      </w:r>
      <w:hyperlink r:id="rId8" w:history="1">
        <w:r w:rsidRPr="003D3C4F">
          <w:rPr>
            <w:rStyle w:val="Hyperlink"/>
            <w:sz w:val="18"/>
            <w:szCs w:val="18"/>
          </w:rPr>
          <w:t>https://vizhub.healthdata.org/gbd-compare/</w:t>
        </w:r>
      </w:hyperlink>
      <w:r w:rsidRPr="003D3C4F">
        <w:rPr>
          <w:sz w:val="18"/>
          <w:szCs w:val="18"/>
        </w:rPr>
        <w:t>.</w:t>
      </w:r>
    </w:p>
  </w:footnote>
  <w:footnote w:id="19">
    <w:p w14:paraId="6D2B3EF8" w14:textId="77777777" w:rsidR="002B55D1" w:rsidRPr="003D3C4F" w:rsidRDefault="002B55D1" w:rsidP="001F4027">
      <w:pPr>
        <w:pStyle w:val="FootnoteText"/>
        <w:rPr>
          <w:rFonts w:ascii="Times New Roman" w:hAnsi="Times New Roman"/>
          <w:sz w:val="18"/>
          <w:szCs w:val="18"/>
          <w:lang w:val="en-NZ"/>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Ministry of Health.  2020.  </w:t>
      </w:r>
      <w:r w:rsidRPr="003D3C4F">
        <w:rPr>
          <w:rFonts w:ascii="Times New Roman" w:hAnsi="Times New Roman"/>
          <w:i/>
          <w:sz w:val="18"/>
          <w:szCs w:val="18"/>
        </w:rPr>
        <w:t xml:space="preserve">Longer Healthier Lives:  New Zealand’s Health 1990-2017.  </w:t>
      </w:r>
      <w:hyperlink r:id="rId9" w:history="1">
        <w:r w:rsidRPr="003D3C4F">
          <w:rPr>
            <w:rFonts w:ascii="Times New Roman" w:eastAsia="Times New Roman" w:hAnsi="Times New Roman"/>
            <w:color w:val="0000FF"/>
            <w:sz w:val="18"/>
            <w:szCs w:val="18"/>
            <w:u w:val="single"/>
          </w:rPr>
          <w:t>https://www.health.govt.nz/system/files/documents/publications/longer-healthier-lives-new-zealands-health-1990-2017.pdf</w:t>
        </w:r>
      </w:hyperlink>
    </w:p>
  </w:footnote>
  <w:footnote w:id="20">
    <w:p w14:paraId="508938A4" w14:textId="29ACECD5" w:rsidR="002B55D1" w:rsidRPr="003D3C4F" w:rsidRDefault="002B55D1" w:rsidP="001F4027">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PricewaterhouseCoopers and Obesity Australia. 2015. </w:t>
      </w:r>
      <w:r w:rsidRPr="003D3C4F">
        <w:rPr>
          <w:rFonts w:ascii="Times New Roman" w:hAnsi="Times New Roman"/>
          <w:i/>
          <w:sz w:val="18"/>
          <w:szCs w:val="18"/>
        </w:rPr>
        <w:t xml:space="preserve">Weighing the cost of obesity: A case for action. </w:t>
      </w:r>
      <w:hyperlink r:id="rId10" w:history="1">
        <w:r w:rsidRPr="003D3C4F">
          <w:rPr>
            <w:rStyle w:val="Hyperlink"/>
            <w:rFonts w:ascii="Times New Roman" w:hAnsi="Times New Roman"/>
            <w:sz w:val="18"/>
            <w:szCs w:val="18"/>
          </w:rPr>
          <w:t>https://www.pwc.com.au/pdf/weighing-the-cost-of-obesity-final.pdf</w:t>
        </w:r>
      </w:hyperlink>
    </w:p>
  </w:footnote>
  <w:footnote w:id="21">
    <w:p w14:paraId="2674DCDE" w14:textId="67576775" w:rsidR="002B55D1" w:rsidRPr="003D3C4F" w:rsidRDefault="002B55D1" w:rsidP="001F4027">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The Collective for Action on Obesity. </w:t>
      </w:r>
      <w:r w:rsidRPr="003D3C4F">
        <w:rPr>
          <w:rFonts w:ascii="Times New Roman" w:hAnsi="Times New Roman"/>
          <w:i/>
          <w:sz w:val="18"/>
          <w:szCs w:val="18"/>
        </w:rPr>
        <w:t>Weighing In: Australia’s growing obesity epidemic.</w:t>
      </w:r>
      <w:r w:rsidRPr="003D3C4F">
        <w:rPr>
          <w:rFonts w:ascii="Times New Roman" w:hAnsi="Times New Roman"/>
          <w:sz w:val="18"/>
          <w:szCs w:val="18"/>
        </w:rPr>
        <w:t xml:space="preserve"> </w:t>
      </w:r>
      <w:hyperlink r:id="rId11" w:history="1">
        <w:r w:rsidRPr="003D3C4F">
          <w:rPr>
            <w:rStyle w:val="Hyperlink"/>
            <w:rFonts w:ascii="Times New Roman" w:hAnsi="Times New Roman"/>
            <w:sz w:val="18"/>
            <w:szCs w:val="18"/>
          </w:rPr>
          <w:t>http://www.obesityaustralia.org/points-of-view</w:t>
        </w:r>
      </w:hyperlink>
      <w:r w:rsidRPr="003D3C4F">
        <w:rPr>
          <w:rFonts w:ascii="Times New Roman" w:hAnsi="Times New Roman"/>
          <w:sz w:val="18"/>
          <w:szCs w:val="18"/>
        </w:rPr>
        <w:t xml:space="preserve"> </w:t>
      </w:r>
    </w:p>
  </w:footnote>
  <w:footnote w:id="22">
    <w:p w14:paraId="28577DF2" w14:textId="29A2502F" w:rsidR="002B55D1" w:rsidRPr="003D3C4F" w:rsidRDefault="002B55D1" w:rsidP="001F4027">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PricewaterhouseCoopers and Obesity Australia. 2015. </w:t>
      </w:r>
      <w:r w:rsidRPr="003D3C4F">
        <w:rPr>
          <w:rFonts w:ascii="Times New Roman" w:hAnsi="Times New Roman"/>
          <w:i/>
          <w:sz w:val="18"/>
          <w:szCs w:val="18"/>
        </w:rPr>
        <w:t xml:space="preserve">Weighing the cost of obesity: A case for action. </w:t>
      </w:r>
      <w:hyperlink r:id="rId12" w:history="1">
        <w:r w:rsidRPr="003D3C4F">
          <w:rPr>
            <w:rStyle w:val="Hyperlink"/>
            <w:rFonts w:ascii="Times New Roman" w:hAnsi="Times New Roman"/>
            <w:sz w:val="18"/>
            <w:szCs w:val="18"/>
          </w:rPr>
          <w:t>https://www.pwc.com.au/pdf/weighing-the-cost-of-obesity-final.pdf</w:t>
        </w:r>
      </w:hyperlink>
      <w:r w:rsidRPr="003D3C4F">
        <w:rPr>
          <w:rFonts w:ascii="Times New Roman" w:hAnsi="Times New Roman"/>
          <w:sz w:val="18"/>
          <w:szCs w:val="18"/>
        </w:rPr>
        <w:t xml:space="preserve"> </w:t>
      </w:r>
    </w:p>
  </w:footnote>
  <w:footnote w:id="23">
    <w:p w14:paraId="012205D9" w14:textId="6CD97CB4" w:rsidR="002B55D1" w:rsidRPr="001F4027" w:rsidRDefault="002B55D1" w:rsidP="001F4027">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sz w:val="18"/>
          <w:szCs w:val="18"/>
          <w:lang w:val="en-NZ"/>
        </w:rPr>
        <w:t xml:space="preserve">Ministry of Health. 2013.  </w:t>
      </w:r>
      <w:r w:rsidRPr="003D3C4F">
        <w:rPr>
          <w:rFonts w:ascii="Times New Roman" w:hAnsi="Times New Roman"/>
          <w:i/>
          <w:sz w:val="18"/>
          <w:szCs w:val="18"/>
          <w:lang w:val="en-NZ"/>
        </w:rPr>
        <w:t>Health Loss in New Zealand: A report from the New Zealand Burden of Diseases, Injuries and Risk Factors Study, 2006-2016</w:t>
      </w:r>
      <w:r w:rsidRPr="003D3C4F">
        <w:rPr>
          <w:rFonts w:ascii="Times New Roman" w:hAnsi="Times New Roman"/>
          <w:sz w:val="18"/>
          <w:szCs w:val="18"/>
          <w:lang w:val="en-NZ"/>
        </w:rPr>
        <w:t>.</w:t>
      </w:r>
      <w:r w:rsidRPr="003D3C4F">
        <w:rPr>
          <w:rFonts w:ascii="Times New Roman" w:hAnsi="Times New Roman"/>
          <w:sz w:val="18"/>
          <w:szCs w:val="18"/>
        </w:rPr>
        <w:t xml:space="preserve"> </w:t>
      </w:r>
      <w:hyperlink r:id="rId13" w:history="1">
        <w:r w:rsidRPr="003D3C4F">
          <w:rPr>
            <w:rStyle w:val="Hyperlink"/>
            <w:rFonts w:ascii="Times New Roman" w:hAnsi="Times New Roman"/>
            <w:sz w:val="18"/>
            <w:szCs w:val="18"/>
            <w:lang w:val="en-NZ"/>
          </w:rPr>
          <w:t>http://www.moh.govt.nz/notebook/nbbooks.nsf/0/F85C39E4495B9684CC257BD3006F6299/$file/health-loss-in-new-zealand-final.pdf</w:t>
        </w:r>
      </w:hyperlink>
      <w:r w:rsidRPr="001F4027">
        <w:rPr>
          <w:rFonts w:ascii="Times New Roman" w:hAnsi="Times New Roman"/>
          <w:sz w:val="18"/>
          <w:szCs w:val="18"/>
          <w:lang w:val="en-NZ"/>
        </w:rPr>
        <w:t xml:space="preserve">    </w:t>
      </w:r>
    </w:p>
  </w:footnote>
  <w:footnote w:id="24">
    <w:p w14:paraId="3F87809C" w14:textId="77777777" w:rsidR="002B55D1" w:rsidRPr="003D3C4F" w:rsidRDefault="002B55D1" w:rsidP="001F4027">
      <w:pPr>
        <w:tabs>
          <w:tab w:val="left" w:pos="567"/>
        </w:tabs>
        <w:rPr>
          <w:sz w:val="18"/>
          <w:szCs w:val="18"/>
        </w:rPr>
      </w:pPr>
      <w:r w:rsidRPr="003D3C4F">
        <w:rPr>
          <w:rStyle w:val="FootnoteReference"/>
          <w:sz w:val="18"/>
          <w:szCs w:val="18"/>
        </w:rPr>
        <w:footnoteRef/>
      </w:r>
      <w:r w:rsidRPr="003D3C4F">
        <w:rPr>
          <w:sz w:val="18"/>
          <w:szCs w:val="18"/>
        </w:rPr>
        <w:t xml:space="preserve"> Swinburn et al. 2011. The global obesity pandemic: shaped by global drivers and local environments. </w:t>
      </w:r>
      <w:r w:rsidRPr="003D3C4F">
        <w:rPr>
          <w:i/>
          <w:sz w:val="18"/>
          <w:szCs w:val="18"/>
        </w:rPr>
        <w:t>The Lancet</w:t>
      </w:r>
      <w:r w:rsidRPr="003D3C4F">
        <w:rPr>
          <w:sz w:val="18"/>
          <w:szCs w:val="18"/>
        </w:rPr>
        <w:t>, 378(9793): 804-14.</w:t>
      </w:r>
    </w:p>
  </w:footnote>
  <w:footnote w:id="25">
    <w:p w14:paraId="7D432D51" w14:textId="01FA6F6B" w:rsidR="002B55D1" w:rsidRPr="003D3C4F" w:rsidRDefault="002B55D1" w:rsidP="001F4027">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sz w:val="18"/>
          <w:szCs w:val="18"/>
          <w:lang w:val="en-US"/>
        </w:rPr>
        <w:t xml:space="preserve">Roy Morgan. 2018. </w:t>
      </w:r>
      <w:r w:rsidRPr="003D3C4F">
        <w:rPr>
          <w:rFonts w:ascii="Times New Roman" w:hAnsi="Times New Roman"/>
          <w:i/>
          <w:sz w:val="18"/>
          <w:szCs w:val="18"/>
          <w:lang w:val="en-US"/>
        </w:rPr>
        <w:t>Press Release: McDonald’s, KFC &amp; Subway most visited Aussie restaurants.</w:t>
      </w:r>
      <w:r w:rsidRPr="003D3C4F">
        <w:rPr>
          <w:rFonts w:ascii="Times New Roman" w:hAnsi="Times New Roman"/>
          <w:sz w:val="18"/>
          <w:szCs w:val="18"/>
          <w:lang w:val="en-US"/>
        </w:rPr>
        <w:t xml:space="preserve"> </w:t>
      </w:r>
      <w:hyperlink r:id="rId14" w:history="1">
        <w:r w:rsidRPr="003D3C4F">
          <w:rPr>
            <w:rStyle w:val="Hyperlink"/>
            <w:rFonts w:ascii="Times New Roman" w:hAnsi="Times New Roman"/>
            <w:sz w:val="18"/>
            <w:szCs w:val="18"/>
          </w:rPr>
          <w:t>http://www.roymorgan.com/findings/7599-australian-eating-habits-eating-in-out-march-2018-201805290253</w:t>
        </w:r>
      </w:hyperlink>
    </w:p>
  </w:footnote>
  <w:footnote w:id="26">
    <w:p w14:paraId="37106329" w14:textId="2482CE75" w:rsidR="002B55D1" w:rsidRPr="003D3C4F" w:rsidRDefault="002B55D1" w:rsidP="001F4027">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sz w:val="18"/>
          <w:szCs w:val="18"/>
          <w:lang w:val="en-US"/>
        </w:rPr>
        <w:t xml:space="preserve">Roy Morgan. 2018. </w:t>
      </w:r>
      <w:r w:rsidRPr="003D3C4F">
        <w:rPr>
          <w:rFonts w:ascii="Times New Roman" w:hAnsi="Times New Roman"/>
          <w:i/>
          <w:sz w:val="18"/>
          <w:szCs w:val="18"/>
          <w:lang w:val="en-US"/>
        </w:rPr>
        <w:t>Press Release: McDonald’s, KFC &amp; Domino’s Pizza most visited NZ restaurants.</w:t>
      </w:r>
      <w:r w:rsidRPr="003D3C4F">
        <w:rPr>
          <w:rFonts w:ascii="Times New Roman" w:hAnsi="Times New Roman"/>
          <w:sz w:val="18"/>
          <w:szCs w:val="18"/>
          <w:lang w:val="en-US"/>
        </w:rPr>
        <w:t xml:space="preserve"> </w:t>
      </w:r>
      <w:hyperlink r:id="rId15" w:history="1">
        <w:r w:rsidRPr="003D3C4F">
          <w:rPr>
            <w:rStyle w:val="Hyperlink"/>
            <w:rFonts w:ascii="Times New Roman" w:hAnsi="Times New Roman"/>
            <w:sz w:val="18"/>
            <w:szCs w:val="18"/>
          </w:rPr>
          <w:t>http://www.roymorgan.com/findings/7613-new-zealand-eating-habits-eating-in-out-qsr-restaurants-march-2018-201805310031</w:t>
        </w:r>
      </w:hyperlink>
    </w:p>
  </w:footnote>
  <w:footnote w:id="27">
    <w:p w14:paraId="04F9BAEB" w14:textId="77777777" w:rsidR="002B55D1" w:rsidRPr="003D3C4F" w:rsidRDefault="002B55D1" w:rsidP="00323C69">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Future Food. 2019. </w:t>
      </w:r>
      <w:r w:rsidRPr="003D3C4F">
        <w:rPr>
          <w:rFonts w:ascii="Times New Roman" w:hAnsi="Times New Roman"/>
          <w:i/>
          <w:sz w:val="18"/>
          <w:szCs w:val="18"/>
        </w:rPr>
        <w:t xml:space="preserve">Eating Out in Australia – Takeaway on Takeaways. </w:t>
      </w:r>
      <w:hyperlink r:id="rId16" w:history="1">
        <w:r w:rsidRPr="003D3C4F">
          <w:rPr>
            <w:rStyle w:val="Hyperlink"/>
            <w:rFonts w:ascii="Times New Roman" w:hAnsi="Times New Roman"/>
            <w:sz w:val="18"/>
            <w:szCs w:val="18"/>
          </w:rPr>
          <w:t>https://futurefood.com.au/blog/2019/06/eating-out-in-australia-takeaways-on-takeaways</w:t>
        </w:r>
      </w:hyperlink>
      <w:r w:rsidRPr="003D3C4F">
        <w:rPr>
          <w:rFonts w:ascii="Times New Roman" w:hAnsi="Times New Roman"/>
          <w:sz w:val="18"/>
          <w:szCs w:val="18"/>
        </w:rPr>
        <w:t xml:space="preserve"> </w:t>
      </w:r>
    </w:p>
  </w:footnote>
  <w:footnote w:id="28">
    <w:p w14:paraId="1C36035B" w14:textId="42792BE1" w:rsidR="002B55D1" w:rsidRPr="003D3C4F" w:rsidRDefault="002B55D1" w:rsidP="00323C69">
      <w:pPr>
        <w:pStyle w:val="FootnoteText"/>
        <w:rPr>
          <w:rFonts w:ascii="Times New Roman" w:hAnsi="Times New Roman"/>
          <w:sz w:val="18"/>
          <w:szCs w:val="18"/>
          <w:lang w:val="en-US"/>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w:t>
      </w:r>
      <w:r w:rsidRPr="003D3C4F">
        <w:rPr>
          <w:rFonts w:ascii="Times New Roman" w:hAnsi="Times New Roman"/>
          <w:sz w:val="18"/>
          <w:szCs w:val="18"/>
          <w:lang w:val="en-US"/>
        </w:rPr>
        <w:t xml:space="preserve">Roy Morgan. 2018. </w:t>
      </w:r>
      <w:r w:rsidRPr="003D3C4F">
        <w:rPr>
          <w:rFonts w:ascii="Times New Roman" w:hAnsi="Times New Roman"/>
          <w:i/>
          <w:sz w:val="18"/>
          <w:szCs w:val="18"/>
          <w:lang w:val="en-US"/>
        </w:rPr>
        <w:t xml:space="preserve">Press Release: Metrotechs and Millennials have taken to Uber Eats, Menulog, Deliveroo, Foodora and more. </w:t>
      </w:r>
      <w:hyperlink r:id="rId17" w:history="1">
        <w:r w:rsidRPr="003D3C4F">
          <w:rPr>
            <w:rStyle w:val="Hyperlink"/>
            <w:rFonts w:ascii="Times New Roman" w:hAnsi="Times New Roman"/>
            <w:sz w:val="18"/>
            <w:szCs w:val="18"/>
          </w:rPr>
          <w:t>http://www.roymorgan.com/findings/7602-food-delivery-services-march-2018-201805240625</w:t>
        </w:r>
      </w:hyperlink>
      <w:r w:rsidRPr="003D3C4F">
        <w:rPr>
          <w:rStyle w:val="Hyperlink"/>
          <w:rFonts w:ascii="Times New Roman" w:hAnsi="Times New Roman"/>
          <w:sz w:val="18"/>
          <w:szCs w:val="18"/>
        </w:rPr>
        <w:t xml:space="preserve"> </w:t>
      </w:r>
      <w:r w:rsidRPr="003D3C4F">
        <w:rPr>
          <w:rFonts w:ascii="Times New Roman" w:hAnsi="Times New Roman"/>
          <w:sz w:val="18"/>
          <w:szCs w:val="18"/>
          <w:lang w:val="en-US"/>
        </w:rPr>
        <w:t>NOTE: Survey included</w:t>
      </w:r>
      <w:r w:rsidRPr="003D3C4F">
        <w:rPr>
          <w:rFonts w:ascii="Times New Roman" w:hAnsi="Times New Roman"/>
          <w:sz w:val="18"/>
          <w:szCs w:val="18"/>
        </w:rPr>
        <w:t xml:space="preserve"> food delivery platforms that provide ready-to-eat meals, weight control meals and recipes to prepare at home.</w:t>
      </w:r>
    </w:p>
  </w:footnote>
  <w:footnote w:id="29">
    <w:p w14:paraId="5F2B746D" w14:textId="77777777" w:rsidR="002B55D1" w:rsidRPr="003D3C4F" w:rsidRDefault="002B55D1" w:rsidP="00323C69">
      <w:pPr>
        <w:pStyle w:val="FootnoteText"/>
        <w:rPr>
          <w:rFonts w:ascii="Times New Roman" w:hAnsi="Times New Roman"/>
          <w:i/>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Department of Agriculture and Water Resources. 2018. </w:t>
      </w:r>
      <w:r w:rsidRPr="003D3C4F">
        <w:rPr>
          <w:rFonts w:ascii="Times New Roman" w:hAnsi="Times New Roman"/>
          <w:i/>
          <w:sz w:val="18"/>
          <w:szCs w:val="18"/>
        </w:rPr>
        <w:t xml:space="preserve">Food demand in Australia: trends and issues 2018. </w:t>
      </w:r>
      <w:hyperlink r:id="rId18" w:history="1">
        <w:r w:rsidRPr="003D3C4F">
          <w:rPr>
            <w:rStyle w:val="Hyperlink"/>
            <w:rFonts w:ascii="Times New Roman" w:hAnsi="Times New Roman"/>
            <w:sz w:val="18"/>
            <w:szCs w:val="18"/>
          </w:rPr>
          <w:t>http://data.daff.gov.au/data/warehouse/9aat/2018/fdati9aat20180822/FoodDemandInAustralia_20180822_v1.0.0.pdf</w:t>
        </w:r>
      </w:hyperlink>
    </w:p>
  </w:footnote>
  <w:footnote w:id="30">
    <w:p w14:paraId="211E668C" w14:textId="77777777" w:rsidR="002B55D1" w:rsidRPr="00323C69" w:rsidRDefault="002B55D1" w:rsidP="00323C69">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Stats NZ. </w:t>
      </w:r>
      <w:r w:rsidRPr="003D3C4F">
        <w:rPr>
          <w:rFonts w:ascii="Times New Roman" w:hAnsi="Times New Roman"/>
          <w:i/>
          <w:sz w:val="18"/>
          <w:szCs w:val="18"/>
        </w:rPr>
        <w:t>Household Expenditure Statistics: Year ended June 2016</w:t>
      </w:r>
      <w:r w:rsidRPr="003D3C4F">
        <w:rPr>
          <w:rFonts w:ascii="Times New Roman" w:hAnsi="Times New Roman"/>
          <w:sz w:val="18"/>
          <w:szCs w:val="18"/>
        </w:rPr>
        <w:t xml:space="preserve">. </w:t>
      </w:r>
      <w:hyperlink r:id="rId19" w:history="1">
        <w:r w:rsidRPr="003D3C4F">
          <w:rPr>
            <w:rStyle w:val="Hyperlink"/>
            <w:rFonts w:ascii="Times New Roman" w:hAnsi="Times New Roman"/>
            <w:sz w:val="18"/>
            <w:szCs w:val="18"/>
          </w:rPr>
          <w:t>https://www.stats.govt.nz/information-releases/household-expenditure-statistics-year-ended-june-2016</w:t>
        </w:r>
      </w:hyperlink>
      <w:r w:rsidRPr="00323C69">
        <w:rPr>
          <w:rFonts w:ascii="Times New Roman" w:hAnsi="Times New Roman"/>
          <w:sz w:val="18"/>
          <w:szCs w:val="18"/>
        </w:rPr>
        <w:t xml:space="preserve"> </w:t>
      </w:r>
    </w:p>
  </w:footnote>
  <w:footnote w:id="31">
    <w:p w14:paraId="3637DBDF" w14:textId="5ABBA924" w:rsidR="002B55D1" w:rsidRPr="003D3C4F" w:rsidRDefault="002B55D1" w:rsidP="00323C69">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Hawkes et al. 2013. A food policy package for healthy diets and the prevention of obesity and diet-related non-communicable diseases: the NOURISHING framework. </w:t>
      </w:r>
      <w:r w:rsidRPr="003D3C4F">
        <w:rPr>
          <w:rFonts w:ascii="Times New Roman" w:hAnsi="Times New Roman"/>
          <w:i/>
          <w:sz w:val="18"/>
          <w:szCs w:val="18"/>
        </w:rPr>
        <w:t>Obesity Reviews</w:t>
      </w:r>
      <w:r w:rsidRPr="003D3C4F">
        <w:rPr>
          <w:rFonts w:ascii="Times New Roman" w:hAnsi="Times New Roman"/>
          <w:sz w:val="18"/>
          <w:szCs w:val="18"/>
        </w:rPr>
        <w:t xml:space="preserve">, 14(S2): 159-168. </w:t>
      </w:r>
      <w:hyperlink r:id="rId20" w:history="1">
        <w:r w:rsidRPr="003D3C4F">
          <w:rPr>
            <w:rStyle w:val="Hyperlink"/>
            <w:rFonts w:ascii="Times New Roman" w:hAnsi="Times New Roman"/>
            <w:sz w:val="18"/>
            <w:szCs w:val="18"/>
          </w:rPr>
          <w:t>https://www.wcrf.org/int/policy/nourishing/our-policy-framework-promote-healthy-diets-reduce-obesity</w:t>
        </w:r>
      </w:hyperlink>
      <w:r w:rsidRPr="003D3C4F">
        <w:rPr>
          <w:rFonts w:ascii="Times New Roman" w:hAnsi="Times New Roman"/>
          <w:sz w:val="18"/>
          <w:szCs w:val="18"/>
        </w:rPr>
        <w:t xml:space="preserve"> </w:t>
      </w:r>
    </w:p>
  </w:footnote>
  <w:footnote w:id="32">
    <w:p w14:paraId="082C2303" w14:textId="7944AD5C" w:rsidR="002B55D1" w:rsidRPr="003D3C4F" w:rsidRDefault="002B55D1" w:rsidP="00323C69">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Swinburn et al. 2013. Monitoring and benchmarking government policies and actions to improve the healthiness of food environments: a proposed Government Healthy Food Environment Policy Index. </w:t>
      </w:r>
      <w:r w:rsidRPr="003D3C4F">
        <w:rPr>
          <w:rFonts w:ascii="Times New Roman" w:hAnsi="Times New Roman"/>
          <w:i/>
          <w:sz w:val="18"/>
          <w:szCs w:val="18"/>
        </w:rPr>
        <w:t>Obesity Reviews</w:t>
      </w:r>
      <w:r w:rsidRPr="003D3C4F">
        <w:rPr>
          <w:rFonts w:ascii="Times New Roman" w:hAnsi="Times New Roman"/>
          <w:sz w:val="18"/>
          <w:szCs w:val="18"/>
        </w:rPr>
        <w:t>, 14(S1): 24-37.</w:t>
      </w:r>
    </w:p>
  </w:footnote>
  <w:footnote w:id="33">
    <w:p w14:paraId="0BA57DDA" w14:textId="53FFBB03" w:rsidR="002B55D1" w:rsidRPr="003D3C4F" w:rsidRDefault="002B55D1" w:rsidP="00323C69">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Mantilla-Herrera et al. </w:t>
      </w:r>
      <w:r w:rsidRPr="003D3C4F">
        <w:rPr>
          <w:rFonts w:ascii="Times New Roman" w:hAnsi="Times New Roman"/>
          <w:i/>
          <w:iCs/>
          <w:sz w:val="18"/>
          <w:szCs w:val="18"/>
        </w:rPr>
        <w:t>Menu kilojoule labelling on fast food</w:t>
      </w:r>
      <w:r w:rsidRPr="003D3C4F">
        <w:rPr>
          <w:rFonts w:ascii="Times New Roman" w:hAnsi="Times New Roman"/>
          <w:sz w:val="18"/>
          <w:szCs w:val="18"/>
        </w:rPr>
        <w:t xml:space="preserve"> in Ananthapavan et al. 2018. </w:t>
      </w:r>
      <w:r w:rsidRPr="003D3C4F">
        <w:rPr>
          <w:rFonts w:ascii="Times New Roman" w:hAnsi="Times New Roman"/>
          <w:i/>
          <w:sz w:val="18"/>
          <w:szCs w:val="18"/>
        </w:rPr>
        <w:t>Assessing cost-effectiveness of obesity prevention policies in Australia 2018</w:t>
      </w:r>
      <w:r w:rsidRPr="003D3C4F">
        <w:rPr>
          <w:rFonts w:ascii="Times New Roman" w:hAnsi="Times New Roman"/>
          <w:sz w:val="18"/>
          <w:szCs w:val="18"/>
        </w:rPr>
        <w:t xml:space="preserve">. Melbourne: Deakin University. </w:t>
      </w:r>
      <w:hyperlink r:id="rId21" w:history="1">
        <w:r w:rsidRPr="003D3C4F">
          <w:rPr>
            <w:rStyle w:val="Hyperlink"/>
            <w:rFonts w:ascii="Times New Roman" w:hAnsi="Times New Roman"/>
            <w:sz w:val="18"/>
            <w:szCs w:val="18"/>
          </w:rPr>
          <w:t>http://www.aceobesitypolicy.com.au/</w:t>
        </w:r>
      </w:hyperlink>
      <w:r w:rsidRPr="003D3C4F">
        <w:rPr>
          <w:rFonts w:ascii="Times New Roman" w:hAnsi="Times New Roman"/>
          <w:sz w:val="18"/>
          <w:szCs w:val="18"/>
        </w:rPr>
        <w:t xml:space="preserve"> </w:t>
      </w:r>
    </w:p>
  </w:footnote>
  <w:footnote w:id="34">
    <w:p w14:paraId="3DC2C0B0" w14:textId="3D47BF8C" w:rsidR="002B55D1" w:rsidRPr="003D3C4F" w:rsidRDefault="002B55D1" w:rsidP="00323C69">
      <w:pPr>
        <w:pStyle w:val="FootnoteText"/>
        <w:rPr>
          <w:rFonts w:ascii="Times New Roman" w:hAnsi="Times New Roman"/>
          <w:sz w:val="18"/>
          <w:szCs w:val="18"/>
        </w:rPr>
      </w:pPr>
      <w:r w:rsidRPr="003D3C4F">
        <w:rPr>
          <w:rStyle w:val="FootnoteReference"/>
          <w:rFonts w:ascii="Times New Roman" w:hAnsi="Times New Roman"/>
          <w:sz w:val="18"/>
          <w:szCs w:val="18"/>
        </w:rPr>
        <w:footnoteRef/>
      </w:r>
      <w:r w:rsidRPr="003D3C4F">
        <w:rPr>
          <w:rFonts w:ascii="Times New Roman" w:hAnsi="Times New Roman"/>
          <w:sz w:val="18"/>
          <w:szCs w:val="18"/>
        </w:rPr>
        <w:t xml:space="preserve"> McKinsey Global Institute. 2014. Overcoming obesity: an initial economic analysis. </w:t>
      </w:r>
      <w:hyperlink r:id="rId22" w:history="1">
        <w:r w:rsidRPr="003D3C4F">
          <w:rPr>
            <w:rStyle w:val="Hyperlink"/>
            <w:rFonts w:ascii="Times New Roman" w:hAnsi="Times New Roman"/>
            <w:sz w:val="18"/>
            <w:szCs w:val="18"/>
          </w:rPr>
          <w:t>https://www.mckinsey.com/industries/healthcare-systems-and-services/our-insights/how-the-world-could-better-fight-obesity</w:t>
        </w:r>
      </w:hyperlink>
      <w:r w:rsidRPr="003D3C4F">
        <w:rPr>
          <w:rFonts w:ascii="Times New Roman" w:hAnsi="Times New Roman"/>
          <w:sz w:val="18"/>
          <w:szCs w:val="18"/>
        </w:rPr>
        <w:t xml:space="preserve"> </w:t>
      </w:r>
    </w:p>
  </w:footnote>
  <w:footnote w:id="35">
    <w:p w14:paraId="6AA0C65D" w14:textId="77777777" w:rsidR="002B55D1" w:rsidRPr="00840A30" w:rsidRDefault="002B55D1" w:rsidP="00323C69">
      <w:pPr>
        <w:pStyle w:val="FootnoteText"/>
        <w:rPr>
          <w:rFonts w:ascii="Times New Roman" w:hAnsi="Times New Roman"/>
          <w:sz w:val="18"/>
          <w:szCs w:val="18"/>
        </w:rPr>
      </w:pPr>
      <w:r w:rsidRPr="00840A30">
        <w:rPr>
          <w:rStyle w:val="FootnoteReference"/>
          <w:rFonts w:ascii="Times New Roman" w:hAnsi="Times New Roman"/>
          <w:sz w:val="18"/>
          <w:szCs w:val="18"/>
        </w:rPr>
        <w:footnoteRef/>
      </w:r>
      <w:r w:rsidRPr="00840A30">
        <w:rPr>
          <w:rFonts w:ascii="Times New Roman" w:hAnsi="Times New Roman"/>
          <w:sz w:val="18"/>
          <w:szCs w:val="18"/>
        </w:rPr>
        <w:t xml:space="preserve"> Mercer et al. 2013. </w:t>
      </w:r>
      <w:r w:rsidRPr="00840A30">
        <w:rPr>
          <w:rFonts w:ascii="Times New Roman" w:hAnsi="Times New Roman"/>
          <w:i/>
          <w:sz w:val="18"/>
          <w:szCs w:val="18"/>
        </w:rPr>
        <w:t>Literature review on the impact of label format on consumers’ attention and comprehension for mandated label elements</w:t>
      </w:r>
      <w:r w:rsidRPr="00840A30">
        <w:rPr>
          <w:rFonts w:ascii="Times New Roman" w:hAnsi="Times New Roman"/>
          <w:sz w:val="18"/>
          <w:szCs w:val="18"/>
        </w:rPr>
        <w:t xml:space="preserve">. Report prepared for Food Standards Australia New Zealand by Instinct and Reason, Canberra, Australia. </w:t>
      </w:r>
      <w:hyperlink r:id="rId23" w:history="1">
        <w:r w:rsidRPr="00840A30">
          <w:rPr>
            <w:rStyle w:val="Hyperlink"/>
            <w:rFonts w:ascii="Times New Roman" w:hAnsi="Times New Roman"/>
            <w:sz w:val="18"/>
            <w:szCs w:val="18"/>
          </w:rPr>
          <w:t>https://www.foodstandards.gov.au/publications/Documents/Literature%20review%20on%20label%20format%20-%20commissioned%20report%202013.pdf</w:t>
        </w:r>
      </w:hyperlink>
    </w:p>
  </w:footnote>
  <w:footnote w:id="36">
    <w:p w14:paraId="34E6C1BE" w14:textId="77777777" w:rsidR="002B55D1" w:rsidRPr="00840A30" w:rsidRDefault="002B55D1" w:rsidP="00323C69">
      <w:pPr>
        <w:pStyle w:val="FootnoteText"/>
        <w:rPr>
          <w:rFonts w:ascii="Times New Roman" w:hAnsi="Times New Roman"/>
          <w:sz w:val="18"/>
          <w:szCs w:val="18"/>
        </w:rPr>
      </w:pPr>
      <w:r w:rsidRPr="00840A30">
        <w:rPr>
          <w:rStyle w:val="FootnoteReference"/>
          <w:rFonts w:ascii="Times New Roman" w:hAnsi="Times New Roman"/>
          <w:sz w:val="18"/>
          <w:szCs w:val="18"/>
        </w:rPr>
        <w:footnoteRef/>
      </w:r>
      <w:r w:rsidRPr="00840A30">
        <w:rPr>
          <w:rFonts w:ascii="Times New Roman" w:hAnsi="Times New Roman"/>
          <w:sz w:val="18"/>
          <w:szCs w:val="18"/>
        </w:rPr>
        <w:t xml:space="preserve"> </w:t>
      </w:r>
      <w:r w:rsidRPr="00840A30">
        <w:rPr>
          <w:rFonts w:ascii="Times New Roman" w:hAnsi="Times New Roman"/>
          <w:color w:val="000000"/>
          <w:sz w:val="18"/>
          <w:szCs w:val="18"/>
        </w:rPr>
        <w:t xml:space="preserve">Rayner et al. 2013. Monitoring the health-related labelling on foods and non-alcoholic beverages in retail settings. </w:t>
      </w:r>
      <w:r w:rsidRPr="00840A30">
        <w:rPr>
          <w:rFonts w:ascii="Times New Roman" w:hAnsi="Times New Roman"/>
          <w:i/>
          <w:color w:val="000000"/>
          <w:sz w:val="18"/>
          <w:szCs w:val="18"/>
        </w:rPr>
        <w:t>Obesity Reviews</w:t>
      </w:r>
      <w:r w:rsidRPr="00840A30">
        <w:rPr>
          <w:rFonts w:ascii="Times New Roman" w:hAnsi="Times New Roman"/>
          <w:color w:val="000000"/>
          <w:sz w:val="18"/>
          <w:szCs w:val="18"/>
        </w:rPr>
        <w:t>, 14(S1): 70-81.</w:t>
      </w:r>
    </w:p>
  </w:footnote>
  <w:footnote w:id="37">
    <w:p w14:paraId="459D4885" w14:textId="77777777" w:rsidR="002B55D1" w:rsidRPr="00840A30" w:rsidRDefault="002B55D1" w:rsidP="00A85D60">
      <w:pPr>
        <w:pStyle w:val="FootnoteText"/>
        <w:rPr>
          <w:rFonts w:ascii="Times New Roman" w:hAnsi="Times New Roman"/>
          <w:sz w:val="18"/>
          <w:szCs w:val="18"/>
          <w:lang w:val="en-US"/>
        </w:rPr>
      </w:pPr>
      <w:r w:rsidRPr="00840A30">
        <w:rPr>
          <w:rStyle w:val="FootnoteReference"/>
          <w:rFonts w:ascii="Times New Roman" w:hAnsi="Times New Roman"/>
          <w:sz w:val="18"/>
          <w:szCs w:val="18"/>
        </w:rPr>
        <w:footnoteRef/>
      </w:r>
      <w:r w:rsidRPr="00840A30">
        <w:rPr>
          <w:rStyle w:val="FootnoteReference"/>
          <w:rFonts w:ascii="Times New Roman" w:hAnsi="Times New Roman"/>
          <w:sz w:val="18"/>
          <w:szCs w:val="18"/>
        </w:rPr>
        <w:t xml:space="preserve"> </w:t>
      </w:r>
      <w:r w:rsidRPr="00840A30">
        <w:rPr>
          <w:rFonts w:ascii="Times New Roman" w:hAnsi="Times New Roman"/>
          <w:sz w:val="18"/>
          <w:szCs w:val="18"/>
        </w:rPr>
        <w:t xml:space="preserve">Crockett et al. 2018. Nutritional labelling for healthier food or non-alcoholic drink purchasing and consumption. </w:t>
      </w:r>
      <w:r w:rsidRPr="00840A30">
        <w:rPr>
          <w:rFonts w:ascii="Times New Roman" w:hAnsi="Times New Roman"/>
          <w:i/>
          <w:sz w:val="18"/>
          <w:szCs w:val="18"/>
        </w:rPr>
        <w:t>Cochrane Database of Systematic Reviews</w:t>
      </w:r>
      <w:r w:rsidRPr="00840A30">
        <w:rPr>
          <w:rFonts w:ascii="Times New Roman" w:hAnsi="Times New Roman"/>
          <w:sz w:val="18"/>
          <w:szCs w:val="18"/>
        </w:rPr>
        <w:t xml:space="preserve">, Issue 2. Art. No.: CD009315. </w:t>
      </w:r>
      <w:hyperlink r:id="rId24" w:history="1">
        <w:r w:rsidRPr="00840A30">
          <w:rPr>
            <w:rStyle w:val="Hyperlink"/>
            <w:rFonts w:ascii="Times New Roman" w:hAnsi="Times New Roman"/>
            <w:sz w:val="18"/>
            <w:szCs w:val="18"/>
          </w:rPr>
          <w:t>https://doi.org/10.1002/14651858.CD009315.pub2</w:t>
        </w:r>
      </w:hyperlink>
    </w:p>
  </w:footnote>
  <w:footnote w:id="38">
    <w:p w14:paraId="3DF3FA45" w14:textId="77777777" w:rsidR="002B55D1" w:rsidRPr="00840A30" w:rsidRDefault="002B55D1" w:rsidP="00A85D60">
      <w:pPr>
        <w:pStyle w:val="FootnoteText"/>
        <w:rPr>
          <w:rFonts w:ascii="Times New Roman" w:hAnsi="Times New Roman"/>
          <w:sz w:val="18"/>
          <w:szCs w:val="18"/>
        </w:rPr>
      </w:pPr>
      <w:r w:rsidRPr="00840A30">
        <w:rPr>
          <w:rStyle w:val="FootnoteReference"/>
          <w:rFonts w:ascii="Times New Roman" w:hAnsi="Times New Roman"/>
          <w:sz w:val="18"/>
          <w:szCs w:val="18"/>
        </w:rPr>
        <w:footnoteRef/>
      </w:r>
      <w:r w:rsidRPr="00840A30">
        <w:rPr>
          <w:rStyle w:val="FootnoteReference"/>
          <w:rFonts w:ascii="Times New Roman" w:hAnsi="Times New Roman"/>
          <w:sz w:val="18"/>
          <w:szCs w:val="18"/>
        </w:rPr>
        <w:t xml:space="preserve"> </w:t>
      </w:r>
      <w:r w:rsidRPr="00840A30">
        <w:rPr>
          <w:rFonts w:ascii="Times New Roman" w:hAnsi="Times New Roman"/>
          <w:sz w:val="18"/>
          <w:szCs w:val="18"/>
        </w:rPr>
        <w:t xml:space="preserve">Zlatevska et al. 2017. Mandatory calorie disclosure: a comprehensive analysis of its effect on consumers and retailers. </w:t>
      </w:r>
      <w:r w:rsidRPr="00840A30">
        <w:rPr>
          <w:rFonts w:ascii="Times New Roman" w:hAnsi="Times New Roman"/>
          <w:i/>
          <w:sz w:val="18"/>
          <w:szCs w:val="18"/>
        </w:rPr>
        <w:t>Journal of Retailing</w:t>
      </w:r>
      <w:r w:rsidRPr="00840A30">
        <w:rPr>
          <w:rFonts w:ascii="Times New Roman" w:hAnsi="Times New Roman"/>
          <w:sz w:val="18"/>
          <w:szCs w:val="18"/>
        </w:rPr>
        <w:t>, 94(1), 89-101.</w:t>
      </w:r>
    </w:p>
  </w:footnote>
  <w:footnote w:id="39">
    <w:p w14:paraId="53D50EBE" w14:textId="77777777" w:rsidR="002B55D1" w:rsidRPr="00840A30" w:rsidRDefault="002B55D1" w:rsidP="00A85D60">
      <w:pPr>
        <w:pStyle w:val="FootnoteText"/>
        <w:rPr>
          <w:rFonts w:ascii="Times New Roman" w:hAnsi="Times New Roman"/>
          <w:sz w:val="18"/>
          <w:szCs w:val="18"/>
          <w:lang w:val="en-US"/>
        </w:rPr>
      </w:pPr>
      <w:r w:rsidRPr="00840A30">
        <w:rPr>
          <w:rStyle w:val="FootnoteReference"/>
          <w:rFonts w:ascii="Times New Roman" w:hAnsi="Times New Roman"/>
          <w:sz w:val="18"/>
          <w:szCs w:val="18"/>
        </w:rPr>
        <w:footnoteRef/>
      </w:r>
      <w:r w:rsidRPr="00840A30">
        <w:rPr>
          <w:rStyle w:val="FootnoteReference"/>
          <w:rFonts w:ascii="Times New Roman" w:hAnsi="Times New Roman"/>
          <w:sz w:val="18"/>
          <w:szCs w:val="18"/>
        </w:rPr>
        <w:t xml:space="preserve"> </w:t>
      </w:r>
      <w:r w:rsidRPr="00840A30">
        <w:rPr>
          <w:rFonts w:ascii="Times New Roman" w:eastAsia="Arial" w:hAnsi="Times New Roman"/>
          <w:spacing w:val="-1"/>
          <w:sz w:val="18"/>
          <w:szCs w:val="18"/>
        </w:rPr>
        <w:t>L</w:t>
      </w:r>
      <w:r w:rsidRPr="00840A30">
        <w:rPr>
          <w:rFonts w:ascii="Times New Roman" w:eastAsia="Arial" w:hAnsi="Times New Roman"/>
          <w:spacing w:val="-2"/>
          <w:sz w:val="18"/>
          <w:szCs w:val="18"/>
        </w:rPr>
        <w:t>i</w:t>
      </w:r>
      <w:r w:rsidRPr="00840A30">
        <w:rPr>
          <w:rFonts w:ascii="Times New Roman" w:eastAsia="Arial" w:hAnsi="Times New Roman"/>
          <w:spacing w:val="1"/>
          <w:sz w:val="18"/>
          <w:szCs w:val="18"/>
        </w:rPr>
        <w:t>t</w:t>
      </w:r>
      <w:r w:rsidRPr="00840A30">
        <w:rPr>
          <w:rFonts w:ascii="Times New Roman" w:eastAsia="Arial" w:hAnsi="Times New Roman"/>
          <w:spacing w:val="-1"/>
          <w:sz w:val="18"/>
          <w:szCs w:val="18"/>
        </w:rPr>
        <w:t>t</w:t>
      </w:r>
      <w:r w:rsidRPr="00840A30">
        <w:rPr>
          <w:rFonts w:ascii="Times New Roman" w:eastAsia="Arial" w:hAnsi="Times New Roman"/>
          <w:sz w:val="18"/>
          <w:szCs w:val="18"/>
        </w:rPr>
        <w:t>l</w:t>
      </w:r>
      <w:r w:rsidRPr="00840A30">
        <w:rPr>
          <w:rFonts w:ascii="Times New Roman" w:eastAsia="Arial" w:hAnsi="Times New Roman"/>
          <w:spacing w:val="-1"/>
          <w:sz w:val="18"/>
          <w:szCs w:val="18"/>
        </w:rPr>
        <w:t>e</w:t>
      </w:r>
      <w:r w:rsidRPr="00840A30">
        <w:rPr>
          <w:rFonts w:ascii="Times New Roman" w:eastAsia="Arial" w:hAnsi="Times New Roman"/>
          <w:spacing w:val="-3"/>
          <w:sz w:val="18"/>
          <w:szCs w:val="18"/>
        </w:rPr>
        <w:t>w</w:t>
      </w:r>
      <w:r w:rsidRPr="00840A30">
        <w:rPr>
          <w:rFonts w:ascii="Times New Roman" w:eastAsia="Arial" w:hAnsi="Times New Roman"/>
          <w:spacing w:val="-1"/>
          <w:sz w:val="18"/>
          <w:szCs w:val="18"/>
        </w:rPr>
        <w:t>ood et al. 2015</w:t>
      </w:r>
      <w:r w:rsidRPr="00840A30">
        <w:rPr>
          <w:rFonts w:ascii="Times New Roman" w:eastAsia="Arial" w:hAnsi="Times New Roman"/>
          <w:sz w:val="18"/>
          <w:szCs w:val="18"/>
        </w:rPr>
        <w:t>.</w:t>
      </w:r>
      <w:r w:rsidRPr="00840A30">
        <w:rPr>
          <w:rFonts w:ascii="Times New Roman" w:eastAsia="Arial" w:hAnsi="Times New Roman"/>
          <w:spacing w:val="2"/>
          <w:sz w:val="18"/>
          <w:szCs w:val="18"/>
        </w:rPr>
        <w:t xml:space="preserve"> </w:t>
      </w:r>
      <w:r w:rsidRPr="00840A30">
        <w:rPr>
          <w:rFonts w:ascii="Times New Roman" w:eastAsia="Arial" w:hAnsi="Times New Roman"/>
          <w:spacing w:val="-2"/>
          <w:sz w:val="18"/>
          <w:szCs w:val="18"/>
        </w:rPr>
        <w:t>M</w:t>
      </w:r>
      <w:r w:rsidRPr="00840A30">
        <w:rPr>
          <w:rFonts w:ascii="Times New Roman" w:eastAsia="Arial" w:hAnsi="Times New Roman"/>
          <w:spacing w:val="-1"/>
          <w:sz w:val="18"/>
          <w:szCs w:val="18"/>
        </w:rPr>
        <w:t>en</w:t>
      </w:r>
      <w:r w:rsidRPr="00840A30">
        <w:rPr>
          <w:rFonts w:ascii="Times New Roman" w:eastAsia="Arial" w:hAnsi="Times New Roman"/>
          <w:sz w:val="18"/>
          <w:szCs w:val="18"/>
        </w:rPr>
        <w:t>u</w:t>
      </w:r>
      <w:r w:rsidRPr="00840A30">
        <w:rPr>
          <w:rFonts w:ascii="Times New Roman" w:eastAsia="Arial" w:hAnsi="Times New Roman"/>
          <w:spacing w:val="1"/>
          <w:sz w:val="18"/>
          <w:szCs w:val="18"/>
        </w:rPr>
        <w:t xml:space="preserve"> </w:t>
      </w:r>
      <w:r w:rsidRPr="00840A30">
        <w:rPr>
          <w:rFonts w:ascii="Times New Roman" w:eastAsia="Arial" w:hAnsi="Times New Roman"/>
          <w:spacing w:val="-2"/>
          <w:sz w:val="18"/>
          <w:szCs w:val="18"/>
        </w:rPr>
        <w:t>l</w:t>
      </w:r>
      <w:r w:rsidRPr="00840A30">
        <w:rPr>
          <w:rFonts w:ascii="Times New Roman" w:eastAsia="Arial" w:hAnsi="Times New Roman"/>
          <w:spacing w:val="-1"/>
          <w:sz w:val="18"/>
          <w:szCs w:val="18"/>
        </w:rPr>
        <w:t>abe</w:t>
      </w:r>
      <w:r w:rsidRPr="00840A30">
        <w:rPr>
          <w:rFonts w:ascii="Times New Roman" w:eastAsia="Arial" w:hAnsi="Times New Roman"/>
          <w:sz w:val="18"/>
          <w:szCs w:val="18"/>
        </w:rPr>
        <w:t>lli</w:t>
      </w:r>
      <w:r w:rsidRPr="00840A30">
        <w:rPr>
          <w:rFonts w:ascii="Times New Roman" w:eastAsia="Arial" w:hAnsi="Times New Roman"/>
          <w:spacing w:val="-1"/>
          <w:sz w:val="18"/>
          <w:szCs w:val="18"/>
        </w:rPr>
        <w:t>n</w:t>
      </w:r>
      <w:r w:rsidRPr="00840A30">
        <w:rPr>
          <w:rFonts w:ascii="Times New Roman" w:eastAsia="Arial" w:hAnsi="Times New Roman"/>
          <w:sz w:val="18"/>
          <w:szCs w:val="18"/>
        </w:rPr>
        <w:t>g</w:t>
      </w:r>
      <w:r w:rsidRPr="00840A30">
        <w:rPr>
          <w:rFonts w:ascii="Times New Roman" w:eastAsia="Arial" w:hAnsi="Times New Roman"/>
          <w:spacing w:val="1"/>
          <w:sz w:val="18"/>
          <w:szCs w:val="18"/>
        </w:rPr>
        <w:t xml:space="preserve"> </w:t>
      </w:r>
      <w:r w:rsidRPr="00840A30">
        <w:rPr>
          <w:rFonts w:ascii="Times New Roman" w:eastAsia="Arial" w:hAnsi="Times New Roman"/>
          <w:sz w:val="18"/>
          <w:szCs w:val="18"/>
        </w:rPr>
        <w:t xml:space="preserve">is </w:t>
      </w:r>
      <w:r w:rsidRPr="00840A30">
        <w:rPr>
          <w:rFonts w:ascii="Times New Roman" w:eastAsia="Arial" w:hAnsi="Times New Roman"/>
          <w:spacing w:val="-1"/>
          <w:sz w:val="18"/>
          <w:szCs w:val="18"/>
        </w:rPr>
        <w:t>e</w:t>
      </w:r>
      <w:r w:rsidRPr="00840A30">
        <w:rPr>
          <w:rFonts w:ascii="Times New Roman" w:eastAsia="Arial" w:hAnsi="Times New Roman"/>
          <w:spacing w:val="-2"/>
          <w:sz w:val="18"/>
          <w:szCs w:val="18"/>
        </w:rPr>
        <w:t>f</w:t>
      </w:r>
      <w:r w:rsidRPr="00840A30">
        <w:rPr>
          <w:rFonts w:ascii="Times New Roman" w:eastAsia="Arial" w:hAnsi="Times New Roman"/>
          <w:spacing w:val="1"/>
          <w:sz w:val="18"/>
          <w:szCs w:val="18"/>
        </w:rPr>
        <w:t>f</w:t>
      </w:r>
      <w:r w:rsidRPr="00840A30">
        <w:rPr>
          <w:rFonts w:ascii="Times New Roman" w:eastAsia="Arial" w:hAnsi="Times New Roman"/>
          <w:spacing w:val="-1"/>
          <w:sz w:val="18"/>
          <w:szCs w:val="18"/>
        </w:rPr>
        <w:t>ec</w:t>
      </w:r>
      <w:r w:rsidRPr="00840A30">
        <w:rPr>
          <w:rFonts w:ascii="Times New Roman" w:eastAsia="Arial" w:hAnsi="Times New Roman"/>
          <w:spacing w:val="1"/>
          <w:sz w:val="18"/>
          <w:szCs w:val="18"/>
        </w:rPr>
        <w:t>t</w:t>
      </w:r>
      <w:r w:rsidRPr="00840A30">
        <w:rPr>
          <w:rFonts w:ascii="Times New Roman" w:eastAsia="Arial" w:hAnsi="Times New Roman"/>
          <w:sz w:val="18"/>
          <w:szCs w:val="18"/>
        </w:rPr>
        <w:t>i</w:t>
      </w:r>
      <w:r w:rsidRPr="00840A30">
        <w:rPr>
          <w:rFonts w:ascii="Times New Roman" w:eastAsia="Arial" w:hAnsi="Times New Roman"/>
          <w:spacing w:val="-1"/>
          <w:sz w:val="18"/>
          <w:szCs w:val="18"/>
        </w:rPr>
        <w:t>v</w:t>
      </w:r>
      <w:r w:rsidRPr="00840A30">
        <w:rPr>
          <w:rFonts w:ascii="Times New Roman" w:eastAsia="Arial" w:hAnsi="Times New Roman"/>
          <w:sz w:val="18"/>
          <w:szCs w:val="18"/>
        </w:rPr>
        <w:t>e</w:t>
      </w:r>
      <w:r w:rsidRPr="00840A30">
        <w:rPr>
          <w:rFonts w:ascii="Times New Roman" w:eastAsia="Arial" w:hAnsi="Times New Roman"/>
          <w:spacing w:val="1"/>
          <w:sz w:val="18"/>
          <w:szCs w:val="18"/>
        </w:rPr>
        <w:t xml:space="preserve"> </w:t>
      </w:r>
      <w:r w:rsidRPr="00840A30">
        <w:rPr>
          <w:rFonts w:ascii="Times New Roman" w:eastAsia="Arial" w:hAnsi="Times New Roman"/>
          <w:sz w:val="18"/>
          <w:szCs w:val="18"/>
        </w:rPr>
        <w:t xml:space="preserve">in </w:t>
      </w:r>
      <w:r w:rsidRPr="00840A30">
        <w:rPr>
          <w:rFonts w:ascii="Times New Roman" w:eastAsia="Arial" w:hAnsi="Times New Roman"/>
          <w:spacing w:val="-1"/>
          <w:sz w:val="18"/>
          <w:szCs w:val="18"/>
        </w:rPr>
        <w:t>redu</w:t>
      </w:r>
      <w:r w:rsidRPr="00840A30">
        <w:rPr>
          <w:rFonts w:ascii="Times New Roman" w:eastAsia="Arial" w:hAnsi="Times New Roman"/>
          <w:spacing w:val="1"/>
          <w:sz w:val="18"/>
          <w:szCs w:val="18"/>
        </w:rPr>
        <w:t>c</w:t>
      </w:r>
      <w:r w:rsidRPr="00840A30">
        <w:rPr>
          <w:rFonts w:ascii="Times New Roman" w:eastAsia="Arial" w:hAnsi="Times New Roman"/>
          <w:sz w:val="18"/>
          <w:szCs w:val="18"/>
        </w:rPr>
        <w:t>i</w:t>
      </w:r>
      <w:r w:rsidRPr="00840A30">
        <w:rPr>
          <w:rFonts w:ascii="Times New Roman" w:eastAsia="Arial" w:hAnsi="Times New Roman"/>
          <w:spacing w:val="-1"/>
          <w:sz w:val="18"/>
          <w:szCs w:val="18"/>
        </w:rPr>
        <w:t>n</w:t>
      </w:r>
      <w:r w:rsidRPr="00840A30">
        <w:rPr>
          <w:rFonts w:ascii="Times New Roman" w:eastAsia="Arial" w:hAnsi="Times New Roman"/>
          <w:sz w:val="18"/>
          <w:szCs w:val="18"/>
        </w:rPr>
        <w:t>g</w:t>
      </w:r>
      <w:r w:rsidRPr="00840A30">
        <w:rPr>
          <w:rFonts w:ascii="Times New Roman" w:eastAsia="Arial" w:hAnsi="Times New Roman"/>
          <w:spacing w:val="1"/>
          <w:sz w:val="18"/>
          <w:szCs w:val="18"/>
        </w:rPr>
        <w:t xml:space="preserve"> </w:t>
      </w:r>
      <w:r w:rsidRPr="00840A30">
        <w:rPr>
          <w:rFonts w:ascii="Times New Roman" w:eastAsia="Arial" w:hAnsi="Times New Roman"/>
          <w:spacing w:val="-1"/>
          <w:sz w:val="18"/>
          <w:szCs w:val="18"/>
        </w:rPr>
        <w:t>energ</w:t>
      </w:r>
      <w:r w:rsidRPr="00840A30">
        <w:rPr>
          <w:rFonts w:ascii="Times New Roman" w:eastAsia="Arial" w:hAnsi="Times New Roman"/>
          <w:sz w:val="18"/>
          <w:szCs w:val="18"/>
        </w:rPr>
        <w:t xml:space="preserve">y </w:t>
      </w:r>
      <w:r w:rsidRPr="00840A30">
        <w:rPr>
          <w:rFonts w:ascii="Times New Roman" w:eastAsia="Arial" w:hAnsi="Times New Roman"/>
          <w:spacing w:val="-1"/>
          <w:sz w:val="18"/>
          <w:szCs w:val="18"/>
        </w:rPr>
        <w:t>ordere</w:t>
      </w:r>
      <w:r w:rsidRPr="00840A30">
        <w:rPr>
          <w:rFonts w:ascii="Times New Roman" w:eastAsia="Arial" w:hAnsi="Times New Roman"/>
          <w:sz w:val="18"/>
          <w:szCs w:val="18"/>
        </w:rPr>
        <w:t>d</w:t>
      </w:r>
      <w:r w:rsidRPr="00840A30">
        <w:rPr>
          <w:rFonts w:ascii="Times New Roman" w:eastAsia="Arial" w:hAnsi="Times New Roman"/>
          <w:spacing w:val="1"/>
          <w:sz w:val="18"/>
          <w:szCs w:val="18"/>
        </w:rPr>
        <w:t xml:space="preserve"> </w:t>
      </w:r>
      <w:r w:rsidRPr="00840A30">
        <w:rPr>
          <w:rFonts w:ascii="Times New Roman" w:eastAsia="Arial" w:hAnsi="Times New Roman"/>
          <w:spacing w:val="-1"/>
          <w:sz w:val="18"/>
          <w:szCs w:val="18"/>
        </w:rPr>
        <w:t>an</w:t>
      </w:r>
      <w:r w:rsidRPr="00840A30">
        <w:rPr>
          <w:rFonts w:ascii="Times New Roman" w:eastAsia="Arial" w:hAnsi="Times New Roman"/>
          <w:sz w:val="18"/>
          <w:szCs w:val="18"/>
        </w:rPr>
        <w:t>d</w:t>
      </w:r>
      <w:r w:rsidRPr="00840A30">
        <w:rPr>
          <w:rFonts w:ascii="Times New Roman" w:eastAsia="Arial" w:hAnsi="Times New Roman"/>
          <w:spacing w:val="1"/>
          <w:sz w:val="18"/>
          <w:szCs w:val="18"/>
        </w:rPr>
        <w:t xml:space="preserve"> c</w:t>
      </w:r>
      <w:r w:rsidRPr="00840A30">
        <w:rPr>
          <w:rFonts w:ascii="Times New Roman" w:eastAsia="Arial" w:hAnsi="Times New Roman"/>
          <w:spacing w:val="-1"/>
          <w:sz w:val="18"/>
          <w:szCs w:val="18"/>
        </w:rPr>
        <w:t>onsu</w:t>
      </w:r>
      <w:r w:rsidRPr="00840A30">
        <w:rPr>
          <w:rFonts w:ascii="Times New Roman" w:eastAsia="Arial" w:hAnsi="Times New Roman"/>
          <w:spacing w:val="3"/>
          <w:sz w:val="18"/>
          <w:szCs w:val="18"/>
        </w:rPr>
        <w:t>m</w:t>
      </w:r>
      <w:r w:rsidRPr="00840A30">
        <w:rPr>
          <w:rFonts w:ascii="Times New Roman" w:eastAsia="Arial" w:hAnsi="Times New Roman"/>
          <w:spacing w:val="-1"/>
          <w:sz w:val="18"/>
          <w:szCs w:val="18"/>
        </w:rPr>
        <w:t>e</w:t>
      </w:r>
      <w:r w:rsidRPr="00840A30">
        <w:rPr>
          <w:rFonts w:ascii="Times New Roman" w:eastAsia="Arial" w:hAnsi="Times New Roman"/>
          <w:spacing w:val="-3"/>
          <w:sz w:val="18"/>
          <w:szCs w:val="18"/>
        </w:rPr>
        <w:t>d</w:t>
      </w:r>
      <w:r w:rsidRPr="00840A30">
        <w:rPr>
          <w:rFonts w:ascii="Times New Roman" w:eastAsia="Arial" w:hAnsi="Times New Roman"/>
          <w:sz w:val="18"/>
          <w:szCs w:val="18"/>
        </w:rPr>
        <w:t>:</w:t>
      </w:r>
      <w:r w:rsidRPr="00840A30">
        <w:rPr>
          <w:rFonts w:ascii="Times New Roman" w:eastAsia="Arial" w:hAnsi="Times New Roman"/>
          <w:spacing w:val="2"/>
          <w:sz w:val="18"/>
          <w:szCs w:val="18"/>
        </w:rPr>
        <w:t xml:space="preserve"> </w:t>
      </w:r>
      <w:r w:rsidRPr="00840A30">
        <w:rPr>
          <w:rFonts w:ascii="Times New Roman" w:eastAsia="Arial" w:hAnsi="Times New Roman"/>
          <w:sz w:val="18"/>
          <w:szCs w:val="18"/>
        </w:rPr>
        <w:t>a</w:t>
      </w:r>
      <w:r w:rsidRPr="00840A30">
        <w:rPr>
          <w:rFonts w:ascii="Times New Roman" w:eastAsia="Arial" w:hAnsi="Times New Roman"/>
          <w:spacing w:val="-2"/>
          <w:sz w:val="18"/>
          <w:szCs w:val="18"/>
        </w:rPr>
        <w:t xml:space="preserve"> </w:t>
      </w:r>
      <w:r w:rsidRPr="00840A30">
        <w:rPr>
          <w:rFonts w:ascii="Times New Roman" w:eastAsia="Arial" w:hAnsi="Times New Roman"/>
          <w:spacing w:val="1"/>
          <w:sz w:val="18"/>
          <w:szCs w:val="18"/>
        </w:rPr>
        <w:t>s</w:t>
      </w:r>
      <w:r w:rsidRPr="00840A30">
        <w:rPr>
          <w:rFonts w:ascii="Times New Roman" w:eastAsia="Arial" w:hAnsi="Times New Roman"/>
          <w:spacing w:val="-4"/>
          <w:sz w:val="18"/>
          <w:szCs w:val="18"/>
        </w:rPr>
        <w:t>y</w:t>
      </w:r>
      <w:r w:rsidRPr="00840A30">
        <w:rPr>
          <w:rFonts w:ascii="Times New Roman" w:eastAsia="Arial" w:hAnsi="Times New Roman"/>
          <w:spacing w:val="1"/>
          <w:sz w:val="18"/>
          <w:szCs w:val="18"/>
        </w:rPr>
        <w:t>st</w:t>
      </w:r>
      <w:r w:rsidRPr="00840A30">
        <w:rPr>
          <w:rFonts w:ascii="Times New Roman" w:eastAsia="Arial" w:hAnsi="Times New Roman"/>
          <w:spacing w:val="-3"/>
          <w:sz w:val="18"/>
          <w:szCs w:val="18"/>
        </w:rPr>
        <w:t>e</w:t>
      </w:r>
      <w:r w:rsidRPr="00840A30">
        <w:rPr>
          <w:rFonts w:ascii="Times New Roman" w:eastAsia="Arial" w:hAnsi="Times New Roman"/>
          <w:spacing w:val="3"/>
          <w:sz w:val="18"/>
          <w:szCs w:val="18"/>
        </w:rPr>
        <w:t>m</w:t>
      </w:r>
      <w:r w:rsidRPr="00840A30">
        <w:rPr>
          <w:rFonts w:ascii="Times New Roman" w:eastAsia="Arial" w:hAnsi="Times New Roman"/>
          <w:spacing w:val="-3"/>
          <w:sz w:val="18"/>
          <w:szCs w:val="18"/>
        </w:rPr>
        <w:t>a</w:t>
      </w:r>
      <w:r w:rsidRPr="00840A30">
        <w:rPr>
          <w:rFonts w:ascii="Times New Roman" w:eastAsia="Arial" w:hAnsi="Times New Roman"/>
          <w:spacing w:val="1"/>
          <w:sz w:val="18"/>
          <w:szCs w:val="18"/>
        </w:rPr>
        <w:t>t</w:t>
      </w:r>
      <w:r w:rsidRPr="00840A30">
        <w:rPr>
          <w:rFonts w:ascii="Times New Roman" w:eastAsia="Arial" w:hAnsi="Times New Roman"/>
          <w:spacing w:val="-2"/>
          <w:sz w:val="18"/>
          <w:szCs w:val="18"/>
        </w:rPr>
        <w:t>i</w:t>
      </w:r>
      <w:r w:rsidRPr="00840A30">
        <w:rPr>
          <w:rFonts w:ascii="Times New Roman" w:eastAsia="Arial" w:hAnsi="Times New Roman"/>
          <w:sz w:val="18"/>
          <w:szCs w:val="18"/>
        </w:rPr>
        <w:t>c</w:t>
      </w:r>
      <w:r w:rsidRPr="00840A30">
        <w:rPr>
          <w:rFonts w:ascii="Times New Roman" w:eastAsia="Arial" w:hAnsi="Times New Roman"/>
          <w:spacing w:val="2"/>
          <w:sz w:val="18"/>
          <w:szCs w:val="18"/>
        </w:rPr>
        <w:t xml:space="preserve"> </w:t>
      </w:r>
      <w:r w:rsidRPr="00840A30">
        <w:rPr>
          <w:rFonts w:ascii="Times New Roman" w:eastAsia="Arial" w:hAnsi="Times New Roman"/>
          <w:spacing w:val="-1"/>
          <w:sz w:val="18"/>
          <w:szCs w:val="18"/>
        </w:rPr>
        <w:t>rev</w:t>
      </w:r>
      <w:r w:rsidRPr="00840A30">
        <w:rPr>
          <w:rFonts w:ascii="Times New Roman" w:eastAsia="Arial" w:hAnsi="Times New Roman"/>
          <w:sz w:val="18"/>
          <w:szCs w:val="18"/>
        </w:rPr>
        <w:t>i</w:t>
      </w:r>
      <w:r w:rsidRPr="00840A30">
        <w:rPr>
          <w:rFonts w:ascii="Times New Roman" w:eastAsia="Arial" w:hAnsi="Times New Roman"/>
          <w:spacing w:val="-1"/>
          <w:sz w:val="18"/>
          <w:szCs w:val="18"/>
        </w:rPr>
        <w:t>e</w:t>
      </w:r>
      <w:r w:rsidRPr="00840A30">
        <w:rPr>
          <w:rFonts w:ascii="Times New Roman" w:eastAsia="Arial" w:hAnsi="Times New Roman"/>
          <w:sz w:val="18"/>
          <w:szCs w:val="18"/>
        </w:rPr>
        <w:t>w</w:t>
      </w:r>
      <w:r w:rsidRPr="00840A30">
        <w:rPr>
          <w:rFonts w:ascii="Times New Roman" w:eastAsia="Arial" w:hAnsi="Times New Roman"/>
          <w:spacing w:val="-2"/>
          <w:sz w:val="18"/>
          <w:szCs w:val="18"/>
        </w:rPr>
        <w:t xml:space="preserve"> </w:t>
      </w:r>
      <w:r w:rsidRPr="00840A30">
        <w:rPr>
          <w:rFonts w:ascii="Times New Roman" w:eastAsia="Arial" w:hAnsi="Times New Roman"/>
          <w:spacing w:val="-1"/>
          <w:sz w:val="18"/>
          <w:szCs w:val="18"/>
        </w:rPr>
        <w:t>an</w:t>
      </w:r>
      <w:r w:rsidRPr="00840A30">
        <w:rPr>
          <w:rFonts w:ascii="Times New Roman" w:eastAsia="Arial" w:hAnsi="Times New Roman"/>
          <w:sz w:val="18"/>
          <w:szCs w:val="18"/>
        </w:rPr>
        <w:t>d</w:t>
      </w:r>
      <w:r w:rsidRPr="00840A30">
        <w:rPr>
          <w:rFonts w:ascii="Times New Roman" w:eastAsia="Arial" w:hAnsi="Times New Roman"/>
          <w:spacing w:val="-2"/>
          <w:sz w:val="18"/>
          <w:szCs w:val="18"/>
        </w:rPr>
        <w:t xml:space="preserve"> </w:t>
      </w:r>
      <w:r w:rsidRPr="00840A30">
        <w:rPr>
          <w:rFonts w:ascii="Times New Roman" w:eastAsia="Arial" w:hAnsi="Times New Roman"/>
          <w:sz w:val="18"/>
          <w:szCs w:val="18"/>
        </w:rPr>
        <w:t>m</w:t>
      </w:r>
      <w:r w:rsidRPr="00840A30">
        <w:rPr>
          <w:rFonts w:ascii="Times New Roman" w:eastAsia="Arial" w:hAnsi="Times New Roman"/>
          <w:spacing w:val="-1"/>
          <w:sz w:val="18"/>
          <w:szCs w:val="18"/>
        </w:rPr>
        <w:t>e</w:t>
      </w:r>
      <w:r w:rsidRPr="00840A30">
        <w:rPr>
          <w:rFonts w:ascii="Times New Roman" w:eastAsia="Arial" w:hAnsi="Times New Roman"/>
          <w:spacing w:val="1"/>
          <w:sz w:val="18"/>
          <w:szCs w:val="18"/>
        </w:rPr>
        <w:t>t</w:t>
      </w:r>
      <w:r w:rsidRPr="00840A30">
        <w:rPr>
          <w:rFonts w:ascii="Times New Roman" w:eastAsia="Arial" w:hAnsi="Times New Roman"/>
          <w:spacing w:val="-1"/>
          <w:sz w:val="18"/>
          <w:szCs w:val="18"/>
        </w:rPr>
        <w:t>a</w:t>
      </w:r>
      <w:r w:rsidRPr="00840A30">
        <w:rPr>
          <w:rFonts w:ascii="Times New Roman" w:eastAsia="Arial" w:hAnsi="Times New Roman"/>
          <w:sz w:val="18"/>
          <w:szCs w:val="18"/>
        </w:rPr>
        <w:t>-</w:t>
      </w:r>
      <w:r w:rsidRPr="00840A30">
        <w:rPr>
          <w:rFonts w:ascii="Times New Roman" w:eastAsia="Arial" w:hAnsi="Times New Roman"/>
          <w:spacing w:val="-1"/>
          <w:sz w:val="18"/>
          <w:szCs w:val="18"/>
        </w:rPr>
        <w:t>ana</w:t>
      </w:r>
      <w:r w:rsidRPr="00840A30">
        <w:rPr>
          <w:rFonts w:ascii="Times New Roman" w:eastAsia="Arial" w:hAnsi="Times New Roman"/>
          <w:sz w:val="18"/>
          <w:szCs w:val="18"/>
        </w:rPr>
        <w:t>l</w:t>
      </w:r>
      <w:r w:rsidRPr="00840A30">
        <w:rPr>
          <w:rFonts w:ascii="Times New Roman" w:eastAsia="Arial" w:hAnsi="Times New Roman"/>
          <w:spacing w:val="-1"/>
          <w:sz w:val="18"/>
          <w:szCs w:val="18"/>
        </w:rPr>
        <w:t>y</w:t>
      </w:r>
      <w:r w:rsidRPr="00840A30">
        <w:rPr>
          <w:rFonts w:ascii="Times New Roman" w:eastAsia="Arial" w:hAnsi="Times New Roman"/>
          <w:spacing w:val="1"/>
          <w:sz w:val="18"/>
          <w:szCs w:val="18"/>
        </w:rPr>
        <w:t>s</w:t>
      </w:r>
      <w:r w:rsidRPr="00840A30">
        <w:rPr>
          <w:rFonts w:ascii="Times New Roman" w:eastAsia="Arial" w:hAnsi="Times New Roman"/>
          <w:sz w:val="18"/>
          <w:szCs w:val="18"/>
        </w:rPr>
        <w:t xml:space="preserve">is </w:t>
      </w:r>
      <w:r w:rsidRPr="00840A30">
        <w:rPr>
          <w:rFonts w:ascii="Times New Roman" w:eastAsia="Arial" w:hAnsi="Times New Roman"/>
          <w:spacing w:val="-1"/>
          <w:sz w:val="18"/>
          <w:szCs w:val="18"/>
        </w:rPr>
        <w:t>o</w:t>
      </w:r>
      <w:r w:rsidRPr="00840A30">
        <w:rPr>
          <w:rFonts w:ascii="Times New Roman" w:eastAsia="Arial" w:hAnsi="Times New Roman"/>
          <w:sz w:val="18"/>
          <w:szCs w:val="18"/>
        </w:rPr>
        <w:t xml:space="preserve">f </w:t>
      </w:r>
      <w:r w:rsidRPr="00840A30">
        <w:rPr>
          <w:rFonts w:ascii="Times New Roman" w:eastAsia="Arial" w:hAnsi="Times New Roman"/>
          <w:spacing w:val="-1"/>
          <w:sz w:val="18"/>
          <w:szCs w:val="18"/>
        </w:rPr>
        <w:t>re</w:t>
      </w:r>
      <w:r w:rsidRPr="00840A30">
        <w:rPr>
          <w:rFonts w:ascii="Times New Roman" w:eastAsia="Arial" w:hAnsi="Times New Roman"/>
          <w:spacing w:val="1"/>
          <w:sz w:val="18"/>
          <w:szCs w:val="18"/>
        </w:rPr>
        <w:t>c</w:t>
      </w:r>
      <w:r w:rsidRPr="00840A30">
        <w:rPr>
          <w:rFonts w:ascii="Times New Roman" w:eastAsia="Arial" w:hAnsi="Times New Roman"/>
          <w:spacing w:val="-1"/>
          <w:sz w:val="18"/>
          <w:szCs w:val="18"/>
        </w:rPr>
        <w:t>en</w:t>
      </w:r>
      <w:r w:rsidRPr="00840A30">
        <w:rPr>
          <w:rFonts w:ascii="Times New Roman" w:eastAsia="Arial" w:hAnsi="Times New Roman"/>
          <w:sz w:val="18"/>
          <w:szCs w:val="18"/>
        </w:rPr>
        <w:t xml:space="preserve">t </w:t>
      </w:r>
      <w:r w:rsidRPr="00840A30">
        <w:rPr>
          <w:rFonts w:ascii="Times New Roman" w:eastAsia="Arial" w:hAnsi="Times New Roman"/>
          <w:spacing w:val="-1"/>
          <w:sz w:val="18"/>
          <w:szCs w:val="18"/>
        </w:rPr>
        <w:t>s</w:t>
      </w:r>
      <w:r w:rsidRPr="00840A30">
        <w:rPr>
          <w:rFonts w:ascii="Times New Roman" w:eastAsia="Arial" w:hAnsi="Times New Roman"/>
          <w:spacing w:val="1"/>
          <w:sz w:val="18"/>
          <w:szCs w:val="18"/>
        </w:rPr>
        <w:t>t</w:t>
      </w:r>
      <w:r w:rsidRPr="00840A30">
        <w:rPr>
          <w:rFonts w:ascii="Times New Roman" w:eastAsia="Arial" w:hAnsi="Times New Roman"/>
          <w:spacing w:val="-1"/>
          <w:sz w:val="18"/>
          <w:szCs w:val="18"/>
        </w:rPr>
        <w:t>ud</w:t>
      </w:r>
      <w:r w:rsidRPr="00840A30">
        <w:rPr>
          <w:rFonts w:ascii="Times New Roman" w:eastAsia="Arial" w:hAnsi="Times New Roman"/>
          <w:sz w:val="18"/>
          <w:szCs w:val="18"/>
        </w:rPr>
        <w:t>i</w:t>
      </w:r>
      <w:r w:rsidRPr="00840A30">
        <w:rPr>
          <w:rFonts w:ascii="Times New Roman" w:eastAsia="Arial" w:hAnsi="Times New Roman"/>
          <w:spacing w:val="-3"/>
          <w:sz w:val="18"/>
          <w:szCs w:val="18"/>
        </w:rPr>
        <w:t>e</w:t>
      </w:r>
      <w:r w:rsidRPr="00840A30">
        <w:rPr>
          <w:rFonts w:ascii="Times New Roman" w:eastAsia="Arial" w:hAnsi="Times New Roman"/>
          <w:spacing w:val="1"/>
          <w:sz w:val="18"/>
          <w:szCs w:val="18"/>
        </w:rPr>
        <w:t>s</w:t>
      </w:r>
      <w:r w:rsidRPr="00840A30">
        <w:rPr>
          <w:rFonts w:ascii="Times New Roman" w:eastAsia="Arial" w:hAnsi="Times New Roman"/>
          <w:sz w:val="18"/>
          <w:szCs w:val="18"/>
        </w:rPr>
        <w:t xml:space="preserve">, </w:t>
      </w:r>
      <w:r w:rsidRPr="00840A30">
        <w:rPr>
          <w:rFonts w:ascii="Times New Roman" w:eastAsia="Arial" w:hAnsi="Times New Roman"/>
          <w:i/>
          <w:spacing w:val="1"/>
          <w:sz w:val="18"/>
          <w:szCs w:val="18"/>
        </w:rPr>
        <w:t>P</w:t>
      </w:r>
      <w:r w:rsidRPr="00840A30">
        <w:rPr>
          <w:rFonts w:ascii="Times New Roman" w:eastAsia="Arial" w:hAnsi="Times New Roman"/>
          <w:i/>
          <w:spacing w:val="-1"/>
          <w:sz w:val="18"/>
          <w:szCs w:val="18"/>
        </w:rPr>
        <w:t>u</w:t>
      </w:r>
      <w:r w:rsidRPr="00840A30">
        <w:rPr>
          <w:rFonts w:ascii="Times New Roman" w:eastAsia="Arial" w:hAnsi="Times New Roman"/>
          <w:i/>
          <w:spacing w:val="-3"/>
          <w:sz w:val="18"/>
          <w:szCs w:val="18"/>
        </w:rPr>
        <w:t>b</w:t>
      </w:r>
      <w:r w:rsidRPr="00840A30">
        <w:rPr>
          <w:rFonts w:ascii="Times New Roman" w:eastAsia="Arial" w:hAnsi="Times New Roman"/>
          <w:i/>
          <w:sz w:val="18"/>
          <w:szCs w:val="18"/>
        </w:rPr>
        <w:t xml:space="preserve">lic </w:t>
      </w:r>
      <w:r w:rsidRPr="00840A30">
        <w:rPr>
          <w:rFonts w:ascii="Times New Roman" w:eastAsia="Arial" w:hAnsi="Times New Roman"/>
          <w:i/>
          <w:spacing w:val="-1"/>
          <w:sz w:val="18"/>
          <w:szCs w:val="18"/>
        </w:rPr>
        <w:t>Hea</w:t>
      </w:r>
      <w:r w:rsidRPr="00840A30">
        <w:rPr>
          <w:rFonts w:ascii="Times New Roman" w:eastAsia="Arial" w:hAnsi="Times New Roman"/>
          <w:i/>
          <w:sz w:val="18"/>
          <w:szCs w:val="18"/>
        </w:rPr>
        <w:t>l</w:t>
      </w:r>
      <w:r w:rsidRPr="00840A30">
        <w:rPr>
          <w:rFonts w:ascii="Times New Roman" w:eastAsia="Arial" w:hAnsi="Times New Roman"/>
          <w:i/>
          <w:spacing w:val="1"/>
          <w:sz w:val="18"/>
          <w:szCs w:val="18"/>
        </w:rPr>
        <w:t>t</w:t>
      </w:r>
      <w:r w:rsidRPr="00840A30">
        <w:rPr>
          <w:rFonts w:ascii="Times New Roman" w:eastAsia="Arial" w:hAnsi="Times New Roman"/>
          <w:i/>
          <w:sz w:val="18"/>
          <w:szCs w:val="18"/>
        </w:rPr>
        <w:t>h</w:t>
      </w:r>
      <w:r w:rsidRPr="00840A30">
        <w:rPr>
          <w:rFonts w:ascii="Times New Roman" w:eastAsia="Arial" w:hAnsi="Times New Roman"/>
          <w:i/>
          <w:spacing w:val="1"/>
          <w:sz w:val="18"/>
          <w:szCs w:val="18"/>
        </w:rPr>
        <w:t xml:space="preserve"> </w:t>
      </w:r>
      <w:r w:rsidRPr="00840A30">
        <w:rPr>
          <w:rFonts w:ascii="Times New Roman" w:eastAsia="Arial" w:hAnsi="Times New Roman"/>
          <w:i/>
          <w:spacing w:val="-1"/>
          <w:sz w:val="18"/>
          <w:szCs w:val="18"/>
        </w:rPr>
        <w:t>N</w:t>
      </w:r>
      <w:r w:rsidRPr="00840A30">
        <w:rPr>
          <w:rFonts w:ascii="Times New Roman" w:eastAsia="Arial" w:hAnsi="Times New Roman"/>
          <w:i/>
          <w:spacing w:val="-3"/>
          <w:sz w:val="18"/>
          <w:szCs w:val="18"/>
        </w:rPr>
        <w:t>u</w:t>
      </w:r>
      <w:r w:rsidRPr="00840A30">
        <w:rPr>
          <w:rFonts w:ascii="Times New Roman" w:eastAsia="Arial" w:hAnsi="Times New Roman"/>
          <w:i/>
          <w:spacing w:val="1"/>
          <w:sz w:val="18"/>
          <w:szCs w:val="18"/>
        </w:rPr>
        <w:t>t</w:t>
      </w:r>
      <w:r w:rsidRPr="00840A30">
        <w:rPr>
          <w:rFonts w:ascii="Times New Roman" w:eastAsia="Arial" w:hAnsi="Times New Roman"/>
          <w:i/>
          <w:spacing w:val="-1"/>
          <w:sz w:val="18"/>
          <w:szCs w:val="18"/>
        </w:rPr>
        <w:t>r</w:t>
      </w:r>
      <w:r w:rsidRPr="00840A30">
        <w:rPr>
          <w:rFonts w:ascii="Times New Roman" w:eastAsia="Arial" w:hAnsi="Times New Roman"/>
          <w:i/>
          <w:sz w:val="18"/>
          <w:szCs w:val="18"/>
        </w:rPr>
        <w:t>i</w:t>
      </w:r>
      <w:r w:rsidRPr="00840A30">
        <w:rPr>
          <w:rFonts w:ascii="Times New Roman" w:eastAsia="Arial" w:hAnsi="Times New Roman"/>
          <w:i/>
          <w:spacing w:val="1"/>
          <w:sz w:val="18"/>
          <w:szCs w:val="18"/>
        </w:rPr>
        <w:t>t</w:t>
      </w:r>
      <w:r w:rsidRPr="00840A30">
        <w:rPr>
          <w:rFonts w:ascii="Times New Roman" w:eastAsia="Arial" w:hAnsi="Times New Roman"/>
          <w:i/>
          <w:sz w:val="18"/>
          <w:szCs w:val="18"/>
        </w:rPr>
        <w:t>i</w:t>
      </w:r>
      <w:r w:rsidRPr="00840A30">
        <w:rPr>
          <w:rFonts w:ascii="Times New Roman" w:eastAsia="Arial" w:hAnsi="Times New Roman"/>
          <w:i/>
          <w:spacing w:val="-1"/>
          <w:sz w:val="18"/>
          <w:szCs w:val="18"/>
        </w:rPr>
        <w:t>on,</w:t>
      </w:r>
      <w:r w:rsidRPr="00840A30">
        <w:rPr>
          <w:rFonts w:ascii="Times New Roman" w:eastAsia="Arial" w:hAnsi="Times New Roman"/>
          <w:sz w:val="18"/>
          <w:szCs w:val="18"/>
        </w:rPr>
        <w:t xml:space="preserve"> </w:t>
      </w:r>
      <w:r w:rsidRPr="00840A30">
        <w:rPr>
          <w:rFonts w:ascii="Times New Roman" w:eastAsia="Arial" w:hAnsi="Times New Roman"/>
          <w:spacing w:val="-1"/>
          <w:sz w:val="18"/>
          <w:szCs w:val="18"/>
        </w:rPr>
        <w:t>19(12)</w:t>
      </w:r>
      <w:r w:rsidRPr="00840A30">
        <w:rPr>
          <w:rFonts w:ascii="Times New Roman" w:eastAsia="Arial" w:hAnsi="Times New Roman"/>
          <w:sz w:val="18"/>
          <w:szCs w:val="18"/>
        </w:rPr>
        <w:t>,</w:t>
      </w:r>
      <w:r w:rsidRPr="00840A30">
        <w:rPr>
          <w:rFonts w:ascii="Times New Roman" w:eastAsia="Arial" w:hAnsi="Times New Roman"/>
          <w:spacing w:val="-16"/>
          <w:sz w:val="18"/>
          <w:szCs w:val="18"/>
        </w:rPr>
        <w:t xml:space="preserve"> </w:t>
      </w:r>
      <w:r w:rsidRPr="00840A30">
        <w:rPr>
          <w:rFonts w:ascii="Times New Roman" w:eastAsia="Arial" w:hAnsi="Times New Roman"/>
          <w:spacing w:val="-1"/>
          <w:sz w:val="18"/>
          <w:szCs w:val="18"/>
        </w:rPr>
        <w:t>2106</w:t>
      </w:r>
      <w:r w:rsidRPr="00840A30">
        <w:rPr>
          <w:rFonts w:ascii="Times New Roman" w:eastAsia="Arial" w:hAnsi="Times New Roman"/>
          <w:sz w:val="18"/>
          <w:szCs w:val="18"/>
        </w:rPr>
        <w:t>-</w:t>
      </w:r>
      <w:r w:rsidRPr="00840A30">
        <w:rPr>
          <w:rFonts w:ascii="Times New Roman" w:eastAsia="Arial" w:hAnsi="Times New Roman"/>
          <w:spacing w:val="-1"/>
          <w:sz w:val="18"/>
          <w:szCs w:val="18"/>
        </w:rPr>
        <w:t>2121.</w:t>
      </w:r>
    </w:p>
  </w:footnote>
  <w:footnote w:id="40">
    <w:p w14:paraId="2FA37B85" w14:textId="77777777" w:rsidR="002B55D1" w:rsidRPr="00840A30" w:rsidRDefault="002B55D1" w:rsidP="00A85D60">
      <w:pPr>
        <w:pStyle w:val="FootnoteText"/>
        <w:rPr>
          <w:rFonts w:ascii="Times New Roman" w:hAnsi="Times New Roman"/>
          <w:sz w:val="18"/>
          <w:szCs w:val="18"/>
        </w:rPr>
      </w:pPr>
      <w:r w:rsidRPr="00840A30">
        <w:rPr>
          <w:rStyle w:val="FootnoteReference"/>
          <w:rFonts w:ascii="Times New Roman" w:hAnsi="Times New Roman"/>
          <w:sz w:val="18"/>
          <w:szCs w:val="18"/>
        </w:rPr>
        <w:footnoteRef/>
      </w:r>
      <w:r w:rsidRPr="00840A30">
        <w:rPr>
          <w:rFonts w:ascii="Times New Roman" w:hAnsi="Times New Roman"/>
          <w:sz w:val="18"/>
          <w:szCs w:val="18"/>
        </w:rPr>
        <w:t xml:space="preserve"> Cantu-Jungles et al. 2017. A Meta-Analysis to Determine the Impact of Restaurant Menu Labeling on Calories and Nutrients (Ordered or Consumed) in U.S. Adults. </w:t>
      </w:r>
      <w:r w:rsidRPr="00840A30">
        <w:rPr>
          <w:rFonts w:ascii="Times New Roman" w:hAnsi="Times New Roman"/>
          <w:i/>
          <w:sz w:val="18"/>
          <w:szCs w:val="18"/>
        </w:rPr>
        <w:t>Nutrients</w:t>
      </w:r>
      <w:r w:rsidRPr="00840A30">
        <w:rPr>
          <w:rFonts w:ascii="Times New Roman" w:hAnsi="Times New Roman"/>
          <w:sz w:val="18"/>
          <w:szCs w:val="18"/>
        </w:rPr>
        <w:t>, 9(10), 1088.</w:t>
      </w:r>
    </w:p>
  </w:footnote>
  <w:footnote w:id="41">
    <w:p w14:paraId="2DC677C2" w14:textId="77777777" w:rsidR="002B55D1" w:rsidRPr="00840A30" w:rsidRDefault="002B55D1" w:rsidP="00A85D60">
      <w:pPr>
        <w:pStyle w:val="FootnoteText"/>
        <w:rPr>
          <w:rFonts w:ascii="Times New Roman" w:hAnsi="Times New Roman"/>
          <w:sz w:val="18"/>
          <w:szCs w:val="18"/>
        </w:rPr>
      </w:pPr>
      <w:r w:rsidRPr="00840A30">
        <w:rPr>
          <w:rStyle w:val="FootnoteReference"/>
          <w:rFonts w:ascii="Times New Roman" w:hAnsi="Times New Roman"/>
          <w:sz w:val="18"/>
          <w:szCs w:val="18"/>
        </w:rPr>
        <w:footnoteRef/>
      </w:r>
      <w:r w:rsidRPr="00840A30">
        <w:rPr>
          <w:rFonts w:ascii="Times New Roman" w:hAnsi="Times New Roman"/>
          <w:sz w:val="18"/>
          <w:szCs w:val="18"/>
        </w:rPr>
        <w:t xml:space="preserve"> Thunstrom. 2019. Welfare effects of nudges: the emotional tax of calorie menu labelling. </w:t>
      </w:r>
      <w:r w:rsidRPr="00840A30">
        <w:rPr>
          <w:rFonts w:ascii="Times New Roman" w:hAnsi="Times New Roman"/>
          <w:i/>
          <w:sz w:val="18"/>
          <w:szCs w:val="18"/>
        </w:rPr>
        <w:t>Judgement and Decision Making,</w:t>
      </w:r>
      <w:r w:rsidRPr="00840A30">
        <w:rPr>
          <w:rFonts w:ascii="Times New Roman" w:hAnsi="Times New Roman"/>
          <w:sz w:val="18"/>
          <w:szCs w:val="18"/>
        </w:rPr>
        <w:t xml:space="preserve"> 14(1):11-25.</w:t>
      </w:r>
    </w:p>
  </w:footnote>
  <w:footnote w:id="42">
    <w:p w14:paraId="728B260C" w14:textId="63AC0DC2" w:rsidR="002B55D1" w:rsidRPr="00840A30" w:rsidRDefault="002B55D1" w:rsidP="00A85D60">
      <w:pPr>
        <w:pStyle w:val="Default"/>
        <w:rPr>
          <w:sz w:val="18"/>
          <w:szCs w:val="18"/>
        </w:rPr>
      </w:pPr>
      <w:r w:rsidRPr="00840A30">
        <w:rPr>
          <w:rStyle w:val="FootnoteReference"/>
          <w:sz w:val="18"/>
          <w:szCs w:val="18"/>
        </w:rPr>
        <w:footnoteRef/>
      </w:r>
      <w:r w:rsidRPr="00840A30">
        <w:rPr>
          <w:sz w:val="18"/>
          <w:szCs w:val="18"/>
        </w:rPr>
        <w:t xml:space="preserve"> </w:t>
      </w:r>
      <w:r w:rsidRPr="00840A30">
        <w:rPr>
          <w:color w:val="auto"/>
          <w:sz w:val="18"/>
          <w:szCs w:val="18"/>
          <w:lang w:eastAsia="zh-CN" w:bidi="th-TH"/>
        </w:rPr>
        <w:t xml:space="preserve">Ministers agreed that FRSC should work with AHMAC to develop advice on a national approach by mid-2011 that could guide the display of nutrition information in standard fast food chain restaurants. This decision followed action in different Australian states to improve public awareness of the nutrition content of takeaway food by providing this information at the point-of-sale. The Food Ministers’ decision did not specifically refer to menu labelling in New Zealand. A </w:t>
      </w:r>
      <w:r w:rsidRPr="00840A30">
        <w:rPr>
          <w:sz w:val="18"/>
          <w:szCs w:val="18"/>
          <w:lang w:eastAsia="zh-CN" w:bidi="th-TH"/>
        </w:rPr>
        <w:t>FRSC Point-of-Sale Nutrition Information Working Group (led by the Australian Department of Health and Ageing, with membership from all state and territory governments (excluding the Northern Territory), New Zealand Government and FSANZ) developed principles to facilitate consistency if jurisdictions elected to introduce legislation for the display of point-of-sale nutrition information in standard food outlet.</w:t>
      </w:r>
    </w:p>
  </w:footnote>
  <w:footnote w:id="43">
    <w:p w14:paraId="1297143A" w14:textId="77777777" w:rsidR="002B55D1" w:rsidRPr="00DB647A" w:rsidRDefault="002B55D1" w:rsidP="00A85D60">
      <w:pPr>
        <w:pStyle w:val="FootnoteText"/>
        <w:rPr>
          <w:lang w:val="en-US"/>
        </w:rPr>
      </w:pPr>
      <w:r w:rsidRPr="00840A30">
        <w:rPr>
          <w:rStyle w:val="FootnoteReference"/>
          <w:rFonts w:ascii="Times New Roman" w:hAnsi="Times New Roman"/>
          <w:sz w:val="18"/>
          <w:szCs w:val="18"/>
        </w:rPr>
        <w:footnoteRef/>
      </w:r>
      <w:r w:rsidRPr="00840A30">
        <w:rPr>
          <w:rFonts w:ascii="Times New Roman" w:hAnsi="Times New Roman"/>
          <w:sz w:val="18"/>
          <w:szCs w:val="18"/>
        </w:rPr>
        <w:t xml:space="preserve"> </w:t>
      </w:r>
      <w:r w:rsidRPr="00840A30">
        <w:rPr>
          <w:rFonts w:ascii="Times New Roman" w:hAnsi="Times New Roman"/>
          <w:i/>
          <w:iCs/>
          <w:sz w:val="18"/>
          <w:szCs w:val="18"/>
        </w:rPr>
        <w:t>Principles for introducing Point-of-Sale nutrition information at standard food outlets</w:t>
      </w:r>
      <w:r w:rsidRPr="00840A30">
        <w:rPr>
          <w:rFonts w:ascii="Times New Roman" w:hAnsi="Times New Roman"/>
          <w:sz w:val="18"/>
          <w:szCs w:val="18"/>
        </w:rPr>
        <w:t xml:space="preserve">. 2011. </w:t>
      </w:r>
      <w:hyperlink r:id="rId25" w:history="1">
        <w:r w:rsidRPr="00A85D60">
          <w:rPr>
            <w:rStyle w:val="Hyperlink"/>
            <w:rFonts w:ascii="Times New Roman" w:hAnsi="Times New Roman"/>
            <w:sz w:val="18"/>
            <w:szCs w:val="18"/>
          </w:rPr>
          <w:t>https://foodregulation.gov.au/internet/fr/publishing.nsf/Content/publication-principles-point-of-sale-nutrition</w:t>
        </w:r>
      </w:hyperlink>
    </w:p>
  </w:footnote>
  <w:footnote w:id="44">
    <w:p w14:paraId="4A46450E" w14:textId="77777777" w:rsidR="002B55D1" w:rsidRPr="00680AF9" w:rsidRDefault="002B55D1" w:rsidP="00680AF9">
      <w:pPr>
        <w:pStyle w:val="FootnoteText"/>
        <w:rPr>
          <w:rFonts w:ascii="Times New Roman" w:hAnsi="Times New Roman"/>
          <w:sz w:val="18"/>
          <w:szCs w:val="18"/>
          <w:lang w:val="en-US"/>
        </w:rPr>
      </w:pPr>
      <w:r w:rsidRPr="00680AF9">
        <w:rPr>
          <w:rStyle w:val="FootnoteReference"/>
          <w:rFonts w:ascii="Times New Roman" w:hAnsi="Times New Roman"/>
          <w:sz w:val="18"/>
          <w:szCs w:val="18"/>
        </w:rPr>
        <w:footnoteRef/>
      </w:r>
      <w:r w:rsidRPr="00680AF9">
        <w:rPr>
          <w:rFonts w:ascii="Times New Roman" w:hAnsi="Times New Roman"/>
          <w:sz w:val="18"/>
          <w:szCs w:val="18"/>
        </w:rPr>
        <w:t xml:space="preserve"> NSW Health. </w:t>
      </w:r>
      <w:r w:rsidRPr="00680AF9">
        <w:rPr>
          <w:rFonts w:ascii="Times New Roman" w:hAnsi="Times New Roman"/>
          <w:i/>
          <w:sz w:val="18"/>
          <w:szCs w:val="18"/>
        </w:rPr>
        <w:t>8700: Find your ideal figure</w:t>
      </w:r>
      <w:r w:rsidRPr="00680AF9">
        <w:rPr>
          <w:rFonts w:ascii="Times New Roman" w:hAnsi="Times New Roman"/>
          <w:sz w:val="18"/>
          <w:szCs w:val="18"/>
        </w:rPr>
        <w:t xml:space="preserve">. </w:t>
      </w:r>
      <w:hyperlink r:id="rId26" w:history="1">
        <w:r w:rsidRPr="00680AF9">
          <w:rPr>
            <w:rStyle w:val="Hyperlink"/>
            <w:rFonts w:ascii="Times New Roman" w:hAnsi="Times New Roman"/>
            <w:sz w:val="18"/>
            <w:szCs w:val="18"/>
          </w:rPr>
          <w:t>https://www.8700.com.au/</w:t>
        </w:r>
      </w:hyperlink>
    </w:p>
  </w:footnote>
  <w:footnote w:id="45">
    <w:p w14:paraId="04D40414" w14:textId="3E791C4F" w:rsidR="002B55D1" w:rsidRPr="00680AF9" w:rsidRDefault="002B55D1" w:rsidP="00680AF9">
      <w:pPr>
        <w:pStyle w:val="FootnoteText"/>
        <w:rPr>
          <w:rFonts w:ascii="Times New Roman" w:hAnsi="Times New Roman"/>
          <w:sz w:val="18"/>
          <w:szCs w:val="18"/>
          <w:lang w:val="en-US"/>
        </w:rPr>
      </w:pPr>
      <w:r w:rsidRPr="00680AF9">
        <w:rPr>
          <w:rStyle w:val="FootnoteReference"/>
          <w:rFonts w:ascii="Times New Roman" w:hAnsi="Times New Roman"/>
          <w:sz w:val="18"/>
          <w:szCs w:val="18"/>
        </w:rPr>
        <w:footnoteRef/>
      </w:r>
      <w:r w:rsidRPr="00680AF9">
        <w:rPr>
          <w:rFonts w:ascii="Times New Roman" w:hAnsi="Times New Roman"/>
          <w:sz w:val="18"/>
          <w:szCs w:val="18"/>
        </w:rPr>
        <w:t xml:space="preserve"> </w:t>
      </w:r>
      <w:r w:rsidRPr="00680AF9">
        <w:rPr>
          <w:rFonts w:ascii="Times New Roman" w:hAnsi="Times New Roman"/>
          <w:sz w:val="18"/>
          <w:szCs w:val="18"/>
          <w:lang w:val="en-US"/>
        </w:rPr>
        <w:t>Queensland Health.</w:t>
      </w:r>
      <w:r>
        <w:rPr>
          <w:rFonts w:ascii="Times New Roman" w:hAnsi="Times New Roman"/>
          <w:i/>
          <w:sz w:val="18"/>
          <w:szCs w:val="18"/>
          <w:lang w:val="en-US"/>
        </w:rPr>
        <w:t xml:space="preserve"> Healthier. Happier.</w:t>
      </w:r>
      <w:r w:rsidRPr="00E75D18">
        <w:rPr>
          <w:rFonts w:ascii="Times New Roman" w:eastAsia="Times New Roman" w:hAnsi="Times New Roman"/>
          <w:sz w:val="18"/>
          <w:szCs w:val="18"/>
        </w:rPr>
        <w:t xml:space="preserve"> </w:t>
      </w:r>
      <w:hyperlink r:id="rId27" w:history="1">
        <w:r w:rsidRPr="00E75D18">
          <w:rPr>
            <w:rStyle w:val="Hyperlink"/>
            <w:rFonts w:ascii="Times New Roman" w:hAnsi="Times New Roman"/>
            <w:sz w:val="18"/>
            <w:szCs w:val="18"/>
          </w:rPr>
          <w:t>https://www.healthier.qld.gov.au/</w:t>
        </w:r>
      </w:hyperlink>
      <w:r w:rsidDel="00E75D18">
        <w:t xml:space="preserve"> </w:t>
      </w:r>
    </w:p>
  </w:footnote>
  <w:footnote w:id="46">
    <w:p w14:paraId="54AD2C83" w14:textId="77777777" w:rsidR="002B55D1" w:rsidRPr="00680AF9" w:rsidRDefault="002B55D1" w:rsidP="00680AF9">
      <w:pPr>
        <w:pStyle w:val="FootnoteText"/>
        <w:rPr>
          <w:rFonts w:ascii="Times New Roman" w:hAnsi="Times New Roman"/>
          <w:sz w:val="18"/>
          <w:szCs w:val="18"/>
          <w:lang w:val="en-US"/>
        </w:rPr>
      </w:pPr>
      <w:r w:rsidRPr="00680AF9">
        <w:rPr>
          <w:rStyle w:val="FootnoteReference"/>
          <w:rFonts w:ascii="Times New Roman" w:hAnsi="Times New Roman"/>
          <w:sz w:val="18"/>
          <w:szCs w:val="18"/>
        </w:rPr>
        <w:footnoteRef/>
      </w:r>
      <w:r w:rsidRPr="00680AF9">
        <w:rPr>
          <w:rFonts w:ascii="Times New Roman" w:hAnsi="Times New Roman"/>
          <w:sz w:val="18"/>
          <w:szCs w:val="18"/>
        </w:rPr>
        <w:t xml:space="preserve"> Victoria State Government. </w:t>
      </w:r>
      <w:r w:rsidRPr="00680AF9">
        <w:rPr>
          <w:rFonts w:ascii="Times New Roman" w:hAnsi="Times New Roman"/>
          <w:i/>
          <w:sz w:val="18"/>
          <w:szCs w:val="18"/>
        </w:rPr>
        <w:t xml:space="preserve">Kilojoules. </w:t>
      </w:r>
      <w:hyperlink r:id="rId28" w:history="1">
        <w:r w:rsidRPr="00680AF9">
          <w:rPr>
            <w:rStyle w:val="Hyperlink"/>
            <w:rFonts w:ascii="Times New Roman" w:eastAsia="Times New Roman" w:hAnsi="Times New Roman"/>
            <w:sz w:val="18"/>
            <w:szCs w:val="18"/>
          </w:rPr>
          <w:t>https://www.betterhealth.vic.gov.au/campaigns/kilojoules-on-the-menu</w:t>
        </w:r>
      </w:hyperlink>
    </w:p>
  </w:footnote>
  <w:footnote w:id="47">
    <w:p w14:paraId="344C7651" w14:textId="77777777" w:rsidR="002B55D1" w:rsidRPr="001022A3" w:rsidRDefault="002B55D1" w:rsidP="00680AF9">
      <w:pPr>
        <w:pStyle w:val="FootnoteText"/>
        <w:rPr>
          <w:rFonts w:ascii="Times New Roman" w:hAnsi="Times New Roman"/>
          <w:sz w:val="18"/>
          <w:szCs w:val="18"/>
          <w:lang w:val="en-NZ"/>
        </w:rPr>
      </w:pPr>
      <w:r w:rsidRPr="00680AF9">
        <w:rPr>
          <w:rStyle w:val="FootnoteReference"/>
          <w:rFonts w:ascii="Times New Roman" w:hAnsi="Times New Roman"/>
          <w:sz w:val="18"/>
          <w:szCs w:val="18"/>
        </w:rPr>
        <w:footnoteRef/>
      </w:r>
      <w:r w:rsidRPr="00680AF9">
        <w:rPr>
          <w:rFonts w:ascii="Times New Roman" w:hAnsi="Times New Roman"/>
          <w:sz w:val="18"/>
          <w:szCs w:val="18"/>
        </w:rPr>
        <w:t xml:space="preserve"> In 2018, leading New Zealand food and beverage industry members formed a </w:t>
      </w:r>
      <w:r w:rsidRPr="00680AF9">
        <w:rPr>
          <w:rFonts w:ascii="Times New Roman" w:hAnsi="Times New Roman"/>
          <w:sz w:val="18"/>
          <w:szCs w:val="18"/>
          <w:lang w:val="en-NZ"/>
        </w:rPr>
        <w:t>Taskforce on Addressing Factors Contributing to Obesity, at the request of Ministers of Health and Food Safety.  The Taskforce is no longer formally meeting.</w:t>
      </w:r>
    </w:p>
  </w:footnote>
  <w:footnote w:id="48">
    <w:p w14:paraId="63019CF6" w14:textId="4AF47B00" w:rsidR="002B55D1" w:rsidRPr="00C90328" w:rsidRDefault="002B55D1" w:rsidP="00C90328">
      <w:pPr>
        <w:pStyle w:val="FootnoteText"/>
        <w:rPr>
          <w:rFonts w:ascii="Times New Roman" w:hAnsi="Times New Roman"/>
          <w:sz w:val="18"/>
          <w:szCs w:val="18"/>
          <w:lang w:val="en-US"/>
        </w:rPr>
      </w:pPr>
      <w:r w:rsidRPr="00C90328">
        <w:rPr>
          <w:rStyle w:val="FootnoteReference"/>
          <w:rFonts w:ascii="Times New Roman" w:hAnsi="Times New Roman"/>
          <w:sz w:val="18"/>
          <w:szCs w:val="18"/>
        </w:rPr>
        <w:footnoteRef/>
      </w:r>
      <w:r w:rsidRPr="00C90328">
        <w:rPr>
          <w:rFonts w:ascii="Times New Roman" w:hAnsi="Times New Roman"/>
          <w:sz w:val="18"/>
          <w:szCs w:val="18"/>
        </w:rPr>
        <w:t xml:space="preserve"> Food Regulation Standing Committee. 2018. </w:t>
      </w:r>
      <w:r w:rsidRPr="00C90328">
        <w:rPr>
          <w:rFonts w:ascii="Times New Roman" w:hAnsi="Times New Roman"/>
          <w:i/>
          <w:sz w:val="18"/>
          <w:szCs w:val="18"/>
        </w:rPr>
        <w:t>Consultation Summary Report: Review of fast food menu labelling schemes.</w:t>
      </w:r>
      <w:r w:rsidRPr="00C90328">
        <w:rPr>
          <w:rFonts w:ascii="Times New Roman" w:hAnsi="Times New Roman"/>
          <w:sz w:val="18"/>
          <w:szCs w:val="18"/>
        </w:rPr>
        <w:t xml:space="preserve"> Available at: </w:t>
      </w:r>
      <w:hyperlink r:id="rId29" w:history="1">
        <w:r w:rsidRPr="00C90328">
          <w:rPr>
            <w:rFonts w:ascii="Times New Roman" w:eastAsia="Times New Roman" w:hAnsi="Times New Roman"/>
            <w:color w:val="0000FF"/>
            <w:sz w:val="18"/>
            <w:szCs w:val="18"/>
            <w:u w:val="single"/>
          </w:rPr>
          <w:t>https://foodregulation.gov.au/internet/fr/publishing.nsf/Content/review-fast-food-menu-labelling-schemes</w:t>
        </w:r>
      </w:hyperlink>
    </w:p>
  </w:footnote>
  <w:footnote w:id="49">
    <w:p w14:paraId="1C305D67" w14:textId="77777777" w:rsidR="002B55D1" w:rsidRPr="006531D8" w:rsidRDefault="002B55D1" w:rsidP="006531D8">
      <w:pPr>
        <w:pStyle w:val="FootnoteText"/>
        <w:rPr>
          <w:rFonts w:ascii="Times New Roman" w:hAnsi="Times New Roman"/>
          <w:sz w:val="18"/>
          <w:szCs w:val="18"/>
          <w:lang w:val="en-US"/>
        </w:rPr>
      </w:pPr>
      <w:r w:rsidRPr="006531D8">
        <w:rPr>
          <w:rStyle w:val="FootnoteReference"/>
          <w:rFonts w:ascii="Times New Roman" w:hAnsi="Times New Roman"/>
          <w:sz w:val="18"/>
          <w:szCs w:val="18"/>
        </w:rPr>
        <w:footnoteRef/>
      </w:r>
      <w:r w:rsidRPr="006531D8">
        <w:rPr>
          <w:rFonts w:ascii="Times New Roman" w:hAnsi="Times New Roman"/>
          <w:sz w:val="18"/>
          <w:szCs w:val="18"/>
        </w:rPr>
        <w:t xml:space="preserve"> </w:t>
      </w:r>
      <w:r w:rsidRPr="006531D8">
        <w:rPr>
          <w:rFonts w:ascii="Times New Roman" w:hAnsi="Times New Roman"/>
          <w:sz w:val="18"/>
          <w:szCs w:val="18"/>
          <w:lang w:val="en-US"/>
        </w:rPr>
        <w:t>Modes of sale include in-store, online, third-party providers; types of menus include digital menu panels, paper menus, menu boards, online menus.</w:t>
      </w:r>
    </w:p>
  </w:footnote>
  <w:footnote w:id="50">
    <w:p w14:paraId="55EED724" w14:textId="2D7D5F2B" w:rsidR="002B55D1" w:rsidRPr="004C6987" w:rsidRDefault="002B55D1">
      <w:pPr>
        <w:pStyle w:val="FootnoteText"/>
        <w:rPr>
          <w:rFonts w:ascii="Times New Roman" w:hAnsi="Times New Roman"/>
          <w:sz w:val="18"/>
          <w:szCs w:val="18"/>
          <w:lang w:val="en-US"/>
        </w:rPr>
      </w:pPr>
      <w:r w:rsidRPr="004C6987">
        <w:rPr>
          <w:rStyle w:val="FootnoteReference"/>
          <w:rFonts w:ascii="Times New Roman" w:hAnsi="Times New Roman"/>
          <w:sz w:val="18"/>
          <w:szCs w:val="18"/>
        </w:rPr>
        <w:footnoteRef/>
      </w:r>
      <w:r w:rsidRPr="004C6987">
        <w:rPr>
          <w:rFonts w:ascii="Times New Roman" w:hAnsi="Times New Roman"/>
          <w:sz w:val="18"/>
          <w:szCs w:val="18"/>
          <w:lang w:val="en-US"/>
        </w:rPr>
        <w:t xml:space="preserve"> </w:t>
      </w:r>
      <w:r>
        <w:rPr>
          <w:rFonts w:ascii="Times New Roman" w:hAnsi="Times New Roman"/>
          <w:sz w:val="18"/>
          <w:szCs w:val="18"/>
          <w:lang w:val="en-US"/>
        </w:rPr>
        <w:t xml:space="preserve">Meaning a Standard or a Code of Practice - as defined by the </w:t>
      </w:r>
      <w:r w:rsidRPr="004C6987">
        <w:rPr>
          <w:rFonts w:ascii="Times New Roman" w:hAnsi="Times New Roman"/>
          <w:i/>
          <w:iCs/>
          <w:sz w:val="18"/>
          <w:szCs w:val="18"/>
          <w:lang w:val="en-US"/>
        </w:rPr>
        <w:t>FSANZ Act 1991</w:t>
      </w:r>
      <w:r w:rsidRPr="004C6987">
        <w:rPr>
          <w:rFonts w:ascii="Times New Roman" w:hAnsi="Times New Roman"/>
          <w:sz w:val="18"/>
          <w:szCs w:val="18"/>
          <w:lang w:val="en-US"/>
        </w:rPr>
        <w:t>, Part 1, section</w:t>
      </w:r>
      <w:r>
        <w:rPr>
          <w:rFonts w:ascii="Times New Roman" w:hAnsi="Times New Roman"/>
          <w:sz w:val="18"/>
          <w:szCs w:val="18"/>
          <w:lang w:val="en-US"/>
        </w:rPr>
        <w:t xml:space="preserve"> </w:t>
      </w:r>
      <w:r w:rsidRPr="004C6987">
        <w:rPr>
          <w:rFonts w:ascii="Times New Roman" w:hAnsi="Times New Roman"/>
          <w:sz w:val="18"/>
          <w:szCs w:val="18"/>
          <w:lang w:val="en-US"/>
        </w:rPr>
        <w:t xml:space="preserve">4, and </w:t>
      </w:r>
      <w:r>
        <w:rPr>
          <w:rFonts w:ascii="Times New Roman" w:hAnsi="Times New Roman"/>
          <w:sz w:val="18"/>
          <w:szCs w:val="18"/>
          <w:lang w:val="en-US"/>
        </w:rPr>
        <w:t xml:space="preserve">further described in </w:t>
      </w:r>
      <w:r w:rsidRPr="004C6987">
        <w:rPr>
          <w:rFonts w:ascii="Times New Roman" w:hAnsi="Times New Roman"/>
          <w:sz w:val="18"/>
          <w:szCs w:val="18"/>
          <w:lang w:val="en-US"/>
        </w:rPr>
        <w:t>Part 2, Division 2, sections 16 and 17.</w:t>
      </w:r>
    </w:p>
  </w:footnote>
  <w:footnote w:id="51">
    <w:p w14:paraId="78B3A86C" w14:textId="75515927" w:rsidR="002B55D1" w:rsidRPr="00BE1A37" w:rsidRDefault="002B55D1" w:rsidP="00AF23D9">
      <w:pPr>
        <w:pStyle w:val="FootnoteText"/>
        <w:rPr>
          <w:rFonts w:ascii="Times New Roman" w:hAnsi="Times New Roman"/>
          <w:sz w:val="18"/>
          <w:szCs w:val="18"/>
          <w:lang w:val="en-US"/>
        </w:rPr>
      </w:pPr>
      <w:r w:rsidRPr="00BE1A37">
        <w:rPr>
          <w:rStyle w:val="FootnoteReference"/>
          <w:rFonts w:ascii="Times New Roman" w:hAnsi="Times New Roman"/>
          <w:sz w:val="18"/>
          <w:szCs w:val="18"/>
        </w:rPr>
        <w:footnoteRef/>
      </w:r>
      <w:r w:rsidRPr="00BE1A37">
        <w:rPr>
          <w:rFonts w:ascii="Times New Roman" w:hAnsi="Times New Roman"/>
          <w:sz w:val="18"/>
          <w:szCs w:val="18"/>
        </w:rPr>
        <w:t xml:space="preserve"> </w:t>
      </w:r>
      <w:r w:rsidRPr="00BE1A37">
        <w:rPr>
          <w:rFonts w:ascii="Times New Roman" w:hAnsi="Times New Roman"/>
          <w:sz w:val="18"/>
          <w:szCs w:val="18"/>
          <w:lang w:val="en-US"/>
        </w:rPr>
        <w:t>As defined by each jurisdiction in their legislation.</w:t>
      </w:r>
    </w:p>
  </w:footnote>
  <w:footnote w:id="52">
    <w:p w14:paraId="4C55EC0E" w14:textId="38675546" w:rsidR="002B55D1" w:rsidRPr="001A5E94" w:rsidRDefault="002B55D1" w:rsidP="00354C94">
      <w:pPr>
        <w:pStyle w:val="FootnoteText"/>
        <w:rPr>
          <w:rFonts w:ascii="Times New Roman" w:hAnsi="Times New Roman"/>
          <w:sz w:val="18"/>
          <w:szCs w:val="18"/>
        </w:rPr>
      </w:pPr>
      <w:r w:rsidRPr="00BE1A37">
        <w:rPr>
          <w:rStyle w:val="FootnoteReference"/>
          <w:rFonts w:ascii="Times New Roman" w:hAnsi="Times New Roman"/>
          <w:sz w:val="18"/>
          <w:szCs w:val="18"/>
        </w:rPr>
        <w:footnoteRef/>
      </w:r>
      <w:r>
        <w:t xml:space="preserve"> </w:t>
      </w:r>
      <w:r w:rsidRPr="001A5E94">
        <w:rPr>
          <w:rFonts w:ascii="Times New Roman" w:hAnsi="Times New Roman"/>
          <w:sz w:val="18"/>
          <w:szCs w:val="18"/>
        </w:rPr>
        <w:t xml:space="preserve">Based on data from the New South Wales Food Authority, which estimated in 2012 (using industry-provided data) that for </w:t>
      </w:r>
      <w:r w:rsidRPr="00381EE8">
        <w:rPr>
          <w:rFonts w:ascii="Times New Roman" w:hAnsi="Times New Roman"/>
          <w:sz w:val="18"/>
          <w:szCs w:val="18"/>
        </w:rPr>
        <w:t xml:space="preserve">the industry the start-up cost was $5.4M </w:t>
      </w:r>
      <w:r>
        <w:rPr>
          <w:rFonts w:ascii="Times New Roman" w:hAnsi="Times New Roman"/>
          <w:sz w:val="18"/>
          <w:szCs w:val="18"/>
        </w:rPr>
        <w:t xml:space="preserve">(AUD) </w:t>
      </w:r>
      <w:r w:rsidRPr="00381EE8">
        <w:rPr>
          <w:rFonts w:ascii="Times New Roman" w:hAnsi="Times New Roman"/>
          <w:sz w:val="18"/>
          <w:szCs w:val="18"/>
        </w:rPr>
        <w:t xml:space="preserve">($1,390 per outlet) and the ongoing cost was $1.9M </w:t>
      </w:r>
      <w:r>
        <w:rPr>
          <w:rFonts w:ascii="Times New Roman" w:hAnsi="Times New Roman"/>
          <w:sz w:val="18"/>
          <w:szCs w:val="18"/>
        </w:rPr>
        <w:t xml:space="preserve">(AUD) </w:t>
      </w:r>
      <w:r w:rsidRPr="00381EE8">
        <w:rPr>
          <w:rFonts w:ascii="Times New Roman" w:hAnsi="Times New Roman"/>
          <w:sz w:val="18"/>
          <w:szCs w:val="18"/>
        </w:rPr>
        <w:t xml:space="preserve">($490 per outlet) </w:t>
      </w:r>
      <w:r>
        <w:rPr>
          <w:rFonts w:ascii="Times New Roman" w:hAnsi="Times New Roman"/>
          <w:sz w:val="18"/>
          <w:szCs w:val="18"/>
        </w:rPr>
        <w:t>p</w:t>
      </w:r>
      <w:r w:rsidRPr="00381EE8">
        <w:rPr>
          <w:rFonts w:ascii="Times New Roman" w:hAnsi="Times New Roman"/>
          <w:sz w:val="18"/>
          <w:szCs w:val="18"/>
        </w:rPr>
        <w:t>er annum.</w:t>
      </w:r>
      <w:r w:rsidRPr="001A5E94">
        <w:rPr>
          <w:rFonts w:ascii="Times New Roman" w:hAnsi="Times New Roman"/>
          <w:sz w:val="18"/>
          <w:szCs w:val="18"/>
        </w:rPr>
        <w:t xml:space="preserve"> </w:t>
      </w:r>
      <w:r>
        <w:rPr>
          <w:rFonts w:ascii="Times New Roman" w:hAnsi="Times New Roman"/>
          <w:sz w:val="18"/>
          <w:szCs w:val="18"/>
          <w:lang w:val="en-US"/>
        </w:rPr>
        <w:t xml:space="preserve">Reported in </w:t>
      </w:r>
      <w:r w:rsidRPr="001A5E94">
        <w:rPr>
          <w:rFonts w:ascii="Times New Roman" w:hAnsi="Times New Roman"/>
          <w:sz w:val="18"/>
          <w:szCs w:val="18"/>
          <w:lang w:val="en-US"/>
        </w:rPr>
        <w:t xml:space="preserve">NSW Government. 2012. </w:t>
      </w:r>
      <w:r w:rsidRPr="001A5E94">
        <w:rPr>
          <w:rFonts w:ascii="Times New Roman" w:hAnsi="Times New Roman"/>
          <w:i/>
          <w:sz w:val="18"/>
          <w:szCs w:val="18"/>
          <w:lang w:val="en-US"/>
        </w:rPr>
        <w:t xml:space="preserve">Review of Fast-food Labelling Requirements (“Fast Choices”). </w:t>
      </w:r>
      <w:hyperlink r:id="rId30" w:history="1">
        <w:r w:rsidRPr="00357E78">
          <w:rPr>
            <w:rStyle w:val="Hyperlink"/>
            <w:rFonts w:ascii="Times New Roman" w:eastAsia="Times New Roman" w:hAnsi="Times New Roman"/>
            <w:sz w:val="18"/>
            <w:szCs w:val="18"/>
          </w:rPr>
          <w:t>https://www.parliament.nsw.gov.au/tp/files/8934/Section%20106R%20Review%20of%20Food%20Act%202003.pdf</w:t>
        </w:r>
      </w:hyperlink>
    </w:p>
    <w:p w14:paraId="7057B72A" w14:textId="79FC150E" w:rsidR="002B55D1" w:rsidRPr="00BE1A37" w:rsidRDefault="002B55D1" w:rsidP="00354C94">
      <w:pPr>
        <w:pStyle w:val="FootnoteText"/>
        <w:rPr>
          <w:lang w:val="en-US"/>
        </w:rPr>
      </w:pPr>
      <w:r>
        <w:rPr>
          <w:rFonts w:ascii="Times New Roman" w:hAnsi="Times New Roman"/>
          <w:sz w:val="18"/>
          <w:szCs w:val="18"/>
        </w:rPr>
        <w:t>The</w:t>
      </w:r>
      <w:r w:rsidRPr="001A5E94">
        <w:rPr>
          <w:rFonts w:ascii="Times New Roman" w:hAnsi="Times New Roman"/>
          <w:sz w:val="18"/>
          <w:szCs w:val="18"/>
        </w:rPr>
        <w:t xml:space="preserve"> Australian Bureau of Statistics Consumer Price Index Inflation Calculator</w:t>
      </w:r>
      <w:r>
        <w:rPr>
          <w:rFonts w:ascii="Times New Roman" w:hAnsi="Times New Roman"/>
          <w:sz w:val="18"/>
          <w:szCs w:val="18"/>
        </w:rPr>
        <w:t xml:space="preserve"> was used to convert these 2012 costs to 2019.</w:t>
      </w:r>
    </w:p>
  </w:footnote>
  <w:footnote w:id="53">
    <w:p w14:paraId="67B7D738" w14:textId="77777777" w:rsidR="002B55D1" w:rsidRPr="007F1453" w:rsidRDefault="002B55D1" w:rsidP="0018353F">
      <w:pPr>
        <w:pStyle w:val="FootnoteText"/>
        <w:rPr>
          <w:rFonts w:ascii="Times New Roman" w:hAnsi="Times New Roman"/>
          <w:sz w:val="18"/>
          <w:szCs w:val="18"/>
          <w:lang w:val="en-US"/>
        </w:rPr>
      </w:pPr>
      <w:r w:rsidRPr="007662DF">
        <w:rPr>
          <w:rStyle w:val="FootnoteReference"/>
          <w:rFonts w:ascii="Times New Roman" w:hAnsi="Times New Roman"/>
          <w:sz w:val="18"/>
          <w:szCs w:val="18"/>
        </w:rPr>
        <w:footnoteRef/>
      </w:r>
      <w:r w:rsidRPr="007662DF">
        <w:rPr>
          <w:rFonts w:ascii="Times New Roman" w:hAnsi="Times New Roman"/>
          <w:sz w:val="18"/>
          <w:szCs w:val="18"/>
        </w:rPr>
        <w:t xml:space="preserve"> </w:t>
      </w:r>
      <w:r w:rsidRPr="007662DF">
        <w:rPr>
          <w:rFonts w:ascii="Times New Roman" w:hAnsi="Times New Roman"/>
          <w:sz w:val="18"/>
          <w:szCs w:val="18"/>
          <w:lang w:val="en-US"/>
        </w:rPr>
        <w:t>Australian Capital Territory, New South Wales, Queensland, South Australia,</w:t>
      </w:r>
      <w:r w:rsidRPr="00413431">
        <w:rPr>
          <w:rFonts w:ascii="Times New Roman" w:hAnsi="Times New Roman"/>
          <w:sz w:val="18"/>
          <w:szCs w:val="18"/>
          <w:lang w:val="en-US"/>
        </w:rPr>
        <w:t xml:space="preserve"> and Victoria</w:t>
      </w:r>
    </w:p>
  </w:footnote>
  <w:footnote w:id="54">
    <w:p w14:paraId="12C87895" w14:textId="77777777" w:rsidR="002B55D1" w:rsidRPr="007662DF" w:rsidRDefault="002B55D1" w:rsidP="0018353F">
      <w:pPr>
        <w:pStyle w:val="FootnoteText"/>
        <w:rPr>
          <w:lang w:val="en-US"/>
        </w:rPr>
      </w:pPr>
      <w:r w:rsidRPr="007662DF">
        <w:rPr>
          <w:rStyle w:val="FootnoteReference"/>
          <w:rFonts w:ascii="Times New Roman" w:hAnsi="Times New Roman"/>
          <w:sz w:val="18"/>
          <w:szCs w:val="18"/>
        </w:rPr>
        <w:footnoteRef/>
      </w:r>
      <w:r w:rsidRPr="007662DF">
        <w:rPr>
          <w:rFonts w:ascii="Times New Roman" w:hAnsi="Times New Roman"/>
          <w:sz w:val="18"/>
          <w:szCs w:val="18"/>
        </w:rPr>
        <w:t xml:space="preserve"> </w:t>
      </w:r>
      <w:r w:rsidRPr="007662DF">
        <w:rPr>
          <w:rFonts w:ascii="Times New Roman" w:hAnsi="Times New Roman"/>
          <w:sz w:val="18"/>
          <w:szCs w:val="18"/>
          <w:lang w:eastAsia="zh-CN" w:bidi="th-TH"/>
        </w:rPr>
        <w:t>New Zealand, Northern Territory, Tasmania, and Western Australia</w:t>
      </w:r>
    </w:p>
  </w:footnote>
  <w:footnote w:id="55">
    <w:p w14:paraId="36971821" w14:textId="77777777" w:rsidR="002B55D1" w:rsidRPr="004A2414" w:rsidRDefault="002B55D1" w:rsidP="00566D33">
      <w:pPr>
        <w:pStyle w:val="FootnoteText"/>
        <w:rPr>
          <w:lang w:val="en-US"/>
        </w:rPr>
      </w:pPr>
      <w:r w:rsidRPr="001A5E94">
        <w:rPr>
          <w:rStyle w:val="FootnoteReference"/>
          <w:rFonts w:ascii="Times New Roman" w:hAnsi="Times New Roman"/>
          <w:sz w:val="18"/>
          <w:szCs w:val="18"/>
        </w:rPr>
        <w:footnoteRef/>
      </w:r>
      <w:r w:rsidRPr="001A5E94">
        <w:rPr>
          <w:rFonts w:ascii="Times New Roman" w:hAnsi="Times New Roman"/>
          <w:sz w:val="18"/>
          <w:szCs w:val="18"/>
        </w:rPr>
        <w:t xml:space="preserve"> </w:t>
      </w:r>
      <w:r>
        <w:rPr>
          <w:rFonts w:ascii="Times New Roman" w:hAnsi="Times New Roman"/>
          <w:sz w:val="18"/>
          <w:szCs w:val="18"/>
        </w:rPr>
        <w:t>As per the status quo costs outlined in section 5.2.</w:t>
      </w:r>
    </w:p>
  </w:footnote>
  <w:footnote w:id="56">
    <w:p w14:paraId="133293D2" w14:textId="77777777" w:rsidR="002B55D1" w:rsidRPr="00BE1A37" w:rsidRDefault="002B55D1" w:rsidP="00354C94">
      <w:pPr>
        <w:tabs>
          <w:tab w:val="left" w:pos="567"/>
        </w:tabs>
        <w:rPr>
          <w:sz w:val="18"/>
          <w:szCs w:val="18"/>
        </w:rPr>
      </w:pPr>
      <w:r w:rsidRPr="009274DE">
        <w:rPr>
          <w:rStyle w:val="FootnoteReference"/>
          <w:sz w:val="18"/>
          <w:szCs w:val="18"/>
        </w:rPr>
        <w:footnoteRef/>
      </w:r>
      <w:r w:rsidRPr="009274DE">
        <w:rPr>
          <w:sz w:val="18"/>
          <w:szCs w:val="18"/>
        </w:rPr>
        <w:t xml:space="preserve"> Standard food outlet: a food business that sells standard food items at 50 or more outlets in Australia, or 20 or more outlets in an Australian State or 7 or more in an Australian Territory. (Note: the threshold for New Zealand is to be determined). Food businesses include those owned/operated under franchise arrangements; outlets operated under the same trading name; and outlets owned by the one parent company/central owner/corporation.</w:t>
      </w:r>
    </w:p>
  </w:footnote>
  <w:footnote w:id="57">
    <w:p w14:paraId="50A7CFDC" w14:textId="77777777" w:rsidR="002B55D1" w:rsidRPr="00BE1A37" w:rsidRDefault="002B55D1" w:rsidP="001C1CF8">
      <w:pPr>
        <w:pStyle w:val="FootnoteText"/>
        <w:rPr>
          <w:rFonts w:ascii="Times New Roman" w:hAnsi="Times New Roman"/>
          <w:sz w:val="18"/>
          <w:szCs w:val="18"/>
          <w:lang w:val="en-US"/>
        </w:rPr>
      </w:pPr>
      <w:r w:rsidRPr="00BE1A37">
        <w:rPr>
          <w:rStyle w:val="FootnoteReference"/>
          <w:rFonts w:ascii="Times New Roman" w:hAnsi="Times New Roman"/>
          <w:sz w:val="18"/>
          <w:szCs w:val="18"/>
        </w:rPr>
        <w:footnoteRef/>
      </w:r>
      <w:r w:rsidRPr="00BE1A37">
        <w:rPr>
          <w:rFonts w:ascii="Times New Roman" w:hAnsi="Times New Roman"/>
          <w:sz w:val="18"/>
          <w:szCs w:val="18"/>
        </w:rPr>
        <w:t xml:space="preserve"> </w:t>
      </w:r>
      <w:r w:rsidRPr="009274DE">
        <w:rPr>
          <w:rFonts w:ascii="Times New Roman" w:hAnsi="Times New Roman"/>
          <w:sz w:val="18"/>
          <w:szCs w:val="18"/>
        </w:rPr>
        <w:t>Most cross-border businesses indicated in 2012 that it was more cost effective to produce menus nationally, rather than different menus for each jurisdiction.</w:t>
      </w:r>
    </w:p>
  </w:footnote>
  <w:footnote w:id="58">
    <w:p w14:paraId="5BB3A944" w14:textId="77777777" w:rsidR="002B55D1" w:rsidRPr="004A2414" w:rsidRDefault="002B55D1" w:rsidP="001C1CF8">
      <w:pPr>
        <w:pStyle w:val="FootnoteText"/>
        <w:rPr>
          <w:lang w:val="en-US"/>
        </w:rPr>
      </w:pPr>
      <w:r w:rsidRPr="009274DE">
        <w:rPr>
          <w:rStyle w:val="FootnoteReference"/>
          <w:rFonts w:ascii="Times New Roman" w:hAnsi="Times New Roman"/>
          <w:sz w:val="18"/>
          <w:szCs w:val="18"/>
        </w:rPr>
        <w:footnoteRef/>
      </w:r>
      <w:r w:rsidRPr="009274DE">
        <w:rPr>
          <w:rFonts w:ascii="Times New Roman" w:hAnsi="Times New Roman"/>
          <w:sz w:val="18"/>
          <w:szCs w:val="18"/>
        </w:rPr>
        <w:t xml:space="preserve"> </w:t>
      </w:r>
      <w:r>
        <w:rPr>
          <w:rFonts w:ascii="Times New Roman" w:hAnsi="Times New Roman"/>
          <w:sz w:val="18"/>
          <w:szCs w:val="18"/>
        </w:rPr>
        <w:t>As per the status quo costs outlined in section 5.2.</w:t>
      </w:r>
    </w:p>
  </w:footnote>
  <w:footnote w:id="59">
    <w:p w14:paraId="6C773CFF" w14:textId="77777777" w:rsidR="002B55D1" w:rsidRPr="007A5589" w:rsidRDefault="002B55D1" w:rsidP="006316F3">
      <w:pPr>
        <w:pStyle w:val="FootnoteText"/>
        <w:rPr>
          <w:rFonts w:ascii="Times New Roman" w:hAnsi="Times New Roman"/>
          <w:sz w:val="18"/>
          <w:szCs w:val="18"/>
          <w:lang w:val="en-US"/>
        </w:rPr>
      </w:pPr>
      <w:r w:rsidRPr="007A5589">
        <w:rPr>
          <w:rStyle w:val="FootnoteReference"/>
          <w:rFonts w:ascii="Times New Roman" w:hAnsi="Times New Roman"/>
          <w:sz w:val="18"/>
          <w:szCs w:val="18"/>
        </w:rPr>
        <w:footnoteRef/>
      </w:r>
      <w:r w:rsidRPr="007A5589">
        <w:rPr>
          <w:rFonts w:ascii="Times New Roman" w:hAnsi="Times New Roman"/>
          <w:sz w:val="18"/>
          <w:szCs w:val="18"/>
        </w:rPr>
        <w:t xml:space="preserve"> Noting that the impacts of the menu labelling in New South Wales indicated an average reduction in daily energy intake of 25kJ; with further modelling finding that this energy reduction could result in an average body weight loss of 0.2kg in a year, leading to a potential $672 million (AUD) saving in healthcare costs over the lifetime of the Australian population</w:t>
      </w:r>
      <w:r>
        <w:rPr>
          <w:rFonts w:ascii="Times New Roman" w:hAnsi="Times New Roman"/>
          <w:sz w:val="18"/>
          <w:szCs w:val="18"/>
        </w:rPr>
        <w:t>. As reported in:</w:t>
      </w:r>
      <w:r w:rsidRPr="007A5589">
        <w:rPr>
          <w:rFonts w:ascii="Times New Roman" w:hAnsi="Times New Roman"/>
          <w:sz w:val="18"/>
          <w:szCs w:val="18"/>
        </w:rPr>
        <w:t xml:space="preserve"> Mantilla-Herrera et al. </w:t>
      </w:r>
      <w:r w:rsidRPr="007A5589">
        <w:rPr>
          <w:rFonts w:ascii="Times New Roman" w:hAnsi="Times New Roman"/>
          <w:i/>
          <w:iCs/>
          <w:sz w:val="18"/>
          <w:szCs w:val="18"/>
        </w:rPr>
        <w:t>Menu kilojoule labelling on fast food</w:t>
      </w:r>
      <w:r w:rsidRPr="007A5589">
        <w:rPr>
          <w:rFonts w:ascii="Times New Roman" w:hAnsi="Times New Roman"/>
          <w:sz w:val="18"/>
          <w:szCs w:val="18"/>
        </w:rPr>
        <w:t xml:space="preserve"> in Ananthapavan et al. 2018. </w:t>
      </w:r>
      <w:r w:rsidRPr="007A5589">
        <w:rPr>
          <w:rFonts w:ascii="Times New Roman" w:hAnsi="Times New Roman"/>
          <w:i/>
          <w:sz w:val="18"/>
          <w:szCs w:val="18"/>
        </w:rPr>
        <w:t>Assessing cost-effectiveness of obesity prevention policies in Australia 2018</w:t>
      </w:r>
      <w:r w:rsidRPr="007A5589">
        <w:rPr>
          <w:rFonts w:ascii="Times New Roman" w:hAnsi="Times New Roman"/>
          <w:sz w:val="18"/>
          <w:szCs w:val="18"/>
        </w:rPr>
        <w:t xml:space="preserve">. Melbourne: Deakin University. </w:t>
      </w:r>
      <w:hyperlink r:id="rId31" w:history="1">
        <w:r w:rsidRPr="007A5589">
          <w:rPr>
            <w:rStyle w:val="Hyperlink"/>
            <w:rFonts w:ascii="Times New Roman" w:hAnsi="Times New Roman"/>
            <w:sz w:val="18"/>
            <w:szCs w:val="18"/>
          </w:rPr>
          <w:t>http://www.aceobesitypolicy.com.au/</w:t>
        </w:r>
      </w:hyperlink>
    </w:p>
  </w:footnote>
  <w:footnote w:id="60">
    <w:p w14:paraId="6343EDFB" w14:textId="77777777" w:rsidR="00812051" w:rsidRPr="001A5E94" w:rsidRDefault="00812051" w:rsidP="00812051">
      <w:pPr>
        <w:pStyle w:val="FootnoteText"/>
        <w:rPr>
          <w:rFonts w:ascii="Times New Roman" w:hAnsi="Times New Roman"/>
          <w:sz w:val="18"/>
          <w:szCs w:val="18"/>
        </w:rPr>
      </w:pPr>
      <w:r w:rsidRPr="00467564">
        <w:rPr>
          <w:rStyle w:val="FootnoteReference"/>
          <w:rFonts w:ascii="Times New Roman" w:hAnsi="Times New Roman"/>
          <w:sz w:val="18"/>
          <w:szCs w:val="18"/>
        </w:rPr>
        <w:footnoteRef/>
      </w:r>
      <w:r w:rsidRPr="00467564">
        <w:rPr>
          <w:rStyle w:val="FootnoteReference"/>
          <w:rFonts w:ascii="Times New Roman" w:hAnsi="Times New Roman"/>
          <w:sz w:val="18"/>
          <w:szCs w:val="18"/>
        </w:rPr>
        <w:t xml:space="preserve"> </w:t>
      </w:r>
      <w:r w:rsidRPr="001A5E94">
        <w:rPr>
          <w:rFonts w:ascii="Times New Roman" w:hAnsi="Times New Roman"/>
          <w:sz w:val="18"/>
          <w:szCs w:val="18"/>
        </w:rPr>
        <w:t xml:space="preserve">Based on data from the New South Wales Food Authority, which estimated in 2012 (using industry-provided data) that for </w:t>
      </w:r>
      <w:r w:rsidRPr="00381EE8">
        <w:rPr>
          <w:rFonts w:ascii="Times New Roman" w:hAnsi="Times New Roman"/>
          <w:sz w:val="18"/>
          <w:szCs w:val="18"/>
        </w:rPr>
        <w:t xml:space="preserve">the industry the start-up cost was $5.4M </w:t>
      </w:r>
      <w:r>
        <w:rPr>
          <w:rFonts w:ascii="Times New Roman" w:hAnsi="Times New Roman"/>
          <w:sz w:val="18"/>
          <w:szCs w:val="18"/>
        </w:rPr>
        <w:t xml:space="preserve">(AUD) </w:t>
      </w:r>
      <w:r w:rsidRPr="00381EE8">
        <w:rPr>
          <w:rFonts w:ascii="Times New Roman" w:hAnsi="Times New Roman"/>
          <w:sz w:val="18"/>
          <w:szCs w:val="18"/>
        </w:rPr>
        <w:t xml:space="preserve">($1,390 per outlet) and the ongoing cost was $1.9M </w:t>
      </w:r>
      <w:r>
        <w:rPr>
          <w:rFonts w:ascii="Times New Roman" w:hAnsi="Times New Roman"/>
          <w:sz w:val="18"/>
          <w:szCs w:val="18"/>
        </w:rPr>
        <w:t xml:space="preserve">(AUD) </w:t>
      </w:r>
      <w:r w:rsidRPr="00381EE8">
        <w:rPr>
          <w:rFonts w:ascii="Times New Roman" w:hAnsi="Times New Roman"/>
          <w:sz w:val="18"/>
          <w:szCs w:val="18"/>
        </w:rPr>
        <w:t xml:space="preserve">($490 per outlet) </w:t>
      </w:r>
      <w:r>
        <w:rPr>
          <w:rFonts w:ascii="Times New Roman" w:hAnsi="Times New Roman"/>
          <w:sz w:val="18"/>
          <w:szCs w:val="18"/>
        </w:rPr>
        <w:t>p</w:t>
      </w:r>
      <w:r w:rsidRPr="00381EE8">
        <w:rPr>
          <w:rFonts w:ascii="Times New Roman" w:hAnsi="Times New Roman"/>
          <w:sz w:val="18"/>
          <w:szCs w:val="18"/>
        </w:rPr>
        <w:t>er annum.</w:t>
      </w:r>
      <w:r w:rsidRPr="001A5E94">
        <w:rPr>
          <w:rFonts w:ascii="Times New Roman" w:hAnsi="Times New Roman"/>
          <w:sz w:val="18"/>
          <w:szCs w:val="18"/>
        </w:rPr>
        <w:t xml:space="preserve"> </w:t>
      </w:r>
      <w:r>
        <w:rPr>
          <w:rFonts w:ascii="Times New Roman" w:hAnsi="Times New Roman"/>
          <w:sz w:val="18"/>
          <w:szCs w:val="18"/>
          <w:lang w:val="en-US"/>
        </w:rPr>
        <w:t xml:space="preserve">Reported in </w:t>
      </w:r>
      <w:r w:rsidRPr="001A5E94">
        <w:rPr>
          <w:rFonts w:ascii="Times New Roman" w:hAnsi="Times New Roman"/>
          <w:sz w:val="18"/>
          <w:szCs w:val="18"/>
          <w:lang w:val="en-US"/>
        </w:rPr>
        <w:t xml:space="preserve">NSW Government. 2012. </w:t>
      </w:r>
      <w:r w:rsidRPr="001A5E94">
        <w:rPr>
          <w:rFonts w:ascii="Times New Roman" w:hAnsi="Times New Roman"/>
          <w:i/>
          <w:sz w:val="18"/>
          <w:szCs w:val="18"/>
          <w:lang w:val="en-US"/>
        </w:rPr>
        <w:t xml:space="preserve">Review of Fast-food Labelling Requirements (“Fast Choices”). </w:t>
      </w:r>
      <w:hyperlink r:id="rId32" w:history="1">
        <w:r w:rsidRPr="00357E78">
          <w:rPr>
            <w:rStyle w:val="Hyperlink"/>
            <w:rFonts w:ascii="Times New Roman" w:eastAsia="Times New Roman" w:hAnsi="Times New Roman"/>
            <w:sz w:val="18"/>
            <w:szCs w:val="18"/>
          </w:rPr>
          <w:t>https://www.parliament.nsw.gov.au/tp/files/8934/Section%20106R%20Review%20of%20Food%20Act%202003.pdf</w:t>
        </w:r>
      </w:hyperlink>
    </w:p>
    <w:p w14:paraId="400DACB8" w14:textId="77777777" w:rsidR="00812051" w:rsidRDefault="00812051" w:rsidP="00812051">
      <w:pPr>
        <w:pStyle w:val="FootnoteText"/>
      </w:pPr>
    </w:p>
  </w:footnote>
  <w:footnote w:id="61">
    <w:p w14:paraId="5053B5F5" w14:textId="77777777" w:rsidR="002B55D1" w:rsidRPr="0062564A" w:rsidRDefault="002B55D1" w:rsidP="00186788">
      <w:pPr>
        <w:pStyle w:val="FootnoteText"/>
        <w:rPr>
          <w:rFonts w:ascii="Times New Roman" w:hAnsi="Times New Roman"/>
          <w:sz w:val="18"/>
          <w:szCs w:val="18"/>
          <w:lang w:val="en-US"/>
        </w:rPr>
      </w:pPr>
      <w:r w:rsidRPr="0062564A">
        <w:rPr>
          <w:rStyle w:val="FootnoteReference"/>
          <w:rFonts w:ascii="Times New Roman" w:hAnsi="Times New Roman"/>
          <w:sz w:val="18"/>
          <w:szCs w:val="18"/>
        </w:rPr>
        <w:footnoteRef/>
      </w:r>
      <w:r w:rsidRPr="0062564A">
        <w:rPr>
          <w:rFonts w:ascii="Times New Roman" w:hAnsi="Times New Roman"/>
          <w:sz w:val="18"/>
          <w:szCs w:val="18"/>
        </w:rPr>
        <w:t xml:space="preserve"> Standard food outlet: a food business that sells standard food items at 50 or more outlets in Australia, or 20 or more outlets in an Australian State or 7 or more in an Australian Territory. (Note: the threshold for New Zealand is to be determined). Food businesses include those owned/operated under franchise arrangements; outlets operated under the same trading name; and outlets owned by the one parent company/central owner/corporation.</w:t>
      </w:r>
    </w:p>
  </w:footnote>
  <w:footnote w:id="62">
    <w:p w14:paraId="721B9D75" w14:textId="77777777" w:rsidR="002B55D1" w:rsidRPr="00E01DC8" w:rsidRDefault="002B55D1" w:rsidP="00E01DC8">
      <w:pPr>
        <w:pStyle w:val="FootnoteText"/>
        <w:rPr>
          <w:rFonts w:ascii="Times New Roman" w:hAnsi="Times New Roman"/>
          <w:sz w:val="18"/>
          <w:szCs w:val="18"/>
        </w:rPr>
      </w:pPr>
      <w:r w:rsidRPr="00E01DC8">
        <w:rPr>
          <w:rStyle w:val="FootnoteReference"/>
          <w:rFonts w:ascii="Times New Roman" w:hAnsi="Times New Roman"/>
          <w:sz w:val="18"/>
          <w:szCs w:val="18"/>
        </w:rPr>
        <w:footnoteRef/>
      </w:r>
      <w:r w:rsidRPr="00E01DC8">
        <w:rPr>
          <w:rFonts w:ascii="Times New Roman" w:hAnsi="Times New Roman"/>
          <w:sz w:val="18"/>
          <w:szCs w:val="18"/>
        </w:rPr>
        <w:t xml:space="preserve"> Food Regulation Standing Committee. 2018. </w:t>
      </w:r>
      <w:r w:rsidRPr="00E01DC8">
        <w:rPr>
          <w:rFonts w:ascii="Times New Roman" w:hAnsi="Times New Roman"/>
          <w:i/>
          <w:sz w:val="18"/>
          <w:szCs w:val="18"/>
        </w:rPr>
        <w:t>Consultation Paper: Review of fast food menu labelling schemes</w:t>
      </w:r>
      <w:r w:rsidRPr="00E01DC8">
        <w:rPr>
          <w:rFonts w:ascii="Times New Roman" w:hAnsi="Times New Roman"/>
          <w:sz w:val="18"/>
          <w:szCs w:val="18"/>
        </w:rPr>
        <w:t xml:space="preserve">. Available at: </w:t>
      </w:r>
      <w:hyperlink r:id="rId33" w:history="1">
        <w:r w:rsidRPr="00E01DC8">
          <w:rPr>
            <w:rFonts w:ascii="Times New Roman" w:eastAsia="Times New Roman" w:hAnsi="Times New Roman"/>
            <w:color w:val="0000FF"/>
            <w:sz w:val="18"/>
            <w:szCs w:val="18"/>
            <w:u w:val="single"/>
          </w:rPr>
          <w:t>https://foodregulation.gov.au/internet/fr/publishing.nsf/Content/review-fast-food-menu-labelling-schemes</w:t>
        </w:r>
      </w:hyperlink>
    </w:p>
  </w:footnote>
  <w:footnote w:id="63">
    <w:p w14:paraId="50236F07" w14:textId="77777777" w:rsidR="002B55D1" w:rsidRDefault="002B55D1" w:rsidP="00E01DC8">
      <w:pPr>
        <w:pStyle w:val="FootnoteText"/>
      </w:pPr>
      <w:r w:rsidRPr="00E01DC8">
        <w:rPr>
          <w:rStyle w:val="FootnoteReference"/>
          <w:rFonts w:ascii="Times New Roman" w:hAnsi="Times New Roman"/>
          <w:sz w:val="18"/>
          <w:szCs w:val="18"/>
        </w:rPr>
        <w:footnoteRef/>
      </w:r>
      <w:r w:rsidRPr="00E01DC8">
        <w:rPr>
          <w:rFonts w:ascii="Times New Roman" w:hAnsi="Times New Roman"/>
          <w:sz w:val="18"/>
          <w:szCs w:val="18"/>
        </w:rPr>
        <w:t xml:space="preserve"> Food Regulation Standing Committee. 2018. </w:t>
      </w:r>
      <w:r w:rsidRPr="00E01DC8">
        <w:rPr>
          <w:rFonts w:ascii="Times New Roman" w:hAnsi="Times New Roman"/>
          <w:i/>
          <w:sz w:val="18"/>
          <w:szCs w:val="18"/>
        </w:rPr>
        <w:t>Consultation Summary Report: Review of fast food menu labelling schemes.</w:t>
      </w:r>
      <w:r w:rsidRPr="00E01DC8">
        <w:rPr>
          <w:rFonts w:ascii="Times New Roman" w:hAnsi="Times New Roman"/>
          <w:sz w:val="18"/>
          <w:szCs w:val="18"/>
        </w:rPr>
        <w:t xml:space="preserve"> Available at: </w:t>
      </w:r>
      <w:hyperlink r:id="rId34" w:history="1">
        <w:r w:rsidRPr="00E01DC8">
          <w:rPr>
            <w:rFonts w:ascii="Times New Roman" w:eastAsia="Times New Roman" w:hAnsi="Times New Roman"/>
            <w:color w:val="0000FF"/>
            <w:sz w:val="18"/>
            <w:szCs w:val="18"/>
            <w:u w:val="single"/>
          </w:rPr>
          <w:t>https://foodregulation.gov.au/internet/fr/publishing.nsf/Content/review-fast-food-menu-labelling-schemes</w:t>
        </w:r>
      </w:hyperlink>
    </w:p>
  </w:footnote>
  <w:footnote w:id="64">
    <w:p w14:paraId="0D427583" w14:textId="77777777" w:rsidR="002B55D1" w:rsidRPr="00152362" w:rsidRDefault="002B55D1" w:rsidP="006876D6">
      <w:pPr>
        <w:pStyle w:val="FootnoteText"/>
        <w:rPr>
          <w:rFonts w:ascii="Times New Roman" w:hAnsi="Times New Roman"/>
          <w:sz w:val="18"/>
          <w:szCs w:val="18"/>
          <w:lang w:val="en-US"/>
        </w:rPr>
      </w:pPr>
      <w:r w:rsidRPr="005F150C">
        <w:rPr>
          <w:rStyle w:val="FootnoteReference"/>
          <w:rFonts w:ascii="Times New Roman" w:hAnsi="Times New Roman"/>
          <w:sz w:val="18"/>
          <w:szCs w:val="18"/>
        </w:rPr>
        <w:footnoteRef/>
      </w:r>
      <w:r w:rsidRPr="005F150C">
        <w:rPr>
          <w:rFonts w:ascii="Times New Roman" w:hAnsi="Times New Roman"/>
          <w:sz w:val="18"/>
          <w:szCs w:val="18"/>
        </w:rPr>
        <w:t xml:space="preserve"> </w:t>
      </w:r>
      <w:r w:rsidRPr="005F150C">
        <w:rPr>
          <w:rFonts w:ascii="Times New Roman" w:hAnsi="Times New Roman"/>
          <w:i/>
          <w:iCs/>
          <w:sz w:val="18"/>
          <w:szCs w:val="18"/>
        </w:rPr>
        <w:t>Fast Choices: An evaluation of energy purchased and consumer education – Findings from Waves 1,2 &amp; 3</w:t>
      </w:r>
      <w:r w:rsidRPr="005F150C">
        <w:rPr>
          <w:rFonts w:ascii="Times New Roman" w:hAnsi="Times New Roman"/>
          <w:sz w:val="18"/>
          <w:szCs w:val="18"/>
        </w:rPr>
        <w:t xml:space="preserve">. Prepared for NSW Food Authority and NSW Health. </w:t>
      </w:r>
      <w:hyperlink r:id="rId35" w:history="1">
        <w:r w:rsidRPr="00A738E9">
          <w:rPr>
            <w:rStyle w:val="Hyperlink"/>
            <w:rFonts w:ascii="Times New Roman" w:hAnsi="Times New Roman"/>
            <w:sz w:val="18"/>
            <w:szCs w:val="18"/>
          </w:rPr>
          <w:t>https://www.foodauthority.nsw.gov.au/sites/default/files/_Documents/scienceandtechnical/fast_choices_TNS_report.pdf</w:t>
        </w:r>
      </w:hyperlink>
    </w:p>
  </w:footnote>
  <w:footnote w:id="65">
    <w:p w14:paraId="14C2AD50" w14:textId="77777777" w:rsidR="002B55D1" w:rsidRPr="00F90C36" w:rsidRDefault="002B55D1" w:rsidP="00D82BEA">
      <w:pPr>
        <w:pStyle w:val="FootnoteText"/>
        <w:rPr>
          <w:lang w:val="en-US"/>
        </w:rPr>
      </w:pPr>
      <w:r w:rsidRPr="001A5E94">
        <w:rPr>
          <w:rStyle w:val="FootnoteReference"/>
          <w:rFonts w:ascii="Times New Roman" w:hAnsi="Times New Roman"/>
          <w:sz w:val="18"/>
          <w:szCs w:val="18"/>
        </w:rPr>
        <w:footnoteRef/>
      </w:r>
      <w:r w:rsidRPr="001A5E94">
        <w:rPr>
          <w:rFonts w:ascii="Times New Roman" w:hAnsi="Times New Roman"/>
          <w:sz w:val="18"/>
          <w:szCs w:val="18"/>
        </w:rPr>
        <w:t xml:space="preserve"> Mantilla-Herrera et al. </w:t>
      </w:r>
      <w:r w:rsidRPr="001A5E94">
        <w:rPr>
          <w:rFonts w:ascii="Times New Roman" w:hAnsi="Times New Roman"/>
          <w:i/>
          <w:iCs/>
          <w:sz w:val="18"/>
          <w:szCs w:val="18"/>
        </w:rPr>
        <w:t>Menu kilojoule labelling on fast food</w:t>
      </w:r>
      <w:r w:rsidRPr="001A5E94">
        <w:rPr>
          <w:rFonts w:ascii="Times New Roman" w:hAnsi="Times New Roman"/>
          <w:sz w:val="18"/>
          <w:szCs w:val="18"/>
        </w:rPr>
        <w:t xml:space="preserve"> in Ananthapavan et al. 2018. </w:t>
      </w:r>
      <w:r w:rsidRPr="001A5E94">
        <w:rPr>
          <w:rFonts w:ascii="Times New Roman" w:hAnsi="Times New Roman"/>
          <w:i/>
          <w:sz w:val="18"/>
          <w:szCs w:val="18"/>
        </w:rPr>
        <w:t>Assessing cost-effectiveness of obesity prevention policies in Australia 2018</w:t>
      </w:r>
      <w:r w:rsidRPr="001A5E94">
        <w:rPr>
          <w:rFonts w:ascii="Times New Roman" w:hAnsi="Times New Roman"/>
          <w:sz w:val="18"/>
          <w:szCs w:val="18"/>
        </w:rPr>
        <w:t xml:space="preserve">. Melbourne: Deakin University. </w:t>
      </w:r>
      <w:hyperlink r:id="rId36" w:history="1">
        <w:r w:rsidRPr="001A5E94">
          <w:rPr>
            <w:rStyle w:val="Hyperlink"/>
            <w:rFonts w:ascii="Times New Roman" w:hAnsi="Times New Roman"/>
            <w:sz w:val="18"/>
            <w:szCs w:val="18"/>
          </w:rPr>
          <w:t>http://www.aceobesitypolicy.com.au/</w:t>
        </w:r>
      </w:hyperlink>
    </w:p>
  </w:footnote>
  <w:footnote w:id="66">
    <w:p w14:paraId="12B67AB7" w14:textId="77777777" w:rsidR="002B55D1" w:rsidRPr="00152362" w:rsidRDefault="002B55D1" w:rsidP="006876D6">
      <w:pPr>
        <w:pStyle w:val="FootnoteText"/>
        <w:rPr>
          <w:rFonts w:ascii="Times New Roman" w:hAnsi="Times New Roman"/>
          <w:sz w:val="18"/>
          <w:szCs w:val="18"/>
          <w:lang w:val="en-US"/>
        </w:rPr>
      </w:pPr>
      <w:r w:rsidRPr="00152362">
        <w:rPr>
          <w:rStyle w:val="FootnoteReference"/>
          <w:rFonts w:ascii="Times New Roman" w:hAnsi="Times New Roman"/>
          <w:sz w:val="18"/>
          <w:szCs w:val="18"/>
        </w:rPr>
        <w:footnoteRef/>
      </w:r>
      <w:r w:rsidRPr="00152362">
        <w:rPr>
          <w:rFonts w:ascii="Times New Roman" w:hAnsi="Times New Roman"/>
          <w:sz w:val="18"/>
          <w:szCs w:val="18"/>
        </w:rPr>
        <w:t xml:space="preserve">ACT Health. 2017. </w:t>
      </w:r>
      <w:r w:rsidRPr="00152362">
        <w:rPr>
          <w:rFonts w:ascii="Times New Roman" w:hAnsi="Times New Roman"/>
          <w:i/>
          <w:sz w:val="18"/>
          <w:szCs w:val="18"/>
        </w:rPr>
        <w:t xml:space="preserve">Review of display of nutritional information for food. </w:t>
      </w:r>
      <w:hyperlink r:id="rId37" w:history="1">
        <w:r w:rsidRPr="00152362">
          <w:rPr>
            <w:rStyle w:val="Hyperlink"/>
            <w:rFonts w:ascii="Times New Roman" w:hAnsi="Times New Roman"/>
            <w:sz w:val="18"/>
            <w:szCs w:val="18"/>
          </w:rPr>
          <w:t>https://www.health.act.gov.au/sites/default/files/2018-09/Review%20of%20Display%20of%20Nutritional%20Information%20for%20Food%20Report%202017.pdf</w:t>
        </w:r>
      </w:hyperlink>
    </w:p>
  </w:footnote>
  <w:footnote w:id="67">
    <w:p w14:paraId="47D5B1F2" w14:textId="77777777" w:rsidR="00E30A5F" w:rsidRPr="00152362" w:rsidRDefault="00E30A5F" w:rsidP="00E30A5F">
      <w:pPr>
        <w:pStyle w:val="FootnoteText"/>
        <w:tabs>
          <w:tab w:val="left" w:pos="0"/>
        </w:tabs>
        <w:rPr>
          <w:rFonts w:ascii="Times New Roman" w:hAnsi="Times New Roman"/>
          <w:sz w:val="18"/>
          <w:szCs w:val="18"/>
        </w:rPr>
      </w:pPr>
      <w:r w:rsidRPr="00152362">
        <w:rPr>
          <w:rStyle w:val="FootnoteReference"/>
          <w:rFonts w:ascii="Times New Roman" w:hAnsi="Times New Roman"/>
          <w:sz w:val="18"/>
          <w:szCs w:val="18"/>
        </w:rPr>
        <w:footnoteRef/>
      </w:r>
      <w:r w:rsidRPr="00152362">
        <w:rPr>
          <w:rFonts w:ascii="Times New Roman" w:hAnsi="Times New Roman"/>
          <w:sz w:val="18"/>
          <w:szCs w:val="18"/>
        </w:rPr>
        <w:t xml:space="preserve"> </w:t>
      </w:r>
      <w:r w:rsidRPr="00152362">
        <w:rPr>
          <w:rStyle w:val="Hyperlink"/>
          <w:rFonts w:ascii="Times New Roman" w:hAnsi="Times New Roman"/>
          <w:color w:val="auto"/>
          <w:sz w:val="18"/>
          <w:szCs w:val="18"/>
          <w:u w:val="none"/>
        </w:rPr>
        <w:t>R</w:t>
      </w:r>
      <w:r w:rsidRPr="00152362">
        <w:rPr>
          <w:rFonts w:ascii="Times New Roman" w:hAnsi="Times New Roman"/>
          <w:sz w:val="18"/>
          <w:szCs w:val="18"/>
        </w:rPr>
        <w:t xml:space="preserve">eported in Queensland Health. 2018. </w:t>
      </w:r>
      <w:r w:rsidRPr="00152362">
        <w:rPr>
          <w:rFonts w:ascii="Times New Roman" w:hAnsi="Times New Roman"/>
          <w:i/>
          <w:sz w:val="18"/>
          <w:szCs w:val="18"/>
        </w:rPr>
        <w:t>Health and Wellbeing Strategic Framework 2017 to 2016. Performance Review 2017-18</w:t>
      </w:r>
      <w:r w:rsidRPr="00152362">
        <w:rPr>
          <w:rFonts w:ascii="Times New Roman" w:hAnsi="Times New Roman"/>
          <w:sz w:val="18"/>
          <w:szCs w:val="18"/>
        </w:rPr>
        <w:t xml:space="preserve">. </w:t>
      </w:r>
      <w:hyperlink r:id="rId38" w:history="1">
        <w:r w:rsidRPr="00152362">
          <w:rPr>
            <w:rStyle w:val="Hyperlink"/>
            <w:rFonts w:ascii="Times New Roman" w:hAnsi="Times New Roman"/>
            <w:sz w:val="18"/>
            <w:szCs w:val="18"/>
          </w:rPr>
          <w:t>https://www.health.qld.gov.au/__data/assets/pdf_file/0030/813972/health-wellbeing-performance-review-2017-18.pdf</w:t>
        </w:r>
      </w:hyperlink>
    </w:p>
  </w:footnote>
  <w:footnote w:id="68">
    <w:p w14:paraId="0AA8FF19" w14:textId="3FB7E685" w:rsidR="002B55D1" w:rsidRPr="008B5CFD" w:rsidRDefault="002B55D1" w:rsidP="008B5CFD">
      <w:pPr>
        <w:pStyle w:val="FootnoteText"/>
        <w:rPr>
          <w:rFonts w:ascii="Times New Roman" w:hAnsi="Times New Roman"/>
          <w:sz w:val="18"/>
          <w:szCs w:val="18"/>
        </w:rPr>
      </w:pPr>
      <w:r w:rsidRPr="008B5CFD">
        <w:rPr>
          <w:rStyle w:val="FootnoteReference"/>
          <w:rFonts w:ascii="Times New Roman" w:hAnsi="Times New Roman"/>
          <w:sz w:val="18"/>
          <w:szCs w:val="18"/>
        </w:rPr>
        <w:footnoteRef/>
      </w:r>
      <w:r w:rsidRPr="008B5CFD">
        <w:rPr>
          <w:rFonts w:ascii="Times New Roman" w:hAnsi="Times New Roman"/>
          <w:sz w:val="18"/>
          <w:szCs w:val="18"/>
        </w:rPr>
        <w:t xml:space="preserve"> Note: Information sourced from IBISWorld’s publicly available information at </w:t>
      </w:r>
      <w:hyperlink r:id="rId39" w:history="1">
        <w:r w:rsidRPr="008B5CFD">
          <w:rPr>
            <w:rStyle w:val="Hyperlink"/>
            <w:rFonts w:ascii="Times New Roman" w:hAnsi="Times New Roman"/>
            <w:sz w:val="18"/>
            <w:szCs w:val="18"/>
          </w:rPr>
          <w:t>https://www.ibisworld.com.au/industry-trends/market-research-reports/</w:t>
        </w:r>
      </w:hyperlink>
      <w:r w:rsidRPr="008B5CFD">
        <w:rPr>
          <w:rFonts w:ascii="Times New Roman" w:hAnsi="Times New Roman"/>
          <w:sz w:val="18"/>
          <w:szCs w:val="18"/>
        </w:rPr>
        <w:t xml:space="preserve"> and </w:t>
      </w:r>
      <w:hyperlink r:id="rId40" w:history="1">
        <w:r w:rsidRPr="008B5CFD">
          <w:rPr>
            <w:rFonts w:ascii="Times New Roman" w:eastAsia="Times New Roman" w:hAnsi="Times New Roman"/>
            <w:color w:val="0000FF"/>
            <w:sz w:val="18"/>
            <w:szCs w:val="18"/>
            <w:u w:val="single"/>
          </w:rPr>
          <w:t>https://www.ibisworld.com.au/industry-trends/nz-market-research-reports/</w:t>
        </w:r>
      </w:hyperlink>
      <w:r w:rsidRPr="008B5CFD">
        <w:rPr>
          <w:rFonts w:ascii="Times New Roman" w:eastAsia="Times New Roman" w:hAnsi="Times New Roman"/>
          <w:sz w:val="18"/>
          <w:szCs w:val="18"/>
        </w:rPr>
        <w:t>. Number of establishments refers to the number of outlets / premises / locations. The number of establishments per business/enterprise is not currently available. Biggest companies are those with the largest market share calculated by the company’s revenue as a percentage of the industry’s revenue. Businesses include large chains, smaller businesses, and sole traders.</w:t>
      </w:r>
    </w:p>
  </w:footnote>
  <w:footnote w:id="69">
    <w:p w14:paraId="104F157C" w14:textId="77777777" w:rsidR="002B55D1" w:rsidRPr="008733B3" w:rsidRDefault="002B55D1" w:rsidP="008B5CFD">
      <w:pPr>
        <w:pStyle w:val="FootnoteText"/>
        <w:rPr>
          <w:rFonts w:ascii="Times New Roman" w:hAnsi="Times New Roman"/>
          <w:sz w:val="18"/>
          <w:szCs w:val="18"/>
          <w:lang w:val="en-US"/>
        </w:rPr>
      </w:pPr>
      <w:r w:rsidRPr="008B5CFD">
        <w:rPr>
          <w:rStyle w:val="FootnoteReference"/>
          <w:rFonts w:ascii="Times New Roman" w:hAnsi="Times New Roman"/>
          <w:sz w:val="18"/>
          <w:szCs w:val="18"/>
        </w:rPr>
        <w:footnoteRef/>
      </w:r>
      <w:r w:rsidRPr="008B5CFD">
        <w:rPr>
          <w:rFonts w:ascii="Times New Roman" w:hAnsi="Times New Roman"/>
          <w:sz w:val="18"/>
          <w:szCs w:val="18"/>
        </w:rPr>
        <w:t xml:space="preserve"> </w:t>
      </w:r>
      <w:r w:rsidRPr="008B5CFD">
        <w:rPr>
          <w:rFonts w:ascii="Times New Roman" w:hAnsi="Times New Roman"/>
          <w:sz w:val="18"/>
          <w:szCs w:val="18"/>
          <w:lang w:val="en-US"/>
        </w:rPr>
        <w:t>Note: this business type has been combined whereas IBISWorld separates into cafes and coffee shops, and restaurants in Australia.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332"/>
    <w:multiLevelType w:val="hybridMultilevel"/>
    <w:tmpl w:val="8C6463BA"/>
    <w:lvl w:ilvl="0" w:tplc="0C090001">
      <w:start w:val="1"/>
      <w:numFmt w:val="bullet"/>
      <w:lvlText w:val=""/>
      <w:lvlJc w:val="left"/>
      <w:pPr>
        <w:ind w:left="360" w:hanging="360"/>
      </w:pPr>
      <w:rPr>
        <w:rFonts w:ascii="Symbol" w:hAnsi="Symbol" w:hint="default"/>
      </w:rPr>
    </w:lvl>
    <w:lvl w:ilvl="1" w:tplc="0526E77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6118D9"/>
    <w:multiLevelType w:val="hybridMultilevel"/>
    <w:tmpl w:val="F1D63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229C0"/>
    <w:multiLevelType w:val="multilevel"/>
    <w:tmpl w:val="96D4D81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F02B4"/>
    <w:multiLevelType w:val="hybridMultilevel"/>
    <w:tmpl w:val="5176A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695EE4"/>
    <w:multiLevelType w:val="hybridMultilevel"/>
    <w:tmpl w:val="34DE8C0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6E4E8D"/>
    <w:multiLevelType w:val="hybridMultilevel"/>
    <w:tmpl w:val="55F8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E256D"/>
    <w:multiLevelType w:val="hybridMultilevel"/>
    <w:tmpl w:val="EBD28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290E23"/>
    <w:multiLevelType w:val="hybridMultilevel"/>
    <w:tmpl w:val="34DE8C0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F0A9C"/>
    <w:multiLevelType w:val="hybridMultilevel"/>
    <w:tmpl w:val="7B280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270E61"/>
    <w:multiLevelType w:val="hybridMultilevel"/>
    <w:tmpl w:val="67A46376"/>
    <w:lvl w:ilvl="0" w:tplc="0C090001">
      <w:start w:val="1"/>
      <w:numFmt w:val="bullet"/>
      <w:lvlText w:val=""/>
      <w:lvlJc w:val="left"/>
      <w:pPr>
        <w:ind w:left="720" w:hanging="360"/>
      </w:pPr>
      <w:rPr>
        <w:rFonts w:ascii="Symbol" w:hAnsi="Symbol" w:hint="default"/>
      </w:rPr>
    </w:lvl>
    <w:lvl w:ilvl="1" w:tplc="0526E77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3130C6"/>
    <w:multiLevelType w:val="hybridMultilevel"/>
    <w:tmpl w:val="3C6C4550"/>
    <w:lvl w:ilvl="0" w:tplc="0C090001">
      <w:start w:val="1"/>
      <w:numFmt w:val="bullet"/>
      <w:lvlText w:val=""/>
      <w:lvlJc w:val="left"/>
      <w:pPr>
        <w:ind w:left="360" w:hanging="360"/>
      </w:pPr>
      <w:rPr>
        <w:rFonts w:ascii="Symbol" w:hAnsi="Symbol" w:hint="default"/>
      </w:rPr>
    </w:lvl>
    <w:lvl w:ilvl="1" w:tplc="0526E77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3307F9"/>
    <w:multiLevelType w:val="hybridMultilevel"/>
    <w:tmpl w:val="1946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54636"/>
    <w:multiLevelType w:val="hybridMultilevel"/>
    <w:tmpl w:val="81D2C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E421D6E"/>
    <w:multiLevelType w:val="hybridMultilevel"/>
    <w:tmpl w:val="EBD28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F531695"/>
    <w:multiLevelType w:val="hybridMultilevel"/>
    <w:tmpl w:val="1A72DE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9E3AD4"/>
    <w:multiLevelType w:val="hybridMultilevel"/>
    <w:tmpl w:val="14A2DF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793A41"/>
    <w:multiLevelType w:val="hybridMultilevel"/>
    <w:tmpl w:val="34DE8C0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3A4A29"/>
    <w:multiLevelType w:val="hybridMultilevel"/>
    <w:tmpl w:val="DC8800C0"/>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9">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9" w15:restartNumberingAfterBreak="0">
    <w:nsid w:val="4BEF5021"/>
    <w:multiLevelType w:val="hybridMultilevel"/>
    <w:tmpl w:val="375C20C6"/>
    <w:lvl w:ilvl="0" w:tplc="0C09000F">
      <w:start w:val="1"/>
      <w:numFmt w:val="decimal"/>
      <w:lvlText w:val="%1."/>
      <w:lvlJc w:val="left"/>
      <w:pPr>
        <w:ind w:left="720" w:hanging="360"/>
      </w:pPr>
      <w:rPr>
        <w:rFonts w:hint="default"/>
      </w:rPr>
    </w:lvl>
    <w:lvl w:ilvl="1" w:tplc="0526E77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5D4A8C"/>
    <w:multiLevelType w:val="hybridMultilevel"/>
    <w:tmpl w:val="217A9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D16B9F"/>
    <w:multiLevelType w:val="hybridMultilevel"/>
    <w:tmpl w:val="70D2CCC8"/>
    <w:lvl w:ilvl="0" w:tplc="0C09000F">
      <w:start w:val="1"/>
      <w:numFmt w:val="decimal"/>
      <w:lvlText w:val="%1."/>
      <w:lvlJc w:val="left"/>
      <w:pPr>
        <w:ind w:left="720" w:hanging="360"/>
      </w:pPr>
      <w:rPr>
        <w:rFonts w:hint="default"/>
      </w:rPr>
    </w:lvl>
    <w:lvl w:ilvl="1" w:tplc="0526E77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5B0A3C"/>
    <w:multiLevelType w:val="hybridMultilevel"/>
    <w:tmpl w:val="E2B4D6EE"/>
    <w:lvl w:ilvl="0" w:tplc="0526E77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A256B4"/>
    <w:multiLevelType w:val="hybridMultilevel"/>
    <w:tmpl w:val="52785904"/>
    <w:lvl w:ilvl="0" w:tplc="4AE0C538">
      <w:start w:val="1"/>
      <w:numFmt w:val="bullet"/>
      <w:pStyle w:val="Bodytextwithbullets-TMRfont1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6E5E32"/>
    <w:multiLevelType w:val="hybridMultilevel"/>
    <w:tmpl w:val="D930B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FA71C7"/>
    <w:multiLevelType w:val="hybridMultilevel"/>
    <w:tmpl w:val="610EA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B45402"/>
    <w:multiLevelType w:val="hybridMultilevel"/>
    <w:tmpl w:val="3B56B1B0"/>
    <w:lvl w:ilvl="0" w:tplc="27B21D44">
      <w:start w:val="1"/>
      <w:numFmt w:val="bullet"/>
      <w:pStyle w:val="ListBullet"/>
      <w:lvlText w:val=""/>
      <w:lvlJc w:val="left"/>
      <w:pPr>
        <w:tabs>
          <w:tab w:val="num" w:pos="360"/>
        </w:tabs>
        <w:ind w:left="360" w:hanging="360"/>
      </w:pPr>
      <w:rPr>
        <w:rFonts w:ascii="Symbol" w:hAnsi="Symbol" w:hint="default"/>
        <w:color w:val="354677"/>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B03C4"/>
    <w:multiLevelType w:val="hybridMultilevel"/>
    <w:tmpl w:val="06CABB18"/>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244CDE"/>
    <w:multiLevelType w:val="hybridMultilevel"/>
    <w:tmpl w:val="70D2CCC8"/>
    <w:lvl w:ilvl="0" w:tplc="0C09000F">
      <w:start w:val="1"/>
      <w:numFmt w:val="decimal"/>
      <w:lvlText w:val="%1."/>
      <w:lvlJc w:val="left"/>
      <w:pPr>
        <w:ind w:left="720" w:hanging="360"/>
      </w:pPr>
      <w:rPr>
        <w:rFonts w:hint="default"/>
      </w:rPr>
    </w:lvl>
    <w:lvl w:ilvl="1" w:tplc="0526E77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E5786A"/>
    <w:multiLevelType w:val="hybridMultilevel"/>
    <w:tmpl w:val="9904D62A"/>
    <w:lvl w:ilvl="0" w:tplc="45009DD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9A4991"/>
    <w:multiLevelType w:val="hybridMultilevel"/>
    <w:tmpl w:val="FFD8C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4C7582"/>
    <w:multiLevelType w:val="hybridMultilevel"/>
    <w:tmpl w:val="83D880B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1755AD1"/>
    <w:multiLevelType w:val="hybridMultilevel"/>
    <w:tmpl w:val="1EC2527C"/>
    <w:lvl w:ilvl="0" w:tplc="C900AFDA">
      <w:start w:val="1"/>
      <w:numFmt w:val="bullet"/>
      <w:pStyle w:val="FSBullet1"/>
      <w:lvlText w:val=""/>
      <w:lvlJc w:val="left"/>
      <w:pPr>
        <w:ind w:left="360" w:hanging="360"/>
      </w:pPr>
      <w:rPr>
        <w:rFonts w:ascii="Symbol" w:hAnsi="Symbol" w:hint="default"/>
        <w:sz w:val="16"/>
        <w:szCs w:val="16"/>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3" w15:restartNumberingAfterBreak="0">
    <w:nsid w:val="72BE41CB"/>
    <w:multiLevelType w:val="hybridMultilevel"/>
    <w:tmpl w:val="1666985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D81C03"/>
    <w:multiLevelType w:val="hybridMultilevel"/>
    <w:tmpl w:val="BF50D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124C8A"/>
    <w:multiLevelType w:val="hybridMultilevel"/>
    <w:tmpl w:val="FC060BD2"/>
    <w:lvl w:ilvl="0" w:tplc="E8E8A52A">
      <w:start w:val="1"/>
      <w:numFmt w:val="bullet"/>
      <w:pStyle w:val="FSBulletlist"/>
      <w:lvlText w:val=""/>
      <w:lvlJc w:val="left"/>
      <w:pPr>
        <w:ind w:left="363" w:hanging="360"/>
      </w:pPr>
      <w:rPr>
        <w:rFonts w:ascii="Symbol" w:hAnsi="Symbol" w:hint="default"/>
        <w:sz w:val="16"/>
        <w:szCs w:val="16"/>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6" w15:restartNumberingAfterBreak="0">
    <w:nsid w:val="79BA1C2E"/>
    <w:multiLevelType w:val="hybridMultilevel"/>
    <w:tmpl w:val="96745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5E39CB"/>
    <w:multiLevelType w:val="hybridMultilevel"/>
    <w:tmpl w:val="C1A09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32"/>
  </w:num>
  <w:num w:numId="3">
    <w:abstractNumId w:val="9"/>
  </w:num>
  <w:num w:numId="4">
    <w:abstractNumId w:val="26"/>
  </w:num>
  <w:num w:numId="5">
    <w:abstractNumId w:val="17"/>
  </w:num>
  <w:num w:numId="6">
    <w:abstractNumId w:val="18"/>
  </w:num>
  <w:num w:numId="7">
    <w:abstractNumId w:val="27"/>
  </w:num>
  <w:num w:numId="8">
    <w:abstractNumId w:val="0"/>
  </w:num>
  <w:num w:numId="9">
    <w:abstractNumId w:val="24"/>
  </w:num>
  <w:num w:numId="10">
    <w:abstractNumId w:val="37"/>
  </w:num>
  <w:num w:numId="11">
    <w:abstractNumId w:val="3"/>
  </w:num>
  <w:num w:numId="12">
    <w:abstractNumId w:val="1"/>
  </w:num>
  <w:num w:numId="13">
    <w:abstractNumId w:val="28"/>
  </w:num>
  <w:num w:numId="14">
    <w:abstractNumId w:val="25"/>
  </w:num>
  <w:num w:numId="15">
    <w:abstractNumId w:val="4"/>
  </w:num>
  <w:num w:numId="16">
    <w:abstractNumId w:val="6"/>
  </w:num>
  <w:num w:numId="17">
    <w:abstractNumId w:val="14"/>
  </w:num>
  <w:num w:numId="18">
    <w:abstractNumId w:val="15"/>
  </w:num>
  <w:num w:numId="19">
    <w:abstractNumId w:val="31"/>
  </w:num>
  <w:num w:numId="20">
    <w:abstractNumId w:val="12"/>
  </w:num>
  <w:num w:numId="21">
    <w:abstractNumId w:val="2"/>
  </w:num>
  <w:num w:numId="22">
    <w:abstractNumId w:val="10"/>
  </w:num>
  <w:num w:numId="23">
    <w:abstractNumId w:val="13"/>
  </w:num>
  <w:num w:numId="24">
    <w:abstractNumId w:val="33"/>
  </w:num>
  <w:num w:numId="25">
    <w:abstractNumId w:val="22"/>
  </w:num>
  <w:num w:numId="26">
    <w:abstractNumId w:val="11"/>
  </w:num>
  <w:num w:numId="27">
    <w:abstractNumId w:val="30"/>
  </w:num>
  <w:num w:numId="28">
    <w:abstractNumId w:val="7"/>
  </w:num>
  <w:num w:numId="29">
    <w:abstractNumId w:val="16"/>
  </w:num>
  <w:num w:numId="30">
    <w:abstractNumId w:val="34"/>
  </w:num>
  <w:num w:numId="31">
    <w:abstractNumId w:val="8"/>
  </w:num>
  <w:num w:numId="32">
    <w:abstractNumId w:val="29"/>
  </w:num>
  <w:num w:numId="33">
    <w:abstractNumId w:val="5"/>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1"/>
  </w:num>
  <w:num w:numId="37">
    <w:abstractNumId w:val="36"/>
  </w:num>
  <w:num w:numId="38">
    <w:abstractNumId w:val="20"/>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05"/>
    <w:rsid w:val="000000B0"/>
    <w:rsid w:val="00000865"/>
    <w:rsid w:val="000012B4"/>
    <w:rsid w:val="00001B73"/>
    <w:rsid w:val="00001E1A"/>
    <w:rsid w:val="00001E4E"/>
    <w:rsid w:val="00001E65"/>
    <w:rsid w:val="0000208C"/>
    <w:rsid w:val="00002178"/>
    <w:rsid w:val="00002550"/>
    <w:rsid w:val="00002BCE"/>
    <w:rsid w:val="00002EFA"/>
    <w:rsid w:val="000034A5"/>
    <w:rsid w:val="00003743"/>
    <w:rsid w:val="00003B33"/>
    <w:rsid w:val="00004074"/>
    <w:rsid w:val="000042D0"/>
    <w:rsid w:val="0000459C"/>
    <w:rsid w:val="000047F6"/>
    <w:rsid w:val="0000480E"/>
    <w:rsid w:val="00005175"/>
    <w:rsid w:val="00005177"/>
    <w:rsid w:val="000051A9"/>
    <w:rsid w:val="00005484"/>
    <w:rsid w:val="0000581C"/>
    <w:rsid w:val="00005A55"/>
    <w:rsid w:val="00005FD3"/>
    <w:rsid w:val="000063CD"/>
    <w:rsid w:val="00006525"/>
    <w:rsid w:val="00006738"/>
    <w:rsid w:val="00006A64"/>
    <w:rsid w:val="00006AF4"/>
    <w:rsid w:val="00006B97"/>
    <w:rsid w:val="00006BB0"/>
    <w:rsid w:val="00006E39"/>
    <w:rsid w:val="0000707B"/>
    <w:rsid w:val="0000774B"/>
    <w:rsid w:val="000079DC"/>
    <w:rsid w:val="00007AC4"/>
    <w:rsid w:val="00007BD0"/>
    <w:rsid w:val="00007C6D"/>
    <w:rsid w:val="00010088"/>
    <w:rsid w:val="000101B1"/>
    <w:rsid w:val="000106BF"/>
    <w:rsid w:val="000112F2"/>
    <w:rsid w:val="0001138D"/>
    <w:rsid w:val="000114F2"/>
    <w:rsid w:val="0001162B"/>
    <w:rsid w:val="00012B64"/>
    <w:rsid w:val="00012D8B"/>
    <w:rsid w:val="00012FE2"/>
    <w:rsid w:val="00013028"/>
    <w:rsid w:val="000133DF"/>
    <w:rsid w:val="00013632"/>
    <w:rsid w:val="000139BE"/>
    <w:rsid w:val="00013FD6"/>
    <w:rsid w:val="000142DE"/>
    <w:rsid w:val="000143E6"/>
    <w:rsid w:val="0001453B"/>
    <w:rsid w:val="0001465C"/>
    <w:rsid w:val="0001481B"/>
    <w:rsid w:val="0001484C"/>
    <w:rsid w:val="00014CD0"/>
    <w:rsid w:val="00014F45"/>
    <w:rsid w:val="000153BD"/>
    <w:rsid w:val="000155EB"/>
    <w:rsid w:val="00015A75"/>
    <w:rsid w:val="00015D55"/>
    <w:rsid w:val="00015F1F"/>
    <w:rsid w:val="00016000"/>
    <w:rsid w:val="00016824"/>
    <w:rsid w:val="00016880"/>
    <w:rsid w:val="00016A2C"/>
    <w:rsid w:val="00017180"/>
    <w:rsid w:val="000173B2"/>
    <w:rsid w:val="000173C3"/>
    <w:rsid w:val="0001788B"/>
    <w:rsid w:val="00017A48"/>
    <w:rsid w:val="00017CAC"/>
    <w:rsid w:val="00017E3E"/>
    <w:rsid w:val="0002020A"/>
    <w:rsid w:val="00020895"/>
    <w:rsid w:val="00021564"/>
    <w:rsid w:val="00021663"/>
    <w:rsid w:val="00021BE7"/>
    <w:rsid w:val="00021FE4"/>
    <w:rsid w:val="000221C1"/>
    <w:rsid w:val="0002246B"/>
    <w:rsid w:val="00022734"/>
    <w:rsid w:val="0002286E"/>
    <w:rsid w:val="000229D4"/>
    <w:rsid w:val="00022AA9"/>
    <w:rsid w:val="00022E76"/>
    <w:rsid w:val="000230A1"/>
    <w:rsid w:val="00023F10"/>
    <w:rsid w:val="000245C0"/>
    <w:rsid w:val="0002543B"/>
    <w:rsid w:val="0002546F"/>
    <w:rsid w:val="00025D85"/>
    <w:rsid w:val="000261C3"/>
    <w:rsid w:val="00026DDD"/>
    <w:rsid w:val="00027448"/>
    <w:rsid w:val="000275BB"/>
    <w:rsid w:val="000277FA"/>
    <w:rsid w:val="00027932"/>
    <w:rsid w:val="00027ACA"/>
    <w:rsid w:val="00030A87"/>
    <w:rsid w:val="000317B5"/>
    <w:rsid w:val="00031A86"/>
    <w:rsid w:val="00031E1F"/>
    <w:rsid w:val="00031FC5"/>
    <w:rsid w:val="00031FFE"/>
    <w:rsid w:val="000325A8"/>
    <w:rsid w:val="00032C8C"/>
    <w:rsid w:val="00032D3A"/>
    <w:rsid w:val="00032D98"/>
    <w:rsid w:val="00032F54"/>
    <w:rsid w:val="0003312B"/>
    <w:rsid w:val="000339EE"/>
    <w:rsid w:val="00033C4C"/>
    <w:rsid w:val="00033C67"/>
    <w:rsid w:val="00034029"/>
    <w:rsid w:val="00034426"/>
    <w:rsid w:val="0003447A"/>
    <w:rsid w:val="000345F2"/>
    <w:rsid w:val="00035703"/>
    <w:rsid w:val="00035726"/>
    <w:rsid w:val="00035C2C"/>
    <w:rsid w:val="00035F3D"/>
    <w:rsid w:val="00036B22"/>
    <w:rsid w:val="00036D2C"/>
    <w:rsid w:val="00036DC2"/>
    <w:rsid w:val="00037411"/>
    <w:rsid w:val="000378A7"/>
    <w:rsid w:val="00037D47"/>
    <w:rsid w:val="00037E1D"/>
    <w:rsid w:val="00037E31"/>
    <w:rsid w:val="00040382"/>
    <w:rsid w:val="000407EA"/>
    <w:rsid w:val="00040A0A"/>
    <w:rsid w:val="00040CDA"/>
    <w:rsid w:val="000410C4"/>
    <w:rsid w:val="0004125A"/>
    <w:rsid w:val="00041946"/>
    <w:rsid w:val="00041D5E"/>
    <w:rsid w:val="00041DA7"/>
    <w:rsid w:val="000424DC"/>
    <w:rsid w:val="00042977"/>
    <w:rsid w:val="00042BF0"/>
    <w:rsid w:val="00042E71"/>
    <w:rsid w:val="0004398F"/>
    <w:rsid w:val="00043AB2"/>
    <w:rsid w:val="00043C3E"/>
    <w:rsid w:val="00044333"/>
    <w:rsid w:val="000445BE"/>
    <w:rsid w:val="000447CF"/>
    <w:rsid w:val="00044927"/>
    <w:rsid w:val="00044C1C"/>
    <w:rsid w:val="00044DB7"/>
    <w:rsid w:val="00044F51"/>
    <w:rsid w:val="00044F66"/>
    <w:rsid w:val="00045430"/>
    <w:rsid w:val="0004551D"/>
    <w:rsid w:val="00045D83"/>
    <w:rsid w:val="00046244"/>
    <w:rsid w:val="00046390"/>
    <w:rsid w:val="00046A6C"/>
    <w:rsid w:val="00047920"/>
    <w:rsid w:val="00047B89"/>
    <w:rsid w:val="00047B96"/>
    <w:rsid w:val="00047D53"/>
    <w:rsid w:val="00047DA6"/>
    <w:rsid w:val="00050AB7"/>
    <w:rsid w:val="00050C2E"/>
    <w:rsid w:val="00051228"/>
    <w:rsid w:val="000513B7"/>
    <w:rsid w:val="00051969"/>
    <w:rsid w:val="00051A00"/>
    <w:rsid w:val="00051BF0"/>
    <w:rsid w:val="000520D6"/>
    <w:rsid w:val="00052D47"/>
    <w:rsid w:val="000535E1"/>
    <w:rsid w:val="000536FF"/>
    <w:rsid w:val="0005393A"/>
    <w:rsid w:val="00053D3E"/>
    <w:rsid w:val="00054065"/>
    <w:rsid w:val="000541E2"/>
    <w:rsid w:val="000543A7"/>
    <w:rsid w:val="00054657"/>
    <w:rsid w:val="0005471E"/>
    <w:rsid w:val="00054A92"/>
    <w:rsid w:val="00055150"/>
    <w:rsid w:val="00055750"/>
    <w:rsid w:val="00055A13"/>
    <w:rsid w:val="00055F0D"/>
    <w:rsid w:val="00056522"/>
    <w:rsid w:val="000567D7"/>
    <w:rsid w:val="00056997"/>
    <w:rsid w:val="00056DF1"/>
    <w:rsid w:val="00056E4A"/>
    <w:rsid w:val="00057820"/>
    <w:rsid w:val="00057B10"/>
    <w:rsid w:val="00057C71"/>
    <w:rsid w:val="00060535"/>
    <w:rsid w:val="00060D30"/>
    <w:rsid w:val="00060DC6"/>
    <w:rsid w:val="00060FDE"/>
    <w:rsid w:val="0006142B"/>
    <w:rsid w:val="00061CB7"/>
    <w:rsid w:val="00062294"/>
    <w:rsid w:val="00062668"/>
    <w:rsid w:val="000628E4"/>
    <w:rsid w:val="00062A48"/>
    <w:rsid w:val="00062DB3"/>
    <w:rsid w:val="00063254"/>
    <w:rsid w:val="000633DC"/>
    <w:rsid w:val="0006408B"/>
    <w:rsid w:val="000642BE"/>
    <w:rsid w:val="00064419"/>
    <w:rsid w:val="000648E6"/>
    <w:rsid w:val="00064A29"/>
    <w:rsid w:val="00064FE9"/>
    <w:rsid w:val="00065071"/>
    <w:rsid w:val="000653A8"/>
    <w:rsid w:val="00065C92"/>
    <w:rsid w:val="00065CE6"/>
    <w:rsid w:val="00065CEA"/>
    <w:rsid w:val="0006623E"/>
    <w:rsid w:val="000662DB"/>
    <w:rsid w:val="0006643D"/>
    <w:rsid w:val="00066775"/>
    <w:rsid w:val="000671C1"/>
    <w:rsid w:val="00067456"/>
    <w:rsid w:val="00067992"/>
    <w:rsid w:val="00067B06"/>
    <w:rsid w:val="00067B89"/>
    <w:rsid w:val="00067C52"/>
    <w:rsid w:val="000708FB"/>
    <w:rsid w:val="00070951"/>
    <w:rsid w:val="00071281"/>
    <w:rsid w:val="00071636"/>
    <w:rsid w:val="0007237E"/>
    <w:rsid w:val="00072F4C"/>
    <w:rsid w:val="00072FE9"/>
    <w:rsid w:val="0007349A"/>
    <w:rsid w:val="00073F06"/>
    <w:rsid w:val="00074038"/>
    <w:rsid w:val="0007429F"/>
    <w:rsid w:val="000747AC"/>
    <w:rsid w:val="00074B37"/>
    <w:rsid w:val="00074BF0"/>
    <w:rsid w:val="00074FA6"/>
    <w:rsid w:val="000754C1"/>
    <w:rsid w:val="000755B4"/>
    <w:rsid w:val="000755CB"/>
    <w:rsid w:val="000758D7"/>
    <w:rsid w:val="00075A4D"/>
    <w:rsid w:val="00076200"/>
    <w:rsid w:val="00076C2D"/>
    <w:rsid w:val="00076C78"/>
    <w:rsid w:val="00076F16"/>
    <w:rsid w:val="00076F3E"/>
    <w:rsid w:val="00080250"/>
    <w:rsid w:val="000806D9"/>
    <w:rsid w:val="00080B14"/>
    <w:rsid w:val="00080B8E"/>
    <w:rsid w:val="00080C23"/>
    <w:rsid w:val="0008124B"/>
    <w:rsid w:val="0008150D"/>
    <w:rsid w:val="00081711"/>
    <w:rsid w:val="00081D03"/>
    <w:rsid w:val="000821E5"/>
    <w:rsid w:val="000821EB"/>
    <w:rsid w:val="00082206"/>
    <w:rsid w:val="000828DA"/>
    <w:rsid w:val="0008292E"/>
    <w:rsid w:val="00082A21"/>
    <w:rsid w:val="00082B7E"/>
    <w:rsid w:val="000832C1"/>
    <w:rsid w:val="000839EA"/>
    <w:rsid w:val="00083B50"/>
    <w:rsid w:val="000842B3"/>
    <w:rsid w:val="000843E2"/>
    <w:rsid w:val="000847C2"/>
    <w:rsid w:val="000849D6"/>
    <w:rsid w:val="00084D89"/>
    <w:rsid w:val="00084F65"/>
    <w:rsid w:val="00085279"/>
    <w:rsid w:val="00085C35"/>
    <w:rsid w:val="00085D4C"/>
    <w:rsid w:val="000862C0"/>
    <w:rsid w:val="0008671C"/>
    <w:rsid w:val="0008673C"/>
    <w:rsid w:val="00086A79"/>
    <w:rsid w:val="00086D8D"/>
    <w:rsid w:val="00086FCA"/>
    <w:rsid w:val="000871C7"/>
    <w:rsid w:val="00087402"/>
    <w:rsid w:val="000875D5"/>
    <w:rsid w:val="00087D01"/>
    <w:rsid w:val="00087F1D"/>
    <w:rsid w:val="00087F74"/>
    <w:rsid w:val="000902A5"/>
    <w:rsid w:val="00090484"/>
    <w:rsid w:val="000904A8"/>
    <w:rsid w:val="000906D6"/>
    <w:rsid w:val="00090754"/>
    <w:rsid w:val="00090BC0"/>
    <w:rsid w:val="00090DAF"/>
    <w:rsid w:val="000912D1"/>
    <w:rsid w:val="000914F2"/>
    <w:rsid w:val="000915DB"/>
    <w:rsid w:val="00091A96"/>
    <w:rsid w:val="00091CBA"/>
    <w:rsid w:val="00091F1D"/>
    <w:rsid w:val="00091F52"/>
    <w:rsid w:val="00092041"/>
    <w:rsid w:val="00092283"/>
    <w:rsid w:val="00092532"/>
    <w:rsid w:val="00093363"/>
    <w:rsid w:val="00093387"/>
    <w:rsid w:val="000939C3"/>
    <w:rsid w:val="00093DBE"/>
    <w:rsid w:val="00094094"/>
    <w:rsid w:val="000940FD"/>
    <w:rsid w:val="0009498B"/>
    <w:rsid w:val="00094A1B"/>
    <w:rsid w:val="00094C55"/>
    <w:rsid w:val="00094E35"/>
    <w:rsid w:val="00094E72"/>
    <w:rsid w:val="00095292"/>
    <w:rsid w:val="000957FB"/>
    <w:rsid w:val="00095A4B"/>
    <w:rsid w:val="00095E6E"/>
    <w:rsid w:val="000961D6"/>
    <w:rsid w:val="00096531"/>
    <w:rsid w:val="000966BF"/>
    <w:rsid w:val="00096725"/>
    <w:rsid w:val="000968B3"/>
    <w:rsid w:val="00096DAF"/>
    <w:rsid w:val="00097315"/>
    <w:rsid w:val="00097A1E"/>
    <w:rsid w:val="000A00C1"/>
    <w:rsid w:val="000A062F"/>
    <w:rsid w:val="000A071D"/>
    <w:rsid w:val="000A0928"/>
    <w:rsid w:val="000A0B21"/>
    <w:rsid w:val="000A0D58"/>
    <w:rsid w:val="000A130D"/>
    <w:rsid w:val="000A13C9"/>
    <w:rsid w:val="000A14AE"/>
    <w:rsid w:val="000A1B78"/>
    <w:rsid w:val="000A1DEC"/>
    <w:rsid w:val="000A2098"/>
    <w:rsid w:val="000A2160"/>
    <w:rsid w:val="000A2383"/>
    <w:rsid w:val="000A263E"/>
    <w:rsid w:val="000A269E"/>
    <w:rsid w:val="000A2719"/>
    <w:rsid w:val="000A2999"/>
    <w:rsid w:val="000A29A7"/>
    <w:rsid w:val="000A2A27"/>
    <w:rsid w:val="000A2B06"/>
    <w:rsid w:val="000A2B28"/>
    <w:rsid w:val="000A3159"/>
    <w:rsid w:val="000A3320"/>
    <w:rsid w:val="000A36BA"/>
    <w:rsid w:val="000A36C5"/>
    <w:rsid w:val="000A3A8E"/>
    <w:rsid w:val="000A3CE6"/>
    <w:rsid w:val="000A40DB"/>
    <w:rsid w:val="000A423B"/>
    <w:rsid w:val="000A43C6"/>
    <w:rsid w:val="000A4973"/>
    <w:rsid w:val="000A4AF0"/>
    <w:rsid w:val="000A4B89"/>
    <w:rsid w:val="000A4ECD"/>
    <w:rsid w:val="000A51F0"/>
    <w:rsid w:val="000A5312"/>
    <w:rsid w:val="000A55F9"/>
    <w:rsid w:val="000A5A85"/>
    <w:rsid w:val="000A5F95"/>
    <w:rsid w:val="000A60E1"/>
    <w:rsid w:val="000A6849"/>
    <w:rsid w:val="000A6A85"/>
    <w:rsid w:val="000A6F5C"/>
    <w:rsid w:val="000A768B"/>
    <w:rsid w:val="000A76B8"/>
    <w:rsid w:val="000A7A32"/>
    <w:rsid w:val="000B0034"/>
    <w:rsid w:val="000B06BD"/>
    <w:rsid w:val="000B07C0"/>
    <w:rsid w:val="000B0C49"/>
    <w:rsid w:val="000B0F62"/>
    <w:rsid w:val="000B121A"/>
    <w:rsid w:val="000B13A4"/>
    <w:rsid w:val="000B1464"/>
    <w:rsid w:val="000B2066"/>
    <w:rsid w:val="000B2377"/>
    <w:rsid w:val="000B2A7B"/>
    <w:rsid w:val="000B2B78"/>
    <w:rsid w:val="000B3149"/>
    <w:rsid w:val="000B3AD7"/>
    <w:rsid w:val="000B3C90"/>
    <w:rsid w:val="000B3CA3"/>
    <w:rsid w:val="000B4191"/>
    <w:rsid w:val="000B4313"/>
    <w:rsid w:val="000B4BA5"/>
    <w:rsid w:val="000B5181"/>
    <w:rsid w:val="000B52B8"/>
    <w:rsid w:val="000B5559"/>
    <w:rsid w:val="000B56A4"/>
    <w:rsid w:val="000B58DA"/>
    <w:rsid w:val="000B5F68"/>
    <w:rsid w:val="000B64EC"/>
    <w:rsid w:val="000B667E"/>
    <w:rsid w:val="000B671A"/>
    <w:rsid w:val="000B6877"/>
    <w:rsid w:val="000B6A64"/>
    <w:rsid w:val="000B7062"/>
    <w:rsid w:val="000B7442"/>
    <w:rsid w:val="000B79D0"/>
    <w:rsid w:val="000B7F42"/>
    <w:rsid w:val="000C00E0"/>
    <w:rsid w:val="000C01B9"/>
    <w:rsid w:val="000C06F0"/>
    <w:rsid w:val="000C0785"/>
    <w:rsid w:val="000C09A9"/>
    <w:rsid w:val="000C0C71"/>
    <w:rsid w:val="000C0CEB"/>
    <w:rsid w:val="000C0F38"/>
    <w:rsid w:val="000C1213"/>
    <w:rsid w:val="000C142C"/>
    <w:rsid w:val="000C164C"/>
    <w:rsid w:val="000C1811"/>
    <w:rsid w:val="000C203C"/>
    <w:rsid w:val="000C21C7"/>
    <w:rsid w:val="000C2535"/>
    <w:rsid w:val="000C2881"/>
    <w:rsid w:val="000C295E"/>
    <w:rsid w:val="000C2EED"/>
    <w:rsid w:val="000C2F81"/>
    <w:rsid w:val="000C2FCF"/>
    <w:rsid w:val="000C3652"/>
    <w:rsid w:val="000C36C9"/>
    <w:rsid w:val="000C3720"/>
    <w:rsid w:val="000C3874"/>
    <w:rsid w:val="000C3AA8"/>
    <w:rsid w:val="000C3E33"/>
    <w:rsid w:val="000C3F2F"/>
    <w:rsid w:val="000C44B5"/>
    <w:rsid w:val="000C46A2"/>
    <w:rsid w:val="000C479D"/>
    <w:rsid w:val="000C48FD"/>
    <w:rsid w:val="000C4D3E"/>
    <w:rsid w:val="000C5274"/>
    <w:rsid w:val="000C52B2"/>
    <w:rsid w:val="000C55C9"/>
    <w:rsid w:val="000C5629"/>
    <w:rsid w:val="000C5A6D"/>
    <w:rsid w:val="000C653A"/>
    <w:rsid w:val="000C66AE"/>
    <w:rsid w:val="000C694B"/>
    <w:rsid w:val="000C6D54"/>
    <w:rsid w:val="000C6F40"/>
    <w:rsid w:val="000C791C"/>
    <w:rsid w:val="000C7FF1"/>
    <w:rsid w:val="000D06C2"/>
    <w:rsid w:val="000D0801"/>
    <w:rsid w:val="000D08D3"/>
    <w:rsid w:val="000D0D26"/>
    <w:rsid w:val="000D14AB"/>
    <w:rsid w:val="000D1559"/>
    <w:rsid w:val="000D1634"/>
    <w:rsid w:val="000D1795"/>
    <w:rsid w:val="000D1CBF"/>
    <w:rsid w:val="000D1E5D"/>
    <w:rsid w:val="000D1EF3"/>
    <w:rsid w:val="000D22AC"/>
    <w:rsid w:val="000D2436"/>
    <w:rsid w:val="000D264C"/>
    <w:rsid w:val="000D27BE"/>
    <w:rsid w:val="000D2DF0"/>
    <w:rsid w:val="000D3449"/>
    <w:rsid w:val="000D3886"/>
    <w:rsid w:val="000D3B7D"/>
    <w:rsid w:val="000D4B1E"/>
    <w:rsid w:val="000D4B4D"/>
    <w:rsid w:val="000D4FB7"/>
    <w:rsid w:val="000D5784"/>
    <w:rsid w:val="000D5B5E"/>
    <w:rsid w:val="000D5F42"/>
    <w:rsid w:val="000D6073"/>
    <w:rsid w:val="000D67B4"/>
    <w:rsid w:val="000D6A23"/>
    <w:rsid w:val="000D6AF4"/>
    <w:rsid w:val="000D7283"/>
    <w:rsid w:val="000D729A"/>
    <w:rsid w:val="000D7A12"/>
    <w:rsid w:val="000D7D65"/>
    <w:rsid w:val="000E00DF"/>
    <w:rsid w:val="000E06D3"/>
    <w:rsid w:val="000E0763"/>
    <w:rsid w:val="000E15FC"/>
    <w:rsid w:val="000E1747"/>
    <w:rsid w:val="000E1E14"/>
    <w:rsid w:val="000E2277"/>
    <w:rsid w:val="000E22C7"/>
    <w:rsid w:val="000E2B2E"/>
    <w:rsid w:val="000E2D90"/>
    <w:rsid w:val="000E2E48"/>
    <w:rsid w:val="000E3604"/>
    <w:rsid w:val="000E3845"/>
    <w:rsid w:val="000E39CB"/>
    <w:rsid w:val="000E3A57"/>
    <w:rsid w:val="000E3F6C"/>
    <w:rsid w:val="000E5B6F"/>
    <w:rsid w:val="000E5BC0"/>
    <w:rsid w:val="000E62BD"/>
    <w:rsid w:val="000E6529"/>
    <w:rsid w:val="000E6837"/>
    <w:rsid w:val="000E6D3C"/>
    <w:rsid w:val="000E6DD5"/>
    <w:rsid w:val="000E6F11"/>
    <w:rsid w:val="000E73E8"/>
    <w:rsid w:val="000E778B"/>
    <w:rsid w:val="000E778D"/>
    <w:rsid w:val="000E77C6"/>
    <w:rsid w:val="000E7B12"/>
    <w:rsid w:val="000E7E6E"/>
    <w:rsid w:val="000F01A2"/>
    <w:rsid w:val="000F022D"/>
    <w:rsid w:val="000F04D2"/>
    <w:rsid w:val="000F0704"/>
    <w:rsid w:val="000F0828"/>
    <w:rsid w:val="000F0985"/>
    <w:rsid w:val="000F0BF8"/>
    <w:rsid w:val="000F21D2"/>
    <w:rsid w:val="000F225A"/>
    <w:rsid w:val="000F23D2"/>
    <w:rsid w:val="000F3122"/>
    <w:rsid w:val="000F3E1F"/>
    <w:rsid w:val="000F4672"/>
    <w:rsid w:val="000F4D85"/>
    <w:rsid w:val="000F4DAE"/>
    <w:rsid w:val="000F52D9"/>
    <w:rsid w:val="000F5631"/>
    <w:rsid w:val="000F5AE3"/>
    <w:rsid w:val="000F5F1A"/>
    <w:rsid w:val="000F6291"/>
    <w:rsid w:val="000F6B2F"/>
    <w:rsid w:val="000F78C2"/>
    <w:rsid w:val="000F7A9E"/>
    <w:rsid w:val="001000B9"/>
    <w:rsid w:val="001000D8"/>
    <w:rsid w:val="001010AD"/>
    <w:rsid w:val="00101312"/>
    <w:rsid w:val="001016F5"/>
    <w:rsid w:val="001021FE"/>
    <w:rsid w:val="001022A3"/>
    <w:rsid w:val="00102696"/>
    <w:rsid w:val="00102B43"/>
    <w:rsid w:val="00102C9D"/>
    <w:rsid w:val="00102E23"/>
    <w:rsid w:val="00103502"/>
    <w:rsid w:val="00103530"/>
    <w:rsid w:val="0010356B"/>
    <w:rsid w:val="00103980"/>
    <w:rsid w:val="00103B4A"/>
    <w:rsid w:val="00103E98"/>
    <w:rsid w:val="00103FC1"/>
    <w:rsid w:val="00103FCB"/>
    <w:rsid w:val="00104236"/>
    <w:rsid w:val="0010423E"/>
    <w:rsid w:val="00104319"/>
    <w:rsid w:val="001043AD"/>
    <w:rsid w:val="001043FB"/>
    <w:rsid w:val="00104735"/>
    <w:rsid w:val="001049FC"/>
    <w:rsid w:val="00104D2B"/>
    <w:rsid w:val="0010583A"/>
    <w:rsid w:val="00105D29"/>
    <w:rsid w:val="00105D83"/>
    <w:rsid w:val="00106018"/>
    <w:rsid w:val="0010655D"/>
    <w:rsid w:val="001065DF"/>
    <w:rsid w:val="00106B8B"/>
    <w:rsid w:val="00107125"/>
    <w:rsid w:val="0010722A"/>
    <w:rsid w:val="001075A3"/>
    <w:rsid w:val="00107BE1"/>
    <w:rsid w:val="00110BCE"/>
    <w:rsid w:val="00110FB3"/>
    <w:rsid w:val="00111352"/>
    <w:rsid w:val="0011139D"/>
    <w:rsid w:val="0011197D"/>
    <w:rsid w:val="00111BB5"/>
    <w:rsid w:val="001128B3"/>
    <w:rsid w:val="001128DA"/>
    <w:rsid w:val="00112D6A"/>
    <w:rsid w:val="00113284"/>
    <w:rsid w:val="00113515"/>
    <w:rsid w:val="00113696"/>
    <w:rsid w:val="00113883"/>
    <w:rsid w:val="001138D8"/>
    <w:rsid w:val="00113AFD"/>
    <w:rsid w:val="00113E28"/>
    <w:rsid w:val="00114267"/>
    <w:rsid w:val="0011438A"/>
    <w:rsid w:val="00115086"/>
    <w:rsid w:val="001158C0"/>
    <w:rsid w:val="001158F8"/>
    <w:rsid w:val="0011609E"/>
    <w:rsid w:val="0011629A"/>
    <w:rsid w:val="00116329"/>
    <w:rsid w:val="0011654F"/>
    <w:rsid w:val="00116829"/>
    <w:rsid w:val="00116DF4"/>
    <w:rsid w:val="00116EF3"/>
    <w:rsid w:val="00117102"/>
    <w:rsid w:val="00117309"/>
    <w:rsid w:val="00117C52"/>
    <w:rsid w:val="0012002E"/>
    <w:rsid w:val="00120266"/>
    <w:rsid w:val="0012083E"/>
    <w:rsid w:val="00120C93"/>
    <w:rsid w:val="001214A6"/>
    <w:rsid w:val="00121DAC"/>
    <w:rsid w:val="001224DA"/>
    <w:rsid w:val="0012311C"/>
    <w:rsid w:val="00123300"/>
    <w:rsid w:val="00123399"/>
    <w:rsid w:val="001235F3"/>
    <w:rsid w:val="00123998"/>
    <w:rsid w:val="001239B8"/>
    <w:rsid w:val="00123CB8"/>
    <w:rsid w:val="00124141"/>
    <w:rsid w:val="001242AA"/>
    <w:rsid w:val="0012437C"/>
    <w:rsid w:val="00124D09"/>
    <w:rsid w:val="00125177"/>
    <w:rsid w:val="00125630"/>
    <w:rsid w:val="0012573F"/>
    <w:rsid w:val="0012591E"/>
    <w:rsid w:val="00125D3C"/>
    <w:rsid w:val="00125D76"/>
    <w:rsid w:val="00125F66"/>
    <w:rsid w:val="001260F3"/>
    <w:rsid w:val="00126170"/>
    <w:rsid w:val="0012690F"/>
    <w:rsid w:val="001271E2"/>
    <w:rsid w:val="001275F2"/>
    <w:rsid w:val="00127892"/>
    <w:rsid w:val="00127925"/>
    <w:rsid w:val="00127943"/>
    <w:rsid w:val="00127A82"/>
    <w:rsid w:val="00127DCA"/>
    <w:rsid w:val="00130874"/>
    <w:rsid w:val="00130C85"/>
    <w:rsid w:val="00131482"/>
    <w:rsid w:val="001315F0"/>
    <w:rsid w:val="0013191F"/>
    <w:rsid w:val="001319A7"/>
    <w:rsid w:val="00131E19"/>
    <w:rsid w:val="00132953"/>
    <w:rsid w:val="001341B3"/>
    <w:rsid w:val="001344A6"/>
    <w:rsid w:val="0013492D"/>
    <w:rsid w:val="00134D41"/>
    <w:rsid w:val="00134E1C"/>
    <w:rsid w:val="0013509B"/>
    <w:rsid w:val="001351CE"/>
    <w:rsid w:val="001353BA"/>
    <w:rsid w:val="00135CF4"/>
    <w:rsid w:val="001363EA"/>
    <w:rsid w:val="00137123"/>
    <w:rsid w:val="0013713A"/>
    <w:rsid w:val="00137A8E"/>
    <w:rsid w:val="00137E9D"/>
    <w:rsid w:val="0014004B"/>
    <w:rsid w:val="001400BB"/>
    <w:rsid w:val="00140FA8"/>
    <w:rsid w:val="001410B8"/>
    <w:rsid w:val="0014113A"/>
    <w:rsid w:val="0014138B"/>
    <w:rsid w:val="001414CB"/>
    <w:rsid w:val="00141A4D"/>
    <w:rsid w:val="00141B33"/>
    <w:rsid w:val="001421FE"/>
    <w:rsid w:val="00142DE1"/>
    <w:rsid w:val="0014305E"/>
    <w:rsid w:val="00143477"/>
    <w:rsid w:val="001434ED"/>
    <w:rsid w:val="0014357F"/>
    <w:rsid w:val="00143C1F"/>
    <w:rsid w:val="00143E7E"/>
    <w:rsid w:val="00143F62"/>
    <w:rsid w:val="00144183"/>
    <w:rsid w:val="0014461A"/>
    <w:rsid w:val="00144BFB"/>
    <w:rsid w:val="00144E39"/>
    <w:rsid w:val="00144F61"/>
    <w:rsid w:val="00145093"/>
    <w:rsid w:val="00145433"/>
    <w:rsid w:val="001454EF"/>
    <w:rsid w:val="0014553A"/>
    <w:rsid w:val="00145A94"/>
    <w:rsid w:val="00145BD3"/>
    <w:rsid w:val="00145DE1"/>
    <w:rsid w:val="00145E32"/>
    <w:rsid w:val="00146260"/>
    <w:rsid w:val="001462CF"/>
    <w:rsid w:val="001464C1"/>
    <w:rsid w:val="0014666F"/>
    <w:rsid w:val="001467E0"/>
    <w:rsid w:val="001477DC"/>
    <w:rsid w:val="00147C48"/>
    <w:rsid w:val="00150075"/>
    <w:rsid w:val="001502C2"/>
    <w:rsid w:val="001502EE"/>
    <w:rsid w:val="00150758"/>
    <w:rsid w:val="00150C02"/>
    <w:rsid w:val="001511F5"/>
    <w:rsid w:val="0015168D"/>
    <w:rsid w:val="00151A87"/>
    <w:rsid w:val="00151E89"/>
    <w:rsid w:val="00151F46"/>
    <w:rsid w:val="0015223C"/>
    <w:rsid w:val="00152362"/>
    <w:rsid w:val="00152601"/>
    <w:rsid w:val="00152BCD"/>
    <w:rsid w:val="00153166"/>
    <w:rsid w:val="00153447"/>
    <w:rsid w:val="001536EE"/>
    <w:rsid w:val="0015379D"/>
    <w:rsid w:val="001538E4"/>
    <w:rsid w:val="00153D83"/>
    <w:rsid w:val="001543BF"/>
    <w:rsid w:val="00154460"/>
    <w:rsid w:val="00154513"/>
    <w:rsid w:val="00155080"/>
    <w:rsid w:val="00155190"/>
    <w:rsid w:val="001551A6"/>
    <w:rsid w:val="0015554A"/>
    <w:rsid w:val="00155628"/>
    <w:rsid w:val="0015569F"/>
    <w:rsid w:val="00155788"/>
    <w:rsid w:val="0015654C"/>
    <w:rsid w:val="0015678E"/>
    <w:rsid w:val="00156BEC"/>
    <w:rsid w:val="0015779C"/>
    <w:rsid w:val="00157CD6"/>
    <w:rsid w:val="0016001F"/>
    <w:rsid w:val="001606F1"/>
    <w:rsid w:val="0016074B"/>
    <w:rsid w:val="0016086B"/>
    <w:rsid w:val="00160924"/>
    <w:rsid w:val="00160AA6"/>
    <w:rsid w:val="00160CA7"/>
    <w:rsid w:val="00160CAA"/>
    <w:rsid w:val="00161649"/>
    <w:rsid w:val="001617BD"/>
    <w:rsid w:val="00161919"/>
    <w:rsid w:val="00161A1D"/>
    <w:rsid w:val="00161A89"/>
    <w:rsid w:val="00161A9E"/>
    <w:rsid w:val="00161AD8"/>
    <w:rsid w:val="00161ADB"/>
    <w:rsid w:val="00161EB2"/>
    <w:rsid w:val="0016203E"/>
    <w:rsid w:val="0016225B"/>
    <w:rsid w:val="00162775"/>
    <w:rsid w:val="00162837"/>
    <w:rsid w:val="0016297B"/>
    <w:rsid w:val="001630E6"/>
    <w:rsid w:val="0016463D"/>
    <w:rsid w:val="00164810"/>
    <w:rsid w:val="00164B95"/>
    <w:rsid w:val="00164E89"/>
    <w:rsid w:val="00165107"/>
    <w:rsid w:val="00165145"/>
    <w:rsid w:val="0016581F"/>
    <w:rsid w:val="00166189"/>
    <w:rsid w:val="00166468"/>
    <w:rsid w:val="00166865"/>
    <w:rsid w:val="0016699F"/>
    <w:rsid w:val="00166AEC"/>
    <w:rsid w:val="0016728D"/>
    <w:rsid w:val="0016789C"/>
    <w:rsid w:val="00170046"/>
    <w:rsid w:val="00170517"/>
    <w:rsid w:val="00170658"/>
    <w:rsid w:val="001708B5"/>
    <w:rsid w:val="00170933"/>
    <w:rsid w:val="00170A42"/>
    <w:rsid w:val="00170E05"/>
    <w:rsid w:val="00171B8C"/>
    <w:rsid w:val="00171C58"/>
    <w:rsid w:val="00171CAF"/>
    <w:rsid w:val="001725FC"/>
    <w:rsid w:val="001731B1"/>
    <w:rsid w:val="001733C5"/>
    <w:rsid w:val="001737B6"/>
    <w:rsid w:val="00173823"/>
    <w:rsid w:val="00173EA3"/>
    <w:rsid w:val="00174099"/>
    <w:rsid w:val="00174505"/>
    <w:rsid w:val="00175CBE"/>
    <w:rsid w:val="00176081"/>
    <w:rsid w:val="001760C9"/>
    <w:rsid w:val="00176267"/>
    <w:rsid w:val="001766F2"/>
    <w:rsid w:val="0017738A"/>
    <w:rsid w:val="00177787"/>
    <w:rsid w:val="00177799"/>
    <w:rsid w:val="00177906"/>
    <w:rsid w:val="00177BCA"/>
    <w:rsid w:val="001800B1"/>
    <w:rsid w:val="00180395"/>
    <w:rsid w:val="00180A4E"/>
    <w:rsid w:val="00181093"/>
    <w:rsid w:val="001811EC"/>
    <w:rsid w:val="00181316"/>
    <w:rsid w:val="00181376"/>
    <w:rsid w:val="001814F2"/>
    <w:rsid w:val="001815F3"/>
    <w:rsid w:val="00181787"/>
    <w:rsid w:val="00181BAC"/>
    <w:rsid w:val="001820A9"/>
    <w:rsid w:val="001829AD"/>
    <w:rsid w:val="0018353F"/>
    <w:rsid w:val="00183D1E"/>
    <w:rsid w:val="00184007"/>
    <w:rsid w:val="00184A66"/>
    <w:rsid w:val="00184CF1"/>
    <w:rsid w:val="00185754"/>
    <w:rsid w:val="00185C24"/>
    <w:rsid w:val="001861F3"/>
    <w:rsid w:val="00186788"/>
    <w:rsid w:val="00186FB8"/>
    <w:rsid w:val="0018723C"/>
    <w:rsid w:val="001872B5"/>
    <w:rsid w:val="00187D12"/>
    <w:rsid w:val="00187D48"/>
    <w:rsid w:val="00187FA8"/>
    <w:rsid w:val="00190098"/>
    <w:rsid w:val="00190242"/>
    <w:rsid w:val="00190316"/>
    <w:rsid w:val="00190502"/>
    <w:rsid w:val="001914FE"/>
    <w:rsid w:val="00192415"/>
    <w:rsid w:val="00192754"/>
    <w:rsid w:val="001933B8"/>
    <w:rsid w:val="0019455D"/>
    <w:rsid w:val="00194CD2"/>
    <w:rsid w:val="001952C5"/>
    <w:rsid w:val="001953E6"/>
    <w:rsid w:val="0019571B"/>
    <w:rsid w:val="001958A1"/>
    <w:rsid w:val="00195C2B"/>
    <w:rsid w:val="001964B2"/>
    <w:rsid w:val="001967B8"/>
    <w:rsid w:val="00196825"/>
    <w:rsid w:val="00196ADD"/>
    <w:rsid w:val="00196F3E"/>
    <w:rsid w:val="00196F7F"/>
    <w:rsid w:val="00197092"/>
    <w:rsid w:val="001972DE"/>
    <w:rsid w:val="00197609"/>
    <w:rsid w:val="00197849"/>
    <w:rsid w:val="001978F8"/>
    <w:rsid w:val="00197ECE"/>
    <w:rsid w:val="001A0047"/>
    <w:rsid w:val="001A063E"/>
    <w:rsid w:val="001A0843"/>
    <w:rsid w:val="001A0D3D"/>
    <w:rsid w:val="001A0E97"/>
    <w:rsid w:val="001A10A5"/>
    <w:rsid w:val="001A1253"/>
    <w:rsid w:val="001A1255"/>
    <w:rsid w:val="001A13EC"/>
    <w:rsid w:val="001A1E3E"/>
    <w:rsid w:val="001A2494"/>
    <w:rsid w:val="001A27A8"/>
    <w:rsid w:val="001A3137"/>
    <w:rsid w:val="001A3C03"/>
    <w:rsid w:val="001A3C86"/>
    <w:rsid w:val="001A3DE2"/>
    <w:rsid w:val="001A3E06"/>
    <w:rsid w:val="001A3F00"/>
    <w:rsid w:val="001A3F7A"/>
    <w:rsid w:val="001A43A2"/>
    <w:rsid w:val="001A47EC"/>
    <w:rsid w:val="001A50CD"/>
    <w:rsid w:val="001A51DA"/>
    <w:rsid w:val="001A5371"/>
    <w:rsid w:val="001A57B3"/>
    <w:rsid w:val="001A5E94"/>
    <w:rsid w:val="001A622A"/>
    <w:rsid w:val="001A6464"/>
    <w:rsid w:val="001A674C"/>
    <w:rsid w:val="001A67A3"/>
    <w:rsid w:val="001A6982"/>
    <w:rsid w:val="001A6BC8"/>
    <w:rsid w:val="001A71AC"/>
    <w:rsid w:val="001A757F"/>
    <w:rsid w:val="001A76F1"/>
    <w:rsid w:val="001A7CCA"/>
    <w:rsid w:val="001B0A5D"/>
    <w:rsid w:val="001B0B41"/>
    <w:rsid w:val="001B0E87"/>
    <w:rsid w:val="001B0EDD"/>
    <w:rsid w:val="001B1084"/>
    <w:rsid w:val="001B10DC"/>
    <w:rsid w:val="001B11B7"/>
    <w:rsid w:val="001B1373"/>
    <w:rsid w:val="001B19B7"/>
    <w:rsid w:val="001B1F47"/>
    <w:rsid w:val="001B2105"/>
    <w:rsid w:val="001B217B"/>
    <w:rsid w:val="001B2C3F"/>
    <w:rsid w:val="001B2E0A"/>
    <w:rsid w:val="001B3143"/>
    <w:rsid w:val="001B3441"/>
    <w:rsid w:val="001B3443"/>
    <w:rsid w:val="001B351F"/>
    <w:rsid w:val="001B355F"/>
    <w:rsid w:val="001B3B16"/>
    <w:rsid w:val="001B3F16"/>
    <w:rsid w:val="001B4265"/>
    <w:rsid w:val="001B43EA"/>
    <w:rsid w:val="001B4765"/>
    <w:rsid w:val="001B4FCA"/>
    <w:rsid w:val="001B5F5A"/>
    <w:rsid w:val="001B682A"/>
    <w:rsid w:val="001B6A07"/>
    <w:rsid w:val="001B6B9E"/>
    <w:rsid w:val="001B7A7F"/>
    <w:rsid w:val="001B7C71"/>
    <w:rsid w:val="001B7D20"/>
    <w:rsid w:val="001C0DE0"/>
    <w:rsid w:val="001C128A"/>
    <w:rsid w:val="001C13A1"/>
    <w:rsid w:val="001C188E"/>
    <w:rsid w:val="001C1B3D"/>
    <w:rsid w:val="001C1CF8"/>
    <w:rsid w:val="001C1D7E"/>
    <w:rsid w:val="001C2249"/>
    <w:rsid w:val="001C235A"/>
    <w:rsid w:val="001C255E"/>
    <w:rsid w:val="001C2E15"/>
    <w:rsid w:val="001C30D4"/>
    <w:rsid w:val="001C3294"/>
    <w:rsid w:val="001C4D77"/>
    <w:rsid w:val="001C4D9C"/>
    <w:rsid w:val="001C4E4C"/>
    <w:rsid w:val="001C515F"/>
    <w:rsid w:val="001C51B3"/>
    <w:rsid w:val="001C545D"/>
    <w:rsid w:val="001C56C3"/>
    <w:rsid w:val="001C570D"/>
    <w:rsid w:val="001C5F58"/>
    <w:rsid w:val="001C5FF8"/>
    <w:rsid w:val="001C603C"/>
    <w:rsid w:val="001C6286"/>
    <w:rsid w:val="001C636E"/>
    <w:rsid w:val="001C666D"/>
    <w:rsid w:val="001C6A51"/>
    <w:rsid w:val="001C6D8F"/>
    <w:rsid w:val="001C7E44"/>
    <w:rsid w:val="001C7EFC"/>
    <w:rsid w:val="001D06DE"/>
    <w:rsid w:val="001D0961"/>
    <w:rsid w:val="001D09EE"/>
    <w:rsid w:val="001D0EF1"/>
    <w:rsid w:val="001D0F6D"/>
    <w:rsid w:val="001D0F92"/>
    <w:rsid w:val="001D164E"/>
    <w:rsid w:val="001D17E6"/>
    <w:rsid w:val="001D1F08"/>
    <w:rsid w:val="001D2559"/>
    <w:rsid w:val="001D2A33"/>
    <w:rsid w:val="001D35F0"/>
    <w:rsid w:val="001D3F65"/>
    <w:rsid w:val="001D436E"/>
    <w:rsid w:val="001D4645"/>
    <w:rsid w:val="001D4AF5"/>
    <w:rsid w:val="001D56B8"/>
    <w:rsid w:val="001D5874"/>
    <w:rsid w:val="001D5EFB"/>
    <w:rsid w:val="001D65B7"/>
    <w:rsid w:val="001D66DB"/>
    <w:rsid w:val="001D67E2"/>
    <w:rsid w:val="001D68A8"/>
    <w:rsid w:val="001E0154"/>
    <w:rsid w:val="001E07CC"/>
    <w:rsid w:val="001E07FD"/>
    <w:rsid w:val="001E094A"/>
    <w:rsid w:val="001E0A51"/>
    <w:rsid w:val="001E0B25"/>
    <w:rsid w:val="001E0EE5"/>
    <w:rsid w:val="001E1259"/>
    <w:rsid w:val="001E15FE"/>
    <w:rsid w:val="001E2682"/>
    <w:rsid w:val="001E2703"/>
    <w:rsid w:val="001E2A77"/>
    <w:rsid w:val="001E3205"/>
    <w:rsid w:val="001E3512"/>
    <w:rsid w:val="001E3DA4"/>
    <w:rsid w:val="001E40A9"/>
    <w:rsid w:val="001E4893"/>
    <w:rsid w:val="001E4CD4"/>
    <w:rsid w:val="001E5A83"/>
    <w:rsid w:val="001E5C5C"/>
    <w:rsid w:val="001E5E77"/>
    <w:rsid w:val="001E603C"/>
    <w:rsid w:val="001E665C"/>
    <w:rsid w:val="001E6B5C"/>
    <w:rsid w:val="001E6EDF"/>
    <w:rsid w:val="001E74D4"/>
    <w:rsid w:val="001E7D8C"/>
    <w:rsid w:val="001E7F4D"/>
    <w:rsid w:val="001F0231"/>
    <w:rsid w:val="001F0351"/>
    <w:rsid w:val="001F0942"/>
    <w:rsid w:val="001F1299"/>
    <w:rsid w:val="001F1466"/>
    <w:rsid w:val="001F15DB"/>
    <w:rsid w:val="001F1B40"/>
    <w:rsid w:val="001F1C74"/>
    <w:rsid w:val="001F21AA"/>
    <w:rsid w:val="001F2201"/>
    <w:rsid w:val="001F2681"/>
    <w:rsid w:val="001F29DC"/>
    <w:rsid w:val="001F2C40"/>
    <w:rsid w:val="001F2FB5"/>
    <w:rsid w:val="001F32A4"/>
    <w:rsid w:val="001F378A"/>
    <w:rsid w:val="001F3B18"/>
    <w:rsid w:val="001F3C7D"/>
    <w:rsid w:val="001F3F79"/>
    <w:rsid w:val="001F4027"/>
    <w:rsid w:val="001F4B41"/>
    <w:rsid w:val="001F4D38"/>
    <w:rsid w:val="001F4F2A"/>
    <w:rsid w:val="001F4F39"/>
    <w:rsid w:val="001F544E"/>
    <w:rsid w:val="001F5694"/>
    <w:rsid w:val="001F5828"/>
    <w:rsid w:val="001F5E20"/>
    <w:rsid w:val="001F6841"/>
    <w:rsid w:val="001F7162"/>
    <w:rsid w:val="001F725B"/>
    <w:rsid w:val="001F7DA4"/>
    <w:rsid w:val="002005A1"/>
    <w:rsid w:val="00200A58"/>
    <w:rsid w:val="00200A7B"/>
    <w:rsid w:val="00200B75"/>
    <w:rsid w:val="00200C40"/>
    <w:rsid w:val="00200EE7"/>
    <w:rsid w:val="002010FF"/>
    <w:rsid w:val="00201AFB"/>
    <w:rsid w:val="00202047"/>
    <w:rsid w:val="00202682"/>
    <w:rsid w:val="00202B20"/>
    <w:rsid w:val="00203302"/>
    <w:rsid w:val="00203927"/>
    <w:rsid w:val="00203B0E"/>
    <w:rsid w:val="00203B17"/>
    <w:rsid w:val="00204DF9"/>
    <w:rsid w:val="0020514D"/>
    <w:rsid w:val="002055FC"/>
    <w:rsid w:val="00205701"/>
    <w:rsid w:val="002057D7"/>
    <w:rsid w:val="00205BD0"/>
    <w:rsid w:val="002062A7"/>
    <w:rsid w:val="00206522"/>
    <w:rsid w:val="00206AE1"/>
    <w:rsid w:val="00206DEB"/>
    <w:rsid w:val="00206EA6"/>
    <w:rsid w:val="002074D4"/>
    <w:rsid w:val="002074E3"/>
    <w:rsid w:val="00207A62"/>
    <w:rsid w:val="0021038F"/>
    <w:rsid w:val="00210799"/>
    <w:rsid w:val="002107B1"/>
    <w:rsid w:val="002107C4"/>
    <w:rsid w:val="002108A3"/>
    <w:rsid w:val="002109B2"/>
    <w:rsid w:val="00210CD7"/>
    <w:rsid w:val="00210ED6"/>
    <w:rsid w:val="00211312"/>
    <w:rsid w:val="00211339"/>
    <w:rsid w:val="0021139B"/>
    <w:rsid w:val="00211CBD"/>
    <w:rsid w:val="00211F0A"/>
    <w:rsid w:val="002123E5"/>
    <w:rsid w:val="0021273E"/>
    <w:rsid w:val="00212D1A"/>
    <w:rsid w:val="00212D7E"/>
    <w:rsid w:val="002130C2"/>
    <w:rsid w:val="00213311"/>
    <w:rsid w:val="002134CB"/>
    <w:rsid w:val="00213545"/>
    <w:rsid w:val="00213571"/>
    <w:rsid w:val="0021393E"/>
    <w:rsid w:val="00213BE1"/>
    <w:rsid w:val="00213DB3"/>
    <w:rsid w:val="00214132"/>
    <w:rsid w:val="002142A4"/>
    <w:rsid w:val="0021454B"/>
    <w:rsid w:val="002145D8"/>
    <w:rsid w:val="0021523D"/>
    <w:rsid w:val="0021532C"/>
    <w:rsid w:val="00215A27"/>
    <w:rsid w:val="0021649B"/>
    <w:rsid w:val="00216A69"/>
    <w:rsid w:val="00217348"/>
    <w:rsid w:val="0021783E"/>
    <w:rsid w:val="002179A2"/>
    <w:rsid w:val="00217CDD"/>
    <w:rsid w:val="00217EB9"/>
    <w:rsid w:val="00220A20"/>
    <w:rsid w:val="00220BF5"/>
    <w:rsid w:val="00220D92"/>
    <w:rsid w:val="00220E8D"/>
    <w:rsid w:val="00220FBA"/>
    <w:rsid w:val="002215EB"/>
    <w:rsid w:val="00221B15"/>
    <w:rsid w:val="00221B18"/>
    <w:rsid w:val="00221D1E"/>
    <w:rsid w:val="00221F4B"/>
    <w:rsid w:val="002221D9"/>
    <w:rsid w:val="002222CC"/>
    <w:rsid w:val="002227D5"/>
    <w:rsid w:val="00222840"/>
    <w:rsid w:val="00222CE1"/>
    <w:rsid w:val="0022380F"/>
    <w:rsid w:val="00223B7A"/>
    <w:rsid w:val="00223EE2"/>
    <w:rsid w:val="002242B7"/>
    <w:rsid w:val="002246BA"/>
    <w:rsid w:val="002249D6"/>
    <w:rsid w:val="002249F8"/>
    <w:rsid w:val="00224C07"/>
    <w:rsid w:val="00224E62"/>
    <w:rsid w:val="00225484"/>
    <w:rsid w:val="002254A2"/>
    <w:rsid w:val="002254C8"/>
    <w:rsid w:val="00225AA6"/>
    <w:rsid w:val="00225F43"/>
    <w:rsid w:val="00225F60"/>
    <w:rsid w:val="00226232"/>
    <w:rsid w:val="00226337"/>
    <w:rsid w:val="0022638E"/>
    <w:rsid w:val="002269FC"/>
    <w:rsid w:val="00226B57"/>
    <w:rsid w:val="0022717A"/>
    <w:rsid w:val="00227312"/>
    <w:rsid w:val="0022765D"/>
    <w:rsid w:val="002276AE"/>
    <w:rsid w:val="00227796"/>
    <w:rsid w:val="002279C6"/>
    <w:rsid w:val="00227CF2"/>
    <w:rsid w:val="00227DA8"/>
    <w:rsid w:val="0023023C"/>
    <w:rsid w:val="0023050D"/>
    <w:rsid w:val="00230B7F"/>
    <w:rsid w:val="00230F05"/>
    <w:rsid w:val="00230F89"/>
    <w:rsid w:val="00231281"/>
    <w:rsid w:val="0023138E"/>
    <w:rsid w:val="002315E4"/>
    <w:rsid w:val="00231E2F"/>
    <w:rsid w:val="00231F9C"/>
    <w:rsid w:val="0023285C"/>
    <w:rsid w:val="00233016"/>
    <w:rsid w:val="002332AF"/>
    <w:rsid w:val="002334CB"/>
    <w:rsid w:val="00233957"/>
    <w:rsid w:val="0023491B"/>
    <w:rsid w:val="00234AB8"/>
    <w:rsid w:val="0023511E"/>
    <w:rsid w:val="002352C8"/>
    <w:rsid w:val="002356EA"/>
    <w:rsid w:val="0023643C"/>
    <w:rsid w:val="00236ECB"/>
    <w:rsid w:val="00237320"/>
    <w:rsid w:val="00237693"/>
    <w:rsid w:val="002376B6"/>
    <w:rsid w:val="002377C1"/>
    <w:rsid w:val="00237B15"/>
    <w:rsid w:val="002402FB"/>
    <w:rsid w:val="00240727"/>
    <w:rsid w:val="00240799"/>
    <w:rsid w:val="00240C5D"/>
    <w:rsid w:val="00241048"/>
    <w:rsid w:val="00241063"/>
    <w:rsid w:val="00241A76"/>
    <w:rsid w:val="00241ADC"/>
    <w:rsid w:val="00241DAB"/>
    <w:rsid w:val="00241FDE"/>
    <w:rsid w:val="0024203A"/>
    <w:rsid w:val="0024226A"/>
    <w:rsid w:val="00242F34"/>
    <w:rsid w:val="00242F8D"/>
    <w:rsid w:val="00243AFE"/>
    <w:rsid w:val="00243AFF"/>
    <w:rsid w:val="00243E14"/>
    <w:rsid w:val="0024420B"/>
    <w:rsid w:val="00245071"/>
    <w:rsid w:val="002453EA"/>
    <w:rsid w:val="0024543D"/>
    <w:rsid w:val="00245455"/>
    <w:rsid w:val="00245709"/>
    <w:rsid w:val="002458EB"/>
    <w:rsid w:val="00245E72"/>
    <w:rsid w:val="00245FA6"/>
    <w:rsid w:val="00246032"/>
    <w:rsid w:val="002465F5"/>
    <w:rsid w:val="00246964"/>
    <w:rsid w:val="00246C15"/>
    <w:rsid w:val="00246E00"/>
    <w:rsid w:val="002472DA"/>
    <w:rsid w:val="00247718"/>
    <w:rsid w:val="00247AE2"/>
    <w:rsid w:val="00247CAE"/>
    <w:rsid w:val="00247F93"/>
    <w:rsid w:val="0025014A"/>
    <w:rsid w:val="00250491"/>
    <w:rsid w:val="00250537"/>
    <w:rsid w:val="002508DC"/>
    <w:rsid w:val="0025095A"/>
    <w:rsid w:val="00250C43"/>
    <w:rsid w:val="0025134F"/>
    <w:rsid w:val="00251606"/>
    <w:rsid w:val="00251BE0"/>
    <w:rsid w:val="002521F6"/>
    <w:rsid w:val="0025264A"/>
    <w:rsid w:val="00253180"/>
    <w:rsid w:val="00253B4A"/>
    <w:rsid w:val="00253BAA"/>
    <w:rsid w:val="002547F3"/>
    <w:rsid w:val="00254D11"/>
    <w:rsid w:val="00255370"/>
    <w:rsid w:val="00255576"/>
    <w:rsid w:val="00255AD8"/>
    <w:rsid w:val="00255CAF"/>
    <w:rsid w:val="0025633C"/>
    <w:rsid w:val="002565F9"/>
    <w:rsid w:val="00256623"/>
    <w:rsid w:val="00256D14"/>
    <w:rsid w:val="00256D4B"/>
    <w:rsid w:val="002571A9"/>
    <w:rsid w:val="00257EB6"/>
    <w:rsid w:val="002605C2"/>
    <w:rsid w:val="00260C7A"/>
    <w:rsid w:val="00261029"/>
    <w:rsid w:val="0026157D"/>
    <w:rsid w:val="00261713"/>
    <w:rsid w:val="00261B93"/>
    <w:rsid w:val="00262150"/>
    <w:rsid w:val="00262A6F"/>
    <w:rsid w:val="00262EB4"/>
    <w:rsid w:val="00263539"/>
    <w:rsid w:val="00263E4C"/>
    <w:rsid w:val="00263F72"/>
    <w:rsid w:val="00264BAC"/>
    <w:rsid w:val="00264D1D"/>
    <w:rsid w:val="00264F0D"/>
    <w:rsid w:val="0026515D"/>
    <w:rsid w:val="002653E8"/>
    <w:rsid w:val="00265876"/>
    <w:rsid w:val="00265DAB"/>
    <w:rsid w:val="00265FA7"/>
    <w:rsid w:val="00266A32"/>
    <w:rsid w:val="0026700D"/>
    <w:rsid w:val="00267759"/>
    <w:rsid w:val="00267D40"/>
    <w:rsid w:val="002705E4"/>
    <w:rsid w:val="00270CA2"/>
    <w:rsid w:val="00271EDE"/>
    <w:rsid w:val="00272181"/>
    <w:rsid w:val="00272186"/>
    <w:rsid w:val="002721F3"/>
    <w:rsid w:val="0027220E"/>
    <w:rsid w:val="002726D6"/>
    <w:rsid w:val="002727BA"/>
    <w:rsid w:val="002727BD"/>
    <w:rsid w:val="00272F18"/>
    <w:rsid w:val="002732F8"/>
    <w:rsid w:val="00273A52"/>
    <w:rsid w:val="00273EAD"/>
    <w:rsid w:val="00273ECD"/>
    <w:rsid w:val="0027408D"/>
    <w:rsid w:val="00274632"/>
    <w:rsid w:val="002750AB"/>
    <w:rsid w:val="00275298"/>
    <w:rsid w:val="0027530C"/>
    <w:rsid w:val="00275974"/>
    <w:rsid w:val="00275D2D"/>
    <w:rsid w:val="00275E1F"/>
    <w:rsid w:val="002761BF"/>
    <w:rsid w:val="00276477"/>
    <w:rsid w:val="00276502"/>
    <w:rsid w:val="00277271"/>
    <w:rsid w:val="00277486"/>
    <w:rsid w:val="0027754C"/>
    <w:rsid w:val="002778D3"/>
    <w:rsid w:val="0027792D"/>
    <w:rsid w:val="00277E82"/>
    <w:rsid w:val="0028005A"/>
    <w:rsid w:val="0028005E"/>
    <w:rsid w:val="00280F09"/>
    <w:rsid w:val="00281176"/>
    <w:rsid w:val="002814C1"/>
    <w:rsid w:val="002814EF"/>
    <w:rsid w:val="00281638"/>
    <w:rsid w:val="0028198C"/>
    <w:rsid w:val="00281C78"/>
    <w:rsid w:val="00282617"/>
    <w:rsid w:val="0028269C"/>
    <w:rsid w:val="002829AA"/>
    <w:rsid w:val="00282F8F"/>
    <w:rsid w:val="00283D3F"/>
    <w:rsid w:val="00283E52"/>
    <w:rsid w:val="00284177"/>
    <w:rsid w:val="0028468A"/>
    <w:rsid w:val="00284AC8"/>
    <w:rsid w:val="00284B86"/>
    <w:rsid w:val="0028508A"/>
    <w:rsid w:val="002856DC"/>
    <w:rsid w:val="00285F4A"/>
    <w:rsid w:val="00285FE3"/>
    <w:rsid w:val="002860F7"/>
    <w:rsid w:val="002861A4"/>
    <w:rsid w:val="00286398"/>
    <w:rsid w:val="002863E7"/>
    <w:rsid w:val="00286401"/>
    <w:rsid w:val="00286C3A"/>
    <w:rsid w:val="00286DE6"/>
    <w:rsid w:val="00286FAD"/>
    <w:rsid w:val="002870ED"/>
    <w:rsid w:val="00287456"/>
    <w:rsid w:val="002874EA"/>
    <w:rsid w:val="0028768A"/>
    <w:rsid w:val="00287D69"/>
    <w:rsid w:val="00290654"/>
    <w:rsid w:val="002909C2"/>
    <w:rsid w:val="00290DD2"/>
    <w:rsid w:val="002910A7"/>
    <w:rsid w:val="002915A1"/>
    <w:rsid w:val="00291859"/>
    <w:rsid w:val="00292289"/>
    <w:rsid w:val="0029287E"/>
    <w:rsid w:val="002929F3"/>
    <w:rsid w:val="00292E21"/>
    <w:rsid w:val="00292F6B"/>
    <w:rsid w:val="00293BC8"/>
    <w:rsid w:val="00293DD1"/>
    <w:rsid w:val="002948A0"/>
    <w:rsid w:val="00294D6C"/>
    <w:rsid w:val="0029536E"/>
    <w:rsid w:val="0029549F"/>
    <w:rsid w:val="0029555D"/>
    <w:rsid w:val="0029559B"/>
    <w:rsid w:val="002955DD"/>
    <w:rsid w:val="002960B0"/>
    <w:rsid w:val="002966E9"/>
    <w:rsid w:val="002966F4"/>
    <w:rsid w:val="00296738"/>
    <w:rsid w:val="002971B0"/>
    <w:rsid w:val="00297684"/>
    <w:rsid w:val="002977C5"/>
    <w:rsid w:val="0029782C"/>
    <w:rsid w:val="00297FEC"/>
    <w:rsid w:val="002A01DB"/>
    <w:rsid w:val="002A0254"/>
    <w:rsid w:val="002A0E0E"/>
    <w:rsid w:val="002A0E70"/>
    <w:rsid w:val="002A11BF"/>
    <w:rsid w:val="002A11C4"/>
    <w:rsid w:val="002A11F8"/>
    <w:rsid w:val="002A1354"/>
    <w:rsid w:val="002A1994"/>
    <w:rsid w:val="002A1BDE"/>
    <w:rsid w:val="002A1D77"/>
    <w:rsid w:val="002A24C1"/>
    <w:rsid w:val="002A2B8B"/>
    <w:rsid w:val="002A2C61"/>
    <w:rsid w:val="002A2C85"/>
    <w:rsid w:val="002A2FB4"/>
    <w:rsid w:val="002A3231"/>
    <w:rsid w:val="002A32D1"/>
    <w:rsid w:val="002A3469"/>
    <w:rsid w:val="002A35D0"/>
    <w:rsid w:val="002A391D"/>
    <w:rsid w:val="002A3A74"/>
    <w:rsid w:val="002A3C90"/>
    <w:rsid w:val="002A4879"/>
    <w:rsid w:val="002A4B02"/>
    <w:rsid w:val="002A4E59"/>
    <w:rsid w:val="002A5089"/>
    <w:rsid w:val="002A52F7"/>
    <w:rsid w:val="002A5319"/>
    <w:rsid w:val="002A551D"/>
    <w:rsid w:val="002A5557"/>
    <w:rsid w:val="002A5B21"/>
    <w:rsid w:val="002A5DEE"/>
    <w:rsid w:val="002A60D7"/>
    <w:rsid w:val="002A61EE"/>
    <w:rsid w:val="002A6499"/>
    <w:rsid w:val="002A68DE"/>
    <w:rsid w:val="002A6C6C"/>
    <w:rsid w:val="002A6CEE"/>
    <w:rsid w:val="002A7BC0"/>
    <w:rsid w:val="002B05B9"/>
    <w:rsid w:val="002B0B69"/>
    <w:rsid w:val="002B0E8E"/>
    <w:rsid w:val="002B1A91"/>
    <w:rsid w:val="002B1BBE"/>
    <w:rsid w:val="002B1BFE"/>
    <w:rsid w:val="002B1D67"/>
    <w:rsid w:val="002B2485"/>
    <w:rsid w:val="002B24C1"/>
    <w:rsid w:val="002B265A"/>
    <w:rsid w:val="002B2DAF"/>
    <w:rsid w:val="002B3C25"/>
    <w:rsid w:val="002B44D6"/>
    <w:rsid w:val="002B47F7"/>
    <w:rsid w:val="002B4A83"/>
    <w:rsid w:val="002B55D1"/>
    <w:rsid w:val="002B5DFF"/>
    <w:rsid w:val="002B6258"/>
    <w:rsid w:val="002B6410"/>
    <w:rsid w:val="002B67EC"/>
    <w:rsid w:val="002B6CFF"/>
    <w:rsid w:val="002B74CD"/>
    <w:rsid w:val="002B7677"/>
    <w:rsid w:val="002B7BB2"/>
    <w:rsid w:val="002B7C98"/>
    <w:rsid w:val="002B7EEB"/>
    <w:rsid w:val="002C02AE"/>
    <w:rsid w:val="002C0DD1"/>
    <w:rsid w:val="002C1196"/>
    <w:rsid w:val="002C16B6"/>
    <w:rsid w:val="002C1C98"/>
    <w:rsid w:val="002C1E50"/>
    <w:rsid w:val="002C23FA"/>
    <w:rsid w:val="002C26FC"/>
    <w:rsid w:val="002C29F2"/>
    <w:rsid w:val="002C2DCD"/>
    <w:rsid w:val="002C32BE"/>
    <w:rsid w:val="002C4054"/>
    <w:rsid w:val="002C4504"/>
    <w:rsid w:val="002C451F"/>
    <w:rsid w:val="002C4767"/>
    <w:rsid w:val="002C47BD"/>
    <w:rsid w:val="002C480D"/>
    <w:rsid w:val="002C4ADB"/>
    <w:rsid w:val="002C4B43"/>
    <w:rsid w:val="002C4C8E"/>
    <w:rsid w:val="002C4D15"/>
    <w:rsid w:val="002C4F71"/>
    <w:rsid w:val="002C4FE5"/>
    <w:rsid w:val="002C502E"/>
    <w:rsid w:val="002C5579"/>
    <w:rsid w:val="002C57F6"/>
    <w:rsid w:val="002C6055"/>
    <w:rsid w:val="002C6794"/>
    <w:rsid w:val="002C6DEA"/>
    <w:rsid w:val="002C6EC9"/>
    <w:rsid w:val="002C7451"/>
    <w:rsid w:val="002C7576"/>
    <w:rsid w:val="002C7861"/>
    <w:rsid w:val="002C7CD9"/>
    <w:rsid w:val="002D0678"/>
    <w:rsid w:val="002D07F8"/>
    <w:rsid w:val="002D0994"/>
    <w:rsid w:val="002D0B28"/>
    <w:rsid w:val="002D0C03"/>
    <w:rsid w:val="002D106D"/>
    <w:rsid w:val="002D1BC7"/>
    <w:rsid w:val="002D2235"/>
    <w:rsid w:val="002D252A"/>
    <w:rsid w:val="002D2CE9"/>
    <w:rsid w:val="002D2CED"/>
    <w:rsid w:val="002D2F1F"/>
    <w:rsid w:val="002D3754"/>
    <w:rsid w:val="002D380F"/>
    <w:rsid w:val="002D3F25"/>
    <w:rsid w:val="002D45EB"/>
    <w:rsid w:val="002D4714"/>
    <w:rsid w:val="002D472F"/>
    <w:rsid w:val="002D4774"/>
    <w:rsid w:val="002D478F"/>
    <w:rsid w:val="002D48F0"/>
    <w:rsid w:val="002D49D0"/>
    <w:rsid w:val="002D53A4"/>
    <w:rsid w:val="002D58EB"/>
    <w:rsid w:val="002D5988"/>
    <w:rsid w:val="002D69FC"/>
    <w:rsid w:val="002D6B2B"/>
    <w:rsid w:val="002D6EA6"/>
    <w:rsid w:val="002D71AC"/>
    <w:rsid w:val="002D7E1A"/>
    <w:rsid w:val="002E0309"/>
    <w:rsid w:val="002E0500"/>
    <w:rsid w:val="002E0CE3"/>
    <w:rsid w:val="002E0CEC"/>
    <w:rsid w:val="002E10E1"/>
    <w:rsid w:val="002E156D"/>
    <w:rsid w:val="002E16C4"/>
    <w:rsid w:val="002E19E8"/>
    <w:rsid w:val="002E1AFF"/>
    <w:rsid w:val="002E1CE6"/>
    <w:rsid w:val="002E1E87"/>
    <w:rsid w:val="002E215B"/>
    <w:rsid w:val="002E2507"/>
    <w:rsid w:val="002E25A2"/>
    <w:rsid w:val="002E274B"/>
    <w:rsid w:val="002E2C44"/>
    <w:rsid w:val="002E2E59"/>
    <w:rsid w:val="002E2F1E"/>
    <w:rsid w:val="002E3040"/>
    <w:rsid w:val="002E33D1"/>
    <w:rsid w:val="002E39DF"/>
    <w:rsid w:val="002E400C"/>
    <w:rsid w:val="002E41C7"/>
    <w:rsid w:val="002E4A36"/>
    <w:rsid w:val="002E4F99"/>
    <w:rsid w:val="002E5509"/>
    <w:rsid w:val="002E550D"/>
    <w:rsid w:val="002E585E"/>
    <w:rsid w:val="002E5963"/>
    <w:rsid w:val="002E5DA8"/>
    <w:rsid w:val="002E5E9B"/>
    <w:rsid w:val="002E5F20"/>
    <w:rsid w:val="002E63AF"/>
    <w:rsid w:val="002E645F"/>
    <w:rsid w:val="002E68B4"/>
    <w:rsid w:val="002E6B3D"/>
    <w:rsid w:val="002E6BCD"/>
    <w:rsid w:val="002E6FEB"/>
    <w:rsid w:val="002E7128"/>
    <w:rsid w:val="002E7493"/>
    <w:rsid w:val="002E7ADF"/>
    <w:rsid w:val="002E7D4C"/>
    <w:rsid w:val="002E7DF3"/>
    <w:rsid w:val="002F03B1"/>
    <w:rsid w:val="002F06EA"/>
    <w:rsid w:val="002F0C4B"/>
    <w:rsid w:val="002F192E"/>
    <w:rsid w:val="002F196E"/>
    <w:rsid w:val="002F25A2"/>
    <w:rsid w:val="002F2EF4"/>
    <w:rsid w:val="002F3551"/>
    <w:rsid w:val="002F38A5"/>
    <w:rsid w:val="002F3AE3"/>
    <w:rsid w:val="002F3D76"/>
    <w:rsid w:val="002F3FFB"/>
    <w:rsid w:val="002F418B"/>
    <w:rsid w:val="002F47C5"/>
    <w:rsid w:val="002F47D1"/>
    <w:rsid w:val="002F49BF"/>
    <w:rsid w:val="002F5670"/>
    <w:rsid w:val="002F5903"/>
    <w:rsid w:val="002F5D11"/>
    <w:rsid w:val="002F6632"/>
    <w:rsid w:val="002F6814"/>
    <w:rsid w:val="002F6CC2"/>
    <w:rsid w:val="002F6CC5"/>
    <w:rsid w:val="002F6DE4"/>
    <w:rsid w:val="002F6DE5"/>
    <w:rsid w:val="002F6FF3"/>
    <w:rsid w:val="002F71A0"/>
    <w:rsid w:val="002F7767"/>
    <w:rsid w:val="002F7BEE"/>
    <w:rsid w:val="002F7CA4"/>
    <w:rsid w:val="003004C4"/>
    <w:rsid w:val="0030078B"/>
    <w:rsid w:val="00300E67"/>
    <w:rsid w:val="00301001"/>
    <w:rsid w:val="00301606"/>
    <w:rsid w:val="0030172D"/>
    <w:rsid w:val="0030223D"/>
    <w:rsid w:val="003027E1"/>
    <w:rsid w:val="003029A6"/>
    <w:rsid w:val="00302A88"/>
    <w:rsid w:val="00302B04"/>
    <w:rsid w:val="003037EE"/>
    <w:rsid w:val="00303AAE"/>
    <w:rsid w:val="003043C9"/>
    <w:rsid w:val="00304770"/>
    <w:rsid w:val="00304985"/>
    <w:rsid w:val="00304B7B"/>
    <w:rsid w:val="00304C5D"/>
    <w:rsid w:val="00305034"/>
    <w:rsid w:val="00305846"/>
    <w:rsid w:val="00305AE3"/>
    <w:rsid w:val="00305E0F"/>
    <w:rsid w:val="003063B6"/>
    <w:rsid w:val="0030660D"/>
    <w:rsid w:val="0030677C"/>
    <w:rsid w:val="0030692C"/>
    <w:rsid w:val="0030694E"/>
    <w:rsid w:val="00306DBF"/>
    <w:rsid w:val="00306EAC"/>
    <w:rsid w:val="00306F27"/>
    <w:rsid w:val="0030786C"/>
    <w:rsid w:val="003078EE"/>
    <w:rsid w:val="00307D0D"/>
    <w:rsid w:val="00307D9B"/>
    <w:rsid w:val="00307FFA"/>
    <w:rsid w:val="00310499"/>
    <w:rsid w:val="003106E5"/>
    <w:rsid w:val="00310C85"/>
    <w:rsid w:val="00310F61"/>
    <w:rsid w:val="0031182A"/>
    <w:rsid w:val="00311A79"/>
    <w:rsid w:val="00311EBB"/>
    <w:rsid w:val="00311F19"/>
    <w:rsid w:val="00312388"/>
    <w:rsid w:val="003125E0"/>
    <w:rsid w:val="00313870"/>
    <w:rsid w:val="00313E24"/>
    <w:rsid w:val="00314139"/>
    <w:rsid w:val="003146EF"/>
    <w:rsid w:val="00314940"/>
    <w:rsid w:val="00314A04"/>
    <w:rsid w:val="00315012"/>
    <w:rsid w:val="00315210"/>
    <w:rsid w:val="003152CA"/>
    <w:rsid w:val="003154AB"/>
    <w:rsid w:val="003155F7"/>
    <w:rsid w:val="00315A49"/>
    <w:rsid w:val="00315EF5"/>
    <w:rsid w:val="00316343"/>
    <w:rsid w:val="00316572"/>
    <w:rsid w:val="00316B38"/>
    <w:rsid w:val="00316D3C"/>
    <w:rsid w:val="00316F55"/>
    <w:rsid w:val="003171E5"/>
    <w:rsid w:val="00317263"/>
    <w:rsid w:val="00317479"/>
    <w:rsid w:val="00317B84"/>
    <w:rsid w:val="00317C56"/>
    <w:rsid w:val="003200D7"/>
    <w:rsid w:val="0032034A"/>
    <w:rsid w:val="00320631"/>
    <w:rsid w:val="00320A55"/>
    <w:rsid w:val="00320ECC"/>
    <w:rsid w:val="00321442"/>
    <w:rsid w:val="0032209C"/>
    <w:rsid w:val="00322633"/>
    <w:rsid w:val="00322B95"/>
    <w:rsid w:val="00322C26"/>
    <w:rsid w:val="0032343B"/>
    <w:rsid w:val="003236B4"/>
    <w:rsid w:val="00323C69"/>
    <w:rsid w:val="00324A13"/>
    <w:rsid w:val="00324D2F"/>
    <w:rsid w:val="0032520E"/>
    <w:rsid w:val="00325DDB"/>
    <w:rsid w:val="00325EB0"/>
    <w:rsid w:val="00326B0C"/>
    <w:rsid w:val="00326C41"/>
    <w:rsid w:val="00326C84"/>
    <w:rsid w:val="00326FE3"/>
    <w:rsid w:val="00327147"/>
    <w:rsid w:val="003271F7"/>
    <w:rsid w:val="00327222"/>
    <w:rsid w:val="0032744A"/>
    <w:rsid w:val="0032752B"/>
    <w:rsid w:val="0032762F"/>
    <w:rsid w:val="0032773A"/>
    <w:rsid w:val="00327B0D"/>
    <w:rsid w:val="00327B76"/>
    <w:rsid w:val="00327B7C"/>
    <w:rsid w:val="00330B73"/>
    <w:rsid w:val="00330CED"/>
    <w:rsid w:val="00331146"/>
    <w:rsid w:val="00331490"/>
    <w:rsid w:val="003326BB"/>
    <w:rsid w:val="003326F5"/>
    <w:rsid w:val="00332847"/>
    <w:rsid w:val="00332895"/>
    <w:rsid w:val="00332B8B"/>
    <w:rsid w:val="00332FCF"/>
    <w:rsid w:val="00333488"/>
    <w:rsid w:val="0033386D"/>
    <w:rsid w:val="00333BBB"/>
    <w:rsid w:val="00333F52"/>
    <w:rsid w:val="003350C6"/>
    <w:rsid w:val="00335145"/>
    <w:rsid w:val="00335765"/>
    <w:rsid w:val="003358DC"/>
    <w:rsid w:val="00335FBE"/>
    <w:rsid w:val="00335FC0"/>
    <w:rsid w:val="00336332"/>
    <w:rsid w:val="00336407"/>
    <w:rsid w:val="0033655E"/>
    <w:rsid w:val="003365E1"/>
    <w:rsid w:val="0033671D"/>
    <w:rsid w:val="00336770"/>
    <w:rsid w:val="0033677C"/>
    <w:rsid w:val="003373F3"/>
    <w:rsid w:val="0034004C"/>
    <w:rsid w:val="003401DF"/>
    <w:rsid w:val="00340389"/>
    <w:rsid w:val="00340460"/>
    <w:rsid w:val="00340F26"/>
    <w:rsid w:val="0034160A"/>
    <w:rsid w:val="00341B86"/>
    <w:rsid w:val="00341C85"/>
    <w:rsid w:val="00342249"/>
    <w:rsid w:val="003424FB"/>
    <w:rsid w:val="0034252D"/>
    <w:rsid w:val="003425A0"/>
    <w:rsid w:val="00342634"/>
    <w:rsid w:val="0034296A"/>
    <w:rsid w:val="003429FB"/>
    <w:rsid w:val="0034307C"/>
    <w:rsid w:val="003436FA"/>
    <w:rsid w:val="0034375D"/>
    <w:rsid w:val="00343F1F"/>
    <w:rsid w:val="003440AA"/>
    <w:rsid w:val="003440EB"/>
    <w:rsid w:val="0034435B"/>
    <w:rsid w:val="00344797"/>
    <w:rsid w:val="00344C9A"/>
    <w:rsid w:val="00344FCC"/>
    <w:rsid w:val="00345031"/>
    <w:rsid w:val="0034510E"/>
    <w:rsid w:val="00345525"/>
    <w:rsid w:val="00345947"/>
    <w:rsid w:val="00345AE4"/>
    <w:rsid w:val="00345D3B"/>
    <w:rsid w:val="00346868"/>
    <w:rsid w:val="00346931"/>
    <w:rsid w:val="00346AE2"/>
    <w:rsid w:val="0034717B"/>
    <w:rsid w:val="003477ED"/>
    <w:rsid w:val="00350047"/>
    <w:rsid w:val="00350077"/>
    <w:rsid w:val="003500DD"/>
    <w:rsid w:val="0035038A"/>
    <w:rsid w:val="0035058F"/>
    <w:rsid w:val="003506F2"/>
    <w:rsid w:val="003508BA"/>
    <w:rsid w:val="003511F7"/>
    <w:rsid w:val="0035125E"/>
    <w:rsid w:val="00351304"/>
    <w:rsid w:val="003514A7"/>
    <w:rsid w:val="003517E4"/>
    <w:rsid w:val="0035182D"/>
    <w:rsid w:val="003518F1"/>
    <w:rsid w:val="00351B02"/>
    <w:rsid w:val="00351DC6"/>
    <w:rsid w:val="0035203E"/>
    <w:rsid w:val="0035301C"/>
    <w:rsid w:val="00353205"/>
    <w:rsid w:val="00353618"/>
    <w:rsid w:val="0035464C"/>
    <w:rsid w:val="003546B2"/>
    <w:rsid w:val="00354749"/>
    <w:rsid w:val="00354A3F"/>
    <w:rsid w:val="00354C70"/>
    <w:rsid w:val="00354C94"/>
    <w:rsid w:val="0035571A"/>
    <w:rsid w:val="00355725"/>
    <w:rsid w:val="0035575B"/>
    <w:rsid w:val="0035599E"/>
    <w:rsid w:val="003561AC"/>
    <w:rsid w:val="0035689F"/>
    <w:rsid w:val="00356961"/>
    <w:rsid w:val="003574C2"/>
    <w:rsid w:val="00357747"/>
    <w:rsid w:val="0035775B"/>
    <w:rsid w:val="00357B47"/>
    <w:rsid w:val="00357D67"/>
    <w:rsid w:val="00357DF1"/>
    <w:rsid w:val="0036011A"/>
    <w:rsid w:val="00360452"/>
    <w:rsid w:val="00360488"/>
    <w:rsid w:val="003604FF"/>
    <w:rsid w:val="00360B7C"/>
    <w:rsid w:val="00360D51"/>
    <w:rsid w:val="00360D8B"/>
    <w:rsid w:val="00360EEF"/>
    <w:rsid w:val="003610D9"/>
    <w:rsid w:val="0036148E"/>
    <w:rsid w:val="00361553"/>
    <w:rsid w:val="00361725"/>
    <w:rsid w:val="00361C1A"/>
    <w:rsid w:val="003620A5"/>
    <w:rsid w:val="0036223E"/>
    <w:rsid w:val="00362D8E"/>
    <w:rsid w:val="00362DCD"/>
    <w:rsid w:val="00363910"/>
    <w:rsid w:val="003639F0"/>
    <w:rsid w:val="00363A91"/>
    <w:rsid w:val="00363BE5"/>
    <w:rsid w:val="00363C10"/>
    <w:rsid w:val="00363E87"/>
    <w:rsid w:val="00364DD9"/>
    <w:rsid w:val="00364DDB"/>
    <w:rsid w:val="00364E1C"/>
    <w:rsid w:val="00364EA3"/>
    <w:rsid w:val="00364EC3"/>
    <w:rsid w:val="00365750"/>
    <w:rsid w:val="00365A55"/>
    <w:rsid w:val="003666E1"/>
    <w:rsid w:val="00366C31"/>
    <w:rsid w:val="00370152"/>
    <w:rsid w:val="0037017E"/>
    <w:rsid w:val="00370790"/>
    <w:rsid w:val="00370DBC"/>
    <w:rsid w:val="00371122"/>
    <w:rsid w:val="00371588"/>
    <w:rsid w:val="0037190F"/>
    <w:rsid w:val="00371F3C"/>
    <w:rsid w:val="00372079"/>
    <w:rsid w:val="003722A8"/>
    <w:rsid w:val="003726BC"/>
    <w:rsid w:val="003729F9"/>
    <w:rsid w:val="00372EDD"/>
    <w:rsid w:val="0037336E"/>
    <w:rsid w:val="00373CE4"/>
    <w:rsid w:val="00373D58"/>
    <w:rsid w:val="00374604"/>
    <w:rsid w:val="00374D54"/>
    <w:rsid w:val="0037500D"/>
    <w:rsid w:val="0037584A"/>
    <w:rsid w:val="00375913"/>
    <w:rsid w:val="00375EE3"/>
    <w:rsid w:val="0037627D"/>
    <w:rsid w:val="00376537"/>
    <w:rsid w:val="00376643"/>
    <w:rsid w:val="003766DD"/>
    <w:rsid w:val="00376C44"/>
    <w:rsid w:val="0037731E"/>
    <w:rsid w:val="0037731F"/>
    <w:rsid w:val="00377A31"/>
    <w:rsid w:val="00377A4C"/>
    <w:rsid w:val="00377B7C"/>
    <w:rsid w:val="00380108"/>
    <w:rsid w:val="00380BDE"/>
    <w:rsid w:val="00380E73"/>
    <w:rsid w:val="00381134"/>
    <w:rsid w:val="00381933"/>
    <w:rsid w:val="00381A6A"/>
    <w:rsid w:val="00381B4E"/>
    <w:rsid w:val="00381C8C"/>
    <w:rsid w:val="00381EE8"/>
    <w:rsid w:val="00381FCD"/>
    <w:rsid w:val="00382099"/>
    <w:rsid w:val="0038258E"/>
    <w:rsid w:val="00382795"/>
    <w:rsid w:val="00382C3B"/>
    <w:rsid w:val="00382D0B"/>
    <w:rsid w:val="00382DD3"/>
    <w:rsid w:val="0038323E"/>
    <w:rsid w:val="00383296"/>
    <w:rsid w:val="00383342"/>
    <w:rsid w:val="003837DF"/>
    <w:rsid w:val="00383C55"/>
    <w:rsid w:val="00383DE4"/>
    <w:rsid w:val="003841D8"/>
    <w:rsid w:val="003842D3"/>
    <w:rsid w:val="0038453D"/>
    <w:rsid w:val="003847E2"/>
    <w:rsid w:val="00384BBD"/>
    <w:rsid w:val="00384D2D"/>
    <w:rsid w:val="00384EF4"/>
    <w:rsid w:val="0038517C"/>
    <w:rsid w:val="00385294"/>
    <w:rsid w:val="00386566"/>
    <w:rsid w:val="003866DC"/>
    <w:rsid w:val="0038676C"/>
    <w:rsid w:val="0038678A"/>
    <w:rsid w:val="00386AD1"/>
    <w:rsid w:val="00386C1D"/>
    <w:rsid w:val="00387595"/>
    <w:rsid w:val="003876CF"/>
    <w:rsid w:val="003877BD"/>
    <w:rsid w:val="00387892"/>
    <w:rsid w:val="00387989"/>
    <w:rsid w:val="00387AF1"/>
    <w:rsid w:val="00387CC6"/>
    <w:rsid w:val="00387CFE"/>
    <w:rsid w:val="00390042"/>
    <w:rsid w:val="003905D2"/>
    <w:rsid w:val="00390700"/>
    <w:rsid w:val="00390888"/>
    <w:rsid w:val="003908F8"/>
    <w:rsid w:val="00390A72"/>
    <w:rsid w:val="00390B27"/>
    <w:rsid w:val="00390E15"/>
    <w:rsid w:val="00390FAB"/>
    <w:rsid w:val="0039137F"/>
    <w:rsid w:val="0039195F"/>
    <w:rsid w:val="0039203D"/>
    <w:rsid w:val="0039239E"/>
    <w:rsid w:val="00392967"/>
    <w:rsid w:val="00392B57"/>
    <w:rsid w:val="0039382B"/>
    <w:rsid w:val="00393C16"/>
    <w:rsid w:val="00393CA0"/>
    <w:rsid w:val="00393E84"/>
    <w:rsid w:val="003943FD"/>
    <w:rsid w:val="00395CB0"/>
    <w:rsid w:val="0039650A"/>
    <w:rsid w:val="00396545"/>
    <w:rsid w:val="00396A75"/>
    <w:rsid w:val="0039742E"/>
    <w:rsid w:val="00397938"/>
    <w:rsid w:val="003A0098"/>
    <w:rsid w:val="003A0160"/>
    <w:rsid w:val="003A03C6"/>
    <w:rsid w:val="003A0762"/>
    <w:rsid w:val="003A0E6C"/>
    <w:rsid w:val="003A10DC"/>
    <w:rsid w:val="003A141A"/>
    <w:rsid w:val="003A167E"/>
    <w:rsid w:val="003A1690"/>
    <w:rsid w:val="003A16E9"/>
    <w:rsid w:val="003A1A3A"/>
    <w:rsid w:val="003A1D56"/>
    <w:rsid w:val="003A1EBB"/>
    <w:rsid w:val="003A1F8A"/>
    <w:rsid w:val="003A2003"/>
    <w:rsid w:val="003A2526"/>
    <w:rsid w:val="003A2527"/>
    <w:rsid w:val="003A2683"/>
    <w:rsid w:val="003A2705"/>
    <w:rsid w:val="003A2E88"/>
    <w:rsid w:val="003A32FB"/>
    <w:rsid w:val="003A363D"/>
    <w:rsid w:val="003A36C4"/>
    <w:rsid w:val="003A377C"/>
    <w:rsid w:val="003A3936"/>
    <w:rsid w:val="003A3F27"/>
    <w:rsid w:val="003A418A"/>
    <w:rsid w:val="003A46F2"/>
    <w:rsid w:val="003A4C09"/>
    <w:rsid w:val="003A4DAF"/>
    <w:rsid w:val="003A4F71"/>
    <w:rsid w:val="003A559F"/>
    <w:rsid w:val="003A5633"/>
    <w:rsid w:val="003A5F71"/>
    <w:rsid w:val="003A66EC"/>
    <w:rsid w:val="003A6CCD"/>
    <w:rsid w:val="003A6ECD"/>
    <w:rsid w:val="003A78EE"/>
    <w:rsid w:val="003A79BF"/>
    <w:rsid w:val="003B0049"/>
    <w:rsid w:val="003B02EC"/>
    <w:rsid w:val="003B069A"/>
    <w:rsid w:val="003B0950"/>
    <w:rsid w:val="003B0E2F"/>
    <w:rsid w:val="003B148A"/>
    <w:rsid w:val="003B17E1"/>
    <w:rsid w:val="003B193F"/>
    <w:rsid w:val="003B1CAF"/>
    <w:rsid w:val="003B21F1"/>
    <w:rsid w:val="003B2716"/>
    <w:rsid w:val="003B28D0"/>
    <w:rsid w:val="003B2996"/>
    <w:rsid w:val="003B2DC7"/>
    <w:rsid w:val="003B37AD"/>
    <w:rsid w:val="003B3AFB"/>
    <w:rsid w:val="003B3E8B"/>
    <w:rsid w:val="003B3EF2"/>
    <w:rsid w:val="003B4667"/>
    <w:rsid w:val="003B4D79"/>
    <w:rsid w:val="003B4ED3"/>
    <w:rsid w:val="003B52E4"/>
    <w:rsid w:val="003B597D"/>
    <w:rsid w:val="003B5981"/>
    <w:rsid w:val="003B5B24"/>
    <w:rsid w:val="003B63E5"/>
    <w:rsid w:val="003B66AF"/>
    <w:rsid w:val="003B6B65"/>
    <w:rsid w:val="003B6D2A"/>
    <w:rsid w:val="003B7382"/>
    <w:rsid w:val="003B7C1A"/>
    <w:rsid w:val="003B7CC6"/>
    <w:rsid w:val="003B7E2A"/>
    <w:rsid w:val="003B7F91"/>
    <w:rsid w:val="003C02F9"/>
    <w:rsid w:val="003C04F5"/>
    <w:rsid w:val="003C0674"/>
    <w:rsid w:val="003C0909"/>
    <w:rsid w:val="003C0A98"/>
    <w:rsid w:val="003C0B06"/>
    <w:rsid w:val="003C0FD0"/>
    <w:rsid w:val="003C10A1"/>
    <w:rsid w:val="003C13B0"/>
    <w:rsid w:val="003C1587"/>
    <w:rsid w:val="003C1DFE"/>
    <w:rsid w:val="003C1E55"/>
    <w:rsid w:val="003C27AC"/>
    <w:rsid w:val="003C283D"/>
    <w:rsid w:val="003C2FBE"/>
    <w:rsid w:val="003C3013"/>
    <w:rsid w:val="003C31D8"/>
    <w:rsid w:val="003C3497"/>
    <w:rsid w:val="003C34FF"/>
    <w:rsid w:val="003C362E"/>
    <w:rsid w:val="003C392A"/>
    <w:rsid w:val="003C3C72"/>
    <w:rsid w:val="003C3D00"/>
    <w:rsid w:val="003C42B7"/>
    <w:rsid w:val="003C4C69"/>
    <w:rsid w:val="003C4CE1"/>
    <w:rsid w:val="003C5863"/>
    <w:rsid w:val="003C5DC1"/>
    <w:rsid w:val="003C5E1C"/>
    <w:rsid w:val="003C60CB"/>
    <w:rsid w:val="003C62CB"/>
    <w:rsid w:val="003C6532"/>
    <w:rsid w:val="003C693F"/>
    <w:rsid w:val="003C70CA"/>
    <w:rsid w:val="003C70E5"/>
    <w:rsid w:val="003C7449"/>
    <w:rsid w:val="003C7976"/>
    <w:rsid w:val="003C7CDD"/>
    <w:rsid w:val="003C7D9D"/>
    <w:rsid w:val="003D045B"/>
    <w:rsid w:val="003D09A3"/>
    <w:rsid w:val="003D0A80"/>
    <w:rsid w:val="003D0AA2"/>
    <w:rsid w:val="003D17F9"/>
    <w:rsid w:val="003D185E"/>
    <w:rsid w:val="003D1A55"/>
    <w:rsid w:val="003D27AC"/>
    <w:rsid w:val="003D2B1E"/>
    <w:rsid w:val="003D2BE4"/>
    <w:rsid w:val="003D2D19"/>
    <w:rsid w:val="003D2D76"/>
    <w:rsid w:val="003D2DF4"/>
    <w:rsid w:val="003D365B"/>
    <w:rsid w:val="003D3A0E"/>
    <w:rsid w:val="003D3C4F"/>
    <w:rsid w:val="003D3C67"/>
    <w:rsid w:val="003D3CEC"/>
    <w:rsid w:val="003D3D89"/>
    <w:rsid w:val="003D400A"/>
    <w:rsid w:val="003D4796"/>
    <w:rsid w:val="003D4A6E"/>
    <w:rsid w:val="003D4FE2"/>
    <w:rsid w:val="003D51CA"/>
    <w:rsid w:val="003D543B"/>
    <w:rsid w:val="003D5688"/>
    <w:rsid w:val="003D5B23"/>
    <w:rsid w:val="003D5C01"/>
    <w:rsid w:val="003D5E2B"/>
    <w:rsid w:val="003D6030"/>
    <w:rsid w:val="003D6153"/>
    <w:rsid w:val="003D6564"/>
    <w:rsid w:val="003D784B"/>
    <w:rsid w:val="003D7B56"/>
    <w:rsid w:val="003D7C55"/>
    <w:rsid w:val="003D7F60"/>
    <w:rsid w:val="003E0155"/>
    <w:rsid w:val="003E0D38"/>
    <w:rsid w:val="003E0E00"/>
    <w:rsid w:val="003E1322"/>
    <w:rsid w:val="003E1381"/>
    <w:rsid w:val="003E2591"/>
    <w:rsid w:val="003E2685"/>
    <w:rsid w:val="003E2E63"/>
    <w:rsid w:val="003E3271"/>
    <w:rsid w:val="003E3AB2"/>
    <w:rsid w:val="003E3B7A"/>
    <w:rsid w:val="003E3E51"/>
    <w:rsid w:val="003E46C8"/>
    <w:rsid w:val="003E49FC"/>
    <w:rsid w:val="003E4E55"/>
    <w:rsid w:val="003E50BE"/>
    <w:rsid w:val="003E6133"/>
    <w:rsid w:val="003E61A4"/>
    <w:rsid w:val="003E65D8"/>
    <w:rsid w:val="003E66E6"/>
    <w:rsid w:val="003E686A"/>
    <w:rsid w:val="003E6C55"/>
    <w:rsid w:val="003E721C"/>
    <w:rsid w:val="003E791A"/>
    <w:rsid w:val="003F00D6"/>
    <w:rsid w:val="003F02D6"/>
    <w:rsid w:val="003F035B"/>
    <w:rsid w:val="003F0555"/>
    <w:rsid w:val="003F096D"/>
    <w:rsid w:val="003F0BD4"/>
    <w:rsid w:val="003F13D5"/>
    <w:rsid w:val="003F216F"/>
    <w:rsid w:val="003F24CB"/>
    <w:rsid w:val="003F2A2B"/>
    <w:rsid w:val="003F2B27"/>
    <w:rsid w:val="003F31DE"/>
    <w:rsid w:val="003F39CE"/>
    <w:rsid w:val="003F39D1"/>
    <w:rsid w:val="003F3A05"/>
    <w:rsid w:val="003F3D6B"/>
    <w:rsid w:val="003F40BA"/>
    <w:rsid w:val="003F4560"/>
    <w:rsid w:val="003F4B3C"/>
    <w:rsid w:val="003F504F"/>
    <w:rsid w:val="003F5B04"/>
    <w:rsid w:val="003F637F"/>
    <w:rsid w:val="003F657B"/>
    <w:rsid w:val="003F657F"/>
    <w:rsid w:val="003F712B"/>
    <w:rsid w:val="003F7549"/>
    <w:rsid w:val="003F7655"/>
    <w:rsid w:val="004002EC"/>
    <w:rsid w:val="00400799"/>
    <w:rsid w:val="00400836"/>
    <w:rsid w:val="004008CB"/>
    <w:rsid w:val="0040154C"/>
    <w:rsid w:val="004015EC"/>
    <w:rsid w:val="004015F1"/>
    <w:rsid w:val="00401D65"/>
    <w:rsid w:val="00401F65"/>
    <w:rsid w:val="00402172"/>
    <w:rsid w:val="00402662"/>
    <w:rsid w:val="00402767"/>
    <w:rsid w:val="0040280F"/>
    <w:rsid w:val="00402949"/>
    <w:rsid w:val="00402AC0"/>
    <w:rsid w:val="00402BC6"/>
    <w:rsid w:val="00402D78"/>
    <w:rsid w:val="0040310E"/>
    <w:rsid w:val="004031D8"/>
    <w:rsid w:val="00403A57"/>
    <w:rsid w:val="00403BCA"/>
    <w:rsid w:val="00403DD4"/>
    <w:rsid w:val="00403EAF"/>
    <w:rsid w:val="00403F31"/>
    <w:rsid w:val="004045EB"/>
    <w:rsid w:val="0040488F"/>
    <w:rsid w:val="00404C9D"/>
    <w:rsid w:val="004053A9"/>
    <w:rsid w:val="004055E7"/>
    <w:rsid w:val="00405841"/>
    <w:rsid w:val="004058DB"/>
    <w:rsid w:val="00405B5C"/>
    <w:rsid w:val="00405BE5"/>
    <w:rsid w:val="0040621B"/>
    <w:rsid w:val="00406AF0"/>
    <w:rsid w:val="00407114"/>
    <w:rsid w:val="00407406"/>
    <w:rsid w:val="0040742E"/>
    <w:rsid w:val="0041003E"/>
    <w:rsid w:val="00410170"/>
    <w:rsid w:val="004107DB"/>
    <w:rsid w:val="00410AED"/>
    <w:rsid w:val="004114B8"/>
    <w:rsid w:val="004115AE"/>
    <w:rsid w:val="004118D5"/>
    <w:rsid w:val="004119AB"/>
    <w:rsid w:val="00411E09"/>
    <w:rsid w:val="00411F9D"/>
    <w:rsid w:val="00412511"/>
    <w:rsid w:val="00412C29"/>
    <w:rsid w:val="00412C8C"/>
    <w:rsid w:val="00413431"/>
    <w:rsid w:val="00413592"/>
    <w:rsid w:val="00413993"/>
    <w:rsid w:val="00413D61"/>
    <w:rsid w:val="00413FAE"/>
    <w:rsid w:val="00414546"/>
    <w:rsid w:val="00414D65"/>
    <w:rsid w:val="00414E8E"/>
    <w:rsid w:val="004155E3"/>
    <w:rsid w:val="0041608F"/>
    <w:rsid w:val="004163CF"/>
    <w:rsid w:val="0041643C"/>
    <w:rsid w:val="004165FE"/>
    <w:rsid w:val="00416994"/>
    <w:rsid w:val="00416AA4"/>
    <w:rsid w:val="004173F7"/>
    <w:rsid w:val="0041760A"/>
    <w:rsid w:val="00417912"/>
    <w:rsid w:val="00417A3A"/>
    <w:rsid w:val="00417BEA"/>
    <w:rsid w:val="0042011C"/>
    <w:rsid w:val="004206EF"/>
    <w:rsid w:val="004208C3"/>
    <w:rsid w:val="00420BAF"/>
    <w:rsid w:val="00420D5F"/>
    <w:rsid w:val="00421051"/>
    <w:rsid w:val="00421826"/>
    <w:rsid w:val="00421955"/>
    <w:rsid w:val="00422064"/>
    <w:rsid w:val="004223D1"/>
    <w:rsid w:val="004225E8"/>
    <w:rsid w:val="0042334F"/>
    <w:rsid w:val="00423B12"/>
    <w:rsid w:val="00423BB6"/>
    <w:rsid w:val="00423C03"/>
    <w:rsid w:val="00423F68"/>
    <w:rsid w:val="0042501F"/>
    <w:rsid w:val="00425338"/>
    <w:rsid w:val="00425BD9"/>
    <w:rsid w:val="00425D58"/>
    <w:rsid w:val="004261E0"/>
    <w:rsid w:val="00426983"/>
    <w:rsid w:val="00426AAA"/>
    <w:rsid w:val="0042707E"/>
    <w:rsid w:val="004271CF"/>
    <w:rsid w:val="004279F2"/>
    <w:rsid w:val="00427BB4"/>
    <w:rsid w:val="00430BBF"/>
    <w:rsid w:val="00430D58"/>
    <w:rsid w:val="00430F8A"/>
    <w:rsid w:val="004315AB"/>
    <w:rsid w:val="0043170C"/>
    <w:rsid w:val="0043174F"/>
    <w:rsid w:val="00431758"/>
    <w:rsid w:val="00431824"/>
    <w:rsid w:val="00431854"/>
    <w:rsid w:val="00431A11"/>
    <w:rsid w:val="00431F1A"/>
    <w:rsid w:val="00432975"/>
    <w:rsid w:val="00432BA0"/>
    <w:rsid w:val="00432C96"/>
    <w:rsid w:val="0043341C"/>
    <w:rsid w:val="0043360E"/>
    <w:rsid w:val="004336B2"/>
    <w:rsid w:val="0043376B"/>
    <w:rsid w:val="00433AAF"/>
    <w:rsid w:val="00433AD5"/>
    <w:rsid w:val="00433C55"/>
    <w:rsid w:val="00433C9D"/>
    <w:rsid w:val="004341E1"/>
    <w:rsid w:val="004342F6"/>
    <w:rsid w:val="0043475E"/>
    <w:rsid w:val="00434ABF"/>
    <w:rsid w:val="00434D81"/>
    <w:rsid w:val="0043561C"/>
    <w:rsid w:val="00435D34"/>
    <w:rsid w:val="00435E19"/>
    <w:rsid w:val="00436494"/>
    <w:rsid w:val="004365B1"/>
    <w:rsid w:val="0043676F"/>
    <w:rsid w:val="004372E8"/>
    <w:rsid w:val="0043749E"/>
    <w:rsid w:val="00437558"/>
    <w:rsid w:val="00437A9C"/>
    <w:rsid w:val="00440154"/>
    <w:rsid w:val="004402A7"/>
    <w:rsid w:val="00440616"/>
    <w:rsid w:val="00440683"/>
    <w:rsid w:val="004415CC"/>
    <w:rsid w:val="00441643"/>
    <w:rsid w:val="0044166D"/>
    <w:rsid w:val="00441964"/>
    <w:rsid w:val="00442889"/>
    <w:rsid w:val="00442CA8"/>
    <w:rsid w:val="00442E9A"/>
    <w:rsid w:val="00442F52"/>
    <w:rsid w:val="00443E42"/>
    <w:rsid w:val="004442C1"/>
    <w:rsid w:val="00444336"/>
    <w:rsid w:val="00444C28"/>
    <w:rsid w:val="00444E0A"/>
    <w:rsid w:val="00445278"/>
    <w:rsid w:val="00445A3A"/>
    <w:rsid w:val="00445B09"/>
    <w:rsid w:val="00445FF5"/>
    <w:rsid w:val="0044616D"/>
    <w:rsid w:val="00446594"/>
    <w:rsid w:val="004466A1"/>
    <w:rsid w:val="00447555"/>
    <w:rsid w:val="00447665"/>
    <w:rsid w:val="00447884"/>
    <w:rsid w:val="00447A86"/>
    <w:rsid w:val="00447E17"/>
    <w:rsid w:val="0045025C"/>
    <w:rsid w:val="00450AB8"/>
    <w:rsid w:val="00450B3D"/>
    <w:rsid w:val="00450BCB"/>
    <w:rsid w:val="00450BFC"/>
    <w:rsid w:val="00450CC2"/>
    <w:rsid w:val="00451093"/>
    <w:rsid w:val="00451427"/>
    <w:rsid w:val="004518E1"/>
    <w:rsid w:val="004526B4"/>
    <w:rsid w:val="00452A7F"/>
    <w:rsid w:val="00452BA8"/>
    <w:rsid w:val="00452C78"/>
    <w:rsid w:val="004532FF"/>
    <w:rsid w:val="00453438"/>
    <w:rsid w:val="00453610"/>
    <w:rsid w:val="004538CB"/>
    <w:rsid w:val="00453D2E"/>
    <w:rsid w:val="00453DB6"/>
    <w:rsid w:val="00454165"/>
    <w:rsid w:val="0045480C"/>
    <w:rsid w:val="00454A83"/>
    <w:rsid w:val="00454D3B"/>
    <w:rsid w:val="00455A50"/>
    <w:rsid w:val="00455D51"/>
    <w:rsid w:val="00455EAA"/>
    <w:rsid w:val="004563ED"/>
    <w:rsid w:val="00456868"/>
    <w:rsid w:val="00456AC3"/>
    <w:rsid w:val="00456F55"/>
    <w:rsid w:val="004573B3"/>
    <w:rsid w:val="004573E6"/>
    <w:rsid w:val="004576A9"/>
    <w:rsid w:val="00457BDB"/>
    <w:rsid w:val="00457DE6"/>
    <w:rsid w:val="00460083"/>
    <w:rsid w:val="00460337"/>
    <w:rsid w:val="004603D7"/>
    <w:rsid w:val="004607C0"/>
    <w:rsid w:val="00460A01"/>
    <w:rsid w:val="00460CC7"/>
    <w:rsid w:val="0046136B"/>
    <w:rsid w:val="00461D51"/>
    <w:rsid w:val="00462033"/>
    <w:rsid w:val="004621CA"/>
    <w:rsid w:val="00462405"/>
    <w:rsid w:val="00462743"/>
    <w:rsid w:val="00462871"/>
    <w:rsid w:val="00462908"/>
    <w:rsid w:val="00462AB6"/>
    <w:rsid w:val="00462D87"/>
    <w:rsid w:val="00462F00"/>
    <w:rsid w:val="004631A6"/>
    <w:rsid w:val="00463FB6"/>
    <w:rsid w:val="00464346"/>
    <w:rsid w:val="00464361"/>
    <w:rsid w:val="00464ABC"/>
    <w:rsid w:val="00464EE2"/>
    <w:rsid w:val="00464FB7"/>
    <w:rsid w:val="00464FFF"/>
    <w:rsid w:val="004652C7"/>
    <w:rsid w:val="00465456"/>
    <w:rsid w:val="004654C5"/>
    <w:rsid w:val="00465929"/>
    <w:rsid w:val="00465C9B"/>
    <w:rsid w:val="0046623D"/>
    <w:rsid w:val="00466429"/>
    <w:rsid w:val="00466614"/>
    <w:rsid w:val="004666A7"/>
    <w:rsid w:val="00466D65"/>
    <w:rsid w:val="00466FBA"/>
    <w:rsid w:val="004670DD"/>
    <w:rsid w:val="00467564"/>
    <w:rsid w:val="0046776C"/>
    <w:rsid w:val="00470385"/>
    <w:rsid w:val="00470E13"/>
    <w:rsid w:val="00471164"/>
    <w:rsid w:val="00471609"/>
    <w:rsid w:val="00471F46"/>
    <w:rsid w:val="004723D6"/>
    <w:rsid w:val="004725ED"/>
    <w:rsid w:val="0047306C"/>
    <w:rsid w:val="004732D3"/>
    <w:rsid w:val="0047385B"/>
    <w:rsid w:val="00473905"/>
    <w:rsid w:val="004739B3"/>
    <w:rsid w:val="0047483F"/>
    <w:rsid w:val="00474954"/>
    <w:rsid w:val="00474DD0"/>
    <w:rsid w:val="00474EBA"/>
    <w:rsid w:val="0047545F"/>
    <w:rsid w:val="00475469"/>
    <w:rsid w:val="00475618"/>
    <w:rsid w:val="004757E2"/>
    <w:rsid w:val="00476005"/>
    <w:rsid w:val="00476043"/>
    <w:rsid w:val="00476052"/>
    <w:rsid w:val="00476458"/>
    <w:rsid w:val="00476BE9"/>
    <w:rsid w:val="00476E49"/>
    <w:rsid w:val="00477136"/>
    <w:rsid w:val="00477380"/>
    <w:rsid w:val="00477538"/>
    <w:rsid w:val="004777E1"/>
    <w:rsid w:val="00477917"/>
    <w:rsid w:val="00477BEC"/>
    <w:rsid w:val="00477C93"/>
    <w:rsid w:val="00477DB0"/>
    <w:rsid w:val="00480353"/>
    <w:rsid w:val="00480819"/>
    <w:rsid w:val="00480853"/>
    <w:rsid w:val="004808BA"/>
    <w:rsid w:val="00481104"/>
    <w:rsid w:val="0048199C"/>
    <w:rsid w:val="00481CC3"/>
    <w:rsid w:val="00482184"/>
    <w:rsid w:val="00482270"/>
    <w:rsid w:val="00482B8E"/>
    <w:rsid w:val="00483012"/>
    <w:rsid w:val="00483A1B"/>
    <w:rsid w:val="00483A66"/>
    <w:rsid w:val="00483B74"/>
    <w:rsid w:val="00483BD9"/>
    <w:rsid w:val="0048431B"/>
    <w:rsid w:val="0048474D"/>
    <w:rsid w:val="00484C45"/>
    <w:rsid w:val="00484D48"/>
    <w:rsid w:val="00484F3D"/>
    <w:rsid w:val="00484FC2"/>
    <w:rsid w:val="00485B95"/>
    <w:rsid w:val="00485F13"/>
    <w:rsid w:val="00486189"/>
    <w:rsid w:val="00486281"/>
    <w:rsid w:val="00486302"/>
    <w:rsid w:val="0048634D"/>
    <w:rsid w:val="0048647B"/>
    <w:rsid w:val="004867E2"/>
    <w:rsid w:val="0048697A"/>
    <w:rsid w:val="00486AEB"/>
    <w:rsid w:val="0048710B"/>
    <w:rsid w:val="004871AE"/>
    <w:rsid w:val="00487214"/>
    <w:rsid w:val="00487265"/>
    <w:rsid w:val="00487298"/>
    <w:rsid w:val="00487300"/>
    <w:rsid w:val="0048734E"/>
    <w:rsid w:val="00487762"/>
    <w:rsid w:val="00487792"/>
    <w:rsid w:val="00487848"/>
    <w:rsid w:val="00490428"/>
    <w:rsid w:val="0049051A"/>
    <w:rsid w:val="004906EE"/>
    <w:rsid w:val="00490931"/>
    <w:rsid w:val="00490F1C"/>
    <w:rsid w:val="00491759"/>
    <w:rsid w:val="00491F44"/>
    <w:rsid w:val="00492416"/>
    <w:rsid w:val="004924F0"/>
    <w:rsid w:val="004926B2"/>
    <w:rsid w:val="00492911"/>
    <w:rsid w:val="00492C68"/>
    <w:rsid w:val="00493169"/>
    <w:rsid w:val="004931C6"/>
    <w:rsid w:val="004931F4"/>
    <w:rsid w:val="00494757"/>
    <w:rsid w:val="004949D3"/>
    <w:rsid w:val="00494CB0"/>
    <w:rsid w:val="004953EB"/>
    <w:rsid w:val="0049557E"/>
    <w:rsid w:val="004957A8"/>
    <w:rsid w:val="00495C25"/>
    <w:rsid w:val="00495F21"/>
    <w:rsid w:val="00495FD4"/>
    <w:rsid w:val="00496265"/>
    <w:rsid w:val="0049649D"/>
    <w:rsid w:val="0049663A"/>
    <w:rsid w:val="00496771"/>
    <w:rsid w:val="0049678E"/>
    <w:rsid w:val="0049688D"/>
    <w:rsid w:val="00496AFB"/>
    <w:rsid w:val="00496B1E"/>
    <w:rsid w:val="00496F84"/>
    <w:rsid w:val="00497097"/>
    <w:rsid w:val="004972CF"/>
    <w:rsid w:val="00497862"/>
    <w:rsid w:val="00497C69"/>
    <w:rsid w:val="00497C73"/>
    <w:rsid w:val="004A045E"/>
    <w:rsid w:val="004A10E6"/>
    <w:rsid w:val="004A11B7"/>
    <w:rsid w:val="004A1971"/>
    <w:rsid w:val="004A1A86"/>
    <w:rsid w:val="004A2244"/>
    <w:rsid w:val="004A22C4"/>
    <w:rsid w:val="004A2414"/>
    <w:rsid w:val="004A2485"/>
    <w:rsid w:val="004A2EC9"/>
    <w:rsid w:val="004A3596"/>
    <w:rsid w:val="004A36E5"/>
    <w:rsid w:val="004A3902"/>
    <w:rsid w:val="004A45E8"/>
    <w:rsid w:val="004A4F42"/>
    <w:rsid w:val="004A5001"/>
    <w:rsid w:val="004A5C35"/>
    <w:rsid w:val="004A6008"/>
    <w:rsid w:val="004A61C8"/>
    <w:rsid w:val="004A6293"/>
    <w:rsid w:val="004A6CED"/>
    <w:rsid w:val="004A6D84"/>
    <w:rsid w:val="004A7086"/>
    <w:rsid w:val="004A7103"/>
    <w:rsid w:val="004A74E7"/>
    <w:rsid w:val="004A7B8C"/>
    <w:rsid w:val="004B0488"/>
    <w:rsid w:val="004B0982"/>
    <w:rsid w:val="004B130B"/>
    <w:rsid w:val="004B1814"/>
    <w:rsid w:val="004B296E"/>
    <w:rsid w:val="004B2A26"/>
    <w:rsid w:val="004B2DA1"/>
    <w:rsid w:val="004B2F11"/>
    <w:rsid w:val="004B428F"/>
    <w:rsid w:val="004B43E4"/>
    <w:rsid w:val="004B4B8F"/>
    <w:rsid w:val="004B5030"/>
    <w:rsid w:val="004B52BF"/>
    <w:rsid w:val="004B5388"/>
    <w:rsid w:val="004B5A79"/>
    <w:rsid w:val="004B5C4D"/>
    <w:rsid w:val="004B5FD0"/>
    <w:rsid w:val="004B62B8"/>
    <w:rsid w:val="004B6B9E"/>
    <w:rsid w:val="004B6C4C"/>
    <w:rsid w:val="004B6DC0"/>
    <w:rsid w:val="004B6FFF"/>
    <w:rsid w:val="004B789C"/>
    <w:rsid w:val="004B7D3E"/>
    <w:rsid w:val="004B7D49"/>
    <w:rsid w:val="004B7ED7"/>
    <w:rsid w:val="004C000A"/>
    <w:rsid w:val="004C079C"/>
    <w:rsid w:val="004C0807"/>
    <w:rsid w:val="004C0F49"/>
    <w:rsid w:val="004C1084"/>
    <w:rsid w:val="004C10D5"/>
    <w:rsid w:val="004C1217"/>
    <w:rsid w:val="004C17A3"/>
    <w:rsid w:val="004C1801"/>
    <w:rsid w:val="004C1BC1"/>
    <w:rsid w:val="004C1CF1"/>
    <w:rsid w:val="004C1D2B"/>
    <w:rsid w:val="004C300C"/>
    <w:rsid w:val="004C3703"/>
    <w:rsid w:val="004C37F4"/>
    <w:rsid w:val="004C3AD7"/>
    <w:rsid w:val="004C4910"/>
    <w:rsid w:val="004C4B88"/>
    <w:rsid w:val="004C4DEE"/>
    <w:rsid w:val="004C525F"/>
    <w:rsid w:val="004C56CA"/>
    <w:rsid w:val="004C64F4"/>
    <w:rsid w:val="004C65C3"/>
    <w:rsid w:val="004C6987"/>
    <w:rsid w:val="004C6AA9"/>
    <w:rsid w:val="004C6F3D"/>
    <w:rsid w:val="004C7449"/>
    <w:rsid w:val="004C797A"/>
    <w:rsid w:val="004C7F85"/>
    <w:rsid w:val="004D04E7"/>
    <w:rsid w:val="004D0F0D"/>
    <w:rsid w:val="004D109A"/>
    <w:rsid w:val="004D11B5"/>
    <w:rsid w:val="004D1541"/>
    <w:rsid w:val="004D1725"/>
    <w:rsid w:val="004D1B49"/>
    <w:rsid w:val="004D1D5F"/>
    <w:rsid w:val="004D1F05"/>
    <w:rsid w:val="004D20F8"/>
    <w:rsid w:val="004D245F"/>
    <w:rsid w:val="004D2715"/>
    <w:rsid w:val="004D2D79"/>
    <w:rsid w:val="004D3C05"/>
    <w:rsid w:val="004D3E7C"/>
    <w:rsid w:val="004D3F92"/>
    <w:rsid w:val="004D41D4"/>
    <w:rsid w:val="004D4AAB"/>
    <w:rsid w:val="004D53A2"/>
    <w:rsid w:val="004D53C5"/>
    <w:rsid w:val="004D55C1"/>
    <w:rsid w:val="004D5871"/>
    <w:rsid w:val="004D5A67"/>
    <w:rsid w:val="004D5C54"/>
    <w:rsid w:val="004D5FCE"/>
    <w:rsid w:val="004D6274"/>
    <w:rsid w:val="004D62CD"/>
    <w:rsid w:val="004D68B2"/>
    <w:rsid w:val="004D69BC"/>
    <w:rsid w:val="004D6F02"/>
    <w:rsid w:val="004D7293"/>
    <w:rsid w:val="004D7DDB"/>
    <w:rsid w:val="004D7EDB"/>
    <w:rsid w:val="004E0669"/>
    <w:rsid w:val="004E0AF0"/>
    <w:rsid w:val="004E1202"/>
    <w:rsid w:val="004E159D"/>
    <w:rsid w:val="004E18BC"/>
    <w:rsid w:val="004E24DC"/>
    <w:rsid w:val="004E2E41"/>
    <w:rsid w:val="004E3800"/>
    <w:rsid w:val="004E38E7"/>
    <w:rsid w:val="004E3E67"/>
    <w:rsid w:val="004E43B7"/>
    <w:rsid w:val="004E43EF"/>
    <w:rsid w:val="004E50C4"/>
    <w:rsid w:val="004E5383"/>
    <w:rsid w:val="004E5B97"/>
    <w:rsid w:val="004E6060"/>
    <w:rsid w:val="004E608C"/>
    <w:rsid w:val="004E65A8"/>
    <w:rsid w:val="004E6B51"/>
    <w:rsid w:val="004E6DA0"/>
    <w:rsid w:val="004E6FA5"/>
    <w:rsid w:val="004E70D2"/>
    <w:rsid w:val="004E71DE"/>
    <w:rsid w:val="004E727A"/>
    <w:rsid w:val="004E7393"/>
    <w:rsid w:val="004E7704"/>
    <w:rsid w:val="004E780A"/>
    <w:rsid w:val="004E7F2C"/>
    <w:rsid w:val="004F01E9"/>
    <w:rsid w:val="004F08AF"/>
    <w:rsid w:val="004F0914"/>
    <w:rsid w:val="004F0932"/>
    <w:rsid w:val="004F0FF0"/>
    <w:rsid w:val="004F104D"/>
    <w:rsid w:val="004F1214"/>
    <w:rsid w:val="004F2306"/>
    <w:rsid w:val="004F283F"/>
    <w:rsid w:val="004F289A"/>
    <w:rsid w:val="004F2BE3"/>
    <w:rsid w:val="004F2D09"/>
    <w:rsid w:val="004F353D"/>
    <w:rsid w:val="004F3AB5"/>
    <w:rsid w:val="004F3BD7"/>
    <w:rsid w:val="004F3C4C"/>
    <w:rsid w:val="004F3D76"/>
    <w:rsid w:val="004F3FE6"/>
    <w:rsid w:val="004F40CB"/>
    <w:rsid w:val="004F4271"/>
    <w:rsid w:val="004F4629"/>
    <w:rsid w:val="004F4648"/>
    <w:rsid w:val="004F491C"/>
    <w:rsid w:val="004F4CCD"/>
    <w:rsid w:val="004F54A5"/>
    <w:rsid w:val="004F5514"/>
    <w:rsid w:val="004F569D"/>
    <w:rsid w:val="004F56CC"/>
    <w:rsid w:val="004F5A13"/>
    <w:rsid w:val="004F5DED"/>
    <w:rsid w:val="004F65F4"/>
    <w:rsid w:val="004F6F41"/>
    <w:rsid w:val="004F7479"/>
    <w:rsid w:val="004F7B4B"/>
    <w:rsid w:val="004F7C24"/>
    <w:rsid w:val="004F7D59"/>
    <w:rsid w:val="004F7E59"/>
    <w:rsid w:val="00500060"/>
    <w:rsid w:val="005000B8"/>
    <w:rsid w:val="00500690"/>
    <w:rsid w:val="005018F7"/>
    <w:rsid w:val="00501A84"/>
    <w:rsid w:val="00501B3D"/>
    <w:rsid w:val="00501BC5"/>
    <w:rsid w:val="00502934"/>
    <w:rsid w:val="005029C4"/>
    <w:rsid w:val="00502F31"/>
    <w:rsid w:val="00503166"/>
    <w:rsid w:val="00503726"/>
    <w:rsid w:val="00503BBA"/>
    <w:rsid w:val="00503BC3"/>
    <w:rsid w:val="005041D2"/>
    <w:rsid w:val="00504784"/>
    <w:rsid w:val="00504912"/>
    <w:rsid w:val="0050661B"/>
    <w:rsid w:val="00506C0E"/>
    <w:rsid w:val="00506FAF"/>
    <w:rsid w:val="0050707C"/>
    <w:rsid w:val="005078C6"/>
    <w:rsid w:val="00507C12"/>
    <w:rsid w:val="0051005F"/>
    <w:rsid w:val="005100EA"/>
    <w:rsid w:val="00510C23"/>
    <w:rsid w:val="00510E84"/>
    <w:rsid w:val="005110C1"/>
    <w:rsid w:val="005114A0"/>
    <w:rsid w:val="0051162C"/>
    <w:rsid w:val="00512296"/>
    <w:rsid w:val="005122F4"/>
    <w:rsid w:val="0051265A"/>
    <w:rsid w:val="00512A5A"/>
    <w:rsid w:val="005130D2"/>
    <w:rsid w:val="00513164"/>
    <w:rsid w:val="005135B0"/>
    <w:rsid w:val="00513885"/>
    <w:rsid w:val="005139D1"/>
    <w:rsid w:val="00513A8A"/>
    <w:rsid w:val="0051444D"/>
    <w:rsid w:val="005148F1"/>
    <w:rsid w:val="00514C8E"/>
    <w:rsid w:val="00515D24"/>
    <w:rsid w:val="0051670C"/>
    <w:rsid w:val="00516756"/>
    <w:rsid w:val="005167AA"/>
    <w:rsid w:val="00516FCD"/>
    <w:rsid w:val="005170F5"/>
    <w:rsid w:val="00517453"/>
    <w:rsid w:val="005174F3"/>
    <w:rsid w:val="00517FD0"/>
    <w:rsid w:val="005203D2"/>
    <w:rsid w:val="005205AF"/>
    <w:rsid w:val="005208B6"/>
    <w:rsid w:val="00520A4A"/>
    <w:rsid w:val="00520CD5"/>
    <w:rsid w:val="00520DF1"/>
    <w:rsid w:val="00521298"/>
    <w:rsid w:val="00521689"/>
    <w:rsid w:val="0052243C"/>
    <w:rsid w:val="005227EF"/>
    <w:rsid w:val="00522ED0"/>
    <w:rsid w:val="005235E3"/>
    <w:rsid w:val="00523D55"/>
    <w:rsid w:val="00523FFB"/>
    <w:rsid w:val="00524C63"/>
    <w:rsid w:val="00525A63"/>
    <w:rsid w:val="00526DBF"/>
    <w:rsid w:val="00527064"/>
    <w:rsid w:val="005270E5"/>
    <w:rsid w:val="0052787D"/>
    <w:rsid w:val="00527A08"/>
    <w:rsid w:val="00527A27"/>
    <w:rsid w:val="00527C57"/>
    <w:rsid w:val="0053012F"/>
    <w:rsid w:val="005307D6"/>
    <w:rsid w:val="00530A2A"/>
    <w:rsid w:val="00530C82"/>
    <w:rsid w:val="005314F6"/>
    <w:rsid w:val="005316F7"/>
    <w:rsid w:val="00531A0A"/>
    <w:rsid w:val="00531ACC"/>
    <w:rsid w:val="00531C14"/>
    <w:rsid w:val="005327E2"/>
    <w:rsid w:val="00533026"/>
    <w:rsid w:val="0053310D"/>
    <w:rsid w:val="00533350"/>
    <w:rsid w:val="005336B2"/>
    <w:rsid w:val="00533888"/>
    <w:rsid w:val="00533A3A"/>
    <w:rsid w:val="00533BF1"/>
    <w:rsid w:val="00533DF8"/>
    <w:rsid w:val="00533FD2"/>
    <w:rsid w:val="00533FFC"/>
    <w:rsid w:val="00534007"/>
    <w:rsid w:val="00534221"/>
    <w:rsid w:val="0053433A"/>
    <w:rsid w:val="00534773"/>
    <w:rsid w:val="00535040"/>
    <w:rsid w:val="0053518B"/>
    <w:rsid w:val="00535530"/>
    <w:rsid w:val="00535699"/>
    <w:rsid w:val="005356A1"/>
    <w:rsid w:val="00535AFB"/>
    <w:rsid w:val="00535B03"/>
    <w:rsid w:val="00535C05"/>
    <w:rsid w:val="00535CC1"/>
    <w:rsid w:val="00535D18"/>
    <w:rsid w:val="00535F25"/>
    <w:rsid w:val="00535FDB"/>
    <w:rsid w:val="005363A0"/>
    <w:rsid w:val="00536C0D"/>
    <w:rsid w:val="00536EBC"/>
    <w:rsid w:val="00537395"/>
    <w:rsid w:val="00540110"/>
    <w:rsid w:val="00540BF2"/>
    <w:rsid w:val="00540E97"/>
    <w:rsid w:val="005416A4"/>
    <w:rsid w:val="0054177F"/>
    <w:rsid w:val="00541B2F"/>
    <w:rsid w:val="00542FFC"/>
    <w:rsid w:val="00543159"/>
    <w:rsid w:val="00543221"/>
    <w:rsid w:val="00543EA7"/>
    <w:rsid w:val="005442C3"/>
    <w:rsid w:val="0054433F"/>
    <w:rsid w:val="00544575"/>
    <w:rsid w:val="005445A3"/>
    <w:rsid w:val="00544986"/>
    <w:rsid w:val="00544B5F"/>
    <w:rsid w:val="00544C57"/>
    <w:rsid w:val="00544DC1"/>
    <w:rsid w:val="00544F95"/>
    <w:rsid w:val="00545133"/>
    <w:rsid w:val="005451C7"/>
    <w:rsid w:val="005451D9"/>
    <w:rsid w:val="0054526F"/>
    <w:rsid w:val="00545BBF"/>
    <w:rsid w:val="0054601A"/>
    <w:rsid w:val="005460A4"/>
    <w:rsid w:val="0054612E"/>
    <w:rsid w:val="00546F6A"/>
    <w:rsid w:val="0054715A"/>
    <w:rsid w:val="00547C94"/>
    <w:rsid w:val="005507E5"/>
    <w:rsid w:val="0055141E"/>
    <w:rsid w:val="00551444"/>
    <w:rsid w:val="00551927"/>
    <w:rsid w:val="005524CE"/>
    <w:rsid w:val="005524F8"/>
    <w:rsid w:val="00552794"/>
    <w:rsid w:val="00552915"/>
    <w:rsid w:val="00552CDE"/>
    <w:rsid w:val="00552EDF"/>
    <w:rsid w:val="00553BB9"/>
    <w:rsid w:val="00553EA2"/>
    <w:rsid w:val="00554B78"/>
    <w:rsid w:val="00554F1F"/>
    <w:rsid w:val="00554FEC"/>
    <w:rsid w:val="00555295"/>
    <w:rsid w:val="00555315"/>
    <w:rsid w:val="005554BB"/>
    <w:rsid w:val="005555FF"/>
    <w:rsid w:val="00555710"/>
    <w:rsid w:val="00556C8A"/>
    <w:rsid w:val="00556E93"/>
    <w:rsid w:val="00556FDE"/>
    <w:rsid w:val="00557261"/>
    <w:rsid w:val="005576B3"/>
    <w:rsid w:val="00557AE0"/>
    <w:rsid w:val="00557E22"/>
    <w:rsid w:val="005603A8"/>
    <w:rsid w:val="005609A3"/>
    <w:rsid w:val="00560C19"/>
    <w:rsid w:val="00560CBD"/>
    <w:rsid w:val="00560E08"/>
    <w:rsid w:val="00560E12"/>
    <w:rsid w:val="00560EB8"/>
    <w:rsid w:val="00561118"/>
    <w:rsid w:val="005616E4"/>
    <w:rsid w:val="00561ADD"/>
    <w:rsid w:val="00561F11"/>
    <w:rsid w:val="00562305"/>
    <w:rsid w:val="005623F7"/>
    <w:rsid w:val="005627A9"/>
    <w:rsid w:val="00562976"/>
    <w:rsid w:val="00563089"/>
    <w:rsid w:val="005645DF"/>
    <w:rsid w:val="005647D1"/>
    <w:rsid w:val="00564DB3"/>
    <w:rsid w:val="005654B9"/>
    <w:rsid w:val="0056609D"/>
    <w:rsid w:val="00566597"/>
    <w:rsid w:val="00566D33"/>
    <w:rsid w:val="00566FDD"/>
    <w:rsid w:val="005673D1"/>
    <w:rsid w:val="00567569"/>
    <w:rsid w:val="005675BD"/>
    <w:rsid w:val="005678AA"/>
    <w:rsid w:val="00567CE5"/>
    <w:rsid w:val="00570164"/>
    <w:rsid w:val="00570488"/>
    <w:rsid w:val="005704F5"/>
    <w:rsid w:val="00570A8A"/>
    <w:rsid w:val="00570AD8"/>
    <w:rsid w:val="00570B5D"/>
    <w:rsid w:val="00571096"/>
    <w:rsid w:val="00571302"/>
    <w:rsid w:val="00571522"/>
    <w:rsid w:val="00571658"/>
    <w:rsid w:val="00571A48"/>
    <w:rsid w:val="00571EFD"/>
    <w:rsid w:val="00572429"/>
    <w:rsid w:val="005725AA"/>
    <w:rsid w:val="00572B25"/>
    <w:rsid w:val="00572EDB"/>
    <w:rsid w:val="0057338E"/>
    <w:rsid w:val="00573886"/>
    <w:rsid w:val="00573E43"/>
    <w:rsid w:val="00573EFF"/>
    <w:rsid w:val="00573FE3"/>
    <w:rsid w:val="00574183"/>
    <w:rsid w:val="005741C7"/>
    <w:rsid w:val="005742F0"/>
    <w:rsid w:val="00574923"/>
    <w:rsid w:val="00574A82"/>
    <w:rsid w:val="00574FAF"/>
    <w:rsid w:val="005754F7"/>
    <w:rsid w:val="005758A7"/>
    <w:rsid w:val="00575BA5"/>
    <w:rsid w:val="00576104"/>
    <w:rsid w:val="005762A9"/>
    <w:rsid w:val="00576628"/>
    <w:rsid w:val="0057665E"/>
    <w:rsid w:val="00576BA4"/>
    <w:rsid w:val="00577093"/>
    <w:rsid w:val="0057756E"/>
    <w:rsid w:val="0057779C"/>
    <w:rsid w:val="0057788C"/>
    <w:rsid w:val="00577A21"/>
    <w:rsid w:val="005801ED"/>
    <w:rsid w:val="00580633"/>
    <w:rsid w:val="00580AF8"/>
    <w:rsid w:val="00580CD1"/>
    <w:rsid w:val="00581272"/>
    <w:rsid w:val="005813BC"/>
    <w:rsid w:val="00581613"/>
    <w:rsid w:val="00581C36"/>
    <w:rsid w:val="00581CFD"/>
    <w:rsid w:val="00582135"/>
    <w:rsid w:val="005828B6"/>
    <w:rsid w:val="0058330B"/>
    <w:rsid w:val="00583427"/>
    <w:rsid w:val="005837C6"/>
    <w:rsid w:val="00583A79"/>
    <w:rsid w:val="00584257"/>
    <w:rsid w:val="005843C6"/>
    <w:rsid w:val="00584570"/>
    <w:rsid w:val="00584AE0"/>
    <w:rsid w:val="00585675"/>
    <w:rsid w:val="00585B7F"/>
    <w:rsid w:val="00585CBA"/>
    <w:rsid w:val="00586190"/>
    <w:rsid w:val="00586308"/>
    <w:rsid w:val="0058648F"/>
    <w:rsid w:val="0058651C"/>
    <w:rsid w:val="00586E7C"/>
    <w:rsid w:val="00587EFB"/>
    <w:rsid w:val="005901E1"/>
    <w:rsid w:val="005907D9"/>
    <w:rsid w:val="0059087A"/>
    <w:rsid w:val="00590F06"/>
    <w:rsid w:val="005910EA"/>
    <w:rsid w:val="005913B3"/>
    <w:rsid w:val="00591487"/>
    <w:rsid w:val="005916A0"/>
    <w:rsid w:val="00591B1A"/>
    <w:rsid w:val="005922A2"/>
    <w:rsid w:val="005923E3"/>
    <w:rsid w:val="00593371"/>
    <w:rsid w:val="005939A0"/>
    <w:rsid w:val="00593F94"/>
    <w:rsid w:val="005947BF"/>
    <w:rsid w:val="005947E2"/>
    <w:rsid w:val="0059498D"/>
    <w:rsid w:val="00595763"/>
    <w:rsid w:val="005959CF"/>
    <w:rsid w:val="00595A6D"/>
    <w:rsid w:val="00595F4B"/>
    <w:rsid w:val="00595FAD"/>
    <w:rsid w:val="005969D6"/>
    <w:rsid w:val="00596C8F"/>
    <w:rsid w:val="005970AE"/>
    <w:rsid w:val="00597253"/>
    <w:rsid w:val="00597D0A"/>
    <w:rsid w:val="005A0031"/>
    <w:rsid w:val="005A0624"/>
    <w:rsid w:val="005A06F4"/>
    <w:rsid w:val="005A091E"/>
    <w:rsid w:val="005A1407"/>
    <w:rsid w:val="005A143C"/>
    <w:rsid w:val="005A1473"/>
    <w:rsid w:val="005A1501"/>
    <w:rsid w:val="005A1C78"/>
    <w:rsid w:val="005A1D22"/>
    <w:rsid w:val="005A1FB8"/>
    <w:rsid w:val="005A2127"/>
    <w:rsid w:val="005A2137"/>
    <w:rsid w:val="005A24F9"/>
    <w:rsid w:val="005A2A60"/>
    <w:rsid w:val="005A2A6A"/>
    <w:rsid w:val="005A2C66"/>
    <w:rsid w:val="005A2F68"/>
    <w:rsid w:val="005A2FA6"/>
    <w:rsid w:val="005A3486"/>
    <w:rsid w:val="005A403A"/>
    <w:rsid w:val="005A414C"/>
    <w:rsid w:val="005A41CE"/>
    <w:rsid w:val="005A489A"/>
    <w:rsid w:val="005A4B76"/>
    <w:rsid w:val="005A5215"/>
    <w:rsid w:val="005A5303"/>
    <w:rsid w:val="005A546E"/>
    <w:rsid w:val="005A579D"/>
    <w:rsid w:val="005A66EC"/>
    <w:rsid w:val="005A6A0B"/>
    <w:rsid w:val="005A6BB0"/>
    <w:rsid w:val="005A6D29"/>
    <w:rsid w:val="005A70FB"/>
    <w:rsid w:val="005A73CE"/>
    <w:rsid w:val="005A745F"/>
    <w:rsid w:val="005A7A94"/>
    <w:rsid w:val="005A7D36"/>
    <w:rsid w:val="005A7D82"/>
    <w:rsid w:val="005A7E95"/>
    <w:rsid w:val="005B0030"/>
    <w:rsid w:val="005B07E1"/>
    <w:rsid w:val="005B0906"/>
    <w:rsid w:val="005B1695"/>
    <w:rsid w:val="005B1AA7"/>
    <w:rsid w:val="005B2343"/>
    <w:rsid w:val="005B2425"/>
    <w:rsid w:val="005B2876"/>
    <w:rsid w:val="005B2DFF"/>
    <w:rsid w:val="005B3758"/>
    <w:rsid w:val="005B37FE"/>
    <w:rsid w:val="005B3970"/>
    <w:rsid w:val="005B3A91"/>
    <w:rsid w:val="005B3BA7"/>
    <w:rsid w:val="005B3DB1"/>
    <w:rsid w:val="005B40EC"/>
    <w:rsid w:val="005B50B3"/>
    <w:rsid w:val="005B50E4"/>
    <w:rsid w:val="005B5392"/>
    <w:rsid w:val="005B583B"/>
    <w:rsid w:val="005B5880"/>
    <w:rsid w:val="005B594D"/>
    <w:rsid w:val="005B5B1A"/>
    <w:rsid w:val="005B5C49"/>
    <w:rsid w:val="005B6CA0"/>
    <w:rsid w:val="005B731C"/>
    <w:rsid w:val="005B73C5"/>
    <w:rsid w:val="005B7C63"/>
    <w:rsid w:val="005C005C"/>
    <w:rsid w:val="005C053B"/>
    <w:rsid w:val="005C0AF7"/>
    <w:rsid w:val="005C0F9C"/>
    <w:rsid w:val="005C0FFC"/>
    <w:rsid w:val="005C101A"/>
    <w:rsid w:val="005C1159"/>
    <w:rsid w:val="005C1445"/>
    <w:rsid w:val="005C1956"/>
    <w:rsid w:val="005C19CA"/>
    <w:rsid w:val="005C1C4E"/>
    <w:rsid w:val="005C246E"/>
    <w:rsid w:val="005C29B3"/>
    <w:rsid w:val="005C3078"/>
    <w:rsid w:val="005C3261"/>
    <w:rsid w:val="005C3997"/>
    <w:rsid w:val="005C3C94"/>
    <w:rsid w:val="005C3FAD"/>
    <w:rsid w:val="005C47C9"/>
    <w:rsid w:val="005C47F1"/>
    <w:rsid w:val="005C4F24"/>
    <w:rsid w:val="005C53D4"/>
    <w:rsid w:val="005C5515"/>
    <w:rsid w:val="005C56F6"/>
    <w:rsid w:val="005C574F"/>
    <w:rsid w:val="005C5A04"/>
    <w:rsid w:val="005C5AFF"/>
    <w:rsid w:val="005C5C62"/>
    <w:rsid w:val="005C5E44"/>
    <w:rsid w:val="005C6368"/>
    <w:rsid w:val="005C67FB"/>
    <w:rsid w:val="005C6DDA"/>
    <w:rsid w:val="005C71E5"/>
    <w:rsid w:val="005D0359"/>
    <w:rsid w:val="005D0D47"/>
    <w:rsid w:val="005D134E"/>
    <w:rsid w:val="005D1A63"/>
    <w:rsid w:val="005D28AD"/>
    <w:rsid w:val="005D2BC0"/>
    <w:rsid w:val="005D2C61"/>
    <w:rsid w:val="005D2FEF"/>
    <w:rsid w:val="005D3952"/>
    <w:rsid w:val="005D3F82"/>
    <w:rsid w:val="005D45E4"/>
    <w:rsid w:val="005D49AF"/>
    <w:rsid w:val="005D49E3"/>
    <w:rsid w:val="005D4C1C"/>
    <w:rsid w:val="005D5071"/>
    <w:rsid w:val="005D5166"/>
    <w:rsid w:val="005D58B1"/>
    <w:rsid w:val="005D59A0"/>
    <w:rsid w:val="005D5A61"/>
    <w:rsid w:val="005D61CD"/>
    <w:rsid w:val="005D6810"/>
    <w:rsid w:val="005D6824"/>
    <w:rsid w:val="005D689D"/>
    <w:rsid w:val="005D6A02"/>
    <w:rsid w:val="005D6B52"/>
    <w:rsid w:val="005D7326"/>
    <w:rsid w:val="005D7395"/>
    <w:rsid w:val="005D7643"/>
    <w:rsid w:val="005D78FF"/>
    <w:rsid w:val="005D7E9F"/>
    <w:rsid w:val="005E0155"/>
    <w:rsid w:val="005E07FC"/>
    <w:rsid w:val="005E0B3E"/>
    <w:rsid w:val="005E0EB2"/>
    <w:rsid w:val="005E11B3"/>
    <w:rsid w:val="005E12BC"/>
    <w:rsid w:val="005E19B4"/>
    <w:rsid w:val="005E1D76"/>
    <w:rsid w:val="005E2084"/>
    <w:rsid w:val="005E23C6"/>
    <w:rsid w:val="005E2402"/>
    <w:rsid w:val="005E2529"/>
    <w:rsid w:val="005E2883"/>
    <w:rsid w:val="005E2BFA"/>
    <w:rsid w:val="005E2F65"/>
    <w:rsid w:val="005E313D"/>
    <w:rsid w:val="005E3236"/>
    <w:rsid w:val="005E3433"/>
    <w:rsid w:val="005E3A3E"/>
    <w:rsid w:val="005E3D1D"/>
    <w:rsid w:val="005E3F8F"/>
    <w:rsid w:val="005E4104"/>
    <w:rsid w:val="005E4403"/>
    <w:rsid w:val="005E49A8"/>
    <w:rsid w:val="005E4A0D"/>
    <w:rsid w:val="005E4C4D"/>
    <w:rsid w:val="005E4CA0"/>
    <w:rsid w:val="005E4DD1"/>
    <w:rsid w:val="005E4E6E"/>
    <w:rsid w:val="005E4EEF"/>
    <w:rsid w:val="005E51E5"/>
    <w:rsid w:val="005E549C"/>
    <w:rsid w:val="005E5B8E"/>
    <w:rsid w:val="005E5E71"/>
    <w:rsid w:val="005E660F"/>
    <w:rsid w:val="005E6DDD"/>
    <w:rsid w:val="005E7437"/>
    <w:rsid w:val="005E7549"/>
    <w:rsid w:val="005E7556"/>
    <w:rsid w:val="005E7A4B"/>
    <w:rsid w:val="005F00A0"/>
    <w:rsid w:val="005F05B8"/>
    <w:rsid w:val="005F0773"/>
    <w:rsid w:val="005F077D"/>
    <w:rsid w:val="005F0962"/>
    <w:rsid w:val="005F0C9A"/>
    <w:rsid w:val="005F0E92"/>
    <w:rsid w:val="005F110A"/>
    <w:rsid w:val="005F150C"/>
    <w:rsid w:val="005F1558"/>
    <w:rsid w:val="005F16B5"/>
    <w:rsid w:val="005F1DB0"/>
    <w:rsid w:val="005F1FBE"/>
    <w:rsid w:val="005F1FE5"/>
    <w:rsid w:val="005F2CE7"/>
    <w:rsid w:val="005F3214"/>
    <w:rsid w:val="005F3867"/>
    <w:rsid w:val="005F3B57"/>
    <w:rsid w:val="005F43DA"/>
    <w:rsid w:val="005F49EF"/>
    <w:rsid w:val="005F4E8F"/>
    <w:rsid w:val="005F4EA6"/>
    <w:rsid w:val="005F4EC7"/>
    <w:rsid w:val="005F4EF7"/>
    <w:rsid w:val="005F5D88"/>
    <w:rsid w:val="005F62C3"/>
    <w:rsid w:val="005F6588"/>
    <w:rsid w:val="005F66BF"/>
    <w:rsid w:val="005F6847"/>
    <w:rsid w:val="005F6A33"/>
    <w:rsid w:val="005F78CA"/>
    <w:rsid w:val="005F7C12"/>
    <w:rsid w:val="005F7DB5"/>
    <w:rsid w:val="0060001D"/>
    <w:rsid w:val="006008D0"/>
    <w:rsid w:val="00600A9A"/>
    <w:rsid w:val="00601096"/>
    <w:rsid w:val="006013B9"/>
    <w:rsid w:val="0060154D"/>
    <w:rsid w:val="00601E60"/>
    <w:rsid w:val="00601ECF"/>
    <w:rsid w:val="00601EFB"/>
    <w:rsid w:val="00601FF8"/>
    <w:rsid w:val="006029BA"/>
    <w:rsid w:val="00603067"/>
    <w:rsid w:val="006031F0"/>
    <w:rsid w:val="00603681"/>
    <w:rsid w:val="00603956"/>
    <w:rsid w:val="00603CC4"/>
    <w:rsid w:val="00604A31"/>
    <w:rsid w:val="00604BC6"/>
    <w:rsid w:val="00604FD2"/>
    <w:rsid w:val="00605177"/>
    <w:rsid w:val="006052B4"/>
    <w:rsid w:val="00605A8A"/>
    <w:rsid w:val="00605B08"/>
    <w:rsid w:val="00605B37"/>
    <w:rsid w:val="00605B4D"/>
    <w:rsid w:val="00605E33"/>
    <w:rsid w:val="00605EC6"/>
    <w:rsid w:val="00605FA4"/>
    <w:rsid w:val="006060CB"/>
    <w:rsid w:val="00606227"/>
    <w:rsid w:val="006068EC"/>
    <w:rsid w:val="00607304"/>
    <w:rsid w:val="006079FF"/>
    <w:rsid w:val="00607AF4"/>
    <w:rsid w:val="00610015"/>
    <w:rsid w:val="006103BD"/>
    <w:rsid w:val="00610D7E"/>
    <w:rsid w:val="00610D8D"/>
    <w:rsid w:val="006112BB"/>
    <w:rsid w:val="00611540"/>
    <w:rsid w:val="0061236B"/>
    <w:rsid w:val="0061240E"/>
    <w:rsid w:val="006129FF"/>
    <w:rsid w:val="00612A04"/>
    <w:rsid w:val="00613BF0"/>
    <w:rsid w:val="00614167"/>
    <w:rsid w:val="006142FC"/>
    <w:rsid w:val="0061496E"/>
    <w:rsid w:val="00614998"/>
    <w:rsid w:val="00614EBB"/>
    <w:rsid w:val="00615700"/>
    <w:rsid w:val="006158BC"/>
    <w:rsid w:val="006158DB"/>
    <w:rsid w:val="00615915"/>
    <w:rsid w:val="00615A1F"/>
    <w:rsid w:val="00615A47"/>
    <w:rsid w:val="0061675C"/>
    <w:rsid w:val="00616C6E"/>
    <w:rsid w:val="00616E49"/>
    <w:rsid w:val="00616EF1"/>
    <w:rsid w:val="00616FA6"/>
    <w:rsid w:val="006172A5"/>
    <w:rsid w:val="006202D7"/>
    <w:rsid w:val="006204BE"/>
    <w:rsid w:val="0062069A"/>
    <w:rsid w:val="0062080C"/>
    <w:rsid w:val="00620B11"/>
    <w:rsid w:val="00620D94"/>
    <w:rsid w:val="00620FB3"/>
    <w:rsid w:val="00620FCC"/>
    <w:rsid w:val="00621103"/>
    <w:rsid w:val="006215C9"/>
    <w:rsid w:val="00621730"/>
    <w:rsid w:val="006217B3"/>
    <w:rsid w:val="00621B0A"/>
    <w:rsid w:val="00621F93"/>
    <w:rsid w:val="00622357"/>
    <w:rsid w:val="00622B68"/>
    <w:rsid w:val="006235C1"/>
    <w:rsid w:val="00623B43"/>
    <w:rsid w:val="00623B54"/>
    <w:rsid w:val="00623C2F"/>
    <w:rsid w:val="00623CDF"/>
    <w:rsid w:val="00623D72"/>
    <w:rsid w:val="006249FC"/>
    <w:rsid w:val="00624D0D"/>
    <w:rsid w:val="006252C3"/>
    <w:rsid w:val="00625354"/>
    <w:rsid w:val="0062564A"/>
    <w:rsid w:val="006257DE"/>
    <w:rsid w:val="006259E0"/>
    <w:rsid w:val="00625C78"/>
    <w:rsid w:val="006267A4"/>
    <w:rsid w:val="00626801"/>
    <w:rsid w:val="00626A68"/>
    <w:rsid w:val="00626A8B"/>
    <w:rsid w:val="00626F54"/>
    <w:rsid w:val="00627151"/>
    <w:rsid w:val="0062751D"/>
    <w:rsid w:val="00627C23"/>
    <w:rsid w:val="00627E5F"/>
    <w:rsid w:val="00627F59"/>
    <w:rsid w:val="0063007F"/>
    <w:rsid w:val="00630497"/>
    <w:rsid w:val="006304F6"/>
    <w:rsid w:val="00630723"/>
    <w:rsid w:val="006309C9"/>
    <w:rsid w:val="00630E36"/>
    <w:rsid w:val="0063108D"/>
    <w:rsid w:val="00631100"/>
    <w:rsid w:val="0063148C"/>
    <w:rsid w:val="006316C7"/>
    <w:rsid w:val="006316F3"/>
    <w:rsid w:val="0063196B"/>
    <w:rsid w:val="00631B0E"/>
    <w:rsid w:val="006320AC"/>
    <w:rsid w:val="00632579"/>
    <w:rsid w:val="00632713"/>
    <w:rsid w:val="006329A1"/>
    <w:rsid w:val="00632AF2"/>
    <w:rsid w:val="00632B3E"/>
    <w:rsid w:val="00632BB3"/>
    <w:rsid w:val="00633032"/>
    <w:rsid w:val="00633457"/>
    <w:rsid w:val="00633508"/>
    <w:rsid w:val="00633802"/>
    <w:rsid w:val="00633F3A"/>
    <w:rsid w:val="0063405C"/>
    <w:rsid w:val="006345A3"/>
    <w:rsid w:val="0063522D"/>
    <w:rsid w:val="006357F4"/>
    <w:rsid w:val="00635D04"/>
    <w:rsid w:val="00635D26"/>
    <w:rsid w:val="006363F6"/>
    <w:rsid w:val="00636434"/>
    <w:rsid w:val="006368AC"/>
    <w:rsid w:val="00636CCC"/>
    <w:rsid w:val="00637112"/>
    <w:rsid w:val="006376AB"/>
    <w:rsid w:val="006376CE"/>
    <w:rsid w:val="00637D80"/>
    <w:rsid w:val="00637FC3"/>
    <w:rsid w:val="00640614"/>
    <w:rsid w:val="00640855"/>
    <w:rsid w:val="006408E2"/>
    <w:rsid w:val="00640C5A"/>
    <w:rsid w:val="0064103B"/>
    <w:rsid w:val="006410AE"/>
    <w:rsid w:val="00641164"/>
    <w:rsid w:val="00641F9C"/>
    <w:rsid w:val="0064229C"/>
    <w:rsid w:val="006424CE"/>
    <w:rsid w:val="00642562"/>
    <w:rsid w:val="00642640"/>
    <w:rsid w:val="00642F01"/>
    <w:rsid w:val="006437FF"/>
    <w:rsid w:val="00643B61"/>
    <w:rsid w:val="00643F04"/>
    <w:rsid w:val="006440E3"/>
    <w:rsid w:val="00644903"/>
    <w:rsid w:val="00644F61"/>
    <w:rsid w:val="006450D4"/>
    <w:rsid w:val="006456D6"/>
    <w:rsid w:val="00645BFC"/>
    <w:rsid w:val="00645C67"/>
    <w:rsid w:val="00645D8F"/>
    <w:rsid w:val="00645F04"/>
    <w:rsid w:val="00646039"/>
    <w:rsid w:val="006460A0"/>
    <w:rsid w:val="0064658E"/>
    <w:rsid w:val="0064700D"/>
    <w:rsid w:val="006470D1"/>
    <w:rsid w:val="00647338"/>
    <w:rsid w:val="0064749A"/>
    <w:rsid w:val="006479D3"/>
    <w:rsid w:val="006501ED"/>
    <w:rsid w:val="00650306"/>
    <w:rsid w:val="00650344"/>
    <w:rsid w:val="006509A8"/>
    <w:rsid w:val="00650BA0"/>
    <w:rsid w:val="00650BEA"/>
    <w:rsid w:val="0065109F"/>
    <w:rsid w:val="00651158"/>
    <w:rsid w:val="00651F56"/>
    <w:rsid w:val="00652648"/>
    <w:rsid w:val="006531D8"/>
    <w:rsid w:val="00653297"/>
    <w:rsid w:val="006534DE"/>
    <w:rsid w:val="00653645"/>
    <w:rsid w:val="006541A0"/>
    <w:rsid w:val="006547F3"/>
    <w:rsid w:val="006548CC"/>
    <w:rsid w:val="00654E95"/>
    <w:rsid w:val="00654EA5"/>
    <w:rsid w:val="00655462"/>
    <w:rsid w:val="006554CD"/>
    <w:rsid w:val="006554DD"/>
    <w:rsid w:val="00655BA0"/>
    <w:rsid w:val="006564E1"/>
    <w:rsid w:val="006566BC"/>
    <w:rsid w:val="006567B4"/>
    <w:rsid w:val="00656A38"/>
    <w:rsid w:val="00656C8A"/>
    <w:rsid w:val="00656CD2"/>
    <w:rsid w:val="00656F35"/>
    <w:rsid w:val="006572E6"/>
    <w:rsid w:val="006579D8"/>
    <w:rsid w:val="00657EBB"/>
    <w:rsid w:val="006601CA"/>
    <w:rsid w:val="006603AF"/>
    <w:rsid w:val="00660525"/>
    <w:rsid w:val="00660920"/>
    <w:rsid w:val="00660A0E"/>
    <w:rsid w:val="006610CB"/>
    <w:rsid w:val="00661109"/>
    <w:rsid w:val="00661F67"/>
    <w:rsid w:val="006621D4"/>
    <w:rsid w:val="00662222"/>
    <w:rsid w:val="00662321"/>
    <w:rsid w:val="0066291E"/>
    <w:rsid w:val="006629EE"/>
    <w:rsid w:val="00662F6F"/>
    <w:rsid w:val="00663076"/>
    <w:rsid w:val="006639E3"/>
    <w:rsid w:val="00663A0A"/>
    <w:rsid w:val="0066409A"/>
    <w:rsid w:val="00664277"/>
    <w:rsid w:val="00664305"/>
    <w:rsid w:val="00664A21"/>
    <w:rsid w:val="00664B59"/>
    <w:rsid w:val="00664BF4"/>
    <w:rsid w:val="00664EBF"/>
    <w:rsid w:val="0066517A"/>
    <w:rsid w:val="006653DA"/>
    <w:rsid w:val="00665C54"/>
    <w:rsid w:val="00665F2C"/>
    <w:rsid w:val="006663C0"/>
    <w:rsid w:val="00667755"/>
    <w:rsid w:val="00667A8B"/>
    <w:rsid w:val="00667B47"/>
    <w:rsid w:val="00667FF8"/>
    <w:rsid w:val="0067038C"/>
    <w:rsid w:val="006707D9"/>
    <w:rsid w:val="00670E9A"/>
    <w:rsid w:val="00671289"/>
    <w:rsid w:val="00671884"/>
    <w:rsid w:val="006719C5"/>
    <w:rsid w:val="00671C00"/>
    <w:rsid w:val="00671D78"/>
    <w:rsid w:val="00671F9E"/>
    <w:rsid w:val="0067279C"/>
    <w:rsid w:val="006727C6"/>
    <w:rsid w:val="00672850"/>
    <w:rsid w:val="00672973"/>
    <w:rsid w:val="00672994"/>
    <w:rsid w:val="00672A80"/>
    <w:rsid w:val="00672B1C"/>
    <w:rsid w:val="0067354B"/>
    <w:rsid w:val="00673973"/>
    <w:rsid w:val="00674287"/>
    <w:rsid w:val="00674829"/>
    <w:rsid w:val="006749A3"/>
    <w:rsid w:val="00674FEE"/>
    <w:rsid w:val="006754CC"/>
    <w:rsid w:val="006756ED"/>
    <w:rsid w:val="00676628"/>
    <w:rsid w:val="00676A9F"/>
    <w:rsid w:val="00676FA7"/>
    <w:rsid w:val="00677234"/>
    <w:rsid w:val="00677971"/>
    <w:rsid w:val="00677E09"/>
    <w:rsid w:val="00680908"/>
    <w:rsid w:val="00680A21"/>
    <w:rsid w:val="00680AF9"/>
    <w:rsid w:val="006814A1"/>
    <w:rsid w:val="0068167F"/>
    <w:rsid w:val="00681EE8"/>
    <w:rsid w:val="00682475"/>
    <w:rsid w:val="00682C85"/>
    <w:rsid w:val="00682DB0"/>
    <w:rsid w:val="006831D0"/>
    <w:rsid w:val="0068383F"/>
    <w:rsid w:val="00683F55"/>
    <w:rsid w:val="00683F5A"/>
    <w:rsid w:val="006840B2"/>
    <w:rsid w:val="006846C3"/>
    <w:rsid w:val="006847FE"/>
    <w:rsid w:val="006849C0"/>
    <w:rsid w:val="00684ED5"/>
    <w:rsid w:val="00685019"/>
    <w:rsid w:val="006852E6"/>
    <w:rsid w:val="00685E88"/>
    <w:rsid w:val="0068631C"/>
    <w:rsid w:val="0068641B"/>
    <w:rsid w:val="00686A43"/>
    <w:rsid w:val="00686B34"/>
    <w:rsid w:val="00686C24"/>
    <w:rsid w:val="00687017"/>
    <w:rsid w:val="0068721C"/>
    <w:rsid w:val="0068737D"/>
    <w:rsid w:val="00687459"/>
    <w:rsid w:val="006876D6"/>
    <w:rsid w:val="006900B0"/>
    <w:rsid w:val="00690147"/>
    <w:rsid w:val="00690307"/>
    <w:rsid w:val="00690B63"/>
    <w:rsid w:val="00690CBB"/>
    <w:rsid w:val="006911A4"/>
    <w:rsid w:val="00691294"/>
    <w:rsid w:val="006928A9"/>
    <w:rsid w:val="00692C9C"/>
    <w:rsid w:val="006932D3"/>
    <w:rsid w:val="006936A3"/>
    <w:rsid w:val="006938BA"/>
    <w:rsid w:val="00693DDC"/>
    <w:rsid w:val="006943AD"/>
    <w:rsid w:val="00694C72"/>
    <w:rsid w:val="00694DB0"/>
    <w:rsid w:val="0069512C"/>
    <w:rsid w:val="006952F7"/>
    <w:rsid w:val="00695BF3"/>
    <w:rsid w:val="00695CB6"/>
    <w:rsid w:val="00695D8E"/>
    <w:rsid w:val="00695E88"/>
    <w:rsid w:val="00696782"/>
    <w:rsid w:val="006969AC"/>
    <w:rsid w:val="006969BB"/>
    <w:rsid w:val="00696F96"/>
    <w:rsid w:val="006978BA"/>
    <w:rsid w:val="00697AE1"/>
    <w:rsid w:val="00697C25"/>
    <w:rsid w:val="00697D91"/>
    <w:rsid w:val="006A01BA"/>
    <w:rsid w:val="006A0E9F"/>
    <w:rsid w:val="006A16D7"/>
    <w:rsid w:val="006A1A04"/>
    <w:rsid w:val="006A22CF"/>
    <w:rsid w:val="006A2576"/>
    <w:rsid w:val="006A267E"/>
    <w:rsid w:val="006A3500"/>
    <w:rsid w:val="006A3D52"/>
    <w:rsid w:val="006A4272"/>
    <w:rsid w:val="006A4285"/>
    <w:rsid w:val="006A439B"/>
    <w:rsid w:val="006A462D"/>
    <w:rsid w:val="006A4B99"/>
    <w:rsid w:val="006A511F"/>
    <w:rsid w:val="006A51D2"/>
    <w:rsid w:val="006A537F"/>
    <w:rsid w:val="006A552A"/>
    <w:rsid w:val="006A5721"/>
    <w:rsid w:val="006A5730"/>
    <w:rsid w:val="006A5854"/>
    <w:rsid w:val="006A59D3"/>
    <w:rsid w:val="006A622B"/>
    <w:rsid w:val="006A653B"/>
    <w:rsid w:val="006A681E"/>
    <w:rsid w:val="006A6C9F"/>
    <w:rsid w:val="006A724A"/>
    <w:rsid w:val="006A750C"/>
    <w:rsid w:val="006A755D"/>
    <w:rsid w:val="006A7832"/>
    <w:rsid w:val="006A79CA"/>
    <w:rsid w:val="006B00FF"/>
    <w:rsid w:val="006B02E3"/>
    <w:rsid w:val="006B0BF2"/>
    <w:rsid w:val="006B0CD6"/>
    <w:rsid w:val="006B1929"/>
    <w:rsid w:val="006B1985"/>
    <w:rsid w:val="006B1D7D"/>
    <w:rsid w:val="006B28F4"/>
    <w:rsid w:val="006B2CFB"/>
    <w:rsid w:val="006B35C7"/>
    <w:rsid w:val="006B3AD8"/>
    <w:rsid w:val="006B3EA3"/>
    <w:rsid w:val="006B41B3"/>
    <w:rsid w:val="006B4443"/>
    <w:rsid w:val="006B4B22"/>
    <w:rsid w:val="006B4D00"/>
    <w:rsid w:val="006B5462"/>
    <w:rsid w:val="006B5615"/>
    <w:rsid w:val="006B5B0B"/>
    <w:rsid w:val="006B5E09"/>
    <w:rsid w:val="006B5FFC"/>
    <w:rsid w:val="006B6086"/>
    <w:rsid w:val="006B6168"/>
    <w:rsid w:val="006B6A6A"/>
    <w:rsid w:val="006B6D7A"/>
    <w:rsid w:val="006B6E38"/>
    <w:rsid w:val="006B6FF2"/>
    <w:rsid w:val="006B71CA"/>
    <w:rsid w:val="006B7BB1"/>
    <w:rsid w:val="006C043B"/>
    <w:rsid w:val="006C049D"/>
    <w:rsid w:val="006C0536"/>
    <w:rsid w:val="006C0801"/>
    <w:rsid w:val="006C0902"/>
    <w:rsid w:val="006C096F"/>
    <w:rsid w:val="006C0C3F"/>
    <w:rsid w:val="006C0E91"/>
    <w:rsid w:val="006C171E"/>
    <w:rsid w:val="006C1B95"/>
    <w:rsid w:val="006C1C24"/>
    <w:rsid w:val="006C1E7A"/>
    <w:rsid w:val="006C1E9C"/>
    <w:rsid w:val="006C1EC9"/>
    <w:rsid w:val="006C200E"/>
    <w:rsid w:val="006C24BC"/>
    <w:rsid w:val="006C2646"/>
    <w:rsid w:val="006C284D"/>
    <w:rsid w:val="006C2FA0"/>
    <w:rsid w:val="006C3660"/>
    <w:rsid w:val="006C391B"/>
    <w:rsid w:val="006C47AF"/>
    <w:rsid w:val="006C4B6D"/>
    <w:rsid w:val="006C4C6B"/>
    <w:rsid w:val="006C54D2"/>
    <w:rsid w:val="006C55BA"/>
    <w:rsid w:val="006C562B"/>
    <w:rsid w:val="006C58BA"/>
    <w:rsid w:val="006C612D"/>
    <w:rsid w:val="006C635E"/>
    <w:rsid w:val="006C6485"/>
    <w:rsid w:val="006C6773"/>
    <w:rsid w:val="006C6A1F"/>
    <w:rsid w:val="006C6B57"/>
    <w:rsid w:val="006C75C3"/>
    <w:rsid w:val="006C797B"/>
    <w:rsid w:val="006C79BE"/>
    <w:rsid w:val="006D00B4"/>
    <w:rsid w:val="006D0754"/>
    <w:rsid w:val="006D09CB"/>
    <w:rsid w:val="006D0FED"/>
    <w:rsid w:val="006D1171"/>
    <w:rsid w:val="006D1268"/>
    <w:rsid w:val="006D15DF"/>
    <w:rsid w:val="006D194B"/>
    <w:rsid w:val="006D2461"/>
    <w:rsid w:val="006D27FD"/>
    <w:rsid w:val="006D2ADB"/>
    <w:rsid w:val="006D2C7E"/>
    <w:rsid w:val="006D2D64"/>
    <w:rsid w:val="006D312F"/>
    <w:rsid w:val="006D3716"/>
    <w:rsid w:val="006D43E4"/>
    <w:rsid w:val="006D44E5"/>
    <w:rsid w:val="006D450B"/>
    <w:rsid w:val="006D5123"/>
    <w:rsid w:val="006D5BF3"/>
    <w:rsid w:val="006D5D7E"/>
    <w:rsid w:val="006D608D"/>
    <w:rsid w:val="006D62D1"/>
    <w:rsid w:val="006D6AE9"/>
    <w:rsid w:val="006D716D"/>
    <w:rsid w:val="006D726D"/>
    <w:rsid w:val="006D744B"/>
    <w:rsid w:val="006D74E8"/>
    <w:rsid w:val="006D7D86"/>
    <w:rsid w:val="006E0738"/>
    <w:rsid w:val="006E0B6D"/>
    <w:rsid w:val="006E0C5E"/>
    <w:rsid w:val="006E10FF"/>
    <w:rsid w:val="006E1289"/>
    <w:rsid w:val="006E179B"/>
    <w:rsid w:val="006E23ED"/>
    <w:rsid w:val="006E2667"/>
    <w:rsid w:val="006E2751"/>
    <w:rsid w:val="006E2987"/>
    <w:rsid w:val="006E2A9E"/>
    <w:rsid w:val="006E2B4F"/>
    <w:rsid w:val="006E2E1D"/>
    <w:rsid w:val="006E3146"/>
    <w:rsid w:val="006E31D9"/>
    <w:rsid w:val="006E3B5C"/>
    <w:rsid w:val="006E3B7E"/>
    <w:rsid w:val="006E3F30"/>
    <w:rsid w:val="006E45D8"/>
    <w:rsid w:val="006E4E4B"/>
    <w:rsid w:val="006E4F3B"/>
    <w:rsid w:val="006E5031"/>
    <w:rsid w:val="006E5C6C"/>
    <w:rsid w:val="006E5CB0"/>
    <w:rsid w:val="006E600F"/>
    <w:rsid w:val="006E6107"/>
    <w:rsid w:val="006E6351"/>
    <w:rsid w:val="006E6A0E"/>
    <w:rsid w:val="006E6E11"/>
    <w:rsid w:val="006E6E90"/>
    <w:rsid w:val="006E75A1"/>
    <w:rsid w:val="006E77A6"/>
    <w:rsid w:val="006E7AAE"/>
    <w:rsid w:val="006E7C7D"/>
    <w:rsid w:val="006E7FD7"/>
    <w:rsid w:val="006F058A"/>
    <w:rsid w:val="006F0829"/>
    <w:rsid w:val="006F0DA8"/>
    <w:rsid w:val="006F0DAB"/>
    <w:rsid w:val="006F0DD4"/>
    <w:rsid w:val="006F10F0"/>
    <w:rsid w:val="006F115C"/>
    <w:rsid w:val="006F13C3"/>
    <w:rsid w:val="006F17B7"/>
    <w:rsid w:val="006F19B2"/>
    <w:rsid w:val="006F1B2D"/>
    <w:rsid w:val="006F1CD0"/>
    <w:rsid w:val="006F23C7"/>
    <w:rsid w:val="006F2741"/>
    <w:rsid w:val="006F2932"/>
    <w:rsid w:val="006F2CB1"/>
    <w:rsid w:val="006F31C0"/>
    <w:rsid w:val="006F350D"/>
    <w:rsid w:val="006F38BD"/>
    <w:rsid w:val="006F3D7F"/>
    <w:rsid w:val="006F427F"/>
    <w:rsid w:val="006F43FE"/>
    <w:rsid w:val="006F4634"/>
    <w:rsid w:val="006F4635"/>
    <w:rsid w:val="006F4830"/>
    <w:rsid w:val="006F48A8"/>
    <w:rsid w:val="006F60C2"/>
    <w:rsid w:val="006F62F9"/>
    <w:rsid w:val="006F7032"/>
    <w:rsid w:val="006F73D6"/>
    <w:rsid w:val="007005FC"/>
    <w:rsid w:val="00700732"/>
    <w:rsid w:val="00700781"/>
    <w:rsid w:val="00701063"/>
    <w:rsid w:val="007013C8"/>
    <w:rsid w:val="007013DB"/>
    <w:rsid w:val="007017FB"/>
    <w:rsid w:val="00701C0D"/>
    <w:rsid w:val="007025A0"/>
    <w:rsid w:val="0070273F"/>
    <w:rsid w:val="00702AEF"/>
    <w:rsid w:val="00702B88"/>
    <w:rsid w:val="00702CE4"/>
    <w:rsid w:val="007038F5"/>
    <w:rsid w:val="00703EE9"/>
    <w:rsid w:val="00703FA3"/>
    <w:rsid w:val="00704317"/>
    <w:rsid w:val="00704592"/>
    <w:rsid w:val="007049A1"/>
    <w:rsid w:val="00704D05"/>
    <w:rsid w:val="0070579D"/>
    <w:rsid w:val="00705B02"/>
    <w:rsid w:val="00706998"/>
    <w:rsid w:val="00706AF3"/>
    <w:rsid w:val="007075DB"/>
    <w:rsid w:val="00707E88"/>
    <w:rsid w:val="00710105"/>
    <w:rsid w:val="007104C7"/>
    <w:rsid w:val="00710BB9"/>
    <w:rsid w:val="007111A7"/>
    <w:rsid w:val="0071129A"/>
    <w:rsid w:val="007115E8"/>
    <w:rsid w:val="00711815"/>
    <w:rsid w:val="0071193B"/>
    <w:rsid w:val="00711997"/>
    <w:rsid w:val="00711C61"/>
    <w:rsid w:val="00712135"/>
    <w:rsid w:val="007124B6"/>
    <w:rsid w:val="00712707"/>
    <w:rsid w:val="0071288D"/>
    <w:rsid w:val="0071290D"/>
    <w:rsid w:val="00712962"/>
    <w:rsid w:val="00712B48"/>
    <w:rsid w:val="00712D32"/>
    <w:rsid w:val="007130C8"/>
    <w:rsid w:val="0071314E"/>
    <w:rsid w:val="00713264"/>
    <w:rsid w:val="00713944"/>
    <w:rsid w:val="0071394E"/>
    <w:rsid w:val="007139A6"/>
    <w:rsid w:val="00713A5E"/>
    <w:rsid w:val="00713FD4"/>
    <w:rsid w:val="007142A0"/>
    <w:rsid w:val="00714FD2"/>
    <w:rsid w:val="0071573D"/>
    <w:rsid w:val="007159BA"/>
    <w:rsid w:val="00715AD9"/>
    <w:rsid w:val="00715B89"/>
    <w:rsid w:val="00715F13"/>
    <w:rsid w:val="007164B5"/>
    <w:rsid w:val="007166CE"/>
    <w:rsid w:val="007168DE"/>
    <w:rsid w:val="00716CC6"/>
    <w:rsid w:val="00717038"/>
    <w:rsid w:val="007176D1"/>
    <w:rsid w:val="0071780E"/>
    <w:rsid w:val="007179DE"/>
    <w:rsid w:val="00717FA0"/>
    <w:rsid w:val="007207FC"/>
    <w:rsid w:val="007209A4"/>
    <w:rsid w:val="00720A50"/>
    <w:rsid w:val="00721099"/>
    <w:rsid w:val="0072141E"/>
    <w:rsid w:val="0072178D"/>
    <w:rsid w:val="007218A3"/>
    <w:rsid w:val="00721C34"/>
    <w:rsid w:val="00721CB4"/>
    <w:rsid w:val="007220CE"/>
    <w:rsid w:val="00722238"/>
    <w:rsid w:val="00722708"/>
    <w:rsid w:val="007227D1"/>
    <w:rsid w:val="0072318B"/>
    <w:rsid w:val="00723C9B"/>
    <w:rsid w:val="00723FCA"/>
    <w:rsid w:val="00724039"/>
    <w:rsid w:val="007240CB"/>
    <w:rsid w:val="00724912"/>
    <w:rsid w:val="00724CF4"/>
    <w:rsid w:val="00724E12"/>
    <w:rsid w:val="0072526B"/>
    <w:rsid w:val="007253F0"/>
    <w:rsid w:val="00725433"/>
    <w:rsid w:val="00725E0C"/>
    <w:rsid w:val="007263BD"/>
    <w:rsid w:val="00726707"/>
    <w:rsid w:val="007267A0"/>
    <w:rsid w:val="007269E8"/>
    <w:rsid w:val="00726B01"/>
    <w:rsid w:val="00727419"/>
    <w:rsid w:val="007277D4"/>
    <w:rsid w:val="00727A69"/>
    <w:rsid w:val="007301A6"/>
    <w:rsid w:val="00730CE9"/>
    <w:rsid w:val="00730FF8"/>
    <w:rsid w:val="00731397"/>
    <w:rsid w:val="00731531"/>
    <w:rsid w:val="00731932"/>
    <w:rsid w:val="007319CF"/>
    <w:rsid w:val="00731C52"/>
    <w:rsid w:val="00732017"/>
    <w:rsid w:val="0073232C"/>
    <w:rsid w:val="00732697"/>
    <w:rsid w:val="00732810"/>
    <w:rsid w:val="00732C30"/>
    <w:rsid w:val="007333B4"/>
    <w:rsid w:val="00733695"/>
    <w:rsid w:val="00733738"/>
    <w:rsid w:val="0073379E"/>
    <w:rsid w:val="007338F0"/>
    <w:rsid w:val="00733E82"/>
    <w:rsid w:val="00733F0B"/>
    <w:rsid w:val="007341C5"/>
    <w:rsid w:val="007342A7"/>
    <w:rsid w:val="00734699"/>
    <w:rsid w:val="0073469A"/>
    <w:rsid w:val="00734C40"/>
    <w:rsid w:val="00734DEF"/>
    <w:rsid w:val="0073545B"/>
    <w:rsid w:val="007357C0"/>
    <w:rsid w:val="00735889"/>
    <w:rsid w:val="00735AA4"/>
    <w:rsid w:val="00735C4C"/>
    <w:rsid w:val="00735E89"/>
    <w:rsid w:val="00736045"/>
    <w:rsid w:val="00736471"/>
    <w:rsid w:val="00736E91"/>
    <w:rsid w:val="0073708F"/>
    <w:rsid w:val="0073744D"/>
    <w:rsid w:val="007377AC"/>
    <w:rsid w:val="00737A8C"/>
    <w:rsid w:val="00737EC6"/>
    <w:rsid w:val="007407B3"/>
    <w:rsid w:val="00740879"/>
    <w:rsid w:val="007408EA"/>
    <w:rsid w:val="00740C9F"/>
    <w:rsid w:val="00740D51"/>
    <w:rsid w:val="00740E49"/>
    <w:rsid w:val="007414AD"/>
    <w:rsid w:val="0074162F"/>
    <w:rsid w:val="00741A76"/>
    <w:rsid w:val="00741B1F"/>
    <w:rsid w:val="00741DCC"/>
    <w:rsid w:val="007421CF"/>
    <w:rsid w:val="007424B9"/>
    <w:rsid w:val="007428E5"/>
    <w:rsid w:val="00742928"/>
    <w:rsid w:val="0074293A"/>
    <w:rsid w:val="00742987"/>
    <w:rsid w:val="007429B5"/>
    <w:rsid w:val="00742D96"/>
    <w:rsid w:val="00742E98"/>
    <w:rsid w:val="00742F71"/>
    <w:rsid w:val="0074339C"/>
    <w:rsid w:val="00743C3C"/>
    <w:rsid w:val="00743FD0"/>
    <w:rsid w:val="00744134"/>
    <w:rsid w:val="00744139"/>
    <w:rsid w:val="00744372"/>
    <w:rsid w:val="007444C8"/>
    <w:rsid w:val="007451D8"/>
    <w:rsid w:val="00745241"/>
    <w:rsid w:val="00746138"/>
    <w:rsid w:val="00746382"/>
    <w:rsid w:val="007463D2"/>
    <w:rsid w:val="007469C7"/>
    <w:rsid w:val="00746A70"/>
    <w:rsid w:val="00746B39"/>
    <w:rsid w:val="00746B3D"/>
    <w:rsid w:val="00746FFC"/>
    <w:rsid w:val="00747EE8"/>
    <w:rsid w:val="007501C6"/>
    <w:rsid w:val="00750AAA"/>
    <w:rsid w:val="00750BDF"/>
    <w:rsid w:val="00750C6F"/>
    <w:rsid w:val="00751012"/>
    <w:rsid w:val="0075106C"/>
    <w:rsid w:val="00751566"/>
    <w:rsid w:val="007517B0"/>
    <w:rsid w:val="007517EE"/>
    <w:rsid w:val="00751981"/>
    <w:rsid w:val="00751D13"/>
    <w:rsid w:val="0075200F"/>
    <w:rsid w:val="007520A2"/>
    <w:rsid w:val="0075244F"/>
    <w:rsid w:val="00752528"/>
    <w:rsid w:val="00752B33"/>
    <w:rsid w:val="00752B69"/>
    <w:rsid w:val="0075335E"/>
    <w:rsid w:val="00753BCA"/>
    <w:rsid w:val="00753C77"/>
    <w:rsid w:val="00754101"/>
    <w:rsid w:val="00754611"/>
    <w:rsid w:val="00754C76"/>
    <w:rsid w:val="00754EAC"/>
    <w:rsid w:val="00756083"/>
    <w:rsid w:val="00756153"/>
    <w:rsid w:val="00756509"/>
    <w:rsid w:val="007565FD"/>
    <w:rsid w:val="00756A47"/>
    <w:rsid w:val="00756B9B"/>
    <w:rsid w:val="00756CF7"/>
    <w:rsid w:val="00756EA8"/>
    <w:rsid w:val="007579B9"/>
    <w:rsid w:val="00757FBC"/>
    <w:rsid w:val="00760421"/>
    <w:rsid w:val="0076043A"/>
    <w:rsid w:val="007607BB"/>
    <w:rsid w:val="00760907"/>
    <w:rsid w:val="00760E2D"/>
    <w:rsid w:val="00760E84"/>
    <w:rsid w:val="0076141F"/>
    <w:rsid w:val="00761709"/>
    <w:rsid w:val="007617DC"/>
    <w:rsid w:val="00761A95"/>
    <w:rsid w:val="00761C0E"/>
    <w:rsid w:val="00761C3D"/>
    <w:rsid w:val="00761D47"/>
    <w:rsid w:val="00762010"/>
    <w:rsid w:val="00762183"/>
    <w:rsid w:val="00762303"/>
    <w:rsid w:val="007629E9"/>
    <w:rsid w:val="0076331D"/>
    <w:rsid w:val="00763338"/>
    <w:rsid w:val="007636F2"/>
    <w:rsid w:val="0076377E"/>
    <w:rsid w:val="007641F6"/>
    <w:rsid w:val="0076462F"/>
    <w:rsid w:val="00764F16"/>
    <w:rsid w:val="00765194"/>
    <w:rsid w:val="007651A5"/>
    <w:rsid w:val="0076571B"/>
    <w:rsid w:val="00765CF9"/>
    <w:rsid w:val="00765D53"/>
    <w:rsid w:val="00765F0C"/>
    <w:rsid w:val="00766241"/>
    <w:rsid w:val="007662DF"/>
    <w:rsid w:val="007664BA"/>
    <w:rsid w:val="0076665F"/>
    <w:rsid w:val="00766D90"/>
    <w:rsid w:val="00767CA2"/>
    <w:rsid w:val="00767CAA"/>
    <w:rsid w:val="00770473"/>
    <w:rsid w:val="00770779"/>
    <w:rsid w:val="00770E8A"/>
    <w:rsid w:val="00771387"/>
    <w:rsid w:val="00771D37"/>
    <w:rsid w:val="00772101"/>
    <w:rsid w:val="00772728"/>
    <w:rsid w:val="007727E3"/>
    <w:rsid w:val="00773527"/>
    <w:rsid w:val="00773BED"/>
    <w:rsid w:val="00773E5D"/>
    <w:rsid w:val="0077451B"/>
    <w:rsid w:val="0077458A"/>
    <w:rsid w:val="007745E6"/>
    <w:rsid w:val="007747B6"/>
    <w:rsid w:val="00774D00"/>
    <w:rsid w:val="007758DF"/>
    <w:rsid w:val="00776073"/>
    <w:rsid w:val="007760CA"/>
    <w:rsid w:val="00776259"/>
    <w:rsid w:val="0077659B"/>
    <w:rsid w:val="007766D8"/>
    <w:rsid w:val="00776961"/>
    <w:rsid w:val="00776D8E"/>
    <w:rsid w:val="00776EB0"/>
    <w:rsid w:val="007771B6"/>
    <w:rsid w:val="007774E2"/>
    <w:rsid w:val="00777708"/>
    <w:rsid w:val="0077787D"/>
    <w:rsid w:val="00777B30"/>
    <w:rsid w:val="00777C10"/>
    <w:rsid w:val="00777F15"/>
    <w:rsid w:val="007800AC"/>
    <w:rsid w:val="007809FA"/>
    <w:rsid w:val="00780AFC"/>
    <w:rsid w:val="00781860"/>
    <w:rsid w:val="0078193D"/>
    <w:rsid w:val="0078194F"/>
    <w:rsid w:val="00781A7B"/>
    <w:rsid w:val="00781F25"/>
    <w:rsid w:val="0078201B"/>
    <w:rsid w:val="007820F9"/>
    <w:rsid w:val="00782F45"/>
    <w:rsid w:val="007830BD"/>
    <w:rsid w:val="00783409"/>
    <w:rsid w:val="007836B4"/>
    <w:rsid w:val="00783914"/>
    <w:rsid w:val="00783DEC"/>
    <w:rsid w:val="007842C0"/>
    <w:rsid w:val="00784918"/>
    <w:rsid w:val="00784D0B"/>
    <w:rsid w:val="00784D6E"/>
    <w:rsid w:val="00784DE9"/>
    <w:rsid w:val="00785173"/>
    <w:rsid w:val="007852A4"/>
    <w:rsid w:val="007852E9"/>
    <w:rsid w:val="00785431"/>
    <w:rsid w:val="0078559D"/>
    <w:rsid w:val="0078596E"/>
    <w:rsid w:val="00785E95"/>
    <w:rsid w:val="0078626E"/>
    <w:rsid w:val="00786AA1"/>
    <w:rsid w:val="007872E8"/>
    <w:rsid w:val="007874A7"/>
    <w:rsid w:val="00787557"/>
    <w:rsid w:val="00787E74"/>
    <w:rsid w:val="0079006B"/>
    <w:rsid w:val="007901A2"/>
    <w:rsid w:val="007903C0"/>
    <w:rsid w:val="00790910"/>
    <w:rsid w:val="00790D6C"/>
    <w:rsid w:val="00791AD0"/>
    <w:rsid w:val="007924A6"/>
    <w:rsid w:val="00792728"/>
    <w:rsid w:val="00792A97"/>
    <w:rsid w:val="00792EA3"/>
    <w:rsid w:val="00792FEF"/>
    <w:rsid w:val="00793971"/>
    <w:rsid w:val="00793C77"/>
    <w:rsid w:val="00793E87"/>
    <w:rsid w:val="0079405A"/>
    <w:rsid w:val="007941A3"/>
    <w:rsid w:val="007942B8"/>
    <w:rsid w:val="00794595"/>
    <w:rsid w:val="00794BEC"/>
    <w:rsid w:val="007951CD"/>
    <w:rsid w:val="007953F4"/>
    <w:rsid w:val="007959A6"/>
    <w:rsid w:val="00795A2F"/>
    <w:rsid w:val="00795DB3"/>
    <w:rsid w:val="00796054"/>
    <w:rsid w:val="00796733"/>
    <w:rsid w:val="007968DE"/>
    <w:rsid w:val="00796C62"/>
    <w:rsid w:val="00797371"/>
    <w:rsid w:val="007974C3"/>
    <w:rsid w:val="00797561"/>
    <w:rsid w:val="00797994"/>
    <w:rsid w:val="00797CCE"/>
    <w:rsid w:val="00797D8A"/>
    <w:rsid w:val="007A00BB"/>
    <w:rsid w:val="007A014B"/>
    <w:rsid w:val="007A032C"/>
    <w:rsid w:val="007A03CC"/>
    <w:rsid w:val="007A093A"/>
    <w:rsid w:val="007A0A3F"/>
    <w:rsid w:val="007A0B97"/>
    <w:rsid w:val="007A1273"/>
    <w:rsid w:val="007A1B21"/>
    <w:rsid w:val="007A205C"/>
    <w:rsid w:val="007A23ED"/>
    <w:rsid w:val="007A30C5"/>
    <w:rsid w:val="007A36AE"/>
    <w:rsid w:val="007A389D"/>
    <w:rsid w:val="007A3AC2"/>
    <w:rsid w:val="007A3BBF"/>
    <w:rsid w:val="007A4921"/>
    <w:rsid w:val="007A4D85"/>
    <w:rsid w:val="007A5589"/>
    <w:rsid w:val="007A59A4"/>
    <w:rsid w:val="007A5BF4"/>
    <w:rsid w:val="007A616A"/>
    <w:rsid w:val="007A632D"/>
    <w:rsid w:val="007A642B"/>
    <w:rsid w:val="007A66F9"/>
    <w:rsid w:val="007A6BE9"/>
    <w:rsid w:val="007A7285"/>
    <w:rsid w:val="007A74F4"/>
    <w:rsid w:val="007A7641"/>
    <w:rsid w:val="007A79C0"/>
    <w:rsid w:val="007B0454"/>
    <w:rsid w:val="007B054E"/>
    <w:rsid w:val="007B0EF9"/>
    <w:rsid w:val="007B10E3"/>
    <w:rsid w:val="007B16B9"/>
    <w:rsid w:val="007B1A28"/>
    <w:rsid w:val="007B1DAD"/>
    <w:rsid w:val="007B23D3"/>
    <w:rsid w:val="007B2694"/>
    <w:rsid w:val="007B297A"/>
    <w:rsid w:val="007B2A31"/>
    <w:rsid w:val="007B395C"/>
    <w:rsid w:val="007B3C47"/>
    <w:rsid w:val="007B40FC"/>
    <w:rsid w:val="007B486A"/>
    <w:rsid w:val="007B4BCC"/>
    <w:rsid w:val="007B4CF1"/>
    <w:rsid w:val="007B4D2F"/>
    <w:rsid w:val="007B4E37"/>
    <w:rsid w:val="007B5709"/>
    <w:rsid w:val="007B59E4"/>
    <w:rsid w:val="007B59F0"/>
    <w:rsid w:val="007B5D7A"/>
    <w:rsid w:val="007B60C3"/>
    <w:rsid w:val="007B656D"/>
    <w:rsid w:val="007B6D70"/>
    <w:rsid w:val="007B7840"/>
    <w:rsid w:val="007B7ADD"/>
    <w:rsid w:val="007B7D53"/>
    <w:rsid w:val="007C00C3"/>
    <w:rsid w:val="007C0471"/>
    <w:rsid w:val="007C0803"/>
    <w:rsid w:val="007C0F42"/>
    <w:rsid w:val="007C112B"/>
    <w:rsid w:val="007C1801"/>
    <w:rsid w:val="007C1C4E"/>
    <w:rsid w:val="007C2214"/>
    <w:rsid w:val="007C2840"/>
    <w:rsid w:val="007C3147"/>
    <w:rsid w:val="007C369F"/>
    <w:rsid w:val="007C4052"/>
    <w:rsid w:val="007C41F7"/>
    <w:rsid w:val="007C43F3"/>
    <w:rsid w:val="007C66C0"/>
    <w:rsid w:val="007C67EF"/>
    <w:rsid w:val="007C68ED"/>
    <w:rsid w:val="007C68FF"/>
    <w:rsid w:val="007C6B54"/>
    <w:rsid w:val="007C6E60"/>
    <w:rsid w:val="007C727B"/>
    <w:rsid w:val="007C76ED"/>
    <w:rsid w:val="007C77C7"/>
    <w:rsid w:val="007C7813"/>
    <w:rsid w:val="007C7A52"/>
    <w:rsid w:val="007C7BDE"/>
    <w:rsid w:val="007D0023"/>
    <w:rsid w:val="007D01DF"/>
    <w:rsid w:val="007D06DF"/>
    <w:rsid w:val="007D07FB"/>
    <w:rsid w:val="007D10BD"/>
    <w:rsid w:val="007D11E2"/>
    <w:rsid w:val="007D13FA"/>
    <w:rsid w:val="007D1572"/>
    <w:rsid w:val="007D17CB"/>
    <w:rsid w:val="007D18FD"/>
    <w:rsid w:val="007D1BED"/>
    <w:rsid w:val="007D2416"/>
    <w:rsid w:val="007D27C1"/>
    <w:rsid w:val="007D2C3D"/>
    <w:rsid w:val="007D2F09"/>
    <w:rsid w:val="007D3118"/>
    <w:rsid w:val="007D31D3"/>
    <w:rsid w:val="007D3348"/>
    <w:rsid w:val="007D33DC"/>
    <w:rsid w:val="007D3505"/>
    <w:rsid w:val="007D3743"/>
    <w:rsid w:val="007D39FB"/>
    <w:rsid w:val="007D3A89"/>
    <w:rsid w:val="007D3C13"/>
    <w:rsid w:val="007D3CB2"/>
    <w:rsid w:val="007D4284"/>
    <w:rsid w:val="007D4605"/>
    <w:rsid w:val="007D465B"/>
    <w:rsid w:val="007D4687"/>
    <w:rsid w:val="007D468B"/>
    <w:rsid w:val="007D4C72"/>
    <w:rsid w:val="007D4C9A"/>
    <w:rsid w:val="007D563C"/>
    <w:rsid w:val="007D580D"/>
    <w:rsid w:val="007D5B1C"/>
    <w:rsid w:val="007D5BDE"/>
    <w:rsid w:val="007D5E0B"/>
    <w:rsid w:val="007D5EEE"/>
    <w:rsid w:val="007D6308"/>
    <w:rsid w:val="007D66A1"/>
    <w:rsid w:val="007D671B"/>
    <w:rsid w:val="007D6752"/>
    <w:rsid w:val="007D6854"/>
    <w:rsid w:val="007D6AD2"/>
    <w:rsid w:val="007D6AE1"/>
    <w:rsid w:val="007D6F98"/>
    <w:rsid w:val="007D743D"/>
    <w:rsid w:val="007D766D"/>
    <w:rsid w:val="007D792C"/>
    <w:rsid w:val="007D7B03"/>
    <w:rsid w:val="007D7F3E"/>
    <w:rsid w:val="007E0022"/>
    <w:rsid w:val="007E00BC"/>
    <w:rsid w:val="007E087C"/>
    <w:rsid w:val="007E08F3"/>
    <w:rsid w:val="007E09B4"/>
    <w:rsid w:val="007E0C9A"/>
    <w:rsid w:val="007E0E13"/>
    <w:rsid w:val="007E24B7"/>
    <w:rsid w:val="007E271F"/>
    <w:rsid w:val="007E2924"/>
    <w:rsid w:val="007E2E7D"/>
    <w:rsid w:val="007E2EF4"/>
    <w:rsid w:val="007E2EFA"/>
    <w:rsid w:val="007E2F19"/>
    <w:rsid w:val="007E312F"/>
    <w:rsid w:val="007E43C7"/>
    <w:rsid w:val="007E4B46"/>
    <w:rsid w:val="007E4E27"/>
    <w:rsid w:val="007E4E36"/>
    <w:rsid w:val="007E50D7"/>
    <w:rsid w:val="007E53EB"/>
    <w:rsid w:val="007E551A"/>
    <w:rsid w:val="007E68ED"/>
    <w:rsid w:val="007E6C9F"/>
    <w:rsid w:val="007E6D14"/>
    <w:rsid w:val="007E6D89"/>
    <w:rsid w:val="007E6DF5"/>
    <w:rsid w:val="007E6EAA"/>
    <w:rsid w:val="007E7415"/>
    <w:rsid w:val="007E7552"/>
    <w:rsid w:val="007F03B2"/>
    <w:rsid w:val="007F0AC9"/>
    <w:rsid w:val="007F0E57"/>
    <w:rsid w:val="007F0F9C"/>
    <w:rsid w:val="007F1295"/>
    <w:rsid w:val="007F1453"/>
    <w:rsid w:val="007F1829"/>
    <w:rsid w:val="007F18CD"/>
    <w:rsid w:val="007F1AC0"/>
    <w:rsid w:val="007F1B81"/>
    <w:rsid w:val="007F23EA"/>
    <w:rsid w:val="007F27AD"/>
    <w:rsid w:val="007F2A71"/>
    <w:rsid w:val="007F2BAE"/>
    <w:rsid w:val="007F314F"/>
    <w:rsid w:val="007F31D9"/>
    <w:rsid w:val="007F3534"/>
    <w:rsid w:val="007F3A63"/>
    <w:rsid w:val="007F44DC"/>
    <w:rsid w:val="007F463D"/>
    <w:rsid w:val="007F4B33"/>
    <w:rsid w:val="007F4BAE"/>
    <w:rsid w:val="007F53D1"/>
    <w:rsid w:val="007F5C5E"/>
    <w:rsid w:val="007F6675"/>
    <w:rsid w:val="007F67E5"/>
    <w:rsid w:val="007F6B8A"/>
    <w:rsid w:val="007F6E1A"/>
    <w:rsid w:val="007F6E4B"/>
    <w:rsid w:val="007F72CE"/>
    <w:rsid w:val="007F76D5"/>
    <w:rsid w:val="00800489"/>
    <w:rsid w:val="008005A0"/>
    <w:rsid w:val="008006AD"/>
    <w:rsid w:val="008006EF"/>
    <w:rsid w:val="00800C09"/>
    <w:rsid w:val="00800DDE"/>
    <w:rsid w:val="008012CE"/>
    <w:rsid w:val="008023D2"/>
    <w:rsid w:val="0080242D"/>
    <w:rsid w:val="00803223"/>
    <w:rsid w:val="00803738"/>
    <w:rsid w:val="0080404D"/>
    <w:rsid w:val="008045FD"/>
    <w:rsid w:val="0080468C"/>
    <w:rsid w:val="00804C83"/>
    <w:rsid w:val="008050C6"/>
    <w:rsid w:val="00805224"/>
    <w:rsid w:val="00805769"/>
    <w:rsid w:val="008059E6"/>
    <w:rsid w:val="0080603A"/>
    <w:rsid w:val="008067A9"/>
    <w:rsid w:val="00806D86"/>
    <w:rsid w:val="00807208"/>
    <w:rsid w:val="00807C62"/>
    <w:rsid w:val="008100C9"/>
    <w:rsid w:val="008101AA"/>
    <w:rsid w:val="00811E1D"/>
    <w:rsid w:val="00811F99"/>
    <w:rsid w:val="00812051"/>
    <w:rsid w:val="00812FF7"/>
    <w:rsid w:val="00813482"/>
    <w:rsid w:val="00813813"/>
    <w:rsid w:val="0081394D"/>
    <w:rsid w:val="00813AF8"/>
    <w:rsid w:val="00813B7F"/>
    <w:rsid w:val="00813C4A"/>
    <w:rsid w:val="00813E82"/>
    <w:rsid w:val="0081410F"/>
    <w:rsid w:val="008144C7"/>
    <w:rsid w:val="00814A08"/>
    <w:rsid w:val="00814EF9"/>
    <w:rsid w:val="008153D1"/>
    <w:rsid w:val="008158D0"/>
    <w:rsid w:val="0081595A"/>
    <w:rsid w:val="00815BBB"/>
    <w:rsid w:val="00816093"/>
    <w:rsid w:val="0081679E"/>
    <w:rsid w:val="00816B3E"/>
    <w:rsid w:val="00816BBD"/>
    <w:rsid w:val="00816DAB"/>
    <w:rsid w:val="00816DFE"/>
    <w:rsid w:val="00816EBF"/>
    <w:rsid w:val="00816FBA"/>
    <w:rsid w:val="00817705"/>
    <w:rsid w:val="008178AD"/>
    <w:rsid w:val="00817DFA"/>
    <w:rsid w:val="00820007"/>
    <w:rsid w:val="00820314"/>
    <w:rsid w:val="0082045C"/>
    <w:rsid w:val="00820468"/>
    <w:rsid w:val="00820A79"/>
    <w:rsid w:val="00820B0D"/>
    <w:rsid w:val="00820C7A"/>
    <w:rsid w:val="00820CCC"/>
    <w:rsid w:val="00820DE2"/>
    <w:rsid w:val="00820FCD"/>
    <w:rsid w:val="00821021"/>
    <w:rsid w:val="00821191"/>
    <w:rsid w:val="008219C5"/>
    <w:rsid w:val="00821D9D"/>
    <w:rsid w:val="008223B8"/>
    <w:rsid w:val="00822623"/>
    <w:rsid w:val="008228A2"/>
    <w:rsid w:val="00822B61"/>
    <w:rsid w:val="00822CE6"/>
    <w:rsid w:val="00822E62"/>
    <w:rsid w:val="0082319E"/>
    <w:rsid w:val="008238A5"/>
    <w:rsid w:val="00824128"/>
    <w:rsid w:val="00824504"/>
    <w:rsid w:val="00824F3C"/>
    <w:rsid w:val="008253B5"/>
    <w:rsid w:val="00825B37"/>
    <w:rsid w:val="008262C4"/>
    <w:rsid w:val="008264EB"/>
    <w:rsid w:val="00826B79"/>
    <w:rsid w:val="008274D6"/>
    <w:rsid w:val="00827906"/>
    <w:rsid w:val="008301A8"/>
    <w:rsid w:val="00830333"/>
    <w:rsid w:val="008304EF"/>
    <w:rsid w:val="00830CB7"/>
    <w:rsid w:val="00830D92"/>
    <w:rsid w:val="00830F2A"/>
    <w:rsid w:val="00831610"/>
    <w:rsid w:val="0083168C"/>
    <w:rsid w:val="0083176E"/>
    <w:rsid w:val="00831F13"/>
    <w:rsid w:val="00832140"/>
    <w:rsid w:val="008322A9"/>
    <w:rsid w:val="00832373"/>
    <w:rsid w:val="00832604"/>
    <w:rsid w:val="00832FA4"/>
    <w:rsid w:val="00833215"/>
    <w:rsid w:val="008334BC"/>
    <w:rsid w:val="008335B0"/>
    <w:rsid w:val="00833A26"/>
    <w:rsid w:val="0083400E"/>
    <w:rsid w:val="008342D3"/>
    <w:rsid w:val="008347B7"/>
    <w:rsid w:val="008347C3"/>
    <w:rsid w:val="00834B4E"/>
    <w:rsid w:val="0083517A"/>
    <w:rsid w:val="008358D9"/>
    <w:rsid w:val="008358FE"/>
    <w:rsid w:val="00835AEE"/>
    <w:rsid w:val="00835E07"/>
    <w:rsid w:val="00835E2F"/>
    <w:rsid w:val="00835ECA"/>
    <w:rsid w:val="00835ED5"/>
    <w:rsid w:val="00836004"/>
    <w:rsid w:val="00836105"/>
    <w:rsid w:val="0083621A"/>
    <w:rsid w:val="0083624A"/>
    <w:rsid w:val="008364C2"/>
    <w:rsid w:val="0083691A"/>
    <w:rsid w:val="00836AA7"/>
    <w:rsid w:val="00836D3F"/>
    <w:rsid w:val="00837097"/>
    <w:rsid w:val="008376B0"/>
    <w:rsid w:val="008378EC"/>
    <w:rsid w:val="00837DCB"/>
    <w:rsid w:val="00840055"/>
    <w:rsid w:val="008404FD"/>
    <w:rsid w:val="0084079E"/>
    <w:rsid w:val="0084094F"/>
    <w:rsid w:val="00840A30"/>
    <w:rsid w:val="00840B56"/>
    <w:rsid w:val="00840C0A"/>
    <w:rsid w:val="00840D2A"/>
    <w:rsid w:val="00840DEB"/>
    <w:rsid w:val="00841630"/>
    <w:rsid w:val="00841A5C"/>
    <w:rsid w:val="00841E21"/>
    <w:rsid w:val="00841F08"/>
    <w:rsid w:val="0084207A"/>
    <w:rsid w:val="00842E6A"/>
    <w:rsid w:val="00843410"/>
    <w:rsid w:val="00843AE3"/>
    <w:rsid w:val="008442F3"/>
    <w:rsid w:val="008443C7"/>
    <w:rsid w:val="00844C04"/>
    <w:rsid w:val="00845153"/>
    <w:rsid w:val="0084567D"/>
    <w:rsid w:val="008458A8"/>
    <w:rsid w:val="00845A1F"/>
    <w:rsid w:val="00845C6E"/>
    <w:rsid w:val="00845CE7"/>
    <w:rsid w:val="008462D6"/>
    <w:rsid w:val="00846DE5"/>
    <w:rsid w:val="00847149"/>
    <w:rsid w:val="00847366"/>
    <w:rsid w:val="008478C9"/>
    <w:rsid w:val="00850496"/>
    <w:rsid w:val="00850A7C"/>
    <w:rsid w:val="00850C43"/>
    <w:rsid w:val="00850C9E"/>
    <w:rsid w:val="00850DFD"/>
    <w:rsid w:val="00851156"/>
    <w:rsid w:val="00851253"/>
    <w:rsid w:val="008516F6"/>
    <w:rsid w:val="00851736"/>
    <w:rsid w:val="00851AD1"/>
    <w:rsid w:val="00852302"/>
    <w:rsid w:val="008523A1"/>
    <w:rsid w:val="0085244E"/>
    <w:rsid w:val="00852B97"/>
    <w:rsid w:val="00852F84"/>
    <w:rsid w:val="00853C0B"/>
    <w:rsid w:val="00853DE9"/>
    <w:rsid w:val="008540F8"/>
    <w:rsid w:val="0085517F"/>
    <w:rsid w:val="00855332"/>
    <w:rsid w:val="008559AD"/>
    <w:rsid w:val="00855AF9"/>
    <w:rsid w:val="00856152"/>
    <w:rsid w:val="008567DE"/>
    <w:rsid w:val="00856ECB"/>
    <w:rsid w:val="008574EA"/>
    <w:rsid w:val="0085785F"/>
    <w:rsid w:val="008600C5"/>
    <w:rsid w:val="0086030B"/>
    <w:rsid w:val="00860A47"/>
    <w:rsid w:val="00860BC9"/>
    <w:rsid w:val="008611EC"/>
    <w:rsid w:val="008614DC"/>
    <w:rsid w:val="008618DF"/>
    <w:rsid w:val="00861901"/>
    <w:rsid w:val="00861CBA"/>
    <w:rsid w:val="00862106"/>
    <w:rsid w:val="0086216A"/>
    <w:rsid w:val="0086230C"/>
    <w:rsid w:val="00862868"/>
    <w:rsid w:val="008630D8"/>
    <w:rsid w:val="008637E4"/>
    <w:rsid w:val="008638F9"/>
    <w:rsid w:val="00863D6E"/>
    <w:rsid w:val="00863DCF"/>
    <w:rsid w:val="00863DF3"/>
    <w:rsid w:val="00863E97"/>
    <w:rsid w:val="00863F5E"/>
    <w:rsid w:val="00864397"/>
    <w:rsid w:val="00864504"/>
    <w:rsid w:val="00864C04"/>
    <w:rsid w:val="008655F1"/>
    <w:rsid w:val="00865AA2"/>
    <w:rsid w:val="0086606B"/>
    <w:rsid w:val="00866627"/>
    <w:rsid w:val="0086672D"/>
    <w:rsid w:val="00866B9E"/>
    <w:rsid w:val="00866DEC"/>
    <w:rsid w:val="00866F7B"/>
    <w:rsid w:val="0086762F"/>
    <w:rsid w:val="008679B7"/>
    <w:rsid w:val="00867EF0"/>
    <w:rsid w:val="008701A7"/>
    <w:rsid w:val="0087026E"/>
    <w:rsid w:val="00870342"/>
    <w:rsid w:val="00870E44"/>
    <w:rsid w:val="00870FE8"/>
    <w:rsid w:val="008712A4"/>
    <w:rsid w:val="00871383"/>
    <w:rsid w:val="00871EC1"/>
    <w:rsid w:val="0087277D"/>
    <w:rsid w:val="008728A1"/>
    <w:rsid w:val="00872E6A"/>
    <w:rsid w:val="008732DC"/>
    <w:rsid w:val="00873709"/>
    <w:rsid w:val="008737AA"/>
    <w:rsid w:val="008737E2"/>
    <w:rsid w:val="00873898"/>
    <w:rsid w:val="00873998"/>
    <w:rsid w:val="00874283"/>
    <w:rsid w:val="008743F4"/>
    <w:rsid w:val="00874495"/>
    <w:rsid w:val="008745CB"/>
    <w:rsid w:val="00874890"/>
    <w:rsid w:val="00874B83"/>
    <w:rsid w:val="00874CEC"/>
    <w:rsid w:val="00874D55"/>
    <w:rsid w:val="00875257"/>
    <w:rsid w:val="00875337"/>
    <w:rsid w:val="00875BD4"/>
    <w:rsid w:val="00875D44"/>
    <w:rsid w:val="0087609F"/>
    <w:rsid w:val="0087622A"/>
    <w:rsid w:val="00876421"/>
    <w:rsid w:val="00876430"/>
    <w:rsid w:val="008766A3"/>
    <w:rsid w:val="00876767"/>
    <w:rsid w:val="00876E57"/>
    <w:rsid w:val="008775A0"/>
    <w:rsid w:val="00877CC7"/>
    <w:rsid w:val="008807FA"/>
    <w:rsid w:val="00880A0C"/>
    <w:rsid w:val="008817C5"/>
    <w:rsid w:val="00881B99"/>
    <w:rsid w:val="00881DC8"/>
    <w:rsid w:val="008820A1"/>
    <w:rsid w:val="008824A5"/>
    <w:rsid w:val="008825BB"/>
    <w:rsid w:val="00882D5A"/>
    <w:rsid w:val="00883052"/>
    <w:rsid w:val="008832FD"/>
    <w:rsid w:val="00883476"/>
    <w:rsid w:val="00883492"/>
    <w:rsid w:val="00883498"/>
    <w:rsid w:val="00883846"/>
    <w:rsid w:val="0088386F"/>
    <w:rsid w:val="00883A2F"/>
    <w:rsid w:val="00883A9B"/>
    <w:rsid w:val="00883C2F"/>
    <w:rsid w:val="00883FCA"/>
    <w:rsid w:val="00884068"/>
    <w:rsid w:val="00884305"/>
    <w:rsid w:val="00884720"/>
    <w:rsid w:val="00884A1B"/>
    <w:rsid w:val="00884A56"/>
    <w:rsid w:val="0088583F"/>
    <w:rsid w:val="008859C3"/>
    <w:rsid w:val="00885B1D"/>
    <w:rsid w:val="00885BE2"/>
    <w:rsid w:val="00885F62"/>
    <w:rsid w:val="008864D8"/>
    <w:rsid w:val="00886B8C"/>
    <w:rsid w:val="00886E50"/>
    <w:rsid w:val="00886E88"/>
    <w:rsid w:val="008870FE"/>
    <w:rsid w:val="0088722F"/>
    <w:rsid w:val="008872AE"/>
    <w:rsid w:val="0088776B"/>
    <w:rsid w:val="00887D48"/>
    <w:rsid w:val="00890417"/>
    <w:rsid w:val="00890E64"/>
    <w:rsid w:val="00891078"/>
    <w:rsid w:val="00891843"/>
    <w:rsid w:val="008924CE"/>
    <w:rsid w:val="0089291F"/>
    <w:rsid w:val="00892C03"/>
    <w:rsid w:val="00893ACA"/>
    <w:rsid w:val="00893F0C"/>
    <w:rsid w:val="00894077"/>
    <w:rsid w:val="00894BC5"/>
    <w:rsid w:val="00894D26"/>
    <w:rsid w:val="00895392"/>
    <w:rsid w:val="008957ED"/>
    <w:rsid w:val="00896178"/>
    <w:rsid w:val="008961A1"/>
    <w:rsid w:val="008965D8"/>
    <w:rsid w:val="0089675B"/>
    <w:rsid w:val="00896B49"/>
    <w:rsid w:val="00896C53"/>
    <w:rsid w:val="00896C68"/>
    <w:rsid w:val="00897452"/>
    <w:rsid w:val="00897618"/>
    <w:rsid w:val="00897ED4"/>
    <w:rsid w:val="00897F84"/>
    <w:rsid w:val="008A01FD"/>
    <w:rsid w:val="008A0275"/>
    <w:rsid w:val="008A05C1"/>
    <w:rsid w:val="008A06B6"/>
    <w:rsid w:val="008A077B"/>
    <w:rsid w:val="008A0A8B"/>
    <w:rsid w:val="008A0AAE"/>
    <w:rsid w:val="008A0C2C"/>
    <w:rsid w:val="008A1184"/>
    <w:rsid w:val="008A13E1"/>
    <w:rsid w:val="008A187B"/>
    <w:rsid w:val="008A1A80"/>
    <w:rsid w:val="008A1D42"/>
    <w:rsid w:val="008A1E91"/>
    <w:rsid w:val="008A1F43"/>
    <w:rsid w:val="008A2268"/>
    <w:rsid w:val="008A265A"/>
    <w:rsid w:val="008A29FC"/>
    <w:rsid w:val="008A2A1D"/>
    <w:rsid w:val="008A3023"/>
    <w:rsid w:val="008A3083"/>
    <w:rsid w:val="008A3191"/>
    <w:rsid w:val="008A35ED"/>
    <w:rsid w:val="008A3DF8"/>
    <w:rsid w:val="008A450E"/>
    <w:rsid w:val="008A451D"/>
    <w:rsid w:val="008A45DE"/>
    <w:rsid w:val="008A4A02"/>
    <w:rsid w:val="008A4F20"/>
    <w:rsid w:val="008A59D9"/>
    <w:rsid w:val="008A6006"/>
    <w:rsid w:val="008A60DA"/>
    <w:rsid w:val="008A6276"/>
    <w:rsid w:val="008A633F"/>
    <w:rsid w:val="008A694E"/>
    <w:rsid w:val="008A73C5"/>
    <w:rsid w:val="008A7B16"/>
    <w:rsid w:val="008A7D4E"/>
    <w:rsid w:val="008B0210"/>
    <w:rsid w:val="008B02ED"/>
    <w:rsid w:val="008B0648"/>
    <w:rsid w:val="008B0950"/>
    <w:rsid w:val="008B15C9"/>
    <w:rsid w:val="008B1E7C"/>
    <w:rsid w:val="008B218D"/>
    <w:rsid w:val="008B2815"/>
    <w:rsid w:val="008B2819"/>
    <w:rsid w:val="008B2BFD"/>
    <w:rsid w:val="008B3256"/>
    <w:rsid w:val="008B3478"/>
    <w:rsid w:val="008B35A3"/>
    <w:rsid w:val="008B3774"/>
    <w:rsid w:val="008B3D71"/>
    <w:rsid w:val="008B41EF"/>
    <w:rsid w:val="008B43DC"/>
    <w:rsid w:val="008B493A"/>
    <w:rsid w:val="008B4AA5"/>
    <w:rsid w:val="008B4C82"/>
    <w:rsid w:val="008B4F93"/>
    <w:rsid w:val="008B50F1"/>
    <w:rsid w:val="008B546A"/>
    <w:rsid w:val="008B54DD"/>
    <w:rsid w:val="008B5787"/>
    <w:rsid w:val="008B5B62"/>
    <w:rsid w:val="008B5B72"/>
    <w:rsid w:val="008B5CFD"/>
    <w:rsid w:val="008B615B"/>
    <w:rsid w:val="008B6173"/>
    <w:rsid w:val="008B6181"/>
    <w:rsid w:val="008B6231"/>
    <w:rsid w:val="008B65AB"/>
    <w:rsid w:val="008B680F"/>
    <w:rsid w:val="008B6E83"/>
    <w:rsid w:val="008B6EC8"/>
    <w:rsid w:val="008B6FE9"/>
    <w:rsid w:val="008B6FFC"/>
    <w:rsid w:val="008B7178"/>
    <w:rsid w:val="008B7209"/>
    <w:rsid w:val="008B7510"/>
    <w:rsid w:val="008B753D"/>
    <w:rsid w:val="008B7A8D"/>
    <w:rsid w:val="008B7AA2"/>
    <w:rsid w:val="008B7DE5"/>
    <w:rsid w:val="008B7F69"/>
    <w:rsid w:val="008C0796"/>
    <w:rsid w:val="008C0CEA"/>
    <w:rsid w:val="008C107E"/>
    <w:rsid w:val="008C1705"/>
    <w:rsid w:val="008C1D63"/>
    <w:rsid w:val="008C2A78"/>
    <w:rsid w:val="008C2D32"/>
    <w:rsid w:val="008C2E7D"/>
    <w:rsid w:val="008C2F8B"/>
    <w:rsid w:val="008C3F43"/>
    <w:rsid w:val="008C42AD"/>
    <w:rsid w:val="008C4676"/>
    <w:rsid w:val="008C4B7D"/>
    <w:rsid w:val="008C4D9E"/>
    <w:rsid w:val="008C4EAD"/>
    <w:rsid w:val="008C4FF3"/>
    <w:rsid w:val="008C5179"/>
    <w:rsid w:val="008C5365"/>
    <w:rsid w:val="008C61F5"/>
    <w:rsid w:val="008C6405"/>
    <w:rsid w:val="008C6723"/>
    <w:rsid w:val="008C6863"/>
    <w:rsid w:val="008C696E"/>
    <w:rsid w:val="008C6B19"/>
    <w:rsid w:val="008C6EE5"/>
    <w:rsid w:val="008C6F6B"/>
    <w:rsid w:val="008C7B68"/>
    <w:rsid w:val="008D0206"/>
    <w:rsid w:val="008D0B47"/>
    <w:rsid w:val="008D0C5B"/>
    <w:rsid w:val="008D1C97"/>
    <w:rsid w:val="008D1E26"/>
    <w:rsid w:val="008D1E4E"/>
    <w:rsid w:val="008D2144"/>
    <w:rsid w:val="008D2601"/>
    <w:rsid w:val="008D263E"/>
    <w:rsid w:val="008D30F7"/>
    <w:rsid w:val="008D35FF"/>
    <w:rsid w:val="008D3AA6"/>
    <w:rsid w:val="008D3D9C"/>
    <w:rsid w:val="008D42DA"/>
    <w:rsid w:val="008D478E"/>
    <w:rsid w:val="008D517D"/>
    <w:rsid w:val="008D54B3"/>
    <w:rsid w:val="008D54CA"/>
    <w:rsid w:val="008D55A2"/>
    <w:rsid w:val="008D571B"/>
    <w:rsid w:val="008D5805"/>
    <w:rsid w:val="008D58CE"/>
    <w:rsid w:val="008D58F3"/>
    <w:rsid w:val="008D6114"/>
    <w:rsid w:val="008D77D9"/>
    <w:rsid w:val="008D7B8C"/>
    <w:rsid w:val="008D7E33"/>
    <w:rsid w:val="008E0059"/>
    <w:rsid w:val="008E050B"/>
    <w:rsid w:val="008E1457"/>
    <w:rsid w:val="008E149B"/>
    <w:rsid w:val="008E170F"/>
    <w:rsid w:val="008E19A5"/>
    <w:rsid w:val="008E1A48"/>
    <w:rsid w:val="008E2A4A"/>
    <w:rsid w:val="008E2D4F"/>
    <w:rsid w:val="008E3D29"/>
    <w:rsid w:val="008E432F"/>
    <w:rsid w:val="008E44C2"/>
    <w:rsid w:val="008E452C"/>
    <w:rsid w:val="008E49CE"/>
    <w:rsid w:val="008E5346"/>
    <w:rsid w:val="008E5357"/>
    <w:rsid w:val="008E56FB"/>
    <w:rsid w:val="008E571B"/>
    <w:rsid w:val="008E61BC"/>
    <w:rsid w:val="008E6332"/>
    <w:rsid w:val="008E63F4"/>
    <w:rsid w:val="008E65F2"/>
    <w:rsid w:val="008E694E"/>
    <w:rsid w:val="008E69DF"/>
    <w:rsid w:val="008E78EA"/>
    <w:rsid w:val="008E7B87"/>
    <w:rsid w:val="008F079F"/>
    <w:rsid w:val="008F07FF"/>
    <w:rsid w:val="008F1005"/>
    <w:rsid w:val="008F11DD"/>
    <w:rsid w:val="008F130E"/>
    <w:rsid w:val="008F1374"/>
    <w:rsid w:val="008F1A6D"/>
    <w:rsid w:val="008F1CEE"/>
    <w:rsid w:val="008F225E"/>
    <w:rsid w:val="008F2438"/>
    <w:rsid w:val="008F2E4E"/>
    <w:rsid w:val="008F2E93"/>
    <w:rsid w:val="008F319B"/>
    <w:rsid w:val="008F31DD"/>
    <w:rsid w:val="008F33FE"/>
    <w:rsid w:val="008F3BA5"/>
    <w:rsid w:val="008F400A"/>
    <w:rsid w:val="008F41CC"/>
    <w:rsid w:val="008F41E0"/>
    <w:rsid w:val="008F45BD"/>
    <w:rsid w:val="008F4741"/>
    <w:rsid w:val="008F4E2D"/>
    <w:rsid w:val="008F4FE7"/>
    <w:rsid w:val="008F55E5"/>
    <w:rsid w:val="008F5639"/>
    <w:rsid w:val="008F6002"/>
    <w:rsid w:val="008F62CE"/>
    <w:rsid w:val="008F66AD"/>
    <w:rsid w:val="008F674E"/>
    <w:rsid w:val="008F6994"/>
    <w:rsid w:val="008F712D"/>
    <w:rsid w:val="008F7216"/>
    <w:rsid w:val="008F7294"/>
    <w:rsid w:val="008F7672"/>
    <w:rsid w:val="008F7B66"/>
    <w:rsid w:val="00900171"/>
    <w:rsid w:val="0090051A"/>
    <w:rsid w:val="00900863"/>
    <w:rsid w:val="00900E80"/>
    <w:rsid w:val="00901067"/>
    <w:rsid w:val="00901331"/>
    <w:rsid w:val="009017FF"/>
    <w:rsid w:val="009023A7"/>
    <w:rsid w:val="00902441"/>
    <w:rsid w:val="0090269A"/>
    <w:rsid w:val="009029F1"/>
    <w:rsid w:val="00902AE2"/>
    <w:rsid w:val="00903DBA"/>
    <w:rsid w:val="00903EDE"/>
    <w:rsid w:val="00903FBF"/>
    <w:rsid w:val="00904268"/>
    <w:rsid w:val="00904B65"/>
    <w:rsid w:val="00905055"/>
    <w:rsid w:val="00905799"/>
    <w:rsid w:val="00905C38"/>
    <w:rsid w:val="00905DFF"/>
    <w:rsid w:val="0090610D"/>
    <w:rsid w:val="00906421"/>
    <w:rsid w:val="009069F7"/>
    <w:rsid w:val="00906F62"/>
    <w:rsid w:val="00906F92"/>
    <w:rsid w:val="009076C8"/>
    <w:rsid w:val="00907A52"/>
    <w:rsid w:val="00907BE0"/>
    <w:rsid w:val="00907C5C"/>
    <w:rsid w:val="0091018F"/>
    <w:rsid w:val="009102BA"/>
    <w:rsid w:val="00910441"/>
    <w:rsid w:val="00910610"/>
    <w:rsid w:val="009112FB"/>
    <w:rsid w:val="00911538"/>
    <w:rsid w:val="00911C2C"/>
    <w:rsid w:val="009122CD"/>
    <w:rsid w:val="00912FA4"/>
    <w:rsid w:val="00912FD4"/>
    <w:rsid w:val="009135E7"/>
    <w:rsid w:val="00913BAD"/>
    <w:rsid w:val="00913E7B"/>
    <w:rsid w:val="00914142"/>
    <w:rsid w:val="00914841"/>
    <w:rsid w:val="00914AE6"/>
    <w:rsid w:val="00914DC9"/>
    <w:rsid w:val="00915057"/>
    <w:rsid w:val="00915527"/>
    <w:rsid w:val="0091588A"/>
    <w:rsid w:val="00915999"/>
    <w:rsid w:val="00915C56"/>
    <w:rsid w:val="00915C6C"/>
    <w:rsid w:val="00915FC3"/>
    <w:rsid w:val="00916245"/>
    <w:rsid w:val="00916903"/>
    <w:rsid w:val="00916A9C"/>
    <w:rsid w:val="00916E56"/>
    <w:rsid w:val="00916FD2"/>
    <w:rsid w:val="00917075"/>
    <w:rsid w:val="009172ED"/>
    <w:rsid w:val="00917617"/>
    <w:rsid w:val="00920663"/>
    <w:rsid w:val="0092087F"/>
    <w:rsid w:val="00920A81"/>
    <w:rsid w:val="00920DFD"/>
    <w:rsid w:val="00920EFA"/>
    <w:rsid w:val="0092109D"/>
    <w:rsid w:val="009210FF"/>
    <w:rsid w:val="009216F4"/>
    <w:rsid w:val="0092178E"/>
    <w:rsid w:val="009217B8"/>
    <w:rsid w:val="00921B5D"/>
    <w:rsid w:val="009222F1"/>
    <w:rsid w:val="00922496"/>
    <w:rsid w:val="009227C7"/>
    <w:rsid w:val="009231A1"/>
    <w:rsid w:val="009232C4"/>
    <w:rsid w:val="009235A9"/>
    <w:rsid w:val="0092413E"/>
    <w:rsid w:val="00924145"/>
    <w:rsid w:val="009241BA"/>
    <w:rsid w:val="00924774"/>
    <w:rsid w:val="00924A64"/>
    <w:rsid w:val="00925466"/>
    <w:rsid w:val="009254C5"/>
    <w:rsid w:val="00925683"/>
    <w:rsid w:val="0092570D"/>
    <w:rsid w:val="00925A37"/>
    <w:rsid w:val="00925AF2"/>
    <w:rsid w:val="0092655A"/>
    <w:rsid w:val="009267BF"/>
    <w:rsid w:val="0092685F"/>
    <w:rsid w:val="00926A1E"/>
    <w:rsid w:val="00926E0A"/>
    <w:rsid w:val="00927416"/>
    <w:rsid w:val="009274DE"/>
    <w:rsid w:val="00927D87"/>
    <w:rsid w:val="00927E6E"/>
    <w:rsid w:val="009300BF"/>
    <w:rsid w:val="00930385"/>
    <w:rsid w:val="0093041C"/>
    <w:rsid w:val="00930437"/>
    <w:rsid w:val="009308C3"/>
    <w:rsid w:val="00930A88"/>
    <w:rsid w:val="00931161"/>
    <w:rsid w:val="00931231"/>
    <w:rsid w:val="0093129C"/>
    <w:rsid w:val="00931482"/>
    <w:rsid w:val="00931773"/>
    <w:rsid w:val="00931AE4"/>
    <w:rsid w:val="00931BE1"/>
    <w:rsid w:val="009333D6"/>
    <w:rsid w:val="00933638"/>
    <w:rsid w:val="009336A9"/>
    <w:rsid w:val="0093524A"/>
    <w:rsid w:val="009353D4"/>
    <w:rsid w:val="00935B98"/>
    <w:rsid w:val="00935BC4"/>
    <w:rsid w:val="00935EC4"/>
    <w:rsid w:val="009363D6"/>
    <w:rsid w:val="00936FBD"/>
    <w:rsid w:val="0093701B"/>
    <w:rsid w:val="009370CC"/>
    <w:rsid w:val="0093726C"/>
    <w:rsid w:val="0093757F"/>
    <w:rsid w:val="00937A4A"/>
    <w:rsid w:val="00937E07"/>
    <w:rsid w:val="00937FC2"/>
    <w:rsid w:val="00937FEC"/>
    <w:rsid w:val="0094086E"/>
    <w:rsid w:val="00940CF6"/>
    <w:rsid w:val="00941020"/>
    <w:rsid w:val="009412EA"/>
    <w:rsid w:val="00941EA3"/>
    <w:rsid w:val="00942150"/>
    <w:rsid w:val="00942493"/>
    <w:rsid w:val="009428A0"/>
    <w:rsid w:val="0094392C"/>
    <w:rsid w:val="00943A7B"/>
    <w:rsid w:val="00943CF8"/>
    <w:rsid w:val="0094400B"/>
    <w:rsid w:val="0094433F"/>
    <w:rsid w:val="00944E44"/>
    <w:rsid w:val="0094508C"/>
    <w:rsid w:val="009457B5"/>
    <w:rsid w:val="009457F2"/>
    <w:rsid w:val="00946256"/>
    <w:rsid w:val="009462BA"/>
    <w:rsid w:val="009462D7"/>
    <w:rsid w:val="00946864"/>
    <w:rsid w:val="00946BF6"/>
    <w:rsid w:val="009477C3"/>
    <w:rsid w:val="0094781C"/>
    <w:rsid w:val="0094789A"/>
    <w:rsid w:val="00947C2A"/>
    <w:rsid w:val="00947CED"/>
    <w:rsid w:val="00947FA6"/>
    <w:rsid w:val="00950C3C"/>
    <w:rsid w:val="00950F31"/>
    <w:rsid w:val="0095113C"/>
    <w:rsid w:val="00951365"/>
    <w:rsid w:val="00951437"/>
    <w:rsid w:val="00952098"/>
    <w:rsid w:val="00952364"/>
    <w:rsid w:val="00952600"/>
    <w:rsid w:val="00952E1D"/>
    <w:rsid w:val="00952F53"/>
    <w:rsid w:val="009536B9"/>
    <w:rsid w:val="009536C6"/>
    <w:rsid w:val="00953A74"/>
    <w:rsid w:val="00953B25"/>
    <w:rsid w:val="00953EB2"/>
    <w:rsid w:val="009540CE"/>
    <w:rsid w:val="009541E0"/>
    <w:rsid w:val="00954291"/>
    <w:rsid w:val="009544E6"/>
    <w:rsid w:val="009548EA"/>
    <w:rsid w:val="00954A33"/>
    <w:rsid w:val="009550E6"/>
    <w:rsid w:val="009551C5"/>
    <w:rsid w:val="00955506"/>
    <w:rsid w:val="009555A0"/>
    <w:rsid w:val="009555CF"/>
    <w:rsid w:val="00955610"/>
    <w:rsid w:val="0095665E"/>
    <w:rsid w:val="009568AA"/>
    <w:rsid w:val="00956BE1"/>
    <w:rsid w:val="00956CBC"/>
    <w:rsid w:val="00956F79"/>
    <w:rsid w:val="0095710A"/>
    <w:rsid w:val="00957204"/>
    <w:rsid w:val="00957778"/>
    <w:rsid w:val="00957A12"/>
    <w:rsid w:val="00957B8A"/>
    <w:rsid w:val="00957D0E"/>
    <w:rsid w:val="00960570"/>
    <w:rsid w:val="009605F7"/>
    <w:rsid w:val="00960B95"/>
    <w:rsid w:val="00960E3A"/>
    <w:rsid w:val="00961171"/>
    <w:rsid w:val="00961195"/>
    <w:rsid w:val="009615D5"/>
    <w:rsid w:val="00961B59"/>
    <w:rsid w:val="00961C3B"/>
    <w:rsid w:val="00961C74"/>
    <w:rsid w:val="00961D40"/>
    <w:rsid w:val="00961D96"/>
    <w:rsid w:val="00961DE9"/>
    <w:rsid w:val="00961EB3"/>
    <w:rsid w:val="00961ED5"/>
    <w:rsid w:val="009622A3"/>
    <w:rsid w:val="009623B2"/>
    <w:rsid w:val="009625CF"/>
    <w:rsid w:val="00962663"/>
    <w:rsid w:val="009629D9"/>
    <w:rsid w:val="00962D8B"/>
    <w:rsid w:val="009635F4"/>
    <w:rsid w:val="009639AD"/>
    <w:rsid w:val="00963AE3"/>
    <w:rsid w:val="00963EE5"/>
    <w:rsid w:val="00964202"/>
    <w:rsid w:val="00964663"/>
    <w:rsid w:val="0096483D"/>
    <w:rsid w:val="0096499B"/>
    <w:rsid w:val="00964A72"/>
    <w:rsid w:val="00964CE6"/>
    <w:rsid w:val="00965330"/>
    <w:rsid w:val="00965448"/>
    <w:rsid w:val="0096577F"/>
    <w:rsid w:val="00965C91"/>
    <w:rsid w:val="00965D93"/>
    <w:rsid w:val="0096632B"/>
    <w:rsid w:val="009663C3"/>
    <w:rsid w:val="0096680D"/>
    <w:rsid w:val="00966B72"/>
    <w:rsid w:val="00966EB2"/>
    <w:rsid w:val="009672F8"/>
    <w:rsid w:val="00967AD4"/>
    <w:rsid w:val="00967B4E"/>
    <w:rsid w:val="00967E6E"/>
    <w:rsid w:val="009702F9"/>
    <w:rsid w:val="0097037F"/>
    <w:rsid w:val="00970C74"/>
    <w:rsid w:val="00970C9F"/>
    <w:rsid w:val="00970D6C"/>
    <w:rsid w:val="00971064"/>
    <w:rsid w:val="009715A6"/>
    <w:rsid w:val="009718A2"/>
    <w:rsid w:val="00971BE2"/>
    <w:rsid w:val="00971C68"/>
    <w:rsid w:val="0097221E"/>
    <w:rsid w:val="009727D6"/>
    <w:rsid w:val="009729BB"/>
    <w:rsid w:val="00972A21"/>
    <w:rsid w:val="00972A50"/>
    <w:rsid w:val="00972AE3"/>
    <w:rsid w:val="00972F54"/>
    <w:rsid w:val="009730D2"/>
    <w:rsid w:val="00973445"/>
    <w:rsid w:val="009734F2"/>
    <w:rsid w:val="00973BB9"/>
    <w:rsid w:val="00973D1A"/>
    <w:rsid w:val="00973F64"/>
    <w:rsid w:val="0097440C"/>
    <w:rsid w:val="00974508"/>
    <w:rsid w:val="00974C6B"/>
    <w:rsid w:val="00974F95"/>
    <w:rsid w:val="00975761"/>
    <w:rsid w:val="009759DC"/>
    <w:rsid w:val="00976757"/>
    <w:rsid w:val="00976FCE"/>
    <w:rsid w:val="009770A3"/>
    <w:rsid w:val="0097724F"/>
    <w:rsid w:val="00980503"/>
    <w:rsid w:val="00980753"/>
    <w:rsid w:val="00980BD0"/>
    <w:rsid w:val="00981289"/>
    <w:rsid w:val="00981A1B"/>
    <w:rsid w:val="00981AD6"/>
    <w:rsid w:val="00981AFC"/>
    <w:rsid w:val="0098224B"/>
    <w:rsid w:val="00982591"/>
    <w:rsid w:val="00982636"/>
    <w:rsid w:val="009826B2"/>
    <w:rsid w:val="0098278F"/>
    <w:rsid w:val="009828AE"/>
    <w:rsid w:val="009834CB"/>
    <w:rsid w:val="009836AD"/>
    <w:rsid w:val="00983930"/>
    <w:rsid w:val="00983E04"/>
    <w:rsid w:val="0098402F"/>
    <w:rsid w:val="0098459D"/>
    <w:rsid w:val="009846FC"/>
    <w:rsid w:val="00984732"/>
    <w:rsid w:val="00984AB3"/>
    <w:rsid w:val="00984ABA"/>
    <w:rsid w:val="00984B99"/>
    <w:rsid w:val="00985434"/>
    <w:rsid w:val="00985C37"/>
    <w:rsid w:val="00985C61"/>
    <w:rsid w:val="00985CFD"/>
    <w:rsid w:val="00985F2D"/>
    <w:rsid w:val="00986654"/>
    <w:rsid w:val="00986951"/>
    <w:rsid w:val="00986B2A"/>
    <w:rsid w:val="00986F99"/>
    <w:rsid w:val="00987731"/>
    <w:rsid w:val="00987CCF"/>
    <w:rsid w:val="00987D9B"/>
    <w:rsid w:val="0099039E"/>
    <w:rsid w:val="00990512"/>
    <w:rsid w:val="009912BB"/>
    <w:rsid w:val="00991427"/>
    <w:rsid w:val="0099159D"/>
    <w:rsid w:val="0099165E"/>
    <w:rsid w:val="009917FE"/>
    <w:rsid w:val="00992292"/>
    <w:rsid w:val="00992B8F"/>
    <w:rsid w:val="00992BEA"/>
    <w:rsid w:val="009931F0"/>
    <w:rsid w:val="00993620"/>
    <w:rsid w:val="00993D69"/>
    <w:rsid w:val="009944A7"/>
    <w:rsid w:val="009944C1"/>
    <w:rsid w:val="00994543"/>
    <w:rsid w:val="00994C96"/>
    <w:rsid w:val="00994DAD"/>
    <w:rsid w:val="00994EE6"/>
    <w:rsid w:val="009957B1"/>
    <w:rsid w:val="00995904"/>
    <w:rsid w:val="00995AE0"/>
    <w:rsid w:val="0099616D"/>
    <w:rsid w:val="0099620E"/>
    <w:rsid w:val="00996B20"/>
    <w:rsid w:val="00996DE1"/>
    <w:rsid w:val="009970C4"/>
    <w:rsid w:val="0099738A"/>
    <w:rsid w:val="00997458"/>
    <w:rsid w:val="00997545"/>
    <w:rsid w:val="00997BE7"/>
    <w:rsid w:val="00997E12"/>
    <w:rsid w:val="00997EEE"/>
    <w:rsid w:val="00997FF0"/>
    <w:rsid w:val="009A0174"/>
    <w:rsid w:val="009A02BA"/>
    <w:rsid w:val="009A0678"/>
    <w:rsid w:val="009A0785"/>
    <w:rsid w:val="009A097A"/>
    <w:rsid w:val="009A0EAC"/>
    <w:rsid w:val="009A0F8C"/>
    <w:rsid w:val="009A11BE"/>
    <w:rsid w:val="009A147A"/>
    <w:rsid w:val="009A157B"/>
    <w:rsid w:val="009A17A8"/>
    <w:rsid w:val="009A1D43"/>
    <w:rsid w:val="009A23A7"/>
    <w:rsid w:val="009A2E73"/>
    <w:rsid w:val="009A2F84"/>
    <w:rsid w:val="009A31E0"/>
    <w:rsid w:val="009A3652"/>
    <w:rsid w:val="009A3991"/>
    <w:rsid w:val="009A3D71"/>
    <w:rsid w:val="009A3EB0"/>
    <w:rsid w:val="009A3F7B"/>
    <w:rsid w:val="009A4433"/>
    <w:rsid w:val="009A44EE"/>
    <w:rsid w:val="009A4955"/>
    <w:rsid w:val="009A4F58"/>
    <w:rsid w:val="009A530F"/>
    <w:rsid w:val="009A54F0"/>
    <w:rsid w:val="009A5BC0"/>
    <w:rsid w:val="009A5F0C"/>
    <w:rsid w:val="009A5F5C"/>
    <w:rsid w:val="009A602D"/>
    <w:rsid w:val="009A632F"/>
    <w:rsid w:val="009A6422"/>
    <w:rsid w:val="009A6A96"/>
    <w:rsid w:val="009A6E8E"/>
    <w:rsid w:val="009A7572"/>
    <w:rsid w:val="009A7A70"/>
    <w:rsid w:val="009A7B95"/>
    <w:rsid w:val="009A7D98"/>
    <w:rsid w:val="009A7EDD"/>
    <w:rsid w:val="009A7FE4"/>
    <w:rsid w:val="009B02DB"/>
    <w:rsid w:val="009B0494"/>
    <w:rsid w:val="009B04B1"/>
    <w:rsid w:val="009B05E5"/>
    <w:rsid w:val="009B0EE3"/>
    <w:rsid w:val="009B1820"/>
    <w:rsid w:val="009B225F"/>
    <w:rsid w:val="009B2809"/>
    <w:rsid w:val="009B287A"/>
    <w:rsid w:val="009B29DC"/>
    <w:rsid w:val="009B2AC4"/>
    <w:rsid w:val="009B2CF6"/>
    <w:rsid w:val="009B3D94"/>
    <w:rsid w:val="009B3E31"/>
    <w:rsid w:val="009B4724"/>
    <w:rsid w:val="009B489D"/>
    <w:rsid w:val="009B4C52"/>
    <w:rsid w:val="009B4F54"/>
    <w:rsid w:val="009B4FE8"/>
    <w:rsid w:val="009B5081"/>
    <w:rsid w:val="009B56C3"/>
    <w:rsid w:val="009B5733"/>
    <w:rsid w:val="009B574B"/>
    <w:rsid w:val="009B666F"/>
    <w:rsid w:val="009B6799"/>
    <w:rsid w:val="009B6B66"/>
    <w:rsid w:val="009B6E0C"/>
    <w:rsid w:val="009B7071"/>
    <w:rsid w:val="009B72D7"/>
    <w:rsid w:val="009B731F"/>
    <w:rsid w:val="009B7AE1"/>
    <w:rsid w:val="009C00DB"/>
    <w:rsid w:val="009C0304"/>
    <w:rsid w:val="009C0412"/>
    <w:rsid w:val="009C0445"/>
    <w:rsid w:val="009C063E"/>
    <w:rsid w:val="009C0A7F"/>
    <w:rsid w:val="009C0DE0"/>
    <w:rsid w:val="009C1142"/>
    <w:rsid w:val="009C11DF"/>
    <w:rsid w:val="009C159E"/>
    <w:rsid w:val="009C1972"/>
    <w:rsid w:val="009C1A3F"/>
    <w:rsid w:val="009C1FD5"/>
    <w:rsid w:val="009C2340"/>
    <w:rsid w:val="009C248B"/>
    <w:rsid w:val="009C248F"/>
    <w:rsid w:val="009C2989"/>
    <w:rsid w:val="009C2BA5"/>
    <w:rsid w:val="009C3464"/>
    <w:rsid w:val="009C3522"/>
    <w:rsid w:val="009C3AA8"/>
    <w:rsid w:val="009C412D"/>
    <w:rsid w:val="009C42DF"/>
    <w:rsid w:val="009C43C1"/>
    <w:rsid w:val="009C4538"/>
    <w:rsid w:val="009C4714"/>
    <w:rsid w:val="009C475C"/>
    <w:rsid w:val="009C4A0A"/>
    <w:rsid w:val="009C4B3C"/>
    <w:rsid w:val="009C563F"/>
    <w:rsid w:val="009C599A"/>
    <w:rsid w:val="009C5FDD"/>
    <w:rsid w:val="009C644B"/>
    <w:rsid w:val="009C64F2"/>
    <w:rsid w:val="009C65B9"/>
    <w:rsid w:val="009C66C8"/>
    <w:rsid w:val="009C68C9"/>
    <w:rsid w:val="009C69A6"/>
    <w:rsid w:val="009C6A66"/>
    <w:rsid w:val="009C7395"/>
    <w:rsid w:val="009C781B"/>
    <w:rsid w:val="009C7D13"/>
    <w:rsid w:val="009C7DA0"/>
    <w:rsid w:val="009D081A"/>
    <w:rsid w:val="009D08C5"/>
    <w:rsid w:val="009D0CE8"/>
    <w:rsid w:val="009D1296"/>
    <w:rsid w:val="009D17EC"/>
    <w:rsid w:val="009D1D89"/>
    <w:rsid w:val="009D269E"/>
    <w:rsid w:val="009D278E"/>
    <w:rsid w:val="009D2B17"/>
    <w:rsid w:val="009D2BF2"/>
    <w:rsid w:val="009D2F4A"/>
    <w:rsid w:val="009D3131"/>
    <w:rsid w:val="009D3430"/>
    <w:rsid w:val="009D37A1"/>
    <w:rsid w:val="009D3988"/>
    <w:rsid w:val="009D3D3C"/>
    <w:rsid w:val="009D3EF1"/>
    <w:rsid w:val="009D40B3"/>
    <w:rsid w:val="009D41D5"/>
    <w:rsid w:val="009D4313"/>
    <w:rsid w:val="009D51AF"/>
    <w:rsid w:val="009D5604"/>
    <w:rsid w:val="009D56C4"/>
    <w:rsid w:val="009D573A"/>
    <w:rsid w:val="009D57FA"/>
    <w:rsid w:val="009D5BCB"/>
    <w:rsid w:val="009D5F36"/>
    <w:rsid w:val="009D60AE"/>
    <w:rsid w:val="009D6890"/>
    <w:rsid w:val="009D746D"/>
    <w:rsid w:val="009D7B3F"/>
    <w:rsid w:val="009E046E"/>
    <w:rsid w:val="009E04D4"/>
    <w:rsid w:val="009E0B98"/>
    <w:rsid w:val="009E0DE8"/>
    <w:rsid w:val="009E1862"/>
    <w:rsid w:val="009E1893"/>
    <w:rsid w:val="009E1A6B"/>
    <w:rsid w:val="009E2768"/>
    <w:rsid w:val="009E297B"/>
    <w:rsid w:val="009E2A46"/>
    <w:rsid w:val="009E2B69"/>
    <w:rsid w:val="009E3028"/>
    <w:rsid w:val="009E3077"/>
    <w:rsid w:val="009E3360"/>
    <w:rsid w:val="009E34BA"/>
    <w:rsid w:val="009E38A3"/>
    <w:rsid w:val="009E3954"/>
    <w:rsid w:val="009E3EBE"/>
    <w:rsid w:val="009E4586"/>
    <w:rsid w:val="009E45C5"/>
    <w:rsid w:val="009E4824"/>
    <w:rsid w:val="009E4D4E"/>
    <w:rsid w:val="009E50F2"/>
    <w:rsid w:val="009E557D"/>
    <w:rsid w:val="009E6114"/>
    <w:rsid w:val="009E658E"/>
    <w:rsid w:val="009E690F"/>
    <w:rsid w:val="009E7B01"/>
    <w:rsid w:val="009E7C7A"/>
    <w:rsid w:val="009E7E9B"/>
    <w:rsid w:val="009F02B9"/>
    <w:rsid w:val="009F033F"/>
    <w:rsid w:val="009F04B9"/>
    <w:rsid w:val="009F0573"/>
    <w:rsid w:val="009F05CE"/>
    <w:rsid w:val="009F0ACD"/>
    <w:rsid w:val="009F0D43"/>
    <w:rsid w:val="009F13FA"/>
    <w:rsid w:val="009F14A2"/>
    <w:rsid w:val="009F1FC1"/>
    <w:rsid w:val="009F2430"/>
    <w:rsid w:val="009F266D"/>
    <w:rsid w:val="009F26C6"/>
    <w:rsid w:val="009F2BF5"/>
    <w:rsid w:val="009F2D12"/>
    <w:rsid w:val="009F2E3E"/>
    <w:rsid w:val="009F39E0"/>
    <w:rsid w:val="009F3BA4"/>
    <w:rsid w:val="009F3E0D"/>
    <w:rsid w:val="009F4274"/>
    <w:rsid w:val="009F45AE"/>
    <w:rsid w:val="009F491E"/>
    <w:rsid w:val="009F50F9"/>
    <w:rsid w:val="009F5303"/>
    <w:rsid w:val="009F552E"/>
    <w:rsid w:val="009F56A7"/>
    <w:rsid w:val="009F5B6B"/>
    <w:rsid w:val="009F5C15"/>
    <w:rsid w:val="009F63E5"/>
    <w:rsid w:val="009F6E68"/>
    <w:rsid w:val="009F70BF"/>
    <w:rsid w:val="009F70C1"/>
    <w:rsid w:val="009F727D"/>
    <w:rsid w:val="009F76C0"/>
    <w:rsid w:val="009F7815"/>
    <w:rsid w:val="00A0037E"/>
    <w:rsid w:val="00A00A9B"/>
    <w:rsid w:val="00A00CAE"/>
    <w:rsid w:val="00A00FE3"/>
    <w:rsid w:val="00A01133"/>
    <w:rsid w:val="00A017BC"/>
    <w:rsid w:val="00A026F2"/>
    <w:rsid w:val="00A02B5C"/>
    <w:rsid w:val="00A0321D"/>
    <w:rsid w:val="00A045CC"/>
    <w:rsid w:val="00A045EE"/>
    <w:rsid w:val="00A047B2"/>
    <w:rsid w:val="00A047DC"/>
    <w:rsid w:val="00A04CB3"/>
    <w:rsid w:val="00A04DD1"/>
    <w:rsid w:val="00A04DFF"/>
    <w:rsid w:val="00A05180"/>
    <w:rsid w:val="00A05453"/>
    <w:rsid w:val="00A0586C"/>
    <w:rsid w:val="00A05A9C"/>
    <w:rsid w:val="00A05D3E"/>
    <w:rsid w:val="00A05F47"/>
    <w:rsid w:val="00A064C7"/>
    <w:rsid w:val="00A06728"/>
    <w:rsid w:val="00A06EE8"/>
    <w:rsid w:val="00A0731D"/>
    <w:rsid w:val="00A07656"/>
    <w:rsid w:val="00A07B8F"/>
    <w:rsid w:val="00A07E8C"/>
    <w:rsid w:val="00A07F7C"/>
    <w:rsid w:val="00A10096"/>
    <w:rsid w:val="00A101FC"/>
    <w:rsid w:val="00A10482"/>
    <w:rsid w:val="00A10684"/>
    <w:rsid w:val="00A106B2"/>
    <w:rsid w:val="00A1099E"/>
    <w:rsid w:val="00A10AB3"/>
    <w:rsid w:val="00A11293"/>
    <w:rsid w:val="00A11A3E"/>
    <w:rsid w:val="00A11C33"/>
    <w:rsid w:val="00A1248E"/>
    <w:rsid w:val="00A124D6"/>
    <w:rsid w:val="00A12567"/>
    <w:rsid w:val="00A125BC"/>
    <w:rsid w:val="00A128A4"/>
    <w:rsid w:val="00A12FFF"/>
    <w:rsid w:val="00A132BC"/>
    <w:rsid w:val="00A134D6"/>
    <w:rsid w:val="00A13982"/>
    <w:rsid w:val="00A13D52"/>
    <w:rsid w:val="00A13E44"/>
    <w:rsid w:val="00A14048"/>
    <w:rsid w:val="00A144B7"/>
    <w:rsid w:val="00A14580"/>
    <w:rsid w:val="00A14938"/>
    <w:rsid w:val="00A149AD"/>
    <w:rsid w:val="00A14EC3"/>
    <w:rsid w:val="00A15798"/>
    <w:rsid w:val="00A15937"/>
    <w:rsid w:val="00A15B4A"/>
    <w:rsid w:val="00A15C9B"/>
    <w:rsid w:val="00A15DE1"/>
    <w:rsid w:val="00A15E77"/>
    <w:rsid w:val="00A164E0"/>
    <w:rsid w:val="00A169AD"/>
    <w:rsid w:val="00A174C9"/>
    <w:rsid w:val="00A177AF"/>
    <w:rsid w:val="00A1787E"/>
    <w:rsid w:val="00A17CD5"/>
    <w:rsid w:val="00A203E0"/>
    <w:rsid w:val="00A2069A"/>
    <w:rsid w:val="00A20A11"/>
    <w:rsid w:val="00A20AAF"/>
    <w:rsid w:val="00A20C22"/>
    <w:rsid w:val="00A20D7F"/>
    <w:rsid w:val="00A20DBE"/>
    <w:rsid w:val="00A20F2F"/>
    <w:rsid w:val="00A2175F"/>
    <w:rsid w:val="00A2186C"/>
    <w:rsid w:val="00A21BFB"/>
    <w:rsid w:val="00A22796"/>
    <w:rsid w:val="00A22CEF"/>
    <w:rsid w:val="00A23611"/>
    <w:rsid w:val="00A238BA"/>
    <w:rsid w:val="00A23E8B"/>
    <w:rsid w:val="00A247F4"/>
    <w:rsid w:val="00A24B6F"/>
    <w:rsid w:val="00A25457"/>
    <w:rsid w:val="00A25DC4"/>
    <w:rsid w:val="00A25F2E"/>
    <w:rsid w:val="00A2609E"/>
    <w:rsid w:val="00A26678"/>
    <w:rsid w:val="00A266E8"/>
    <w:rsid w:val="00A26900"/>
    <w:rsid w:val="00A26F8A"/>
    <w:rsid w:val="00A27014"/>
    <w:rsid w:val="00A27020"/>
    <w:rsid w:val="00A2739C"/>
    <w:rsid w:val="00A27BEF"/>
    <w:rsid w:val="00A27CAE"/>
    <w:rsid w:val="00A27CFD"/>
    <w:rsid w:val="00A30BA1"/>
    <w:rsid w:val="00A30E6D"/>
    <w:rsid w:val="00A312D3"/>
    <w:rsid w:val="00A31329"/>
    <w:rsid w:val="00A31415"/>
    <w:rsid w:val="00A31768"/>
    <w:rsid w:val="00A32013"/>
    <w:rsid w:val="00A320D6"/>
    <w:rsid w:val="00A327DF"/>
    <w:rsid w:val="00A32B14"/>
    <w:rsid w:val="00A330C2"/>
    <w:rsid w:val="00A331A5"/>
    <w:rsid w:val="00A3357C"/>
    <w:rsid w:val="00A33B3D"/>
    <w:rsid w:val="00A33D79"/>
    <w:rsid w:val="00A33D89"/>
    <w:rsid w:val="00A341E0"/>
    <w:rsid w:val="00A3461A"/>
    <w:rsid w:val="00A34942"/>
    <w:rsid w:val="00A34FA0"/>
    <w:rsid w:val="00A3559F"/>
    <w:rsid w:val="00A3580B"/>
    <w:rsid w:val="00A36389"/>
    <w:rsid w:val="00A3643F"/>
    <w:rsid w:val="00A3685E"/>
    <w:rsid w:val="00A36EDC"/>
    <w:rsid w:val="00A36FE4"/>
    <w:rsid w:val="00A3755F"/>
    <w:rsid w:val="00A375B3"/>
    <w:rsid w:val="00A3768F"/>
    <w:rsid w:val="00A37710"/>
    <w:rsid w:val="00A37803"/>
    <w:rsid w:val="00A37E24"/>
    <w:rsid w:val="00A40A18"/>
    <w:rsid w:val="00A40BA2"/>
    <w:rsid w:val="00A41886"/>
    <w:rsid w:val="00A41C7D"/>
    <w:rsid w:val="00A41F7F"/>
    <w:rsid w:val="00A4249E"/>
    <w:rsid w:val="00A427F5"/>
    <w:rsid w:val="00A4312F"/>
    <w:rsid w:val="00A43350"/>
    <w:rsid w:val="00A437A6"/>
    <w:rsid w:val="00A440C0"/>
    <w:rsid w:val="00A441E7"/>
    <w:rsid w:val="00A44346"/>
    <w:rsid w:val="00A44B68"/>
    <w:rsid w:val="00A44EA7"/>
    <w:rsid w:val="00A4512D"/>
    <w:rsid w:val="00A45142"/>
    <w:rsid w:val="00A45564"/>
    <w:rsid w:val="00A4583E"/>
    <w:rsid w:val="00A45F6E"/>
    <w:rsid w:val="00A4608B"/>
    <w:rsid w:val="00A46B31"/>
    <w:rsid w:val="00A46BAE"/>
    <w:rsid w:val="00A46EE4"/>
    <w:rsid w:val="00A4708F"/>
    <w:rsid w:val="00A47110"/>
    <w:rsid w:val="00A47484"/>
    <w:rsid w:val="00A47BC2"/>
    <w:rsid w:val="00A500D1"/>
    <w:rsid w:val="00A50144"/>
    <w:rsid w:val="00A50377"/>
    <w:rsid w:val="00A50700"/>
    <w:rsid w:val="00A508E1"/>
    <w:rsid w:val="00A50A41"/>
    <w:rsid w:val="00A50FF3"/>
    <w:rsid w:val="00A510C9"/>
    <w:rsid w:val="00A51FB6"/>
    <w:rsid w:val="00A52004"/>
    <w:rsid w:val="00A523F6"/>
    <w:rsid w:val="00A52825"/>
    <w:rsid w:val="00A52A2B"/>
    <w:rsid w:val="00A52AC7"/>
    <w:rsid w:val="00A5307F"/>
    <w:rsid w:val="00A534A2"/>
    <w:rsid w:val="00A537C6"/>
    <w:rsid w:val="00A5399E"/>
    <w:rsid w:val="00A54127"/>
    <w:rsid w:val="00A546B7"/>
    <w:rsid w:val="00A546EC"/>
    <w:rsid w:val="00A54EE9"/>
    <w:rsid w:val="00A54F70"/>
    <w:rsid w:val="00A555CD"/>
    <w:rsid w:val="00A5579C"/>
    <w:rsid w:val="00A55FDE"/>
    <w:rsid w:val="00A5684B"/>
    <w:rsid w:val="00A568F4"/>
    <w:rsid w:val="00A56999"/>
    <w:rsid w:val="00A56BF8"/>
    <w:rsid w:val="00A56D23"/>
    <w:rsid w:val="00A5713C"/>
    <w:rsid w:val="00A572E2"/>
    <w:rsid w:val="00A57852"/>
    <w:rsid w:val="00A57976"/>
    <w:rsid w:val="00A57C8B"/>
    <w:rsid w:val="00A57C97"/>
    <w:rsid w:val="00A57E52"/>
    <w:rsid w:val="00A6091D"/>
    <w:rsid w:val="00A60CAA"/>
    <w:rsid w:val="00A60E58"/>
    <w:rsid w:val="00A60F8B"/>
    <w:rsid w:val="00A6168D"/>
    <w:rsid w:val="00A61A73"/>
    <w:rsid w:val="00A61E39"/>
    <w:rsid w:val="00A623EA"/>
    <w:rsid w:val="00A63104"/>
    <w:rsid w:val="00A6320F"/>
    <w:rsid w:val="00A63454"/>
    <w:rsid w:val="00A635E1"/>
    <w:rsid w:val="00A639EE"/>
    <w:rsid w:val="00A6417D"/>
    <w:rsid w:val="00A64200"/>
    <w:rsid w:val="00A64293"/>
    <w:rsid w:val="00A644A2"/>
    <w:rsid w:val="00A644F4"/>
    <w:rsid w:val="00A64897"/>
    <w:rsid w:val="00A64F43"/>
    <w:rsid w:val="00A64FFB"/>
    <w:rsid w:val="00A6512A"/>
    <w:rsid w:val="00A65E44"/>
    <w:rsid w:val="00A663CF"/>
    <w:rsid w:val="00A66B0F"/>
    <w:rsid w:val="00A66FA7"/>
    <w:rsid w:val="00A67468"/>
    <w:rsid w:val="00A67C9B"/>
    <w:rsid w:val="00A70067"/>
    <w:rsid w:val="00A7017F"/>
    <w:rsid w:val="00A70584"/>
    <w:rsid w:val="00A705AF"/>
    <w:rsid w:val="00A70671"/>
    <w:rsid w:val="00A707B2"/>
    <w:rsid w:val="00A71358"/>
    <w:rsid w:val="00A713D3"/>
    <w:rsid w:val="00A714CF"/>
    <w:rsid w:val="00A71612"/>
    <w:rsid w:val="00A716C9"/>
    <w:rsid w:val="00A7178A"/>
    <w:rsid w:val="00A717AA"/>
    <w:rsid w:val="00A71FC8"/>
    <w:rsid w:val="00A72138"/>
    <w:rsid w:val="00A721B1"/>
    <w:rsid w:val="00A72358"/>
    <w:rsid w:val="00A72486"/>
    <w:rsid w:val="00A72B4F"/>
    <w:rsid w:val="00A73692"/>
    <w:rsid w:val="00A73FAC"/>
    <w:rsid w:val="00A740BC"/>
    <w:rsid w:val="00A74560"/>
    <w:rsid w:val="00A7458C"/>
    <w:rsid w:val="00A7493B"/>
    <w:rsid w:val="00A74B9F"/>
    <w:rsid w:val="00A75A3B"/>
    <w:rsid w:val="00A75CFF"/>
    <w:rsid w:val="00A75DD2"/>
    <w:rsid w:val="00A75FF5"/>
    <w:rsid w:val="00A76406"/>
    <w:rsid w:val="00A76A3B"/>
    <w:rsid w:val="00A76D93"/>
    <w:rsid w:val="00A77763"/>
    <w:rsid w:val="00A77814"/>
    <w:rsid w:val="00A77A94"/>
    <w:rsid w:val="00A80675"/>
    <w:rsid w:val="00A80B14"/>
    <w:rsid w:val="00A80DDB"/>
    <w:rsid w:val="00A81114"/>
    <w:rsid w:val="00A811D2"/>
    <w:rsid w:val="00A813F7"/>
    <w:rsid w:val="00A819BE"/>
    <w:rsid w:val="00A81B56"/>
    <w:rsid w:val="00A81DAC"/>
    <w:rsid w:val="00A81F92"/>
    <w:rsid w:val="00A82EE3"/>
    <w:rsid w:val="00A82F4E"/>
    <w:rsid w:val="00A82FE2"/>
    <w:rsid w:val="00A83495"/>
    <w:rsid w:val="00A83E8B"/>
    <w:rsid w:val="00A83EE1"/>
    <w:rsid w:val="00A84646"/>
    <w:rsid w:val="00A84AA5"/>
    <w:rsid w:val="00A852C0"/>
    <w:rsid w:val="00A85466"/>
    <w:rsid w:val="00A85A09"/>
    <w:rsid w:val="00A85CF1"/>
    <w:rsid w:val="00A85D1E"/>
    <w:rsid w:val="00A85D60"/>
    <w:rsid w:val="00A85E5E"/>
    <w:rsid w:val="00A860C0"/>
    <w:rsid w:val="00A866C6"/>
    <w:rsid w:val="00A86948"/>
    <w:rsid w:val="00A86C15"/>
    <w:rsid w:val="00A86C1D"/>
    <w:rsid w:val="00A87538"/>
    <w:rsid w:val="00A876A8"/>
    <w:rsid w:val="00A87E17"/>
    <w:rsid w:val="00A90274"/>
    <w:rsid w:val="00A90447"/>
    <w:rsid w:val="00A90886"/>
    <w:rsid w:val="00A90AD9"/>
    <w:rsid w:val="00A913F2"/>
    <w:rsid w:val="00A91E10"/>
    <w:rsid w:val="00A9246F"/>
    <w:rsid w:val="00A924C5"/>
    <w:rsid w:val="00A9252A"/>
    <w:rsid w:val="00A92910"/>
    <w:rsid w:val="00A92A94"/>
    <w:rsid w:val="00A934A6"/>
    <w:rsid w:val="00A937B1"/>
    <w:rsid w:val="00A93F7B"/>
    <w:rsid w:val="00A94315"/>
    <w:rsid w:val="00A9433D"/>
    <w:rsid w:val="00A943A8"/>
    <w:rsid w:val="00A944DF"/>
    <w:rsid w:val="00A94947"/>
    <w:rsid w:val="00A94D2E"/>
    <w:rsid w:val="00A94DD7"/>
    <w:rsid w:val="00A94DF9"/>
    <w:rsid w:val="00A95040"/>
    <w:rsid w:val="00A9524E"/>
    <w:rsid w:val="00A953A7"/>
    <w:rsid w:val="00A954EC"/>
    <w:rsid w:val="00A960DE"/>
    <w:rsid w:val="00A96D72"/>
    <w:rsid w:val="00A97459"/>
    <w:rsid w:val="00A977ED"/>
    <w:rsid w:val="00A97D24"/>
    <w:rsid w:val="00AA05C9"/>
    <w:rsid w:val="00AA0A82"/>
    <w:rsid w:val="00AA0B39"/>
    <w:rsid w:val="00AA0F6A"/>
    <w:rsid w:val="00AA1696"/>
    <w:rsid w:val="00AA176A"/>
    <w:rsid w:val="00AA1DCC"/>
    <w:rsid w:val="00AA1FD5"/>
    <w:rsid w:val="00AA2AD8"/>
    <w:rsid w:val="00AA2D00"/>
    <w:rsid w:val="00AA368B"/>
    <w:rsid w:val="00AA38E4"/>
    <w:rsid w:val="00AA3DF2"/>
    <w:rsid w:val="00AA40C7"/>
    <w:rsid w:val="00AA44C6"/>
    <w:rsid w:val="00AA4515"/>
    <w:rsid w:val="00AA4748"/>
    <w:rsid w:val="00AA4AD1"/>
    <w:rsid w:val="00AA4C60"/>
    <w:rsid w:val="00AA4E80"/>
    <w:rsid w:val="00AA4E81"/>
    <w:rsid w:val="00AA5082"/>
    <w:rsid w:val="00AA57CE"/>
    <w:rsid w:val="00AA5954"/>
    <w:rsid w:val="00AA59F2"/>
    <w:rsid w:val="00AA6009"/>
    <w:rsid w:val="00AA601F"/>
    <w:rsid w:val="00AA6947"/>
    <w:rsid w:val="00AA6CD7"/>
    <w:rsid w:val="00AA6F63"/>
    <w:rsid w:val="00AA79C1"/>
    <w:rsid w:val="00AA7A70"/>
    <w:rsid w:val="00AB01A1"/>
    <w:rsid w:val="00AB0CC5"/>
    <w:rsid w:val="00AB0E7B"/>
    <w:rsid w:val="00AB15A2"/>
    <w:rsid w:val="00AB19E2"/>
    <w:rsid w:val="00AB1FF3"/>
    <w:rsid w:val="00AB1FF8"/>
    <w:rsid w:val="00AB2451"/>
    <w:rsid w:val="00AB245C"/>
    <w:rsid w:val="00AB2A7F"/>
    <w:rsid w:val="00AB34A8"/>
    <w:rsid w:val="00AB35F7"/>
    <w:rsid w:val="00AB35FD"/>
    <w:rsid w:val="00AB3C0B"/>
    <w:rsid w:val="00AB4699"/>
    <w:rsid w:val="00AB4BFD"/>
    <w:rsid w:val="00AB54C5"/>
    <w:rsid w:val="00AB59AD"/>
    <w:rsid w:val="00AB625D"/>
    <w:rsid w:val="00AB64E9"/>
    <w:rsid w:val="00AB651B"/>
    <w:rsid w:val="00AB69F1"/>
    <w:rsid w:val="00AB6AF3"/>
    <w:rsid w:val="00AB6E1B"/>
    <w:rsid w:val="00AB7520"/>
    <w:rsid w:val="00AB7ABE"/>
    <w:rsid w:val="00AB7B8F"/>
    <w:rsid w:val="00AC03DB"/>
    <w:rsid w:val="00AC04E3"/>
    <w:rsid w:val="00AC0EF5"/>
    <w:rsid w:val="00AC1178"/>
    <w:rsid w:val="00AC1505"/>
    <w:rsid w:val="00AC1692"/>
    <w:rsid w:val="00AC1898"/>
    <w:rsid w:val="00AC1957"/>
    <w:rsid w:val="00AC1D95"/>
    <w:rsid w:val="00AC1E9B"/>
    <w:rsid w:val="00AC2441"/>
    <w:rsid w:val="00AC2828"/>
    <w:rsid w:val="00AC31FD"/>
    <w:rsid w:val="00AC327D"/>
    <w:rsid w:val="00AC370A"/>
    <w:rsid w:val="00AC3C0E"/>
    <w:rsid w:val="00AC3ED6"/>
    <w:rsid w:val="00AC3F54"/>
    <w:rsid w:val="00AC4091"/>
    <w:rsid w:val="00AC40A9"/>
    <w:rsid w:val="00AC4111"/>
    <w:rsid w:val="00AC4204"/>
    <w:rsid w:val="00AC4486"/>
    <w:rsid w:val="00AC49EE"/>
    <w:rsid w:val="00AC50CD"/>
    <w:rsid w:val="00AC518B"/>
    <w:rsid w:val="00AC5651"/>
    <w:rsid w:val="00AC698C"/>
    <w:rsid w:val="00AC6BF9"/>
    <w:rsid w:val="00AC6D02"/>
    <w:rsid w:val="00AC6FED"/>
    <w:rsid w:val="00AC7249"/>
    <w:rsid w:val="00AC7700"/>
    <w:rsid w:val="00AC7E38"/>
    <w:rsid w:val="00AD0222"/>
    <w:rsid w:val="00AD0383"/>
    <w:rsid w:val="00AD03AB"/>
    <w:rsid w:val="00AD064C"/>
    <w:rsid w:val="00AD09F0"/>
    <w:rsid w:val="00AD11BC"/>
    <w:rsid w:val="00AD1415"/>
    <w:rsid w:val="00AD1A6B"/>
    <w:rsid w:val="00AD1FC3"/>
    <w:rsid w:val="00AD259E"/>
    <w:rsid w:val="00AD2A5E"/>
    <w:rsid w:val="00AD2E01"/>
    <w:rsid w:val="00AD2FDD"/>
    <w:rsid w:val="00AD30F1"/>
    <w:rsid w:val="00AD323E"/>
    <w:rsid w:val="00AD38CC"/>
    <w:rsid w:val="00AD3DCB"/>
    <w:rsid w:val="00AD4046"/>
    <w:rsid w:val="00AD4154"/>
    <w:rsid w:val="00AD44BA"/>
    <w:rsid w:val="00AD4560"/>
    <w:rsid w:val="00AD4C6C"/>
    <w:rsid w:val="00AD52F1"/>
    <w:rsid w:val="00AD5306"/>
    <w:rsid w:val="00AD54BA"/>
    <w:rsid w:val="00AD5856"/>
    <w:rsid w:val="00AD5CA7"/>
    <w:rsid w:val="00AD5CAD"/>
    <w:rsid w:val="00AD60F0"/>
    <w:rsid w:val="00AD6390"/>
    <w:rsid w:val="00AD67E3"/>
    <w:rsid w:val="00AD6915"/>
    <w:rsid w:val="00AD6BFF"/>
    <w:rsid w:val="00AD6FDC"/>
    <w:rsid w:val="00AD7350"/>
    <w:rsid w:val="00AD7528"/>
    <w:rsid w:val="00AD7671"/>
    <w:rsid w:val="00AD7F14"/>
    <w:rsid w:val="00AE092E"/>
    <w:rsid w:val="00AE0C1C"/>
    <w:rsid w:val="00AE1129"/>
    <w:rsid w:val="00AE1216"/>
    <w:rsid w:val="00AE13B2"/>
    <w:rsid w:val="00AE140C"/>
    <w:rsid w:val="00AE16EF"/>
    <w:rsid w:val="00AE1B21"/>
    <w:rsid w:val="00AE29D1"/>
    <w:rsid w:val="00AE2BA2"/>
    <w:rsid w:val="00AE2FDB"/>
    <w:rsid w:val="00AE33D6"/>
    <w:rsid w:val="00AE3762"/>
    <w:rsid w:val="00AE3A80"/>
    <w:rsid w:val="00AE42D8"/>
    <w:rsid w:val="00AE4464"/>
    <w:rsid w:val="00AE4633"/>
    <w:rsid w:val="00AE5415"/>
    <w:rsid w:val="00AE54C6"/>
    <w:rsid w:val="00AE5656"/>
    <w:rsid w:val="00AE570C"/>
    <w:rsid w:val="00AE5999"/>
    <w:rsid w:val="00AE5AAC"/>
    <w:rsid w:val="00AE607A"/>
    <w:rsid w:val="00AE6844"/>
    <w:rsid w:val="00AE68CF"/>
    <w:rsid w:val="00AE6BC8"/>
    <w:rsid w:val="00AE7092"/>
    <w:rsid w:val="00AE7196"/>
    <w:rsid w:val="00AE792E"/>
    <w:rsid w:val="00AE7944"/>
    <w:rsid w:val="00AE7B5A"/>
    <w:rsid w:val="00AF0221"/>
    <w:rsid w:val="00AF0A22"/>
    <w:rsid w:val="00AF0AF6"/>
    <w:rsid w:val="00AF124C"/>
    <w:rsid w:val="00AF13CB"/>
    <w:rsid w:val="00AF14F1"/>
    <w:rsid w:val="00AF1537"/>
    <w:rsid w:val="00AF18ED"/>
    <w:rsid w:val="00AF19AC"/>
    <w:rsid w:val="00AF1B51"/>
    <w:rsid w:val="00AF1BFD"/>
    <w:rsid w:val="00AF1E23"/>
    <w:rsid w:val="00AF23D9"/>
    <w:rsid w:val="00AF24F6"/>
    <w:rsid w:val="00AF2B17"/>
    <w:rsid w:val="00AF3175"/>
    <w:rsid w:val="00AF3708"/>
    <w:rsid w:val="00AF382C"/>
    <w:rsid w:val="00AF3F4E"/>
    <w:rsid w:val="00AF4457"/>
    <w:rsid w:val="00AF47AD"/>
    <w:rsid w:val="00AF495E"/>
    <w:rsid w:val="00AF5193"/>
    <w:rsid w:val="00AF57CD"/>
    <w:rsid w:val="00AF6B1D"/>
    <w:rsid w:val="00AF6CC0"/>
    <w:rsid w:val="00AF759A"/>
    <w:rsid w:val="00AF7807"/>
    <w:rsid w:val="00AF7DD5"/>
    <w:rsid w:val="00B00E4F"/>
    <w:rsid w:val="00B01104"/>
    <w:rsid w:val="00B011FC"/>
    <w:rsid w:val="00B0139D"/>
    <w:rsid w:val="00B016F7"/>
    <w:rsid w:val="00B018A5"/>
    <w:rsid w:val="00B019FF"/>
    <w:rsid w:val="00B0259B"/>
    <w:rsid w:val="00B027F2"/>
    <w:rsid w:val="00B02813"/>
    <w:rsid w:val="00B02A97"/>
    <w:rsid w:val="00B02C16"/>
    <w:rsid w:val="00B0300A"/>
    <w:rsid w:val="00B03297"/>
    <w:rsid w:val="00B035DC"/>
    <w:rsid w:val="00B03D7F"/>
    <w:rsid w:val="00B041EC"/>
    <w:rsid w:val="00B041FD"/>
    <w:rsid w:val="00B043A0"/>
    <w:rsid w:val="00B04AA6"/>
    <w:rsid w:val="00B04C5F"/>
    <w:rsid w:val="00B04D9E"/>
    <w:rsid w:val="00B04E8B"/>
    <w:rsid w:val="00B052CC"/>
    <w:rsid w:val="00B05758"/>
    <w:rsid w:val="00B0582F"/>
    <w:rsid w:val="00B058DD"/>
    <w:rsid w:val="00B05A66"/>
    <w:rsid w:val="00B05F80"/>
    <w:rsid w:val="00B06842"/>
    <w:rsid w:val="00B06E36"/>
    <w:rsid w:val="00B06F3A"/>
    <w:rsid w:val="00B070AC"/>
    <w:rsid w:val="00B106E7"/>
    <w:rsid w:val="00B10A1E"/>
    <w:rsid w:val="00B10B43"/>
    <w:rsid w:val="00B10C3B"/>
    <w:rsid w:val="00B116D0"/>
    <w:rsid w:val="00B116EC"/>
    <w:rsid w:val="00B1178F"/>
    <w:rsid w:val="00B1192A"/>
    <w:rsid w:val="00B1228B"/>
    <w:rsid w:val="00B126D5"/>
    <w:rsid w:val="00B12F09"/>
    <w:rsid w:val="00B13411"/>
    <w:rsid w:val="00B13578"/>
    <w:rsid w:val="00B135D5"/>
    <w:rsid w:val="00B13788"/>
    <w:rsid w:val="00B13A9C"/>
    <w:rsid w:val="00B13AAC"/>
    <w:rsid w:val="00B13BBA"/>
    <w:rsid w:val="00B13E93"/>
    <w:rsid w:val="00B14337"/>
    <w:rsid w:val="00B148A9"/>
    <w:rsid w:val="00B14A4E"/>
    <w:rsid w:val="00B14B6B"/>
    <w:rsid w:val="00B14C76"/>
    <w:rsid w:val="00B14DFD"/>
    <w:rsid w:val="00B152AF"/>
    <w:rsid w:val="00B154B4"/>
    <w:rsid w:val="00B15535"/>
    <w:rsid w:val="00B15910"/>
    <w:rsid w:val="00B1608C"/>
    <w:rsid w:val="00B161D1"/>
    <w:rsid w:val="00B162EE"/>
    <w:rsid w:val="00B163BF"/>
    <w:rsid w:val="00B163C3"/>
    <w:rsid w:val="00B165C9"/>
    <w:rsid w:val="00B169DB"/>
    <w:rsid w:val="00B172C5"/>
    <w:rsid w:val="00B1754F"/>
    <w:rsid w:val="00B17975"/>
    <w:rsid w:val="00B17C51"/>
    <w:rsid w:val="00B17D47"/>
    <w:rsid w:val="00B17E48"/>
    <w:rsid w:val="00B203C5"/>
    <w:rsid w:val="00B203CA"/>
    <w:rsid w:val="00B2075C"/>
    <w:rsid w:val="00B207A1"/>
    <w:rsid w:val="00B20DCD"/>
    <w:rsid w:val="00B2146E"/>
    <w:rsid w:val="00B220F6"/>
    <w:rsid w:val="00B2281B"/>
    <w:rsid w:val="00B22A0B"/>
    <w:rsid w:val="00B22FBA"/>
    <w:rsid w:val="00B236FE"/>
    <w:rsid w:val="00B24190"/>
    <w:rsid w:val="00B24821"/>
    <w:rsid w:val="00B24B9F"/>
    <w:rsid w:val="00B252C7"/>
    <w:rsid w:val="00B25683"/>
    <w:rsid w:val="00B259A3"/>
    <w:rsid w:val="00B25B4C"/>
    <w:rsid w:val="00B26225"/>
    <w:rsid w:val="00B265A0"/>
    <w:rsid w:val="00B2697C"/>
    <w:rsid w:val="00B26BB4"/>
    <w:rsid w:val="00B26BE1"/>
    <w:rsid w:val="00B26D4A"/>
    <w:rsid w:val="00B26F10"/>
    <w:rsid w:val="00B27013"/>
    <w:rsid w:val="00B2734D"/>
    <w:rsid w:val="00B27445"/>
    <w:rsid w:val="00B27914"/>
    <w:rsid w:val="00B27BF5"/>
    <w:rsid w:val="00B27C06"/>
    <w:rsid w:val="00B27D44"/>
    <w:rsid w:val="00B30211"/>
    <w:rsid w:val="00B3053D"/>
    <w:rsid w:val="00B30ACC"/>
    <w:rsid w:val="00B31931"/>
    <w:rsid w:val="00B326A8"/>
    <w:rsid w:val="00B328BD"/>
    <w:rsid w:val="00B32A92"/>
    <w:rsid w:val="00B32E08"/>
    <w:rsid w:val="00B32EE8"/>
    <w:rsid w:val="00B33044"/>
    <w:rsid w:val="00B33A18"/>
    <w:rsid w:val="00B33B5E"/>
    <w:rsid w:val="00B33F59"/>
    <w:rsid w:val="00B34A1A"/>
    <w:rsid w:val="00B34A33"/>
    <w:rsid w:val="00B34FCA"/>
    <w:rsid w:val="00B35943"/>
    <w:rsid w:val="00B35F56"/>
    <w:rsid w:val="00B36485"/>
    <w:rsid w:val="00B368AC"/>
    <w:rsid w:val="00B36DCD"/>
    <w:rsid w:val="00B37753"/>
    <w:rsid w:val="00B37A92"/>
    <w:rsid w:val="00B37B22"/>
    <w:rsid w:val="00B37C00"/>
    <w:rsid w:val="00B37CE9"/>
    <w:rsid w:val="00B4015C"/>
    <w:rsid w:val="00B40240"/>
    <w:rsid w:val="00B4039F"/>
    <w:rsid w:val="00B40593"/>
    <w:rsid w:val="00B40DF1"/>
    <w:rsid w:val="00B412FC"/>
    <w:rsid w:val="00B4146F"/>
    <w:rsid w:val="00B41527"/>
    <w:rsid w:val="00B41975"/>
    <w:rsid w:val="00B419E9"/>
    <w:rsid w:val="00B4277C"/>
    <w:rsid w:val="00B42851"/>
    <w:rsid w:val="00B428C5"/>
    <w:rsid w:val="00B42B99"/>
    <w:rsid w:val="00B42D58"/>
    <w:rsid w:val="00B42F83"/>
    <w:rsid w:val="00B4330A"/>
    <w:rsid w:val="00B43875"/>
    <w:rsid w:val="00B439B5"/>
    <w:rsid w:val="00B4400A"/>
    <w:rsid w:val="00B443BE"/>
    <w:rsid w:val="00B45898"/>
    <w:rsid w:val="00B45A9E"/>
    <w:rsid w:val="00B463CD"/>
    <w:rsid w:val="00B4771F"/>
    <w:rsid w:val="00B47A46"/>
    <w:rsid w:val="00B47C41"/>
    <w:rsid w:val="00B47E9C"/>
    <w:rsid w:val="00B47EAD"/>
    <w:rsid w:val="00B501B6"/>
    <w:rsid w:val="00B50469"/>
    <w:rsid w:val="00B50883"/>
    <w:rsid w:val="00B51447"/>
    <w:rsid w:val="00B51B39"/>
    <w:rsid w:val="00B51DAC"/>
    <w:rsid w:val="00B51DAD"/>
    <w:rsid w:val="00B51EF2"/>
    <w:rsid w:val="00B52406"/>
    <w:rsid w:val="00B52472"/>
    <w:rsid w:val="00B525D2"/>
    <w:rsid w:val="00B526C4"/>
    <w:rsid w:val="00B527FD"/>
    <w:rsid w:val="00B529B7"/>
    <w:rsid w:val="00B529D4"/>
    <w:rsid w:val="00B52A32"/>
    <w:rsid w:val="00B52C7F"/>
    <w:rsid w:val="00B53307"/>
    <w:rsid w:val="00B534DA"/>
    <w:rsid w:val="00B53734"/>
    <w:rsid w:val="00B537DA"/>
    <w:rsid w:val="00B53AAA"/>
    <w:rsid w:val="00B542E6"/>
    <w:rsid w:val="00B545A6"/>
    <w:rsid w:val="00B545B6"/>
    <w:rsid w:val="00B5465C"/>
    <w:rsid w:val="00B5487F"/>
    <w:rsid w:val="00B54E96"/>
    <w:rsid w:val="00B54F8C"/>
    <w:rsid w:val="00B5501B"/>
    <w:rsid w:val="00B55050"/>
    <w:rsid w:val="00B55250"/>
    <w:rsid w:val="00B555EB"/>
    <w:rsid w:val="00B55B41"/>
    <w:rsid w:val="00B56271"/>
    <w:rsid w:val="00B5643F"/>
    <w:rsid w:val="00B56468"/>
    <w:rsid w:val="00B5657F"/>
    <w:rsid w:val="00B565EE"/>
    <w:rsid w:val="00B567D3"/>
    <w:rsid w:val="00B56E19"/>
    <w:rsid w:val="00B56E4D"/>
    <w:rsid w:val="00B56EC0"/>
    <w:rsid w:val="00B570D0"/>
    <w:rsid w:val="00B57416"/>
    <w:rsid w:val="00B577AF"/>
    <w:rsid w:val="00B60474"/>
    <w:rsid w:val="00B6092C"/>
    <w:rsid w:val="00B60B69"/>
    <w:rsid w:val="00B60C2A"/>
    <w:rsid w:val="00B60E0A"/>
    <w:rsid w:val="00B60E90"/>
    <w:rsid w:val="00B611E0"/>
    <w:rsid w:val="00B6143D"/>
    <w:rsid w:val="00B615A2"/>
    <w:rsid w:val="00B6162B"/>
    <w:rsid w:val="00B617A3"/>
    <w:rsid w:val="00B61B38"/>
    <w:rsid w:val="00B61D7F"/>
    <w:rsid w:val="00B61F1E"/>
    <w:rsid w:val="00B61F77"/>
    <w:rsid w:val="00B6212E"/>
    <w:rsid w:val="00B62489"/>
    <w:rsid w:val="00B628E7"/>
    <w:rsid w:val="00B62DA7"/>
    <w:rsid w:val="00B630C9"/>
    <w:rsid w:val="00B639D8"/>
    <w:rsid w:val="00B63B47"/>
    <w:rsid w:val="00B63C51"/>
    <w:rsid w:val="00B64063"/>
    <w:rsid w:val="00B645CD"/>
    <w:rsid w:val="00B64D3C"/>
    <w:rsid w:val="00B65629"/>
    <w:rsid w:val="00B657C1"/>
    <w:rsid w:val="00B6592E"/>
    <w:rsid w:val="00B659F6"/>
    <w:rsid w:val="00B65D34"/>
    <w:rsid w:val="00B663C4"/>
    <w:rsid w:val="00B666A9"/>
    <w:rsid w:val="00B66DDF"/>
    <w:rsid w:val="00B676CB"/>
    <w:rsid w:val="00B67707"/>
    <w:rsid w:val="00B677A3"/>
    <w:rsid w:val="00B677B8"/>
    <w:rsid w:val="00B6789F"/>
    <w:rsid w:val="00B6795D"/>
    <w:rsid w:val="00B67B73"/>
    <w:rsid w:val="00B707FF"/>
    <w:rsid w:val="00B70A9A"/>
    <w:rsid w:val="00B70D74"/>
    <w:rsid w:val="00B7106A"/>
    <w:rsid w:val="00B720B8"/>
    <w:rsid w:val="00B72120"/>
    <w:rsid w:val="00B722EE"/>
    <w:rsid w:val="00B729CD"/>
    <w:rsid w:val="00B72A41"/>
    <w:rsid w:val="00B7302C"/>
    <w:rsid w:val="00B7311A"/>
    <w:rsid w:val="00B733A5"/>
    <w:rsid w:val="00B733B2"/>
    <w:rsid w:val="00B73462"/>
    <w:rsid w:val="00B739F3"/>
    <w:rsid w:val="00B73FF6"/>
    <w:rsid w:val="00B741C3"/>
    <w:rsid w:val="00B74302"/>
    <w:rsid w:val="00B745CC"/>
    <w:rsid w:val="00B74794"/>
    <w:rsid w:val="00B74A9A"/>
    <w:rsid w:val="00B74F6B"/>
    <w:rsid w:val="00B750E7"/>
    <w:rsid w:val="00B75104"/>
    <w:rsid w:val="00B751C6"/>
    <w:rsid w:val="00B75825"/>
    <w:rsid w:val="00B75BED"/>
    <w:rsid w:val="00B76497"/>
    <w:rsid w:val="00B76666"/>
    <w:rsid w:val="00B76729"/>
    <w:rsid w:val="00B768D8"/>
    <w:rsid w:val="00B76C86"/>
    <w:rsid w:val="00B76D09"/>
    <w:rsid w:val="00B76D5A"/>
    <w:rsid w:val="00B76EEE"/>
    <w:rsid w:val="00B77484"/>
    <w:rsid w:val="00B77EF5"/>
    <w:rsid w:val="00B80C31"/>
    <w:rsid w:val="00B81006"/>
    <w:rsid w:val="00B81050"/>
    <w:rsid w:val="00B81573"/>
    <w:rsid w:val="00B817C4"/>
    <w:rsid w:val="00B821F4"/>
    <w:rsid w:val="00B82C06"/>
    <w:rsid w:val="00B82CDE"/>
    <w:rsid w:val="00B8339D"/>
    <w:rsid w:val="00B83789"/>
    <w:rsid w:val="00B838A0"/>
    <w:rsid w:val="00B83A70"/>
    <w:rsid w:val="00B8440E"/>
    <w:rsid w:val="00B84654"/>
    <w:rsid w:val="00B84FBD"/>
    <w:rsid w:val="00B850E6"/>
    <w:rsid w:val="00B85279"/>
    <w:rsid w:val="00B8529F"/>
    <w:rsid w:val="00B8536C"/>
    <w:rsid w:val="00B85BF3"/>
    <w:rsid w:val="00B86CEB"/>
    <w:rsid w:val="00B86DBB"/>
    <w:rsid w:val="00B86E0D"/>
    <w:rsid w:val="00B8702D"/>
    <w:rsid w:val="00B874CB"/>
    <w:rsid w:val="00B87778"/>
    <w:rsid w:val="00B878F3"/>
    <w:rsid w:val="00B87F25"/>
    <w:rsid w:val="00B90057"/>
    <w:rsid w:val="00B904C3"/>
    <w:rsid w:val="00B906B7"/>
    <w:rsid w:val="00B9147C"/>
    <w:rsid w:val="00B91B65"/>
    <w:rsid w:val="00B91D00"/>
    <w:rsid w:val="00B92423"/>
    <w:rsid w:val="00B9276C"/>
    <w:rsid w:val="00B9299F"/>
    <w:rsid w:val="00B92A05"/>
    <w:rsid w:val="00B92DB4"/>
    <w:rsid w:val="00B93801"/>
    <w:rsid w:val="00B939D5"/>
    <w:rsid w:val="00B93A5F"/>
    <w:rsid w:val="00B9476C"/>
    <w:rsid w:val="00B9480E"/>
    <w:rsid w:val="00B94866"/>
    <w:rsid w:val="00B94B48"/>
    <w:rsid w:val="00B94C54"/>
    <w:rsid w:val="00B94DD4"/>
    <w:rsid w:val="00B94F3E"/>
    <w:rsid w:val="00B95364"/>
    <w:rsid w:val="00B95476"/>
    <w:rsid w:val="00B95AFA"/>
    <w:rsid w:val="00B95C27"/>
    <w:rsid w:val="00B95FB7"/>
    <w:rsid w:val="00B96254"/>
    <w:rsid w:val="00B9632D"/>
    <w:rsid w:val="00B96A87"/>
    <w:rsid w:val="00B96CBB"/>
    <w:rsid w:val="00B97145"/>
    <w:rsid w:val="00B9753F"/>
    <w:rsid w:val="00B976A7"/>
    <w:rsid w:val="00B97A51"/>
    <w:rsid w:val="00B97FFC"/>
    <w:rsid w:val="00BA015F"/>
    <w:rsid w:val="00BA0427"/>
    <w:rsid w:val="00BA12E1"/>
    <w:rsid w:val="00BA14BC"/>
    <w:rsid w:val="00BA15CC"/>
    <w:rsid w:val="00BA1602"/>
    <w:rsid w:val="00BA1B75"/>
    <w:rsid w:val="00BA203D"/>
    <w:rsid w:val="00BA3197"/>
    <w:rsid w:val="00BA31DA"/>
    <w:rsid w:val="00BA34AB"/>
    <w:rsid w:val="00BA370C"/>
    <w:rsid w:val="00BA3882"/>
    <w:rsid w:val="00BA3A2C"/>
    <w:rsid w:val="00BA3F15"/>
    <w:rsid w:val="00BA4041"/>
    <w:rsid w:val="00BA4FCC"/>
    <w:rsid w:val="00BA5344"/>
    <w:rsid w:val="00BA5CDE"/>
    <w:rsid w:val="00BA5CE4"/>
    <w:rsid w:val="00BA6222"/>
    <w:rsid w:val="00BA6398"/>
    <w:rsid w:val="00BA6537"/>
    <w:rsid w:val="00BA653B"/>
    <w:rsid w:val="00BA66A7"/>
    <w:rsid w:val="00BA683D"/>
    <w:rsid w:val="00BA6B7E"/>
    <w:rsid w:val="00BA7843"/>
    <w:rsid w:val="00BB0270"/>
    <w:rsid w:val="00BB047B"/>
    <w:rsid w:val="00BB04DB"/>
    <w:rsid w:val="00BB0993"/>
    <w:rsid w:val="00BB0A38"/>
    <w:rsid w:val="00BB0C05"/>
    <w:rsid w:val="00BB1318"/>
    <w:rsid w:val="00BB143A"/>
    <w:rsid w:val="00BB14B0"/>
    <w:rsid w:val="00BB177A"/>
    <w:rsid w:val="00BB1A44"/>
    <w:rsid w:val="00BB1A53"/>
    <w:rsid w:val="00BB1AF6"/>
    <w:rsid w:val="00BB1DC1"/>
    <w:rsid w:val="00BB1F35"/>
    <w:rsid w:val="00BB2040"/>
    <w:rsid w:val="00BB2182"/>
    <w:rsid w:val="00BB218D"/>
    <w:rsid w:val="00BB21EA"/>
    <w:rsid w:val="00BB26EA"/>
    <w:rsid w:val="00BB284A"/>
    <w:rsid w:val="00BB2854"/>
    <w:rsid w:val="00BB3D11"/>
    <w:rsid w:val="00BB3DA3"/>
    <w:rsid w:val="00BB3FF0"/>
    <w:rsid w:val="00BB4208"/>
    <w:rsid w:val="00BB424A"/>
    <w:rsid w:val="00BB4738"/>
    <w:rsid w:val="00BB48E2"/>
    <w:rsid w:val="00BB4A6A"/>
    <w:rsid w:val="00BB4BA6"/>
    <w:rsid w:val="00BB5055"/>
    <w:rsid w:val="00BB5702"/>
    <w:rsid w:val="00BB5892"/>
    <w:rsid w:val="00BB5B29"/>
    <w:rsid w:val="00BB5D7E"/>
    <w:rsid w:val="00BB6509"/>
    <w:rsid w:val="00BB6AED"/>
    <w:rsid w:val="00BB70C4"/>
    <w:rsid w:val="00BB70EE"/>
    <w:rsid w:val="00BB71AE"/>
    <w:rsid w:val="00BB72B1"/>
    <w:rsid w:val="00BB75EB"/>
    <w:rsid w:val="00BB7717"/>
    <w:rsid w:val="00BB7838"/>
    <w:rsid w:val="00BC03F8"/>
    <w:rsid w:val="00BC04FF"/>
    <w:rsid w:val="00BC1130"/>
    <w:rsid w:val="00BC113F"/>
    <w:rsid w:val="00BC124D"/>
    <w:rsid w:val="00BC1694"/>
    <w:rsid w:val="00BC1E0E"/>
    <w:rsid w:val="00BC2A96"/>
    <w:rsid w:val="00BC2D08"/>
    <w:rsid w:val="00BC2D61"/>
    <w:rsid w:val="00BC3125"/>
    <w:rsid w:val="00BC31E6"/>
    <w:rsid w:val="00BC357C"/>
    <w:rsid w:val="00BC38B9"/>
    <w:rsid w:val="00BC3AEE"/>
    <w:rsid w:val="00BC3B78"/>
    <w:rsid w:val="00BC3C34"/>
    <w:rsid w:val="00BC3D54"/>
    <w:rsid w:val="00BC4911"/>
    <w:rsid w:val="00BC4971"/>
    <w:rsid w:val="00BC5051"/>
    <w:rsid w:val="00BC53B8"/>
    <w:rsid w:val="00BC53E3"/>
    <w:rsid w:val="00BC5A2F"/>
    <w:rsid w:val="00BC5B04"/>
    <w:rsid w:val="00BC5D76"/>
    <w:rsid w:val="00BC5DAB"/>
    <w:rsid w:val="00BC5EB9"/>
    <w:rsid w:val="00BC6568"/>
    <w:rsid w:val="00BC68C2"/>
    <w:rsid w:val="00BC70FC"/>
    <w:rsid w:val="00BC7158"/>
    <w:rsid w:val="00BC718C"/>
    <w:rsid w:val="00BC7BD2"/>
    <w:rsid w:val="00BC7D57"/>
    <w:rsid w:val="00BC7DC3"/>
    <w:rsid w:val="00BC7F8D"/>
    <w:rsid w:val="00BD09D1"/>
    <w:rsid w:val="00BD0C78"/>
    <w:rsid w:val="00BD0F8D"/>
    <w:rsid w:val="00BD1051"/>
    <w:rsid w:val="00BD1198"/>
    <w:rsid w:val="00BD123B"/>
    <w:rsid w:val="00BD1366"/>
    <w:rsid w:val="00BD13CE"/>
    <w:rsid w:val="00BD1BD6"/>
    <w:rsid w:val="00BD23C1"/>
    <w:rsid w:val="00BD2619"/>
    <w:rsid w:val="00BD26D8"/>
    <w:rsid w:val="00BD2E60"/>
    <w:rsid w:val="00BD2F89"/>
    <w:rsid w:val="00BD325F"/>
    <w:rsid w:val="00BD3887"/>
    <w:rsid w:val="00BD3ACD"/>
    <w:rsid w:val="00BD42CB"/>
    <w:rsid w:val="00BD4477"/>
    <w:rsid w:val="00BD4496"/>
    <w:rsid w:val="00BD479E"/>
    <w:rsid w:val="00BD52B3"/>
    <w:rsid w:val="00BD5A8E"/>
    <w:rsid w:val="00BD5C00"/>
    <w:rsid w:val="00BD608F"/>
    <w:rsid w:val="00BD60D9"/>
    <w:rsid w:val="00BD615E"/>
    <w:rsid w:val="00BD6211"/>
    <w:rsid w:val="00BD644A"/>
    <w:rsid w:val="00BD6618"/>
    <w:rsid w:val="00BD6C91"/>
    <w:rsid w:val="00BD6D0D"/>
    <w:rsid w:val="00BD6FD7"/>
    <w:rsid w:val="00BD7735"/>
    <w:rsid w:val="00BD7A6A"/>
    <w:rsid w:val="00BD7B58"/>
    <w:rsid w:val="00BD7EEB"/>
    <w:rsid w:val="00BE0835"/>
    <w:rsid w:val="00BE091B"/>
    <w:rsid w:val="00BE09E6"/>
    <w:rsid w:val="00BE0D18"/>
    <w:rsid w:val="00BE1155"/>
    <w:rsid w:val="00BE1817"/>
    <w:rsid w:val="00BE1A37"/>
    <w:rsid w:val="00BE1BDC"/>
    <w:rsid w:val="00BE2392"/>
    <w:rsid w:val="00BE2E27"/>
    <w:rsid w:val="00BE2E97"/>
    <w:rsid w:val="00BE2FBF"/>
    <w:rsid w:val="00BE303A"/>
    <w:rsid w:val="00BE3739"/>
    <w:rsid w:val="00BE3823"/>
    <w:rsid w:val="00BE44FD"/>
    <w:rsid w:val="00BE4D4E"/>
    <w:rsid w:val="00BE4E76"/>
    <w:rsid w:val="00BE5970"/>
    <w:rsid w:val="00BE5BE4"/>
    <w:rsid w:val="00BE5EDD"/>
    <w:rsid w:val="00BE5FEE"/>
    <w:rsid w:val="00BE6258"/>
    <w:rsid w:val="00BE6387"/>
    <w:rsid w:val="00BE63C3"/>
    <w:rsid w:val="00BE692E"/>
    <w:rsid w:val="00BE7437"/>
    <w:rsid w:val="00BE75E3"/>
    <w:rsid w:val="00BE77E3"/>
    <w:rsid w:val="00BE7F3B"/>
    <w:rsid w:val="00BE7FF0"/>
    <w:rsid w:val="00BF0435"/>
    <w:rsid w:val="00BF0A97"/>
    <w:rsid w:val="00BF0BEA"/>
    <w:rsid w:val="00BF1205"/>
    <w:rsid w:val="00BF15C3"/>
    <w:rsid w:val="00BF1621"/>
    <w:rsid w:val="00BF16C5"/>
    <w:rsid w:val="00BF1D26"/>
    <w:rsid w:val="00BF1E77"/>
    <w:rsid w:val="00BF1F25"/>
    <w:rsid w:val="00BF32E5"/>
    <w:rsid w:val="00BF33D9"/>
    <w:rsid w:val="00BF4098"/>
    <w:rsid w:val="00BF4852"/>
    <w:rsid w:val="00BF4D8C"/>
    <w:rsid w:val="00BF4F10"/>
    <w:rsid w:val="00BF50A1"/>
    <w:rsid w:val="00BF51CC"/>
    <w:rsid w:val="00BF522E"/>
    <w:rsid w:val="00BF5425"/>
    <w:rsid w:val="00BF5566"/>
    <w:rsid w:val="00BF58C0"/>
    <w:rsid w:val="00BF5CA3"/>
    <w:rsid w:val="00BF5CF9"/>
    <w:rsid w:val="00BF5D53"/>
    <w:rsid w:val="00BF5DA0"/>
    <w:rsid w:val="00BF739A"/>
    <w:rsid w:val="00BF759B"/>
    <w:rsid w:val="00BF795A"/>
    <w:rsid w:val="00C000FC"/>
    <w:rsid w:val="00C0017D"/>
    <w:rsid w:val="00C00AC2"/>
    <w:rsid w:val="00C00C25"/>
    <w:rsid w:val="00C010E0"/>
    <w:rsid w:val="00C0115B"/>
    <w:rsid w:val="00C011E2"/>
    <w:rsid w:val="00C01270"/>
    <w:rsid w:val="00C01778"/>
    <w:rsid w:val="00C0191E"/>
    <w:rsid w:val="00C01A53"/>
    <w:rsid w:val="00C01DE6"/>
    <w:rsid w:val="00C0232D"/>
    <w:rsid w:val="00C02454"/>
    <w:rsid w:val="00C02D9D"/>
    <w:rsid w:val="00C03151"/>
    <w:rsid w:val="00C03207"/>
    <w:rsid w:val="00C032BB"/>
    <w:rsid w:val="00C03501"/>
    <w:rsid w:val="00C03714"/>
    <w:rsid w:val="00C03F6F"/>
    <w:rsid w:val="00C040FE"/>
    <w:rsid w:val="00C046C7"/>
    <w:rsid w:val="00C05312"/>
    <w:rsid w:val="00C05360"/>
    <w:rsid w:val="00C05C32"/>
    <w:rsid w:val="00C05D6B"/>
    <w:rsid w:val="00C05D73"/>
    <w:rsid w:val="00C06D51"/>
    <w:rsid w:val="00C07027"/>
    <w:rsid w:val="00C07671"/>
    <w:rsid w:val="00C07B43"/>
    <w:rsid w:val="00C10526"/>
    <w:rsid w:val="00C1074F"/>
    <w:rsid w:val="00C109BA"/>
    <w:rsid w:val="00C10AB0"/>
    <w:rsid w:val="00C10EE9"/>
    <w:rsid w:val="00C11F41"/>
    <w:rsid w:val="00C12325"/>
    <w:rsid w:val="00C1279C"/>
    <w:rsid w:val="00C127E9"/>
    <w:rsid w:val="00C12C34"/>
    <w:rsid w:val="00C12DE6"/>
    <w:rsid w:val="00C12E1E"/>
    <w:rsid w:val="00C1327B"/>
    <w:rsid w:val="00C132E2"/>
    <w:rsid w:val="00C1406E"/>
    <w:rsid w:val="00C1473F"/>
    <w:rsid w:val="00C14915"/>
    <w:rsid w:val="00C14C10"/>
    <w:rsid w:val="00C1505C"/>
    <w:rsid w:val="00C15AF4"/>
    <w:rsid w:val="00C16168"/>
    <w:rsid w:val="00C166C5"/>
    <w:rsid w:val="00C16C09"/>
    <w:rsid w:val="00C1729D"/>
    <w:rsid w:val="00C17445"/>
    <w:rsid w:val="00C1760C"/>
    <w:rsid w:val="00C2004E"/>
    <w:rsid w:val="00C20065"/>
    <w:rsid w:val="00C2186B"/>
    <w:rsid w:val="00C21EB9"/>
    <w:rsid w:val="00C21F5D"/>
    <w:rsid w:val="00C226B4"/>
    <w:rsid w:val="00C227E7"/>
    <w:rsid w:val="00C22807"/>
    <w:rsid w:val="00C22A58"/>
    <w:rsid w:val="00C22AF6"/>
    <w:rsid w:val="00C22E7D"/>
    <w:rsid w:val="00C239CA"/>
    <w:rsid w:val="00C2400E"/>
    <w:rsid w:val="00C24DFA"/>
    <w:rsid w:val="00C24E6C"/>
    <w:rsid w:val="00C251B1"/>
    <w:rsid w:val="00C2589F"/>
    <w:rsid w:val="00C25B6A"/>
    <w:rsid w:val="00C25CF5"/>
    <w:rsid w:val="00C26114"/>
    <w:rsid w:val="00C26138"/>
    <w:rsid w:val="00C26241"/>
    <w:rsid w:val="00C262F0"/>
    <w:rsid w:val="00C26333"/>
    <w:rsid w:val="00C2651E"/>
    <w:rsid w:val="00C26543"/>
    <w:rsid w:val="00C2684D"/>
    <w:rsid w:val="00C26E90"/>
    <w:rsid w:val="00C27511"/>
    <w:rsid w:val="00C27C8A"/>
    <w:rsid w:val="00C303EB"/>
    <w:rsid w:val="00C306AC"/>
    <w:rsid w:val="00C30844"/>
    <w:rsid w:val="00C323F9"/>
    <w:rsid w:val="00C324EC"/>
    <w:rsid w:val="00C3278A"/>
    <w:rsid w:val="00C3299A"/>
    <w:rsid w:val="00C33292"/>
    <w:rsid w:val="00C33803"/>
    <w:rsid w:val="00C34168"/>
    <w:rsid w:val="00C34292"/>
    <w:rsid w:val="00C345B6"/>
    <w:rsid w:val="00C3464B"/>
    <w:rsid w:val="00C35624"/>
    <w:rsid w:val="00C3583E"/>
    <w:rsid w:val="00C35962"/>
    <w:rsid w:val="00C35DAE"/>
    <w:rsid w:val="00C3622E"/>
    <w:rsid w:val="00C36411"/>
    <w:rsid w:val="00C364C5"/>
    <w:rsid w:val="00C366DC"/>
    <w:rsid w:val="00C36975"/>
    <w:rsid w:val="00C369D4"/>
    <w:rsid w:val="00C36A3F"/>
    <w:rsid w:val="00C3736C"/>
    <w:rsid w:val="00C374FE"/>
    <w:rsid w:val="00C37907"/>
    <w:rsid w:val="00C37A40"/>
    <w:rsid w:val="00C37BAD"/>
    <w:rsid w:val="00C404FE"/>
    <w:rsid w:val="00C4062C"/>
    <w:rsid w:val="00C409A1"/>
    <w:rsid w:val="00C40F15"/>
    <w:rsid w:val="00C41400"/>
    <w:rsid w:val="00C417A9"/>
    <w:rsid w:val="00C41A34"/>
    <w:rsid w:val="00C41AE7"/>
    <w:rsid w:val="00C41D6A"/>
    <w:rsid w:val="00C41D6B"/>
    <w:rsid w:val="00C42119"/>
    <w:rsid w:val="00C430B6"/>
    <w:rsid w:val="00C431B2"/>
    <w:rsid w:val="00C43357"/>
    <w:rsid w:val="00C4358D"/>
    <w:rsid w:val="00C435A6"/>
    <w:rsid w:val="00C438D0"/>
    <w:rsid w:val="00C44A3C"/>
    <w:rsid w:val="00C45147"/>
    <w:rsid w:val="00C45249"/>
    <w:rsid w:val="00C45459"/>
    <w:rsid w:val="00C45494"/>
    <w:rsid w:val="00C456CD"/>
    <w:rsid w:val="00C4603E"/>
    <w:rsid w:val="00C462E3"/>
    <w:rsid w:val="00C4636F"/>
    <w:rsid w:val="00C465C7"/>
    <w:rsid w:val="00C471A2"/>
    <w:rsid w:val="00C4798B"/>
    <w:rsid w:val="00C506D9"/>
    <w:rsid w:val="00C50A2C"/>
    <w:rsid w:val="00C510D7"/>
    <w:rsid w:val="00C51150"/>
    <w:rsid w:val="00C51DE9"/>
    <w:rsid w:val="00C52197"/>
    <w:rsid w:val="00C52FCE"/>
    <w:rsid w:val="00C5384B"/>
    <w:rsid w:val="00C5386A"/>
    <w:rsid w:val="00C53C91"/>
    <w:rsid w:val="00C53D43"/>
    <w:rsid w:val="00C540B8"/>
    <w:rsid w:val="00C541D2"/>
    <w:rsid w:val="00C54277"/>
    <w:rsid w:val="00C543DE"/>
    <w:rsid w:val="00C544BF"/>
    <w:rsid w:val="00C5477F"/>
    <w:rsid w:val="00C54B75"/>
    <w:rsid w:val="00C54CD7"/>
    <w:rsid w:val="00C550CE"/>
    <w:rsid w:val="00C55157"/>
    <w:rsid w:val="00C5527A"/>
    <w:rsid w:val="00C56221"/>
    <w:rsid w:val="00C56257"/>
    <w:rsid w:val="00C5628D"/>
    <w:rsid w:val="00C56BB3"/>
    <w:rsid w:val="00C571BA"/>
    <w:rsid w:val="00C5736F"/>
    <w:rsid w:val="00C57CE6"/>
    <w:rsid w:val="00C57D81"/>
    <w:rsid w:val="00C605EB"/>
    <w:rsid w:val="00C60986"/>
    <w:rsid w:val="00C60B2B"/>
    <w:rsid w:val="00C60EA7"/>
    <w:rsid w:val="00C60F6D"/>
    <w:rsid w:val="00C60FE2"/>
    <w:rsid w:val="00C60FEA"/>
    <w:rsid w:val="00C6130E"/>
    <w:rsid w:val="00C61378"/>
    <w:rsid w:val="00C6180B"/>
    <w:rsid w:val="00C61E89"/>
    <w:rsid w:val="00C62AF2"/>
    <w:rsid w:val="00C6366E"/>
    <w:rsid w:val="00C63EA3"/>
    <w:rsid w:val="00C6407D"/>
    <w:rsid w:val="00C64280"/>
    <w:rsid w:val="00C646AE"/>
    <w:rsid w:val="00C64C34"/>
    <w:rsid w:val="00C64C57"/>
    <w:rsid w:val="00C64F26"/>
    <w:rsid w:val="00C64F27"/>
    <w:rsid w:val="00C65637"/>
    <w:rsid w:val="00C65B35"/>
    <w:rsid w:val="00C65D1C"/>
    <w:rsid w:val="00C65EB1"/>
    <w:rsid w:val="00C6607D"/>
    <w:rsid w:val="00C666C5"/>
    <w:rsid w:val="00C66D73"/>
    <w:rsid w:val="00C67AFC"/>
    <w:rsid w:val="00C67B83"/>
    <w:rsid w:val="00C67B99"/>
    <w:rsid w:val="00C67FF0"/>
    <w:rsid w:val="00C70136"/>
    <w:rsid w:val="00C702D9"/>
    <w:rsid w:val="00C703C0"/>
    <w:rsid w:val="00C70466"/>
    <w:rsid w:val="00C70A0E"/>
    <w:rsid w:val="00C70D28"/>
    <w:rsid w:val="00C70EF7"/>
    <w:rsid w:val="00C70FAF"/>
    <w:rsid w:val="00C71566"/>
    <w:rsid w:val="00C71745"/>
    <w:rsid w:val="00C7199E"/>
    <w:rsid w:val="00C71BF0"/>
    <w:rsid w:val="00C71E32"/>
    <w:rsid w:val="00C71FFA"/>
    <w:rsid w:val="00C7201C"/>
    <w:rsid w:val="00C722D1"/>
    <w:rsid w:val="00C72910"/>
    <w:rsid w:val="00C72CBD"/>
    <w:rsid w:val="00C7311E"/>
    <w:rsid w:val="00C746BE"/>
    <w:rsid w:val="00C7482D"/>
    <w:rsid w:val="00C74B0F"/>
    <w:rsid w:val="00C755DF"/>
    <w:rsid w:val="00C75A5B"/>
    <w:rsid w:val="00C75A9A"/>
    <w:rsid w:val="00C75D6C"/>
    <w:rsid w:val="00C76153"/>
    <w:rsid w:val="00C76252"/>
    <w:rsid w:val="00C76591"/>
    <w:rsid w:val="00C767B9"/>
    <w:rsid w:val="00C76C93"/>
    <w:rsid w:val="00C77042"/>
    <w:rsid w:val="00C773E0"/>
    <w:rsid w:val="00C77487"/>
    <w:rsid w:val="00C807F8"/>
    <w:rsid w:val="00C8091E"/>
    <w:rsid w:val="00C80B05"/>
    <w:rsid w:val="00C80DAD"/>
    <w:rsid w:val="00C80F46"/>
    <w:rsid w:val="00C811D5"/>
    <w:rsid w:val="00C81218"/>
    <w:rsid w:val="00C816C5"/>
    <w:rsid w:val="00C81738"/>
    <w:rsid w:val="00C81A77"/>
    <w:rsid w:val="00C81FF1"/>
    <w:rsid w:val="00C82058"/>
    <w:rsid w:val="00C824CA"/>
    <w:rsid w:val="00C82511"/>
    <w:rsid w:val="00C82AAB"/>
    <w:rsid w:val="00C82BE0"/>
    <w:rsid w:val="00C83545"/>
    <w:rsid w:val="00C83574"/>
    <w:rsid w:val="00C83996"/>
    <w:rsid w:val="00C83BB4"/>
    <w:rsid w:val="00C8402E"/>
    <w:rsid w:val="00C845E6"/>
    <w:rsid w:val="00C84975"/>
    <w:rsid w:val="00C84B76"/>
    <w:rsid w:val="00C85049"/>
    <w:rsid w:val="00C852E8"/>
    <w:rsid w:val="00C856FE"/>
    <w:rsid w:val="00C85817"/>
    <w:rsid w:val="00C85FB1"/>
    <w:rsid w:val="00C86103"/>
    <w:rsid w:val="00C865B3"/>
    <w:rsid w:val="00C86706"/>
    <w:rsid w:val="00C86F2F"/>
    <w:rsid w:val="00C87007"/>
    <w:rsid w:val="00C87257"/>
    <w:rsid w:val="00C875A2"/>
    <w:rsid w:val="00C878A7"/>
    <w:rsid w:val="00C87C31"/>
    <w:rsid w:val="00C9001D"/>
    <w:rsid w:val="00C90264"/>
    <w:rsid w:val="00C90328"/>
    <w:rsid w:val="00C90410"/>
    <w:rsid w:val="00C90582"/>
    <w:rsid w:val="00C90827"/>
    <w:rsid w:val="00C90D15"/>
    <w:rsid w:val="00C911D9"/>
    <w:rsid w:val="00C911DC"/>
    <w:rsid w:val="00C9125F"/>
    <w:rsid w:val="00C918B9"/>
    <w:rsid w:val="00C91A94"/>
    <w:rsid w:val="00C91AA4"/>
    <w:rsid w:val="00C9221B"/>
    <w:rsid w:val="00C922B7"/>
    <w:rsid w:val="00C9274A"/>
    <w:rsid w:val="00C93155"/>
    <w:rsid w:val="00C936E8"/>
    <w:rsid w:val="00C93A66"/>
    <w:rsid w:val="00C93B3F"/>
    <w:rsid w:val="00C93D76"/>
    <w:rsid w:val="00C9510E"/>
    <w:rsid w:val="00C954A9"/>
    <w:rsid w:val="00C95866"/>
    <w:rsid w:val="00C95C44"/>
    <w:rsid w:val="00C95FC2"/>
    <w:rsid w:val="00C964B5"/>
    <w:rsid w:val="00C965F3"/>
    <w:rsid w:val="00C96BA3"/>
    <w:rsid w:val="00C96BBD"/>
    <w:rsid w:val="00C96EDC"/>
    <w:rsid w:val="00C973F8"/>
    <w:rsid w:val="00C97459"/>
    <w:rsid w:val="00C978E9"/>
    <w:rsid w:val="00C9792E"/>
    <w:rsid w:val="00C97D5B"/>
    <w:rsid w:val="00CA0039"/>
    <w:rsid w:val="00CA04D4"/>
    <w:rsid w:val="00CA0B3F"/>
    <w:rsid w:val="00CA0D25"/>
    <w:rsid w:val="00CA119B"/>
    <w:rsid w:val="00CA119F"/>
    <w:rsid w:val="00CA1583"/>
    <w:rsid w:val="00CA1A97"/>
    <w:rsid w:val="00CA1C1C"/>
    <w:rsid w:val="00CA1E93"/>
    <w:rsid w:val="00CA25B5"/>
    <w:rsid w:val="00CA29F7"/>
    <w:rsid w:val="00CA2DC4"/>
    <w:rsid w:val="00CA37C2"/>
    <w:rsid w:val="00CA380D"/>
    <w:rsid w:val="00CA3FED"/>
    <w:rsid w:val="00CA4080"/>
    <w:rsid w:val="00CA4199"/>
    <w:rsid w:val="00CA4520"/>
    <w:rsid w:val="00CA4704"/>
    <w:rsid w:val="00CA4DAB"/>
    <w:rsid w:val="00CA4F69"/>
    <w:rsid w:val="00CA50F6"/>
    <w:rsid w:val="00CA5490"/>
    <w:rsid w:val="00CA55AD"/>
    <w:rsid w:val="00CA56A3"/>
    <w:rsid w:val="00CA5725"/>
    <w:rsid w:val="00CA5DEE"/>
    <w:rsid w:val="00CA6A01"/>
    <w:rsid w:val="00CA6E52"/>
    <w:rsid w:val="00CA6F10"/>
    <w:rsid w:val="00CA75F1"/>
    <w:rsid w:val="00CA75F6"/>
    <w:rsid w:val="00CB05C7"/>
    <w:rsid w:val="00CB077A"/>
    <w:rsid w:val="00CB07E2"/>
    <w:rsid w:val="00CB0C6B"/>
    <w:rsid w:val="00CB132E"/>
    <w:rsid w:val="00CB17BA"/>
    <w:rsid w:val="00CB1A5F"/>
    <w:rsid w:val="00CB1EB6"/>
    <w:rsid w:val="00CB2357"/>
    <w:rsid w:val="00CB23B9"/>
    <w:rsid w:val="00CB2C00"/>
    <w:rsid w:val="00CB2C13"/>
    <w:rsid w:val="00CB2F07"/>
    <w:rsid w:val="00CB33DC"/>
    <w:rsid w:val="00CB37E8"/>
    <w:rsid w:val="00CB3959"/>
    <w:rsid w:val="00CB3B1C"/>
    <w:rsid w:val="00CB3C0F"/>
    <w:rsid w:val="00CB3D54"/>
    <w:rsid w:val="00CB46C2"/>
    <w:rsid w:val="00CB49C3"/>
    <w:rsid w:val="00CB4E23"/>
    <w:rsid w:val="00CB4FA3"/>
    <w:rsid w:val="00CB5527"/>
    <w:rsid w:val="00CB5546"/>
    <w:rsid w:val="00CB56F1"/>
    <w:rsid w:val="00CB5B1A"/>
    <w:rsid w:val="00CB5EF6"/>
    <w:rsid w:val="00CB5FB5"/>
    <w:rsid w:val="00CB6269"/>
    <w:rsid w:val="00CB626B"/>
    <w:rsid w:val="00CB6FCB"/>
    <w:rsid w:val="00CB741B"/>
    <w:rsid w:val="00CB7550"/>
    <w:rsid w:val="00CB7625"/>
    <w:rsid w:val="00CB768F"/>
    <w:rsid w:val="00CB7835"/>
    <w:rsid w:val="00CB78B2"/>
    <w:rsid w:val="00CB7B6D"/>
    <w:rsid w:val="00CB7F12"/>
    <w:rsid w:val="00CC0036"/>
    <w:rsid w:val="00CC00C0"/>
    <w:rsid w:val="00CC01AC"/>
    <w:rsid w:val="00CC0323"/>
    <w:rsid w:val="00CC0799"/>
    <w:rsid w:val="00CC07FD"/>
    <w:rsid w:val="00CC0B96"/>
    <w:rsid w:val="00CC0B98"/>
    <w:rsid w:val="00CC0EBD"/>
    <w:rsid w:val="00CC133F"/>
    <w:rsid w:val="00CC1AB9"/>
    <w:rsid w:val="00CC1AD3"/>
    <w:rsid w:val="00CC1C80"/>
    <w:rsid w:val="00CC2457"/>
    <w:rsid w:val="00CC24E0"/>
    <w:rsid w:val="00CC25B8"/>
    <w:rsid w:val="00CC263C"/>
    <w:rsid w:val="00CC26B3"/>
    <w:rsid w:val="00CC2AB9"/>
    <w:rsid w:val="00CC2BA2"/>
    <w:rsid w:val="00CC2D56"/>
    <w:rsid w:val="00CC2F70"/>
    <w:rsid w:val="00CC3770"/>
    <w:rsid w:val="00CC3AA2"/>
    <w:rsid w:val="00CC3C93"/>
    <w:rsid w:val="00CC3CB1"/>
    <w:rsid w:val="00CC465D"/>
    <w:rsid w:val="00CC46BD"/>
    <w:rsid w:val="00CC4706"/>
    <w:rsid w:val="00CC477D"/>
    <w:rsid w:val="00CC4ECE"/>
    <w:rsid w:val="00CC4EDE"/>
    <w:rsid w:val="00CC56C1"/>
    <w:rsid w:val="00CC5737"/>
    <w:rsid w:val="00CC5C61"/>
    <w:rsid w:val="00CC5F3E"/>
    <w:rsid w:val="00CC6444"/>
    <w:rsid w:val="00CC6D4B"/>
    <w:rsid w:val="00CC799E"/>
    <w:rsid w:val="00CC7C20"/>
    <w:rsid w:val="00CC7FB0"/>
    <w:rsid w:val="00CD0C4E"/>
    <w:rsid w:val="00CD12B5"/>
    <w:rsid w:val="00CD131E"/>
    <w:rsid w:val="00CD1795"/>
    <w:rsid w:val="00CD1B62"/>
    <w:rsid w:val="00CD2848"/>
    <w:rsid w:val="00CD2A17"/>
    <w:rsid w:val="00CD3B1D"/>
    <w:rsid w:val="00CD3D36"/>
    <w:rsid w:val="00CD3F6C"/>
    <w:rsid w:val="00CD4B3A"/>
    <w:rsid w:val="00CD4BEF"/>
    <w:rsid w:val="00CD550B"/>
    <w:rsid w:val="00CD5589"/>
    <w:rsid w:val="00CD5703"/>
    <w:rsid w:val="00CD5E5D"/>
    <w:rsid w:val="00CD624D"/>
    <w:rsid w:val="00CD63E6"/>
    <w:rsid w:val="00CD648C"/>
    <w:rsid w:val="00CD6676"/>
    <w:rsid w:val="00CD69AB"/>
    <w:rsid w:val="00CD6CCF"/>
    <w:rsid w:val="00CD71FF"/>
    <w:rsid w:val="00CD745E"/>
    <w:rsid w:val="00CE0246"/>
    <w:rsid w:val="00CE03D9"/>
    <w:rsid w:val="00CE04B0"/>
    <w:rsid w:val="00CE06F0"/>
    <w:rsid w:val="00CE0A78"/>
    <w:rsid w:val="00CE0FC1"/>
    <w:rsid w:val="00CE1415"/>
    <w:rsid w:val="00CE172D"/>
    <w:rsid w:val="00CE19C9"/>
    <w:rsid w:val="00CE19EB"/>
    <w:rsid w:val="00CE25E5"/>
    <w:rsid w:val="00CE2BA6"/>
    <w:rsid w:val="00CE3865"/>
    <w:rsid w:val="00CE3FF4"/>
    <w:rsid w:val="00CE4472"/>
    <w:rsid w:val="00CE49F7"/>
    <w:rsid w:val="00CE4C20"/>
    <w:rsid w:val="00CE4D5E"/>
    <w:rsid w:val="00CE53EE"/>
    <w:rsid w:val="00CE5789"/>
    <w:rsid w:val="00CE5919"/>
    <w:rsid w:val="00CE5BC2"/>
    <w:rsid w:val="00CE5F35"/>
    <w:rsid w:val="00CE6453"/>
    <w:rsid w:val="00CE6554"/>
    <w:rsid w:val="00CE7012"/>
    <w:rsid w:val="00CE7466"/>
    <w:rsid w:val="00CE793B"/>
    <w:rsid w:val="00CE7C17"/>
    <w:rsid w:val="00CF00FF"/>
    <w:rsid w:val="00CF0355"/>
    <w:rsid w:val="00CF0442"/>
    <w:rsid w:val="00CF0755"/>
    <w:rsid w:val="00CF114D"/>
    <w:rsid w:val="00CF1316"/>
    <w:rsid w:val="00CF18AF"/>
    <w:rsid w:val="00CF21BF"/>
    <w:rsid w:val="00CF236F"/>
    <w:rsid w:val="00CF26C1"/>
    <w:rsid w:val="00CF2CD8"/>
    <w:rsid w:val="00CF2F8A"/>
    <w:rsid w:val="00CF2F93"/>
    <w:rsid w:val="00CF405F"/>
    <w:rsid w:val="00CF4423"/>
    <w:rsid w:val="00CF455A"/>
    <w:rsid w:val="00CF4679"/>
    <w:rsid w:val="00CF480D"/>
    <w:rsid w:val="00CF49B7"/>
    <w:rsid w:val="00CF4ED4"/>
    <w:rsid w:val="00CF5395"/>
    <w:rsid w:val="00CF54D5"/>
    <w:rsid w:val="00CF578D"/>
    <w:rsid w:val="00CF5BD5"/>
    <w:rsid w:val="00CF6040"/>
    <w:rsid w:val="00CF6289"/>
    <w:rsid w:val="00CF6E29"/>
    <w:rsid w:val="00CF6E59"/>
    <w:rsid w:val="00CF70D4"/>
    <w:rsid w:val="00CF72CA"/>
    <w:rsid w:val="00CF72DA"/>
    <w:rsid w:val="00CF781A"/>
    <w:rsid w:val="00CF785B"/>
    <w:rsid w:val="00CF78D5"/>
    <w:rsid w:val="00CF79A5"/>
    <w:rsid w:val="00CF7DB9"/>
    <w:rsid w:val="00CF7ED5"/>
    <w:rsid w:val="00D001AC"/>
    <w:rsid w:val="00D01537"/>
    <w:rsid w:val="00D01EFC"/>
    <w:rsid w:val="00D01FB8"/>
    <w:rsid w:val="00D0232E"/>
    <w:rsid w:val="00D028D9"/>
    <w:rsid w:val="00D02913"/>
    <w:rsid w:val="00D0293F"/>
    <w:rsid w:val="00D02B4F"/>
    <w:rsid w:val="00D02CA1"/>
    <w:rsid w:val="00D0301F"/>
    <w:rsid w:val="00D0346D"/>
    <w:rsid w:val="00D034E3"/>
    <w:rsid w:val="00D0359E"/>
    <w:rsid w:val="00D0399E"/>
    <w:rsid w:val="00D03EC3"/>
    <w:rsid w:val="00D044BB"/>
    <w:rsid w:val="00D0464D"/>
    <w:rsid w:val="00D04E02"/>
    <w:rsid w:val="00D04F40"/>
    <w:rsid w:val="00D05068"/>
    <w:rsid w:val="00D06351"/>
    <w:rsid w:val="00D06461"/>
    <w:rsid w:val="00D065BD"/>
    <w:rsid w:val="00D0680C"/>
    <w:rsid w:val="00D07022"/>
    <w:rsid w:val="00D07083"/>
    <w:rsid w:val="00D076FE"/>
    <w:rsid w:val="00D0772D"/>
    <w:rsid w:val="00D07958"/>
    <w:rsid w:val="00D07AEC"/>
    <w:rsid w:val="00D10A7D"/>
    <w:rsid w:val="00D10D91"/>
    <w:rsid w:val="00D10E84"/>
    <w:rsid w:val="00D110E0"/>
    <w:rsid w:val="00D11469"/>
    <w:rsid w:val="00D1148B"/>
    <w:rsid w:val="00D11613"/>
    <w:rsid w:val="00D11CA2"/>
    <w:rsid w:val="00D11CEF"/>
    <w:rsid w:val="00D11D51"/>
    <w:rsid w:val="00D123D9"/>
    <w:rsid w:val="00D12D77"/>
    <w:rsid w:val="00D13288"/>
    <w:rsid w:val="00D1373B"/>
    <w:rsid w:val="00D146FB"/>
    <w:rsid w:val="00D1473F"/>
    <w:rsid w:val="00D15687"/>
    <w:rsid w:val="00D15BE1"/>
    <w:rsid w:val="00D15F68"/>
    <w:rsid w:val="00D16217"/>
    <w:rsid w:val="00D162D8"/>
    <w:rsid w:val="00D1669F"/>
    <w:rsid w:val="00D16A52"/>
    <w:rsid w:val="00D16CB2"/>
    <w:rsid w:val="00D16CC4"/>
    <w:rsid w:val="00D16CCD"/>
    <w:rsid w:val="00D16E3F"/>
    <w:rsid w:val="00D17BF5"/>
    <w:rsid w:val="00D2011A"/>
    <w:rsid w:val="00D201AB"/>
    <w:rsid w:val="00D206C4"/>
    <w:rsid w:val="00D2081A"/>
    <w:rsid w:val="00D20D12"/>
    <w:rsid w:val="00D21D4A"/>
    <w:rsid w:val="00D2240A"/>
    <w:rsid w:val="00D2271F"/>
    <w:rsid w:val="00D2276B"/>
    <w:rsid w:val="00D22D74"/>
    <w:rsid w:val="00D22E87"/>
    <w:rsid w:val="00D22EB6"/>
    <w:rsid w:val="00D231D7"/>
    <w:rsid w:val="00D23314"/>
    <w:rsid w:val="00D235CC"/>
    <w:rsid w:val="00D236C0"/>
    <w:rsid w:val="00D237DE"/>
    <w:rsid w:val="00D23985"/>
    <w:rsid w:val="00D23DA3"/>
    <w:rsid w:val="00D23DDE"/>
    <w:rsid w:val="00D240C8"/>
    <w:rsid w:val="00D24248"/>
    <w:rsid w:val="00D2455D"/>
    <w:rsid w:val="00D25AF4"/>
    <w:rsid w:val="00D2614C"/>
    <w:rsid w:val="00D2639D"/>
    <w:rsid w:val="00D26865"/>
    <w:rsid w:val="00D26FC2"/>
    <w:rsid w:val="00D27100"/>
    <w:rsid w:val="00D27A0B"/>
    <w:rsid w:val="00D27E32"/>
    <w:rsid w:val="00D27F31"/>
    <w:rsid w:val="00D27FEB"/>
    <w:rsid w:val="00D3014D"/>
    <w:rsid w:val="00D301A4"/>
    <w:rsid w:val="00D30432"/>
    <w:rsid w:val="00D30926"/>
    <w:rsid w:val="00D30FDB"/>
    <w:rsid w:val="00D317CF"/>
    <w:rsid w:val="00D31959"/>
    <w:rsid w:val="00D32E34"/>
    <w:rsid w:val="00D32E50"/>
    <w:rsid w:val="00D33156"/>
    <w:rsid w:val="00D33192"/>
    <w:rsid w:val="00D33A24"/>
    <w:rsid w:val="00D33CC2"/>
    <w:rsid w:val="00D33DE0"/>
    <w:rsid w:val="00D33F80"/>
    <w:rsid w:val="00D34496"/>
    <w:rsid w:val="00D35192"/>
    <w:rsid w:val="00D35549"/>
    <w:rsid w:val="00D3586B"/>
    <w:rsid w:val="00D35D42"/>
    <w:rsid w:val="00D35DCD"/>
    <w:rsid w:val="00D3616A"/>
    <w:rsid w:val="00D36499"/>
    <w:rsid w:val="00D36745"/>
    <w:rsid w:val="00D36812"/>
    <w:rsid w:val="00D36845"/>
    <w:rsid w:val="00D36A92"/>
    <w:rsid w:val="00D36A9A"/>
    <w:rsid w:val="00D36F0A"/>
    <w:rsid w:val="00D371E1"/>
    <w:rsid w:val="00D3720D"/>
    <w:rsid w:val="00D37B4C"/>
    <w:rsid w:val="00D37F24"/>
    <w:rsid w:val="00D402C5"/>
    <w:rsid w:val="00D405E3"/>
    <w:rsid w:val="00D4134C"/>
    <w:rsid w:val="00D41561"/>
    <w:rsid w:val="00D42837"/>
    <w:rsid w:val="00D42838"/>
    <w:rsid w:val="00D42891"/>
    <w:rsid w:val="00D42ADA"/>
    <w:rsid w:val="00D42D8F"/>
    <w:rsid w:val="00D42E7F"/>
    <w:rsid w:val="00D437A6"/>
    <w:rsid w:val="00D43BCB"/>
    <w:rsid w:val="00D43DCB"/>
    <w:rsid w:val="00D43F41"/>
    <w:rsid w:val="00D43F6C"/>
    <w:rsid w:val="00D440DC"/>
    <w:rsid w:val="00D4446E"/>
    <w:rsid w:val="00D449CC"/>
    <w:rsid w:val="00D45267"/>
    <w:rsid w:val="00D454FA"/>
    <w:rsid w:val="00D45604"/>
    <w:rsid w:val="00D4615C"/>
    <w:rsid w:val="00D46169"/>
    <w:rsid w:val="00D465E2"/>
    <w:rsid w:val="00D46791"/>
    <w:rsid w:val="00D46DF8"/>
    <w:rsid w:val="00D4712C"/>
    <w:rsid w:val="00D473D2"/>
    <w:rsid w:val="00D47545"/>
    <w:rsid w:val="00D47F85"/>
    <w:rsid w:val="00D502E1"/>
    <w:rsid w:val="00D50507"/>
    <w:rsid w:val="00D5117E"/>
    <w:rsid w:val="00D51447"/>
    <w:rsid w:val="00D51449"/>
    <w:rsid w:val="00D517A0"/>
    <w:rsid w:val="00D51CCC"/>
    <w:rsid w:val="00D52299"/>
    <w:rsid w:val="00D523B1"/>
    <w:rsid w:val="00D526DC"/>
    <w:rsid w:val="00D529F6"/>
    <w:rsid w:val="00D52D30"/>
    <w:rsid w:val="00D53B19"/>
    <w:rsid w:val="00D53CF6"/>
    <w:rsid w:val="00D53DC5"/>
    <w:rsid w:val="00D54464"/>
    <w:rsid w:val="00D54881"/>
    <w:rsid w:val="00D54A71"/>
    <w:rsid w:val="00D550BD"/>
    <w:rsid w:val="00D55521"/>
    <w:rsid w:val="00D55680"/>
    <w:rsid w:val="00D5639B"/>
    <w:rsid w:val="00D57CCC"/>
    <w:rsid w:val="00D6054D"/>
    <w:rsid w:val="00D606AE"/>
    <w:rsid w:val="00D60AC6"/>
    <w:rsid w:val="00D60D47"/>
    <w:rsid w:val="00D616B0"/>
    <w:rsid w:val="00D617EC"/>
    <w:rsid w:val="00D61A9F"/>
    <w:rsid w:val="00D61AA3"/>
    <w:rsid w:val="00D62643"/>
    <w:rsid w:val="00D62F71"/>
    <w:rsid w:val="00D64005"/>
    <w:rsid w:val="00D64360"/>
    <w:rsid w:val="00D6469A"/>
    <w:rsid w:val="00D64907"/>
    <w:rsid w:val="00D64A92"/>
    <w:rsid w:val="00D6524F"/>
    <w:rsid w:val="00D65293"/>
    <w:rsid w:val="00D65BC3"/>
    <w:rsid w:val="00D661DF"/>
    <w:rsid w:val="00D67826"/>
    <w:rsid w:val="00D67870"/>
    <w:rsid w:val="00D67890"/>
    <w:rsid w:val="00D7000E"/>
    <w:rsid w:val="00D70F53"/>
    <w:rsid w:val="00D712ED"/>
    <w:rsid w:val="00D7135E"/>
    <w:rsid w:val="00D71983"/>
    <w:rsid w:val="00D721B9"/>
    <w:rsid w:val="00D72990"/>
    <w:rsid w:val="00D72D67"/>
    <w:rsid w:val="00D738BD"/>
    <w:rsid w:val="00D73C71"/>
    <w:rsid w:val="00D745F5"/>
    <w:rsid w:val="00D74BE9"/>
    <w:rsid w:val="00D751BD"/>
    <w:rsid w:val="00D758AA"/>
    <w:rsid w:val="00D75AD2"/>
    <w:rsid w:val="00D7616F"/>
    <w:rsid w:val="00D76289"/>
    <w:rsid w:val="00D76895"/>
    <w:rsid w:val="00D76B3B"/>
    <w:rsid w:val="00D76C49"/>
    <w:rsid w:val="00D77476"/>
    <w:rsid w:val="00D77A31"/>
    <w:rsid w:val="00D77CD7"/>
    <w:rsid w:val="00D77E99"/>
    <w:rsid w:val="00D8025F"/>
    <w:rsid w:val="00D80947"/>
    <w:rsid w:val="00D809F5"/>
    <w:rsid w:val="00D81100"/>
    <w:rsid w:val="00D81329"/>
    <w:rsid w:val="00D81445"/>
    <w:rsid w:val="00D81841"/>
    <w:rsid w:val="00D8188A"/>
    <w:rsid w:val="00D81E56"/>
    <w:rsid w:val="00D82181"/>
    <w:rsid w:val="00D8242E"/>
    <w:rsid w:val="00D82836"/>
    <w:rsid w:val="00D82B3D"/>
    <w:rsid w:val="00D82BEA"/>
    <w:rsid w:val="00D82D52"/>
    <w:rsid w:val="00D82FB5"/>
    <w:rsid w:val="00D82FFA"/>
    <w:rsid w:val="00D83214"/>
    <w:rsid w:val="00D832DD"/>
    <w:rsid w:val="00D8340E"/>
    <w:rsid w:val="00D8352F"/>
    <w:rsid w:val="00D83C76"/>
    <w:rsid w:val="00D83D40"/>
    <w:rsid w:val="00D846E8"/>
    <w:rsid w:val="00D849AB"/>
    <w:rsid w:val="00D85498"/>
    <w:rsid w:val="00D85BB2"/>
    <w:rsid w:val="00D8609E"/>
    <w:rsid w:val="00D864A2"/>
    <w:rsid w:val="00D864EA"/>
    <w:rsid w:val="00D86817"/>
    <w:rsid w:val="00D86979"/>
    <w:rsid w:val="00D86ADC"/>
    <w:rsid w:val="00D86C81"/>
    <w:rsid w:val="00D86DDA"/>
    <w:rsid w:val="00D86E6F"/>
    <w:rsid w:val="00D86FFE"/>
    <w:rsid w:val="00D875F2"/>
    <w:rsid w:val="00D877C9"/>
    <w:rsid w:val="00D87B59"/>
    <w:rsid w:val="00D87E37"/>
    <w:rsid w:val="00D90021"/>
    <w:rsid w:val="00D9016A"/>
    <w:rsid w:val="00D901D0"/>
    <w:rsid w:val="00D90249"/>
    <w:rsid w:val="00D9033E"/>
    <w:rsid w:val="00D90775"/>
    <w:rsid w:val="00D907D5"/>
    <w:rsid w:val="00D90E72"/>
    <w:rsid w:val="00D90E76"/>
    <w:rsid w:val="00D91021"/>
    <w:rsid w:val="00D91264"/>
    <w:rsid w:val="00D9174F"/>
    <w:rsid w:val="00D91DEE"/>
    <w:rsid w:val="00D91FA7"/>
    <w:rsid w:val="00D9203E"/>
    <w:rsid w:val="00D925D1"/>
    <w:rsid w:val="00D926BF"/>
    <w:rsid w:val="00D92740"/>
    <w:rsid w:val="00D92796"/>
    <w:rsid w:val="00D93040"/>
    <w:rsid w:val="00D93177"/>
    <w:rsid w:val="00D93179"/>
    <w:rsid w:val="00D93669"/>
    <w:rsid w:val="00D93CE5"/>
    <w:rsid w:val="00D94240"/>
    <w:rsid w:val="00D94B8F"/>
    <w:rsid w:val="00D94BA5"/>
    <w:rsid w:val="00D95309"/>
    <w:rsid w:val="00D95341"/>
    <w:rsid w:val="00D953E0"/>
    <w:rsid w:val="00D9587C"/>
    <w:rsid w:val="00D95D99"/>
    <w:rsid w:val="00D964A7"/>
    <w:rsid w:val="00D970E2"/>
    <w:rsid w:val="00D971CB"/>
    <w:rsid w:val="00D97364"/>
    <w:rsid w:val="00D976B8"/>
    <w:rsid w:val="00D977D8"/>
    <w:rsid w:val="00D97CDC"/>
    <w:rsid w:val="00D97DF1"/>
    <w:rsid w:val="00DA0285"/>
    <w:rsid w:val="00DA0661"/>
    <w:rsid w:val="00DA06EA"/>
    <w:rsid w:val="00DA0AB1"/>
    <w:rsid w:val="00DA0BDD"/>
    <w:rsid w:val="00DA0F49"/>
    <w:rsid w:val="00DA1010"/>
    <w:rsid w:val="00DA110F"/>
    <w:rsid w:val="00DA13FD"/>
    <w:rsid w:val="00DA1404"/>
    <w:rsid w:val="00DA1C4B"/>
    <w:rsid w:val="00DA1F8E"/>
    <w:rsid w:val="00DA227C"/>
    <w:rsid w:val="00DA23B4"/>
    <w:rsid w:val="00DA2811"/>
    <w:rsid w:val="00DA2A8C"/>
    <w:rsid w:val="00DA3076"/>
    <w:rsid w:val="00DA3780"/>
    <w:rsid w:val="00DA3985"/>
    <w:rsid w:val="00DA458D"/>
    <w:rsid w:val="00DA4B4A"/>
    <w:rsid w:val="00DA4CC8"/>
    <w:rsid w:val="00DA4FF8"/>
    <w:rsid w:val="00DA50C2"/>
    <w:rsid w:val="00DA59E1"/>
    <w:rsid w:val="00DA5ECB"/>
    <w:rsid w:val="00DA6644"/>
    <w:rsid w:val="00DA6768"/>
    <w:rsid w:val="00DA6908"/>
    <w:rsid w:val="00DA69EB"/>
    <w:rsid w:val="00DA6A3A"/>
    <w:rsid w:val="00DA6D15"/>
    <w:rsid w:val="00DA71FC"/>
    <w:rsid w:val="00DA76F5"/>
    <w:rsid w:val="00DA7CF7"/>
    <w:rsid w:val="00DA7FE4"/>
    <w:rsid w:val="00DB00CA"/>
    <w:rsid w:val="00DB0210"/>
    <w:rsid w:val="00DB059A"/>
    <w:rsid w:val="00DB0CE9"/>
    <w:rsid w:val="00DB0F08"/>
    <w:rsid w:val="00DB1034"/>
    <w:rsid w:val="00DB12F7"/>
    <w:rsid w:val="00DB1349"/>
    <w:rsid w:val="00DB13E5"/>
    <w:rsid w:val="00DB1B4B"/>
    <w:rsid w:val="00DB1F01"/>
    <w:rsid w:val="00DB2214"/>
    <w:rsid w:val="00DB2C62"/>
    <w:rsid w:val="00DB2D94"/>
    <w:rsid w:val="00DB33B5"/>
    <w:rsid w:val="00DB34FC"/>
    <w:rsid w:val="00DB3969"/>
    <w:rsid w:val="00DB3AC8"/>
    <w:rsid w:val="00DB42E4"/>
    <w:rsid w:val="00DB4EC4"/>
    <w:rsid w:val="00DB553F"/>
    <w:rsid w:val="00DB59B3"/>
    <w:rsid w:val="00DB6204"/>
    <w:rsid w:val="00DB647A"/>
    <w:rsid w:val="00DB774E"/>
    <w:rsid w:val="00DB7A63"/>
    <w:rsid w:val="00DC013D"/>
    <w:rsid w:val="00DC05CE"/>
    <w:rsid w:val="00DC0A54"/>
    <w:rsid w:val="00DC0C6A"/>
    <w:rsid w:val="00DC0D44"/>
    <w:rsid w:val="00DC0F9D"/>
    <w:rsid w:val="00DC10E1"/>
    <w:rsid w:val="00DC143B"/>
    <w:rsid w:val="00DC16C7"/>
    <w:rsid w:val="00DC1CE8"/>
    <w:rsid w:val="00DC1E31"/>
    <w:rsid w:val="00DC27C3"/>
    <w:rsid w:val="00DC2ABC"/>
    <w:rsid w:val="00DC2B88"/>
    <w:rsid w:val="00DC2DC5"/>
    <w:rsid w:val="00DC361A"/>
    <w:rsid w:val="00DC40A9"/>
    <w:rsid w:val="00DC421B"/>
    <w:rsid w:val="00DC4B6B"/>
    <w:rsid w:val="00DC4DD3"/>
    <w:rsid w:val="00DC501D"/>
    <w:rsid w:val="00DC5072"/>
    <w:rsid w:val="00DC53EF"/>
    <w:rsid w:val="00DC5840"/>
    <w:rsid w:val="00DC6318"/>
    <w:rsid w:val="00DC6D96"/>
    <w:rsid w:val="00DC7478"/>
    <w:rsid w:val="00DC7522"/>
    <w:rsid w:val="00DC7704"/>
    <w:rsid w:val="00DC77B3"/>
    <w:rsid w:val="00DC7931"/>
    <w:rsid w:val="00DC7B68"/>
    <w:rsid w:val="00DC7C5E"/>
    <w:rsid w:val="00DD22B1"/>
    <w:rsid w:val="00DD2421"/>
    <w:rsid w:val="00DD2AB4"/>
    <w:rsid w:val="00DD31A2"/>
    <w:rsid w:val="00DD3265"/>
    <w:rsid w:val="00DD3489"/>
    <w:rsid w:val="00DD38D2"/>
    <w:rsid w:val="00DD3AC0"/>
    <w:rsid w:val="00DD3B20"/>
    <w:rsid w:val="00DD471F"/>
    <w:rsid w:val="00DD4A6D"/>
    <w:rsid w:val="00DD4AF6"/>
    <w:rsid w:val="00DD5129"/>
    <w:rsid w:val="00DD553D"/>
    <w:rsid w:val="00DD5B2B"/>
    <w:rsid w:val="00DD6805"/>
    <w:rsid w:val="00DD69D2"/>
    <w:rsid w:val="00DD6B1D"/>
    <w:rsid w:val="00DD6D70"/>
    <w:rsid w:val="00DD7013"/>
    <w:rsid w:val="00DD77F9"/>
    <w:rsid w:val="00DD7BD1"/>
    <w:rsid w:val="00DE0660"/>
    <w:rsid w:val="00DE07D9"/>
    <w:rsid w:val="00DE128E"/>
    <w:rsid w:val="00DE13B7"/>
    <w:rsid w:val="00DE1BFB"/>
    <w:rsid w:val="00DE1C9E"/>
    <w:rsid w:val="00DE1D18"/>
    <w:rsid w:val="00DE28B0"/>
    <w:rsid w:val="00DE2CA5"/>
    <w:rsid w:val="00DE2E99"/>
    <w:rsid w:val="00DE2FB8"/>
    <w:rsid w:val="00DE3541"/>
    <w:rsid w:val="00DE3932"/>
    <w:rsid w:val="00DE3CD2"/>
    <w:rsid w:val="00DE4965"/>
    <w:rsid w:val="00DE4E28"/>
    <w:rsid w:val="00DE51AB"/>
    <w:rsid w:val="00DE5751"/>
    <w:rsid w:val="00DE595F"/>
    <w:rsid w:val="00DE59F7"/>
    <w:rsid w:val="00DE5A2C"/>
    <w:rsid w:val="00DE5AD1"/>
    <w:rsid w:val="00DE5C35"/>
    <w:rsid w:val="00DE696D"/>
    <w:rsid w:val="00DE699B"/>
    <w:rsid w:val="00DE6A6F"/>
    <w:rsid w:val="00DE6B21"/>
    <w:rsid w:val="00DE6B71"/>
    <w:rsid w:val="00DE6E4E"/>
    <w:rsid w:val="00DE6E8F"/>
    <w:rsid w:val="00DE6FA9"/>
    <w:rsid w:val="00DE70B6"/>
    <w:rsid w:val="00DE7BB7"/>
    <w:rsid w:val="00DE7CE3"/>
    <w:rsid w:val="00DE7ED6"/>
    <w:rsid w:val="00DF01F2"/>
    <w:rsid w:val="00DF06A5"/>
    <w:rsid w:val="00DF06FE"/>
    <w:rsid w:val="00DF0C54"/>
    <w:rsid w:val="00DF0D03"/>
    <w:rsid w:val="00DF1B2D"/>
    <w:rsid w:val="00DF1E13"/>
    <w:rsid w:val="00DF21A4"/>
    <w:rsid w:val="00DF301A"/>
    <w:rsid w:val="00DF3040"/>
    <w:rsid w:val="00DF30B1"/>
    <w:rsid w:val="00DF34C9"/>
    <w:rsid w:val="00DF3568"/>
    <w:rsid w:val="00DF3A5D"/>
    <w:rsid w:val="00DF3E0A"/>
    <w:rsid w:val="00DF4150"/>
    <w:rsid w:val="00DF4BBC"/>
    <w:rsid w:val="00DF4F3F"/>
    <w:rsid w:val="00DF5110"/>
    <w:rsid w:val="00DF53EC"/>
    <w:rsid w:val="00DF57EC"/>
    <w:rsid w:val="00DF5A40"/>
    <w:rsid w:val="00DF6230"/>
    <w:rsid w:val="00DF651D"/>
    <w:rsid w:val="00DF69BE"/>
    <w:rsid w:val="00DF77E8"/>
    <w:rsid w:val="00DF780D"/>
    <w:rsid w:val="00DF7824"/>
    <w:rsid w:val="00E001FF"/>
    <w:rsid w:val="00E00547"/>
    <w:rsid w:val="00E01241"/>
    <w:rsid w:val="00E0133C"/>
    <w:rsid w:val="00E01626"/>
    <w:rsid w:val="00E01664"/>
    <w:rsid w:val="00E01B32"/>
    <w:rsid w:val="00E01C88"/>
    <w:rsid w:val="00E01DC8"/>
    <w:rsid w:val="00E02045"/>
    <w:rsid w:val="00E021FF"/>
    <w:rsid w:val="00E028B8"/>
    <w:rsid w:val="00E02C1D"/>
    <w:rsid w:val="00E02D3A"/>
    <w:rsid w:val="00E03734"/>
    <w:rsid w:val="00E0398F"/>
    <w:rsid w:val="00E03E0C"/>
    <w:rsid w:val="00E04B10"/>
    <w:rsid w:val="00E04D28"/>
    <w:rsid w:val="00E04ECB"/>
    <w:rsid w:val="00E051A9"/>
    <w:rsid w:val="00E05628"/>
    <w:rsid w:val="00E058F1"/>
    <w:rsid w:val="00E05F9D"/>
    <w:rsid w:val="00E06003"/>
    <w:rsid w:val="00E0615C"/>
    <w:rsid w:val="00E065C1"/>
    <w:rsid w:val="00E066E1"/>
    <w:rsid w:val="00E06CEE"/>
    <w:rsid w:val="00E06D70"/>
    <w:rsid w:val="00E06EBF"/>
    <w:rsid w:val="00E070B9"/>
    <w:rsid w:val="00E0718C"/>
    <w:rsid w:val="00E07529"/>
    <w:rsid w:val="00E07559"/>
    <w:rsid w:val="00E0763C"/>
    <w:rsid w:val="00E07D13"/>
    <w:rsid w:val="00E07EE3"/>
    <w:rsid w:val="00E07FE7"/>
    <w:rsid w:val="00E1030D"/>
    <w:rsid w:val="00E10672"/>
    <w:rsid w:val="00E109A8"/>
    <w:rsid w:val="00E10D56"/>
    <w:rsid w:val="00E10F05"/>
    <w:rsid w:val="00E11379"/>
    <w:rsid w:val="00E11464"/>
    <w:rsid w:val="00E11A24"/>
    <w:rsid w:val="00E11B38"/>
    <w:rsid w:val="00E120A0"/>
    <w:rsid w:val="00E12710"/>
    <w:rsid w:val="00E129B1"/>
    <w:rsid w:val="00E12D5D"/>
    <w:rsid w:val="00E13635"/>
    <w:rsid w:val="00E136B4"/>
    <w:rsid w:val="00E139A4"/>
    <w:rsid w:val="00E13B9A"/>
    <w:rsid w:val="00E13E24"/>
    <w:rsid w:val="00E14012"/>
    <w:rsid w:val="00E14302"/>
    <w:rsid w:val="00E14801"/>
    <w:rsid w:val="00E14FF5"/>
    <w:rsid w:val="00E15007"/>
    <w:rsid w:val="00E152E3"/>
    <w:rsid w:val="00E152E4"/>
    <w:rsid w:val="00E1555D"/>
    <w:rsid w:val="00E158B8"/>
    <w:rsid w:val="00E1600E"/>
    <w:rsid w:val="00E161C0"/>
    <w:rsid w:val="00E165D7"/>
    <w:rsid w:val="00E1669E"/>
    <w:rsid w:val="00E16940"/>
    <w:rsid w:val="00E16A72"/>
    <w:rsid w:val="00E16C68"/>
    <w:rsid w:val="00E16E3E"/>
    <w:rsid w:val="00E17238"/>
    <w:rsid w:val="00E17663"/>
    <w:rsid w:val="00E176B7"/>
    <w:rsid w:val="00E178B2"/>
    <w:rsid w:val="00E2000F"/>
    <w:rsid w:val="00E20025"/>
    <w:rsid w:val="00E2024D"/>
    <w:rsid w:val="00E20434"/>
    <w:rsid w:val="00E205C1"/>
    <w:rsid w:val="00E2134F"/>
    <w:rsid w:val="00E21902"/>
    <w:rsid w:val="00E21934"/>
    <w:rsid w:val="00E21D2B"/>
    <w:rsid w:val="00E22359"/>
    <w:rsid w:val="00E22790"/>
    <w:rsid w:val="00E22E01"/>
    <w:rsid w:val="00E2305E"/>
    <w:rsid w:val="00E230A5"/>
    <w:rsid w:val="00E23B74"/>
    <w:rsid w:val="00E23E1A"/>
    <w:rsid w:val="00E242D6"/>
    <w:rsid w:val="00E24307"/>
    <w:rsid w:val="00E244D2"/>
    <w:rsid w:val="00E24757"/>
    <w:rsid w:val="00E248A4"/>
    <w:rsid w:val="00E24A06"/>
    <w:rsid w:val="00E24D09"/>
    <w:rsid w:val="00E25220"/>
    <w:rsid w:val="00E25E09"/>
    <w:rsid w:val="00E25EFF"/>
    <w:rsid w:val="00E26166"/>
    <w:rsid w:val="00E261DA"/>
    <w:rsid w:val="00E265D2"/>
    <w:rsid w:val="00E267B2"/>
    <w:rsid w:val="00E269C8"/>
    <w:rsid w:val="00E26A97"/>
    <w:rsid w:val="00E26AA7"/>
    <w:rsid w:val="00E26AE9"/>
    <w:rsid w:val="00E26B4A"/>
    <w:rsid w:val="00E26C48"/>
    <w:rsid w:val="00E26F00"/>
    <w:rsid w:val="00E2717E"/>
    <w:rsid w:val="00E27857"/>
    <w:rsid w:val="00E30341"/>
    <w:rsid w:val="00E304D7"/>
    <w:rsid w:val="00E30882"/>
    <w:rsid w:val="00E30980"/>
    <w:rsid w:val="00E30A5F"/>
    <w:rsid w:val="00E310F3"/>
    <w:rsid w:val="00E321A3"/>
    <w:rsid w:val="00E328AA"/>
    <w:rsid w:val="00E32E24"/>
    <w:rsid w:val="00E33469"/>
    <w:rsid w:val="00E3347C"/>
    <w:rsid w:val="00E33573"/>
    <w:rsid w:val="00E33B4B"/>
    <w:rsid w:val="00E33C40"/>
    <w:rsid w:val="00E33E21"/>
    <w:rsid w:val="00E34054"/>
    <w:rsid w:val="00E341B1"/>
    <w:rsid w:val="00E3432F"/>
    <w:rsid w:val="00E34B7E"/>
    <w:rsid w:val="00E354F2"/>
    <w:rsid w:val="00E355A9"/>
    <w:rsid w:val="00E35614"/>
    <w:rsid w:val="00E358E3"/>
    <w:rsid w:val="00E35F4D"/>
    <w:rsid w:val="00E361C4"/>
    <w:rsid w:val="00E3639C"/>
    <w:rsid w:val="00E36D31"/>
    <w:rsid w:val="00E371D9"/>
    <w:rsid w:val="00E37366"/>
    <w:rsid w:val="00E3774B"/>
    <w:rsid w:val="00E377DF"/>
    <w:rsid w:val="00E37904"/>
    <w:rsid w:val="00E37947"/>
    <w:rsid w:val="00E4088E"/>
    <w:rsid w:val="00E40F7D"/>
    <w:rsid w:val="00E40FEA"/>
    <w:rsid w:val="00E4116C"/>
    <w:rsid w:val="00E41200"/>
    <w:rsid w:val="00E412C9"/>
    <w:rsid w:val="00E41720"/>
    <w:rsid w:val="00E418B6"/>
    <w:rsid w:val="00E41E4D"/>
    <w:rsid w:val="00E41FDA"/>
    <w:rsid w:val="00E425B7"/>
    <w:rsid w:val="00E425CA"/>
    <w:rsid w:val="00E4286F"/>
    <w:rsid w:val="00E42A3E"/>
    <w:rsid w:val="00E42BAB"/>
    <w:rsid w:val="00E42C06"/>
    <w:rsid w:val="00E438E1"/>
    <w:rsid w:val="00E43952"/>
    <w:rsid w:val="00E439C4"/>
    <w:rsid w:val="00E43E20"/>
    <w:rsid w:val="00E43F7A"/>
    <w:rsid w:val="00E44108"/>
    <w:rsid w:val="00E4447A"/>
    <w:rsid w:val="00E44785"/>
    <w:rsid w:val="00E4483A"/>
    <w:rsid w:val="00E448FA"/>
    <w:rsid w:val="00E44B2F"/>
    <w:rsid w:val="00E44B56"/>
    <w:rsid w:val="00E44FC4"/>
    <w:rsid w:val="00E450A8"/>
    <w:rsid w:val="00E452FB"/>
    <w:rsid w:val="00E456BF"/>
    <w:rsid w:val="00E45B26"/>
    <w:rsid w:val="00E45D13"/>
    <w:rsid w:val="00E45D4A"/>
    <w:rsid w:val="00E46163"/>
    <w:rsid w:val="00E463ED"/>
    <w:rsid w:val="00E4650A"/>
    <w:rsid w:val="00E46B86"/>
    <w:rsid w:val="00E46EC3"/>
    <w:rsid w:val="00E47079"/>
    <w:rsid w:val="00E47117"/>
    <w:rsid w:val="00E471A0"/>
    <w:rsid w:val="00E47679"/>
    <w:rsid w:val="00E47A43"/>
    <w:rsid w:val="00E47AD9"/>
    <w:rsid w:val="00E47B40"/>
    <w:rsid w:val="00E47E04"/>
    <w:rsid w:val="00E47E89"/>
    <w:rsid w:val="00E47FD3"/>
    <w:rsid w:val="00E50505"/>
    <w:rsid w:val="00E50C9C"/>
    <w:rsid w:val="00E512E2"/>
    <w:rsid w:val="00E51845"/>
    <w:rsid w:val="00E51DF6"/>
    <w:rsid w:val="00E5216D"/>
    <w:rsid w:val="00E529B0"/>
    <w:rsid w:val="00E529D9"/>
    <w:rsid w:val="00E52B3A"/>
    <w:rsid w:val="00E52EB7"/>
    <w:rsid w:val="00E5345D"/>
    <w:rsid w:val="00E539EF"/>
    <w:rsid w:val="00E53C5D"/>
    <w:rsid w:val="00E53E97"/>
    <w:rsid w:val="00E53F3B"/>
    <w:rsid w:val="00E546F2"/>
    <w:rsid w:val="00E54BC9"/>
    <w:rsid w:val="00E54C6D"/>
    <w:rsid w:val="00E54CA6"/>
    <w:rsid w:val="00E552E0"/>
    <w:rsid w:val="00E55E87"/>
    <w:rsid w:val="00E55F11"/>
    <w:rsid w:val="00E56377"/>
    <w:rsid w:val="00E563ED"/>
    <w:rsid w:val="00E567E9"/>
    <w:rsid w:val="00E568A0"/>
    <w:rsid w:val="00E56B87"/>
    <w:rsid w:val="00E57374"/>
    <w:rsid w:val="00E57581"/>
    <w:rsid w:val="00E57810"/>
    <w:rsid w:val="00E57D54"/>
    <w:rsid w:val="00E6015E"/>
    <w:rsid w:val="00E609A9"/>
    <w:rsid w:val="00E60E8B"/>
    <w:rsid w:val="00E60F65"/>
    <w:rsid w:val="00E6128E"/>
    <w:rsid w:val="00E617A2"/>
    <w:rsid w:val="00E617EA"/>
    <w:rsid w:val="00E62866"/>
    <w:rsid w:val="00E6295F"/>
    <w:rsid w:val="00E62A2A"/>
    <w:rsid w:val="00E62B21"/>
    <w:rsid w:val="00E62B33"/>
    <w:rsid w:val="00E62E7F"/>
    <w:rsid w:val="00E62F7C"/>
    <w:rsid w:val="00E635A4"/>
    <w:rsid w:val="00E6401A"/>
    <w:rsid w:val="00E64148"/>
    <w:rsid w:val="00E64884"/>
    <w:rsid w:val="00E649DE"/>
    <w:rsid w:val="00E64B9B"/>
    <w:rsid w:val="00E65037"/>
    <w:rsid w:val="00E6520D"/>
    <w:rsid w:val="00E654C3"/>
    <w:rsid w:val="00E658AB"/>
    <w:rsid w:val="00E663CC"/>
    <w:rsid w:val="00E664D2"/>
    <w:rsid w:val="00E6653D"/>
    <w:rsid w:val="00E6689A"/>
    <w:rsid w:val="00E668C4"/>
    <w:rsid w:val="00E6705F"/>
    <w:rsid w:val="00E6732E"/>
    <w:rsid w:val="00E6753C"/>
    <w:rsid w:val="00E67818"/>
    <w:rsid w:val="00E67A4C"/>
    <w:rsid w:val="00E702C7"/>
    <w:rsid w:val="00E70A65"/>
    <w:rsid w:val="00E70F75"/>
    <w:rsid w:val="00E712BE"/>
    <w:rsid w:val="00E71421"/>
    <w:rsid w:val="00E71437"/>
    <w:rsid w:val="00E71872"/>
    <w:rsid w:val="00E71A5B"/>
    <w:rsid w:val="00E71B2E"/>
    <w:rsid w:val="00E71E5F"/>
    <w:rsid w:val="00E722DF"/>
    <w:rsid w:val="00E72BC7"/>
    <w:rsid w:val="00E73183"/>
    <w:rsid w:val="00E7351B"/>
    <w:rsid w:val="00E73741"/>
    <w:rsid w:val="00E7497A"/>
    <w:rsid w:val="00E750D8"/>
    <w:rsid w:val="00E753C8"/>
    <w:rsid w:val="00E75D18"/>
    <w:rsid w:val="00E75D97"/>
    <w:rsid w:val="00E75EEA"/>
    <w:rsid w:val="00E75FA3"/>
    <w:rsid w:val="00E7606A"/>
    <w:rsid w:val="00E767BC"/>
    <w:rsid w:val="00E774E9"/>
    <w:rsid w:val="00E7754F"/>
    <w:rsid w:val="00E7772D"/>
    <w:rsid w:val="00E77750"/>
    <w:rsid w:val="00E77950"/>
    <w:rsid w:val="00E77F0C"/>
    <w:rsid w:val="00E77F87"/>
    <w:rsid w:val="00E80F24"/>
    <w:rsid w:val="00E8117B"/>
    <w:rsid w:val="00E81831"/>
    <w:rsid w:val="00E82E42"/>
    <w:rsid w:val="00E82E71"/>
    <w:rsid w:val="00E83A08"/>
    <w:rsid w:val="00E83D29"/>
    <w:rsid w:val="00E83FD0"/>
    <w:rsid w:val="00E84127"/>
    <w:rsid w:val="00E8419F"/>
    <w:rsid w:val="00E84776"/>
    <w:rsid w:val="00E84A9E"/>
    <w:rsid w:val="00E84EF0"/>
    <w:rsid w:val="00E85257"/>
    <w:rsid w:val="00E85B67"/>
    <w:rsid w:val="00E8628B"/>
    <w:rsid w:val="00E86412"/>
    <w:rsid w:val="00E86475"/>
    <w:rsid w:val="00E86D7E"/>
    <w:rsid w:val="00E86E41"/>
    <w:rsid w:val="00E87471"/>
    <w:rsid w:val="00E87474"/>
    <w:rsid w:val="00E874B4"/>
    <w:rsid w:val="00E8755A"/>
    <w:rsid w:val="00E87628"/>
    <w:rsid w:val="00E8789B"/>
    <w:rsid w:val="00E87A24"/>
    <w:rsid w:val="00E87D45"/>
    <w:rsid w:val="00E87E73"/>
    <w:rsid w:val="00E90297"/>
    <w:rsid w:val="00E905A9"/>
    <w:rsid w:val="00E91821"/>
    <w:rsid w:val="00E91B91"/>
    <w:rsid w:val="00E9280F"/>
    <w:rsid w:val="00E92B9B"/>
    <w:rsid w:val="00E936FE"/>
    <w:rsid w:val="00E9399B"/>
    <w:rsid w:val="00E93E28"/>
    <w:rsid w:val="00E93E3B"/>
    <w:rsid w:val="00E9409F"/>
    <w:rsid w:val="00E940E0"/>
    <w:rsid w:val="00E940E6"/>
    <w:rsid w:val="00E9412A"/>
    <w:rsid w:val="00E945E0"/>
    <w:rsid w:val="00E94C45"/>
    <w:rsid w:val="00E95094"/>
    <w:rsid w:val="00E96258"/>
    <w:rsid w:val="00E96534"/>
    <w:rsid w:val="00E96E88"/>
    <w:rsid w:val="00E96FF5"/>
    <w:rsid w:val="00E979A3"/>
    <w:rsid w:val="00E97A14"/>
    <w:rsid w:val="00E97ABE"/>
    <w:rsid w:val="00E97B9D"/>
    <w:rsid w:val="00EA00CA"/>
    <w:rsid w:val="00EA03EF"/>
    <w:rsid w:val="00EA065E"/>
    <w:rsid w:val="00EA0712"/>
    <w:rsid w:val="00EA11AE"/>
    <w:rsid w:val="00EA12CE"/>
    <w:rsid w:val="00EA1389"/>
    <w:rsid w:val="00EA138E"/>
    <w:rsid w:val="00EA16F2"/>
    <w:rsid w:val="00EA1E18"/>
    <w:rsid w:val="00EA1E4A"/>
    <w:rsid w:val="00EA201C"/>
    <w:rsid w:val="00EA2177"/>
    <w:rsid w:val="00EA27E6"/>
    <w:rsid w:val="00EA2A61"/>
    <w:rsid w:val="00EA2C3F"/>
    <w:rsid w:val="00EA2DE8"/>
    <w:rsid w:val="00EA2E43"/>
    <w:rsid w:val="00EA31E6"/>
    <w:rsid w:val="00EA3511"/>
    <w:rsid w:val="00EA373A"/>
    <w:rsid w:val="00EA3B2E"/>
    <w:rsid w:val="00EA3BF3"/>
    <w:rsid w:val="00EA3CC7"/>
    <w:rsid w:val="00EA3EA2"/>
    <w:rsid w:val="00EA4412"/>
    <w:rsid w:val="00EA4BA9"/>
    <w:rsid w:val="00EA568C"/>
    <w:rsid w:val="00EA5E2A"/>
    <w:rsid w:val="00EA63F5"/>
    <w:rsid w:val="00EA73B1"/>
    <w:rsid w:val="00EA7697"/>
    <w:rsid w:val="00EA77AB"/>
    <w:rsid w:val="00EA7887"/>
    <w:rsid w:val="00EA7DEA"/>
    <w:rsid w:val="00EA7E14"/>
    <w:rsid w:val="00EB0299"/>
    <w:rsid w:val="00EB0A97"/>
    <w:rsid w:val="00EB0DAC"/>
    <w:rsid w:val="00EB1A2E"/>
    <w:rsid w:val="00EB1B25"/>
    <w:rsid w:val="00EB1B3D"/>
    <w:rsid w:val="00EB1C51"/>
    <w:rsid w:val="00EB1C78"/>
    <w:rsid w:val="00EB20E4"/>
    <w:rsid w:val="00EB20F5"/>
    <w:rsid w:val="00EB2690"/>
    <w:rsid w:val="00EB2F7E"/>
    <w:rsid w:val="00EB3E3A"/>
    <w:rsid w:val="00EB3F5B"/>
    <w:rsid w:val="00EB4326"/>
    <w:rsid w:val="00EB43F3"/>
    <w:rsid w:val="00EB4824"/>
    <w:rsid w:val="00EB4B91"/>
    <w:rsid w:val="00EB586E"/>
    <w:rsid w:val="00EB5D37"/>
    <w:rsid w:val="00EB627B"/>
    <w:rsid w:val="00EB6EBF"/>
    <w:rsid w:val="00EB6FAF"/>
    <w:rsid w:val="00EB72DA"/>
    <w:rsid w:val="00EB7B80"/>
    <w:rsid w:val="00EC0315"/>
    <w:rsid w:val="00EC0832"/>
    <w:rsid w:val="00EC098F"/>
    <w:rsid w:val="00EC0C1C"/>
    <w:rsid w:val="00EC10D0"/>
    <w:rsid w:val="00EC14E6"/>
    <w:rsid w:val="00EC15CD"/>
    <w:rsid w:val="00EC192E"/>
    <w:rsid w:val="00EC1EB5"/>
    <w:rsid w:val="00EC2569"/>
    <w:rsid w:val="00EC2916"/>
    <w:rsid w:val="00EC2999"/>
    <w:rsid w:val="00EC301A"/>
    <w:rsid w:val="00EC3133"/>
    <w:rsid w:val="00EC3204"/>
    <w:rsid w:val="00EC3311"/>
    <w:rsid w:val="00EC338B"/>
    <w:rsid w:val="00EC33AC"/>
    <w:rsid w:val="00EC355C"/>
    <w:rsid w:val="00EC374B"/>
    <w:rsid w:val="00EC3B9C"/>
    <w:rsid w:val="00EC3EF0"/>
    <w:rsid w:val="00EC41EE"/>
    <w:rsid w:val="00EC434F"/>
    <w:rsid w:val="00EC4CE5"/>
    <w:rsid w:val="00EC4DEB"/>
    <w:rsid w:val="00EC4F30"/>
    <w:rsid w:val="00EC510A"/>
    <w:rsid w:val="00EC5552"/>
    <w:rsid w:val="00EC605D"/>
    <w:rsid w:val="00EC617F"/>
    <w:rsid w:val="00EC660D"/>
    <w:rsid w:val="00EC66CA"/>
    <w:rsid w:val="00EC670B"/>
    <w:rsid w:val="00EC672F"/>
    <w:rsid w:val="00EC6FB4"/>
    <w:rsid w:val="00EC7154"/>
    <w:rsid w:val="00EC77AF"/>
    <w:rsid w:val="00EC7E35"/>
    <w:rsid w:val="00ED00F3"/>
    <w:rsid w:val="00ED05E8"/>
    <w:rsid w:val="00ED063B"/>
    <w:rsid w:val="00ED07C1"/>
    <w:rsid w:val="00ED12CD"/>
    <w:rsid w:val="00ED1D40"/>
    <w:rsid w:val="00ED1E85"/>
    <w:rsid w:val="00ED2916"/>
    <w:rsid w:val="00ED2A16"/>
    <w:rsid w:val="00ED2ABF"/>
    <w:rsid w:val="00ED2B6F"/>
    <w:rsid w:val="00ED2F2B"/>
    <w:rsid w:val="00ED309F"/>
    <w:rsid w:val="00ED3DAC"/>
    <w:rsid w:val="00ED3E80"/>
    <w:rsid w:val="00ED3F7C"/>
    <w:rsid w:val="00ED47BC"/>
    <w:rsid w:val="00ED4B47"/>
    <w:rsid w:val="00ED5594"/>
    <w:rsid w:val="00ED55B6"/>
    <w:rsid w:val="00ED5650"/>
    <w:rsid w:val="00ED5705"/>
    <w:rsid w:val="00ED5790"/>
    <w:rsid w:val="00ED58BF"/>
    <w:rsid w:val="00ED59B2"/>
    <w:rsid w:val="00ED6003"/>
    <w:rsid w:val="00ED6214"/>
    <w:rsid w:val="00ED6602"/>
    <w:rsid w:val="00ED6838"/>
    <w:rsid w:val="00ED68D1"/>
    <w:rsid w:val="00ED6DE9"/>
    <w:rsid w:val="00ED6F0F"/>
    <w:rsid w:val="00ED758F"/>
    <w:rsid w:val="00ED777E"/>
    <w:rsid w:val="00ED77EB"/>
    <w:rsid w:val="00ED7F12"/>
    <w:rsid w:val="00EE003A"/>
    <w:rsid w:val="00EE01A6"/>
    <w:rsid w:val="00EE05C4"/>
    <w:rsid w:val="00EE0B62"/>
    <w:rsid w:val="00EE0D16"/>
    <w:rsid w:val="00EE1136"/>
    <w:rsid w:val="00EE164F"/>
    <w:rsid w:val="00EE18EE"/>
    <w:rsid w:val="00EE1BD2"/>
    <w:rsid w:val="00EE271F"/>
    <w:rsid w:val="00EE2723"/>
    <w:rsid w:val="00EE2A31"/>
    <w:rsid w:val="00EE2A9E"/>
    <w:rsid w:val="00EE2D87"/>
    <w:rsid w:val="00EE3166"/>
    <w:rsid w:val="00EE31F9"/>
    <w:rsid w:val="00EE3713"/>
    <w:rsid w:val="00EE3829"/>
    <w:rsid w:val="00EE3E50"/>
    <w:rsid w:val="00EE4687"/>
    <w:rsid w:val="00EE4BC9"/>
    <w:rsid w:val="00EE503E"/>
    <w:rsid w:val="00EE57CD"/>
    <w:rsid w:val="00EE5E70"/>
    <w:rsid w:val="00EE5EFA"/>
    <w:rsid w:val="00EE6100"/>
    <w:rsid w:val="00EE666A"/>
    <w:rsid w:val="00EE6803"/>
    <w:rsid w:val="00EE6ED9"/>
    <w:rsid w:val="00EE702F"/>
    <w:rsid w:val="00EE71A3"/>
    <w:rsid w:val="00EE72DF"/>
    <w:rsid w:val="00EE745E"/>
    <w:rsid w:val="00EE74E0"/>
    <w:rsid w:val="00EE7BF8"/>
    <w:rsid w:val="00EF05FF"/>
    <w:rsid w:val="00EF0803"/>
    <w:rsid w:val="00EF08C8"/>
    <w:rsid w:val="00EF0976"/>
    <w:rsid w:val="00EF0B07"/>
    <w:rsid w:val="00EF0EE0"/>
    <w:rsid w:val="00EF26C7"/>
    <w:rsid w:val="00EF2C96"/>
    <w:rsid w:val="00EF2E83"/>
    <w:rsid w:val="00EF325A"/>
    <w:rsid w:val="00EF3800"/>
    <w:rsid w:val="00EF3AA1"/>
    <w:rsid w:val="00EF5010"/>
    <w:rsid w:val="00EF5F30"/>
    <w:rsid w:val="00EF6277"/>
    <w:rsid w:val="00EF66A4"/>
    <w:rsid w:val="00EF67BD"/>
    <w:rsid w:val="00EF6865"/>
    <w:rsid w:val="00EF6B3E"/>
    <w:rsid w:val="00EF6B58"/>
    <w:rsid w:val="00EF6F3B"/>
    <w:rsid w:val="00EF7131"/>
    <w:rsid w:val="00EF7305"/>
    <w:rsid w:val="00EF753D"/>
    <w:rsid w:val="00EF7DD7"/>
    <w:rsid w:val="00EF7EB7"/>
    <w:rsid w:val="00EF7F5A"/>
    <w:rsid w:val="00F00075"/>
    <w:rsid w:val="00F007DD"/>
    <w:rsid w:val="00F007FA"/>
    <w:rsid w:val="00F00992"/>
    <w:rsid w:val="00F02306"/>
    <w:rsid w:val="00F024AD"/>
    <w:rsid w:val="00F0285B"/>
    <w:rsid w:val="00F02B7A"/>
    <w:rsid w:val="00F02CD6"/>
    <w:rsid w:val="00F02EC9"/>
    <w:rsid w:val="00F0312D"/>
    <w:rsid w:val="00F03189"/>
    <w:rsid w:val="00F0339A"/>
    <w:rsid w:val="00F038D5"/>
    <w:rsid w:val="00F038DE"/>
    <w:rsid w:val="00F03939"/>
    <w:rsid w:val="00F03C0F"/>
    <w:rsid w:val="00F03D35"/>
    <w:rsid w:val="00F0418D"/>
    <w:rsid w:val="00F05859"/>
    <w:rsid w:val="00F059EF"/>
    <w:rsid w:val="00F05B28"/>
    <w:rsid w:val="00F06544"/>
    <w:rsid w:val="00F068F7"/>
    <w:rsid w:val="00F06CC5"/>
    <w:rsid w:val="00F06EF2"/>
    <w:rsid w:val="00F07053"/>
    <w:rsid w:val="00F07110"/>
    <w:rsid w:val="00F0725A"/>
    <w:rsid w:val="00F07473"/>
    <w:rsid w:val="00F07640"/>
    <w:rsid w:val="00F077F2"/>
    <w:rsid w:val="00F07922"/>
    <w:rsid w:val="00F07BB9"/>
    <w:rsid w:val="00F07D9A"/>
    <w:rsid w:val="00F07F98"/>
    <w:rsid w:val="00F102EC"/>
    <w:rsid w:val="00F10AF1"/>
    <w:rsid w:val="00F10BCB"/>
    <w:rsid w:val="00F114F0"/>
    <w:rsid w:val="00F115C4"/>
    <w:rsid w:val="00F11868"/>
    <w:rsid w:val="00F118DB"/>
    <w:rsid w:val="00F119C5"/>
    <w:rsid w:val="00F119EA"/>
    <w:rsid w:val="00F11F0A"/>
    <w:rsid w:val="00F12387"/>
    <w:rsid w:val="00F12472"/>
    <w:rsid w:val="00F12861"/>
    <w:rsid w:val="00F12B31"/>
    <w:rsid w:val="00F12C7B"/>
    <w:rsid w:val="00F1328B"/>
    <w:rsid w:val="00F13298"/>
    <w:rsid w:val="00F140BC"/>
    <w:rsid w:val="00F140C0"/>
    <w:rsid w:val="00F1419E"/>
    <w:rsid w:val="00F1432D"/>
    <w:rsid w:val="00F14482"/>
    <w:rsid w:val="00F14542"/>
    <w:rsid w:val="00F14705"/>
    <w:rsid w:val="00F1497A"/>
    <w:rsid w:val="00F14A27"/>
    <w:rsid w:val="00F14C0E"/>
    <w:rsid w:val="00F14E01"/>
    <w:rsid w:val="00F14F61"/>
    <w:rsid w:val="00F159C0"/>
    <w:rsid w:val="00F15C27"/>
    <w:rsid w:val="00F160C0"/>
    <w:rsid w:val="00F16176"/>
    <w:rsid w:val="00F16417"/>
    <w:rsid w:val="00F16531"/>
    <w:rsid w:val="00F16DCD"/>
    <w:rsid w:val="00F170E4"/>
    <w:rsid w:val="00F1721C"/>
    <w:rsid w:val="00F174D4"/>
    <w:rsid w:val="00F176B8"/>
    <w:rsid w:val="00F17DDE"/>
    <w:rsid w:val="00F2014B"/>
    <w:rsid w:val="00F2079A"/>
    <w:rsid w:val="00F20A5E"/>
    <w:rsid w:val="00F2118F"/>
    <w:rsid w:val="00F21226"/>
    <w:rsid w:val="00F21239"/>
    <w:rsid w:val="00F21561"/>
    <w:rsid w:val="00F2165A"/>
    <w:rsid w:val="00F21734"/>
    <w:rsid w:val="00F21780"/>
    <w:rsid w:val="00F2187D"/>
    <w:rsid w:val="00F219B1"/>
    <w:rsid w:val="00F21A94"/>
    <w:rsid w:val="00F21C93"/>
    <w:rsid w:val="00F21D91"/>
    <w:rsid w:val="00F21E49"/>
    <w:rsid w:val="00F22238"/>
    <w:rsid w:val="00F2282C"/>
    <w:rsid w:val="00F22962"/>
    <w:rsid w:val="00F22C29"/>
    <w:rsid w:val="00F22CBD"/>
    <w:rsid w:val="00F22D7F"/>
    <w:rsid w:val="00F22E0C"/>
    <w:rsid w:val="00F22EA1"/>
    <w:rsid w:val="00F22FE8"/>
    <w:rsid w:val="00F2353E"/>
    <w:rsid w:val="00F23825"/>
    <w:rsid w:val="00F23D7D"/>
    <w:rsid w:val="00F23DF9"/>
    <w:rsid w:val="00F24CC6"/>
    <w:rsid w:val="00F24EA3"/>
    <w:rsid w:val="00F254AA"/>
    <w:rsid w:val="00F25901"/>
    <w:rsid w:val="00F26079"/>
    <w:rsid w:val="00F267CC"/>
    <w:rsid w:val="00F26B20"/>
    <w:rsid w:val="00F26F27"/>
    <w:rsid w:val="00F27047"/>
    <w:rsid w:val="00F272F5"/>
    <w:rsid w:val="00F27602"/>
    <w:rsid w:val="00F276F4"/>
    <w:rsid w:val="00F27723"/>
    <w:rsid w:val="00F27D11"/>
    <w:rsid w:val="00F27DC4"/>
    <w:rsid w:val="00F27E10"/>
    <w:rsid w:val="00F302CD"/>
    <w:rsid w:val="00F302DF"/>
    <w:rsid w:val="00F30CE1"/>
    <w:rsid w:val="00F32174"/>
    <w:rsid w:val="00F32ADE"/>
    <w:rsid w:val="00F331D0"/>
    <w:rsid w:val="00F3355A"/>
    <w:rsid w:val="00F33B32"/>
    <w:rsid w:val="00F34517"/>
    <w:rsid w:val="00F347F6"/>
    <w:rsid w:val="00F3496F"/>
    <w:rsid w:val="00F35052"/>
    <w:rsid w:val="00F352A5"/>
    <w:rsid w:val="00F3554B"/>
    <w:rsid w:val="00F3572F"/>
    <w:rsid w:val="00F35AFE"/>
    <w:rsid w:val="00F35F94"/>
    <w:rsid w:val="00F3656F"/>
    <w:rsid w:val="00F3674D"/>
    <w:rsid w:val="00F3685E"/>
    <w:rsid w:val="00F36AFF"/>
    <w:rsid w:val="00F36B9F"/>
    <w:rsid w:val="00F37A4E"/>
    <w:rsid w:val="00F37D20"/>
    <w:rsid w:val="00F40239"/>
    <w:rsid w:val="00F40494"/>
    <w:rsid w:val="00F4071F"/>
    <w:rsid w:val="00F414AE"/>
    <w:rsid w:val="00F414EF"/>
    <w:rsid w:val="00F4158A"/>
    <w:rsid w:val="00F415CC"/>
    <w:rsid w:val="00F41CE1"/>
    <w:rsid w:val="00F4234E"/>
    <w:rsid w:val="00F4235C"/>
    <w:rsid w:val="00F42487"/>
    <w:rsid w:val="00F42B1E"/>
    <w:rsid w:val="00F44025"/>
    <w:rsid w:val="00F4408E"/>
    <w:rsid w:val="00F44A11"/>
    <w:rsid w:val="00F44B84"/>
    <w:rsid w:val="00F44BEE"/>
    <w:rsid w:val="00F45F0B"/>
    <w:rsid w:val="00F46029"/>
    <w:rsid w:val="00F46A00"/>
    <w:rsid w:val="00F475D8"/>
    <w:rsid w:val="00F477A0"/>
    <w:rsid w:val="00F47B0E"/>
    <w:rsid w:val="00F47F52"/>
    <w:rsid w:val="00F504BC"/>
    <w:rsid w:val="00F505CD"/>
    <w:rsid w:val="00F5270F"/>
    <w:rsid w:val="00F53187"/>
    <w:rsid w:val="00F533BB"/>
    <w:rsid w:val="00F5356D"/>
    <w:rsid w:val="00F53A5B"/>
    <w:rsid w:val="00F53B9F"/>
    <w:rsid w:val="00F53BEB"/>
    <w:rsid w:val="00F5411A"/>
    <w:rsid w:val="00F5455E"/>
    <w:rsid w:val="00F545CB"/>
    <w:rsid w:val="00F5466F"/>
    <w:rsid w:val="00F54FD1"/>
    <w:rsid w:val="00F55ACF"/>
    <w:rsid w:val="00F55F6C"/>
    <w:rsid w:val="00F55FBA"/>
    <w:rsid w:val="00F56019"/>
    <w:rsid w:val="00F56239"/>
    <w:rsid w:val="00F5624B"/>
    <w:rsid w:val="00F56473"/>
    <w:rsid w:val="00F568E7"/>
    <w:rsid w:val="00F56AF8"/>
    <w:rsid w:val="00F56C48"/>
    <w:rsid w:val="00F56CB0"/>
    <w:rsid w:val="00F57115"/>
    <w:rsid w:val="00F571D9"/>
    <w:rsid w:val="00F5728F"/>
    <w:rsid w:val="00F57331"/>
    <w:rsid w:val="00F5738F"/>
    <w:rsid w:val="00F574FE"/>
    <w:rsid w:val="00F57EBA"/>
    <w:rsid w:val="00F60083"/>
    <w:rsid w:val="00F6044E"/>
    <w:rsid w:val="00F60DD6"/>
    <w:rsid w:val="00F60E1E"/>
    <w:rsid w:val="00F611F6"/>
    <w:rsid w:val="00F6139D"/>
    <w:rsid w:val="00F61662"/>
    <w:rsid w:val="00F61A19"/>
    <w:rsid w:val="00F61B31"/>
    <w:rsid w:val="00F6222A"/>
    <w:rsid w:val="00F6255B"/>
    <w:rsid w:val="00F62B90"/>
    <w:rsid w:val="00F62C00"/>
    <w:rsid w:val="00F62C1C"/>
    <w:rsid w:val="00F62E74"/>
    <w:rsid w:val="00F630A1"/>
    <w:rsid w:val="00F63147"/>
    <w:rsid w:val="00F635C3"/>
    <w:rsid w:val="00F63B8F"/>
    <w:rsid w:val="00F63C05"/>
    <w:rsid w:val="00F63F18"/>
    <w:rsid w:val="00F63F7E"/>
    <w:rsid w:val="00F63FD5"/>
    <w:rsid w:val="00F648DE"/>
    <w:rsid w:val="00F64C43"/>
    <w:rsid w:val="00F64FBD"/>
    <w:rsid w:val="00F6567B"/>
    <w:rsid w:val="00F65BB1"/>
    <w:rsid w:val="00F661B4"/>
    <w:rsid w:val="00F6620D"/>
    <w:rsid w:val="00F6677E"/>
    <w:rsid w:val="00F668A2"/>
    <w:rsid w:val="00F66C6B"/>
    <w:rsid w:val="00F67043"/>
    <w:rsid w:val="00F6717B"/>
    <w:rsid w:val="00F67337"/>
    <w:rsid w:val="00F673BA"/>
    <w:rsid w:val="00F6780C"/>
    <w:rsid w:val="00F6780F"/>
    <w:rsid w:val="00F678F0"/>
    <w:rsid w:val="00F70482"/>
    <w:rsid w:val="00F7048D"/>
    <w:rsid w:val="00F706EA"/>
    <w:rsid w:val="00F706F8"/>
    <w:rsid w:val="00F70EA9"/>
    <w:rsid w:val="00F710DA"/>
    <w:rsid w:val="00F715FD"/>
    <w:rsid w:val="00F71770"/>
    <w:rsid w:val="00F71E09"/>
    <w:rsid w:val="00F71F07"/>
    <w:rsid w:val="00F72435"/>
    <w:rsid w:val="00F72B38"/>
    <w:rsid w:val="00F7321E"/>
    <w:rsid w:val="00F73556"/>
    <w:rsid w:val="00F735A0"/>
    <w:rsid w:val="00F73739"/>
    <w:rsid w:val="00F73857"/>
    <w:rsid w:val="00F73BD0"/>
    <w:rsid w:val="00F73D5C"/>
    <w:rsid w:val="00F73F06"/>
    <w:rsid w:val="00F744B8"/>
    <w:rsid w:val="00F74699"/>
    <w:rsid w:val="00F746AE"/>
    <w:rsid w:val="00F74887"/>
    <w:rsid w:val="00F750CC"/>
    <w:rsid w:val="00F75394"/>
    <w:rsid w:val="00F75784"/>
    <w:rsid w:val="00F7606F"/>
    <w:rsid w:val="00F76205"/>
    <w:rsid w:val="00F763A6"/>
    <w:rsid w:val="00F766EF"/>
    <w:rsid w:val="00F767DC"/>
    <w:rsid w:val="00F76EEA"/>
    <w:rsid w:val="00F76FDC"/>
    <w:rsid w:val="00F770BB"/>
    <w:rsid w:val="00F7710F"/>
    <w:rsid w:val="00F775C6"/>
    <w:rsid w:val="00F77640"/>
    <w:rsid w:val="00F77A52"/>
    <w:rsid w:val="00F77CC0"/>
    <w:rsid w:val="00F808AB"/>
    <w:rsid w:val="00F80A11"/>
    <w:rsid w:val="00F80CD5"/>
    <w:rsid w:val="00F80F2A"/>
    <w:rsid w:val="00F81264"/>
    <w:rsid w:val="00F81493"/>
    <w:rsid w:val="00F824D2"/>
    <w:rsid w:val="00F825DF"/>
    <w:rsid w:val="00F82785"/>
    <w:rsid w:val="00F827A5"/>
    <w:rsid w:val="00F828CD"/>
    <w:rsid w:val="00F82B75"/>
    <w:rsid w:val="00F82DC4"/>
    <w:rsid w:val="00F82DEF"/>
    <w:rsid w:val="00F82F53"/>
    <w:rsid w:val="00F837F1"/>
    <w:rsid w:val="00F83AFC"/>
    <w:rsid w:val="00F83D55"/>
    <w:rsid w:val="00F83FBE"/>
    <w:rsid w:val="00F8448E"/>
    <w:rsid w:val="00F844CD"/>
    <w:rsid w:val="00F8487E"/>
    <w:rsid w:val="00F84E27"/>
    <w:rsid w:val="00F85334"/>
    <w:rsid w:val="00F85C1C"/>
    <w:rsid w:val="00F85E7A"/>
    <w:rsid w:val="00F867AD"/>
    <w:rsid w:val="00F867B4"/>
    <w:rsid w:val="00F868FE"/>
    <w:rsid w:val="00F86D20"/>
    <w:rsid w:val="00F873D0"/>
    <w:rsid w:val="00F87DDE"/>
    <w:rsid w:val="00F90043"/>
    <w:rsid w:val="00F90108"/>
    <w:rsid w:val="00F901F7"/>
    <w:rsid w:val="00F90C36"/>
    <w:rsid w:val="00F90CF0"/>
    <w:rsid w:val="00F90F32"/>
    <w:rsid w:val="00F918CE"/>
    <w:rsid w:val="00F91995"/>
    <w:rsid w:val="00F91D97"/>
    <w:rsid w:val="00F924D2"/>
    <w:rsid w:val="00F92745"/>
    <w:rsid w:val="00F92999"/>
    <w:rsid w:val="00F92B04"/>
    <w:rsid w:val="00F92FA0"/>
    <w:rsid w:val="00F93260"/>
    <w:rsid w:val="00F9368A"/>
    <w:rsid w:val="00F93966"/>
    <w:rsid w:val="00F93F9E"/>
    <w:rsid w:val="00F94013"/>
    <w:rsid w:val="00F94613"/>
    <w:rsid w:val="00F94694"/>
    <w:rsid w:val="00F9486D"/>
    <w:rsid w:val="00F9499D"/>
    <w:rsid w:val="00F94A2B"/>
    <w:rsid w:val="00F94EF6"/>
    <w:rsid w:val="00F95BE2"/>
    <w:rsid w:val="00F95CF1"/>
    <w:rsid w:val="00F96278"/>
    <w:rsid w:val="00F962B9"/>
    <w:rsid w:val="00F96BD7"/>
    <w:rsid w:val="00F97138"/>
    <w:rsid w:val="00F97149"/>
    <w:rsid w:val="00F9720B"/>
    <w:rsid w:val="00F97528"/>
    <w:rsid w:val="00F97577"/>
    <w:rsid w:val="00F975B6"/>
    <w:rsid w:val="00F9795E"/>
    <w:rsid w:val="00F97C2E"/>
    <w:rsid w:val="00FA023F"/>
    <w:rsid w:val="00FA0B26"/>
    <w:rsid w:val="00FA0E28"/>
    <w:rsid w:val="00FA0E83"/>
    <w:rsid w:val="00FA1519"/>
    <w:rsid w:val="00FA1D2A"/>
    <w:rsid w:val="00FA22E7"/>
    <w:rsid w:val="00FA27CA"/>
    <w:rsid w:val="00FA3022"/>
    <w:rsid w:val="00FA3AFC"/>
    <w:rsid w:val="00FA3B03"/>
    <w:rsid w:val="00FA3C1C"/>
    <w:rsid w:val="00FA412D"/>
    <w:rsid w:val="00FA445E"/>
    <w:rsid w:val="00FA4956"/>
    <w:rsid w:val="00FA49F1"/>
    <w:rsid w:val="00FA4F75"/>
    <w:rsid w:val="00FA5018"/>
    <w:rsid w:val="00FA55B4"/>
    <w:rsid w:val="00FA57DC"/>
    <w:rsid w:val="00FA57FC"/>
    <w:rsid w:val="00FA58AD"/>
    <w:rsid w:val="00FA6327"/>
    <w:rsid w:val="00FA638D"/>
    <w:rsid w:val="00FA645B"/>
    <w:rsid w:val="00FA6808"/>
    <w:rsid w:val="00FA68D5"/>
    <w:rsid w:val="00FA763C"/>
    <w:rsid w:val="00FA774F"/>
    <w:rsid w:val="00FA7912"/>
    <w:rsid w:val="00FA7C2B"/>
    <w:rsid w:val="00FB01D6"/>
    <w:rsid w:val="00FB0E42"/>
    <w:rsid w:val="00FB15BC"/>
    <w:rsid w:val="00FB168D"/>
    <w:rsid w:val="00FB1C53"/>
    <w:rsid w:val="00FB1DA0"/>
    <w:rsid w:val="00FB216D"/>
    <w:rsid w:val="00FB2214"/>
    <w:rsid w:val="00FB233F"/>
    <w:rsid w:val="00FB289B"/>
    <w:rsid w:val="00FB2C67"/>
    <w:rsid w:val="00FB2E12"/>
    <w:rsid w:val="00FB2FB2"/>
    <w:rsid w:val="00FB3DE7"/>
    <w:rsid w:val="00FB3FE3"/>
    <w:rsid w:val="00FB4053"/>
    <w:rsid w:val="00FB49A1"/>
    <w:rsid w:val="00FB5176"/>
    <w:rsid w:val="00FB5258"/>
    <w:rsid w:val="00FB54D4"/>
    <w:rsid w:val="00FB5509"/>
    <w:rsid w:val="00FB5539"/>
    <w:rsid w:val="00FB5685"/>
    <w:rsid w:val="00FB5A1E"/>
    <w:rsid w:val="00FB5E48"/>
    <w:rsid w:val="00FB61CD"/>
    <w:rsid w:val="00FB620E"/>
    <w:rsid w:val="00FB6D2E"/>
    <w:rsid w:val="00FB732F"/>
    <w:rsid w:val="00FB740D"/>
    <w:rsid w:val="00FB7B75"/>
    <w:rsid w:val="00FB7C90"/>
    <w:rsid w:val="00FC0406"/>
    <w:rsid w:val="00FC0532"/>
    <w:rsid w:val="00FC058C"/>
    <w:rsid w:val="00FC1530"/>
    <w:rsid w:val="00FC17C8"/>
    <w:rsid w:val="00FC1E43"/>
    <w:rsid w:val="00FC20EF"/>
    <w:rsid w:val="00FC24CF"/>
    <w:rsid w:val="00FC251A"/>
    <w:rsid w:val="00FC280F"/>
    <w:rsid w:val="00FC31EE"/>
    <w:rsid w:val="00FC3480"/>
    <w:rsid w:val="00FC3608"/>
    <w:rsid w:val="00FC36A9"/>
    <w:rsid w:val="00FC38BA"/>
    <w:rsid w:val="00FC38D9"/>
    <w:rsid w:val="00FC4502"/>
    <w:rsid w:val="00FC4987"/>
    <w:rsid w:val="00FC4D40"/>
    <w:rsid w:val="00FC51D2"/>
    <w:rsid w:val="00FC5B3A"/>
    <w:rsid w:val="00FC5B8F"/>
    <w:rsid w:val="00FC6695"/>
    <w:rsid w:val="00FC66DF"/>
    <w:rsid w:val="00FC6863"/>
    <w:rsid w:val="00FC6918"/>
    <w:rsid w:val="00FC6A16"/>
    <w:rsid w:val="00FC6AC0"/>
    <w:rsid w:val="00FC7013"/>
    <w:rsid w:val="00FC715E"/>
    <w:rsid w:val="00FC782C"/>
    <w:rsid w:val="00FC7E67"/>
    <w:rsid w:val="00FC7F3D"/>
    <w:rsid w:val="00FD01B4"/>
    <w:rsid w:val="00FD055E"/>
    <w:rsid w:val="00FD08AC"/>
    <w:rsid w:val="00FD0A7E"/>
    <w:rsid w:val="00FD1B35"/>
    <w:rsid w:val="00FD20D8"/>
    <w:rsid w:val="00FD2125"/>
    <w:rsid w:val="00FD2339"/>
    <w:rsid w:val="00FD2674"/>
    <w:rsid w:val="00FD2B08"/>
    <w:rsid w:val="00FD2BF9"/>
    <w:rsid w:val="00FD34DE"/>
    <w:rsid w:val="00FD36BF"/>
    <w:rsid w:val="00FD3C50"/>
    <w:rsid w:val="00FD3CBE"/>
    <w:rsid w:val="00FD44AD"/>
    <w:rsid w:val="00FD483B"/>
    <w:rsid w:val="00FD4DA4"/>
    <w:rsid w:val="00FD516B"/>
    <w:rsid w:val="00FD518D"/>
    <w:rsid w:val="00FD51E3"/>
    <w:rsid w:val="00FD528C"/>
    <w:rsid w:val="00FD52D0"/>
    <w:rsid w:val="00FD5533"/>
    <w:rsid w:val="00FD5AA3"/>
    <w:rsid w:val="00FD64E4"/>
    <w:rsid w:val="00FD6A4B"/>
    <w:rsid w:val="00FD6C90"/>
    <w:rsid w:val="00FD6ECD"/>
    <w:rsid w:val="00FD7216"/>
    <w:rsid w:val="00FD7519"/>
    <w:rsid w:val="00FD7DCE"/>
    <w:rsid w:val="00FE0021"/>
    <w:rsid w:val="00FE03A7"/>
    <w:rsid w:val="00FE08EA"/>
    <w:rsid w:val="00FE1102"/>
    <w:rsid w:val="00FE1B37"/>
    <w:rsid w:val="00FE1F6B"/>
    <w:rsid w:val="00FE22C9"/>
    <w:rsid w:val="00FE312D"/>
    <w:rsid w:val="00FE4333"/>
    <w:rsid w:val="00FE468F"/>
    <w:rsid w:val="00FE4942"/>
    <w:rsid w:val="00FE5316"/>
    <w:rsid w:val="00FE5913"/>
    <w:rsid w:val="00FE5D98"/>
    <w:rsid w:val="00FE62B0"/>
    <w:rsid w:val="00FE6809"/>
    <w:rsid w:val="00FE6BE2"/>
    <w:rsid w:val="00FE6F54"/>
    <w:rsid w:val="00FE70B7"/>
    <w:rsid w:val="00FE715D"/>
    <w:rsid w:val="00FE71DC"/>
    <w:rsid w:val="00FE73F3"/>
    <w:rsid w:val="00FE7D2A"/>
    <w:rsid w:val="00FE7DF0"/>
    <w:rsid w:val="00FF00A1"/>
    <w:rsid w:val="00FF0348"/>
    <w:rsid w:val="00FF07FC"/>
    <w:rsid w:val="00FF1360"/>
    <w:rsid w:val="00FF13F7"/>
    <w:rsid w:val="00FF1B45"/>
    <w:rsid w:val="00FF20B1"/>
    <w:rsid w:val="00FF20E8"/>
    <w:rsid w:val="00FF23F7"/>
    <w:rsid w:val="00FF2411"/>
    <w:rsid w:val="00FF2809"/>
    <w:rsid w:val="00FF2AB6"/>
    <w:rsid w:val="00FF42E6"/>
    <w:rsid w:val="00FF461A"/>
    <w:rsid w:val="00FF4AB1"/>
    <w:rsid w:val="00FF4F27"/>
    <w:rsid w:val="00FF4F67"/>
    <w:rsid w:val="00FF517D"/>
    <w:rsid w:val="00FF5206"/>
    <w:rsid w:val="00FF5714"/>
    <w:rsid w:val="00FF57CB"/>
    <w:rsid w:val="00FF57FD"/>
    <w:rsid w:val="00FF5D9F"/>
    <w:rsid w:val="00FF6974"/>
    <w:rsid w:val="00FF69C4"/>
    <w:rsid w:val="00FF6D93"/>
    <w:rsid w:val="00FF71F8"/>
    <w:rsid w:val="00FF735F"/>
    <w:rsid w:val="00FF7859"/>
    <w:rsid w:val="00FF7957"/>
    <w:rsid w:val="00FF7C8E"/>
    <w:rsid w:val="00FF7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B4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3C05"/>
    <w:rPr>
      <w:sz w:val="24"/>
      <w:szCs w:val="24"/>
      <w:lang w:eastAsia="en-US"/>
    </w:rPr>
  </w:style>
  <w:style w:type="paragraph" w:styleId="Heading1">
    <w:name w:val="heading 1"/>
    <w:basedOn w:val="Normal"/>
    <w:next w:val="Normal"/>
    <w:link w:val="Heading1Char"/>
    <w:uiPriority w:val="9"/>
    <w:qFormat/>
    <w:rsid w:val="00BB284A"/>
    <w:pPr>
      <w:keepNext/>
      <w:spacing w:before="240" w:after="60"/>
      <w:outlineLvl w:val="0"/>
    </w:pPr>
    <w:rPr>
      <w:rFonts w:ascii="Arial" w:hAnsi="Arial" w:cs="Arial"/>
      <w:b/>
      <w:bCs/>
      <w:kern w:val="28"/>
      <w:sz w:val="28"/>
      <w:szCs w:val="32"/>
    </w:rPr>
  </w:style>
  <w:style w:type="paragraph" w:styleId="Heading2">
    <w:name w:val="heading 2"/>
    <w:basedOn w:val="Normal"/>
    <w:next w:val="Normal"/>
    <w:autoRedefine/>
    <w:qFormat/>
    <w:rsid w:val="00812051"/>
    <w:pPr>
      <w:keepNext/>
      <w:tabs>
        <w:tab w:val="left" w:pos="8931"/>
      </w:tabs>
      <w:spacing w:before="240" w:after="60"/>
      <w:ind w:right="-289"/>
      <w:jc w:val="both"/>
      <w:outlineLvl w:val="1"/>
    </w:pPr>
    <w:rPr>
      <w:b/>
      <w:bCs/>
      <w:i/>
      <w:iCs/>
      <w:sz w:val="28"/>
      <w:szCs w:val="28"/>
    </w:rPr>
  </w:style>
  <w:style w:type="paragraph" w:styleId="Heading3">
    <w:name w:val="heading 3"/>
    <w:basedOn w:val="Normal"/>
    <w:next w:val="Normal"/>
    <w:link w:val="Heading3Char"/>
    <w:autoRedefine/>
    <w:uiPriority w:val="9"/>
    <w:qFormat/>
    <w:rsid w:val="00246032"/>
    <w:pPr>
      <w:keepNext/>
      <w:spacing w:before="120" w:after="60"/>
      <w:outlineLvl w:val="2"/>
    </w:pPr>
    <w:rPr>
      <w:b/>
      <w:bCs/>
      <w:i/>
      <w:szCs w:val="26"/>
    </w:rPr>
  </w:style>
  <w:style w:type="paragraph" w:styleId="Heading4">
    <w:name w:val="heading 4"/>
    <w:basedOn w:val="Normal"/>
    <w:next w:val="Normal"/>
    <w:qFormat/>
    <w:rsid w:val="00812051"/>
    <w:pPr>
      <w:keepNext/>
      <w:spacing w:before="240" w:after="60"/>
      <w:outlineLvl w:val="3"/>
    </w:pPr>
    <w:rPr>
      <w:bCs/>
      <w:i/>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705AF"/>
    <w:rPr>
      <w:i/>
      <w:iCs/>
    </w:rPr>
  </w:style>
  <w:style w:type="character" w:styleId="Strong">
    <w:name w:val="Strong"/>
    <w:qFormat/>
    <w:rsid w:val="00A705AF"/>
    <w:rPr>
      <w:b/>
      <w:bCs/>
    </w:rPr>
  </w:style>
  <w:style w:type="paragraph" w:styleId="Subtitle">
    <w:name w:val="Subtitle"/>
    <w:basedOn w:val="Normal"/>
    <w:next w:val="Normal"/>
    <w:link w:val="SubtitleChar"/>
    <w:qFormat/>
    <w:rsid w:val="00B24B9F"/>
    <w:pPr>
      <w:numPr>
        <w:ilvl w:val="1"/>
      </w:numPr>
    </w:pPr>
    <w:rPr>
      <w:rFonts w:ascii="Cambria" w:hAnsi="Cambria"/>
      <w:iCs/>
      <w:spacing w:val="15"/>
    </w:rPr>
  </w:style>
  <w:style w:type="character" w:customStyle="1" w:styleId="SubtitleChar">
    <w:name w:val="Subtitle Char"/>
    <w:link w:val="Subtitle"/>
    <w:rsid w:val="00A705AF"/>
    <w:rPr>
      <w:rFonts w:ascii="Cambria" w:hAnsi="Cambria"/>
      <w:iCs/>
      <w:spacing w:val="15"/>
      <w:sz w:val="24"/>
      <w:szCs w:val="24"/>
      <w:lang w:eastAsia="en-US"/>
    </w:rPr>
  </w:style>
  <w:style w:type="paragraph" w:styleId="Title">
    <w:name w:val="Title"/>
    <w:basedOn w:val="Normal"/>
    <w:next w:val="Normal"/>
    <w:link w:val="TitleChar"/>
    <w:qFormat/>
    <w:rsid w:val="00B24B9F"/>
    <w:pPr>
      <w:pBdr>
        <w:bottom w:val="single" w:sz="8" w:space="4" w:color="4F81BD"/>
      </w:pBdr>
      <w:spacing w:after="300"/>
      <w:contextualSpacing/>
      <w:jc w:val="center"/>
    </w:pPr>
    <w:rPr>
      <w:rFonts w:ascii="Arial" w:hAnsi="Arial"/>
      <w:b/>
      <w:kern w:val="28"/>
      <w:sz w:val="32"/>
      <w:szCs w:val="52"/>
    </w:rPr>
  </w:style>
  <w:style w:type="character" w:customStyle="1" w:styleId="TitleChar">
    <w:name w:val="Title Char"/>
    <w:link w:val="Title"/>
    <w:rsid w:val="00A705AF"/>
    <w:rPr>
      <w:rFonts w:ascii="Arial" w:hAnsi="Arial"/>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uiPriority w:val="19"/>
    <w:qFormat/>
    <w:rsid w:val="00B24B9F"/>
    <w:rPr>
      <w:i/>
      <w:iCs/>
      <w:color w:val="808080"/>
    </w:rPr>
  </w:style>
  <w:style w:type="character" w:styleId="IntenseEmphasis">
    <w:name w:val="Intense Emphasis"/>
    <w:uiPriority w:val="21"/>
    <w:qFormat/>
    <w:rsid w:val="00B24B9F"/>
    <w:rPr>
      <w:b/>
      <w:bCs/>
      <w:i/>
      <w:iCs/>
      <w:color w:val="4F81BD"/>
    </w:rPr>
  </w:style>
  <w:style w:type="paragraph" w:styleId="Quote">
    <w:name w:val="Quote"/>
    <w:basedOn w:val="Normal"/>
    <w:next w:val="Normal"/>
    <w:link w:val="QuoteChar"/>
    <w:uiPriority w:val="29"/>
    <w:qFormat/>
    <w:rsid w:val="00B24B9F"/>
    <w:rPr>
      <w:i/>
      <w:iCs/>
      <w:color w:val="000000"/>
    </w:rPr>
  </w:style>
  <w:style w:type="character" w:customStyle="1" w:styleId="QuoteChar">
    <w:name w:val="Quote Char"/>
    <w:link w:val="Quote"/>
    <w:uiPriority w:val="29"/>
    <w:rsid w:val="00A4512D"/>
    <w:rPr>
      <w:i/>
      <w:iCs/>
      <w:color w:val="000000"/>
      <w:sz w:val="24"/>
      <w:szCs w:val="24"/>
      <w:lang w:eastAsia="en-US"/>
    </w:rPr>
  </w:style>
  <w:style w:type="paragraph" w:styleId="IntenseQuote">
    <w:name w:val="Intense Quote"/>
    <w:basedOn w:val="Normal"/>
    <w:next w:val="Normal"/>
    <w:link w:val="IntenseQuoteChar"/>
    <w:uiPriority w:val="30"/>
    <w:qFormat/>
    <w:rsid w:val="00B24B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4512D"/>
    <w:rPr>
      <w:b/>
      <w:bCs/>
      <w:i/>
      <w:iCs/>
      <w:color w:val="4F81BD"/>
      <w:sz w:val="24"/>
      <w:szCs w:val="24"/>
      <w:lang w:eastAsia="en-US"/>
    </w:rPr>
  </w:style>
  <w:style w:type="character" w:styleId="SubtleReference">
    <w:name w:val="Subtle Reference"/>
    <w:uiPriority w:val="31"/>
    <w:qFormat/>
    <w:rsid w:val="00B24B9F"/>
    <w:rPr>
      <w:smallCaps/>
      <w:color w:val="C0504D"/>
      <w:u w:val="single"/>
    </w:rPr>
  </w:style>
  <w:style w:type="character" w:styleId="IntenseReference">
    <w:name w:val="Intense Reference"/>
    <w:uiPriority w:val="32"/>
    <w:qFormat/>
    <w:rsid w:val="00B24B9F"/>
    <w:rPr>
      <w:b/>
      <w:bCs/>
      <w:i/>
      <w:smallCaps/>
      <w:color w:val="C0504D"/>
      <w:spacing w:val="5"/>
      <w:u w:val="none"/>
    </w:rPr>
  </w:style>
  <w:style w:type="character" w:styleId="BookTitle">
    <w:name w:val="Book Title"/>
    <w:uiPriority w:val="33"/>
    <w:qFormat/>
    <w:rsid w:val="00A4512D"/>
    <w:rPr>
      <w:b/>
      <w:bCs/>
      <w:smallCaps/>
      <w:spacing w:val="5"/>
    </w:rPr>
  </w:style>
  <w:style w:type="paragraph" w:styleId="ListParagraph">
    <w:name w:val="List Paragraph"/>
    <w:aliases w:val="Bullet point,CV text,Dot pt,F5 List Paragraph,FooterText,L,List Paragraph1,List Paragraph11,List Paragraph111,List Paragraph2,Medium Grid 1 - Accent 21,NFP GP Bulleted List,Numbered Paragraph,Paragraphe de liste1,Recommendation,Table text"/>
    <w:basedOn w:val="Normal"/>
    <w:link w:val="ListParagraphChar"/>
    <w:uiPriority w:val="34"/>
    <w:qFormat/>
    <w:rsid w:val="00A4512D"/>
    <w:pPr>
      <w:ind w:left="720"/>
      <w:contextualSpacing/>
    </w:pPr>
  </w:style>
  <w:style w:type="character" w:customStyle="1" w:styleId="Heading3Char">
    <w:name w:val="Heading 3 Char"/>
    <w:link w:val="Heading3"/>
    <w:uiPriority w:val="9"/>
    <w:rsid w:val="00246032"/>
    <w:rPr>
      <w:b/>
      <w:bCs/>
      <w:i/>
      <w:sz w:val="24"/>
      <w:szCs w:val="26"/>
      <w:lang w:eastAsia="en-US"/>
    </w:rPr>
  </w:style>
  <w:style w:type="character" w:styleId="Hyperlink">
    <w:name w:val="Hyperlink"/>
    <w:uiPriority w:val="99"/>
    <w:unhideWhenUsed/>
    <w:rsid w:val="00316D3C"/>
    <w:rPr>
      <w:color w:val="0000FF"/>
      <w:u w:val="single"/>
    </w:rPr>
  </w:style>
  <w:style w:type="character" w:styleId="FootnoteReference">
    <w:name w:val="footnote reference"/>
    <w:uiPriority w:val="99"/>
    <w:unhideWhenUsed/>
    <w:rsid w:val="00316D3C"/>
    <w:rPr>
      <w:vertAlign w:val="superscript"/>
    </w:rPr>
  </w:style>
  <w:style w:type="paragraph" w:styleId="FootnoteText">
    <w:name w:val="footnote text"/>
    <w:aliases w:val="Footnotes Text,FSFootnotes Text"/>
    <w:basedOn w:val="Normal"/>
    <w:link w:val="FootnoteTextChar"/>
    <w:uiPriority w:val="99"/>
    <w:unhideWhenUsed/>
    <w:qFormat/>
    <w:rsid w:val="00B24B9F"/>
    <w:rPr>
      <w:rFonts w:ascii="Calibri" w:eastAsia="Calibri" w:hAnsi="Calibri"/>
      <w:sz w:val="20"/>
      <w:szCs w:val="20"/>
    </w:rPr>
  </w:style>
  <w:style w:type="character" w:customStyle="1" w:styleId="FootnoteTextChar">
    <w:name w:val="Footnote Text Char"/>
    <w:aliases w:val="Footnotes Text Char,FSFootnotes Text Char"/>
    <w:link w:val="FootnoteText"/>
    <w:uiPriority w:val="99"/>
    <w:rsid w:val="00316D3C"/>
    <w:rPr>
      <w:rFonts w:ascii="Calibri" w:eastAsia="Calibri" w:hAnsi="Calibri"/>
      <w:lang w:eastAsia="en-US"/>
    </w:rPr>
  </w:style>
  <w:style w:type="character" w:styleId="CommentReference">
    <w:name w:val="annotation reference"/>
    <w:rsid w:val="005C56F6"/>
    <w:rPr>
      <w:sz w:val="16"/>
      <w:szCs w:val="16"/>
    </w:rPr>
  </w:style>
  <w:style w:type="paragraph" w:styleId="CommentText">
    <w:name w:val="annotation text"/>
    <w:basedOn w:val="Normal"/>
    <w:link w:val="CommentTextChar"/>
    <w:rsid w:val="005C56F6"/>
    <w:rPr>
      <w:sz w:val="20"/>
      <w:szCs w:val="20"/>
    </w:rPr>
  </w:style>
  <w:style w:type="character" w:customStyle="1" w:styleId="CommentTextChar">
    <w:name w:val="Comment Text Char"/>
    <w:link w:val="CommentText"/>
    <w:rsid w:val="005C56F6"/>
    <w:rPr>
      <w:lang w:eastAsia="en-US"/>
    </w:rPr>
  </w:style>
  <w:style w:type="paragraph" w:styleId="CommentSubject">
    <w:name w:val="annotation subject"/>
    <w:basedOn w:val="CommentText"/>
    <w:next w:val="CommentText"/>
    <w:link w:val="CommentSubjectChar"/>
    <w:rsid w:val="005C56F6"/>
    <w:rPr>
      <w:b/>
      <w:bCs/>
    </w:rPr>
  </w:style>
  <w:style w:type="character" w:customStyle="1" w:styleId="CommentSubjectChar">
    <w:name w:val="Comment Subject Char"/>
    <w:link w:val="CommentSubject"/>
    <w:rsid w:val="005C56F6"/>
    <w:rPr>
      <w:b/>
      <w:bCs/>
      <w:lang w:eastAsia="en-US"/>
    </w:rPr>
  </w:style>
  <w:style w:type="paragraph" w:styleId="BalloonText">
    <w:name w:val="Balloon Text"/>
    <w:basedOn w:val="Normal"/>
    <w:link w:val="BalloonTextChar"/>
    <w:rsid w:val="005C56F6"/>
    <w:rPr>
      <w:rFonts w:ascii="Tahoma" w:hAnsi="Tahoma" w:cs="Tahoma"/>
      <w:sz w:val="16"/>
      <w:szCs w:val="16"/>
    </w:rPr>
  </w:style>
  <w:style w:type="character" w:customStyle="1" w:styleId="BalloonTextChar">
    <w:name w:val="Balloon Text Char"/>
    <w:link w:val="BalloonText"/>
    <w:rsid w:val="005C56F6"/>
    <w:rPr>
      <w:rFonts w:ascii="Tahoma" w:hAnsi="Tahoma" w:cs="Tahoma"/>
      <w:sz w:val="16"/>
      <w:szCs w:val="16"/>
      <w:lang w:eastAsia="en-US"/>
    </w:rPr>
  </w:style>
  <w:style w:type="character" w:styleId="FollowedHyperlink">
    <w:name w:val="FollowedHyperlink"/>
    <w:rsid w:val="00B24B9F"/>
    <w:rPr>
      <w:color w:val="800080"/>
      <w:u w:val="single"/>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link w:val="ListParagraph"/>
    <w:uiPriority w:val="34"/>
    <w:qFormat/>
    <w:locked/>
    <w:rsid w:val="00EA4412"/>
    <w:rPr>
      <w:sz w:val="24"/>
      <w:szCs w:val="24"/>
      <w:lang w:eastAsia="en-US"/>
    </w:rPr>
  </w:style>
  <w:style w:type="table" w:styleId="TableGrid">
    <w:name w:val="Table Grid"/>
    <w:basedOn w:val="TableNormal"/>
    <w:uiPriority w:val="59"/>
    <w:rsid w:val="00CD3B1D"/>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707B"/>
    <w:pPr>
      <w:tabs>
        <w:tab w:val="center" w:pos="4513"/>
        <w:tab w:val="right" w:pos="9026"/>
      </w:tabs>
    </w:pPr>
  </w:style>
  <w:style w:type="character" w:customStyle="1" w:styleId="HeaderChar">
    <w:name w:val="Header Char"/>
    <w:link w:val="Header"/>
    <w:uiPriority w:val="99"/>
    <w:rsid w:val="0000707B"/>
    <w:rPr>
      <w:sz w:val="24"/>
      <w:szCs w:val="24"/>
      <w:lang w:eastAsia="en-US"/>
    </w:rPr>
  </w:style>
  <w:style w:type="paragraph" w:styleId="Footer">
    <w:name w:val="footer"/>
    <w:basedOn w:val="Normal"/>
    <w:link w:val="FooterChar"/>
    <w:uiPriority w:val="99"/>
    <w:rsid w:val="0000707B"/>
    <w:pPr>
      <w:tabs>
        <w:tab w:val="center" w:pos="4513"/>
        <w:tab w:val="right" w:pos="9026"/>
      </w:tabs>
    </w:pPr>
  </w:style>
  <w:style w:type="character" w:customStyle="1" w:styleId="FooterChar">
    <w:name w:val="Footer Char"/>
    <w:link w:val="Footer"/>
    <w:uiPriority w:val="99"/>
    <w:rsid w:val="0000707B"/>
    <w:rPr>
      <w:sz w:val="24"/>
      <w:szCs w:val="24"/>
      <w:lang w:eastAsia="en-US"/>
    </w:rPr>
  </w:style>
  <w:style w:type="character" w:customStyle="1" w:styleId="A2">
    <w:name w:val="A2"/>
    <w:uiPriority w:val="99"/>
    <w:rsid w:val="00552794"/>
    <w:rPr>
      <w:rFonts w:cs="Univers LT Std 55"/>
      <w:color w:val="000000"/>
      <w:sz w:val="18"/>
      <w:szCs w:val="18"/>
    </w:rPr>
  </w:style>
  <w:style w:type="paragraph" w:customStyle="1" w:styleId="FSBulletlist">
    <w:name w:val="FSBullet list"/>
    <w:basedOn w:val="ListParagraph"/>
    <w:link w:val="FSBulletlistChar"/>
    <w:uiPriority w:val="5"/>
    <w:qFormat/>
    <w:locked/>
    <w:rsid w:val="00552794"/>
    <w:pPr>
      <w:numPr>
        <w:numId w:val="1"/>
      </w:numPr>
      <w:spacing w:before="120" w:after="120"/>
      <w:ind w:left="714" w:hanging="357"/>
      <w:contextualSpacing w:val="0"/>
    </w:pPr>
    <w:rPr>
      <w:rFonts w:ascii="Arial" w:eastAsia="Calibri" w:hAnsi="Arial" w:cs="Arial"/>
      <w:color w:val="2E3037"/>
      <w:sz w:val="22"/>
      <w:szCs w:val="22"/>
      <w:lang w:eastAsia="en-GB"/>
    </w:rPr>
  </w:style>
  <w:style w:type="character" w:customStyle="1" w:styleId="FSBulletlistChar">
    <w:name w:val="FSBullet list Char"/>
    <w:link w:val="FSBulletlist"/>
    <w:uiPriority w:val="5"/>
    <w:rsid w:val="00552794"/>
    <w:rPr>
      <w:rFonts w:ascii="Arial" w:eastAsia="Calibri" w:hAnsi="Arial" w:cs="Arial"/>
      <w:color w:val="2E3037"/>
      <w:sz w:val="22"/>
      <w:szCs w:val="22"/>
      <w:lang w:eastAsia="en-GB"/>
    </w:rPr>
  </w:style>
  <w:style w:type="paragraph" w:customStyle="1" w:styleId="FSBullet1">
    <w:name w:val="FSBullet 1"/>
    <w:basedOn w:val="Normal"/>
    <w:next w:val="Normal"/>
    <w:link w:val="FSBullet1Char"/>
    <w:qFormat/>
    <w:locked/>
    <w:rsid w:val="00FD3C50"/>
    <w:pPr>
      <w:numPr>
        <w:numId w:val="2"/>
      </w:numPr>
    </w:pPr>
    <w:rPr>
      <w:rFonts w:ascii="Arial" w:hAnsi="Arial" w:cs="Arial"/>
      <w:sz w:val="22"/>
      <w:lang w:val="en-GB"/>
    </w:rPr>
  </w:style>
  <w:style w:type="character" w:customStyle="1" w:styleId="FSBullet1Char">
    <w:name w:val="FSBullet 1 Char"/>
    <w:link w:val="FSBullet1"/>
    <w:rsid w:val="00FD3C50"/>
    <w:rPr>
      <w:rFonts w:ascii="Arial" w:hAnsi="Arial" w:cs="Arial"/>
      <w:sz w:val="22"/>
      <w:szCs w:val="24"/>
      <w:lang w:val="en-GB" w:eastAsia="en-US"/>
    </w:rPr>
  </w:style>
  <w:style w:type="paragraph" w:styleId="Revision">
    <w:name w:val="Revision"/>
    <w:hidden/>
    <w:uiPriority w:val="99"/>
    <w:semiHidden/>
    <w:rsid w:val="005C3C94"/>
    <w:rPr>
      <w:sz w:val="24"/>
      <w:szCs w:val="24"/>
      <w:lang w:eastAsia="en-US"/>
    </w:rPr>
  </w:style>
  <w:style w:type="paragraph" w:styleId="TOCHeading">
    <w:name w:val="TOC Heading"/>
    <w:basedOn w:val="Heading1"/>
    <w:next w:val="Normal"/>
    <w:uiPriority w:val="39"/>
    <w:semiHidden/>
    <w:unhideWhenUsed/>
    <w:qFormat/>
    <w:rsid w:val="00B24B9F"/>
    <w:pPr>
      <w:keepLines/>
      <w:spacing w:before="480" w:after="0" w:line="276" w:lineRule="auto"/>
      <w:outlineLvl w:val="9"/>
    </w:pPr>
    <w:rPr>
      <w:rFonts w:ascii="Cambria" w:hAnsi="Cambria" w:cs="Times New Roman"/>
      <w:color w:val="365F91"/>
      <w:kern w:val="0"/>
      <w:szCs w:val="28"/>
      <w:lang w:val="en-US" w:eastAsia="ja-JP"/>
    </w:rPr>
  </w:style>
  <w:style w:type="paragraph" w:styleId="TOC2">
    <w:name w:val="toc 2"/>
    <w:basedOn w:val="Normal"/>
    <w:next w:val="Normal"/>
    <w:autoRedefine/>
    <w:uiPriority w:val="39"/>
    <w:unhideWhenUsed/>
    <w:rsid w:val="009663C3"/>
    <w:pPr>
      <w:tabs>
        <w:tab w:val="left" w:pos="8931"/>
      </w:tabs>
      <w:spacing w:after="100"/>
      <w:ind w:right="-292"/>
    </w:pPr>
    <w:rPr>
      <w:noProof/>
      <w:kern w:val="28"/>
    </w:rPr>
  </w:style>
  <w:style w:type="paragraph" w:styleId="TOC1">
    <w:name w:val="toc 1"/>
    <w:basedOn w:val="Normal"/>
    <w:next w:val="Normal"/>
    <w:autoRedefine/>
    <w:uiPriority w:val="39"/>
    <w:unhideWhenUsed/>
    <w:rsid w:val="00463FB6"/>
    <w:pPr>
      <w:tabs>
        <w:tab w:val="left" w:pos="284"/>
        <w:tab w:val="right" w:leader="dot" w:pos="9072"/>
      </w:tabs>
      <w:spacing w:after="40"/>
      <w:ind w:right="-1"/>
    </w:pPr>
    <w:rPr>
      <w:iCs/>
      <w:noProof/>
      <w:sz w:val="28"/>
      <w:szCs w:val="28"/>
    </w:rPr>
  </w:style>
  <w:style w:type="paragraph" w:styleId="TOC3">
    <w:name w:val="toc 3"/>
    <w:basedOn w:val="Normal"/>
    <w:next w:val="Normal"/>
    <w:autoRedefine/>
    <w:uiPriority w:val="39"/>
    <w:unhideWhenUsed/>
    <w:rsid w:val="0066291E"/>
    <w:pPr>
      <w:spacing w:after="100"/>
      <w:ind w:left="480"/>
    </w:pPr>
  </w:style>
  <w:style w:type="character" w:customStyle="1" w:styleId="Heading1Char">
    <w:name w:val="Heading 1 Char"/>
    <w:link w:val="Heading1"/>
    <w:uiPriority w:val="9"/>
    <w:rsid w:val="00BB284A"/>
    <w:rPr>
      <w:rFonts w:ascii="Arial" w:hAnsi="Arial" w:cs="Arial"/>
      <w:b/>
      <w:bCs/>
      <w:kern w:val="28"/>
      <w:sz w:val="28"/>
      <w:szCs w:val="32"/>
      <w:lang w:eastAsia="en-US"/>
    </w:rPr>
  </w:style>
  <w:style w:type="paragraph" w:customStyle="1" w:styleId="Default">
    <w:name w:val="Default"/>
    <w:rsid w:val="008D3AA6"/>
    <w:pPr>
      <w:autoSpaceDE w:val="0"/>
      <w:autoSpaceDN w:val="0"/>
      <w:adjustRightInd w:val="0"/>
    </w:pPr>
    <w:rPr>
      <w:color w:val="000000"/>
      <w:sz w:val="24"/>
      <w:szCs w:val="24"/>
    </w:rPr>
  </w:style>
  <w:style w:type="paragraph" w:customStyle="1" w:styleId="BodyText1">
    <w:name w:val="Body Text1"/>
    <w:basedOn w:val="Normal"/>
    <w:qFormat/>
    <w:rsid w:val="008A633F"/>
    <w:pPr>
      <w:spacing w:after="200" w:line="260" w:lineRule="exact"/>
    </w:pPr>
    <w:rPr>
      <w:rFonts w:ascii="Arial" w:hAnsi="Arial"/>
      <w:sz w:val="22"/>
    </w:rPr>
  </w:style>
  <w:style w:type="paragraph" w:customStyle="1" w:styleId="fsctmain">
    <w:name w:val="fsctmain"/>
    <w:basedOn w:val="Normal"/>
    <w:rsid w:val="00E17238"/>
    <w:pPr>
      <w:spacing w:before="100" w:beforeAutospacing="1" w:after="100" w:afterAutospacing="1"/>
    </w:pPr>
    <w:rPr>
      <w:lang w:eastAsia="en-AU"/>
    </w:rPr>
  </w:style>
  <w:style w:type="paragraph" w:customStyle="1" w:styleId="fsctpara">
    <w:name w:val="fsctpara"/>
    <w:basedOn w:val="Normal"/>
    <w:rsid w:val="00E17238"/>
    <w:pPr>
      <w:spacing w:before="100" w:beforeAutospacing="1" w:after="100" w:afterAutospacing="1"/>
    </w:pPr>
    <w:rPr>
      <w:lang w:eastAsia="en-AU"/>
    </w:rPr>
  </w:style>
  <w:style w:type="paragraph" w:customStyle="1" w:styleId="fscnmain">
    <w:name w:val="fscnmain"/>
    <w:basedOn w:val="Normal"/>
    <w:rsid w:val="00E17238"/>
    <w:pPr>
      <w:spacing w:before="100" w:beforeAutospacing="1" w:after="100" w:afterAutospacing="1"/>
    </w:pPr>
    <w:rPr>
      <w:lang w:eastAsia="en-AU"/>
    </w:rPr>
  </w:style>
  <w:style w:type="paragraph" w:customStyle="1" w:styleId="fscnpara">
    <w:name w:val="fscnpara"/>
    <w:basedOn w:val="Normal"/>
    <w:rsid w:val="00E17238"/>
    <w:pPr>
      <w:spacing w:before="100" w:beforeAutospacing="1" w:after="100" w:afterAutospacing="1"/>
    </w:pPr>
    <w:rPr>
      <w:lang w:eastAsia="en-AU"/>
    </w:rPr>
  </w:style>
  <w:style w:type="paragraph" w:customStyle="1" w:styleId="FSCaption">
    <w:name w:val="FSCaption"/>
    <w:basedOn w:val="Normal"/>
    <w:uiPriority w:val="9"/>
    <w:qFormat/>
    <w:rsid w:val="0004125A"/>
    <w:pPr>
      <w:keepNext/>
      <w:keepLines/>
      <w:spacing w:before="120"/>
    </w:pPr>
    <w:rPr>
      <w:rFonts w:ascii="Arial" w:eastAsia="Calibri" w:hAnsi="Arial"/>
      <w:i/>
      <w:sz w:val="16"/>
      <w:szCs w:val="16"/>
      <w:lang w:val="en-GB"/>
    </w:rPr>
  </w:style>
  <w:style w:type="paragraph" w:styleId="ListBullet">
    <w:name w:val="List Bullet"/>
    <w:basedOn w:val="Normal"/>
    <w:uiPriority w:val="99"/>
    <w:rsid w:val="0004125A"/>
    <w:pPr>
      <w:numPr>
        <w:numId w:val="4"/>
      </w:numPr>
      <w:spacing w:after="120" w:line="280" w:lineRule="atLeast"/>
      <w:ind w:left="357" w:hanging="357"/>
      <w:jc w:val="both"/>
    </w:pPr>
    <w:rPr>
      <w:rFonts w:ascii="Arial" w:hAnsi="Arial"/>
      <w:sz w:val="20"/>
      <w:szCs w:val="20"/>
    </w:rPr>
  </w:style>
  <w:style w:type="paragraph" w:styleId="NormalWeb">
    <w:name w:val="Normal (Web)"/>
    <w:basedOn w:val="Normal"/>
    <w:uiPriority w:val="99"/>
    <w:semiHidden/>
    <w:unhideWhenUsed/>
    <w:rsid w:val="0004125A"/>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04125A"/>
    <w:pPr>
      <w:spacing w:before="180" w:after="120" w:line="280" w:lineRule="atLeast"/>
    </w:pPr>
    <w:rPr>
      <w:rFonts w:ascii="Arial" w:hAnsi="Arial"/>
      <w:sz w:val="20"/>
      <w:szCs w:val="20"/>
      <w:lang w:eastAsia="en-AU"/>
    </w:rPr>
  </w:style>
  <w:style w:type="character" w:customStyle="1" w:styleId="BodyTextChar">
    <w:name w:val="Body Text Char"/>
    <w:link w:val="BodyText"/>
    <w:uiPriority w:val="99"/>
    <w:semiHidden/>
    <w:rsid w:val="0004125A"/>
    <w:rPr>
      <w:rFonts w:ascii="Arial" w:hAnsi="Arial"/>
    </w:rPr>
  </w:style>
  <w:style w:type="character" w:styleId="UnresolvedMention">
    <w:name w:val="Unresolved Mention"/>
    <w:uiPriority w:val="99"/>
    <w:semiHidden/>
    <w:unhideWhenUsed/>
    <w:rsid w:val="00C67B83"/>
    <w:rPr>
      <w:color w:val="605E5C"/>
      <w:shd w:val="clear" w:color="auto" w:fill="E1DFDD"/>
    </w:rPr>
  </w:style>
  <w:style w:type="paragraph" w:customStyle="1" w:styleId="ISCbulleted">
    <w:name w:val="ISC bulleted"/>
    <w:basedOn w:val="Normal"/>
    <w:rsid w:val="00442889"/>
    <w:pPr>
      <w:numPr>
        <w:numId w:val="6"/>
      </w:numPr>
      <w:tabs>
        <w:tab w:val="left" w:pos="567"/>
      </w:tabs>
      <w:spacing w:after="120"/>
    </w:pPr>
    <w:rPr>
      <w:lang w:eastAsia="en-AU"/>
    </w:rPr>
  </w:style>
  <w:style w:type="paragraph" w:styleId="EndnoteText">
    <w:name w:val="endnote text"/>
    <w:basedOn w:val="Normal"/>
    <w:link w:val="EndnoteTextChar"/>
    <w:uiPriority w:val="99"/>
    <w:semiHidden/>
    <w:unhideWhenUsed/>
    <w:rsid w:val="000C7FF1"/>
    <w:rPr>
      <w:rFonts w:ascii="Arial" w:hAnsi="Arial"/>
      <w:sz w:val="20"/>
      <w:szCs w:val="20"/>
      <w:lang w:val="en-NZ"/>
    </w:rPr>
  </w:style>
  <w:style w:type="character" w:customStyle="1" w:styleId="EndnoteTextChar">
    <w:name w:val="Endnote Text Char"/>
    <w:link w:val="EndnoteText"/>
    <w:uiPriority w:val="99"/>
    <w:semiHidden/>
    <w:rsid w:val="000C7FF1"/>
    <w:rPr>
      <w:rFonts w:ascii="Arial" w:hAnsi="Arial"/>
      <w:lang w:val="en-NZ" w:eastAsia="en-US"/>
    </w:rPr>
  </w:style>
  <w:style w:type="character" w:styleId="EndnoteReference">
    <w:name w:val="endnote reference"/>
    <w:uiPriority w:val="99"/>
    <w:semiHidden/>
    <w:unhideWhenUsed/>
    <w:rsid w:val="000C7FF1"/>
    <w:rPr>
      <w:vertAlign w:val="superscript"/>
    </w:rPr>
  </w:style>
  <w:style w:type="character" w:customStyle="1" w:styleId="UnresolvedMention1">
    <w:name w:val="Unresolved Mention1"/>
    <w:uiPriority w:val="99"/>
    <w:semiHidden/>
    <w:unhideWhenUsed/>
    <w:rsid w:val="007520A2"/>
    <w:rPr>
      <w:color w:val="605E5C"/>
      <w:shd w:val="clear" w:color="auto" w:fill="E1DFDD"/>
    </w:rPr>
  </w:style>
  <w:style w:type="paragraph" w:customStyle="1" w:styleId="paragraph">
    <w:name w:val="paragraph"/>
    <w:basedOn w:val="Normal"/>
    <w:rsid w:val="001B11B7"/>
    <w:pPr>
      <w:spacing w:before="100" w:beforeAutospacing="1" w:after="100" w:afterAutospacing="1"/>
    </w:pPr>
    <w:rPr>
      <w:lang w:eastAsia="en-AU"/>
    </w:rPr>
  </w:style>
  <w:style w:type="character" w:customStyle="1" w:styleId="heading">
    <w:name w:val="heading"/>
    <w:rsid w:val="008D7B8C"/>
  </w:style>
  <w:style w:type="paragraph" w:customStyle="1" w:styleId="subsection">
    <w:name w:val="subsection"/>
    <w:basedOn w:val="Normal"/>
    <w:rsid w:val="00B50469"/>
    <w:pPr>
      <w:spacing w:before="100" w:beforeAutospacing="1" w:after="100" w:afterAutospacing="1"/>
    </w:pPr>
    <w:rPr>
      <w:lang w:eastAsia="en-AU"/>
    </w:rPr>
  </w:style>
  <w:style w:type="character" w:customStyle="1" w:styleId="normaltextrun">
    <w:name w:val="normaltextrun"/>
    <w:basedOn w:val="DefaultParagraphFont"/>
    <w:rsid w:val="00A320D6"/>
  </w:style>
  <w:style w:type="character" w:customStyle="1" w:styleId="scxw2042120">
    <w:name w:val="scxw2042120"/>
    <w:basedOn w:val="DefaultParagraphFont"/>
    <w:rsid w:val="00A320D6"/>
  </w:style>
  <w:style w:type="character" w:customStyle="1" w:styleId="eop">
    <w:name w:val="eop"/>
    <w:basedOn w:val="DefaultParagraphFont"/>
    <w:rsid w:val="00A320D6"/>
  </w:style>
  <w:style w:type="character" w:customStyle="1" w:styleId="contextualspellingandgrammarerror">
    <w:name w:val="contextualspellingandgrammarerror"/>
    <w:basedOn w:val="DefaultParagraphFont"/>
    <w:rsid w:val="00A320D6"/>
  </w:style>
  <w:style w:type="table" w:styleId="ListTable3">
    <w:name w:val="List Table 3"/>
    <w:basedOn w:val="TableNormal"/>
    <w:uiPriority w:val="48"/>
    <w:rsid w:val="003C4C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8226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8F2E9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3D56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7269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269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085D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TMRfont12">
    <w:name w:val="Body text - TMR font 12"/>
    <w:basedOn w:val="Normal"/>
    <w:link w:val="Bodytext-TMRfont12Char"/>
    <w:qFormat/>
    <w:rsid w:val="00BB284A"/>
    <w:pPr>
      <w:spacing w:after="40"/>
      <w:jc w:val="both"/>
    </w:pPr>
    <w:rPr>
      <w:lang w:eastAsia="zh-CN" w:bidi="th-TH"/>
    </w:rPr>
  </w:style>
  <w:style w:type="paragraph" w:customStyle="1" w:styleId="Bodytextwithbullets-TMRfont12">
    <w:name w:val="Body text with bullets - TMR font 12"/>
    <w:basedOn w:val="Bodytext-TMRfont12"/>
    <w:link w:val="Bodytextwithbullets-TMRfont12Char"/>
    <w:qFormat/>
    <w:rsid w:val="00BB284A"/>
    <w:pPr>
      <w:numPr>
        <w:numId w:val="39"/>
      </w:numPr>
    </w:pPr>
  </w:style>
  <w:style w:type="character" w:customStyle="1" w:styleId="Bodytext-TMRfont12Char">
    <w:name w:val="Body text - TMR font 12 Char"/>
    <w:basedOn w:val="DefaultParagraphFont"/>
    <w:link w:val="Bodytext-TMRfont12"/>
    <w:rsid w:val="00BB284A"/>
    <w:rPr>
      <w:sz w:val="24"/>
      <w:szCs w:val="24"/>
      <w:lang w:eastAsia="zh-CN" w:bidi="th-TH"/>
    </w:rPr>
  </w:style>
  <w:style w:type="character" w:customStyle="1" w:styleId="Bodytextwithbullets-TMRfont12Char">
    <w:name w:val="Body text with bullets - TMR font 12 Char"/>
    <w:basedOn w:val="Bodytext-TMRfont12Char"/>
    <w:link w:val="Bodytextwithbullets-TMRfont12"/>
    <w:rsid w:val="00BB284A"/>
    <w:rPr>
      <w:sz w:val="24"/>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946">
      <w:bodyDiv w:val="1"/>
      <w:marLeft w:val="0"/>
      <w:marRight w:val="0"/>
      <w:marTop w:val="0"/>
      <w:marBottom w:val="0"/>
      <w:divBdr>
        <w:top w:val="none" w:sz="0" w:space="0" w:color="auto"/>
        <w:left w:val="none" w:sz="0" w:space="0" w:color="auto"/>
        <w:bottom w:val="none" w:sz="0" w:space="0" w:color="auto"/>
        <w:right w:val="none" w:sz="0" w:space="0" w:color="auto"/>
      </w:divBdr>
    </w:div>
    <w:div w:id="102387721">
      <w:bodyDiv w:val="1"/>
      <w:marLeft w:val="0"/>
      <w:marRight w:val="0"/>
      <w:marTop w:val="0"/>
      <w:marBottom w:val="0"/>
      <w:divBdr>
        <w:top w:val="none" w:sz="0" w:space="0" w:color="auto"/>
        <w:left w:val="none" w:sz="0" w:space="0" w:color="auto"/>
        <w:bottom w:val="none" w:sz="0" w:space="0" w:color="auto"/>
        <w:right w:val="none" w:sz="0" w:space="0" w:color="auto"/>
      </w:divBdr>
    </w:div>
    <w:div w:id="221870444">
      <w:bodyDiv w:val="1"/>
      <w:marLeft w:val="0"/>
      <w:marRight w:val="0"/>
      <w:marTop w:val="0"/>
      <w:marBottom w:val="0"/>
      <w:divBdr>
        <w:top w:val="none" w:sz="0" w:space="0" w:color="auto"/>
        <w:left w:val="none" w:sz="0" w:space="0" w:color="auto"/>
        <w:bottom w:val="none" w:sz="0" w:space="0" w:color="auto"/>
        <w:right w:val="none" w:sz="0" w:space="0" w:color="auto"/>
      </w:divBdr>
    </w:div>
    <w:div w:id="255601648">
      <w:bodyDiv w:val="1"/>
      <w:marLeft w:val="0"/>
      <w:marRight w:val="0"/>
      <w:marTop w:val="0"/>
      <w:marBottom w:val="0"/>
      <w:divBdr>
        <w:top w:val="none" w:sz="0" w:space="0" w:color="auto"/>
        <w:left w:val="none" w:sz="0" w:space="0" w:color="auto"/>
        <w:bottom w:val="none" w:sz="0" w:space="0" w:color="auto"/>
        <w:right w:val="none" w:sz="0" w:space="0" w:color="auto"/>
      </w:divBdr>
    </w:div>
    <w:div w:id="267662318">
      <w:bodyDiv w:val="1"/>
      <w:marLeft w:val="0"/>
      <w:marRight w:val="0"/>
      <w:marTop w:val="0"/>
      <w:marBottom w:val="0"/>
      <w:divBdr>
        <w:top w:val="none" w:sz="0" w:space="0" w:color="auto"/>
        <w:left w:val="none" w:sz="0" w:space="0" w:color="auto"/>
        <w:bottom w:val="none" w:sz="0" w:space="0" w:color="auto"/>
        <w:right w:val="none" w:sz="0" w:space="0" w:color="auto"/>
      </w:divBdr>
    </w:div>
    <w:div w:id="417558494">
      <w:bodyDiv w:val="1"/>
      <w:marLeft w:val="0"/>
      <w:marRight w:val="0"/>
      <w:marTop w:val="0"/>
      <w:marBottom w:val="0"/>
      <w:divBdr>
        <w:top w:val="none" w:sz="0" w:space="0" w:color="auto"/>
        <w:left w:val="none" w:sz="0" w:space="0" w:color="auto"/>
        <w:bottom w:val="none" w:sz="0" w:space="0" w:color="auto"/>
        <w:right w:val="none" w:sz="0" w:space="0" w:color="auto"/>
      </w:divBdr>
    </w:div>
    <w:div w:id="428745497">
      <w:bodyDiv w:val="1"/>
      <w:marLeft w:val="0"/>
      <w:marRight w:val="0"/>
      <w:marTop w:val="0"/>
      <w:marBottom w:val="0"/>
      <w:divBdr>
        <w:top w:val="none" w:sz="0" w:space="0" w:color="auto"/>
        <w:left w:val="none" w:sz="0" w:space="0" w:color="auto"/>
        <w:bottom w:val="none" w:sz="0" w:space="0" w:color="auto"/>
        <w:right w:val="none" w:sz="0" w:space="0" w:color="auto"/>
      </w:divBdr>
      <w:divsChild>
        <w:div w:id="1324773087">
          <w:marLeft w:val="0"/>
          <w:marRight w:val="0"/>
          <w:marTop w:val="0"/>
          <w:marBottom w:val="0"/>
          <w:divBdr>
            <w:top w:val="none" w:sz="0" w:space="0" w:color="auto"/>
            <w:left w:val="none" w:sz="0" w:space="0" w:color="auto"/>
            <w:bottom w:val="none" w:sz="0" w:space="0" w:color="auto"/>
            <w:right w:val="none" w:sz="0" w:space="0" w:color="auto"/>
          </w:divBdr>
        </w:div>
        <w:div w:id="137188488">
          <w:marLeft w:val="0"/>
          <w:marRight w:val="0"/>
          <w:marTop w:val="0"/>
          <w:marBottom w:val="0"/>
          <w:divBdr>
            <w:top w:val="none" w:sz="0" w:space="0" w:color="auto"/>
            <w:left w:val="none" w:sz="0" w:space="0" w:color="auto"/>
            <w:bottom w:val="none" w:sz="0" w:space="0" w:color="auto"/>
            <w:right w:val="none" w:sz="0" w:space="0" w:color="auto"/>
          </w:divBdr>
        </w:div>
        <w:div w:id="50269827">
          <w:marLeft w:val="0"/>
          <w:marRight w:val="0"/>
          <w:marTop w:val="0"/>
          <w:marBottom w:val="0"/>
          <w:divBdr>
            <w:top w:val="none" w:sz="0" w:space="0" w:color="auto"/>
            <w:left w:val="none" w:sz="0" w:space="0" w:color="auto"/>
            <w:bottom w:val="none" w:sz="0" w:space="0" w:color="auto"/>
            <w:right w:val="none" w:sz="0" w:space="0" w:color="auto"/>
          </w:divBdr>
        </w:div>
        <w:div w:id="1202286984">
          <w:marLeft w:val="0"/>
          <w:marRight w:val="0"/>
          <w:marTop w:val="0"/>
          <w:marBottom w:val="0"/>
          <w:divBdr>
            <w:top w:val="none" w:sz="0" w:space="0" w:color="auto"/>
            <w:left w:val="none" w:sz="0" w:space="0" w:color="auto"/>
            <w:bottom w:val="none" w:sz="0" w:space="0" w:color="auto"/>
            <w:right w:val="none" w:sz="0" w:space="0" w:color="auto"/>
          </w:divBdr>
        </w:div>
        <w:div w:id="208028771">
          <w:marLeft w:val="0"/>
          <w:marRight w:val="0"/>
          <w:marTop w:val="0"/>
          <w:marBottom w:val="0"/>
          <w:divBdr>
            <w:top w:val="none" w:sz="0" w:space="0" w:color="auto"/>
            <w:left w:val="none" w:sz="0" w:space="0" w:color="auto"/>
            <w:bottom w:val="none" w:sz="0" w:space="0" w:color="auto"/>
            <w:right w:val="none" w:sz="0" w:space="0" w:color="auto"/>
          </w:divBdr>
          <w:divsChild>
            <w:div w:id="690958418">
              <w:marLeft w:val="0"/>
              <w:marRight w:val="0"/>
              <w:marTop w:val="0"/>
              <w:marBottom w:val="0"/>
              <w:divBdr>
                <w:top w:val="none" w:sz="0" w:space="0" w:color="auto"/>
                <w:left w:val="none" w:sz="0" w:space="0" w:color="auto"/>
                <w:bottom w:val="none" w:sz="0" w:space="0" w:color="auto"/>
                <w:right w:val="none" w:sz="0" w:space="0" w:color="auto"/>
              </w:divBdr>
            </w:div>
            <w:div w:id="1523520049">
              <w:marLeft w:val="0"/>
              <w:marRight w:val="0"/>
              <w:marTop w:val="0"/>
              <w:marBottom w:val="0"/>
              <w:divBdr>
                <w:top w:val="none" w:sz="0" w:space="0" w:color="auto"/>
                <w:left w:val="none" w:sz="0" w:space="0" w:color="auto"/>
                <w:bottom w:val="none" w:sz="0" w:space="0" w:color="auto"/>
                <w:right w:val="none" w:sz="0" w:space="0" w:color="auto"/>
              </w:divBdr>
            </w:div>
            <w:div w:id="1637906769">
              <w:marLeft w:val="0"/>
              <w:marRight w:val="0"/>
              <w:marTop w:val="0"/>
              <w:marBottom w:val="0"/>
              <w:divBdr>
                <w:top w:val="none" w:sz="0" w:space="0" w:color="auto"/>
                <w:left w:val="none" w:sz="0" w:space="0" w:color="auto"/>
                <w:bottom w:val="none" w:sz="0" w:space="0" w:color="auto"/>
                <w:right w:val="none" w:sz="0" w:space="0" w:color="auto"/>
              </w:divBdr>
            </w:div>
            <w:div w:id="1730574634">
              <w:marLeft w:val="0"/>
              <w:marRight w:val="0"/>
              <w:marTop w:val="0"/>
              <w:marBottom w:val="0"/>
              <w:divBdr>
                <w:top w:val="none" w:sz="0" w:space="0" w:color="auto"/>
                <w:left w:val="none" w:sz="0" w:space="0" w:color="auto"/>
                <w:bottom w:val="none" w:sz="0" w:space="0" w:color="auto"/>
                <w:right w:val="none" w:sz="0" w:space="0" w:color="auto"/>
              </w:divBdr>
            </w:div>
            <w:div w:id="1781560809">
              <w:marLeft w:val="0"/>
              <w:marRight w:val="0"/>
              <w:marTop w:val="0"/>
              <w:marBottom w:val="0"/>
              <w:divBdr>
                <w:top w:val="none" w:sz="0" w:space="0" w:color="auto"/>
                <w:left w:val="none" w:sz="0" w:space="0" w:color="auto"/>
                <w:bottom w:val="none" w:sz="0" w:space="0" w:color="auto"/>
                <w:right w:val="none" w:sz="0" w:space="0" w:color="auto"/>
              </w:divBdr>
            </w:div>
          </w:divsChild>
        </w:div>
        <w:div w:id="291643062">
          <w:marLeft w:val="0"/>
          <w:marRight w:val="0"/>
          <w:marTop w:val="0"/>
          <w:marBottom w:val="0"/>
          <w:divBdr>
            <w:top w:val="none" w:sz="0" w:space="0" w:color="auto"/>
            <w:left w:val="none" w:sz="0" w:space="0" w:color="auto"/>
            <w:bottom w:val="none" w:sz="0" w:space="0" w:color="auto"/>
            <w:right w:val="none" w:sz="0" w:space="0" w:color="auto"/>
          </w:divBdr>
          <w:divsChild>
            <w:div w:id="915553887">
              <w:marLeft w:val="0"/>
              <w:marRight w:val="0"/>
              <w:marTop w:val="0"/>
              <w:marBottom w:val="0"/>
              <w:divBdr>
                <w:top w:val="none" w:sz="0" w:space="0" w:color="auto"/>
                <w:left w:val="none" w:sz="0" w:space="0" w:color="auto"/>
                <w:bottom w:val="none" w:sz="0" w:space="0" w:color="auto"/>
                <w:right w:val="none" w:sz="0" w:space="0" w:color="auto"/>
              </w:divBdr>
            </w:div>
            <w:div w:id="1411540753">
              <w:marLeft w:val="0"/>
              <w:marRight w:val="0"/>
              <w:marTop w:val="0"/>
              <w:marBottom w:val="0"/>
              <w:divBdr>
                <w:top w:val="none" w:sz="0" w:space="0" w:color="auto"/>
                <w:left w:val="none" w:sz="0" w:space="0" w:color="auto"/>
                <w:bottom w:val="none" w:sz="0" w:space="0" w:color="auto"/>
                <w:right w:val="none" w:sz="0" w:space="0" w:color="auto"/>
              </w:divBdr>
            </w:div>
            <w:div w:id="1089044129">
              <w:marLeft w:val="0"/>
              <w:marRight w:val="0"/>
              <w:marTop w:val="0"/>
              <w:marBottom w:val="0"/>
              <w:divBdr>
                <w:top w:val="none" w:sz="0" w:space="0" w:color="auto"/>
                <w:left w:val="none" w:sz="0" w:space="0" w:color="auto"/>
                <w:bottom w:val="none" w:sz="0" w:space="0" w:color="auto"/>
                <w:right w:val="none" w:sz="0" w:space="0" w:color="auto"/>
              </w:divBdr>
            </w:div>
            <w:div w:id="506864844">
              <w:marLeft w:val="0"/>
              <w:marRight w:val="0"/>
              <w:marTop w:val="0"/>
              <w:marBottom w:val="0"/>
              <w:divBdr>
                <w:top w:val="none" w:sz="0" w:space="0" w:color="auto"/>
                <w:left w:val="none" w:sz="0" w:space="0" w:color="auto"/>
                <w:bottom w:val="none" w:sz="0" w:space="0" w:color="auto"/>
                <w:right w:val="none" w:sz="0" w:space="0" w:color="auto"/>
              </w:divBdr>
            </w:div>
            <w:div w:id="1096095436">
              <w:marLeft w:val="0"/>
              <w:marRight w:val="0"/>
              <w:marTop w:val="0"/>
              <w:marBottom w:val="0"/>
              <w:divBdr>
                <w:top w:val="none" w:sz="0" w:space="0" w:color="auto"/>
                <w:left w:val="none" w:sz="0" w:space="0" w:color="auto"/>
                <w:bottom w:val="none" w:sz="0" w:space="0" w:color="auto"/>
                <w:right w:val="none" w:sz="0" w:space="0" w:color="auto"/>
              </w:divBdr>
            </w:div>
          </w:divsChild>
        </w:div>
        <w:div w:id="671568974">
          <w:marLeft w:val="0"/>
          <w:marRight w:val="0"/>
          <w:marTop w:val="0"/>
          <w:marBottom w:val="0"/>
          <w:divBdr>
            <w:top w:val="none" w:sz="0" w:space="0" w:color="auto"/>
            <w:left w:val="none" w:sz="0" w:space="0" w:color="auto"/>
            <w:bottom w:val="none" w:sz="0" w:space="0" w:color="auto"/>
            <w:right w:val="none" w:sz="0" w:space="0" w:color="auto"/>
          </w:divBdr>
          <w:divsChild>
            <w:div w:id="432941765">
              <w:marLeft w:val="0"/>
              <w:marRight w:val="0"/>
              <w:marTop w:val="0"/>
              <w:marBottom w:val="0"/>
              <w:divBdr>
                <w:top w:val="none" w:sz="0" w:space="0" w:color="auto"/>
                <w:left w:val="none" w:sz="0" w:space="0" w:color="auto"/>
                <w:bottom w:val="none" w:sz="0" w:space="0" w:color="auto"/>
                <w:right w:val="none" w:sz="0" w:space="0" w:color="auto"/>
              </w:divBdr>
            </w:div>
            <w:div w:id="1597057761">
              <w:marLeft w:val="0"/>
              <w:marRight w:val="0"/>
              <w:marTop w:val="0"/>
              <w:marBottom w:val="0"/>
              <w:divBdr>
                <w:top w:val="none" w:sz="0" w:space="0" w:color="auto"/>
                <w:left w:val="none" w:sz="0" w:space="0" w:color="auto"/>
                <w:bottom w:val="none" w:sz="0" w:space="0" w:color="auto"/>
                <w:right w:val="none" w:sz="0" w:space="0" w:color="auto"/>
              </w:divBdr>
            </w:div>
            <w:div w:id="1779250689">
              <w:marLeft w:val="0"/>
              <w:marRight w:val="0"/>
              <w:marTop w:val="0"/>
              <w:marBottom w:val="0"/>
              <w:divBdr>
                <w:top w:val="none" w:sz="0" w:space="0" w:color="auto"/>
                <w:left w:val="none" w:sz="0" w:space="0" w:color="auto"/>
                <w:bottom w:val="none" w:sz="0" w:space="0" w:color="auto"/>
                <w:right w:val="none" w:sz="0" w:space="0" w:color="auto"/>
              </w:divBdr>
            </w:div>
            <w:div w:id="442919147">
              <w:marLeft w:val="0"/>
              <w:marRight w:val="0"/>
              <w:marTop w:val="0"/>
              <w:marBottom w:val="0"/>
              <w:divBdr>
                <w:top w:val="none" w:sz="0" w:space="0" w:color="auto"/>
                <w:left w:val="none" w:sz="0" w:space="0" w:color="auto"/>
                <w:bottom w:val="none" w:sz="0" w:space="0" w:color="auto"/>
                <w:right w:val="none" w:sz="0" w:space="0" w:color="auto"/>
              </w:divBdr>
            </w:div>
            <w:div w:id="1358389756">
              <w:marLeft w:val="0"/>
              <w:marRight w:val="0"/>
              <w:marTop w:val="0"/>
              <w:marBottom w:val="0"/>
              <w:divBdr>
                <w:top w:val="none" w:sz="0" w:space="0" w:color="auto"/>
                <w:left w:val="none" w:sz="0" w:space="0" w:color="auto"/>
                <w:bottom w:val="none" w:sz="0" w:space="0" w:color="auto"/>
                <w:right w:val="none" w:sz="0" w:space="0" w:color="auto"/>
              </w:divBdr>
            </w:div>
          </w:divsChild>
        </w:div>
        <w:div w:id="1801224061">
          <w:marLeft w:val="0"/>
          <w:marRight w:val="0"/>
          <w:marTop w:val="0"/>
          <w:marBottom w:val="0"/>
          <w:divBdr>
            <w:top w:val="none" w:sz="0" w:space="0" w:color="auto"/>
            <w:left w:val="none" w:sz="0" w:space="0" w:color="auto"/>
            <w:bottom w:val="none" w:sz="0" w:space="0" w:color="auto"/>
            <w:right w:val="none" w:sz="0" w:space="0" w:color="auto"/>
          </w:divBdr>
          <w:divsChild>
            <w:div w:id="1151098243">
              <w:marLeft w:val="0"/>
              <w:marRight w:val="0"/>
              <w:marTop w:val="0"/>
              <w:marBottom w:val="0"/>
              <w:divBdr>
                <w:top w:val="none" w:sz="0" w:space="0" w:color="auto"/>
                <w:left w:val="none" w:sz="0" w:space="0" w:color="auto"/>
                <w:bottom w:val="none" w:sz="0" w:space="0" w:color="auto"/>
                <w:right w:val="none" w:sz="0" w:space="0" w:color="auto"/>
              </w:divBdr>
            </w:div>
            <w:div w:id="222570337">
              <w:marLeft w:val="0"/>
              <w:marRight w:val="0"/>
              <w:marTop w:val="0"/>
              <w:marBottom w:val="0"/>
              <w:divBdr>
                <w:top w:val="none" w:sz="0" w:space="0" w:color="auto"/>
                <w:left w:val="none" w:sz="0" w:space="0" w:color="auto"/>
                <w:bottom w:val="none" w:sz="0" w:space="0" w:color="auto"/>
                <w:right w:val="none" w:sz="0" w:space="0" w:color="auto"/>
              </w:divBdr>
            </w:div>
            <w:div w:id="381176096">
              <w:marLeft w:val="0"/>
              <w:marRight w:val="0"/>
              <w:marTop w:val="0"/>
              <w:marBottom w:val="0"/>
              <w:divBdr>
                <w:top w:val="none" w:sz="0" w:space="0" w:color="auto"/>
                <w:left w:val="none" w:sz="0" w:space="0" w:color="auto"/>
                <w:bottom w:val="none" w:sz="0" w:space="0" w:color="auto"/>
                <w:right w:val="none" w:sz="0" w:space="0" w:color="auto"/>
              </w:divBdr>
            </w:div>
            <w:div w:id="1892380852">
              <w:marLeft w:val="0"/>
              <w:marRight w:val="0"/>
              <w:marTop w:val="0"/>
              <w:marBottom w:val="0"/>
              <w:divBdr>
                <w:top w:val="none" w:sz="0" w:space="0" w:color="auto"/>
                <w:left w:val="none" w:sz="0" w:space="0" w:color="auto"/>
                <w:bottom w:val="none" w:sz="0" w:space="0" w:color="auto"/>
                <w:right w:val="none" w:sz="0" w:space="0" w:color="auto"/>
              </w:divBdr>
            </w:div>
            <w:div w:id="74059343">
              <w:marLeft w:val="0"/>
              <w:marRight w:val="0"/>
              <w:marTop w:val="0"/>
              <w:marBottom w:val="0"/>
              <w:divBdr>
                <w:top w:val="none" w:sz="0" w:space="0" w:color="auto"/>
                <w:left w:val="none" w:sz="0" w:space="0" w:color="auto"/>
                <w:bottom w:val="none" w:sz="0" w:space="0" w:color="auto"/>
                <w:right w:val="none" w:sz="0" w:space="0" w:color="auto"/>
              </w:divBdr>
            </w:div>
          </w:divsChild>
        </w:div>
        <w:div w:id="664361781">
          <w:marLeft w:val="0"/>
          <w:marRight w:val="0"/>
          <w:marTop w:val="0"/>
          <w:marBottom w:val="0"/>
          <w:divBdr>
            <w:top w:val="none" w:sz="0" w:space="0" w:color="auto"/>
            <w:left w:val="none" w:sz="0" w:space="0" w:color="auto"/>
            <w:bottom w:val="none" w:sz="0" w:space="0" w:color="auto"/>
            <w:right w:val="none" w:sz="0" w:space="0" w:color="auto"/>
          </w:divBdr>
          <w:divsChild>
            <w:div w:id="2083864701">
              <w:marLeft w:val="0"/>
              <w:marRight w:val="0"/>
              <w:marTop w:val="0"/>
              <w:marBottom w:val="0"/>
              <w:divBdr>
                <w:top w:val="none" w:sz="0" w:space="0" w:color="auto"/>
                <w:left w:val="none" w:sz="0" w:space="0" w:color="auto"/>
                <w:bottom w:val="none" w:sz="0" w:space="0" w:color="auto"/>
                <w:right w:val="none" w:sz="0" w:space="0" w:color="auto"/>
              </w:divBdr>
            </w:div>
            <w:div w:id="115755332">
              <w:marLeft w:val="0"/>
              <w:marRight w:val="0"/>
              <w:marTop w:val="0"/>
              <w:marBottom w:val="0"/>
              <w:divBdr>
                <w:top w:val="none" w:sz="0" w:space="0" w:color="auto"/>
                <w:left w:val="none" w:sz="0" w:space="0" w:color="auto"/>
                <w:bottom w:val="none" w:sz="0" w:space="0" w:color="auto"/>
                <w:right w:val="none" w:sz="0" w:space="0" w:color="auto"/>
              </w:divBdr>
            </w:div>
            <w:div w:id="1364866759">
              <w:marLeft w:val="0"/>
              <w:marRight w:val="0"/>
              <w:marTop w:val="0"/>
              <w:marBottom w:val="0"/>
              <w:divBdr>
                <w:top w:val="none" w:sz="0" w:space="0" w:color="auto"/>
                <w:left w:val="none" w:sz="0" w:space="0" w:color="auto"/>
                <w:bottom w:val="none" w:sz="0" w:space="0" w:color="auto"/>
                <w:right w:val="none" w:sz="0" w:space="0" w:color="auto"/>
              </w:divBdr>
            </w:div>
            <w:div w:id="2930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6994">
      <w:bodyDiv w:val="1"/>
      <w:marLeft w:val="0"/>
      <w:marRight w:val="0"/>
      <w:marTop w:val="0"/>
      <w:marBottom w:val="0"/>
      <w:divBdr>
        <w:top w:val="none" w:sz="0" w:space="0" w:color="auto"/>
        <w:left w:val="none" w:sz="0" w:space="0" w:color="auto"/>
        <w:bottom w:val="none" w:sz="0" w:space="0" w:color="auto"/>
        <w:right w:val="none" w:sz="0" w:space="0" w:color="auto"/>
      </w:divBdr>
    </w:div>
    <w:div w:id="438843664">
      <w:bodyDiv w:val="1"/>
      <w:marLeft w:val="0"/>
      <w:marRight w:val="0"/>
      <w:marTop w:val="0"/>
      <w:marBottom w:val="0"/>
      <w:divBdr>
        <w:top w:val="none" w:sz="0" w:space="0" w:color="auto"/>
        <w:left w:val="none" w:sz="0" w:space="0" w:color="auto"/>
        <w:bottom w:val="none" w:sz="0" w:space="0" w:color="auto"/>
        <w:right w:val="none" w:sz="0" w:space="0" w:color="auto"/>
      </w:divBdr>
    </w:div>
    <w:div w:id="540561074">
      <w:bodyDiv w:val="1"/>
      <w:marLeft w:val="0"/>
      <w:marRight w:val="0"/>
      <w:marTop w:val="0"/>
      <w:marBottom w:val="0"/>
      <w:divBdr>
        <w:top w:val="none" w:sz="0" w:space="0" w:color="auto"/>
        <w:left w:val="none" w:sz="0" w:space="0" w:color="auto"/>
        <w:bottom w:val="none" w:sz="0" w:space="0" w:color="auto"/>
        <w:right w:val="none" w:sz="0" w:space="0" w:color="auto"/>
      </w:divBdr>
    </w:div>
    <w:div w:id="574901634">
      <w:bodyDiv w:val="1"/>
      <w:marLeft w:val="0"/>
      <w:marRight w:val="0"/>
      <w:marTop w:val="0"/>
      <w:marBottom w:val="0"/>
      <w:divBdr>
        <w:top w:val="none" w:sz="0" w:space="0" w:color="auto"/>
        <w:left w:val="none" w:sz="0" w:space="0" w:color="auto"/>
        <w:bottom w:val="none" w:sz="0" w:space="0" w:color="auto"/>
        <w:right w:val="none" w:sz="0" w:space="0" w:color="auto"/>
      </w:divBdr>
    </w:div>
    <w:div w:id="631985000">
      <w:bodyDiv w:val="1"/>
      <w:marLeft w:val="0"/>
      <w:marRight w:val="0"/>
      <w:marTop w:val="0"/>
      <w:marBottom w:val="0"/>
      <w:divBdr>
        <w:top w:val="none" w:sz="0" w:space="0" w:color="auto"/>
        <w:left w:val="none" w:sz="0" w:space="0" w:color="auto"/>
        <w:bottom w:val="none" w:sz="0" w:space="0" w:color="auto"/>
        <w:right w:val="none" w:sz="0" w:space="0" w:color="auto"/>
      </w:divBdr>
    </w:div>
    <w:div w:id="663123317">
      <w:bodyDiv w:val="1"/>
      <w:marLeft w:val="0"/>
      <w:marRight w:val="0"/>
      <w:marTop w:val="0"/>
      <w:marBottom w:val="0"/>
      <w:divBdr>
        <w:top w:val="none" w:sz="0" w:space="0" w:color="auto"/>
        <w:left w:val="none" w:sz="0" w:space="0" w:color="auto"/>
        <w:bottom w:val="none" w:sz="0" w:space="0" w:color="auto"/>
        <w:right w:val="none" w:sz="0" w:space="0" w:color="auto"/>
      </w:divBdr>
    </w:div>
    <w:div w:id="695081785">
      <w:bodyDiv w:val="1"/>
      <w:marLeft w:val="0"/>
      <w:marRight w:val="0"/>
      <w:marTop w:val="0"/>
      <w:marBottom w:val="0"/>
      <w:divBdr>
        <w:top w:val="none" w:sz="0" w:space="0" w:color="auto"/>
        <w:left w:val="none" w:sz="0" w:space="0" w:color="auto"/>
        <w:bottom w:val="none" w:sz="0" w:space="0" w:color="auto"/>
        <w:right w:val="none" w:sz="0" w:space="0" w:color="auto"/>
      </w:divBdr>
      <w:divsChild>
        <w:div w:id="447744782">
          <w:marLeft w:val="0"/>
          <w:marRight w:val="0"/>
          <w:marTop w:val="0"/>
          <w:marBottom w:val="0"/>
          <w:divBdr>
            <w:top w:val="none" w:sz="0" w:space="0" w:color="auto"/>
            <w:left w:val="none" w:sz="0" w:space="0" w:color="auto"/>
            <w:bottom w:val="none" w:sz="0" w:space="0" w:color="auto"/>
            <w:right w:val="none" w:sz="0" w:space="0" w:color="auto"/>
          </w:divBdr>
          <w:divsChild>
            <w:div w:id="908658859">
              <w:marLeft w:val="0"/>
              <w:marRight w:val="0"/>
              <w:marTop w:val="0"/>
              <w:marBottom w:val="0"/>
              <w:divBdr>
                <w:top w:val="none" w:sz="0" w:space="0" w:color="auto"/>
                <w:left w:val="none" w:sz="0" w:space="0" w:color="auto"/>
                <w:bottom w:val="none" w:sz="0" w:space="0" w:color="auto"/>
                <w:right w:val="none" w:sz="0" w:space="0" w:color="auto"/>
              </w:divBdr>
              <w:divsChild>
                <w:div w:id="1542159794">
                  <w:marLeft w:val="0"/>
                  <w:marRight w:val="0"/>
                  <w:marTop w:val="0"/>
                  <w:marBottom w:val="0"/>
                  <w:divBdr>
                    <w:top w:val="none" w:sz="0" w:space="0" w:color="auto"/>
                    <w:left w:val="none" w:sz="0" w:space="0" w:color="auto"/>
                    <w:bottom w:val="none" w:sz="0" w:space="0" w:color="auto"/>
                    <w:right w:val="none" w:sz="0" w:space="0" w:color="auto"/>
                  </w:divBdr>
                  <w:divsChild>
                    <w:div w:id="2069331859">
                      <w:marLeft w:val="0"/>
                      <w:marRight w:val="0"/>
                      <w:marTop w:val="0"/>
                      <w:marBottom w:val="0"/>
                      <w:divBdr>
                        <w:top w:val="none" w:sz="0" w:space="0" w:color="auto"/>
                        <w:left w:val="none" w:sz="0" w:space="0" w:color="auto"/>
                        <w:bottom w:val="none" w:sz="0" w:space="0" w:color="auto"/>
                        <w:right w:val="none" w:sz="0" w:space="0" w:color="auto"/>
                      </w:divBdr>
                      <w:divsChild>
                        <w:div w:id="446433864">
                          <w:marLeft w:val="0"/>
                          <w:marRight w:val="0"/>
                          <w:marTop w:val="0"/>
                          <w:marBottom w:val="0"/>
                          <w:divBdr>
                            <w:top w:val="none" w:sz="0" w:space="0" w:color="auto"/>
                            <w:left w:val="none" w:sz="0" w:space="0" w:color="auto"/>
                            <w:bottom w:val="none" w:sz="0" w:space="0" w:color="auto"/>
                            <w:right w:val="none" w:sz="0" w:space="0" w:color="auto"/>
                          </w:divBdr>
                          <w:divsChild>
                            <w:div w:id="1536232019">
                              <w:marLeft w:val="0"/>
                              <w:marRight w:val="0"/>
                              <w:marTop w:val="0"/>
                              <w:marBottom w:val="0"/>
                              <w:divBdr>
                                <w:top w:val="none" w:sz="0" w:space="0" w:color="auto"/>
                                <w:left w:val="none" w:sz="0" w:space="0" w:color="auto"/>
                                <w:bottom w:val="none" w:sz="0" w:space="0" w:color="auto"/>
                                <w:right w:val="none" w:sz="0" w:space="0" w:color="auto"/>
                              </w:divBdr>
                              <w:divsChild>
                                <w:div w:id="109739526">
                                  <w:marLeft w:val="0"/>
                                  <w:marRight w:val="0"/>
                                  <w:marTop w:val="0"/>
                                  <w:marBottom w:val="0"/>
                                  <w:divBdr>
                                    <w:top w:val="none" w:sz="0" w:space="0" w:color="auto"/>
                                    <w:left w:val="none" w:sz="0" w:space="0" w:color="auto"/>
                                    <w:bottom w:val="none" w:sz="0" w:space="0" w:color="auto"/>
                                    <w:right w:val="none" w:sz="0" w:space="0" w:color="auto"/>
                                  </w:divBdr>
                                  <w:divsChild>
                                    <w:div w:id="898173442">
                                      <w:marLeft w:val="0"/>
                                      <w:marRight w:val="0"/>
                                      <w:marTop w:val="0"/>
                                      <w:marBottom w:val="0"/>
                                      <w:divBdr>
                                        <w:top w:val="none" w:sz="0" w:space="0" w:color="auto"/>
                                        <w:left w:val="none" w:sz="0" w:space="0" w:color="auto"/>
                                        <w:bottom w:val="none" w:sz="0" w:space="0" w:color="auto"/>
                                        <w:right w:val="none" w:sz="0" w:space="0" w:color="auto"/>
                                      </w:divBdr>
                                      <w:divsChild>
                                        <w:div w:id="296029963">
                                          <w:marLeft w:val="0"/>
                                          <w:marRight w:val="0"/>
                                          <w:marTop w:val="0"/>
                                          <w:marBottom w:val="0"/>
                                          <w:divBdr>
                                            <w:top w:val="none" w:sz="0" w:space="0" w:color="auto"/>
                                            <w:left w:val="none" w:sz="0" w:space="0" w:color="auto"/>
                                            <w:bottom w:val="none" w:sz="0" w:space="0" w:color="auto"/>
                                            <w:right w:val="none" w:sz="0" w:space="0" w:color="auto"/>
                                          </w:divBdr>
                                          <w:divsChild>
                                            <w:div w:id="57093681">
                                              <w:marLeft w:val="0"/>
                                              <w:marRight w:val="0"/>
                                              <w:marTop w:val="0"/>
                                              <w:marBottom w:val="0"/>
                                              <w:divBdr>
                                                <w:top w:val="none" w:sz="0" w:space="0" w:color="auto"/>
                                                <w:left w:val="none" w:sz="0" w:space="0" w:color="auto"/>
                                                <w:bottom w:val="none" w:sz="0" w:space="0" w:color="auto"/>
                                                <w:right w:val="none" w:sz="0" w:space="0" w:color="auto"/>
                                              </w:divBdr>
                                              <w:divsChild>
                                                <w:div w:id="1662924147">
                                                  <w:marLeft w:val="0"/>
                                                  <w:marRight w:val="0"/>
                                                  <w:marTop w:val="0"/>
                                                  <w:marBottom w:val="0"/>
                                                  <w:divBdr>
                                                    <w:top w:val="none" w:sz="0" w:space="0" w:color="auto"/>
                                                    <w:left w:val="none" w:sz="0" w:space="0" w:color="auto"/>
                                                    <w:bottom w:val="none" w:sz="0" w:space="0" w:color="auto"/>
                                                    <w:right w:val="none" w:sz="0" w:space="0" w:color="auto"/>
                                                  </w:divBdr>
                                                  <w:divsChild>
                                                    <w:div w:id="1108936357">
                                                      <w:marLeft w:val="0"/>
                                                      <w:marRight w:val="0"/>
                                                      <w:marTop w:val="0"/>
                                                      <w:marBottom w:val="0"/>
                                                      <w:divBdr>
                                                        <w:top w:val="none" w:sz="0" w:space="0" w:color="auto"/>
                                                        <w:left w:val="none" w:sz="0" w:space="0" w:color="auto"/>
                                                        <w:bottom w:val="none" w:sz="0" w:space="0" w:color="auto"/>
                                                        <w:right w:val="none" w:sz="0" w:space="0" w:color="auto"/>
                                                      </w:divBdr>
                                                      <w:divsChild>
                                                        <w:div w:id="2647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756179">
      <w:bodyDiv w:val="1"/>
      <w:marLeft w:val="0"/>
      <w:marRight w:val="0"/>
      <w:marTop w:val="0"/>
      <w:marBottom w:val="0"/>
      <w:divBdr>
        <w:top w:val="none" w:sz="0" w:space="0" w:color="auto"/>
        <w:left w:val="none" w:sz="0" w:space="0" w:color="auto"/>
        <w:bottom w:val="none" w:sz="0" w:space="0" w:color="auto"/>
        <w:right w:val="none" w:sz="0" w:space="0" w:color="auto"/>
      </w:divBdr>
    </w:div>
    <w:div w:id="816344299">
      <w:bodyDiv w:val="1"/>
      <w:marLeft w:val="0"/>
      <w:marRight w:val="0"/>
      <w:marTop w:val="0"/>
      <w:marBottom w:val="0"/>
      <w:divBdr>
        <w:top w:val="none" w:sz="0" w:space="0" w:color="auto"/>
        <w:left w:val="none" w:sz="0" w:space="0" w:color="auto"/>
        <w:bottom w:val="none" w:sz="0" w:space="0" w:color="auto"/>
        <w:right w:val="none" w:sz="0" w:space="0" w:color="auto"/>
      </w:divBdr>
    </w:div>
    <w:div w:id="917665356">
      <w:bodyDiv w:val="1"/>
      <w:marLeft w:val="0"/>
      <w:marRight w:val="0"/>
      <w:marTop w:val="0"/>
      <w:marBottom w:val="0"/>
      <w:divBdr>
        <w:top w:val="none" w:sz="0" w:space="0" w:color="auto"/>
        <w:left w:val="none" w:sz="0" w:space="0" w:color="auto"/>
        <w:bottom w:val="none" w:sz="0" w:space="0" w:color="auto"/>
        <w:right w:val="none" w:sz="0" w:space="0" w:color="auto"/>
      </w:divBdr>
    </w:div>
    <w:div w:id="1036269141">
      <w:bodyDiv w:val="1"/>
      <w:marLeft w:val="0"/>
      <w:marRight w:val="0"/>
      <w:marTop w:val="0"/>
      <w:marBottom w:val="0"/>
      <w:divBdr>
        <w:top w:val="none" w:sz="0" w:space="0" w:color="auto"/>
        <w:left w:val="none" w:sz="0" w:space="0" w:color="auto"/>
        <w:bottom w:val="none" w:sz="0" w:space="0" w:color="auto"/>
        <w:right w:val="none" w:sz="0" w:space="0" w:color="auto"/>
      </w:divBdr>
    </w:div>
    <w:div w:id="1042945555">
      <w:bodyDiv w:val="1"/>
      <w:marLeft w:val="0"/>
      <w:marRight w:val="0"/>
      <w:marTop w:val="0"/>
      <w:marBottom w:val="0"/>
      <w:divBdr>
        <w:top w:val="none" w:sz="0" w:space="0" w:color="auto"/>
        <w:left w:val="none" w:sz="0" w:space="0" w:color="auto"/>
        <w:bottom w:val="none" w:sz="0" w:space="0" w:color="auto"/>
        <w:right w:val="none" w:sz="0" w:space="0" w:color="auto"/>
      </w:divBdr>
    </w:div>
    <w:div w:id="1063411134">
      <w:bodyDiv w:val="1"/>
      <w:marLeft w:val="0"/>
      <w:marRight w:val="0"/>
      <w:marTop w:val="0"/>
      <w:marBottom w:val="0"/>
      <w:divBdr>
        <w:top w:val="none" w:sz="0" w:space="0" w:color="auto"/>
        <w:left w:val="none" w:sz="0" w:space="0" w:color="auto"/>
        <w:bottom w:val="none" w:sz="0" w:space="0" w:color="auto"/>
        <w:right w:val="none" w:sz="0" w:space="0" w:color="auto"/>
      </w:divBdr>
      <w:divsChild>
        <w:div w:id="1878005263">
          <w:marLeft w:val="0"/>
          <w:marRight w:val="0"/>
          <w:marTop w:val="0"/>
          <w:marBottom w:val="0"/>
          <w:divBdr>
            <w:top w:val="none" w:sz="0" w:space="0" w:color="auto"/>
            <w:left w:val="none" w:sz="0" w:space="0" w:color="auto"/>
            <w:bottom w:val="none" w:sz="0" w:space="0" w:color="auto"/>
            <w:right w:val="none" w:sz="0" w:space="0" w:color="auto"/>
          </w:divBdr>
          <w:divsChild>
            <w:div w:id="1679653476">
              <w:marLeft w:val="0"/>
              <w:marRight w:val="0"/>
              <w:marTop w:val="0"/>
              <w:marBottom w:val="0"/>
              <w:divBdr>
                <w:top w:val="none" w:sz="0" w:space="0" w:color="auto"/>
                <w:left w:val="none" w:sz="0" w:space="0" w:color="auto"/>
                <w:bottom w:val="none" w:sz="0" w:space="0" w:color="auto"/>
                <w:right w:val="none" w:sz="0" w:space="0" w:color="auto"/>
              </w:divBdr>
              <w:divsChild>
                <w:div w:id="648631271">
                  <w:marLeft w:val="0"/>
                  <w:marRight w:val="0"/>
                  <w:marTop w:val="0"/>
                  <w:marBottom w:val="0"/>
                  <w:divBdr>
                    <w:top w:val="none" w:sz="0" w:space="0" w:color="auto"/>
                    <w:left w:val="none" w:sz="0" w:space="0" w:color="auto"/>
                    <w:bottom w:val="none" w:sz="0" w:space="0" w:color="auto"/>
                    <w:right w:val="none" w:sz="0" w:space="0" w:color="auto"/>
                  </w:divBdr>
                  <w:divsChild>
                    <w:div w:id="709651978">
                      <w:marLeft w:val="0"/>
                      <w:marRight w:val="0"/>
                      <w:marTop w:val="0"/>
                      <w:marBottom w:val="0"/>
                      <w:divBdr>
                        <w:top w:val="none" w:sz="0" w:space="0" w:color="auto"/>
                        <w:left w:val="none" w:sz="0" w:space="0" w:color="auto"/>
                        <w:bottom w:val="none" w:sz="0" w:space="0" w:color="auto"/>
                        <w:right w:val="none" w:sz="0" w:space="0" w:color="auto"/>
                      </w:divBdr>
                      <w:divsChild>
                        <w:div w:id="506603090">
                          <w:marLeft w:val="0"/>
                          <w:marRight w:val="0"/>
                          <w:marTop w:val="0"/>
                          <w:marBottom w:val="0"/>
                          <w:divBdr>
                            <w:top w:val="none" w:sz="0" w:space="0" w:color="auto"/>
                            <w:left w:val="none" w:sz="0" w:space="0" w:color="auto"/>
                            <w:bottom w:val="none" w:sz="0" w:space="0" w:color="auto"/>
                            <w:right w:val="none" w:sz="0" w:space="0" w:color="auto"/>
                          </w:divBdr>
                          <w:divsChild>
                            <w:div w:id="2079210704">
                              <w:marLeft w:val="0"/>
                              <w:marRight w:val="0"/>
                              <w:marTop w:val="0"/>
                              <w:marBottom w:val="0"/>
                              <w:divBdr>
                                <w:top w:val="none" w:sz="0" w:space="0" w:color="auto"/>
                                <w:left w:val="none" w:sz="0" w:space="0" w:color="auto"/>
                                <w:bottom w:val="none" w:sz="0" w:space="0" w:color="auto"/>
                                <w:right w:val="none" w:sz="0" w:space="0" w:color="auto"/>
                              </w:divBdr>
                              <w:divsChild>
                                <w:div w:id="852301151">
                                  <w:marLeft w:val="0"/>
                                  <w:marRight w:val="0"/>
                                  <w:marTop w:val="0"/>
                                  <w:marBottom w:val="0"/>
                                  <w:divBdr>
                                    <w:top w:val="none" w:sz="0" w:space="0" w:color="auto"/>
                                    <w:left w:val="none" w:sz="0" w:space="0" w:color="auto"/>
                                    <w:bottom w:val="none" w:sz="0" w:space="0" w:color="auto"/>
                                    <w:right w:val="none" w:sz="0" w:space="0" w:color="auto"/>
                                  </w:divBdr>
                                  <w:divsChild>
                                    <w:div w:id="1985692775">
                                      <w:marLeft w:val="0"/>
                                      <w:marRight w:val="0"/>
                                      <w:marTop w:val="0"/>
                                      <w:marBottom w:val="0"/>
                                      <w:divBdr>
                                        <w:top w:val="none" w:sz="0" w:space="0" w:color="auto"/>
                                        <w:left w:val="none" w:sz="0" w:space="0" w:color="auto"/>
                                        <w:bottom w:val="none" w:sz="0" w:space="0" w:color="auto"/>
                                        <w:right w:val="none" w:sz="0" w:space="0" w:color="auto"/>
                                      </w:divBdr>
                                      <w:divsChild>
                                        <w:div w:id="1225484181">
                                          <w:marLeft w:val="0"/>
                                          <w:marRight w:val="0"/>
                                          <w:marTop w:val="0"/>
                                          <w:marBottom w:val="0"/>
                                          <w:divBdr>
                                            <w:top w:val="none" w:sz="0" w:space="0" w:color="auto"/>
                                            <w:left w:val="none" w:sz="0" w:space="0" w:color="auto"/>
                                            <w:bottom w:val="none" w:sz="0" w:space="0" w:color="auto"/>
                                            <w:right w:val="none" w:sz="0" w:space="0" w:color="auto"/>
                                          </w:divBdr>
                                          <w:divsChild>
                                            <w:div w:id="570239227">
                                              <w:marLeft w:val="0"/>
                                              <w:marRight w:val="0"/>
                                              <w:marTop w:val="0"/>
                                              <w:marBottom w:val="0"/>
                                              <w:divBdr>
                                                <w:top w:val="none" w:sz="0" w:space="0" w:color="auto"/>
                                                <w:left w:val="none" w:sz="0" w:space="0" w:color="auto"/>
                                                <w:bottom w:val="none" w:sz="0" w:space="0" w:color="auto"/>
                                                <w:right w:val="none" w:sz="0" w:space="0" w:color="auto"/>
                                              </w:divBdr>
                                              <w:divsChild>
                                                <w:div w:id="901596092">
                                                  <w:marLeft w:val="0"/>
                                                  <w:marRight w:val="0"/>
                                                  <w:marTop w:val="0"/>
                                                  <w:marBottom w:val="0"/>
                                                  <w:divBdr>
                                                    <w:top w:val="none" w:sz="0" w:space="0" w:color="auto"/>
                                                    <w:left w:val="none" w:sz="0" w:space="0" w:color="auto"/>
                                                    <w:bottom w:val="none" w:sz="0" w:space="0" w:color="auto"/>
                                                    <w:right w:val="none" w:sz="0" w:space="0" w:color="auto"/>
                                                  </w:divBdr>
                                                  <w:divsChild>
                                                    <w:div w:id="1543521893">
                                                      <w:marLeft w:val="0"/>
                                                      <w:marRight w:val="0"/>
                                                      <w:marTop w:val="0"/>
                                                      <w:marBottom w:val="0"/>
                                                      <w:divBdr>
                                                        <w:top w:val="none" w:sz="0" w:space="0" w:color="auto"/>
                                                        <w:left w:val="none" w:sz="0" w:space="0" w:color="auto"/>
                                                        <w:bottom w:val="none" w:sz="0" w:space="0" w:color="auto"/>
                                                        <w:right w:val="none" w:sz="0" w:space="0" w:color="auto"/>
                                                      </w:divBdr>
                                                      <w:divsChild>
                                                        <w:div w:id="2121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877768">
      <w:bodyDiv w:val="1"/>
      <w:marLeft w:val="0"/>
      <w:marRight w:val="0"/>
      <w:marTop w:val="0"/>
      <w:marBottom w:val="0"/>
      <w:divBdr>
        <w:top w:val="none" w:sz="0" w:space="0" w:color="auto"/>
        <w:left w:val="none" w:sz="0" w:space="0" w:color="auto"/>
        <w:bottom w:val="none" w:sz="0" w:space="0" w:color="auto"/>
        <w:right w:val="none" w:sz="0" w:space="0" w:color="auto"/>
      </w:divBdr>
    </w:div>
    <w:div w:id="1181358862">
      <w:bodyDiv w:val="1"/>
      <w:marLeft w:val="0"/>
      <w:marRight w:val="0"/>
      <w:marTop w:val="0"/>
      <w:marBottom w:val="0"/>
      <w:divBdr>
        <w:top w:val="none" w:sz="0" w:space="0" w:color="auto"/>
        <w:left w:val="none" w:sz="0" w:space="0" w:color="auto"/>
        <w:bottom w:val="none" w:sz="0" w:space="0" w:color="auto"/>
        <w:right w:val="none" w:sz="0" w:space="0" w:color="auto"/>
      </w:divBdr>
      <w:divsChild>
        <w:div w:id="769667699">
          <w:marLeft w:val="994"/>
          <w:marRight w:val="0"/>
          <w:marTop w:val="0"/>
          <w:marBottom w:val="0"/>
          <w:divBdr>
            <w:top w:val="none" w:sz="0" w:space="0" w:color="auto"/>
            <w:left w:val="none" w:sz="0" w:space="0" w:color="auto"/>
            <w:bottom w:val="none" w:sz="0" w:space="0" w:color="auto"/>
            <w:right w:val="none" w:sz="0" w:space="0" w:color="auto"/>
          </w:divBdr>
        </w:div>
        <w:div w:id="1633973600">
          <w:marLeft w:val="994"/>
          <w:marRight w:val="0"/>
          <w:marTop w:val="0"/>
          <w:marBottom w:val="0"/>
          <w:divBdr>
            <w:top w:val="none" w:sz="0" w:space="0" w:color="auto"/>
            <w:left w:val="none" w:sz="0" w:space="0" w:color="auto"/>
            <w:bottom w:val="none" w:sz="0" w:space="0" w:color="auto"/>
            <w:right w:val="none" w:sz="0" w:space="0" w:color="auto"/>
          </w:divBdr>
        </w:div>
        <w:div w:id="1642614360">
          <w:marLeft w:val="994"/>
          <w:marRight w:val="0"/>
          <w:marTop w:val="0"/>
          <w:marBottom w:val="0"/>
          <w:divBdr>
            <w:top w:val="none" w:sz="0" w:space="0" w:color="auto"/>
            <w:left w:val="none" w:sz="0" w:space="0" w:color="auto"/>
            <w:bottom w:val="none" w:sz="0" w:space="0" w:color="auto"/>
            <w:right w:val="none" w:sz="0" w:space="0" w:color="auto"/>
          </w:divBdr>
        </w:div>
        <w:div w:id="1999771452">
          <w:marLeft w:val="994"/>
          <w:marRight w:val="0"/>
          <w:marTop w:val="0"/>
          <w:marBottom w:val="0"/>
          <w:divBdr>
            <w:top w:val="none" w:sz="0" w:space="0" w:color="auto"/>
            <w:left w:val="none" w:sz="0" w:space="0" w:color="auto"/>
            <w:bottom w:val="none" w:sz="0" w:space="0" w:color="auto"/>
            <w:right w:val="none" w:sz="0" w:space="0" w:color="auto"/>
          </w:divBdr>
        </w:div>
        <w:div w:id="2042968821">
          <w:marLeft w:val="274"/>
          <w:marRight w:val="0"/>
          <w:marTop w:val="0"/>
          <w:marBottom w:val="0"/>
          <w:divBdr>
            <w:top w:val="none" w:sz="0" w:space="0" w:color="auto"/>
            <w:left w:val="none" w:sz="0" w:space="0" w:color="auto"/>
            <w:bottom w:val="none" w:sz="0" w:space="0" w:color="auto"/>
            <w:right w:val="none" w:sz="0" w:space="0" w:color="auto"/>
          </w:divBdr>
        </w:div>
        <w:div w:id="2057657636">
          <w:marLeft w:val="994"/>
          <w:marRight w:val="0"/>
          <w:marTop w:val="0"/>
          <w:marBottom w:val="0"/>
          <w:divBdr>
            <w:top w:val="none" w:sz="0" w:space="0" w:color="auto"/>
            <w:left w:val="none" w:sz="0" w:space="0" w:color="auto"/>
            <w:bottom w:val="none" w:sz="0" w:space="0" w:color="auto"/>
            <w:right w:val="none" w:sz="0" w:space="0" w:color="auto"/>
          </w:divBdr>
        </w:div>
      </w:divsChild>
    </w:div>
    <w:div w:id="1243485998">
      <w:bodyDiv w:val="1"/>
      <w:marLeft w:val="0"/>
      <w:marRight w:val="0"/>
      <w:marTop w:val="0"/>
      <w:marBottom w:val="0"/>
      <w:divBdr>
        <w:top w:val="none" w:sz="0" w:space="0" w:color="auto"/>
        <w:left w:val="none" w:sz="0" w:space="0" w:color="auto"/>
        <w:bottom w:val="none" w:sz="0" w:space="0" w:color="auto"/>
        <w:right w:val="none" w:sz="0" w:space="0" w:color="auto"/>
      </w:divBdr>
    </w:div>
    <w:div w:id="1253666672">
      <w:bodyDiv w:val="1"/>
      <w:marLeft w:val="0"/>
      <w:marRight w:val="0"/>
      <w:marTop w:val="0"/>
      <w:marBottom w:val="0"/>
      <w:divBdr>
        <w:top w:val="none" w:sz="0" w:space="0" w:color="auto"/>
        <w:left w:val="none" w:sz="0" w:space="0" w:color="auto"/>
        <w:bottom w:val="none" w:sz="0" w:space="0" w:color="auto"/>
        <w:right w:val="none" w:sz="0" w:space="0" w:color="auto"/>
      </w:divBdr>
    </w:div>
    <w:div w:id="1273706614">
      <w:bodyDiv w:val="1"/>
      <w:marLeft w:val="0"/>
      <w:marRight w:val="0"/>
      <w:marTop w:val="0"/>
      <w:marBottom w:val="0"/>
      <w:divBdr>
        <w:top w:val="none" w:sz="0" w:space="0" w:color="auto"/>
        <w:left w:val="none" w:sz="0" w:space="0" w:color="auto"/>
        <w:bottom w:val="none" w:sz="0" w:space="0" w:color="auto"/>
        <w:right w:val="none" w:sz="0" w:space="0" w:color="auto"/>
      </w:divBdr>
    </w:div>
    <w:div w:id="1370640471">
      <w:bodyDiv w:val="1"/>
      <w:marLeft w:val="0"/>
      <w:marRight w:val="0"/>
      <w:marTop w:val="0"/>
      <w:marBottom w:val="0"/>
      <w:divBdr>
        <w:top w:val="none" w:sz="0" w:space="0" w:color="auto"/>
        <w:left w:val="none" w:sz="0" w:space="0" w:color="auto"/>
        <w:bottom w:val="none" w:sz="0" w:space="0" w:color="auto"/>
        <w:right w:val="none" w:sz="0" w:space="0" w:color="auto"/>
      </w:divBdr>
    </w:div>
    <w:div w:id="1372149427">
      <w:bodyDiv w:val="1"/>
      <w:marLeft w:val="0"/>
      <w:marRight w:val="0"/>
      <w:marTop w:val="0"/>
      <w:marBottom w:val="0"/>
      <w:divBdr>
        <w:top w:val="none" w:sz="0" w:space="0" w:color="auto"/>
        <w:left w:val="none" w:sz="0" w:space="0" w:color="auto"/>
        <w:bottom w:val="none" w:sz="0" w:space="0" w:color="auto"/>
        <w:right w:val="none" w:sz="0" w:space="0" w:color="auto"/>
      </w:divBdr>
    </w:div>
    <w:div w:id="1501038841">
      <w:bodyDiv w:val="1"/>
      <w:marLeft w:val="0"/>
      <w:marRight w:val="0"/>
      <w:marTop w:val="0"/>
      <w:marBottom w:val="0"/>
      <w:divBdr>
        <w:top w:val="none" w:sz="0" w:space="0" w:color="auto"/>
        <w:left w:val="none" w:sz="0" w:space="0" w:color="auto"/>
        <w:bottom w:val="none" w:sz="0" w:space="0" w:color="auto"/>
        <w:right w:val="none" w:sz="0" w:space="0" w:color="auto"/>
      </w:divBdr>
    </w:div>
    <w:div w:id="1524174530">
      <w:bodyDiv w:val="1"/>
      <w:marLeft w:val="0"/>
      <w:marRight w:val="0"/>
      <w:marTop w:val="0"/>
      <w:marBottom w:val="0"/>
      <w:divBdr>
        <w:top w:val="none" w:sz="0" w:space="0" w:color="auto"/>
        <w:left w:val="none" w:sz="0" w:space="0" w:color="auto"/>
        <w:bottom w:val="none" w:sz="0" w:space="0" w:color="auto"/>
        <w:right w:val="none" w:sz="0" w:space="0" w:color="auto"/>
      </w:divBdr>
    </w:div>
    <w:div w:id="1601058505">
      <w:bodyDiv w:val="1"/>
      <w:marLeft w:val="0"/>
      <w:marRight w:val="0"/>
      <w:marTop w:val="0"/>
      <w:marBottom w:val="0"/>
      <w:divBdr>
        <w:top w:val="none" w:sz="0" w:space="0" w:color="auto"/>
        <w:left w:val="none" w:sz="0" w:space="0" w:color="auto"/>
        <w:bottom w:val="none" w:sz="0" w:space="0" w:color="auto"/>
        <w:right w:val="none" w:sz="0" w:space="0" w:color="auto"/>
      </w:divBdr>
    </w:div>
    <w:div w:id="1762142779">
      <w:bodyDiv w:val="1"/>
      <w:marLeft w:val="0"/>
      <w:marRight w:val="0"/>
      <w:marTop w:val="0"/>
      <w:marBottom w:val="0"/>
      <w:divBdr>
        <w:top w:val="none" w:sz="0" w:space="0" w:color="auto"/>
        <w:left w:val="none" w:sz="0" w:space="0" w:color="auto"/>
        <w:bottom w:val="none" w:sz="0" w:space="0" w:color="auto"/>
        <w:right w:val="none" w:sz="0" w:space="0" w:color="auto"/>
      </w:divBdr>
      <w:divsChild>
        <w:div w:id="2089229630">
          <w:marLeft w:val="0"/>
          <w:marRight w:val="0"/>
          <w:marTop w:val="0"/>
          <w:marBottom w:val="0"/>
          <w:divBdr>
            <w:top w:val="none" w:sz="0" w:space="0" w:color="auto"/>
            <w:left w:val="none" w:sz="0" w:space="0" w:color="auto"/>
            <w:bottom w:val="none" w:sz="0" w:space="0" w:color="auto"/>
            <w:right w:val="none" w:sz="0" w:space="0" w:color="auto"/>
          </w:divBdr>
        </w:div>
        <w:div w:id="1763722182">
          <w:marLeft w:val="0"/>
          <w:marRight w:val="0"/>
          <w:marTop w:val="0"/>
          <w:marBottom w:val="0"/>
          <w:divBdr>
            <w:top w:val="none" w:sz="0" w:space="0" w:color="auto"/>
            <w:left w:val="none" w:sz="0" w:space="0" w:color="auto"/>
            <w:bottom w:val="none" w:sz="0" w:space="0" w:color="auto"/>
            <w:right w:val="none" w:sz="0" w:space="0" w:color="auto"/>
          </w:divBdr>
        </w:div>
        <w:div w:id="729771214">
          <w:marLeft w:val="0"/>
          <w:marRight w:val="0"/>
          <w:marTop w:val="0"/>
          <w:marBottom w:val="0"/>
          <w:divBdr>
            <w:top w:val="none" w:sz="0" w:space="0" w:color="auto"/>
            <w:left w:val="none" w:sz="0" w:space="0" w:color="auto"/>
            <w:bottom w:val="none" w:sz="0" w:space="0" w:color="auto"/>
            <w:right w:val="none" w:sz="0" w:space="0" w:color="auto"/>
          </w:divBdr>
        </w:div>
        <w:div w:id="905144303">
          <w:marLeft w:val="0"/>
          <w:marRight w:val="0"/>
          <w:marTop w:val="0"/>
          <w:marBottom w:val="0"/>
          <w:divBdr>
            <w:top w:val="none" w:sz="0" w:space="0" w:color="auto"/>
            <w:left w:val="none" w:sz="0" w:space="0" w:color="auto"/>
            <w:bottom w:val="none" w:sz="0" w:space="0" w:color="auto"/>
            <w:right w:val="none" w:sz="0" w:space="0" w:color="auto"/>
          </w:divBdr>
        </w:div>
        <w:div w:id="1769738263">
          <w:marLeft w:val="0"/>
          <w:marRight w:val="0"/>
          <w:marTop w:val="0"/>
          <w:marBottom w:val="0"/>
          <w:divBdr>
            <w:top w:val="none" w:sz="0" w:space="0" w:color="auto"/>
            <w:left w:val="none" w:sz="0" w:space="0" w:color="auto"/>
            <w:bottom w:val="none" w:sz="0" w:space="0" w:color="auto"/>
            <w:right w:val="none" w:sz="0" w:space="0" w:color="auto"/>
          </w:divBdr>
        </w:div>
        <w:div w:id="1821772670">
          <w:marLeft w:val="0"/>
          <w:marRight w:val="0"/>
          <w:marTop w:val="0"/>
          <w:marBottom w:val="0"/>
          <w:divBdr>
            <w:top w:val="none" w:sz="0" w:space="0" w:color="auto"/>
            <w:left w:val="none" w:sz="0" w:space="0" w:color="auto"/>
            <w:bottom w:val="none" w:sz="0" w:space="0" w:color="auto"/>
            <w:right w:val="none" w:sz="0" w:space="0" w:color="auto"/>
          </w:divBdr>
          <w:divsChild>
            <w:div w:id="1132938207">
              <w:marLeft w:val="-75"/>
              <w:marRight w:val="0"/>
              <w:marTop w:val="30"/>
              <w:marBottom w:val="30"/>
              <w:divBdr>
                <w:top w:val="none" w:sz="0" w:space="0" w:color="auto"/>
                <w:left w:val="none" w:sz="0" w:space="0" w:color="auto"/>
                <w:bottom w:val="none" w:sz="0" w:space="0" w:color="auto"/>
                <w:right w:val="none" w:sz="0" w:space="0" w:color="auto"/>
              </w:divBdr>
              <w:divsChild>
                <w:div w:id="1543400989">
                  <w:marLeft w:val="0"/>
                  <w:marRight w:val="0"/>
                  <w:marTop w:val="0"/>
                  <w:marBottom w:val="0"/>
                  <w:divBdr>
                    <w:top w:val="none" w:sz="0" w:space="0" w:color="auto"/>
                    <w:left w:val="none" w:sz="0" w:space="0" w:color="auto"/>
                    <w:bottom w:val="none" w:sz="0" w:space="0" w:color="auto"/>
                    <w:right w:val="none" w:sz="0" w:space="0" w:color="auto"/>
                  </w:divBdr>
                  <w:divsChild>
                    <w:div w:id="1208027599">
                      <w:marLeft w:val="0"/>
                      <w:marRight w:val="0"/>
                      <w:marTop w:val="0"/>
                      <w:marBottom w:val="0"/>
                      <w:divBdr>
                        <w:top w:val="none" w:sz="0" w:space="0" w:color="auto"/>
                        <w:left w:val="none" w:sz="0" w:space="0" w:color="auto"/>
                        <w:bottom w:val="none" w:sz="0" w:space="0" w:color="auto"/>
                        <w:right w:val="none" w:sz="0" w:space="0" w:color="auto"/>
                      </w:divBdr>
                    </w:div>
                  </w:divsChild>
                </w:div>
                <w:div w:id="320930521">
                  <w:marLeft w:val="0"/>
                  <w:marRight w:val="0"/>
                  <w:marTop w:val="0"/>
                  <w:marBottom w:val="0"/>
                  <w:divBdr>
                    <w:top w:val="none" w:sz="0" w:space="0" w:color="auto"/>
                    <w:left w:val="none" w:sz="0" w:space="0" w:color="auto"/>
                    <w:bottom w:val="none" w:sz="0" w:space="0" w:color="auto"/>
                    <w:right w:val="none" w:sz="0" w:space="0" w:color="auto"/>
                  </w:divBdr>
                  <w:divsChild>
                    <w:div w:id="2103911033">
                      <w:marLeft w:val="0"/>
                      <w:marRight w:val="0"/>
                      <w:marTop w:val="0"/>
                      <w:marBottom w:val="0"/>
                      <w:divBdr>
                        <w:top w:val="none" w:sz="0" w:space="0" w:color="auto"/>
                        <w:left w:val="none" w:sz="0" w:space="0" w:color="auto"/>
                        <w:bottom w:val="none" w:sz="0" w:space="0" w:color="auto"/>
                        <w:right w:val="none" w:sz="0" w:space="0" w:color="auto"/>
                      </w:divBdr>
                    </w:div>
                  </w:divsChild>
                </w:div>
                <w:div w:id="1516335681">
                  <w:marLeft w:val="0"/>
                  <w:marRight w:val="0"/>
                  <w:marTop w:val="0"/>
                  <w:marBottom w:val="0"/>
                  <w:divBdr>
                    <w:top w:val="none" w:sz="0" w:space="0" w:color="auto"/>
                    <w:left w:val="none" w:sz="0" w:space="0" w:color="auto"/>
                    <w:bottom w:val="none" w:sz="0" w:space="0" w:color="auto"/>
                    <w:right w:val="none" w:sz="0" w:space="0" w:color="auto"/>
                  </w:divBdr>
                  <w:divsChild>
                    <w:div w:id="1417824643">
                      <w:marLeft w:val="0"/>
                      <w:marRight w:val="0"/>
                      <w:marTop w:val="0"/>
                      <w:marBottom w:val="0"/>
                      <w:divBdr>
                        <w:top w:val="none" w:sz="0" w:space="0" w:color="auto"/>
                        <w:left w:val="none" w:sz="0" w:space="0" w:color="auto"/>
                        <w:bottom w:val="none" w:sz="0" w:space="0" w:color="auto"/>
                        <w:right w:val="none" w:sz="0" w:space="0" w:color="auto"/>
                      </w:divBdr>
                    </w:div>
                    <w:div w:id="1234658989">
                      <w:marLeft w:val="0"/>
                      <w:marRight w:val="0"/>
                      <w:marTop w:val="0"/>
                      <w:marBottom w:val="0"/>
                      <w:divBdr>
                        <w:top w:val="none" w:sz="0" w:space="0" w:color="auto"/>
                        <w:left w:val="none" w:sz="0" w:space="0" w:color="auto"/>
                        <w:bottom w:val="none" w:sz="0" w:space="0" w:color="auto"/>
                        <w:right w:val="none" w:sz="0" w:space="0" w:color="auto"/>
                      </w:divBdr>
                    </w:div>
                    <w:div w:id="777992258">
                      <w:marLeft w:val="0"/>
                      <w:marRight w:val="0"/>
                      <w:marTop w:val="0"/>
                      <w:marBottom w:val="0"/>
                      <w:divBdr>
                        <w:top w:val="none" w:sz="0" w:space="0" w:color="auto"/>
                        <w:left w:val="none" w:sz="0" w:space="0" w:color="auto"/>
                        <w:bottom w:val="none" w:sz="0" w:space="0" w:color="auto"/>
                        <w:right w:val="none" w:sz="0" w:space="0" w:color="auto"/>
                      </w:divBdr>
                    </w:div>
                    <w:div w:id="1592812419">
                      <w:marLeft w:val="0"/>
                      <w:marRight w:val="0"/>
                      <w:marTop w:val="0"/>
                      <w:marBottom w:val="0"/>
                      <w:divBdr>
                        <w:top w:val="none" w:sz="0" w:space="0" w:color="auto"/>
                        <w:left w:val="none" w:sz="0" w:space="0" w:color="auto"/>
                        <w:bottom w:val="none" w:sz="0" w:space="0" w:color="auto"/>
                        <w:right w:val="none" w:sz="0" w:space="0" w:color="auto"/>
                      </w:divBdr>
                    </w:div>
                    <w:div w:id="963190891">
                      <w:marLeft w:val="0"/>
                      <w:marRight w:val="0"/>
                      <w:marTop w:val="0"/>
                      <w:marBottom w:val="0"/>
                      <w:divBdr>
                        <w:top w:val="none" w:sz="0" w:space="0" w:color="auto"/>
                        <w:left w:val="none" w:sz="0" w:space="0" w:color="auto"/>
                        <w:bottom w:val="none" w:sz="0" w:space="0" w:color="auto"/>
                        <w:right w:val="none" w:sz="0" w:space="0" w:color="auto"/>
                      </w:divBdr>
                    </w:div>
                    <w:div w:id="999847936">
                      <w:marLeft w:val="0"/>
                      <w:marRight w:val="0"/>
                      <w:marTop w:val="0"/>
                      <w:marBottom w:val="0"/>
                      <w:divBdr>
                        <w:top w:val="none" w:sz="0" w:space="0" w:color="auto"/>
                        <w:left w:val="none" w:sz="0" w:space="0" w:color="auto"/>
                        <w:bottom w:val="none" w:sz="0" w:space="0" w:color="auto"/>
                        <w:right w:val="none" w:sz="0" w:space="0" w:color="auto"/>
                      </w:divBdr>
                    </w:div>
                    <w:div w:id="1382440058">
                      <w:marLeft w:val="0"/>
                      <w:marRight w:val="0"/>
                      <w:marTop w:val="0"/>
                      <w:marBottom w:val="0"/>
                      <w:divBdr>
                        <w:top w:val="none" w:sz="0" w:space="0" w:color="auto"/>
                        <w:left w:val="none" w:sz="0" w:space="0" w:color="auto"/>
                        <w:bottom w:val="none" w:sz="0" w:space="0" w:color="auto"/>
                        <w:right w:val="none" w:sz="0" w:space="0" w:color="auto"/>
                      </w:divBdr>
                    </w:div>
                    <w:div w:id="1517689730">
                      <w:marLeft w:val="0"/>
                      <w:marRight w:val="0"/>
                      <w:marTop w:val="0"/>
                      <w:marBottom w:val="0"/>
                      <w:divBdr>
                        <w:top w:val="none" w:sz="0" w:space="0" w:color="auto"/>
                        <w:left w:val="none" w:sz="0" w:space="0" w:color="auto"/>
                        <w:bottom w:val="none" w:sz="0" w:space="0" w:color="auto"/>
                        <w:right w:val="none" w:sz="0" w:space="0" w:color="auto"/>
                      </w:divBdr>
                    </w:div>
                  </w:divsChild>
                </w:div>
                <w:div w:id="1896119437">
                  <w:marLeft w:val="0"/>
                  <w:marRight w:val="0"/>
                  <w:marTop w:val="0"/>
                  <w:marBottom w:val="0"/>
                  <w:divBdr>
                    <w:top w:val="none" w:sz="0" w:space="0" w:color="auto"/>
                    <w:left w:val="none" w:sz="0" w:space="0" w:color="auto"/>
                    <w:bottom w:val="none" w:sz="0" w:space="0" w:color="auto"/>
                    <w:right w:val="none" w:sz="0" w:space="0" w:color="auto"/>
                  </w:divBdr>
                  <w:divsChild>
                    <w:div w:id="1283538078">
                      <w:marLeft w:val="0"/>
                      <w:marRight w:val="0"/>
                      <w:marTop w:val="0"/>
                      <w:marBottom w:val="0"/>
                      <w:divBdr>
                        <w:top w:val="none" w:sz="0" w:space="0" w:color="auto"/>
                        <w:left w:val="none" w:sz="0" w:space="0" w:color="auto"/>
                        <w:bottom w:val="none" w:sz="0" w:space="0" w:color="auto"/>
                        <w:right w:val="none" w:sz="0" w:space="0" w:color="auto"/>
                      </w:divBdr>
                    </w:div>
                    <w:div w:id="191917716">
                      <w:marLeft w:val="0"/>
                      <w:marRight w:val="0"/>
                      <w:marTop w:val="0"/>
                      <w:marBottom w:val="0"/>
                      <w:divBdr>
                        <w:top w:val="none" w:sz="0" w:space="0" w:color="auto"/>
                        <w:left w:val="none" w:sz="0" w:space="0" w:color="auto"/>
                        <w:bottom w:val="none" w:sz="0" w:space="0" w:color="auto"/>
                        <w:right w:val="none" w:sz="0" w:space="0" w:color="auto"/>
                      </w:divBdr>
                    </w:div>
                    <w:div w:id="1424760424">
                      <w:marLeft w:val="0"/>
                      <w:marRight w:val="0"/>
                      <w:marTop w:val="0"/>
                      <w:marBottom w:val="0"/>
                      <w:divBdr>
                        <w:top w:val="none" w:sz="0" w:space="0" w:color="auto"/>
                        <w:left w:val="none" w:sz="0" w:space="0" w:color="auto"/>
                        <w:bottom w:val="none" w:sz="0" w:space="0" w:color="auto"/>
                        <w:right w:val="none" w:sz="0" w:space="0" w:color="auto"/>
                      </w:divBdr>
                    </w:div>
                    <w:div w:id="426654106">
                      <w:marLeft w:val="0"/>
                      <w:marRight w:val="0"/>
                      <w:marTop w:val="0"/>
                      <w:marBottom w:val="0"/>
                      <w:divBdr>
                        <w:top w:val="none" w:sz="0" w:space="0" w:color="auto"/>
                        <w:left w:val="none" w:sz="0" w:space="0" w:color="auto"/>
                        <w:bottom w:val="none" w:sz="0" w:space="0" w:color="auto"/>
                        <w:right w:val="none" w:sz="0" w:space="0" w:color="auto"/>
                      </w:divBdr>
                    </w:div>
                  </w:divsChild>
                </w:div>
                <w:div w:id="693075433">
                  <w:marLeft w:val="0"/>
                  <w:marRight w:val="0"/>
                  <w:marTop w:val="0"/>
                  <w:marBottom w:val="0"/>
                  <w:divBdr>
                    <w:top w:val="none" w:sz="0" w:space="0" w:color="auto"/>
                    <w:left w:val="none" w:sz="0" w:space="0" w:color="auto"/>
                    <w:bottom w:val="none" w:sz="0" w:space="0" w:color="auto"/>
                    <w:right w:val="none" w:sz="0" w:space="0" w:color="auto"/>
                  </w:divBdr>
                  <w:divsChild>
                    <w:div w:id="1269702577">
                      <w:marLeft w:val="0"/>
                      <w:marRight w:val="0"/>
                      <w:marTop w:val="0"/>
                      <w:marBottom w:val="0"/>
                      <w:divBdr>
                        <w:top w:val="none" w:sz="0" w:space="0" w:color="auto"/>
                        <w:left w:val="none" w:sz="0" w:space="0" w:color="auto"/>
                        <w:bottom w:val="none" w:sz="0" w:space="0" w:color="auto"/>
                        <w:right w:val="none" w:sz="0" w:space="0" w:color="auto"/>
                      </w:divBdr>
                    </w:div>
                    <w:div w:id="1539663180">
                      <w:marLeft w:val="0"/>
                      <w:marRight w:val="0"/>
                      <w:marTop w:val="0"/>
                      <w:marBottom w:val="0"/>
                      <w:divBdr>
                        <w:top w:val="none" w:sz="0" w:space="0" w:color="auto"/>
                        <w:left w:val="none" w:sz="0" w:space="0" w:color="auto"/>
                        <w:bottom w:val="none" w:sz="0" w:space="0" w:color="auto"/>
                        <w:right w:val="none" w:sz="0" w:space="0" w:color="auto"/>
                      </w:divBdr>
                    </w:div>
                  </w:divsChild>
                </w:div>
                <w:div w:id="950625357">
                  <w:marLeft w:val="0"/>
                  <w:marRight w:val="0"/>
                  <w:marTop w:val="0"/>
                  <w:marBottom w:val="0"/>
                  <w:divBdr>
                    <w:top w:val="none" w:sz="0" w:space="0" w:color="auto"/>
                    <w:left w:val="none" w:sz="0" w:space="0" w:color="auto"/>
                    <w:bottom w:val="none" w:sz="0" w:space="0" w:color="auto"/>
                    <w:right w:val="none" w:sz="0" w:space="0" w:color="auto"/>
                  </w:divBdr>
                  <w:divsChild>
                    <w:div w:id="156505523">
                      <w:marLeft w:val="0"/>
                      <w:marRight w:val="0"/>
                      <w:marTop w:val="0"/>
                      <w:marBottom w:val="0"/>
                      <w:divBdr>
                        <w:top w:val="none" w:sz="0" w:space="0" w:color="auto"/>
                        <w:left w:val="none" w:sz="0" w:space="0" w:color="auto"/>
                        <w:bottom w:val="none" w:sz="0" w:space="0" w:color="auto"/>
                        <w:right w:val="none" w:sz="0" w:space="0" w:color="auto"/>
                      </w:divBdr>
                    </w:div>
                    <w:div w:id="2079742185">
                      <w:marLeft w:val="0"/>
                      <w:marRight w:val="0"/>
                      <w:marTop w:val="0"/>
                      <w:marBottom w:val="0"/>
                      <w:divBdr>
                        <w:top w:val="none" w:sz="0" w:space="0" w:color="auto"/>
                        <w:left w:val="none" w:sz="0" w:space="0" w:color="auto"/>
                        <w:bottom w:val="none" w:sz="0" w:space="0" w:color="auto"/>
                        <w:right w:val="none" w:sz="0" w:space="0" w:color="auto"/>
                      </w:divBdr>
                    </w:div>
                    <w:div w:id="2129473494">
                      <w:marLeft w:val="0"/>
                      <w:marRight w:val="0"/>
                      <w:marTop w:val="0"/>
                      <w:marBottom w:val="0"/>
                      <w:divBdr>
                        <w:top w:val="none" w:sz="0" w:space="0" w:color="auto"/>
                        <w:left w:val="none" w:sz="0" w:space="0" w:color="auto"/>
                        <w:bottom w:val="none" w:sz="0" w:space="0" w:color="auto"/>
                        <w:right w:val="none" w:sz="0" w:space="0" w:color="auto"/>
                      </w:divBdr>
                    </w:div>
                  </w:divsChild>
                </w:div>
                <w:div w:id="1435596437">
                  <w:marLeft w:val="0"/>
                  <w:marRight w:val="0"/>
                  <w:marTop w:val="0"/>
                  <w:marBottom w:val="0"/>
                  <w:divBdr>
                    <w:top w:val="none" w:sz="0" w:space="0" w:color="auto"/>
                    <w:left w:val="none" w:sz="0" w:space="0" w:color="auto"/>
                    <w:bottom w:val="none" w:sz="0" w:space="0" w:color="auto"/>
                    <w:right w:val="none" w:sz="0" w:space="0" w:color="auto"/>
                  </w:divBdr>
                  <w:divsChild>
                    <w:div w:id="1989898078">
                      <w:marLeft w:val="0"/>
                      <w:marRight w:val="0"/>
                      <w:marTop w:val="0"/>
                      <w:marBottom w:val="0"/>
                      <w:divBdr>
                        <w:top w:val="none" w:sz="0" w:space="0" w:color="auto"/>
                        <w:left w:val="none" w:sz="0" w:space="0" w:color="auto"/>
                        <w:bottom w:val="none" w:sz="0" w:space="0" w:color="auto"/>
                        <w:right w:val="none" w:sz="0" w:space="0" w:color="auto"/>
                      </w:divBdr>
                    </w:div>
                    <w:div w:id="105345731">
                      <w:marLeft w:val="0"/>
                      <w:marRight w:val="0"/>
                      <w:marTop w:val="0"/>
                      <w:marBottom w:val="0"/>
                      <w:divBdr>
                        <w:top w:val="none" w:sz="0" w:space="0" w:color="auto"/>
                        <w:left w:val="none" w:sz="0" w:space="0" w:color="auto"/>
                        <w:bottom w:val="none" w:sz="0" w:space="0" w:color="auto"/>
                        <w:right w:val="none" w:sz="0" w:space="0" w:color="auto"/>
                      </w:divBdr>
                    </w:div>
                  </w:divsChild>
                </w:div>
                <w:div w:id="1349720474">
                  <w:marLeft w:val="0"/>
                  <w:marRight w:val="0"/>
                  <w:marTop w:val="0"/>
                  <w:marBottom w:val="0"/>
                  <w:divBdr>
                    <w:top w:val="none" w:sz="0" w:space="0" w:color="auto"/>
                    <w:left w:val="none" w:sz="0" w:space="0" w:color="auto"/>
                    <w:bottom w:val="none" w:sz="0" w:space="0" w:color="auto"/>
                    <w:right w:val="none" w:sz="0" w:space="0" w:color="auto"/>
                  </w:divBdr>
                  <w:divsChild>
                    <w:div w:id="1364284660">
                      <w:marLeft w:val="0"/>
                      <w:marRight w:val="0"/>
                      <w:marTop w:val="0"/>
                      <w:marBottom w:val="0"/>
                      <w:divBdr>
                        <w:top w:val="none" w:sz="0" w:space="0" w:color="auto"/>
                        <w:left w:val="none" w:sz="0" w:space="0" w:color="auto"/>
                        <w:bottom w:val="none" w:sz="0" w:space="0" w:color="auto"/>
                        <w:right w:val="none" w:sz="0" w:space="0" w:color="auto"/>
                      </w:divBdr>
                    </w:div>
                    <w:div w:id="827983881">
                      <w:marLeft w:val="0"/>
                      <w:marRight w:val="0"/>
                      <w:marTop w:val="0"/>
                      <w:marBottom w:val="0"/>
                      <w:divBdr>
                        <w:top w:val="none" w:sz="0" w:space="0" w:color="auto"/>
                        <w:left w:val="none" w:sz="0" w:space="0" w:color="auto"/>
                        <w:bottom w:val="none" w:sz="0" w:space="0" w:color="auto"/>
                        <w:right w:val="none" w:sz="0" w:space="0" w:color="auto"/>
                      </w:divBdr>
                    </w:div>
                    <w:div w:id="971061384">
                      <w:marLeft w:val="0"/>
                      <w:marRight w:val="0"/>
                      <w:marTop w:val="0"/>
                      <w:marBottom w:val="0"/>
                      <w:divBdr>
                        <w:top w:val="none" w:sz="0" w:space="0" w:color="auto"/>
                        <w:left w:val="none" w:sz="0" w:space="0" w:color="auto"/>
                        <w:bottom w:val="none" w:sz="0" w:space="0" w:color="auto"/>
                        <w:right w:val="none" w:sz="0" w:space="0" w:color="auto"/>
                      </w:divBdr>
                    </w:div>
                  </w:divsChild>
                </w:div>
                <w:div w:id="1581409307">
                  <w:marLeft w:val="0"/>
                  <w:marRight w:val="0"/>
                  <w:marTop w:val="0"/>
                  <w:marBottom w:val="0"/>
                  <w:divBdr>
                    <w:top w:val="none" w:sz="0" w:space="0" w:color="auto"/>
                    <w:left w:val="none" w:sz="0" w:space="0" w:color="auto"/>
                    <w:bottom w:val="none" w:sz="0" w:space="0" w:color="auto"/>
                    <w:right w:val="none" w:sz="0" w:space="0" w:color="auto"/>
                  </w:divBdr>
                  <w:divsChild>
                    <w:div w:id="706218631">
                      <w:marLeft w:val="0"/>
                      <w:marRight w:val="0"/>
                      <w:marTop w:val="0"/>
                      <w:marBottom w:val="0"/>
                      <w:divBdr>
                        <w:top w:val="none" w:sz="0" w:space="0" w:color="auto"/>
                        <w:left w:val="none" w:sz="0" w:space="0" w:color="auto"/>
                        <w:bottom w:val="none" w:sz="0" w:space="0" w:color="auto"/>
                        <w:right w:val="none" w:sz="0" w:space="0" w:color="auto"/>
                      </w:divBdr>
                    </w:div>
                    <w:div w:id="1775977478">
                      <w:marLeft w:val="0"/>
                      <w:marRight w:val="0"/>
                      <w:marTop w:val="0"/>
                      <w:marBottom w:val="0"/>
                      <w:divBdr>
                        <w:top w:val="none" w:sz="0" w:space="0" w:color="auto"/>
                        <w:left w:val="none" w:sz="0" w:space="0" w:color="auto"/>
                        <w:bottom w:val="none" w:sz="0" w:space="0" w:color="auto"/>
                        <w:right w:val="none" w:sz="0" w:space="0" w:color="auto"/>
                      </w:divBdr>
                    </w:div>
                    <w:div w:id="1036276858">
                      <w:marLeft w:val="0"/>
                      <w:marRight w:val="0"/>
                      <w:marTop w:val="0"/>
                      <w:marBottom w:val="0"/>
                      <w:divBdr>
                        <w:top w:val="none" w:sz="0" w:space="0" w:color="auto"/>
                        <w:left w:val="none" w:sz="0" w:space="0" w:color="auto"/>
                        <w:bottom w:val="none" w:sz="0" w:space="0" w:color="auto"/>
                        <w:right w:val="none" w:sz="0" w:space="0" w:color="auto"/>
                      </w:divBdr>
                    </w:div>
                    <w:div w:id="2038962412">
                      <w:marLeft w:val="0"/>
                      <w:marRight w:val="0"/>
                      <w:marTop w:val="0"/>
                      <w:marBottom w:val="0"/>
                      <w:divBdr>
                        <w:top w:val="none" w:sz="0" w:space="0" w:color="auto"/>
                        <w:left w:val="none" w:sz="0" w:space="0" w:color="auto"/>
                        <w:bottom w:val="none" w:sz="0" w:space="0" w:color="auto"/>
                        <w:right w:val="none" w:sz="0" w:space="0" w:color="auto"/>
                      </w:divBdr>
                    </w:div>
                    <w:div w:id="696270901">
                      <w:marLeft w:val="0"/>
                      <w:marRight w:val="0"/>
                      <w:marTop w:val="0"/>
                      <w:marBottom w:val="0"/>
                      <w:divBdr>
                        <w:top w:val="none" w:sz="0" w:space="0" w:color="auto"/>
                        <w:left w:val="none" w:sz="0" w:space="0" w:color="auto"/>
                        <w:bottom w:val="none" w:sz="0" w:space="0" w:color="auto"/>
                        <w:right w:val="none" w:sz="0" w:space="0" w:color="auto"/>
                      </w:divBdr>
                    </w:div>
                    <w:div w:id="990408070">
                      <w:marLeft w:val="0"/>
                      <w:marRight w:val="0"/>
                      <w:marTop w:val="0"/>
                      <w:marBottom w:val="0"/>
                      <w:divBdr>
                        <w:top w:val="none" w:sz="0" w:space="0" w:color="auto"/>
                        <w:left w:val="none" w:sz="0" w:space="0" w:color="auto"/>
                        <w:bottom w:val="none" w:sz="0" w:space="0" w:color="auto"/>
                        <w:right w:val="none" w:sz="0" w:space="0" w:color="auto"/>
                      </w:divBdr>
                    </w:div>
                    <w:div w:id="1399785745">
                      <w:marLeft w:val="0"/>
                      <w:marRight w:val="0"/>
                      <w:marTop w:val="0"/>
                      <w:marBottom w:val="0"/>
                      <w:divBdr>
                        <w:top w:val="none" w:sz="0" w:space="0" w:color="auto"/>
                        <w:left w:val="none" w:sz="0" w:space="0" w:color="auto"/>
                        <w:bottom w:val="none" w:sz="0" w:space="0" w:color="auto"/>
                        <w:right w:val="none" w:sz="0" w:space="0" w:color="auto"/>
                      </w:divBdr>
                    </w:div>
                    <w:div w:id="1806193109">
                      <w:marLeft w:val="0"/>
                      <w:marRight w:val="0"/>
                      <w:marTop w:val="0"/>
                      <w:marBottom w:val="0"/>
                      <w:divBdr>
                        <w:top w:val="none" w:sz="0" w:space="0" w:color="auto"/>
                        <w:left w:val="none" w:sz="0" w:space="0" w:color="auto"/>
                        <w:bottom w:val="none" w:sz="0" w:space="0" w:color="auto"/>
                        <w:right w:val="none" w:sz="0" w:space="0" w:color="auto"/>
                      </w:divBdr>
                    </w:div>
                    <w:div w:id="1975021765">
                      <w:marLeft w:val="0"/>
                      <w:marRight w:val="0"/>
                      <w:marTop w:val="0"/>
                      <w:marBottom w:val="0"/>
                      <w:divBdr>
                        <w:top w:val="none" w:sz="0" w:space="0" w:color="auto"/>
                        <w:left w:val="none" w:sz="0" w:space="0" w:color="auto"/>
                        <w:bottom w:val="none" w:sz="0" w:space="0" w:color="auto"/>
                        <w:right w:val="none" w:sz="0" w:space="0" w:color="auto"/>
                      </w:divBdr>
                    </w:div>
                    <w:div w:id="1491369565">
                      <w:marLeft w:val="0"/>
                      <w:marRight w:val="0"/>
                      <w:marTop w:val="0"/>
                      <w:marBottom w:val="0"/>
                      <w:divBdr>
                        <w:top w:val="none" w:sz="0" w:space="0" w:color="auto"/>
                        <w:left w:val="none" w:sz="0" w:space="0" w:color="auto"/>
                        <w:bottom w:val="none" w:sz="0" w:space="0" w:color="auto"/>
                        <w:right w:val="none" w:sz="0" w:space="0" w:color="auto"/>
                      </w:divBdr>
                    </w:div>
                    <w:div w:id="1712606171">
                      <w:marLeft w:val="0"/>
                      <w:marRight w:val="0"/>
                      <w:marTop w:val="0"/>
                      <w:marBottom w:val="0"/>
                      <w:divBdr>
                        <w:top w:val="none" w:sz="0" w:space="0" w:color="auto"/>
                        <w:left w:val="none" w:sz="0" w:space="0" w:color="auto"/>
                        <w:bottom w:val="none" w:sz="0" w:space="0" w:color="auto"/>
                        <w:right w:val="none" w:sz="0" w:space="0" w:color="auto"/>
                      </w:divBdr>
                    </w:div>
                    <w:div w:id="523786256">
                      <w:marLeft w:val="0"/>
                      <w:marRight w:val="0"/>
                      <w:marTop w:val="0"/>
                      <w:marBottom w:val="0"/>
                      <w:divBdr>
                        <w:top w:val="none" w:sz="0" w:space="0" w:color="auto"/>
                        <w:left w:val="none" w:sz="0" w:space="0" w:color="auto"/>
                        <w:bottom w:val="none" w:sz="0" w:space="0" w:color="auto"/>
                        <w:right w:val="none" w:sz="0" w:space="0" w:color="auto"/>
                      </w:divBdr>
                    </w:div>
                    <w:div w:id="279340564">
                      <w:marLeft w:val="0"/>
                      <w:marRight w:val="0"/>
                      <w:marTop w:val="0"/>
                      <w:marBottom w:val="0"/>
                      <w:divBdr>
                        <w:top w:val="none" w:sz="0" w:space="0" w:color="auto"/>
                        <w:left w:val="none" w:sz="0" w:space="0" w:color="auto"/>
                        <w:bottom w:val="none" w:sz="0" w:space="0" w:color="auto"/>
                        <w:right w:val="none" w:sz="0" w:space="0" w:color="auto"/>
                      </w:divBdr>
                    </w:div>
                    <w:div w:id="1126892820">
                      <w:marLeft w:val="0"/>
                      <w:marRight w:val="0"/>
                      <w:marTop w:val="0"/>
                      <w:marBottom w:val="0"/>
                      <w:divBdr>
                        <w:top w:val="none" w:sz="0" w:space="0" w:color="auto"/>
                        <w:left w:val="none" w:sz="0" w:space="0" w:color="auto"/>
                        <w:bottom w:val="none" w:sz="0" w:space="0" w:color="auto"/>
                        <w:right w:val="none" w:sz="0" w:space="0" w:color="auto"/>
                      </w:divBdr>
                    </w:div>
                    <w:div w:id="1313365996">
                      <w:marLeft w:val="0"/>
                      <w:marRight w:val="0"/>
                      <w:marTop w:val="0"/>
                      <w:marBottom w:val="0"/>
                      <w:divBdr>
                        <w:top w:val="none" w:sz="0" w:space="0" w:color="auto"/>
                        <w:left w:val="none" w:sz="0" w:space="0" w:color="auto"/>
                        <w:bottom w:val="none" w:sz="0" w:space="0" w:color="auto"/>
                        <w:right w:val="none" w:sz="0" w:space="0" w:color="auto"/>
                      </w:divBdr>
                    </w:div>
                    <w:div w:id="353532885">
                      <w:marLeft w:val="0"/>
                      <w:marRight w:val="0"/>
                      <w:marTop w:val="0"/>
                      <w:marBottom w:val="0"/>
                      <w:divBdr>
                        <w:top w:val="none" w:sz="0" w:space="0" w:color="auto"/>
                        <w:left w:val="none" w:sz="0" w:space="0" w:color="auto"/>
                        <w:bottom w:val="none" w:sz="0" w:space="0" w:color="auto"/>
                        <w:right w:val="none" w:sz="0" w:space="0" w:color="auto"/>
                      </w:divBdr>
                    </w:div>
                    <w:div w:id="1394698710">
                      <w:marLeft w:val="0"/>
                      <w:marRight w:val="0"/>
                      <w:marTop w:val="0"/>
                      <w:marBottom w:val="0"/>
                      <w:divBdr>
                        <w:top w:val="none" w:sz="0" w:space="0" w:color="auto"/>
                        <w:left w:val="none" w:sz="0" w:space="0" w:color="auto"/>
                        <w:bottom w:val="none" w:sz="0" w:space="0" w:color="auto"/>
                        <w:right w:val="none" w:sz="0" w:space="0" w:color="auto"/>
                      </w:divBdr>
                    </w:div>
                  </w:divsChild>
                </w:div>
                <w:div w:id="981734852">
                  <w:marLeft w:val="0"/>
                  <w:marRight w:val="0"/>
                  <w:marTop w:val="0"/>
                  <w:marBottom w:val="0"/>
                  <w:divBdr>
                    <w:top w:val="none" w:sz="0" w:space="0" w:color="auto"/>
                    <w:left w:val="none" w:sz="0" w:space="0" w:color="auto"/>
                    <w:bottom w:val="none" w:sz="0" w:space="0" w:color="auto"/>
                    <w:right w:val="none" w:sz="0" w:space="0" w:color="auto"/>
                  </w:divBdr>
                  <w:divsChild>
                    <w:div w:id="395666678">
                      <w:marLeft w:val="0"/>
                      <w:marRight w:val="0"/>
                      <w:marTop w:val="0"/>
                      <w:marBottom w:val="0"/>
                      <w:divBdr>
                        <w:top w:val="none" w:sz="0" w:space="0" w:color="auto"/>
                        <w:left w:val="none" w:sz="0" w:space="0" w:color="auto"/>
                        <w:bottom w:val="none" w:sz="0" w:space="0" w:color="auto"/>
                        <w:right w:val="none" w:sz="0" w:space="0" w:color="auto"/>
                      </w:divBdr>
                    </w:div>
                    <w:div w:id="1629094130">
                      <w:marLeft w:val="0"/>
                      <w:marRight w:val="0"/>
                      <w:marTop w:val="0"/>
                      <w:marBottom w:val="0"/>
                      <w:divBdr>
                        <w:top w:val="none" w:sz="0" w:space="0" w:color="auto"/>
                        <w:left w:val="none" w:sz="0" w:space="0" w:color="auto"/>
                        <w:bottom w:val="none" w:sz="0" w:space="0" w:color="auto"/>
                        <w:right w:val="none" w:sz="0" w:space="0" w:color="auto"/>
                      </w:divBdr>
                    </w:div>
                    <w:div w:id="1308820813">
                      <w:marLeft w:val="0"/>
                      <w:marRight w:val="0"/>
                      <w:marTop w:val="0"/>
                      <w:marBottom w:val="0"/>
                      <w:divBdr>
                        <w:top w:val="none" w:sz="0" w:space="0" w:color="auto"/>
                        <w:left w:val="none" w:sz="0" w:space="0" w:color="auto"/>
                        <w:bottom w:val="none" w:sz="0" w:space="0" w:color="auto"/>
                        <w:right w:val="none" w:sz="0" w:space="0" w:color="auto"/>
                      </w:divBdr>
                    </w:div>
                    <w:div w:id="1861427648">
                      <w:marLeft w:val="0"/>
                      <w:marRight w:val="0"/>
                      <w:marTop w:val="0"/>
                      <w:marBottom w:val="0"/>
                      <w:divBdr>
                        <w:top w:val="none" w:sz="0" w:space="0" w:color="auto"/>
                        <w:left w:val="none" w:sz="0" w:space="0" w:color="auto"/>
                        <w:bottom w:val="none" w:sz="0" w:space="0" w:color="auto"/>
                        <w:right w:val="none" w:sz="0" w:space="0" w:color="auto"/>
                      </w:divBdr>
                    </w:div>
                    <w:div w:id="1677732674">
                      <w:marLeft w:val="0"/>
                      <w:marRight w:val="0"/>
                      <w:marTop w:val="0"/>
                      <w:marBottom w:val="0"/>
                      <w:divBdr>
                        <w:top w:val="none" w:sz="0" w:space="0" w:color="auto"/>
                        <w:left w:val="none" w:sz="0" w:space="0" w:color="auto"/>
                        <w:bottom w:val="none" w:sz="0" w:space="0" w:color="auto"/>
                        <w:right w:val="none" w:sz="0" w:space="0" w:color="auto"/>
                      </w:divBdr>
                    </w:div>
                    <w:div w:id="342559389">
                      <w:marLeft w:val="0"/>
                      <w:marRight w:val="0"/>
                      <w:marTop w:val="0"/>
                      <w:marBottom w:val="0"/>
                      <w:divBdr>
                        <w:top w:val="none" w:sz="0" w:space="0" w:color="auto"/>
                        <w:left w:val="none" w:sz="0" w:space="0" w:color="auto"/>
                        <w:bottom w:val="none" w:sz="0" w:space="0" w:color="auto"/>
                        <w:right w:val="none" w:sz="0" w:space="0" w:color="auto"/>
                      </w:divBdr>
                    </w:div>
                  </w:divsChild>
                </w:div>
                <w:div w:id="993795531">
                  <w:marLeft w:val="0"/>
                  <w:marRight w:val="0"/>
                  <w:marTop w:val="0"/>
                  <w:marBottom w:val="0"/>
                  <w:divBdr>
                    <w:top w:val="none" w:sz="0" w:space="0" w:color="auto"/>
                    <w:left w:val="none" w:sz="0" w:space="0" w:color="auto"/>
                    <w:bottom w:val="none" w:sz="0" w:space="0" w:color="auto"/>
                    <w:right w:val="none" w:sz="0" w:space="0" w:color="auto"/>
                  </w:divBdr>
                  <w:divsChild>
                    <w:div w:id="24412064">
                      <w:marLeft w:val="0"/>
                      <w:marRight w:val="0"/>
                      <w:marTop w:val="0"/>
                      <w:marBottom w:val="0"/>
                      <w:divBdr>
                        <w:top w:val="none" w:sz="0" w:space="0" w:color="auto"/>
                        <w:left w:val="none" w:sz="0" w:space="0" w:color="auto"/>
                        <w:bottom w:val="none" w:sz="0" w:space="0" w:color="auto"/>
                        <w:right w:val="none" w:sz="0" w:space="0" w:color="auto"/>
                      </w:divBdr>
                    </w:div>
                    <w:div w:id="1185553076">
                      <w:marLeft w:val="0"/>
                      <w:marRight w:val="0"/>
                      <w:marTop w:val="0"/>
                      <w:marBottom w:val="0"/>
                      <w:divBdr>
                        <w:top w:val="none" w:sz="0" w:space="0" w:color="auto"/>
                        <w:left w:val="none" w:sz="0" w:space="0" w:color="auto"/>
                        <w:bottom w:val="none" w:sz="0" w:space="0" w:color="auto"/>
                        <w:right w:val="none" w:sz="0" w:space="0" w:color="auto"/>
                      </w:divBdr>
                    </w:div>
                    <w:div w:id="22245145">
                      <w:marLeft w:val="0"/>
                      <w:marRight w:val="0"/>
                      <w:marTop w:val="0"/>
                      <w:marBottom w:val="0"/>
                      <w:divBdr>
                        <w:top w:val="none" w:sz="0" w:space="0" w:color="auto"/>
                        <w:left w:val="none" w:sz="0" w:space="0" w:color="auto"/>
                        <w:bottom w:val="none" w:sz="0" w:space="0" w:color="auto"/>
                        <w:right w:val="none" w:sz="0" w:space="0" w:color="auto"/>
                      </w:divBdr>
                    </w:div>
                    <w:div w:id="906185739">
                      <w:marLeft w:val="0"/>
                      <w:marRight w:val="0"/>
                      <w:marTop w:val="0"/>
                      <w:marBottom w:val="0"/>
                      <w:divBdr>
                        <w:top w:val="none" w:sz="0" w:space="0" w:color="auto"/>
                        <w:left w:val="none" w:sz="0" w:space="0" w:color="auto"/>
                        <w:bottom w:val="none" w:sz="0" w:space="0" w:color="auto"/>
                        <w:right w:val="none" w:sz="0" w:space="0" w:color="auto"/>
                      </w:divBdr>
                    </w:div>
                    <w:div w:id="1342396290">
                      <w:marLeft w:val="0"/>
                      <w:marRight w:val="0"/>
                      <w:marTop w:val="0"/>
                      <w:marBottom w:val="0"/>
                      <w:divBdr>
                        <w:top w:val="none" w:sz="0" w:space="0" w:color="auto"/>
                        <w:left w:val="none" w:sz="0" w:space="0" w:color="auto"/>
                        <w:bottom w:val="none" w:sz="0" w:space="0" w:color="auto"/>
                        <w:right w:val="none" w:sz="0" w:space="0" w:color="auto"/>
                      </w:divBdr>
                    </w:div>
                    <w:div w:id="700059394">
                      <w:marLeft w:val="0"/>
                      <w:marRight w:val="0"/>
                      <w:marTop w:val="0"/>
                      <w:marBottom w:val="0"/>
                      <w:divBdr>
                        <w:top w:val="none" w:sz="0" w:space="0" w:color="auto"/>
                        <w:left w:val="none" w:sz="0" w:space="0" w:color="auto"/>
                        <w:bottom w:val="none" w:sz="0" w:space="0" w:color="auto"/>
                        <w:right w:val="none" w:sz="0" w:space="0" w:color="auto"/>
                      </w:divBdr>
                    </w:div>
                    <w:div w:id="1333025115">
                      <w:marLeft w:val="0"/>
                      <w:marRight w:val="0"/>
                      <w:marTop w:val="0"/>
                      <w:marBottom w:val="0"/>
                      <w:divBdr>
                        <w:top w:val="none" w:sz="0" w:space="0" w:color="auto"/>
                        <w:left w:val="none" w:sz="0" w:space="0" w:color="auto"/>
                        <w:bottom w:val="none" w:sz="0" w:space="0" w:color="auto"/>
                        <w:right w:val="none" w:sz="0" w:space="0" w:color="auto"/>
                      </w:divBdr>
                    </w:div>
                    <w:div w:id="350378421">
                      <w:marLeft w:val="0"/>
                      <w:marRight w:val="0"/>
                      <w:marTop w:val="0"/>
                      <w:marBottom w:val="0"/>
                      <w:divBdr>
                        <w:top w:val="none" w:sz="0" w:space="0" w:color="auto"/>
                        <w:left w:val="none" w:sz="0" w:space="0" w:color="auto"/>
                        <w:bottom w:val="none" w:sz="0" w:space="0" w:color="auto"/>
                        <w:right w:val="none" w:sz="0" w:space="0" w:color="auto"/>
                      </w:divBdr>
                    </w:div>
                    <w:div w:id="330302717">
                      <w:marLeft w:val="0"/>
                      <w:marRight w:val="0"/>
                      <w:marTop w:val="0"/>
                      <w:marBottom w:val="0"/>
                      <w:divBdr>
                        <w:top w:val="none" w:sz="0" w:space="0" w:color="auto"/>
                        <w:left w:val="none" w:sz="0" w:space="0" w:color="auto"/>
                        <w:bottom w:val="none" w:sz="0" w:space="0" w:color="auto"/>
                        <w:right w:val="none" w:sz="0" w:space="0" w:color="auto"/>
                      </w:divBdr>
                    </w:div>
                    <w:div w:id="1722905375">
                      <w:marLeft w:val="0"/>
                      <w:marRight w:val="0"/>
                      <w:marTop w:val="0"/>
                      <w:marBottom w:val="0"/>
                      <w:divBdr>
                        <w:top w:val="none" w:sz="0" w:space="0" w:color="auto"/>
                        <w:left w:val="none" w:sz="0" w:space="0" w:color="auto"/>
                        <w:bottom w:val="none" w:sz="0" w:space="0" w:color="auto"/>
                        <w:right w:val="none" w:sz="0" w:space="0" w:color="auto"/>
                      </w:divBdr>
                    </w:div>
                    <w:div w:id="70544278">
                      <w:marLeft w:val="0"/>
                      <w:marRight w:val="0"/>
                      <w:marTop w:val="0"/>
                      <w:marBottom w:val="0"/>
                      <w:divBdr>
                        <w:top w:val="none" w:sz="0" w:space="0" w:color="auto"/>
                        <w:left w:val="none" w:sz="0" w:space="0" w:color="auto"/>
                        <w:bottom w:val="none" w:sz="0" w:space="0" w:color="auto"/>
                        <w:right w:val="none" w:sz="0" w:space="0" w:color="auto"/>
                      </w:divBdr>
                    </w:div>
                    <w:div w:id="24597853">
                      <w:marLeft w:val="0"/>
                      <w:marRight w:val="0"/>
                      <w:marTop w:val="0"/>
                      <w:marBottom w:val="0"/>
                      <w:divBdr>
                        <w:top w:val="none" w:sz="0" w:space="0" w:color="auto"/>
                        <w:left w:val="none" w:sz="0" w:space="0" w:color="auto"/>
                        <w:bottom w:val="none" w:sz="0" w:space="0" w:color="auto"/>
                        <w:right w:val="none" w:sz="0" w:space="0" w:color="auto"/>
                      </w:divBdr>
                    </w:div>
                    <w:div w:id="1669089737">
                      <w:marLeft w:val="0"/>
                      <w:marRight w:val="0"/>
                      <w:marTop w:val="0"/>
                      <w:marBottom w:val="0"/>
                      <w:divBdr>
                        <w:top w:val="none" w:sz="0" w:space="0" w:color="auto"/>
                        <w:left w:val="none" w:sz="0" w:space="0" w:color="auto"/>
                        <w:bottom w:val="none" w:sz="0" w:space="0" w:color="auto"/>
                        <w:right w:val="none" w:sz="0" w:space="0" w:color="auto"/>
                      </w:divBdr>
                    </w:div>
                  </w:divsChild>
                </w:div>
                <w:div w:id="1348363991">
                  <w:marLeft w:val="0"/>
                  <w:marRight w:val="0"/>
                  <w:marTop w:val="0"/>
                  <w:marBottom w:val="0"/>
                  <w:divBdr>
                    <w:top w:val="none" w:sz="0" w:space="0" w:color="auto"/>
                    <w:left w:val="none" w:sz="0" w:space="0" w:color="auto"/>
                    <w:bottom w:val="none" w:sz="0" w:space="0" w:color="auto"/>
                    <w:right w:val="none" w:sz="0" w:space="0" w:color="auto"/>
                  </w:divBdr>
                  <w:divsChild>
                    <w:div w:id="1963880592">
                      <w:marLeft w:val="0"/>
                      <w:marRight w:val="0"/>
                      <w:marTop w:val="0"/>
                      <w:marBottom w:val="0"/>
                      <w:divBdr>
                        <w:top w:val="none" w:sz="0" w:space="0" w:color="auto"/>
                        <w:left w:val="none" w:sz="0" w:space="0" w:color="auto"/>
                        <w:bottom w:val="none" w:sz="0" w:space="0" w:color="auto"/>
                        <w:right w:val="none" w:sz="0" w:space="0" w:color="auto"/>
                      </w:divBdr>
                    </w:div>
                    <w:div w:id="1988045969">
                      <w:marLeft w:val="0"/>
                      <w:marRight w:val="0"/>
                      <w:marTop w:val="0"/>
                      <w:marBottom w:val="0"/>
                      <w:divBdr>
                        <w:top w:val="none" w:sz="0" w:space="0" w:color="auto"/>
                        <w:left w:val="none" w:sz="0" w:space="0" w:color="auto"/>
                        <w:bottom w:val="none" w:sz="0" w:space="0" w:color="auto"/>
                        <w:right w:val="none" w:sz="0" w:space="0" w:color="auto"/>
                      </w:divBdr>
                    </w:div>
                    <w:div w:id="1575240733">
                      <w:marLeft w:val="0"/>
                      <w:marRight w:val="0"/>
                      <w:marTop w:val="0"/>
                      <w:marBottom w:val="0"/>
                      <w:divBdr>
                        <w:top w:val="none" w:sz="0" w:space="0" w:color="auto"/>
                        <w:left w:val="none" w:sz="0" w:space="0" w:color="auto"/>
                        <w:bottom w:val="none" w:sz="0" w:space="0" w:color="auto"/>
                        <w:right w:val="none" w:sz="0" w:space="0" w:color="auto"/>
                      </w:divBdr>
                    </w:div>
                    <w:div w:id="965543671">
                      <w:marLeft w:val="0"/>
                      <w:marRight w:val="0"/>
                      <w:marTop w:val="0"/>
                      <w:marBottom w:val="0"/>
                      <w:divBdr>
                        <w:top w:val="none" w:sz="0" w:space="0" w:color="auto"/>
                        <w:left w:val="none" w:sz="0" w:space="0" w:color="auto"/>
                        <w:bottom w:val="none" w:sz="0" w:space="0" w:color="auto"/>
                        <w:right w:val="none" w:sz="0" w:space="0" w:color="auto"/>
                      </w:divBdr>
                    </w:div>
                    <w:div w:id="988560937">
                      <w:marLeft w:val="0"/>
                      <w:marRight w:val="0"/>
                      <w:marTop w:val="0"/>
                      <w:marBottom w:val="0"/>
                      <w:divBdr>
                        <w:top w:val="none" w:sz="0" w:space="0" w:color="auto"/>
                        <w:left w:val="none" w:sz="0" w:space="0" w:color="auto"/>
                        <w:bottom w:val="none" w:sz="0" w:space="0" w:color="auto"/>
                        <w:right w:val="none" w:sz="0" w:space="0" w:color="auto"/>
                      </w:divBdr>
                    </w:div>
                    <w:div w:id="1206915411">
                      <w:marLeft w:val="0"/>
                      <w:marRight w:val="0"/>
                      <w:marTop w:val="0"/>
                      <w:marBottom w:val="0"/>
                      <w:divBdr>
                        <w:top w:val="none" w:sz="0" w:space="0" w:color="auto"/>
                        <w:left w:val="none" w:sz="0" w:space="0" w:color="auto"/>
                        <w:bottom w:val="none" w:sz="0" w:space="0" w:color="auto"/>
                        <w:right w:val="none" w:sz="0" w:space="0" w:color="auto"/>
                      </w:divBdr>
                    </w:div>
                    <w:div w:id="467935725">
                      <w:marLeft w:val="0"/>
                      <w:marRight w:val="0"/>
                      <w:marTop w:val="0"/>
                      <w:marBottom w:val="0"/>
                      <w:divBdr>
                        <w:top w:val="none" w:sz="0" w:space="0" w:color="auto"/>
                        <w:left w:val="none" w:sz="0" w:space="0" w:color="auto"/>
                        <w:bottom w:val="none" w:sz="0" w:space="0" w:color="auto"/>
                        <w:right w:val="none" w:sz="0" w:space="0" w:color="auto"/>
                      </w:divBdr>
                    </w:div>
                    <w:div w:id="497960059">
                      <w:marLeft w:val="0"/>
                      <w:marRight w:val="0"/>
                      <w:marTop w:val="0"/>
                      <w:marBottom w:val="0"/>
                      <w:divBdr>
                        <w:top w:val="none" w:sz="0" w:space="0" w:color="auto"/>
                        <w:left w:val="none" w:sz="0" w:space="0" w:color="auto"/>
                        <w:bottom w:val="none" w:sz="0" w:space="0" w:color="auto"/>
                        <w:right w:val="none" w:sz="0" w:space="0" w:color="auto"/>
                      </w:divBdr>
                    </w:div>
                    <w:div w:id="1150246914">
                      <w:marLeft w:val="0"/>
                      <w:marRight w:val="0"/>
                      <w:marTop w:val="0"/>
                      <w:marBottom w:val="0"/>
                      <w:divBdr>
                        <w:top w:val="none" w:sz="0" w:space="0" w:color="auto"/>
                        <w:left w:val="none" w:sz="0" w:space="0" w:color="auto"/>
                        <w:bottom w:val="none" w:sz="0" w:space="0" w:color="auto"/>
                        <w:right w:val="none" w:sz="0" w:space="0" w:color="auto"/>
                      </w:divBdr>
                    </w:div>
                  </w:divsChild>
                </w:div>
                <w:div w:id="726344366">
                  <w:marLeft w:val="0"/>
                  <w:marRight w:val="0"/>
                  <w:marTop w:val="0"/>
                  <w:marBottom w:val="0"/>
                  <w:divBdr>
                    <w:top w:val="none" w:sz="0" w:space="0" w:color="auto"/>
                    <w:left w:val="none" w:sz="0" w:space="0" w:color="auto"/>
                    <w:bottom w:val="none" w:sz="0" w:space="0" w:color="auto"/>
                    <w:right w:val="none" w:sz="0" w:space="0" w:color="auto"/>
                  </w:divBdr>
                  <w:divsChild>
                    <w:div w:id="2084063226">
                      <w:marLeft w:val="0"/>
                      <w:marRight w:val="0"/>
                      <w:marTop w:val="0"/>
                      <w:marBottom w:val="0"/>
                      <w:divBdr>
                        <w:top w:val="none" w:sz="0" w:space="0" w:color="auto"/>
                        <w:left w:val="none" w:sz="0" w:space="0" w:color="auto"/>
                        <w:bottom w:val="none" w:sz="0" w:space="0" w:color="auto"/>
                        <w:right w:val="none" w:sz="0" w:space="0" w:color="auto"/>
                      </w:divBdr>
                    </w:div>
                    <w:div w:id="1681394401">
                      <w:marLeft w:val="0"/>
                      <w:marRight w:val="0"/>
                      <w:marTop w:val="0"/>
                      <w:marBottom w:val="0"/>
                      <w:divBdr>
                        <w:top w:val="none" w:sz="0" w:space="0" w:color="auto"/>
                        <w:left w:val="none" w:sz="0" w:space="0" w:color="auto"/>
                        <w:bottom w:val="none" w:sz="0" w:space="0" w:color="auto"/>
                        <w:right w:val="none" w:sz="0" w:space="0" w:color="auto"/>
                      </w:divBdr>
                    </w:div>
                    <w:div w:id="1971787531">
                      <w:marLeft w:val="0"/>
                      <w:marRight w:val="0"/>
                      <w:marTop w:val="0"/>
                      <w:marBottom w:val="0"/>
                      <w:divBdr>
                        <w:top w:val="none" w:sz="0" w:space="0" w:color="auto"/>
                        <w:left w:val="none" w:sz="0" w:space="0" w:color="auto"/>
                        <w:bottom w:val="none" w:sz="0" w:space="0" w:color="auto"/>
                        <w:right w:val="none" w:sz="0" w:space="0" w:color="auto"/>
                      </w:divBdr>
                    </w:div>
                    <w:div w:id="324209060">
                      <w:marLeft w:val="0"/>
                      <w:marRight w:val="0"/>
                      <w:marTop w:val="0"/>
                      <w:marBottom w:val="0"/>
                      <w:divBdr>
                        <w:top w:val="none" w:sz="0" w:space="0" w:color="auto"/>
                        <w:left w:val="none" w:sz="0" w:space="0" w:color="auto"/>
                        <w:bottom w:val="none" w:sz="0" w:space="0" w:color="auto"/>
                        <w:right w:val="none" w:sz="0" w:space="0" w:color="auto"/>
                      </w:divBdr>
                    </w:div>
                    <w:div w:id="1750619918">
                      <w:marLeft w:val="0"/>
                      <w:marRight w:val="0"/>
                      <w:marTop w:val="0"/>
                      <w:marBottom w:val="0"/>
                      <w:divBdr>
                        <w:top w:val="none" w:sz="0" w:space="0" w:color="auto"/>
                        <w:left w:val="none" w:sz="0" w:space="0" w:color="auto"/>
                        <w:bottom w:val="none" w:sz="0" w:space="0" w:color="auto"/>
                        <w:right w:val="none" w:sz="0" w:space="0" w:color="auto"/>
                      </w:divBdr>
                    </w:div>
                    <w:div w:id="1136141609">
                      <w:marLeft w:val="0"/>
                      <w:marRight w:val="0"/>
                      <w:marTop w:val="0"/>
                      <w:marBottom w:val="0"/>
                      <w:divBdr>
                        <w:top w:val="none" w:sz="0" w:space="0" w:color="auto"/>
                        <w:left w:val="none" w:sz="0" w:space="0" w:color="auto"/>
                        <w:bottom w:val="none" w:sz="0" w:space="0" w:color="auto"/>
                        <w:right w:val="none" w:sz="0" w:space="0" w:color="auto"/>
                      </w:divBdr>
                    </w:div>
                    <w:div w:id="657416859">
                      <w:marLeft w:val="0"/>
                      <w:marRight w:val="0"/>
                      <w:marTop w:val="0"/>
                      <w:marBottom w:val="0"/>
                      <w:divBdr>
                        <w:top w:val="none" w:sz="0" w:space="0" w:color="auto"/>
                        <w:left w:val="none" w:sz="0" w:space="0" w:color="auto"/>
                        <w:bottom w:val="none" w:sz="0" w:space="0" w:color="auto"/>
                        <w:right w:val="none" w:sz="0" w:space="0" w:color="auto"/>
                      </w:divBdr>
                    </w:div>
                    <w:div w:id="2086217369">
                      <w:marLeft w:val="0"/>
                      <w:marRight w:val="0"/>
                      <w:marTop w:val="0"/>
                      <w:marBottom w:val="0"/>
                      <w:divBdr>
                        <w:top w:val="none" w:sz="0" w:space="0" w:color="auto"/>
                        <w:left w:val="none" w:sz="0" w:space="0" w:color="auto"/>
                        <w:bottom w:val="none" w:sz="0" w:space="0" w:color="auto"/>
                        <w:right w:val="none" w:sz="0" w:space="0" w:color="auto"/>
                      </w:divBdr>
                    </w:div>
                    <w:div w:id="1340237876">
                      <w:marLeft w:val="0"/>
                      <w:marRight w:val="0"/>
                      <w:marTop w:val="0"/>
                      <w:marBottom w:val="0"/>
                      <w:divBdr>
                        <w:top w:val="none" w:sz="0" w:space="0" w:color="auto"/>
                        <w:left w:val="none" w:sz="0" w:space="0" w:color="auto"/>
                        <w:bottom w:val="none" w:sz="0" w:space="0" w:color="auto"/>
                        <w:right w:val="none" w:sz="0" w:space="0" w:color="auto"/>
                      </w:divBdr>
                    </w:div>
                  </w:divsChild>
                </w:div>
                <w:div w:id="204489883">
                  <w:marLeft w:val="0"/>
                  <w:marRight w:val="0"/>
                  <w:marTop w:val="0"/>
                  <w:marBottom w:val="0"/>
                  <w:divBdr>
                    <w:top w:val="none" w:sz="0" w:space="0" w:color="auto"/>
                    <w:left w:val="none" w:sz="0" w:space="0" w:color="auto"/>
                    <w:bottom w:val="none" w:sz="0" w:space="0" w:color="auto"/>
                    <w:right w:val="none" w:sz="0" w:space="0" w:color="auto"/>
                  </w:divBdr>
                  <w:divsChild>
                    <w:div w:id="226034538">
                      <w:marLeft w:val="0"/>
                      <w:marRight w:val="0"/>
                      <w:marTop w:val="0"/>
                      <w:marBottom w:val="0"/>
                      <w:divBdr>
                        <w:top w:val="none" w:sz="0" w:space="0" w:color="auto"/>
                        <w:left w:val="none" w:sz="0" w:space="0" w:color="auto"/>
                        <w:bottom w:val="none" w:sz="0" w:space="0" w:color="auto"/>
                        <w:right w:val="none" w:sz="0" w:space="0" w:color="auto"/>
                      </w:divBdr>
                    </w:div>
                    <w:div w:id="43720664">
                      <w:marLeft w:val="0"/>
                      <w:marRight w:val="0"/>
                      <w:marTop w:val="0"/>
                      <w:marBottom w:val="0"/>
                      <w:divBdr>
                        <w:top w:val="none" w:sz="0" w:space="0" w:color="auto"/>
                        <w:left w:val="none" w:sz="0" w:space="0" w:color="auto"/>
                        <w:bottom w:val="none" w:sz="0" w:space="0" w:color="auto"/>
                        <w:right w:val="none" w:sz="0" w:space="0" w:color="auto"/>
                      </w:divBdr>
                    </w:div>
                    <w:div w:id="562102327">
                      <w:marLeft w:val="0"/>
                      <w:marRight w:val="0"/>
                      <w:marTop w:val="0"/>
                      <w:marBottom w:val="0"/>
                      <w:divBdr>
                        <w:top w:val="none" w:sz="0" w:space="0" w:color="auto"/>
                        <w:left w:val="none" w:sz="0" w:space="0" w:color="auto"/>
                        <w:bottom w:val="none" w:sz="0" w:space="0" w:color="auto"/>
                        <w:right w:val="none" w:sz="0" w:space="0" w:color="auto"/>
                      </w:divBdr>
                    </w:div>
                    <w:div w:id="1054743371">
                      <w:marLeft w:val="0"/>
                      <w:marRight w:val="0"/>
                      <w:marTop w:val="0"/>
                      <w:marBottom w:val="0"/>
                      <w:divBdr>
                        <w:top w:val="none" w:sz="0" w:space="0" w:color="auto"/>
                        <w:left w:val="none" w:sz="0" w:space="0" w:color="auto"/>
                        <w:bottom w:val="none" w:sz="0" w:space="0" w:color="auto"/>
                        <w:right w:val="none" w:sz="0" w:space="0" w:color="auto"/>
                      </w:divBdr>
                    </w:div>
                  </w:divsChild>
                </w:div>
                <w:div w:id="1174341926">
                  <w:marLeft w:val="0"/>
                  <w:marRight w:val="0"/>
                  <w:marTop w:val="0"/>
                  <w:marBottom w:val="0"/>
                  <w:divBdr>
                    <w:top w:val="none" w:sz="0" w:space="0" w:color="auto"/>
                    <w:left w:val="none" w:sz="0" w:space="0" w:color="auto"/>
                    <w:bottom w:val="none" w:sz="0" w:space="0" w:color="auto"/>
                    <w:right w:val="none" w:sz="0" w:space="0" w:color="auto"/>
                  </w:divBdr>
                  <w:divsChild>
                    <w:div w:id="80028221">
                      <w:marLeft w:val="0"/>
                      <w:marRight w:val="0"/>
                      <w:marTop w:val="0"/>
                      <w:marBottom w:val="0"/>
                      <w:divBdr>
                        <w:top w:val="none" w:sz="0" w:space="0" w:color="auto"/>
                        <w:left w:val="none" w:sz="0" w:space="0" w:color="auto"/>
                        <w:bottom w:val="none" w:sz="0" w:space="0" w:color="auto"/>
                        <w:right w:val="none" w:sz="0" w:space="0" w:color="auto"/>
                      </w:divBdr>
                    </w:div>
                    <w:div w:id="371223700">
                      <w:marLeft w:val="0"/>
                      <w:marRight w:val="0"/>
                      <w:marTop w:val="0"/>
                      <w:marBottom w:val="0"/>
                      <w:divBdr>
                        <w:top w:val="none" w:sz="0" w:space="0" w:color="auto"/>
                        <w:left w:val="none" w:sz="0" w:space="0" w:color="auto"/>
                        <w:bottom w:val="none" w:sz="0" w:space="0" w:color="auto"/>
                        <w:right w:val="none" w:sz="0" w:space="0" w:color="auto"/>
                      </w:divBdr>
                    </w:div>
                    <w:div w:id="350187156">
                      <w:marLeft w:val="0"/>
                      <w:marRight w:val="0"/>
                      <w:marTop w:val="0"/>
                      <w:marBottom w:val="0"/>
                      <w:divBdr>
                        <w:top w:val="none" w:sz="0" w:space="0" w:color="auto"/>
                        <w:left w:val="none" w:sz="0" w:space="0" w:color="auto"/>
                        <w:bottom w:val="none" w:sz="0" w:space="0" w:color="auto"/>
                        <w:right w:val="none" w:sz="0" w:space="0" w:color="auto"/>
                      </w:divBdr>
                    </w:div>
                    <w:div w:id="1378319379">
                      <w:marLeft w:val="0"/>
                      <w:marRight w:val="0"/>
                      <w:marTop w:val="0"/>
                      <w:marBottom w:val="0"/>
                      <w:divBdr>
                        <w:top w:val="none" w:sz="0" w:space="0" w:color="auto"/>
                        <w:left w:val="none" w:sz="0" w:space="0" w:color="auto"/>
                        <w:bottom w:val="none" w:sz="0" w:space="0" w:color="auto"/>
                        <w:right w:val="none" w:sz="0" w:space="0" w:color="auto"/>
                      </w:divBdr>
                    </w:div>
                    <w:div w:id="149635794">
                      <w:marLeft w:val="0"/>
                      <w:marRight w:val="0"/>
                      <w:marTop w:val="0"/>
                      <w:marBottom w:val="0"/>
                      <w:divBdr>
                        <w:top w:val="none" w:sz="0" w:space="0" w:color="auto"/>
                        <w:left w:val="none" w:sz="0" w:space="0" w:color="auto"/>
                        <w:bottom w:val="none" w:sz="0" w:space="0" w:color="auto"/>
                        <w:right w:val="none" w:sz="0" w:space="0" w:color="auto"/>
                      </w:divBdr>
                    </w:div>
                    <w:div w:id="31617657">
                      <w:marLeft w:val="0"/>
                      <w:marRight w:val="0"/>
                      <w:marTop w:val="0"/>
                      <w:marBottom w:val="0"/>
                      <w:divBdr>
                        <w:top w:val="none" w:sz="0" w:space="0" w:color="auto"/>
                        <w:left w:val="none" w:sz="0" w:space="0" w:color="auto"/>
                        <w:bottom w:val="none" w:sz="0" w:space="0" w:color="auto"/>
                        <w:right w:val="none" w:sz="0" w:space="0" w:color="auto"/>
                      </w:divBdr>
                    </w:div>
                  </w:divsChild>
                </w:div>
                <w:div w:id="1824619068">
                  <w:marLeft w:val="0"/>
                  <w:marRight w:val="0"/>
                  <w:marTop w:val="0"/>
                  <w:marBottom w:val="0"/>
                  <w:divBdr>
                    <w:top w:val="none" w:sz="0" w:space="0" w:color="auto"/>
                    <w:left w:val="none" w:sz="0" w:space="0" w:color="auto"/>
                    <w:bottom w:val="none" w:sz="0" w:space="0" w:color="auto"/>
                    <w:right w:val="none" w:sz="0" w:space="0" w:color="auto"/>
                  </w:divBdr>
                  <w:divsChild>
                    <w:div w:id="2142459225">
                      <w:marLeft w:val="0"/>
                      <w:marRight w:val="0"/>
                      <w:marTop w:val="0"/>
                      <w:marBottom w:val="0"/>
                      <w:divBdr>
                        <w:top w:val="none" w:sz="0" w:space="0" w:color="auto"/>
                        <w:left w:val="none" w:sz="0" w:space="0" w:color="auto"/>
                        <w:bottom w:val="none" w:sz="0" w:space="0" w:color="auto"/>
                        <w:right w:val="none" w:sz="0" w:space="0" w:color="auto"/>
                      </w:divBdr>
                    </w:div>
                    <w:div w:id="1441685353">
                      <w:marLeft w:val="0"/>
                      <w:marRight w:val="0"/>
                      <w:marTop w:val="0"/>
                      <w:marBottom w:val="0"/>
                      <w:divBdr>
                        <w:top w:val="none" w:sz="0" w:space="0" w:color="auto"/>
                        <w:left w:val="none" w:sz="0" w:space="0" w:color="auto"/>
                        <w:bottom w:val="none" w:sz="0" w:space="0" w:color="auto"/>
                        <w:right w:val="none" w:sz="0" w:space="0" w:color="auto"/>
                      </w:divBdr>
                    </w:div>
                    <w:div w:id="1898778837">
                      <w:marLeft w:val="0"/>
                      <w:marRight w:val="0"/>
                      <w:marTop w:val="0"/>
                      <w:marBottom w:val="0"/>
                      <w:divBdr>
                        <w:top w:val="none" w:sz="0" w:space="0" w:color="auto"/>
                        <w:left w:val="none" w:sz="0" w:space="0" w:color="auto"/>
                        <w:bottom w:val="none" w:sz="0" w:space="0" w:color="auto"/>
                        <w:right w:val="none" w:sz="0" w:space="0" w:color="auto"/>
                      </w:divBdr>
                    </w:div>
                    <w:div w:id="918054375">
                      <w:marLeft w:val="0"/>
                      <w:marRight w:val="0"/>
                      <w:marTop w:val="0"/>
                      <w:marBottom w:val="0"/>
                      <w:divBdr>
                        <w:top w:val="none" w:sz="0" w:space="0" w:color="auto"/>
                        <w:left w:val="none" w:sz="0" w:space="0" w:color="auto"/>
                        <w:bottom w:val="none" w:sz="0" w:space="0" w:color="auto"/>
                        <w:right w:val="none" w:sz="0" w:space="0" w:color="auto"/>
                      </w:divBdr>
                    </w:div>
                  </w:divsChild>
                </w:div>
                <w:div w:id="2070031192">
                  <w:marLeft w:val="0"/>
                  <w:marRight w:val="0"/>
                  <w:marTop w:val="0"/>
                  <w:marBottom w:val="0"/>
                  <w:divBdr>
                    <w:top w:val="none" w:sz="0" w:space="0" w:color="auto"/>
                    <w:left w:val="none" w:sz="0" w:space="0" w:color="auto"/>
                    <w:bottom w:val="none" w:sz="0" w:space="0" w:color="auto"/>
                    <w:right w:val="none" w:sz="0" w:space="0" w:color="auto"/>
                  </w:divBdr>
                  <w:divsChild>
                    <w:div w:id="1953782200">
                      <w:marLeft w:val="0"/>
                      <w:marRight w:val="0"/>
                      <w:marTop w:val="0"/>
                      <w:marBottom w:val="0"/>
                      <w:divBdr>
                        <w:top w:val="none" w:sz="0" w:space="0" w:color="auto"/>
                        <w:left w:val="none" w:sz="0" w:space="0" w:color="auto"/>
                        <w:bottom w:val="none" w:sz="0" w:space="0" w:color="auto"/>
                        <w:right w:val="none" w:sz="0" w:space="0" w:color="auto"/>
                      </w:divBdr>
                    </w:div>
                    <w:div w:id="272202482">
                      <w:marLeft w:val="0"/>
                      <w:marRight w:val="0"/>
                      <w:marTop w:val="0"/>
                      <w:marBottom w:val="0"/>
                      <w:divBdr>
                        <w:top w:val="none" w:sz="0" w:space="0" w:color="auto"/>
                        <w:left w:val="none" w:sz="0" w:space="0" w:color="auto"/>
                        <w:bottom w:val="none" w:sz="0" w:space="0" w:color="auto"/>
                        <w:right w:val="none" w:sz="0" w:space="0" w:color="auto"/>
                      </w:divBdr>
                    </w:div>
                    <w:div w:id="1325625762">
                      <w:marLeft w:val="0"/>
                      <w:marRight w:val="0"/>
                      <w:marTop w:val="0"/>
                      <w:marBottom w:val="0"/>
                      <w:divBdr>
                        <w:top w:val="none" w:sz="0" w:space="0" w:color="auto"/>
                        <w:left w:val="none" w:sz="0" w:space="0" w:color="auto"/>
                        <w:bottom w:val="none" w:sz="0" w:space="0" w:color="auto"/>
                        <w:right w:val="none" w:sz="0" w:space="0" w:color="auto"/>
                      </w:divBdr>
                    </w:div>
                  </w:divsChild>
                </w:div>
                <w:div w:id="1350258184">
                  <w:marLeft w:val="0"/>
                  <w:marRight w:val="0"/>
                  <w:marTop w:val="0"/>
                  <w:marBottom w:val="0"/>
                  <w:divBdr>
                    <w:top w:val="none" w:sz="0" w:space="0" w:color="auto"/>
                    <w:left w:val="none" w:sz="0" w:space="0" w:color="auto"/>
                    <w:bottom w:val="none" w:sz="0" w:space="0" w:color="auto"/>
                    <w:right w:val="none" w:sz="0" w:space="0" w:color="auto"/>
                  </w:divBdr>
                  <w:divsChild>
                    <w:div w:id="1905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6104">
          <w:marLeft w:val="0"/>
          <w:marRight w:val="0"/>
          <w:marTop w:val="0"/>
          <w:marBottom w:val="0"/>
          <w:divBdr>
            <w:top w:val="none" w:sz="0" w:space="0" w:color="auto"/>
            <w:left w:val="none" w:sz="0" w:space="0" w:color="auto"/>
            <w:bottom w:val="none" w:sz="0" w:space="0" w:color="auto"/>
            <w:right w:val="none" w:sz="0" w:space="0" w:color="auto"/>
          </w:divBdr>
        </w:div>
      </w:divsChild>
    </w:div>
    <w:div w:id="1782531012">
      <w:bodyDiv w:val="1"/>
      <w:marLeft w:val="0"/>
      <w:marRight w:val="0"/>
      <w:marTop w:val="0"/>
      <w:marBottom w:val="0"/>
      <w:divBdr>
        <w:top w:val="none" w:sz="0" w:space="0" w:color="auto"/>
        <w:left w:val="none" w:sz="0" w:space="0" w:color="auto"/>
        <w:bottom w:val="none" w:sz="0" w:space="0" w:color="auto"/>
        <w:right w:val="none" w:sz="0" w:space="0" w:color="auto"/>
      </w:divBdr>
    </w:div>
    <w:div w:id="1809787195">
      <w:bodyDiv w:val="1"/>
      <w:marLeft w:val="0"/>
      <w:marRight w:val="0"/>
      <w:marTop w:val="0"/>
      <w:marBottom w:val="0"/>
      <w:divBdr>
        <w:top w:val="none" w:sz="0" w:space="0" w:color="auto"/>
        <w:left w:val="none" w:sz="0" w:space="0" w:color="auto"/>
        <w:bottom w:val="none" w:sz="0" w:space="0" w:color="auto"/>
        <w:right w:val="none" w:sz="0" w:space="0" w:color="auto"/>
      </w:divBdr>
    </w:div>
    <w:div w:id="1866212590">
      <w:bodyDiv w:val="1"/>
      <w:marLeft w:val="0"/>
      <w:marRight w:val="0"/>
      <w:marTop w:val="0"/>
      <w:marBottom w:val="0"/>
      <w:divBdr>
        <w:top w:val="none" w:sz="0" w:space="0" w:color="auto"/>
        <w:left w:val="none" w:sz="0" w:space="0" w:color="auto"/>
        <w:bottom w:val="none" w:sz="0" w:space="0" w:color="auto"/>
        <w:right w:val="none" w:sz="0" w:space="0" w:color="auto"/>
      </w:divBdr>
    </w:div>
    <w:div w:id="1866940282">
      <w:bodyDiv w:val="1"/>
      <w:marLeft w:val="0"/>
      <w:marRight w:val="0"/>
      <w:marTop w:val="0"/>
      <w:marBottom w:val="0"/>
      <w:divBdr>
        <w:top w:val="none" w:sz="0" w:space="0" w:color="auto"/>
        <w:left w:val="none" w:sz="0" w:space="0" w:color="auto"/>
        <w:bottom w:val="none" w:sz="0" w:space="0" w:color="auto"/>
        <w:right w:val="none" w:sz="0" w:space="0" w:color="auto"/>
      </w:divBdr>
      <w:divsChild>
        <w:div w:id="56637820">
          <w:marLeft w:val="0"/>
          <w:marRight w:val="0"/>
          <w:marTop w:val="150"/>
          <w:marBottom w:val="150"/>
          <w:divBdr>
            <w:top w:val="single" w:sz="6" w:space="4" w:color="BCBCBC"/>
            <w:left w:val="single" w:sz="6" w:space="4" w:color="BCBCBC"/>
            <w:bottom w:val="single" w:sz="6" w:space="4" w:color="BCBCBC"/>
            <w:right w:val="single" w:sz="6" w:space="4" w:color="BCBCBC"/>
          </w:divBdr>
        </w:div>
      </w:divsChild>
    </w:div>
    <w:div w:id="1869640632">
      <w:bodyDiv w:val="1"/>
      <w:marLeft w:val="0"/>
      <w:marRight w:val="0"/>
      <w:marTop w:val="0"/>
      <w:marBottom w:val="0"/>
      <w:divBdr>
        <w:top w:val="none" w:sz="0" w:space="0" w:color="auto"/>
        <w:left w:val="none" w:sz="0" w:space="0" w:color="auto"/>
        <w:bottom w:val="none" w:sz="0" w:space="0" w:color="auto"/>
        <w:right w:val="none" w:sz="0" w:space="0" w:color="auto"/>
      </w:divBdr>
    </w:div>
    <w:div w:id="1880315648">
      <w:bodyDiv w:val="1"/>
      <w:marLeft w:val="0"/>
      <w:marRight w:val="0"/>
      <w:marTop w:val="0"/>
      <w:marBottom w:val="0"/>
      <w:divBdr>
        <w:top w:val="none" w:sz="0" w:space="0" w:color="auto"/>
        <w:left w:val="none" w:sz="0" w:space="0" w:color="auto"/>
        <w:bottom w:val="none" w:sz="0" w:space="0" w:color="auto"/>
        <w:right w:val="none" w:sz="0" w:space="0" w:color="auto"/>
      </w:divBdr>
      <w:divsChild>
        <w:div w:id="1256747916">
          <w:marLeft w:val="0"/>
          <w:marRight w:val="0"/>
          <w:marTop w:val="0"/>
          <w:marBottom w:val="0"/>
          <w:divBdr>
            <w:top w:val="none" w:sz="0" w:space="0" w:color="auto"/>
            <w:left w:val="none" w:sz="0" w:space="0" w:color="auto"/>
            <w:bottom w:val="none" w:sz="0" w:space="0" w:color="auto"/>
            <w:right w:val="none" w:sz="0" w:space="0" w:color="auto"/>
          </w:divBdr>
        </w:div>
        <w:div w:id="1691181255">
          <w:marLeft w:val="0"/>
          <w:marRight w:val="0"/>
          <w:marTop w:val="0"/>
          <w:marBottom w:val="0"/>
          <w:divBdr>
            <w:top w:val="none" w:sz="0" w:space="0" w:color="auto"/>
            <w:left w:val="none" w:sz="0" w:space="0" w:color="auto"/>
            <w:bottom w:val="none" w:sz="0" w:space="0" w:color="auto"/>
            <w:right w:val="none" w:sz="0" w:space="0" w:color="auto"/>
          </w:divBdr>
          <w:divsChild>
            <w:div w:id="107508101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884973466">
      <w:bodyDiv w:val="1"/>
      <w:marLeft w:val="0"/>
      <w:marRight w:val="0"/>
      <w:marTop w:val="0"/>
      <w:marBottom w:val="0"/>
      <w:divBdr>
        <w:top w:val="none" w:sz="0" w:space="0" w:color="auto"/>
        <w:left w:val="none" w:sz="0" w:space="0" w:color="auto"/>
        <w:bottom w:val="none" w:sz="0" w:space="0" w:color="auto"/>
        <w:right w:val="none" w:sz="0" w:space="0" w:color="auto"/>
      </w:divBdr>
    </w:div>
    <w:div w:id="1899513962">
      <w:bodyDiv w:val="1"/>
      <w:marLeft w:val="0"/>
      <w:marRight w:val="0"/>
      <w:marTop w:val="0"/>
      <w:marBottom w:val="0"/>
      <w:divBdr>
        <w:top w:val="none" w:sz="0" w:space="0" w:color="auto"/>
        <w:left w:val="none" w:sz="0" w:space="0" w:color="auto"/>
        <w:bottom w:val="none" w:sz="0" w:space="0" w:color="auto"/>
        <w:right w:val="none" w:sz="0" w:space="0" w:color="auto"/>
      </w:divBdr>
    </w:div>
    <w:div w:id="1903952988">
      <w:bodyDiv w:val="1"/>
      <w:marLeft w:val="0"/>
      <w:marRight w:val="0"/>
      <w:marTop w:val="0"/>
      <w:marBottom w:val="0"/>
      <w:divBdr>
        <w:top w:val="none" w:sz="0" w:space="0" w:color="auto"/>
        <w:left w:val="none" w:sz="0" w:space="0" w:color="auto"/>
        <w:bottom w:val="none" w:sz="0" w:space="0" w:color="auto"/>
        <w:right w:val="none" w:sz="0" w:space="0" w:color="auto"/>
      </w:divBdr>
    </w:div>
    <w:div w:id="1949894276">
      <w:bodyDiv w:val="1"/>
      <w:marLeft w:val="0"/>
      <w:marRight w:val="0"/>
      <w:marTop w:val="0"/>
      <w:marBottom w:val="0"/>
      <w:divBdr>
        <w:top w:val="none" w:sz="0" w:space="0" w:color="auto"/>
        <w:left w:val="none" w:sz="0" w:space="0" w:color="auto"/>
        <w:bottom w:val="none" w:sz="0" w:space="0" w:color="auto"/>
        <w:right w:val="none" w:sz="0" w:space="0" w:color="auto"/>
      </w:divBdr>
    </w:div>
    <w:div w:id="1969772972">
      <w:bodyDiv w:val="1"/>
      <w:marLeft w:val="0"/>
      <w:marRight w:val="0"/>
      <w:marTop w:val="0"/>
      <w:marBottom w:val="0"/>
      <w:divBdr>
        <w:top w:val="none" w:sz="0" w:space="0" w:color="auto"/>
        <w:left w:val="none" w:sz="0" w:space="0" w:color="auto"/>
        <w:bottom w:val="none" w:sz="0" w:space="0" w:color="auto"/>
        <w:right w:val="none" w:sz="0" w:space="0" w:color="auto"/>
      </w:divBdr>
    </w:div>
    <w:div w:id="1971862867">
      <w:bodyDiv w:val="1"/>
      <w:marLeft w:val="0"/>
      <w:marRight w:val="0"/>
      <w:marTop w:val="0"/>
      <w:marBottom w:val="0"/>
      <w:divBdr>
        <w:top w:val="none" w:sz="0" w:space="0" w:color="auto"/>
        <w:left w:val="none" w:sz="0" w:space="0" w:color="auto"/>
        <w:bottom w:val="none" w:sz="0" w:space="0" w:color="auto"/>
        <w:right w:val="none" w:sz="0" w:space="0" w:color="auto"/>
      </w:divBdr>
    </w:div>
    <w:div w:id="1979455269">
      <w:bodyDiv w:val="1"/>
      <w:marLeft w:val="0"/>
      <w:marRight w:val="0"/>
      <w:marTop w:val="0"/>
      <w:marBottom w:val="0"/>
      <w:divBdr>
        <w:top w:val="none" w:sz="0" w:space="0" w:color="auto"/>
        <w:left w:val="none" w:sz="0" w:space="0" w:color="auto"/>
        <w:bottom w:val="none" w:sz="0" w:space="0" w:color="auto"/>
        <w:right w:val="none" w:sz="0" w:space="0" w:color="auto"/>
      </w:divBdr>
    </w:div>
    <w:div w:id="2037845444">
      <w:bodyDiv w:val="1"/>
      <w:marLeft w:val="0"/>
      <w:marRight w:val="0"/>
      <w:marTop w:val="0"/>
      <w:marBottom w:val="0"/>
      <w:divBdr>
        <w:top w:val="none" w:sz="0" w:space="0" w:color="auto"/>
        <w:left w:val="none" w:sz="0" w:space="0" w:color="auto"/>
        <w:bottom w:val="none" w:sz="0" w:space="0" w:color="auto"/>
        <w:right w:val="none" w:sz="0" w:space="0" w:color="auto"/>
      </w:divBdr>
    </w:div>
    <w:div w:id="2082024623">
      <w:bodyDiv w:val="1"/>
      <w:marLeft w:val="0"/>
      <w:marRight w:val="0"/>
      <w:marTop w:val="0"/>
      <w:marBottom w:val="0"/>
      <w:divBdr>
        <w:top w:val="none" w:sz="0" w:space="0" w:color="auto"/>
        <w:left w:val="none" w:sz="0" w:space="0" w:color="auto"/>
        <w:bottom w:val="none" w:sz="0" w:space="0" w:color="auto"/>
        <w:right w:val="none" w:sz="0" w:space="0" w:color="auto"/>
      </w:divBdr>
    </w:div>
    <w:div w:id="21239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ts.govt.nz/information-releases/household-expenditure-statistics-year-ended-june-2016" TargetMode="External"/><Relationship Id="rId18" Type="http://schemas.openxmlformats.org/officeDocument/2006/relationships/hyperlink" Target="https://www.pmc.gov.au/resource-centre/regulation/best-practice-regulation-guide-ministerial-councils-and-national-standard-setting-bod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ta.daff.gov.au/data/warehouse/9aat/2018/fdati9aat20180822/FoodDemandInAustralia_20180822_v1.0.0.pdf" TargetMode="External"/><Relationship Id="rId17" Type="http://schemas.openxmlformats.org/officeDocument/2006/relationships/hyperlink" Target="https://foodregulation.gov.au/internet/fr/publishing.nsf/Content/key-system-documents" TargetMode="External"/><Relationship Id="rId2" Type="http://schemas.openxmlformats.org/officeDocument/2006/relationships/numbering" Target="numbering.xml"/><Relationship Id="rId16" Type="http://schemas.openxmlformats.org/officeDocument/2006/relationships/hyperlink" Target="https://www.stats.govt.nz/information-releases/household-expenditure-statistics-year-ended-june-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ma.com.au/wp-content/uploads/2014/03/emma-Industry-Report_Out-of-Home-Dining_website-version.pdf" TargetMode="External"/><Relationship Id="rId5" Type="http://schemas.openxmlformats.org/officeDocument/2006/relationships/webSettings" Target="webSettings.xml"/><Relationship Id="rId15" Type="http://schemas.openxmlformats.org/officeDocument/2006/relationships/hyperlink" Target="http://data.daff.gov.au/data/warehouse/9aat/2018/fdati9aat20180822/FoodDemandInAustralia_20180822_v1.0.0.pdf" TargetMode="External"/><Relationship Id="rId10" Type="http://schemas.openxmlformats.org/officeDocument/2006/relationships/footer" Target="footer1.xml"/><Relationship Id="rId19" Type="http://schemas.openxmlformats.org/officeDocument/2006/relationships/hyperlink" Target="https://treasury.govt.nz/publications/guide/government-expectations-good-regulatory-practice" TargetMode="External"/><Relationship Id="rId4" Type="http://schemas.openxmlformats.org/officeDocument/2006/relationships/settings" Target="settings.xml"/><Relationship Id="rId9" Type="http://schemas.openxmlformats.org/officeDocument/2006/relationships/hyperlink" Target="http://www.foodregulation.gov.au" TargetMode="External"/><Relationship Id="rId14" Type="http://schemas.openxmlformats.org/officeDocument/2006/relationships/hyperlink" Target="https://www.emma.com.au/wp-content/uploads/2014/03/emma-Industry-Report_Out-of-Home-Dining_website-versio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izhub.healthdata.org/gbd-compare/" TargetMode="External"/><Relationship Id="rId13" Type="http://schemas.openxmlformats.org/officeDocument/2006/relationships/hyperlink" Target="http://www.moh.govt.nz/notebook/nbbooks.nsf/0/F85C39E4495B9684CC257BD3006F6299/$file/health-loss-in-new-zealand-final.pdf" TargetMode="External"/><Relationship Id="rId18" Type="http://schemas.openxmlformats.org/officeDocument/2006/relationships/hyperlink" Target="http://data.daff.gov.au/data/warehouse/9aat/2018/fdati9aat20180822/FoodDemandInAustralia_20180822_v1.0.0.pdf" TargetMode="External"/><Relationship Id="rId26" Type="http://schemas.openxmlformats.org/officeDocument/2006/relationships/hyperlink" Target="https://www.8700.com.au/" TargetMode="External"/><Relationship Id="rId39" Type="http://schemas.openxmlformats.org/officeDocument/2006/relationships/hyperlink" Target="https://www.ibisworld.com.au/industry-trends/market-research-reports/" TargetMode="External"/><Relationship Id="rId3" Type="http://schemas.openxmlformats.org/officeDocument/2006/relationships/hyperlink" Target="https://foodregulation.gov.au/internet/fr/publishing.nsf/Content/forum-communique-2019-August" TargetMode="External"/><Relationship Id="rId21" Type="http://schemas.openxmlformats.org/officeDocument/2006/relationships/hyperlink" Target="http://www.aceobesitypolicy.com.au/" TargetMode="External"/><Relationship Id="rId34" Type="http://schemas.openxmlformats.org/officeDocument/2006/relationships/hyperlink" Target="https://foodregulation.gov.au/internet/fr/publishing.nsf/Content/review-fast-food-menu-labelling-schemes" TargetMode="External"/><Relationship Id="rId7" Type="http://schemas.openxmlformats.org/officeDocument/2006/relationships/hyperlink" Target="https://www.health.govt.nz/nz-health-statistics/health-statistics-and-data-sets/obesity-statistics" TargetMode="External"/><Relationship Id="rId12" Type="http://schemas.openxmlformats.org/officeDocument/2006/relationships/hyperlink" Target="https://www.pwc.com.au/pdf/weighing-the-cost-of-obesity-final.pdf" TargetMode="External"/><Relationship Id="rId17" Type="http://schemas.openxmlformats.org/officeDocument/2006/relationships/hyperlink" Target="http://www.roymorgan.com/findings/7602-food-delivery-services-march-2018-201805240625" TargetMode="External"/><Relationship Id="rId25" Type="http://schemas.openxmlformats.org/officeDocument/2006/relationships/hyperlink" Target="https://foodregulation.gov.au/internet/fr/publishing.nsf/Content/publication-principles-point-of-sale-nutrition" TargetMode="External"/><Relationship Id="rId33" Type="http://schemas.openxmlformats.org/officeDocument/2006/relationships/hyperlink" Target="https://foodregulation.gov.au/internet/fr/publishing.nsf/Content/review-fast-food-menu-labelling-schemes" TargetMode="External"/><Relationship Id="rId38" Type="http://schemas.openxmlformats.org/officeDocument/2006/relationships/hyperlink" Target="https://www.health.qld.gov.au/__data/assets/pdf_file/0030/813972/health-wellbeing-performance-review-2017-18.pdf" TargetMode="External"/><Relationship Id="rId2" Type="http://schemas.openxmlformats.org/officeDocument/2006/relationships/hyperlink" Target="https://foodregulation.gov.au/internet/fr/publishing.nsf/Content/forum-communique-2019-August" TargetMode="External"/><Relationship Id="rId16" Type="http://schemas.openxmlformats.org/officeDocument/2006/relationships/hyperlink" Target="https://futurefood.com.au/blog/2019/06/eating-out-in-australia-takeaways-on-takeaways" TargetMode="External"/><Relationship Id="rId20" Type="http://schemas.openxmlformats.org/officeDocument/2006/relationships/hyperlink" Target="https://www.wcrf.org/int/policy/nourishing/our-policy-framework-promote-healthy-diets-reduce-obesity" TargetMode="External"/><Relationship Id="rId29" Type="http://schemas.openxmlformats.org/officeDocument/2006/relationships/hyperlink" Target="https://foodregulation.gov.au/internet/fr/publishing.nsf/Content/review-fast-food-menu-labelling-schemes" TargetMode="External"/><Relationship Id="rId1" Type="http://schemas.openxmlformats.org/officeDocument/2006/relationships/hyperlink" Target="https://foodregulation.gov.au/internet/fr/publishing.nsf/Content/publication-principles-point-of-sale-nutrition" TargetMode="External"/><Relationship Id="rId6" Type="http://schemas.openxmlformats.org/officeDocument/2006/relationships/hyperlink" Target="https://www.abs.gov.au/ausstats/abs@.nsf/PrimaryMainFeatures/4364.0.55.001?OpenDocument" TargetMode="External"/><Relationship Id="rId11" Type="http://schemas.openxmlformats.org/officeDocument/2006/relationships/hyperlink" Target="http://www.obesityaustralia.org/points-of-view" TargetMode="External"/><Relationship Id="rId24" Type="http://schemas.openxmlformats.org/officeDocument/2006/relationships/hyperlink" Target="https://doi.org/10.1002/14651858.CD009315.pub2" TargetMode="External"/><Relationship Id="rId32" Type="http://schemas.openxmlformats.org/officeDocument/2006/relationships/hyperlink" Target="https://www.parliament.nsw.gov.au/tp/files/8934/Section%20106R%20Review%20of%20Food%20Act%202003.pdf" TargetMode="External"/><Relationship Id="rId37" Type="http://schemas.openxmlformats.org/officeDocument/2006/relationships/hyperlink" Target="https://www.health.act.gov.au/sites/default/files/2018-09/Review%20of%20Display%20of%20Nutritional%20Information%20for%20Food%20Report%202017.pdf" TargetMode="External"/><Relationship Id="rId40" Type="http://schemas.openxmlformats.org/officeDocument/2006/relationships/hyperlink" Target="https://www.ibisworld.com.au/industry-trends/nz-market-research-reports/" TargetMode="External"/><Relationship Id="rId5" Type="http://schemas.openxmlformats.org/officeDocument/2006/relationships/hyperlink" Target="https://www.pmc.gov.au/sites/default/files/publications/COAG_best_practice_guide_2007.pdf" TargetMode="External"/><Relationship Id="rId15" Type="http://schemas.openxmlformats.org/officeDocument/2006/relationships/hyperlink" Target="http://www.roymorgan.com/findings/7613-new-zealand-eating-habits-eating-in-out-qsr-restaurants-march-2018-201805310031" TargetMode="External"/><Relationship Id="rId23" Type="http://schemas.openxmlformats.org/officeDocument/2006/relationships/hyperlink" Target="https://www.foodstandards.gov.au/publications/Documents/Literature%20review%20on%20label%20format%20-%20commissioned%20report%202013.pdf" TargetMode="External"/><Relationship Id="rId28" Type="http://schemas.openxmlformats.org/officeDocument/2006/relationships/hyperlink" Target="https://www.betterhealth.vic.gov.au/campaigns/kilojoules-on-the-menu" TargetMode="External"/><Relationship Id="rId36" Type="http://schemas.openxmlformats.org/officeDocument/2006/relationships/hyperlink" Target="http://www.aceobesitypolicy.com.au/" TargetMode="External"/><Relationship Id="rId10" Type="http://schemas.openxmlformats.org/officeDocument/2006/relationships/hyperlink" Target="https://www.pwc.com.au/pdf/weighing-the-cost-of-obesity-final.pdf" TargetMode="External"/><Relationship Id="rId19" Type="http://schemas.openxmlformats.org/officeDocument/2006/relationships/hyperlink" Target="https://www.stats.govt.nz/information-releases/household-expenditure-statistics-year-ended-june-2016" TargetMode="External"/><Relationship Id="rId31" Type="http://schemas.openxmlformats.org/officeDocument/2006/relationships/hyperlink" Target="http://www.aceobesitypolicy.com.au/" TargetMode="External"/><Relationship Id="rId4" Type="http://schemas.openxmlformats.org/officeDocument/2006/relationships/hyperlink" Target="https://foodregulation.gov.au/internet/fr/publishing.nsf/Content/publication-principles-point-of-sale-nutrition" TargetMode="External"/><Relationship Id="rId9" Type="http://schemas.openxmlformats.org/officeDocument/2006/relationships/hyperlink" Target="https://www.health.govt.nz/system/files/documents/publications/longer-healthier-lives-new-zealands-health-1990-2017.pdf" TargetMode="External"/><Relationship Id="rId14" Type="http://schemas.openxmlformats.org/officeDocument/2006/relationships/hyperlink" Target="http://www.roymorgan.com/findings/7599-australian-eating-habits-eating-in-out-march-2018-201805290253" TargetMode="External"/><Relationship Id="rId22" Type="http://schemas.openxmlformats.org/officeDocument/2006/relationships/hyperlink" Target="https://www.mckinsey.com/industries/healthcare-systems-and-services/our-insights/how-the-world-could-better-fight-obesity" TargetMode="External"/><Relationship Id="rId27" Type="http://schemas.openxmlformats.org/officeDocument/2006/relationships/hyperlink" Target="https://www.healthier.qld.gov.au/" TargetMode="External"/><Relationship Id="rId30" Type="http://schemas.openxmlformats.org/officeDocument/2006/relationships/hyperlink" Target="https://www.parliament.nsw.gov.au/tp/files/8934/Section%20106R%20Review%20of%20Food%20Act%202003.pdf" TargetMode="External"/><Relationship Id="rId35" Type="http://schemas.openxmlformats.org/officeDocument/2006/relationships/hyperlink" Target="https://www.foodauthority.nsw.gov.au/sites/default/files/_Documents/scienceandtechnical/fast_choices_TN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8E94-A7CB-4AA1-9E97-254F2F0D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19582</Words>
  <Characters>115283</Characters>
  <Application>Microsoft Office Word</Application>
  <DocSecurity>0</DocSecurity>
  <Lines>960</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134596</CharactersWithSpaces>
  <SharedDoc>false</SharedDoc>
  <HLinks>
    <vt:vector size="450" baseType="variant">
      <vt:variant>
        <vt:i4>4915285</vt:i4>
      </vt:variant>
      <vt:variant>
        <vt:i4>192</vt:i4>
      </vt:variant>
      <vt:variant>
        <vt:i4>0</vt:i4>
      </vt:variant>
      <vt:variant>
        <vt:i4>5</vt:i4>
      </vt:variant>
      <vt:variant>
        <vt:lpwstr>https://treasury.govt.nz/publications/guide/government-expectations-good-regulatory-practice</vt:lpwstr>
      </vt:variant>
      <vt:variant>
        <vt:lpwstr/>
      </vt:variant>
      <vt:variant>
        <vt:i4>7864445</vt:i4>
      </vt:variant>
      <vt:variant>
        <vt:i4>189</vt:i4>
      </vt:variant>
      <vt:variant>
        <vt:i4>0</vt:i4>
      </vt:variant>
      <vt:variant>
        <vt:i4>5</vt:i4>
      </vt:variant>
      <vt:variant>
        <vt:lpwstr>https://www.pmc.gov.au/resource-centre/regulation/best-practice-regulation-guide-ministerial-councils-and-national-standard-setting-bodies</vt:lpwstr>
      </vt:variant>
      <vt:variant>
        <vt:lpwstr/>
      </vt:variant>
      <vt:variant>
        <vt:i4>4849695</vt:i4>
      </vt:variant>
      <vt:variant>
        <vt:i4>186</vt:i4>
      </vt:variant>
      <vt:variant>
        <vt:i4>0</vt:i4>
      </vt:variant>
      <vt:variant>
        <vt:i4>5</vt:i4>
      </vt:variant>
      <vt:variant>
        <vt:lpwstr>https://foodregulation.gov.au/internet/fr/publishing.nsf/Content/key-system-documents</vt:lpwstr>
      </vt:variant>
      <vt:variant>
        <vt:lpwstr/>
      </vt:variant>
      <vt:variant>
        <vt:i4>720964</vt:i4>
      </vt:variant>
      <vt:variant>
        <vt:i4>183</vt:i4>
      </vt:variant>
      <vt:variant>
        <vt:i4>0</vt:i4>
      </vt:variant>
      <vt:variant>
        <vt:i4>5</vt:i4>
      </vt:variant>
      <vt:variant>
        <vt:lpwstr>https://www.stats.govt.nz/information-releases/household-expenditure-statistics-year-ended-june-2016</vt:lpwstr>
      </vt:variant>
      <vt:variant>
        <vt:lpwstr/>
      </vt:variant>
      <vt:variant>
        <vt:i4>2424875</vt:i4>
      </vt:variant>
      <vt:variant>
        <vt:i4>180</vt:i4>
      </vt:variant>
      <vt:variant>
        <vt:i4>0</vt:i4>
      </vt:variant>
      <vt:variant>
        <vt:i4>5</vt:i4>
      </vt:variant>
      <vt:variant>
        <vt:lpwstr>http://data.daff.gov.au/data/warehouse/9aat/2018/fdati9aat20180822/FoodDemandInAustralia_20180822_v1.0.0.pdf</vt:lpwstr>
      </vt:variant>
      <vt:variant>
        <vt:lpwstr/>
      </vt:variant>
      <vt:variant>
        <vt:i4>1900634</vt:i4>
      </vt:variant>
      <vt:variant>
        <vt:i4>177</vt:i4>
      </vt:variant>
      <vt:variant>
        <vt:i4>0</vt:i4>
      </vt:variant>
      <vt:variant>
        <vt:i4>5</vt:i4>
      </vt:variant>
      <vt:variant>
        <vt:lpwstr>https://www.emma.com.au/wp-content/uploads/2014/03/emma-Industry-Report_Out-of-Home-Dining_website-version.pdf</vt:lpwstr>
      </vt:variant>
      <vt:variant>
        <vt:lpwstr/>
      </vt:variant>
      <vt:variant>
        <vt:i4>1835066</vt:i4>
      </vt:variant>
      <vt:variant>
        <vt:i4>170</vt:i4>
      </vt:variant>
      <vt:variant>
        <vt:i4>0</vt:i4>
      </vt:variant>
      <vt:variant>
        <vt:i4>5</vt:i4>
      </vt:variant>
      <vt:variant>
        <vt:lpwstr/>
      </vt:variant>
      <vt:variant>
        <vt:lpwstr>_Toc36736987</vt:lpwstr>
      </vt:variant>
      <vt:variant>
        <vt:i4>1900602</vt:i4>
      </vt:variant>
      <vt:variant>
        <vt:i4>164</vt:i4>
      </vt:variant>
      <vt:variant>
        <vt:i4>0</vt:i4>
      </vt:variant>
      <vt:variant>
        <vt:i4>5</vt:i4>
      </vt:variant>
      <vt:variant>
        <vt:lpwstr/>
      </vt:variant>
      <vt:variant>
        <vt:lpwstr>_Toc36736986</vt:lpwstr>
      </vt:variant>
      <vt:variant>
        <vt:i4>1966138</vt:i4>
      </vt:variant>
      <vt:variant>
        <vt:i4>158</vt:i4>
      </vt:variant>
      <vt:variant>
        <vt:i4>0</vt:i4>
      </vt:variant>
      <vt:variant>
        <vt:i4>5</vt:i4>
      </vt:variant>
      <vt:variant>
        <vt:lpwstr/>
      </vt:variant>
      <vt:variant>
        <vt:lpwstr>_Toc36736985</vt:lpwstr>
      </vt:variant>
      <vt:variant>
        <vt:i4>2031674</vt:i4>
      </vt:variant>
      <vt:variant>
        <vt:i4>152</vt:i4>
      </vt:variant>
      <vt:variant>
        <vt:i4>0</vt:i4>
      </vt:variant>
      <vt:variant>
        <vt:i4>5</vt:i4>
      </vt:variant>
      <vt:variant>
        <vt:lpwstr/>
      </vt:variant>
      <vt:variant>
        <vt:lpwstr>_Toc36736984</vt:lpwstr>
      </vt:variant>
      <vt:variant>
        <vt:i4>1572922</vt:i4>
      </vt:variant>
      <vt:variant>
        <vt:i4>146</vt:i4>
      </vt:variant>
      <vt:variant>
        <vt:i4>0</vt:i4>
      </vt:variant>
      <vt:variant>
        <vt:i4>5</vt:i4>
      </vt:variant>
      <vt:variant>
        <vt:lpwstr/>
      </vt:variant>
      <vt:variant>
        <vt:lpwstr>_Toc36736983</vt:lpwstr>
      </vt:variant>
      <vt:variant>
        <vt:i4>1638458</vt:i4>
      </vt:variant>
      <vt:variant>
        <vt:i4>140</vt:i4>
      </vt:variant>
      <vt:variant>
        <vt:i4>0</vt:i4>
      </vt:variant>
      <vt:variant>
        <vt:i4>5</vt:i4>
      </vt:variant>
      <vt:variant>
        <vt:lpwstr/>
      </vt:variant>
      <vt:variant>
        <vt:lpwstr>_Toc36736982</vt:lpwstr>
      </vt:variant>
      <vt:variant>
        <vt:i4>1703994</vt:i4>
      </vt:variant>
      <vt:variant>
        <vt:i4>134</vt:i4>
      </vt:variant>
      <vt:variant>
        <vt:i4>0</vt:i4>
      </vt:variant>
      <vt:variant>
        <vt:i4>5</vt:i4>
      </vt:variant>
      <vt:variant>
        <vt:lpwstr/>
      </vt:variant>
      <vt:variant>
        <vt:lpwstr>_Toc36736981</vt:lpwstr>
      </vt:variant>
      <vt:variant>
        <vt:i4>1769530</vt:i4>
      </vt:variant>
      <vt:variant>
        <vt:i4>128</vt:i4>
      </vt:variant>
      <vt:variant>
        <vt:i4>0</vt:i4>
      </vt:variant>
      <vt:variant>
        <vt:i4>5</vt:i4>
      </vt:variant>
      <vt:variant>
        <vt:lpwstr/>
      </vt:variant>
      <vt:variant>
        <vt:lpwstr>_Toc36736980</vt:lpwstr>
      </vt:variant>
      <vt:variant>
        <vt:i4>1179701</vt:i4>
      </vt:variant>
      <vt:variant>
        <vt:i4>122</vt:i4>
      </vt:variant>
      <vt:variant>
        <vt:i4>0</vt:i4>
      </vt:variant>
      <vt:variant>
        <vt:i4>5</vt:i4>
      </vt:variant>
      <vt:variant>
        <vt:lpwstr/>
      </vt:variant>
      <vt:variant>
        <vt:lpwstr>_Toc36736979</vt:lpwstr>
      </vt:variant>
      <vt:variant>
        <vt:i4>1245237</vt:i4>
      </vt:variant>
      <vt:variant>
        <vt:i4>116</vt:i4>
      </vt:variant>
      <vt:variant>
        <vt:i4>0</vt:i4>
      </vt:variant>
      <vt:variant>
        <vt:i4>5</vt:i4>
      </vt:variant>
      <vt:variant>
        <vt:lpwstr/>
      </vt:variant>
      <vt:variant>
        <vt:lpwstr>_Toc36736978</vt:lpwstr>
      </vt:variant>
      <vt:variant>
        <vt:i4>1835061</vt:i4>
      </vt:variant>
      <vt:variant>
        <vt:i4>110</vt:i4>
      </vt:variant>
      <vt:variant>
        <vt:i4>0</vt:i4>
      </vt:variant>
      <vt:variant>
        <vt:i4>5</vt:i4>
      </vt:variant>
      <vt:variant>
        <vt:lpwstr/>
      </vt:variant>
      <vt:variant>
        <vt:lpwstr>_Toc36736977</vt:lpwstr>
      </vt:variant>
      <vt:variant>
        <vt:i4>1900597</vt:i4>
      </vt:variant>
      <vt:variant>
        <vt:i4>104</vt:i4>
      </vt:variant>
      <vt:variant>
        <vt:i4>0</vt:i4>
      </vt:variant>
      <vt:variant>
        <vt:i4>5</vt:i4>
      </vt:variant>
      <vt:variant>
        <vt:lpwstr/>
      </vt:variant>
      <vt:variant>
        <vt:lpwstr>_Toc36736976</vt:lpwstr>
      </vt:variant>
      <vt:variant>
        <vt:i4>1966133</vt:i4>
      </vt:variant>
      <vt:variant>
        <vt:i4>98</vt:i4>
      </vt:variant>
      <vt:variant>
        <vt:i4>0</vt:i4>
      </vt:variant>
      <vt:variant>
        <vt:i4>5</vt:i4>
      </vt:variant>
      <vt:variant>
        <vt:lpwstr/>
      </vt:variant>
      <vt:variant>
        <vt:lpwstr>_Toc36736975</vt:lpwstr>
      </vt:variant>
      <vt:variant>
        <vt:i4>2031669</vt:i4>
      </vt:variant>
      <vt:variant>
        <vt:i4>92</vt:i4>
      </vt:variant>
      <vt:variant>
        <vt:i4>0</vt:i4>
      </vt:variant>
      <vt:variant>
        <vt:i4>5</vt:i4>
      </vt:variant>
      <vt:variant>
        <vt:lpwstr/>
      </vt:variant>
      <vt:variant>
        <vt:lpwstr>_Toc36736974</vt:lpwstr>
      </vt:variant>
      <vt:variant>
        <vt:i4>1572917</vt:i4>
      </vt:variant>
      <vt:variant>
        <vt:i4>86</vt:i4>
      </vt:variant>
      <vt:variant>
        <vt:i4>0</vt:i4>
      </vt:variant>
      <vt:variant>
        <vt:i4>5</vt:i4>
      </vt:variant>
      <vt:variant>
        <vt:lpwstr/>
      </vt:variant>
      <vt:variant>
        <vt:lpwstr>_Toc36736973</vt:lpwstr>
      </vt:variant>
      <vt:variant>
        <vt:i4>1638453</vt:i4>
      </vt:variant>
      <vt:variant>
        <vt:i4>80</vt:i4>
      </vt:variant>
      <vt:variant>
        <vt:i4>0</vt:i4>
      </vt:variant>
      <vt:variant>
        <vt:i4>5</vt:i4>
      </vt:variant>
      <vt:variant>
        <vt:lpwstr/>
      </vt:variant>
      <vt:variant>
        <vt:lpwstr>_Toc36736972</vt:lpwstr>
      </vt:variant>
      <vt:variant>
        <vt:i4>1703989</vt:i4>
      </vt:variant>
      <vt:variant>
        <vt:i4>74</vt:i4>
      </vt:variant>
      <vt:variant>
        <vt:i4>0</vt:i4>
      </vt:variant>
      <vt:variant>
        <vt:i4>5</vt:i4>
      </vt:variant>
      <vt:variant>
        <vt:lpwstr/>
      </vt:variant>
      <vt:variant>
        <vt:lpwstr>_Toc36736971</vt:lpwstr>
      </vt:variant>
      <vt:variant>
        <vt:i4>1769525</vt:i4>
      </vt:variant>
      <vt:variant>
        <vt:i4>68</vt:i4>
      </vt:variant>
      <vt:variant>
        <vt:i4>0</vt:i4>
      </vt:variant>
      <vt:variant>
        <vt:i4>5</vt:i4>
      </vt:variant>
      <vt:variant>
        <vt:lpwstr/>
      </vt:variant>
      <vt:variant>
        <vt:lpwstr>_Toc36736970</vt:lpwstr>
      </vt:variant>
      <vt:variant>
        <vt:i4>1179700</vt:i4>
      </vt:variant>
      <vt:variant>
        <vt:i4>62</vt:i4>
      </vt:variant>
      <vt:variant>
        <vt:i4>0</vt:i4>
      </vt:variant>
      <vt:variant>
        <vt:i4>5</vt:i4>
      </vt:variant>
      <vt:variant>
        <vt:lpwstr/>
      </vt:variant>
      <vt:variant>
        <vt:lpwstr>_Toc36736969</vt:lpwstr>
      </vt:variant>
      <vt:variant>
        <vt:i4>1245236</vt:i4>
      </vt:variant>
      <vt:variant>
        <vt:i4>56</vt:i4>
      </vt:variant>
      <vt:variant>
        <vt:i4>0</vt:i4>
      </vt:variant>
      <vt:variant>
        <vt:i4>5</vt:i4>
      </vt:variant>
      <vt:variant>
        <vt:lpwstr/>
      </vt:variant>
      <vt:variant>
        <vt:lpwstr>_Toc36736968</vt:lpwstr>
      </vt:variant>
      <vt:variant>
        <vt:i4>1835060</vt:i4>
      </vt:variant>
      <vt:variant>
        <vt:i4>50</vt:i4>
      </vt:variant>
      <vt:variant>
        <vt:i4>0</vt:i4>
      </vt:variant>
      <vt:variant>
        <vt:i4>5</vt:i4>
      </vt:variant>
      <vt:variant>
        <vt:lpwstr/>
      </vt:variant>
      <vt:variant>
        <vt:lpwstr>_Toc36736967</vt:lpwstr>
      </vt:variant>
      <vt:variant>
        <vt:i4>1900596</vt:i4>
      </vt:variant>
      <vt:variant>
        <vt:i4>44</vt:i4>
      </vt:variant>
      <vt:variant>
        <vt:i4>0</vt:i4>
      </vt:variant>
      <vt:variant>
        <vt:i4>5</vt:i4>
      </vt:variant>
      <vt:variant>
        <vt:lpwstr/>
      </vt:variant>
      <vt:variant>
        <vt:lpwstr>_Toc36736966</vt:lpwstr>
      </vt:variant>
      <vt:variant>
        <vt:i4>1966132</vt:i4>
      </vt:variant>
      <vt:variant>
        <vt:i4>38</vt:i4>
      </vt:variant>
      <vt:variant>
        <vt:i4>0</vt:i4>
      </vt:variant>
      <vt:variant>
        <vt:i4>5</vt:i4>
      </vt:variant>
      <vt:variant>
        <vt:lpwstr/>
      </vt:variant>
      <vt:variant>
        <vt:lpwstr>_Toc36736965</vt:lpwstr>
      </vt:variant>
      <vt:variant>
        <vt:i4>2031668</vt:i4>
      </vt:variant>
      <vt:variant>
        <vt:i4>32</vt:i4>
      </vt:variant>
      <vt:variant>
        <vt:i4>0</vt:i4>
      </vt:variant>
      <vt:variant>
        <vt:i4>5</vt:i4>
      </vt:variant>
      <vt:variant>
        <vt:lpwstr/>
      </vt:variant>
      <vt:variant>
        <vt:lpwstr>_Toc36736964</vt:lpwstr>
      </vt:variant>
      <vt:variant>
        <vt:i4>1572916</vt:i4>
      </vt:variant>
      <vt:variant>
        <vt:i4>26</vt:i4>
      </vt:variant>
      <vt:variant>
        <vt:i4>0</vt:i4>
      </vt:variant>
      <vt:variant>
        <vt:i4>5</vt:i4>
      </vt:variant>
      <vt:variant>
        <vt:lpwstr/>
      </vt:variant>
      <vt:variant>
        <vt:lpwstr>_Toc36736963</vt:lpwstr>
      </vt:variant>
      <vt:variant>
        <vt:i4>1638452</vt:i4>
      </vt:variant>
      <vt:variant>
        <vt:i4>20</vt:i4>
      </vt:variant>
      <vt:variant>
        <vt:i4>0</vt:i4>
      </vt:variant>
      <vt:variant>
        <vt:i4>5</vt:i4>
      </vt:variant>
      <vt:variant>
        <vt:lpwstr/>
      </vt:variant>
      <vt:variant>
        <vt:lpwstr>_Toc36736962</vt:lpwstr>
      </vt:variant>
      <vt:variant>
        <vt:i4>1703988</vt:i4>
      </vt:variant>
      <vt:variant>
        <vt:i4>14</vt:i4>
      </vt:variant>
      <vt:variant>
        <vt:i4>0</vt:i4>
      </vt:variant>
      <vt:variant>
        <vt:i4>5</vt:i4>
      </vt:variant>
      <vt:variant>
        <vt:lpwstr/>
      </vt:variant>
      <vt:variant>
        <vt:lpwstr>_Toc36736961</vt:lpwstr>
      </vt:variant>
      <vt:variant>
        <vt:i4>1769524</vt:i4>
      </vt:variant>
      <vt:variant>
        <vt:i4>8</vt:i4>
      </vt:variant>
      <vt:variant>
        <vt:i4>0</vt:i4>
      </vt:variant>
      <vt:variant>
        <vt:i4>5</vt:i4>
      </vt:variant>
      <vt:variant>
        <vt:lpwstr/>
      </vt:variant>
      <vt:variant>
        <vt:lpwstr>_Toc36736960</vt:lpwstr>
      </vt:variant>
      <vt:variant>
        <vt:i4>1179703</vt:i4>
      </vt:variant>
      <vt:variant>
        <vt:i4>2</vt:i4>
      </vt:variant>
      <vt:variant>
        <vt:i4>0</vt:i4>
      </vt:variant>
      <vt:variant>
        <vt:i4>5</vt:i4>
      </vt:variant>
      <vt:variant>
        <vt:lpwstr/>
      </vt:variant>
      <vt:variant>
        <vt:lpwstr>_Toc36736959</vt:lpwstr>
      </vt:variant>
      <vt:variant>
        <vt:i4>1704008</vt:i4>
      </vt:variant>
      <vt:variant>
        <vt:i4>117</vt:i4>
      </vt:variant>
      <vt:variant>
        <vt:i4>0</vt:i4>
      </vt:variant>
      <vt:variant>
        <vt:i4>5</vt:i4>
      </vt:variant>
      <vt:variant>
        <vt:lpwstr>https://www.parliament.nsw.gov.au/tp/files/8934/Section 106R Review of Food Act 2003.pdf</vt:lpwstr>
      </vt:variant>
      <vt:variant>
        <vt:lpwstr/>
      </vt:variant>
      <vt:variant>
        <vt:i4>3080249</vt:i4>
      </vt:variant>
      <vt:variant>
        <vt:i4>114</vt:i4>
      </vt:variant>
      <vt:variant>
        <vt:i4>0</vt:i4>
      </vt:variant>
      <vt:variant>
        <vt:i4>5</vt:i4>
      </vt:variant>
      <vt:variant>
        <vt:lpwstr>http://www.aceobesitypolicy.com.au/</vt:lpwstr>
      </vt:variant>
      <vt:variant>
        <vt:lpwstr/>
      </vt:variant>
      <vt:variant>
        <vt:i4>4980761</vt:i4>
      </vt:variant>
      <vt:variant>
        <vt:i4>111</vt:i4>
      </vt:variant>
      <vt:variant>
        <vt:i4>0</vt:i4>
      </vt:variant>
      <vt:variant>
        <vt:i4>5</vt:i4>
      </vt:variant>
      <vt:variant>
        <vt:lpwstr>https://www.ibisworld.com.au/industry-trends/nz-market-research-reports/</vt:lpwstr>
      </vt:variant>
      <vt:variant>
        <vt:lpwstr/>
      </vt:variant>
      <vt:variant>
        <vt:i4>4194307</vt:i4>
      </vt:variant>
      <vt:variant>
        <vt:i4>108</vt:i4>
      </vt:variant>
      <vt:variant>
        <vt:i4>0</vt:i4>
      </vt:variant>
      <vt:variant>
        <vt:i4>5</vt:i4>
      </vt:variant>
      <vt:variant>
        <vt:lpwstr>https://www.ibisworld.com.au/industry-trends/market-research-reports/</vt:lpwstr>
      </vt:variant>
      <vt:variant>
        <vt:lpwstr/>
      </vt:variant>
      <vt:variant>
        <vt:i4>2031645</vt:i4>
      </vt:variant>
      <vt:variant>
        <vt:i4>105</vt:i4>
      </vt:variant>
      <vt:variant>
        <vt:i4>0</vt:i4>
      </vt:variant>
      <vt:variant>
        <vt:i4>5</vt:i4>
      </vt:variant>
      <vt:variant>
        <vt:lpwstr>https://foodregulation.gov.au/internet/fr/publishing.nsf/Content/review-fast-food-menu-labelling-schemes</vt:lpwstr>
      </vt:variant>
      <vt:variant>
        <vt:lpwstr/>
      </vt:variant>
      <vt:variant>
        <vt:i4>2031645</vt:i4>
      </vt:variant>
      <vt:variant>
        <vt:i4>102</vt:i4>
      </vt:variant>
      <vt:variant>
        <vt:i4>0</vt:i4>
      </vt:variant>
      <vt:variant>
        <vt:i4>5</vt:i4>
      </vt:variant>
      <vt:variant>
        <vt:lpwstr>https://foodregulation.gov.au/internet/fr/publishing.nsf/Content/review-fast-food-menu-labelling-schemes</vt:lpwstr>
      </vt:variant>
      <vt:variant>
        <vt:lpwstr/>
      </vt:variant>
      <vt:variant>
        <vt:i4>2031645</vt:i4>
      </vt:variant>
      <vt:variant>
        <vt:i4>99</vt:i4>
      </vt:variant>
      <vt:variant>
        <vt:i4>0</vt:i4>
      </vt:variant>
      <vt:variant>
        <vt:i4>5</vt:i4>
      </vt:variant>
      <vt:variant>
        <vt:lpwstr>https://foodregulation.gov.au/internet/fr/publishing.nsf/Content/review-fast-food-menu-labelling-schemes</vt:lpwstr>
      </vt:variant>
      <vt:variant>
        <vt:lpwstr/>
      </vt:variant>
      <vt:variant>
        <vt:i4>4784213</vt:i4>
      </vt:variant>
      <vt:variant>
        <vt:i4>96</vt:i4>
      </vt:variant>
      <vt:variant>
        <vt:i4>0</vt:i4>
      </vt:variant>
      <vt:variant>
        <vt:i4>5</vt:i4>
      </vt:variant>
      <vt:variant>
        <vt:lpwstr>https://www.heartfoundation.org.au/news/4-in-5-victorians-support-kilojoules-on-the-menu-survey-shows</vt:lpwstr>
      </vt:variant>
      <vt:variant>
        <vt:lpwstr/>
      </vt:variant>
      <vt:variant>
        <vt:i4>917613</vt:i4>
      </vt:variant>
      <vt:variant>
        <vt:i4>93</vt:i4>
      </vt:variant>
      <vt:variant>
        <vt:i4>0</vt:i4>
      </vt:variant>
      <vt:variant>
        <vt:i4>5</vt:i4>
      </vt:variant>
      <vt:variant>
        <vt:lpwstr>https://www.health.qld.gov.au/__data/assets/pdf_file/0030/813972/health-wellbeing-performance-review-2017-18.pdf</vt:lpwstr>
      </vt:variant>
      <vt:variant>
        <vt:lpwstr/>
      </vt:variant>
      <vt:variant>
        <vt:i4>3145840</vt:i4>
      </vt:variant>
      <vt:variant>
        <vt:i4>90</vt:i4>
      </vt:variant>
      <vt:variant>
        <vt:i4>0</vt:i4>
      </vt:variant>
      <vt:variant>
        <vt:i4>5</vt:i4>
      </vt:variant>
      <vt:variant>
        <vt:lpwstr>https://www.health.act.gov.au/sites/default/files/2018-09/Review of Display of Nutritional Information for Food Report 2017.pdf</vt:lpwstr>
      </vt:variant>
      <vt:variant>
        <vt:lpwstr/>
      </vt:variant>
      <vt:variant>
        <vt:i4>5767170</vt:i4>
      </vt:variant>
      <vt:variant>
        <vt:i4>87</vt:i4>
      </vt:variant>
      <vt:variant>
        <vt:i4>0</vt:i4>
      </vt:variant>
      <vt:variant>
        <vt:i4>5</vt:i4>
      </vt:variant>
      <vt:variant>
        <vt:lpwstr>http://www.foodauthority.nsw.gov.au/_Documents/scienceandtechnical/fast_choices_TNS_report.pdf</vt:lpwstr>
      </vt:variant>
      <vt:variant>
        <vt:lpwstr/>
      </vt:variant>
      <vt:variant>
        <vt:i4>5767236</vt:i4>
      </vt:variant>
      <vt:variant>
        <vt:i4>84</vt:i4>
      </vt:variant>
      <vt:variant>
        <vt:i4>0</vt:i4>
      </vt:variant>
      <vt:variant>
        <vt:i4>5</vt:i4>
      </vt:variant>
      <vt:variant>
        <vt:lpwstr>https://www.betterhealth.vic.gov.au/campaigns/kilojoules-on-the-menu</vt:lpwstr>
      </vt:variant>
      <vt:variant>
        <vt:lpwstr/>
      </vt:variant>
      <vt:variant>
        <vt:i4>7602291</vt:i4>
      </vt:variant>
      <vt:variant>
        <vt:i4>81</vt:i4>
      </vt:variant>
      <vt:variant>
        <vt:i4>0</vt:i4>
      </vt:variant>
      <vt:variant>
        <vt:i4>5</vt:i4>
      </vt:variant>
      <vt:variant>
        <vt:lpwstr>https://www.health.qld.gov.au/news-events/campaigns/previous-campaigns</vt:lpwstr>
      </vt:variant>
      <vt:variant>
        <vt:lpwstr/>
      </vt:variant>
      <vt:variant>
        <vt:i4>983122</vt:i4>
      </vt:variant>
      <vt:variant>
        <vt:i4>78</vt:i4>
      </vt:variant>
      <vt:variant>
        <vt:i4>0</vt:i4>
      </vt:variant>
      <vt:variant>
        <vt:i4>5</vt:i4>
      </vt:variant>
      <vt:variant>
        <vt:lpwstr>https://www.8700.com.au/</vt:lpwstr>
      </vt:variant>
      <vt:variant>
        <vt:lpwstr/>
      </vt:variant>
      <vt:variant>
        <vt:i4>4325386</vt:i4>
      </vt:variant>
      <vt:variant>
        <vt:i4>75</vt:i4>
      </vt:variant>
      <vt:variant>
        <vt:i4>0</vt:i4>
      </vt:variant>
      <vt:variant>
        <vt:i4>5</vt:i4>
      </vt:variant>
      <vt:variant>
        <vt:lpwstr>https://www.foodstandards.gov.au/publications/Documents/Literature review on label format - commissioned report 2013.pdf</vt:lpwstr>
      </vt:variant>
      <vt:variant>
        <vt:lpwstr/>
      </vt:variant>
      <vt:variant>
        <vt:i4>3145834</vt:i4>
      </vt:variant>
      <vt:variant>
        <vt:i4>72</vt:i4>
      </vt:variant>
      <vt:variant>
        <vt:i4>0</vt:i4>
      </vt:variant>
      <vt:variant>
        <vt:i4>5</vt:i4>
      </vt:variant>
      <vt:variant>
        <vt:lpwstr>https://foodregulation.gov.au/internet/fr/publishing.nsf/Content/review-food-labelling</vt:lpwstr>
      </vt:variant>
      <vt:variant>
        <vt:lpwstr/>
      </vt:variant>
      <vt:variant>
        <vt:i4>4259866</vt:i4>
      </vt:variant>
      <vt:variant>
        <vt:i4>69</vt:i4>
      </vt:variant>
      <vt:variant>
        <vt:i4>0</vt:i4>
      </vt:variant>
      <vt:variant>
        <vt:i4>5</vt:i4>
      </vt:variant>
      <vt:variant>
        <vt:lpwstr>https://webarchive.nla.gov.au/awa/20170215181007/http://foodlabellingreview.gov.au/internet/foodlabelling/publishing.nsf/content/labelling-logic</vt:lpwstr>
      </vt:variant>
      <vt:variant>
        <vt:lpwstr/>
      </vt:variant>
      <vt:variant>
        <vt:i4>2097188</vt:i4>
      </vt:variant>
      <vt:variant>
        <vt:i4>66</vt:i4>
      </vt:variant>
      <vt:variant>
        <vt:i4>0</vt:i4>
      </vt:variant>
      <vt:variant>
        <vt:i4>5</vt:i4>
      </vt:variant>
      <vt:variant>
        <vt:lpwstr>https://foodregulation.gov.au/internet/fr/publishing.nsf/Content/publication-principles-point-of-sale-nutrition</vt:lpwstr>
      </vt:variant>
      <vt:variant>
        <vt:lpwstr/>
      </vt:variant>
      <vt:variant>
        <vt:i4>4849695</vt:i4>
      </vt:variant>
      <vt:variant>
        <vt:i4>63</vt:i4>
      </vt:variant>
      <vt:variant>
        <vt:i4>0</vt:i4>
      </vt:variant>
      <vt:variant>
        <vt:i4>5</vt:i4>
      </vt:variant>
      <vt:variant>
        <vt:lpwstr>https://foodregulation.gov.au/internet/fr/publishing.nsf/Content/key-system-documents</vt:lpwstr>
      </vt:variant>
      <vt:variant>
        <vt:lpwstr/>
      </vt:variant>
      <vt:variant>
        <vt:i4>2097205</vt:i4>
      </vt:variant>
      <vt:variant>
        <vt:i4>60</vt:i4>
      </vt:variant>
      <vt:variant>
        <vt:i4>0</vt:i4>
      </vt:variant>
      <vt:variant>
        <vt:i4>5</vt:i4>
      </vt:variant>
      <vt:variant>
        <vt:lpwstr>https://doi.org/10.1002/14651858.CD009315.pub2</vt:lpwstr>
      </vt:variant>
      <vt:variant>
        <vt:lpwstr/>
      </vt:variant>
      <vt:variant>
        <vt:i4>1704019</vt:i4>
      </vt:variant>
      <vt:variant>
        <vt:i4>57</vt:i4>
      </vt:variant>
      <vt:variant>
        <vt:i4>0</vt:i4>
      </vt:variant>
      <vt:variant>
        <vt:i4>5</vt:i4>
      </vt:variant>
      <vt:variant>
        <vt:lpwstr>https://www.mckinsey.com/industries/healthcare-systems-and-services/our-insights/how-the-world-could-better-fight-obesity</vt:lpwstr>
      </vt:variant>
      <vt:variant>
        <vt:lpwstr/>
      </vt:variant>
      <vt:variant>
        <vt:i4>3080249</vt:i4>
      </vt:variant>
      <vt:variant>
        <vt:i4>54</vt:i4>
      </vt:variant>
      <vt:variant>
        <vt:i4>0</vt:i4>
      </vt:variant>
      <vt:variant>
        <vt:i4>5</vt:i4>
      </vt:variant>
      <vt:variant>
        <vt:lpwstr>http://www.aceobesitypolicy.com.au/</vt:lpwstr>
      </vt:variant>
      <vt:variant>
        <vt:lpwstr/>
      </vt:variant>
      <vt:variant>
        <vt:i4>4522060</vt:i4>
      </vt:variant>
      <vt:variant>
        <vt:i4>51</vt:i4>
      </vt:variant>
      <vt:variant>
        <vt:i4>0</vt:i4>
      </vt:variant>
      <vt:variant>
        <vt:i4>5</vt:i4>
      </vt:variant>
      <vt:variant>
        <vt:lpwstr>https://www.wcrf.org/int/policy/nourishing/our-policy-framework-promote-healthy-diets-reduce-obesity</vt:lpwstr>
      </vt:variant>
      <vt:variant>
        <vt:lpwstr/>
      </vt:variant>
      <vt:variant>
        <vt:i4>720964</vt:i4>
      </vt:variant>
      <vt:variant>
        <vt:i4>48</vt:i4>
      </vt:variant>
      <vt:variant>
        <vt:i4>0</vt:i4>
      </vt:variant>
      <vt:variant>
        <vt:i4>5</vt:i4>
      </vt:variant>
      <vt:variant>
        <vt:lpwstr>https://www.stats.govt.nz/information-releases/household-expenditure-statistics-year-ended-june-2016</vt:lpwstr>
      </vt:variant>
      <vt:variant>
        <vt:lpwstr/>
      </vt:variant>
      <vt:variant>
        <vt:i4>2424875</vt:i4>
      </vt:variant>
      <vt:variant>
        <vt:i4>45</vt:i4>
      </vt:variant>
      <vt:variant>
        <vt:i4>0</vt:i4>
      </vt:variant>
      <vt:variant>
        <vt:i4>5</vt:i4>
      </vt:variant>
      <vt:variant>
        <vt:lpwstr>http://data.daff.gov.au/data/warehouse/9aat/2018/fdati9aat20180822/FoodDemandInAustralia_20180822_v1.0.0.pdf</vt:lpwstr>
      </vt:variant>
      <vt:variant>
        <vt:lpwstr/>
      </vt:variant>
      <vt:variant>
        <vt:i4>5570650</vt:i4>
      </vt:variant>
      <vt:variant>
        <vt:i4>42</vt:i4>
      </vt:variant>
      <vt:variant>
        <vt:i4>0</vt:i4>
      </vt:variant>
      <vt:variant>
        <vt:i4>5</vt:i4>
      </vt:variant>
      <vt:variant>
        <vt:lpwstr>http://www.roymorgan.com/findings/7602-food-delivery-services-march-2018-201805240625</vt:lpwstr>
      </vt:variant>
      <vt:variant>
        <vt:lpwstr/>
      </vt:variant>
      <vt:variant>
        <vt:i4>196677</vt:i4>
      </vt:variant>
      <vt:variant>
        <vt:i4>39</vt:i4>
      </vt:variant>
      <vt:variant>
        <vt:i4>0</vt:i4>
      </vt:variant>
      <vt:variant>
        <vt:i4>5</vt:i4>
      </vt:variant>
      <vt:variant>
        <vt:lpwstr>https://futurefood.com.au/blog/2019/06/eating-out-in-australia-takeaways-on-takeaways</vt:lpwstr>
      </vt:variant>
      <vt:variant>
        <vt:lpwstr/>
      </vt:variant>
      <vt:variant>
        <vt:i4>1900634</vt:i4>
      </vt:variant>
      <vt:variant>
        <vt:i4>36</vt:i4>
      </vt:variant>
      <vt:variant>
        <vt:i4>0</vt:i4>
      </vt:variant>
      <vt:variant>
        <vt:i4>5</vt:i4>
      </vt:variant>
      <vt:variant>
        <vt:lpwstr>https://www.emma.com.au/wp-content/uploads/2014/03/emma-Industry-Report_Out-of-Home-Dining_website-version.pdf</vt:lpwstr>
      </vt:variant>
      <vt:variant>
        <vt:lpwstr/>
      </vt:variant>
      <vt:variant>
        <vt:i4>4259866</vt:i4>
      </vt:variant>
      <vt:variant>
        <vt:i4>33</vt:i4>
      </vt:variant>
      <vt:variant>
        <vt:i4>0</vt:i4>
      </vt:variant>
      <vt:variant>
        <vt:i4>5</vt:i4>
      </vt:variant>
      <vt:variant>
        <vt:lpwstr>http://www.roymorgan.com/findings/7599-australian-eating-habits-eating-in-out-march-2018-201805290253</vt:lpwstr>
      </vt:variant>
      <vt:variant>
        <vt:lpwstr/>
      </vt:variant>
      <vt:variant>
        <vt:i4>1048592</vt:i4>
      </vt:variant>
      <vt:variant>
        <vt:i4>30</vt:i4>
      </vt:variant>
      <vt:variant>
        <vt:i4>0</vt:i4>
      </vt:variant>
      <vt:variant>
        <vt:i4>5</vt:i4>
      </vt:variant>
      <vt:variant>
        <vt:lpwstr>https://www.pwc.com.au/pdf/weighing-the-cost-of-obesity-final.pdf</vt:lpwstr>
      </vt:variant>
      <vt:variant>
        <vt:lpwstr/>
      </vt:variant>
      <vt:variant>
        <vt:i4>6619237</vt:i4>
      </vt:variant>
      <vt:variant>
        <vt:i4>27</vt:i4>
      </vt:variant>
      <vt:variant>
        <vt:i4>0</vt:i4>
      </vt:variant>
      <vt:variant>
        <vt:i4>5</vt:i4>
      </vt:variant>
      <vt:variant>
        <vt:lpwstr>http://www.obesityaustralia.org/points-of-view</vt:lpwstr>
      </vt:variant>
      <vt:variant>
        <vt:lpwstr/>
      </vt:variant>
      <vt:variant>
        <vt:i4>1048592</vt:i4>
      </vt:variant>
      <vt:variant>
        <vt:i4>24</vt:i4>
      </vt:variant>
      <vt:variant>
        <vt:i4>0</vt:i4>
      </vt:variant>
      <vt:variant>
        <vt:i4>5</vt:i4>
      </vt:variant>
      <vt:variant>
        <vt:lpwstr>https://www.pwc.com.au/pdf/weighing-the-cost-of-obesity-final.pdf</vt:lpwstr>
      </vt:variant>
      <vt:variant>
        <vt:lpwstr/>
      </vt:variant>
      <vt:variant>
        <vt:i4>327758</vt:i4>
      </vt:variant>
      <vt:variant>
        <vt:i4>21</vt:i4>
      </vt:variant>
      <vt:variant>
        <vt:i4>0</vt:i4>
      </vt:variant>
      <vt:variant>
        <vt:i4>5</vt:i4>
      </vt:variant>
      <vt:variant>
        <vt:lpwstr>https://onlinelibrary.wiley.com/doi/full/10.1111/1753-6405.12804</vt:lpwstr>
      </vt:variant>
      <vt:variant>
        <vt:lpwstr/>
      </vt:variant>
      <vt:variant>
        <vt:i4>6094919</vt:i4>
      </vt:variant>
      <vt:variant>
        <vt:i4>18</vt:i4>
      </vt:variant>
      <vt:variant>
        <vt:i4>0</vt:i4>
      </vt:variant>
      <vt:variant>
        <vt:i4>5</vt:i4>
      </vt:variant>
      <vt:variant>
        <vt:lpwstr>http://www.moh.govt.nz/notebook/nbbooks.nsf/0/F85C39E4495B9684CC257BD3006F6299/$file/health-loss-in-new-zealand-final.pdf</vt:lpwstr>
      </vt:variant>
      <vt:variant>
        <vt:lpwstr/>
      </vt:variant>
      <vt:variant>
        <vt:i4>4522054</vt:i4>
      </vt:variant>
      <vt:variant>
        <vt:i4>15</vt:i4>
      </vt:variant>
      <vt:variant>
        <vt:i4>0</vt:i4>
      </vt:variant>
      <vt:variant>
        <vt:i4>5</vt:i4>
      </vt:variant>
      <vt:variant>
        <vt:lpwstr>https://www.aihw.gov.au/reports/burden-of-disease/burden-disease-study-illness-death-2015/contents/table-of-contents</vt:lpwstr>
      </vt:variant>
      <vt:variant>
        <vt:lpwstr/>
      </vt:variant>
      <vt:variant>
        <vt:i4>6750315</vt:i4>
      </vt:variant>
      <vt:variant>
        <vt:i4>12</vt:i4>
      </vt:variant>
      <vt:variant>
        <vt:i4>0</vt:i4>
      </vt:variant>
      <vt:variant>
        <vt:i4>5</vt:i4>
      </vt:variant>
      <vt:variant>
        <vt:lpwstr>https://www.health.govt.nz/nz-health-statistics/health-statistics-and-data-sets/obesity-statistics</vt:lpwstr>
      </vt:variant>
      <vt:variant>
        <vt:lpwstr/>
      </vt:variant>
      <vt:variant>
        <vt:i4>65642</vt:i4>
      </vt:variant>
      <vt:variant>
        <vt:i4>9</vt:i4>
      </vt:variant>
      <vt:variant>
        <vt:i4>0</vt:i4>
      </vt:variant>
      <vt:variant>
        <vt:i4>5</vt:i4>
      </vt:variant>
      <vt:variant>
        <vt:lpwstr>https://www.abs.gov.au/ausstats/abs@.nsf/PrimaryMainFeatures/4364.0.55.001?OpenDocument</vt:lpwstr>
      </vt:variant>
      <vt:variant>
        <vt:lpwstr/>
      </vt:variant>
      <vt:variant>
        <vt:i4>8061045</vt:i4>
      </vt:variant>
      <vt:variant>
        <vt:i4>6</vt:i4>
      </vt:variant>
      <vt:variant>
        <vt:i4>0</vt:i4>
      </vt:variant>
      <vt:variant>
        <vt:i4>5</vt:i4>
      </vt:variant>
      <vt:variant>
        <vt:lpwstr>https://www.pmc.gov.au/sites/default/files/publications/COAG_best_practice_guide_2007.pdf</vt:lpwstr>
      </vt:variant>
      <vt:variant>
        <vt:lpwstr/>
      </vt:variant>
      <vt:variant>
        <vt:i4>2097188</vt:i4>
      </vt:variant>
      <vt:variant>
        <vt:i4>3</vt:i4>
      </vt:variant>
      <vt:variant>
        <vt:i4>0</vt:i4>
      </vt:variant>
      <vt:variant>
        <vt:i4>5</vt:i4>
      </vt:variant>
      <vt:variant>
        <vt:lpwstr>https://foodregulation.gov.au/internet/fr/publishing.nsf/Content/publication-principles-point-of-sale-nutrition</vt:lpwstr>
      </vt:variant>
      <vt:variant>
        <vt:lpwstr/>
      </vt:variant>
      <vt:variant>
        <vt:i4>2097188</vt:i4>
      </vt:variant>
      <vt:variant>
        <vt:i4>0</vt:i4>
      </vt:variant>
      <vt:variant>
        <vt:i4>0</vt:i4>
      </vt:variant>
      <vt:variant>
        <vt:i4>5</vt:i4>
      </vt:variant>
      <vt:variant>
        <vt:lpwstr>https://foodregulation.gov.au/internet/fr/publishing.nsf/Content/publication-principles-point-of-sale-nutrition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2021-02-02T03:38:00Z</dcterms:created>
  <dcterms:modified xsi:type="dcterms:W3CDTF">2021-02-02T03:59:00Z</dcterms:modified>
</cp:coreProperties>
</file>