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1BC1E" w14:textId="3B36C30B" w:rsidR="00202E08" w:rsidRPr="00E36891" w:rsidRDefault="00202E08" w:rsidP="00050D81">
      <w:pPr>
        <w:pStyle w:val="Covertitle"/>
        <w:rPr>
          <w:rFonts w:cs="Segoe UI Semilight"/>
          <w:b/>
          <w:color w:val="FFFFFF" w:themeColor="background1"/>
          <w:sz w:val="64"/>
          <w:szCs w:val="64"/>
        </w:rPr>
      </w:pPr>
      <w:bookmarkStart w:id="0" w:name="_Toc50103572"/>
      <w:r w:rsidRPr="00ED0134">
        <w:rPr>
          <w:rFonts w:cs="Segoe UI Semilight"/>
          <w:b/>
          <w:noProof/>
          <w:color w:val="FFFFFF" w:themeColor="background1"/>
          <w:sz w:val="64"/>
          <w:szCs w:val="64"/>
        </w:rPr>
        <w:drawing>
          <wp:anchor distT="0" distB="0" distL="114300" distR="114300" simplePos="0" relativeHeight="251658241" behindDoc="1" locked="0" layoutInCell="1" allowOverlap="1" wp14:anchorId="33BB6060" wp14:editId="64DE8B89">
            <wp:simplePos x="0" y="0"/>
            <wp:positionH relativeFrom="page">
              <wp:posOffset>108</wp:posOffset>
            </wp:positionH>
            <wp:positionV relativeFrom="page">
              <wp:posOffset>108</wp:posOffset>
            </wp:positionV>
            <wp:extent cx="7559998" cy="10693741"/>
            <wp:effectExtent l="0" t="0" r="3175" b="0"/>
            <wp:wrapNone/>
            <wp:docPr id="27870" name="Picture 27870" descr="This is the cover page of the scoping paper. It is titled Review of the Food Standards Australia New Zealand Act 1991, scoping paper for public consult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_portrait.png"/>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bookmarkStart w:id="1" w:name="_Ref51333482"/>
      <w:bookmarkEnd w:id="1"/>
      <w:sdt>
        <w:sdtPr>
          <w:rPr>
            <w:rFonts w:cs="Segoe UI Semilight"/>
            <w:b/>
            <w:color w:val="FFFFFF" w:themeColor="background1"/>
            <w:sz w:val="64"/>
            <w:szCs w:val="64"/>
          </w:rPr>
          <w:id w:val="-19247290"/>
          <w:docPartObj>
            <w:docPartGallery w:val="Cover Pages"/>
            <w:docPartUnique/>
          </w:docPartObj>
        </w:sdtPr>
        <w:sdtEndPr>
          <w:rPr>
            <w:sz w:val="36"/>
            <w:szCs w:val="36"/>
          </w:rPr>
        </w:sdtEndPr>
        <w:sdtContent>
          <w:sdt>
            <w:sdtPr>
              <w:rPr>
                <w:rFonts w:cs="Segoe UI Semilight"/>
                <w:b/>
                <w:color w:val="FFFFFF" w:themeColor="background1"/>
                <w:sz w:val="56"/>
                <w:szCs w:val="56"/>
              </w:rPr>
              <w:alias w:val="Title"/>
              <w:tag w:val=""/>
              <w:id w:val="-1928732261"/>
              <w:dataBinding w:prefixMappings="xmlns:ns0='http://purl.org/dc/elements/1.1/' xmlns:ns1='http://schemas.openxmlformats.org/package/2006/metadata/core-properties' " w:xpath="/ns1:coreProperties[1]/ns0:title[1]" w:storeItemID="{6C3C8BC8-F283-45AE-878A-BAB7291924A1}"/>
              <w:text/>
            </w:sdtPr>
            <w:sdtEndPr/>
            <w:sdtContent>
              <w:r w:rsidR="002F55D8" w:rsidRPr="002B6B3A">
                <w:rPr>
                  <w:rFonts w:cs="Segoe UI Semilight"/>
                  <w:b/>
                  <w:color w:val="FFFFFF" w:themeColor="background1"/>
                  <w:sz w:val="56"/>
                  <w:szCs w:val="56"/>
                </w:rPr>
                <w:t>Review of the Food Standards Australia New Zealand Act 1991</w:t>
              </w:r>
            </w:sdtContent>
          </w:sdt>
        </w:sdtContent>
      </w:sdt>
    </w:p>
    <w:p w14:paraId="6FBAC674" w14:textId="70CC0AB6" w:rsidR="00202E08" w:rsidRPr="00E8039F" w:rsidRDefault="00506AB3" w:rsidP="00050D81">
      <w:pPr>
        <w:pStyle w:val="CoverPage-Client"/>
        <w:spacing w:before="360"/>
        <w:rPr>
          <w:rFonts w:cs="Segoe UI Semilight"/>
          <w:color w:val="FFFFFF" w:themeColor="background1"/>
        </w:rPr>
      </w:pPr>
      <w:sdt>
        <w:sdtPr>
          <w:rPr>
            <w:rStyle w:val="CoverPage-ClientChar"/>
            <w:rFonts w:cs="Segoe UI Semilight"/>
            <w:color w:val="FFFFFF" w:themeColor="background1"/>
          </w:rPr>
          <w:alias w:val="Subject"/>
          <w:tag w:val=""/>
          <w:id w:val="1376127169"/>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8D579B" w:rsidRPr="00E8039F">
            <w:rPr>
              <w:rStyle w:val="CoverPage-ClientChar"/>
              <w:rFonts w:cs="Segoe UI Semilight"/>
              <w:color w:val="FFFFFF" w:themeColor="background1"/>
            </w:rPr>
            <w:t>Scoping paper for public consultation</w:t>
          </w:r>
        </w:sdtContent>
      </w:sdt>
    </w:p>
    <w:p w14:paraId="6B5C3E35" w14:textId="6683F249" w:rsidR="00202E08" w:rsidRPr="00CB74D5" w:rsidRDefault="00506AB3" w:rsidP="00050D81">
      <w:pPr>
        <w:pStyle w:val="CoverPage-Date"/>
        <w:spacing w:before="240"/>
      </w:pPr>
      <w:sdt>
        <w:sdtPr>
          <w:rPr>
            <w:rStyle w:val="CoverPage-DateChar"/>
            <w:rFonts w:cs="Segoe UI Semilight"/>
            <w:color w:val="FFFFFF" w:themeColor="background1"/>
            <w:sz w:val="20"/>
            <w:szCs w:val="20"/>
          </w:rPr>
          <w:alias w:val="Publish Date"/>
          <w:tag w:val=""/>
          <w:id w:val="442437230"/>
          <w:dataBinding w:prefixMappings="xmlns:ns0='http://schemas.microsoft.com/office/2006/coverPageProps' " w:xpath="/ns0:CoverPageProperties[1]/ns0:PublishDate[1]" w:storeItemID="{55AF091B-3C7A-41E3-B477-F2FDAA23CFDA}"/>
          <w:date w:fullDate="2020-10-02T00:00:00Z">
            <w:dateFormat w:val="d MMMM yyyy"/>
            <w:lid w:val="en-AU"/>
            <w:storeMappedDataAs w:val="dateTime"/>
            <w:calendar w:val="gregorian"/>
          </w:date>
        </w:sdtPr>
        <w:sdtEndPr>
          <w:rPr>
            <w:rStyle w:val="DefaultParagraphFont"/>
            <w:rFonts w:cs="Times New Roman"/>
            <w:color w:val="00264D" w:themeColor="background2"/>
            <w:sz w:val="24"/>
            <w:szCs w:val="19"/>
          </w:rPr>
        </w:sdtEndPr>
        <w:sdtContent>
          <w:r w:rsidR="00E77E48">
            <w:rPr>
              <w:rStyle w:val="CoverPage-DateChar"/>
              <w:rFonts w:cs="Segoe UI Semilight"/>
              <w:color w:val="FFFFFF" w:themeColor="background1"/>
              <w:sz w:val="20"/>
              <w:szCs w:val="20"/>
            </w:rPr>
            <w:t>2</w:t>
          </w:r>
          <w:r w:rsidR="00EA20FA">
            <w:rPr>
              <w:rStyle w:val="CoverPage-DateChar"/>
              <w:rFonts w:cs="Segoe UI Semilight"/>
              <w:color w:val="FFFFFF" w:themeColor="background1"/>
              <w:sz w:val="20"/>
              <w:szCs w:val="20"/>
            </w:rPr>
            <w:t xml:space="preserve"> </w:t>
          </w:r>
          <w:r w:rsidR="009C2217">
            <w:rPr>
              <w:rStyle w:val="CoverPage-DateChar"/>
              <w:rFonts w:cs="Segoe UI Semilight"/>
              <w:color w:val="FFFFFF" w:themeColor="background1"/>
              <w:sz w:val="20"/>
              <w:szCs w:val="20"/>
            </w:rPr>
            <w:t>October</w:t>
          </w:r>
          <w:r w:rsidR="00EA20FA">
            <w:rPr>
              <w:rStyle w:val="CoverPage-DateChar"/>
              <w:rFonts w:cs="Segoe UI Semilight"/>
              <w:color w:val="FFFFFF" w:themeColor="background1"/>
              <w:sz w:val="20"/>
              <w:szCs w:val="20"/>
            </w:rPr>
            <w:t xml:space="preserve"> 2020</w:t>
          </w:r>
        </w:sdtContent>
      </w:sdt>
    </w:p>
    <w:p w14:paraId="4CCB7103" w14:textId="77777777" w:rsidR="00202E08" w:rsidRDefault="00202E08" w:rsidP="00050D81">
      <w:pPr>
        <w:suppressAutoHyphens/>
        <w:spacing w:after="0" w:line="680" w:lineRule="exact"/>
        <w:sectPr w:rsidR="00202E08" w:rsidSect="00050D81">
          <w:headerReference w:type="even" r:id="rId13"/>
          <w:footerReference w:type="default" r:id="rId14"/>
          <w:headerReference w:type="first" r:id="rId15"/>
          <w:pgSz w:w="11907" w:h="16839" w:code="9"/>
          <w:pgMar w:top="11907" w:right="1418" w:bottom="1701" w:left="1559" w:header="737" w:footer="567" w:gutter="0"/>
          <w:pgNumType w:start="0"/>
          <w:cols w:space="720"/>
          <w:titlePg/>
          <w:docGrid w:linePitch="360"/>
        </w:sectPr>
      </w:pPr>
    </w:p>
    <w:bookmarkStart w:id="2" w:name="_Toc52179118" w:displacedByCustomXml="next"/>
    <w:sdt>
      <w:sdtPr>
        <w:rPr>
          <w:rFonts w:ascii="Segoe UI" w:eastAsiaTheme="minorHAnsi" w:hAnsi="Segoe UI" w:cstheme="minorBidi"/>
          <w:color w:val="auto"/>
          <w:sz w:val="19"/>
          <w:szCs w:val="22"/>
          <w:lang w:eastAsia="en-US"/>
        </w:rPr>
        <w:id w:val="-1531246342"/>
        <w:docPartObj>
          <w:docPartGallery w:val="Table of Contents"/>
          <w:docPartUnique/>
        </w:docPartObj>
      </w:sdtPr>
      <w:sdtEndPr>
        <w:rPr>
          <w:b/>
          <w:bCs/>
          <w:noProof/>
        </w:rPr>
      </w:sdtEndPr>
      <w:sdtContent>
        <w:p w14:paraId="4352CE55" w14:textId="3F877365" w:rsidR="008D579B" w:rsidRDefault="008D579B" w:rsidP="00E35413">
          <w:pPr>
            <w:pStyle w:val="Heading2"/>
            <w:numPr>
              <w:ilvl w:val="0"/>
              <w:numId w:val="0"/>
            </w:numPr>
            <w:ind w:left="576" w:hanging="576"/>
            <w:rPr>
              <w:rStyle w:val="Heading1Char"/>
              <w:rFonts w:eastAsiaTheme="majorEastAsia"/>
            </w:rPr>
          </w:pPr>
          <w:r w:rsidRPr="00D66C9D">
            <w:rPr>
              <w:rStyle w:val="Heading1Char"/>
              <w:rFonts w:eastAsiaTheme="majorEastAsia"/>
            </w:rPr>
            <w:t>Contents</w:t>
          </w:r>
          <w:bookmarkEnd w:id="2"/>
        </w:p>
        <w:p w14:paraId="3340F463" w14:textId="2F13C829" w:rsidR="00A206DE" w:rsidRPr="00626614" w:rsidRDefault="008C38BE">
          <w:pPr>
            <w:pStyle w:val="TOC2"/>
            <w:rPr>
              <w:rFonts w:asciiTheme="minorHAnsi" w:eastAsiaTheme="minorEastAsia" w:hAnsiTheme="minorHAnsi"/>
              <w:noProof/>
              <w:sz w:val="16"/>
              <w:szCs w:val="16"/>
              <w:lang w:val="en-AU" w:eastAsia="en-AU"/>
            </w:rPr>
          </w:pPr>
          <w:r>
            <w:rPr>
              <w:b/>
              <w:bCs/>
            </w:rPr>
            <w:fldChar w:fldCharType="begin"/>
          </w:r>
          <w:r>
            <w:rPr>
              <w:b/>
              <w:bCs/>
            </w:rPr>
            <w:instrText xml:space="preserve"> TOC \o "1-2" \h \z \u </w:instrText>
          </w:r>
          <w:r>
            <w:rPr>
              <w:b/>
              <w:bCs/>
            </w:rPr>
            <w:fldChar w:fldCharType="separate"/>
          </w:r>
        </w:p>
        <w:p w14:paraId="5DEC4468" w14:textId="2C64EC4D" w:rsidR="00A206DE" w:rsidRPr="00626614" w:rsidRDefault="00506AB3">
          <w:pPr>
            <w:pStyle w:val="TOC1"/>
            <w:rPr>
              <w:rFonts w:asciiTheme="minorHAnsi" w:eastAsiaTheme="minorEastAsia" w:hAnsiTheme="minorHAnsi"/>
              <w:sz w:val="16"/>
              <w:szCs w:val="16"/>
              <w:lang w:val="en-AU" w:eastAsia="en-AU"/>
            </w:rPr>
          </w:pPr>
          <w:hyperlink w:anchor="_Toc52179119" w:history="1">
            <w:r w:rsidR="00A206DE" w:rsidRPr="00626614">
              <w:rPr>
                <w:rStyle w:val="Hyperlink"/>
                <w:sz w:val="16"/>
                <w:szCs w:val="16"/>
              </w:rPr>
              <w:t>Executive summary</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_Toc52179119 \h </w:instrText>
            </w:r>
            <w:r w:rsidR="00A206DE" w:rsidRPr="00626614">
              <w:rPr>
                <w:webHidden/>
                <w:sz w:val="16"/>
                <w:szCs w:val="16"/>
              </w:rPr>
            </w:r>
            <w:r w:rsidR="00A206DE" w:rsidRPr="00626614">
              <w:rPr>
                <w:webHidden/>
                <w:sz w:val="16"/>
                <w:szCs w:val="16"/>
              </w:rPr>
              <w:fldChar w:fldCharType="separate"/>
            </w:r>
            <w:r w:rsidR="001C5CC6">
              <w:rPr>
                <w:webHidden/>
                <w:sz w:val="16"/>
                <w:szCs w:val="16"/>
              </w:rPr>
              <w:t>2</w:t>
            </w:r>
            <w:r w:rsidR="00A206DE" w:rsidRPr="00626614">
              <w:rPr>
                <w:webHidden/>
                <w:sz w:val="16"/>
                <w:szCs w:val="16"/>
              </w:rPr>
              <w:fldChar w:fldCharType="end"/>
            </w:r>
          </w:hyperlink>
        </w:p>
        <w:p w14:paraId="4C092215" w14:textId="224BFE1B" w:rsidR="00A206DE" w:rsidRPr="00626614" w:rsidRDefault="00506AB3">
          <w:pPr>
            <w:pStyle w:val="TOC1"/>
            <w:rPr>
              <w:rFonts w:asciiTheme="minorHAnsi" w:eastAsiaTheme="minorEastAsia" w:hAnsiTheme="minorHAnsi"/>
              <w:sz w:val="16"/>
              <w:szCs w:val="16"/>
              <w:lang w:val="en-AU" w:eastAsia="en-AU"/>
            </w:rPr>
          </w:pPr>
          <w:hyperlink w:anchor="_Toc52179120" w:history="1">
            <w:r w:rsidR="00A206DE" w:rsidRPr="00626614">
              <w:rPr>
                <w:rStyle w:val="Hyperlink"/>
                <w:sz w:val="16"/>
                <w:szCs w:val="16"/>
              </w:rPr>
              <w:t>1</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Background and context to the Review</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_Toc52179120 \h </w:instrText>
            </w:r>
            <w:r w:rsidR="00A206DE" w:rsidRPr="00626614">
              <w:rPr>
                <w:webHidden/>
                <w:sz w:val="16"/>
                <w:szCs w:val="16"/>
              </w:rPr>
            </w:r>
            <w:r w:rsidR="00A206DE" w:rsidRPr="00626614">
              <w:rPr>
                <w:webHidden/>
                <w:sz w:val="16"/>
                <w:szCs w:val="16"/>
              </w:rPr>
              <w:fldChar w:fldCharType="separate"/>
            </w:r>
            <w:r w:rsidR="001C5CC6">
              <w:rPr>
                <w:webHidden/>
                <w:sz w:val="16"/>
                <w:szCs w:val="16"/>
              </w:rPr>
              <w:t>8</w:t>
            </w:r>
            <w:r w:rsidR="00A206DE" w:rsidRPr="00626614">
              <w:rPr>
                <w:webHidden/>
                <w:sz w:val="16"/>
                <w:szCs w:val="16"/>
              </w:rPr>
              <w:fldChar w:fldCharType="end"/>
            </w:r>
          </w:hyperlink>
        </w:p>
        <w:p w14:paraId="156D6F20" w14:textId="796C5405" w:rsidR="00A206DE" w:rsidRPr="00626614" w:rsidRDefault="00506AB3">
          <w:pPr>
            <w:pStyle w:val="TOC2"/>
            <w:rPr>
              <w:rFonts w:asciiTheme="minorHAnsi" w:eastAsiaTheme="minorEastAsia" w:hAnsiTheme="minorHAnsi"/>
              <w:noProof/>
              <w:sz w:val="16"/>
              <w:szCs w:val="16"/>
              <w:lang w:val="en-AU" w:eastAsia="en-AU"/>
            </w:rPr>
          </w:pPr>
          <w:hyperlink w:anchor="_Toc52179121" w:history="1">
            <w:r w:rsidR="00A206DE" w:rsidRPr="00626614">
              <w:rPr>
                <w:rStyle w:val="Hyperlink"/>
                <w:noProof/>
                <w:sz w:val="16"/>
                <w:szCs w:val="16"/>
              </w:rPr>
              <w:t>1.1</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There is a clear, ongoing need for regulation of food</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_Toc52179121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9</w:t>
            </w:r>
            <w:r w:rsidR="00A206DE" w:rsidRPr="00626614">
              <w:rPr>
                <w:noProof/>
                <w:webHidden/>
                <w:sz w:val="16"/>
                <w:szCs w:val="16"/>
              </w:rPr>
              <w:fldChar w:fldCharType="end"/>
            </w:r>
          </w:hyperlink>
        </w:p>
        <w:p w14:paraId="224CDCE4" w14:textId="7630DF0A" w:rsidR="00A206DE" w:rsidRPr="00626614" w:rsidRDefault="00506AB3">
          <w:pPr>
            <w:pStyle w:val="TOC2"/>
            <w:rPr>
              <w:rFonts w:asciiTheme="minorHAnsi" w:eastAsiaTheme="minorEastAsia" w:hAnsiTheme="minorHAnsi"/>
              <w:noProof/>
              <w:sz w:val="16"/>
              <w:szCs w:val="16"/>
              <w:lang w:val="en-AU" w:eastAsia="en-AU"/>
            </w:rPr>
          </w:pPr>
          <w:hyperlink w:anchor="_Toc52179122" w:history="1">
            <w:r w:rsidR="00A206DE" w:rsidRPr="00626614">
              <w:rPr>
                <w:rStyle w:val="Hyperlink"/>
                <w:noProof/>
                <w:sz w:val="16"/>
                <w:szCs w:val="16"/>
              </w:rPr>
              <w:t>1.2</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The food regulatory system can be improved, but it is not broken</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_Toc52179122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9</w:t>
            </w:r>
            <w:r w:rsidR="00A206DE" w:rsidRPr="00626614">
              <w:rPr>
                <w:noProof/>
                <w:webHidden/>
                <w:sz w:val="16"/>
                <w:szCs w:val="16"/>
              </w:rPr>
              <w:fldChar w:fldCharType="end"/>
            </w:r>
          </w:hyperlink>
        </w:p>
        <w:p w14:paraId="79C2EE7E" w14:textId="579245F8" w:rsidR="00A206DE" w:rsidRPr="00626614" w:rsidRDefault="00506AB3">
          <w:pPr>
            <w:pStyle w:val="TOC2"/>
            <w:rPr>
              <w:rFonts w:asciiTheme="minorHAnsi" w:eastAsiaTheme="minorEastAsia" w:hAnsiTheme="minorHAnsi"/>
              <w:noProof/>
              <w:sz w:val="16"/>
              <w:szCs w:val="16"/>
              <w:lang w:val="en-AU" w:eastAsia="en-AU"/>
            </w:rPr>
          </w:pPr>
          <w:hyperlink w:anchor="_Toc52179123" w:history="1">
            <w:r w:rsidR="00A206DE" w:rsidRPr="00626614">
              <w:rPr>
                <w:rStyle w:val="Hyperlink"/>
                <w:noProof/>
                <w:sz w:val="16"/>
                <w:szCs w:val="16"/>
              </w:rPr>
              <w:t>1.3</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The Act is almost 30 years old and has not kept up with changes in practice</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_Toc52179123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10</w:t>
            </w:r>
            <w:r w:rsidR="00A206DE" w:rsidRPr="00626614">
              <w:rPr>
                <w:noProof/>
                <w:webHidden/>
                <w:sz w:val="16"/>
                <w:szCs w:val="16"/>
              </w:rPr>
              <w:fldChar w:fldCharType="end"/>
            </w:r>
          </w:hyperlink>
        </w:p>
        <w:p w14:paraId="4644458B" w14:textId="24827062" w:rsidR="00A206DE" w:rsidRPr="00626614" w:rsidRDefault="00506AB3">
          <w:pPr>
            <w:pStyle w:val="TOC2"/>
            <w:rPr>
              <w:rFonts w:asciiTheme="minorHAnsi" w:eastAsiaTheme="minorEastAsia" w:hAnsiTheme="minorHAnsi"/>
              <w:noProof/>
              <w:sz w:val="16"/>
              <w:szCs w:val="16"/>
              <w:lang w:val="en-AU" w:eastAsia="en-AU"/>
            </w:rPr>
          </w:pPr>
          <w:hyperlink w:anchor="_Toc52179124" w:history="1">
            <w:r w:rsidR="00A206DE" w:rsidRPr="00626614">
              <w:rPr>
                <w:rStyle w:val="Hyperlink"/>
                <w:noProof/>
                <w:sz w:val="16"/>
                <w:szCs w:val="16"/>
              </w:rPr>
              <w:t>1.4</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Five focus areas have been identified for this Review</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_Toc52179124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11</w:t>
            </w:r>
            <w:r w:rsidR="00A206DE" w:rsidRPr="00626614">
              <w:rPr>
                <w:noProof/>
                <w:webHidden/>
                <w:sz w:val="16"/>
                <w:szCs w:val="16"/>
              </w:rPr>
              <w:fldChar w:fldCharType="end"/>
            </w:r>
          </w:hyperlink>
        </w:p>
        <w:p w14:paraId="442CC362" w14:textId="0F5DEEF2" w:rsidR="00A206DE" w:rsidRPr="00626614" w:rsidRDefault="00506AB3">
          <w:pPr>
            <w:pStyle w:val="TOC1"/>
            <w:rPr>
              <w:rFonts w:asciiTheme="minorHAnsi" w:eastAsiaTheme="minorEastAsia" w:hAnsiTheme="minorHAnsi"/>
              <w:sz w:val="16"/>
              <w:szCs w:val="16"/>
              <w:lang w:val="en-AU" w:eastAsia="en-AU"/>
            </w:rPr>
          </w:pPr>
          <w:hyperlink w:anchor="_Toc52179125" w:history="1">
            <w:r w:rsidR="00A206DE" w:rsidRPr="00626614">
              <w:rPr>
                <w:rStyle w:val="Hyperlink"/>
                <w:sz w:val="16"/>
                <w:szCs w:val="16"/>
              </w:rPr>
              <w:t>2</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Objectives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_Toc52179125 \h </w:instrText>
            </w:r>
            <w:r w:rsidR="00A206DE" w:rsidRPr="00626614">
              <w:rPr>
                <w:webHidden/>
                <w:sz w:val="16"/>
                <w:szCs w:val="16"/>
              </w:rPr>
            </w:r>
            <w:r w:rsidR="00A206DE" w:rsidRPr="00626614">
              <w:rPr>
                <w:webHidden/>
                <w:sz w:val="16"/>
                <w:szCs w:val="16"/>
              </w:rPr>
              <w:fldChar w:fldCharType="separate"/>
            </w:r>
            <w:r w:rsidR="001C5CC6">
              <w:rPr>
                <w:webHidden/>
                <w:sz w:val="16"/>
                <w:szCs w:val="16"/>
              </w:rPr>
              <w:t>12</w:t>
            </w:r>
            <w:r w:rsidR="00A206DE" w:rsidRPr="00626614">
              <w:rPr>
                <w:webHidden/>
                <w:sz w:val="16"/>
                <w:szCs w:val="16"/>
              </w:rPr>
              <w:fldChar w:fldCharType="end"/>
            </w:r>
          </w:hyperlink>
        </w:p>
        <w:p w14:paraId="045050EF" w14:textId="3BA68B45" w:rsidR="00A206DE" w:rsidRPr="00626614" w:rsidRDefault="00506AB3">
          <w:pPr>
            <w:pStyle w:val="TOC2"/>
            <w:rPr>
              <w:rFonts w:asciiTheme="minorHAnsi" w:eastAsiaTheme="minorEastAsia" w:hAnsiTheme="minorHAnsi"/>
              <w:noProof/>
              <w:sz w:val="16"/>
              <w:szCs w:val="16"/>
              <w:lang w:val="en-AU" w:eastAsia="en-AU"/>
            </w:rPr>
          </w:pPr>
          <w:hyperlink w:anchor="_Toc52179126" w:history="1">
            <w:r w:rsidR="00A206DE" w:rsidRPr="00626614">
              <w:rPr>
                <w:rStyle w:val="Hyperlink"/>
                <w:noProof/>
                <w:sz w:val="16"/>
                <w:szCs w:val="16"/>
              </w:rPr>
              <w:t>2.1</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Regulatory and non-regulatory objectives for the food system need to be clarified</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_Toc52179126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13</w:t>
            </w:r>
            <w:r w:rsidR="00A206DE" w:rsidRPr="00626614">
              <w:rPr>
                <w:noProof/>
                <w:webHidden/>
                <w:sz w:val="16"/>
                <w:szCs w:val="16"/>
              </w:rPr>
              <w:fldChar w:fldCharType="end"/>
            </w:r>
          </w:hyperlink>
        </w:p>
        <w:p w14:paraId="183D9B7F" w14:textId="606F27DC" w:rsidR="00A206DE" w:rsidRPr="00626614" w:rsidRDefault="00506AB3">
          <w:pPr>
            <w:pStyle w:val="TOC2"/>
            <w:rPr>
              <w:rFonts w:asciiTheme="minorHAnsi" w:eastAsiaTheme="minorEastAsia" w:hAnsiTheme="minorHAnsi"/>
              <w:noProof/>
              <w:sz w:val="16"/>
              <w:szCs w:val="16"/>
              <w:lang w:val="en-AU" w:eastAsia="en-AU"/>
            </w:rPr>
          </w:pPr>
          <w:hyperlink w:anchor="_Toc52179127" w:history="1">
            <w:r w:rsidR="00A206DE" w:rsidRPr="00626614">
              <w:rPr>
                <w:rStyle w:val="Hyperlink"/>
                <w:noProof/>
                <w:sz w:val="16"/>
                <w:szCs w:val="16"/>
              </w:rPr>
              <w:t>2.2</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Legislative changes may clarify the Act’s objectives</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_Toc52179127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16</w:t>
            </w:r>
            <w:r w:rsidR="00A206DE" w:rsidRPr="00626614">
              <w:rPr>
                <w:noProof/>
                <w:webHidden/>
                <w:sz w:val="16"/>
                <w:szCs w:val="16"/>
              </w:rPr>
              <w:fldChar w:fldCharType="end"/>
            </w:r>
          </w:hyperlink>
        </w:p>
        <w:p w14:paraId="0E83133C" w14:textId="2BB6EA8B" w:rsidR="00A206DE" w:rsidRPr="00626614" w:rsidRDefault="00506AB3">
          <w:pPr>
            <w:pStyle w:val="TOC1"/>
            <w:rPr>
              <w:rFonts w:asciiTheme="minorHAnsi" w:eastAsiaTheme="minorEastAsia" w:hAnsiTheme="minorHAnsi"/>
              <w:sz w:val="16"/>
              <w:szCs w:val="16"/>
              <w:lang w:val="en-AU" w:eastAsia="en-AU"/>
            </w:rPr>
          </w:pPr>
          <w:hyperlink w:anchor="_Toc52179128" w:history="1">
            <w:r w:rsidR="00A206DE" w:rsidRPr="00626614">
              <w:rPr>
                <w:rStyle w:val="Hyperlink"/>
                <w:sz w:val="16"/>
                <w:szCs w:val="16"/>
              </w:rPr>
              <w:t>3</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Functions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_Toc52179128 \h </w:instrText>
            </w:r>
            <w:r w:rsidR="00A206DE" w:rsidRPr="00626614">
              <w:rPr>
                <w:webHidden/>
                <w:sz w:val="16"/>
                <w:szCs w:val="16"/>
              </w:rPr>
            </w:r>
            <w:r w:rsidR="00A206DE" w:rsidRPr="00626614">
              <w:rPr>
                <w:webHidden/>
                <w:sz w:val="16"/>
                <w:szCs w:val="16"/>
              </w:rPr>
              <w:fldChar w:fldCharType="separate"/>
            </w:r>
            <w:r w:rsidR="001C5CC6">
              <w:rPr>
                <w:webHidden/>
                <w:sz w:val="16"/>
                <w:szCs w:val="16"/>
              </w:rPr>
              <w:t>19</w:t>
            </w:r>
            <w:r w:rsidR="00A206DE" w:rsidRPr="00626614">
              <w:rPr>
                <w:webHidden/>
                <w:sz w:val="16"/>
                <w:szCs w:val="16"/>
              </w:rPr>
              <w:fldChar w:fldCharType="end"/>
            </w:r>
          </w:hyperlink>
        </w:p>
        <w:p w14:paraId="55858BD5" w14:textId="66760859" w:rsidR="00A206DE" w:rsidRPr="00626614" w:rsidRDefault="00506AB3">
          <w:pPr>
            <w:pStyle w:val="TOC2"/>
            <w:rPr>
              <w:rFonts w:asciiTheme="minorHAnsi" w:eastAsiaTheme="minorEastAsia" w:hAnsiTheme="minorHAnsi"/>
              <w:noProof/>
              <w:sz w:val="16"/>
              <w:szCs w:val="16"/>
              <w:lang w:val="en-AU" w:eastAsia="en-AU"/>
            </w:rPr>
          </w:pPr>
          <w:hyperlink w:anchor="_Toc52179129" w:history="1">
            <w:r w:rsidR="00A206DE" w:rsidRPr="00626614">
              <w:rPr>
                <w:rStyle w:val="Hyperlink"/>
                <w:noProof/>
                <w:sz w:val="16"/>
                <w:szCs w:val="16"/>
              </w:rPr>
              <w:t>3.1</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FSANZ’s statutory functions could be clarified</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_Toc52179129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19</w:t>
            </w:r>
            <w:r w:rsidR="00A206DE" w:rsidRPr="00626614">
              <w:rPr>
                <w:noProof/>
                <w:webHidden/>
                <w:sz w:val="16"/>
                <w:szCs w:val="16"/>
              </w:rPr>
              <w:fldChar w:fldCharType="end"/>
            </w:r>
          </w:hyperlink>
        </w:p>
        <w:p w14:paraId="7F525C91" w14:textId="67B805B8" w:rsidR="00A206DE" w:rsidRPr="00626614" w:rsidRDefault="00506AB3">
          <w:pPr>
            <w:pStyle w:val="TOC2"/>
            <w:rPr>
              <w:rFonts w:asciiTheme="minorHAnsi" w:eastAsiaTheme="minorEastAsia" w:hAnsiTheme="minorHAnsi"/>
              <w:noProof/>
              <w:sz w:val="16"/>
              <w:szCs w:val="16"/>
              <w:lang w:val="en-AU" w:eastAsia="en-AU"/>
            </w:rPr>
          </w:pPr>
          <w:hyperlink w:anchor="_Toc52179130" w:history="1">
            <w:r w:rsidR="00A206DE" w:rsidRPr="00626614">
              <w:rPr>
                <w:rStyle w:val="Hyperlink"/>
                <w:noProof/>
                <w:sz w:val="16"/>
                <w:szCs w:val="16"/>
              </w:rPr>
              <w:t>3.2</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Statutory functions could be amended to reflect FSANZ’s agreed scope of practice</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_Toc52179130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21</w:t>
            </w:r>
            <w:r w:rsidR="00A206DE" w:rsidRPr="00626614">
              <w:rPr>
                <w:noProof/>
                <w:webHidden/>
                <w:sz w:val="16"/>
                <w:szCs w:val="16"/>
              </w:rPr>
              <w:fldChar w:fldCharType="end"/>
            </w:r>
          </w:hyperlink>
        </w:p>
        <w:p w14:paraId="15B61FFD" w14:textId="038EC043" w:rsidR="00A206DE" w:rsidRPr="00626614" w:rsidRDefault="00506AB3">
          <w:pPr>
            <w:pStyle w:val="TOC1"/>
            <w:rPr>
              <w:rFonts w:asciiTheme="minorHAnsi" w:eastAsiaTheme="minorEastAsia" w:hAnsiTheme="minorHAnsi"/>
              <w:sz w:val="16"/>
              <w:szCs w:val="16"/>
              <w:lang w:val="en-AU" w:eastAsia="en-AU"/>
            </w:rPr>
          </w:pPr>
          <w:hyperlink w:anchor="_Toc52179131" w:history="1">
            <w:r w:rsidR="00A206DE" w:rsidRPr="00626614">
              <w:rPr>
                <w:rStyle w:val="Hyperlink"/>
                <w:sz w:val="16"/>
                <w:szCs w:val="16"/>
              </w:rPr>
              <w:t>4</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Legislative processes and decision-making arrangements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_Toc52179131 \h </w:instrText>
            </w:r>
            <w:r w:rsidR="00A206DE" w:rsidRPr="00626614">
              <w:rPr>
                <w:webHidden/>
                <w:sz w:val="16"/>
                <w:szCs w:val="16"/>
              </w:rPr>
            </w:r>
            <w:r w:rsidR="00A206DE" w:rsidRPr="00626614">
              <w:rPr>
                <w:webHidden/>
                <w:sz w:val="16"/>
                <w:szCs w:val="16"/>
              </w:rPr>
              <w:fldChar w:fldCharType="separate"/>
            </w:r>
            <w:r w:rsidR="001C5CC6">
              <w:rPr>
                <w:webHidden/>
                <w:sz w:val="16"/>
                <w:szCs w:val="16"/>
              </w:rPr>
              <w:t>24</w:t>
            </w:r>
            <w:r w:rsidR="00A206DE" w:rsidRPr="00626614">
              <w:rPr>
                <w:webHidden/>
                <w:sz w:val="16"/>
                <w:szCs w:val="16"/>
              </w:rPr>
              <w:fldChar w:fldCharType="end"/>
            </w:r>
          </w:hyperlink>
        </w:p>
        <w:p w14:paraId="06F5E363" w14:textId="40321988" w:rsidR="00A206DE" w:rsidRPr="00626614" w:rsidRDefault="00506AB3">
          <w:pPr>
            <w:pStyle w:val="TOC2"/>
            <w:rPr>
              <w:rFonts w:asciiTheme="minorHAnsi" w:eastAsiaTheme="minorEastAsia" w:hAnsiTheme="minorHAnsi"/>
              <w:noProof/>
              <w:sz w:val="16"/>
              <w:szCs w:val="16"/>
              <w:lang w:val="en-AU" w:eastAsia="en-AU"/>
            </w:rPr>
          </w:pPr>
          <w:hyperlink w:anchor="_Toc52179132" w:history="1">
            <w:r w:rsidR="00A206DE" w:rsidRPr="00626614">
              <w:rPr>
                <w:rStyle w:val="Hyperlink"/>
                <w:noProof/>
                <w:sz w:val="16"/>
                <w:szCs w:val="16"/>
              </w:rPr>
              <w:t>4.1</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There are currently limited mechanisms for holistic reviews of standards to ensure they remain suitable and fit-for-purpose</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_Toc52179132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25</w:t>
            </w:r>
            <w:r w:rsidR="00A206DE" w:rsidRPr="00626614">
              <w:rPr>
                <w:noProof/>
                <w:webHidden/>
                <w:sz w:val="16"/>
                <w:szCs w:val="16"/>
              </w:rPr>
              <w:fldChar w:fldCharType="end"/>
            </w:r>
          </w:hyperlink>
        </w:p>
        <w:p w14:paraId="22210277" w14:textId="6E28A467" w:rsidR="00A206DE" w:rsidRPr="00626614" w:rsidRDefault="00506AB3">
          <w:pPr>
            <w:pStyle w:val="TOC2"/>
            <w:rPr>
              <w:rFonts w:asciiTheme="minorHAnsi" w:eastAsiaTheme="minorEastAsia" w:hAnsiTheme="minorHAnsi"/>
              <w:noProof/>
              <w:sz w:val="16"/>
              <w:szCs w:val="16"/>
              <w:lang w:val="en-AU" w:eastAsia="en-AU"/>
            </w:rPr>
          </w:pPr>
          <w:hyperlink w:anchor="_Toc52179133" w:history="1">
            <w:r w:rsidR="00A206DE" w:rsidRPr="00626614">
              <w:rPr>
                <w:rStyle w:val="Hyperlink"/>
                <w:noProof/>
                <w:sz w:val="16"/>
                <w:szCs w:val="16"/>
              </w:rPr>
              <w:t>4.2</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A strategic approach to reviewing standards could better future-proof the regulatory framework</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_Toc52179133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26</w:t>
            </w:r>
            <w:r w:rsidR="00A206DE" w:rsidRPr="00626614">
              <w:rPr>
                <w:noProof/>
                <w:webHidden/>
                <w:sz w:val="16"/>
                <w:szCs w:val="16"/>
              </w:rPr>
              <w:fldChar w:fldCharType="end"/>
            </w:r>
          </w:hyperlink>
        </w:p>
        <w:p w14:paraId="67685D3B" w14:textId="06DBC8ED" w:rsidR="00A206DE" w:rsidRPr="00626614" w:rsidRDefault="00506AB3">
          <w:pPr>
            <w:pStyle w:val="TOC2"/>
            <w:rPr>
              <w:rFonts w:asciiTheme="minorHAnsi" w:eastAsiaTheme="minorEastAsia" w:hAnsiTheme="minorHAnsi"/>
              <w:noProof/>
              <w:sz w:val="16"/>
              <w:szCs w:val="16"/>
              <w:lang w:val="en-AU" w:eastAsia="en-AU"/>
            </w:rPr>
          </w:pPr>
          <w:hyperlink w:anchor="_Toc52179134" w:history="1">
            <w:r w:rsidR="00A206DE" w:rsidRPr="00626614">
              <w:rPr>
                <w:rStyle w:val="Hyperlink"/>
                <w:rFonts w:eastAsia="Segoe UI Semilight"/>
                <w:noProof/>
                <w:sz w:val="16"/>
                <w:szCs w:val="16"/>
              </w:rPr>
              <w:t>4.3</w:t>
            </w:r>
            <w:r w:rsidR="00A206DE" w:rsidRPr="00626614">
              <w:rPr>
                <w:rFonts w:asciiTheme="minorHAnsi" w:eastAsiaTheme="minorEastAsia" w:hAnsiTheme="minorHAnsi"/>
                <w:noProof/>
                <w:sz w:val="16"/>
                <w:szCs w:val="16"/>
                <w:lang w:val="en-AU" w:eastAsia="en-AU"/>
              </w:rPr>
              <w:tab/>
            </w:r>
            <w:r w:rsidR="00A206DE" w:rsidRPr="00626614">
              <w:rPr>
                <w:rStyle w:val="Hyperlink"/>
                <w:rFonts w:eastAsia="Segoe UI Semilight"/>
                <w:noProof/>
                <w:sz w:val="16"/>
                <w:szCs w:val="16"/>
              </w:rPr>
              <w:t>Prescriptive statutory processes to amend food regulatory measures do not enable a risk-based or flexible response</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_Toc52179134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27</w:t>
            </w:r>
            <w:r w:rsidR="00A206DE" w:rsidRPr="00626614">
              <w:rPr>
                <w:noProof/>
                <w:webHidden/>
                <w:sz w:val="16"/>
                <w:szCs w:val="16"/>
              </w:rPr>
              <w:fldChar w:fldCharType="end"/>
            </w:r>
          </w:hyperlink>
        </w:p>
        <w:p w14:paraId="29CD7DA5" w14:textId="03CEDC22" w:rsidR="00A206DE" w:rsidRPr="00626614" w:rsidRDefault="00506AB3">
          <w:pPr>
            <w:pStyle w:val="TOC2"/>
            <w:rPr>
              <w:rFonts w:asciiTheme="minorHAnsi" w:eastAsiaTheme="minorEastAsia" w:hAnsiTheme="minorHAnsi"/>
              <w:noProof/>
              <w:sz w:val="16"/>
              <w:szCs w:val="16"/>
              <w:lang w:val="en-AU" w:eastAsia="en-AU"/>
            </w:rPr>
          </w:pPr>
          <w:hyperlink w:anchor="_Toc52179135" w:history="1">
            <w:r w:rsidR="00A206DE" w:rsidRPr="00626614">
              <w:rPr>
                <w:rStyle w:val="Hyperlink"/>
                <w:noProof/>
                <w:sz w:val="16"/>
                <w:szCs w:val="16"/>
              </w:rPr>
              <w:t>4.4</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Legislative changes could support more risk-based processes and decision-making</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_Toc52179135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29</w:t>
            </w:r>
            <w:r w:rsidR="00A206DE" w:rsidRPr="00626614">
              <w:rPr>
                <w:noProof/>
                <w:webHidden/>
                <w:sz w:val="16"/>
                <w:szCs w:val="16"/>
              </w:rPr>
              <w:fldChar w:fldCharType="end"/>
            </w:r>
          </w:hyperlink>
        </w:p>
        <w:p w14:paraId="4B59FB48" w14:textId="7139D38D" w:rsidR="00A206DE" w:rsidRPr="00626614" w:rsidRDefault="00506AB3">
          <w:pPr>
            <w:pStyle w:val="TOC2"/>
            <w:rPr>
              <w:rFonts w:asciiTheme="minorHAnsi" w:eastAsiaTheme="minorEastAsia" w:hAnsiTheme="minorHAnsi"/>
              <w:noProof/>
              <w:sz w:val="16"/>
              <w:szCs w:val="16"/>
              <w:lang w:val="en-AU" w:eastAsia="en-AU"/>
            </w:rPr>
          </w:pPr>
          <w:hyperlink w:anchor="_Toc52179136" w:history="1">
            <w:r w:rsidR="00A206DE" w:rsidRPr="00626614">
              <w:rPr>
                <w:rStyle w:val="Hyperlink"/>
                <w:noProof/>
                <w:sz w:val="16"/>
                <w:szCs w:val="16"/>
              </w:rPr>
              <w:t>4.5</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Additional pathways to develop or vary food standards could be beneficial</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_Toc52179136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31</w:t>
            </w:r>
            <w:r w:rsidR="00A206DE" w:rsidRPr="00626614">
              <w:rPr>
                <w:noProof/>
                <w:webHidden/>
                <w:sz w:val="16"/>
                <w:szCs w:val="16"/>
              </w:rPr>
              <w:fldChar w:fldCharType="end"/>
            </w:r>
          </w:hyperlink>
        </w:p>
        <w:p w14:paraId="5609D8EA" w14:textId="0B5A7224" w:rsidR="00A206DE" w:rsidRPr="00626614" w:rsidRDefault="00506AB3">
          <w:pPr>
            <w:pStyle w:val="TOC2"/>
            <w:rPr>
              <w:rFonts w:asciiTheme="minorHAnsi" w:eastAsiaTheme="minorEastAsia" w:hAnsiTheme="minorHAnsi"/>
              <w:noProof/>
              <w:sz w:val="16"/>
              <w:szCs w:val="16"/>
              <w:lang w:val="en-AU" w:eastAsia="en-AU"/>
            </w:rPr>
          </w:pPr>
          <w:hyperlink w:anchor="_Toc52179137" w:history="1">
            <w:r w:rsidR="00A206DE" w:rsidRPr="00626614">
              <w:rPr>
                <w:rStyle w:val="Hyperlink"/>
                <w:noProof/>
                <w:sz w:val="16"/>
                <w:szCs w:val="16"/>
              </w:rPr>
              <w:t>4.6</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New pathways to amend food standards may support a more timely and responsive regulatory system</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_Toc52179137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34</w:t>
            </w:r>
            <w:r w:rsidR="00A206DE" w:rsidRPr="00626614">
              <w:rPr>
                <w:noProof/>
                <w:webHidden/>
                <w:sz w:val="16"/>
                <w:szCs w:val="16"/>
              </w:rPr>
              <w:fldChar w:fldCharType="end"/>
            </w:r>
          </w:hyperlink>
        </w:p>
        <w:p w14:paraId="52D36817" w14:textId="5C308D40" w:rsidR="00A206DE" w:rsidRPr="00626614" w:rsidRDefault="00506AB3">
          <w:pPr>
            <w:pStyle w:val="TOC1"/>
            <w:rPr>
              <w:rFonts w:asciiTheme="minorHAnsi" w:eastAsiaTheme="minorEastAsia" w:hAnsiTheme="minorHAnsi"/>
              <w:sz w:val="16"/>
              <w:szCs w:val="16"/>
              <w:lang w:val="en-AU" w:eastAsia="en-AU"/>
            </w:rPr>
          </w:pPr>
          <w:hyperlink w:anchor="_Toc52179138" w:history="1">
            <w:r w:rsidR="00A206DE" w:rsidRPr="00626614">
              <w:rPr>
                <w:rStyle w:val="Hyperlink"/>
                <w:sz w:val="16"/>
                <w:szCs w:val="16"/>
              </w:rPr>
              <w:t>5</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Partnerships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_Toc52179138 \h </w:instrText>
            </w:r>
            <w:r w:rsidR="00A206DE" w:rsidRPr="00626614">
              <w:rPr>
                <w:webHidden/>
                <w:sz w:val="16"/>
                <w:szCs w:val="16"/>
              </w:rPr>
            </w:r>
            <w:r w:rsidR="00A206DE" w:rsidRPr="00626614">
              <w:rPr>
                <w:webHidden/>
                <w:sz w:val="16"/>
                <w:szCs w:val="16"/>
              </w:rPr>
              <w:fldChar w:fldCharType="separate"/>
            </w:r>
            <w:r w:rsidR="001C5CC6">
              <w:rPr>
                <w:webHidden/>
                <w:sz w:val="16"/>
                <w:szCs w:val="16"/>
              </w:rPr>
              <w:t>37</w:t>
            </w:r>
            <w:r w:rsidR="00A206DE" w:rsidRPr="00626614">
              <w:rPr>
                <w:webHidden/>
                <w:sz w:val="16"/>
                <w:szCs w:val="16"/>
              </w:rPr>
              <w:fldChar w:fldCharType="end"/>
            </w:r>
          </w:hyperlink>
        </w:p>
        <w:p w14:paraId="134D2774" w14:textId="378ABF9E" w:rsidR="00A206DE" w:rsidRPr="00626614" w:rsidRDefault="00506AB3">
          <w:pPr>
            <w:pStyle w:val="TOC2"/>
            <w:rPr>
              <w:rFonts w:asciiTheme="minorHAnsi" w:eastAsiaTheme="minorEastAsia" w:hAnsiTheme="minorHAnsi"/>
              <w:noProof/>
              <w:sz w:val="16"/>
              <w:szCs w:val="16"/>
              <w:lang w:val="en-AU" w:eastAsia="en-AU"/>
            </w:rPr>
          </w:pPr>
          <w:hyperlink w:anchor="_Toc52179139" w:history="1">
            <w:r w:rsidR="00A206DE" w:rsidRPr="00626614">
              <w:rPr>
                <w:rStyle w:val="Hyperlink"/>
                <w:noProof/>
                <w:sz w:val="16"/>
                <w:szCs w:val="16"/>
              </w:rPr>
              <w:t>5.1</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Governments’ and FSANZ’s priorities are not always aligned</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_Toc52179139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37</w:t>
            </w:r>
            <w:r w:rsidR="00A206DE" w:rsidRPr="00626614">
              <w:rPr>
                <w:noProof/>
                <w:webHidden/>
                <w:sz w:val="16"/>
                <w:szCs w:val="16"/>
              </w:rPr>
              <w:fldChar w:fldCharType="end"/>
            </w:r>
          </w:hyperlink>
        </w:p>
        <w:p w14:paraId="11EF529A" w14:textId="6FD39245" w:rsidR="00A206DE" w:rsidRPr="00626614" w:rsidRDefault="00506AB3">
          <w:pPr>
            <w:pStyle w:val="TOC2"/>
            <w:rPr>
              <w:rFonts w:asciiTheme="minorHAnsi" w:eastAsiaTheme="minorEastAsia" w:hAnsiTheme="minorHAnsi"/>
              <w:noProof/>
              <w:sz w:val="16"/>
              <w:szCs w:val="16"/>
              <w:lang w:val="en-AU" w:eastAsia="en-AU"/>
            </w:rPr>
          </w:pPr>
          <w:hyperlink w:anchor="_Toc52179140" w:history="1">
            <w:r w:rsidR="00A206DE" w:rsidRPr="00626614">
              <w:rPr>
                <w:rStyle w:val="Hyperlink"/>
                <w:noProof/>
                <w:sz w:val="16"/>
                <w:szCs w:val="16"/>
              </w:rPr>
              <w:t>5.2</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Legislative and operational reforms could improve alignment of policy development and standard-setting</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_Toc52179140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38</w:t>
            </w:r>
            <w:r w:rsidR="00A206DE" w:rsidRPr="00626614">
              <w:rPr>
                <w:noProof/>
                <w:webHidden/>
                <w:sz w:val="16"/>
                <w:szCs w:val="16"/>
              </w:rPr>
              <w:fldChar w:fldCharType="end"/>
            </w:r>
          </w:hyperlink>
        </w:p>
        <w:p w14:paraId="2540A009" w14:textId="53C2EF82" w:rsidR="00A206DE" w:rsidRPr="00626614" w:rsidRDefault="00506AB3">
          <w:pPr>
            <w:pStyle w:val="TOC2"/>
            <w:rPr>
              <w:rFonts w:asciiTheme="minorHAnsi" w:eastAsiaTheme="minorEastAsia" w:hAnsiTheme="minorHAnsi"/>
              <w:noProof/>
              <w:sz w:val="16"/>
              <w:szCs w:val="16"/>
              <w:lang w:val="en-AU" w:eastAsia="en-AU"/>
            </w:rPr>
          </w:pPr>
          <w:hyperlink w:anchor="_Toc52179141" w:history="1">
            <w:r w:rsidR="00A206DE" w:rsidRPr="00626614">
              <w:rPr>
                <w:rStyle w:val="Hyperlink"/>
                <w:noProof/>
                <w:sz w:val="16"/>
                <w:szCs w:val="16"/>
              </w:rPr>
              <w:t>5.3</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Inconsistent interpretation and enforcement of food standards is an enduring issue for the system</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_Toc52179141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39</w:t>
            </w:r>
            <w:r w:rsidR="00A206DE" w:rsidRPr="00626614">
              <w:rPr>
                <w:noProof/>
                <w:webHidden/>
                <w:sz w:val="16"/>
                <w:szCs w:val="16"/>
              </w:rPr>
              <w:fldChar w:fldCharType="end"/>
            </w:r>
          </w:hyperlink>
        </w:p>
        <w:p w14:paraId="3B4834B0" w14:textId="45DDD874" w:rsidR="00A206DE" w:rsidRPr="00626614" w:rsidRDefault="00506AB3">
          <w:pPr>
            <w:pStyle w:val="TOC2"/>
            <w:rPr>
              <w:rFonts w:asciiTheme="minorHAnsi" w:eastAsiaTheme="minorEastAsia" w:hAnsiTheme="minorHAnsi"/>
              <w:noProof/>
              <w:sz w:val="16"/>
              <w:szCs w:val="16"/>
              <w:lang w:val="en-AU" w:eastAsia="en-AU"/>
            </w:rPr>
          </w:pPr>
          <w:hyperlink w:anchor="_Toc52179142" w:history="1">
            <w:r w:rsidR="00A206DE" w:rsidRPr="00626614">
              <w:rPr>
                <w:rStyle w:val="Hyperlink"/>
                <w:noProof/>
                <w:sz w:val="16"/>
                <w:szCs w:val="16"/>
              </w:rPr>
              <w:t>5.4</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Legislative and operational changes may improve the implementation and enforcement of food standards</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_Toc52179142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40</w:t>
            </w:r>
            <w:r w:rsidR="00A206DE" w:rsidRPr="00626614">
              <w:rPr>
                <w:noProof/>
                <w:webHidden/>
                <w:sz w:val="16"/>
                <w:szCs w:val="16"/>
              </w:rPr>
              <w:fldChar w:fldCharType="end"/>
            </w:r>
          </w:hyperlink>
        </w:p>
        <w:p w14:paraId="5C1A1F59" w14:textId="3F3A22F9" w:rsidR="00A206DE" w:rsidRPr="00626614" w:rsidRDefault="00506AB3">
          <w:pPr>
            <w:pStyle w:val="TOC2"/>
            <w:rPr>
              <w:rFonts w:asciiTheme="minorHAnsi" w:eastAsiaTheme="minorEastAsia" w:hAnsiTheme="minorHAnsi"/>
              <w:noProof/>
              <w:sz w:val="16"/>
              <w:szCs w:val="16"/>
              <w:lang w:val="en-AU" w:eastAsia="en-AU"/>
            </w:rPr>
          </w:pPr>
          <w:hyperlink w:anchor="_Toc52179143" w:history="1">
            <w:r w:rsidR="00A206DE" w:rsidRPr="00626614">
              <w:rPr>
                <w:rStyle w:val="Hyperlink"/>
                <w:noProof/>
                <w:sz w:val="16"/>
                <w:szCs w:val="16"/>
              </w:rPr>
              <w:t>5.5</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The boundaries between food and medicine – and their respective regulatory frameworks – are not always clear</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_Toc52179143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43</w:t>
            </w:r>
            <w:r w:rsidR="00A206DE" w:rsidRPr="00626614">
              <w:rPr>
                <w:noProof/>
                <w:webHidden/>
                <w:sz w:val="16"/>
                <w:szCs w:val="16"/>
              </w:rPr>
              <w:fldChar w:fldCharType="end"/>
            </w:r>
          </w:hyperlink>
        </w:p>
        <w:p w14:paraId="71318A3F" w14:textId="5E0C951B" w:rsidR="00A206DE" w:rsidRPr="00626614" w:rsidRDefault="00506AB3">
          <w:pPr>
            <w:pStyle w:val="TOC2"/>
            <w:rPr>
              <w:rFonts w:asciiTheme="minorHAnsi" w:eastAsiaTheme="minorEastAsia" w:hAnsiTheme="minorHAnsi"/>
              <w:noProof/>
              <w:sz w:val="16"/>
              <w:szCs w:val="16"/>
              <w:lang w:val="en-AU" w:eastAsia="en-AU"/>
            </w:rPr>
          </w:pPr>
          <w:hyperlink w:anchor="_Toc52179144" w:history="1">
            <w:r w:rsidR="00A206DE" w:rsidRPr="00626614">
              <w:rPr>
                <w:rStyle w:val="Hyperlink"/>
                <w:noProof/>
                <w:sz w:val="16"/>
                <w:szCs w:val="16"/>
              </w:rPr>
              <w:t>5.6</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Three reform ideas have been identified to address issues at the food medicine interface.</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_Toc52179144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46</w:t>
            </w:r>
            <w:r w:rsidR="00A206DE" w:rsidRPr="00626614">
              <w:rPr>
                <w:noProof/>
                <w:webHidden/>
                <w:sz w:val="16"/>
                <w:szCs w:val="16"/>
              </w:rPr>
              <w:fldChar w:fldCharType="end"/>
            </w:r>
          </w:hyperlink>
        </w:p>
        <w:p w14:paraId="149188D4" w14:textId="407C10B7" w:rsidR="00A206DE" w:rsidRPr="00626614" w:rsidRDefault="00506AB3">
          <w:pPr>
            <w:pStyle w:val="TOC1"/>
            <w:rPr>
              <w:rFonts w:asciiTheme="minorHAnsi" w:eastAsiaTheme="minorEastAsia" w:hAnsiTheme="minorHAnsi"/>
              <w:sz w:val="16"/>
              <w:szCs w:val="16"/>
              <w:lang w:val="en-AU" w:eastAsia="en-AU"/>
            </w:rPr>
          </w:pPr>
          <w:hyperlink w:anchor="_Toc52179145" w:history="1">
            <w:r w:rsidR="00A206DE" w:rsidRPr="00626614">
              <w:rPr>
                <w:rStyle w:val="Hyperlink"/>
                <w:sz w:val="16"/>
                <w:szCs w:val="16"/>
              </w:rPr>
              <w:t>6</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Operations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_Toc52179145 \h </w:instrText>
            </w:r>
            <w:r w:rsidR="00A206DE" w:rsidRPr="00626614">
              <w:rPr>
                <w:webHidden/>
                <w:sz w:val="16"/>
                <w:szCs w:val="16"/>
              </w:rPr>
            </w:r>
            <w:r w:rsidR="00A206DE" w:rsidRPr="00626614">
              <w:rPr>
                <w:webHidden/>
                <w:sz w:val="16"/>
                <w:szCs w:val="16"/>
              </w:rPr>
              <w:fldChar w:fldCharType="separate"/>
            </w:r>
            <w:r w:rsidR="001C5CC6">
              <w:rPr>
                <w:webHidden/>
                <w:sz w:val="16"/>
                <w:szCs w:val="16"/>
              </w:rPr>
              <w:t>49</w:t>
            </w:r>
            <w:r w:rsidR="00A206DE" w:rsidRPr="00626614">
              <w:rPr>
                <w:webHidden/>
                <w:sz w:val="16"/>
                <w:szCs w:val="16"/>
              </w:rPr>
              <w:fldChar w:fldCharType="end"/>
            </w:r>
          </w:hyperlink>
        </w:p>
        <w:p w14:paraId="2E3ADCE5" w14:textId="1E2304C5" w:rsidR="00A206DE" w:rsidRPr="00626614" w:rsidRDefault="00506AB3">
          <w:pPr>
            <w:pStyle w:val="TOC2"/>
            <w:rPr>
              <w:rFonts w:asciiTheme="minorHAnsi" w:eastAsiaTheme="minorEastAsia" w:hAnsiTheme="minorHAnsi"/>
              <w:noProof/>
              <w:sz w:val="16"/>
              <w:szCs w:val="16"/>
              <w:lang w:val="en-AU" w:eastAsia="en-AU"/>
            </w:rPr>
          </w:pPr>
          <w:hyperlink w:anchor="_Toc52179146" w:history="1">
            <w:r w:rsidR="00A206DE" w:rsidRPr="00626614">
              <w:rPr>
                <w:rStyle w:val="Hyperlink"/>
                <w:noProof/>
                <w:sz w:val="16"/>
                <w:szCs w:val="16"/>
              </w:rPr>
              <w:t>6.1</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FSANZ’s governance is enshrined in legislation</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_Toc52179146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49</w:t>
            </w:r>
            <w:r w:rsidR="00A206DE" w:rsidRPr="00626614">
              <w:rPr>
                <w:noProof/>
                <w:webHidden/>
                <w:sz w:val="16"/>
                <w:szCs w:val="16"/>
              </w:rPr>
              <w:fldChar w:fldCharType="end"/>
            </w:r>
          </w:hyperlink>
        </w:p>
        <w:p w14:paraId="233919A8" w14:textId="41ED9B63" w:rsidR="00A206DE" w:rsidRPr="00626614" w:rsidRDefault="00506AB3">
          <w:pPr>
            <w:pStyle w:val="TOC2"/>
            <w:rPr>
              <w:rFonts w:asciiTheme="minorHAnsi" w:eastAsiaTheme="minorEastAsia" w:hAnsiTheme="minorHAnsi"/>
              <w:noProof/>
              <w:sz w:val="16"/>
              <w:szCs w:val="16"/>
              <w:lang w:val="en-AU" w:eastAsia="en-AU"/>
            </w:rPr>
          </w:pPr>
          <w:hyperlink w:anchor="_Toc52179147" w:history="1">
            <w:r w:rsidR="00A206DE" w:rsidRPr="00626614">
              <w:rPr>
                <w:rStyle w:val="Hyperlink"/>
                <w:noProof/>
                <w:sz w:val="16"/>
                <w:szCs w:val="16"/>
              </w:rPr>
              <w:t>6.2</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Legislative change could support more efficient and effective governance for FSANZ</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_Toc52179147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50</w:t>
            </w:r>
            <w:r w:rsidR="00A206DE" w:rsidRPr="00626614">
              <w:rPr>
                <w:noProof/>
                <w:webHidden/>
                <w:sz w:val="16"/>
                <w:szCs w:val="16"/>
              </w:rPr>
              <w:fldChar w:fldCharType="end"/>
            </w:r>
          </w:hyperlink>
        </w:p>
        <w:p w14:paraId="6099FB0D" w14:textId="62A5485A" w:rsidR="00A206DE" w:rsidRPr="00626614" w:rsidRDefault="00506AB3">
          <w:pPr>
            <w:pStyle w:val="TOC2"/>
            <w:rPr>
              <w:rFonts w:asciiTheme="minorHAnsi" w:eastAsiaTheme="minorEastAsia" w:hAnsiTheme="minorHAnsi"/>
              <w:noProof/>
              <w:sz w:val="16"/>
              <w:szCs w:val="16"/>
              <w:lang w:val="en-AU" w:eastAsia="en-AU"/>
            </w:rPr>
          </w:pPr>
          <w:hyperlink w:anchor="_Toc52179148" w:history="1">
            <w:r w:rsidR="00A206DE" w:rsidRPr="00626614">
              <w:rPr>
                <w:rStyle w:val="Hyperlink"/>
                <w:noProof/>
                <w:sz w:val="16"/>
                <w:szCs w:val="16"/>
              </w:rPr>
              <w:t>6.3</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FSANZ has multiple priorities and constrained resources</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_Toc52179148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51</w:t>
            </w:r>
            <w:r w:rsidR="00A206DE" w:rsidRPr="00626614">
              <w:rPr>
                <w:noProof/>
                <w:webHidden/>
                <w:sz w:val="16"/>
                <w:szCs w:val="16"/>
              </w:rPr>
              <w:fldChar w:fldCharType="end"/>
            </w:r>
          </w:hyperlink>
        </w:p>
        <w:p w14:paraId="0E410455" w14:textId="130FE9A5" w:rsidR="00A206DE" w:rsidRPr="00626614" w:rsidRDefault="00506AB3">
          <w:pPr>
            <w:pStyle w:val="TOC2"/>
            <w:rPr>
              <w:rFonts w:asciiTheme="minorHAnsi" w:eastAsiaTheme="minorEastAsia" w:hAnsiTheme="minorHAnsi"/>
              <w:noProof/>
              <w:sz w:val="16"/>
              <w:szCs w:val="16"/>
              <w:lang w:val="en-AU" w:eastAsia="en-AU"/>
            </w:rPr>
          </w:pPr>
          <w:hyperlink w:anchor="_Toc52179149" w:history="1">
            <w:r w:rsidR="00A206DE" w:rsidRPr="00626614">
              <w:rPr>
                <w:rStyle w:val="Hyperlink"/>
                <w:noProof/>
                <w:sz w:val="16"/>
                <w:szCs w:val="16"/>
              </w:rPr>
              <w:t>6.4</w:t>
            </w:r>
            <w:r w:rsidR="00A206DE" w:rsidRPr="00626614">
              <w:rPr>
                <w:rFonts w:asciiTheme="minorHAnsi" w:eastAsiaTheme="minorEastAsia" w:hAnsiTheme="minorHAnsi"/>
                <w:noProof/>
                <w:sz w:val="16"/>
                <w:szCs w:val="16"/>
                <w:lang w:val="en-AU" w:eastAsia="en-AU"/>
              </w:rPr>
              <w:tab/>
            </w:r>
            <w:r w:rsidR="00A206DE" w:rsidRPr="00626614">
              <w:rPr>
                <w:rStyle w:val="Hyperlink"/>
                <w:noProof/>
                <w:sz w:val="16"/>
                <w:szCs w:val="16"/>
              </w:rPr>
              <w:t>There are opportunities for legislative and operational reform to ensure adequate resourcing for FSANZ</w:t>
            </w:r>
            <w:r w:rsidR="00A206DE" w:rsidRPr="00626614">
              <w:rPr>
                <w:noProof/>
                <w:webHidden/>
                <w:sz w:val="16"/>
                <w:szCs w:val="16"/>
              </w:rPr>
              <w:tab/>
            </w:r>
            <w:r w:rsidR="00A206DE" w:rsidRPr="00626614">
              <w:rPr>
                <w:noProof/>
                <w:webHidden/>
                <w:sz w:val="16"/>
                <w:szCs w:val="16"/>
              </w:rPr>
              <w:fldChar w:fldCharType="begin"/>
            </w:r>
            <w:r w:rsidR="00A206DE" w:rsidRPr="00626614">
              <w:rPr>
                <w:noProof/>
                <w:webHidden/>
                <w:sz w:val="16"/>
                <w:szCs w:val="16"/>
              </w:rPr>
              <w:instrText xml:space="preserve"> PAGEREF _Toc52179149 \h </w:instrText>
            </w:r>
            <w:r w:rsidR="00A206DE" w:rsidRPr="00626614">
              <w:rPr>
                <w:noProof/>
                <w:webHidden/>
                <w:sz w:val="16"/>
                <w:szCs w:val="16"/>
              </w:rPr>
            </w:r>
            <w:r w:rsidR="00A206DE" w:rsidRPr="00626614">
              <w:rPr>
                <w:noProof/>
                <w:webHidden/>
                <w:sz w:val="16"/>
                <w:szCs w:val="16"/>
              </w:rPr>
              <w:fldChar w:fldCharType="separate"/>
            </w:r>
            <w:r w:rsidR="001C5CC6">
              <w:rPr>
                <w:noProof/>
                <w:webHidden/>
                <w:sz w:val="16"/>
                <w:szCs w:val="16"/>
              </w:rPr>
              <w:t>53</w:t>
            </w:r>
            <w:r w:rsidR="00A206DE" w:rsidRPr="00626614">
              <w:rPr>
                <w:noProof/>
                <w:webHidden/>
                <w:sz w:val="16"/>
                <w:szCs w:val="16"/>
              </w:rPr>
              <w:fldChar w:fldCharType="end"/>
            </w:r>
          </w:hyperlink>
        </w:p>
        <w:p w14:paraId="6F4FE5DA" w14:textId="1526D05F" w:rsidR="00A206DE" w:rsidRPr="00626614" w:rsidRDefault="00506AB3">
          <w:pPr>
            <w:pStyle w:val="TOC1"/>
            <w:rPr>
              <w:rFonts w:asciiTheme="minorHAnsi" w:eastAsiaTheme="minorEastAsia" w:hAnsiTheme="minorHAnsi"/>
              <w:sz w:val="16"/>
              <w:szCs w:val="16"/>
              <w:lang w:val="en-AU" w:eastAsia="en-AU"/>
            </w:rPr>
          </w:pPr>
          <w:hyperlink w:anchor="_Toc52179150" w:history="1">
            <w:r w:rsidR="00A206DE" w:rsidRPr="00626614">
              <w:rPr>
                <w:rStyle w:val="Hyperlink"/>
                <w:sz w:val="16"/>
                <w:szCs w:val="16"/>
              </w:rPr>
              <w:t>7</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Key reflections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_Toc52179150 \h </w:instrText>
            </w:r>
            <w:r w:rsidR="00A206DE" w:rsidRPr="00626614">
              <w:rPr>
                <w:webHidden/>
                <w:sz w:val="16"/>
                <w:szCs w:val="16"/>
              </w:rPr>
            </w:r>
            <w:r w:rsidR="00A206DE" w:rsidRPr="00626614">
              <w:rPr>
                <w:webHidden/>
                <w:sz w:val="16"/>
                <w:szCs w:val="16"/>
              </w:rPr>
              <w:fldChar w:fldCharType="separate"/>
            </w:r>
            <w:r w:rsidR="001C5CC6">
              <w:rPr>
                <w:webHidden/>
                <w:sz w:val="16"/>
                <w:szCs w:val="16"/>
              </w:rPr>
              <w:t>55</w:t>
            </w:r>
            <w:r w:rsidR="00A206DE" w:rsidRPr="00626614">
              <w:rPr>
                <w:webHidden/>
                <w:sz w:val="16"/>
                <w:szCs w:val="16"/>
              </w:rPr>
              <w:fldChar w:fldCharType="end"/>
            </w:r>
          </w:hyperlink>
        </w:p>
        <w:p w14:paraId="6731C624" w14:textId="67D20F52" w:rsidR="00A206DE" w:rsidRPr="00626614" w:rsidRDefault="00506AB3">
          <w:pPr>
            <w:pStyle w:val="TOC1"/>
            <w:rPr>
              <w:rFonts w:asciiTheme="minorHAnsi" w:eastAsiaTheme="minorEastAsia" w:hAnsiTheme="minorHAnsi"/>
              <w:sz w:val="16"/>
              <w:szCs w:val="16"/>
              <w:lang w:val="en-AU" w:eastAsia="en-AU"/>
            </w:rPr>
          </w:pPr>
          <w:hyperlink w:anchor="_Toc52179151" w:history="1">
            <w:r w:rsidR="00A206DE" w:rsidRPr="00626614">
              <w:rPr>
                <w:rStyle w:val="Hyperlink"/>
                <w:sz w:val="16"/>
                <w:szCs w:val="16"/>
              </w:rPr>
              <w:t>8</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Next steps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_Toc52179151 \h </w:instrText>
            </w:r>
            <w:r w:rsidR="00A206DE" w:rsidRPr="00626614">
              <w:rPr>
                <w:webHidden/>
                <w:sz w:val="16"/>
                <w:szCs w:val="16"/>
              </w:rPr>
            </w:r>
            <w:r w:rsidR="00A206DE" w:rsidRPr="00626614">
              <w:rPr>
                <w:webHidden/>
                <w:sz w:val="16"/>
                <w:szCs w:val="16"/>
              </w:rPr>
              <w:fldChar w:fldCharType="separate"/>
            </w:r>
            <w:r w:rsidR="001C5CC6">
              <w:rPr>
                <w:webHidden/>
                <w:sz w:val="16"/>
                <w:szCs w:val="16"/>
              </w:rPr>
              <w:t>56</w:t>
            </w:r>
            <w:r w:rsidR="00A206DE" w:rsidRPr="00626614">
              <w:rPr>
                <w:webHidden/>
                <w:sz w:val="16"/>
                <w:szCs w:val="16"/>
              </w:rPr>
              <w:fldChar w:fldCharType="end"/>
            </w:r>
          </w:hyperlink>
        </w:p>
        <w:p w14:paraId="7B8B4D48" w14:textId="7A455B77" w:rsidR="00A206DE" w:rsidRPr="00626614" w:rsidRDefault="00506AB3">
          <w:pPr>
            <w:pStyle w:val="TOC1"/>
            <w:rPr>
              <w:rFonts w:asciiTheme="minorHAnsi" w:eastAsiaTheme="minorEastAsia" w:hAnsiTheme="minorHAnsi"/>
              <w:sz w:val="16"/>
              <w:szCs w:val="16"/>
              <w:lang w:val="en-AU" w:eastAsia="en-AU"/>
            </w:rPr>
          </w:pPr>
          <w:hyperlink w:anchor="_Toc52179152" w:history="1">
            <w:r w:rsidR="00A206DE" w:rsidRPr="00626614">
              <w:rPr>
                <w:rStyle w:val="Hyperlink"/>
                <w:sz w:val="16"/>
                <w:szCs w:val="16"/>
              </w:rPr>
              <w:t>Appendix A</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Review Terms of Reference</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_Toc52179152 \h </w:instrText>
            </w:r>
            <w:r w:rsidR="00A206DE" w:rsidRPr="00626614">
              <w:rPr>
                <w:webHidden/>
                <w:sz w:val="16"/>
                <w:szCs w:val="16"/>
              </w:rPr>
            </w:r>
            <w:r w:rsidR="00A206DE" w:rsidRPr="00626614">
              <w:rPr>
                <w:webHidden/>
                <w:sz w:val="16"/>
                <w:szCs w:val="16"/>
              </w:rPr>
              <w:fldChar w:fldCharType="separate"/>
            </w:r>
            <w:r w:rsidR="001C5CC6">
              <w:rPr>
                <w:webHidden/>
                <w:sz w:val="16"/>
                <w:szCs w:val="16"/>
              </w:rPr>
              <w:t>57</w:t>
            </w:r>
            <w:r w:rsidR="00A206DE" w:rsidRPr="00626614">
              <w:rPr>
                <w:webHidden/>
                <w:sz w:val="16"/>
                <w:szCs w:val="16"/>
              </w:rPr>
              <w:fldChar w:fldCharType="end"/>
            </w:r>
          </w:hyperlink>
        </w:p>
        <w:p w14:paraId="2A20CD2D" w14:textId="216D20CE" w:rsidR="00A206DE" w:rsidRDefault="00506AB3">
          <w:pPr>
            <w:pStyle w:val="TOC1"/>
            <w:rPr>
              <w:rFonts w:asciiTheme="minorHAnsi" w:eastAsiaTheme="minorEastAsia" w:hAnsiTheme="minorHAnsi"/>
              <w:sz w:val="22"/>
              <w:lang w:val="en-AU" w:eastAsia="en-AU"/>
            </w:rPr>
          </w:pPr>
          <w:hyperlink w:anchor="_Toc52179153" w:history="1">
            <w:r w:rsidR="00A206DE" w:rsidRPr="00626614">
              <w:rPr>
                <w:rStyle w:val="Hyperlink"/>
                <w:sz w:val="16"/>
                <w:szCs w:val="16"/>
              </w:rPr>
              <w:t>Appendix B</w:t>
            </w:r>
            <w:r w:rsidR="00A206DE" w:rsidRPr="00626614">
              <w:rPr>
                <w:rFonts w:asciiTheme="minorHAnsi" w:eastAsiaTheme="minorEastAsia" w:hAnsiTheme="minorHAnsi"/>
                <w:sz w:val="16"/>
                <w:szCs w:val="16"/>
                <w:lang w:val="en-AU" w:eastAsia="en-AU"/>
              </w:rPr>
              <w:tab/>
            </w:r>
            <w:r w:rsidR="00A206DE" w:rsidRPr="00626614">
              <w:rPr>
                <w:rStyle w:val="Hyperlink"/>
                <w:sz w:val="16"/>
                <w:szCs w:val="16"/>
              </w:rPr>
              <w:t>FSANZ Act Review Steering Committee members</w:t>
            </w:r>
            <w:r w:rsidR="00A206DE" w:rsidRPr="00626614">
              <w:rPr>
                <w:webHidden/>
                <w:sz w:val="16"/>
                <w:szCs w:val="16"/>
              </w:rPr>
              <w:tab/>
            </w:r>
            <w:r w:rsidR="00A206DE" w:rsidRPr="00626614">
              <w:rPr>
                <w:webHidden/>
                <w:sz w:val="16"/>
                <w:szCs w:val="16"/>
              </w:rPr>
              <w:fldChar w:fldCharType="begin"/>
            </w:r>
            <w:r w:rsidR="00A206DE" w:rsidRPr="00626614">
              <w:rPr>
                <w:webHidden/>
                <w:sz w:val="16"/>
                <w:szCs w:val="16"/>
              </w:rPr>
              <w:instrText xml:space="preserve"> PAGEREF _Toc52179153 \h </w:instrText>
            </w:r>
            <w:r w:rsidR="00A206DE" w:rsidRPr="00626614">
              <w:rPr>
                <w:webHidden/>
                <w:sz w:val="16"/>
                <w:szCs w:val="16"/>
              </w:rPr>
            </w:r>
            <w:r w:rsidR="00A206DE" w:rsidRPr="00626614">
              <w:rPr>
                <w:webHidden/>
                <w:sz w:val="16"/>
                <w:szCs w:val="16"/>
              </w:rPr>
              <w:fldChar w:fldCharType="separate"/>
            </w:r>
            <w:r w:rsidR="001C5CC6">
              <w:rPr>
                <w:webHidden/>
                <w:sz w:val="16"/>
                <w:szCs w:val="16"/>
              </w:rPr>
              <w:t>59</w:t>
            </w:r>
            <w:r w:rsidR="00A206DE" w:rsidRPr="00626614">
              <w:rPr>
                <w:webHidden/>
                <w:sz w:val="16"/>
                <w:szCs w:val="16"/>
              </w:rPr>
              <w:fldChar w:fldCharType="end"/>
            </w:r>
          </w:hyperlink>
        </w:p>
        <w:p w14:paraId="5AC25AA9" w14:textId="476C014D" w:rsidR="008D579B" w:rsidRDefault="008C38BE">
          <w:r>
            <w:rPr>
              <w:b/>
              <w:bCs/>
              <w:noProof/>
              <w:lang w:val="en-US"/>
            </w:rPr>
            <w:fldChar w:fldCharType="end"/>
          </w:r>
        </w:p>
      </w:sdtContent>
    </w:sdt>
    <w:p w14:paraId="44CFF2C8" w14:textId="3847BF34" w:rsidR="00202E08" w:rsidRDefault="00202E08">
      <w:pPr>
        <w:spacing w:after="165"/>
        <w:rPr>
          <w:rFonts w:eastAsia="Times New Roman" w:cs="Times New Roman"/>
          <w:b/>
          <w:color w:val="00264D"/>
          <w:sz w:val="36"/>
          <w:szCs w:val="19"/>
          <w:lang w:eastAsia="en-AU"/>
        </w:rPr>
      </w:pPr>
      <w:r>
        <w:br w:type="page"/>
      </w:r>
    </w:p>
    <w:p w14:paraId="4B15998B" w14:textId="00A6E103" w:rsidR="001D6178" w:rsidRDefault="003C0058" w:rsidP="006F0124">
      <w:pPr>
        <w:pStyle w:val="Heading1"/>
        <w:numPr>
          <w:ilvl w:val="0"/>
          <w:numId w:val="0"/>
        </w:numPr>
        <w:ind w:left="360" w:hanging="360"/>
      </w:pPr>
      <w:bookmarkStart w:id="3" w:name="_Toc52179119"/>
      <w:r>
        <w:lastRenderedPageBreak/>
        <w:t>Executive summary</w:t>
      </w:r>
      <w:bookmarkEnd w:id="3"/>
    </w:p>
    <w:p w14:paraId="7121F4FE" w14:textId="77777777" w:rsidR="009947CD" w:rsidRDefault="009947CD" w:rsidP="009947CD">
      <w:r>
        <w:t xml:space="preserve">The </w:t>
      </w:r>
      <w:r w:rsidRPr="001A7BC9">
        <w:rPr>
          <w:i/>
        </w:rPr>
        <w:t>Food Standards Australia New Zealand Act 1991</w:t>
      </w:r>
      <w:r>
        <w:t xml:space="preserve"> (the Act) is one of several foundational instruments that make up the joint food regulatory system. By empowering Food Standards Australia New Zealand (FSANZ) to set and amend food standards and undertake other core functions, the Act underpins the safety of our food supply and provides a regulatory framework for how foods can enter the market in Australia and New Zealand.</w:t>
      </w:r>
    </w:p>
    <w:p w14:paraId="3EC0A6D7" w14:textId="43D8ED80" w:rsidR="009947CD" w:rsidRDefault="009947CD" w:rsidP="009947CD">
      <w:r>
        <w:t xml:space="preserve">The Act is now undergoing its first major review in almost 30 years (the Review), which presents an exciting opportunity for modernisation. The Terms of Reference (ToR) are at </w:t>
      </w:r>
      <w:r>
        <w:fldChar w:fldCharType="begin"/>
      </w:r>
      <w:r>
        <w:instrText xml:space="preserve"> REF _Ref50965336 \r \h </w:instrText>
      </w:r>
      <w:r>
        <w:fldChar w:fldCharType="separate"/>
      </w:r>
      <w:r w:rsidR="001C5CC6">
        <w:t>Appendix A</w:t>
      </w:r>
      <w:r>
        <w:fldChar w:fldCharType="end"/>
      </w:r>
      <w:r>
        <w:t xml:space="preserve">. </w:t>
      </w:r>
    </w:p>
    <w:p w14:paraId="7FCD559A" w14:textId="73D0B3F3" w:rsidR="009947CD" w:rsidRDefault="009947CD" w:rsidP="009947CD">
      <w:r>
        <w:t>The Australian Government Department of Health</w:t>
      </w:r>
      <w:r w:rsidR="00EC3C8A">
        <w:t xml:space="preserve"> (Department of Health)</w:t>
      </w:r>
      <w:r>
        <w:t xml:space="preserve"> is leading the Review in partnership New Zealand Ministry for Primary Industries </w:t>
      </w:r>
      <w:r w:rsidR="007407B0">
        <w:t>(MPI)</w:t>
      </w:r>
      <w:r>
        <w:t xml:space="preserve"> and has contracted Nous Group (Nous) to undertake the initial phase of this work. This work is guided by the FSANZ Act Review Steering Committee (</w:t>
      </w:r>
      <w:r w:rsidR="00A011EE">
        <w:t>m</w:t>
      </w:r>
      <w:r>
        <w:t xml:space="preserve">embers at </w:t>
      </w:r>
      <w:r>
        <w:fldChar w:fldCharType="begin"/>
      </w:r>
      <w:r>
        <w:instrText xml:space="preserve"> REF _Ref51138274 \r \h </w:instrText>
      </w:r>
      <w:r>
        <w:fldChar w:fldCharType="separate"/>
      </w:r>
      <w:r w:rsidR="001C5CC6">
        <w:t>Appendix B</w:t>
      </w:r>
      <w:r>
        <w:fldChar w:fldCharType="end"/>
      </w:r>
      <w:r>
        <w:t xml:space="preserve">). </w:t>
      </w:r>
    </w:p>
    <w:p w14:paraId="0359EA70" w14:textId="6D06B69A" w:rsidR="009947CD" w:rsidRDefault="009947CD" w:rsidP="009947CD">
      <w:r>
        <w:t>In line with a comprehensive regulatory review, there is an impetus to</w:t>
      </w:r>
      <w:r w:rsidR="00A85284">
        <w:t xml:space="preserve"> explore</w:t>
      </w:r>
      <w:r>
        <w:t xml:space="preserve"> the </w:t>
      </w:r>
      <w:r w:rsidR="004F5C53">
        <w:t>rationale for</w:t>
      </w:r>
      <w:r>
        <w:t xml:space="preserve"> food regulation and the role of FSANZ as a standard-setting body. Research and stakeholder engagement to date has illustrated </w:t>
      </w:r>
      <w:r w:rsidR="004F5C53">
        <w:t>the</w:t>
      </w:r>
      <w:r>
        <w:t xml:space="preserve"> case for regulat</w:t>
      </w:r>
      <w:bookmarkStart w:id="4" w:name="_GoBack"/>
      <w:bookmarkEnd w:id="4"/>
      <w:r>
        <w:t xml:space="preserve">ion; </w:t>
      </w:r>
      <w:r w:rsidR="00617773">
        <w:t xml:space="preserve">regulation protects a public good and addresses market failures. </w:t>
      </w:r>
      <w:r w:rsidR="004F5C53">
        <w:t>Feedback</w:t>
      </w:r>
      <w:r>
        <w:t xml:space="preserve"> from government, industry, consumer and public health stakeholders has been unanimous in its support for the high standards Australia and New Zealand require of food products and has recognised the </w:t>
      </w:r>
      <w:r w:rsidR="00F44E6C">
        <w:t xml:space="preserve">critical </w:t>
      </w:r>
      <w:r>
        <w:t xml:space="preserve">role </w:t>
      </w:r>
      <w:r w:rsidR="00F44E6C">
        <w:t xml:space="preserve">of </w:t>
      </w:r>
      <w:r>
        <w:t xml:space="preserve">government oversight. </w:t>
      </w:r>
    </w:p>
    <w:p w14:paraId="2B8376F9" w14:textId="1AE124E7" w:rsidR="009947CD" w:rsidRDefault="009947CD" w:rsidP="009947CD">
      <w:r>
        <w:t xml:space="preserve">Many stakeholders have been quick to stipulate that the Australia-New Zealand food regulatory system can be improved, but it is not broken; and FSANZ delivers a highly valued service to the community. The bi-national nature of the regulatory scheme has also been highlighted as one of the key strengths of the system and is often held up as a </w:t>
      </w:r>
      <w:r w:rsidR="009F234E">
        <w:t xml:space="preserve">good example </w:t>
      </w:r>
      <w:r>
        <w:t>of Closer Economic Relations between the two countries.</w:t>
      </w:r>
    </w:p>
    <w:p w14:paraId="6D77EF58" w14:textId="29180F5D" w:rsidR="009947CD" w:rsidRDefault="009947CD" w:rsidP="009947CD">
      <w:r>
        <w:t xml:space="preserve">With the ongoing need for food regulation and for FSANZ well </w:t>
      </w:r>
      <w:r w:rsidR="00C65EF0">
        <w:t>established</w:t>
      </w:r>
      <w:r>
        <w:t xml:space="preserve">, there is now an opportunity to consider how the provisions within the Act can </w:t>
      </w:r>
      <w:r w:rsidR="00AD0174">
        <w:t xml:space="preserve">support </w:t>
      </w:r>
      <w:r w:rsidR="009641ED">
        <w:t>best-practice regulation</w:t>
      </w:r>
      <w:r w:rsidR="00AD0174" w:rsidRPr="00AD0174">
        <w:t xml:space="preserve"> </w:t>
      </w:r>
      <w:r w:rsidR="00D263DA">
        <w:t>and</w:t>
      </w:r>
      <w:r w:rsidR="00AD0174">
        <w:t xml:space="preserve"> standards-setting</w:t>
      </w:r>
      <w:r>
        <w:t>.</w:t>
      </w:r>
    </w:p>
    <w:p w14:paraId="2D25E859" w14:textId="5A6124E7" w:rsidR="009947CD" w:rsidRDefault="009947CD" w:rsidP="009947CD">
      <w:r>
        <w:t>The ToR call for the Review to examine the Act and FSANZ’s operations, with several key areas being called out for specific consideration. At this time, there is an opportunity to consider how legislative and operational changes can assist FSANZ to efficiently and effectively deliver its current statutory functions, and also consider whether FSANZ should be taking on a wider role, either in Australia and/or New Zealand.</w:t>
      </w:r>
    </w:p>
    <w:p w14:paraId="224F6F08" w14:textId="42EFF0A8" w:rsidR="009947CD" w:rsidRDefault="00DE2668" w:rsidP="009947CD">
      <w:r>
        <w:t>The Review has been running since July 2020 and t</w:t>
      </w:r>
      <w:r w:rsidR="009947CD">
        <w:t xml:space="preserve">his scoping paper builds on research and consultation completed to date. It summarises the issues and tensions observed within the system and articulates possible ideas for reform. It is deliberately solutions-focused and designed to elicit commentary on what impact various regulatory changes might have for different stakeholder groups, as well as encourage new ideas for consideration. Importantly, it </w:t>
      </w:r>
      <w:r w:rsidR="00D0636B">
        <w:t>does</w:t>
      </w:r>
      <w:r w:rsidR="009947CD">
        <w:t xml:space="preserve"> not </w:t>
      </w:r>
      <w:r w:rsidR="00D0636B">
        <w:t>assume</w:t>
      </w:r>
      <w:r w:rsidR="009947CD">
        <w:t xml:space="preserve"> a position on which of the reform ideas are the right ones to pursue. </w:t>
      </w:r>
    </w:p>
    <w:p w14:paraId="59B48435" w14:textId="7CF6F66B" w:rsidR="00CE08C8" w:rsidRDefault="009947CD" w:rsidP="009947CD">
      <w:r>
        <w:t>Feedback gathered in response to the scoping paper will inform a shortlist of reform opportunities that will be further researched and subject to a cost-benefit analysis.</w:t>
      </w:r>
      <w:r w:rsidR="008C2C4D">
        <w:t xml:space="preserve"> </w:t>
      </w:r>
      <w:r w:rsidR="00B82F8F">
        <w:t xml:space="preserve">A summary of stakeholder views on the scoping paper will be provided as part of </w:t>
      </w:r>
      <w:r w:rsidR="00A23372">
        <w:t>further regulatory impact analysis</w:t>
      </w:r>
      <w:r w:rsidR="00866B39">
        <w:t xml:space="preserve"> work</w:t>
      </w:r>
      <w:r w:rsidR="00B82F8F">
        <w:t xml:space="preserve">. </w:t>
      </w:r>
    </w:p>
    <w:p w14:paraId="5C63516F" w14:textId="50B80DBF" w:rsidR="009947CD" w:rsidRDefault="009947CD" w:rsidP="009947CD">
      <w:r>
        <w:t xml:space="preserve">Findings will ultimately be collated into a Regulatory Impact Statement and further consultation will be led by the Department of Health in collaboration with its New Zealand counterpart ahead of any legislative changes. </w:t>
      </w:r>
    </w:p>
    <w:p w14:paraId="733F3799" w14:textId="77777777" w:rsidR="002A1A1C" w:rsidRDefault="002A1A1C" w:rsidP="002A1A1C"/>
    <w:p w14:paraId="2C18332A" w14:textId="5B44D2C1" w:rsidR="003C0058" w:rsidRDefault="009947CD" w:rsidP="00945E70">
      <w:r>
        <w:lastRenderedPageBreak/>
        <w:t xml:space="preserve">The issues and reform ideas that are discussed in this scoping paper are summarised at </w:t>
      </w:r>
      <w:r w:rsidR="006D7B8A">
        <w:fldChar w:fldCharType="begin"/>
      </w:r>
      <w:r w:rsidR="006D7B8A">
        <w:instrText xml:space="preserve"> REF _Ref52123007 \h </w:instrText>
      </w:r>
      <w:r w:rsidR="00945E70">
        <w:instrText xml:space="preserve"> \* MERGEFORMAT </w:instrText>
      </w:r>
      <w:r w:rsidR="006D7B8A">
        <w:fldChar w:fldCharType="separate"/>
      </w:r>
      <w:r w:rsidR="001C5CC6">
        <w:t xml:space="preserve">Table </w:t>
      </w:r>
      <w:r w:rsidR="001C5CC6">
        <w:rPr>
          <w:noProof/>
        </w:rPr>
        <w:t>1</w:t>
      </w:r>
      <w:r w:rsidR="006D7B8A">
        <w:fldChar w:fldCharType="end"/>
      </w:r>
      <w:r w:rsidRPr="003C0058">
        <w:t>.</w:t>
      </w:r>
      <w:r>
        <w:t xml:space="preserve"> The reform ideas are not intended to be mutually exclusive and could be considered separately or in conjunction with one another. </w:t>
      </w:r>
    </w:p>
    <w:p w14:paraId="7DA008BE" w14:textId="29584F19" w:rsidR="00BD717D" w:rsidRPr="000172AF" w:rsidRDefault="003C0058" w:rsidP="00945E70">
      <w:r>
        <w:t xml:space="preserve">Specific discussion questions have been posed throughout this paper. Feedback will be collected until </w:t>
      </w:r>
      <w:r w:rsidR="006F3980" w:rsidRPr="00E7068E">
        <w:t>midday AEST 16 November 2020</w:t>
      </w:r>
      <w:r w:rsidRPr="00E7068E">
        <w:t xml:space="preserve"> </w:t>
      </w:r>
      <w:r w:rsidRPr="00DB0E20">
        <w:t xml:space="preserve">via </w:t>
      </w:r>
      <w:r w:rsidR="00C47466" w:rsidRPr="00DB0E20">
        <w:rPr>
          <w:i/>
        </w:rPr>
        <w:t>the Australian Department of Health Consultation Hub</w:t>
      </w:r>
      <w:r w:rsidRPr="00DB0E20">
        <w:t>.</w:t>
      </w:r>
      <w:r>
        <w:t xml:space="preserve"> </w:t>
      </w:r>
    </w:p>
    <w:p w14:paraId="3217A583" w14:textId="07E52A9A" w:rsidR="003C0058" w:rsidRDefault="003C0058" w:rsidP="00945E70">
      <w:r>
        <w:t xml:space="preserve">Government departments, businesses, consumer groups, peak bodies, individuals and all other stakeholders are invited to make submissions. </w:t>
      </w:r>
    </w:p>
    <w:p w14:paraId="76CE1913" w14:textId="50F62274" w:rsidR="003C0058" w:rsidRDefault="003C0058" w:rsidP="00945E70"/>
    <w:p w14:paraId="247C63D4" w14:textId="77777777" w:rsidR="00281A04" w:rsidRDefault="00281A04" w:rsidP="00945E70">
      <w:pPr>
        <w:sectPr w:rsidR="00281A04" w:rsidSect="00DB0E20">
          <w:footerReference w:type="default" r:id="rId16"/>
          <w:pgSz w:w="11907" w:h="16839" w:code="9"/>
          <w:pgMar w:top="1418" w:right="1418" w:bottom="1701" w:left="1559" w:header="720" w:footer="720" w:gutter="0"/>
          <w:cols w:space="720"/>
          <w:titlePg/>
          <w:docGrid w:linePitch="360"/>
        </w:sectPr>
      </w:pPr>
      <w:bookmarkStart w:id="5" w:name="_Ref51053183"/>
    </w:p>
    <w:p w14:paraId="2A76E1B0" w14:textId="2CCF3276" w:rsidR="00ED5539" w:rsidRDefault="003C0058" w:rsidP="00ED5539">
      <w:pPr>
        <w:pStyle w:val="Caption"/>
      </w:pPr>
      <w:bookmarkStart w:id="6" w:name="_Ref52123007"/>
      <w:r>
        <w:lastRenderedPageBreak/>
        <w:t xml:space="preserve">Table </w:t>
      </w:r>
      <w:r>
        <w:fldChar w:fldCharType="begin"/>
      </w:r>
      <w:r>
        <w:instrText xml:space="preserve"> SEQ Table \* ARABIC </w:instrText>
      </w:r>
      <w:r>
        <w:fldChar w:fldCharType="separate"/>
      </w:r>
      <w:r w:rsidR="001C5CC6">
        <w:rPr>
          <w:noProof/>
        </w:rPr>
        <w:t>1</w:t>
      </w:r>
      <w:r>
        <w:fldChar w:fldCharType="end"/>
      </w:r>
      <w:bookmarkEnd w:id="5"/>
      <w:bookmarkEnd w:id="6"/>
      <w:r>
        <w:t xml:space="preserve">  | Overview of key issues and possible reform </w:t>
      </w:r>
      <w:bookmarkEnd w:id="0"/>
      <w:r w:rsidR="007052E6">
        <w:t>ideas</w:t>
      </w:r>
    </w:p>
    <w:tbl>
      <w:tblPr>
        <w:tblStyle w:val="TableGrid"/>
        <w:tblW w:w="5000" w:type="pct"/>
        <w:tblLook w:val="04A0" w:firstRow="1" w:lastRow="0" w:firstColumn="1" w:lastColumn="0" w:noHBand="0" w:noVBand="1"/>
      </w:tblPr>
      <w:tblGrid>
        <w:gridCol w:w="788"/>
        <w:gridCol w:w="1203"/>
        <w:gridCol w:w="4898"/>
        <w:gridCol w:w="7001"/>
      </w:tblGrid>
      <w:tr w:rsidR="00CB64D6" w14:paraId="68919FA6" w14:textId="77777777" w:rsidTr="00E73435">
        <w:trPr>
          <w:cnfStyle w:val="100000000000" w:firstRow="1" w:lastRow="0" w:firstColumn="0" w:lastColumn="0" w:oddVBand="0" w:evenVBand="0" w:oddHBand="0" w:evenHBand="0" w:firstRowFirstColumn="0" w:firstRowLastColumn="0" w:lastRowFirstColumn="0" w:lastRowLastColumn="0"/>
        </w:trPr>
        <w:tc>
          <w:tcPr>
            <w:tcW w:w="284" w:type="pct"/>
            <w:vAlign w:val="top"/>
          </w:tcPr>
          <w:p w14:paraId="13AC1331" w14:textId="77777777" w:rsidR="00943C6E" w:rsidRPr="00AE2073" w:rsidRDefault="00943C6E" w:rsidP="00C10B49">
            <w:pPr>
              <w:rPr>
                <w:szCs w:val="19"/>
              </w:rPr>
            </w:pPr>
            <w:r>
              <w:rPr>
                <w:szCs w:val="19"/>
              </w:rPr>
              <w:t xml:space="preserve">Section </w:t>
            </w:r>
          </w:p>
        </w:tc>
        <w:tc>
          <w:tcPr>
            <w:tcW w:w="433" w:type="pct"/>
            <w:vAlign w:val="top"/>
          </w:tcPr>
          <w:p w14:paraId="4B690442" w14:textId="77777777" w:rsidR="00943C6E" w:rsidRPr="00AE2073" w:rsidRDefault="00943C6E" w:rsidP="00C10B49">
            <w:pPr>
              <w:rPr>
                <w:szCs w:val="19"/>
              </w:rPr>
            </w:pPr>
            <w:r w:rsidRPr="00AE2073">
              <w:rPr>
                <w:szCs w:val="19"/>
              </w:rPr>
              <w:t>Focus area</w:t>
            </w:r>
          </w:p>
        </w:tc>
        <w:tc>
          <w:tcPr>
            <w:tcW w:w="1763" w:type="pct"/>
            <w:vAlign w:val="top"/>
          </w:tcPr>
          <w:p w14:paraId="16D5406E" w14:textId="77777777" w:rsidR="00943C6E" w:rsidRPr="00AE2073" w:rsidRDefault="00943C6E" w:rsidP="00C10B49">
            <w:pPr>
              <w:rPr>
                <w:szCs w:val="19"/>
              </w:rPr>
            </w:pPr>
            <w:r w:rsidRPr="00AE2073">
              <w:rPr>
                <w:szCs w:val="19"/>
              </w:rPr>
              <w:t>Key issues</w:t>
            </w:r>
          </w:p>
        </w:tc>
        <w:tc>
          <w:tcPr>
            <w:tcW w:w="2520" w:type="pct"/>
            <w:vAlign w:val="top"/>
          </w:tcPr>
          <w:p w14:paraId="0E157762" w14:textId="381BEB6B" w:rsidR="00943C6E" w:rsidRPr="00AE2073" w:rsidRDefault="00943C6E" w:rsidP="00C10B49">
            <w:pPr>
              <w:rPr>
                <w:szCs w:val="19"/>
              </w:rPr>
            </w:pPr>
            <w:r w:rsidRPr="00AE2073">
              <w:rPr>
                <w:szCs w:val="19"/>
              </w:rPr>
              <w:t xml:space="preserve">Possible reform </w:t>
            </w:r>
            <w:r w:rsidR="00682823">
              <w:rPr>
                <w:szCs w:val="19"/>
              </w:rPr>
              <w:t>ideas</w:t>
            </w:r>
          </w:p>
        </w:tc>
      </w:tr>
      <w:tr w:rsidR="00943C6E" w14:paraId="3CB1D300" w14:textId="77777777" w:rsidTr="00E73435">
        <w:trPr>
          <w:cnfStyle w:val="000000100000" w:firstRow="0" w:lastRow="0" w:firstColumn="0" w:lastColumn="0" w:oddVBand="0" w:evenVBand="0" w:oddHBand="1" w:evenHBand="0" w:firstRowFirstColumn="0" w:firstRowLastColumn="0" w:lastRowFirstColumn="0" w:lastRowLastColumn="0"/>
        </w:trPr>
        <w:tc>
          <w:tcPr>
            <w:tcW w:w="284" w:type="pct"/>
            <w:vAlign w:val="top"/>
          </w:tcPr>
          <w:p w14:paraId="35A69439" w14:textId="77777777" w:rsidR="00943C6E" w:rsidRPr="003E6EB5" w:rsidRDefault="00943C6E" w:rsidP="00C10B49">
            <w:pPr>
              <w:rPr>
                <w:szCs w:val="19"/>
              </w:rPr>
            </w:pPr>
            <w:r w:rsidRPr="003E6EB5">
              <w:rPr>
                <w:szCs w:val="19"/>
              </w:rPr>
              <w:t>2</w:t>
            </w:r>
          </w:p>
        </w:tc>
        <w:tc>
          <w:tcPr>
            <w:tcW w:w="433" w:type="pct"/>
            <w:vAlign w:val="top"/>
          </w:tcPr>
          <w:p w14:paraId="52911E48" w14:textId="77777777" w:rsidR="00943C6E" w:rsidRPr="004B19C2" w:rsidRDefault="00943C6E" w:rsidP="00C10B49">
            <w:pPr>
              <w:rPr>
                <w:szCs w:val="19"/>
              </w:rPr>
            </w:pPr>
            <w:r w:rsidRPr="004B19C2">
              <w:rPr>
                <w:szCs w:val="19"/>
              </w:rPr>
              <w:t xml:space="preserve">Objectives </w:t>
            </w:r>
          </w:p>
        </w:tc>
        <w:tc>
          <w:tcPr>
            <w:tcW w:w="1763" w:type="pct"/>
            <w:vAlign w:val="top"/>
          </w:tcPr>
          <w:p w14:paraId="103885AE" w14:textId="77B345F4" w:rsidR="00596FFB" w:rsidRPr="00596FFB" w:rsidRDefault="00596FFB" w:rsidP="00C10B49">
            <w:pPr>
              <w:rPr>
                <w:rFonts w:asciiTheme="majorHAnsi" w:hAnsiTheme="majorHAnsi" w:cstheme="majorHAnsi"/>
              </w:rPr>
            </w:pPr>
            <w:r w:rsidRPr="00596FFB">
              <w:rPr>
                <w:rFonts w:asciiTheme="majorHAnsi" w:hAnsiTheme="majorHAnsi" w:cstheme="majorHAnsi"/>
              </w:rPr>
              <w:fldChar w:fldCharType="begin"/>
            </w:r>
            <w:r w:rsidRPr="00596FFB">
              <w:rPr>
                <w:rFonts w:asciiTheme="majorHAnsi" w:hAnsiTheme="majorHAnsi" w:cstheme="majorHAnsi"/>
              </w:rPr>
              <w:instrText xml:space="preserve"> REF _Ref51485924 \h </w:instrText>
            </w:r>
            <w:r>
              <w:rPr>
                <w:rFonts w:asciiTheme="majorHAnsi" w:hAnsiTheme="majorHAnsi" w:cstheme="majorHAnsi"/>
              </w:rPr>
              <w:instrText xml:space="preserve"> \* MERGEFORMAT </w:instrText>
            </w:r>
            <w:r w:rsidRPr="00596FFB">
              <w:rPr>
                <w:rFonts w:asciiTheme="majorHAnsi" w:hAnsiTheme="majorHAnsi" w:cstheme="majorHAnsi"/>
              </w:rPr>
            </w:r>
            <w:r w:rsidRPr="00596FFB">
              <w:rPr>
                <w:rFonts w:asciiTheme="majorHAnsi" w:hAnsiTheme="majorHAnsi" w:cstheme="majorHAnsi"/>
              </w:rPr>
              <w:fldChar w:fldCharType="separate"/>
            </w:r>
            <w:r w:rsidR="001C5CC6" w:rsidRPr="001C5CC6">
              <w:rPr>
                <w:rFonts w:asciiTheme="majorHAnsi" w:hAnsiTheme="majorHAnsi" w:cstheme="majorHAnsi"/>
              </w:rPr>
              <w:t>Regulatory objectives for the food system need to be clarified</w:t>
            </w:r>
            <w:r w:rsidRPr="00596FFB">
              <w:rPr>
                <w:rFonts w:asciiTheme="majorHAnsi" w:hAnsiTheme="majorHAnsi" w:cstheme="majorHAnsi"/>
              </w:rPr>
              <w:fldChar w:fldCharType="end"/>
            </w:r>
          </w:p>
          <w:p w14:paraId="6BCDC5A0" w14:textId="1834F2F2" w:rsidR="00596FFB" w:rsidRPr="002F7A1A" w:rsidRDefault="00596FFB" w:rsidP="00C10B49">
            <w:pPr>
              <w:rPr>
                <w:rFonts w:asciiTheme="majorHAnsi" w:hAnsiTheme="majorHAnsi"/>
                <w:i/>
              </w:rPr>
            </w:pPr>
            <w:r w:rsidRPr="002F7A1A">
              <w:rPr>
                <w:rFonts w:asciiTheme="majorHAnsi" w:hAnsiTheme="majorHAnsi"/>
                <w:i/>
              </w:rPr>
              <w:fldChar w:fldCharType="begin"/>
            </w:r>
            <w:r w:rsidRPr="002F7A1A">
              <w:rPr>
                <w:rFonts w:asciiTheme="majorHAnsi" w:hAnsiTheme="majorHAnsi"/>
                <w:i/>
              </w:rPr>
              <w:instrText xml:space="preserve"> REF _Ref51485926 \h </w:instrText>
            </w:r>
            <w:r w:rsidR="002F7A1A">
              <w:rPr>
                <w:rFonts w:asciiTheme="majorHAnsi" w:hAnsiTheme="majorHAnsi"/>
                <w:i/>
              </w:rPr>
              <w:instrText xml:space="preserve"> \* MERGEFORMAT </w:instrText>
            </w:r>
            <w:r w:rsidRPr="002F7A1A">
              <w:rPr>
                <w:rFonts w:asciiTheme="majorHAnsi" w:hAnsiTheme="majorHAnsi"/>
                <w:i/>
              </w:rPr>
            </w:r>
            <w:r w:rsidRPr="002F7A1A">
              <w:rPr>
                <w:rFonts w:asciiTheme="majorHAnsi" w:hAnsiTheme="majorHAnsi"/>
                <w:i/>
              </w:rPr>
              <w:fldChar w:fldCharType="separate"/>
            </w:r>
            <w:r w:rsidR="001C5CC6" w:rsidRPr="001C5CC6">
              <w:rPr>
                <w:i/>
              </w:rPr>
              <w:t>It is not clear what is covered by the term ‘public health protection’</w:t>
            </w:r>
            <w:r w:rsidRPr="002F7A1A">
              <w:rPr>
                <w:rFonts w:asciiTheme="majorHAnsi" w:hAnsiTheme="majorHAnsi"/>
                <w:i/>
              </w:rPr>
              <w:fldChar w:fldCharType="end"/>
            </w:r>
          </w:p>
          <w:p w14:paraId="79F91D0F" w14:textId="55F30F83" w:rsidR="00596FFB" w:rsidRPr="002F7A1A" w:rsidRDefault="00596FFB" w:rsidP="00C10B49">
            <w:pPr>
              <w:rPr>
                <w:rFonts w:asciiTheme="majorHAnsi" w:hAnsiTheme="majorHAnsi"/>
                <w:i/>
              </w:rPr>
            </w:pPr>
            <w:r w:rsidRPr="002F7A1A">
              <w:rPr>
                <w:rFonts w:asciiTheme="majorHAnsi" w:hAnsiTheme="majorHAnsi"/>
                <w:i/>
              </w:rPr>
              <w:fldChar w:fldCharType="begin"/>
            </w:r>
            <w:r w:rsidRPr="002F7A1A">
              <w:rPr>
                <w:rFonts w:asciiTheme="majorHAnsi" w:hAnsiTheme="majorHAnsi"/>
                <w:i/>
              </w:rPr>
              <w:instrText xml:space="preserve"> REF _Ref51485930 \h </w:instrText>
            </w:r>
            <w:r w:rsidR="002F7A1A">
              <w:rPr>
                <w:rFonts w:asciiTheme="majorHAnsi" w:hAnsiTheme="majorHAnsi"/>
                <w:i/>
              </w:rPr>
              <w:instrText xml:space="preserve"> \* MERGEFORMAT </w:instrText>
            </w:r>
            <w:r w:rsidRPr="002F7A1A">
              <w:rPr>
                <w:rFonts w:asciiTheme="majorHAnsi" w:hAnsiTheme="majorHAnsi"/>
                <w:i/>
              </w:rPr>
            </w:r>
            <w:r w:rsidRPr="002F7A1A">
              <w:rPr>
                <w:rFonts w:asciiTheme="majorHAnsi" w:hAnsiTheme="majorHAnsi"/>
                <w:i/>
              </w:rPr>
              <w:fldChar w:fldCharType="separate"/>
            </w:r>
            <w:r w:rsidR="001C5CC6" w:rsidRPr="001C5CC6">
              <w:rPr>
                <w:i/>
              </w:rPr>
              <w:t>The intent of ‘enabling consumers to make informed choices’ has evolved over time</w:t>
            </w:r>
            <w:r w:rsidRPr="002F7A1A">
              <w:rPr>
                <w:rFonts w:asciiTheme="majorHAnsi" w:hAnsiTheme="majorHAnsi"/>
                <w:i/>
              </w:rPr>
              <w:fldChar w:fldCharType="end"/>
            </w:r>
          </w:p>
          <w:p w14:paraId="0438A9EF" w14:textId="08DD64C4" w:rsidR="00596FFB" w:rsidRPr="002F7A1A" w:rsidRDefault="00596FFB" w:rsidP="00C10B49">
            <w:pPr>
              <w:rPr>
                <w:rFonts w:asciiTheme="majorHAnsi" w:hAnsiTheme="majorHAnsi"/>
                <w:i/>
              </w:rPr>
            </w:pPr>
            <w:r w:rsidRPr="002F7A1A">
              <w:rPr>
                <w:rFonts w:asciiTheme="majorHAnsi" w:hAnsiTheme="majorHAnsi"/>
                <w:i/>
              </w:rPr>
              <w:fldChar w:fldCharType="begin"/>
            </w:r>
            <w:r w:rsidRPr="002F7A1A">
              <w:rPr>
                <w:rFonts w:asciiTheme="majorHAnsi" w:hAnsiTheme="majorHAnsi"/>
                <w:i/>
              </w:rPr>
              <w:instrText xml:space="preserve"> REF _Ref51485934 \h </w:instrText>
            </w:r>
            <w:r w:rsidR="002F7A1A">
              <w:rPr>
                <w:rFonts w:asciiTheme="majorHAnsi" w:hAnsiTheme="majorHAnsi"/>
                <w:i/>
              </w:rPr>
              <w:instrText xml:space="preserve"> \* MERGEFORMAT </w:instrText>
            </w:r>
            <w:r w:rsidRPr="002F7A1A">
              <w:rPr>
                <w:rFonts w:asciiTheme="majorHAnsi" w:hAnsiTheme="majorHAnsi"/>
                <w:i/>
              </w:rPr>
            </w:r>
            <w:r w:rsidRPr="002F7A1A">
              <w:rPr>
                <w:rFonts w:asciiTheme="majorHAnsi" w:hAnsiTheme="majorHAnsi"/>
                <w:i/>
              </w:rPr>
              <w:fldChar w:fldCharType="separate"/>
            </w:r>
            <w:r w:rsidR="001C5CC6" w:rsidRPr="001C5CC6">
              <w:rPr>
                <w:i/>
              </w:rPr>
              <w:t>FSANZ must have regard to the desirability of an efficient and internationally competitive food industry, but this is not an explicitly stated goal for FSANZ in s 3 of</w:t>
            </w:r>
            <w:r w:rsidR="001C5CC6">
              <w:t xml:space="preserve"> the Act</w:t>
            </w:r>
            <w:r w:rsidRPr="002F7A1A">
              <w:rPr>
                <w:rFonts w:asciiTheme="majorHAnsi" w:hAnsiTheme="majorHAnsi"/>
                <w:i/>
              </w:rPr>
              <w:fldChar w:fldCharType="end"/>
            </w:r>
          </w:p>
          <w:p w14:paraId="43F3806F" w14:textId="42D05F3F" w:rsidR="002F7A1A" w:rsidRPr="002F7A1A" w:rsidRDefault="00596FFB" w:rsidP="00C10B49">
            <w:pPr>
              <w:rPr>
                <w:rFonts w:asciiTheme="majorHAnsi" w:hAnsiTheme="majorHAnsi"/>
                <w:i/>
              </w:rPr>
            </w:pPr>
            <w:r w:rsidRPr="002F7A1A">
              <w:rPr>
                <w:rFonts w:asciiTheme="majorHAnsi" w:hAnsiTheme="majorHAnsi"/>
                <w:i/>
              </w:rPr>
              <w:fldChar w:fldCharType="begin"/>
            </w:r>
            <w:r w:rsidRPr="002F7A1A">
              <w:rPr>
                <w:rFonts w:asciiTheme="majorHAnsi" w:hAnsiTheme="majorHAnsi"/>
                <w:i/>
              </w:rPr>
              <w:instrText xml:space="preserve"> REF _Ref51485938 \h </w:instrText>
            </w:r>
            <w:r w:rsidR="002F7A1A">
              <w:rPr>
                <w:rFonts w:asciiTheme="majorHAnsi" w:hAnsiTheme="majorHAnsi"/>
                <w:i/>
              </w:rPr>
              <w:instrText xml:space="preserve"> \* MERGEFORMAT </w:instrText>
            </w:r>
            <w:r w:rsidRPr="002F7A1A">
              <w:rPr>
                <w:rFonts w:asciiTheme="majorHAnsi" w:hAnsiTheme="majorHAnsi"/>
                <w:i/>
              </w:rPr>
            </w:r>
            <w:r w:rsidRPr="002F7A1A">
              <w:rPr>
                <w:rFonts w:asciiTheme="majorHAnsi" w:hAnsiTheme="majorHAnsi"/>
                <w:i/>
              </w:rPr>
              <w:fldChar w:fldCharType="separate"/>
            </w:r>
            <w:r w:rsidR="001C5CC6" w:rsidRPr="001C5CC6">
              <w:rPr>
                <w:i/>
              </w:rPr>
              <w:t>There are structural tensions within FSANZ’s objectives when developing food regulatory</w:t>
            </w:r>
            <w:r w:rsidR="001C5CC6">
              <w:t xml:space="preserve"> measures</w:t>
            </w:r>
            <w:r w:rsidRPr="002F7A1A">
              <w:rPr>
                <w:rFonts w:asciiTheme="majorHAnsi" w:hAnsiTheme="majorHAnsi"/>
                <w:i/>
              </w:rPr>
              <w:fldChar w:fldCharType="end"/>
            </w:r>
            <w:r w:rsidR="00451338">
              <w:rPr>
                <w:rFonts w:asciiTheme="majorHAnsi" w:hAnsiTheme="majorHAnsi"/>
                <w:i/>
              </w:rPr>
              <w:t>.</w:t>
            </w:r>
          </w:p>
        </w:tc>
        <w:tc>
          <w:tcPr>
            <w:tcW w:w="2520" w:type="pct"/>
            <w:vAlign w:val="top"/>
          </w:tcPr>
          <w:p w14:paraId="729103EF" w14:textId="4C4616D5" w:rsidR="00002BEA" w:rsidRDefault="00361467" w:rsidP="0037136B">
            <w:pPr>
              <w:pStyle w:val="TableNBullet"/>
              <w:numPr>
                <w:ilvl w:val="0"/>
                <w:numId w:val="0"/>
              </w:numPr>
              <w:rPr>
                <w:rFonts w:asciiTheme="minorHAnsi" w:hAnsiTheme="minorHAnsi" w:cstheme="minorHAnsi"/>
                <w:sz w:val="19"/>
              </w:rPr>
            </w:pPr>
            <w:r>
              <w:rPr>
                <w:rFonts w:asciiTheme="minorHAnsi" w:hAnsiTheme="minorHAnsi" w:cstheme="minorHAnsi"/>
                <w:sz w:val="19"/>
              </w:rPr>
              <w:t xml:space="preserve">Reform idea 1 - </w:t>
            </w:r>
            <w:r w:rsidR="002F7A1A" w:rsidRPr="00002BEA">
              <w:rPr>
                <w:rFonts w:asciiTheme="minorHAnsi" w:hAnsiTheme="minorHAnsi" w:cstheme="minorHAnsi"/>
                <w:sz w:val="19"/>
              </w:rPr>
              <w:fldChar w:fldCharType="begin"/>
            </w:r>
            <w:r w:rsidR="002F7A1A" w:rsidRPr="00002BEA">
              <w:rPr>
                <w:rFonts w:asciiTheme="minorHAnsi" w:hAnsiTheme="minorHAnsi" w:cstheme="minorHAnsi"/>
                <w:sz w:val="19"/>
              </w:rPr>
              <w:instrText xml:space="preserve"> REF _Ref51339798 \h </w:instrText>
            </w:r>
            <w:r w:rsidR="00002BEA" w:rsidRPr="00002BEA">
              <w:rPr>
                <w:rFonts w:asciiTheme="minorHAnsi" w:hAnsiTheme="minorHAnsi" w:cstheme="minorHAnsi"/>
                <w:sz w:val="19"/>
              </w:rPr>
              <w:instrText xml:space="preserve"> \* MERGEFORMAT </w:instrText>
            </w:r>
            <w:r w:rsidR="002F7A1A" w:rsidRPr="00002BEA">
              <w:rPr>
                <w:rFonts w:asciiTheme="minorHAnsi" w:hAnsiTheme="minorHAnsi" w:cstheme="minorHAnsi"/>
                <w:sz w:val="19"/>
              </w:rPr>
            </w:r>
            <w:r w:rsidR="002F7A1A" w:rsidRPr="00002BEA">
              <w:rPr>
                <w:rFonts w:asciiTheme="minorHAnsi" w:hAnsiTheme="minorHAnsi" w:cstheme="minorHAnsi"/>
                <w:sz w:val="19"/>
              </w:rPr>
              <w:fldChar w:fldCharType="separate"/>
            </w:r>
            <w:r w:rsidR="001C5CC6" w:rsidRPr="001C5CC6" w:rsidDel="00C467BB">
              <w:rPr>
                <w:rFonts w:asciiTheme="minorHAnsi" w:hAnsiTheme="minorHAnsi" w:cstheme="minorHAnsi"/>
                <w:sz w:val="19"/>
              </w:rPr>
              <w:t>D</w:t>
            </w:r>
            <w:r w:rsidR="001C5CC6" w:rsidRPr="001C5CC6">
              <w:rPr>
                <w:rFonts w:asciiTheme="minorHAnsi" w:hAnsiTheme="minorHAnsi" w:cstheme="minorHAnsi"/>
                <w:sz w:val="19"/>
              </w:rPr>
              <w:t>efine ‘public health’ and ‘safety’ in legislation to affirm the inclusion of long-term health and nutrition as a core objective</w:t>
            </w:r>
            <w:r w:rsidR="002F7A1A" w:rsidRPr="00002BEA">
              <w:rPr>
                <w:rFonts w:asciiTheme="minorHAnsi" w:hAnsiTheme="minorHAnsi" w:cstheme="minorHAnsi"/>
                <w:sz w:val="19"/>
              </w:rPr>
              <w:fldChar w:fldCharType="end"/>
            </w:r>
          </w:p>
          <w:p w14:paraId="61DC4ED9" w14:textId="70D2B409" w:rsidR="008B7491" w:rsidRPr="00002BEA" w:rsidRDefault="008B7491">
            <w:pPr>
              <w:pStyle w:val="TableNBullet"/>
              <w:numPr>
                <w:ilvl w:val="0"/>
                <w:numId w:val="0"/>
              </w:numPr>
              <w:rPr>
                <w:rFonts w:asciiTheme="minorHAnsi" w:hAnsiTheme="minorHAnsi" w:cstheme="minorHAnsi"/>
                <w:sz w:val="19"/>
              </w:rPr>
            </w:pPr>
          </w:p>
          <w:p w14:paraId="1E98782E" w14:textId="334AA26C" w:rsidR="00943C6E" w:rsidRDefault="002F7A1A" w:rsidP="00D321DB">
            <w:pPr>
              <w:pStyle w:val="TableNBullet"/>
              <w:numPr>
                <w:ilvl w:val="0"/>
                <w:numId w:val="0"/>
              </w:numPr>
              <w:rPr>
                <w:rFonts w:asciiTheme="minorHAnsi" w:hAnsiTheme="minorHAnsi" w:cstheme="minorHAnsi"/>
                <w:sz w:val="19"/>
              </w:rPr>
            </w:pPr>
            <w:r w:rsidRPr="00002BEA">
              <w:rPr>
                <w:rFonts w:asciiTheme="minorHAnsi" w:hAnsiTheme="minorHAnsi" w:cstheme="minorHAnsi"/>
                <w:sz w:val="19"/>
              </w:rPr>
              <w:fldChar w:fldCharType="begin"/>
            </w:r>
            <w:r w:rsidRPr="00002BEA">
              <w:rPr>
                <w:rFonts w:asciiTheme="minorHAnsi" w:hAnsiTheme="minorHAnsi" w:cstheme="minorHAnsi"/>
                <w:sz w:val="19"/>
              </w:rPr>
              <w:instrText xml:space="preserve"> REF _Ref51339822 \h </w:instrText>
            </w:r>
            <w:r w:rsidR="00002BEA" w:rsidRPr="00002BEA">
              <w:rPr>
                <w:rFonts w:asciiTheme="minorHAnsi" w:hAnsiTheme="minorHAnsi" w:cstheme="minorHAnsi"/>
                <w:sz w:val="19"/>
              </w:rPr>
              <w:instrText xml:space="preserve"> \* MERGEFORMAT </w:instrText>
            </w:r>
            <w:r w:rsidRPr="00002BEA">
              <w:rPr>
                <w:rFonts w:asciiTheme="minorHAnsi" w:hAnsiTheme="minorHAnsi" w:cstheme="minorHAnsi"/>
                <w:sz w:val="19"/>
              </w:rPr>
            </w:r>
            <w:r w:rsidRPr="00002BEA">
              <w:rPr>
                <w:rFonts w:asciiTheme="minorHAnsi" w:hAnsiTheme="minorHAnsi" w:cstheme="minorHAnsi"/>
                <w:sz w:val="19"/>
              </w:rPr>
              <w:fldChar w:fldCharType="separate"/>
            </w:r>
            <w:r w:rsidR="001C5CC6" w:rsidRPr="001C5CC6">
              <w:rPr>
                <w:rFonts w:asciiTheme="minorHAnsi" w:hAnsiTheme="minorHAnsi" w:cstheme="minorHAnsi"/>
                <w:sz w:val="19"/>
              </w:rPr>
              <w:t>Reform idea 2 - Recognise trade as a core goal and reframe consumer choice as a factor to which FSANZ ‘must have regard’</w:t>
            </w:r>
            <w:r w:rsidRPr="00002BEA">
              <w:rPr>
                <w:rFonts w:asciiTheme="minorHAnsi" w:hAnsiTheme="minorHAnsi" w:cstheme="minorHAnsi"/>
                <w:sz w:val="19"/>
              </w:rPr>
              <w:fldChar w:fldCharType="end"/>
            </w:r>
            <w:r w:rsidR="0002588F">
              <w:rPr>
                <w:rFonts w:asciiTheme="minorHAnsi" w:hAnsiTheme="minorHAnsi" w:cstheme="minorHAnsi"/>
                <w:sz w:val="19"/>
              </w:rPr>
              <w:t xml:space="preserve">     </w:t>
            </w:r>
            <w:r w:rsidR="00943C6E" w:rsidRPr="00331D5B">
              <w:rPr>
                <w:rFonts w:asciiTheme="minorHAnsi" w:hAnsiTheme="minorHAnsi" w:cstheme="minorHAnsi"/>
                <w:sz w:val="19"/>
              </w:rPr>
              <w:t xml:space="preserve"> </w:t>
            </w:r>
          </w:p>
          <w:p w14:paraId="6552CE93" w14:textId="77777777" w:rsidR="008B7491" w:rsidRDefault="008B7491" w:rsidP="0002588F">
            <w:pPr>
              <w:pStyle w:val="TableNBullet"/>
              <w:numPr>
                <w:ilvl w:val="0"/>
                <w:numId w:val="0"/>
              </w:numPr>
              <w:ind w:left="227" w:hanging="227"/>
              <w:rPr>
                <w:rFonts w:asciiTheme="minorHAnsi" w:hAnsiTheme="minorHAnsi" w:cstheme="minorHAnsi"/>
                <w:sz w:val="19"/>
              </w:rPr>
            </w:pPr>
          </w:p>
          <w:p w14:paraId="7C575055" w14:textId="3ACE7D51" w:rsidR="00943C6E" w:rsidRPr="00E73435" w:rsidRDefault="0002588F" w:rsidP="0037136B">
            <w:pPr>
              <w:pStyle w:val="TableNBullet"/>
              <w:numPr>
                <w:ilvl w:val="0"/>
                <w:numId w:val="0"/>
              </w:numPr>
              <w:rPr>
                <w:rFonts w:asciiTheme="minorHAnsi" w:hAnsiTheme="minorHAnsi" w:cstheme="minorHAnsi"/>
                <w:sz w:val="19"/>
              </w:rPr>
            </w:pPr>
            <w:r w:rsidRPr="0002588F">
              <w:rPr>
                <w:rFonts w:asciiTheme="minorHAnsi" w:hAnsiTheme="minorHAnsi" w:cstheme="minorHAnsi"/>
                <w:sz w:val="19"/>
              </w:rPr>
              <w:fldChar w:fldCharType="begin"/>
            </w:r>
            <w:r w:rsidRPr="0002588F">
              <w:rPr>
                <w:rFonts w:asciiTheme="minorHAnsi" w:hAnsiTheme="minorHAnsi" w:cstheme="minorHAnsi"/>
                <w:sz w:val="19"/>
              </w:rPr>
              <w:instrText xml:space="preserve"> REF _Ref51486292 \h  \* MERGEFORMAT </w:instrText>
            </w:r>
            <w:r w:rsidRPr="0002588F">
              <w:rPr>
                <w:rFonts w:asciiTheme="minorHAnsi" w:hAnsiTheme="minorHAnsi" w:cstheme="minorHAnsi"/>
                <w:sz w:val="19"/>
              </w:rPr>
            </w:r>
            <w:r w:rsidRPr="0002588F">
              <w:rPr>
                <w:rFonts w:asciiTheme="minorHAnsi" w:hAnsiTheme="minorHAnsi" w:cstheme="minorHAnsi"/>
                <w:sz w:val="19"/>
              </w:rPr>
              <w:fldChar w:fldCharType="separate"/>
            </w:r>
            <w:r w:rsidR="001C5CC6" w:rsidRPr="001C5CC6">
              <w:rPr>
                <w:rFonts w:asciiTheme="minorHAnsi" w:hAnsiTheme="minorHAnsi" w:cstheme="minorHAnsi"/>
                <w:sz w:val="19"/>
              </w:rPr>
              <w:t>Reform idea 3 – Establish criteria in the Act that the Forum must meet to request a review of a draft regulatory measure</w:t>
            </w:r>
            <w:r w:rsidRPr="0002588F">
              <w:rPr>
                <w:rFonts w:asciiTheme="minorHAnsi" w:hAnsiTheme="minorHAnsi" w:cstheme="minorHAnsi"/>
                <w:sz w:val="19"/>
              </w:rPr>
              <w:fldChar w:fldCharType="end"/>
            </w:r>
          </w:p>
        </w:tc>
      </w:tr>
      <w:tr w:rsidR="00943C6E" w14:paraId="699413B1" w14:textId="77777777" w:rsidTr="00E73435">
        <w:trPr>
          <w:cnfStyle w:val="000000010000" w:firstRow="0" w:lastRow="0" w:firstColumn="0" w:lastColumn="0" w:oddVBand="0" w:evenVBand="0" w:oddHBand="0" w:evenHBand="1" w:firstRowFirstColumn="0" w:firstRowLastColumn="0" w:lastRowFirstColumn="0" w:lastRowLastColumn="0"/>
        </w:trPr>
        <w:tc>
          <w:tcPr>
            <w:tcW w:w="284" w:type="pct"/>
            <w:vAlign w:val="top"/>
          </w:tcPr>
          <w:p w14:paraId="0CF8863D" w14:textId="77777777" w:rsidR="00943C6E" w:rsidRPr="003E6EB5" w:rsidRDefault="00943C6E" w:rsidP="00C10B49">
            <w:pPr>
              <w:rPr>
                <w:szCs w:val="19"/>
              </w:rPr>
            </w:pPr>
            <w:r>
              <w:rPr>
                <w:szCs w:val="19"/>
              </w:rPr>
              <w:t>3</w:t>
            </w:r>
          </w:p>
        </w:tc>
        <w:tc>
          <w:tcPr>
            <w:tcW w:w="433" w:type="pct"/>
            <w:vAlign w:val="top"/>
          </w:tcPr>
          <w:p w14:paraId="35428078" w14:textId="77777777" w:rsidR="00943C6E" w:rsidRPr="003E6EB5" w:rsidRDefault="00943C6E" w:rsidP="00C10B49">
            <w:pPr>
              <w:rPr>
                <w:szCs w:val="19"/>
              </w:rPr>
            </w:pPr>
            <w:r w:rsidRPr="003E6EB5">
              <w:rPr>
                <w:szCs w:val="19"/>
              </w:rPr>
              <w:t>Functions</w:t>
            </w:r>
          </w:p>
        </w:tc>
        <w:tc>
          <w:tcPr>
            <w:tcW w:w="1763" w:type="pct"/>
            <w:vAlign w:val="top"/>
          </w:tcPr>
          <w:p w14:paraId="0B405CE4" w14:textId="2DEB0A28" w:rsidR="007717C4" w:rsidRPr="008B7491" w:rsidRDefault="007717C4" w:rsidP="00C10B49">
            <w:pPr>
              <w:rPr>
                <w:rFonts w:asciiTheme="majorHAnsi" w:hAnsiTheme="majorHAnsi" w:cstheme="majorHAnsi"/>
              </w:rPr>
            </w:pPr>
            <w:r w:rsidRPr="008B7491">
              <w:rPr>
                <w:rFonts w:asciiTheme="majorHAnsi" w:hAnsiTheme="majorHAnsi" w:cstheme="majorHAnsi"/>
              </w:rPr>
              <w:fldChar w:fldCharType="begin"/>
            </w:r>
            <w:r w:rsidRPr="008B7491">
              <w:rPr>
                <w:rFonts w:asciiTheme="majorHAnsi" w:hAnsiTheme="majorHAnsi" w:cstheme="majorHAnsi"/>
              </w:rPr>
              <w:instrText xml:space="preserve"> REF _Ref51486325 \h </w:instrText>
            </w:r>
            <w:r w:rsidR="008B7491">
              <w:rPr>
                <w:rFonts w:asciiTheme="majorHAnsi" w:hAnsiTheme="majorHAnsi" w:cstheme="majorHAnsi"/>
              </w:rPr>
              <w:instrText xml:space="preserve"> \* MERGEFORMAT </w:instrText>
            </w:r>
            <w:r w:rsidRPr="008B7491">
              <w:rPr>
                <w:rFonts w:asciiTheme="majorHAnsi" w:hAnsiTheme="majorHAnsi" w:cstheme="majorHAnsi"/>
              </w:rPr>
            </w:r>
            <w:r w:rsidRPr="008B7491">
              <w:rPr>
                <w:rFonts w:asciiTheme="majorHAnsi" w:hAnsiTheme="majorHAnsi" w:cstheme="majorHAnsi"/>
              </w:rPr>
              <w:fldChar w:fldCharType="separate"/>
            </w:r>
            <w:r w:rsidR="001C5CC6" w:rsidRPr="001C5CC6">
              <w:rPr>
                <w:rFonts w:asciiTheme="majorHAnsi" w:hAnsiTheme="majorHAnsi" w:cstheme="majorHAnsi"/>
              </w:rPr>
              <w:t>FSANZ’s statutory functions could be clarified</w:t>
            </w:r>
            <w:r w:rsidRPr="008B7491">
              <w:rPr>
                <w:rFonts w:asciiTheme="majorHAnsi" w:hAnsiTheme="majorHAnsi" w:cstheme="majorHAnsi"/>
              </w:rPr>
              <w:fldChar w:fldCharType="end"/>
            </w:r>
          </w:p>
          <w:p w14:paraId="6C84AFA5" w14:textId="46387A34" w:rsidR="007717C4" w:rsidRPr="008B7491" w:rsidRDefault="007717C4" w:rsidP="00C10B49">
            <w:pPr>
              <w:rPr>
                <w:rFonts w:asciiTheme="majorHAnsi" w:hAnsiTheme="majorHAnsi" w:cstheme="majorHAnsi"/>
                <w:i/>
              </w:rPr>
            </w:pPr>
            <w:r w:rsidRPr="008B7491">
              <w:rPr>
                <w:rFonts w:asciiTheme="majorHAnsi" w:hAnsiTheme="majorHAnsi" w:cstheme="majorHAnsi"/>
                <w:i/>
              </w:rPr>
              <w:fldChar w:fldCharType="begin"/>
            </w:r>
            <w:r w:rsidRPr="008B7491">
              <w:rPr>
                <w:rFonts w:asciiTheme="majorHAnsi" w:hAnsiTheme="majorHAnsi" w:cstheme="majorHAnsi"/>
                <w:i/>
              </w:rPr>
              <w:instrText xml:space="preserve"> REF _Ref51486327 \h </w:instrText>
            </w:r>
            <w:r w:rsidR="008B7491">
              <w:rPr>
                <w:rFonts w:asciiTheme="majorHAnsi" w:hAnsiTheme="majorHAnsi" w:cstheme="majorHAnsi"/>
                <w:i/>
              </w:rPr>
              <w:instrText xml:space="preserve"> \* MERGEFORMAT </w:instrText>
            </w:r>
            <w:r w:rsidRPr="008B7491">
              <w:rPr>
                <w:rFonts w:asciiTheme="majorHAnsi" w:hAnsiTheme="majorHAnsi" w:cstheme="majorHAnsi"/>
                <w:i/>
              </w:rPr>
            </w:r>
            <w:r w:rsidRPr="008B7491">
              <w:rPr>
                <w:rFonts w:asciiTheme="majorHAnsi" w:hAnsiTheme="majorHAnsi" w:cstheme="majorHAnsi"/>
                <w:i/>
              </w:rPr>
              <w:fldChar w:fldCharType="separate"/>
            </w:r>
            <w:r w:rsidR="001C5CC6" w:rsidRPr="001C5CC6">
              <w:rPr>
                <w:i/>
              </w:rPr>
              <w:t>FSANZ has a broad range of statutory functions</w:t>
            </w:r>
            <w:r w:rsidRPr="008B7491">
              <w:rPr>
                <w:rFonts w:asciiTheme="majorHAnsi" w:hAnsiTheme="majorHAnsi" w:cstheme="majorHAnsi"/>
                <w:i/>
              </w:rPr>
              <w:fldChar w:fldCharType="end"/>
            </w:r>
          </w:p>
          <w:p w14:paraId="1994D801" w14:textId="42003C71" w:rsidR="0002588F" w:rsidRPr="008B7491" w:rsidRDefault="007717C4" w:rsidP="00C10B49">
            <w:pPr>
              <w:rPr>
                <w:rFonts w:asciiTheme="majorHAnsi" w:hAnsiTheme="majorHAnsi" w:cstheme="majorHAnsi"/>
                <w:i/>
              </w:rPr>
            </w:pPr>
            <w:r w:rsidRPr="008B7491">
              <w:rPr>
                <w:rFonts w:asciiTheme="majorHAnsi" w:hAnsiTheme="majorHAnsi" w:cstheme="majorHAnsi"/>
                <w:i/>
              </w:rPr>
              <w:fldChar w:fldCharType="begin"/>
            </w:r>
            <w:r w:rsidRPr="008B7491">
              <w:rPr>
                <w:rFonts w:asciiTheme="majorHAnsi" w:hAnsiTheme="majorHAnsi" w:cstheme="majorHAnsi"/>
                <w:i/>
              </w:rPr>
              <w:instrText xml:space="preserve"> REF _Ref51486332 \h </w:instrText>
            </w:r>
            <w:r w:rsidR="008B7491">
              <w:rPr>
                <w:rFonts w:asciiTheme="majorHAnsi" w:hAnsiTheme="majorHAnsi" w:cstheme="majorHAnsi"/>
                <w:i/>
              </w:rPr>
              <w:instrText xml:space="preserve"> \* MERGEFORMAT </w:instrText>
            </w:r>
            <w:r w:rsidRPr="008B7491">
              <w:rPr>
                <w:rFonts w:asciiTheme="majorHAnsi" w:hAnsiTheme="majorHAnsi" w:cstheme="majorHAnsi"/>
                <w:i/>
              </w:rPr>
            </w:r>
            <w:r w:rsidRPr="008B7491">
              <w:rPr>
                <w:rFonts w:asciiTheme="majorHAnsi" w:hAnsiTheme="majorHAnsi" w:cstheme="majorHAnsi"/>
                <w:i/>
              </w:rPr>
              <w:fldChar w:fldCharType="separate"/>
            </w:r>
            <w:r w:rsidR="001C5CC6" w:rsidRPr="001C5CC6">
              <w:rPr>
                <w:i/>
              </w:rPr>
              <w:t>Statutory functions could be amended to reflect FSANZ’s agreed scope of practice</w:t>
            </w:r>
            <w:r w:rsidRPr="008B7491">
              <w:rPr>
                <w:rFonts w:asciiTheme="majorHAnsi" w:hAnsiTheme="majorHAnsi" w:cstheme="majorHAnsi"/>
                <w:i/>
              </w:rPr>
              <w:fldChar w:fldCharType="end"/>
            </w:r>
          </w:p>
          <w:p w14:paraId="77F1CB0D" w14:textId="68F98CF0" w:rsidR="008B7491" w:rsidRPr="008B7491" w:rsidRDefault="008B7491" w:rsidP="00C10B49">
            <w:pPr>
              <w:rPr>
                <w:rFonts w:asciiTheme="majorHAnsi" w:hAnsiTheme="majorHAnsi" w:cstheme="majorHAnsi"/>
                <w:i/>
              </w:rPr>
            </w:pPr>
            <w:r w:rsidRPr="008B7491">
              <w:rPr>
                <w:rFonts w:asciiTheme="majorHAnsi" w:hAnsiTheme="majorHAnsi" w:cstheme="majorHAnsi"/>
                <w:i/>
              </w:rPr>
              <w:fldChar w:fldCharType="begin"/>
            </w:r>
            <w:r w:rsidRPr="008B7491">
              <w:rPr>
                <w:rFonts w:asciiTheme="majorHAnsi" w:hAnsiTheme="majorHAnsi" w:cstheme="majorHAnsi"/>
                <w:i/>
              </w:rPr>
              <w:instrText xml:space="preserve"> REF _Ref51486366 \h </w:instrText>
            </w:r>
            <w:r>
              <w:rPr>
                <w:rFonts w:asciiTheme="majorHAnsi" w:hAnsiTheme="majorHAnsi" w:cstheme="majorHAnsi"/>
                <w:i/>
              </w:rPr>
              <w:instrText xml:space="preserve"> \* MERGEFORMAT </w:instrText>
            </w:r>
            <w:r w:rsidRPr="008B7491">
              <w:rPr>
                <w:rFonts w:asciiTheme="majorHAnsi" w:hAnsiTheme="majorHAnsi" w:cstheme="majorHAnsi"/>
                <w:i/>
              </w:rPr>
            </w:r>
            <w:r w:rsidRPr="008B7491">
              <w:rPr>
                <w:rFonts w:asciiTheme="majorHAnsi" w:hAnsiTheme="majorHAnsi" w:cstheme="majorHAnsi"/>
                <w:i/>
              </w:rPr>
              <w:fldChar w:fldCharType="separate"/>
            </w:r>
            <w:r w:rsidR="001C5CC6" w:rsidRPr="001C5CC6">
              <w:rPr>
                <w:i/>
              </w:rPr>
              <w:t>FSANZ’s role could be better defined in some cases</w:t>
            </w:r>
            <w:r w:rsidRPr="008B7491">
              <w:rPr>
                <w:rFonts w:asciiTheme="majorHAnsi" w:hAnsiTheme="majorHAnsi" w:cstheme="majorHAnsi"/>
                <w:i/>
              </w:rPr>
              <w:fldChar w:fldCharType="end"/>
            </w:r>
          </w:p>
          <w:p w14:paraId="49C96CF3" w14:textId="5E2ABEE0" w:rsidR="007717C4" w:rsidRPr="008B7491" w:rsidRDefault="008B7491" w:rsidP="00C10B49">
            <w:pPr>
              <w:rPr>
                <w:rFonts w:asciiTheme="majorHAnsi" w:hAnsiTheme="majorHAnsi" w:cstheme="majorHAnsi"/>
                <w:i/>
              </w:rPr>
            </w:pPr>
            <w:r w:rsidRPr="008B7491">
              <w:rPr>
                <w:rFonts w:asciiTheme="majorHAnsi" w:hAnsiTheme="majorHAnsi" w:cstheme="majorHAnsi"/>
                <w:i/>
              </w:rPr>
              <w:fldChar w:fldCharType="begin"/>
            </w:r>
            <w:r w:rsidRPr="008B7491">
              <w:rPr>
                <w:rFonts w:asciiTheme="majorHAnsi" w:hAnsiTheme="majorHAnsi" w:cstheme="majorHAnsi"/>
                <w:i/>
              </w:rPr>
              <w:instrText xml:space="preserve"> REF _Ref51486367 \h </w:instrText>
            </w:r>
            <w:r>
              <w:rPr>
                <w:rFonts w:asciiTheme="majorHAnsi" w:hAnsiTheme="majorHAnsi" w:cstheme="majorHAnsi"/>
                <w:i/>
              </w:rPr>
              <w:instrText xml:space="preserve"> \* MERGEFORMAT </w:instrText>
            </w:r>
            <w:r w:rsidRPr="008B7491">
              <w:rPr>
                <w:rFonts w:asciiTheme="majorHAnsi" w:hAnsiTheme="majorHAnsi" w:cstheme="majorHAnsi"/>
                <w:i/>
              </w:rPr>
            </w:r>
            <w:r w:rsidRPr="008B7491">
              <w:rPr>
                <w:rFonts w:asciiTheme="majorHAnsi" w:hAnsiTheme="majorHAnsi" w:cstheme="majorHAnsi"/>
                <w:i/>
              </w:rPr>
              <w:fldChar w:fldCharType="separate"/>
            </w:r>
            <w:r w:rsidR="001C5CC6" w:rsidRPr="001C5CC6">
              <w:rPr>
                <w:i/>
              </w:rPr>
              <w:t>FSANZ could potentially undertake broader roles or functions to deliver greater value to the system, if appropriately resourced</w:t>
            </w:r>
            <w:r w:rsidRPr="008B7491">
              <w:rPr>
                <w:rFonts w:asciiTheme="majorHAnsi" w:hAnsiTheme="majorHAnsi" w:cstheme="majorHAnsi"/>
                <w:i/>
              </w:rPr>
              <w:fldChar w:fldCharType="end"/>
            </w:r>
            <w:r w:rsidR="00DB5F31">
              <w:rPr>
                <w:rFonts w:asciiTheme="majorHAnsi" w:hAnsiTheme="majorHAnsi" w:cstheme="majorHAnsi"/>
                <w:i/>
              </w:rPr>
              <w:t>.</w:t>
            </w:r>
          </w:p>
          <w:p w14:paraId="3A52383C" w14:textId="337533E4" w:rsidR="00943C6E" w:rsidRPr="000778FD" w:rsidRDefault="00943C6E" w:rsidP="000778FD">
            <w:pPr>
              <w:pStyle w:val="TableNText"/>
              <w:rPr>
                <w:i/>
                <w:sz w:val="19"/>
                <w:szCs w:val="19"/>
              </w:rPr>
            </w:pPr>
            <w:r w:rsidRPr="00294853">
              <w:rPr>
                <w:i/>
                <w:sz w:val="19"/>
                <w:szCs w:val="19"/>
              </w:rPr>
              <w:t xml:space="preserve"> </w:t>
            </w:r>
          </w:p>
        </w:tc>
        <w:tc>
          <w:tcPr>
            <w:tcW w:w="2520" w:type="pct"/>
            <w:vAlign w:val="top"/>
          </w:tcPr>
          <w:p w14:paraId="4AE69995" w14:textId="30134E23" w:rsidR="006B1499" w:rsidRDefault="006B1499" w:rsidP="00C10B49">
            <w:pPr>
              <w:pStyle w:val="TableNBullet"/>
              <w:numPr>
                <w:ilvl w:val="0"/>
                <w:numId w:val="0"/>
              </w:numPr>
              <w:rPr>
                <w:rFonts w:asciiTheme="minorHAnsi" w:hAnsiTheme="minorHAnsi" w:cstheme="minorHAnsi"/>
                <w:sz w:val="19"/>
              </w:rPr>
            </w:pPr>
            <w:r>
              <w:rPr>
                <w:rFonts w:asciiTheme="minorHAnsi" w:hAnsiTheme="minorHAnsi" w:cstheme="minorHAnsi"/>
                <w:sz w:val="19"/>
              </w:rPr>
              <w:fldChar w:fldCharType="begin"/>
            </w:r>
            <w:r>
              <w:rPr>
                <w:rFonts w:asciiTheme="minorHAnsi" w:hAnsiTheme="minorHAnsi" w:cstheme="minorHAnsi"/>
                <w:sz w:val="19"/>
              </w:rPr>
              <w:instrText xml:space="preserve"> REF _Ref52123298 \h </w:instrText>
            </w:r>
            <w:r w:rsidR="009B75DD">
              <w:rPr>
                <w:rFonts w:asciiTheme="minorHAnsi" w:hAnsiTheme="minorHAnsi" w:cstheme="minorHAnsi"/>
                <w:sz w:val="19"/>
              </w:rPr>
              <w:instrText xml:space="preserve"> \* MERGEFORMAT </w:instrText>
            </w:r>
            <w:r>
              <w:rPr>
                <w:rFonts w:asciiTheme="minorHAnsi" w:hAnsiTheme="minorHAnsi" w:cstheme="minorHAnsi"/>
                <w:sz w:val="19"/>
              </w:rPr>
            </w:r>
            <w:r>
              <w:rPr>
                <w:rFonts w:asciiTheme="minorHAnsi" w:hAnsiTheme="minorHAnsi" w:cstheme="minorHAnsi"/>
                <w:sz w:val="19"/>
              </w:rPr>
              <w:fldChar w:fldCharType="separate"/>
            </w:r>
            <w:r w:rsidR="001C5CC6" w:rsidRPr="001C5CC6">
              <w:rPr>
                <w:rFonts w:asciiTheme="minorHAnsi" w:hAnsiTheme="minorHAnsi" w:cstheme="minorHAnsi"/>
                <w:sz w:val="19"/>
              </w:rPr>
              <w:t>Reform idea 4 - Amend the Act to better reflect the functions FSANZ currently delivers, particularly as they relate to supporting long-term health and nutrition</w:t>
            </w:r>
            <w:r>
              <w:rPr>
                <w:rFonts w:asciiTheme="minorHAnsi" w:hAnsiTheme="minorHAnsi" w:cstheme="minorHAnsi"/>
                <w:sz w:val="19"/>
              </w:rPr>
              <w:fldChar w:fldCharType="end"/>
            </w:r>
          </w:p>
          <w:p w14:paraId="7FEEFD53" w14:textId="77777777" w:rsidR="008B7491" w:rsidRDefault="008B7491" w:rsidP="00C10B49">
            <w:pPr>
              <w:pStyle w:val="TableNBullet"/>
              <w:numPr>
                <w:ilvl w:val="0"/>
                <w:numId w:val="0"/>
              </w:numPr>
              <w:rPr>
                <w:rFonts w:asciiTheme="minorHAnsi" w:hAnsiTheme="minorHAnsi" w:cstheme="minorHAnsi"/>
                <w:sz w:val="19"/>
              </w:rPr>
            </w:pPr>
          </w:p>
          <w:p w14:paraId="6D2D5DE2" w14:textId="1CDF4C3A" w:rsidR="007B14E2" w:rsidRPr="00550B40" w:rsidRDefault="009B75DD" w:rsidP="007B14E2">
            <w:pPr>
              <w:pStyle w:val="TableNBullet"/>
              <w:numPr>
                <w:ilvl w:val="0"/>
                <w:numId w:val="0"/>
              </w:numPr>
              <w:rPr>
                <w:rFonts w:asciiTheme="minorHAnsi" w:hAnsiTheme="minorHAnsi" w:cstheme="minorHAnsi"/>
                <w:sz w:val="19"/>
              </w:rPr>
            </w:pPr>
            <w:r>
              <w:rPr>
                <w:rFonts w:asciiTheme="minorHAnsi" w:hAnsiTheme="minorHAnsi" w:cstheme="minorHAnsi"/>
                <w:sz w:val="19"/>
              </w:rPr>
              <w:fldChar w:fldCharType="begin"/>
            </w:r>
            <w:r>
              <w:rPr>
                <w:rFonts w:asciiTheme="minorHAnsi" w:hAnsiTheme="minorHAnsi" w:cstheme="minorHAnsi"/>
                <w:sz w:val="19"/>
              </w:rPr>
              <w:instrText xml:space="preserve"> REF _Ref52123378 \h  \* MERGEFORMAT </w:instrText>
            </w:r>
            <w:r>
              <w:rPr>
                <w:rFonts w:asciiTheme="minorHAnsi" w:hAnsiTheme="minorHAnsi" w:cstheme="minorHAnsi"/>
                <w:sz w:val="19"/>
              </w:rPr>
            </w:r>
            <w:r>
              <w:rPr>
                <w:rFonts w:asciiTheme="minorHAnsi" w:hAnsiTheme="minorHAnsi" w:cstheme="minorHAnsi"/>
                <w:sz w:val="19"/>
              </w:rPr>
              <w:fldChar w:fldCharType="separate"/>
            </w:r>
            <w:r w:rsidR="001C5CC6" w:rsidRPr="001C5CC6">
              <w:rPr>
                <w:rFonts w:asciiTheme="minorHAnsi" w:hAnsiTheme="minorHAnsi" w:cstheme="minorHAnsi"/>
                <w:sz w:val="19"/>
              </w:rPr>
              <w:t xml:space="preserve">Reform idea 5 – Amend </w:t>
            </w:r>
            <w:r w:rsidR="001C5CC6" w:rsidRPr="001C5CC6" w:rsidDel="00F72329">
              <w:rPr>
                <w:rFonts w:asciiTheme="minorHAnsi" w:hAnsiTheme="minorHAnsi" w:cstheme="minorHAnsi"/>
                <w:sz w:val="19"/>
              </w:rPr>
              <w:t xml:space="preserve">s </w:t>
            </w:r>
            <w:r w:rsidR="001C5CC6" w:rsidRPr="001C5CC6">
              <w:rPr>
                <w:rFonts w:asciiTheme="minorHAnsi" w:hAnsiTheme="minorHAnsi" w:cstheme="minorHAnsi"/>
                <w:sz w:val="19"/>
              </w:rPr>
              <w:t>13 of the Act to reflect a broader range of functions that FSANZ could deliver now and in the future</w:t>
            </w:r>
            <w:r>
              <w:rPr>
                <w:rFonts w:asciiTheme="minorHAnsi" w:hAnsiTheme="minorHAnsi" w:cstheme="minorHAnsi"/>
                <w:sz w:val="19"/>
              </w:rPr>
              <w:fldChar w:fldCharType="end"/>
            </w:r>
            <w:r>
              <w:rPr>
                <w:rFonts w:asciiTheme="minorHAnsi" w:hAnsiTheme="minorHAnsi" w:cstheme="minorHAnsi"/>
                <w:sz w:val="19"/>
              </w:rPr>
              <w:t xml:space="preserve">. </w:t>
            </w:r>
            <w:r w:rsidR="007B14E2" w:rsidRPr="00EC363F">
              <w:rPr>
                <w:rFonts w:asciiTheme="minorHAnsi" w:hAnsiTheme="minorHAnsi" w:cstheme="minorHAnsi"/>
                <w:sz w:val="19"/>
              </w:rPr>
              <w:t>This could include new functions relating to:</w:t>
            </w:r>
          </w:p>
          <w:p w14:paraId="00779866" w14:textId="611458ED" w:rsidR="007B14E2" w:rsidRDefault="007936D0" w:rsidP="007B14E2">
            <w:pPr>
              <w:pStyle w:val="TableNBullet"/>
              <w:rPr>
                <w:rFonts w:asciiTheme="minorHAnsi" w:hAnsiTheme="minorHAnsi" w:cstheme="minorHAnsi"/>
                <w:sz w:val="19"/>
              </w:rPr>
            </w:pPr>
            <w:r>
              <w:rPr>
                <w:rFonts w:asciiTheme="minorHAnsi" w:hAnsiTheme="minorHAnsi" w:cstheme="minorHAnsi"/>
                <w:sz w:val="19"/>
              </w:rPr>
              <w:t>p</w:t>
            </w:r>
            <w:r w:rsidR="00943C6E">
              <w:rPr>
                <w:rFonts w:asciiTheme="minorHAnsi" w:hAnsiTheme="minorHAnsi" w:cstheme="minorHAnsi"/>
                <w:sz w:val="19"/>
              </w:rPr>
              <w:t>roviding</w:t>
            </w:r>
            <w:r w:rsidR="007B14E2">
              <w:rPr>
                <w:rFonts w:asciiTheme="minorHAnsi" w:hAnsiTheme="minorHAnsi" w:cstheme="minorHAnsi"/>
                <w:sz w:val="19"/>
              </w:rPr>
              <w:t xml:space="preserve"> a central hub of information relating to food safety</w:t>
            </w:r>
          </w:p>
          <w:p w14:paraId="071E26BF" w14:textId="12252B79" w:rsidR="007B14E2" w:rsidRPr="00E14F64" w:rsidRDefault="007B14E2" w:rsidP="007B14E2">
            <w:pPr>
              <w:pStyle w:val="TableNBullet"/>
              <w:rPr>
                <w:rFonts w:asciiTheme="minorHAnsi" w:hAnsiTheme="minorHAnsi" w:cstheme="minorHAnsi"/>
                <w:sz w:val="19"/>
              </w:rPr>
            </w:pPr>
            <w:r w:rsidRPr="00E14F64">
              <w:rPr>
                <w:rFonts w:asciiTheme="minorHAnsi" w:hAnsiTheme="minorHAnsi" w:cstheme="minorHAnsi"/>
                <w:sz w:val="19"/>
              </w:rPr>
              <w:t>coordinating food safety research</w:t>
            </w:r>
          </w:p>
          <w:p w14:paraId="2D69BAFF" w14:textId="77777777" w:rsidR="00D321DB" w:rsidRDefault="007B14E2" w:rsidP="00D321DB">
            <w:pPr>
              <w:pStyle w:val="TableNBullet"/>
              <w:rPr>
                <w:rFonts w:asciiTheme="minorHAnsi" w:hAnsiTheme="minorHAnsi" w:cstheme="minorHAnsi"/>
                <w:sz w:val="19"/>
              </w:rPr>
            </w:pPr>
            <w:r w:rsidRPr="00E14F64">
              <w:rPr>
                <w:rFonts w:asciiTheme="minorHAnsi" w:hAnsiTheme="minorHAnsi" w:cstheme="minorHAnsi"/>
                <w:sz w:val="19"/>
              </w:rPr>
              <w:t>combatting food crime and food fraud</w:t>
            </w:r>
          </w:p>
          <w:p w14:paraId="583E501B" w14:textId="0291C61B" w:rsidR="00943C6E" w:rsidRPr="00D321DB" w:rsidRDefault="007B14E2" w:rsidP="00D321DB">
            <w:pPr>
              <w:pStyle w:val="TableNBullet"/>
              <w:rPr>
                <w:rFonts w:asciiTheme="minorHAnsi" w:hAnsiTheme="minorHAnsi" w:cstheme="minorHAnsi"/>
                <w:sz w:val="19"/>
              </w:rPr>
            </w:pPr>
            <w:r w:rsidRPr="00D321DB">
              <w:rPr>
                <w:rFonts w:asciiTheme="minorHAnsi" w:hAnsiTheme="minorHAnsi" w:cstheme="minorHAnsi"/>
                <w:sz w:val="19"/>
              </w:rPr>
              <w:t>undertaking public education campaigns to support broader health and nutrition</w:t>
            </w:r>
          </w:p>
        </w:tc>
      </w:tr>
      <w:tr w:rsidR="00943C6E" w14:paraId="7751818C" w14:textId="77777777" w:rsidTr="00E73435">
        <w:trPr>
          <w:cnfStyle w:val="000000100000" w:firstRow="0" w:lastRow="0" w:firstColumn="0" w:lastColumn="0" w:oddVBand="0" w:evenVBand="0" w:oddHBand="1" w:evenHBand="0" w:firstRowFirstColumn="0" w:firstRowLastColumn="0" w:lastRowFirstColumn="0" w:lastRowLastColumn="0"/>
        </w:trPr>
        <w:tc>
          <w:tcPr>
            <w:tcW w:w="284" w:type="pct"/>
            <w:vAlign w:val="top"/>
          </w:tcPr>
          <w:p w14:paraId="70C45F1D" w14:textId="77777777" w:rsidR="00943C6E" w:rsidRPr="00AE2073" w:rsidRDefault="00943C6E" w:rsidP="00C10B49">
            <w:pPr>
              <w:rPr>
                <w:szCs w:val="19"/>
              </w:rPr>
            </w:pPr>
            <w:r>
              <w:rPr>
                <w:szCs w:val="19"/>
              </w:rPr>
              <w:t>4</w:t>
            </w:r>
          </w:p>
        </w:tc>
        <w:tc>
          <w:tcPr>
            <w:tcW w:w="433" w:type="pct"/>
            <w:vAlign w:val="top"/>
          </w:tcPr>
          <w:p w14:paraId="3881D85E" w14:textId="77777777" w:rsidR="00943C6E" w:rsidRPr="00AE2073" w:rsidRDefault="00943C6E" w:rsidP="00C10B49">
            <w:pPr>
              <w:rPr>
                <w:szCs w:val="19"/>
              </w:rPr>
            </w:pPr>
            <w:r w:rsidRPr="00AE2073">
              <w:rPr>
                <w:szCs w:val="19"/>
              </w:rPr>
              <w:t>Legislat</w:t>
            </w:r>
            <w:r>
              <w:rPr>
                <w:szCs w:val="19"/>
              </w:rPr>
              <w:t>ed</w:t>
            </w:r>
            <w:r w:rsidRPr="00AE2073">
              <w:rPr>
                <w:szCs w:val="19"/>
              </w:rPr>
              <w:t xml:space="preserve"> processes and </w:t>
            </w:r>
            <w:r w:rsidRPr="00AE2073">
              <w:rPr>
                <w:szCs w:val="19"/>
              </w:rPr>
              <w:lastRenderedPageBreak/>
              <w:t xml:space="preserve">decision-making </w:t>
            </w:r>
          </w:p>
        </w:tc>
        <w:tc>
          <w:tcPr>
            <w:tcW w:w="1763" w:type="pct"/>
            <w:vAlign w:val="top"/>
          </w:tcPr>
          <w:p w14:paraId="455CA6CB" w14:textId="42D45248" w:rsidR="00F50483" w:rsidRPr="00F50483" w:rsidRDefault="00C014D7" w:rsidP="00C10B49">
            <w:pPr>
              <w:rPr>
                <w:rFonts w:asciiTheme="majorHAnsi" w:hAnsiTheme="majorHAnsi" w:cstheme="majorHAnsi"/>
              </w:rPr>
            </w:pPr>
            <w:r w:rsidRPr="00F50483">
              <w:rPr>
                <w:rFonts w:asciiTheme="majorHAnsi" w:hAnsiTheme="majorHAnsi" w:cstheme="majorHAnsi"/>
              </w:rPr>
              <w:lastRenderedPageBreak/>
              <w:fldChar w:fldCharType="begin"/>
            </w:r>
            <w:r w:rsidRPr="00F50483">
              <w:rPr>
                <w:rFonts w:asciiTheme="majorHAnsi" w:hAnsiTheme="majorHAnsi" w:cstheme="majorHAnsi"/>
              </w:rPr>
              <w:instrText xml:space="preserve"> REF _Ref51486642 \h </w:instrText>
            </w:r>
            <w:r w:rsidR="00F50483">
              <w:rPr>
                <w:rFonts w:asciiTheme="majorHAnsi" w:hAnsiTheme="majorHAnsi" w:cstheme="majorHAnsi"/>
              </w:rPr>
              <w:instrText xml:space="preserve"> \* MERGEFORMAT </w:instrText>
            </w:r>
            <w:r w:rsidRPr="00F50483">
              <w:rPr>
                <w:rFonts w:asciiTheme="majorHAnsi" w:hAnsiTheme="majorHAnsi" w:cstheme="majorHAnsi"/>
              </w:rPr>
            </w:r>
            <w:r w:rsidRPr="00F50483">
              <w:rPr>
                <w:rFonts w:asciiTheme="majorHAnsi" w:hAnsiTheme="majorHAnsi" w:cstheme="majorHAnsi"/>
              </w:rPr>
              <w:fldChar w:fldCharType="separate"/>
            </w:r>
            <w:r w:rsidR="001C5CC6" w:rsidRPr="001C5CC6">
              <w:rPr>
                <w:rFonts w:asciiTheme="majorHAnsi" w:hAnsiTheme="majorHAnsi" w:cstheme="majorHAnsi"/>
              </w:rPr>
              <w:t xml:space="preserve">There are currently limited mechanisms for holistic reviews of standards to ensure they remain suitable </w:t>
            </w:r>
            <w:r w:rsidR="001C5CC6" w:rsidRPr="001C5CC6">
              <w:rPr>
                <w:rFonts w:asciiTheme="majorHAnsi" w:hAnsiTheme="majorHAnsi" w:cstheme="majorHAnsi"/>
              </w:rPr>
              <w:lastRenderedPageBreak/>
              <w:t>and</w:t>
            </w:r>
            <w:r w:rsidR="001C5CC6" w:rsidRPr="000734F2">
              <w:t xml:space="preserve"> </w:t>
            </w:r>
            <w:r w:rsidR="001C5CC6" w:rsidRPr="001C5CC6">
              <w:rPr>
                <w:rFonts w:asciiTheme="majorHAnsi" w:hAnsiTheme="majorHAnsi" w:cstheme="majorHAnsi"/>
              </w:rPr>
              <w:t>fit-for-purpose</w:t>
            </w:r>
            <w:r w:rsidRPr="00F50483">
              <w:rPr>
                <w:rFonts w:asciiTheme="majorHAnsi" w:hAnsiTheme="majorHAnsi" w:cstheme="majorHAnsi"/>
              </w:rPr>
              <w:fldChar w:fldCharType="end"/>
            </w:r>
          </w:p>
          <w:p w14:paraId="1BB93AED" w14:textId="3EA1130E" w:rsidR="00F50483" w:rsidRPr="00F50483" w:rsidRDefault="00C014D7" w:rsidP="00C10B49">
            <w:pPr>
              <w:rPr>
                <w:rFonts w:asciiTheme="majorHAnsi" w:hAnsiTheme="majorHAnsi" w:cstheme="majorHAnsi"/>
                <w:i/>
              </w:rPr>
            </w:pPr>
            <w:r w:rsidRPr="00F50483">
              <w:rPr>
                <w:rFonts w:asciiTheme="majorHAnsi" w:hAnsiTheme="majorHAnsi" w:cstheme="majorHAnsi"/>
                <w:i/>
              </w:rPr>
              <w:fldChar w:fldCharType="begin"/>
            </w:r>
            <w:r w:rsidRPr="00F50483">
              <w:rPr>
                <w:rFonts w:asciiTheme="majorHAnsi" w:hAnsiTheme="majorHAnsi" w:cstheme="majorHAnsi"/>
                <w:i/>
              </w:rPr>
              <w:instrText xml:space="preserve"> REF _Ref51486645 \h </w:instrText>
            </w:r>
            <w:r w:rsidR="00F50483">
              <w:rPr>
                <w:rFonts w:asciiTheme="majorHAnsi" w:hAnsiTheme="majorHAnsi" w:cstheme="majorHAnsi"/>
                <w:i/>
              </w:rPr>
              <w:instrText xml:space="preserve"> \* MERGEFORMAT </w:instrText>
            </w:r>
            <w:r w:rsidRPr="00F50483">
              <w:rPr>
                <w:rFonts w:asciiTheme="majorHAnsi" w:hAnsiTheme="majorHAnsi" w:cstheme="majorHAnsi"/>
                <w:i/>
              </w:rPr>
            </w:r>
            <w:r w:rsidRPr="00F50483">
              <w:rPr>
                <w:rFonts w:asciiTheme="majorHAnsi" w:hAnsiTheme="majorHAnsi" w:cstheme="majorHAnsi"/>
                <w:i/>
              </w:rPr>
              <w:fldChar w:fldCharType="separate"/>
            </w:r>
            <w:r w:rsidR="001C5CC6" w:rsidRPr="001C5CC6">
              <w:rPr>
                <w:i/>
              </w:rPr>
              <w:t>Food standards are exempt from sunsetting provisions</w:t>
            </w:r>
            <w:r w:rsidRPr="00F50483">
              <w:rPr>
                <w:rFonts w:asciiTheme="majorHAnsi" w:hAnsiTheme="majorHAnsi" w:cstheme="majorHAnsi"/>
                <w:i/>
              </w:rPr>
              <w:fldChar w:fldCharType="end"/>
            </w:r>
          </w:p>
          <w:p w14:paraId="708F815C" w14:textId="2E118D03" w:rsidR="00F50483" w:rsidRPr="00F50483" w:rsidRDefault="00C014D7" w:rsidP="00C10B49">
            <w:pPr>
              <w:rPr>
                <w:rFonts w:asciiTheme="majorHAnsi" w:hAnsiTheme="majorHAnsi" w:cstheme="majorHAnsi"/>
                <w:i/>
              </w:rPr>
            </w:pPr>
            <w:r w:rsidRPr="00F50483">
              <w:rPr>
                <w:rFonts w:asciiTheme="majorHAnsi" w:hAnsiTheme="majorHAnsi" w:cstheme="majorHAnsi"/>
                <w:i/>
              </w:rPr>
              <w:fldChar w:fldCharType="begin"/>
            </w:r>
            <w:r w:rsidRPr="00F50483">
              <w:rPr>
                <w:rFonts w:asciiTheme="majorHAnsi" w:hAnsiTheme="majorHAnsi" w:cstheme="majorHAnsi"/>
                <w:i/>
              </w:rPr>
              <w:instrText xml:space="preserve"> REF _Ref51486647 \h </w:instrText>
            </w:r>
            <w:r w:rsidR="00F50483">
              <w:rPr>
                <w:rFonts w:asciiTheme="majorHAnsi" w:hAnsiTheme="majorHAnsi" w:cstheme="majorHAnsi"/>
                <w:i/>
              </w:rPr>
              <w:instrText xml:space="preserve"> \* MERGEFORMAT </w:instrText>
            </w:r>
            <w:r w:rsidRPr="00F50483">
              <w:rPr>
                <w:rFonts w:asciiTheme="majorHAnsi" w:hAnsiTheme="majorHAnsi" w:cstheme="majorHAnsi"/>
                <w:i/>
              </w:rPr>
            </w:r>
            <w:r w:rsidRPr="00F50483">
              <w:rPr>
                <w:rFonts w:asciiTheme="majorHAnsi" w:hAnsiTheme="majorHAnsi" w:cstheme="majorHAnsi"/>
                <w:i/>
              </w:rPr>
              <w:fldChar w:fldCharType="separate"/>
            </w:r>
            <w:r w:rsidR="001C5CC6" w:rsidRPr="001C5CC6">
              <w:rPr>
                <w:i/>
              </w:rPr>
              <w:t>The current approach to reviewing standards is reactive</w:t>
            </w:r>
            <w:r w:rsidRPr="00F50483">
              <w:rPr>
                <w:rFonts w:asciiTheme="majorHAnsi" w:hAnsiTheme="majorHAnsi" w:cstheme="majorHAnsi"/>
                <w:i/>
              </w:rPr>
              <w:fldChar w:fldCharType="end"/>
            </w:r>
          </w:p>
          <w:p w14:paraId="254BE8F3" w14:textId="2BED932B" w:rsidR="00943C6E" w:rsidRPr="00C32DC2" w:rsidRDefault="00C014D7" w:rsidP="00C10B49">
            <w:pPr>
              <w:rPr>
                <w:rFonts w:asciiTheme="majorHAnsi" w:hAnsiTheme="majorHAnsi" w:cstheme="majorHAnsi"/>
                <w:i/>
              </w:rPr>
            </w:pPr>
            <w:r w:rsidRPr="00C32DC2">
              <w:rPr>
                <w:rFonts w:asciiTheme="majorHAnsi" w:hAnsiTheme="majorHAnsi" w:cstheme="majorHAnsi"/>
                <w:i/>
              </w:rPr>
              <w:fldChar w:fldCharType="begin"/>
            </w:r>
            <w:r w:rsidRPr="00C32DC2">
              <w:rPr>
                <w:rFonts w:asciiTheme="majorHAnsi" w:hAnsiTheme="majorHAnsi" w:cstheme="majorHAnsi"/>
                <w:i/>
              </w:rPr>
              <w:instrText xml:space="preserve"> REF _Ref51486642 \h </w:instrText>
            </w:r>
            <w:r w:rsidR="00C32DC2">
              <w:rPr>
                <w:rFonts w:asciiTheme="majorHAnsi" w:hAnsiTheme="majorHAnsi" w:cstheme="majorHAnsi"/>
                <w:i/>
              </w:rPr>
              <w:instrText xml:space="preserve"> \* MERGEFORMAT </w:instrText>
            </w:r>
            <w:r w:rsidRPr="00C32DC2">
              <w:rPr>
                <w:rFonts w:asciiTheme="majorHAnsi" w:hAnsiTheme="majorHAnsi" w:cstheme="majorHAnsi"/>
                <w:i/>
              </w:rPr>
            </w:r>
            <w:r w:rsidRPr="00C32DC2">
              <w:rPr>
                <w:rFonts w:asciiTheme="majorHAnsi" w:hAnsiTheme="majorHAnsi" w:cstheme="majorHAnsi"/>
                <w:i/>
              </w:rPr>
              <w:fldChar w:fldCharType="separate"/>
            </w:r>
            <w:r w:rsidR="001C5CC6" w:rsidRPr="001C5CC6">
              <w:rPr>
                <w:i/>
              </w:rPr>
              <w:t>There are currently limited mechanisms for holistic reviews of standards to ensure they remain suitable and</w:t>
            </w:r>
            <w:r w:rsidR="001C5CC6" w:rsidRPr="000734F2">
              <w:t xml:space="preserve"> </w:t>
            </w:r>
            <w:r w:rsidR="001C5CC6" w:rsidRPr="001C5CC6">
              <w:rPr>
                <w:i/>
              </w:rPr>
              <w:t>fit-for-purpose</w:t>
            </w:r>
            <w:r w:rsidRPr="00C32DC2">
              <w:rPr>
                <w:rFonts w:asciiTheme="majorHAnsi" w:hAnsiTheme="majorHAnsi" w:cstheme="majorHAnsi"/>
                <w:i/>
              </w:rPr>
              <w:fldChar w:fldCharType="end"/>
            </w:r>
            <w:r w:rsidR="0003356C">
              <w:rPr>
                <w:rFonts w:asciiTheme="majorHAnsi" w:hAnsiTheme="majorHAnsi" w:cstheme="majorHAnsi"/>
                <w:i/>
              </w:rPr>
              <w:t>.</w:t>
            </w:r>
          </w:p>
        </w:tc>
        <w:tc>
          <w:tcPr>
            <w:tcW w:w="2520" w:type="pct"/>
            <w:vAlign w:val="top"/>
          </w:tcPr>
          <w:p w14:paraId="3F13C84F" w14:textId="2F0CD45E" w:rsidR="00F50483" w:rsidRDefault="00A83FE1" w:rsidP="00F50483">
            <w:pPr>
              <w:rPr>
                <w:rFonts w:asciiTheme="majorHAnsi" w:hAnsiTheme="majorHAnsi" w:cstheme="majorHAnsi"/>
              </w:rPr>
            </w:pPr>
            <w:r>
              <w:rPr>
                <w:rFonts w:asciiTheme="majorHAnsi" w:hAnsiTheme="majorHAnsi" w:cstheme="majorHAnsi"/>
              </w:rPr>
              <w:lastRenderedPageBreak/>
              <w:fldChar w:fldCharType="begin"/>
            </w:r>
            <w:r>
              <w:rPr>
                <w:rFonts w:asciiTheme="majorHAnsi" w:hAnsiTheme="majorHAnsi" w:cstheme="majorHAnsi"/>
              </w:rPr>
              <w:instrText xml:space="preserve"> REF _Ref52123429 \h </w:instrText>
            </w:r>
            <w:r>
              <w:rPr>
                <w:rFonts w:asciiTheme="majorHAnsi" w:hAnsiTheme="majorHAnsi" w:cstheme="majorHAnsi"/>
              </w:rPr>
            </w:r>
            <w:r>
              <w:rPr>
                <w:rFonts w:asciiTheme="majorHAnsi" w:hAnsiTheme="majorHAnsi" w:cstheme="majorHAnsi"/>
              </w:rPr>
              <w:fldChar w:fldCharType="separate"/>
            </w:r>
            <w:r w:rsidR="001C5CC6">
              <w:t>Reform idea 6 –</w:t>
            </w:r>
            <w:r w:rsidR="001C5CC6" w:rsidRPr="001B4A40">
              <w:t xml:space="preserve"> </w:t>
            </w:r>
            <w:r w:rsidR="001C5CC6">
              <w:t xml:space="preserve">Remove </w:t>
            </w:r>
            <w:r w:rsidR="001C5CC6" w:rsidRPr="005C120B">
              <w:t>exemption</w:t>
            </w:r>
            <w:r w:rsidR="001C5CC6">
              <w:t xml:space="preserve"> </w:t>
            </w:r>
            <w:r w:rsidR="001C5CC6" w:rsidRPr="001B4A40">
              <w:t xml:space="preserve">of </w:t>
            </w:r>
            <w:r w:rsidR="001C5CC6">
              <w:t xml:space="preserve">food </w:t>
            </w:r>
            <w:r w:rsidR="001C5CC6" w:rsidRPr="001B4A40">
              <w:t xml:space="preserve">standards </w:t>
            </w:r>
            <w:r w:rsidR="001C5CC6" w:rsidRPr="005C120B">
              <w:t>from</w:t>
            </w:r>
            <w:r w:rsidR="001C5CC6">
              <w:t xml:space="preserve"> sunsetting</w:t>
            </w:r>
            <w:r w:rsidR="001C5CC6" w:rsidRPr="001B4A40">
              <w:t xml:space="preserve"> </w:t>
            </w:r>
            <w:r w:rsidR="001C5CC6" w:rsidRPr="005C120B">
              <w:t>arrangements</w:t>
            </w:r>
            <w:r>
              <w:rPr>
                <w:rFonts w:asciiTheme="majorHAnsi" w:hAnsiTheme="majorHAnsi" w:cstheme="majorHAnsi"/>
              </w:rPr>
              <w:fldChar w:fldCharType="end"/>
            </w:r>
          </w:p>
          <w:p w14:paraId="6662CCA3" w14:textId="0A05EEC5" w:rsidR="00943C6E" w:rsidRPr="00064CDB" w:rsidRDefault="00F50483" w:rsidP="00C10B49">
            <w:pPr>
              <w:rPr>
                <w:rFonts w:asciiTheme="majorHAnsi" w:hAnsiTheme="majorHAnsi" w:cstheme="majorHAnsi"/>
              </w:rPr>
            </w:pPr>
            <w:r>
              <w:rPr>
                <w:rFonts w:asciiTheme="majorHAnsi" w:hAnsiTheme="majorHAnsi" w:cstheme="majorHAnsi"/>
              </w:rPr>
              <w:lastRenderedPageBreak/>
              <w:fldChar w:fldCharType="begin"/>
            </w:r>
            <w:r>
              <w:rPr>
                <w:rFonts w:asciiTheme="majorHAnsi" w:hAnsiTheme="majorHAnsi" w:cstheme="majorHAnsi"/>
              </w:rPr>
              <w:instrText xml:space="preserve"> REF _Ref51486672 \h </w:instrText>
            </w:r>
            <w:r>
              <w:rPr>
                <w:rFonts w:asciiTheme="majorHAnsi" w:hAnsiTheme="majorHAnsi" w:cstheme="majorHAnsi"/>
              </w:rPr>
            </w:r>
            <w:r>
              <w:rPr>
                <w:rFonts w:asciiTheme="majorHAnsi" w:hAnsiTheme="majorHAnsi" w:cstheme="majorHAnsi"/>
              </w:rPr>
              <w:fldChar w:fldCharType="separate"/>
            </w:r>
            <w:r w:rsidR="001C5CC6">
              <w:t>Reform idea 7 –</w:t>
            </w:r>
            <w:r w:rsidR="001C5CC6" w:rsidRPr="002301AF">
              <w:t xml:space="preserve"> </w:t>
            </w:r>
            <w:r w:rsidR="001C5CC6">
              <w:t xml:space="preserve">Resource FSANZ to undertake regular, more holistic reviews of food standards </w:t>
            </w:r>
            <w:r>
              <w:rPr>
                <w:rFonts w:asciiTheme="majorHAnsi" w:hAnsiTheme="majorHAnsi" w:cstheme="majorHAnsi"/>
              </w:rPr>
              <w:fldChar w:fldCharType="end"/>
            </w:r>
          </w:p>
        </w:tc>
      </w:tr>
      <w:tr w:rsidR="00943C6E" w14:paraId="77140F89" w14:textId="77777777" w:rsidTr="00E73435">
        <w:trPr>
          <w:cnfStyle w:val="000000010000" w:firstRow="0" w:lastRow="0" w:firstColumn="0" w:lastColumn="0" w:oddVBand="0" w:evenVBand="0" w:oddHBand="0" w:evenHBand="1" w:firstRowFirstColumn="0" w:firstRowLastColumn="0" w:lastRowFirstColumn="0" w:lastRowLastColumn="0"/>
        </w:trPr>
        <w:tc>
          <w:tcPr>
            <w:tcW w:w="284" w:type="pct"/>
            <w:vMerge w:val="restart"/>
            <w:vAlign w:val="top"/>
          </w:tcPr>
          <w:p w14:paraId="0CE3CD20" w14:textId="77777777" w:rsidR="00943C6E" w:rsidRPr="00AE2073" w:rsidRDefault="00943C6E" w:rsidP="00C10B49">
            <w:pPr>
              <w:rPr>
                <w:szCs w:val="19"/>
              </w:rPr>
            </w:pPr>
          </w:p>
        </w:tc>
        <w:tc>
          <w:tcPr>
            <w:tcW w:w="433" w:type="pct"/>
            <w:vMerge w:val="restart"/>
            <w:vAlign w:val="top"/>
          </w:tcPr>
          <w:p w14:paraId="1A410272" w14:textId="77777777" w:rsidR="00943C6E" w:rsidRPr="00AE2073" w:rsidRDefault="00943C6E" w:rsidP="00C10B49">
            <w:pPr>
              <w:rPr>
                <w:szCs w:val="19"/>
              </w:rPr>
            </w:pPr>
          </w:p>
        </w:tc>
        <w:tc>
          <w:tcPr>
            <w:tcW w:w="1763" w:type="pct"/>
            <w:vAlign w:val="top"/>
          </w:tcPr>
          <w:p w14:paraId="15426DE3" w14:textId="6B8121B0" w:rsidR="00064CDB" w:rsidRDefault="00064CDB" w:rsidP="00C10B49">
            <w:pPr>
              <w:rPr>
                <w:rFonts w:asciiTheme="majorHAnsi" w:hAnsiTheme="majorHAnsi" w:cstheme="majorHAnsi"/>
              </w:rPr>
            </w:pPr>
            <w:r w:rsidRPr="00AB736B">
              <w:rPr>
                <w:rFonts w:asciiTheme="majorHAnsi" w:hAnsiTheme="majorHAnsi" w:cstheme="majorHAnsi"/>
              </w:rPr>
              <w:fldChar w:fldCharType="begin"/>
            </w:r>
            <w:r w:rsidRPr="00AB736B">
              <w:rPr>
                <w:rFonts w:asciiTheme="majorHAnsi" w:hAnsiTheme="majorHAnsi" w:cstheme="majorHAnsi"/>
              </w:rPr>
              <w:instrText xml:space="preserve"> REF _Ref51486767 \h </w:instrText>
            </w:r>
            <w:r w:rsidR="00AB736B">
              <w:rPr>
                <w:rFonts w:asciiTheme="majorHAnsi" w:hAnsiTheme="majorHAnsi" w:cstheme="majorHAnsi"/>
              </w:rPr>
              <w:instrText xml:space="preserve"> \* MERGEFORMAT </w:instrText>
            </w:r>
            <w:r w:rsidRPr="00AB736B">
              <w:rPr>
                <w:rFonts w:asciiTheme="majorHAnsi" w:hAnsiTheme="majorHAnsi" w:cstheme="majorHAnsi"/>
              </w:rPr>
            </w:r>
            <w:r w:rsidRPr="00AB736B">
              <w:rPr>
                <w:rFonts w:asciiTheme="majorHAnsi" w:hAnsiTheme="majorHAnsi" w:cstheme="majorHAnsi"/>
              </w:rPr>
              <w:fldChar w:fldCharType="separate"/>
            </w:r>
            <w:r w:rsidR="001C5CC6" w:rsidRPr="001C5CC6">
              <w:rPr>
                <w:rFonts w:asciiTheme="majorHAnsi" w:eastAsia="Segoe UI Semilight" w:hAnsiTheme="majorHAnsi" w:cstheme="majorHAnsi"/>
              </w:rPr>
              <w:t>Prescriptive statutory processes to amend food regulatory measures do not enable a risk-based or flexible response</w:t>
            </w:r>
            <w:r w:rsidRPr="00AB736B">
              <w:rPr>
                <w:rFonts w:asciiTheme="majorHAnsi" w:hAnsiTheme="majorHAnsi" w:cstheme="majorHAnsi"/>
              </w:rPr>
              <w:fldChar w:fldCharType="end"/>
            </w:r>
          </w:p>
          <w:p w14:paraId="7BF09CD2" w14:textId="4DDA86F9" w:rsidR="00064CDB" w:rsidRPr="00AB736B" w:rsidRDefault="00064CDB" w:rsidP="00C10B49">
            <w:pPr>
              <w:rPr>
                <w:rFonts w:asciiTheme="majorHAnsi" w:hAnsiTheme="majorHAnsi" w:cstheme="majorHAnsi"/>
                <w:i/>
              </w:rPr>
            </w:pPr>
            <w:r w:rsidRPr="00AB736B">
              <w:rPr>
                <w:rFonts w:asciiTheme="majorHAnsi" w:hAnsiTheme="majorHAnsi" w:cstheme="majorHAnsi"/>
                <w:i/>
              </w:rPr>
              <w:fldChar w:fldCharType="begin"/>
            </w:r>
            <w:r w:rsidRPr="00AB736B">
              <w:rPr>
                <w:rFonts w:asciiTheme="majorHAnsi" w:hAnsiTheme="majorHAnsi" w:cstheme="majorHAnsi"/>
                <w:i/>
              </w:rPr>
              <w:instrText xml:space="preserve"> REF _Ref51486768 \h </w:instrText>
            </w:r>
            <w:r w:rsidR="00AB736B">
              <w:rPr>
                <w:rFonts w:asciiTheme="majorHAnsi" w:hAnsiTheme="majorHAnsi" w:cstheme="majorHAnsi"/>
                <w:i/>
              </w:rPr>
              <w:instrText xml:space="preserve"> \* MERGEFORMAT </w:instrText>
            </w:r>
            <w:r w:rsidRPr="00AB736B">
              <w:rPr>
                <w:rFonts w:asciiTheme="majorHAnsi" w:hAnsiTheme="majorHAnsi" w:cstheme="majorHAnsi"/>
                <w:i/>
              </w:rPr>
            </w:r>
            <w:r w:rsidRPr="00AB736B">
              <w:rPr>
                <w:rFonts w:asciiTheme="majorHAnsi" w:hAnsiTheme="majorHAnsi" w:cstheme="majorHAnsi"/>
                <w:i/>
              </w:rPr>
              <w:fldChar w:fldCharType="separate"/>
            </w:r>
            <w:r w:rsidR="001C5CC6" w:rsidRPr="001C5CC6">
              <w:rPr>
                <w:i/>
              </w:rPr>
              <w:t>The full suite of regulatory measures is not being leveraged</w:t>
            </w:r>
            <w:r w:rsidRPr="00AB736B">
              <w:rPr>
                <w:rFonts w:asciiTheme="majorHAnsi" w:hAnsiTheme="majorHAnsi" w:cstheme="majorHAnsi"/>
                <w:i/>
              </w:rPr>
              <w:fldChar w:fldCharType="end"/>
            </w:r>
          </w:p>
          <w:p w14:paraId="442F8B40" w14:textId="2012A3AB" w:rsidR="00B82C25" w:rsidRPr="00AB736B" w:rsidRDefault="00064CDB" w:rsidP="00C10B49">
            <w:pPr>
              <w:rPr>
                <w:rFonts w:asciiTheme="majorHAnsi" w:hAnsiTheme="majorHAnsi" w:cstheme="majorHAnsi"/>
                <w:i/>
              </w:rPr>
            </w:pPr>
            <w:r w:rsidRPr="00AB736B">
              <w:rPr>
                <w:rFonts w:asciiTheme="majorHAnsi" w:hAnsiTheme="majorHAnsi" w:cstheme="majorHAnsi"/>
                <w:i/>
              </w:rPr>
              <w:fldChar w:fldCharType="begin"/>
            </w:r>
            <w:r w:rsidRPr="00AB736B">
              <w:rPr>
                <w:rFonts w:asciiTheme="majorHAnsi" w:hAnsiTheme="majorHAnsi" w:cstheme="majorHAnsi"/>
                <w:i/>
              </w:rPr>
              <w:instrText xml:space="preserve"> REF _Ref51340702 \h </w:instrText>
            </w:r>
            <w:r w:rsidR="00AB736B">
              <w:rPr>
                <w:rFonts w:asciiTheme="majorHAnsi" w:hAnsiTheme="majorHAnsi" w:cstheme="majorHAnsi"/>
                <w:i/>
              </w:rPr>
              <w:instrText xml:space="preserve"> \* MERGEFORMAT </w:instrText>
            </w:r>
            <w:r w:rsidRPr="00AB736B">
              <w:rPr>
                <w:rFonts w:asciiTheme="majorHAnsi" w:hAnsiTheme="majorHAnsi" w:cstheme="majorHAnsi"/>
                <w:i/>
              </w:rPr>
            </w:r>
            <w:r w:rsidRPr="00AB736B">
              <w:rPr>
                <w:rFonts w:asciiTheme="majorHAnsi" w:hAnsiTheme="majorHAnsi" w:cstheme="majorHAnsi"/>
                <w:i/>
              </w:rPr>
              <w:fldChar w:fldCharType="separate"/>
            </w:r>
            <w:r w:rsidR="001C5CC6" w:rsidRPr="001C5CC6">
              <w:rPr>
                <w:i/>
              </w:rPr>
              <w:t>Decision-making arrangements for regulatory measures are unusual</w:t>
            </w:r>
            <w:r w:rsidRPr="00AB736B">
              <w:rPr>
                <w:rFonts w:asciiTheme="majorHAnsi" w:hAnsiTheme="majorHAnsi" w:cstheme="majorHAnsi"/>
                <w:i/>
              </w:rPr>
              <w:fldChar w:fldCharType="end"/>
            </w:r>
            <w:r w:rsidR="00EC363F">
              <w:rPr>
                <w:rFonts w:asciiTheme="majorHAnsi" w:hAnsiTheme="majorHAnsi" w:cstheme="majorHAnsi"/>
                <w:i/>
              </w:rPr>
              <w:t>.</w:t>
            </w:r>
          </w:p>
          <w:p w14:paraId="46256AFF" w14:textId="77777777" w:rsidR="00943C6E" w:rsidRPr="00FE78B2" w:rsidRDefault="00943C6E" w:rsidP="00C32DC2">
            <w:pPr>
              <w:rPr>
                <w:i/>
              </w:rPr>
            </w:pPr>
          </w:p>
        </w:tc>
        <w:tc>
          <w:tcPr>
            <w:tcW w:w="2520" w:type="pct"/>
            <w:vAlign w:val="top"/>
          </w:tcPr>
          <w:p w14:paraId="7D68678E" w14:textId="4577F562" w:rsidR="00943746" w:rsidRPr="00045F5B" w:rsidRDefault="0018309B" w:rsidP="00943746">
            <w:pPr>
              <w:pStyle w:val="TableNBullet"/>
              <w:numPr>
                <w:ilvl w:val="0"/>
                <w:numId w:val="0"/>
              </w:numPr>
              <w:rPr>
                <w:rFonts w:asciiTheme="minorHAnsi" w:hAnsiTheme="minorHAnsi" w:cstheme="minorHAnsi"/>
                <w:sz w:val="19"/>
              </w:rPr>
            </w:pPr>
            <w:r w:rsidRPr="00045F5B">
              <w:rPr>
                <w:rFonts w:asciiTheme="minorHAnsi" w:hAnsiTheme="minorHAnsi" w:cstheme="minorHAnsi"/>
                <w:sz w:val="19"/>
              </w:rPr>
              <w:fldChar w:fldCharType="begin"/>
            </w:r>
            <w:r w:rsidRPr="00045F5B">
              <w:rPr>
                <w:rFonts w:asciiTheme="minorHAnsi" w:hAnsiTheme="minorHAnsi" w:cstheme="minorHAnsi"/>
                <w:sz w:val="19"/>
              </w:rPr>
              <w:instrText xml:space="preserve"> REF _Ref51341328 \h </w:instrText>
            </w:r>
            <w:r w:rsidR="00045F5B" w:rsidRPr="00045F5B">
              <w:rPr>
                <w:rFonts w:asciiTheme="minorHAnsi" w:hAnsiTheme="minorHAnsi" w:cstheme="minorHAnsi"/>
                <w:sz w:val="19"/>
              </w:rPr>
              <w:instrText xml:space="preserve"> \* MERGEFORMAT </w:instrText>
            </w:r>
            <w:r w:rsidRPr="00045F5B">
              <w:rPr>
                <w:rFonts w:asciiTheme="minorHAnsi" w:hAnsiTheme="minorHAnsi" w:cstheme="minorHAnsi"/>
                <w:sz w:val="19"/>
              </w:rPr>
            </w:r>
            <w:r w:rsidRPr="00045F5B">
              <w:rPr>
                <w:rFonts w:asciiTheme="minorHAnsi" w:hAnsiTheme="minorHAnsi" w:cstheme="minorHAnsi"/>
                <w:sz w:val="19"/>
              </w:rPr>
              <w:fldChar w:fldCharType="separate"/>
            </w:r>
            <w:r w:rsidR="001C5CC6" w:rsidRPr="001C5CC6">
              <w:rPr>
                <w:rFonts w:asciiTheme="minorHAnsi" w:hAnsiTheme="minorHAnsi" w:cstheme="minorHAnsi"/>
                <w:sz w:val="19"/>
              </w:rPr>
              <w:t>Reform idea 8 – Reframe legislation to support more agile, risk-based processes</w:t>
            </w:r>
            <w:r w:rsidRPr="00045F5B">
              <w:rPr>
                <w:rFonts w:asciiTheme="minorHAnsi" w:hAnsiTheme="minorHAnsi" w:cstheme="minorHAnsi"/>
                <w:sz w:val="19"/>
              </w:rPr>
              <w:fldChar w:fldCharType="end"/>
            </w:r>
            <w:r w:rsidR="00943746" w:rsidRPr="00045F5B">
              <w:rPr>
                <w:rFonts w:asciiTheme="minorHAnsi" w:hAnsiTheme="minorHAnsi" w:cstheme="minorHAnsi"/>
                <w:sz w:val="19"/>
              </w:rPr>
              <w:t>. This might include:</w:t>
            </w:r>
          </w:p>
          <w:p w14:paraId="2959A202" w14:textId="77777777" w:rsidR="00943746" w:rsidRPr="00AE2073" w:rsidRDefault="00943746" w:rsidP="00943746">
            <w:pPr>
              <w:pStyle w:val="TableNBullet"/>
              <w:rPr>
                <w:rFonts w:asciiTheme="minorHAnsi" w:hAnsiTheme="minorHAnsi" w:cstheme="minorHAnsi"/>
                <w:sz w:val="19"/>
              </w:rPr>
            </w:pPr>
            <w:r>
              <w:rPr>
                <w:rFonts w:asciiTheme="minorHAnsi" w:hAnsiTheme="minorHAnsi" w:cstheme="minorHAnsi"/>
                <w:sz w:val="19"/>
              </w:rPr>
              <w:t>t</w:t>
            </w:r>
            <w:r w:rsidRPr="00AE2073">
              <w:rPr>
                <w:rFonts w:asciiTheme="minorHAnsi" w:hAnsiTheme="minorHAnsi" w:cstheme="minorHAnsi"/>
                <w:sz w:val="19"/>
              </w:rPr>
              <w:t xml:space="preserve">ransferring </w:t>
            </w:r>
            <w:r>
              <w:rPr>
                <w:rFonts w:asciiTheme="minorHAnsi" w:hAnsiTheme="minorHAnsi" w:cstheme="minorHAnsi"/>
                <w:sz w:val="19"/>
              </w:rPr>
              <w:t xml:space="preserve">much of the </w:t>
            </w:r>
            <w:r w:rsidRPr="00AE2073">
              <w:rPr>
                <w:rFonts w:asciiTheme="minorHAnsi" w:hAnsiTheme="minorHAnsi" w:cstheme="minorHAnsi"/>
                <w:sz w:val="19"/>
              </w:rPr>
              <w:t xml:space="preserve">detail from the Act </w:t>
            </w:r>
            <w:r>
              <w:rPr>
                <w:rFonts w:asciiTheme="minorHAnsi" w:hAnsiTheme="minorHAnsi" w:cstheme="minorHAnsi"/>
                <w:sz w:val="19"/>
              </w:rPr>
              <w:t>into the</w:t>
            </w:r>
            <w:r w:rsidRPr="00AE2073">
              <w:rPr>
                <w:rFonts w:asciiTheme="minorHAnsi" w:hAnsiTheme="minorHAnsi" w:cstheme="minorHAnsi"/>
                <w:sz w:val="19"/>
              </w:rPr>
              <w:t xml:space="preserve"> FSANZ Regulations </w:t>
            </w:r>
          </w:p>
          <w:p w14:paraId="6EA8DE19" w14:textId="77777777" w:rsidR="00943746" w:rsidRPr="00AE2073" w:rsidRDefault="00943746" w:rsidP="00943746">
            <w:pPr>
              <w:pStyle w:val="TableNBullet"/>
              <w:rPr>
                <w:rFonts w:asciiTheme="minorHAnsi" w:eastAsiaTheme="minorEastAsia" w:hAnsiTheme="minorHAnsi" w:cstheme="minorHAnsi"/>
                <w:sz w:val="19"/>
              </w:rPr>
            </w:pPr>
            <w:r>
              <w:rPr>
                <w:rFonts w:asciiTheme="minorHAnsi" w:hAnsiTheme="minorHAnsi" w:cstheme="minorHAnsi"/>
                <w:sz w:val="19"/>
              </w:rPr>
              <w:t>e</w:t>
            </w:r>
            <w:r w:rsidRPr="00AE2073">
              <w:rPr>
                <w:rFonts w:asciiTheme="minorHAnsi" w:hAnsiTheme="minorHAnsi" w:cstheme="minorHAnsi"/>
                <w:sz w:val="19"/>
              </w:rPr>
              <w:t xml:space="preserve">stablishing a policy framework </w:t>
            </w:r>
            <w:r>
              <w:rPr>
                <w:rFonts w:asciiTheme="minorHAnsi" w:hAnsiTheme="minorHAnsi" w:cstheme="minorHAnsi"/>
                <w:sz w:val="19"/>
              </w:rPr>
              <w:t xml:space="preserve">to guide how to best use the </w:t>
            </w:r>
            <w:r w:rsidRPr="00AE2073">
              <w:rPr>
                <w:rFonts w:asciiTheme="minorHAnsi" w:hAnsiTheme="minorHAnsi" w:cstheme="minorHAnsi"/>
                <w:sz w:val="19"/>
              </w:rPr>
              <w:t xml:space="preserve">hierarchy of legislative instruments available to FSANZ </w:t>
            </w:r>
          </w:p>
          <w:p w14:paraId="5F5D47D6" w14:textId="77777777" w:rsidR="00943746" w:rsidRDefault="00943746" w:rsidP="00943746">
            <w:pPr>
              <w:pStyle w:val="TableNBullet"/>
              <w:rPr>
                <w:rFonts w:asciiTheme="minorHAnsi" w:hAnsiTheme="minorHAnsi" w:cstheme="minorHAnsi"/>
                <w:sz w:val="19"/>
              </w:rPr>
            </w:pPr>
            <w:r>
              <w:rPr>
                <w:rFonts w:asciiTheme="minorHAnsi" w:hAnsiTheme="minorHAnsi" w:cstheme="minorHAnsi"/>
                <w:sz w:val="19"/>
              </w:rPr>
              <w:t>r</w:t>
            </w:r>
            <w:r w:rsidRPr="00BA18A0">
              <w:rPr>
                <w:rFonts w:asciiTheme="minorHAnsi" w:hAnsiTheme="minorHAnsi" w:cstheme="minorHAnsi"/>
                <w:sz w:val="19"/>
              </w:rPr>
              <w:t>e</w:t>
            </w:r>
            <w:r>
              <w:rPr>
                <w:rFonts w:asciiTheme="minorHAnsi" w:hAnsiTheme="minorHAnsi" w:cstheme="minorHAnsi"/>
                <w:sz w:val="19"/>
              </w:rPr>
              <w:t xml:space="preserve">defining </w:t>
            </w:r>
            <w:r w:rsidRPr="00BA18A0">
              <w:rPr>
                <w:rFonts w:asciiTheme="minorHAnsi" w:hAnsiTheme="minorHAnsi" w:cstheme="minorHAnsi"/>
                <w:sz w:val="19"/>
              </w:rPr>
              <w:t>p</w:t>
            </w:r>
            <w:r>
              <w:rPr>
                <w:rFonts w:asciiTheme="minorHAnsi" w:hAnsiTheme="minorHAnsi" w:cstheme="minorHAnsi"/>
                <w:sz w:val="19"/>
              </w:rPr>
              <w:t>rocesses to develop or vary regulatory measures</w:t>
            </w:r>
            <w:r w:rsidRPr="00BA18A0">
              <w:rPr>
                <w:rFonts w:asciiTheme="minorHAnsi" w:hAnsiTheme="minorHAnsi" w:cstheme="minorHAnsi"/>
                <w:sz w:val="19"/>
              </w:rPr>
              <w:t xml:space="preserve"> based on risk</w:t>
            </w:r>
            <w:r w:rsidRPr="00AE2073">
              <w:rPr>
                <w:rFonts w:asciiTheme="minorHAnsi" w:hAnsiTheme="minorHAnsi" w:cstheme="minorHAnsi"/>
                <w:sz w:val="19"/>
              </w:rPr>
              <w:t xml:space="preserve"> </w:t>
            </w:r>
          </w:p>
          <w:p w14:paraId="4692709E" w14:textId="72AD4CCE" w:rsidR="00943746" w:rsidRDefault="00943746" w:rsidP="0018309B">
            <w:pPr>
              <w:rPr>
                <w:rFonts w:asciiTheme="majorHAnsi" w:hAnsiTheme="majorHAnsi" w:cstheme="majorHAnsi"/>
              </w:rPr>
            </w:pPr>
          </w:p>
          <w:p w14:paraId="56D88400" w14:textId="26C4AA9F" w:rsidR="0018309B" w:rsidRDefault="0018309B" w:rsidP="0018309B">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_Ref51333485 \h </w:instrText>
            </w:r>
            <w:r>
              <w:rPr>
                <w:rFonts w:asciiTheme="majorHAnsi" w:hAnsiTheme="majorHAnsi" w:cstheme="majorHAnsi"/>
              </w:rPr>
            </w:r>
            <w:r>
              <w:rPr>
                <w:rFonts w:asciiTheme="majorHAnsi" w:hAnsiTheme="majorHAnsi" w:cstheme="majorHAnsi"/>
              </w:rPr>
              <w:fldChar w:fldCharType="separate"/>
            </w:r>
            <w:r w:rsidR="001C5CC6">
              <w:t>Reform idea 9 – Redefine the decision-making arrangements to support timelier and more efficient sign-off of regulatory measures</w:t>
            </w:r>
            <w:r>
              <w:rPr>
                <w:rFonts w:asciiTheme="majorHAnsi" w:hAnsiTheme="majorHAnsi" w:cstheme="majorHAnsi"/>
              </w:rPr>
              <w:fldChar w:fldCharType="end"/>
            </w:r>
          </w:p>
          <w:p w14:paraId="5B47112C" w14:textId="77777777" w:rsidR="00045F5B" w:rsidRPr="00F678D7" w:rsidRDefault="00045F5B" w:rsidP="00760794">
            <w:pPr>
              <w:pStyle w:val="ListParagraph"/>
              <w:numPr>
                <w:ilvl w:val="0"/>
                <w:numId w:val="26"/>
              </w:numPr>
              <w:rPr>
                <w:rFonts w:asciiTheme="minorHAnsi" w:hAnsiTheme="minorHAnsi" w:cstheme="minorHAnsi"/>
              </w:rPr>
            </w:pPr>
            <w:r w:rsidRPr="00F678D7">
              <w:rPr>
                <w:rFonts w:asciiTheme="minorHAnsi" w:hAnsiTheme="minorHAnsi" w:cstheme="minorHAnsi"/>
              </w:rPr>
              <w:t>Providing for both the Forum and the FSANZ Board to delegate decision-making about food standards</w:t>
            </w:r>
          </w:p>
          <w:p w14:paraId="72B3CEDE" w14:textId="071120AA" w:rsidR="00943C6E" w:rsidRPr="00CE7EFB" w:rsidRDefault="00943C6E">
            <w:pPr>
              <w:pStyle w:val="ListParagraph"/>
              <w:numPr>
                <w:ilvl w:val="0"/>
                <w:numId w:val="26"/>
              </w:numPr>
              <w:rPr>
                <w:rFonts w:asciiTheme="minorHAnsi" w:hAnsiTheme="minorHAnsi" w:cstheme="minorHAnsi"/>
              </w:rPr>
            </w:pPr>
            <w:r w:rsidRPr="00F678D7">
              <w:rPr>
                <w:rFonts w:asciiTheme="minorHAnsi" w:hAnsiTheme="minorHAnsi" w:cstheme="minorHAnsi"/>
              </w:rPr>
              <w:t>Provi</w:t>
            </w:r>
            <w:r w:rsidR="00E15950">
              <w:rPr>
                <w:rFonts w:asciiTheme="minorHAnsi" w:hAnsiTheme="minorHAnsi" w:cstheme="minorHAnsi"/>
              </w:rPr>
              <w:t>ding</w:t>
            </w:r>
            <w:r w:rsidR="00045F5B" w:rsidRPr="00F678D7">
              <w:rPr>
                <w:rFonts w:asciiTheme="minorHAnsi" w:hAnsiTheme="minorHAnsi" w:cstheme="minorHAnsi"/>
              </w:rPr>
              <w:t xml:space="preserve"> for the Forum to delegate decision-making to FSANZ for more technical amendments</w:t>
            </w:r>
          </w:p>
        </w:tc>
      </w:tr>
      <w:tr w:rsidR="00943C6E" w14:paraId="373931A1" w14:textId="77777777" w:rsidTr="00E73435">
        <w:trPr>
          <w:cnfStyle w:val="000000100000" w:firstRow="0" w:lastRow="0" w:firstColumn="0" w:lastColumn="0" w:oddVBand="0" w:evenVBand="0" w:oddHBand="1" w:evenHBand="0" w:firstRowFirstColumn="0" w:firstRowLastColumn="0" w:lastRowFirstColumn="0" w:lastRowLastColumn="0"/>
        </w:trPr>
        <w:tc>
          <w:tcPr>
            <w:tcW w:w="284" w:type="pct"/>
            <w:vMerge/>
            <w:vAlign w:val="top"/>
          </w:tcPr>
          <w:p w14:paraId="57A4E265" w14:textId="77777777" w:rsidR="00943C6E" w:rsidRPr="00AE2073" w:rsidRDefault="00943C6E" w:rsidP="00C10B49">
            <w:pPr>
              <w:rPr>
                <w:szCs w:val="19"/>
              </w:rPr>
            </w:pPr>
          </w:p>
        </w:tc>
        <w:tc>
          <w:tcPr>
            <w:tcW w:w="433" w:type="pct"/>
            <w:vMerge/>
            <w:vAlign w:val="top"/>
          </w:tcPr>
          <w:p w14:paraId="6B8E1E9F" w14:textId="77777777" w:rsidR="00943C6E" w:rsidRPr="00AE2073" w:rsidRDefault="00943C6E" w:rsidP="00C10B49">
            <w:pPr>
              <w:rPr>
                <w:szCs w:val="19"/>
              </w:rPr>
            </w:pPr>
          </w:p>
        </w:tc>
        <w:tc>
          <w:tcPr>
            <w:tcW w:w="1763" w:type="pct"/>
            <w:vAlign w:val="top"/>
          </w:tcPr>
          <w:p w14:paraId="76095B2E" w14:textId="3C18AFE0" w:rsidR="000D118D" w:rsidRPr="00090ACD" w:rsidRDefault="00C10623" w:rsidP="00C10B49">
            <w:pPr>
              <w:rPr>
                <w:rFonts w:asciiTheme="majorHAnsi" w:hAnsiTheme="majorHAnsi" w:cstheme="majorHAnsi"/>
              </w:rPr>
            </w:pPr>
            <w:r w:rsidRPr="00090ACD">
              <w:rPr>
                <w:rFonts w:asciiTheme="majorHAnsi" w:hAnsiTheme="majorHAnsi" w:cstheme="majorHAnsi"/>
              </w:rPr>
              <w:fldChar w:fldCharType="begin"/>
            </w:r>
            <w:r w:rsidRPr="00090ACD">
              <w:rPr>
                <w:rFonts w:asciiTheme="majorHAnsi" w:hAnsiTheme="majorHAnsi" w:cstheme="majorHAnsi"/>
              </w:rPr>
              <w:instrText xml:space="preserve"> REF _Ref51487030 \h </w:instrText>
            </w:r>
            <w:r w:rsidR="00090ACD">
              <w:rPr>
                <w:rFonts w:asciiTheme="majorHAnsi" w:hAnsiTheme="majorHAnsi" w:cstheme="majorHAnsi"/>
              </w:rPr>
              <w:instrText xml:space="preserve"> \* MERGEFORMAT </w:instrText>
            </w:r>
            <w:r w:rsidRPr="00090ACD">
              <w:rPr>
                <w:rFonts w:asciiTheme="majorHAnsi" w:hAnsiTheme="majorHAnsi" w:cstheme="majorHAnsi"/>
              </w:rPr>
            </w:r>
            <w:r w:rsidRPr="00090ACD">
              <w:rPr>
                <w:rFonts w:asciiTheme="majorHAnsi" w:hAnsiTheme="majorHAnsi" w:cstheme="majorHAnsi"/>
              </w:rPr>
              <w:fldChar w:fldCharType="separate"/>
            </w:r>
            <w:r w:rsidR="001C5CC6" w:rsidRPr="001C5CC6">
              <w:rPr>
                <w:rFonts w:asciiTheme="majorHAnsi" w:hAnsiTheme="majorHAnsi" w:cstheme="majorHAnsi"/>
              </w:rPr>
              <w:t>Additional pathways to develop or vary food standards could be beneficial</w:t>
            </w:r>
            <w:r w:rsidRPr="00090ACD">
              <w:rPr>
                <w:rFonts w:asciiTheme="majorHAnsi" w:hAnsiTheme="majorHAnsi" w:cstheme="majorHAnsi"/>
              </w:rPr>
              <w:fldChar w:fldCharType="end"/>
            </w:r>
          </w:p>
          <w:p w14:paraId="5F255133" w14:textId="34B36EBB" w:rsidR="000D118D" w:rsidRPr="00090ACD" w:rsidRDefault="00C10623" w:rsidP="00C10B49">
            <w:pPr>
              <w:rPr>
                <w:rFonts w:asciiTheme="majorHAnsi" w:hAnsiTheme="majorHAnsi" w:cstheme="majorHAnsi"/>
                <w:i/>
              </w:rPr>
            </w:pPr>
            <w:r w:rsidRPr="00090ACD">
              <w:rPr>
                <w:rFonts w:asciiTheme="majorHAnsi" w:hAnsiTheme="majorHAnsi" w:cstheme="majorHAnsi"/>
                <w:i/>
              </w:rPr>
              <w:fldChar w:fldCharType="begin"/>
            </w:r>
            <w:r w:rsidRPr="00090ACD">
              <w:rPr>
                <w:rFonts w:asciiTheme="majorHAnsi" w:hAnsiTheme="majorHAnsi" w:cstheme="majorHAnsi"/>
                <w:i/>
              </w:rPr>
              <w:instrText xml:space="preserve"> REF _Ref51487032 \h </w:instrText>
            </w:r>
            <w:r w:rsidR="00090ACD">
              <w:rPr>
                <w:rFonts w:asciiTheme="majorHAnsi" w:hAnsiTheme="majorHAnsi" w:cstheme="majorHAnsi"/>
                <w:i/>
              </w:rPr>
              <w:instrText xml:space="preserve"> \* MERGEFORMAT </w:instrText>
            </w:r>
            <w:r w:rsidRPr="00090ACD">
              <w:rPr>
                <w:rFonts w:asciiTheme="majorHAnsi" w:hAnsiTheme="majorHAnsi" w:cstheme="majorHAnsi"/>
                <w:i/>
              </w:rPr>
            </w:r>
            <w:r w:rsidRPr="00090ACD">
              <w:rPr>
                <w:rFonts w:asciiTheme="majorHAnsi" w:hAnsiTheme="majorHAnsi" w:cstheme="majorHAnsi"/>
                <w:i/>
              </w:rPr>
              <w:fldChar w:fldCharType="separate"/>
            </w:r>
            <w:r w:rsidR="001C5CC6" w:rsidRPr="001C5CC6">
              <w:rPr>
                <w:i/>
              </w:rPr>
              <w:t>Current statutory processes provide limited ability to use international standards and risk assessments</w:t>
            </w:r>
            <w:r w:rsidRPr="00090ACD">
              <w:rPr>
                <w:rFonts w:asciiTheme="majorHAnsi" w:hAnsiTheme="majorHAnsi" w:cstheme="majorHAnsi"/>
                <w:i/>
              </w:rPr>
              <w:fldChar w:fldCharType="end"/>
            </w:r>
          </w:p>
          <w:p w14:paraId="2F14C765" w14:textId="25BC8375" w:rsidR="000D118D" w:rsidRPr="00090ACD" w:rsidRDefault="00C10623" w:rsidP="00C10B49">
            <w:pPr>
              <w:rPr>
                <w:rFonts w:asciiTheme="majorHAnsi" w:hAnsiTheme="majorHAnsi" w:cstheme="majorHAnsi"/>
                <w:i/>
              </w:rPr>
            </w:pPr>
            <w:r w:rsidRPr="00090ACD">
              <w:rPr>
                <w:rFonts w:asciiTheme="majorHAnsi" w:hAnsiTheme="majorHAnsi" w:cstheme="majorHAnsi"/>
                <w:i/>
              </w:rPr>
              <w:fldChar w:fldCharType="begin"/>
            </w:r>
            <w:r w:rsidRPr="00090ACD">
              <w:rPr>
                <w:rFonts w:asciiTheme="majorHAnsi" w:hAnsiTheme="majorHAnsi" w:cstheme="majorHAnsi"/>
                <w:i/>
              </w:rPr>
              <w:instrText xml:space="preserve"> REF _Ref51487034 \h </w:instrText>
            </w:r>
            <w:r w:rsidR="00090ACD">
              <w:rPr>
                <w:rFonts w:asciiTheme="majorHAnsi" w:hAnsiTheme="majorHAnsi" w:cstheme="majorHAnsi"/>
                <w:i/>
              </w:rPr>
              <w:instrText xml:space="preserve"> \* MERGEFORMAT </w:instrText>
            </w:r>
            <w:r w:rsidRPr="00090ACD">
              <w:rPr>
                <w:rFonts w:asciiTheme="majorHAnsi" w:hAnsiTheme="majorHAnsi" w:cstheme="majorHAnsi"/>
                <w:i/>
              </w:rPr>
            </w:r>
            <w:r w:rsidRPr="00090ACD">
              <w:rPr>
                <w:rFonts w:asciiTheme="majorHAnsi" w:hAnsiTheme="majorHAnsi" w:cstheme="majorHAnsi"/>
                <w:i/>
              </w:rPr>
              <w:fldChar w:fldCharType="separate"/>
            </w:r>
            <w:r w:rsidR="001C5CC6" w:rsidRPr="001C5CC6">
              <w:rPr>
                <w:i/>
              </w:rPr>
              <w:t xml:space="preserve">An enhanced role for industry through self-assessments would require appropriate regulatory oversight and </w:t>
            </w:r>
            <w:r w:rsidR="001C5CC6" w:rsidRPr="001C5CC6">
              <w:rPr>
                <w:i/>
              </w:rPr>
              <w:lastRenderedPageBreak/>
              <w:t>safeguards</w:t>
            </w:r>
            <w:r w:rsidRPr="00090ACD">
              <w:rPr>
                <w:rFonts w:asciiTheme="majorHAnsi" w:hAnsiTheme="majorHAnsi" w:cstheme="majorHAnsi"/>
                <w:i/>
              </w:rPr>
              <w:fldChar w:fldCharType="end"/>
            </w:r>
            <w:r w:rsidR="00F50D9D">
              <w:rPr>
                <w:rFonts w:asciiTheme="majorHAnsi" w:hAnsiTheme="majorHAnsi" w:cstheme="majorHAnsi"/>
                <w:i/>
              </w:rPr>
              <w:t>.</w:t>
            </w:r>
          </w:p>
          <w:p w14:paraId="17CD1B5D" w14:textId="0C95670F" w:rsidR="00943C6E" w:rsidRPr="004272ED" w:rsidRDefault="00943C6E" w:rsidP="00C10B49">
            <w:pPr>
              <w:rPr>
                <w:i/>
              </w:rPr>
            </w:pPr>
          </w:p>
        </w:tc>
        <w:tc>
          <w:tcPr>
            <w:tcW w:w="2520" w:type="pct"/>
            <w:vAlign w:val="top"/>
          </w:tcPr>
          <w:p w14:paraId="589AE80D" w14:textId="1A43682B" w:rsidR="004272ED" w:rsidRDefault="009A2A71" w:rsidP="004272ED">
            <w:pPr>
              <w:rPr>
                <w:rFonts w:asciiTheme="minorHAnsi" w:hAnsiTheme="minorHAnsi" w:cstheme="minorHAnsi"/>
              </w:rPr>
            </w:pPr>
            <w:r>
              <w:rPr>
                <w:rFonts w:asciiTheme="minorHAnsi" w:hAnsiTheme="minorHAnsi" w:cstheme="minorHAnsi"/>
              </w:rPr>
              <w:lastRenderedPageBreak/>
              <w:fldChar w:fldCharType="begin"/>
            </w:r>
            <w:r>
              <w:rPr>
                <w:rFonts w:asciiTheme="minorHAnsi" w:hAnsiTheme="minorHAnsi" w:cstheme="minorHAnsi"/>
              </w:rPr>
              <w:instrText xml:space="preserve"> REF _Ref52123538 \h </w:instrText>
            </w:r>
            <w:r>
              <w:rPr>
                <w:rFonts w:asciiTheme="minorHAnsi" w:hAnsiTheme="minorHAnsi" w:cstheme="minorHAnsi"/>
              </w:rPr>
            </w:r>
            <w:r>
              <w:rPr>
                <w:rFonts w:asciiTheme="minorHAnsi" w:hAnsiTheme="minorHAnsi" w:cstheme="minorHAnsi"/>
              </w:rPr>
              <w:fldChar w:fldCharType="separate"/>
            </w:r>
            <w:r w:rsidR="001C5CC6">
              <w:t>Reform idea 10 – Provide for FSANZ to adopt or accept risk assessments from overseas jurisdictions</w:t>
            </w:r>
            <w:r>
              <w:rPr>
                <w:rFonts w:asciiTheme="minorHAnsi" w:hAnsiTheme="minorHAnsi" w:cstheme="minorHAnsi"/>
              </w:rPr>
              <w:fldChar w:fldCharType="end"/>
            </w:r>
          </w:p>
          <w:p w14:paraId="43C9B959" w14:textId="77777777" w:rsidR="00A03966" w:rsidRPr="008D3A77" w:rsidRDefault="00A03966" w:rsidP="004272ED">
            <w:pPr>
              <w:rPr>
                <w:rFonts w:asciiTheme="minorHAnsi" w:hAnsiTheme="minorHAnsi" w:cstheme="minorHAnsi"/>
              </w:rPr>
            </w:pPr>
          </w:p>
          <w:p w14:paraId="56CD2950" w14:textId="39199682" w:rsidR="004272ED" w:rsidRPr="008D3A77" w:rsidRDefault="00C76A65" w:rsidP="004272ED">
            <w:pPr>
              <w:rPr>
                <w:rFonts w:asciiTheme="minorHAnsi" w:hAnsiTheme="minorHAnsi" w:cstheme="minorHAnsi"/>
              </w:rPr>
            </w:pPr>
            <w:r>
              <w:rPr>
                <w:rFonts w:asciiTheme="majorHAnsi" w:hAnsiTheme="majorHAnsi" w:cstheme="majorHAnsi"/>
              </w:rPr>
              <w:fldChar w:fldCharType="begin"/>
            </w:r>
            <w:r>
              <w:rPr>
                <w:rFonts w:asciiTheme="majorHAnsi" w:hAnsiTheme="majorHAnsi" w:cstheme="majorHAnsi"/>
              </w:rPr>
              <w:instrText xml:space="preserve"> REF _Ref51341715 \h </w:instrText>
            </w:r>
            <w:r>
              <w:rPr>
                <w:rFonts w:asciiTheme="majorHAnsi" w:hAnsiTheme="majorHAnsi" w:cstheme="majorHAnsi"/>
              </w:rPr>
            </w:r>
            <w:r>
              <w:rPr>
                <w:rFonts w:asciiTheme="majorHAnsi" w:hAnsiTheme="majorHAnsi" w:cstheme="majorHAnsi"/>
              </w:rPr>
              <w:fldChar w:fldCharType="separate"/>
            </w:r>
            <w:r w:rsidR="001C5CC6">
              <w:t>Reform idea 11 – Enable FSANZ to adopt international standards</w:t>
            </w:r>
            <w:r>
              <w:rPr>
                <w:rFonts w:asciiTheme="majorHAnsi" w:hAnsiTheme="majorHAnsi" w:cstheme="majorHAnsi"/>
              </w:rPr>
              <w:fldChar w:fldCharType="end"/>
            </w:r>
            <w:r w:rsidR="004272ED">
              <w:t xml:space="preserve">. </w:t>
            </w:r>
            <w:r w:rsidR="004272ED" w:rsidRPr="008D3A77">
              <w:rPr>
                <w:rFonts w:asciiTheme="minorHAnsi" w:hAnsiTheme="minorHAnsi" w:cstheme="minorHAnsi"/>
              </w:rPr>
              <w:t>This could include:</w:t>
            </w:r>
          </w:p>
          <w:p w14:paraId="17B6C51F" w14:textId="5FD524FE" w:rsidR="004272ED" w:rsidRPr="008D3A77" w:rsidRDefault="006933A5" w:rsidP="00760794">
            <w:pPr>
              <w:pStyle w:val="ListParagraph"/>
              <w:numPr>
                <w:ilvl w:val="0"/>
                <w:numId w:val="26"/>
              </w:numPr>
              <w:rPr>
                <w:rFonts w:asciiTheme="minorHAnsi" w:hAnsiTheme="minorHAnsi" w:cstheme="minorHAnsi"/>
              </w:rPr>
            </w:pPr>
            <w:r>
              <w:rPr>
                <w:rFonts w:asciiTheme="minorHAnsi" w:hAnsiTheme="minorHAnsi" w:cstheme="minorHAnsi"/>
              </w:rPr>
              <w:t>u</w:t>
            </w:r>
            <w:r w:rsidRPr="008D3A77">
              <w:rPr>
                <w:rFonts w:asciiTheme="minorHAnsi" w:hAnsiTheme="minorHAnsi" w:cstheme="minorHAnsi"/>
              </w:rPr>
              <w:t>nilateral</w:t>
            </w:r>
            <w:r w:rsidR="004272ED" w:rsidRPr="008D3A77">
              <w:rPr>
                <w:rFonts w:asciiTheme="minorHAnsi" w:hAnsiTheme="minorHAnsi" w:cstheme="minorHAnsi"/>
              </w:rPr>
              <w:t xml:space="preserve"> adoptions, such as adoption of new standards to Codex</w:t>
            </w:r>
          </w:p>
          <w:p w14:paraId="279AD6E2" w14:textId="77777777" w:rsidR="00943C6E" w:rsidRDefault="006933A5">
            <w:pPr>
              <w:pStyle w:val="ListParagraph"/>
              <w:numPr>
                <w:ilvl w:val="0"/>
                <w:numId w:val="26"/>
              </w:numPr>
              <w:rPr>
                <w:rFonts w:asciiTheme="minorHAnsi" w:hAnsiTheme="minorHAnsi" w:cstheme="minorHAnsi"/>
              </w:rPr>
            </w:pPr>
            <w:r>
              <w:rPr>
                <w:rFonts w:asciiTheme="minorHAnsi" w:hAnsiTheme="minorHAnsi" w:cstheme="minorHAnsi"/>
              </w:rPr>
              <w:lastRenderedPageBreak/>
              <w:t>m</w:t>
            </w:r>
            <w:r w:rsidR="004272ED" w:rsidRPr="008D3A77">
              <w:rPr>
                <w:rFonts w:asciiTheme="minorHAnsi" w:hAnsiTheme="minorHAnsi" w:cstheme="minorHAnsi"/>
              </w:rPr>
              <w:t>utual recognition of standards with select other international jurisdictions</w:t>
            </w:r>
          </w:p>
          <w:p w14:paraId="46B75F19" w14:textId="77777777" w:rsidR="0091708A" w:rsidRDefault="0091708A" w:rsidP="00E3618C">
            <w:pPr>
              <w:rPr>
                <w:rFonts w:asciiTheme="minorHAnsi" w:hAnsiTheme="minorHAnsi" w:cstheme="minorHAnsi"/>
              </w:rPr>
            </w:pPr>
          </w:p>
          <w:p w14:paraId="0508A1F0" w14:textId="220711EC" w:rsidR="00943C6E" w:rsidRPr="00BE1129" w:rsidRDefault="009E71F6" w:rsidP="00E3618C">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_Ref51749058 \h </w:instrText>
            </w:r>
            <w:r>
              <w:rPr>
                <w:rFonts w:asciiTheme="minorHAnsi" w:hAnsiTheme="minorHAnsi" w:cstheme="minorHAnsi"/>
              </w:rPr>
            </w:r>
            <w:r>
              <w:rPr>
                <w:rFonts w:asciiTheme="minorHAnsi" w:hAnsiTheme="minorHAnsi" w:cstheme="minorHAnsi"/>
              </w:rPr>
              <w:fldChar w:fldCharType="separate"/>
            </w:r>
            <w:r w:rsidR="001C5CC6">
              <w:t>Reform idea 12 – Create industry-led pathways to expedite applications and bring new products to market</w:t>
            </w:r>
            <w:r>
              <w:rPr>
                <w:rFonts w:asciiTheme="minorHAnsi" w:hAnsiTheme="minorHAnsi" w:cstheme="minorHAnsi"/>
              </w:rPr>
              <w:fldChar w:fldCharType="end"/>
            </w:r>
          </w:p>
        </w:tc>
      </w:tr>
      <w:tr w:rsidR="00943C6E" w:rsidRPr="00271465" w14:paraId="0392DDEB" w14:textId="77777777" w:rsidTr="00E73435">
        <w:trPr>
          <w:cnfStyle w:val="000000010000" w:firstRow="0" w:lastRow="0" w:firstColumn="0" w:lastColumn="0" w:oddVBand="0" w:evenVBand="0" w:oddHBand="0" w:evenHBand="1" w:firstRowFirstColumn="0" w:firstRowLastColumn="0" w:lastRowFirstColumn="0" w:lastRowLastColumn="0"/>
        </w:trPr>
        <w:tc>
          <w:tcPr>
            <w:tcW w:w="284" w:type="pct"/>
            <w:vMerge w:val="restart"/>
            <w:vAlign w:val="top"/>
          </w:tcPr>
          <w:p w14:paraId="2831C53B" w14:textId="77777777" w:rsidR="00943C6E" w:rsidRDefault="00943C6E" w:rsidP="00C10B49">
            <w:r>
              <w:lastRenderedPageBreak/>
              <w:t xml:space="preserve">5 </w:t>
            </w:r>
          </w:p>
        </w:tc>
        <w:tc>
          <w:tcPr>
            <w:tcW w:w="433" w:type="pct"/>
            <w:vMerge w:val="restart"/>
            <w:vAlign w:val="top"/>
          </w:tcPr>
          <w:p w14:paraId="186836D0" w14:textId="77777777" w:rsidR="00943C6E" w:rsidRPr="008227C7" w:rsidRDefault="00943C6E" w:rsidP="00C10B49">
            <w:r>
              <w:t>Partnerships</w:t>
            </w:r>
          </w:p>
        </w:tc>
        <w:tc>
          <w:tcPr>
            <w:tcW w:w="1763" w:type="pct"/>
            <w:vAlign w:val="top"/>
          </w:tcPr>
          <w:p w14:paraId="54D8D23B" w14:textId="7DB05C2E" w:rsidR="00984DFC" w:rsidRPr="00984DFC" w:rsidRDefault="004272ED" w:rsidP="00C10B49">
            <w:pPr>
              <w:rPr>
                <w:rFonts w:asciiTheme="majorHAnsi" w:hAnsiTheme="majorHAnsi" w:cstheme="majorHAnsi"/>
              </w:rPr>
            </w:pPr>
            <w:r w:rsidRPr="00984DFC">
              <w:rPr>
                <w:rFonts w:asciiTheme="majorHAnsi" w:hAnsiTheme="majorHAnsi" w:cstheme="majorHAnsi"/>
              </w:rPr>
              <w:fldChar w:fldCharType="begin"/>
            </w:r>
            <w:r w:rsidRPr="00984DFC">
              <w:rPr>
                <w:rFonts w:asciiTheme="majorHAnsi" w:hAnsiTheme="majorHAnsi" w:cstheme="majorHAnsi"/>
              </w:rPr>
              <w:instrText xml:space="preserve"> REF _Ref51487268 \h </w:instrText>
            </w:r>
            <w:r w:rsidR="00984DFC">
              <w:rPr>
                <w:rFonts w:asciiTheme="majorHAnsi" w:hAnsiTheme="majorHAnsi" w:cstheme="majorHAnsi"/>
              </w:rPr>
              <w:instrText xml:space="preserve"> \* MERGEFORMAT </w:instrText>
            </w:r>
            <w:r w:rsidRPr="00984DFC">
              <w:rPr>
                <w:rFonts w:asciiTheme="majorHAnsi" w:hAnsiTheme="majorHAnsi" w:cstheme="majorHAnsi"/>
              </w:rPr>
            </w:r>
            <w:r w:rsidRPr="00984DFC">
              <w:rPr>
                <w:rFonts w:asciiTheme="majorHAnsi" w:hAnsiTheme="majorHAnsi" w:cstheme="majorHAnsi"/>
              </w:rPr>
              <w:fldChar w:fldCharType="separate"/>
            </w:r>
            <w:r w:rsidR="001C5CC6" w:rsidRPr="001C5CC6">
              <w:rPr>
                <w:rFonts w:asciiTheme="majorHAnsi" w:hAnsiTheme="majorHAnsi" w:cstheme="majorHAnsi"/>
              </w:rPr>
              <w:t>Governments’ and FSANZ’s priorities are not always aligned</w:t>
            </w:r>
            <w:r w:rsidRPr="00984DFC">
              <w:rPr>
                <w:rFonts w:asciiTheme="majorHAnsi" w:hAnsiTheme="majorHAnsi" w:cstheme="majorHAnsi"/>
              </w:rPr>
              <w:fldChar w:fldCharType="end"/>
            </w:r>
          </w:p>
          <w:p w14:paraId="331347F2" w14:textId="6595F77D" w:rsidR="00943C6E" w:rsidRPr="00240792" w:rsidRDefault="004272ED" w:rsidP="00240792">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_Ref51487271 \h </w:instrText>
            </w:r>
            <w:r w:rsidR="00984DFC">
              <w:rPr>
                <w:rFonts w:asciiTheme="majorHAnsi" w:hAnsiTheme="majorHAnsi" w:cstheme="majorHAnsi"/>
              </w:rPr>
              <w:instrText xml:space="preserve"> \* MERGEFORMAT </w:instrText>
            </w:r>
            <w:r>
              <w:rPr>
                <w:rFonts w:asciiTheme="majorHAnsi" w:hAnsiTheme="majorHAnsi" w:cstheme="majorHAnsi"/>
              </w:rPr>
            </w:r>
            <w:r>
              <w:rPr>
                <w:rFonts w:asciiTheme="majorHAnsi" w:hAnsiTheme="majorHAnsi" w:cstheme="majorHAnsi"/>
              </w:rPr>
              <w:fldChar w:fldCharType="separate"/>
            </w:r>
            <w:r w:rsidR="001C5CC6">
              <w:t>FSANZ</w:t>
            </w:r>
            <w:r w:rsidR="001C5CC6" w:rsidRPr="001C5CC6">
              <w:rPr>
                <w:i/>
              </w:rPr>
              <w:t xml:space="preserve"> and the Forum do not always have a shared vision of priorities</w:t>
            </w:r>
            <w:r>
              <w:rPr>
                <w:rFonts w:asciiTheme="majorHAnsi" w:hAnsiTheme="majorHAnsi" w:cstheme="majorHAnsi"/>
              </w:rPr>
              <w:fldChar w:fldCharType="end"/>
            </w:r>
            <w:r w:rsidR="00F50D9D">
              <w:rPr>
                <w:rFonts w:asciiTheme="majorHAnsi" w:hAnsiTheme="majorHAnsi" w:cstheme="majorHAnsi"/>
              </w:rPr>
              <w:t>.</w:t>
            </w:r>
          </w:p>
        </w:tc>
        <w:tc>
          <w:tcPr>
            <w:tcW w:w="2520" w:type="pct"/>
            <w:vAlign w:val="top"/>
          </w:tcPr>
          <w:p w14:paraId="28C41C11" w14:textId="31921658" w:rsidR="00FA7A23" w:rsidRDefault="009A2A71" w:rsidP="00C10B49">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_Ref52123579 \h </w:instrText>
            </w:r>
            <w:r>
              <w:rPr>
                <w:rFonts w:asciiTheme="majorHAnsi" w:hAnsiTheme="majorHAnsi" w:cstheme="majorHAnsi"/>
              </w:rPr>
            </w:r>
            <w:r>
              <w:rPr>
                <w:rFonts w:asciiTheme="majorHAnsi" w:hAnsiTheme="majorHAnsi" w:cstheme="majorHAnsi"/>
              </w:rPr>
              <w:fldChar w:fldCharType="separate"/>
            </w:r>
            <w:r w:rsidR="001C5CC6">
              <w:t>Reform idea 13 – Facilitate joint agenda setting between FSANZ and the Forum</w:t>
            </w:r>
            <w:r>
              <w:rPr>
                <w:rFonts w:asciiTheme="majorHAnsi" w:hAnsiTheme="majorHAnsi" w:cstheme="majorHAnsi"/>
              </w:rPr>
              <w:fldChar w:fldCharType="end"/>
            </w:r>
            <w:r w:rsidR="00984DFC">
              <w:rPr>
                <w:rFonts w:asciiTheme="majorHAnsi" w:hAnsiTheme="majorHAnsi" w:cstheme="majorHAnsi"/>
              </w:rPr>
              <w:fldChar w:fldCharType="begin"/>
            </w:r>
            <w:r w:rsidR="00984DFC">
              <w:rPr>
                <w:rFonts w:asciiTheme="majorHAnsi" w:hAnsiTheme="majorHAnsi" w:cstheme="majorHAnsi"/>
              </w:rPr>
              <w:instrText xml:space="preserve"> REF _Ref51342033 \h </w:instrText>
            </w:r>
            <w:r w:rsidR="00984DFC">
              <w:rPr>
                <w:rFonts w:asciiTheme="majorHAnsi" w:hAnsiTheme="majorHAnsi" w:cstheme="majorHAnsi"/>
              </w:rPr>
            </w:r>
            <w:r w:rsidR="00984DFC">
              <w:rPr>
                <w:rFonts w:asciiTheme="majorHAnsi" w:hAnsiTheme="majorHAnsi" w:cstheme="majorHAnsi"/>
              </w:rPr>
              <w:fldChar w:fldCharType="separate"/>
            </w:r>
            <w:r w:rsidR="001C5CC6">
              <w:t xml:space="preserve"> idea 13 – Facilitate joint agenda setting between FSANZ and the Forum</w:t>
            </w:r>
            <w:r w:rsidR="00984DFC">
              <w:rPr>
                <w:rFonts w:asciiTheme="majorHAnsi" w:hAnsiTheme="majorHAnsi" w:cstheme="majorHAnsi"/>
              </w:rPr>
              <w:fldChar w:fldCharType="end"/>
            </w:r>
          </w:p>
          <w:p w14:paraId="10255479" w14:textId="77777777" w:rsidR="009A2A71" w:rsidRDefault="009A2A71" w:rsidP="00C10B49">
            <w:pPr>
              <w:rPr>
                <w:rFonts w:asciiTheme="majorHAnsi" w:hAnsiTheme="majorHAnsi" w:cstheme="majorHAnsi"/>
              </w:rPr>
            </w:pPr>
          </w:p>
          <w:p w14:paraId="6AD18973" w14:textId="3A3D2EDD" w:rsidR="009F2D61" w:rsidRPr="00240792" w:rsidRDefault="009F2D61" w:rsidP="00C10B49">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_Ref51914359 \h </w:instrText>
            </w:r>
            <w:r>
              <w:rPr>
                <w:rFonts w:asciiTheme="majorHAnsi" w:hAnsiTheme="majorHAnsi" w:cstheme="majorHAnsi"/>
              </w:rPr>
            </w:r>
            <w:r>
              <w:rPr>
                <w:rFonts w:asciiTheme="majorHAnsi" w:hAnsiTheme="majorHAnsi" w:cstheme="majorHAnsi"/>
              </w:rPr>
              <w:fldChar w:fldCharType="separate"/>
            </w:r>
            <w:r w:rsidR="001C5CC6">
              <w:t xml:space="preserve">Reform idea 14 – Amend statutory timeframes to support more strategic prioritisation of work </w:t>
            </w:r>
            <w:r>
              <w:rPr>
                <w:rFonts w:asciiTheme="majorHAnsi" w:hAnsiTheme="majorHAnsi" w:cstheme="majorHAnsi"/>
              </w:rPr>
              <w:fldChar w:fldCharType="end"/>
            </w:r>
          </w:p>
        </w:tc>
      </w:tr>
      <w:tr w:rsidR="00943C6E" w:rsidRPr="00271465" w14:paraId="159C27E2" w14:textId="77777777" w:rsidTr="00E73435">
        <w:trPr>
          <w:cnfStyle w:val="000000100000" w:firstRow="0" w:lastRow="0" w:firstColumn="0" w:lastColumn="0" w:oddVBand="0" w:evenVBand="0" w:oddHBand="1" w:evenHBand="0" w:firstRowFirstColumn="0" w:firstRowLastColumn="0" w:lastRowFirstColumn="0" w:lastRowLastColumn="0"/>
        </w:trPr>
        <w:tc>
          <w:tcPr>
            <w:tcW w:w="284" w:type="pct"/>
            <w:vMerge/>
            <w:vAlign w:val="top"/>
          </w:tcPr>
          <w:p w14:paraId="34582B75" w14:textId="77777777" w:rsidR="00943C6E" w:rsidRDefault="00943C6E" w:rsidP="00C10B49"/>
        </w:tc>
        <w:tc>
          <w:tcPr>
            <w:tcW w:w="433" w:type="pct"/>
            <w:vMerge/>
            <w:vAlign w:val="top"/>
          </w:tcPr>
          <w:p w14:paraId="3587EBFD" w14:textId="77777777" w:rsidR="00943C6E" w:rsidRDefault="00943C6E" w:rsidP="00C10B49"/>
        </w:tc>
        <w:tc>
          <w:tcPr>
            <w:tcW w:w="1763" w:type="pct"/>
            <w:vAlign w:val="top"/>
          </w:tcPr>
          <w:p w14:paraId="4B954DF6" w14:textId="14A627ED" w:rsidR="00911D7B" w:rsidRPr="00911D7B" w:rsidRDefault="00911D7B" w:rsidP="00C10B49">
            <w:pPr>
              <w:rPr>
                <w:rFonts w:asciiTheme="majorHAnsi" w:hAnsiTheme="majorHAnsi" w:cstheme="majorHAnsi"/>
              </w:rPr>
            </w:pPr>
            <w:r w:rsidRPr="00911D7B">
              <w:rPr>
                <w:rFonts w:asciiTheme="majorHAnsi" w:hAnsiTheme="majorHAnsi" w:cstheme="majorHAnsi"/>
              </w:rPr>
              <w:fldChar w:fldCharType="begin"/>
            </w:r>
            <w:r w:rsidRPr="00911D7B">
              <w:rPr>
                <w:rFonts w:asciiTheme="majorHAnsi" w:hAnsiTheme="majorHAnsi" w:cstheme="majorHAnsi"/>
              </w:rPr>
              <w:instrText xml:space="preserve"> REF _Ref51487520 \h </w:instrText>
            </w:r>
            <w:r>
              <w:rPr>
                <w:rFonts w:asciiTheme="majorHAnsi" w:hAnsiTheme="majorHAnsi" w:cstheme="majorHAnsi"/>
              </w:rPr>
              <w:instrText xml:space="preserve"> \* MERGEFORMAT </w:instrText>
            </w:r>
            <w:r w:rsidRPr="00911D7B">
              <w:rPr>
                <w:rFonts w:asciiTheme="majorHAnsi" w:hAnsiTheme="majorHAnsi" w:cstheme="majorHAnsi"/>
              </w:rPr>
            </w:r>
            <w:r w:rsidRPr="00911D7B">
              <w:rPr>
                <w:rFonts w:asciiTheme="majorHAnsi" w:hAnsiTheme="majorHAnsi" w:cstheme="majorHAnsi"/>
              </w:rPr>
              <w:fldChar w:fldCharType="separate"/>
            </w:r>
            <w:r w:rsidR="001C5CC6" w:rsidRPr="001C5CC6">
              <w:rPr>
                <w:rFonts w:asciiTheme="majorHAnsi" w:hAnsiTheme="majorHAnsi" w:cstheme="majorHAnsi"/>
              </w:rPr>
              <w:t>Inconsistent interpretation and enforcement of food standards is an enduring issue for the system</w:t>
            </w:r>
            <w:r w:rsidRPr="00911D7B">
              <w:rPr>
                <w:rFonts w:asciiTheme="majorHAnsi" w:hAnsiTheme="majorHAnsi" w:cstheme="majorHAnsi"/>
              </w:rPr>
              <w:fldChar w:fldCharType="end"/>
            </w:r>
          </w:p>
          <w:p w14:paraId="519499AC" w14:textId="77777777" w:rsidR="00E54DE0" w:rsidRPr="000D088F" w:rsidRDefault="00E54DE0" w:rsidP="00C10B49">
            <w:pPr>
              <w:rPr>
                <w:rFonts w:asciiTheme="majorHAnsi" w:hAnsiTheme="majorHAnsi" w:cstheme="majorHAnsi"/>
                <w:i/>
              </w:rPr>
            </w:pPr>
          </w:p>
          <w:p w14:paraId="4543CA46" w14:textId="77777777" w:rsidR="00240792" w:rsidRDefault="00240792" w:rsidP="00C10B49">
            <w:pPr>
              <w:rPr>
                <w:rFonts w:asciiTheme="majorHAnsi" w:hAnsiTheme="majorHAnsi" w:cstheme="majorHAnsi"/>
              </w:rPr>
            </w:pPr>
          </w:p>
          <w:p w14:paraId="3274B888" w14:textId="77777777" w:rsidR="00943C6E" w:rsidRPr="006225B7" w:rsidRDefault="00943C6E" w:rsidP="00C10B49">
            <w:pPr>
              <w:rPr>
                <w:lang w:eastAsia="en-AU"/>
              </w:rPr>
            </w:pPr>
          </w:p>
          <w:p w14:paraId="42D80B61" w14:textId="77777777" w:rsidR="00943C6E" w:rsidRPr="00AE2073" w:rsidRDefault="00943C6E" w:rsidP="00C10B49">
            <w:pPr>
              <w:rPr>
                <w:b/>
                <w:szCs w:val="19"/>
              </w:rPr>
            </w:pPr>
          </w:p>
        </w:tc>
        <w:tc>
          <w:tcPr>
            <w:tcW w:w="2520" w:type="pct"/>
            <w:vAlign w:val="top"/>
          </w:tcPr>
          <w:p w14:paraId="6E492B82" w14:textId="111E9CCE" w:rsidR="005A2A37" w:rsidRPr="00F678D7" w:rsidRDefault="005C61A0" w:rsidP="005A2A37">
            <w:pPr>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REF _Ref52124030 \h </w:instrText>
            </w:r>
            <w:r>
              <w:rPr>
                <w:rFonts w:asciiTheme="minorHAnsi" w:hAnsiTheme="minorHAnsi" w:cstheme="minorHAnsi"/>
              </w:rPr>
            </w:r>
            <w:r>
              <w:rPr>
                <w:rFonts w:asciiTheme="minorHAnsi" w:hAnsiTheme="minorHAnsi" w:cstheme="minorHAnsi"/>
              </w:rPr>
              <w:fldChar w:fldCharType="separate"/>
            </w:r>
            <w:r w:rsidR="001C5CC6" w:rsidRPr="0095647E">
              <w:t xml:space="preserve">Reform idea 15 </w:t>
            </w:r>
            <w:r w:rsidR="001C5CC6" w:rsidRPr="00E5488F">
              <w:t>–</w:t>
            </w:r>
            <w:r w:rsidR="001C5CC6" w:rsidRPr="008236A9">
              <w:t xml:space="preserve"> </w:t>
            </w:r>
            <w:r w:rsidR="001C5CC6" w:rsidRPr="00BF1ECB">
              <w:t>Enhance FSANZ’s role in providing guidance about food standards within its current statutory remit</w:t>
            </w:r>
            <w:r>
              <w:rPr>
                <w:rFonts w:asciiTheme="minorHAnsi" w:hAnsiTheme="minorHAnsi" w:cstheme="minorHAnsi"/>
              </w:rPr>
              <w:fldChar w:fldCharType="end"/>
            </w:r>
            <w:r>
              <w:rPr>
                <w:rFonts w:asciiTheme="minorHAnsi" w:hAnsiTheme="minorHAnsi" w:cstheme="minorHAnsi"/>
              </w:rPr>
              <w:t xml:space="preserve">. </w:t>
            </w:r>
            <w:r w:rsidR="005A2A37" w:rsidRPr="00F678D7">
              <w:rPr>
                <w:rFonts w:asciiTheme="minorHAnsi" w:hAnsiTheme="minorHAnsi" w:cstheme="minorHAnsi"/>
              </w:rPr>
              <w:t>This could include:</w:t>
            </w:r>
          </w:p>
          <w:p w14:paraId="08171FAD" w14:textId="1F03E6D5" w:rsidR="005A2A37" w:rsidRPr="00F678D7" w:rsidRDefault="008B7A06" w:rsidP="005F62F0">
            <w:pPr>
              <w:pStyle w:val="Bullet"/>
            </w:pPr>
            <w:r>
              <w:t>i</w:t>
            </w:r>
            <w:r w:rsidR="00943C6E" w:rsidRPr="005F62F0">
              <w:t>ncluding</w:t>
            </w:r>
            <w:r w:rsidR="005A2A37" w:rsidRPr="00F678D7">
              <w:t xml:space="preserve"> a statement of intent alongside food standards in the Food Standards Code </w:t>
            </w:r>
          </w:p>
          <w:p w14:paraId="04E8C6AB" w14:textId="72831363" w:rsidR="005A2A37" w:rsidRPr="00F678D7" w:rsidRDefault="008B7A06" w:rsidP="005F62F0">
            <w:pPr>
              <w:pStyle w:val="Bullet"/>
            </w:pPr>
            <w:r>
              <w:rPr>
                <w:rFonts w:eastAsiaTheme="minorEastAsia"/>
              </w:rPr>
              <w:t>r</w:t>
            </w:r>
            <w:r w:rsidR="00943C6E" w:rsidRPr="00F678D7">
              <w:rPr>
                <w:rFonts w:eastAsiaTheme="minorEastAsia"/>
              </w:rPr>
              <w:t>esourcing</w:t>
            </w:r>
            <w:r w:rsidR="005A2A37" w:rsidRPr="00F678D7">
              <w:rPr>
                <w:rFonts w:eastAsiaTheme="minorEastAsia"/>
              </w:rPr>
              <w:t xml:space="preserve"> FSANZ to update and maintain industry guidelines</w:t>
            </w:r>
          </w:p>
          <w:p w14:paraId="17D1D691" w14:textId="77777777" w:rsidR="005A2A37" w:rsidRDefault="005A2A37" w:rsidP="000D088F">
            <w:pPr>
              <w:rPr>
                <w:rFonts w:asciiTheme="majorHAnsi" w:hAnsiTheme="majorHAnsi" w:cstheme="majorHAnsi"/>
              </w:rPr>
            </w:pPr>
          </w:p>
          <w:p w14:paraId="3512AA1A" w14:textId="16011AED" w:rsidR="005A2A37" w:rsidRPr="00F678D7" w:rsidRDefault="000D088F" w:rsidP="005A2A37">
            <w:pPr>
              <w:rPr>
                <w:rFonts w:asciiTheme="minorHAnsi" w:hAnsiTheme="minorHAnsi" w:cstheme="minorHAnsi"/>
              </w:rPr>
            </w:pPr>
            <w:r>
              <w:rPr>
                <w:rFonts w:asciiTheme="majorHAnsi" w:hAnsiTheme="majorHAnsi" w:cstheme="majorHAnsi"/>
              </w:rPr>
              <w:fldChar w:fldCharType="begin"/>
            </w:r>
            <w:r>
              <w:rPr>
                <w:rFonts w:asciiTheme="majorHAnsi" w:hAnsiTheme="majorHAnsi" w:cstheme="majorHAnsi"/>
              </w:rPr>
              <w:instrText xml:space="preserve"> REF _Ref51342118 \h </w:instrText>
            </w:r>
            <w:r>
              <w:rPr>
                <w:rFonts w:asciiTheme="majorHAnsi" w:hAnsiTheme="majorHAnsi" w:cstheme="majorHAnsi"/>
              </w:rPr>
            </w:r>
            <w:r>
              <w:rPr>
                <w:rFonts w:asciiTheme="majorHAnsi" w:hAnsiTheme="majorHAnsi" w:cstheme="majorHAnsi"/>
              </w:rPr>
              <w:fldChar w:fldCharType="separate"/>
            </w:r>
            <w:r w:rsidR="001C5CC6">
              <w:t xml:space="preserve">Reform idea 16 – </w:t>
            </w:r>
            <w:r w:rsidR="001C5CC6" w:rsidRPr="00CF5A65">
              <w:t xml:space="preserve">Provide </w:t>
            </w:r>
            <w:r w:rsidR="001C5CC6">
              <w:t xml:space="preserve">for </w:t>
            </w:r>
            <w:r w:rsidR="001C5CC6" w:rsidRPr="00CF5A65">
              <w:t xml:space="preserve">FSANZ to </w:t>
            </w:r>
            <w:r w:rsidR="001C5CC6">
              <w:t>give</w:t>
            </w:r>
            <w:r w:rsidR="001C5CC6" w:rsidRPr="00CF5A65">
              <w:t xml:space="preserve"> binding </w:t>
            </w:r>
            <w:r w:rsidR="001C5CC6">
              <w:t xml:space="preserve">interpretive </w:t>
            </w:r>
            <w:r w:rsidR="001C5CC6" w:rsidRPr="00CF5A65">
              <w:t xml:space="preserve">advice </w:t>
            </w:r>
            <w:r w:rsidR="001C5CC6">
              <w:t>on food standards</w:t>
            </w:r>
            <w:r>
              <w:rPr>
                <w:rFonts w:asciiTheme="majorHAnsi" w:hAnsiTheme="majorHAnsi" w:cstheme="majorHAnsi"/>
              </w:rPr>
              <w:fldChar w:fldCharType="end"/>
            </w:r>
            <w:r w:rsidR="005A2A37">
              <w:rPr>
                <w:rFonts w:asciiTheme="majorHAnsi" w:hAnsiTheme="majorHAnsi" w:cstheme="majorHAnsi"/>
              </w:rPr>
              <w:t xml:space="preserve">. </w:t>
            </w:r>
            <w:r w:rsidR="005A2A37" w:rsidRPr="00F678D7">
              <w:rPr>
                <w:rFonts w:asciiTheme="minorHAnsi" w:hAnsiTheme="minorHAnsi" w:cstheme="minorHAnsi"/>
              </w:rPr>
              <w:t>This could include:</w:t>
            </w:r>
          </w:p>
          <w:p w14:paraId="28147C57" w14:textId="65BAF590" w:rsidR="005A2A37" w:rsidRPr="00F678D7" w:rsidRDefault="008B7A06" w:rsidP="005F62F0">
            <w:pPr>
              <w:pStyle w:val="Bullet"/>
            </w:pPr>
            <w:r>
              <w:t>i</w:t>
            </w:r>
            <w:r w:rsidR="00943C6E" w:rsidRPr="00F678D7">
              <w:t>ntroducing</w:t>
            </w:r>
            <w:r w:rsidR="005A2A37" w:rsidRPr="00F678D7">
              <w:t xml:space="preserve"> compliance codes or advice </w:t>
            </w:r>
          </w:p>
          <w:p w14:paraId="34F2E7BA" w14:textId="483D12AE" w:rsidR="005A2A37" w:rsidRDefault="008B7A06" w:rsidP="005F62F0">
            <w:pPr>
              <w:pStyle w:val="Bullet"/>
            </w:pPr>
            <w:r>
              <w:t>i</w:t>
            </w:r>
            <w:r w:rsidR="00943C6E" w:rsidRPr="00F678D7">
              <w:t>ntroducing</w:t>
            </w:r>
            <w:r w:rsidR="005A2A37" w:rsidRPr="00F678D7">
              <w:t xml:space="preserve"> a power for FSANZ to make binding interpretations about food standards</w:t>
            </w:r>
          </w:p>
          <w:p w14:paraId="42012BF0" w14:textId="77777777" w:rsidR="005A2A37" w:rsidRDefault="005A2A37" w:rsidP="000D088F">
            <w:pPr>
              <w:rPr>
                <w:rFonts w:asciiTheme="majorHAnsi" w:hAnsiTheme="majorHAnsi" w:cstheme="majorHAnsi"/>
              </w:rPr>
            </w:pPr>
          </w:p>
          <w:p w14:paraId="2ECD4774" w14:textId="7460BBD2" w:rsidR="005A2A37" w:rsidRPr="00F678D7" w:rsidRDefault="009F2D61" w:rsidP="005A2A37">
            <w:pPr>
              <w:rPr>
                <w:rFonts w:asciiTheme="minorHAnsi" w:hAnsiTheme="minorHAnsi" w:cstheme="minorHAnsi"/>
              </w:rPr>
            </w:pPr>
            <w:r>
              <w:rPr>
                <w:rFonts w:asciiTheme="majorHAnsi" w:hAnsiTheme="majorHAnsi" w:cstheme="majorHAnsi"/>
              </w:rPr>
              <w:fldChar w:fldCharType="begin"/>
            </w:r>
            <w:r>
              <w:rPr>
                <w:rFonts w:asciiTheme="majorHAnsi" w:hAnsiTheme="majorHAnsi" w:cstheme="majorHAnsi"/>
              </w:rPr>
              <w:instrText xml:space="preserve"> REF _Ref51914382 \h </w:instrText>
            </w:r>
            <w:r>
              <w:rPr>
                <w:rFonts w:asciiTheme="majorHAnsi" w:hAnsiTheme="majorHAnsi" w:cstheme="majorHAnsi"/>
              </w:rPr>
            </w:r>
            <w:r>
              <w:rPr>
                <w:rFonts w:asciiTheme="majorHAnsi" w:hAnsiTheme="majorHAnsi" w:cstheme="majorHAnsi"/>
              </w:rPr>
              <w:fldChar w:fldCharType="separate"/>
            </w:r>
            <w:r w:rsidR="001C5CC6">
              <w:t>Reform idea 17 – Enhance FSANZ’s regulatory role by providing limited enforcement powers</w:t>
            </w:r>
            <w:r>
              <w:rPr>
                <w:rFonts w:asciiTheme="majorHAnsi" w:hAnsiTheme="majorHAnsi" w:cstheme="majorHAnsi"/>
              </w:rPr>
              <w:fldChar w:fldCharType="end"/>
            </w:r>
            <w:r w:rsidR="005A2A37">
              <w:rPr>
                <w:rFonts w:asciiTheme="majorHAnsi" w:hAnsiTheme="majorHAnsi" w:cstheme="majorHAnsi"/>
              </w:rPr>
              <w:t xml:space="preserve"> </w:t>
            </w:r>
            <w:r w:rsidR="005A2A37" w:rsidRPr="00F678D7">
              <w:rPr>
                <w:rFonts w:asciiTheme="minorHAnsi" w:hAnsiTheme="minorHAnsi" w:cstheme="minorHAnsi"/>
              </w:rPr>
              <w:t>This could include:</w:t>
            </w:r>
          </w:p>
          <w:p w14:paraId="0BABD007" w14:textId="77777777" w:rsidR="005A2A37" w:rsidRPr="00F678D7" w:rsidRDefault="005A2A37" w:rsidP="005F62F0">
            <w:pPr>
              <w:pStyle w:val="Bullet"/>
            </w:pPr>
            <w:r w:rsidRPr="00F678D7">
              <w:t xml:space="preserve">providing FSANZ the statutory remit and powers to regulate specific food </w:t>
            </w:r>
            <w:r w:rsidRPr="00F678D7">
              <w:lastRenderedPageBreak/>
              <w:t>standards, such as novel foods or health claims</w:t>
            </w:r>
          </w:p>
          <w:p w14:paraId="5D154F9D" w14:textId="53D53B1B" w:rsidR="00943C6E" w:rsidRPr="00F678D7" w:rsidRDefault="005A2A37" w:rsidP="005F62F0">
            <w:pPr>
              <w:pStyle w:val="Bullet"/>
            </w:pPr>
            <w:r w:rsidRPr="00F678D7">
              <w:t>providing FSANZ with the statutory remit and powers to regulate food that is sold across state or territory borders in Australia or exported from Australia or New Zealand</w:t>
            </w:r>
            <w:r w:rsidR="00F976DB">
              <w:t>.</w:t>
            </w:r>
          </w:p>
        </w:tc>
      </w:tr>
      <w:tr w:rsidR="00943C6E" w:rsidRPr="00271465" w14:paraId="15FA463C" w14:textId="77777777" w:rsidTr="00E73435">
        <w:trPr>
          <w:cnfStyle w:val="000000010000" w:firstRow="0" w:lastRow="0" w:firstColumn="0" w:lastColumn="0" w:oddVBand="0" w:evenVBand="0" w:oddHBand="0" w:evenHBand="1" w:firstRowFirstColumn="0" w:firstRowLastColumn="0" w:lastRowFirstColumn="0" w:lastRowLastColumn="0"/>
        </w:trPr>
        <w:tc>
          <w:tcPr>
            <w:tcW w:w="284" w:type="pct"/>
            <w:vMerge/>
            <w:vAlign w:val="top"/>
          </w:tcPr>
          <w:p w14:paraId="22B2C785" w14:textId="77777777" w:rsidR="00943C6E" w:rsidRDefault="00943C6E" w:rsidP="00C10B49"/>
        </w:tc>
        <w:tc>
          <w:tcPr>
            <w:tcW w:w="433" w:type="pct"/>
            <w:vMerge/>
            <w:vAlign w:val="top"/>
          </w:tcPr>
          <w:p w14:paraId="3F9CF88E" w14:textId="77777777" w:rsidR="00943C6E" w:rsidRDefault="00943C6E" w:rsidP="00C10B49"/>
        </w:tc>
        <w:tc>
          <w:tcPr>
            <w:tcW w:w="1763" w:type="pct"/>
            <w:vAlign w:val="top"/>
          </w:tcPr>
          <w:p w14:paraId="049A91E2" w14:textId="4EE8B2F1" w:rsidR="00B76C02" w:rsidRPr="005A2A37" w:rsidRDefault="00B76C02" w:rsidP="00C10B49">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_Ref52124229 \h </w:instrText>
            </w:r>
            <w:r w:rsidR="009C09ED">
              <w:rPr>
                <w:rFonts w:asciiTheme="majorHAnsi" w:hAnsiTheme="majorHAnsi" w:cstheme="majorHAnsi"/>
              </w:rPr>
              <w:instrText xml:space="preserve"> \* MERGEFORMAT </w:instrText>
            </w:r>
            <w:r>
              <w:rPr>
                <w:rFonts w:asciiTheme="majorHAnsi" w:hAnsiTheme="majorHAnsi" w:cstheme="majorHAnsi"/>
              </w:rPr>
            </w:r>
            <w:r>
              <w:rPr>
                <w:rFonts w:asciiTheme="majorHAnsi" w:hAnsiTheme="majorHAnsi" w:cstheme="majorHAnsi"/>
              </w:rPr>
              <w:fldChar w:fldCharType="separate"/>
            </w:r>
            <w:r w:rsidR="001C5CC6" w:rsidRPr="001C5CC6">
              <w:rPr>
                <w:rFonts w:asciiTheme="majorHAnsi" w:hAnsiTheme="majorHAnsi" w:cstheme="majorHAnsi"/>
              </w:rPr>
              <w:t>The boundaries between food and medicine – and their respective regulatory frameworks – are not always clear</w:t>
            </w:r>
            <w:r>
              <w:rPr>
                <w:rFonts w:asciiTheme="majorHAnsi" w:hAnsiTheme="majorHAnsi" w:cstheme="majorHAnsi"/>
              </w:rPr>
              <w:fldChar w:fldCharType="end"/>
            </w:r>
          </w:p>
          <w:p w14:paraId="0A87E3B0" w14:textId="37A5850B" w:rsidR="007F100D" w:rsidRPr="007F100D" w:rsidRDefault="007F100D" w:rsidP="00C10B49">
            <w:pPr>
              <w:rPr>
                <w:rFonts w:asciiTheme="majorHAnsi" w:hAnsiTheme="majorHAnsi" w:cstheme="majorHAnsi"/>
                <w:i/>
              </w:rPr>
            </w:pPr>
            <w:r w:rsidRPr="007F100D">
              <w:rPr>
                <w:rFonts w:asciiTheme="majorHAnsi" w:hAnsiTheme="majorHAnsi" w:cstheme="majorHAnsi"/>
                <w:i/>
              </w:rPr>
              <w:fldChar w:fldCharType="begin"/>
            </w:r>
            <w:r w:rsidRPr="007F100D">
              <w:rPr>
                <w:rFonts w:asciiTheme="majorHAnsi" w:hAnsiTheme="majorHAnsi" w:cstheme="majorHAnsi"/>
                <w:i/>
              </w:rPr>
              <w:instrText xml:space="preserve"> REF _Ref51941743 \h  \* MERGEFORMAT </w:instrText>
            </w:r>
            <w:r w:rsidRPr="007F100D">
              <w:rPr>
                <w:rFonts w:asciiTheme="majorHAnsi" w:hAnsiTheme="majorHAnsi" w:cstheme="majorHAnsi"/>
                <w:i/>
              </w:rPr>
            </w:r>
            <w:r w:rsidRPr="007F100D">
              <w:rPr>
                <w:rFonts w:asciiTheme="majorHAnsi" w:hAnsiTheme="majorHAnsi" w:cstheme="majorHAnsi"/>
                <w:i/>
              </w:rPr>
              <w:fldChar w:fldCharType="separate"/>
            </w:r>
            <w:r w:rsidR="001C5CC6" w:rsidRPr="001C5CC6">
              <w:rPr>
                <w:i/>
              </w:rPr>
              <w:t>The food-medicine interface is an enduring issue</w:t>
            </w:r>
            <w:r w:rsidRPr="007F100D">
              <w:rPr>
                <w:rFonts w:asciiTheme="majorHAnsi" w:hAnsiTheme="majorHAnsi" w:cstheme="majorHAnsi"/>
                <w:i/>
              </w:rPr>
              <w:fldChar w:fldCharType="end"/>
            </w:r>
          </w:p>
          <w:p w14:paraId="3C4534F8" w14:textId="42137876" w:rsidR="007F100D" w:rsidRPr="007F100D" w:rsidRDefault="007F100D" w:rsidP="00C10B49">
            <w:pPr>
              <w:rPr>
                <w:rFonts w:asciiTheme="majorHAnsi" w:hAnsiTheme="majorHAnsi" w:cstheme="majorHAnsi"/>
                <w:i/>
              </w:rPr>
            </w:pPr>
            <w:r w:rsidRPr="007F100D">
              <w:rPr>
                <w:rFonts w:asciiTheme="majorHAnsi" w:hAnsiTheme="majorHAnsi" w:cstheme="majorHAnsi"/>
                <w:i/>
              </w:rPr>
              <w:fldChar w:fldCharType="begin"/>
            </w:r>
            <w:r w:rsidRPr="007F100D">
              <w:rPr>
                <w:rFonts w:asciiTheme="majorHAnsi" w:hAnsiTheme="majorHAnsi" w:cstheme="majorHAnsi"/>
                <w:i/>
              </w:rPr>
              <w:instrText xml:space="preserve"> REF _Ref51941745 \h  \* MERGEFORMAT </w:instrText>
            </w:r>
            <w:r w:rsidRPr="007F100D">
              <w:rPr>
                <w:rFonts w:asciiTheme="majorHAnsi" w:hAnsiTheme="majorHAnsi" w:cstheme="majorHAnsi"/>
                <w:i/>
              </w:rPr>
            </w:r>
            <w:r w:rsidRPr="007F100D">
              <w:rPr>
                <w:rFonts w:asciiTheme="majorHAnsi" w:hAnsiTheme="majorHAnsi" w:cstheme="majorHAnsi"/>
                <w:i/>
              </w:rPr>
              <w:fldChar w:fldCharType="separate"/>
            </w:r>
            <w:r w:rsidR="001C5CC6" w:rsidRPr="001C5CC6">
              <w:rPr>
                <w:i/>
              </w:rPr>
              <w:t>Clear delineation of food and medicine defies a simple solution</w:t>
            </w:r>
            <w:r w:rsidRPr="007F100D">
              <w:rPr>
                <w:rFonts w:asciiTheme="majorHAnsi" w:hAnsiTheme="majorHAnsi" w:cstheme="majorHAnsi"/>
                <w:i/>
              </w:rPr>
              <w:fldChar w:fldCharType="end"/>
            </w:r>
          </w:p>
          <w:p w14:paraId="4A3B625C" w14:textId="68D9B8AA" w:rsidR="002A22FF" w:rsidRPr="00E3618C" w:rsidRDefault="007F100D" w:rsidP="00C10B49">
            <w:pPr>
              <w:rPr>
                <w:rFonts w:asciiTheme="majorHAnsi" w:hAnsiTheme="majorHAnsi" w:cstheme="majorHAnsi"/>
                <w:i/>
                <w:highlight w:val="yellow"/>
              </w:rPr>
            </w:pPr>
            <w:r w:rsidRPr="007F100D">
              <w:rPr>
                <w:rFonts w:asciiTheme="majorHAnsi" w:hAnsiTheme="majorHAnsi" w:cstheme="majorHAnsi"/>
                <w:i/>
              </w:rPr>
              <w:fldChar w:fldCharType="begin"/>
            </w:r>
            <w:r w:rsidRPr="007F100D">
              <w:rPr>
                <w:rFonts w:asciiTheme="majorHAnsi" w:hAnsiTheme="majorHAnsi" w:cstheme="majorHAnsi"/>
                <w:i/>
              </w:rPr>
              <w:instrText xml:space="preserve"> REF _Ref51941748 \h  \* MERGEFORMAT </w:instrText>
            </w:r>
            <w:r w:rsidRPr="007F100D">
              <w:rPr>
                <w:rFonts w:asciiTheme="majorHAnsi" w:hAnsiTheme="majorHAnsi" w:cstheme="majorHAnsi"/>
                <w:i/>
              </w:rPr>
            </w:r>
            <w:r w:rsidRPr="007F100D">
              <w:rPr>
                <w:rFonts w:asciiTheme="majorHAnsi" w:hAnsiTheme="majorHAnsi" w:cstheme="majorHAnsi"/>
                <w:i/>
              </w:rPr>
              <w:fldChar w:fldCharType="separate"/>
            </w:r>
            <w:r w:rsidR="001C5CC6" w:rsidRPr="001C5CC6">
              <w:rPr>
                <w:i/>
              </w:rPr>
              <w:t>Limited oversight of food-health claims may contribute to the food regulatory system being seen as a ‘path of least resistance’</w:t>
            </w:r>
            <w:r w:rsidRPr="007F100D">
              <w:rPr>
                <w:rFonts w:asciiTheme="majorHAnsi" w:hAnsiTheme="majorHAnsi" w:cstheme="majorHAnsi"/>
                <w:i/>
              </w:rPr>
              <w:fldChar w:fldCharType="end"/>
            </w:r>
            <w:r w:rsidR="00F976DB">
              <w:rPr>
                <w:rFonts w:asciiTheme="majorHAnsi" w:hAnsiTheme="majorHAnsi" w:cstheme="majorHAnsi"/>
                <w:i/>
              </w:rPr>
              <w:t>.</w:t>
            </w:r>
          </w:p>
        </w:tc>
        <w:tc>
          <w:tcPr>
            <w:tcW w:w="2520" w:type="pct"/>
            <w:vAlign w:val="top"/>
          </w:tcPr>
          <w:p w14:paraId="0BC5B6E9" w14:textId="45CBE010" w:rsidR="007F100D" w:rsidRDefault="007F100D" w:rsidP="00166FCE">
            <w:pPr>
              <w:rPr>
                <w:rFonts w:asciiTheme="majorHAnsi" w:hAnsiTheme="majorHAnsi" w:cstheme="majorHAnsi"/>
                <w:highlight w:val="yellow"/>
              </w:rPr>
            </w:pPr>
            <w:r>
              <w:rPr>
                <w:rFonts w:asciiTheme="majorHAnsi" w:hAnsiTheme="majorHAnsi" w:cstheme="majorHAnsi"/>
                <w:highlight w:val="yellow"/>
              </w:rPr>
              <w:fldChar w:fldCharType="begin"/>
            </w:r>
            <w:r>
              <w:rPr>
                <w:rFonts w:asciiTheme="majorHAnsi" w:hAnsiTheme="majorHAnsi" w:cstheme="majorHAnsi"/>
                <w:highlight w:val="yellow"/>
              </w:rPr>
              <w:instrText xml:space="preserve"> REF _Ref51941794 \h </w:instrText>
            </w:r>
            <w:r>
              <w:rPr>
                <w:rFonts w:asciiTheme="majorHAnsi" w:hAnsiTheme="majorHAnsi" w:cstheme="majorHAnsi"/>
                <w:highlight w:val="yellow"/>
              </w:rPr>
            </w:r>
            <w:r>
              <w:rPr>
                <w:rFonts w:asciiTheme="majorHAnsi" w:hAnsiTheme="majorHAnsi" w:cstheme="majorHAnsi"/>
                <w:highlight w:val="yellow"/>
              </w:rPr>
              <w:fldChar w:fldCharType="separate"/>
            </w:r>
            <w:r w:rsidR="001C5CC6">
              <w:t>Reform idea 18 – Focus efforts on improving the food-medicine interface through regulatory practice</w:t>
            </w:r>
            <w:r>
              <w:rPr>
                <w:rFonts w:asciiTheme="majorHAnsi" w:hAnsiTheme="majorHAnsi" w:cstheme="majorHAnsi"/>
                <w:highlight w:val="yellow"/>
              </w:rPr>
              <w:fldChar w:fldCharType="end"/>
            </w:r>
          </w:p>
          <w:p w14:paraId="429BCB3A" w14:textId="77777777" w:rsidR="007F100D" w:rsidRDefault="007F100D" w:rsidP="00166FCE">
            <w:pPr>
              <w:rPr>
                <w:rFonts w:asciiTheme="majorHAnsi" w:hAnsiTheme="majorHAnsi" w:cstheme="majorHAnsi"/>
                <w:highlight w:val="yellow"/>
              </w:rPr>
            </w:pPr>
          </w:p>
          <w:p w14:paraId="06C94A9D" w14:textId="1E7AFB23" w:rsidR="007F100D" w:rsidRDefault="007F100D" w:rsidP="00166FCE">
            <w:pPr>
              <w:rPr>
                <w:rFonts w:asciiTheme="majorHAnsi" w:hAnsiTheme="majorHAnsi" w:cstheme="majorHAnsi"/>
                <w:highlight w:val="yellow"/>
              </w:rPr>
            </w:pPr>
            <w:r>
              <w:rPr>
                <w:rFonts w:asciiTheme="majorHAnsi" w:hAnsiTheme="majorHAnsi" w:cstheme="majorHAnsi"/>
                <w:highlight w:val="yellow"/>
              </w:rPr>
              <w:fldChar w:fldCharType="begin"/>
            </w:r>
            <w:r>
              <w:rPr>
                <w:rFonts w:asciiTheme="majorHAnsi" w:hAnsiTheme="majorHAnsi" w:cstheme="majorHAnsi"/>
                <w:highlight w:val="yellow"/>
              </w:rPr>
              <w:instrText xml:space="preserve"> REF _Ref51941796 \h </w:instrText>
            </w:r>
            <w:r>
              <w:rPr>
                <w:rFonts w:asciiTheme="majorHAnsi" w:hAnsiTheme="majorHAnsi" w:cstheme="majorHAnsi"/>
                <w:highlight w:val="yellow"/>
              </w:rPr>
            </w:r>
            <w:r>
              <w:rPr>
                <w:rFonts w:asciiTheme="majorHAnsi" w:hAnsiTheme="majorHAnsi" w:cstheme="majorHAnsi"/>
                <w:highlight w:val="yellow"/>
              </w:rPr>
              <w:fldChar w:fldCharType="separate"/>
            </w:r>
            <w:r w:rsidR="001C5CC6">
              <w:t>Reform idea 19 – Broaden the role of FSANZ to assess general level health claims</w:t>
            </w:r>
            <w:r>
              <w:rPr>
                <w:rFonts w:asciiTheme="majorHAnsi" w:hAnsiTheme="majorHAnsi" w:cstheme="majorHAnsi"/>
                <w:highlight w:val="yellow"/>
              </w:rPr>
              <w:fldChar w:fldCharType="end"/>
            </w:r>
          </w:p>
          <w:p w14:paraId="33FB6A4D" w14:textId="77777777" w:rsidR="007F100D" w:rsidRDefault="007F100D" w:rsidP="00166FCE">
            <w:pPr>
              <w:rPr>
                <w:rFonts w:asciiTheme="majorHAnsi" w:hAnsiTheme="majorHAnsi" w:cstheme="majorHAnsi"/>
                <w:highlight w:val="yellow"/>
              </w:rPr>
            </w:pPr>
          </w:p>
          <w:p w14:paraId="2C961D99" w14:textId="22DDAAAA" w:rsidR="00943C6E" w:rsidRPr="00F678D7" w:rsidRDefault="005C61A0" w:rsidP="005C61A0">
            <w:pPr>
              <w:rPr>
                <w:rFonts w:asciiTheme="minorHAnsi" w:hAnsiTheme="minorHAnsi" w:cstheme="minorHAnsi"/>
                <w:highlight w:val="yellow"/>
              </w:rPr>
            </w:pPr>
            <w:r>
              <w:rPr>
                <w:rFonts w:asciiTheme="minorHAnsi" w:hAnsiTheme="minorHAnsi" w:cstheme="minorHAnsi"/>
                <w:highlight w:val="yellow"/>
              </w:rPr>
              <w:fldChar w:fldCharType="begin"/>
            </w:r>
            <w:r>
              <w:rPr>
                <w:rFonts w:asciiTheme="minorHAnsi" w:hAnsiTheme="minorHAnsi" w:cstheme="minorHAnsi"/>
                <w:highlight w:val="yellow"/>
              </w:rPr>
              <w:instrText xml:space="preserve"> REF _Ref51945076 \h </w:instrText>
            </w:r>
            <w:r>
              <w:rPr>
                <w:rFonts w:asciiTheme="minorHAnsi" w:hAnsiTheme="minorHAnsi" w:cstheme="minorHAnsi"/>
                <w:highlight w:val="yellow"/>
              </w:rPr>
            </w:r>
            <w:r>
              <w:rPr>
                <w:rFonts w:asciiTheme="minorHAnsi" w:hAnsiTheme="minorHAnsi" w:cstheme="minorHAnsi"/>
                <w:highlight w:val="yellow"/>
              </w:rPr>
              <w:fldChar w:fldCharType="separate"/>
            </w:r>
            <w:r w:rsidR="001C5CC6" w:rsidRPr="00301914">
              <w:t>Reform idea 20 – Align definitions and powers in legislation</w:t>
            </w:r>
            <w:r w:rsidR="001C5CC6" w:rsidRPr="00F173D1">
              <w:t xml:space="preserve"> between therapeutic goods and foods</w:t>
            </w:r>
            <w:r>
              <w:rPr>
                <w:rFonts w:asciiTheme="minorHAnsi" w:hAnsiTheme="minorHAnsi" w:cstheme="minorHAnsi"/>
                <w:highlight w:val="yellow"/>
              </w:rPr>
              <w:fldChar w:fldCharType="end"/>
            </w:r>
          </w:p>
        </w:tc>
      </w:tr>
      <w:tr w:rsidR="00943C6E" w:rsidRPr="00271465" w14:paraId="01CA62EE" w14:textId="77777777" w:rsidTr="00E73435">
        <w:trPr>
          <w:cnfStyle w:val="000000100000" w:firstRow="0" w:lastRow="0" w:firstColumn="0" w:lastColumn="0" w:oddVBand="0" w:evenVBand="0" w:oddHBand="1" w:evenHBand="0" w:firstRowFirstColumn="0" w:firstRowLastColumn="0" w:lastRowFirstColumn="0" w:lastRowLastColumn="0"/>
        </w:trPr>
        <w:tc>
          <w:tcPr>
            <w:tcW w:w="284" w:type="pct"/>
            <w:vMerge w:val="restart"/>
            <w:vAlign w:val="top"/>
          </w:tcPr>
          <w:p w14:paraId="3D65227F" w14:textId="77777777" w:rsidR="00943C6E" w:rsidRPr="00A74B15" w:rsidRDefault="00943C6E" w:rsidP="00C10B49">
            <w:pPr>
              <w:rPr>
                <w:szCs w:val="19"/>
              </w:rPr>
            </w:pPr>
            <w:r w:rsidRPr="00A74B15">
              <w:rPr>
                <w:szCs w:val="19"/>
              </w:rPr>
              <w:t>6</w:t>
            </w:r>
          </w:p>
        </w:tc>
        <w:tc>
          <w:tcPr>
            <w:tcW w:w="433" w:type="pct"/>
            <w:vMerge w:val="restart"/>
            <w:vAlign w:val="top"/>
          </w:tcPr>
          <w:p w14:paraId="6BE92C8A" w14:textId="77777777" w:rsidR="00943C6E" w:rsidRPr="00AE2073" w:rsidRDefault="00943C6E" w:rsidP="00C10B49">
            <w:pPr>
              <w:rPr>
                <w:b/>
                <w:szCs w:val="19"/>
              </w:rPr>
            </w:pPr>
            <w:r w:rsidRPr="00AE2073">
              <w:rPr>
                <w:szCs w:val="19"/>
              </w:rPr>
              <w:t>Operations</w:t>
            </w:r>
          </w:p>
        </w:tc>
        <w:tc>
          <w:tcPr>
            <w:tcW w:w="1763" w:type="pct"/>
            <w:vAlign w:val="top"/>
          </w:tcPr>
          <w:p w14:paraId="61E992A9" w14:textId="7460B2CB" w:rsidR="00943C6E" w:rsidRDefault="00E01C78" w:rsidP="00C10B49">
            <w:pPr>
              <w:rPr>
                <w:rFonts w:asciiTheme="majorHAnsi" w:hAnsiTheme="majorHAnsi" w:cstheme="majorHAnsi"/>
              </w:rPr>
            </w:pPr>
            <w:r w:rsidRPr="0006736A">
              <w:rPr>
                <w:rFonts w:asciiTheme="majorHAnsi" w:hAnsiTheme="majorHAnsi" w:cstheme="majorHAnsi"/>
              </w:rPr>
              <w:fldChar w:fldCharType="begin"/>
            </w:r>
            <w:r w:rsidRPr="0006736A">
              <w:rPr>
                <w:rFonts w:asciiTheme="majorHAnsi" w:hAnsiTheme="majorHAnsi" w:cstheme="majorHAnsi"/>
              </w:rPr>
              <w:instrText xml:space="preserve"> REF _Ref51578520 \h </w:instrText>
            </w:r>
            <w:r w:rsidR="0050589A" w:rsidRPr="0006736A">
              <w:rPr>
                <w:rFonts w:asciiTheme="majorHAnsi" w:hAnsiTheme="majorHAnsi" w:cstheme="majorHAnsi"/>
              </w:rPr>
              <w:instrText xml:space="preserve"> \* MERGEFORMAT </w:instrText>
            </w:r>
            <w:r w:rsidRPr="0006736A">
              <w:rPr>
                <w:rFonts w:asciiTheme="majorHAnsi" w:hAnsiTheme="majorHAnsi" w:cstheme="majorHAnsi"/>
              </w:rPr>
            </w:r>
            <w:r w:rsidRPr="0006736A">
              <w:rPr>
                <w:rFonts w:asciiTheme="majorHAnsi" w:hAnsiTheme="majorHAnsi" w:cstheme="majorHAnsi"/>
              </w:rPr>
              <w:fldChar w:fldCharType="separate"/>
            </w:r>
            <w:r w:rsidR="001C5CC6" w:rsidRPr="001C5CC6">
              <w:rPr>
                <w:rFonts w:asciiTheme="majorHAnsi" w:hAnsiTheme="majorHAnsi" w:cstheme="majorHAnsi"/>
              </w:rPr>
              <w:t>FSANZ’s governance is enshrined in legislation</w:t>
            </w:r>
            <w:r w:rsidRPr="0006736A">
              <w:rPr>
                <w:rFonts w:asciiTheme="majorHAnsi" w:hAnsiTheme="majorHAnsi" w:cstheme="majorHAnsi"/>
              </w:rPr>
              <w:fldChar w:fldCharType="end"/>
            </w:r>
          </w:p>
          <w:p w14:paraId="58AC49BD" w14:textId="0FCDA8C5" w:rsidR="0006736A" w:rsidRPr="0006736A" w:rsidRDefault="0006736A" w:rsidP="0006736A">
            <w:pPr>
              <w:rPr>
                <w:i/>
              </w:rPr>
            </w:pPr>
            <w:r w:rsidRPr="0006736A">
              <w:rPr>
                <w:i/>
              </w:rPr>
              <w:fldChar w:fldCharType="begin"/>
            </w:r>
            <w:r w:rsidRPr="0006736A">
              <w:rPr>
                <w:i/>
              </w:rPr>
              <w:instrText xml:space="preserve"> REF _Ref51487963 \h  \* MERGEFORMAT </w:instrText>
            </w:r>
            <w:r w:rsidRPr="0006736A">
              <w:rPr>
                <w:i/>
              </w:rPr>
            </w:r>
            <w:r w:rsidRPr="0006736A">
              <w:rPr>
                <w:i/>
              </w:rPr>
              <w:fldChar w:fldCharType="separate"/>
            </w:r>
            <w:r w:rsidR="001C5CC6" w:rsidRPr="001C5CC6">
              <w:rPr>
                <w:i/>
              </w:rPr>
              <w:t>Statutory requirements around Board composition, nomination and appointment processes could be improved</w:t>
            </w:r>
            <w:r w:rsidRPr="0006736A">
              <w:rPr>
                <w:i/>
              </w:rPr>
              <w:fldChar w:fldCharType="end"/>
            </w:r>
          </w:p>
          <w:p w14:paraId="27B56DA9" w14:textId="49AF374E" w:rsidR="0006736A" w:rsidRPr="00D126BD" w:rsidRDefault="0006736A" w:rsidP="00C10B49">
            <w:pPr>
              <w:rPr>
                <w:i/>
              </w:rPr>
            </w:pPr>
          </w:p>
        </w:tc>
        <w:tc>
          <w:tcPr>
            <w:tcW w:w="2520" w:type="pct"/>
            <w:vAlign w:val="top"/>
          </w:tcPr>
          <w:p w14:paraId="57F84CDF" w14:textId="2AFBE291" w:rsidR="00897B29" w:rsidRDefault="009F2D61" w:rsidP="002E3062">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_Ref51914417 \h </w:instrText>
            </w:r>
            <w:r>
              <w:rPr>
                <w:rFonts w:asciiTheme="majorHAnsi" w:hAnsiTheme="majorHAnsi" w:cstheme="majorHAnsi"/>
              </w:rPr>
            </w:r>
            <w:r>
              <w:rPr>
                <w:rFonts w:asciiTheme="majorHAnsi" w:hAnsiTheme="majorHAnsi" w:cstheme="majorHAnsi"/>
              </w:rPr>
              <w:fldChar w:fldCharType="separate"/>
            </w:r>
            <w:r w:rsidR="001C5CC6">
              <w:t>Reform idea 21 – Streamline Board appointments and nominations</w:t>
            </w:r>
            <w:r>
              <w:rPr>
                <w:rFonts w:asciiTheme="majorHAnsi" w:hAnsiTheme="majorHAnsi" w:cstheme="majorHAnsi"/>
              </w:rPr>
              <w:fldChar w:fldCharType="end"/>
            </w:r>
          </w:p>
          <w:p w14:paraId="5E167352" w14:textId="77777777" w:rsidR="008535FF" w:rsidRDefault="008535FF" w:rsidP="002E3062">
            <w:pPr>
              <w:rPr>
                <w:rFonts w:asciiTheme="majorHAnsi" w:hAnsiTheme="majorHAnsi" w:cstheme="majorHAnsi"/>
              </w:rPr>
            </w:pPr>
          </w:p>
          <w:p w14:paraId="153859FC" w14:textId="7F5EB18A" w:rsidR="009F2D61" w:rsidRDefault="009F2D61" w:rsidP="002E3062">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_Ref51859445 \h </w:instrText>
            </w:r>
            <w:r>
              <w:rPr>
                <w:rFonts w:asciiTheme="majorHAnsi" w:hAnsiTheme="majorHAnsi" w:cstheme="majorHAnsi"/>
              </w:rPr>
            </w:r>
            <w:r>
              <w:rPr>
                <w:rFonts w:asciiTheme="majorHAnsi" w:hAnsiTheme="majorHAnsi" w:cstheme="majorHAnsi"/>
              </w:rPr>
              <w:fldChar w:fldCharType="separate"/>
            </w:r>
            <w:r w:rsidR="001C5CC6">
              <w:t>Reform idea 22 – Establish minimum term length for Board members</w:t>
            </w:r>
            <w:r>
              <w:rPr>
                <w:rFonts w:asciiTheme="majorHAnsi" w:hAnsiTheme="majorHAnsi" w:cstheme="majorHAnsi"/>
              </w:rPr>
              <w:fldChar w:fldCharType="end"/>
            </w:r>
          </w:p>
          <w:p w14:paraId="31526820" w14:textId="77777777" w:rsidR="008535FF" w:rsidRDefault="008535FF" w:rsidP="002E3062">
            <w:pPr>
              <w:rPr>
                <w:rFonts w:asciiTheme="majorHAnsi" w:hAnsiTheme="majorHAnsi" w:cstheme="majorHAnsi"/>
              </w:rPr>
            </w:pPr>
          </w:p>
          <w:p w14:paraId="15694009" w14:textId="537825F6" w:rsidR="00943C6E" w:rsidRPr="00244C1F" w:rsidRDefault="0050589A" w:rsidP="00E3618C">
            <w:pPr>
              <w:rPr>
                <w:rFonts w:asciiTheme="minorHAnsi" w:hAnsiTheme="minorHAnsi" w:cstheme="minorHAnsi"/>
              </w:rPr>
            </w:pPr>
            <w:r>
              <w:rPr>
                <w:rFonts w:asciiTheme="majorHAnsi" w:hAnsiTheme="majorHAnsi" w:cstheme="majorHAnsi"/>
              </w:rPr>
              <w:fldChar w:fldCharType="begin"/>
            </w:r>
            <w:r>
              <w:rPr>
                <w:rFonts w:asciiTheme="majorHAnsi" w:hAnsiTheme="majorHAnsi" w:cstheme="majorHAnsi"/>
              </w:rPr>
              <w:instrText xml:space="preserve"> REF _Ref51859503 \h </w:instrText>
            </w:r>
            <w:r>
              <w:rPr>
                <w:rFonts w:asciiTheme="majorHAnsi" w:hAnsiTheme="majorHAnsi" w:cstheme="majorHAnsi"/>
              </w:rPr>
            </w:r>
            <w:r>
              <w:rPr>
                <w:rFonts w:asciiTheme="majorHAnsi" w:hAnsiTheme="majorHAnsi" w:cstheme="majorHAnsi"/>
              </w:rPr>
              <w:fldChar w:fldCharType="separate"/>
            </w:r>
            <w:r w:rsidR="001C5CC6">
              <w:t>Reform idea 23 – Reduce Board size</w:t>
            </w:r>
            <w:r>
              <w:rPr>
                <w:rFonts w:asciiTheme="majorHAnsi" w:hAnsiTheme="majorHAnsi" w:cstheme="majorHAnsi"/>
              </w:rPr>
              <w:fldChar w:fldCharType="end"/>
            </w:r>
            <w:r w:rsidR="00187CF3">
              <w:rPr>
                <w:rFonts w:asciiTheme="majorHAnsi" w:hAnsiTheme="majorHAnsi" w:cstheme="majorHAnsi"/>
              </w:rPr>
              <w:t>.</w:t>
            </w:r>
            <w:r w:rsidR="00150296" w:rsidRPr="00244C1F">
              <w:rPr>
                <w:rFonts w:asciiTheme="minorHAnsi" w:hAnsiTheme="minorHAnsi" w:cstheme="minorHAnsi"/>
              </w:rPr>
              <w:t xml:space="preserve"> </w:t>
            </w:r>
          </w:p>
        </w:tc>
      </w:tr>
      <w:tr w:rsidR="00943C6E" w:rsidRPr="00271465" w14:paraId="510FC9D6" w14:textId="77777777" w:rsidTr="00E73435">
        <w:trPr>
          <w:cnfStyle w:val="000000010000" w:firstRow="0" w:lastRow="0" w:firstColumn="0" w:lastColumn="0" w:oddVBand="0" w:evenVBand="0" w:oddHBand="0" w:evenHBand="1" w:firstRowFirstColumn="0" w:firstRowLastColumn="0" w:lastRowFirstColumn="0" w:lastRowLastColumn="0"/>
        </w:trPr>
        <w:tc>
          <w:tcPr>
            <w:tcW w:w="284" w:type="pct"/>
            <w:vMerge/>
            <w:vAlign w:val="top"/>
          </w:tcPr>
          <w:p w14:paraId="4C41E6C7" w14:textId="77777777" w:rsidR="00943C6E" w:rsidRPr="00AE2073" w:rsidRDefault="00943C6E" w:rsidP="00C10B49">
            <w:pPr>
              <w:rPr>
                <w:szCs w:val="19"/>
              </w:rPr>
            </w:pPr>
          </w:p>
        </w:tc>
        <w:tc>
          <w:tcPr>
            <w:tcW w:w="433" w:type="pct"/>
            <w:vMerge/>
            <w:vAlign w:val="top"/>
          </w:tcPr>
          <w:p w14:paraId="173F417B" w14:textId="77777777" w:rsidR="00943C6E" w:rsidRPr="00AE2073" w:rsidRDefault="00943C6E" w:rsidP="00C10B49">
            <w:pPr>
              <w:rPr>
                <w:szCs w:val="19"/>
              </w:rPr>
            </w:pPr>
          </w:p>
        </w:tc>
        <w:tc>
          <w:tcPr>
            <w:tcW w:w="1763" w:type="pct"/>
            <w:vAlign w:val="top"/>
          </w:tcPr>
          <w:p w14:paraId="3B119450" w14:textId="1F22D1E4" w:rsidR="0071237F" w:rsidRPr="0071237F" w:rsidRDefault="0071237F" w:rsidP="00C10B49">
            <w:pPr>
              <w:rPr>
                <w:rFonts w:asciiTheme="majorHAnsi" w:hAnsiTheme="majorHAnsi" w:cstheme="majorHAnsi"/>
              </w:rPr>
            </w:pPr>
            <w:r w:rsidRPr="0071237F">
              <w:rPr>
                <w:rFonts w:asciiTheme="majorHAnsi" w:hAnsiTheme="majorHAnsi" w:cstheme="majorHAnsi"/>
              </w:rPr>
              <w:fldChar w:fldCharType="begin"/>
            </w:r>
            <w:r w:rsidRPr="0071237F">
              <w:rPr>
                <w:rFonts w:asciiTheme="majorHAnsi" w:hAnsiTheme="majorHAnsi" w:cstheme="majorHAnsi"/>
              </w:rPr>
              <w:instrText xml:space="preserve"> REF _Ref51488485 \h </w:instrText>
            </w:r>
            <w:r>
              <w:rPr>
                <w:rFonts w:asciiTheme="majorHAnsi" w:hAnsiTheme="majorHAnsi" w:cstheme="majorHAnsi"/>
              </w:rPr>
              <w:instrText xml:space="preserve"> \* MERGEFORMAT </w:instrText>
            </w:r>
            <w:r w:rsidRPr="0071237F">
              <w:rPr>
                <w:rFonts w:asciiTheme="majorHAnsi" w:hAnsiTheme="majorHAnsi" w:cstheme="majorHAnsi"/>
              </w:rPr>
            </w:r>
            <w:r w:rsidRPr="0071237F">
              <w:rPr>
                <w:rFonts w:asciiTheme="majorHAnsi" w:hAnsiTheme="majorHAnsi" w:cstheme="majorHAnsi"/>
              </w:rPr>
              <w:fldChar w:fldCharType="separate"/>
            </w:r>
            <w:r w:rsidR="001C5CC6" w:rsidRPr="001C5CC6">
              <w:rPr>
                <w:rFonts w:asciiTheme="majorHAnsi" w:eastAsiaTheme="minorEastAsia" w:hAnsiTheme="majorHAnsi" w:cstheme="majorHAnsi"/>
              </w:rPr>
              <w:t>FSANZ has multiple priorities and constrained resources</w:t>
            </w:r>
            <w:r w:rsidRPr="0071237F">
              <w:rPr>
                <w:rFonts w:asciiTheme="majorHAnsi" w:hAnsiTheme="majorHAnsi" w:cstheme="majorHAnsi"/>
              </w:rPr>
              <w:fldChar w:fldCharType="end"/>
            </w:r>
          </w:p>
          <w:p w14:paraId="72BEE9A0" w14:textId="349607D4" w:rsidR="00DC5AED" w:rsidRPr="00E3618C" w:rsidRDefault="00DC5AED" w:rsidP="00C10B49">
            <w:pPr>
              <w:rPr>
                <w:rFonts w:asciiTheme="majorHAnsi" w:hAnsiTheme="majorHAnsi" w:cstheme="majorHAnsi"/>
                <w:i/>
              </w:rPr>
            </w:pPr>
            <w:r w:rsidRPr="00E3618C">
              <w:rPr>
                <w:rFonts w:asciiTheme="majorHAnsi" w:hAnsiTheme="majorHAnsi" w:cstheme="majorHAnsi"/>
                <w:i/>
              </w:rPr>
              <w:fldChar w:fldCharType="begin"/>
            </w:r>
            <w:r w:rsidRPr="00E3618C">
              <w:rPr>
                <w:rFonts w:asciiTheme="majorHAnsi" w:hAnsiTheme="majorHAnsi" w:cstheme="majorHAnsi"/>
                <w:i/>
              </w:rPr>
              <w:instrText xml:space="preserve"> REF _Ref51939601 \h </w:instrText>
            </w:r>
            <w:r>
              <w:rPr>
                <w:rFonts w:asciiTheme="majorHAnsi" w:hAnsiTheme="majorHAnsi" w:cstheme="majorHAnsi"/>
                <w:i/>
              </w:rPr>
              <w:instrText xml:space="preserve"> \* MERGEFORMAT </w:instrText>
            </w:r>
            <w:r w:rsidRPr="00E3618C">
              <w:rPr>
                <w:rFonts w:asciiTheme="majorHAnsi" w:hAnsiTheme="majorHAnsi" w:cstheme="majorHAnsi"/>
                <w:i/>
              </w:rPr>
            </w:r>
            <w:r w:rsidRPr="00E3618C">
              <w:rPr>
                <w:rFonts w:asciiTheme="majorHAnsi" w:hAnsiTheme="majorHAnsi" w:cstheme="majorHAnsi"/>
                <w:i/>
              </w:rPr>
              <w:fldChar w:fldCharType="separate"/>
            </w:r>
            <w:r w:rsidR="001C5CC6" w:rsidRPr="001C5CC6">
              <w:rPr>
                <w:i/>
              </w:rPr>
              <w:t>Funding constraints underpin FSANZ’s resourcing model</w:t>
            </w:r>
            <w:r w:rsidRPr="00E3618C">
              <w:rPr>
                <w:rFonts w:asciiTheme="majorHAnsi" w:hAnsiTheme="majorHAnsi" w:cstheme="majorHAnsi"/>
                <w:i/>
              </w:rPr>
              <w:fldChar w:fldCharType="end"/>
            </w:r>
          </w:p>
          <w:p w14:paraId="0EB2D29C" w14:textId="13400C12" w:rsidR="00943C6E" w:rsidRPr="006225B7" w:rsidRDefault="00DC5AED" w:rsidP="00C10B49">
            <w:pPr>
              <w:rPr>
                <w:i/>
              </w:rPr>
            </w:pPr>
            <w:r w:rsidRPr="00E3618C">
              <w:rPr>
                <w:rFonts w:asciiTheme="majorHAnsi" w:hAnsiTheme="majorHAnsi" w:cstheme="majorHAnsi"/>
                <w:i/>
              </w:rPr>
              <w:fldChar w:fldCharType="begin"/>
            </w:r>
            <w:r w:rsidRPr="00E3618C">
              <w:rPr>
                <w:rFonts w:asciiTheme="majorHAnsi" w:hAnsiTheme="majorHAnsi" w:cstheme="majorHAnsi"/>
                <w:i/>
              </w:rPr>
              <w:instrText xml:space="preserve"> REF _Ref51939603 \h </w:instrText>
            </w:r>
            <w:r>
              <w:rPr>
                <w:rFonts w:asciiTheme="majorHAnsi" w:hAnsiTheme="majorHAnsi" w:cstheme="majorHAnsi"/>
                <w:i/>
              </w:rPr>
              <w:instrText xml:space="preserve"> \* MERGEFORMAT </w:instrText>
            </w:r>
            <w:r w:rsidRPr="00E3618C">
              <w:rPr>
                <w:rFonts w:asciiTheme="majorHAnsi" w:hAnsiTheme="majorHAnsi" w:cstheme="majorHAnsi"/>
                <w:i/>
              </w:rPr>
            </w:r>
            <w:r w:rsidRPr="00E3618C">
              <w:rPr>
                <w:rFonts w:asciiTheme="majorHAnsi" w:hAnsiTheme="majorHAnsi" w:cstheme="majorHAnsi"/>
                <w:i/>
              </w:rPr>
              <w:fldChar w:fldCharType="separate"/>
            </w:r>
            <w:r w:rsidR="001C5CC6" w:rsidRPr="001C5CC6">
              <w:rPr>
                <w:i/>
              </w:rPr>
              <w:t>Cost recovery mechanisms can be considered as part of the Review</w:t>
            </w:r>
            <w:r w:rsidRPr="00E3618C">
              <w:rPr>
                <w:rFonts w:asciiTheme="majorHAnsi" w:hAnsiTheme="majorHAnsi" w:cstheme="majorHAnsi"/>
                <w:i/>
              </w:rPr>
              <w:fldChar w:fldCharType="end"/>
            </w:r>
          </w:p>
        </w:tc>
        <w:tc>
          <w:tcPr>
            <w:tcW w:w="2520" w:type="pct"/>
            <w:vAlign w:val="top"/>
          </w:tcPr>
          <w:p w14:paraId="7CAAB9D5" w14:textId="71D2226E" w:rsidR="00273281" w:rsidRDefault="00273281" w:rsidP="00273281">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_Ref51342431 \h </w:instrText>
            </w:r>
            <w:r>
              <w:rPr>
                <w:rFonts w:asciiTheme="majorHAnsi" w:hAnsiTheme="majorHAnsi" w:cstheme="majorHAnsi"/>
              </w:rPr>
            </w:r>
            <w:r>
              <w:rPr>
                <w:rFonts w:asciiTheme="majorHAnsi" w:hAnsiTheme="majorHAnsi" w:cstheme="majorHAnsi"/>
              </w:rPr>
              <w:fldChar w:fldCharType="separate"/>
            </w:r>
            <w:r w:rsidR="001C5CC6">
              <w:t>Reform idea 24 – Expand scope of applications for which FSANZ can recover costs</w:t>
            </w:r>
            <w:r>
              <w:rPr>
                <w:rFonts w:asciiTheme="majorHAnsi" w:hAnsiTheme="majorHAnsi" w:cstheme="majorHAnsi"/>
              </w:rPr>
              <w:fldChar w:fldCharType="end"/>
            </w:r>
          </w:p>
          <w:p w14:paraId="7322770C" w14:textId="77777777" w:rsidR="00630A7F" w:rsidRDefault="00630A7F" w:rsidP="00273281">
            <w:pPr>
              <w:rPr>
                <w:rFonts w:asciiTheme="majorHAnsi" w:hAnsiTheme="majorHAnsi" w:cstheme="majorHAnsi"/>
              </w:rPr>
            </w:pPr>
          </w:p>
          <w:p w14:paraId="544E0B2E" w14:textId="0761EEDC" w:rsidR="00943C6E" w:rsidRPr="0062481A" w:rsidRDefault="00273281" w:rsidP="00E3618C">
            <w:r>
              <w:rPr>
                <w:rFonts w:asciiTheme="majorHAnsi" w:hAnsiTheme="majorHAnsi" w:cstheme="majorHAnsi"/>
              </w:rPr>
              <w:fldChar w:fldCharType="begin"/>
            </w:r>
            <w:r>
              <w:rPr>
                <w:rFonts w:asciiTheme="majorHAnsi" w:hAnsiTheme="majorHAnsi" w:cstheme="majorHAnsi"/>
              </w:rPr>
              <w:instrText xml:space="preserve"> REF _Ref51342432 \h </w:instrText>
            </w:r>
            <w:r>
              <w:rPr>
                <w:rFonts w:asciiTheme="majorHAnsi" w:hAnsiTheme="majorHAnsi" w:cstheme="majorHAnsi"/>
              </w:rPr>
            </w:r>
            <w:r>
              <w:rPr>
                <w:rFonts w:asciiTheme="majorHAnsi" w:hAnsiTheme="majorHAnsi" w:cstheme="majorHAnsi"/>
              </w:rPr>
              <w:fldChar w:fldCharType="separate"/>
            </w:r>
            <w:r w:rsidR="001C5CC6">
              <w:t>Reform idea 25 – Provide for limited expansion of scope of activities for which FSANZ can recover costs</w:t>
            </w:r>
            <w:r>
              <w:rPr>
                <w:rFonts w:asciiTheme="majorHAnsi" w:hAnsiTheme="majorHAnsi" w:cstheme="majorHAnsi"/>
              </w:rPr>
              <w:fldChar w:fldCharType="end"/>
            </w:r>
            <w:r w:rsidR="004D7AA4">
              <w:rPr>
                <w:rFonts w:asciiTheme="majorHAnsi" w:hAnsiTheme="majorHAnsi" w:cstheme="majorHAnsi"/>
              </w:rPr>
              <w:t xml:space="preserve">. </w:t>
            </w:r>
          </w:p>
        </w:tc>
      </w:tr>
    </w:tbl>
    <w:p w14:paraId="29A5CCE2" w14:textId="24BC35BE" w:rsidR="00ED5539" w:rsidRDefault="00ED5539" w:rsidP="00ED5539">
      <w:pPr>
        <w:sectPr w:rsidR="00ED5539" w:rsidSect="00ED5539">
          <w:pgSz w:w="16839" w:h="11907" w:orient="landscape" w:code="9"/>
          <w:pgMar w:top="1559" w:right="1418" w:bottom="1418" w:left="1701" w:header="720" w:footer="720" w:gutter="0"/>
          <w:cols w:space="720"/>
          <w:titlePg/>
          <w:docGrid w:linePitch="360"/>
        </w:sectPr>
      </w:pPr>
    </w:p>
    <w:p w14:paraId="59621662" w14:textId="706BAA2A" w:rsidR="00AF1A70" w:rsidRPr="00436531" w:rsidRDefault="00AF1A70" w:rsidP="00436531">
      <w:pPr>
        <w:pStyle w:val="Heading1"/>
      </w:pPr>
      <w:bookmarkStart w:id="7" w:name="_Toc52179120"/>
      <w:r w:rsidRPr="00436531">
        <w:lastRenderedPageBreak/>
        <w:t xml:space="preserve">Background and context to the </w:t>
      </w:r>
      <w:r w:rsidR="00EB45D6">
        <w:t>R</w:t>
      </w:r>
      <w:r w:rsidRPr="00436531">
        <w:t>eview</w:t>
      </w:r>
      <w:bookmarkEnd w:id="7"/>
      <w:r w:rsidRPr="00436531">
        <w:t xml:space="preserve"> </w:t>
      </w:r>
    </w:p>
    <w:p w14:paraId="114CC857" w14:textId="2CAD4D66" w:rsidR="00C84B5E" w:rsidRDefault="00AF1A70" w:rsidP="00AF1A70">
      <w:pPr>
        <w:pStyle w:val="Bullet"/>
        <w:numPr>
          <w:ilvl w:val="0"/>
          <w:numId w:val="0"/>
        </w:numPr>
      </w:pPr>
      <w:r>
        <w:t>The Australian and New Zealand food system is made up of a complex mix of regulatory and policy schemes which safeguard the food we eat.</w:t>
      </w:r>
    </w:p>
    <w:p w14:paraId="71ED8B74" w14:textId="3B1B455F" w:rsidR="00AF1A70" w:rsidRDefault="004818FD" w:rsidP="00AF1A70">
      <w:pPr>
        <w:pStyle w:val="Bullet"/>
        <w:numPr>
          <w:ilvl w:val="0"/>
          <w:numId w:val="0"/>
        </w:numPr>
      </w:pPr>
      <w:r w:rsidRPr="00E0390E">
        <w:rPr>
          <w:rFonts w:asciiTheme="minorHAnsi" w:hAnsiTheme="minorHAnsi" w:cstheme="minorHAnsi"/>
        </w:rPr>
        <w:t>In November 2019</w:t>
      </w:r>
      <w:r w:rsidR="00AF1A70" w:rsidRPr="00E0390E" w:rsidDel="004818FD">
        <w:rPr>
          <w:rFonts w:asciiTheme="minorHAnsi" w:hAnsiTheme="minorHAnsi" w:cstheme="minorHAnsi"/>
        </w:rPr>
        <w:t xml:space="preserve">, </w:t>
      </w:r>
      <w:r w:rsidR="00AF1A70" w:rsidRPr="00AC48E1" w:rsidDel="004818FD">
        <w:rPr>
          <w:rFonts w:asciiTheme="minorHAnsi" w:hAnsiTheme="minorHAnsi" w:cstheme="minorHAnsi"/>
        </w:rPr>
        <w:t>the</w:t>
      </w:r>
      <w:r w:rsidR="00AF1A70" w:rsidRPr="00AC48E1">
        <w:rPr>
          <w:rFonts w:asciiTheme="minorHAnsi" w:hAnsiTheme="minorHAnsi" w:cstheme="minorHAnsi"/>
        </w:rPr>
        <w:t xml:space="preserve"> </w:t>
      </w:r>
      <w:r w:rsidR="00AF1A70" w:rsidRPr="00E0390E">
        <w:rPr>
          <w:rFonts w:asciiTheme="minorHAnsi" w:hAnsiTheme="minorHAnsi" w:cstheme="minorHAnsi"/>
        </w:rPr>
        <w:t xml:space="preserve">Australia and New Zealand Ministerial Forum on Food Regulation (the Forum) agreed </w:t>
      </w:r>
      <w:r w:rsidRPr="00E0390E">
        <w:rPr>
          <w:rFonts w:asciiTheme="minorHAnsi" w:hAnsiTheme="minorHAnsi" w:cstheme="minorHAnsi"/>
          <w:color w:val="222222"/>
          <w:shd w:val="clear" w:color="auto" w:fill="FFFFFF"/>
        </w:rPr>
        <w:t>an ambitious plan to reform the regulatory system to ensure it remains strong, robust and agile into the future.</w:t>
      </w:r>
      <w:r>
        <w:rPr>
          <w:rFonts w:ascii="Helvetica" w:hAnsi="Helvetica" w:cs="Helvetica"/>
          <w:color w:val="222222"/>
          <w:sz w:val="20"/>
          <w:szCs w:val="20"/>
          <w:shd w:val="clear" w:color="auto" w:fill="FFFFFF"/>
        </w:rPr>
        <w:t xml:space="preserve"> </w:t>
      </w:r>
      <w:r w:rsidR="00AF1A70">
        <w:t>Th</w:t>
      </w:r>
      <w:r w:rsidR="00973EFC">
        <w:t>e</w:t>
      </w:r>
      <w:r w:rsidR="00AF1A70">
        <w:t xml:space="preserve"> </w:t>
      </w:r>
      <w:r w:rsidR="00973EFC">
        <w:t>R</w:t>
      </w:r>
      <w:r w:rsidR="00AF1A70">
        <w:t xml:space="preserve">eview is </w:t>
      </w:r>
      <w:r w:rsidR="00F43184">
        <w:t>a critical part of this plan</w:t>
      </w:r>
      <w:r w:rsidR="00AF1A70">
        <w:t xml:space="preserve"> and considers how the </w:t>
      </w:r>
      <w:r w:rsidR="00AF1A70" w:rsidRPr="0059687C">
        <w:rPr>
          <w:i/>
        </w:rPr>
        <w:t xml:space="preserve">Food Standards Australia New Zealand Act 1991 </w:t>
      </w:r>
      <w:r w:rsidR="00AF1A70">
        <w:t xml:space="preserve">(the Act) and FSANZ’s associated operations can be reformed to support best practice regulation and standards setting.  </w:t>
      </w:r>
    </w:p>
    <w:p w14:paraId="4A22BA71" w14:textId="10C92FF1" w:rsidR="003E2D12" w:rsidRDefault="0096523B" w:rsidP="00A4790C">
      <w:pPr>
        <w:pStyle w:val="Bullet"/>
        <w:numPr>
          <w:ilvl w:val="0"/>
          <w:numId w:val="0"/>
        </w:numPr>
      </w:pPr>
      <w:r>
        <w:t xml:space="preserve">As shown in </w:t>
      </w:r>
      <w:r>
        <w:fldChar w:fldCharType="begin"/>
      </w:r>
      <w:r>
        <w:instrText xml:space="preserve"> REF _Ref51859001 \h </w:instrText>
      </w:r>
      <w:r>
        <w:fldChar w:fldCharType="separate"/>
      </w:r>
      <w:r w:rsidR="001C5CC6">
        <w:t xml:space="preserve">Figure </w:t>
      </w:r>
      <w:r w:rsidR="001C5CC6">
        <w:rPr>
          <w:noProof/>
        </w:rPr>
        <w:t>1</w:t>
      </w:r>
      <w:r>
        <w:fldChar w:fldCharType="end"/>
      </w:r>
      <w:r>
        <w:t xml:space="preserve">, </w:t>
      </w:r>
      <w:r w:rsidR="00C4447A">
        <w:t xml:space="preserve">the Act sits within a complex </w:t>
      </w:r>
      <w:r w:rsidR="009E5340">
        <w:t>environment</w:t>
      </w:r>
      <w:r w:rsidR="00C4447A">
        <w:t xml:space="preserve"> that </w:t>
      </w:r>
      <w:r w:rsidR="009E5340">
        <w:t>makes up</w:t>
      </w:r>
      <w:r w:rsidR="00C4447A">
        <w:t xml:space="preserve"> the food regulatory system. </w:t>
      </w:r>
      <w:r w:rsidR="003E2D12">
        <w:t>Of particular note:</w:t>
      </w:r>
    </w:p>
    <w:p w14:paraId="068A0648" w14:textId="6C53334C" w:rsidR="00100EC2" w:rsidRDefault="00A67E36" w:rsidP="00760794">
      <w:pPr>
        <w:pStyle w:val="Bullet"/>
        <w:numPr>
          <w:ilvl w:val="0"/>
          <w:numId w:val="31"/>
        </w:numPr>
      </w:pPr>
      <w:r w:rsidRPr="00E0390E">
        <w:rPr>
          <w:rFonts w:asciiTheme="majorHAnsi" w:hAnsiTheme="majorHAnsi" w:cstheme="majorHAnsi"/>
        </w:rPr>
        <w:t xml:space="preserve">FSANZ is the body that </w:t>
      </w:r>
      <w:r w:rsidR="008271F7" w:rsidRPr="00E0390E">
        <w:rPr>
          <w:rFonts w:asciiTheme="majorHAnsi" w:hAnsiTheme="majorHAnsi" w:cstheme="majorHAnsi"/>
        </w:rPr>
        <w:t>develops o</w:t>
      </w:r>
      <w:r w:rsidR="00AA4CDD">
        <w:rPr>
          <w:rFonts w:asciiTheme="majorHAnsi" w:hAnsiTheme="majorHAnsi" w:cstheme="majorHAnsi"/>
        </w:rPr>
        <w:t>r</w:t>
      </w:r>
      <w:r w:rsidR="008271F7" w:rsidRPr="00E0390E">
        <w:rPr>
          <w:rFonts w:asciiTheme="majorHAnsi" w:hAnsiTheme="majorHAnsi" w:cstheme="majorHAnsi"/>
        </w:rPr>
        <w:t xml:space="preserve"> varies food regulatory measures (among other functions) and its authority is derived from the Act.</w:t>
      </w:r>
      <w:r w:rsidR="008271F7">
        <w:t xml:space="preserve"> While FSANZ is independent in its </w:t>
      </w:r>
      <w:r w:rsidR="00A90506">
        <w:t xml:space="preserve">decision-making about food regulatory measures, it works closely with the Forum to progress key objectives for the food system. </w:t>
      </w:r>
    </w:p>
    <w:p w14:paraId="7C9D83A5" w14:textId="2E42AD9A" w:rsidR="00AF1A70" w:rsidRDefault="00414DED">
      <w:pPr>
        <w:pStyle w:val="Bullet"/>
        <w:numPr>
          <w:ilvl w:val="0"/>
          <w:numId w:val="31"/>
        </w:numPr>
      </w:pPr>
      <w:r w:rsidRPr="00E0390E">
        <w:rPr>
          <w:rFonts w:asciiTheme="majorHAnsi" w:hAnsiTheme="majorHAnsi" w:cstheme="majorHAnsi"/>
        </w:rPr>
        <w:t>The Forum is the body that sets the policy direction for the joint food system.</w:t>
      </w:r>
      <w:r>
        <w:t xml:space="preserve"> It</w:t>
      </w:r>
      <w:r w:rsidR="00100EC2">
        <w:t xml:space="preserve"> is comprised of ministers from all Australian and New Zealand jurisdictions</w:t>
      </w:r>
      <w:r w:rsidR="005D2DF9">
        <w:t xml:space="preserve">. The Forum </w:t>
      </w:r>
      <w:r w:rsidR="001572E3">
        <w:t xml:space="preserve">is </w:t>
      </w:r>
      <w:r w:rsidR="005D2DF9">
        <w:t>not established by the Act, but by the Food Regulation Agreement</w:t>
      </w:r>
      <w:r w:rsidR="00ED15A3">
        <w:t xml:space="preserve"> (FRA)</w:t>
      </w:r>
      <w:r w:rsidR="00304D14">
        <w:t>.</w:t>
      </w:r>
      <w:r w:rsidR="00ED15A3">
        <w:t xml:space="preserve"> A separate</w:t>
      </w:r>
      <w:r w:rsidR="00AF1A70">
        <w:t xml:space="preserve"> review of the </w:t>
      </w:r>
      <w:r w:rsidR="00ED15A3">
        <w:t xml:space="preserve">FRA is underway </w:t>
      </w:r>
      <w:r w:rsidR="00B34854">
        <w:t>and includes setting</w:t>
      </w:r>
      <w:r w:rsidR="00AF1A70">
        <w:t xml:space="preserve"> a vision for the system</w:t>
      </w:r>
      <w:r w:rsidR="00F70704">
        <w:t xml:space="preserve"> </w:t>
      </w:r>
      <w:r w:rsidR="00B34854">
        <w:t>as well as mechanisms to</w:t>
      </w:r>
      <w:r w:rsidR="00AF1A70">
        <w:t xml:space="preserve"> better </w:t>
      </w:r>
      <w:r w:rsidR="00B34854">
        <w:t>align</w:t>
      </w:r>
      <w:r w:rsidR="00AF1A70">
        <w:t xml:space="preserve"> regulatory enforcement approaches between Australian </w:t>
      </w:r>
      <w:r w:rsidR="00C94B47">
        <w:t>s</w:t>
      </w:r>
      <w:r w:rsidR="00AF1A70">
        <w:t>tates and territories</w:t>
      </w:r>
      <w:r w:rsidR="00703ECE">
        <w:t xml:space="preserve">. Public consultation on this Review will occur in the near future and feedback from </w:t>
      </w:r>
      <w:r w:rsidR="0091708A">
        <w:t xml:space="preserve">the consultation for both reviews will inform each other. </w:t>
      </w:r>
    </w:p>
    <w:p w14:paraId="219C59A4" w14:textId="145DC0BC" w:rsidR="005B2263" w:rsidRDefault="005B2263">
      <w:pPr>
        <w:pStyle w:val="Bullet"/>
        <w:numPr>
          <w:ilvl w:val="0"/>
          <w:numId w:val="31"/>
        </w:numPr>
      </w:pPr>
      <w:r w:rsidRPr="00E0390E">
        <w:rPr>
          <w:rFonts w:asciiTheme="majorHAnsi" w:hAnsiTheme="majorHAnsi" w:cstheme="majorHAnsi"/>
        </w:rPr>
        <w:t xml:space="preserve">Enforcement of food standards is </w:t>
      </w:r>
      <w:r w:rsidR="005342CA" w:rsidRPr="00E0390E">
        <w:rPr>
          <w:rFonts w:asciiTheme="majorHAnsi" w:hAnsiTheme="majorHAnsi" w:cstheme="majorHAnsi"/>
        </w:rPr>
        <w:t>carried out by jurisdictions.</w:t>
      </w:r>
      <w:r w:rsidR="005342CA">
        <w:t xml:space="preserve"> </w:t>
      </w:r>
      <w:r w:rsidR="00C70FA1">
        <w:t>In Australia, t</w:t>
      </w:r>
      <w:r w:rsidR="005342CA">
        <w:t>his includes a mix of state and local government</w:t>
      </w:r>
      <w:r w:rsidR="00C70FA1">
        <w:t>s; statutory regulators and private auditors</w:t>
      </w:r>
      <w:r w:rsidR="009115C5">
        <w:t>, as well as</w:t>
      </w:r>
      <w:r w:rsidR="00CA701E">
        <w:t xml:space="preserve"> the Department of Agriculture, Water and the Environment for imported foods</w:t>
      </w:r>
      <w:r w:rsidR="00C70FA1">
        <w:t xml:space="preserve">. In New Zealand, this is conducted by </w:t>
      </w:r>
      <w:r w:rsidR="00493E72">
        <w:t>MPI</w:t>
      </w:r>
      <w:r w:rsidR="00C70FA1">
        <w:t xml:space="preserve">. </w:t>
      </w:r>
    </w:p>
    <w:p w14:paraId="751EE102" w14:textId="6BDF80E9" w:rsidR="00273591" w:rsidRDefault="00273591" w:rsidP="00E0390E">
      <w:pPr>
        <w:pStyle w:val="Bullet"/>
        <w:numPr>
          <w:ilvl w:val="0"/>
          <w:numId w:val="0"/>
        </w:numPr>
      </w:pPr>
      <w:r>
        <w:t xml:space="preserve">The </w:t>
      </w:r>
      <w:r w:rsidR="00D34439">
        <w:t xml:space="preserve">scope of the </w:t>
      </w:r>
      <w:r>
        <w:t xml:space="preserve">Review </w:t>
      </w:r>
      <w:r w:rsidR="00447A31">
        <w:t xml:space="preserve">is </w:t>
      </w:r>
      <w:r w:rsidR="00D34439">
        <w:t>confi</w:t>
      </w:r>
      <w:r w:rsidR="004A5C6C">
        <w:t>n</w:t>
      </w:r>
      <w:r w:rsidR="00D34439">
        <w:t>ed to</w:t>
      </w:r>
      <w:r w:rsidR="00447A31">
        <w:t xml:space="preserve"> the Act and FSANZ’s operations. </w:t>
      </w:r>
    </w:p>
    <w:p w14:paraId="0436FD21" w14:textId="69C79528" w:rsidR="00DF27B4" w:rsidRDefault="00DF27B4" w:rsidP="00DF27B4">
      <w:pPr>
        <w:pStyle w:val="Caption"/>
      </w:pPr>
      <w:bookmarkStart w:id="8" w:name="_Ref51859001"/>
      <w:r>
        <w:t xml:space="preserve">Figure </w:t>
      </w:r>
      <w:r>
        <w:fldChar w:fldCharType="begin"/>
      </w:r>
      <w:r>
        <w:instrText xml:space="preserve"> SEQ Figure \* ARABIC </w:instrText>
      </w:r>
      <w:r>
        <w:fldChar w:fldCharType="separate"/>
      </w:r>
      <w:r w:rsidR="001C5CC6">
        <w:rPr>
          <w:noProof/>
        </w:rPr>
        <w:t>1</w:t>
      </w:r>
      <w:r>
        <w:fldChar w:fldCharType="end"/>
      </w:r>
      <w:bookmarkEnd w:id="8"/>
      <w:r>
        <w:t xml:space="preserve"> | Overview of the food regulatory system</w:t>
      </w:r>
      <w:r>
        <w:rPr>
          <w:rStyle w:val="FootnoteReference"/>
        </w:rPr>
        <w:footnoteReference w:id="2"/>
      </w:r>
    </w:p>
    <w:p w14:paraId="6070B6CB" w14:textId="454124A2" w:rsidR="00DF27B4" w:rsidRDefault="006E2BE5" w:rsidP="00BC160D">
      <w:r>
        <w:rPr>
          <w:noProof/>
        </w:rPr>
        <w:drawing>
          <wp:inline distT="0" distB="0" distL="0" distR="0" wp14:anchorId="751663BE" wp14:editId="0D667CB2">
            <wp:extent cx="5701665" cy="2099023"/>
            <wp:effectExtent l="0" t="0" r="0" b="0"/>
            <wp:docPr id="2" name="Picture 2" descr="This diagram provides an overview of the three core elements of the food regulatory system - policy setting and development, standards development, and enforcement and monitoring - and the foundational instruments that establish the food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479" cy="2105949"/>
                    </a:xfrm>
                    <a:prstGeom prst="rect">
                      <a:avLst/>
                    </a:prstGeom>
                    <a:noFill/>
                  </pic:spPr>
                </pic:pic>
              </a:graphicData>
            </a:graphic>
          </wp:inline>
        </w:drawing>
      </w:r>
    </w:p>
    <w:p w14:paraId="24E6152A" w14:textId="597B7A9A" w:rsidR="00047754" w:rsidRDefault="00AD4C9A" w:rsidP="00E0390E">
      <w:pPr>
        <w:pStyle w:val="Heading2"/>
        <w:ind w:left="567" w:hanging="577"/>
      </w:pPr>
      <w:bookmarkStart w:id="9" w:name="_Toc52179121"/>
      <w:bookmarkStart w:id="10" w:name="_Ref48746940"/>
      <w:r w:rsidRPr="00AD4C9A">
        <w:lastRenderedPageBreak/>
        <w:t>There is a clear, ongoing need for regulation of food</w:t>
      </w:r>
      <w:bookmarkEnd w:id="9"/>
      <w:r w:rsidRPr="00AD4C9A">
        <w:t xml:space="preserve"> </w:t>
      </w:r>
      <w:bookmarkEnd w:id="10"/>
    </w:p>
    <w:p w14:paraId="43AE81DF" w14:textId="1E04B86B" w:rsidR="00047754" w:rsidRDefault="00155F7A" w:rsidP="0069548F">
      <w:r>
        <w:t xml:space="preserve">The Australian Government is committed to a deregulation agenda </w:t>
      </w:r>
      <w:r w:rsidR="00056FD6">
        <w:t xml:space="preserve">that requires regulatory or legislative changes to be subject to a regulatory impact assessment which </w:t>
      </w:r>
      <w:r w:rsidR="00A952CC">
        <w:t>confirms that regulation is the most appropriate approach to addressing a policy problem</w:t>
      </w:r>
      <w:r w:rsidR="00704AE7">
        <w:t>.</w:t>
      </w:r>
      <w:r w:rsidR="0069312C">
        <w:rPr>
          <w:rStyle w:val="FootnoteReference"/>
        </w:rPr>
        <w:footnoteReference w:id="3"/>
      </w:r>
      <w:r w:rsidR="00A952CC">
        <w:t xml:space="preserve"> </w:t>
      </w:r>
      <w:r w:rsidR="00AF0375">
        <w:t>Similarly, New Zealand</w:t>
      </w:r>
      <w:r w:rsidR="00B002A4">
        <w:t xml:space="preserve"> is</w:t>
      </w:r>
      <w:r w:rsidR="00EE284F">
        <w:t xml:space="preserve"> committed to modernisation of key regulatory systems to support innovation, increase efficiency and remove complexity while managing risk.</w:t>
      </w:r>
      <w:r w:rsidR="003C2037">
        <w:rPr>
          <w:rStyle w:val="FootnoteReference"/>
        </w:rPr>
        <w:footnoteReference w:id="4"/>
      </w:r>
      <w:r w:rsidR="00EE284F">
        <w:t xml:space="preserve"> </w:t>
      </w:r>
    </w:p>
    <w:p w14:paraId="53EFE04D" w14:textId="59DFD2C5" w:rsidR="0041714E" w:rsidRDefault="00251062" w:rsidP="0069548F">
      <w:pPr>
        <w:rPr>
          <w:lang w:eastAsia="en-AU"/>
        </w:rPr>
      </w:pPr>
      <w:r>
        <w:t xml:space="preserve">Regulation is appropriate for example, if there is a market failure that must be corrected, </w:t>
      </w:r>
      <w:r w:rsidR="002E5F98">
        <w:t xml:space="preserve">or a public good to be protected and </w:t>
      </w:r>
      <w:r w:rsidR="00CA0A64">
        <w:t>where</w:t>
      </w:r>
      <w:r w:rsidR="002E5F98">
        <w:t xml:space="preserve"> voluntary action is insufficient to achieve these outcomes. </w:t>
      </w:r>
      <w:r w:rsidR="0031699A">
        <w:rPr>
          <w:lang w:eastAsia="en-AU"/>
        </w:rPr>
        <w:t xml:space="preserve">Food is an area where the ongoing need for regulation is </w:t>
      </w:r>
      <w:r w:rsidR="00A0679D">
        <w:rPr>
          <w:lang w:eastAsia="en-AU"/>
        </w:rPr>
        <w:t xml:space="preserve">evident. </w:t>
      </w:r>
    </w:p>
    <w:p w14:paraId="0ED3410D" w14:textId="2917E87E" w:rsidR="00FC63F2" w:rsidRDefault="002B3BE2" w:rsidP="0069548F">
      <w:pPr>
        <w:rPr>
          <w:lang w:eastAsia="en-AU"/>
        </w:rPr>
      </w:pPr>
      <w:r>
        <w:rPr>
          <w:lang w:eastAsia="en-AU"/>
        </w:rPr>
        <w:t xml:space="preserve">A safe food supply </w:t>
      </w:r>
      <w:r w:rsidR="00187AFA">
        <w:rPr>
          <w:lang w:eastAsia="en-AU"/>
        </w:rPr>
        <w:t xml:space="preserve">is a </w:t>
      </w:r>
      <w:r w:rsidR="00500279">
        <w:rPr>
          <w:lang w:eastAsia="en-AU"/>
        </w:rPr>
        <w:t>broad social good</w:t>
      </w:r>
      <w:r w:rsidR="00FE3830">
        <w:rPr>
          <w:lang w:eastAsia="en-AU"/>
        </w:rPr>
        <w:t xml:space="preserve"> </w:t>
      </w:r>
      <w:r w:rsidR="00275091">
        <w:rPr>
          <w:lang w:eastAsia="en-AU"/>
        </w:rPr>
        <w:t>wit</w:t>
      </w:r>
      <w:r w:rsidR="00947911">
        <w:rPr>
          <w:lang w:eastAsia="en-AU"/>
        </w:rPr>
        <w:t xml:space="preserve">h </w:t>
      </w:r>
      <w:r w:rsidR="00FE3830">
        <w:rPr>
          <w:lang w:eastAsia="en-AU"/>
        </w:rPr>
        <w:t xml:space="preserve">considerable social, economic and strategic </w:t>
      </w:r>
      <w:r w:rsidR="001839AB">
        <w:rPr>
          <w:lang w:eastAsia="en-AU"/>
        </w:rPr>
        <w:t>benefits</w:t>
      </w:r>
      <w:r w:rsidR="003D3E67">
        <w:rPr>
          <w:lang w:eastAsia="en-AU"/>
        </w:rPr>
        <w:t xml:space="preserve">. </w:t>
      </w:r>
      <w:r w:rsidR="00653308">
        <w:rPr>
          <w:lang w:eastAsia="en-AU"/>
        </w:rPr>
        <w:t>While food</w:t>
      </w:r>
      <w:r w:rsidR="00DA4937">
        <w:rPr>
          <w:lang w:eastAsia="en-AU"/>
        </w:rPr>
        <w:t xml:space="preserve"> </w:t>
      </w:r>
      <w:r w:rsidR="009C764A">
        <w:rPr>
          <w:lang w:eastAsia="en-AU"/>
        </w:rPr>
        <w:t>producers and manufacturers</w:t>
      </w:r>
      <w:r w:rsidR="00D23A5E">
        <w:rPr>
          <w:lang w:eastAsia="en-AU"/>
        </w:rPr>
        <w:t xml:space="preserve"> </w:t>
      </w:r>
      <w:r w:rsidR="00DA4937">
        <w:rPr>
          <w:lang w:eastAsia="en-AU"/>
        </w:rPr>
        <w:t xml:space="preserve">have a vested interest in </w:t>
      </w:r>
      <w:r w:rsidR="009C764A">
        <w:rPr>
          <w:lang w:eastAsia="en-AU"/>
        </w:rPr>
        <w:t xml:space="preserve">assuring </w:t>
      </w:r>
      <w:r w:rsidR="006916AB">
        <w:rPr>
          <w:lang w:eastAsia="en-AU"/>
        </w:rPr>
        <w:t xml:space="preserve">food </w:t>
      </w:r>
      <w:r w:rsidR="009C764A">
        <w:rPr>
          <w:lang w:eastAsia="en-AU"/>
        </w:rPr>
        <w:t>is safe to eat</w:t>
      </w:r>
      <w:r w:rsidR="006916AB">
        <w:rPr>
          <w:lang w:eastAsia="en-AU"/>
        </w:rPr>
        <w:t xml:space="preserve">, there is </w:t>
      </w:r>
      <w:r w:rsidR="00464107">
        <w:rPr>
          <w:lang w:eastAsia="en-AU"/>
        </w:rPr>
        <w:t>a clear ongoing role for government in the regulation of food</w:t>
      </w:r>
      <w:r w:rsidR="007D6C48">
        <w:rPr>
          <w:lang w:eastAsia="en-AU"/>
        </w:rPr>
        <w:t xml:space="preserve"> that is broadly recognised and supported by stakeholders.</w:t>
      </w:r>
      <w:r w:rsidR="00981960">
        <w:rPr>
          <w:lang w:eastAsia="en-AU"/>
        </w:rPr>
        <w:t xml:space="preserve"> </w:t>
      </w:r>
      <w:r w:rsidR="00D84819">
        <w:rPr>
          <w:lang w:eastAsia="en-AU"/>
        </w:rPr>
        <w:t>This is for a range of reasons, including:</w:t>
      </w:r>
    </w:p>
    <w:p w14:paraId="71F2ECDD" w14:textId="13763958" w:rsidR="003629DC" w:rsidRDefault="003629DC" w:rsidP="003629DC">
      <w:pPr>
        <w:pStyle w:val="Bullet"/>
      </w:pPr>
      <w:r>
        <w:t>Food supply chains are highly complex and increasingly integrated</w:t>
      </w:r>
      <w:r w:rsidR="00AC0581">
        <w:t>. This</w:t>
      </w:r>
      <w:r>
        <w:t xml:space="preserve"> creates the potential for wide-reaching, harmful spill-over effects if the food supply is compromised or contaminated</w:t>
      </w:r>
      <w:r w:rsidR="00D839AE">
        <w:t xml:space="preserve"> -</w:t>
      </w:r>
      <w:r>
        <w:t xml:space="preserve"> both for consumers of food and businesses selling food products. These spill-o</w:t>
      </w:r>
      <w:r w:rsidR="00BC2A30">
        <w:t>v</w:t>
      </w:r>
      <w:r>
        <w:t xml:space="preserve">er effects, and the significant associated risks, may not be adequately insured against by individual actors in the market. </w:t>
      </w:r>
    </w:p>
    <w:p w14:paraId="0F75C00B" w14:textId="55BC511E" w:rsidR="003629DC" w:rsidRDefault="003629DC" w:rsidP="003629DC">
      <w:pPr>
        <w:pStyle w:val="Bullet"/>
      </w:pPr>
      <w:r>
        <w:t xml:space="preserve">Conversely, sustained provision of a safe food supply </w:t>
      </w:r>
      <w:r w:rsidR="00647883">
        <w:t xml:space="preserve">has positive spill-over </w:t>
      </w:r>
      <w:r w:rsidR="00442E04">
        <w:t>effects for society and industry</w:t>
      </w:r>
      <w:r w:rsidR="00647883">
        <w:t xml:space="preserve">, </w:t>
      </w:r>
      <w:r w:rsidR="00BA6B5B">
        <w:t>for example</w:t>
      </w:r>
      <w:r w:rsidR="00647883">
        <w:t xml:space="preserve"> for export businesses that can leverage the </w:t>
      </w:r>
      <w:r w:rsidR="00442E04">
        <w:t>strong</w:t>
      </w:r>
      <w:r w:rsidR="00581E4D">
        <w:t xml:space="preserve"> </w:t>
      </w:r>
      <w:r w:rsidR="00442E04">
        <w:t xml:space="preserve">reputation that </w:t>
      </w:r>
      <w:r w:rsidR="00382A93">
        <w:t xml:space="preserve">food from Australia and New Zealand has in regional and global markets. </w:t>
      </w:r>
      <w:r w:rsidR="00133B81">
        <w:t>Thi</w:t>
      </w:r>
      <w:r w:rsidR="00594024">
        <w:t xml:space="preserve">s competitive advantage </w:t>
      </w:r>
      <w:r w:rsidR="00D90353">
        <w:t>is a collective good that depends</w:t>
      </w:r>
      <w:r w:rsidR="00E50FB1">
        <w:t xml:space="preserve"> on central government oversight. </w:t>
      </w:r>
    </w:p>
    <w:p w14:paraId="5DEA35D9" w14:textId="77777777" w:rsidR="00633674" w:rsidRDefault="00633674" w:rsidP="00633674">
      <w:pPr>
        <w:pStyle w:val="Bullet"/>
      </w:pPr>
      <w:r>
        <w:t xml:space="preserve">Food consumption patterns are an important driver of individual wellbeing and broader public and population health. Government regulation of food can take a longer-term perspective of health and wellbeing and consider how regulation of food can promote broader social objectives, such as reduction in non-communicable food-related illnesses. </w:t>
      </w:r>
    </w:p>
    <w:p w14:paraId="4E7CE5F9" w14:textId="0024C9D6" w:rsidR="0060159D" w:rsidRDefault="0060159D" w:rsidP="00633674">
      <w:pPr>
        <w:pStyle w:val="Bullet"/>
      </w:pPr>
      <w:r>
        <w:t xml:space="preserve">Developing or varying food standards requires </w:t>
      </w:r>
      <w:r w:rsidR="00DE650C">
        <w:t xml:space="preserve">deep and broad </w:t>
      </w:r>
      <w:r>
        <w:t xml:space="preserve">technical expertise </w:t>
      </w:r>
      <w:r w:rsidR="00623A77">
        <w:t>which is currently consolidated in FSANZ.</w:t>
      </w:r>
      <w:r w:rsidR="00C1521D">
        <w:t xml:space="preserve"> </w:t>
      </w:r>
    </w:p>
    <w:p w14:paraId="04EDCEBA" w14:textId="0B7C938D" w:rsidR="003D60E6" w:rsidRDefault="006E03EC" w:rsidP="00E0390E">
      <w:pPr>
        <w:pStyle w:val="Bullet"/>
        <w:numPr>
          <w:ilvl w:val="0"/>
          <w:numId w:val="0"/>
        </w:numPr>
      </w:pPr>
      <w:r>
        <w:t xml:space="preserve">The role for government in regulating food is </w:t>
      </w:r>
      <w:r w:rsidR="00064E4A">
        <w:t xml:space="preserve">well established and supported. Given this, the Review’s focus is on opportunities to improve food regulation through legislative changes to the Act and associated </w:t>
      </w:r>
      <w:r w:rsidR="00A95E25">
        <w:t xml:space="preserve">operations and responsibilities of FSANZ. </w:t>
      </w:r>
    </w:p>
    <w:p w14:paraId="7C575597" w14:textId="39829D64" w:rsidR="00627A8F" w:rsidRDefault="002D2614" w:rsidP="00E0390E">
      <w:pPr>
        <w:pStyle w:val="Heading2"/>
        <w:ind w:left="709"/>
      </w:pPr>
      <w:bookmarkStart w:id="11" w:name="_Toc52179122"/>
      <w:r>
        <w:t xml:space="preserve">The food regulatory system </w:t>
      </w:r>
      <w:r w:rsidR="00551F6C">
        <w:t>can be improved</w:t>
      </w:r>
      <w:r w:rsidR="009A6E63">
        <w:t>,</w:t>
      </w:r>
      <w:r w:rsidR="00551F6C">
        <w:t xml:space="preserve"> but it</w:t>
      </w:r>
      <w:r w:rsidR="00403DBD">
        <w:t xml:space="preserve"> is</w:t>
      </w:r>
      <w:r w:rsidR="00551F6C">
        <w:t xml:space="preserve"> not broken</w:t>
      </w:r>
      <w:bookmarkEnd w:id="11"/>
    </w:p>
    <w:p w14:paraId="178E1D10" w14:textId="1E5FC8DF" w:rsidR="00506265" w:rsidRDefault="00556F88" w:rsidP="00403DBD">
      <w:pPr>
        <w:rPr>
          <w:lang w:eastAsia="en-AU"/>
        </w:rPr>
      </w:pPr>
      <w:r>
        <w:rPr>
          <w:lang w:eastAsia="en-AU"/>
        </w:rPr>
        <w:t xml:space="preserve">The bi-national food regulatory system </w:t>
      </w:r>
      <w:r w:rsidR="006D47C3">
        <w:rPr>
          <w:lang w:eastAsia="en-AU"/>
        </w:rPr>
        <w:t xml:space="preserve">effectively safeguards the </w:t>
      </w:r>
      <w:r w:rsidR="002F480A">
        <w:rPr>
          <w:lang w:eastAsia="en-AU"/>
        </w:rPr>
        <w:t xml:space="preserve">food supply in Australia and New Zealand and </w:t>
      </w:r>
      <w:r w:rsidR="006D47C3">
        <w:rPr>
          <w:lang w:eastAsia="en-AU"/>
        </w:rPr>
        <w:t>provides a common</w:t>
      </w:r>
      <w:r w:rsidR="004008D5">
        <w:rPr>
          <w:lang w:eastAsia="en-AU"/>
        </w:rPr>
        <w:t xml:space="preserve"> </w:t>
      </w:r>
      <w:r w:rsidR="006D47C3">
        <w:rPr>
          <w:lang w:eastAsia="en-AU"/>
        </w:rPr>
        <w:t xml:space="preserve">market </w:t>
      </w:r>
      <w:r w:rsidR="008F2402">
        <w:rPr>
          <w:lang w:eastAsia="en-AU"/>
        </w:rPr>
        <w:t>and regulatory framework for both countries. Successive reviews of different aspects of the system have found th</w:t>
      </w:r>
      <w:r w:rsidR="006E02B2">
        <w:rPr>
          <w:lang w:eastAsia="en-AU"/>
        </w:rPr>
        <w:t xml:space="preserve">at </w:t>
      </w:r>
      <w:r w:rsidR="00C1109F">
        <w:rPr>
          <w:lang w:eastAsia="en-AU"/>
        </w:rPr>
        <w:t>it</w:t>
      </w:r>
      <w:r w:rsidR="006E02B2">
        <w:rPr>
          <w:lang w:eastAsia="en-AU"/>
        </w:rPr>
        <w:t xml:space="preserve"> </w:t>
      </w:r>
      <w:r w:rsidR="00C60C0D">
        <w:rPr>
          <w:lang w:eastAsia="en-AU"/>
        </w:rPr>
        <w:t>generally func</w:t>
      </w:r>
      <w:r w:rsidR="001B014C">
        <w:rPr>
          <w:lang w:eastAsia="en-AU"/>
        </w:rPr>
        <w:t>tions well</w:t>
      </w:r>
      <w:r w:rsidR="00CB403E">
        <w:rPr>
          <w:rStyle w:val="FootnoteReference"/>
          <w:lang w:eastAsia="en-AU"/>
        </w:rPr>
        <w:footnoteReference w:id="5"/>
      </w:r>
      <w:r w:rsidR="00703D49">
        <w:rPr>
          <w:lang w:eastAsia="en-AU"/>
        </w:rPr>
        <w:t xml:space="preserve"> and that it is not </w:t>
      </w:r>
      <w:r w:rsidR="00703D49">
        <w:rPr>
          <w:lang w:eastAsia="en-AU"/>
        </w:rPr>
        <w:lastRenderedPageBreak/>
        <w:t>fundamentally broken</w:t>
      </w:r>
      <w:r w:rsidR="00CC6D97">
        <w:rPr>
          <w:lang w:eastAsia="en-AU"/>
        </w:rPr>
        <w:t xml:space="preserve"> -</w:t>
      </w:r>
      <w:r w:rsidR="00703D49">
        <w:rPr>
          <w:lang w:eastAsia="en-AU"/>
        </w:rPr>
        <w:t xml:space="preserve"> though there are opportunities for improvement, particularly in relation to </w:t>
      </w:r>
      <w:r w:rsidR="002355D0">
        <w:rPr>
          <w:lang w:eastAsia="en-AU"/>
        </w:rPr>
        <w:t>responsiveness, flexibility and timeliness</w:t>
      </w:r>
      <w:r w:rsidR="00D512E9">
        <w:rPr>
          <w:lang w:eastAsia="en-AU"/>
        </w:rPr>
        <w:t xml:space="preserve">. </w:t>
      </w:r>
    </w:p>
    <w:p w14:paraId="22597644" w14:textId="69551FF7" w:rsidR="005E7F78" w:rsidRDefault="00BE78D0">
      <w:r>
        <w:rPr>
          <w:lang w:eastAsia="en-AU"/>
        </w:rPr>
        <w:t xml:space="preserve">Stakeholders consulted to date </w:t>
      </w:r>
      <w:r w:rsidR="00762619">
        <w:rPr>
          <w:lang w:eastAsia="en-AU"/>
        </w:rPr>
        <w:t xml:space="preserve">for this Review </w:t>
      </w:r>
      <w:r w:rsidR="00811175">
        <w:rPr>
          <w:lang w:eastAsia="en-AU"/>
        </w:rPr>
        <w:t xml:space="preserve">note the value of </w:t>
      </w:r>
      <w:r w:rsidR="006A5CB4">
        <w:rPr>
          <w:lang w:eastAsia="en-AU"/>
        </w:rPr>
        <w:t>FSANZ</w:t>
      </w:r>
      <w:r w:rsidR="00DE3177">
        <w:rPr>
          <w:lang w:eastAsia="en-AU"/>
        </w:rPr>
        <w:t xml:space="preserve"> and the food regulatory measures it sets</w:t>
      </w:r>
      <w:r w:rsidR="00811175">
        <w:rPr>
          <w:lang w:eastAsia="en-AU"/>
        </w:rPr>
        <w:t xml:space="preserve"> in ensuring food safety, supporting public health, </w:t>
      </w:r>
      <w:r w:rsidR="0091708A">
        <w:rPr>
          <w:lang w:eastAsia="en-AU"/>
        </w:rPr>
        <w:t xml:space="preserve">and </w:t>
      </w:r>
      <w:r w:rsidR="00811175">
        <w:rPr>
          <w:lang w:eastAsia="en-AU"/>
        </w:rPr>
        <w:t xml:space="preserve">creating a strong reputation for </w:t>
      </w:r>
      <w:r w:rsidR="005E3163">
        <w:rPr>
          <w:lang w:eastAsia="en-AU"/>
        </w:rPr>
        <w:t xml:space="preserve">Australian and New Zealand food that </w:t>
      </w:r>
      <w:r w:rsidR="00AF616D">
        <w:rPr>
          <w:lang w:eastAsia="en-AU"/>
        </w:rPr>
        <w:t>provides a competitive advantage</w:t>
      </w:r>
      <w:r w:rsidR="00DE3177">
        <w:rPr>
          <w:lang w:eastAsia="en-AU"/>
        </w:rPr>
        <w:t>.</w:t>
      </w:r>
      <w:r w:rsidR="00AB3985">
        <w:rPr>
          <w:lang w:eastAsia="en-AU"/>
        </w:rPr>
        <w:t xml:space="preserve"> </w:t>
      </w:r>
    </w:p>
    <w:p w14:paraId="33C8A561" w14:textId="7055FED0" w:rsidR="0093131F" w:rsidRDefault="0093131F">
      <w:pPr>
        <w:pStyle w:val="Heading3"/>
      </w:pPr>
      <w:r>
        <w:t xml:space="preserve">The bi-national nature of the food system is </w:t>
      </w:r>
      <w:r w:rsidR="001E2025">
        <w:t>a key strength</w:t>
      </w:r>
    </w:p>
    <w:p w14:paraId="7642520C" w14:textId="77777777" w:rsidR="007E5D7F" w:rsidRDefault="00D60F44" w:rsidP="00B86103">
      <w:pPr>
        <w:rPr>
          <w:lang w:eastAsia="en-AU"/>
        </w:rPr>
      </w:pPr>
      <w:r>
        <w:rPr>
          <w:lang w:eastAsia="en-AU"/>
        </w:rPr>
        <w:t xml:space="preserve">The bi-national character of the food regulatory system is </w:t>
      </w:r>
      <w:r w:rsidR="00F8750A">
        <w:rPr>
          <w:lang w:eastAsia="en-AU"/>
        </w:rPr>
        <w:t xml:space="preserve">recognised as a key strength </w:t>
      </w:r>
      <w:r w:rsidR="005E061F">
        <w:rPr>
          <w:lang w:eastAsia="en-AU"/>
        </w:rPr>
        <w:t xml:space="preserve">by Australian and New Zealand stakeholders that delivers </w:t>
      </w:r>
      <w:r w:rsidR="00D33051">
        <w:rPr>
          <w:lang w:eastAsia="en-AU"/>
        </w:rPr>
        <w:t xml:space="preserve">mutual </w:t>
      </w:r>
      <w:r w:rsidR="00D9439F">
        <w:rPr>
          <w:lang w:eastAsia="en-AU"/>
        </w:rPr>
        <w:t xml:space="preserve">economic and social </w:t>
      </w:r>
      <w:r w:rsidR="00D33051">
        <w:rPr>
          <w:lang w:eastAsia="en-AU"/>
        </w:rPr>
        <w:t>benefits</w:t>
      </w:r>
      <w:r w:rsidR="005B0706">
        <w:rPr>
          <w:lang w:eastAsia="en-AU"/>
        </w:rPr>
        <w:t>, through common food standards</w:t>
      </w:r>
      <w:r w:rsidR="00BD1578">
        <w:rPr>
          <w:lang w:eastAsia="en-AU"/>
        </w:rPr>
        <w:t xml:space="preserve">, joint policy development and </w:t>
      </w:r>
      <w:r w:rsidR="00D9439F">
        <w:rPr>
          <w:lang w:eastAsia="en-AU"/>
        </w:rPr>
        <w:t>a single food market.</w:t>
      </w:r>
      <w:r w:rsidR="002E58C3">
        <w:rPr>
          <w:lang w:eastAsia="en-AU"/>
        </w:rPr>
        <w:t xml:space="preserve"> </w:t>
      </w:r>
    </w:p>
    <w:p w14:paraId="3044F3BF" w14:textId="27F429DB" w:rsidR="00CB5BB3" w:rsidRDefault="00CC46CF">
      <w:pPr>
        <w:rPr>
          <w:lang w:eastAsia="en-AU"/>
        </w:rPr>
      </w:pPr>
      <w:r>
        <w:rPr>
          <w:lang w:eastAsia="en-AU"/>
        </w:rPr>
        <w:t>The bi-national system provides</w:t>
      </w:r>
      <w:r w:rsidR="0092267B">
        <w:rPr>
          <w:lang w:eastAsia="en-AU"/>
        </w:rPr>
        <w:t xml:space="preserve"> expanded commercial opportunities for both Australian and New Zealand food businesses (enabled by the Trans</w:t>
      </w:r>
      <w:r w:rsidR="00DC4CC9">
        <w:rPr>
          <w:lang w:eastAsia="en-AU"/>
        </w:rPr>
        <w:t>-</w:t>
      </w:r>
      <w:r w:rsidR="0092267B">
        <w:rPr>
          <w:lang w:eastAsia="en-AU"/>
        </w:rPr>
        <w:t>Tasman</w:t>
      </w:r>
      <w:r w:rsidR="00DC4CC9">
        <w:rPr>
          <w:lang w:eastAsia="en-AU"/>
        </w:rPr>
        <w:t xml:space="preserve"> Mutual Recognition Arrangement)</w:t>
      </w:r>
      <w:r w:rsidR="00250C43">
        <w:rPr>
          <w:lang w:eastAsia="en-AU"/>
        </w:rPr>
        <w:t xml:space="preserve"> that facilitates substantial trade between the countries.</w:t>
      </w:r>
      <w:r w:rsidR="00A507FB">
        <w:rPr>
          <w:rStyle w:val="FootnoteReference"/>
          <w:lang w:eastAsia="en-AU"/>
        </w:rPr>
        <w:footnoteReference w:id="6"/>
      </w:r>
      <w:r w:rsidR="00B91E82">
        <w:rPr>
          <w:lang w:eastAsia="en-AU"/>
        </w:rPr>
        <w:t xml:space="preserve"> </w:t>
      </w:r>
    </w:p>
    <w:p w14:paraId="70A04F60" w14:textId="7C3DF0BE" w:rsidR="002355D0" w:rsidRPr="00E251D6" w:rsidRDefault="00A730D1" w:rsidP="00800D0C">
      <w:r>
        <w:rPr>
          <w:lang w:eastAsia="en-AU"/>
        </w:rPr>
        <w:t>FSANZ’s bi-national role is highly regarded, in addition to its Australia and New Zealand-specific roles.</w:t>
      </w:r>
      <w:r w:rsidR="000E6694">
        <w:rPr>
          <w:lang w:eastAsia="en-AU"/>
        </w:rPr>
        <w:t xml:space="preserve"> </w:t>
      </w:r>
      <w:r>
        <w:rPr>
          <w:lang w:eastAsia="en-AU"/>
        </w:rPr>
        <w:t xml:space="preserve"> </w:t>
      </w:r>
    </w:p>
    <w:p w14:paraId="5E05C54C" w14:textId="2EFA1502" w:rsidR="00B76CB0" w:rsidRDefault="00B76CB0" w:rsidP="006607FA">
      <w:pPr>
        <w:pStyle w:val="Heading3"/>
      </w:pPr>
      <w:r>
        <w:t>FSANZ is valued as a credible, independent</w:t>
      </w:r>
      <w:r w:rsidR="00C83338">
        <w:t xml:space="preserve"> and</w:t>
      </w:r>
      <w:r>
        <w:t xml:space="preserve"> science-based body</w:t>
      </w:r>
    </w:p>
    <w:p w14:paraId="2932787D" w14:textId="4B04AE17" w:rsidR="00A730D1" w:rsidRPr="00E251D6" w:rsidRDefault="00302DAE" w:rsidP="00E0390E">
      <w:r>
        <w:rPr>
          <w:lang w:eastAsia="en-AU"/>
        </w:rPr>
        <w:t xml:space="preserve">FSANZ plays a vital role </w:t>
      </w:r>
      <w:r w:rsidR="00434261">
        <w:rPr>
          <w:lang w:eastAsia="en-AU"/>
        </w:rPr>
        <w:t xml:space="preserve">in </w:t>
      </w:r>
      <w:r>
        <w:rPr>
          <w:lang w:eastAsia="en-AU"/>
        </w:rPr>
        <w:t>instilling this confidence</w:t>
      </w:r>
      <w:r w:rsidR="005E6B5B">
        <w:rPr>
          <w:lang w:eastAsia="en-AU"/>
        </w:rPr>
        <w:t xml:space="preserve"> </w:t>
      </w:r>
      <w:r w:rsidR="004C011E">
        <w:rPr>
          <w:lang w:eastAsia="en-AU"/>
        </w:rPr>
        <w:t>in developing food standards. This</w:t>
      </w:r>
      <w:r w:rsidR="000F71AA">
        <w:rPr>
          <w:lang w:eastAsia="en-AU"/>
        </w:rPr>
        <w:t xml:space="preserve"> is grounded in </w:t>
      </w:r>
      <w:r w:rsidR="005E6B5B">
        <w:rPr>
          <w:lang w:eastAsia="en-AU"/>
        </w:rPr>
        <w:t>its role</w:t>
      </w:r>
      <w:r w:rsidR="00CB0975">
        <w:rPr>
          <w:lang w:eastAsia="en-AU"/>
        </w:rPr>
        <w:t xml:space="preserve"> as an independent standard</w:t>
      </w:r>
      <w:r w:rsidR="00483710">
        <w:rPr>
          <w:lang w:eastAsia="en-AU"/>
        </w:rPr>
        <w:t>-</w:t>
      </w:r>
      <w:r w:rsidR="00CB0975">
        <w:rPr>
          <w:lang w:eastAsia="en-AU"/>
        </w:rPr>
        <w:t xml:space="preserve">setting body </w:t>
      </w:r>
      <w:r w:rsidR="0009663D">
        <w:rPr>
          <w:lang w:eastAsia="en-AU"/>
        </w:rPr>
        <w:t xml:space="preserve">that </w:t>
      </w:r>
      <w:r w:rsidR="00E059AD">
        <w:rPr>
          <w:lang w:eastAsia="en-AU"/>
        </w:rPr>
        <w:t>applies</w:t>
      </w:r>
      <w:r w:rsidR="0009663D">
        <w:rPr>
          <w:lang w:eastAsia="en-AU"/>
        </w:rPr>
        <w:t xml:space="preserve"> a rigorous scientific and risk-based approach </w:t>
      </w:r>
      <w:r w:rsidR="00E059AD">
        <w:rPr>
          <w:lang w:eastAsia="en-AU"/>
        </w:rPr>
        <w:t>to its role</w:t>
      </w:r>
      <w:r w:rsidR="00CB0975">
        <w:rPr>
          <w:lang w:eastAsia="en-AU"/>
        </w:rPr>
        <w:t xml:space="preserve"> and </w:t>
      </w:r>
      <w:r w:rsidR="00E059AD">
        <w:rPr>
          <w:lang w:eastAsia="en-AU"/>
        </w:rPr>
        <w:t xml:space="preserve">functions. </w:t>
      </w:r>
      <w:r w:rsidR="004C011E">
        <w:rPr>
          <w:lang w:eastAsia="en-AU"/>
        </w:rPr>
        <w:t xml:space="preserve">The significant technical expertise that FSANZ brings is cited </w:t>
      </w:r>
      <w:r w:rsidR="000A73D6">
        <w:rPr>
          <w:lang w:eastAsia="en-AU"/>
        </w:rPr>
        <w:t xml:space="preserve">by many stakeholders </w:t>
      </w:r>
      <w:r w:rsidR="00040E19">
        <w:rPr>
          <w:lang w:eastAsia="en-AU"/>
        </w:rPr>
        <w:t xml:space="preserve">as a core strength of the system </w:t>
      </w:r>
      <w:r w:rsidR="000A73D6">
        <w:rPr>
          <w:lang w:eastAsia="en-AU"/>
        </w:rPr>
        <w:t xml:space="preserve">that should be preserved.  </w:t>
      </w:r>
    </w:p>
    <w:p w14:paraId="3F404B86" w14:textId="4248D6B3" w:rsidR="00AF1A70" w:rsidRPr="00E251D6" w:rsidRDefault="001D717A" w:rsidP="00E0390E">
      <w:pPr>
        <w:pStyle w:val="Heading2"/>
        <w:ind w:left="567"/>
      </w:pPr>
      <w:bookmarkStart w:id="12" w:name="_Toc52179123"/>
      <w:r>
        <w:rPr>
          <w:rStyle w:val="Heading2Char"/>
        </w:rPr>
        <w:t>The Act is almost 30 years old</w:t>
      </w:r>
      <w:r w:rsidR="002B7FEB">
        <w:rPr>
          <w:rStyle w:val="Heading2Char"/>
        </w:rPr>
        <w:t xml:space="preserve"> and</w:t>
      </w:r>
      <w:r w:rsidR="00773CDE" w:rsidRPr="00E251D6">
        <w:t xml:space="preserve"> has not kept up with changes in practice</w:t>
      </w:r>
      <w:bookmarkEnd w:id="12"/>
      <w:r w:rsidR="00773CDE" w:rsidRPr="00E251D6">
        <w:t xml:space="preserve"> </w:t>
      </w:r>
    </w:p>
    <w:p w14:paraId="209E39CF" w14:textId="28AF0B09" w:rsidR="00AF1A70" w:rsidRDefault="00AF1A70" w:rsidP="00AF1A70">
      <w:r>
        <w:t xml:space="preserve">Since its establishment in 1991, the Act has been amended many </w:t>
      </w:r>
      <w:r w:rsidR="001A5025">
        <w:t>times</w:t>
      </w:r>
      <w:r>
        <w:t xml:space="preserve">, however key parts of the Act have not undergone significant reform or review since that time. </w:t>
      </w:r>
    </w:p>
    <w:p w14:paraId="711C83C7" w14:textId="7A8A0712" w:rsidR="00AF1A70" w:rsidRDefault="00AF1A70" w:rsidP="00AF1A70">
      <w:pPr>
        <w:rPr>
          <w:lang w:eastAsia="en-AU"/>
        </w:rPr>
      </w:pPr>
      <w:r>
        <w:rPr>
          <w:lang w:eastAsia="en-AU"/>
        </w:rPr>
        <w:t>Yet, in the intervening almost-</w:t>
      </w:r>
      <w:r w:rsidR="00317C1B">
        <w:rPr>
          <w:lang w:eastAsia="en-AU"/>
        </w:rPr>
        <w:t>30</w:t>
      </w:r>
      <w:r>
        <w:rPr>
          <w:lang w:eastAsia="en-AU"/>
        </w:rPr>
        <w:t xml:space="preserve"> years, there have been significant changes in consumer preferences, patterns and expectations in relation to food</w:t>
      </w:r>
      <w:r w:rsidR="003372F3">
        <w:rPr>
          <w:lang w:eastAsia="en-AU"/>
        </w:rPr>
        <w:t>,</w:t>
      </w:r>
      <w:r>
        <w:rPr>
          <w:lang w:eastAsia="en-AU"/>
        </w:rPr>
        <w:t xml:space="preserve"> as well as evolving government priorities and industry practices in the production and sale of food products. An increasingly integrated and global food market has been driving rapid changes in food supply, including the introduction of new and novel foods</w:t>
      </w:r>
      <w:r w:rsidR="000D4DD2">
        <w:rPr>
          <w:lang w:eastAsia="en-AU"/>
        </w:rPr>
        <w:t>, and new challenges around maintaining food security</w:t>
      </w:r>
      <w:r>
        <w:rPr>
          <w:lang w:eastAsia="en-AU"/>
        </w:rPr>
        <w:t xml:space="preserve">. </w:t>
      </w:r>
    </w:p>
    <w:p w14:paraId="6DF8515E" w14:textId="6440F8BF" w:rsidR="00AF1A70" w:rsidRDefault="00AF1A70" w:rsidP="00AF1A70">
      <w:pPr>
        <w:rPr>
          <w:lang w:eastAsia="en-AU"/>
        </w:rPr>
      </w:pPr>
      <w:r>
        <w:rPr>
          <w:lang w:eastAsia="en-AU"/>
        </w:rPr>
        <w:t xml:space="preserve">At the same time, non-communicable food-related </w:t>
      </w:r>
      <w:r w:rsidR="00B76FE9">
        <w:rPr>
          <w:lang w:eastAsia="en-AU"/>
        </w:rPr>
        <w:t>diseases</w:t>
      </w:r>
      <w:r>
        <w:rPr>
          <w:lang w:eastAsia="en-AU"/>
        </w:rPr>
        <w:t xml:space="preserve"> like obesity continue to rise and governments are looking for new ways to support healthy eating habits at a population level. Further, consumers increasingly expect information to support a wide range of food preferences, including to make healthy </w:t>
      </w:r>
      <w:r w:rsidR="00FB0812">
        <w:rPr>
          <w:lang w:eastAsia="en-AU"/>
        </w:rPr>
        <w:t>choices</w:t>
      </w:r>
      <w:r>
        <w:rPr>
          <w:lang w:eastAsia="en-AU"/>
        </w:rPr>
        <w:t xml:space="preserve"> about food.</w:t>
      </w:r>
    </w:p>
    <w:p w14:paraId="6A566886" w14:textId="5BA9DA58" w:rsidR="00AF1A70" w:rsidRDefault="00AF1A70" w:rsidP="00AF1A70">
      <w:pPr>
        <w:rPr>
          <w:lang w:eastAsia="en-AU"/>
        </w:rPr>
      </w:pPr>
      <w:r>
        <w:rPr>
          <w:lang w:eastAsia="en-AU"/>
        </w:rPr>
        <w:t xml:space="preserve">This </w:t>
      </w:r>
      <w:r w:rsidR="00BF0633">
        <w:rPr>
          <w:lang w:eastAsia="en-AU"/>
        </w:rPr>
        <w:t>Review,</w:t>
      </w:r>
      <w:r>
        <w:rPr>
          <w:lang w:eastAsia="en-AU"/>
        </w:rPr>
        <w:t xml:space="preserve"> therefore</w:t>
      </w:r>
      <w:r w:rsidR="006C3E58">
        <w:rPr>
          <w:lang w:eastAsia="en-AU"/>
        </w:rPr>
        <w:t>,</w:t>
      </w:r>
      <w:r>
        <w:rPr>
          <w:lang w:eastAsia="en-AU"/>
        </w:rPr>
        <w:t xml:space="preserve"> considers some of the current challenges relating to food and the role of the Act and FSANZ in dealing with them. Specifically, it considers how legislative changes might support FSANZ to </w:t>
      </w:r>
      <w:r>
        <w:rPr>
          <w:lang w:eastAsia="en-AU"/>
        </w:rPr>
        <w:lastRenderedPageBreak/>
        <w:t xml:space="preserve">deliver </w:t>
      </w:r>
      <w:r w:rsidR="00DA1786">
        <w:rPr>
          <w:lang w:eastAsia="en-AU"/>
        </w:rPr>
        <w:t xml:space="preserve">its current statutory remit </w:t>
      </w:r>
      <w:r>
        <w:rPr>
          <w:lang w:eastAsia="en-AU"/>
        </w:rPr>
        <w:t xml:space="preserve">more efficiently and effectively, while also considering other roles FSANZ might </w:t>
      </w:r>
      <w:r w:rsidR="00DA1786">
        <w:rPr>
          <w:lang w:eastAsia="en-AU"/>
        </w:rPr>
        <w:t>pla</w:t>
      </w:r>
      <w:r w:rsidR="0075147A">
        <w:rPr>
          <w:lang w:eastAsia="en-AU"/>
        </w:rPr>
        <w:t>y</w:t>
      </w:r>
      <w:r>
        <w:rPr>
          <w:lang w:eastAsia="en-AU"/>
        </w:rPr>
        <w:t xml:space="preserve"> to support the food system in Australia and/or New Zealand. </w:t>
      </w:r>
    </w:p>
    <w:p w14:paraId="066DE348" w14:textId="1C0A5F18" w:rsidR="00AF1A70" w:rsidRPr="00E251D6" w:rsidRDefault="002D1FF6" w:rsidP="00E0390E">
      <w:pPr>
        <w:pStyle w:val="Heading2"/>
        <w:ind w:left="426" w:hanging="426"/>
      </w:pPr>
      <w:r>
        <w:t xml:space="preserve"> </w:t>
      </w:r>
      <w:bookmarkStart w:id="13" w:name="_Toc52179124"/>
      <w:r w:rsidR="00AF1A70" w:rsidRPr="00E251D6">
        <w:t>F</w:t>
      </w:r>
      <w:r w:rsidR="00E8216C" w:rsidRPr="00E251D6">
        <w:t>ive</w:t>
      </w:r>
      <w:r w:rsidR="00AF1A70" w:rsidRPr="00E251D6">
        <w:t xml:space="preserve"> focus areas have been identified for this </w:t>
      </w:r>
      <w:r w:rsidR="006D4622" w:rsidRPr="00E251D6">
        <w:t>R</w:t>
      </w:r>
      <w:r w:rsidR="00AF1A70" w:rsidRPr="00E251D6">
        <w:t>eview</w:t>
      </w:r>
      <w:bookmarkEnd w:id="13"/>
    </w:p>
    <w:p w14:paraId="03E22C13" w14:textId="54ADE4F3" w:rsidR="00AF1A70" w:rsidRDefault="00AF1A70" w:rsidP="00AF1A70">
      <w:pPr>
        <w:rPr>
          <w:lang w:eastAsia="en-AU"/>
        </w:rPr>
      </w:pPr>
      <w:r>
        <w:rPr>
          <w:lang w:eastAsia="en-AU"/>
        </w:rPr>
        <w:t>This paper presents issues and opportunities in terms of f</w:t>
      </w:r>
      <w:r w:rsidR="00E8216C">
        <w:rPr>
          <w:lang w:eastAsia="en-AU"/>
        </w:rPr>
        <w:t>ive</w:t>
      </w:r>
      <w:r>
        <w:rPr>
          <w:lang w:eastAsia="en-AU"/>
        </w:rPr>
        <w:t xml:space="preserve"> key focus areas that have been identified and iterated through stakeholder consultation. These are </w:t>
      </w:r>
      <w:r w:rsidRPr="00022622">
        <w:rPr>
          <w:rFonts w:asciiTheme="minorHAnsi" w:hAnsiTheme="minorHAnsi" w:cstheme="minorHAnsi"/>
          <w:lang w:eastAsia="en-AU"/>
        </w:rPr>
        <w:t xml:space="preserve">shown in </w:t>
      </w:r>
      <w:r w:rsidRPr="00022622">
        <w:rPr>
          <w:rFonts w:asciiTheme="minorHAnsi" w:hAnsiTheme="minorHAnsi" w:cstheme="minorHAnsi"/>
          <w:lang w:eastAsia="en-AU"/>
        </w:rPr>
        <w:fldChar w:fldCharType="begin"/>
      </w:r>
      <w:r w:rsidRPr="00022622">
        <w:rPr>
          <w:rFonts w:asciiTheme="minorHAnsi" w:hAnsiTheme="minorHAnsi" w:cstheme="minorHAnsi"/>
          <w:lang w:eastAsia="en-AU"/>
        </w:rPr>
        <w:instrText xml:space="preserve"> REF _Ref48544911 \h  \* MERGEFORMAT </w:instrText>
      </w:r>
      <w:r w:rsidRPr="00022622">
        <w:rPr>
          <w:rFonts w:asciiTheme="minorHAnsi" w:hAnsiTheme="minorHAnsi" w:cstheme="minorHAnsi"/>
          <w:lang w:eastAsia="en-AU"/>
        </w:rPr>
      </w:r>
      <w:r w:rsidRPr="00022622">
        <w:rPr>
          <w:rFonts w:asciiTheme="minorHAnsi" w:hAnsiTheme="minorHAnsi" w:cstheme="minorHAnsi"/>
          <w:lang w:eastAsia="en-AU"/>
        </w:rPr>
        <w:fldChar w:fldCharType="separate"/>
      </w:r>
      <w:r w:rsidR="001C5CC6" w:rsidRPr="001C5CC6">
        <w:rPr>
          <w:rFonts w:asciiTheme="minorHAnsi" w:hAnsiTheme="minorHAnsi" w:cstheme="minorHAnsi"/>
        </w:rPr>
        <w:t>Figure 2</w:t>
      </w:r>
      <w:r w:rsidRPr="00022622">
        <w:rPr>
          <w:rFonts w:asciiTheme="minorHAnsi" w:hAnsiTheme="minorHAnsi" w:cstheme="minorHAnsi"/>
          <w:lang w:eastAsia="en-AU"/>
        </w:rPr>
        <w:fldChar w:fldCharType="end"/>
      </w:r>
      <w:r w:rsidRPr="00022622">
        <w:rPr>
          <w:rFonts w:asciiTheme="minorHAnsi" w:hAnsiTheme="minorHAnsi" w:cstheme="minorHAnsi"/>
          <w:lang w:eastAsia="en-AU"/>
        </w:rPr>
        <w:t xml:space="preserve"> </w:t>
      </w:r>
      <w:r>
        <w:rPr>
          <w:rFonts w:asciiTheme="minorHAnsi" w:hAnsiTheme="minorHAnsi" w:cstheme="minorHAnsi"/>
          <w:lang w:eastAsia="en-AU"/>
        </w:rPr>
        <w:t xml:space="preserve">and discussed in turn. </w:t>
      </w:r>
    </w:p>
    <w:p w14:paraId="782287A4" w14:textId="5AAC84A0" w:rsidR="00AF1A70" w:rsidRDefault="00AF1A70" w:rsidP="00AF1A70">
      <w:pPr>
        <w:pStyle w:val="Caption"/>
      </w:pPr>
      <w:bookmarkStart w:id="14" w:name="_Ref48544911"/>
      <w:bookmarkStart w:id="15" w:name="_Ref50971018"/>
      <w:r>
        <w:t xml:space="preserve">Figure </w:t>
      </w:r>
      <w:r w:rsidR="006E507D">
        <w:fldChar w:fldCharType="begin"/>
      </w:r>
      <w:r w:rsidR="006E507D">
        <w:instrText xml:space="preserve"> SEQ Figure \* ARABIC </w:instrText>
      </w:r>
      <w:r w:rsidR="006E507D">
        <w:fldChar w:fldCharType="separate"/>
      </w:r>
      <w:r w:rsidR="001C5CC6">
        <w:rPr>
          <w:noProof/>
        </w:rPr>
        <w:t>2</w:t>
      </w:r>
      <w:r w:rsidR="006E507D">
        <w:fldChar w:fldCharType="end"/>
      </w:r>
      <w:bookmarkEnd w:id="14"/>
      <w:r>
        <w:t xml:space="preserve"> | The focus areas explored in this </w:t>
      </w:r>
      <w:r w:rsidR="00022622">
        <w:t>scoping paper</w:t>
      </w:r>
      <w:bookmarkEnd w:id="15"/>
    </w:p>
    <w:p w14:paraId="227EF0FC" w14:textId="0B01B9B4" w:rsidR="00AF1A70" w:rsidRDefault="003D3FCA" w:rsidP="00AF1A70">
      <w:r>
        <w:rPr>
          <w:noProof/>
        </w:rPr>
        <w:drawing>
          <wp:inline distT="0" distB="0" distL="0" distR="0" wp14:anchorId="6E72FD5D" wp14:editId="2C0F2255">
            <wp:extent cx="5668645" cy="5012951"/>
            <wp:effectExtent l="0" t="0" r="8255" b="0"/>
            <wp:docPr id="4" name="Picture 4" descr="This diagram describes the five key categories of issue that are explored in the scoping paper. These are: objectives of the Act, FSANZ's statutory functions, legislative processes and decision making arrangements, partnerships and operation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9752" cy="5022774"/>
                    </a:xfrm>
                    <a:prstGeom prst="rect">
                      <a:avLst/>
                    </a:prstGeom>
                    <a:noFill/>
                  </pic:spPr>
                </pic:pic>
              </a:graphicData>
            </a:graphic>
          </wp:inline>
        </w:drawing>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AF1A70" w:rsidRPr="006011B0" w14:paraId="5EC04EFC" w14:textId="77777777" w:rsidTr="00A1736E">
        <w:tc>
          <w:tcPr>
            <w:tcW w:w="9055" w:type="dxa"/>
            <w:shd w:val="clear" w:color="auto" w:fill="00264D" w:themeFill="background2"/>
          </w:tcPr>
          <w:p w14:paraId="1DB7BB18" w14:textId="77777777" w:rsidR="00AF1A70" w:rsidRPr="006011B0" w:rsidRDefault="00AF1A70" w:rsidP="00A1736E">
            <w:pPr>
              <w:pStyle w:val="longformcalloutnumber"/>
              <w:numPr>
                <w:ilvl w:val="0"/>
                <w:numId w:val="0"/>
              </w:numPr>
              <w:ind w:left="340" w:hanging="340"/>
              <w:rPr>
                <w:rFonts w:asciiTheme="minorHAnsi" w:hAnsiTheme="minorHAnsi" w:cstheme="minorHAnsi"/>
                <w:b/>
                <w:color w:val="F8981D" w:themeColor="accent3"/>
              </w:rPr>
            </w:pPr>
            <w:r w:rsidRPr="006011B0">
              <w:rPr>
                <w:rFonts w:asciiTheme="minorHAnsi" w:hAnsiTheme="minorHAnsi" w:cstheme="minorHAnsi"/>
                <w:b/>
                <w:color w:val="F8981D" w:themeColor="accent3"/>
              </w:rPr>
              <w:t>Discussion question:</w:t>
            </w:r>
          </w:p>
          <w:p w14:paraId="1CBD26F7" w14:textId="7DD38EFB" w:rsidR="00D9777F" w:rsidRDefault="00D3327B">
            <w:pPr>
              <w:pStyle w:val="longformcalloutnumber"/>
              <w:numPr>
                <w:ilvl w:val="0"/>
                <w:numId w:val="15"/>
              </w:numPr>
              <w:rPr>
                <w:rFonts w:asciiTheme="minorHAnsi" w:hAnsiTheme="minorHAnsi" w:cstheme="minorHAnsi"/>
                <w:color w:val="FFFFFF" w:themeColor="background1"/>
              </w:rPr>
            </w:pPr>
            <w:r>
              <w:rPr>
                <w:rFonts w:asciiTheme="minorHAnsi" w:hAnsiTheme="minorHAnsi" w:cstheme="minorHAnsi"/>
                <w:color w:val="FFFFFF" w:themeColor="background1"/>
              </w:rPr>
              <w:t xml:space="preserve">Is there </w:t>
            </w:r>
            <w:r w:rsidR="00AC5F10">
              <w:rPr>
                <w:rFonts w:asciiTheme="minorHAnsi" w:hAnsiTheme="minorHAnsi" w:cstheme="minorHAnsi"/>
                <w:color w:val="FFFFFF" w:themeColor="background1"/>
              </w:rPr>
              <w:t xml:space="preserve">still a </w:t>
            </w:r>
            <w:r w:rsidR="00D4059F">
              <w:rPr>
                <w:rFonts w:asciiTheme="minorHAnsi" w:hAnsiTheme="minorHAnsi" w:cstheme="minorHAnsi"/>
                <w:color w:val="FFFFFF" w:themeColor="background1"/>
              </w:rPr>
              <w:t xml:space="preserve">compelling </w:t>
            </w:r>
            <w:r w:rsidR="00AC5F10">
              <w:rPr>
                <w:rFonts w:asciiTheme="minorHAnsi" w:hAnsiTheme="minorHAnsi" w:cstheme="minorHAnsi"/>
                <w:color w:val="FFFFFF" w:themeColor="background1"/>
              </w:rPr>
              <w:t xml:space="preserve">case for regulating food? </w:t>
            </w:r>
            <w:r w:rsidR="00613BED">
              <w:rPr>
                <w:rFonts w:asciiTheme="minorHAnsi" w:hAnsiTheme="minorHAnsi" w:cstheme="minorHAnsi"/>
                <w:color w:val="FFFFFF" w:themeColor="background1"/>
              </w:rPr>
              <w:t>What</w:t>
            </w:r>
            <w:r w:rsidR="00AC5F10">
              <w:rPr>
                <w:rFonts w:asciiTheme="minorHAnsi" w:hAnsiTheme="minorHAnsi" w:cstheme="minorHAnsi"/>
                <w:color w:val="FFFFFF" w:themeColor="background1"/>
              </w:rPr>
              <w:t xml:space="preserve"> market failure(s) should</w:t>
            </w:r>
            <w:r w:rsidR="00613BED">
              <w:rPr>
                <w:rFonts w:asciiTheme="minorHAnsi" w:hAnsiTheme="minorHAnsi" w:cstheme="minorHAnsi"/>
                <w:color w:val="FFFFFF" w:themeColor="background1"/>
              </w:rPr>
              <w:t xml:space="preserve"> governments see</w:t>
            </w:r>
            <w:r w:rsidR="000C32F4">
              <w:rPr>
                <w:rFonts w:asciiTheme="minorHAnsi" w:hAnsiTheme="minorHAnsi" w:cstheme="minorHAnsi"/>
                <w:color w:val="FFFFFF" w:themeColor="background1"/>
              </w:rPr>
              <w:t>k</w:t>
            </w:r>
            <w:r w:rsidR="00613BED">
              <w:rPr>
                <w:rFonts w:asciiTheme="minorHAnsi" w:hAnsiTheme="minorHAnsi" w:cstheme="minorHAnsi"/>
                <w:color w:val="FFFFFF" w:themeColor="background1"/>
              </w:rPr>
              <w:t xml:space="preserve"> to address</w:t>
            </w:r>
            <w:r w:rsidR="00AC5F10">
              <w:rPr>
                <w:rFonts w:asciiTheme="minorHAnsi" w:hAnsiTheme="minorHAnsi" w:cstheme="minorHAnsi"/>
                <w:color w:val="FFFFFF" w:themeColor="background1"/>
              </w:rPr>
              <w:t xml:space="preserve"> </w:t>
            </w:r>
            <w:r w:rsidR="00613BED">
              <w:rPr>
                <w:rFonts w:asciiTheme="minorHAnsi" w:hAnsiTheme="minorHAnsi" w:cstheme="minorHAnsi"/>
                <w:color w:val="FFFFFF" w:themeColor="background1"/>
              </w:rPr>
              <w:t>through regulation of food</w:t>
            </w:r>
            <w:r w:rsidR="00C04C57">
              <w:rPr>
                <w:rFonts w:asciiTheme="minorHAnsi" w:hAnsiTheme="minorHAnsi" w:cstheme="minorHAnsi"/>
                <w:color w:val="FFFFFF" w:themeColor="background1"/>
              </w:rPr>
              <w:t xml:space="preserve">? </w:t>
            </w:r>
          </w:p>
          <w:p w14:paraId="2C9156EB" w14:textId="1D0D27D0" w:rsidR="00AF1A70" w:rsidRPr="006011B0" w:rsidRDefault="00AF1A70" w:rsidP="00760794">
            <w:pPr>
              <w:pStyle w:val="longformcalloutnumber"/>
              <w:numPr>
                <w:ilvl w:val="0"/>
                <w:numId w:val="15"/>
              </w:numPr>
              <w:rPr>
                <w:rFonts w:asciiTheme="minorHAnsi" w:hAnsiTheme="minorHAnsi" w:cstheme="minorHAnsi"/>
                <w:color w:val="FFFFFF" w:themeColor="background1"/>
              </w:rPr>
            </w:pPr>
            <w:r w:rsidRPr="006011B0">
              <w:rPr>
                <w:rFonts w:asciiTheme="minorHAnsi" w:hAnsiTheme="minorHAnsi" w:cstheme="minorHAnsi"/>
                <w:color w:val="FFFFFF" w:themeColor="background1"/>
              </w:rPr>
              <w:t>Are there other significant focus areas that should be considered as part of th</w:t>
            </w:r>
            <w:r w:rsidR="00EB45D6">
              <w:rPr>
                <w:rFonts w:asciiTheme="minorHAnsi" w:hAnsiTheme="minorHAnsi" w:cstheme="minorHAnsi"/>
                <w:color w:val="FFFFFF" w:themeColor="background1"/>
              </w:rPr>
              <w:t>e R</w:t>
            </w:r>
            <w:r w:rsidRPr="006011B0">
              <w:rPr>
                <w:rFonts w:asciiTheme="minorHAnsi" w:hAnsiTheme="minorHAnsi" w:cstheme="minorHAnsi"/>
                <w:color w:val="FFFFFF" w:themeColor="background1"/>
              </w:rPr>
              <w:t xml:space="preserve">eview? </w:t>
            </w:r>
          </w:p>
        </w:tc>
      </w:tr>
    </w:tbl>
    <w:p w14:paraId="7AEFBC99" w14:textId="37D28A40" w:rsidR="00BD01CE" w:rsidRDefault="00BD01CE" w:rsidP="00BD01CE">
      <w:pPr>
        <w:pStyle w:val="Heading1"/>
      </w:pPr>
      <w:bookmarkStart w:id="16" w:name="_Toc50103579"/>
      <w:bookmarkStart w:id="17" w:name="_Toc52179125"/>
      <w:r w:rsidRPr="00760E5A">
        <w:lastRenderedPageBreak/>
        <w:t>Objectives</w:t>
      </w:r>
      <w:bookmarkEnd w:id="16"/>
      <w:bookmarkEnd w:id="17"/>
      <w:r>
        <w:t xml:space="preserve"> </w:t>
      </w:r>
    </w:p>
    <w:p w14:paraId="6A161E91" w14:textId="1A4739B8" w:rsidR="006454C8" w:rsidRDefault="006454C8" w:rsidP="006454C8">
      <w:r>
        <w:t xml:space="preserve">Articulating clear objectives </w:t>
      </w:r>
      <w:r w:rsidR="00DF3431">
        <w:t xml:space="preserve">in legislation </w:t>
      </w:r>
      <w:r>
        <w:t xml:space="preserve">is critical to effective regulation as it provides a clear direction about </w:t>
      </w:r>
      <w:r w:rsidR="00475495">
        <w:t>the outcomes sought by government intervention</w:t>
      </w:r>
      <w:r>
        <w:t xml:space="preserve">. </w:t>
      </w:r>
    </w:p>
    <w:p w14:paraId="6D9F8D65" w14:textId="70DD9D50" w:rsidR="006454C8" w:rsidRDefault="006454C8" w:rsidP="006454C8">
      <w:r>
        <w:t xml:space="preserve">Food is currently captured under a number of different regulatory schemes (such as </w:t>
      </w:r>
      <w:r w:rsidR="00C54FB6">
        <w:t xml:space="preserve">food regulation, </w:t>
      </w:r>
      <w:r>
        <w:t>consumer protection and biosecurity schemes), policies (such as health promotion activities led by departments of health) and agreements (</w:t>
      </w:r>
      <w:r w:rsidR="009D3013">
        <w:t>including</w:t>
      </w:r>
      <w:r>
        <w:t xml:space="preserve"> trade agreements such as those between Australia, New Zealand and other countries).  </w:t>
      </w:r>
    </w:p>
    <w:p w14:paraId="6B3E9006" w14:textId="77777777" w:rsidR="00560321" w:rsidRDefault="00560321" w:rsidP="00560321">
      <w:r>
        <w:t xml:space="preserve">The Act works alongside the Food Regulation Agreement and the Joint Food Standards Treaty between Australia and New Zealand to enable the food regulatory system, but these documents all adopt slightly different wording around the objectives of food regulation. </w:t>
      </w:r>
    </w:p>
    <w:p w14:paraId="5A281FE7" w14:textId="2F9AF2B6" w:rsidR="00560321" w:rsidRDefault="00560321" w:rsidP="00560321">
      <w:r>
        <w:t>In 2016, the Overarching Strategic Statement for the Food Regulatory System (OSS)</w:t>
      </w:r>
      <w:r>
        <w:rPr>
          <w:rStyle w:val="FootnoteReference"/>
        </w:rPr>
        <w:footnoteReference w:id="7"/>
      </w:r>
      <w:r>
        <w:t xml:space="preserve"> was published to provide consolidated advice on the objectives of the system</w:t>
      </w:r>
      <w:r w:rsidR="009332EE">
        <w:t>.</w:t>
      </w:r>
      <w:r>
        <w:t xml:space="preserve"> </w:t>
      </w:r>
      <w:r w:rsidR="009332EE">
        <w:t>T</w:t>
      </w:r>
      <w:r>
        <w:t>his statement called out the following aims:</w:t>
      </w:r>
    </w:p>
    <w:p w14:paraId="505CC625" w14:textId="77777777" w:rsidR="00560321" w:rsidRPr="00C63294" w:rsidRDefault="00560321" w:rsidP="00560321">
      <w:pPr>
        <w:pStyle w:val="Bullet"/>
      </w:pPr>
      <w:r w:rsidRPr="00C63294">
        <w:t>protect the health and safety of consumers by reducing risks related to food</w:t>
      </w:r>
    </w:p>
    <w:p w14:paraId="122A627E" w14:textId="77777777" w:rsidR="00560321" w:rsidRPr="00C63294" w:rsidRDefault="00560321" w:rsidP="00560321">
      <w:pPr>
        <w:pStyle w:val="Bullet"/>
      </w:pPr>
      <w:r w:rsidRPr="00C63294">
        <w:t>enable consumers to make informed choices about food by ensuring that they have sufficient information and by preventing them from being misled</w:t>
      </w:r>
    </w:p>
    <w:p w14:paraId="7F114892" w14:textId="77777777" w:rsidR="00560321" w:rsidRPr="00C63294" w:rsidRDefault="00560321" w:rsidP="00560321">
      <w:pPr>
        <w:pStyle w:val="Bullet"/>
      </w:pPr>
      <w:r w:rsidRPr="00C63294">
        <w:t>support public health objectives by promoting healthy food choices, maintaining and enhancing the nutritional qualities of food and responding to specific public health issues</w:t>
      </w:r>
    </w:p>
    <w:p w14:paraId="551A1035" w14:textId="77777777" w:rsidR="00560321" w:rsidRPr="00C63294" w:rsidRDefault="00560321" w:rsidP="00560321">
      <w:pPr>
        <w:pStyle w:val="Bullet"/>
      </w:pPr>
      <w:r w:rsidRPr="00C63294">
        <w:t>enable the existence of a strong, sustainable food industry to assist in achieving a diverse, affordable food supply and also for the general economic benefit of Australia and New Zealand.</w:t>
      </w:r>
    </w:p>
    <w:p w14:paraId="63ECB52B" w14:textId="297212EE" w:rsidR="00560321" w:rsidRDefault="00560321" w:rsidP="00560321">
      <w:pPr>
        <w:rPr>
          <w:rFonts w:asciiTheme="minorHAnsi" w:hAnsiTheme="minorHAnsi" w:cstheme="minorHAnsi"/>
          <w:szCs w:val="19"/>
        </w:rPr>
      </w:pPr>
      <w:r>
        <w:rPr>
          <w:rFonts w:asciiTheme="minorHAnsi" w:hAnsiTheme="minorHAnsi" w:cstheme="minorHAnsi"/>
          <w:szCs w:val="19"/>
        </w:rPr>
        <w:t>The OSS clarifies that i</w:t>
      </w:r>
      <w:r w:rsidRPr="00C14C53">
        <w:rPr>
          <w:rFonts w:asciiTheme="minorHAnsi" w:hAnsiTheme="minorHAnsi" w:cstheme="minorHAnsi"/>
          <w:szCs w:val="19"/>
        </w:rPr>
        <w:t>n pursuing these aims</w:t>
      </w:r>
      <w:r>
        <w:rPr>
          <w:rFonts w:asciiTheme="minorHAnsi" w:hAnsiTheme="minorHAnsi" w:cstheme="minorHAnsi"/>
          <w:szCs w:val="19"/>
        </w:rPr>
        <w:t>,</w:t>
      </w:r>
      <w:r w:rsidRPr="00C14C53">
        <w:rPr>
          <w:rFonts w:asciiTheme="minorHAnsi" w:hAnsiTheme="minorHAnsi" w:cstheme="minorHAnsi"/>
          <w:szCs w:val="19"/>
        </w:rPr>
        <w:t xml:space="preserve"> the overriding priority will always be protecting public health and safety</w:t>
      </w:r>
      <w:r>
        <w:rPr>
          <w:rFonts w:asciiTheme="minorHAnsi" w:hAnsiTheme="minorHAnsi" w:cstheme="minorHAnsi"/>
          <w:szCs w:val="19"/>
        </w:rPr>
        <w:t>.</w:t>
      </w:r>
    </w:p>
    <w:p w14:paraId="1D004B0A" w14:textId="77777777" w:rsidR="006454C8" w:rsidRDefault="006454C8" w:rsidP="006454C8">
      <w:r>
        <w:t>Reflecting on the objectives of the Act is therefore an opportunity to consider the circumstances in which:</w:t>
      </w:r>
    </w:p>
    <w:p w14:paraId="2F4B6F1D" w14:textId="77777777" w:rsidR="006454C8" w:rsidRDefault="006454C8" w:rsidP="006454C8">
      <w:pPr>
        <w:pStyle w:val="Bullet"/>
      </w:pPr>
      <w:r>
        <w:t xml:space="preserve">the food regulatory system is the </w:t>
      </w:r>
      <w:r w:rsidRPr="008236A9">
        <w:rPr>
          <w:i/>
        </w:rPr>
        <w:t>right</w:t>
      </w:r>
      <w:r>
        <w:t xml:space="preserve"> </w:t>
      </w:r>
      <w:r w:rsidRPr="008236A9">
        <w:rPr>
          <w:i/>
        </w:rPr>
        <w:t xml:space="preserve">regulatory system </w:t>
      </w:r>
      <w:r>
        <w:t>to pursue certain goals</w:t>
      </w:r>
    </w:p>
    <w:p w14:paraId="7BF27303" w14:textId="581201CD" w:rsidR="006454C8" w:rsidRDefault="006454C8" w:rsidP="006454C8">
      <w:pPr>
        <w:pStyle w:val="Bullet"/>
      </w:pPr>
      <w:r>
        <w:t xml:space="preserve">food standards and other regulatory measures are the </w:t>
      </w:r>
      <w:r w:rsidRPr="008236A9">
        <w:rPr>
          <w:i/>
        </w:rPr>
        <w:t xml:space="preserve">most appropriate legislative instruments </w:t>
      </w:r>
      <w:r>
        <w:t>to pursue a certain aim or goal (compared to non-regulatory pathways)</w:t>
      </w:r>
    </w:p>
    <w:p w14:paraId="1F33453C" w14:textId="3B6A4060" w:rsidR="006454C8" w:rsidRDefault="006454C8" w:rsidP="006454C8">
      <w:pPr>
        <w:pStyle w:val="Bullet"/>
      </w:pPr>
      <w:r>
        <w:t xml:space="preserve">how well the functions FSANZ currently delivers – or could deliver – align with </w:t>
      </w:r>
      <w:r w:rsidR="0051339D">
        <w:t>the</w:t>
      </w:r>
      <w:r>
        <w:t xml:space="preserve"> </w:t>
      </w:r>
      <w:r w:rsidRPr="008236A9">
        <w:rPr>
          <w:i/>
        </w:rPr>
        <w:t>statutory objectives</w:t>
      </w:r>
      <w:r>
        <w:t xml:space="preserve">. </w:t>
      </w:r>
    </w:p>
    <w:p w14:paraId="0036F4AC" w14:textId="3C38B2D1" w:rsidR="006454C8" w:rsidRDefault="006454C8" w:rsidP="006454C8">
      <w:r>
        <w:t xml:space="preserve">The </w:t>
      </w:r>
      <w:r w:rsidR="00006691">
        <w:t xml:space="preserve">current wording of the </w:t>
      </w:r>
      <w:r>
        <w:t xml:space="preserve">Object of the Act is captured in </w:t>
      </w:r>
      <w:r w:rsidR="003E122A">
        <w:t>section (</w:t>
      </w:r>
      <w:r w:rsidR="009E63B7">
        <w:t>s</w:t>
      </w:r>
      <w:r w:rsidR="003E122A">
        <w:t>)</w:t>
      </w:r>
      <w:r>
        <w:t xml:space="preserve"> 3 (shown in </w:t>
      </w:r>
      <w:r>
        <w:fldChar w:fldCharType="begin"/>
      </w:r>
      <w:r>
        <w:instrText xml:space="preserve"> REF _Ref51138385 \h </w:instrText>
      </w:r>
      <w:r>
        <w:fldChar w:fldCharType="separate"/>
      </w:r>
      <w:r w:rsidR="001C5CC6">
        <w:t xml:space="preserve">Table </w:t>
      </w:r>
      <w:r w:rsidR="001C5CC6">
        <w:rPr>
          <w:noProof/>
        </w:rPr>
        <w:t>2</w:t>
      </w:r>
      <w:r>
        <w:fldChar w:fldCharType="end"/>
      </w:r>
      <w:r>
        <w:t>).</w:t>
      </w:r>
    </w:p>
    <w:p w14:paraId="70517EC8" w14:textId="1994CBA9" w:rsidR="006454C8" w:rsidRDefault="006454C8" w:rsidP="006454C8">
      <w:pPr>
        <w:pStyle w:val="Caption"/>
      </w:pPr>
      <w:bookmarkStart w:id="18" w:name="_Ref51138385"/>
      <w:r>
        <w:t xml:space="preserve">Table </w:t>
      </w:r>
      <w:r>
        <w:fldChar w:fldCharType="begin"/>
      </w:r>
      <w:r>
        <w:instrText xml:space="preserve"> SEQ Table \* ARABIC </w:instrText>
      </w:r>
      <w:r>
        <w:fldChar w:fldCharType="separate"/>
      </w:r>
      <w:r w:rsidR="001C5CC6">
        <w:rPr>
          <w:noProof/>
        </w:rPr>
        <w:t>2</w:t>
      </w:r>
      <w:r>
        <w:fldChar w:fldCharType="end"/>
      </w:r>
      <w:bookmarkEnd w:id="18"/>
      <w:r>
        <w:t xml:space="preserve"> | </w:t>
      </w:r>
      <w:r w:rsidR="00E228CC">
        <w:t>The Object of the Act</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6454C8" w:rsidRPr="007B2AF8" w14:paraId="0B984863" w14:textId="77777777" w:rsidTr="00CB0F8F">
        <w:tc>
          <w:tcPr>
            <w:tcW w:w="9055" w:type="dxa"/>
          </w:tcPr>
          <w:p w14:paraId="0179A7DC" w14:textId="1AD98C59" w:rsidR="006454C8" w:rsidRPr="00741402" w:rsidRDefault="003C27BD" w:rsidP="00CB0F8F">
            <w:pPr>
              <w:pStyle w:val="Bullet"/>
              <w:numPr>
                <w:ilvl w:val="0"/>
                <w:numId w:val="0"/>
              </w:numPr>
              <w:rPr>
                <w:rFonts w:asciiTheme="majorHAnsi" w:hAnsiTheme="majorHAnsi" w:cstheme="majorHAnsi"/>
                <w:sz w:val="17"/>
                <w:szCs w:val="17"/>
              </w:rPr>
            </w:pPr>
            <w:r>
              <w:rPr>
                <w:rFonts w:asciiTheme="majorHAnsi" w:hAnsiTheme="majorHAnsi" w:cstheme="majorHAnsi"/>
                <w:sz w:val="17"/>
                <w:szCs w:val="17"/>
              </w:rPr>
              <w:t xml:space="preserve">S </w:t>
            </w:r>
            <w:r w:rsidR="006454C8" w:rsidRPr="00741402">
              <w:rPr>
                <w:rFonts w:asciiTheme="majorHAnsi" w:hAnsiTheme="majorHAnsi" w:cstheme="majorHAnsi"/>
                <w:sz w:val="17"/>
                <w:szCs w:val="17"/>
              </w:rPr>
              <w:t xml:space="preserve">3 | Object of </w:t>
            </w:r>
            <w:r w:rsidR="009F4C2B">
              <w:rPr>
                <w:rFonts w:asciiTheme="majorHAnsi" w:hAnsiTheme="majorHAnsi" w:cstheme="majorHAnsi"/>
                <w:sz w:val="17"/>
                <w:szCs w:val="17"/>
              </w:rPr>
              <w:t xml:space="preserve">the </w:t>
            </w:r>
            <w:r w:rsidR="006454C8" w:rsidRPr="00741402">
              <w:rPr>
                <w:rFonts w:asciiTheme="majorHAnsi" w:hAnsiTheme="majorHAnsi" w:cstheme="majorHAnsi"/>
                <w:sz w:val="17"/>
                <w:szCs w:val="17"/>
              </w:rPr>
              <w:t>Act</w:t>
            </w:r>
          </w:p>
          <w:p w14:paraId="3329574C" w14:textId="77777777" w:rsidR="006454C8" w:rsidRPr="007B2AF8" w:rsidRDefault="006454C8" w:rsidP="00CB0F8F">
            <w:pPr>
              <w:pStyle w:val="Bullet"/>
              <w:numPr>
                <w:ilvl w:val="0"/>
                <w:numId w:val="0"/>
              </w:numPr>
              <w:rPr>
                <w:sz w:val="17"/>
                <w:szCs w:val="17"/>
              </w:rPr>
            </w:pPr>
            <w:r w:rsidRPr="007B2AF8">
              <w:rPr>
                <w:sz w:val="17"/>
                <w:szCs w:val="17"/>
              </w:rPr>
              <w:t xml:space="preserve">The Object of this Act is to ensure a high standard of public health protection throughout Australia and New Zealand by means of the establishment and operation of a joint body to be known as Food Standards Australia New Zealand to achieve the following goals: </w:t>
            </w:r>
          </w:p>
          <w:p w14:paraId="5406D72D" w14:textId="7F068C2C" w:rsidR="006454C8" w:rsidRPr="007B2AF8" w:rsidRDefault="006454C8" w:rsidP="00760794">
            <w:pPr>
              <w:pStyle w:val="Bullet"/>
              <w:numPr>
                <w:ilvl w:val="0"/>
                <w:numId w:val="16"/>
              </w:numPr>
              <w:rPr>
                <w:sz w:val="17"/>
                <w:szCs w:val="17"/>
              </w:rPr>
            </w:pPr>
            <w:r w:rsidRPr="007B2AF8">
              <w:rPr>
                <w:sz w:val="17"/>
                <w:szCs w:val="17"/>
              </w:rPr>
              <w:t>a high degree of consumer confidence in the quality and safety of food produced, processed, sold or exported from Australia and New Zealand</w:t>
            </w:r>
          </w:p>
          <w:p w14:paraId="2579B327" w14:textId="393C7A1B" w:rsidR="006454C8" w:rsidRPr="007B2AF8" w:rsidRDefault="006454C8">
            <w:pPr>
              <w:pStyle w:val="Bullet"/>
              <w:numPr>
                <w:ilvl w:val="0"/>
                <w:numId w:val="16"/>
              </w:numPr>
              <w:rPr>
                <w:sz w:val="17"/>
                <w:szCs w:val="17"/>
              </w:rPr>
            </w:pPr>
            <w:r w:rsidRPr="007B2AF8">
              <w:rPr>
                <w:sz w:val="17"/>
                <w:szCs w:val="17"/>
              </w:rPr>
              <w:t xml:space="preserve">an effective, transparent and accountable regulatory framework within which the food industry can work </w:t>
            </w:r>
            <w:r w:rsidRPr="007B2AF8">
              <w:rPr>
                <w:sz w:val="17"/>
                <w:szCs w:val="17"/>
              </w:rPr>
              <w:lastRenderedPageBreak/>
              <w:t xml:space="preserve">efficiently </w:t>
            </w:r>
          </w:p>
          <w:p w14:paraId="48DA9A36" w14:textId="60253D0A" w:rsidR="006454C8" w:rsidRPr="007B2AF8" w:rsidRDefault="006454C8">
            <w:pPr>
              <w:pStyle w:val="Bullet"/>
              <w:numPr>
                <w:ilvl w:val="0"/>
                <w:numId w:val="16"/>
              </w:numPr>
              <w:rPr>
                <w:sz w:val="17"/>
                <w:szCs w:val="17"/>
              </w:rPr>
            </w:pPr>
            <w:r w:rsidRPr="007B2AF8">
              <w:rPr>
                <w:sz w:val="17"/>
                <w:szCs w:val="17"/>
              </w:rPr>
              <w:t>the provision of adequate information relating to food to enable consumers to make informed choices</w:t>
            </w:r>
          </w:p>
          <w:p w14:paraId="055AE88E" w14:textId="77777777" w:rsidR="006454C8" w:rsidRPr="002F2C1F" w:rsidRDefault="006454C8">
            <w:pPr>
              <w:pStyle w:val="Bullet"/>
              <w:numPr>
                <w:ilvl w:val="0"/>
                <w:numId w:val="16"/>
              </w:numPr>
              <w:rPr>
                <w:sz w:val="17"/>
                <w:szCs w:val="17"/>
              </w:rPr>
            </w:pPr>
            <w:r w:rsidRPr="007B2AF8">
              <w:rPr>
                <w:sz w:val="17"/>
                <w:szCs w:val="17"/>
              </w:rPr>
              <w:t>the establishment of common rules for both countries and the promotion of consistency between domestic and international food regulatory measures without reducing the safeguards applying to public health and consumer protection.</w:t>
            </w:r>
            <w:r w:rsidRPr="002F2C1F">
              <w:rPr>
                <w:sz w:val="17"/>
                <w:szCs w:val="17"/>
              </w:rPr>
              <w:t xml:space="preserve"> </w:t>
            </w:r>
          </w:p>
        </w:tc>
      </w:tr>
    </w:tbl>
    <w:p w14:paraId="485B62AC" w14:textId="56FA3236" w:rsidR="006454C8" w:rsidRDefault="006454C8" w:rsidP="006454C8">
      <w:pPr>
        <w:pStyle w:val="Heading2"/>
        <w:ind w:left="578" w:hanging="578"/>
      </w:pPr>
      <w:bookmarkStart w:id="19" w:name="_Ref51485924"/>
      <w:bookmarkStart w:id="20" w:name="_Toc52179126"/>
      <w:r>
        <w:lastRenderedPageBreak/>
        <w:t>Regulatory objectives for the food system need to be clarified</w:t>
      </w:r>
      <w:bookmarkEnd w:id="19"/>
      <w:bookmarkEnd w:id="20"/>
    </w:p>
    <w:p w14:paraId="10717E6E" w14:textId="642DFCA5" w:rsidR="006454C8" w:rsidRPr="00C14C53" w:rsidRDefault="00BC4CDB">
      <w:pPr>
        <w:rPr>
          <w:rFonts w:asciiTheme="minorHAnsi" w:hAnsiTheme="minorHAnsi" w:cstheme="minorHAnsi"/>
          <w:szCs w:val="19"/>
        </w:rPr>
      </w:pPr>
      <w:r>
        <w:t>Several</w:t>
      </w:r>
      <w:r w:rsidR="006454C8">
        <w:t xml:space="preserve"> issues </w:t>
      </w:r>
      <w:r w:rsidR="0081027F">
        <w:t xml:space="preserve">have been identified around how the objectives of the Act are articulated. </w:t>
      </w:r>
      <w:r w:rsidR="00933A74">
        <w:rPr>
          <w:rFonts w:asciiTheme="minorHAnsi" w:hAnsiTheme="minorHAnsi" w:cstheme="minorHAnsi"/>
          <w:szCs w:val="19"/>
        </w:rPr>
        <w:t xml:space="preserve"> </w:t>
      </w:r>
      <w:r w:rsidR="006454C8">
        <w:rPr>
          <w:rFonts w:asciiTheme="minorHAnsi" w:hAnsiTheme="minorHAnsi" w:cstheme="minorHAnsi"/>
          <w:szCs w:val="19"/>
        </w:rPr>
        <w:t xml:space="preserve"> </w:t>
      </w:r>
    </w:p>
    <w:p w14:paraId="2C075FE5" w14:textId="46745A13" w:rsidR="006454C8" w:rsidRDefault="006454C8" w:rsidP="006454C8">
      <w:pPr>
        <w:pStyle w:val="Heading3"/>
      </w:pPr>
      <w:bookmarkStart w:id="21" w:name="_Ref51485926"/>
      <w:r>
        <w:t>It is not clear what is covered by the term ‘public health protection’</w:t>
      </w:r>
      <w:bookmarkEnd w:id="21"/>
      <w:r>
        <w:t xml:space="preserve"> </w:t>
      </w:r>
    </w:p>
    <w:p w14:paraId="31F69E39" w14:textId="032568DB" w:rsidR="006454C8" w:rsidRDefault="006454C8" w:rsidP="006454C8">
      <w:pPr>
        <w:rPr>
          <w:rFonts w:asciiTheme="minorHAnsi" w:hAnsiTheme="minorHAnsi" w:cstheme="minorHAnsi"/>
          <w:lang w:eastAsia="en-AU"/>
        </w:rPr>
      </w:pPr>
      <w:r>
        <w:rPr>
          <w:lang w:eastAsia="en-AU"/>
        </w:rPr>
        <w:t xml:space="preserve">The primary object of the Act in </w:t>
      </w:r>
      <w:r w:rsidR="004673F4">
        <w:rPr>
          <w:lang w:eastAsia="en-AU"/>
        </w:rPr>
        <w:t xml:space="preserve">s </w:t>
      </w:r>
      <w:r>
        <w:rPr>
          <w:lang w:eastAsia="en-AU"/>
        </w:rPr>
        <w:t xml:space="preserve">3 is </w:t>
      </w:r>
      <w:r w:rsidRPr="00D23341">
        <w:rPr>
          <w:rFonts w:asciiTheme="minorHAnsi" w:hAnsiTheme="minorHAnsi" w:cstheme="minorHAnsi"/>
          <w:lang w:eastAsia="en-AU"/>
        </w:rPr>
        <w:t xml:space="preserve">to ensure a high standard of public health protection throughout Australia and New Zealand by means of the establishment and operation of FSANZ. </w:t>
      </w:r>
    </w:p>
    <w:p w14:paraId="5D20B5DD" w14:textId="0D0AB2FC" w:rsidR="006454C8" w:rsidRDefault="006454C8" w:rsidP="006454C8">
      <w:r>
        <w:t>Many stakeholders to date have observed a lack of clarity around what ‘protecting public health’ (</w:t>
      </w:r>
      <w:r w:rsidR="004673F4">
        <w:t xml:space="preserve">s </w:t>
      </w:r>
      <w:r>
        <w:t xml:space="preserve">3) – as well as </w:t>
      </w:r>
      <w:r>
        <w:rPr>
          <w:lang w:eastAsia="en-AU"/>
        </w:rPr>
        <w:t>‘the protection of public health and safety’ (</w:t>
      </w:r>
      <w:r w:rsidR="004673F4">
        <w:rPr>
          <w:lang w:eastAsia="en-AU"/>
        </w:rPr>
        <w:t xml:space="preserve">s </w:t>
      </w:r>
      <w:r>
        <w:rPr>
          <w:lang w:eastAsia="en-AU"/>
        </w:rPr>
        <w:t xml:space="preserve">18) </w:t>
      </w:r>
      <w:r w:rsidR="00051F1E">
        <w:rPr>
          <w:lang w:eastAsia="en-AU"/>
        </w:rPr>
        <w:t>–</w:t>
      </w:r>
      <w:r>
        <w:rPr>
          <w:lang w:eastAsia="en-AU"/>
        </w:rPr>
        <w:t xml:space="preserve"> </w:t>
      </w:r>
      <w:r>
        <w:t>mean</w:t>
      </w:r>
      <w:r w:rsidR="00DC3E50">
        <w:t>s</w:t>
      </w:r>
      <w:r>
        <w:t>. Specifically, it has been noted that they could refer to:</w:t>
      </w:r>
    </w:p>
    <w:p w14:paraId="4AEDD23A" w14:textId="0EC7AD90" w:rsidR="006454C8" w:rsidRDefault="00D92959" w:rsidP="006454C8">
      <w:pPr>
        <w:pStyle w:val="Bullet"/>
      </w:pPr>
      <w:r>
        <w:t>p</w:t>
      </w:r>
      <w:r w:rsidR="006454C8">
        <w:t xml:space="preserve">reventing </w:t>
      </w:r>
      <w:r w:rsidR="000220AF">
        <w:t xml:space="preserve">foodborne </w:t>
      </w:r>
      <w:r w:rsidR="006454C8">
        <w:t>illness or injury</w:t>
      </w:r>
      <w:r w:rsidR="00226837">
        <w:t>, primarily in the acute, post-consumption period</w:t>
      </w:r>
    </w:p>
    <w:p w14:paraId="20A6C6FA" w14:textId="63316D4B" w:rsidR="006454C8" w:rsidRDefault="00D92959" w:rsidP="006454C8">
      <w:pPr>
        <w:pStyle w:val="Bullet"/>
      </w:pPr>
      <w:r>
        <w:t>l</w:t>
      </w:r>
      <w:r w:rsidR="006454C8">
        <w:t>ong term health, including through the prevention of obesity-related chronic disease.</w:t>
      </w:r>
    </w:p>
    <w:p w14:paraId="4FAD270E" w14:textId="48EA7D4E" w:rsidR="006454C8" w:rsidRDefault="006454C8" w:rsidP="006454C8">
      <w:pPr>
        <w:rPr>
          <w:lang w:eastAsia="en-AU"/>
        </w:rPr>
      </w:pPr>
      <w:r>
        <w:rPr>
          <w:lang w:eastAsia="en-AU"/>
        </w:rPr>
        <w:t>The regulatory system was originally set up to assure food safety</w:t>
      </w:r>
      <w:r w:rsidRPr="00425723">
        <w:rPr>
          <w:lang w:eastAsia="en-AU"/>
        </w:rPr>
        <w:t>.</w:t>
      </w:r>
      <w:r w:rsidR="00051F1E">
        <w:rPr>
          <w:lang w:eastAsia="en-AU"/>
        </w:rPr>
        <w:t xml:space="preserve"> </w:t>
      </w:r>
      <w:r w:rsidRPr="00425723">
        <w:rPr>
          <w:lang w:eastAsia="en-AU"/>
        </w:rPr>
        <w:t xml:space="preserve">For example, </w:t>
      </w:r>
      <w:r>
        <w:rPr>
          <w:lang w:eastAsia="en-AU"/>
        </w:rPr>
        <w:t>ensuring that food was manufactured in hygienic spaces and use</w:t>
      </w:r>
      <w:r w:rsidR="001C0204">
        <w:rPr>
          <w:lang w:eastAsia="en-AU"/>
        </w:rPr>
        <w:t>d</w:t>
      </w:r>
      <w:r>
        <w:rPr>
          <w:lang w:eastAsia="en-AU"/>
        </w:rPr>
        <w:t xml:space="preserve"> safe ingredients was important </w:t>
      </w:r>
      <w:r w:rsidR="001F4EC0">
        <w:rPr>
          <w:lang w:eastAsia="en-AU"/>
        </w:rPr>
        <w:t>for</w:t>
      </w:r>
      <w:r>
        <w:rPr>
          <w:lang w:eastAsia="en-AU"/>
        </w:rPr>
        <w:t xml:space="preserve"> preventing injury or illness. Increasingly</w:t>
      </w:r>
      <w:r w:rsidR="00051F1E">
        <w:rPr>
          <w:lang w:eastAsia="en-AU"/>
        </w:rPr>
        <w:t>,</w:t>
      </w:r>
      <w:r>
        <w:rPr>
          <w:lang w:eastAsia="en-AU"/>
        </w:rPr>
        <w:t xml:space="preserve"> however, the regulatory system has been used as a platform to pursue non-food safety matters, such as to encourage healthier eating and prevent food</w:t>
      </w:r>
      <w:r w:rsidR="00051F1E">
        <w:rPr>
          <w:lang w:eastAsia="en-AU"/>
        </w:rPr>
        <w:t>-</w:t>
      </w:r>
      <w:r>
        <w:rPr>
          <w:lang w:eastAsia="en-AU"/>
        </w:rPr>
        <w:t>related chronic disease.</w:t>
      </w:r>
      <w:r w:rsidR="00A85DCD">
        <w:rPr>
          <w:lang w:eastAsia="en-AU"/>
        </w:rPr>
        <w:t xml:space="preserve"> </w:t>
      </w:r>
      <w:r w:rsidR="00FD2F60">
        <w:rPr>
          <w:lang w:eastAsia="en-AU"/>
        </w:rPr>
        <w:t xml:space="preserve">Preventable </w:t>
      </w:r>
      <w:r w:rsidR="000220AF">
        <w:rPr>
          <w:lang w:eastAsia="en-AU"/>
        </w:rPr>
        <w:t>chronic disease</w:t>
      </w:r>
      <w:r w:rsidR="00FD2F60">
        <w:rPr>
          <w:lang w:eastAsia="en-AU"/>
        </w:rPr>
        <w:t xml:space="preserve"> related to diet </w:t>
      </w:r>
      <w:r w:rsidR="00000CB5">
        <w:rPr>
          <w:lang w:eastAsia="en-AU"/>
        </w:rPr>
        <w:t>present significant issues</w:t>
      </w:r>
      <w:r w:rsidR="00FD2F60">
        <w:rPr>
          <w:lang w:eastAsia="en-AU"/>
        </w:rPr>
        <w:t xml:space="preserve"> for Australia and New Zealand, in </w:t>
      </w:r>
      <w:r w:rsidR="00B92414">
        <w:rPr>
          <w:lang w:eastAsia="en-AU"/>
        </w:rPr>
        <w:t xml:space="preserve">terms of </w:t>
      </w:r>
      <w:r w:rsidR="0045216B">
        <w:rPr>
          <w:lang w:eastAsia="en-AU"/>
        </w:rPr>
        <w:t>premature deaths</w:t>
      </w:r>
      <w:r w:rsidR="00B61D03">
        <w:rPr>
          <w:rStyle w:val="FootnoteReference"/>
          <w:lang w:eastAsia="en-AU"/>
        </w:rPr>
        <w:footnoteReference w:id="8"/>
      </w:r>
      <w:r w:rsidR="0045216B">
        <w:rPr>
          <w:lang w:eastAsia="en-AU"/>
        </w:rPr>
        <w:t>, reduced quality of life</w:t>
      </w:r>
      <w:r w:rsidR="002055FC">
        <w:rPr>
          <w:rStyle w:val="FootnoteReference"/>
          <w:lang w:eastAsia="en-AU"/>
        </w:rPr>
        <w:footnoteReference w:id="9"/>
      </w:r>
      <w:r w:rsidR="0045216B">
        <w:rPr>
          <w:lang w:eastAsia="en-AU"/>
        </w:rPr>
        <w:t xml:space="preserve"> and economic costs.</w:t>
      </w:r>
      <w:r w:rsidR="00F3190A">
        <w:rPr>
          <w:rStyle w:val="FootnoteReference"/>
          <w:lang w:eastAsia="en-AU"/>
        </w:rPr>
        <w:footnoteReference w:id="10"/>
      </w:r>
      <w:r w:rsidR="0045216B">
        <w:rPr>
          <w:lang w:eastAsia="en-AU"/>
        </w:rPr>
        <w:t xml:space="preserve"> </w:t>
      </w:r>
    </w:p>
    <w:p w14:paraId="00F56571" w14:textId="77777777" w:rsidR="006454C8" w:rsidRDefault="006454C8" w:rsidP="006454C8">
      <w:pPr>
        <w:rPr>
          <w:lang w:eastAsia="en-AU"/>
        </w:rPr>
      </w:pPr>
      <w:r>
        <w:rPr>
          <w:lang w:eastAsia="en-AU"/>
        </w:rPr>
        <w:t>Clarifying the terms ‘public health’ and ‘safety’ has important implications:</w:t>
      </w:r>
    </w:p>
    <w:p w14:paraId="256B5D38" w14:textId="69976CF5" w:rsidR="006454C8" w:rsidRDefault="00D92959" w:rsidP="006454C8">
      <w:pPr>
        <w:pStyle w:val="Bullet"/>
      </w:pPr>
      <w:r>
        <w:t>a</w:t>
      </w:r>
      <w:r w:rsidR="006454C8">
        <w:t xml:space="preserve"> narrower definition focused on food safety </w:t>
      </w:r>
      <w:r w:rsidR="00CD0674">
        <w:t xml:space="preserve">primarily </w:t>
      </w:r>
      <w:r w:rsidR="006454C8">
        <w:t>in the acute post-consumption period means that th</w:t>
      </w:r>
      <w:r w:rsidR="00B202F8">
        <w:t>e</w:t>
      </w:r>
      <w:r w:rsidR="006454C8">
        <w:t xml:space="preserve"> food should only be regulated</w:t>
      </w:r>
      <w:r w:rsidR="009C2A6B">
        <w:t xml:space="preserve"> by FSANZ</w:t>
      </w:r>
      <w:r w:rsidR="006454C8">
        <w:t xml:space="preserve"> to prevent injury or illness; longer-term public health and nutrition objectives should only be pursued through other channels</w:t>
      </w:r>
    </w:p>
    <w:p w14:paraId="22E3FBA5" w14:textId="532B23F5" w:rsidR="006454C8" w:rsidRDefault="00D92959" w:rsidP="006454C8">
      <w:pPr>
        <w:pStyle w:val="Bullet"/>
      </w:pPr>
      <w:r>
        <w:t>a</w:t>
      </w:r>
      <w:r w:rsidR="006454C8">
        <w:t xml:space="preserve"> broader definition encompassing both acute and long-term health provides a legislated basis for work that is already being carried out through the regulatory system. Th</w:t>
      </w:r>
      <w:r w:rsidR="00EB45D6">
        <w:t>e</w:t>
      </w:r>
      <w:r w:rsidR="006454C8">
        <w:t xml:space="preserve"> </w:t>
      </w:r>
      <w:r w:rsidR="00EB45D6">
        <w:t>R</w:t>
      </w:r>
      <w:r w:rsidR="006454C8">
        <w:t>eview therefore become</w:t>
      </w:r>
      <w:r w:rsidR="00D16229">
        <w:t>s</w:t>
      </w:r>
      <w:r w:rsidR="006454C8">
        <w:t xml:space="preserve"> about ensuring that FSANZ’s functions and the provisions it must follow in the Act are appropriate to achieving this dual focus. </w:t>
      </w:r>
    </w:p>
    <w:p w14:paraId="1F39BBAA" w14:textId="77777777" w:rsidR="006454C8" w:rsidRDefault="006454C8" w:rsidP="006454C8">
      <w:pPr>
        <w:pStyle w:val="Heading3"/>
      </w:pPr>
      <w:bookmarkStart w:id="22" w:name="_Ref51485930"/>
      <w:r>
        <w:lastRenderedPageBreak/>
        <w:t>The intent of ‘enabling consumers to make informed choices’ has evolved over time</w:t>
      </w:r>
      <w:bookmarkEnd w:id="22"/>
    </w:p>
    <w:p w14:paraId="04E1309E" w14:textId="444A47B5" w:rsidR="006454C8" w:rsidRDefault="006454C8" w:rsidP="006454C8">
      <w:pPr>
        <w:rPr>
          <w:rFonts w:asciiTheme="minorHAnsi" w:hAnsiTheme="minorHAnsi" w:cstheme="minorHAnsi"/>
        </w:rPr>
      </w:pPr>
      <w:r>
        <w:rPr>
          <w:rFonts w:asciiTheme="minorHAnsi" w:hAnsiTheme="minorHAnsi" w:cstheme="minorHAnsi"/>
        </w:rPr>
        <w:t>One of the core goals for FSANZ is the provision of adequate information relating to food to enable consumers to make informed choices</w:t>
      </w:r>
      <w:r w:rsidR="00512B1F">
        <w:rPr>
          <w:rFonts w:asciiTheme="minorHAnsi" w:hAnsiTheme="minorHAnsi" w:cstheme="minorHAnsi"/>
        </w:rPr>
        <w:t xml:space="preserve"> (</w:t>
      </w:r>
      <w:r w:rsidR="006C07FC">
        <w:rPr>
          <w:rFonts w:asciiTheme="minorHAnsi" w:hAnsiTheme="minorHAnsi" w:cstheme="minorHAnsi"/>
        </w:rPr>
        <w:t xml:space="preserve">s </w:t>
      </w:r>
      <w:r w:rsidR="00512B1F">
        <w:rPr>
          <w:rFonts w:asciiTheme="minorHAnsi" w:hAnsiTheme="minorHAnsi" w:cstheme="minorHAnsi"/>
        </w:rPr>
        <w:t>3</w:t>
      </w:r>
      <w:r w:rsidR="00AC40EB">
        <w:rPr>
          <w:rFonts w:asciiTheme="minorHAnsi" w:hAnsiTheme="minorHAnsi" w:cstheme="minorHAnsi"/>
        </w:rPr>
        <w:t>(c))</w:t>
      </w:r>
      <w:r>
        <w:rPr>
          <w:rFonts w:asciiTheme="minorHAnsi" w:hAnsiTheme="minorHAnsi" w:cstheme="minorHAnsi"/>
        </w:rPr>
        <w:t xml:space="preserve">. </w:t>
      </w:r>
    </w:p>
    <w:p w14:paraId="4E12D84B" w14:textId="2B4BB639" w:rsidR="006454C8" w:rsidRDefault="007520F9" w:rsidP="006454C8">
      <w:pPr>
        <w:rPr>
          <w:rFonts w:asciiTheme="minorHAnsi" w:hAnsiTheme="minorHAnsi" w:cstheme="minorHAnsi"/>
        </w:rPr>
      </w:pPr>
      <w:r>
        <w:rPr>
          <w:rFonts w:asciiTheme="minorHAnsi" w:hAnsiTheme="minorHAnsi" w:cstheme="minorHAnsi"/>
        </w:rPr>
        <w:t>It is understood</w:t>
      </w:r>
      <w:r w:rsidR="00E73989">
        <w:rPr>
          <w:rFonts w:asciiTheme="minorHAnsi" w:hAnsiTheme="minorHAnsi" w:cstheme="minorHAnsi"/>
        </w:rPr>
        <w:t xml:space="preserve"> that</w:t>
      </w:r>
      <w:r w:rsidR="006454C8">
        <w:rPr>
          <w:rFonts w:asciiTheme="minorHAnsi" w:hAnsiTheme="minorHAnsi" w:cstheme="minorHAnsi"/>
        </w:rPr>
        <w:t xml:space="preserve"> the original intent of </w:t>
      </w:r>
      <w:r w:rsidR="00BA1DDE">
        <w:rPr>
          <w:rFonts w:asciiTheme="minorHAnsi" w:hAnsiTheme="minorHAnsi" w:cstheme="minorHAnsi"/>
        </w:rPr>
        <w:t>this goal</w:t>
      </w:r>
      <w:r w:rsidR="006454C8">
        <w:rPr>
          <w:rFonts w:asciiTheme="minorHAnsi" w:hAnsiTheme="minorHAnsi" w:cstheme="minorHAnsi"/>
        </w:rPr>
        <w:t xml:space="preserve"> was to ensure that consumers had access to food safety information such as the potential allergen alerts. Over time however, consumers have used food labels to inform their purchasing and consumption behaviours for a variety of reasons including dietary preferences, environmental concerns or to support local businesses.</w:t>
      </w:r>
    </w:p>
    <w:p w14:paraId="5216C783" w14:textId="5D9B745E" w:rsidR="006454C8" w:rsidRDefault="006454C8" w:rsidP="006454C8">
      <w:pPr>
        <w:rPr>
          <w:rFonts w:asciiTheme="minorHAnsi" w:hAnsiTheme="minorHAnsi" w:cstheme="minorHAnsi"/>
        </w:rPr>
      </w:pPr>
      <w:r>
        <w:rPr>
          <w:rFonts w:asciiTheme="minorHAnsi" w:hAnsiTheme="minorHAnsi" w:cstheme="minorHAnsi"/>
        </w:rPr>
        <w:t xml:space="preserve">This change has created some complexities about how the </w:t>
      </w:r>
      <w:r w:rsidR="00C10F6D">
        <w:rPr>
          <w:rFonts w:asciiTheme="minorHAnsi" w:hAnsiTheme="minorHAnsi" w:cstheme="minorHAnsi"/>
        </w:rPr>
        <w:t>Act</w:t>
      </w:r>
      <w:r>
        <w:rPr>
          <w:rFonts w:asciiTheme="minorHAnsi" w:hAnsiTheme="minorHAnsi" w:cstheme="minorHAnsi"/>
        </w:rPr>
        <w:t xml:space="preserve"> interfaces with consumer law</w:t>
      </w:r>
      <w:r w:rsidR="00592CBE">
        <w:rPr>
          <w:rFonts w:asciiTheme="minorHAnsi" w:hAnsiTheme="minorHAnsi" w:cstheme="minorHAnsi"/>
        </w:rPr>
        <w:t xml:space="preserve">, where consumer </w:t>
      </w:r>
      <w:r w:rsidR="008F70EC">
        <w:rPr>
          <w:rFonts w:asciiTheme="minorHAnsi" w:hAnsiTheme="minorHAnsi" w:cstheme="minorHAnsi"/>
        </w:rPr>
        <w:t>protection and</w:t>
      </w:r>
      <w:r w:rsidR="00592CBE">
        <w:rPr>
          <w:rFonts w:asciiTheme="minorHAnsi" w:hAnsiTheme="minorHAnsi" w:cstheme="minorHAnsi"/>
        </w:rPr>
        <w:t xml:space="preserve"> choice </w:t>
      </w:r>
      <w:r w:rsidR="00A31423">
        <w:rPr>
          <w:rFonts w:asciiTheme="minorHAnsi" w:hAnsiTheme="minorHAnsi" w:cstheme="minorHAnsi"/>
        </w:rPr>
        <w:t>are</w:t>
      </w:r>
      <w:r w:rsidR="00592CBE">
        <w:rPr>
          <w:rFonts w:asciiTheme="minorHAnsi" w:hAnsiTheme="minorHAnsi" w:cstheme="minorHAnsi"/>
        </w:rPr>
        <w:t xml:space="preserve"> </w:t>
      </w:r>
      <w:r w:rsidR="00DC679E">
        <w:rPr>
          <w:rFonts w:asciiTheme="minorHAnsi" w:hAnsiTheme="minorHAnsi" w:cstheme="minorHAnsi"/>
        </w:rPr>
        <w:t xml:space="preserve">the </w:t>
      </w:r>
      <w:r w:rsidR="00592CBE">
        <w:rPr>
          <w:rFonts w:asciiTheme="minorHAnsi" w:hAnsiTheme="minorHAnsi" w:cstheme="minorHAnsi"/>
        </w:rPr>
        <w:t xml:space="preserve">central </w:t>
      </w:r>
      <w:r w:rsidR="00DC679E">
        <w:rPr>
          <w:rFonts w:asciiTheme="minorHAnsi" w:hAnsiTheme="minorHAnsi" w:cstheme="minorHAnsi"/>
        </w:rPr>
        <w:t>focus of regulation. T</w:t>
      </w:r>
      <w:r>
        <w:rPr>
          <w:rFonts w:asciiTheme="minorHAnsi" w:hAnsiTheme="minorHAnsi" w:cstheme="minorHAnsi"/>
        </w:rPr>
        <w:t>his has contributed to the confusion seen over the years about the right regulatory scheme to use to progress certain objectives</w:t>
      </w:r>
      <w:r w:rsidR="00DC679E">
        <w:rPr>
          <w:rFonts w:asciiTheme="minorHAnsi" w:hAnsiTheme="minorHAnsi" w:cstheme="minorHAnsi"/>
        </w:rPr>
        <w:t>;</w:t>
      </w:r>
      <w:r>
        <w:rPr>
          <w:rFonts w:asciiTheme="minorHAnsi" w:hAnsiTheme="minorHAnsi" w:cstheme="minorHAnsi"/>
        </w:rPr>
        <w:t xml:space="preserve"> </w:t>
      </w:r>
      <w:r w:rsidR="00DC679E">
        <w:rPr>
          <w:rFonts w:asciiTheme="minorHAnsi" w:hAnsiTheme="minorHAnsi" w:cstheme="minorHAnsi"/>
        </w:rPr>
        <w:t>c</w:t>
      </w:r>
      <w:r>
        <w:rPr>
          <w:rFonts w:asciiTheme="minorHAnsi" w:hAnsiTheme="minorHAnsi" w:cstheme="minorHAnsi"/>
        </w:rPr>
        <w:t>ountry of origin labelling and palm oil use disclosures are examples of regulated information that were debated before ultimately being managed within consumer law</w:t>
      </w:r>
      <w:r w:rsidR="00143624">
        <w:rPr>
          <w:rFonts w:asciiTheme="minorHAnsi" w:hAnsiTheme="minorHAnsi" w:cstheme="minorHAnsi"/>
        </w:rPr>
        <w:t>s</w:t>
      </w:r>
      <w:r>
        <w:rPr>
          <w:rFonts w:asciiTheme="minorHAnsi" w:hAnsiTheme="minorHAnsi" w:cstheme="minorHAnsi"/>
        </w:rPr>
        <w:t xml:space="preserve">. </w:t>
      </w:r>
    </w:p>
    <w:p w14:paraId="4EF0E11A" w14:textId="20079CB2" w:rsidR="006454C8" w:rsidRDefault="006454C8" w:rsidP="006454C8">
      <w:pPr>
        <w:pStyle w:val="Heading3"/>
      </w:pPr>
      <w:bookmarkStart w:id="23" w:name="_Ref51485934"/>
      <w:r>
        <w:t>FSANZ must have regard to the desirability of an efficient and internationally competitive food industry, but this is not a</w:t>
      </w:r>
      <w:r w:rsidR="00765DB2">
        <w:t>n explicitly</w:t>
      </w:r>
      <w:r>
        <w:t xml:space="preserve"> stated goal for FSANZ in </w:t>
      </w:r>
      <w:r w:rsidR="006C07FC">
        <w:t xml:space="preserve">s </w:t>
      </w:r>
      <w:r>
        <w:t>3 of the Act</w:t>
      </w:r>
      <w:bookmarkEnd w:id="23"/>
    </w:p>
    <w:p w14:paraId="125EE96C" w14:textId="77777777" w:rsidR="00953C0C" w:rsidRDefault="006454C8" w:rsidP="006454C8">
      <w:pPr>
        <w:rPr>
          <w:rFonts w:asciiTheme="minorHAnsi" w:hAnsiTheme="minorHAnsi" w:cstheme="minorHAnsi"/>
        </w:rPr>
      </w:pPr>
      <w:r>
        <w:rPr>
          <w:rFonts w:asciiTheme="minorHAnsi" w:hAnsiTheme="minorHAnsi" w:cstheme="minorHAnsi"/>
        </w:rPr>
        <w:t>The Terms of Reference for th</w:t>
      </w:r>
      <w:r w:rsidR="002C60D0">
        <w:rPr>
          <w:rFonts w:asciiTheme="minorHAnsi" w:hAnsiTheme="minorHAnsi" w:cstheme="minorHAnsi"/>
        </w:rPr>
        <w:t>e</w:t>
      </w:r>
      <w:r>
        <w:rPr>
          <w:rFonts w:asciiTheme="minorHAnsi" w:hAnsiTheme="minorHAnsi" w:cstheme="minorHAnsi"/>
        </w:rPr>
        <w:t xml:space="preserve"> </w:t>
      </w:r>
      <w:r w:rsidR="002C60D0">
        <w:rPr>
          <w:rFonts w:asciiTheme="minorHAnsi" w:hAnsiTheme="minorHAnsi" w:cstheme="minorHAnsi"/>
        </w:rPr>
        <w:t>R</w:t>
      </w:r>
      <w:r>
        <w:rPr>
          <w:rFonts w:asciiTheme="minorHAnsi" w:hAnsiTheme="minorHAnsi" w:cstheme="minorHAnsi"/>
        </w:rPr>
        <w:t xml:space="preserve">eview specifically recognise the importance of the food industry to regional communities and the broader economies of both Australia and New Zealand. </w:t>
      </w:r>
    </w:p>
    <w:p w14:paraId="4485751B" w14:textId="22F5C7B3" w:rsidR="006454C8" w:rsidRDefault="006454C8" w:rsidP="006454C8">
      <w:pPr>
        <w:rPr>
          <w:rFonts w:asciiTheme="minorHAnsi" w:hAnsiTheme="minorHAnsi" w:cstheme="minorHAnsi"/>
        </w:rPr>
      </w:pPr>
      <w:r>
        <w:rPr>
          <w:rFonts w:asciiTheme="minorHAnsi" w:hAnsiTheme="minorHAnsi" w:cstheme="minorHAnsi"/>
        </w:rPr>
        <w:t xml:space="preserve">Supporting trade is not </w:t>
      </w:r>
      <w:r w:rsidR="005E0FD3">
        <w:rPr>
          <w:rFonts w:asciiTheme="minorHAnsi" w:hAnsiTheme="minorHAnsi" w:cstheme="minorHAnsi"/>
        </w:rPr>
        <w:t xml:space="preserve">currently an explicit </w:t>
      </w:r>
      <w:r w:rsidR="00C91A98">
        <w:rPr>
          <w:rFonts w:asciiTheme="minorHAnsi" w:hAnsiTheme="minorHAnsi" w:cstheme="minorHAnsi"/>
        </w:rPr>
        <w:t xml:space="preserve">core goal for FSANZ as set out in </w:t>
      </w:r>
      <w:r w:rsidR="005C1637">
        <w:rPr>
          <w:rFonts w:asciiTheme="minorHAnsi" w:hAnsiTheme="minorHAnsi" w:cstheme="minorHAnsi"/>
        </w:rPr>
        <w:t>s</w:t>
      </w:r>
      <w:r w:rsidR="00C91A98">
        <w:rPr>
          <w:rFonts w:asciiTheme="minorHAnsi" w:hAnsiTheme="minorHAnsi" w:cstheme="minorHAnsi"/>
        </w:rPr>
        <w:t xml:space="preserve"> 3 of the Act. T</w:t>
      </w:r>
      <w:r w:rsidR="005E0FD3">
        <w:rPr>
          <w:rFonts w:asciiTheme="minorHAnsi" w:hAnsiTheme="minorHAnsi" w:cstheme="minorHAnsi"/>
        </w:rPr>
        <w:t>hough</w:t>
      </w:r>
      <w:r w:rsidR="00B9461A">
        <w:rPr>
          <w:rFonts w:asciiTheme="minorHAnsi" w:hAnsiTheme="minorHAnsi" w:cstheme="minorHAnsi"/>
        </w:rPr>
        <w:t xml:space="preserve"> one </w:t>
      </w:r>
      <w:r w:rsidR="004F64B7">
        <w:rPr>
          <w:rFonts w:asciiTheme="minorHAnsi" w:hAnsiTheme="minorHAnsi" w:cstheme="minorHAnsi"/>
        </w:rPr>
        <w:t xml:space="preserve">of </w:t>
      </w:r>
      <w:r w:rsidR="00C91A98">
        <w:rPr>
          <w:rFonts w:asciiTheme="minorHAnsi" w:hAnsiTheme="minorHAnsi" w:cstheme="minorHAnsi"/>
        </w:rPr>
        <w:t xml:space="preserve">FSANZ’s goals in this provision </w:t>
      </w:r>
      <w:r w:rsidR="00FA08F5">
        <w:rPr>
          <w:rFonts w:asciiTheme="minorHAnsi" w:hAnsiTheme="minorHAnsi" w:cstheme="minorHAnsi"/>
        </w:rPr>
        <w:t>is the “</w:t>
      </w:r>
      <w:r w:rsidR="00C60621">
        <w:rPr>
          <w:rFonts w:asciiTheme="minorHAnsi" w:hAnsiTheme="minorHAnsi" w:cstheme="minorHAnsi"/>
        </w:rPr>
        <w:t xml:space="preserve">establishment of common rules for both countries and </w:t>
      </w:r>
      <w:r w:rsidR="00F957AD">
        <w:rPr>
          <w:rFonts w:asciiTheme="minorHAnsi" w:hAnsiTheme="minorHAnsi" w:cstheme="minorHAnsi"/>
        </w:rPr>
        <w:t xml:space="preserve">the </w:t>
      </w:r>
      <w:r w:rsidR="00FA08F5">
        <w:rPr>
          <w:rFonts w:asciiTheme="minorHAnsi" w:hAnsiTheme="minorHAnsi" w:cstheme="minorHAnsi"/>
        </w:rPr>
        <w:t xml:space="preserve">promotion of consistency between domestic and international food regulatory measures” </w:t>
      </w:r>
      <w:r w:rsidR="00F957AD">
        <w:rPr>
          <w:rFonts w:asciiTheme="minorHAnsi" w:hAnsiTheme="minorHAnsi" w:cstheme="minorHAnsi"/>
        </w:rPr>
        <w:t>(s 3(d))</w:t>
      </w:r>
      <w:r w:rsidR="00F96D44">
        <w:rPr>
          <w:rFonts w:asciiTheme="minorHAnsi" w:hAnsiTheme="minorHAnsi" w:cstheme="minorHAnsi"/>
        </w:rPr>
        <w:t xml:space="preserve">, this does not make explicit reference to trade or </w:t>
      </w:r>
      <w:r w:rsidR="00FF70A9">
        <w:rPr>
          <w:rFonts w:asciiTheme="minorHAnsi" w:hAnsiTheme="minorHAnsi" w:cstheme="minorHAnsi"/>
        </w:rPr>
        <w:t xml:space="preserve">an </w:t>
      </w:r>
      <w:r w:rsidR="00F96D44">
        <w:rPr>
          <w:rFonts w:asciiTheme="minorHAnsi" w:hAnsiTheme="minorHAnsi" w:cstheme="minorHAnsi"/>
        </w:rPr>
        <w:t>internationally competitive industry</w:t>
      </w:r>
      <w:r w:rsidR="00B83394">
        <w:rPr>
          <w:rFonts w:asciiTheme="minorHAnsi" w:hAnsiTheme="minorHAnsi" w:cstheme="minorHAnsi"/>
        </w:rPr>
        <w:t xml:space="preserve">. </w:t>
      </w:r>
      <w:r w:rsidR="00F8720A">
        <w:rPr>
          <w:rFonts w:asciiTheme="minorHAnsi" w:hAnsiTheme="minorHAnsi" w:cstheme="minorHAnsi"/>
        </w:rPr>
        <w:t xml:space="preserve">The desirability of an efficient and internationally competitive food industry is one of the factors to which FSANZ “must have regard” in the development of food regulatory measures (see below). </w:t>
      </w:r>
    </w:p>
    <w:p w14:paraId="7194CA4D" w14:textId="2DEEF4BC" w:rsidR="002E479B" w:rsidRDefault="002E479B" w:rsidP="006454C8">
      <w:pPr>
        <w:rPr>
          <w:rFonts w:asciiTheme="minorHAnsi" w:hAnsiTheme="minorHAnsi" w:cstheme="minorHAnsi"/>
        </w:rPr>
      </w:pPr>
      <w:r>
        <w:rPr>
          <w:rFonts w:asciiTheme="minorHAnsi" w:hAnsiTheme="minorHAnsi" w:cstheme="minorHAnsi"/>
        </w:rPr>
        <w:t>Some stakeholders have reported that this is a missed opportunity</w:t>
      </w:r>
      <w:r w:rsidR="0053168F">
        <w:rPr>
          <w:rFonts w:asciiTheme="minorHAnsi" w:hAnsiTheme="minorHAnsi" w:cstheme="minorHAnsi"/>
        </w:rPr>
        <w:t xml:space="preserve"> and that by including trade objectives in </w:t>
      </w:r>
      <w:r w:rsidR="006C07FC">
        <w:rPr>
          <w:rFonts w:asciiTheme="minorHAnsi" w:hAnsiTheme="minorHAnsi" w:cstheme="minorHAnsi"/>
        </w:rPr>
        <w:t xml:space="preserve">s </w:t>
      </w:r>
      <w:r w:rsidR="0053168F">
        <w:rPr>
          <w:rFonts w:asciiTheme="minorHAnsi" w:hAnsiTheme="minorHAnsi" w:cstheme="minorHAnsi"/>
        </w:rPr>
        <w:t xml:space="preserve">3, </w:t>
      </w:r>
      <w:r w:rsidR="009D405F">
        <w:rPr>
          <w:rFonts w:asciiTheme="minorHAnsi" w:hAnsiTheme="minorHAnsi" w:cstheme="minorHAnsi"/>
        </w:rPr>
        <w:t xml:space="preserve">there may be a greater impetus to </w:t>
      </w:r>
      <w:r w:rsidR="00EC60A2">
        <w:rPr>
          <w:rFonts w:asciiTheme="minorHAnsi" w:hAnsiTheme="minorHAnsi" w:cstheme="minorHAnsi"/>
        </w:rPr>
        <w:t xml:space="preserve">support </w:t>
      </w:r>
      <w:r w:rsidR="006A44C0">
        <w:rPr>
          <w:rFonts w:asciiTheme="minorHAnsi" w:hAnsiTheme="minorHAnsi" w:cstheme="minorHAnsi"/>
        </w:rPr>
        <w:t xml:space="preserve">industry and innovation. </w:t>
      </w:r>
      <w:r w:rsidR="00B3394F">
        <w:rPr>
          <w:rFonts w:asciiTheme="minorHAnsi" w:hAnsiTheme="minorHAnsi" w:cstheme="minorHAnsi"/>
        </w:rPr>
        <w:t xml:space="preserve">Some stakeholders caution </w:t>
      </w:r>
      <w:r w:rsidR="00E460A5">
        <w:rPr>
          <w:rFonts w:asciiTheme="minorHAnsi" w:hAnsiTheme="minorHAnsi" w:cstheme="minorHAnsi"/>
        </w:rPr>
        <w:t xml:space="preserve">that greater emphasis on trade and industry objectives should </w:t>
      </w:r>
      <w:r w:rsidR="00AC5F10">
        <w:rPr>
          <w:rFonts w:asciiTheme="minorHAnsi" w:hAnsiTheme="minorHAnsi" w:cstheme="minorHAnsi"/>
        </w:rPr>
        <w:t>not detract from</w:t>
      </w:r>
      <w:r w:rsidR="00F10E37">
        <w:rPr>
          <w:rFonts w:asciiTheme="minorHAnsi" w:hAnsiTheme="minorHAnsi" w:cstheme="minorHAnsi"/>
        </w:rPr>
        <w:t xml:space="preserve"> the overarching </w:t>
      </w:r>
      <w:r w:rsidR="00AC5F10">
        <w:rPr>
          <w:rFonts w:asciiTheme="minorHAnsi" w:hAnsiTheme="minorHAnsi" w:cstheme="minorHAnsi"/>
        </w:rPr>
        <w:t>goal</w:t>
      </w:r>
      <w:r w:rsidR="00F10E37">
        <w:rPr>
          <w:rFonts w:asciiTheme="minorHAnsi" w:hAnsiTheme="minorHAnsi" w:cstheme="minorHAnsi"/>
        </w:rPr>
        <w:t xml:space="preserve"> of promoting public health and safety. </w:t>
      </w:r>
    </w:p>
    <w:p w14:paraId="0BEE3F1B" w14:textId="46E2A8EA" w:rsidR="006454C8" w:rsidRDefault="006454C8" w:rsidP="006454C8">
      <w:pPr>
        <w:pStyle w:val="Heading3"/>
      </w:pPr>
      <w:bookmarkStart w:id="24" w:name="_Ref51485938"/>
      <w:r>
        <w:t xml:space="preserve">There </w:t>
      </w:r>
      <w:r w:rsidR="00933A74">
        <w:t xml:space="preserve">are structural tensions </w:t>
      </w:r>
      <w:r w:rsidR="001B1E9C">
        <w:t xml:space="preserve">within </w:t>
      </w:r>
      <w:r w:rsidR="00645232">
        <w:t>FSANZ’s objectives</w:t>
      </w:r>
      <w:r>
        <w:t xml:space="preserve"> when developing food regulatory measures</w:t>
      </w:r>
      <w:bookmarkEnd w:id="24"/>
    </w:p>
    <w:p w14:paraId="4DF7B444" w14:textId="7716E29A" w:rsidR="006454C8" w:rsidRDefault="006454C8" w:rsidP="006454C8">
      <w:pPr>
        <w:rPr>
          <w:lang w:eastAsia="en-AU"/>
        </w:rPr>
      </w:pPr>
      <w:r>
        <w:rPr>
          <w:lang w:eastAsia="en-AU"/>
        </w:rPr>
        <w:t xml:space="preserve">S 18 sets out </w:t>
      </w:r>
      <w:r w:rsidR="00682889">
        <w:rPr>
          <w:lang w:eastAsia="en-AU"/>
        </w:rPr>
        <w:t>FSANZ’s o</w:t>
      </w:r>
      <w:r>
        <w:rPr>
          <w:lang w:eastAsia="en-AU"/>
        </w:rPr>
        <w:t>bjectives in developing or reviewing food regulatory measures (</w:t>
      </w:r>
      <w:r w:rsidR="00682889">
        <w:rPr>
          <w:lang w:eastAsia="en-AU"/>
        </w:rPr>
        <w:fldChar w:fldCharType="begin"/>
      </w:r>
      <w:r w:rsidR="00682889">
        <w:rPr>
          <w:lang w:eastAsia="en-AU"/>
        </w:rPr>
        <w:instrText xml:space="preserve"> REF _Ref51402074 \h </w:instrText>
      </w:r>
      <w:r w:rsidR="00682889">
        <w:rPr>
          <w:lang w:eastAsia="en-AU"/>
        </w:rPr>
      </w:r>
      <w:r w:rsidR="00682889">
        <w:rPr>
          <w:lang w:eastAsia="en-AU"/>
        </w:rPr>
        <w:fldChar w:fldCharType="separate"/>
      </w:r>
      <w:r w:rsidR="001C5CC6">
        <w:t xml:space="preserve">Table </w:t>
      </w:r>
      <w:r w:rsidR="001C5CC6">
        <w:rPr>
          <w:noProof/>
        </w:rPr>
        <w:t>3</w:t>
      </w:r>
      <w:r w:rsidR="00682889">
        <w:rPr>
          <w:lang w:eastAsia="en-AU"/>
        </w:rPr>
        <w:fldChar w:fldCharType="end"/>
      </w:r>
      <w:r>
        <w:rPr>
          <w:lang w:eastAsia="en-AU"/>
        </w:rPr>
        <w:t xml:space="preserve">). </w:t>
      </w:r>
    </w:p>
    <w:p w14:paraId="2B522F8D" w14:textId="732FE6C7" w:rsidR="00682889" w:rsidRDefault="00682889" w:rsidP="00682889">
      <w:pPr>
        <w:pStyle w:val="Caption"/>
      </w:pPr>
      <w:bookmarkStart w:id="25" w:name="_Ref51402074"/>
      <w:r>
        <w:t xml:space="preserve">Table </w:t>
      </w:r>
      <w:r>
        <w:fldChar w:fldCharType="begin"/>
      </w:r>
      <w:r>
        <w:instrText xml:space="preserve"> SEQ Table \* ARABIC </w:instrText>
      </w:r>
      <w:r>
        <w:fldChar w:fldCharType="separate"/>
      </w:r>
      <w:r w:rsidR="001C5CC6">
        <w:rPr>
          <w:noProof/>
        </w:rPr>
        <w:t>3</w:t>
      </w:r>
      <w:r>
        <w:fldChar w:fldCharType="end"/>
      </w:r>
      <w:bookmarkEnd w:id="25"/>
      <w:r>
        <w:t xml:space="preserve"> | </w:t>
      </w:r>
      <w:r w:rsidRPr="00200D97">
        <w:t>Objectives of the Authority in developing, reviewing or varying food regulatory measures</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6454C8" w:rsidRPr="00092311" w14:paraId="5968358A" w14:textId="77777777" w:rsidTr="00CB0F8F">
        <w:tc>
          <w:tcPr>
            <w:tcW w:w="9055" w:type="dxa"/>
          </w:tcPr>
          <w:p w14:paraId="438D22F3" w14:textId="2DABACA0" w:rsidR="006454C8" w:rsidRPr="00092311" w:rsidRDefault="006C07FC" w:rsidP="00CB0F8F">
            <w:pPr>
              <w:pStyle w:val="Bullet"/>
              <w:numPr>
                <w:ilvl w:val="0"/>
                <w:numId w:val="0"/>
              </w:numPr>
              <w:ind w:left="340" w:hanging="340"/>
              <w:rPr>
                <w:rFonts w:asciiTheme="majorHAnsi" w:hAnsiTheme="majorHAnsi" w:cstheme="majorHAnsi"/>
              </w:rPr>
            </w:pPr>
            <w:r>
              <w:rPr>
                <w:rFonts w:asciiTheme="majorHAnsi" w:hAnsiTheme="majorHAnsi" w:cstheme="majorHAnsi"/>
              </w:rPr>
              <w:t xml:space="preserve">S </w:t>
            </w:r>
            <w:r w:rsidR="006454C8" w:rsidRPr="00092311">
              <w:rPr>
                <w:rFonts w:asciiTheme="majorHAnsi" w:hAnsiTheme="majorHAnsi" w:cstheme="majorHAnsi"/>
              </w:rPr>
              <w:t xml:space="preserve">18 | Objectives of the Authority in developing or reviewing food regulatory measures and variations of food regulatory measures </w:t>
            </w:r>
          </w:p>
          <w:p w14:paraId="18829FB1" w14:textId="77777777" w:rsidR="006454C8" w:rsidRPr="00092311" w:rsidRDefault="006454C8" w:rsidP="00760794">
            <w:pPr>
              <w:pStyle w:val="Bullet"/>
              <w:numPr>
                <w:ilvl w:val="0"/>
                <w:numId w:val="17"/>
              </w:numPr>
            </w:pPr>
            <w:r w:rsidRPr="00092311">
              <w:t xml:space="preserve">The objectives (in descending priority order) of the Authority in developing or reviewing food regulatory measures and variations of food regulatory measures are: </w:t>
            </w:r>
          </w:p>
          <w:p w14:paraId="663513DA" w14:textId="320DB37B" w:rsidR="006454C8" w:rsidRPr="00092311" w:rsidRDefault="006454C8">
            <w:pPr>
              <w:pStyle w:val="Bullet"/>
              <w:numPr>
                <w:ilvl w:val="0"/>
                <w:numId w:val="18"/>
              </w:numPr>
            </w:pPr>
            <w:r w:rsidRPr="00092311">
              <w:t>The protection of public health and safety</w:t>
            </w:r>
          </w:p>
          <w:p w14:paraId="1D478823" w14:textId="5DAC1767" w:rsidR="006454C8" w:rsidRPr="00092311" w:rsidRDefault="006454C8">
            <w:pPr>
              <w:pStyle w:val="Bullet"/>
              <w:numPr>
                <w:ilvl w:val="0"/>
                <w:numId w:val="18"/>
              </w:numPr>
            </w:pPr>
            <w:r w:rsidRPr="00092311">
              <w:t xml:space="preserve">The provision of adequate information relating to food to enable consumers to make informed </w:t>
            </w:r>
            <w:r w:rsidRPr="00092311">
              <w:lastRenderedPageBreak/>
              <w:t xml:space="preserve">choices </w:t>
            </w:r>
          </w:p>
          <w:p w14:paraId="5C3E5671" w14:textId="2E0A9FFD" w:rsidR="006454C8" w:rsidRPr="00092311" w:rsidRDefault="006454C8">
            <w:pPr>
              <w:pStyle w:val="Bullet"/>
              <w:numPr>
                <w:ilvl w:val="0"/>
                <w:numId w:val="18"/>
              </w:numPr>
            </w:pPr>
            <w:r w:rsidRPr="00092311">
              <w:t>The prevention of misleading or deceptive conduct</w:t>
            </w:r>
            <w:r w:rsidR="00F51DA1">
              <w:t>.</w:t>
            </w:r>
            <w:r w:rsidRPr="00092311">
              <w:t xml:space="preserve"> </w:t>
            </w:r>
          </w:p>
          <w:p w14:paraId="5E8721F0" w14:textId="77777777" w:rsidR="006454C8" w:rsidRPr="00092311" w:rsidRDefault="006454C8">
            <w:pPr>
              <w:pStyle w:val="Bullet"/>
              <w:numPr>
                <w:ilvl w:val="0"/>
                <w:numId w:val="17"/>
              </w:numPr>
            </w:pPr>
            <w:r w:rsidRPr="00092311">
              <w:t xml:space="preserve">In developing or reviewing food regulatory measures and variations of food regulatory measures, the Authority must also have regard to the following: </w:t>
            </w:r>
          </w:p>
          <w:p w14:paraId="012DDBD1" w14:textId="68A87105" w:rsidR="006454C8" w:rsidRPr="00092311" w:rsidRDefault="006454C8">
            <w:pPr>
              <w:pStyle w:val="Bullet"/>
              <w:numPr>
                <w:ilvl w:val="0"/>
                <w:numId w:val="19"/>
              </w:numPr>
            </w:pPr>
            <w:r w:rsidRPr="00092311">
              <w:t xml:space="preserve">The need for standards to be based on risk analysis using the best available scientific evidence </w:t>
            </w:r>
          </w:p>
          <w:p w14:paraId="57569C6B" w14:textId="77777777" w:rsidR="006454C8" w:rsidRPr="00092311" w:rsidRDefault="006454C8">
            <w:pPr>
              <w:pStyle w:val="Bullet"/>
              <w:numPr>
                <w:ilvl w:val="0"/>
                <w:numId w:val="19"/>
              </w:numPr>
            </w:pPr>
            <w:r w:rsidRPr="00092311">
              <w:t>The promotion of consistency between domestic and international food standards</w:t>
            </w:r>
          </w:p>
          <w:p w14:paraId="30BB9741" w14:textId="2104AAEE" w:rsidR="006454C8" w:rsidRPr="00092311" w:rsidRDefault="006454C8">
            <w:pPr>
              <w:pStyle w:val="Bullet"/>
              <w:numPr>
                <w:ilvl w:val="0"/>
                <w:numId w:val="19"/>
              </w:numPr>
            </w:pPr>
            <w:r w:rsidRPr="00092311">
              <w:t>The desirability of an efficient and internationally competitive food industry</w:t>
            </w:r>
          </w:p>
          <w:p w14:paraId="27A66A83" w14:textId="77777777" w:rsidR="006454C8" w:rsidRPr="00092311" w:rsidRDefault="006454C8">
            <w:pPr>
              <w:pStyle w:val="Bullet"/>
              <w:numPr>
                <w:ilvl w:val="0"/>
                <w:numId w:val="19"/>
              </w:numPr>
            </w:pPr>
            <w:r w:rsidRPr="00092311">
              <w:t>The promotion of fair trading in food</w:t>
            </w:r>
          </w:p>
          <w:p w14:paraId="3650EB86" w14:textId="56FDE9E3" w:rsidR="006454C8" w:rsidRPr="00092311" w:rsidRDefault="006454C8">
            <w:pPr>
              <w:pStyle w:val="Bullet"/>
              <w:numPr>
                <w:ilvl w:val="0"/>
                <w:numId w:val="19"/>
              </w:numPr>
            </w:pPr>
            <w:r w:rsidRPr="00092311">
              <w:t>Any written policy guidelines formulated by the Forum on Food Regulation for the purposes of this paragraph and notified to the Authority</w:t>
            </w:r>
            <w:r w:rsidR="00F51DA1">
              <w:t>.</w:t>
            </w:r>
          </w:p>
        </w:tc>
      </w:tr>
    </w:tbl>
    <w:p w14:paraId="0DDAE260" w14:textId="77777777" w:rsidR="006454C8" w:rsidRPr="002F2C1F" w:rsidRDefault="006454C8" w:rsidP="006454C8">
      <w:pPr>
        <w:rPr>
          <w:lang w:eastAsia="en-AU"/>
        </w:rPr>
      </w:pPr>
    </w:p>
    <w:p w14:paraId="212B3E4A" w14:textId="57B8141F" w:rsidR="006454C8" w:rsidRDefault="006454C8" w:rsidP="006454C8">
      <w:pPr>
        <w:pStyle w:val="Bullet"/>
        <w:numPr>
          <w:ilvl w:val="0"/>
          <w:numId w:val="0"/>
        </w:numPr>
      </w:pPr>
      <w:r>
        <w:t>The legislation currently requires FSANZ to develop draft regulatory measures such as food standards where they align with the objectives set out in s</w:t>
      </w:r>
      <w:r w:rsidR="00021161">
        <w:t xml:space="preserve"> </w:t>
      </w:r>
      <w:r>
        <w:t xml:space="preserve">18(1). </w:t>
      </w:r>
    </w:p>
    <w:p w14:paraId="13016651" w14:textId="6FD0BD36" w:rsidR="006454C8" w:rsidRDefault="006454C8" w:rsidP="006454C8">
      <w:pPr>
        <w:pStyle w:val="Bullet"/>
        <w:numPr>
          <w:ilvl w:val="0"/>
          <w:numId w:val="0"/>
        </w:numPr>
      </w:pPr>
      <w:r>
        <w:t>As part of that process, they ‘must have regard’ to five key factors, including any written policy guidelines formulated by the Forum (</w:t>
      </w:r>
      <w:r w:rsidR="00021161">
        <w:t xml:space="preserve">s </w:t>
      </w:r>
      <w:r>
        <w:t xml:space="preserve">18(2)). Importantly, </w:t>
      </w:r>
      <w:r w:rsidR="00DE4146">
        <w:t>m</w:t>
      </w:r>
      <w:r>
        <w:t>inisterial guidelines are not binding on FSANZ</w:t>
      </w:r>
      <w:r w:rsidR="0090091B">
        <w:t xml:space="preserve"> and</w:t>
      </w:r>
      <w:r>
        <w:t xml:space="preserve"> each of the factors must be considered with equal weight. </w:t>
      </w:r>
      <w:r w:rsidR="009971A7">
        <w:t xml:space="preserve">Stakeholders </w:t>
      </w:r>
      <w:r w:rsidR="0090091B">
        <w:t xml:space="preserve">have </w:t>
      </w:r>
      <w:r w:rsidR="009971A7">
        <w:t xml:space="preserve">raised </w:t>
      </w:r>
      <w:r w:rsidR="00BA764C">
        <w:t>concerns that this</w:t>
      </w:r>
      <w:r>
        <w:t xml:space="preserve"> can create tensions when some of these factors may be in conflict; for example, a </w:t>
      </w:r>
      <w:r w:rsidR="00DE4146">
        <w:t>m</w:t>
      </w:r>
      <w:r>
        <w:t xml:space="preserve">inisterial guideline may be at odds with the desirability of an efficient and internationally competitive food industry (see the example at </w:t>
      </w:r>
      <w:r w:rsidR="00092311">
        <w:fldChar w:fldCharType="begin"/>
      </w:r>
      <w:r w:rsidR="00092311">
        <w:instrText xml:space="preserve"> REF _Ref51412275 \h </w:instrText>
      </w:r>
      <w:r w:rsidR="00092311">
        <w:fldChar w:fldCharType="separate"/>
      </w:r>
      <w:r w:rsidR="001C5CC6">
        <w:t xml:space="preserve">Table </w:t>
      </w:r>
      <w:r w:rsidR="001C5CC6">
        <w:rPr>
          <w:noProof/>
        </w:rPr>
        <w:t>4</w:t>
      </w:r>
      <w:r w:rsidR="00092311">
        <w:fldChar w:fldCharType="end"/>
      </w:r>
      <w:r>
        <w:t xml:space="preserve">). </w:t>
      </w:r>
    </w:p>
    <w:p w14:paraId="37BEE534" w14:textId="04C8E0C1" w:rsidR="006454C8" w:rsidRDefault="006454C8" w:rsidP="006454C8">
      <w:pPr>
        <w:pStyle w:val="Bullet"/>
        <w:numPr>
          <w:ilvl w:val="0"/>
          <w:numId w:val="0"/>
        </w:numPr>
      </w:pPr>
      <w:r>
        <w:t>Upon drafting a regulatory measure, FSANZ refers the matter to the Forum for ratification, however the Forum can reject the draft by ‘registering their concerns’ (</w:t>
      </w:r>
      <w:r w:rsidR="00021161">
        <w:t xml:space="preserve">s </w:t>
      </w:r>
      <w:r>
        <w:t xml:space="preserve">86). The Forum is not obliged to ‘have </w:t>
      </w:r>
      <w:r w:rsidR="00B24CBA">
        <w:t>regard</w:t>
      </w:r>
      <w:r>
        <w:t xml:space="preserve">’ </w:t>
      </w:r>
      <w:r w:rsidR="008F583C">
        <w:t xml:space="preserve">to </w:t>
      </w:r>
      <w:r>
        <w:t>the same factors when registering their concerns</w:t>
      </w:r>
      <w:r w:rsidR="001F50DA">
        <w:t xml:space="preserve"> or meet any criteria</w:t>
      </w:r>
      <w:r w:rsidR="0043185B">
        <w:t xml:space="preserve"> in the Act</w:t>
      </w:r>
      <w:r w:rsidR="001F50DA">
        <w:t xml:space="preserve"> to reject a draft regulatory measure</w:t>
      </w:r>
      <w:r w:rsidR="00A27120">
        <w:rPr>
          <w:rStyle w:val="FootnoteReference"/>
        </w:rPr>
        <w:footnoteReference w:id="11"/>
      </w:r>
      <w:r w:rsidR="00236046">
        <w:t>. Th</w:t>
      </w:r>
      <w:r w:rsidR="00A66A98">
        <w:t xml:space="preserve">is means that the Forum can put an unequal weight </w:t>
      </w:r>
      <w:r w:rsidR="00C142C5">
        <w:t>on alignment with ministerial guidelines</w:t>
      </w:r>
      <w:r>
        <w:t xml:space="preserve"> and the subsequent review process can have significant practical consequences for both FSANZ and the broader regulatory system in terms of the resourcing require</w:t>
      </w:r>
      <w:r w:rsidR="00742201">
        <w:t>d and the</w:t>
      </w:r>
      <w:r>
        <w:t xml:space="preserve"> cost and delay involved in Forum-directed reviews.  </w:t>
      </w:r>
    </w:p>
    <w:p w14:paraId="00364D02" w14:textId="4F80D322" w:rsidR="00092311" w:rsidRDefault="00092311" w:rsidP="00092311">
      <w:pPr>
        <w:pStyle w:val="Caption"/>
      </w:pPr>
      <w:bookmarkStart w:id="26" w:name="_Ref51412275"/>
      <w:r>
        <w:t xml:space="preserve">Table </w:t>
      </w:r>
      <w:r>
        <w:fldChar w:fldCharType="begin"/>
      </w:r>
      <w:r>
        <w:instrText xml:space="preserve"> SEQ Table \* ARABIC </w:instrText>
      </w:r>
      <w:r>
        <w:fldChar w:fldCharType="separate"/>
      </w:r>
      <w:r w:rsidR="001C5CC6">
        <w:rPr>
          <w:noProof/>
        </w:rPr>
        <w:t>4</w:t>
      </w:r>
      <w:r>
        <w:fldChar w:fldCharType="end"/>
      </w:r>
      <w:bookmarkEnd w:id="26"/>
      <w:r>
        <w:t xml:space="preserve"> | </w:t>
      </w:r>
      <w:r w:rsidRPr="004A00BC">
        <w:t>Infant formula: an example of where objectives for food regulatory measures conflict</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6454C8" w14:paraId="73FAF10B" w14:textId="77777777" w:rsidTr="00092311">
        <w:tc>
          <w:tcPr>
            <w:tcW w:w="9055" w:type="dxa"/>
          </w:tcPr>
          <w:p w14:paraId="7AEC6CA2" w14:textId="07F068C0" w:rsidR="00D34202" w:rsidRDefault="00D509FF" w:rsidP="00CB0F8F">
            <w:pPr>
              <w:rPr>
                <w:rFonts w:asciiTheme="minorHAnsi" w:hAnsiTheme="minorHAnsi" w:cstheme="minorHAnsi"/>
              </w:rPr>
            </w:pPr>
            <w:r>
              <w:rPr>
                <w:rFonts w:asciiTheme="minorHAnsi" w:hAnsiTheme="minorHAnsi" w:cstheme="minorHAnsi"/>
              </w:rPr>
              <w:t>Brea</w:t>
            </w:r>
            <w:r w:rsidR="00AB3CFA">
              <w:rPr>
                <w:rFonts w:asciiTheme="minorHAnsi" w:hAnsiTheme="minorHAnsi" w:cstheme="minorHAnsi"/>
              </w:rPr>
              <w:t>s</w:t>
            </w:r>
            <w:r>
              <w:rPr>
                <w:rFonts w:asciiTheme="minorHAnsi" w:hAnsiTheme="minorHAnsi" w:cstheme="minorHAnsi"/>
              </w:rPr>
              <w:t xml:space="preserve">tfeeding is widely recognised as the best source of nutrition for babies. </w:t>
            </w:r>
            <w:r w:rsidR="00993E8F">
              <w:rPr>
                <w:rFonts w:asciiTheme="minorHAnsi" w:hAnsiTheme="minorHAnsi" w:cstheme="minorHAnsi"/>
              </w:rPr>
              <w:t>However, there are babies who cannot be breastfed, includ</w:t>
            </w:r>
            <w:r w:rsidR="00195C32">
              <w:rPr>
                <w:rFonts w:asciiTheme="minorHAnsi" w:hAnsiTheme="minorHAnsi" w:cstheme="minorHAnsi"/>
              </w:rPr>
              <w:t>ing</w:t>
            </w:r>
            <w:r w:rsidR="00045D9A">
              <w:rPr>
                <w:rFonts w:asciiTheme="minorHAnsi" w:hAnsiTheme="minorHAnsi" w:cstheme="minorHAnsi"/>
              </w:rPr>
              <w:t xml:space="preserve"> cases where</w:t>
            </w:r>
            <w:r w:rsidR="00993E8F">
              <w:rPr>
                <w:rFonts w:asciiTheme="minorHAnsi" w:hAnsiTheme="minorHAnsi" w:cstheme="minorHAnsi"/>
              </w:rPr>
              <w:t xml:space="preserve"> their mothers are unable</w:t>
            </w:r>
            <w:r w:rsidR="00AB3CFA">
              <w:rPr>
                <w:rFonts w:asciiTheme="minorHAnsi" w:hAnsiTheme="minorHAnsi" w:cstheme="minorHAnsi"/>
              </w:rPr>
              <w:t xml:space="preserve">, or choose not to do so for various reasons. </w:t>
            </w:r>
            <w:r w:rsidR="00F85D96">
              <w:rPr>
                <w:rFonts w:asciiTheme="minorHAnsi" w:hAnsiTheme="minorHAnsi" w:cstheme="minorHAnsi"/>
              </w:rPr>
              <w:t xml:space="preserve">Infant formula is therefore a critical alternative to breast milk and industry </w:t>
            </w:r>
            <w:r w:rsidR="00D34202">
              <w:rPr>
                <w:rFonts w:asciiTheme="minorHAnsi" w:hAnsiTheme="minorHAnsi" w:cstheme="minorHAnsi"/>
              </w:rPr>
              <w:t xml:space="preserve">constantly seeks to innovate to create substances that better emulate breast milk. </w:t>
            </w:r>
          </w:p>
          <w:p w14:paraId="0E2778D0" w14:textId="66E63237" w:rsidR="006454C8" w:rsidRDefault="006454C8" w:rsidP="00CB0F8F">
            <w:pPr>
              <w:rPr>
                <w:rFonts w:asciiTheme="minorHAnsi" w:hAnsiTheme="minorHAnsi" w:cstheme="minorHAnsi"/>
              </w:rPr>
            </w:pPr>
            <w:r w:rsidRPr="0037584B">
              <w:rPr>
                <w:rFonts w:asciiTheme="minorHAnsi" w:hAnsiTheme="minorHAnsi" w:cstheme="minorHAnsi"/>
              </w:rPr>
              <w:t>The infant formula policy guidelines</w:t>
            </w:r>
            <w:r>
              <w:rPr>
                <w:rStyle w:val="FootnoteReference"/>
                <w:rFonts w:asciiTheme="minorHAnsi" w:hAnsiTheme="minorHAnsi" w:cstheme="minorHAnsi"/>
              </w:rPr>
              <w:footnoteReference w:id="12"/>
            </w:r>
            <w:r w:rsidRPr="0037584B">
              <w:rPr>
                <w:rFonts w:asciiTheme="minorHAnsi" w:hAnsiTheme="minorHAnsi" w:cstheme="minorHAnsi"/>
              </w:rPr>
              <w:t xml:space="preserve"> include both high order principles</w:t>
            </w:r>
            <w:r>
              <w:rPr>
                <w:rFonts w:asciiTheme="minorHAnsi" w:hAnsiTheme="minorHAnsi" w:cstheme="minorHAnsi"/>
              </w:rPr>
              <w:t>,</w:t>
            </w:r>
            <w:r w:rsidRPr="0037584B">
              <w:rPr>
                <w:rFonts w:asciiTheme="minorHAnsi" w:hAnsiTheme="minorHAnsi" w:cstheme="minorHAnsi"/>
              </w:rPr>
              <w:t xml:space="preserve"> as well as 17 specific policy principles. According to the Act, FSANZ must have regard to these guidelines, as well as each of the other </w:t>
            </w:r>
            <w:r>
              <w:rPr>
                <w:rFonts w:asciiTheme="minorHAnsi" w:hAnsiTheme="minorHAnsi" w:cstheme="minorHAnsi"/>
              </w:rPr>
              <w:t>factors set out in S18 of the Act</w:t>
            </w:r>
            <w:r w:rsidRPr="0037584B">
              <w:rPr>
                <w:rFonts w:asciiTheme="minorHAnsi" w:hAnsiTheme="minorHAnsi" w:cstheme="minorHAnsi"/>
              </w:rPr>
              <w:t xml:space="preserve">. </w:t>
            </w:r>
            <w:r w:rsidR="00FC63B5">
              <w:rPr>
                <w:rFonts w:asciiTheme="minorHAnsi" w:hAnsiTheme="minorHAnsi" w:cstheme="minorHAnsi"/>
              </w:rPr>
              <w:t>M</w:t>
            </w:r>
            <w:r w:rsidR="00F413C2">
              <w:rPr>
                <w:rFonts w:asciiTheme="minorHAnsi" w:hAnsiTheme="minorHAnsi" w:cstheme="minorHAnsi"/>
              </w:rPr>
              <w:t xml:space="preserve">inisterial </w:t>
            </w:r>
            <w:r w:rsidR="00047B8A">
              <w:rPr>
                <w:rFonts w:asciiTheme="minorHAnsi" w:hAnsiTheme="minorHAnsi" w:cstheme="minorHAnsi"/>
              </w:rPr>
              <w:t>g</w:t>
            </w:r>
            <w:r w:rsidR="00F413C2">
              <w:rPr>
                <w:rFonts w:asciiTheme="minorHAnsi" w:hAnsiTheme="minorHAnsi" w:cstheme="minorHAnsi"/>
              </w:rPr>
              <w:t>uidelines are not binding on FSANZ.</w:t>
            </w:r>
          </w:p>
          <w:p w14:paraId="44297DC4" w14:textId="2FE4AF9A" w:rsidR="006454C8" w:rsidRDefault="006454C8" w:rsidP="00CB0F8F">
            <w:pPr>
              <w:rPr>
                <w:rFonts w:asciiTheme="minorHAnsi" w:hAnsiTheme="minorHAnsi" w:cstheme="minorHAnsi"/>
              </w:rPr>
            </w:pPr>
            <w:r w:rsidRPr="00CC3EDF">
              <w:rPr>
                <w:rFonts w:asciiTheme="minorHAnsi" w:hAnsiTheme="minorHAnsi" w:cstheme="minorHAnsi"/>
              </w:rPr>
              <w:lastRenderedPageBreak/>
              <w:t>FSANZ recently consid</w:t>
            </w:r>
            <w:r w:rsidRPr="0037584B">
              <w:rPr>
                <w:rFonts w:asciiTheme="minorHAnsi" w:hAnsiTheme="minorHAnsi" w:cstheme="minorHAnsi"/>
              </w:rPr>
              <w:t xml:space="preserve">ered an application and made a decision to permit two optional substances to infant formula products. The decision had given regard to the </w:t>
            </w:r>
            <w:r w:rsidR="009D03D3">
              <w:rPr>
                <w:rFonts w:asciiTheme="minorHAnsi" w:hAnsiTheme="minorHAnsi" w:cstheme="minorHAnsi"/>
              </w:rPr>
              <w:t>m</w:t>
            </w:r>
            <w:r w:rsidRPr="0037584B">
              <w:rPr>
                <w:rFonts w:asciiTheme="minorHAnsi" w:hAnsiTheme="minorHAnsi" w:cstheme="minorHAnsi"/>
              </w:rPr>
              <w:t xml:space="preserve">inisterial </w:t>
            </w:r>
            <w:r w:rsidR="009D03D3">
              <w:rPr>
                <w:rFonts w:asciiTheme="minorHAnsi" w:hAnsiTheme="minorHAnsi" w:cstheme="minorHAnsi"/>
              </w:rPr>
              <w:t>g</w:t>
            </w:r>
            <w:r w:rsidRPr="0037584B">
              <w:rPr>
                <w:rFonts w:asciiTheme="minorHAnsi" w:hAnsiTheme="minorHAnsi" w:cstheme="minorHAnsi"/>
              </w:rPr>
              <w:t xml:space="preserve">uidelines and </w:t>
            </w:r>
            <w:r w:rsidR="009D03D3">
              <w:rPr>
                <w:rFonts w:asciiTheme="minorHAnsi" w:hAnsiTheme="minorHAnsi" w:cstheme="minorHAnsi"/>
              </w:rPr>
              <w:t>the Act’s</w:t>
            </w:r>
            <w:r w:rsidRPr="0037584B">
              <w:rPr>
                <w:rFonts w:asciiTheme="minorHAnsi" w:hAnsiTheme="minorHAnsi" w:cstheme="minorHAnsi"/>
              </w:rPr>
              <w:t xml:space="preserve"> objectives. Upon reaching the Forum</w:t>
            </w:r>
            <w:r w:rsidR="00EC0A54">
              <w:rPr>
                <w:rFonts w:asciiTheme="minorHAnsi" w:hAnsiTheme="minorHAnsi" w:cstheme="minorHAnsi"/>
              </w:rPr>
              <w:t>,</w:t>
            </w:r>
            <w:r w:rsidR="002F7514">
              <w:rPr>
                <w:rFonts w:asciiTheme="minorHAnsi" w:hAnsiTheme="minorHAnsi" w:cstheme="minorHAnsi"/>
              </w:rPr>
              <w:t xml:space="preserve"> however</w:t>
            </w:r>
            <w:r w:rsidRPr="0037584B">
              <w:rPr>
                <w:rFonts w:asciiTheme="minorHAnsi" w:hAnsiTheme="minorHAnsi" w:cstheme="minorHAnsi"/>
              </w:rPr>
              <w:t xml:space="preserve">, </w:t>
            </w:r>
            <w:r w:rsidR="00281FEC">
              <w:rPr>
                <w:rFonts w:asciiTheme="minorHAnsi" w:hAnsiTheme="minorHAnsi" w:cstheme="minorHAnsi"/>
              </w:rPr>
              <w:t>some</w:t>
            </w:r>
            <w:r w:rsidR="00281FEC" w:rsidRPr="0037584B">
              <w:rPr>
                <w:rFonts w:asciiTheme="minorHAnsi" w:hAnsiTheme="minorHAnsi" w:cstheme="minorHAnsi"/>
              </w:rPr>
              <w:t xml:space="preserve"> </w:t>
            </w:r>
            <w:r w:rsidRPr="0037584B">
              <w:rPr>
                <w:rFonts w:asciiTheme="minorHAnsi" w:hAnsiTheme="minorHAnsi" w:cstheme="minorHAnsi"/>
              </w:rPr>
              <w:t xml:space="preserve">jurisdictions expressed concern </w:t>
            </w:r>
            <w:r w:rsidR="00AE4A0D">
              <w:rPr>
                <w:rFonts w:asciiTheme="minorHAnsi" w:hAnsiTheme="minorHAnsi" w:cstheme="minorHAnsi"/>
              </w:rPr>
              <w:t>mostly</w:t>
            </w:r>
            <w:r w:rsidR="00D90432">
              <w:rPr>
                <w:rFonts w:asciiTheme="minorHAnsi" w:hAnsiTheme="minorHAnsi" w:cstheme="minorHAnsi"/>
              </w:rPr>
              <w:t xml:space="preserve"> </w:t>
            </w:r>
            <w:r w:rsidR="00D96ABC">
              <w:rPr>
                <w:rFonts w:asciiTheme="minorHAnsi" w:hAnsiTheme="minorHAnsi" w:cstheme="minorHAnsi"/>
              </w:rPr>
              <w:t>about</w:t>
            </w:r>
            <w:r w:rsidRPr="0037584B">
              <w:rPr>
                <w:rFonts w:asciiTheme="minorHAnsi" w:hAnsiTheme="minorHAnsi" w:cstheme="minorHAnsi"/>
              </w:rPr>
              <w:t xml:space="preserve"> one of the 17 specific policy principles</w:t>
            </w:r>
            <w:r w:rsidR="0028437B">
              <w:rPr>
                <w:rFonts w:asciiTheme="minorHAnsi" w:hAnsiTheme="minorHAnsi" w:cstheme="minorHAnsi"/>
              </w:rPr>
              <w:t xml:space="preserve"> in the </w:t>
            </w:r>
            <w:r w:rsidR="009D03D3">
              <w:rPr>
                <w:rFonts w:asciiTheme="minorHAnsi" w:hAnsiTheme="minorHAnsi" w:cstheme="minorHAnsi"/>
              </w:rPr>
              <w:t>m</w:t>
            </w:r>
            <w:r w:rsidR="0028437B">
              <w:rPr>
                <w:rFonts w:asciiTheme="minorHAnsi" w:hAnsiTheme="minorHAnsi" w:cstheme="minorHAnsi"/>
              </w:rPr>
              <w:t xml:space="preserve">inisterial </w:t>
            </w:r>
            <w:r w:rsidR="009D03D3" w:rsidRPr="0043185B">
              <w:rPr>
                <w:rFonts w:asciiTheme="minorHAnsi" w:hAnsiTheme="minorHAnsi" w:cstheme="minorHAnsi"/>
              </w:rPr>
              <w:t>g</w:t>
            </w:r>
            <w:r w:rsidR="0028437B" w:rsidRPr="0043185B">
              <w:rPr>
                <w:rFonts w:asciiTheme="minorHAnsi" w:hAnsiTheme="minorHAnsi" w:cstheme="minorHAnsi"/>
              </w:rPr>
              <w:t>uidelines</w:t>
            </w:r>
            <w:r w:rsidRPr="0043185B">
              <w:rPr>
                <w:rFonts w:asciiTheme="minorHAnsi" w:hAnsiTheme="minorHAnsi" w:cstheme="minorHAnsi"/>
              </w:rPr>
              <w:t>, relating to the need to link a physiological or functional effect to a beneficial health outcome (principle j</w:t>
            </w:r>
            <w:r w:rsidRPr="0085298B">
              <w:rPr>
                <w:rFonts w:asciiTheme="minorHAnsi" w:hAnsiTheme="minorHAnsi" w:cstheme="minorHAnsi"/>
              </w:rPr>
              <w:t>)</w:t>
            </w:r>
            <w:r w:rsidR="00993A27">
              <w:rPr>
                <w:rFonts w:asciiTheme="minorHAnsi" w:hAnsiTheme="minorHAnsi" w:cstheme="minorHAnsi"/>
              </w:rPr>
              <w:t xml:space="preserve">. As per the criteria set out in the FRA, the Forum asked for a review on the basis that </w:t>
            </w:r>
            <w:r w:rsidR="005B02CD">
              <w:rPr>
                <w:rFonts w:asciiTheme="minorHAnsi" w:hAnsiTheme="minorHAnsi" w:cstheme="minorHAnsi"/>
              </w:rPr>
              <w:t>there had not been sufficient regard given to th</w:t>
            </w:r>
            <w:r w:rsidR="008562DD">
              <w:rPr>
                <w:rFonts w:asciiTheme="minorHAnsi" w:hAnsiTheme="minorHAnsi" w:cstheme="minorHAnsi"/>
              </w:rPr>
              <w:t>e</w:t>
            </w:r>
            <w:r w:rsidR="005B02CD">
              <w:rPr>
                <w:rFonts w:asciiTheme="minorHAnsi" w:hAnsiTheme="minorHAnsi" w:cstheme="minorHAnsi"/>
              </w:rPr>
              <w:t xml:space="preserve">se policy principles. </w:t>
            </w:r>
            <w:r w:rsidRPr="001839AB">
              <w:rPr>
                <w:rFonts w:asciiTheme="minorHAnsi" w:hAnsiTheme="minorHAnsi" w:cstheme="minorHAnsi"/>
              </w:rPr>
              <w:t xml:space="preserve"> </w:t>
            </w:r>
            <w:r w:rsidR="00AE7B7E">
              <w:rPr>
                <w:rFonts w:asciiTheme="minorHAnsi" w:hAnsiTheme="minorHAnsi" w:cstheme="minorHAnsi"/>
              </w:rPr>
              <w:t>Principle</w:t>
            </w:r>
            <w:r w:rsidRPr="0037584B">
              <w:rPr>
                <w:rFonts w:asciiTheme="minorHAnsi" w:hAnsiTheme="minorHAnsi" w:cstheme="minorHAnsi"/>
              </w:rPr>
              <w:t xml:space="preserve"> (j) is challenging to meet given that research cannot link individual components of breast milk to health outcomes</w:t>
            </w:r>
            <w:r w:rsidR="00834BA6">
              <w:rPr>
                <w:rFonts w:asciiTheme="minorHAnsi" w:hAnsiTheme="minorHAnsi" w:cstheme="minorHAnsi"/>
              </w:rPr>
              <w:t>,</w:t>
            </w:r>
            <w:r w:rsidRPr="0037584B">
              <w:rPr>
                <w:rFonts w:asciiTheme="minorHAnsi" w:hAnsiTheme="minorHAnsi" w:cstheme="minorHAnsi"/>
              </w:rPr>
              <w:t xml:space="preserve"> despite the wide agreement that breast milk is best for infants and offers many health benefits (yet this is expected from individual substances added to infant formula products). </w:t>
            </w:r>
          </w:p>
          <w:p w14:paraId="06CA8E7D" w14:textId="4CB21A73" w:rsidR="006454C8" w:rsidRDefault="00AE4A0D" w:rsidP="00CB0F8F">
            <w:pPr>
              <w:rPr>
                <w:rFonts w:asciiTheme="minorHAnsi" w:hAnsiTheme="minorHAnsi" w:cstheme="minorHAnsi"/>
              </w:rPr>
            </w:pPr>
            <w:r>
              <w:rPr>
                <w:rFonts w:asciiTheme="minorHAnsi" w:hAnsiTheme="minorHAnsi" w:cstheme="minorHAnsi"/>
              </w:rPr>
              <w:t>Overemphasis on specific policy principles may cr</w:t>
            </w:r>
            <w:r w:rsidR="003A7735">
              <w:rPr>
                <w:rFonts w:asciiTheme="minorHAnsi" w:hAnsiTheme="minorHAnsi" w:cstheme="minorHAnsi"/>
              </w:rPr>
              <w:t xml:space="preserve">eate tensions with other principles in the ministerial guideline, </w:t>
            </w:r>
            <w:r w:rsidR="006454C8" w:rsidRPr="0037584B">
              <w:rPr>
                <w:rFonts w:asciiTheme="minorHAnsi" w:hAnsiTheme="minorHAnsi" w:cstheme="minorHAnsi"/>
              </w:rPr>
              <w:t xml:space="preserve">as well as the objectives of the Act, which also require FSANZ to consider international harmonisation and an efficient and competitive food industry. </w:t>
            </w:r>
          </w:p>
          <w:p w14:paraId="23C9136D" w14:textId="1257BCA8" w:rsidR="006454C8" w:rsidRPr="0037584B" w:rsidRDefault="006454C8" w:rsidP="00CB0F8F">
            <w:pPr>
              <w:rPr>
                <w:rFonts w:asciiTheme="minorHAnsi" w:hAnsiTheme="minorHAnsi" w:cstheme="minorHAnsi"/>
              </w:rPr>
            </w:pPr>
            <w:r w:rsidRPr="0037584B">
              <w:rPr>
                <w:rFonts w:asciiTheme="minorHAnsi" w:hAnsiTheme="minorHAnsi" w:cstheme="minorHAnsi"/>
              </w:rPr>
              <w:t xml:space="preserve">If </w:t>
            </w:r>
            <w:r w:rsidR="00A8254F">
              <w:rPr>
                <w:rFonts w:asciiTheme="minorHAnsi" w:hAnsiTheme="minorHAnsi" w:cstheme="minorHAnsi"/>
              </w:rPr>
              <w:t>additives</w:t>
            </w:r>
            <w:r w:rsidRPr="0037584B">
              <w:rPr>
                <w:rFonts w:asciiTheme="minorHAnsi" w:hAnsiTheme="minorHAnsi" w:cstheme="minorHAnsi"/>
              </w:rPr>
              <w:t xml:space="preserve"> in infant formula products and other foods is rejected because a health benefit cannot be demonstrated, the favourable trade and economic benefits determined to accrue would be foregone.</w:t>
            </w:r>
          </w:p>
        </w:tc>
      </w:tr>
    </w:tbl>
    <w:p w14:paraId="57BE9ECB" w14:textId="1FA0188F" w:rsidR="00BD01CE" w:rsidRDefault="00BD01CE" w:rsidP="00BD01CE">
      <w:pPr>
        <w:pStyle w:val="Heading2"/>
        <w:ind w:left="578" w:hanging="578"/>
      </w:pPr>
      <w:bookmarkStart w:id="27" w:name="_Toc52179127"/>
      <w:r>
        <w:lastRenderedPageBreak/>
        <w:t xml:space="preserve">Legislative changes may clarify the </w:t>
      </w:r>
      <w:r w:rsidR="00533B0C">
        <w:t>Act’s objectives</w:t>
      </w:r>
      <w:bookmarkEnd w:id="27"/>
    </w:p>
    <w:p w14:paraId="74A5EF2C" w14:textId="5F10C7A1" w:rsidR="00BD01CE" w:rsidRPr="00EE6220" w:rsidRDefault="00BD01CE" w:rsidP="00BD01CE">
      <w:pPr>
        <w:rPr>
          <w:lang w:eastAsia="en-AU"/>
        </w:rPr>
      </w:pPr>
      <w:r>
        <w:rPr>
          <w:lang w:eastAsia="en-AU"/>
        </w:rPr>
        <w:t>Three</w:t>
      </w:r>
      <w:r w:rsidDel="008B63AF">
        <w:rPr>
          <w:lang w:eastAsia="en-AU"/>
        </w:rPr>
        <w:t xml:space="preserve"> </w:t>
      </w:r>
      <w:r w:rsidR="00087D3C">
        <w:rPr>
          <w:lang w:eastAsia="en-AU"/>
        </w:rPr>
        <w:t>reform ideas</w:t>
      </w:r>
      <w:r w:rsidR="008B63AF">
        <w:rPr>
          <w:lang w:eastAsia="en-AU"/>
        </w:rPr>
        <w:t xml:space="preserve"> </w:t>
      </w:r>
      <w:r>
        <w:rPr>
          <w:lang w:eastAsia="en-AU"/>
        </w:rPr>
        <w:t xml:space="preserve">have been identified to respond to issues relating to the objectives in the Act. </w:t>
      </w:r>
    </w:p>
    <w:p w14:paraId="3C016616" w14:textId="221E713C" w:rsidR="00BD01CE" w:rsidRPr="00961CC4" w:rsidRDefault="00C467BB" w:rsidP="00FD65FA">
      <w:pPr>
        <w:pStyle w:val="Heading3"/>
      </w:pPr>
      <w:bookmarkStart w:id="28" w:name="_Ref52473381"/>
      <w:r>
        <w:t>Reform idea</w:t>
      </w:r>
      <w:r w:rsidR="004C6703">
        <w:t xml:space="preserve"> 1</w:t>
      </w:r>
      <w:r w:rsidR="000B3C61">
        <w:t xml:space="preserve"> </w:t>
      </w:r>
      <w:r>
        <w:t>–</w:t>
      </w:r>
      <w:bookmarkStart w:id="29" w:name="_Ref51339798"/>
      <w:r w:rsidR="00FD65FA" w:rsidRPr="00331D5B" w:rsidDel="00C467BB">
        <w:t>D</w:t>
      </w:r>
      <w:r w:rsidR="00FD65FA" w:rsidRPr="00331D5B">
        <w:t xml:space="preserve">efine </w:t>
      </w:r>
      <w:r w:rsidR="00FF349D">
        <w:t>‘</w:t>
      </w:r>
      <w:r w:rsidR="00FD65FA" w:rsidRPr="00331D5B">
        <w:t>public health</w:t>
      </w:r>
      <w:r w:rsidR="00FF349D">
        <w:t>’</w:t>
      </w:r>
      <w:r w:rsidR="00FD65FA" w:rsidRPr="00331D5B">
        <w:t xml:space="preserve"> and </w:t>
      </w:r>
      <w:r w:rsidR="00FF349D">
        <w:t>‘</w:t>
      </w:r>
      <w:r w:rsidR="00FD65FA" w:rsidRPr="00331D5B">
        <w:t>safety</w:t>
      </w:r>
      <w:r w:rsidR="00FF349D">
        <w:t>’</w:t>
      </w:r>
      <w:r w:rsidR="00FD65FA" w:rsidRPr="00331D5B">
        <w:t xml:space="preserve"> in legislation </w:t>
      </w:r>
      <w:r w:rsidR="00FD65FA">
        <w:t>to affirm the inclusion of long-term health and nutrition as a core objective</w:t>
      </w:r>
      <w:bookmarkEnd w:id="28"/>
      <w:bookmarkEnd w:id="29"/>
      <w:r w:rsidR="00FD65FA">
        <w:t xml:space="preserve"> </w:t>
      </w:r>
    </w:p>
    <w:p w14:paraId="1CB6255F" w14:textId="3437DDA3" w:rsidR="00BD01CE" w:rsidRPr="00912230" w:rsidRDefault="00BD01CE" w:rsidP="00BD01CE">
      <w:pPr>
        <w:rPr>
          <w:lang w:eastAsia="en-AU"/>
        </w:rPr>
      </w:pPr>
      <w:r>
        <w:rPr>
          <w:lang w:eastAsia="en-AU"/>
        </w:rPr>
        <w:t xml:space="preserve">S 3 and </w:t>
      </w:r>
      <w:r w:rsidR="00021161">
        <w:rPr>
          <w:lang w:eastAsia="en-AU"/>
        </w:rPr>
        <w:t>s</w:t>
      </w:r>
      <w:r>
        <w:rPr>
          <w:lang w:eastAsia="en-AU"/>
        </w:rPr>
        <w:t xml:space="preserve"> 18 of the Act could be revised to </w:t>
      </w:r>
      <w:r w:rsidR="00FD65FA">
        <w:rPr>
          <w:lang w:eastAsia="en-AU"/>
        </w:rPr>
        <w:t>clarify the intent of</w:t>
      </w:r>
      <w:r>
        <w:rPr>
          <w:lang w:eastAsia="en-AU"/>
        </w:rPr>
        <w:t xml:space="preserve"> ‘protection of public health’ and ‘public health and safety’. </w:t>
      </w:r>
      <w:r w:rsidR="007C65C6">
        <w:rPr>
          <w:lang w:eastAsia="en-AU"/>
        </w:rPr>
        <w:t xml:space="preserve">This </w:t>
      </w:r>
      <w:r w:rsidR="008739A6">
        <w:rPr>
          <w:lang w:eastAsia="en-AU"/>
        </w:rPr>
        <w:t xml:space="preserve">could help to </w:t>
      </w:r>
      <w:r w:rsidR="00446CF4">
        <w:rPr>
          <w:lang w:eastAsia="en-AU"/>
        </w:rPr>
        <w:t xml:space="preserve">address current </w:t>
      </w:r>
      <w:r w:rsidR="001939EA">
        <w:rPr>
          <w:lang w:eastAsia="en-AU"/>
        </w:rPr>
        <w:t xml:space="preserve">ambiguities about the role of FSANZ and food standards to </w:t>
      </w:r>
      <w:r w:rsidR="00E926BF">
        <w:rPr>
          <w:lang w:eastAsia="en-AU"/>
        </w:rPr>
        <w:t xml:space="preserve">supporting public health </w:t>
      </w:r>
      <w:r w:rsidR="000265FF">
        <w:rPr>
          <w:lang w:eastAsia="en-AU"/>
        </w:rPr>
        <w:t>objectives and provide greater role clarity.</w:t>
      </w:r>
      <w:r w:rsidR="00E926BF">
        <w:rPr>
          <w:lang w:eastAsia="en-AU"/>
        </w:rPr>
        <w:t xml:space="preserve"> </w:t>
      </w:r>
      <w:r>
        <w:rPr>
          <w:lang w:eastAsia="en-AU"/>
        </w:rPr>
        <w:t xml:space="preserve">This </w:t>
      </w:r>
      <w:r w:rsidR="00B2252C">
        <w:rPr>
          <w:lang w:eastAsia="en-AU"/>
        </w:rPr>
        <w:t>reform idea</w:t>
      </w:r>
      <w:r>
        <w:rPr>
          <w:lang w:eastAsia="en-AU"/>
        </w:rPr>
        <w:t xml:space="preserve"> could be operationalised through a combination of </w:t>
      </w:r>
      <w:r w:rsidR="00136A0E">
        <w:rPr>
          <w:lang w:eastAsia="en-AU"/>
        </w:rPr>
        <w:t>actions, such as:</w:t>
      </w:r>
    </w:p>
    <w:p w14:paraId="16FCAB38" w14:textId="4BF0C6A5" w:rsidR="00BD01CE" w:rsidRDefault="00BD01CE" w:rsidP="00760794">
      <w:pPr>
        <w:pStyle w:val="ListParagraph"/>
        <w:numPr>
          <w:ilvl w:val="0"/>
          <w:numId w:val="20"/>
        </w:numPr>
        <w:rPr>
          <w:lang w:eastAsia="en-AU"/>
        </w:rPr>
      </w:pPr>
      <w:r w:rsidRPr="00102D9D">
        <w:rPr>
          <w:rFonts w:asciiTheme="majorHAnsi" w:hAnsiTheme="majorHAnsi"/>
        </w:rPr>
        <w:t xml:space="preserve">Amending </w:t>
      </w:r>
      <w:r w:rsidR="00816B36">
        <w:rPr>
          <w:rFonts w:asciiTheme="majorHAnsi" w:hAnsiTheme="majorHAnsi"/>
        </w:rPr>
        <w:t>s</w:t>
      </w:r>
      <w:r w:rsidRPr="00102D9D">
        <w:rPr>
          <w:rFonts w:asciiTheme="majorHAnsi" w:hAnsiTheme="majorHAnsi"/>
        </w:rPr>
        <w:t xml:space="preserve"> 3 of the Act to include a definition of 'protecting public health and safety'</w:t>
      </w:r>
      <w:r w:rsidRPr="006166DA">
        <w:rPr>
          <w:lang w:eastAsia="en-AU"/>
        </w:rPr>
        <w:t xml:space="preserve"> </w:t>
      </w:r>
      <w:r w:rsidRPr="00136A0E">
        <w:rPr>
          <w:rFonts w:asciiTheme="majorHAnsi" w:hAnsiTheme="majorHAnsi"/>
          <w:lang w:eastAsia="en-AU"/>
        </w:rPr>
        <w:t xml:space="preserve">that encapsulates both acute and long-term health elements </w:t>
      </w:r>
    </w:p>
    <w:p w14:paraId="52BE864D" w14:textId="77777777" w:rsidR="00BD01CE" w:rsidRDefault="00BD01CE" w:rsidP="00BD01CE">
      <w:pPr>
        <w:pStyle w:val="ListParagraph"/>
        <w:rPr>
          <w:lang w:eastAsia="en-AU"/>
        </w:rPr>
      </w:pPr>
    </w:p>
    <w:p w14:paraId="76412FA0" w14:textId="77777777" w:rsidR="00BD01CE" w:rsidRDefault="00BD01CE" w:rsidP="00BD01CE">
      <w:pPr>
        <w:pStyle w:val="ListParagraph"/>
        <w:rPr>
          <w:lang w:eastAsia="en-AU"/>
        </w:rPr>
      </w:pPr>
      <w:r>
        <w:rPr>
          <w:lang w:eastAsia="en-AU"/>
        </w:rPr>
        <w:t xml:space="preserve">The Ministerial Policy Statement on the Interpretation of Public Health and Safety in Developing, Reviewing and Varying Food Regulatory Measures provides one such definition of public health: </w:t>
      </w:r>
      <w:r w:rsidRPr="00102D9D">
        <w:rPr>
          <w:i/>
          <w:lang w:eastAsia="en-AU"/>
        </w:rPr>
        <w:t>“all those aspects of food consumption that could adversely affect the general population or a particular community’s health either in the short term or long term, including preventable diet-related disease, illness and disability as well as acute food safety concerns.”</w:t>
      </w:r>
      <w:r>
        <w:rPr>
          <w:lang w:eastAsia="en-AU"/>
        </w:rPr>
        <w:t xml:space="preserve"> </w:t>
      </w:r>
    </w:p>
    <w:p w14:paraId="2AF64240" w14:textId="77777777" w:rsidR="0002710D" w:rsidRDefault="0002710D" w:rsidP="00BD01CE">
      <w:pPr>
        <w:pStyle w:val="ListParagraph"/>
        <w:rPr>
          <w:lang w:eastAsia="en-AU"/>
        </w:rPr>
      </w:pPr>
    </w:p>
    <w:p w14:paraId="0BDB0805" w14:textId="2A3AAD58" w:rsidR="0002710D" w:rsidRDefault="0002710D" w:rsidP="00BD01CE">
      <w:pPr>
        <w:pStyle w:val="ListParagraph"/>
        <w:rPr>
          <w:lang w:eastAsia="en-AU"/>
        </w:rPr>
      </w:pPr>
      <w:r>
        <w:rPr>
          <w:lang w:eastAsia="en-AU"/>
        </w:rPr>
        <w:t>FSANZ’s statutory functions could also be amended to refle</w:t>
      </w:r>
      <w:r w:rsidR="00D652F8">
        <w:rPr>
          <w:lang w:eastAsia="en-AU"/>
        </w:rPr>
        <w:t xml:space="preserve">ct their agreed role in relation to public health and safety (described further at Section </w:t>
      </w:r>
      <w:r w:rsidR="00F01588">
        <w:rPr>
          <w:lang w:eastAsia="en-AU"/>
        </w:rPr>
        <w:fldChar w:fldCharType="begin"/>
      </w:r>
      <w:r w:rsidR="00F01588">
        <w:rPr>
          <w:lang w:eastAsia="en-AU"/>
        </w:rPr>
        <w:instrText xml:space="preserve"> REF _Ref51249937 \r \h </w:instrText>
      </w:r>
      <w:r w:rsidR="00F01588">
        <w:rPr>
          <w:lang w:eastAsia="en-AU"/>
        </w:rPr>
      </w:r>
      <w:r w:rsidR="00F01588">
        <w:rPr>
          <w:lang w:eastAsia="en-AU"/>
        </w:rPr>
        <w:fldChar w:fldCharType="separate"/>
      </w:r>
      <w:r w:rsidR="001C5CC6">
        <w:rPr>
          <w:lang w:eastAsia="en-AU"/>
        </w:rPr>
        <w:t>3</w:t>
      </w:r>
      <w:r w:rsidR="00F01588">
        <w:rPr>
          <w:lang w:eastAsia="en-AU"/>
        </w:rPr>
        <w:fldChar w:fldCharType="end"/>
      </w:r>
      <w:r w:rsidR="00F01588">
        <w:rPr>
          <w:lang w:eastAsia="en-AU"/>
        </w:rPr>
        <w:t xml:space="preserve">). </w:t>
      </w:r>
    </w:p>
    <w:p w14:paraId="328306E7" w14:textId="77777777" w:rsidR="00BD01CE" w:rsidRDefault="00BD01CE" w:rsidP="00BD01CE">
      <w:pPr>
        <w:pStyle w:val="ListParagraph"/>
        <w:rPr>
          <w:lang w:eastAsia="en-AU"/>
        </w:rPr>
      </w:pPr>
    </w:p>
    <w:p w14:paraId="3DCCF460" w14:textId="1CB749CC" w:rsidR="00BD01CE" w:rsidRPr="00102D9D" w:rsidRDefault="00BD01CE" w:rsidP="00760794">
      <w:pPr>
        <w:pStyle w:val="ListParagraph"/>
        <w:numPr>
          <w:ilvl w:val="0"/>
          <w:numId w:val="20"/>
        </w:numPr>
        <w:rPr>
          <w:rFonts w:asciiTheme="majorHAnsi" w:hAnsiTheme="majorHAnsi"/>
        </w:rPr>
      </w:pPr>
      <w:r w:rsidRPr="00102D9D">
        <w:rPr>
          <w:rFonts w:asciiTheme="majorHAnsi" w:hAnsiTheme="majorHAnsi"/>
        </w:rPr>
        <w:t xml:space="preserve">Aligning wording around public health protection across </w:t>
      </w:r>
      <w:r w:rsidR="00816B36">
        <w:rPr>
          <w:rFonts w:asciiTheme="majorHAnsi" w:hAnsiTheme="majorHAnsi"/>
        </w:rPr>
        <w:t>s</w:t>
      </w:r>
      <w:r w:rsidRPr="00102D9D">
        <w:rPr>
          <w:rFonts w:asciiTheme="majorHAnsi" w:hAnsiTheme="majorHAnsi"/>
        </w:rPr>
        <w:t xml:space="preserve"> 3 and </w:t>
      </w:r>
      <w:r w:rsidR="00816B36">
        <w:rPr>
          <w:rFonts w:asciiTheme="majorHAnsi" w:hAnsiTheme="majorHAnsi"/>
        </w:rPr>
        <w:t>s</w:t>
      </w:r>
      <w:r w:rsidRPr="00102D9D">
        <w:rPr>
          <w:rFonts w:asciiTheme="majorHAnsi" w:hAnsiTheme="majorHAnsi"/>
        </w:rPr>
        <w:t xml:space="preserve"> 18 </w:t>
      </w:r>
    </w:p>
    <w:p w14:paraId="7AC7EC66" w14:textId="468CE3BC" w:rsidR="00BD01CE" w:rsidRDefault="00BD01CE" w:rsidP="00BD01CE">
      <w:pPr>
        <w:pStyle w:val="ListParagraph"/>
        <w:rPr>
          <w:lang w:eastAsia="en-AU"/>
        </w:rPr>
      </w:pPr>
      <w:r>
        <w:rPr>
          <w:lang w:eastAsia="en-AU"/>
        </w:rPr>
        <w:t xml:space="preserve">Current references to safety and public health protection </w:t>
      </w:r>
      <w:r w:rsidR="005C728B">
        <w:rPr>
          <w:lang w:eastAsia="en-AU"/>
        </w:rPr>
        <w:t xml:space="preserve">are </w:t>
      </w:r>
      <w:r>
        <w:rPr>
          <w:lang w:eastAsia="en-AU"/>
        </w:rPr>
        <w:t xml:space="preserve">not consistent between </w:t>
      </w:r>
      <w:r w:rsidR="00816B36">
        <w:rPr>
          <w:lang w:eastAsia="en-AU"/>
        </w:rPr>
        <w:t>s</w:t>
      </w:r>
      <w:r>
        <w:rPr>
          <w:lang w:eastAsia="en-AU"/>
        </w:rPr>
        <w:t xml:space="preserve"> 3 and </w:t>
      </w:r>
      <w:r w:rsidR="00816B36">
        <w:rPr>
          <w:lang w:eastAsia="en-AU"/>
        </w:rPr>
        <w:t>s</w:t>
      </w:r>
      <w:r w:rsidR="0087207D">
        <w:rPr>
          <w:lang w:eastAsia="en-AU"/>
        </w:rPr>
        <w:t xml:space="preserve"> </w:t>
      </w:r>
      <w:r>
        <w:rPr>
          <w:lang w:eastAsia="en-AU"/>
        </w:rPr>
        <w:t xml:space="preserve">18. The former refers to “a high standard of public health protection” while the latter states that FSANZ’s primary objective in developing standards is “the protection of public health and safety”. These sections could be brought into alignment by broadening s 3 to state “a high standard of </w:t>
      </w:r>
      <w:r w:rsidRPr="00102D9D">
        <w:rPr>
          <w:i/>
          <w:lang w:eastAsia="en-AU"/>
        </w:rPr>
        <w:t>safety and</w:t>
      </w:r>
      <w:r>
        <w:rPr>
          <w:lang w:eastAsia="en-AU"/>
        </w:rPr>
        <w:t xml:space="preserve"> public health protection.”</w:t>
      </w:r>
    </w:p>
    <w:p w14:paraId="62C509FA" w14:textId="5E166DD9" w:rsidR="00BD01CE" w:rsidRDefault="00C467BB" w:rsidP="00BD01CE">
      <w:pPr>
        <w:pStyle w:val="Heading3"/>
      </w:pPr>
      <w:bookmarkStart w:id="30" w:name="_Ref51339822"/>
      <w:r>
        <w:lastRenderedPageBreak/>
        <w:t>Reform idea</w:t>
      </w:r>
      <w:r w:rsidR="004C6703">
        <w:t xml:space="preserve"> 2</w:t>
      </w:r>
      <w:r w:rsidR="0020108F">
        <w:t xml:space="preserve"> -</w:t>
      </w:r>
      <w:r w:rsidR="00BD01CE">
        <w:t xml:space="preserve"> Recognise trade as a </w:t>
      </w:r>
      <w:r w:rsidR="004E5B56">
        <w:t>core</w:t>
      </w:r>
      <w:r w:rsidR="00BD01CE">
        <w:t xml:space="preserve"> goal and reframe consumer choice as a factor </w:t>
      </w:r>
      <w:r w:rsidR="00CB1538">
        <w:t>to which</w:t>
      </w:r>
      <w:r w:rsidR="00BD01CE">
        <w:t xml:space="preserve"> FSANZ </w:t>
      </w:r>
      <w:r w:rsidR="00CB1538">
        <w:t>‘</w:t>
      </w:r>
      <w:r w:rsidR="00BD01CE">
        <w:t>must have regard</w:t>
      </w:r>
      <w:r w:rsidR="00CB1538">
        <w:t>’</w:t>
      </w:r>
      <w:bookmarkEnd w:id="30"/>
    </w:p>
    <w:p w14:paraId="3C1C9EA7" w14:textId="5108FBAE" w:rsidR="00BD01CE" w:rsidRDefault="00BD01CE" w:rsidP="00BD01CE">
      <w:pPr>
        <w:pStyle w:val="Bullet"/>
        <w:numPr>
          <w:ilvl w:val="0"/>
          <w:numId w:val="0"/>
        </w:numPr>
      </w:pPr>
      <w:r>
        <w:t xml:space="preserve">Changes to </w:t>
      </w:r>
      <w:r w:rsidR="00816B36">
        <w:t>s</w:t>
      </w:r>
      <w:r>
        <w:t xml:space="preserve"> 3 </w:t>
      </w:r>
      <w:r w:rsidR="007C4AFC">
        <w:t>and s 18</w:t>
      </w:r>
      <w:r>
        <w:t xml:space="preserve"> to recognise supporting trade as a primary goal for FSANZ may better reflect the importance of a competitive domestic and export food industry for both Australia and N</w:t>
      </w:r>
      <w:r w:rsidRPr="00733382">
        <w:t>ew</w:t>
      </w:r>
      <w:r>
        <w:t xml:space="preserve"> Zealand. </w:t>
      </w:r>
      <w:r w:rsidR="007C1AF4">
        <w:t xml:space="preserve">Prioritising trade and industry efficiency considerations in FSANZ’s development of food standards </w:t>
      </w:r>
      <w:r w:rsidR="00CB1070">
        <w:t xml:space="preserve">could help to ensure </w:t>
      </w:r>
      <w:r w:rsidR="001E6761">
        <w:t>that</w:t>
      </w:r>
      <w:r w:rsidR="00915E1F">
        <w:t xml:space="preserve"> </w:t>
      </w:r>
      <w:r w:rsidR="00C14904">
        <w:t xml:space="preserve">all changes give sufficient consideration to potential trade impacts. </w:t>
      </w:r>
    </w:p>
    <w:p w14:paraId="30FF368C" w14:textId="208C6683" w:rsidR="00BD01CE" w:rsidRDefault="00BD01CE" w:rsidP="00BD01CE">
      <w:pPr>
        <w:pStyle w:val="Bullet"/>
        <w:numPr>
          <w:ilvl w:val="0"/>
          <w:numId w:val="0"/>
        </w:numPr>
      </w:pPr>
      <w:r>
        <w:t xml:space="preserve">Removing references to ‘enabling consumers to make informed choices’ from </w:t>
      </w:r>
      <w:r w:rsidR="00816B36">
        <w:t>s 3</w:t>
      </w:r>
      <w:r>
        <w:t xml:space="preserve"> and inserting these into </w:t>
      </w:r>
      <w:r w:rsidR="00816B36">
        <w:t>s</w:t>
      </w:r>
      <w:r>
        <w:t xml:space="preserve"> </w:t>
      </w:r>
      <w:r w:rsidRPr="00733382">
        <w:t>18</w:t>
      </w:r>
      <w:r w:rsidR="0073398C">
        <w:t>(2)</w:t>
      </w:r>
      <w:r>
        <w:t xml:space="preserve"> as factors to which FSANZ must have regard may reduce duplication between the food regulatory system and consumer law, while recognising the important intersect between the two </w:t>
      </w:r>
      <w:r w:rsidRPr="00733382">
        <w:t>schemes</w:t>
      </w:r>
      <w:r>
        <w:t xml:space="preserve">. </w:t>
      </w:r>
    </w:p>
    <w:p w14:paraId="49DC7672" w14:textId="601EE5F4" w:rsidR="00BD01CE" w:rsidRDefault="00BD01CE" w:rsidP="00BD01CE">
      <w:pPr>
        <w:pStyle w:val="Bullet"/>
        <w:numPr>
          <w:ilvl w:val="0"/>
          <w:numId w:val="0"/>
        </w:numPr>
        <w:ind w:left="340" w:hanging="340"/>
      </w:pPr>
      <w:r>
        <w:t>Changes could include:</w:t>
      </w:r>
    </w:p>
    <w:p w14:paraId="29B8C83C" w14:textId="7CB6E5AD" w:rsidR="008D5DF8" w:rsidRDefault="00BD01CE" w:rsidP="00760794">
      <w:pPr>
        <w:pStyle w:val="ListParagraph"/>
        <w:numPr>
          <w:ilvl w:val="0"/>
          <w:numId w:val="20"/>
        </w:numPr>
      </w:pPr>
      <w:r w:rsidRPr="007E1FE8">
        <w:rPr>
          <w:rFonts w:asciiTheme="majorHAnsi" w:hAnsiTheme="majorHAnsi"/>
        </w:rPr>
        <w:t xml:space="preserve">Amending the Object of the Act in </w:t>
      </w:r>
      <w:r w:rsidR="00816B36">
        <w:rPr>
          <w:rFonts w:asciiTheme="majorHAnsi" w:hAnsiTheme="majorHAnsi"/>
        </w:rPr>
        <w:t xml:space="preserve">s </w:t>
      </w:r>
      <w:r w:rsidRPr="007E1FE8">
        <w:rPr>
          <w:rFonts w:asciiTheme="majorHAnsi" w:hAnsiTheme="majorHAnsi"/>
        </w:rPr>
        <w:t xml:space="preserve">3 </w:t>
      </w:r>
    </w:p>
    <w:p w14:paraId="30E670F4" w14:textId="00728722" w:rsidR="00BD01CE" w:rsidRPr="00651712" w:rsidRDefault="00BD01CE" w:rsidP="00BD01CE">
      <w:pPr>
        <w:pStyle w:val="ListParagraph"/>
        <w:rPr>
          <w:i/>
        </w:rPr>
      </w:pPr>
      <w:r>
        <w:t xml:space="preserve">This section could read: </w:t>
      </w:r>
      <w:r w:rsidRPr="00651712">
        <w:rPr>
          <w:i/>
        </w:rPr>
        <w:t xml:space="preserve">The Object of this Act is to ensure a high standard of public health protection throughout Australia and New Zealand by means of the establishment and operation of a joint body to be known as Food Standards Australia New Zealand to achieve the following goals: </w:t>
      </w:r>
    </w:p>
    <w:p w14:paraId="1387FB3D" w14:textId="7B8C35C1" w:rsidR="00BD01CE" w:rsidRPr="00651712" w:rsidRDefault="00BD01CE" w:rsidP="00760794">
      <w:pPr>
        <w:pStyle w:val="ListParagraph"/>
        <w:numPr>
          <w:ilvl w:val="0"/>
          <w:numId w:val="25"/>
        </w:numPr>
        <w:rPr>
          <w:i/>
        </w:rPr>
      </w:pPr>
      <w:r w:rsidRPr="00651712">
        <w:rPr>
          <w:i/>
        </w:rPr>
        <w:t>a high degree of consumer confidence in the quality and safety of food produced, processed, sold or exported from Australia and New Zealand</w:t>
      </w:r>
    </w:p>
    <w:p w14:paraId="62BE0848" w14:textId="61A4D276" w:rsidR="00BD01CE" w:rsidRPr="00651712" w:rsidRDefault="00BD01CE" w:rsidP="00760794">
      <w:pPr>
        <w:pStyle w:val="ListParagraph"/>
        <w:numPr>
          <w:ilvl w:val="0"/>
          <w:numId w:val="25"/>
        </w:numPr>
        <w:rPr>
          <w:i/>
        </w:rPr>
      </w:pPr>
      <w:r w:rsidRPr="00651712">
        <w:rPr>
          <w:i/>
        </w:rPr>
        <w:t>an efficient and internationally competitive food industry</w:t>
      </w:r>
      <w:r w:rsidR="00281122" w:rsidRPr="00651712">
        <w:rPr>
          <w:i/>
        </w:rPr>
        <w:t>.</w:t>
      </w:r>
    </w:p>
    <w:p w14:paraId="677EA17E" w14:textId="77777777" w:rsidR="00BD01CE" w:rsidRDefault="00BD01CE" w:rsidP="00BD01CE">
      <w:pPr>
        <w:pStyle w:val="ListParagraph"/>
      </w:pPr>
    </w:p>
    <w:p w14:paraId="2F50AA0B" w14:textId="74226096" w:rsidR="008D5DF8" w:rsidRDefault="00BD01CE" w:rsidP="00760794">
      <w:pPr>
        <w:pStyle w:val="ListParagraph"/>
        <w:numPr>
          <w:ilvl w:val="0"/>
          <w:numId w:val="20"/>
        </w:numPr>
      </w:pPr>
      <w:r w:rsidRPr="007E1FE8">
        <w:rPr>
          <w:rFonts w:asciiTheme="majorHAnsi" w:hAnsiTheme="majorHAnsi"/>
        </w:rPr>
        <w:t>Amend</w:t>
      </w:r>
      <w:r w:rsidR="00933AF8">
        <w:rPr>
          <w:rFonts w:asciiTheme="majorHAnsi" w:hAnsiTheme="majorHAnsi"/>
        </w:rPr>
        <w:t>ing</w:t>
      </w:r>
      <w:r w:rsidRPr="007E1FE8">
        <w:rPr>
          <w:rFonts w:asciiTheme="majorHAnsi" w:hAnsiTheme="majorHAnsi"/>
        </w:rPr>
        <w:t xml:space="preserve"> the objectives of FSANZ when developing, setting or varying food standards </w:t>
      </w:r>
    </w:p>
    <w:p w14:paraId="44983373" w14:textId="44B6E2D1" w:rsidR="00BD01CE" w:rsidRPr="00651712" w:rsidRDefault="00BD01CE" w:rsidP="00BD01CE">
      <w:pPr>
        <w:pStyle w:val="ListParagraph"/>
        <w:rPr>
          <w:i/>
        </w:rPr>
      </w:pPr>
      <w:r w:rsidRPr="00C41B68">
        <w:t xml:space="preserve">This section could read: </w:t>
      </w:r>
      <w:r w:rsidRPr="00651712">
        <w:rPr>
          <w:i/>
        </w:rPr>
        <w:t xml:space="preserve">The objectives (in descending priority order) of the Authority in developing or reviewing food regulatory measures and variations of food regulatory measures are: </w:t>
      </w:r>
    </w:p>
    <w:p w14:paraId="1DFA993F" w14:textId="553D3FBC" w:rsidR="00BD01CE" w:rsidRPr="00651712" w:rsidRDefault="00BD01CE" w:rsidP="00760794">
      <w:pPr>
        <w:pStyle w:val="ListParagraph"/>
        <w:numPr>
          <w:ilvl w:val="0"/>
          <w:numId w:val="21"/>
        </w:numPr>
        <w:rPr>
          <w:i/>
        </w:rPr>
      </w:pPr>
      <w:r w:rsidRPr="00651712">
        <w:rPr>
          <w:i/>
        </w:rPr>
        <w:t>The protection of public health and safety</w:t>
      </w:r>
    </w:p>
    <w:p w14:paraId="31D5D0E4" w14:textId="270BE6D7" w:rsidR="00BD01CE" w:rsidRPr="00651712" w:rsidRDefault="00BD01CE">
      <w:pPr>
        <w:pStyle w:val="ListParagraph"/>
        <w:numPr>
          <w:ilvl w:val="0"/>
          <w:numId w:val="21"/>
        </w:numPr>
        <w:rPr>
          <w:i/>
        </w:rPr>
      </w:pPr>
      <w:r w:rsidRPr="00651712">
        <w:rPr>
          <w:i/>
        </w:rPr>
        <w:t>Support an efficient and internationally competitive food industry</w:t>
      </w:r>
      <w:r w:rsidR="00835584" w:rsidRPr="00651712">
        <w:rPr>
          <w:i/>
        </w:rPr>
        <w:t>.</w:t>
      </w:r>
    </w:p>
    <w:p w14:paraId="72BB8DD9" w14:textId="77777777" w:rsidR="00BD01CE" w:rsidRPr="00651712" w:rsidRDefault="00BD01CE" w:rsidP="002C359B">
      <w:pPr>
        <w:ind w:left="720"/>
        <w:rPr>
          <w:i/>
        </w:rPr>
      </w:pPr>
      <w:r w:rsidRPr="00651712">
        <w:rPr>
          <w:i/>
        </w:rPr>
        <w:t xml:space="preserve">In developing or reviewing food regulatory measures and variations of food regulatory measures, the Authority must also have regard to the following: </w:t>
      </w:r>
    </w:p>
    <w:p w14:paraId="203DA190" w14:textId="29C2E491" w:rsidR="00BD01CE" w:rsidRPr="00651712" w:rsidRDefault="00BD01CE" w:rsidP="00760794">
      <w:pPr>
        <w:pStyle w:val="ListParagraph"/>
        <w:numPr>
          <w:ilvl w:val="0"/>
          <w:numId w:val="24"/>
        </w:numPr>
        <w:rPr>
          <w:i/>
        </w:rPr>
      </w:pPr>
      <w:r w:rsidRPr="00651712">
        <w:rPr>
          <w:i/>
        </w:rPr>
        <w:t xml:space="preserve">The need for standards to be based on risk analysis using the best available scientific evidence </w:t>
      </w:r>
    </w:p>
    <w:p w14:paraId="776BE228" w14:textId="77777777" w:rsidR="00BD01CE" w:rsidRPr="00651712" w:rsidRDefault="00BD01CE">
      <w:pPr>
        <w:pStyle w:val="ListParagraph"/>
        <w:numPr>
          <w:ilvl w:val="0"/>
          <w:numId w:val="24"/>
        </w:numPr>
        <w:rPr>
          <w:i/>
        </w:rPr>
      </w:pPr>
      <w:r w:rsidRPr="00651712">
        <w:rPr>
          <w:i/>
        </w:rPr>
        <w:t>The promotion of consistency between domestic and international food standards</w:t>
      </w:r>
    </w:p>
    <w:p w14:paraId="00D0185D" w14:textId="2C82E250" w:rsidR="00BD01CE" w:rsidRPr="00651712" w:rsidRDefault="00BD01CE">
      <w:pPr>
        <w:pStyle w:val="ListParagraph"/>
        <w:numPr>
          <w:ilvl w:val="0"/>
          <w:numId w:val="24"/>
        </w:numPr>
        <w:rPr>
          <w:i/>
        </w:rPr>
      </w:pPr>
      <w:r w:rsidRPr="00651712">
        <w:rPr>
          <w:i/>
        </w:rPr>
        <w:t xml:space="preserve">The information required relating to food to enable consumers to make informed choice </w:t>
      </w:r>
    </w:p>
    <w:p w14:paraId="4A4356C4" w14:textId="426F8D44" w:rsidR="00BD01CE" w:rsidRPr="00651712" w:rsidRDefault="00BD01CE">
      <w:pPr>
        <w:pStyle w:val="ListParagraph"/>
        <w:numPr>
          <w:ilvl w:val="0"/>
          <w:numId w:val="24"/>
        </w:numPr>
        <w:rPr>
          <w:i/>
        </w:rPr>
      </w:pPr>
      <w:r w:rsidRPr="00651712">
        <w:rPr>
          <w:i/>
        </w:rPr>
        <w:t>The need to prevent misleading or deceptive conduct</w:t>
      </w:r>
    </w:p>
    <w:p w14:paraId="146472C6" w14:textId="08BB0593" w:rsidR="00BD01CE" w:rsidRPr="00651712" w:rsidRDefault="00BD01CE">
      <w:pPr>
        <w:pStyle w:val="ListParagraph"/>
        <w:numPr>
          <w:ilvl w:val="0"/>
          <w:numId w:val="24"/>
        </w:numPr>
        <w:rPr>
          <w:i/>
        </w:rPr>
      </w:pPr>
      <w:r w:rsidRPr="00651712">
        <w:rPr>
          <w:i/>
        </w:rPr>
        <w:t>The promotion of fair trading in food</w:t>
      </w:r>
      <w:r w:rsidR="00835584" w:rsidRPr="00651712">
        <w:rPr>
          <w:i/>
        </w:rPr>
        <w:t>.</w:t>
      </w:r>
    </w:p>
    <w:p w14:paraId="32FF5E7F" w14:textId="5DE32355" w:rsidR="003704C5" w:rsidRDefault="001C704B" w:rsidP="00B04AD0">
      <w:pPr>
        <w:pStyle w:val="Heading3"/>
      </w:pPr>
      <w:bookmarkStart w:id="31" w:name="_Ref51486292"/>
      <w:r>
        <w:t>Reform idea</w:t>
      </w:r>
      <w:r w:rsidR="004C6703">
        <w:t xml:space="preserve"> 3</w:t>
      </w:r>
      <w:r w:rsidR="00B6208B">
        <w:t xml:space="preserve"> </w:t>
      </w:r>
      <w:r>
        <w:t>–</w:t>
      </w:r>
      <w:r w:rsidR="003704C5">
        <w:t xml:space="preserve"> Establish criteri</w:t>
      </w:r>
      <w:r w:rsidR="00FA1EC8">
        <w:t xml:space="preserve">a in the Act </w:t>
      </w:r>
      <w:r w:rsidR="00FA1EC8" w:rsidRPr="00692D4C">
        <w:t>that</w:t>
      </w:r>
      <w:r w:rsidR="003704C5">
        <w:t xml:space="preserve"> the Forum must meet to request a review of a draft regulatory measure</w:t>
      </w:r>
      <w:bookmarkEnd w:id="31"/>
    </w:p>
    <w:p w14:paraId="648D9A76" w14:textId="341B0BDB" w:rsidR="009C483A" w:rsidRDefault="00AA46F0" w:rsidP="003704C5">
      <w:r>
        <w:t>The grounds on which the Forum may request FSANZ to review a draft standard or variation</w:t>
      </w:r>
      <w:r w:rsidR="009C483A">
        <w:t xml:space="preserve"> are set out in the FRA and do not directly align with FSANZ’s objectives in developing food regulatory measures. </w:t>
      </w:r>
    </w:p>
    <w:p w14:paraId="267945DA" w14:textId="05C5BAC2" w:rsidR="003704C5" w:rsidRDefault="00136CB6" w:rsidP="003704C5">
      <w:r>
        <w:t>The Act could be amended to legislate criteri</w:t>
      </w:r>
      <w:r w:rsidR="00F85D16">
        <w:t>a</w:t>
      </w:r>
      <w:r>
        <w:t xml:space="preserve"> that the Forum must meet</w:t>
      </w:r>
      <w:r w:rsidR="000A4AA9">
        <w:t xml:space="preserve"> to request a review</w:t>
      </w:r>
      <w:r>
        <w:t>, where these criteri</w:t>
      </w:r>
      <w:r w:rsidR="00F85D16">
        <w:t>a</w:t>
      </w:r>
      <w:r>
        <w:t xml:space="preserve"> could </w:t>
      </w:r>
      <w:r w:rsidR="00F85D16">
        <w:t xml:space="preserve">harmonise </w:t>
      </w:r>
      <w:r>
        <w:t>with the fact</w:t>
      </w:r>
      <w:r w:rsidR="000A4AA9">
        <w:t>ors</w:t>
      </w:r>
      <w:r w:rsidR="00112DBA">
        <w:t xml:space="preserve"> that currently guide FSANZ’s assessment process, as set out in s 18.</w:t>
      </w:r>
      <w:r w:rsidR="00F85D16">
        <w:t xml:space="preserve"> </w:t>
      </w:r>
      <w:r w:rsidR="000A4AA9">
        <w:t xml:space="preserve"> </w:t>
      </w:r>
      <w:r w:rsidR="00F85D16">
        <w:t xml:space="preserve">For example, </w:t>
      </w:r>
      <w:r w:rsidR="006C3778">
        <w:t>c</w:t>
      </w:r>
      <w:r w:rsidR="00C4654E">
        <w:t>riteri</w:t>
      </w:r>
      <w:r w:rsidR="00977EEB">
        <w:t>a</w:t>
      </w:r>
      <w:r w:rsidR="00C4654E">
        <w:t xml:space="preserve"> to request a review might involve specifying how </w:t>
      </w:r>
      <w:r w:rsidR="00824958">
        <w:t>m</w:t>
      </w:r>
      <w:r w:rsidR="00E06148">
        <w:t xml:space="preserve">inisterial guidelines </w:t>
      </w:r>
      <w:r w:rsidR="00B81532">
        <w:t>should be taken into</w:t>
      </w:r>
      <w:r w:rsidR="00E06148">
        <w:t xml:space="preserve"> account in FSANZ’s deliberations. </w:t>
      </w:r>
    </w:p>
    <w:p w14:paraId="34C5468A" w14:textId="75D0F65E" w:rsidR="00E06148" w:rsidRDefault="00676B19" w:rsidP="003704C5">
      <w:r>
        <w:t xml:space="preserve">While outside the scope of this review, there may also be value in the Forum redefining its regulatory and non-regulatory objectives and how these are reflected in </w:t>
      </w:r>
      <w:r w:rsidR="003A28BB">
        <w:t>m</w:t>
      </w:r>
      <w:r>
        <w:t xml:space="preserve">inisterial guidelines </w:t>
      </w:r>
      <w:r w:rsidR="005D105E">
        <w:t xml:space="preserve">to support food standards and other measures being used to their full effect.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BD01CE" w14:paraId="26DD922E" w14:textId="77777777" w:rsidTr="00950CA8">
        <w:tc>
          <w:tcPr>
            <w:tcW w:w="9055" w:type="dxa"/>
            <w:shd w:val="clear" w:color="auto" w:fill="00264D" w:themeFill="background2"/>
          </w:tcPr>
          <w:p w14:paraId="383DE931" w14:textId="69A46E26" w:rsidR="00BD01CE" w:rsidRPr="00835584" w:rsidRDefault="00BD01CE" w:rsidP="00CB0F8F">
            <w:pPr>
              <w:pStyle w:val="longformcalloutnumber"/>
              <w:numPr>
                <w:ilvl w:val="0"/>
                <w:numId w:val="0"/>
              </w:numPr>
              <w:ind w:left="340" w:hanging="340"/>
              <w:rPr>
                <w:rFonts w:asciiTheme="minorHAnsi" w:hAnsiTheme="minorHAnsi" w:cstheme="minorHAnsi"/>
                <w:b/>
                <w:color w:val="F8981D" w:themeColor="accent3"/>
              </w:rPr>
            </w:pPr>
            <w:bookmarkStart w:id="32" w:name="_Hlk50460151"/>
            <w:r w:rsidRPr="00835584">
              <w:rPr>
                <w:rFonts w:asciiTheme="minorHAnsi" w:hAnsiTheme="minorHAnsi" w:cstheme="minorHAnsi"/>
                <w:b/>
                <w:color w:val="F8981D" w:themeColor="accent3"/>
              </w:rPr>
              <w:lastRenderedPageBreak/>
              <w:t>Discussion questions:</w:t>
            </w:r>
          </w:p>
          <w:p w14:paraId="1B6D89E7" w14:textId="77777777" w:rsidR="00E54EE5" w:rsidRDefault="00E54EE5" w:rsidP="00760794">
            <w:pPr>
              <w:pStyle w:val="ListParagraph"/>
              <w:numPr>
                <w:ilvl w:val="0"/>
                <w:numId w:val="15"/>
              </w:numPr>
              <w:rPr>
                <w:color w:val="FFFFFF" w:themeColor="background1"/>
              </w:rPr>
            </w:pPr>
            <w:r w:rsidRPr="00E0390E">
              <w:rPr>
                <w:color w:val="FFFFFF" w:themeColor="background1"/>
              </w:rPr>
              <w:t xml:space="preserve">To what degree are the current legislated objectives an issue for the system? What are the types of problems that different stakeholder groups face as a consequence?  </w:t>
            </w:r>
          </w:p>
          <w:p w14:paraId="390BDD6B" w14:textId="77777777" w:rsidR="00D81D02" w:rsidRPr="00E0390E" w:rsidRDefault="00D81D02" w:rsidP="00E0390E">
            <w:pPr>
              <w:pStyle w:val="ListParagraph"/>
              <w:rPr>
                <w:color w:val="FFFFFF" w:themeColor="background1"/>
              </w:rPr>
            </w:pPr>
          </w:p>
          <w:p w14:paraId="1332D2A0" w14:textId="0912921B" w:rsidR="00F8677A" w:rsidRPr="00FF73FE" w:rsidRDefault="009D2FF6"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W</w:t>
            </w:r>
            <w:r w:rsidR="00D76F66">
              <w:rPr>
                <w:rFonts w:asciiTheme="minorHAnsi" w:hAnsiTheme="minorHAnsi" w:cstheme="minorHAnsi"/>
                <w:color w:val="FFFFFF" w:themeColor="background1"/>
                <w:lang w:eastAsia="en-AU"/>
              </w:rPr>
              <w:t xml:space="preserve">hat would be the </w:t>
            </w:r>
            <w:r w:rsidR="00F8677A">
              <w:rPr>
                <w:rFonts w:asciiTheme="minorHAnsi" w:hAnsiTheme="minorHAnsi" w:cstheme="minorHAnsi"/>
                <w:color w:val="FFFFFF" w:themeColor="background1"/>
                <w:lang w:eastAsia="en-AU"/>
              </w:rPr>
              <w:t>impact (positive, negative or otherwise) of implementing</w:t>
            </w:r>
            <w:r>
              <w:rPr>
                <w:rFonts w:asciiTheme="minorHAnsi" w:hAnsiTheme="minorHAnsi" w:cstheme="minorHAnsi"/>
                <w:color w:val="FFFFFF" w:themeColor="background1"/>
                <w:lang w:eastAsia="en-AU"/>
              </w:rPr>
              <w:t xml:space="preserve"> each of the </w:t>
            </w:r>
            <w:r w:rsidR="00BC64D1">
              <w:rPr>
                <w:rFonts w:asciiTheme="minorHAnsi" w:hAnsiTheme="minorHAnsi" w:cstheme="minorHAnsi"/>
                <w:color w:val="FFFFFF" w:themeColor="background1"/>
                <w:lang w:eastAsia="en-AU"/>
              </w:rPr>
              <w:t xml:space="preserve">reform </w:t>
            </w:r>
            <w:r w:rsidR="00BC64D1" w:rsidRPr="00305368">
              <w:rPr>
                <w:rFonts w:asciiTheme="minorHAnsi" w:hAnsiTheme="minorHAnsi" w:cstheme="minorHAnsi"/>
                <w:color w:val="FFFFFF" w:themeColor="background1"/>
                <w:lang w:eastAsia="en-AU"/>
              </w:rPr>
              <w:t xml:space="preserve">ideas </w:t>
            </w:r>
            <w:r w:rsidRPr="00305368">
              <w:rPr>
                <w:rFonts w:asciiTheme="minorHAnsi" w:hAnsiTheme="minorHAnsi" w:cstheme="minorHAnsi"/>
                <w:color w:val="FFFFFF" w:themeColor="background1"/>
                <w:lang w:eastAsia="en-AU"/>
              </w:rPr>
              <w:t xml:space="preserve">below? How could the outcome specified for each </w:t>
            </w:r>
            <w:r w:rsidR="009D73AD" w:rsidRPr="00305368">
              <w:rPr>
                <w:rFonts w:asciiTheme="minorHAnsi" w:hAnsiTheme="minorHAnsi" w:cstheme="minorHAnsi"/>
                <w:color w:val="FFFFFF" w:themeColor="background1"/>
                <w:lang w:eastAsia="en-AU"/>
              </w:rPr>
              <w:t xml:space="preserve">idea </w:t>
            </w:r>
            <w:r w:rsidRPr="00305368">
              <w:rPr>
                <w:rFonts w:asciiTheme="minorHAnsi" w:hAnsiTheme="minorHAnsi" w:cstheme="minorHAnsi"/>
                <w:color w:val="FFFFFF" w:themeColor="background1"/>
                <w:lang w:eastAsia="en-AU"/>
              </w:rPr>
              <w:t>best be achieved?</w:t>
            </w:r>
            <w:r w:rsidR="009F46B0" w:rsidRPr="00305368">
              <w:rPr>
                <w:rFonts w:asciiTheme="minorHAnsi" w:hAnsiTheme="minorHAnsi" w:cstheme="minorHAnsi"/>
                <w:color w:val="FFFFFF" w:themeColor="background1"/>
                <w:lang w:eastAsia="en-AU"/>
              </w:rPr>
              <w:br/>
            </w:r>
          </w:p>
          <w:p w14:paraId="7B166B4F" w14:textId="0FDBD627" w:rsidR="00BB1493" w:rsidRPr="00FF73FE" w:rsidRDefault="00BB1493" w:rsidP="00BB1493">
            <w:pPr>
              <w:pStyle w:val="ListParagraph"/>
              <w:numPr>
                <w:ilvl w:val="0"/>
                <w:numId w:val="28"/>
              </w:numPr>
              <w:spacing w:before="120"/>
              <w:ind w:left="1077" w:hanging="357"/>
              <w:contextualSpacing w:val="0"/>
              <w:rPr>
                <w:rFonts w:asciiTheme="minorHAnsi" w:hAnsiTheme="minorHAnsi" w:cstheme="minorHAnsi"/>
                <w:color w:val="FFFFFF" w:themeColor="background1"/>
                <w:lang w:eastAsia="en-AU"/>
              </w:rPr>
            </w:pPr>
            <w:r w:rsidRPr="00FF73FE">
              <w:rPr>
                <w:rFonts w:asciiTheme="minorHAnsi" w:hAnsiTheme="minorHAnsi" w:cstheme="minorHAnsi"/>
                <w:color w:val="FFFFFF" w:themeColor="background1"/>
                <w:lang w:eastAsia="en-AU"/>
              </w:rPr>
              <w:fldChar w:fldCharType="begin"/>
            </w:r>
            <w:r w:rsidRPr="00FF73FE">
              <w:rPr>
                <w:rFonts w:asciiTheme="minorHAnsi" w:hAnsiTheme="minorHAnsi" w:cstheme="minorHAnsi"/>
                <w:color w:val="FFFFFF" w:themeColor="background1"/>
                <w:lang w:eastAsia="en-AU"/>
              </w:rPr>
              <w:instrText xml:space="preserve"> REF _Ref52473381 \h </w:instrText>
            </w:r>
            <w:r w:rsidRPr="00FF73FE">
              <w:rPr>
                <w:rFonts w:asciiTheme="minorHAnsi" w:hAnsiTheme="minorHAnsi" w:cstheme="minorHAnsi"/>
                <w:color w:val="FFFFFF" w:themeColor="background1"/>
                <w:lang w:eastAsia="en-AU"/>
              </w:rPr>
            </w:r>
            <w:r w:rsidRPr="00FF73FE">
              <w:rPr>
                <w:rFonts w:asciiTheme="minorHAnsi" w:hAnsiTheme="minorHAnsi" w:cstheme="minorHAnsi"/>
                <w:color w:val="FFFFFF" w:themeColor="background1"/>
                <w:lang w:eastAsia="en-AU"/>
              </w:rPr>
              <w:fldChar w:fldCharType="separate"/>
            </w:r>
            <w:r w:rsidR="001C5CC6" w:rsidRPr="00FF73FE">
              <w:rPr>
                <w:color w:val="FFFFFF" w:themeColor="background1"/>
              </w:rPr>
              <w:t>Reform idea 1 –</w:t>
            </w:r>
            <w:r w:rsidR="001C5CC6" w:rsidRPr="00FF73FE" w:rsidDel="00C467BB">
              <w:rPr>
                <w:color w:val="FFFFFF" w:themeColor="background1"/>
              </w:rPr>
              <w:t>D</w:t>
            </w:r>
            <w:r w:rsidR="001C5CC6" w:rsidRPr="00FF73FE">
              <w:rPr>
                <w:color w:val="FFFFFF" w:themeColor="background1"/>
              </w:rPr>
              <w:t>efine ‘public health’ and ‘safety’ in legislation to affirm the inclusion of long-term health and nutrition as a core objective</w:t>
            </w:r>
            <w:r w:rsidRPr="00FF73FE">
              <w:rPr>
                <w:rFonts w:asciiTheme="minorHAnsi" w:hAnsiTheme="minorHAnsi" w:cstheme="minorHAnsi"/>
                <w:color w:val="FFFFFF" w:themeColor="background1"/>
                <w:lang w:eastAsia="en-AU"/>
              </w:rPr>
              <w:fldChar w:fldCharType="end"/>
            </w:r>
          </w:p>
          <w:p w14:paraId="0E8EFC8B" w14:textId="66CB3BDC" w:rsidR="00BB1493" w:rsidRPr="00FF73FE" w:rsidRDefault="00BB1493">
            <w:pPr>
              <w:pStyle w:val="ListParagraph"/>
              <w:numPr>
                <w:ilvl w:val="0"/>
                <w:numId w:val="28"/>
              </w:numPr>
              <w:spacing w:before="120"/>
              <w:ind w:left="1077" w:hanging="357"/>
              <w:contextualSpacing w:val="0"/>
              <w:rPr>
                <w:rFonts w:asciiTheme="minorHAnsi" w:hAnsiTheme="minorHAnsi" w:cstheme="minorHAnsi"/>
                <w:color w:val="FFFFFF" w:themeColor="background1"/>
                <w:lang w:eastAsia="en-AU"/>
              </w:rPr>
            </w:pPr>
            <w:r w:rsidRPr="00FF73FE">
              <w:rPr>
                <w:rFonts w:asciiTheme="minorHAnsi" w:hAnsiTheme="minorHAnsi" w:cstheme="minorHAnsi"/>
                <w:color w:val="FFFFFF" w:themeColor="background1"/>
                <w:lang w:eastAsia="en-AU"/>
              </w:rPr>
              <w:fldChar w:fldCharType="begin"/>
            </w:r>
            <w:r w:rsidRPr="00FF73FE">
              <w:rPr>
                <w:rFonts w:asciiTheme="minorHAnsi" w:hAnsiTheme="minorHAnsi" w:cstheme="minorHAnsi"/>
                <w:color w:val="FFFFFF" w:themeColor="background1"/>
                <w:lang w:eastAsia="en-AU"/>
              </w:rPr>
              <w:instrText xml:space="preserve"> REF _Ref51339822 \h </w:instrText>
            </w:r>
            <w:r w:rsidRPr="00FF73FE">
              <w:rPr>
                <w:rFonts w:asciiTheme="minorHAnsi" w:hAnsiTheme="minorHAnsi" w:cstheme="minorHAnsi"/>
                <w:color w:val="FFFFFF" w:themeColor="background1"/>
                <w:lang w:eastAsia="en-AU"/>
              </w:rPr>
            </w:r>
            <w:r w:rsidRPr="00FF73FE">
              <w:rPr>
                <w:rFonts w:asciiTheme="minorHAnsi" w:hAnsiTheme="minorHAnsi" w:cstheme="minorHAnsi"/>
                <w:color w:val="FFFFFF" w:themeColor="background1"/>
                <w:lang w:eastAsia="en-AU"/>
              </w:rPr>
              <w:fldChar w:fldCharType="separate"/>
            </w:r>
            <w:r w:rsidR="001C5CC6" w:rsidRPr="00FF73FE">
              <w:rPr>
                <w:color w:val="FFFFFF" w:themeColor="background1"/>
              </w:rPr>
              <w:t>Reform idea 2 - Recognise trade as a core goal and reframe consumer choice as a factor to which FSANZ ‘must have regard’</w:t>
            </w:r>
            <w:r w:rsidRPr="00FF73FE">
              <w:rPr>
                <w:rFonts w:asciiTheme="minorHAnsi" w:hAnsiTheme="minorHAnsi" w:cstheme="minorHAnsi"/>
                <w:color w:val="FFFFFF" w:themeColor="background1"/>
                <w:lang w:eastAsia="en-AU"/>
              </w:rPr>
              <w:fldChar w:fldCharType="end"/>
            </w:r>
            <w:r w:rsidRPr="00FF73FE">
              <w:rPr>
                <w:rFonts w:asciiTheme="minorHAnsi" w:hAnsiTheme="minorHAnsi" w:cstheme="minorHAnsi"/>
                <w:color w:val="FFFFFF" w:themeColor="background1"/>
                <w:lang w:eastAsia="en-AU"/>
              </w:rPr>
              <w:t xml:space="preserve"> </w:t>
            </w:r>
          </w:p>
          <w:p w14:paraId="566C92A6" w14:textId="6DD421F3" w:rsidR="00692D4C" w:rsidRPr="00FF73FE" w:rsidRDefault="00BB1493" w:rsidP="00BB1493">
            <w:pPr>
              <w:pStyle w:val="ListParagraph"/>
              <w:numPr>
                <w:ilvl w:val="0"/>
                <w:numId w:val="28"/>
              </w:numPr>
              <w:spacing w:before="120"/>
              <w:ind w:left="1077" w:hanging="357"/>
              <w:contextualSpacing w:val="0"/>
              <w:rPr>
                <w:rFonts w:asciiTheme="minorHAnsi" w:hAnsiTheme="minorHAnsi" w:cstheme="minorHAnsi"/>
                <w:color w:val="FFFFFF" w:themeColor="background1"/>
                <w:lang w:eastAsia="en-AU"/>
              </w:rPr>
            </w:pPr>
            <w:r w:rsidRPr="00FF73FE">
              <w:rPr>
                <w:rFonts w:asciiTheme="minorHAnsi" w:hAnsiTheme="minorHAnsi" w:cstheme="minorHAnsi"/>
                <w:color w:val="FFFFFF" w:themeColor="background1"/>
                <w:lang w:eastAsia="en-AU"/>
              </w:rPr>
              <w:fldChar w:fldCharType="begin"/>
            </w:r>
            <w:r w:rsidRPr="00FF73FE">
              <w:rPr>
                <w:rFonts w:asciiTheme="minorHAnsi" w:hAnsiTheme="minorHAnsi" w:cstheme="minorHAnsi"/>
                <w:color w:val="FFFFFF" w:themeColor="background1"/>
                <w:lang w:eastAsia="en-AU"/>
              </w:rPr>
              <w:instrText xml:space="preserve"> REF _Ref51486292 \h </w:instrText>
            </w:r>
            <w:r w:rsidRPr="00FF73FE">
              <w:rPr>
                <w:rFonts w:asciiTheme="minorHAnsi" w:hAnsiTheme="minorHAnsi" w:cstheme="minorHAnsi"/>
                <w:color w:val="FFFFFF" w:themeColor="background1"/>
                <w:lang w:eastAsia="en-AU"/>
              </w:rPr>
            </w:r>
            <w:r w:rsidRPr="00FF73FE">
              <w:rPr>
                <w:rFonts w:asciiTheme="minorHAnsi" w:hAnsiTheme="minorHAnsi" w:cstheme="minorHAnsi"/>
                <w:color w:val="FFFFFF" w:themeColor="background1"/>
                <w:lang w:eastAsia="en-AU"/>
              </w:rPr>
              <w:fldChar w:fldCharType="separate"/>
            </w:r>
            <w:r w:rsidR="001C5CC6" w:rsidRPr="00FF73FE">
              <w:rPr>
                <w:color w:val="FFFFFF" w:themeColor="background1"/>
              </w:rPr>
              <w:t>Reform idea 3 – Establish criteria in the Act that the Forum must meet to request a review of a draft regulatory measure</w:t>
            </w:r>
            <w:r w:rsidRPr="00FF73FE">
              <w:rPr>
                <w:rFonts w:asciiTheme="minorHAnsi" w:hAnsiTheme="minorHAnsi" w:cstheme="minorHAnsi"/>
                <w:color w:val="FFFFFF" w:themeColor="background1"/>
                <w:lang w:eastAsia="en-AU"/>
              </w:rPr>
              <w:fldChar w:fldCharType="end"/>
            </w:r>
            <w:r w:rsidRPr="00FF73FE">
              <w:rPr>
                <w:rFonts w:asciiTheme="minorHAnsi" w:hAnsiTheme="minorHAnsi" w:cstheme="minorHAnsi"/>
                <w:color w:val="FFFFFF" w:themeColor="background1"/>
                <w:lang w:eastAsia="en-AU"/>
              </w:rPr>
              <w:t xml:space="preserve"> </w:t>
            </w:r>
          </w:p>
          <w:p w14:paraId="3A27E088" w14:textId="24443B53" w:rsidR="00BD01CE" w:rsidRPr="00E25160" w:rsidRDefault="00BD01CE">
            <w:pPr>
              <w:pStyle w:val="ListParagraph"/>
              <w:numPr>
                <w:ilvl w:val="0"/>
                <w:numId w:val="15"/>
              </w:numPr>
              <w:contextualSpacing w:val="0"/>
              <w:rPr>
                <w:color w:val="FFFFFF" w:themeColor="background1"/>
                <w:lang w:eastAsia="en-AU"/>
              </w:rPr>
            </w:pPr>
            <w:r w:rsidRPr="00FF73FE">
              <w:rPr>
                <w:rFonts w:asciiTheme="minorHAnsi" w:hAnsiTheme="minorHAnsi" w:cstheme="minorHAnsi"/>
                <w:color w:val="FFFFFF" w:themeColor="background1"/>
                <w:lang w:eastAsia="en-AU"/>
              </w:rPr>
              <w:t xml:space="preserve">Are there other potential </w:t>
            </w:r>
            <w:r w:rsidR="00300692" w:rsidRPr="00FF73FE">
              <w:rPr>
                <w:rFonts w:asciiTheme="minorHAnsi" w:hAnsiTheme="minorHAnsi" w:cstheme="minorHAnsi"/>
                <w:color w:val="FFFFFF" w:themeColor="background1"/>
                <w:lang w:eastAsia="en-AU"/>
              </w:rPr>
              <w:t xml:space="preserve">solutions </w:t>
            </w:r>
            <w:r w:rsidR="004E0B44" w:rsidRPr="00FF73FE">
              <w:rPr>
                <w:rFonts w:asciiTheme="minorHAnsi" w:hAnsiTheme="minorHAnsi" w:cstheme="minorHAnsi"/>
                <w:color w:val="FFFFFF" w:themeColor="background1"/>
                <w:lang w:eastAsia="en-AU"/>
              </w:rPr>
              <w:t xml:space="preserve">to problems </w:t>
            </w:r>
            <w:r w:rsidR="00300692">
              <w:rPr>
                <w:rFonts w:asciiTheme="minorHAnsi" w:hAnsiTheme="minorHAnsi" w:cstheme="minorHAnsi"/>
                <w:color w:val="FFFFFF" w:themeColor="background1"/>
                <w:lang w:eastAsia="en-AU"/>
              </w:rPr>
              <w:t>relating to</w:t>
            </w:r>
            <w:r w:rsidR="00312EAA">
              <w:rPr>
                <w:rFonts w:asciiTheme="minorHAnsi" w:hAnsiTheme="minorHAnsi" w:cstheme="minorHAnsi"/>
                <w:color w:val="FFFFFF" w:themeColor="background1"/>
                <w:lang w:eastAsia="en-AU"/>
              </w:rPr>
              <w:t xml:space="preserve"> legislated objectives?</w:t>
            </w:r>
            <w:r w:rsidRPr="003C15B4">
              <w:rPr>
                <w:color w:val="FFFFFF" w:themeColor="background1"/>
                <w:lang w:eastAsia="en-AU"/>
              </w:rPr>
              <w:t xml:space="preserve"> </w:t>
            </w:r>
          </w:p>
        </w:tc>
      </w:tr>
      <w:bookmarkEnd w:id="32"/>
    </w:tbl>
    <w:p w14:paraId="66546E78" w14:textId="77777777" w:rsidR="00BD01CE" w:rsidRDefault="00BD01CE" w:rsidP="00BD01CE"/>
    <w:p w14:paraId="6795EE3E" w14:textId="17CD38E1" w:rsidR="00B529FB" w:rsidRDefault="00B529FB" w:rsidP="0011202C">
      <w:pPr>
        <w:pStyle w:val="Heading1"/>
      </w:pPr>
      <w:bookmarkStart w:id="33" w:name="_Ref51249937"/>
      <w:bookmarkStart w:id="34" w:name="_Toc52179128"/>
      <w:r>
        <w:lastRenderedPageBreak/>
        <w:t>Functions</w:t>
      </w:r>
      <w:bookmarkEnd w:id="33"/>
      <w:bookmarkEnd w:id="34"/>
    </w:p>
    <w:p w14:paraId="4A8D0029" w14:textId="7B709B42" w:rsidR="00C14609" w:rsidRPr="00C14609" w:rsidRDefault="00C14609" w:rsidP="00C14609">
      <w:pPr>
        <w:rPr>
          <w:lang w:eastAsia="en-AU"/>
        </w:rPr>
      </w:pPr>
      <w:r>
        <w:t>Once the objectives and goals for FSANZ are clarified, there is an opportunity to consider how well its current suite of functions aligns with its statutory remit</w:t>
      </w:r>
      <w:r w:rsidR="00F77D91">
        <w:t>;</w:t>
      </w:r>
      <w:r w:rsidR="0090177B">
        <w:t xml:space="preserve"> and whether FSANZ should undertake additional functions in Australia and/or New Zealand</w:t>
      </w:r>
      <w:r>
        <w:t>.</w:t>
      </w:r>
      <w:r w:rsidR="00B67862">
        <w:t xml:space="preserve"> </w:t>
      </w:r>
    </w:p>
    <w:p w14:paraId="5AECDFFA" w14:textId="2EA5F740" w:rsidR="009F7CBA" w:rsidRPr="00321C32" w:rsidRDefault="009F7CBA" w:rsidP="00E0390E">
      <w:pPr>
        <w:pStyle w:val="Heading2"/>
        <w:ind w:left="567"/>
      </w:pPr>
      <w:bookmarkStart w:id="35" w:name="_Ref51486325"/>
      <w:bookmarkStart w:id="36" w:name="_Toc52179129"/>
      <w:r w:rsidRPr="00321C32">
        <w:t xml:space="preserve">FSANZ’s </w:t>
      </w:r>
      <w:r>
        <w:t>statutory functions could be clarified</w:t>
      </w:r>
      <w:bookmarkEnd w:id="35"/>
      <w:bookmarkEnd w:id="36"/>
    </w:p>
    <w:p w14:paraId="138D0560" w14:textId="3DFB9E0B" w:rsidR="0011710D" w:rsidRPr="0011710D" w:rsidRDefault="0011710D" w:rsidP="0011710D">
      <w:pPr>
        <w:rPr>
          <w:lang w:eastAsia="en-AU"/>
        </w:rPr>
      </w:pPr>
      <w:r>
        <w:rPr>
          <w:lang w:eastAsia="en-AU"/>
        </w:rPr>
        <w:t xml:space="preserve">In line with the Terms of Reference, consideration has been given to FSANZ’s current statutory functions, as well as new roles or </w:t>
      </w:r>
      <w:r w:rsidR="004B03B6">
        <w:rPr>
          <w:lang w:eastAsia="en-AU"/>
        </w:rPr>
        <w:t>f</w:t>
      </w:r>
      <w:r>
        <w:rPr>
          <w:lang w:eastAsia="en-AU"/>
        </w:rPr>
        <w:t>unctions FSANZ could take on in Australia and/or New Zealand.</w:t>
      </w:r>
    </w:p>
    <w:p w14:paraId="76518814" w14:textId="67210D2B" w:rsidR="004B52E6" w:rsidRDefault="00704C99" w:rsidP="00412B3B">
      <w:pPr>
        <w:pStyle w:val="Heading3"/>
      </w:pPr>
      <w:bookmarkStart w:id="37" w:name="_Ref51486327"/>
      <w:r>
        <w:t xml:space="preserve">FSANZ </w:t>
      </w:r>
      <w:r w:rsidR="005A43C3">
        <w:t xml:space="preserve">has a broad range of </w:t>
      </w:r>
      <w:r w:rsidR="00CB1D67">
        <w:t>statutory</w:t>
      </w:r>
      <w:r>
        <w:t xml:space="preserve"> functions</w:t>
      </w:r>
      <w:bookmarkEnd w:id="37"/>
    </w:p>
    <w:p w14:paraId="7678EA12" w14:textId="238DB374" w:rsidR="00F609D2" w:rsidRDefault="004B52E6" w:rsidP="004B52E6">
      <w:r>
        <w:t xml:space="preserve">FSANZ has 20 statutory functions set out in </w:t>
      </w:r>
      <w:r w:rsidR="00757F88">
        <w:t xml:space="preserve">s </w:t>
      </w:r>
      <w:r>
        <w:t>13</w:t>
      </w:r>
      <w:r w:rsidR="00B862B3">
        <w:t xml:space="preserve">. </w:t>
      </w:r>
      <w:r w:rsidR="003037D1">
        <w:t>This</w:t>
      </w:r>
      <w:r w:rsidR="00811678">
        <w:t xml:space="preserve"> provides a broad legislative remit within which </w:t>
      </w:r>
      <w:r w:rsidR="004C494A">
        <w:t>the organisation</w:t>
      </w:r>
      <w:r w:rsidR="00811678">
        <w:t xml:space="preserve"> operates</w:t>
      </w:r>
      <w:r w:rsidR="00B862B3">
        <w:t xml:space="preserve">. </w:t>
      </w:r>
      <w:r w:rsidR="00C12DE2">
        <w:t xml:space="preserve">In addition to its core role in developing and reviewing food </w:t>
      </w:r>
      <w:r w:rsidR="00FE40FB">
        <w:t>regulatory measures</w:t>
      </w:r>
      <w:r w:rsidR="00C1163E">
        <w:t xml:space="preserve">, </w:t>
      </w:r>
      <w:r w:rsidR="00E953E7">
        <w:t xml:space="preserve">FSANZ also has a </w:t>
      </w:r>
      <w:r w:rsidR="000347DA">
        <w:t>range of</w:t>
      </w:r>
      <w:r w:rsidR="00E953E7">
        <w:t xml:space="preserve"> coordination and monitoring </w:t>
      </w:r>
      <w:r w:rsidR="000347DA">
        <w:t xml:space="preserve">roles in Australia, working in consultation </w:t>
      </w:r>
      <w:r w:rsidR="00DC3DCA">
        <w:t xml:space="preserve">with the </w:t>
      </w:r>
      <w:r w:rsidR="00A96E2E">
        <w:t xml:space="preserve">states </w:t>
      </w:r>
      <w:r w:rsidR="00DC3DCA">
        <w:t xml:space="preserve">and </w:t>
      </w:r>
      <w:r w:rsidR="00E14997">
        <w:t>t</w:t>
      </w:r>
      <w:r w:rsidR="00DC3DCA">
        <w:t>erritories</w:t>
      </w:r>
      <w:r w:rsidR="00C10061">
        <w:t>,</w:t>
      </w:r>
      <w:r w:rsidR="00DC3DCA">
        <w:t xml:space="preserve"> or on its own initiative</w:t>
      </w:r>
      <w:r w:rsidR="00BF0864">
        <w:t xml:space="preserve">. These roles include facilitating harmonisation of food laws, </w:t>
      </w:r>
      <w:r w:rsidR="006F6C1C">
        <w:t xml:space="preserve">coordinating monitoring, surveillance and enforcement, </w:t>
      </w:r>
      <w:r w:rsidR="0091701C">
        <w:t xml:space="preserve">conducting </w:t>
      </w:r>
      <w:r w:rsidR="004D4218">
        <w:t xml:space="preserve">research, coordinating food recalls and developing food education initiatives. </w:t>
      </w:r>
      <w:r w:rsidR="00650E1B">
        <w:t xml:space="preserve">FSANZ also can perform similar functions at the request of New Zealand. FSANZ also has several international-facing roles, including participating in international, regional and bilateral negotiations. </w:t>
      </w:r>
      <w:r w:rsidR="00AF56CB">
        <w:fldChar w:fldCharType="begin"/>
      </w:r>
      <w:r w:rsidR="00AF56CB">
        <w:instrText xml:space="preserve"> REF _Ref49687678 \h </w:instrText>
      </w:r>
      <w:r w:rsidR="00AF56CB">
        <w:fldChar w:fldCharType="separate"/>
      </w:r>
      <w:r w:rsidR="001C5CC6">
        <w:t xml:space="preserve">Table </w:t>
      </w:r>
      <w:r w:rsidR="001C5CC6">
        <w:rPr>
          <w:noProof/>
        </w:rPr>
        <w:t>5</w:t>
      </w:r>
      <w:r w:rsidR="00AF56CB">
        <w:fldChar w:fldCharType="end"/>
      </w:r>
      <w:r w:rsidR="00457604">
        <w:t xml:space="preserve"> provides a </w:t>
      </w:r>
      <w:r w:rsidR="00C949A0">
        <w:t xml:space="preserve">summary of FSANZ’s statutory functions. </w:t>
      </w:r>
    </w:p>
    <w:p w14:paraId="7BDDE06B" w14:textId="19C9109A" w:rsidR="005668DD" w:rsidRDefault="005668DD" w:rsidP="004B52E6">
      <w:r>
        <w:t xml:space="preserve">In practice, FSANZ also undertakes significant </w:t>
      </w:r>
      <w:r w:rsidR="000E0C7D">
        <w:t xml:space="preserve">project-related work. This includes contributions to the Australian Health Survey, the Australia Total Diet Survey, development of a branded food database and reviewing the modelling of the </w:t>
      </w:r>
      <w:r w:rsidR="00DF4D3C">
        <w:t>H</w:t>
      </w:r>
      <w:r w:rsidR="000E0C7D">
        <w:t xml:space="preserve">ealth </w:t>
      </w:r>
      <w:r w:rsidR="00DF4D3C">
        <w:t>S</w:t>
      </w:r>
      <w:r w:rsidR="000E0C7D">
        <w:t xml:space="preserve">tar </w:t>
      </w:r>
      <w:r w:rsidR="00DF4D3C">
        <w:t>R</w:t>
      </w:r>
      <w:r w:rsidR="000E0C7D">
        <w:t xml:space="preserve">ating calculator. </w:t>
      </w:r>
    </w:p>
    <w:p w14:paraId="0B3C50E0" w14:textId="1C183472" w:rsidR="008D609E" w:rsidRDefault="008D609E" w:rsidP="008D609E">
      <w:pPr>
        <w:pStyle w:val="Caption"/>
      </w:pPr>
      <w:bookmarkStart w:id="38" w:name="_Ref49687678"/>
      <w:r>
        <w:t xml:space="preserve">Table </w:t>
      </w:r>
      <w:r>
        <w:fldChar w:fldCharType="begin"/>
      </w:r>
      <w:r>
        <w:instrText xml:space="preserve"> SEQ Table \* ARABIC </w:instrText>
      </w:r>
      <w:r>
        <w:fldChar w:fldCharType="separate"/>
      </w:r>
      <w:r w:rsidR="001C5CC6">
        <w:rPr>
          <w:noProof/>
        </w:rPr>
        <w:t>5</w:t>
      </w:r>
      <w:r>
        <w:fldChar w:fldCharType="end"/>
      </w:r>
      <w:bookmarkEnd w:id="38"/>
      <w:r>
        <w:t xml:space="preserve"> | </w:t>
      </w:r>
      <w:r w:rsidR="00C949A0">
        <w:t>FSANZ’s statutory</w:t>
      </w:r>
      <w:r>
        <w:t xml:space="preserve"> functions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8D609E" w14:paraId="795AC27A" w14:textId="77777777" w:rsidTr="00603472">
        <w:trPr>
          <w:trHeight w:val="3499"/>
        </w:trPr>
        <w:tc>
          <w:tcPr>
            <w:tcW w:w="9055" w:type="dxa"/>
          </w:tcPr>
          <w:p w14:paraId="63D5117A" w14:textId="3AC439FC" w:rsidR="008D609E" w:rsidRPr="00CF3951" w:rsidRDefault="008D609E" w:rsidP="00A9193D">
            <w:pPr>
              <w:rPr>
                <w:rFonts w:asciiTheme="minorHAnsi" w:hAnsiTheme="minorHAnsi" w:cstheme="minorHAnsi"/>
                <w:lang w:eastAsia="en-AU"/>
              </w:rPr>
            </w:pPr>
            <w:r w:rsidRPr="00CF3951">
              <w:rPr>
                <w:rFonts w:asciiTheme="minorHAnsi" w:hAnsiTheme="minorHAnsi" w:cstheme="minorHAnsi"/>
                <w:lang w:eastAsia="en-AU"/>
              </w:rPr>
              <w:t xml:space="preserve">The Act establishes </w:t>
            </w:r>
            <w:r w:rsidR="00C949A0" w:rsidRPr="00CF3951">
              <w:rPr>
                <w:rFonts w:asciiTheme="minorHAnsi" w:hAnsiTheme="minorHAnsi" w:cstheme="minorHAnsi"/>
                <w:lang w:eastAsia="en-AU"/>
              </w:rPr>
              <w:t>FSANZ</w:t>
            </w:r>
            <w:r w:rsidRPr="00CF3951">
              <w:rPr>
                <w:rFonts w:asciiTheme="minorHAnsi" w:hAnsiTheme="minorHAnsi" w:cstheme="minorHAnsi"/>
                <w:lang w:eastAsia="en-AU"/>
              </w:rPr>
              <w:t xml:space="preserve"> as an independent statutory authority and sets out its functions, including the development and variation of food regulatory measures. FSANZ has 20 distinct functions that are set out in </w:t>
            </w:r>
            <w:r w:rsidR="00757F88">
              <w:rPr>
                <w:rFonts w:asciiTheme="minorHAnsi" w:hAnsiTheme="minorHAnsi" w:cstheme="minorHAnsi"/>
                <w:lang w:eastAsia="en-AU"/>
              </w:rPr>
              <w:t xml:space="preserve">s </w:t>
            </w:r>
            <w:r w:rsidRPr="00CF3951">
              <w:rPr>
                <w:rFonts w:asciiTheme="minorHAnsi" w:hAnsiTheme="minorHAnsi" w:cstheme="minorHAnsi"/>
                <w:lang w:eastAsia="en-AU"/>
              </w:rPr>
              <w:t>13 of the Act and establish</w:t>
            </w:r>
            <w:r w:rsidR="00880CFC">
              <w:rPr>
                <w:rFonts w:asciiTheme="minorHAnsi" w:hAnsiTheme="minorHAnsi" w:cstheme="minorHAnsi"/>
                <w:lang w:eastAsia="en-AU"/>
              </w:rPr>
              <w:t>es</w:t>
            </w:r>
            <w:r w:rsidRPr="00CF3951">
              <w:rPr>
                <w:rFonts w:asciiTheme="minorHAnsi" w:hAnsiTheme="minorHAnsi" w:cstheme="minorHAnsi"/>
                <w:lang w:eastAsia="en-AU"/>
              </w:rPr>
              <w:t xml:space="preserve"> the organisation with different functions in Australia and New Zealand: </w:t>
            </w:r>
          </w:p>
          <w:p w14:paraId="000C5708" w14:textId="36921069" w:rsidR="008D609E" w:rsidRPr="00CF3951" w:rsidRDefault="008D609E" w:rsidP="00A9193D">
            <w:pPr>
              <w:pStyle w:val="longformcalloutnumber"/>
              <w:rPr>
                <w:rFonts w:asciiTheme="minorHAnsi" w:hAnsiTheme="minorHAnsi" w:cstheme="minorHAnsi"/>
              </w:rPr>
            </w:pPr>
            <w:r w:rsidRPr="00CF3951">
              <w:rPr>
                <w:rFonts w:asciiTheme="minorHAnsi" w:hAnsiTheme="minorHAnsi" w:cstheme="minorHAnsi"/>
              </w:rPr>
              <w:t>Core functions undertaken across both nations include development and variation of food regulatory measures, promoti</w:t>
            </w:r>
            <w:r w:rsidR="004B682E">
              <w:rPr>
                <w:rFonts w:asciiTheme="minorHAnsi" w:hAnsiTheme="minorHAnsi" w:cstheme="minorHAnsi"/>
              </w:rPr>
              <w:t>ng</w:t>
            </w:r>
            <w:r w:rsidRPr="00CF3951">
              <w:rPr>
                <w:rFonts w:asciiTheme="minorHAnsi" w:hAnsiTheme="minorHAnsi" w:cstheme="minorHAnsi"/>
              </w:rPr>
              <w:t xml:space="preserve"> the consistency between jurisdictions and provid</w:t>
            </w:r>
            <w:r w:rsidR="004B682E">
              <w:rPr>
                <w:rFonts w:asciiTheme="minorHAnsi" w:hAnsiTheme="minorHAnsi" w:cstheme="minorHAnsi"/>
              </w:rPr>
              <w:t>ing</w:t>
            </w:r>
            <w:r w:rsidRPr="00CF3951">
              <w:rPr>
                <w:rFonts w:asciiTheme="minorHAnsi" w:hAnsiTheme="minorHAnsi" w:cstheme="minorHAnsi"/>
              </w:rPr>
              <w:t xml:space="preserve"> information to members of the public about the Food Standards Code. FSANZ also has international facing roles, including participating in international, regional and bilateral negotiations. </w:t>
            </w:r>
          </w:p>
          <w:p w14:paraId="74737BFC" w14:textId="27B2F1A6" w:rsidR="009279C6" w:rsidRPr="009279C6" w:rsidRDefault="008D609E" w:rsidP="009279C6">
            <w:pPr>
              <w:pStyle w:val="longformcalloutnumber"/>
              <w:rPr>
                <w:rFonts w:asciiTheme="minorHAnsi" w:hAnsiTheme="minorHAnsi" w:cstheme="minorHAnsi"/>
              </w:rPr>
            </w:pPr>
            <w:r w:rsidRPr="00CF3951">
              <w:rPr>
                <w:rFonts w:asciiTheme="minorHAnsi" w:hAnsiTheme="minorHAnsi" w:cstheme="minorHAnsi"/>
              </w:rPr>
              <w:t xml:space="preserve">FSANZ’s Australia-only functions including working in consultation or co-operation with </w:t>
            </w:r>
            <w:r w:rsidR="00730083">
              <w:rPr>
                <w:rFonts w:asciiTheme="minorHAnsi" w:hAnsiTheme="minorHAnsi" w:cstheme="minorHAnsi"/>
              </w:rPr>
              <w:t>S</w:t>
            </w:r>
            <w:r w:rsidR="00047BC9" w:rsidRPr="00CF3951">
              <w:rPr>
                <w:rFonts w:asciiTheme="minorHAnsi" w:hAnsiTheme="minorHAnsi" w:cstheme="minorHAnsi"/>
              </w:rPr>
              <w:t>tates</w:t>
            </w:r>
            <w:r w:rsidRPr="00CF3951">
              <w:rPr>
                <w:rFonts w:asciiTheme="minorHAnsi" w:hAnsiTheme="minorHAnsi" w:cstheme="minorHAnsi"/>
              </w:rPr>
              <w:t xml:space="preserve"> and </w:t>
            </w:r>
            <w:r w:rsidR="00047BC9">
              <w:rPr>
                <w:rFonts w:asciiTheme="minorHAnsi" w:hAnsiTheme="minorHAnsi" w:cstheme="minorHAnsi"/>
              </w:rPr>
              <w:t>t</w:t>
            </w:r>
            <w:r w:rsidR="00047BC9" w:rsidRPr="00CF3951">
              <w:rPr>
                <w:rFonts w:asciiTheme="minorHAnsi" w:hAnsiTheme="minorHAnsi" w:cstheme="minorHAnsi"/>
              </w:rPr>
              <w:t>erritories</w:t>
            </w:r>
            <w:r w:rsidRPr="00CF3951">
              <w:rPr>
                <w:rFonts w:asciiTheme="minorHAnsi" w:hAnsiTheme="minorHAnsi" w:cstheme="minorHAnsi"/>
              </w:rPr>
              <w:t xml:space="preserve"> on a variety of issues </w:t>
            </w:r>
            <w:r w:rsidR="00515B4A" w:rsidRPr="00CF3951">
              <w:rPr>
                <w:rFonts w:asciiTheme="minorHAnsi" w:hAnsiTheme="minorHAnsi" w:cstheme="minorHAnsi"/>
              </w:rPr>
              <w:t>including</w:t>
            </w:r>
            <w:r w:rsidRPr="00CF3951">
              <w:rPr>
                <w:rFonts w:asciiTheme="minorHAnsi" w:hAnsiTheme="minorHAnsi" w:cstheme="minorHAnsi"/>
              </w:rPr>
              <w:t xml:space="preserve"> food recalls; monitoring, surveillance and enforcement; development of food education initiatives. FSANZ also is responsible for developing assessment policies in relation to food imported into Australia. </w:t>
            </w:r>
          </w:p>
          <w:p w14:paraId="0D686797" w14:textId="2601A009" w:rsidR="008D609E" w:rsidRPr="00E7068E" w:rsidRDefault="00B140CC" w:rsidP="00E7068E">
            <w:pPr>
              <w:pStyle w:val="longformcalloutnumber"/>
              <w:rPr>
                <w:rFonts w:asciiTheme="minorHAnsi" w:hAnsiTheme="minorHAnsi" w:cstheme="minorHAnsi"/>
              </w:rPr>
            </w:pPr>
            <w:r w:rsidRPr="00CF3951">
              <w:rPr>
                <w:rFonts w:asciiTheme="minorHAnsi" w:hAnsiTheme="minorHAnsi" w:cstheme="minorHAnsi"/>
              </w:rPr>
              <w:t>FSANZ is also empowered to perform functions “at the request of New Zealand” (</w:t>
            </w:r>
            <w:r>
              <w:rPr>
                <w:rFonts w:asciiTheme="minorHAnsi" w:hAnsiTheme="minorHAnsi" w:cstheme="minorHAnsi"/>
              </w:rPr>
              <w:t xml:space="preserve">s </w:t>
            </w:r>
            <w:r w:rsidRPr="00CF3951">
              <w:rPr>
                <w:rFonts w:asciiTheme="minorHAnsi" w:hAnsiTheme="minorHAnsi" w:cstheme="minorHAnsi"/>
              </w:rPr>
              <w:t xml:space="preserve">13(1)(p) and </w:t>
            </w:r>
            <w:r>
              <w:rPr>
                <w:rFonts w:asciiTheme="minorHAnsi" w:hAnsiTheme="minorHAnsi" w:cstheme="minorHAnsi"/>
              </w:rPr>
              <w:t xml:space="preserve">s </w:t>
            </w:r>
            <w:r w:rsidRPr="00CF3951">
              <w:rPr>
                <w:rFonts w:asciiTheme="minorHAnsi" w:hAnsiTheme="minorHAnsi" w:cstheme="minorHAnsi"/>
              </w:rPr>
              <w:t>13(1)(q)).</w:t>
            </w:r>
          </w:p>
        </w:tc>
      </w:tr>
    </w:tbl>
    <w:p w14:paraId="399451C8" w14:textId="6E8DE571" w:rsidR="000E7173" w:rsidRPr="001F72BE" w:rsidRDefault="000E7173" w:rsidP="00412B3B">
      <w:pPr>
        <w:pStyle w:val="Heading3"/>
      </w:pPr>
      <w:bookmarkStart w:id="39" w:name="_Ref51486366"/>
      <w:r w:rsidRPr="001F72BE">
        <w:t>FSANZ’s role could be better defined in some cases</w:t>
      </w:r>
      <w:bookmarkEnd w:id="39"/>
    </w:p>
    <w:p w14:paraId="2D146642" w14:textId="40284E28" w:rsidR="00C902C5" w:rsidRDefault="001F72BE" w:rsidP="000E7173">
      <w:pPr>
        <w:rPr>
          <w:lang w:eastAsia="en-AU"/>
        </w:rPr>
      </w:pPr>
      <w:r>
        <w:rPr>
          <w:lang w:eastAsia="en-AU"/>
        </w:rPr>
        <w:t>While FSANZ’s core role as a standard</w:t>
      </w:r>
      <w:r w:rsidR="00483710">
        <w:rPr>
          <w:lang w:eastAsia="en-AU"/>
        </w:rPr>
        <w:t>-</w:t>
      </w:r>
      <w:r>
        <w:rPr>
          <w:lang w:eastAsia="en-AU"/>
        </w:rPr>
        <w:t xml:space="preserve">setting body is well defined and understood, there is not a shared understanding of its mandate in relation to </w:t>
      </w:r>
      <w:r w:rsidR="003D5172">
        <w:rPr>
          <w:lang w:eastAsia="en-AU"/>
        </w:rPr>
        <w:t xml:space="preserve">certain </w:t>
      </w:r>
      <w:r>
        <w:rPr>
          <w:lang w:eastAsia="en-AU"/>
        </w:rPr>
        <w:t>other issues.</w:t>
      </w:r>
      <w:r w:rsidR="003D5172">
        <w:rPr>
          <w:lang w:eastAsia="en-AU"/>
        </w:rPr>
        <w:t xml:space="preserve"> </w:t>
      </w:r>
      <w:r w:rsidR="00B30174">
        <w:rPr>
          <w:lang w:eastAsia="en-AU"/>
        </w:rPr>
        <w:t>There is currently</w:t>
      </w:r>
      <w:r w:rsidR="00D67627">
        <w:rPr>
          <w:lang w:eastAsia="en-AU"/>
        </w:rPr>
        <w:t xml:space="preserve"> ambiguity around </w:t>
      </w:r>
      <w:r w:rsidR="00D67627">
        <w:rPr>
          <w:lang w:eastAsia="en-AU"/>
        </w:rPr>
        <w:lastRenderedPageBreak/>
        <w:t xml:space="preserve">FSANZ’s role in supporting broader public health </w:t>
      </w:r>
      <w:r w:rsidR="001175E2">
        <w:rPr>
          <w:lang w:eastAsia="en-AU"/>
        </w:rPr>
        <w:t>and nutrition</w:t>
      </w:r>
      <w:r w:rsidR="00D67627">
        <w:rPr>
          <w:lang w:eastAsia="en-AU"/>
        </w:rPr>
        <w:t xml:space="preserve"> objectives beyond acute food safety issues, such as promoting healthy eating and protecting Australians and New Zealanders from diet-related diseases.</w:t>
      </w:r>
      <w:r w:rsidR="003D5172">
        <w:rPr>
          <w:lang w:eastAsia="en-AU"/>
        </w:rPr>
        <w:t xml:space="preserve"> </w:t>
      </w:r>
      <w:r w:rsidR="000459E5">
        <w:rPr>
          <w:lang w:eastAsia="en-AU"/>
        </w:rPr>
        <w:t>Within its current remit, FSANZ undertakes work that promotes healthy eating (</w:t>
      </w:r>
      <w:r w:rsidR="00125D94">
        <w:rPr>
          <w:lang w:eastAsia="en-AU"/>
        </w:rPr>
        <w:t xml:space="preserve">e.g. </w:t>
      </w:r>
      <w:r w:rsidR="000459E5">
        <w:rPr>
          <w:lang w:eastAsia="en-AU"/>
        </w:rPr>
        <w:t xml:space="preserve">through nutrition labelling) and </w:t>
      </w:r>
      <w:r w:rsidR="00125D94">
        <w:rPr>
          <w:lang w:eastAsia="en-AU"/>
        </w:rPr>
        <w:t xml:space="preserve">a healthy food supply (e.g. through mandatory folate fortification) but </w:t>
      </w:r>
      <w:r w:rsidR="00D9470F">
        <w:rPr>
          <w:lang w:eastAsia="en-AU"/>
        </w:rPr>
        <w:t xml:space="preserve">this role is not clearly defined or understood by stakeholders. </w:t>
      </w:r>
      <w:r w:rsidR="00AF56CB">
        <w:rPr>
          <w:lang w:eastAsia="en-AU"/>
        </w:rPr>
        <w:t xml:space="preserve">This ambiguity relates partly to the current statement of objectives in the Act. </w:t>
      </w:r>
      <w:r w:rsidR="00DC51DC">
        <w:rPr>
          <w:lang w:eastAsia="en-AU"/>
        </w:rPr>
        <w:t xml:space="preserve">FSANZ </w:t>
      </w:r>
      <w:r w:rsidR="00A62566">
        <w:rPr>
          <w:lang w:eastAsia="en-AU"/>
        </w:rPr>
        <w:t xml:space="preserve">also </w:t>
      </w:r>
      <w:r w:rsidR="00DC51DC">
        <w:rPr>
          <w:lang w:eastAsia="en-AU"/>
        </w:rPr>
        <w:t xml:space="preserve">does not have a clear statutory role in relation to other issues such as food crime, food security and food sustainability. </w:t>
      </w:r>
    </w:p>
    <w:p w14:paraId="63492A5A" w14:textId="11839593" w:rsidR="000B2457" w:rsidRDefault="000B2457" w:rsidP="000E7173">
      <w:pPr>
        <w:rPr>
          <w:lang w:eastAsia="en-AU"/>
        </w:rPr>
      </w:pPr>
      <w:r>
        <w:rPr>
          <w:lang w:eastAsia="en-AU"/>
        </w:rPr>
        <w:t xml:space="preserve">While existing statutory functions </w:t>
      </w:r>
      <w:r w:rsidR="006A1F15">
        <w:rPr>
          <w:lang w:eastAsia="en-AU"/>
        </w:rPr>
        <w:t xml:space="preserve">set out in the Act are broad and provide scope for FSANZ to undertake a range of work, there are opportunities to clarify FSANZ’s role </w:t>
      </w:r>
      <w:r w:rsidR="00D25ABE">
        <w:rPr>
          <w:lang w:eastAsia="en-AU"/>
        </w:rPr>
        <w:t>and suitabl</w:t>
      </w:r>
      <w:r w:rsidR="00A62566">
        <w:rPr>
          <w:lang w:eastAsia="en-AU"/>
        </w:rPr>
        <w:t>y</w:t>
      </w:r>
      <w:r w:rsidR="00D25ABE">
        <w:rPr>
          <w:lang w:eastAsia="en-AU"/>
        </w:rPr>
        <w:t xml:space="preserve"> ‘future-proof’ the legislation for roles that FSANZ could undertake in achieving its core objectives. </w:t>
      </w:r>
    </w:p>
    <w:p w14:paraId="06BAEA98" w14:textId="2C721A38" w:rsidR="00132257" w:rsidRDefault="00A659B6" w:rsidP="00412B3B">
      <w:pPr>
        <w:pStyle w:val="Heading3"/>
      </w:pPr>
      <w:bookmarkStart w:id="40" w:name="_Ref51486367"/>
      <w:r>
        <w:t xml:space="preserve">FSANZ </w:t>
      </w:r>
      <w:r w:rsidR="00132257">
        <w:t>could potentially undertake broader role</w:t>
      </w:r>
      <w:r w:rsidR="00E45AB6">
        <w:t>s</w:t>
      </w:r>
      <w:r w:rsidR="00132257">
        <w:t xml:space="preserve"> or functions to deliver greater value to the system, if appropriately resourced</w:t>
      </w:r>
      <w:bookmarkEnd w:id="40"/>
      <w:r w:rsidR="00132257">
        <w:t xml:space="preserve"> </w:t>
      </w:r>
    </w:p>
    <w:p w14:paraId="520FE19A" w14:textId="633954FD" w:rsidR="00C926DD" w:rsidRDefault="000528A0" w:rsidP="00876778">
      <w:pPr>
        <w:rPr>
          <w:lang w:eastAsia="en-AU"/>
        </w:rPr>
      </w:pPr>
      <w:r>
        <w:rPr>
          <w:lang w:eastAsia="en-AU"/>
        </w:rPr>
        <w:t>FSANZ could potentially undertake a broader range of roles and functions</w:t>
      </w:r>
      <w:r w:rsidR="004338B5">
        <w:rPr>
          <w:lang w:eastAsia="en-AU"/>
        </w:rPr>
        <w:t xml:space="preserve"> in Australia or New Zealand.</w:t>
      </w:r>
      <w:r w:rsidR="0088264B">
        <w:rPr>
          <w:lang w:eastAsia="en-AU"/>
        </w:rPr>
        <w:t xml:space="preserve"> </w:t>
      </w:r>
      <w:r w:rsidR="004B42E9">
        <w:rPr>
          <w:lang w:eastAsia="en-AU"/>
        </w:rPr>
        <w:t xml:space="preserve">Comparable bodies in overseas jurisdictions have different remits, including </w:t>
      </w:r>
      <w:r w:rsidR="006E507D">
        <w:rPr>
          <w:lang w:eastAsia="en-AU"/>
        </w:rPr>
        <w:t>regulatory responsibilities and roles in policy development</w:t>
      </w:r>
      <w:r w:rsidR="0048562C">
        <w:rPr>
          <w:lang w:eastAsia="en-AU"/>
        </w:rPr>
        <w:t>, that could be considered in the Australian and</w:t>
      </w:r>
      <w:r w:rsidR="00194F0A">
        <w:rPr>
          <w:lang w:eastAsia="en-AU"/>
        </w:rPr>
        <w:t>/or</w:t>
      </w:r>
      <w:r w:rsidR="0048562C">
        <w:rPr>
          <w:lang w:eastAsia="en-AU"/>
        </w:rPr>
        <w:t xml:space="preserve"> New Zealand context</w:t>
      </w:r>
      <w:r w:rsidR="00194F0A">
        <w:rPr>
          <w:lang w:eastAsia="en-AU"/>
        </w:rPr>
        <w:t xml:space="preserve">s recognising the distinct ways that </w:t>
      </w:r>
      <w:r w:rsidR="00E5240F">
        <w:rPr>
          <w:lang w:eastAsia="en-AU"/>
        </w:rPr>
        <w:t>food standards are implemented and enforced</w:t>
      </w:r>
      <w:r w:rsidR="00732699">
        <w:rPr>
          <w:lang w:eastAsia="en-AU"/>
        </w:rPr>
        <w:t xml:space="preserve"> </w:t>
      </w:r>
      <w:r w:rsidR="0021534F">
        <w:rPr>
          <w:lang w:eastAsia="en-AU"/>
        </w:rPr>
        <w:t xml:space="preserve">in </w:t>
      </w:r>
      <w:r w:rsidR="00732699">
        <w:rPr>
          <w:lang w:eastAsia="en-AU"/>
        </w:rPr>
        <w:t>jurisdictions</w:t>
      </w:r>
      <w:r w:rsidR="0048562C">
        <w:rPr>
          <w:lang w:eastAsia="en-AU"/>
        </w:rPr>
        <w:t>.</w:t>
      </w:r>
      <w:r w:rsidR="006E507D">
        <w:rPr>
          <w:lang w:eastAsia="en-AU"/>
        </w:rPr>
        <w:t xml:space="preserve"> </w:t>
      </w:r>
    </w:p>
    <w:p w14:paraId="48853374" w14:textId="1E9A8E52" w:rsidR="00CD7DCE" w:rsidRDefault="006E507D" w:rsidP="00876778">
      <w:pPr>
        <w:rPr>
          <w:lang w:eastAsia="en-AU"/>
        </w:rPr>
      </w:pPr>
      <w:r>
        <w:rPr>
          <w:lang w:eastAsia="en-AU"/>
        </w:rPr>
        <w:t xml:space="preserve">This is illustrated in </w:t>
      </w:r>
      <w:r>
        <w:rPr>
          <w:lang w:eastAsia="en-AU"/>
        </w:rPr>
        <w:fldChar w:fldCharType="begin"/>
      </w:r>
      <w:r>
        <w:rPr>
          <w:lang w:eastAsia="en-AU"/>
        </w:rPr>
        <w:instrText xml:space="preserve"> REF _Ref51333496 \h </w:instrText>
      </w:r>
      <w:r>
        <w:rPr>
          <w:lang w:eastAsia="en-AU"/>
        </w:rPr>
      </w:r>
      <w:r>
        <w:rPr>
          <w:lang w:eastAsia="en-AU"/>
        </w:rPr>
        <w:fldChar w:fldCharType="separate"/>
      </w:r>
      <w:r w:rsidR="001C5CC6">
        <w:t xml:space="preserve">Figure </w:t>
      </w:r>
      <w:r w:rsidR="001C5CC6">
        <w:rPr>
          <w:noProof/>
        </w:rPr>
        <w:t>3</w:t>
      </w:r>
      <w:r>
        <w:rPr>
          <w:lang w:eastAsia="en-AU"/>
        </w:rPr>
        <w:fldChar w:fldCharType="end"/>
      </w:r>
      <w:r w:rsidR="004243DB">
        <w:rPr>
          <w:lang w:eastAsia="en-AU"/>
        </w:rPr>
        <w:t xml:space="preserve"> below</w:t>
      </w:r>
      <w:r>
        <w:rPr>
          <w:lang w:eastAsia="en-AU"/>
        </w:rPr>
        <w:t>.</w:t>
      </w:r>
    </w:p>
    <w:p w14:paraId="3FBC2C6F" w14:textId="3BB49144" w:rsidR="006E507D" w:rsidRDefault="006E507D" w:rsidP="006E507D">
      <w:pPr>
        <w:pStyle w:val="Caption"/>
      </w:pPr>
      <w:bookmarkStart w:id="41" w:name="_Ref51333496"/>
      <w:r>
        <w:t xml:space="preserve">Figure </w:t>
      </w:r>
      <w:r>
        <w:fldChar w:fldCharType="begin"/>
      </w:r>
      <w:r>
        <w:instrText xml:space="preserve"> SEQ Figure \* ARABIC </w:instrText>
      </w:r>
      <w:r>
        <w:fldChar w:fldCharType="separate"/>
      </w:r>
      <w:r w:rsidR="001C5CC6">
        <w:rPr>
          <w:noProof/>
        </w:rPr>
        <w:t>3</w:t>
      </w:r>
      <w:r>
        <w:fldChar w:fldCharType="end"/>
      </w:r>
      <w:bookmarkEnd w:id="41"/>
      <w:r>
        <w:t xml:space="preserve"> | Roles performed by different actors in food regulatory system (domestic and international)</w:t>
      </w:r>
    </w:p>
    <w:p w14:paraId="3C02FB54" w14:textId="767ADF8B" w:rsidR="006E507D" w:rsidRDefault="59A02677" w:rsidP="00876778">
      <w:pPr>
        <w:rPr>
          <w:lang w:eastAsia="en-AU"/>
        </w:rPr>
      </w:pPr>
      <w:r>
        <w:rPr>
          <w:noProof/>
          <w:lang w:eastAsia="en-AU"/>
        </w:rPr>
        <w:drawing>
          <wp:inline distT="0" distB="0" distL="0" distR="0" wp14:anchorId="03F7C3A6" wp14:editId="661CD464">
            <wp:extent cx="5629275" cy="3089828"/>
            <wp:effectExtent l="0" t="0" r="0" b="0"/>
            <wp:docPr id="5" name="Picture 5" descr="This diagram compares FSANZ's functions with other food standards setters and/or regulators from overseas jurisdictions. This includes the UK's Food Standards Agency, the US Food and Drug Administration, European Food Safety Authority and Canadian Food Inspection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29275" cy="3089828"/>
                    </a:xfrm>
                    <a:prstGeom prst="rect">
                      <a:avLst/>
                    </a:prstGeom>
                  </pic:spPr>
                </pic:pic>
              </a:graphicData>
            </a:graphic>
          </wp:inline>
        </w:drawing>
      </w:r>
    </w:p>
    <w:p w14:paraId="085BBC60" w14:textId="77777777" w:rsidR="000E7173" w:rsidRDefault="0048562C" w:rsidP="00876778">
      <w:pPr>
        <w:rPr>
          <w:lang w:eastAsia="en-AU"/>
        </w:rPr>
      </w:pPr>
      <w:r>
        <w:rPr>
          <w:lang w:eastAsia="en-AU"/>
        </w:rPr>
        <w:t>Stakeholders consulted to date have expressed diverse perspectives on whether FSANZ could undertake a wide range of functions</w:t>
      </w:r>
      <w:r w:rsidR="000E7173">
        <w:rPr>
          <w:lang w:eastAsia="en-AU"/>
        </w:rPr>
        <w:t>:</w:t>
      </w:r>
      <w:r>
        <w:rPr>
          <w:lang w:eastAsia="en-AU"/>
        </w:rPr>
        <w:t xml:space="preserve"> </w:t>
      </w:r>
    </w:p>
    <w:p w14:paraId="7D221432" w14:textId="3D262316" w:rsidR="000E7173" w:rsidRDefault="0048562C" w:rsidP="000E7173">
      <w:pPr>
        <w:pStyle w:val="Bullet"/>
      </w:pPr>
      <w:r>
        <w:t xml:space="preserve">Some stakeholders </w:t>
      </w:r>
      <w:r w:rsidR="008A262B">
        <w:t xml:space="preserve">have </w:t>
      </w:r>
      <w:r>
        <w:t>note</w:t>
      </w:r>
      <w:r w:rsidR="008A262B">
        <w:t>d</w:t>
      </w:r>
      <w:r>
        <w:t xml:space="preserve"> that FSAN</w:t>
      </w:r>
      <w:r w:rsidR="00E01C60">
        <w:t>Z</w:t>
      </w:r>
      <w:r>
        <w:t>’s technical expertise and breadth of capability could be brought to bear</w:t>
      </w:r>
      <w:r w:rsidR="00E01C60">
        <w:t xml:space="preserve"> on issues like food safety research, education</w:t>
      </w:r>
      <w:r w:rsidR="00DB746B">
        <w:t xml:space="preserve">, </w:t>
      </w:r>
      <w:r w:rsidR="00E01C60">
        <w:t>communications</w:t>
      </w:r>
      <w:r w:rsidR="00DB746B">
        <w:t xml:space="preserve"> and interpretation of standards</w:t>
      </w:r>
      <w:r w:rsidR="00E01C60">
        <w:t xml:space="preserve">. </w:t>
      </w:r>
      <w:r w:rsidR="00DB746B">
        <w:t>Some s</w:t>
      </w:r>
      <w:r w:rsidR="00891A0E">
        <w:t xml:space="preserve">takeholders </w:t>
      </w:r>
      <w:r w:rsidR="00CE5EFD">
        <w:t xml:space="preserve">have </w:t>
      </w:r>
      <w:r w:rsidR="00891A0E">
        <w:t>emphasise</w:t>
      </w:r>
      <w:r w:rsidR="00CE5EFD">
        <w:t>d</w:t>
      </w:r>
      <w:r w:rsidR="00891A0E">
        <w:t xml:space="preserve"> that FSANZ could play a broader and more explicit role in promoting public health objectives. </w:t>
      </w:r>
      <w:r w:rsidR="00A730E1">
        <w:t xml:space="preserve">This role </w:t>
      </w:r>
      <w:r w:rsidR="00EC657A">
        <w:t xml:space="preserve">could vary from </w:t>
      </w:r>
      <w:r w:rsidR="007C2D6A">
        <w:t xml:space="preserve">providing input where requested and proactively advising government on evidence-based options to a broader role in promoting healthy eating and </w:t>
      </w:r>
      <w:r w:rsidR="001D72D1">
        <w:t xml:space="preserve">effecting changes to the food supply. </w:t>
      </w:r>
    </w:p>
    <w:p w14:paraId="364D818A" w14:textId="297E63A0" w:rsidR="00891A0E" w:rsidRDefault="00891A0E" w:rsidP="000E7173">
      <w:pPr>
        <w:pStyle w:val="Bullet"/>
      </w:pPr>
      <w:r>
        <w:lastRenderedPageBreak/>
        <w:t>O</w:t>
      </w:r>
      <w:r w:rsidR="00452EBD">
        <w:t xml:space="preserve">ther stakeholders </w:t>
      </w:r>
      <w:r w:rsidR="00CE5EFD">
        <w:t xml:space="preserve">have </w:t>
      </w:r>
      <w:r w:rsidR="00452EBD">
        <w:t>argue</w:t>
      </w:r>
      <w:r w:rsidR="00CE5EFD">
        <w:t>d</w:t>
      </w:r>
      <w:r w:rsidR="00452EBD">
        <w:t xml:space="preserve"> that FSANZ should focus on delivering its core business effectively before broadening its remit and note the risk of </w:t>
      </w:r>
      <w:r w:rsidR="00DB746B">
        <w:t>diluting the organisation’s impact.</w:t>
      </w:r>
      <w:r w:rsidR="000E7173">
        <w:t xml:space="preserve"> Some stakeholders </w:t>
      </w:r>
      <w:r w:rsidR="00847684">
        <w:t xml:space="preserve">have </w:t>
      </w:r>
      <w:r w:rsidR="000E7173">
        <w:t>voice</w:t>
      </w:r>
      <w:r w:rsidR="00847684">
        <w:t>d</w:t>
      </w:r>
      <w:r w:rsidR="000E7173">
        <w:t xml:space="preserve"> concerns that FSANZ’s credibility and trusted status as </w:t>
      </w:r>
      <w:r w:rsidR="00B35DE6">
        <w:t xml:space="preserve">a </w:t>
      </w:r>
      <w:r w:rsidR="000E7173">
        <w:t>risk-and science-based standard</w:t>
      </w:r>
      <w:r w:rsidR="002A6B0C">
        <w:t>-</w:t>
      </w:r>
      <w:r w:rsidR="000E7173">
        <w:t>setting body could be compromised if it took on additional functions, such as regulatory roles.</w:t>
      </w:r>
    </w:p>
    <w:p w14:paraId="051BDF34" w14:textId="7BE4F12A" w:rsidR="00E34EBF" w:rsidRDefault="006577EA" w:rsidP="00800D0C">
      <w:pPr>
        <w:pStyle w:val="Heading2"/>
        <w:ind w:left="567"/>
      </w:pPr>
      <w:bookmarkStart w:id="42" w:name="_Ref51486332"/>
      <w:bookmarkStart w:id="43" w:name="_Toc52179130"/>
      <w:r>
        <w:t xml:space="preserve">Statutory functions </w:t>
      </w:r>
      <w:r w:rsidR="00400666">
        <w:t>c</w:t>
      </w:r>
      <w:r>
        <w:t>ould be amended to reflect FSANZ’s agreed scope of practice</w:t>
      </w:r>
      <w:bookmarkEnd w:id="42"/>
      <w:bookmarkEnd w:id="43"/>
    </w:p>
    <w:p w14:paraId="4F586D20" w14:textId="6A35CA2B" w:rsidR="00AF1D4F" w:rsidRPr="00AF1D4F" w:rsidRDefault="005B25E2" w:rsidP="00AF1D4F">
      <w:pPr>
        <w:rPr>
          <w:lang w:eastAsia="en-AU"/>
        </w:rPr>
      </w:pPr>
      <w:r>
        <w:rPr>
          <w:lang w:eastAsia="en-AU"/>
        </w:rPr>
        <w:t>Two reform ideas</w:t>
      </w:r>
      <w:r w:rsidR="00AF1D4F">
        <w:rPr>
          <w:lang w:eastAsia="en-AU"/>
        </w:rPr>
        <w:t xml:space="preserve"> have been identified in relation to FSANZ’s defined statutory functions. </w:t>
      </w:r>
      <w:r>
        <w:rPr>
          <w:lang w:eastAsia="en-AU"/>
        </w:rPr>
        <w:t xml:space="preserve">These could be considered separately or together. </w:t>
      </w:r>
    </w:p>
    <w:p w14:paraId="366BD952" w14:textId="281B6360" w:rsidR="00884634" w:rsidRDefault="000240A5" w:rsidP="00412B3B">
      <w:pPr>
        <w:pStyle w:val="Heading3"/>
      </w:pPr>
      <w:bookmarkStart w:id="44" w:name="_Ref52123298"/>
      <w:r>
        <w:t>Reform</w:t>
      </w:r>
      <w:bookmarkStart w:id="45" w:name="_Ref51340080"/>
      <w:r>
        <w:t xml:space="preserve"> idea</w:t>
      </w:r>
      <w:r w:rsidR="008B63AF">
        <w:t xml:space="preserve"> 4</w:t>
      </w:r>
      <w:r w:rsidR="004875DB">
        <w:t xml:space="preserve"> -</w:t>
      </w:r>
      <w:r w:rsidR="00884634">
        <w:t xml:space="preserve"> </w:t>
      </w:r>
      <w:r w:rsidR="0076256E">
        <w:t xml:space="preserve">Amend the Act to </w:t>
      </w:r>
      <w:r w:rsidR="00CB09D2">
        <w:t xml:space="preserve">better </w:t>
      </w:r>
      <w:r w:rsidR="0076256E">
        <w:t xml:space="preserve">reflect </w:t>
      </w:r>
      <w:r w:rsidR="00CB09D2">
        <w:t>the functions FSANZ currently delivers</w:t>
      </w:r>
      <w:r w:rsidR="005E2878">
        <w:t>, particularly as they relate to supporting long-term health and nutrition</w:t>
      </w:r>
      <w:bookmarkEnd w:id="44"/>
      <w:bookmarkEnd w:id="45"/>
    </w:p>
    <w:p w14:paraId="6DFADEB6" w14:textId="70C0B24F" w:rsidR="004F58E3" w:rsidRDefault="006D1BBE" w:rsidP="004F58E3">
      <w:pPr>
        <w:spacing w:line="256" w:lineRule="auto"/>
      </w:pPr>
      <w:r>
        <w:t xml:space="preserve">FSANZ’s statutory functions could be updated </w:t>
      </w:r>
      <w:r w:rsidR="008D04CF">
        <w:t xml:space="preserve">to align with </w:t>
      </w:r>
      <w:r w:rsidR="001938E7">
        <w:t xml:space="preserve">any changes to </w:t>
      </w:r>
      <w:r w:rsidR="00557820">
        <w:t xml:space="preserve">the regulatory objectives of the Act. This could better reflect FSANZ’s current work as it relates to both acute food safety and longer-term public health </w:t>
      </w:r>
      <w:r w:rsidR="003A3893">
        <w:t>and nutrition</w:t>
      </w:r>
      <w:r w:rsidR="00557820">
        <w:t xml:space="preserve"> objectives. This could </w:t>
      </w:r>
      <w:r w:rsidR="00CC3BE3">
        <w:t xml:space="preserve">provide greater clarity about FSANZ’s </w:t>
      </w:r>
      <w:r w:rsidR="004F23C6">
        <w:t xml:space="preserve">core reasons for being and transparency about the activities </w:t>
      </w:r>
      <w:r w:rsidR="00111F1C">
        <w:t>on</w:t>
      </w:r>
      <w:r w:rsidR="004F23C6">
        <w:t xml:space="preserve"> which FSANZ should be focussing effort. </w:t>
      </w:r>
      <w:r w:rsidR="00DA1B0E">
        <w:t xml:space="preserve">This reform idea be pursued in conjunction with </w:t>
      </w:r>
      <w:r w:rsidR="00902FCC">
        <w:t xml:space="preserve">Reform </w:t>
      </w:r>
      <w:r w:rsidR="00DA1B0E">
        <w:t>idea 1 (above)</w:t>
      </w:r>
      <w:r w:rsidR="007F0878">
        <w:t xml:space="preserve"> or considered separately. </w:t>
      </w:r>
    </w:p>
    <w:p w14:paraId="17652A7A" w14:textId="2B8581F4" w:rsidR="004F23C6" w:rsidRDefault="004F23C6" w:rsidP="004F58E3">
      <w:pPr>
        <w:spacing w:line="256" w:lineRule="auto"/>
      </w:pPr>
      <w:r>
        <w:t>This</w:t>
      </w:r>
      <w:r w:rsidDel="003A2B78">
        <w:t xml:space="preserve"> </w:t>
      </w:r>
      <w:r w:rsidR="00E01493">
        <w:t>R</w:t>
      </w:r>
      <w:r w:rsidR="003A2B78">
        <w:t>eform idea</w:t>
      </w:r>
      <w:r>
        <w:t xml:space="preserve"> could be achieved by adding a range of additional statutory functions </w:t>
      </w:r>
      <w:r w:rsidR="00851942">
        <w:t xml:space="preserve">to include work that is currently undertaken but is not </w:t>
      </w:r>
      <w:r w:rsidR="0005009D">
        <w:t>explicitly</w:t>
      </w:r>
      <w:r w:rsidR="00851942">
        <w:t xml:space="preserve"> captured by existing functions, including: </w:t>
      </w:r>
    </w:p>
    <w:p w14:paraId="4B444BA1" w14:textId="4090C751" w:rsidR="00851942" w:rsidRDefault="00B37018" w:rsidP="00851942">
      <w:pPr>
        <w:pStyle w:val="Bullet"/>
      </w:pPr>
      <w:r>
        <w:t>c</w:t>
      </w:r>
      <w:r w:rsidR="00851942">
        <w:t xml:space="preserve">onducting research </w:t>
      </w:r>
      <w:r w:rsidR="001648BC">
        <w:t>that contributes to the evidence base relating to long term</w:t>
      </w:r>
      <w:r w:rsidR="00851942">
        <w:t xml:space="preserve"> health </w:t>
      </w:r>
      <w:r w:rsidR="001648BC">
        <w:t>and nutrition</w:t>
      </w:r>
      <w:r w:rsidR="00851942">
        <w:t xml:space="preserve"> (covering activities undertaken by FSANZ such as contributions to the Australian Health Survey, development of a branded food database and the Australia Total Diet Survey) </w:t>
      </w:r>
    </w:p>
    <w:p w14:paraId="2C70848C" w14:textId="32043C63" w:rsidR="00851942" w:rsidRDefault="00B37018" w:rsidP="00851942">
      <w:pPr>
        <w:pStyle w:val="Bullet"/>
      </w:pPr>
      <w:r>
        <w:t>u</w:t>
      </w:r>
      <w:r w:rsidR="00851942">
        <w:t xml:space="preserve">ndertake </w:t>
      </w:r>
      <w:r w:rsidR="00A018A0">
        <w:t xml:space="preserve">and coordinate </w:t>
      </w:r>
      <w:r w:rsidR="00851942">
        <w:t>critical food safety incident investigations</w:t>
      </w:r>
      <w:r w:rsidR="00A018A0">
        <w:rPr>
          <w:rStyle w:val="FootnoteReference"/>
        </w:rPr>
        <w:footnoteReference w:id="13"/>
      </w:r>
      <w:r w:rsidR="00994D16">
        <w:t xml:space="preserve"> </w:t>
      </w:r>
    </w:p>
    <w:p w14:paraId="1F1D957B" w14:textId="303AD5E8" w:rsidR="00851942" w:rsidRDefault="00B37018" w:rsidP="00851942">
      <w:pPr>
        <w:pStyle w:val="Bullet"/>
      </w:pPr>
      <w:r>
        <w:t>p</w:t>
      </w:r>
      <w:r w:rsidR="000E7173">
        <w:t xml:space="preserve">rovide assistance to industry </w:t>
      </w:r>
      <w:r w:rsidR="009A0C1D">
        <w:t>intending to make applications to</w:t>
      </w:r>
      <w:r w:rsidR="001D72D1">
        <w:t xml:space="preserve"> create or vary food regulatory measures</w:t>
      </w:r>
      <w:r w:rsidR="00AC638F">
        <w:t>.</w:t>
      </w:r>
    </w:p>
    <w:p w14:paraId="742ABEEF" w14:textId="3BD72DDB" w:rsidR="009A0C1D" w:rsidRDefault="000E7173" w:rsidP="009A0C1D">
      <w:pPr>
        <w:pStyle w:val="Bullet"/>
        <w:numPr>
          <w:ilvl w:val="0"/>
          <w:numId w:val="0"/>
        </w:numPr>
      </w:pPr>
      <w:r>
        <w:t xml:space="preserve">This </w:t>
      </w:r>
      <w:r w:rsidR="00E01493">
        <w:t xml:space="preserve">Reform </w:t>
      </w:r>
      <w:r w:rsidR="00283ACE">
        <w:t xml:space="preserve">idea </w:t>
      </w:r>
      <w:r>
        <w:t xml:space="preserve">could provide greater clarity and a clear legislative basis </w:t>
      </w:r>
      <w:r w:rsidR="009A0C1D">
        <w:t>for work that FSANZ currently undertakes. A general provision around using FSANZ’s knowledge and expertise would also accommodate future functions that FSANZ may perform.</w:t>
      </w:r>
    </w:p>
    <w:p w14:paraId="60B5E2DA" w14:textId="7FF744C7" w:rsidR="00DE78DA" w:rsidRPr="00DE627D" w:rsidRDefault="00F72329" w:rsidP="0095647E">
      <w:pPr>
        <w:pStyle w:val="Heading3"/>
      </w:pPr>
      <w:bookmarkStart w:id="46" w:name="_Ref52123378"/>
      <w:r w:rsidRPr="0095647E">
        <w:t>Reform</w:t>
      </w:r>
      <w:bookmarkStart w:id="47" w:name="_Ref51340102"/>
      <w:r w:rsidRPr="0095647E">
        <w:t xml:space="preserve"> idea </w:t>
      </w:r>
      <w:r w:rsidR="008B63AF" w:rsidRPr="00E5488F">
        <w:t>5</w:t>
      </w:r>
      <w:r w:rsidR="00490177" w:rsidRPr="00E5488F">
        <w:t xml:space="preserve"> </w:t>
      </w:r>
      <w:r w:rsidRPr="008236A9">
        <w:t>–</w:t>
      </w:r>
      <w:r w:rsidR="00DE78DA" w:rsidRPr="008236A9">
        <w:t xml:space="preserve"> Amend </w:t>
      </w:r>
      <w:r w:rsidR="007878B3" w:rsidRPr="00DE627D" w:rsidDel="00F72329">
        <w:t xml:space="preserve">s </w:t>
      </w:r>
      <w:r w:rsidR="00DE78DA" w:rsidRPr="00DE627D">
        <w:t xml:space="preserve">13 of the Act to reflect a broader range of functions that FSANZ could deliver </w:t>
      </w:r>
      <w:r w:rsidR="00C930D5" w:rsidRPr="00DE627D">
        <w:t xml:space="preserve">now and </w:t>
      </w:r>
      <w:r w:rsidR="00DE78DA" w:rsidRPr="00DE627D">
        <w:t>in the future</w:t>
      </w:r>
      <w:bookmarkEnd w:id="46"/>
      <w:bookmarkEnd w:id="47"/>
    </w:p>
    <w:p w14:paraId="374C966B" w14:textId="02E439AD" w:rsidR="009226D3" w:rsidRDefault="00173033" w:rsidP="00173033">
      <w:pPr>
        <w:tabs>
          <w:tab w:val="left" w:pos="1340"/>
        </w:tabs>
        <w:spacing w:line="256" w:lineRule="auto"/>
      </w:pPr>
      <w:r>
        <w:t>FSANZ’s statutory functions could be updated to include</w:t>
      </w:r>
      <w:r w:rsidR="009C2357">
        <w:t xml:space="preserve"> </w:t>
      </w:r>
      <w:r w:rsidR="00E64212">
        <w:t>functions beyond those</w:t>
      </w:r>
      <w:r w:rsidR="009A0C1D">
        <w:t xml:space="preserve"> that it currently performs. This could be considered in conjunction with </w:t>
      </w:r>
      <w:r w:rsidR="00E01493">
        <w:t xml:space="preserve">Reform </w:t>
      </w:r>
      <w:r w:rsidR="00A4340C">
        <w:t>idea 4</w:t>
      </w:r>
      <w:r w:rsidR="000D15E1">
        <w:t xml:space="preserve">. </w:t>
      </w:r>
      <w:r w:rsidR="00F2287C">
        <w:t>These possible additional functions have been identified from desktop research on overseas comparable standard</w:t>
      </w:r>
      <w:r w:rsidR="00483710">
        <w:t>-</w:t>
      </w:r>
      <w:r w:rsidR="00F2287C">
        <w:t xml:space="preserve">setting bodies, </w:t>
      </w:r>
      <w:r w:rsidR="00B86AB8">
        <w:t xml:space="preserve">previous </w:t>
      </w:r>
      <w:r w:rsidR="00F2287C">
        <w:lastRenderedPageBreak/>
        <w:t>stakeholder feedback</w:t>
      </w:r>
      <w:r w:rsidR="00B86AB8">
        <w:t xml:space="preserve"> and from the Review’s Terms of Reference</w:t>
      </w:r>
      <w:r w:rsidR="003A255F">
        <w:rPr>
          <w:rStyle w:val="FootnoteReference"/>
        </w:rPr>
        <w:footnoteReference w:id="14"/>
      </w:r>
      <w:r w:rsidR="00B86AB8">
        <w:t>.</w:t>
      </w:r>
      <w:r w:rsidR="00F2287C">
        <w:t xml:space="preserve"> </w:t>
      </w:r>
      <w:r w:rsidR="00D32654">
        <w:t xml:space="preserve">For the purposes of the </w:t>
      </w:r>
      <w:r w:rsidR="00623702">
        <w:t>R</w:t>
      </w:r>
      <w:r w:rsidR="00D32654">
        <w:t xml:space="preserve">eview it is assumed that any additional functions would be </w:t>
      </w:r>
      <w:r w:rsidR="00384D96">
        <w:t>appropriately</w:t>
      </w:r>
      <w:r w:rsidR="00D32654">
        <w:t xml:space="preserve"> resourced. </w:t>
      </w:r>
    </w:p>
    <w:p w14:paraId="11279D33" w14:textId="63A11FC4" w:rsidR="00550C04" w:rsidRDefault="00384D96" w:rsidP="00173033">
      <w:pPr>
        <w:tabs>
          <w:tab w:val="left" w:pos="1340"/>
        </w:tabs>
        <w:spacing w:line="256" w:lineRule="auto"/>
      </w:pPr>
      <w:r>
        <w:t>Additional functions could include:</w:t>
      </w:r>
      <w:r w:rsidR="00056705">
        <w:t xml:space="preserve"> </w:t>
      </w:r>
      <w:r w:rsidR="009A0C1D">
        <w:t xml:space="preserve"> </w:t>
      </w:r>
    </w:p>
    <w:p w14:paraId="2C91C4BD" w14:textId="54F715D0" w:rsidR="009E668A" w:rsidRDefault="007B0539" w:rsidP="00760794">
      <w:pPr>
        <w:pStyle w:val="ListParagraph"/>
        <w:numPr>
          <w:ilvl w:val="0"/>
          <w:numId w:val="27"/>
        </w:numPr>
        <w:rPr>
          <w:lang w:eastAsia="en-AU"/>
        </w:rPr>
      </w:pPr>
      <w:r w:rsidRPr="00AC6A14">
        <w:rPr>
          <w:rFonts w:asciiTheme="majorHAnsi" w:hAnsiTheme="majorHAnsi" w:cstheme="majorHAnsi"/>
        </w:rPr>
        <w:t xml:space="preserve">A role </w:t>
      </w:r>
      <w:r w:rsidR="001D72D1">
        <w:rPr>
          <w:rFonts w:asciiTheme="majorHAnsi" w:hAnsiTheme="majorHAnsi" w:cstheme="majorHAnsi"/>
        </w:rPr>
        <w:t xml:space="preserve">in </w:t>
      </w:r>
      <w:r w:rsidRPr="00AC6A14">
        <w:rPr>
          <w:rFonts w:asciiTheme="majorHAnsi" w:hAnsiTheme="majorHAnsi" w:cstheme="majorHAnsi"/>
        </w:rPr>
        <w:t>e</w:t>
      </w:r>
      <w:r w:rsidR="00344939" w:rsidRPr="00AC6A14">
        <w:rPr>
          <w:rFonts w:asciiTheme="majorHAnsi" w:hAnsiTheme="majorHAnsi" w:cstheme="majorHAnsi"/>
        </w:rPr>
        <w:t>merging issues such as food fraud and food crime</w:t>
      </w:r>
      <w:r w:rsidR="00AC6A14" w:rsidRPr="00AC6A14">
        <w:rPr>
          <w:rFonts w:asciiTheme="majorHAnsi" w:hAnsiTheme="majorHAnsi" w:cstheme="majorHAnsi"/>
        </w:rPr>
        <w:t>.</w:t>
      </w:r>
      <w:r w:rsidR="00AC6A14">
        <w:t xml:space="preserve"> </w:t>
      </w:r>
      <w:r w:rsidR="00AE7BCE">
        <w:rPr>
          <w:lang w:eastAsia="en-AU"/>
        </w:rPr>
        <w:t xml:space="preserve">Food fraud </w:t>
      </w:r>
      <w:r w:rsidR="000A4860">
        <w:rPr>
          <w:lang w:eastAsia="en-AU"/>
        </w:rPr>
        <w:t>and crime refer</w:t>
      </w:r>
      <w:r w:rsidR="001D72D1">
        <w:rPr>
          <w:lang w:eastAsia="en-AU"/>
        </w:rPr>
        <w:t xml:space="preserve"> to any </w:t>
      </w:r>
      <w:r w:rsidR="000A4860">
        <w:rPr>
          <w:lang w:eastAsia="en-AU"/>
        </w:rPr>
        <w:t>i</w:t>
      </w:r>
      <w:r w:rsidR="00AE7BCE">
        <w:rPr>
          <w:lang w:eastAsia="en-AU"/>
        </w:rPr>
        <w:t>llegal activity usin</w:t>
      </w:r>
      <w:r w:rsidR="004F07D8">
        <w:rPr>
          <w:lang w:eastAsia="en-AU"/>
        </w:rPr>
        <w:t>g food, including adulteration, tampering, counterfeiting and theft</w:t>
      </w:r>
      <w:r w:rsidR="000A4860">
        <w:rPr>
          <w:lang w:eastAsia="en-AU"/>
        </w:rPr>
        <w:t xml:space="preserve">. </w:t>
      </w:r>
      <w:r w:rsidR="000E51D6">
        <w:rPr>
          <w:lang w:eastAsia="en-AU"/>
        </w:rPr>
        <w:t xml:space="preserve">These are emerging issues that are increasingly significant, in part due to </w:t>
      </w:r>
      <w:r w:rsidR="004A6887">
        <w:rPr>
          <w:lang w:eastAsia="en-AU"/>
        </w:rPr>
        <w:t>increasingly integrated global food supply chains.</w:t>
      </w:r>
      <w:r w:rsidR="007866AE">
        <w:rPr>
          <w:lang w:eastAsia="en-AU"/>
        </w:rPr>
        <w:t xml:space="preserve"> One of FSANZ’s core objectives is to prevent misleading and deceptive conduct, but its role in relation to food fraud is not currently defined in legislation. </w:t>
      </w:r>
    </w:p>
    <w:p w14:paraId="651DC759" w14:textId="77777777" w:rsidR="007B0539" w:rsidRDefault="007B0539" w:rsidP="007B0539">
      <w:pPr>
        <w:pStyle w:val="ListParagraph"/>
        <w:rPr>
          <w:lang w:eastAsia="en-AU"/>
        </w:rPr>
      </w:pPr>
    </w:p>
    <w:p w14:paraId="75095745" w14:textId="0F4DB1A8" w:rsidR="007866AE" w:rsidRDefault="007866AE" w:rsidP="007B0539">
      <w:pPr>
        <w:pStyle w:val="ListParagraph"/>
        <w:rPr>
          <w:lang w:eastAsia="en-AU"/>
        </w:rPr>
      </w:pPr>
      <w:r>
        <w:rPr>
          <w:lang w:eastAsia="en-AU"/>
        </w:rPr>
        <w:t xml:space="preserve">Some stakeholders </w:t>
      </w:r>
      <w:r w:rsidR="00266C54">
        <w:rPr>
          <w:lang w:eastAsia="en-AU"/>
        </w:rPr>
        <w:t xml:space="preserve">have </w:t>
      </w:r>
      <w:r>
        <w:rPr>
          <w:lang w:eastAsia="en-AU"/>
        </w:rPr>
        <w:t>observe</w:t>
      </w:r>
      <w:r w:rsidR="00266C54">
        <w:rPr>
          <w:lang w:eastAsia="en-AU"/>
        </w:rPr>
        <w:t>d</w:t>
      </w:r>
      <w:r>
        <w:rPr>
          <w:lang w:eastAsia="en-AU"/>
        </w:rPr>
        <w:t xml:space="preserve"> that, while criminal investigations in relation to food should be within the remit of law enforcement, FSANZ could have a formal role in providing technical advice or guidance in supporting an investigation. </w:t>
      </w:r>
      <w:r w:rsidR="00B21B00">
        <w:rPr>
          <w:lang w:eastAsia="en-AU"/>
        </w:rPr>
        <w:t xml:space="preserve">Its statutory functions could be expanded to include </w:t>
      </w:r>
      <w:r w:rsidR="00B21B00">
        <w:rPr>
          <w:i/>
          <w:lang w:eastAsia="en-AU"/>
        </w:rPr>
        <w:t xml:space="preserve">providing advice, guidance, assistance and support at the request of law enforcement </w:t>
      </w:r>
      <w:r w:rsidR="00A8010D">
        <w:rPr>
          <w:i/>
          <w:lang w:eastAsia="en-AU"/>
        </w:rPr>
        <w:t xml:space="preserve">agencies </w:t>
      </w:r>
      <w:r w:rsidR="00B21B00">
        <w:rPr>
          <w:i/>
          <w:lang w:eastAsia="en-AU"/>
        </w:rPr>
        <w:t>to support food fraud and food crime investigations.</w:t>
      </w:r>
      <w:r>
        <w:rPr>
          <w:lang w:eastAsia="en-AU"/>
        </w:rPr>
        <w:t xml:space="preserve"> </w:t>
      </w:r>
    </w:p>
    <w:p w14:paraId="40DDECAF" w14:textId="77777777" w:rsidR="00AC6A14" w:rsidRPr="00AC6A14" w:rsidRDefault="00AC6A14" w:rsidP="00AC6A14">
      <w:pPr>
        <w:pStyle w:val="ListParagraph"/>
        <w:rPr>
          <w:lang w:eastAsia="en-AU"/>
        </w:rPr>
      </w:pPr>
    </w:p>
    <w:p w14:paraId="77CECF40" w14:textId="1F47214B" w:rsidR="00AC6A14" w:rsidRPr="004A2C23" w:rsidRDefault="00AC6A14" w:rsidP="00760794">
      <w:pPr>
        <w:pStyle w:val="ListParagraph"/>
        <w:numPr>
          <w:ilvl w:val="0"/>
          <w:numId w:val="27"/>
        </w:numPr>
        <w:rPr>
          <w:rFonts w:asciiTheme="majorHAnsi" w:hAnsiTheme="majorHAnsi" w:cstheme="majorHAnsi"/>
        </w:rPr>
      </w:pPr>
      <w:r w:rsidRPr="00AC6A14">
        <w:rPr>
          <w:rFonts w:asciiTheme="majorHAnsi" w:hAnsiTheme="majorHAnsi" w:cstheme="majorHAnsi"/>
        </w:rPr>
        <w:t>Coordinating</w:t>
      </w:r>
      <w:r w:rsidR="003D08FD" w:rsidRPr="00AC6A14">
        <w:rPr>
          <w:rFonts w:asciiTheme="majorHAnsi" w:hAnsiTheme="majorHAnsi" w:cstheme="majorHAnsi"/>
        </w:rPr>
        <w:t xml:space="preserve"> a centralised repository of information on food safety (</w:t>
      </w:r>
      <w:r w:rsidR="004A2C23">
        <w:rPr>
          <w:rFonts w:asciiTheme="majorHAnsi" w:hAnsiTheme="majorHAnsi" w:cstheme="majorHAnsi"/>
        </w:rPr>
        <w:t xml:space="preserve">being </w:t>
      </w:r>
      <w:r w:rsidR="003D08FD" w:rsidRPr="00AC6A14">
        <w:rPr>
          <w:rFonts w:asciiTheme="majorHAnsi" w:hAnsiTheme="majorHAnsi" w:cstheme="majorHAnsi"/>
        </w:rPr>
        <w:t>‘the Face of Food Safety’)</w:t>
      </w:r>
      <w:r>
        <w:rPr>
          <w:rFonts w:asciiTheme="majorHAnsi" w:hAnsiTheme="majorHAnsi" w:cstheme="majorHAnsi"/>
        </w:rPr>
        <w:t>.</w:t>
      </w:r>
      <w:r w:rsidR="003D08FD" w:rsidRPr="00AC6A14">
        <w:rPr>
          <w:rFonts w:asciiTheme="majorHAnsi" w:hAnsiTheme="majorHAnsi" w:cstheme="majorHAnsi"/>
        </w:rPr>
        <w:t xml:space="preserve"> </w:t>
      </w:r>
      <w:r w:rsidR="00AA536E">
        <w:rPr>
          <w:lang w:eastAsia="en-AU"/>
        </w:rPr>
        <w:t xml:space="preserve">FSANZ could provide a central </w:t>
      </w:r>
      <w:r w:rsidR="002210D8">
        <w:rPr>
          <w:lang w:eastAsia="en-AU"/>
        </w:rPr>
        <w:t xml:space="preserve">repository or hub on its website for information about food safety </w:t>
      </w:r>
      <w:r w:rsidR="00D77055">
        <w:rPr>
          <w:lang w:eastAsia="en-AU"/>
        </w:rPr>
        <w:t>for consumers and</w:t>
      </w:r>
      <w:r w:rsidR="003B0C10">
        <w:rPr>
          <w:lang w:eastAsia="en-AU"/>
        </w:rPr>
        <w:t>/or</w:t>
      </w:r>
      <w:r w:rsidR="00D77055">
        <w:rPr>
          <w:lang w:eastAsia="en-AU"/>
        </w:rPr>
        <w:t xml:space="preserve"> industry. </w:t>
      </w:r>
      <w:r w:rsidR="003B0C10">
        <w:rPr>
          <w:lang w:eastAsia="en-AU"/>
        </w:rPr>
        <w:t xml:space="preserve">To some extent, FSANZ does this already though it does not actively develop industry guidelines and has limited consumer-facing materials. Other organisations such as the </w:t>
      </w:r>
      <w:r w:rsidR="003B0C10">
        <w:rPr>
          <w:i/>
          <w:lang w:eastAsia="en-AU"/>
        </w:rPr>
        <w:t xml:space="preserve">Food Safety Information Council </w:t>
      </w:r>
      <w:r w:rsidR="003B0C10">
        <w:rPr>
          <w:lang w:eastAsia="en-AU"/>
        </w:rPr>
        <w:t xml:space="preserve">also provide consumer-focused food safety information. Stakeholders </w:t>
      </w:r>
      <w:r w:rsidR="007E7932">
        <w:rPr>
          <w:lang w:eastAsia="en-AU"/>
        </w:rPr>
        <w:t xml:space="preserve">have </w:t>
      </w:r>
      <w:r w:rsidR="003B0C10">
        <w:rPr>
          <w:lang w:eastAsia="en-AU"/>
        </w:rPr>
        <w:t>observe</w:t>
      </w:r>
      <w:r w:rsidR="007E7932">
        <w:rPr>
          <w:lang w:eastAsia="en-AU"/>
        </w:rPr>
        <w:t>d</w:t>
      </w:r>
      <w:r w:rsidR="003B0C10">
        <w:rPr>
          <w:lang w:eastAsia="en-AU"/>
        </w:rPr>
        <w:t xml:space="preserve"> that access to a single consolidated source of information on food safety issues and </w:t>
      </w:r>
      <w:r w:rsidR="00C31803">
        <w:rPr>
          <w:lang w:eastAsia="en-AU"/>
        </w:rPr>
        <w:t>f</w:t>
      </w:r>
      <w:r w:rsidR="003B0C10">
        <w:rPr>
          <w:lang w:eastAsia="en-AU"/>
        </w:rPr>
        <w:t xml:space="preserve">ood standards may be valuable, noting the importance of not duplicating effort. </w:t>
      </w:r>
    </w:p>
    <w:p w14:paraId="38409408" w14:textId="77777777" w:rsidR="00A02F78" w:rsidRPr="00AA536E" w:rsidRDefault="00A02F78" w:rsidP="00A02F78">
      <w:pPr>
        <w:pStyle w:val="ListParagraph"/>
        <w:rPr>
          <w:lang w:eastAsia="en-AU"/>
        </w:rPr>
      </w:pPr>
    </w:p>
    <w:p w14:paraId="00C9825E" w14:textId="466FA9FC" w:rsidR="003B0C10" w:rsidRPr="003B0C10" w:rsidRDefault="003B0C10" w:rsidP="00A02F78">
      <w:pPr>
        <w:pStyle w:val="ListParagraph"/>
        <w:rPr>
          <w:i/>
          <w:lang w:eastAsia="en-AU"/>
        </w:rPr>
      </w:pPr>
      <w:r>
        <w:rPr>
          <w:lang w:eastAsia="en-AU"/>
        </w:rPr>
        <w:t xml:space="preserve">FSANZ currently has a statutory role to </w:t>
      </w:r>
      <w:r>
        <w:rPr>
          <w:i/>
          <w:lang w:eastAsia="en-AU"/>
        </w:rPr>
        <w:t xml:space="preserve">develop food education initiatives, including the publication of information to increase public awareness of </w:t>
      </w:r>
      <w:r w:rsidR="00ED4DD2">
        <w:rPr>
          <w:i/>
          <w:lang w:eastAsia="en-AU"/>
        </w:rPr>
        <w:t>f</w:t>
      </w:r>
      <w:r>
        <w:rPr>
          <w:i/>
          <w:lang w:eastAsia="en-AU"/>
        </w:rPr>
        <w:t xml:space="preserve">ood standards and food labels. </w:t>
      </w:r>
      <w:r>
        <w:rPr>
          <w:lang w:eastAsia="en-AU"/>
        </w:rPr>
        <w:t xml:space="preserve">This can only be performed in co-operation with the </w:t>
      </w:r>
      <w:r w:rsidR="00730083">
        <w:rPr>
          <w:lang w:eastAsia="en-AU"/>
        </w:rPr>
        <w:t>S</w:t>
      </w:r>
      <w:r>
        <w:rPr>
          <w:lang w:eastAsia="en-AU"/>
        </w:rPr>
        <w:t xml:space="preserve">tates and </w:t>
      </w:r>
      <w:r w:rsidR="007878B3">
        <w:rPr>
          <w:lang w:eastAsia="en-AU"/>
        </w:rPr>
        <w:t>t</w:t>
      </w:r>
      <w:r>
        <w:rPr>
          <w:lang w:eastAsia="en-AU"/>
        </w:rPr>
        <w:t xml:space="preserve">erritories. This could be broadened to enable FSANZ to undertake this work </w:t>
      </w:r>
      <w:r>
        <w:rPr>
          <w:i/>
          <w:lang w:eastAsia="en-AU"/>
        </w:rPr>
        <w:t xml:space="preserve">on its own initiative. </w:t>
      </w:r>
    </w:p>
    <w:p w14:paraId="638C9F71" w14:textId="77777777" w:rsidR="00A02F78" w:rsidRPr="00AC6A14" w:rsidRDefault="00A02F78" w:rsidP="00A02F78">
      <w:pPr>
        <w:pStyle w:val="ListParagraph"/>
        <w:rPr>
          <w:i/>
          <w:lang w:eastAsia="en-AU"/>
        </w:rPr>
      </w:pPr>
    </w:p>
    <w:p w14:paraId="239B5202" w14:textId="7C6CE575" w:rsidR="00555C42" w:rsidRDefault="00CC4C8B" w:rsidP="00760794">
      <w:pPr>
        <w:pStyle w:val="ListParagraph"/>
        <w:numPr>
          <w:ilvl w:val="0"/>
          <w:numId w:val="27"/>
        </w:numPr>
      </w:pPr>
      <w:r>
        <w:rPr>
          <w:rFonts w:asciiTheme="majorHAnsi" w:hAnsiTheme="majorHAnsi" w:cstheme="majorHAnsi"/>
        </w:rPr>
        <w:t>Coordinating</w:t>
      </w:r>
      <w:r w:rsidR="001F72BE" w:rsidRPr="00A02F78">
        <w:rPr>
          <w:rFonts w:asciiTheme="majorHAnsi" w:hAnsiTheme="majorHAnsi" w:cstheme="majorHAnsi"/>
        </w:rPr>
        <w:t xml:space="preserve"> food safety research</w:t>
      </w:r>
      <w:r w:rsidR="00A02F78" w:rsidRPr="00A02F78">
        <w:rPr>
          <w:rFonts w:asciiTheme="majorHAnsi" w:hAnsiTheme="majorHAnsi" w:cstheme="majorHAnsi"/>
        </w:rPr>
        <w:t xml:space="preserve">. </w:t>
      </w:r>
      <w:r w:rsidR="001F72BE">
        <w:t xml:space="preserve">Some stakeholders identify potential duplication in food safety research </w:t>
      </w:r>
      <w:r w:rsidR="00555C42">
        <w:t xml:space="preserve">between government entities, universities, research institutions and the private sector, and highlight the potential for greater collaboration. This is </w:t>
      </w:r>
      <w:r w:rsidR="00773B5B">
        <w:t xml:space="preserve">potentially </w:t>
      </w:r>
      <w:r w:rsidR="00555C42">
        <w:t xml:space="preserve">a more significant issue for Australia. In New Zealand, the </w:t>
      </w:r>
      <w:r w:rsidR="00555C42">
        <w:rPr>
          <w:i/>
        </w:rPr>
        <w:t xml:space="preserve">New Zealand Food Safety Science &amp; Research Centre </w:t>
      </w:r>
      <w:r w:rsidR="00555C42">
        <w:t>has been established to provide a ‘focal point for food safety science and research’ bringing together, government, industry and universities</w:t>
      </w:r>
      <w:r w:rsidR="00504C23">
        <w:t xml:space="preserve">. This may not, however, </w:t>
      </w:r>
      <w:r w:rsidR="00A4449C">
        <w:t>resolve larger</w:t>
      </w:r>
      <w:r w:rsidR="000C050A">
        <w:t xml:space="preserve"> research</w:t>
      </w:r>
      <w:r w:rsidR="00A4449C">
        <w:t xml:space="preserve"> coordination </w:t>
      </w:r>
      <w:r w:rsidR="000C050A">
        <w:t>issues</w:t>
      </w:r>
      <w:r w:rsidR="00555C42">
        <w:t xml:space="preserve"> </w:t>
      </w:r>
      <w:r w:rsidR="00773B5B">
        <w:t xml:space="preserve">in the bi-national context. </w:t>
      </w:r>
    </w:p>
    <w:p w14:paraId="4AE9902E" w14:textId="77777777" w:rsidR="00A02F78" w:rsidRDefault="00A02F78" w:rsidP="00A02F78">
      <w:pPr>
        <w:pStyle w:val="ListParagraph"/>
      </w:pPr>
    </w:p>
    <w:p w14:paraId="4445F0BF" w14:textId="3B967486" w:rsidR="001F72BE" w:rsidRDefault="00555C42" w:rsidP="00A02F78">
      <w:pPr>
        <w:pStyle w:val="ListParagraph"/>
      </w:pPr>
      <w:r>
        <w:t>Given FSANZ’s technical expertise and extensive domestic and global networks, it could have a</w:t>
      </w:r>
      <w:r w:rsidR="009D3946">
        <w:t xml:space="preserve">n Australia-specific or bi-national </w:t>
      </w:r>
      <w:r>
        <w:t xml:space="preserve">statutory function </w:t>
      </w:r>
      <w:r w:rsidRPr="00555C42">
        <w:rPr>
          <w:i/>
        </w:rPr>
        <w:t>to facilitate collaboration and coordination of food safety research</w:t>
      </w:r>
      <w:r>
        <w:t xml:space="preserve">. This would require a coordinated approach to prioritising research issues and bringing together relevant parties. </w:t>
      </w:r>
      <w:r w:rsidR="003E5487">
        <w:tab/>
      </w:r>
    </w:p>
    <w:p w14:paraId="3CD097B0" w14:textId="77777777" w:rsidR="00645B35" w:rsidRPr="001F72BE" w:rsidRDefault="00645B35" w:rsidP="00A02F78">
      <w:pPr>
        <w:pStyle w:val="ListParagraph"/>
      </w:pPr>
    </w:p>
    <w:p w14:paraId="63F9EDE9" w14:textId="547C9ECA" w:rsidR="005B368F" w:rsidRPr="005D5452" w:rsidRDefault="001F72BE" w:rsidP="00760794">
      <w:pPr>
        <w:pStyle w:val="ListParagraph"/>
        <w:numPr>
          <w:ilvl w:val="0"/>
          <w:numId w:val="27"/>
        </w:numPr>
        <w:rPr>
          <w:rFonts w:asciiTheme="majorHAnsi" w:hAnsiTheme="majorHAnsi" w:cstheme="majorHAnsi"/>
        </w:rPr>
      </w:pPr>
      <w:r w:rsidRPr="00645B35">
        <w:rPr>
          <w:rFonts w:asciiTheme="majorHAnsi" w:hAnsiTheme="majorHAnsi" w:cstheme="majorHAnsi"/>
        </w:rPr>
        <w:t>Undertak</w:t>
      </w:r>
      <w:r w:rsidR="00A435B0">
        <w:rPr>
          <w:rFonts w:asciiTheme="majorHAnsi" w:hAnsiTheme="majorHAnsi" w:cstheme="majorHAnsi"/>
        </w:rPr>
        <w:t>ing</w:t>
      </w:r>
      <w:r w:rsidRPr="00645B35">
        <w:rPr>
          <w:rFonts w:asciiTheme="majorHAnsi" w:hAnsiTheme="majorHAnsi" w:cstheme="majorHAnsi"/>
        </w:rPr>
        <w:t xml:space="preserve"> education campaigns in alignment with other food regulation system priorities</w:t>
      </w:r>
      <w:r w:rsidR="00645B35">
        <w:rPr>
          <w:rFonts w:asciiTheme="majorHAnsi" w:hAnsiTheme="majorHAnsi" w:cstheme="majorHAnsi"/>
        </w:rPr>
        <w:t xml:space="preserve">. </w:t>
      </w:r>
      <w:r w:rsidR="008A50D7">
        <w:rPr>
          <w:lang w:eastAsia="en-AU"/>
        </w:rPr>
        <w:t>FSANZ currently has a limited legislative role in Australia in relation to developing food education initiatives in co</w:t>
      </w:r>
      <w:r w:rsidR="003E5487">
        <w:rPr>
          <w:lang w:eastAsia="en-AU"/>
        </w:rPr>
        <w:t xml:space="preserve">operation with </w:t>
      </w:r>
      <w:r w:rsidR="005B368F">
        <w:rPr>
          <w:lang w:eastAsia="en-AU"/>
        </w:rPr>
        <w:t xml:space="preserve">the </w:t>
      </w:r>
      <w:r w:rsidR="00730083">
        <w:rPr>
          <w:rFonts w:asciiTheme="minorHAnsi" w:hAnsiTheme="minorHAnsi" w:cstheme="minorHAnsi"/>
        </w:rPr>
        <w:t>S</w:t>
      </w:r>
      <w:r w:rsidR="003E5487" w:rsidRPr="00CF3951">
        <w:rPr>
          <w:rFonts w:asciiTheme="minorHAnsi" w:hAnsiTheme="minorHAnsi" w:cstheme="minorHAnsi"/>
        </w:rPr>
        <w:t xml:space="preserve">tates and </w:t>
      </w:r>
      <w:r w:rsidR="003E5487">
        <w:rPr>
          <w:rFonts w:asciiTheme="minorHAnsi" w:hAnsiTheme="minorHAnsi" w:cstheme="minorHAnsi"/>
        </w:rPr>
        <w:t>t</w:t>
      </w:r>
      <w:r w:rsidR="003E5487" w:rsidRPr="00CF3951">
        <w:rPr>
          <w:rFonts w:asciiTheme="minorHAnsi" w:hAnsiTheme="minorHAnsi" w:cstheme="minorHAnsi"/>
        </w:rPr>
        <w:t>erritories</w:t>
      </w:r>
      <w:r w:rsidR="005B368F">
        <w:rPr>
          <w:lang w:eastAsia="en-AU"/>
        </w:rPr>
        <w:t xml:space="preserve">, including to increase awareness of </w:t>
      </w:r>
      <w:r w:rsidR="00ED4DD2">
        <w:rPr>
          <w:lang w:eastAsia="en-AU"/>
        </w:rPr>
        <w:t>f</w:t>
      </w:r>
      <w:r w:rsidR="005B368F">
        <w:rPr>
          <w:lang w:eastAsia="en-AU"/>
        </w:rPr>
        <w:t>ood standards and food labels.</w:t>
      </w:r>
      <w:r w:rsidR="00BC7590">
        <w:rPr>
          <w:lang w:eastAsia="en-AU"/>
        </w:rPr>
        <w:t xml:space="preserve"> It has not recently exercised this function and does not have a significant education role. </w:t>
      </w:r>
    </w:p>
    <w:p w14:paraId="22143FBF" w14:textId="77777777" w:rsidR="00E11C98" w:rsidRPr="00645B35" w:rsidRDefault="00E11C98" w:rsidP="00E11C98">
      <w:pPr>
        <w:pStyle w:val="ListParagraph"/>
        <w:rPr>
          <w:rFonts w:asciiTheme="majorHAnsi" w:hAnsiTheme="majorHAnsi" w:cstheme="majorHAnsi"/>
        </w:rPr>
      </w:pPr>
    </w:p>
    <w:p w14:paraId="54B41CCE" w14:textId="73307FAA" w:rsidR="002C0798" w:rsidRPr="002C0798" w:rsidRDefault="005B368F" w:rsidP="00645B35">
      <w:pPr>
        <w:pStyle w:val="ListParagraph"/>
        <w:rPr>
          <w:lang w:eastAsia="en-AU"/>
        </w:rPr>
      </w:pPr>
      <w:r>
        <w:rPr>
          <w:lang w:eastAsia="en-AU"/>
        </w:rPr>
        <w:t>FSANZ could undertake a broader role in</w:t>
      </w:r>
      <w:r w:rsidR="00BC7590">
        <w:rPr>
          <w:lang w:eastAsia="en-AU"/>
        </w:rPr>
        <w:t xml:space="preserve"> developing and/or leading public</w:t>
      </w:r>
      <w:r>
        <w:rPr>
          <w:lang w:eastAsia="en-AU"/>
        </w:rPr>
        <w:t xml:space="preserve"> education campaigns to support food regulation system priorities,</w:t>
      </w:r>
      <w:r w:rsidR="00BC7590">
        <w:rPr>
          <w:lang w:eastAsia="en-AU"/>
        </w:rPr>
        <w:t xml:space="preserve"> </w:t>
      </w:r>
      <w:r>
        <w:rPr>
          <w:lang w:eastAsia="en-AU"/>
        </w:rPr>
        <w:t>related to</w:t>
      </w:r>
      <w:r w:rsidR="00BC7590">
        <w:rPr>
          <w:lang w:eastAsia="en-AU"/>
        </w:rPr>
        <w:t xml:space="preserve"> reducing foodborne illnesses and chronic diseases related to obesity</w:t>
      </w:r>
      <w:r w:rsidR="00882955">
        <w:rPr>
          <w:lang w:eastAsia="en-AU"/>
        </w:rPr>
        <w:t>.</w:t>
      </w:r>
      <w:r w:rsidR="00BC7590">
        <w:rPr>
          <w:lang w:eastAsia="en-AU"/>
        </w:rPr>
        <w:t xml:space="preserve"> To enable this, its current function to develop food education initiatives could clarify the scope of food education initiatives to include food safety and public health issues.  </w:t>
      </w:r>
    </w:p>
    <w:p w14:paraId="1A8D12B1" w14:textId="5A750E40" w:rsidR="00D11283" w:rsidRDefault="00D11283" w:rsidP="00E11C98">
      <w:pPr>
        <w:pStyle w:val="ListParagraph"/>
        <w:rPr>
          <w:lang w:eastAsia="en-AU"/>
        </w:rPr>
      </w:pPr>
    </w:p>
    <w:tbl>
      <w:tblPr>
        <w:tblStyle w:val="NousLongformcallout"/>
        <w:tblW w:w="4950" w:type="pct"/>
        <w:tblCellMar>
          <w:top w:w="170" w:type="dxa"/>
          <w:bottom w:w="170" w:type="dxa"/>
        </w:tblCellMar>
        <w:tblLook w:val="04A0" w:firstRow="1" w:lastRow="0" w:firstColumn="1" w:lastColumn="0" w:noHBand="0" w:noVBand="1"/>
      </w:tblPr>
      <w:tblGrid>
        <w:gridCol w:w="9055"/>
      </w:tblGrid>
      <w:tr w:rsidR="00D11283" w14:paraId="687C1938" w14:textId="77777777" w:rsidTr="00747266">
        <w:tc>
          <w:tcPr>
            <w:tcW w:w="9055" w:type="dxa"/>
            <w:shd w:val="clear" w:color="auto" w:fill="00264D" w:themeFill="background2"/>
          </w:tcPr>
          <w:p w14:paraId="2236EF0E" w14:textId="77777777" w:rsidR="00D11283" w:rsidRPr="00835584" w:rsidRDefault="00D11283" w:rsidP="0074726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5D241C90" w14:textId="10A1EEB7" w:rsidR="00CE57D9" w:rsidRDefault="00882955"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 xml:space="preserve">To what degree are </w:t>
            </w:r>
            <w:r w:rsidR="006032D1">
              <w:rPr>
                <w:rFonts w:asciiTheme="minorHAnsi" w:hAnsiTheme="minorHAnsi" w:cstheme="minorHAnsi"/>
                <w:color w:val="FFFFFF" w:themeColor="background1"/>
                <w:lang w:eastAsia="en-AU"/>
              </w:rPr>
              <w:t>FSANZ’s</w:t>
            </w:r>
            <w:r>
              <w:rPr>
                <w:rFonts w:asciiTheme="minorHAnsi" w:hAnsiTheme="minorHAnsi" w:cstheme="minorHAnsi"/>
                <w:color w:val="FFFFFF" w:themeColor="background1"/>
                <w:lang w:eastAsia="en-AU"/>
              </w:rPr>
              <w:t xml:space="preserve"> functions </w:t>
            </w:r>
            <w:r w:rsidR="006032D1">
              <w:rPr>
                <w:rFonts w:asciiTheme="minorHAnsi" w:hAnsiTheme="minorHAnsi" w:cstheme="minorHAnsi"/>
                <w:color w:val="FFFFFF" w:themeColor="background1"/>
                <w:lang w:eastAsia="en-AU"/>
              </w:rPr>
              <w:t>(</w:t>
            </w:r>
            <w:r>
              <w:rPr>
                <w:rFonts w:asciiTheme="minorHAnsi" w:hAnsiTheme="minorHAnsi" w:cstheme="minorHAnsi"/>
                <w:color w:val="FFFFFF" w:themeColor="background1"/>
                <w:lang w:eastAsia="en-AU"/>
              </w:rPr>
              <w:t>as currently stated in the Act</w:t>
            </w:r>
            <w:r w:rsidR="006032D1">
              <w:rPr>
                <w:rFonts w:asciiTheme="minorHAnsi" w:hAnsiTheme="minorHAnsi" w:cstheme="minorHAnsi"/>
                <w:color w:val="FFFFFF" w:themeColor="background1"/>
                <w:lang w:eastAsia="en-AU"/>
              </w:rPr>
              <w:t>)</w:t>
            </w:r>
            <w:r>
              <w:rPr>
                <w:rFonts w:asciiTheme="minorHAnsi" w:hAnsiTheme="minorHAnsi" w:cstheme="minorHAnsi"/>
                <w:color w:val="FFFFFF" w:themeColor="background1"/>
                <w:lang w:eastAsia="en-AU"/>
              </w:rPr>
              <w:t xml:space="preserve"> an issue for the system? </w:t>
            </w:r>
            <w:r w:rsidR="00726CCD">
              <w:rPr>
                <w:rFonts w:asciiTheme="minorHAnsi" w:hAnsiTheme="minorHAnsi" w:cstheme="minorHAnsi"/>
                <w:color w:val="FFFFFF" w:themeColor="background1"/>
                <w:lang w:eastAsia="en-AU"/>
              </w:rPr>
              <w:t>What are the types of problems that different stakeholder groups face as a consequence?</w:t>
            </w:r>
            <w:r w:rsidR="00786FEB">
              <w:rPr>
                <w:rFonts w:asciiTheme="minorHAnsi" w:hAnsiTheme="minorHAnsi" w:cstheme="minorHAnsi"/>
                <w:color w:val="FFFFFF" w:themeColor="background1"/>
                <w:lang w:eastAsia="en-AU"/>
              </w:rPr>
              <w:br/>
              <w:t xml:space="preserve"> </w:t>
            </w:r>
          </w:p>
          <w:p w14:paraId="11C1C4DE" w14:textId="07492A8C" w:rsidR="004414B2" w:rsidRDefault="00786FEB">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 xml:space="preserve">What </w:t>
            </w:r>
            <w:r w:rsidR="004414B2" w:rsidRPr="00752F4C">
              <w:rPr>
                <w:rFonts w:asciiTheme="minorHAnsi" w:hAnsiTheme="minorHAnsi" w:cstheme="minorHAnsi"/>
                <w:color w:val="FFFFFF" w:themeColor="background1"/>
                <w:lang w:eastAsia="en-AU"/>
              </w:rPr>
              <w:t xml:space="preserve">would be the impact (positive, negative or otherwise) of implementing each of the </w:t>
            </w:r>
            <w:r w:rsidR="00EF3E14">
              <w:rPr>
                <w:rFonts w:asciiTheme="minorHAnsi" w:hAnsiTheme="minorHAnsi" w:cstheme="minorHAnsi"/>
                <w:color w:val="FFFFFF" w:themeColor="background1"/>
                <w:lang w:eastAsia="en-AU"/>
              </w:rPr>
              <w:t xml:space="preserve">reform ideas </w:t>
            </w:r>
            <w:r w:rsidR="004414B2" w:rsidRPr="00752F4C">
              <w:rPr>
                <w:rFonts w:asciiTheme="minorHAnsi" w:hAnsiTheme="minorHAnsi" w:cstheme="minorHAnsi"/>
                <w:color w:val="FFFFFF" w:themeColor="background1"/>
                <w:lang w:eastAsia="en-AU"/>
              </w:rPr>
              <w:t xml:space="preserve">below? How could the outcome specified for each </w:t>
            </w:r>
            <w:r w:rsidR="009D73AD">
              <w:rPr>
                <w:rFonts w:asciiTheme="minorHAnsi" w:hAnsiTheme="minorHAnsi" w:cstheme="minorHAnsi"/>
                <w:color w:val="FFFFFF" w:themeColor="background1"/>
                <w:lang w:eastAsia="en-AU"/>
              </w:rPr>
              <w:t>reform idea</w:t>
            </w:r>
            <w:r w:rsidR="009D73AD" w:rsidRPr="00752F4C">
              <w:rPr>
                <w:rFonts w:asciiTheme="minorHAnsi" w:hAnsiTheme="minorHAnsi" w:cstheme="minorHAnsi"/>
                <w:color w:val="FFFFFF" w:themeColor="background1"/>
                <w:lang w:eastAsia="en-AU"/>
              </w:rPr>
              <w:t xml:space="preserve"> </w:t>
            </w:r>
            <w:r w:rsidR="004414B2" w:rsidRPr="00752F4C">
              <w:rPr>
                <w:rFonts w:asciiTheme="minorHAnsi" w:hAnsiTheme="minorHAnsi" w:cstheme="minorHAnsi"/>
                <w:color w:val="FFFFFF" w:themeColor="background1"/>
                <w:lang w:eastAsia="en-AU"/>
              </w:rPr>
              <w:t>best be achieved?</w:t>
            </w:r>
          </w:p>
          <w:p w14:paraId="74BB60D0" w14:textId="6542ECEA" w:rsidR="00A9138B" w:rsidRPr="00FF73FE" w:rsidRDefault="00A9138B">
            <w:pPr>
              <w:pStyle w:val="ListParagraph"/>
              <w:numPr>
                <w:ilvl w:val="0"/>
                <w:numId w:val="28"/>
              </w:numPr>
              <w:spacing w:before="120"/>
              <w:ind w:left="1077" w:hanging="357"/>
              <w:contextualSpacing w:val="0"/>
              <w:rPr>
                <w:color w:val="FFFFFF" w:themeColor="background1"/>
              </w:rPr>
            </w:pPr>
            <w:r w:rsidRPr="00FF73FE">
              <w:rPr>
                <w:color w:val="FFFFFF" w:themeColor="background1"/>
              </w:rPr>
              <w:fldChar w:fldCharType="begin"/>
            </w:r>
            <w:r w:rsidRPr="00FF73FE">
              <w:rPr>
                <w:color w:val="FFFFFF" w:themeColor="background1"/>
              </w:rPr>
              <w:instrText xml:space="preserve"> REF _Ref52123298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Reform idea 4 - Amend the Act to better reflect the functions FSANZ currently delivers, particularly as they relate to supporting long-term health and nutrition</w:t>
            </w:r>
            <w:r w:rsidRPr="00FF73FE">
              <w:rPr>
                <w:color w:val="FFFFFF" w:themeColor="background1"/>
              </w:rPr>
              <w:fldChar w:fldCharType="end"/>
            </w:r>
          </w:p>
          <w:p w14:paraId="08DE7207" w14:textId="6392A16A" w:rsidR="00022247" w:rsidRPr="00FF73FE" w:rsidRDefault="00022247">
            <w:pPr>
              <w:pStyle w:val="ListParagraph"/>
              <w:numPr>
                <w:ilvl w:val="0"/>
                <w:numId w:val="28"/>
              </w:numPr>
              <w:spacing w:before="120"/>
              <w:ind w:left="1077" w:hanging="357"/>
              <w:contextualSpacing w:val="0"/>
              <w:rPr>
                <w:color w:val="FFFFFF" w:themeColor="background1"/>
              </w:rPr>
            </w:pPr>
            <w:r w:rsidRPr="00FF73FE">
              <w:rPr>
                <w:color w:val="FFFFFF" w:themeColor="background1"/>
              </w:rPr>
              <w:fldChar w:fldCharType="begin"/>
            </w:r>
            <w:r w:rsidRPr="00FF73FE">
              <w:rPr>
                <w:color w:val="FFFFFF" w:themeColor="background1"/>
              </w:rPr>
              <w:instrText xml:space="preserve"> REF _Ref52123378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 xml:space="preserve">Reform idea 5 – Amend </w:t>
            </w:r>
            <w:r w:rsidR="001C5CC6" w:rsidRPr="00FF73FE" w:rsidDel="00F72329">
              <w:rPr>
                <w:color w:val="FFFFFF" w:themeColor="background1"/>
              </w:rPr>
              <w:t xml:space="preserve">s </w:t>
            </w:r>
            <w:r w:rsidR="001C5CC6" w:rsidRPr="00FF73FE">
              <w:rPr>
                <w:color w:val="FFFFFF" w:themeColor="background1"/>
              </w:rPr>
              <w:t>13 of the Act to reflect a broader range of functions that FSANZ could deliver now and in the future</w:t>
            </w:r>
            <w:r w:rsidRPr="00FF73FE">
              <w:rPr>
                <w:color w:val="FFFFFF" w:themeColor="background1"/>
              </w:rPr>
              <w:fldChar w:fldCharType="end"/>
            </w:r>
          </w:p>
          <w:p w14:paraId="6650BFD7" w14:textId="77777777" w:rsidR="005B46BA" w:rsidRPr="00FF73FE" w:rsidRDefault="005B46BA" w:rsidP="005B46BA">
            <w:pPr>
              <w:pStyle w:val="ListParagraph"/>
              <w:spacing w:before="120"/>
              <w:ind w:left="1077"/>
              <w:contextualSpacing w:val="0"/>
              <w:rPr>
                <w:color w:val="FFFFFF" w:themeColor="background1"/>
              </w:rPr>
            </w:pPr>
          </w:p>
          <w:p w14:paraId="5B6FBB95" w14:textId="14FB5508" w:rsidR="00D11283" w:rsidRPr="00E25160" w:rsidRDefault="00D11283" w:rsidP="00760794">
            <w:pPr>
              <w:pStyle w:val="ListParagraph"/>
              <w:numPr>
                <w:ilvl w:val="0"/>
                <w:numId w:val="15"/>
              </w:numPr>
              <w:contextualSpacing w:val="0"/>
              <w:rPr>
                <w:color w:val="FFFFFF" w:themeColor="background1"/>
                <w:lang w:eastAsia="en-AU"/>
              </w:rPr>
            </w:pPr>
            <w:r w:rsidRPr="00165FEB">
              <w:rPr>
                <w:rFonts w:asciiTheme="minorHAnsi" w:hAnsiTheme="minorHAnsi" w:cstheme="minorHAnsi"/>
                <w:color w:val="FFFFFF" w:themeColor="background1"/>
                <w:lang w:eastAsia="en-AU"/>
              </w:rPr>
              <w:t xml:space="preserve">Are there other potential solutions relating to </w:t>
            </w:r>
            <w:r w:rsidR="00A80E3E">
              <w:rPr>
                <w:rFonts w:asciiTheme="minorHAnsi" w:hAnsiTheme="minorHAnsi" w:cstheme="minorHAnsi"/>
                <w:color w:val="FFFFFF" w:themeColor="background1"/>
                <w:lang w:eastAsia="en-AU"/>
              </w:rPr>
              <w:t>FSANZ’s statutory functions</w:t>
            </w:r>
            <w:r w:rsidRPr="00165FEB">
              <w:rPr>
                <w:rFonts w:asciiTheme="minorHAnsi" w:hAnsiTheme="minorHAnsi" w:cstheme="minorHAnsi"/>
                <w:color w:val="FFFFFF" w:themeColor="background1"/>
                <w:lang w:eastAsia="en-AU"/>
              </w:rPr>
              <w:t>?</w:t>
            </w:r>
            <w:r w:rsidRPr="00165FEB">
              <w:rPr>
                <w:color w:val="FFFFFF" w:themeColor="background1"/>
                <w:lang w:eastAsia="en-AU"/>
              </w:rPr>
              <w:t xml:space="preserve"> </w:t>
            </w:r>
          </w:p>
        </w:tc>
      </w:tr>
    </w:tbl>
    <w:p w14:paraId="255CFB8D" w14:textId="7784D004" w:rsidR="00D93A04" w:rsidRDefault="00D93A04" w:rsidP="00D93A04">
      <w:pPr>
        <w:pStyle w:val="Heading1"/>
      </w:pPr>
      <w:bookmarkStart w:id="48" w:name="_Toc52179131"/>
      <w:r>
        <w:lastRenderedPageBreak/>
        <w:t>Legislative processes and decision-making arrangements</w:t>
      </w:r>
      <w:bookmarkEnd w:id="48"/>
    </w:p>
    <w:p w14:paraId="763581DA" w14:textId="6FCEF69B" w:rsidR="00D93A04" w:rsidRDefault="00B27F94" w:rsidP="00D93A04">
      <w:pPr>
        <w:rPr>
          <w:lang w:eastAsia="en-AU"/>
        </w:rPr>
      </w:pPr>
      <w:r>
        <w:rPr>
          <w:lang w:eastAsia="en-AU"/>
        </w:rPr>
        <w:t xml:space="preserve">Part </w:t>
      </w:r>
      <w:r w:rsidR="00D93A04">
        <w:rPr>
          <w:lang w:eastAsia="en-AU"/>
        </w:rPr>
        <w:t>3 of the Act</w:t>
      </w:r>
      <w:r w:rsidR="00395C89">
        <w:rPr>
          <w:lang w:eastAsia="en-AU"/>
        </w:rPr>
        <w:t xml:space="preserve"> </w:t>
      </w:r>
      <w:r w:rsidR="00D93A04">
        <w:rPr>
          <w:lang w:eastAsia="en-AU"/>
        </w:rPr>
        <w:t xml:space="preserve">sets out processes for making changes to </w:t>
      </w:r>
      <w:r w:rsidR="00D57B1F">
        <w:rPr>
          <w:lang w:eastAsia="en-AU"/>
        </w:rPr>
        <w:t>food regulatory measures.</w:t>
      </w:r>
      <w:r w:rsidR="00D93A04">
        <w:rPr>
          <w:lang w:eastAsia="en-AU"/>
        </w:rPr>
        <w:t xml:space="preserve"> FSANZ must follow these processes as written to be compliant with the law. </w:t>
      </w:r>
    </w:p>
    <w:p w14:paraId="27A55A5F" w14:textId="69C5E156" w:rsidR="001539C7" w:rsidRDefault="00D57B1F" w:rsidP="00D57B1F">
      <w:r>
        <w:t xml:space="preserve">Food </w:t>
      </w:r>
      <w:r>
        <w:rPr>
          <w:lang w:eastAsia="en-AU"/>
        </w:rPr>
        <w:t>standard</w:t>
      </w:r>
      <w:r w:rsidR="00B761FC">
        <w:rPr>
          <w:lang w:eastAsia="en-AU"/>
        </w:rPr>
        <w:t>s</w:t>
      </w:r>
      <w:r>
        <w:rPr>
          <w:lang w:eastAsia="en-AU"/>
        </w:rPr>
        <w:t xml:space="preserve"> are the most commonly used regulatory measure. They</w:t>
      </w:r>
      <w:r w:rsidR="001539C7">
        <w:t xml:space="preserve"> are created or changed through two statutory processes – </w:t>
      </w:r>
      <w:r w:rsidR="001539C7">
        <w:rPr>
          <w:i/>
        </w:rPr>
        <w:t xml:space="preserve">applications </w:t>
      </w:r>
      <w:r w:rsidR="001539C7">
        <w:t xml:space="preserve">received by FSANZ that are industry-initiated and </w:t>
      </w:r>
      <w:r w:rsidR="001539C7">
        <w:rPr>
          <w:i/>
        </w:rPr>
        <w:t xml:space="preserve">proposals </w:t>
      </w:r>
      <w:r w:rsidR="00A73A73">
        <w:t xml:space="preserve">prepared </w:t>
      </w:r>
      <w:r w:rsidR="001539C7">
        <w:t xml:space="preserve">by FSANZ. </w:t>
      </w:r>
      <w:r w:rsidR="001539C7" w:rsidRPr="00857433">
        <w:t>The Act includes a ‘general procedure’ for applications and proposals and a series of modified procedures</w:t>
      </w:r>
      <w:r w:rsidR="001539C7">
        <w:t xml:space="preserve">, for instance for </w:t>
      </w:r>
      <w:r w:rsidR="001539C7" w:rsidRPr="00857433">
        <w:t>major</w:t>
      </w:r>
      <w:r w:rsidR="001539C7">
        <w:t xml:space="preserve">, </w:t>
      </w:r>
      <w:r w:rsidR="001539C7" w:rsidRPr="00857433">
        <w:t>minor</w:t>
      </w:r>
      <w:r w:rsidR="001539C7">
        <w:t xml:space="preserve"> and urgent</w:t>
      </w:r>
      <w:r w:rsidR="001539C7" w:rsidRPr="00857433">
        <w:t xml:space="preserve"> variations</w:t>
      </w:r>
      <w:r w:rsidR="007E28DD">
        <w:t xml:space="preserve"> (see </w:t>
      </w:r>
      <w:r w:rsidR="007E28DD">
        <w:fldChar w:fldCharType="begin"/>
      </w:r>
      <w:r w:rsidR="007E28DD">
        <w:instrText xml:space="preserve"> REF _Ref48560335 \h </w:instrText>
      </w:r>
      <w:r w:rsidR="007E28DD">
        <w:fldChar w:fldCharType="separate"/>
      </w:r>
      <w:r w:rsidR="001C5CC6">
        <w:t xml:space="preserve">Figure </w:t>
      </w:r>
      <w:r w:rsidR="001C5CC6">
        <w:rPr>
          <w:noProof/>
        </w:rPr>
        <w:t>4</w:t>
      </w:r>
      <w:r w:rsidR="007E28DD">
        <w:fldChar w:fldCharType="end"/>
      </w:r>
      <w:r w:rsidR="007E28DD">
        <w:t>)</w:t>
      </w:r>
      <w:r w:rsidR="001539C7">
        <w:t>.</w:t>
      </w:r>
      <w:r w:rsidR="001539C7" w:rsidRPr="00857433">
        <w:t xml:space="preserve"> </w:t>
      </w:r>
      <w:r w:rsidR="001539C7">
        <w:t xml:space="preserve">FSANZ is subject to statutory timeframes for initial assessment and resolution of applications which vary between 3 and 12 months. There are no statutory timeframes for proposals. </w:t>
      </w:r>
    </w:p>
    <w:p w14:paraId="0D88B685" w14:textId="1E61B1C0" w:rsidR="001539C7" w:rsidRDefault="001539C7" w:rsidP="001539C7">
      <w:pPr>
        <w:pStyle w:val="Caption"/>
      </w:pPr>
      <w:bookmarkStart w:id="49" w:name="_Ref48560335"/>
      <w:r>
        <w:t xml:space="preserve">Figure </w:t>
      </w:r>
      <w:r w:rsidR="006E507D">
        <w:fldChar w:fldCharType="begin"/>
      </w:r>
      <w:r w:rsidR="006E507D">
        <w:instrText xml:space="preserve"> SEQ Figure \* ARABIC </w:instrText>
      </w:r>
      <w:r w:rsidR="006E507D">
        <w:fldChar w:fldCharType="separate"/>
      </w:r>
      <w:r w:rsidR="001C5CC6">
        <w:rPr>
          <w:noProof/>
        </w:rPr>
        <w:t>4</w:t>
      </w:r>
      <w:r w:rsidR="006E507D">
        <w:fldChar w:fldCharType="end"/>
      </w:r>
      <w:bookmarkEnd w:id="49"/>
      <w:r>
        <w:t xml:space="preserve"> | Process for creating and varying food regulatory measures via applications and proposals</w:t>
      </w:r>
    </w:p>
    <w:p w14:paraId="50CED525" w14:textId="1A63D35C" w:rsidR="001539C7" w:rsidRDefault="007055CF" w:rsidP="001539C7">
      <w:pPr>
        <w:pStyle w:val="Bullet"/>
        <w:numPr>
          <w:ilvl w:val="0"/>
          <w:numId w:val="0"/>
        </w:numPr>
      </w:pPr>
      <w:r w:rsidRPr="007055CF">
        <w:rPr>
          <w:noProof/>
        </w:rPr>
        <w:drawing>
          <wp:inline distT="0" distB="0" distL="0" distR="0" wp14:anchorId="7A844B34" wp14:editId="065AB9C0">
            <wp:extent cx="5670550" cy="4886325"/>
            <wp:effectExtent l="0" t="0" r="6350" b="9525"/>
            <wp:docPr id="11" name="Picture 11" descr="This diagram shows the key steps in the process for changes to food standards via application and proposal pathways. The diagram also notes that there are modifications to the general procedure, including for minor variations, major variations and urgent applic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4886325"/>
                    </a:xfrm>
                    <a:prstGeom prst="rect">
                      <a:avLst/>
                    </a:prstGeom>
                    <a:noFill/>
                    <a:ln>
                      <a:noFill/>
                    </a:ln>
                  </pic:spPr>
                </pic:pic>
              </a:graphicData>
            </a:graphic>
          </wp:inline>
        </w:drawing>
      </w:r>
    </w:p>
    <w:p w14:paraId="58C157B1" w14:textId="77777777" w:rsidR="001539C7" w:rsidRDefault="001539C7" w:rsidP="00D93A04">
      <w:pPr>
        <w:rPr>
          <w:lang w:eastAsia="en-AU"/>
        </w:rPr>
      </w:pPr>
    </w:p>
    <w:p w14:paraId="035A5468" w14:textId="7A307B1D" w:rsidR="000738A3" w:rsidRPr="000734F2" w:rsidRDefault="000738A3" w:rsidP="00E0390E">
      <w:pPr>
        <w:pStyle w:val="Heading2"/>
        <w:ind w:left="567"/>
      </w:pPr>
      <w:bookmarkStart w:id="50" w:name="_Ref51486642"/>
      <w:bookmarkStart w:id="51" w:name="_Toc52179132"/>
      <w:r w:rsidRPr="000734F2">
        <w:lastRenderedPageBreak/>
        <w:t xml:space="preserve">There are currently limited mechanisms for </w:t>
      </w:r>
      <w:r w:rsidR="000301AE">
        <w:t xml:space="preserve">holistic </w:t>
      </w:r>
      <w:r w:rsidRPr="000734F2">
        <w:t>review</w:t>
      </w:r>
      <w:r w:rsidR="000301AE">
        <w:t>s</w:t>
      </w:r>
      <w:r w:rsidRPr="000734F2">
        <w:t xml:space="preserve"> of standards to ensure they remain suitable and </w:t>
      </w:r>
      <w:r>
        <w:t>fit</w:t>
      </w:r>
      <w:r w:rsidR="008869B1">
        <w:t>-</w:t>
      </w:r>
      <w:r>
        <w:t>for</w:t>
      </w:r>
      <w:r w:rsidR="008869B1">
        <w:t>-</w:t>
      </w:r>
      <w:r>
        <w:t>purpose</w:t>
      </w:r>
      <w:bookmarkEnd w:id="50"/>
      <w:bookmarkEnd w:id="51"/>
      <w:r w:rsidRPr="000734F2">
        <w:t xml:space="preserve"> </w:t>
      </w:r>
    </w:p>
    <w:p w14:paraId="3B64C2B1" w14:textId="043AB2CB" w:rsidR="000738A3" w:rsidRPr="000734F2" w:rsidRDefault="000738A3" w:rsidP="000738A3">
      <w:pPr>
        <w:pStyle w:val="Heading3"/>
      </w:pPr>
      <w:bookmarkStart w:id="52" w:name="_Ref51486645"/>
      <w:r w:rsidRPr="000734F2">
        <w:t>Food standards are exempt from sunsetting provisions</w:t>
      </w:r>
      <w:bookmarkEnd w:id="52"/>
    </w:p>
    <w:p w14:paraId="238DE0E3" w14:textId="7622756C" w:rsidR="000738A3" w:rsidRDefault="00A83FD7" w:rsidP="000738A3">
      <w:pPr>
        <w:rPr>
          <w:lang w:eastAsia="en-AU"/>
        </w:rPr>
      </w:pPr>
      <w:r>
        <w:rPr>
          <w:lang w:eastAsia="en-AU"/>
        </w:rPr>
        <w:t>In Australia</w:t>
      </w:r>
      <w:r w:rsidR="00FA07C2">
        <w:rPr>
          <w:rStyle w:val="FootnoteReference"/>
          <w:lang w:eastAsia="en-AU"/>
        </w:rPr>
        <w:footnoteReference w:id="15"/>
      </w:r>
      <w:r>
        <w:rPr>
          <w:lang w:eastAsia="en-AU"/>
        </w:rPr>
        <w:t>, m</w:t>
      </w:r>
      <w:r w:rsidR="000738A3" w:rsidRPr="000734F2">
        <w:rPr>
          <w:lang w:eastAsia="en-AU"/>
        </w:rPr>
        <w:t xml:space="preserve">ost Commonwealth legislation is subject to a sunsetting regime set out in the </w:t>
      </w:r>
      <w:r w:rsidR="000738A3" w:rsidRPr="000734F2">
        <w:rPr>
          <w:i/>
          <w:lang w:eastAsia="en-AU"/>
        </w:rPr>
        <w:t xml:space="preserve">Legislation Act 2003 </w:t>
      </w:r>
      <w:r w:rsidR="000738A3" w:rsidRPr="000734F2">
        <w:rPr>
          <w:lang w:eastAsia="en-AU"/>
        </w:rPr>
        <w:t>which provides that the law ceases to have effect after a specific date</w:t>
      </w:r>
      <w:r w:rsidR="00FA07C2">
        <w:rPr>
          <w:lang w:eastAsia="en-AU"/>
        </w:rPr>
        <w:t>.</w:t>
      </w:r>
      <w:r w:rsidR="000738A3" w:rsidRPr="000734F2">
        <w:rPr>
          <w:lang w:eastAsia="en-AU"/>
        </w:rPr>
        <w:t xml:space="preserve"> This provides an important mechanism to ensure rule-makers consider the ongoing usefulness and appropriateness of regulations. </w:t>
      </w:r>
      <w:r w:rsidR="000738A3">
        <w:rPr>
          <w:lang w:eastAsia="en-AU"/>
        </w:rPr>
        <w:t xml:space="preserve"> </w:t>
      </w:r>
    </w:p>
    <w:p w14:paraId="14F91D1D" w14:textId="747D929C" w:rsidR="0077058F" w:rsidRPr="0077058F" w:rsidRDefault="000738A3" w:rsidP="0077058F">
      <w:pPr>
        <w:rPr>
          <w:lang w:eastAsia="en-AU"/>
        </w:rPr>
      </w:pPr>
      <w:r w:rsidRPr="000734F2">
        <w:rPr>
          <w:lang w:eastAsia="en-AU"/>
        </w:rPr>
        <w:t xml:space="preserve">The </w:t>
      </w:r>
      <w:r>
        <w:rPr>
          <w:lang w:eastAsia="en-AU"/>
        </w:rPr>
        <w:t>standards in the</w:t>
      </w:r>
      <w:r w:rsidRPr="000734F2">
        <w:rPr>
          <w:lang w:eastAsia="en-AU"/>
        </w:rPr>
        <w:t xml:space="preserve"> Food Standards Code </w:t>
      </w:r>
      <w:r>
        <w:rPr>
          <w:lang w:eastAsia="en-AU"/>
        </w:rPr>
        <w:t xml:space="preserve">are legislative instruments under the </w:t>
      </w:r>
      <w:r>
        <w:rPr>
          <w:i/>
          <w:lang w:eastAsia="en-AU"/>
        </w:rPr>
        <w:t xml:space="preserve">Legislation Act </w:t>
      </w:r>
      <w:r w:rsidR="001D2E3E">
        <w:rPr>
          <w:lang w:eastAsia="en-AU"/>
        </w:rPr>
        <w:t>but</w:t>
      </w:r>
      <w:r>
        <w:rPr>
          <w:lang w:eastAsia="en-AU"/>
        </w:rPr>
        <w:t xml:space="preserve"> are</w:t>
      </w:r>
      <w:r w:rsidRPr="000734F2">
        <w:rPr>
          <w:lang w:eastAsia="en-AU"/>
        </w:rPr>
        <w:t xml:space="preserve"> currently exempt from sunsetting provisions</w:t>
      </w:r>
      <w:r>
        <w:rPr>
          <w:lang w:eastAsia="en-AU"/>
        </w:rPr>
        <w:t xml:space="preserve"> (see, for example, </w:t>
      </w:r>
      <w:r w:rsidR="00C6116D">
        <w:rPr>
          <w:lang w:eastAsia="en-AU"/>
        </w:rPr>
        <w:t>s</w:t>
      </w:r>
      <w:r>
        <w:rPr>
          <w:lang w:eastAsia="en-AU"/>
        </w:rPr>
        <w:t xml:space="preserve"> 94 of the FSANZ Act)</w:t>
      </w:r>
      <w:r w:rsidRPr="000734F2">
        <w:rPr>
          <w:lang w:eastAsia="en-AU"/>
        </w:rPr>
        <w:t>.</w:t>
      </w:r>
      <w:r>
        <w:rPr>
          <w:lang w:eastAsia="en-AU"/>
        </w:rPr>
        <w:t xml:space="preserve"> This reflects the distinct arrangements of the food regulatory system and the cooperation between governments required as part of the bi-national and federated system. </w:t>
      </w:r>
    </w:p>
    <w:p w14:paraId="21FC02A6" w14:textId="4F0FB078" w:rsidR="000301AE" w:rsidRPr="000734F2" w:rsidRDefault="00DB57FE">
      <w:pPr>
        <w:rPr>
          <w:lang w:eastAsia="en-AU"/>
        </w:rPr>
      </w:pPr>
      <w:r>
        <w:rPr>
          <w:lang w:eastAsia="en-AU"/>
        </w:rPr>
        <w:t>The gradual and iterative development of standards over time</w:t>
      </w:r>
      <w:r w:rsidR="0046563D">
        <w:rPr>
          <w:lang w:eastAsia="en-AU"/>
        </w:rPr>
        <w:t xml:space="preserve"> </w:t>
      </w:r>
      <w:r w:rsidR="00E8586A">
        <w:rPr>
          <w:lang w:eastAsia="en-AU"/>
        </w:rPr>
        <w:t>(</w:t>
      </w:r>
      <w:r w:rsidR="0046563D">
        <w:rPr>
          <w:lang w:eastAsia="en-AU"/>
        </w:rPr>
        <w:t>primarily in response to industry-</w:t>
      </w:r>
      <w:r w:rsidR="00226FCE">
        <w:rPr>
          <w:lang w:eastAsia="en-AU"/>
        </w:rPr>
        <w:t>initiated</w:t>
      </w:r>
      <w:r w:rsidR="0046563D">
        <w:rPr>
          <w:lang w:eastAsia="en-AU"/>
        </w:rPr>
        <w:t xml:space="preserve"> applications</w:t>
      </w:r>
      <w:r w:rsidR="00E8586A">
        <w:rPr>
          <w:lang w:eastAsia="en-AU"/>
        </w:rPr>
        <w:t>)</w:t>
      </w:r>
      <w:r>
        <w:rPr>
          <w:lang w:eastAsia="en-AU"/>
        </w:rPr>
        <w:t xml:space="preserve"> can result in inconsistencies within and between standards. </w:t>
      </w:r>
      <w:r w:rsidR="004A5B90">
        <w:rPr>
          <w:lang w:eastAsia="en-AU"/>
        </w:rPr>
        <w:t xml:space="preserve">For example, </w:t>
      </w:r>
      <w:r w:rsidR="006C5FAB">
        <w:rPr>
          <w:lang w:eastAsia="en-AU"/>
        </w:rPr>
        <w:t xml:space="preserve">Australia-specific </w:t>
      </w:r>
      <w:r w:rsidR="004A5B90">
        <w:rPr>
          <w:lang w:eastAsia="en-AU"/>
        </w:rPr>
        <w:t xml:space="preserve">Primary Production standards – which are currently being reviewed by FSANZ – do not provide a consistent approach to managing risk as they </w:t>
      </w:r>
      <w:r w:rsidR="006C5FAB">
        <w:rPr>
          <w:lang w:eastAsia="en-AU"/>
        </w:rPr>
        <w:t xml:space="preserve">have been developed </w:t>
      </w:r>
      <w:r w:rsidR="00DD1590">
        <w:rPr>
          <w:lang w:eastAsia="en-AU"/>
        </w:rPr>
        <w:t xml:space="preserve">extemporaneously </w:t>
      </w:r>
      <w:r w:rsidR="006C5FAB">
        <w:rPr>
          <w:lang w:eastAsia="en-AU"/>
        </w:rPr>
        <w:t>over time for different commodities.</w:t>
      </w:r>
      <w:r w:rsidR="00845ED2">
        <w:rPr>
          <w:rStyle w:val="FootnoteReference"/>
          <w:lang w:eastAsia="en-AU"/>
        </w:rPr>
        <w:footnoteReference w:id="16"/>
      </w:r>
      <w:r w:rsidR="00893F0E">
        <w:rPr>
          <w:lang w:eastAsia="en-AU"/>
        </w:rPr>
        <w:t xml:space="preserve"> </w:t>
      </w:r>
      <w:r w:rsidR="007F69C6">
        <w:rPr>
          <w:lang w:eastAsia="en-AU"/>
        </w:rPr>
        <w:t>A routine regular review of standards that considers their overarching purpose and intent within the Code and food reg</w:t>
      </w:r>
      <w:r w:rsidR="00CF6485">
        <w:rPr>
          <w:lang w:eastAsia="en-AU"/>
        </w:rPr>
        <w:t xml:space="preserve">ulatory system may </w:t>
      </w:r>
      <w:r w:rsidR="007102F7">
        <w:rPr>
          <w:lang w:eastAsia="en-AU"/>
        </w:rPr>
        <w:t xml:space="preserve">better ensure that they remain fit-for-purpose, outcome-focussed and mitigate risks of unnecessary regulations being introduced over time. </w:t>
      </w:r>
    </w:p>
    <w:p w14:paraId="33DEA14D" w14:textId="0D964119" w:rsidR="000738A3" w:rsidRPr="00D25630" w:rsidRDefault="005B613B" w:rsidP="000738A3">
      <w:pPr>
        <w:pStyle w:val="Heading3"/>
      </w:pPr>
      <w:bookmarkStart w:id="53" w:name="_Ref51486647"/>
      <w:r>
        <w:t>The c</w:t>
      </w:r>
      <w:r w:rsidR="000738A3">
        <w:t xml:space="preserve">urrent approach to reviewing standards is </w:t>
      </w:r>
      <w:r>
        <w:t>react</w:t>
      </w:r>
      <w:r w:rsidR="00F974C6">
        <w:t>ive</w:t>
      </w:r>
      <w:bookmarkEnd w:id="53"/>
      <w:r w:rsidR="000738A3">
        <w:t xml:space="preserve"> </w:t>
      </w:r>
    </w:p>
    <w:p w14:paraId="7EDED08C" w14:textId="372B6E0B" w:rsidR="000738A3" w:rsidRPr="00D25630" w:rsidRDefault="000738A3" w:rsidP="000738A3">
      <w:r w:rsidRPr="00D25630">
        <w:t>FSANZ currently</w:t>
      </w:r>
      <w:r w:rsidRPr="00D25630" w:rsidDel="005716F4">
        <w:t xml:space="preserve"> </w:t>
      </w:r>
      <w:r w:rsidR="005716F4">
        <w:t>conducts reviews</w:t>
      </w:r>
      <w:r w:rsidR="005716F4">
        <w:rPr>
          <w:rStyle w:val="FootnoteReference"/>
        </w:rPr>
        <w:footnoteReference w:id="17"/>
      </w:r>
      <w:r w:rsidR="005716F4">
        <w:t xml:space="preserve"> of</w:t>
      </w:r>
      <w:r w:rsidRPr="00D25630">
        <w:t xml:space="preserve"> existing standards in response to an application or by raising a proposal. These pathways may not provide a strategic </w:t>
      </w:r>
      <w:r>
        <w:t>approach to</w:t>
      </w:r>
      <w:r w:rsidRPr="00D25630">
        <w:t xml:space="preserve"> review</w:t>
      </w:r>
      <w:r>
        <w:t>ing</w:t>
      </w:r>
      <w:r w:rsidRPr="00D25630">
        <w:t xml:space="preserve"> </w:t>
      </w:r>
      <w:r w:rsidR="00DC3B09">
        <w:t>f</w:t>
      </w:r>
      <w:r w:rsidRPr="00D25630">
        <w:t xml:space="preserve">ood standards. For instance, applications </w:t>
      </w:r>
      <w:r>
        <w:t>are industry-driven and tend to have a</w:t>
      </w:r>
      <w:r w:rsidR="00746643">
        <w:t xml:space="preserve"> </w:t>
      </w:r>
      <w:r>
        <w:t>specific focus on an issue and there is limited ability to broaden the scope of the application following the initial assessment. Given FSANZ’s resourcing constraints and statutory timeframes attached to applications, these tend to receive priority order in the work plan</w:t>
      </w:r>
      <w:r w:rsidR="009C3F83">
        <w:t xml:space="preserve"> (discussed further at Section </w:t>
      </w:r>
      <w:r w:rsidR="00BC00C0">
        <w:fldChar w:fldCharType="begin"/>
      </w:r>
      <w:r w:rsidR="00BC00C0">
        <w:instrText xml:space="preserve"> REF _Ref51508302 \r \h </w:instrText>
      </w:r>
      <w:r w:rsidR="00BC00C0">
        <w:fldChar w:fldCharType="separate"/>
      </w:r>
      <w:r w:rsidR="001C5CC6">
        <w:t>5.2</w:t>
      </w:r>
      <w:r w:rsidR="00BC00C0">
        <w:fldChar w:fldCharType="end"/>
      </w:r>
      <w:r w:rsidR="00BC00C0">
        <w:t>)</w:t>
      </w:r>
      <w:r>
        <w:t xml:space="preserve">. </w:t>
      </w:r>
      <w:r w:rsidR="00F35860">
        <w:t xml:space="preserve">Consequently, comprehensive reviews of standards initiated by proposals can take many years to </w:t>
      </w:r>
      <w:r w:rsidR="002460C6">
        <w:t>assess. For example,</w:t>
      </w:r>
      <w:r w:rsidR="00245681">
        <w:t xml:space="preserve"> the</w:t>
      </w:r>
      <w:r w:rsidR="008A0B55">
        <w:t xml:space="preserve"> current proposal to revise and clarify standards relating to infant formula</w:t>
      </w:r>
      <w:r w:rsidR="00C4683A">
        <w:t xml:space="preserve">, P1028, </w:t>
      </w:r>
      <w:r w:rsidR="00795409">
        <w:t xml:space="preserve">was </w:t>
      </w:r>
      <w:r w:rsidR="00A73A73">
        <w:t xml:space="preserve">prepared </w:t>
      </w:r>
      <w:r w:rsidR="00795409">
        <w:t>in 2013 and is still being progressed</w:t>
      </w:r>
      <w:r w:rsidR="00AB706A">
        <w:t>.</w:t>
      </w:r>
      <w:r w:rsidR="001D6D43">
        <w:rPr>
          <w:rStyle w:val="FootnoteReference"/>
        </w:rPr>
        <w:footnoteReference w:id="18"/>
      </w:r>
      <w:r w:rsidR="00795409">
        <w:t xml:space="preserve"> </w:t>
      </w:r>
      <w:r w:rsidR="002460C6">
        <w:t xml:space="preserve"> </w:t>
      </w:r>
    </w:p>
    <w:p w14:paraId="04368167" w14:textId="562881D4" w:rsidR="004F77F2" w:rsidRDefault="000738A3" w:rsidP="000738A3">
      <w:r>
        <w:t>Regular review</w:t>
      </w:r>
      <w:r w:rsidR="00AB706A">
        <w:t>s</w:t>
      </w:r>
      <w:r>
        <w:t xml:space="preserve"> of standards </w:t>
      </w:r>
      <w:r w:rsidR="00AB706A">
        <w:t xml:space="preserve">are </w:t>
      </w:r>
      <w:r>
        <w:t>important to ensure they remain fit-for-purpose and relevant</w:t>
      </w:r>
      <w:r w:rsidR="004F77F2">
        <w:t>, particularly</w:t>
      </w:r>
      <w:r>
        <w:t xml:space="preserve"> given evolving industry practices and technologies, government priorities, and consumer preferences, consumption patterns and needs. </w:t>
      </w:r>
    </w:p>
    <w:p w14:paraId="44F3994C" w14:textId="556AFB46" w:rsidR="000738A3" w:rsidRDefault="000738A3" w:rsidP="000738A3">
      <w:r>
        <w:t xml:space="preserve">Current legislative arrangements for reviewing </w:t>
      </w:r>
      <w:r w:rsidR="00DC3B09">
        <w:t>f</w:t>
      </w:r>
      <w:r w:rsidR="00DC3B09" w:rsidRPr="00D25630">
        <w:t xml:space="preserve">ood </w:t>
      </w:r>
      <w:r w:rsidR="008F7EFE">
        <w:t>s</w:t>
      </w:r>
      <w:r>
        <w:t xml:space="preserve">tandards, coupled with resourcing constraints faced by FSANZ, do not readily allow a big picture perspective on reviews of standards. </w:t>
      </w:r>
    </w:p>
    <w:p w14:paraId="1946993B" w14:textId="00D90D8D" w:rsidR="00510818" w:rsidRDefault="00510818" w:rsidP="000738A3">
      <w:r>
        <w:t xml:space="preserve">Other regulatory systems have more strategic mechanisms in place to review standards. Examples are included in </w:t>
      </w:r>
      <w:r w:rsidR="00BB29FA">
        <w:fldChar w:fldCharType="begin"/>
      </w:r>
      <w:r w:rsidR="00BB29FA">
        <w:instrText xml:space="preserve"> REF _Ref51404367 \h </w:instrText>
      </w:r>
      <w:r w:rsidR="00BB29FA">
        <w:fldChar w:fldCharType="separate"/>
      </w:r>
      <w:r w:rsidR="001C5CC6">
        <w:t xml:space="preserve">Table </w:t>
      </w:r>
      <w:r w:rsidR="001C5CC6">
        <w:rPr>
          <w:noProof/>
        </w:rPr>
        <w:t>6</w:t>
      </w:r>
      <w:r w:rsidR="00BB29FA">
        <w:fldChar w:fldCharType="end"/>
      </w:r>
      <w:r w:rsidR="00731622">
        <w:t>.</w:t>
      </w:r>
    </w:p>
    <w:p w14:paraId="25070A9F" w14:textId="697FA150" w:rsidR="00731622" w:rsidRDefault="00731622" w:rsidP="00731622">
      <w:pPr>
        <w:pStyle w:val="Caption"/>
      </w:pPr>
      <w:bookmarkStart w:id="54" w:name="_Ref51404367"/>
      <w:r>
        <w:lastRenderedPageBreak/>
        <w:t xml:space="preserve">Table </w:t>
      </w:r>
      <w:r>
        <w:fldChar w:fldCharType="begin"/>
      </w:r>
      <w:r>
        <w:instrText xml:space="preserve"> SEQ Table \* ARABIC </w:instrText>
      </w:r>
      <w:r>
        <w:fldChar w:fldCharType="separate"/>
      </w:r>
      <w:r w:rsidR="001C5CC6">
        <w:rPr>
          <w:noProof/>
        </w:rPr>
        <w:t>6</w:t>
      </w:r>
      <w:r>
        <w:fldChar w:fldCharType="end"/>
      </w:r>
      <w:bookmarkEnd w:id="54"/>
      <w:r>
        <w:t xml:space="preserve"> | </w:t>
      </w:r>
      <w:r w:rsidRPr="006D6A0B">
        <w:t>Examples of more strategic approaches to reviewing standards</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2D4EBC" w14:paraId="6E8D89D1" w14:textId="77777777" w:rsidTr="00731622">
        <w:tc>
          <w:tcPr>
            <w:tcW w:w="9055" w:type="dxa"/>
          </w:tcPr>
          <w:p w14:paraId="78D766FF" w14:textId="6CC02299" w:rsidR="002D4EBC" w:rsidRDefault="002D4EBC" w:rsidP="002D4EBC">
            <w:pPr>
              <w:pStyle w:val="longformcalloutnumber"/>
              <w:numPr>
                <w:ilvl w:val="0"/>
                <w:numId w:val="0"/>
              </w:numPr>
              <w:rPr>
                <w:rFonts w:asciiTheme="minorHAnsi" w:hAnsiTheme="minorHAnsi" w:cstheme="minorHAnsi"/>
              </w:rPr>
            </w:pPr>
            <w:r>
              <w:rPr>
                <w:rFonts w:asciiTheme="minorHAnsi" w:hAnsiTheme="minorHAnsi" w:cstheme="minorHAnsi"/>
              </w:rPr>
              <w:t xml:space="preserve">The </w:t>
            </w:r>
            <w:r w:rsidRPr="008A2B95">
              <w:rPr>
                <w:rFonts w:asciiTheme="majorHAnsi" w:hAnsiTheme="majorHAnsi" w:cstheme="majorHAnsi"/>
              </w:rPr>
              <w:t>National Construction Code (NCC)</w:t>
            </w:r>
            <w:r>
              <w:rPr>
                <w:rFonts w:asciiTheme="minorHAnsi" w:hAnsiTheme="minorHAnsi" w:cstheme="minorHAnsi"/>
              </w:rPr>
              <w:t xml:space="preserve"> which is a performance-based regulatory instrument that sets out minimum performance requirements for the safety and health, amenity, accessibility and sustainability of the built environment</w:t>
            </w:r>
            <w:r w:rsidR="00317E3E">
              <w:rPr>
                <w:rFonts w:asciiTheme="minorHAnsi" w:hAnsiTheme="minorHAnsi" w:cstheme="minorHAnsi"/>
              </w:rPr>
              <w:t xml:space="preserve"> in Australia</w:t>
            </w:r>
            <w:r>
              <w:rPr>
                <w:rFonts w:asciiTheme="minorHAnsi" w:hAnsiTheme="minorHAnsi" w:cstheme="minorHAnsi"/>
              </w:rPr>
              <w:t>. The Australian Build Codes Board</w:t>
            </w:r>
            <w:r w:rsidR="00B81B6E">
              <w:rPr>
                <w:rFonts w:asciiTheme="minorHAnsi" w:hAnsiTheme="minorHAnsi" w:cstheme="minorHAnsi"/>
              </w:rPr>
              <w:t xml:space="preserve"> (ABCB)</w:t>
            </w:r>
            <w:r>
              <w:rPr>
                <w:rFonts w:asciiTheme="minorHAnsi" w:hAnsiTheme="minorHAnsi" w:cstheme="minorHAnsi"/>
              </w:rPr>
              <w:t xml:space="preserve"> undertakes a strategic review and reform of the code every three years. Th</w:t>
            </w:r>
            <w:r w:rsidR="00582DDE">
              <w:rPr>
                <w:rFonts w:asciiTheme="minorHAnsi" w:hAnsiTheme="minorHAnsi" w:cstheme="minorHAnsi"/>
              </w:rPr>
              <w:t xml:space="preserve">e three-year amendment timetable is established in the Australian Building Codes Board Intergovernmental Agreement 2020. </w:t>
            </w:r>
            <w:r>
              <w:rPr>
                <w:rFonts w:asciiTheme="minorHAnsi" w:hAnsiTheme="minorHAnsi" w:cstheme="minorHAnsi"/>
              </w:rPr>
              <w:t xml:space="preserve">  </w:t>
            </w:r>
          </w:p>
          <w:p w14:paraId="714E93EB" w14:textId="7FB77ED5" w:rsidR="002D4EBC" w:rsidRPr="00B167F7" w:rsidRDefault="002D4EBC" w:rsidP="00B167F7">
            <w:pPr>
              <w:pStyle w:val="longformcalloutnumber"/>
              <w:numPr>
                <w:ilvl w:val="0"/>
                <w:numId w:val="0"/>
              </w:numPr>
              <w:rPr>
                <w:rFonts w:asciiTheme="minorHAnsi" w:hAnsiTheme="minorHAnsi" w:cstheme="minorHAnsi"/>
              </w:rPr>
            </w:pPr>
            <w:r>
              <w:rPr>
                <w:rFonts w:asciiTheme="minorHAnsi" w:hAnsiTheme="minorHAnsi" w:cstheme="minorHAnsi"/>
              </w:rPr>
              <w:t xml:space="preserve">Some standards also sunset; for example, the </w:t>
            </w:r>
            <w:r w:rsidRPr="008A2B95">
              <w:rPr>
                <w:rFonts w:asciiTheme="majorHAnsi" w:hAnsiTheme="majorHAnsi" w:cstheme="majorHAnsi"/>
              </w:rPr>
              <w:t xml:space="preserve">Victorian Plumbing Regulations 2018 </w:t>
            </w:r>
            <w:r>
              <w:rPr>
                <w:rFonts w:asciiTheme="minorHAnsi" w:hAnsiTheme="minorHAnsi" w:cstheme="minorHAnsi"/>
              </w:rPr>
              <w:t xml:space="preserve">contain plumbing standards, and these sunset 10 </w:t>
            </w:r>
            <w:r w:rsidR="00812A7D">
              <w:rPr>
                <w:rFonts w:asciiTheme="minorHAnsi" w:hAnsiTheme="minorHAnsi" w:cstheme="minorHAnsi"/>
              </w:rPr>
              <w:t>years</w:t>
            </w:r>
            <w:r>
              <w:rPr>
                <w:rFonts w:asciiTheme="minorHAnsi" w:hAnsiTheme="minorHAnsi" w:cstheme="minorHAnsi"/>
              </w:rPr>
              <w:t xml:space="preserve"> after proclamation. Standards are comprehensively reviewed as part of the development of new regulations. </w:t>
            </w:r>
          </w:p>
        </w:tc>
      </w:tr>
    </w:tbl>
    <w:p w14:paraId="504CDDFD" w14:textId="1A266B18" w:rsidR="000738A3" w:rsidRPr="002E2D2C" w:rsidRDefault="000738A3" w:rsidP="00E0390E">
      <w:pPr>
        <w:pStyle w:val="Heading2"/>
        <w:ind w:left="426" w:hanging="568"/>
      </w:pPr>
      <w:bookmarkStart w:id="55" w:name="_Toc52179133"/>
      <w:r w:rsidRPr="002E2D2C">
        <w:t>A strategic approach to reviewing standards could better future-proof the regulatory framework</w:t>
      </w:r>
      <w:bookmarkEnd w:id="55"/>
      <w:r w:rsidRPr="002E2D2C">
        <w:t xml:space="preserve"> </w:t>
      </w:r>
    </w:p>
    <w:p w14:paraId="2FED0389" w14:textId="4A181562" w:rsidR="000738A3" w:rsidRPr="002E2D2C" w:rsidRDefault="008B63AF" w:rsidP="000738A3">
      <w:pPr>
        <w:rPr>
          <w:lang w:eastAsia="en-AU"/>
        </w:rPr>
      </w:pPr>
      <w:r>
        <w:rPr>
          <w:lang w:eastAsia="en-AU"/>
        </w:rPr>
        <w:t xml:space="preserve">Two </w:t>
      </w:r>
      <w:r w:rsidR="00314887">
        <w:rPr>
          <w:lang w:eastAsia="en-AU"/>
        </w:rPr>
        <w:t>reform ideas</w:t>
      </w:r>
      <w:r w:rsidR="000738A3" w:rsidRPr="002E2D2C">
        <w:rPr>
          <w:lang w:eastAsia="en-AU"/>
        </w:rPr>
        <w:t xml:space="preserve"> have been identified to </w:t>
      </w:r>
      <w:r w:rsidR="00F07F20">
        <w:rPr>
          <w:lang w:eastAsia="en-AU"/>
        </w:rPr>
        <w:t xml:space="preserve">support more strategic reviews of </w:t>
      </w:r>
      <w:r w:rsidR="00DC3B09">
        <w:t>f</w:t>
      </w:r>
      <w:r w:rsidR="00DC3B09" w:rsidRPr="00D25630">
        <w:t xml:space="preserve">ood </w:t>
      </w:r>
      <w:r w:rsidR="00F07F20">
        <w:rPr>
          <w:lang w:eastAsia="en-AU"/>
        </w:rPr>
        <w:t xml:space="preserve">standards. </w:t>
      </w:r>
      <w:r w:rsidR="00314887">
        <w:rPr>
          <w:lang w:eastAsia="en-AU"/>
        </w:rPr>
        <w:t>These</w:t>
      </w:r>
      <w:r w:rsidR="002C75CF">
        <w:rPr>
          <w:lang w:eastAsia="en-AU"/>
        </w:rPr>
        <w:t xml:space="preserve"> are not mutually exclusive and</w:t>
      </w:r>
      <w:r w:rsidR="00314887">
        <w:rPr>
          <w:lang w:eastAsia="en-AU"/>
        </w:rPr>
        <w:t xml:space="preserve"> could be </w:t>
      </w:r>
      <w:r w:rsidR="002C75CF">
        <w:rPr>
          <w:lang w:eastAsia="en-AU"/>
        </w:rPr>
        <w:t>implemented separately or in conjunction.</w:t>
      </w:r>
    </w:p>
    <w:p w14:paraId="6459F268" w14:textId="03F32530" w:rsidR="000738A3" w:rsidRPr="001B4A40" w:rsidRDefault="00742DB3" w:rsidP="000738A3">
      <w:pPr>
        <w:pStyle w:val="Heading3"/>
      </w:pPr>
      <w:bookmarkStart w:id="56" w:name="_Ref52123429"/>
      <w:r>
        <w:t>Reform</w:t>
      </w:r>
      <w:bookmarkStart w:id="57" w:name="_Ref51340586"/>
      <w:r>
        <w:t xml:space="preserve"> idea 6</w:t>
      </w:r>
      <w:r w:rsidR="00E56C62">
        <w:t xml:space="preserve"> </w:t>
      </w:r>
      <w:r>
        <w:t>–</w:t>
      </w:r>
      <w:r w:rsidR="000738A3" w:rsidRPr="001B4A40">
        <w:t xml:space="preserve"> </w:t>
      </w:r>
      <w:r w:rsidR="000738A3">
        <w:t xml:space="preserve">Remove </w:t>
      </w:r>
      <w:r w:rsidR="00C70F96" w:rsidRPr="005C120B">
        <w:t>exemption</w:t>
      </w:r>
      <w:r w:rsidR="000738A3">
        <w:t xml:space="preserve"> </w:t>
      </w:r>
      <w:r w:rsidR="000738A3" w:rsidRPr="001B4A40">
        <w:t xml:space="preserve">of </w:t>
      </w:r>
      <w:r w:rsidR="00DC3B09">
        <w:t>f</w:t>
      </w:r>
      <w:r w:rsidR="000738A3">
        <w:t xml:space="preserve">ood </w:t>
      </w:r>
      <w:r w:rsidR="000738A3" w:rsidRPr="001B4A40">
        <w:t xml:space="preserve">standards </w:t>
      </w:r>
      <w:r w:rsidR="00C70F96" w:rsidRPr="005C120B">
        <w:t>from</w:t>
      </w:r>
      <w:r w:rsidR="000738A3">
        <w:t xml:space="preserve"> sunsetting</w:t>
      </w:r>
      <w:bookmarkEnd w:id="57"/>
      <w:r w:rsidR="000738A3" w:rsidRPr="001B4A40">
        <w:t xml:space="preserve"> </w:t>
      </w:r>
      <w:r w:rsidR="00C70F96" w:rsidRPr="005C120B">
        <w:t>arrangements</w:t>
      </w:r>
      <w:bookmarkEnd w:id="56"/>
    </w:p>
    <w:p w14:paraId="69B57D0F" w14:textId="3767CADB" w:rsidR="000738A3" w:rsidRDefault="000738A3" w:rsidP="000738A3">
      <w:pPr>
        <w:rPr>
          <w:lang w:eastAsia="en-AU"/>
        </w:rPr>
      </w:pPr>
      <w:r>
        <w:rPr>
          <w:lang w:eastAsia="en-AU"/>
        </w:rPr>
        <w:t xml:space="preserve">The exemptions that currently exist in the FSANZ Act on sunsetting </w:t>
      </w:r>
      <w:r w:rsidR="00DC3B09">
        <w:t>f</w:t>
      </w:r>
      <w:r w:rsidR="00DC3B09" w:rsidRPr="00D25630">
        <w:t xml:space="preserve">ood </w:t>
      </w:r>
      <w:r>
        <w:rPr>
          <w:lang w:eastAsia="en-AU"/>
        </w:rPr>
        <w:t xml:space="preserve">standards could be removed and standards could be subject to regular review. This would provide a clear legislative requirement for standards to be considered and/or updated on a more regular basis. </w:t>
      </w:r>
      <w:r w:rsidR="000E3CAD">
        <w:rPr>
          <w:lang w:eastAsia="en-AU"/>
        </w:rPr>
        <w:t xml:space="preserve">This would provide a </w:t>
      </w:r>
      <w:r w:rsidR="00684750">
        <w:rPr>
          <w:lang w:eastAsia="en-AU"/>
        </w:rPr>
        <w:t>scheduled</w:t>
      </w:r>
      <w:r w:rsidR="000E3CAD">
        <w:rPr>
          <w:lang w:eastAsia="en-AU"/>
        </w:rPr>
        <w:t xml:space="preserve"> opportunity for more holistic and first principles reviews of standards to ensure their ongoing relevance and appropriateness. </w:t>
      </w:r>
    </w:p>
    <w:p w14:paraId="728B9D42" w14:textId="77777777" w:rsidR="000738A3" w:rsidRDefault="000738A3" w:rsidP="000738A3">
      <w:pPr>
        <w:rPr>
          <w:lang w:eastAsia="en-AU"/>
        </w:rPr>
      </w:pPr>
      <w:r>
        <w:rPr>
          <w:lang w:eastAsia="en-AU"/>
        </w:rPr>
        <w:t xml:space="preserve">Consideration would have to be given to appropriate processes and the resources required to undertake regular reviews. In addition to resourcing constraints, regular reviews of all standards could be challenge within the existing cooperative decision-making arrangements. </w:t>
      </w:r>
    </w:p>
    <w:p w14:paraId="42203C23" w14:textId="47686D4E" w:rsidR="00637133" w:rsidRDefault="00637133" w:rsidP="000738A3">
      <w:pPr>
        <w:rPr>
          <w:lang w:eastAsia="en-AU"/>
        </w:rPr>
      </w:pPr>
      <w:r>
        <w:rPr>
          <w:lang w:eastAsia="en-AU"/>
        </w:rPr>
        <w:t xml:space="preserve">This </w:t>
      </w:r>
      <w:r w:rsidR="00B2252C">
        <w:rPr>
          <w:lang w:eastAsia="en-AU"/>
        </w:rPr>
        <w:t>reform idea</w:t>
      </w:r>
      <w:r>
        <w:rPr>
          <w:lang w:eastAsia="en-AU"/>
        </w:rPr>
        <w:t xml:space="preserve"> may also </w:t>
      </w:r>
      <w:r w:rsidR="00C57148">
        <w:rPr>
          <w:lang w:eastAsia="en-AU"/>
        </w:rPr>
        <w:t xml:space="preserve">present challenges for </w:t>
      </w:r>
      <w:r w:rsidR="00F01A54">
        <w:rPr>
          <w:lang w:eastAsia="en-AU"/>
        </w:rPr>
        <w:t xml:space="preserve">the bi-national arrangements and New Zealand, where sunsetting arrangements for legislation are not commonplace. </w:t>
      </w:r>
    </w:p>
    <w:p w14:paraId="711CF3FF" w14:textId="1DDBBCE2" w:rsidR="000738A3" w:rsidRPr="002301AF" w:rsidRDefault="00742DB3" w:rsidP="000738A3">
      <w:pPr>
        <w:pStyle w:val="Heading3"/>
      </w:pPr>
      <w:bookmarkStart w:id="58" w:name="_Ref52129131"/>
      <w:bookmarkStart w:id="59" w:name="_Ref51340596"/>
      <w:bookmarkStart w:id="60" w:name="_Ref51486672"/>
      <w:r>
        <w:t>Reform idea 7</w:t>
      </w:r>
      <w:r w:rsidR="00E56C62">
        <w:t xml:space="preserve"> </w:t>
      </w:r>
      <w:r w:rsidR="00006D5C">
        <w:t>–</w:t>
      </w:r>
      <w:r w:rsidR="000738A3" w:rsidRPr="002301AF">
        <w:t xml:space="preserve"> </w:t>
      </w:r>
      <w:r w:rsidR="00006D5C">
        <w:t xml:space="preserve">Resource FSANZ to undertake </w:t>
      </w:r>
      <w:r w:rsidR="00170DD2">
        <w:t>regular,</w:t>
      </w:r>
      <w:r w:rsidR="00006D5C">
        <w:t xml:space="preserve"> more holistic review</w:t>
      </w:r>
      <w:r w:rsidR="00170DD2">
        <w:t xml:space="preserve">s of </w:t>
      </w:r>
      <w:r w:rsidR="00DC3B09">
        <w:t>f</w:t>
      </w:r>
      <w:r w:rsidR="00170DD2">
        <w:t>ood standards</w:t>
      </w:r>
      <w:bookmarkEnd w:id="58"/>
      <w:r w:rsidR="00006D5C">
        <w:t xml:space="preserve"> </w:t>
      </w:r>
      <w:bookmarkEnd w:id="59"/>
      <w:bookmarkEnd w:id="60"/>
    </w:p>
    <w:p w14:paraId="4DFFE226" w14:textId="6F7C7A50" w:rsidR="00CA188D" w:rsidRDefault="000738A3" w:rsidP="0061005E">
      <w:pPr>
        <w:rPr>
          <w:lang w:eastAsia="en-AU"/>
        </w:rPr>
      </w:pPr>
      <w:r w:rsidRPr="002301AF">
        <w:rPr>
          <w:lang w:eastAsia="en-AU"/>
        </w:rPr>
        <w:t xml:space="preserve">FSANZ could implement a more strategic approach to the review of standards. </w:t>
      </w:r>
      <w:r w:rsidR="002A28C0">
        <w:rPr>
          <w:lang w:eastAsia="en-AU"/>
        </w:rPr>
        <w:t>This could be coupled with, or considered separate to, re</w:t>
      </w:r>
      <w:r w:rsidR="003533A6">
        <w:rPr>
          <w:lang w:eastAsia="en-AU"/>
        </w:rPr>
        <w:t xml:space="preserve">moving exemptions of food standards to sunsetting </w:t>
      </w:r>
      <w:r w:rsidR="00CA188D">
        <w:rPr>
          <w:lang w:eastAsia="en-AU"/>
        </w:rPr>
        <w:t xml:space="preserve">provisions. </w:t>
      </w:r>
    </w:p>
    <w:p w14:paraId="4D9D4B44" w14:textId="156D3737" w:rsidR="0061005E" w:rsidRPr="002301AF" w:rsidRDefault="007238CD" w:rsidP="0061005E">
      <w:pPr>
        <w:rPr>
          <w:lang w:eastAsia="en-AU"/>
        </w:rPr>
      </w:pPr>
      <w:r>
        <w:rPr>
          <w:lang w:eastAsia="en-AU"/>
        </w:rPr>
        <w:t xml:space="preserve">This could be </w:t>
      </w:r>
      <w:r w:rsidR="0061005E" w:rsidRPr="002301AF">
        <w:rPr>
          <w:lang w:eastAsia="en-AU"/>
        </w:rPr>
        <w:t xml:space="preserve">based on an ongoing quality oversight and monitoring role and could include processes involving environmental scans, consultation and data analysis to consider whether a standard is fit-for-purpose in achieving its intended objectives and whether there are opportunities for improvement. This could be led by FSANZ in consultation with key stakeholders, including industry, consumer and public health bodies.  </w:t>
      </w:r>
    </w:p>
    <w:p w14:paraId="583D4F95" w14:textId="6077E9E6" w:rsidR="00897D0F" w:rsidRDefault="00006D5C" w:rsidP="000738A3">
      <w:pPr>
        <w:rPr>
          <w:lang w:eastAsia="en-AU"/>
        </w:rPr>
      </w:pPr>
      <w:r>
        <w:rPr>
          <w:lang w:eastAsia="en-AU"/>
        </w:rPr>
        <w:t>This could be done within its current legislative remit – namely</w:t>
      </w:r>
      <w:r w:rsidR="009A2A93">
        <w:rPr>
          <w:lang w:eastAsia="en-AU"/>
        </w:rPr>
        <w:t>,</w:t>
      </w:r>
      <w:r w:rsidR="006426BA">
        <w:rPr>
          <w:lang w:eastAsia="en-AU"/>
        </w:rPr>
        <w:t xml:space="preserve"> by raising proposals – or</w:t>
      </w:r>
      <w:r w:rsidR="00654FA4">
        <w:rPr>
          <w:lang w:eastAsia="en-AU"/>
        </w:rPr>
        <w:t xml:space="preserve"> through new statutory processes.</w:t>
      </w:r>
      <w:r w:rsidR="00897D0F">
        <w:rPr>
          <w:lang w:eastAsia="en-AU"/>
        </w:rPr>
        <w:t xml:space="preserve"> </w:t>
      </w:r>
      <w:r w:rsidR="00E34F66">
        <w:rPr>
          <w:lang w:eastAsia="en-AU"/>
        </w:rPr>
        <w:t xml:space="preserve">Different statutory processes for reviews of standards could provide a more tailored mechanisms for </w:t>
      </w:r>
      <w:r w:rsidR="001A1E52">
        <w:rPr>
          <w:lang w:eastAsia="en-AU"/>
        </w:rPr>
        <w:t xml:space="preserve">identifying and addressing inconsistencies within food standards and opportunities for more effective regulation. </w:t>
      </w:r>
      <w:r w:rsidR="00897D0F">
        <w:rPr>
          <w:lang w:eastAsia="en-AU"/>
        </w:rPr>
        <w:t xml:space="preserve">FSANZ’s statutory function to </w:t>
      </w:r>
      <w:r w:rsidR="006A3D48">
        <w:rPr>
          <w:lang w:eastAsia="en-AU"/>
        </w:rPr>
        <w:t>‘</w:t>
      </w:r>
      <w:r w:rsidR="00897D0F">
        <w:rPr>
          <w:lang w:eastAsia="en-AU"/>
        </w:rPr>
        <w:t>review standards and variations of standards</w:t>
      </w:r>
      <w:r w:rsidR="006A3D48">
        <w:rPr>
          <w:lang w:eastAsia="en-AU"/>
        </w:rPr>
        <w:t>’</w:t>
      </w:r>
      <w:r w:rsidR="00897D0F">
        <w:rPr>
          <w:lang w:eastAsia="en-AU"/>
        </w:rPr>
        <w:t xml:space="preserve"> (</w:t>
      </w:r>
      <w:r w:rsidR="00A925FF">
        <w:rPr>
          <w:lang w:eastAsia="en-AU"/>
        </w:rPr>
        <w:t xml:space="preserve">s </w:t>
      </w:r>
      <w:r w:rsidR="00897D0F">
        <w:rPr>
          <w:lang w:eastAsia="en-AU"/>
        </w:rPr>
        <w:lastRenderedPageBreak/>
        <w:t xml:space="preserve">13(a)) could be broadened </w:t>
      </w:r>
      <w:r w:rsidR="0061005E">
        <w:rPr>
          <w:lang w:eastAsia="en-AU"/>
        </w:rPr>
        <w:t xml:space="preserve">to note review to ensure the ongoing relevance and appropriateness of standards. </w:t>
      </w:r>
    </w:p>
    <w:p w14:paraId="38467DF1" w14:textId="3761FA71" w:rsidR="000738A3" w:rsidRDefault="000738A3" w:rsidP="00D93A04">
      <w:pPr>
        <w:rPr>
          <w:lang w:eastAsia="en-AU"/>
        </w:rPr>
      </w:pPr>
      <w:r>
        <w:rPr>
          <w:lang w:eastAsia="en-AU"/>
        </w:rPr>
        <w:t>This</w:t>
      </w:r>
      <w:r w:rsidDel="001A1E52">
        <w:rPr>
          <w:lang w:eastAsia="en-AU"/>
        </w:rPr>
        <w:t xml:space="preserve"> </w:t>
      </w:r>
      <w:r w:rsidR="001A1E52">
        <w:rPr>
          <w:lang w:eastAsia="en-AU"/>
        </w:rPr>
        <w:t>reform idea</w:t>
      </w:r>
      <w:r>
        <w:rPr>
          <w:lang w:eastAsia="en-AU"/>
        </w:rPr>
        <w:t xml:space="preserve"> could help to ensure ongoing relevance of standards and provide for a more systematic and strategic approach to reviewing them. It would need to have clearly defined governance arrangements and consultation requirements. This would require additional resourcing for FSANZ. This</w:t>
      </w:r>
      <w:r w:rsidDel="0097770A">
        <w:rPr>
          <w:lang w:eastAsia="en-AU"/>
        </w:rPr>
        <w:t xml:space="preserve"> </w:t>
      </w:r>
      <w:r>
        <w:rPr>
          <w:lang w:eastAsia="en-AU"/>
        </w:rPr>
        <w:t xml:space="preserve">could be pursued separate to, or in conjunction with, </w:t>
      </w:r>
      <w:r w:rsidRPr="002301AF">
        <w:rPr>
          <w:lang w:eastAsia="en-AU"/>
        </w:rPr>
        <w:t xml:space="preserve">the </w:t>
      </w:r>
      <w:r w:rsidR="0097770A">
        <w:rPr>
          <w:lang w:eastAsia="en-AU"/>
        </w:rPr>
        <w:t>reform idea</w:t>
      </w:r>
      <w:r w:rsidR="0097770A" w:rsidRPr="002301AF">
        <w:rPr>
          <w:lang w:eastAsia="en-AU"/>
        </w:rPr>
        <w:t xml:space="preserve"> </w:t>
      </w:r>
      <w:r w:rsidRPr="002301AF">
        <w:rPr>
          <w:lang w:eastAsia="en-AU"/>
        </w:rPr>
        <w:t>above</w:t>
      </w:r>
      <w:r>
        <w:rPr>
          <w:lang w:eastAsia="en-AU"/>
        </w:rPr>
        <w:t>.</w:t>
      </w:r>
    </w:p>
    <w:p w14:paraId="44D198B8" w14:textId="77777777" w:rsidR="00932D12" w:rsidRDefault="00932D12" w:rsidP="00D93A04">
      <w:pPr>
        <w:rPr>
          <w:lang w:eastAsia="en-AU"/>
        </w:rPr>
      </w:pPr>
    </w:p>
    <w:tbl>
      <w:tblPr>
        <w:tblStyle w:val="NousLongformcallout"/>
        <w:tblW w:w="4950" w:type="pct"/>
        <w:tblCellMar>
          <w:top w:w="170" w:type="dxa"/>
          <w:bottom w:w="170" w:type="dxa"/>
        </w:tblCellMar>
        <w:tblLook w:val="04A0" w:firstRow="1" w:lastRow="0" w:firstColumn="1" w:lastColumn="0" w:noHBand="0" w:noVBand="1"/>
      </w:tblPr>
      <w:tblGrid>
        <w:gridCol w:w="9055"/>
      </w:tblGrid>
      <w:tr w:rsidR="00E56C62" w14:paraId="7BDCCFFA" w14:textId="77777777" w:rsidTr="00747266">
        <w:tc>
          <w:tcPr>
            <w:tcW w:w="9055" w:type="dxa"/>
            <w:shd w:val="clear" w:color="auto" w:fill="00264D" w:themeFill="background2"/>
          </w:tcPr>
          <w:p w14:paraId="5CBA6FBB" w14:textId="77777777" w:rsidR="00E56C62" w:rsidRPr="00835584" w:rsidRDefault="00E56C62" w:rsidP="0074726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64DD3E05" w14:textId="37DC9240" w:rsidR="005346B4" w:rsidRDefault="00376BAB"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To what degree</w:t>
            </w:r>
            <w:r w:rsidR="00FE23D7">
              <w:rPr>
                <w:rFonts w:asciiTheme="minorHAnsi" w:hAnsiTheme="minorHAnsi" w:cstheme="minorHAnsi"/>
                <w:color w:val="FFFFFF" w:themeColor="background1"/>
                <w:lang w:eastAsia="en-AU"/>
              </w:rPr>
              <w:t xml:space="preserve"> are the current processes for </w:t>
            </w:r>
            <w:r w:rsidR="0007742F">
              <w:rPr>
                <w:rFonts w:asciiTheme="minorHAnsi" w:hAnsiTheme="minorHAnsi" w:cstheme="minorHAnsi"/>
                <w:color w:val="FFFFFF" w:themeColor="background1"/>
                <w:lang w:eastAsia="en-AU"/>
              </w:rPr>
              <w:t xml:space="preserve">strategically </w:t>
            </w:r>
            <w:r w:rsidR="00FE23D7">
              <w:rPr>
                <w:rFonts w:asciiTheme="minorHAnsi" w:hAnsiTheme="minorHAnsi" w:cstheme="minorHAnsi"/>
                <w:color w:val="FFFFFF" w:themeColor="background1"/>
                <w:lang w:eastAsia="en-AU"/>
              </w:rPr>
              <w:t xml:space="preserve">reviewing standards </w:t>
            </w:r>
            <w:r w:rsidR="00EF32B3">
              <w:rPr>
                <w:rFonts w:asciiTheme="minorHAnsi" w:hAnsiTheme="minorHAnsi" w:cstheme="minorHAnsi"/>
                <w:color w:val="FFFFFF" w:themeColor="background1"/>
                <w:lang w:eastAsia="en-AU"/>
              </w:rPr>
              <w:t xml:space="preserve">an issue </w:t>
            </w:r>
            <w:r w:rsidR="0007742F">
              <w:rPr>
                <w:rFonts w:asciiTheme="minorHAnsi" w:hAnsiTheme="minorHAnsi" w:cstheme="minorHAnsi"/>
                <w:color w:val="FFFFFF" w:themeColor="background1"/>
                <w:lang w:eastAsia="en-AU"/>
              </w:rPr>
              <w:t xml:space="preserve">for the system? What are the types of problems that different stakeholder groups face as a consequence? </w:t>
            </w:r>
          </w:p>
          <w:p w14:paraId="23E37F10" w14:textId="77777777" w:rsidR="00932D12" w:rsidRDefault="00932D12" w:rsidP="00BC160D">
            <w:pPr>
              <w:pStyle w:val="ListParagraph"/>
              <w:rPr>
                <w:rFonts w:asciiTheme="minorHAnsi" w:hAnsiTheme="minorHAnsi" w:cstheme="minorHAnsi"/>
                <w:color w:val="FFFFFF" w:themeColor="background1"/>
                <w:lang w:eastAsia="en-AU"/>
              </w:rPr>
            </w:pPr>
          </w:p>
          <w:p w14:paraId="36997EF3" w14:textId="0D85037B" w:rsidR="004277D8" w:rsidRPr="004277D8" w:rsidRDefault="00E56C62" w:rsidP="00760794">
            <w:pPr>
              <w:pStyle w:val="ListParagraph"/>
              <w:numPr>
                <w:ilvl w:val="0"/>
                <w:numId w:val="15"/>
              </w:numPr>
              <w:rPr>
                <w:rFonts w:asciiTheme="minorHAnsi" w:hAnsiTheme="minorHAnsi" w:cstheme="minorHAnsi"/>
                <w:color w:val="FFFFFF" w:themeColor="background1"/>
                <w:lang w:eastAsia="en-AU"/>
              </w:rPr>
            </w:pPr>
            <w:r w:rsidRPr="00E56C62">
              <w:rPr>
                <w:rFonts w:asciiTheme="minorHAnsi" w:hAnsiTheme="minorHAnsi" w:cstheme="minorHAnsi"/>
                <w:color w:val="FFFFFF" w:themeColor="background1"/>
                <w:lang w:eastAsia="en-AU"/>
              </w:rPr>
              <w:t xml:space="preserve">What would be the impact (positive, negative or otherwise) of implementing each of the </w:t>
            </w:r>
            <w:r w:rsidR="00EF32B3">
              <w:rPr>
                <w:rFonts w:asciiTheme="minorHAnsi" w:hAnsiTheme="minorHAnsi" w:cstheme="minorHAnsi"/>
                <w:color w:val="FFFFFF" w:themeColor="background1"/>
                <w:lang w:eastAsia="en-AU"/>
              </w:rPr>
              <w:t xml:space="preserve">reform ideas </w:t>
            </w:r>
            <w:r w:rsidRPr="00E56C62">
              <w:rPr>
                <w:rFonts w:asciiTheme="minorHAnsi" w:hAnsiTheme="minorHAnsi" w:cstheme="minorHAnsi"/>
                <w:color w:val="FFFFFF" w:themeColor="background1"/>
                <w:lang w:eastAsia="en-AU"/>
              </w:rPr>
              <w:t xml:space="preserve">below? How could the outcome specified for each </w:t>
            </w:r>
            <w:r w:rsidR="0097770A">
              <w:rPr>
                <w:rFonts w:asciiTheme="minorHAnsi" w:hAnsiTheme="minorHAnsi" w:cstheme="minorHAnsi"/>
                <w:color w:val="FFFFFF" w:themeColor="background1"/>
                <w:lang w:eastAsia="en-AU"/>
              </w:rPr>
              <w:t>reform idea</w:t>
            </w:r>
            <w:r w:rsidR="0097770A" w:rsidRPr="00E56C62">
              <w:rPr>
                <w:rFonts w:asciiTheme="minorHAnsi" w:hAnsiTheme="minorHAnsi" w:cstheme="minorHAnsi"/>
                <w:color w:val="FFFFFF" w:themeColor="background1"/>
                <w:lang w:eastAsia="en-AU"/>
              </w:rPr>
              <w:t xml:space="preserve"> </w:t>
            </w:r>
            <w:r w:rsidRPr="00E56C62">
              <w:rPr>
                <w:rFonts w:asciiTheme="minorHAnsi" w:hAnsiTheme="minorHAnsi" w:cstheme="minorHAnsi"/>
                <w:color w:val="FFFFFF" w:themeColor="background1"/>
                <w:lang w:eastAsia="en-AU"/>
              </w:rPr>
              <w:t>best be achieved?</w:t>
            </w:r>
          </w:p>
          <w:p w14:paraId="245F1130" w14:textId="32D41986" w:rsidR="004277D8" w:rsidRPr="00FF73FE" w:rsidRDefault="004277D8">
            <w:pPr>
              <w:pStyle w:val="ListParagraph"/>
              <w:numPr>
                <w:ilvl w:val="0"/>
                <w:numId w:val="28"/>
              </w:numPr>
              <w:spacing w:before="120"/>
              <w:ind w:left="1077" w:hanging="357"/>
              <w:contextualSpacing w:val="0"/>
              <w:rPr>
                <w:color w:val="FFFFFF" w:themeColor="background1"/>
              </w:rPr>
            </w:pPr>
            <w:r w:rsidRPr="00FF73FE">
              <w:rPr>
                <w:color w:val="FFFFFF" w:themeColor="background1"/>
              </w:rPr>
              <w:fldChar w:fldCharType="begin"/>
            </w:r>
            <w:r w:rsidRPr="00FF73FE">
              <w:rPr>
                <w:color w:val="FFFFFF" w:themeColor="background1"/>
              </w:rPr>
              <w:instrText xml:space="preserve"> REF _Ref52123429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Reform idea 6 – Remove exemption of food standards from sunsetting arrangements</w:t>
            </w:r>
            <w:r w:rsidRPr="00FF73FE">
              <w:rPr>
                <w:color w:val="FFFFFF" w:themeColor="background1"/>
              </w:rPr>
              <w:fldChar w:fldCharType="end"/>
            </w:r>
          </w:p>
          <w:p w14:paraId="6875B4F2" w14:textId="21E1422E" w:rsidR="004277D8" w:rsidRPr="00FF73FE" w:rsidRDefault="004277D8">
            <w:pPr>
              <w:pStyle w:val="ListParagraph"/>
              <w:numPr>
                <w:ilvl w:val="0"/>
                <w:numId w:val="28"/>
              </w:numPr>
              <w:spacing w:before="120"/>
              <w:ind w:left="1077" w:hanging="357"/>
              <w:contextualSpacing w:val="0"/>
              <w:rPr>
                <w:color w:val="FFFFFF" w:themeColor="background1"/>
              </w:rPr>
            </w:pPr>
            <w:r w:rsidRPr="00FF73FE">
              <w:rPr>
                <w:color w:val="FFFFFF" w:themeColor="background1"/>
              </w:rPr>
              <w:fldChar w:fldCharType="begin"/>
            </w:r>
            <w:r w:rsidRPr="00FF73FE">
              <w:rPr>
                <w:color w:val="FFFFFF" w:themeColor="background1"/>
              </w:rPr>
              <w:instrText xml:space="preserve"> REF _Ref52129131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Reform idea 7 – Resource FSANZ to undertake regular, more holistic reviews of food standards</w:t>
            </w:r>
            <w:r w:rsidRPr="00FF73FE">
              <w:rPr>
                <w:color w:val="FFFFFF" w:themeColor="background1"/>
              </w:rPr>
              <w:fldChar w:fldCharType="end"/>
            </w:r>
          </w:p>
          <w:p w14:paraId="1861D2B3" w14:textId="03994AF6" w:rsidR="00E56C62" w:rsidRPr="00E25160" w:rsidRDefault="00E56C62" w:rsidP="00760794">
            <w:pPr>
              <w:pStyle w:val="ListParagraph"/>
              <w:numPr>
                <w:ilvl w:val="0"/>
                <w:numId w:val="15"/>
              </w:numPr>
              <w:contextualSpacing w:val="0"/>
              <w:rPr>
                <w:color w:val="FFFFFF" w:themeColor="background1"/>
                <w:lang w:eastAsia="en-AU"/>
              </w:rPr>
            </w:pPr>
            <w:r w:rsidRPr="00E56C62">
              <w:rPr>
                <w:rFonts w:asciiTheme="minorHAnsi" w:hAnsiTheme="minorHAnsi" w:cstheme="minorHAnsi"/>
                <w:color w:val="FFFFFF" w:themeColor="background1"/>
                <w:lang w:eastAsia="en-AU"/>
              </w:rPr>
              <w:t xml:space="preserve">Are there other potential solutions relating to </w:t>
            </w:r>
            <w:r w:rsidR="00E16267">
              <w:rPr>
                <w:rFonts w:asciiTheme="minorHAnsi" w:hAnsiTheme="minorHAnsi" w:cstheme="minorHAnsi"/>
                <w:color w:val="FFFFFF" w:themeColor="background1"/>
                <w:lang w:eastAsia="en-AU"/>
              </w:rPr>
              <w:t xml:space="preserve">the timing of reviews of </w:t>
            </w:r>
            <w:r w:rsidR="00CD29F6">
              <w:rPr>
                <w:rFonts w:asciiTheme="minorHAnsi" w:hAnsiTheme="minorHAnsi" w:cstheme="minorHAnsi"/>
                <w:color w:val="FFFFFF" w:themeColor="background1"/>
                <w:lang w:eastAsia="en-AU"/>
              </w:rPr>
              <w:t xml:space="preserve">food </w:t>
            </w:r>
            <w:r w:rsidR="009779C5">
              <w:rPr>
                <w:rFonts w:asciiTheme="minorHAnsi" w:hAnsiTheme="minorHAnsi" w:cstheme="minorHAnsi"/>
                <w:color w:val="FFFFFF" w:themeColor="background1"/>
                <w:lang w:eastAsia="en-AU"/>
              </w:rPr>
              <w:t>standards</w:t>
            </w:r>
            <w:r w:rsidRPr="00E56C62">
              <w:rPr>
                <w:rFonts w:asciiTheme="minorHAnsi" w:hAnsiTheme="minorHAnsi" w:cstheme="minorHAnsi"/>
                <w:color w:val="FFFFFF" w:themeColor="background1"/>
                <w:lang w:eastAsia="en-AU"/>
              </w:rPr>
              <w:t>?</w:t>
            </w:r>
            <w:r w:rsidRPr="00E56C62">
              <w:rPr>
                <w:color w:val="FFFFFF" w:themeColor="background1"/>
                <w:lang w:eastAsia="en-AU"/>
              </w:rPr>
              <w:t xml:space="preserve"> </w:t>
            </w:r>
          </w:p>
        </w:tc>
      </w:tr>
    </w:tbl>
    <w:p w14:paraId="6B675901" w14:textId="24DDFD92" w:rsidR="00D93A04" w:rsidRDefault="00D93A04" w:rsidP="00E0390E">
      <w:pPr>
        <w:pStyle w:val="Heading2"/>
        <w:ind w:left="567" w:hanging="719"/>
        <w:rPr>
          <w:rFonts w:eastAsia="Segoe UI Semilight"/>
        </w:rPr>
      </w:pPr>
      <w:bookmarkStart w:id="61" w:name="_Ref51486767"/>
      <w:bookmarkStart w:id="62" w:name="_Toc52179134"/>
      <w:r>
        <w:rPr>
          <w:rFonts w:eastAsia="Segoe UI Semilight"/>
        </w:rPr>
        <w:t xml:space="preserve">Prescriptive statutory processes </w:t>
      </w:r>
      <w:r w:rsidR="001C1392">
        <w:rPr>
          <w:rFonts w:eastAsia="Segoe UI Semilight"/>
        </w:rPr>
        <w:t xml:space="preserve">to amend food regulatory measures </w:t>
      </w:r>
      <w:r>
        <w:rPr>
          <w:rFonts w:eastAsia="Segoe UI Semilight"/>
        </w:rPr>
        <w:t>do not enable a risk-based or flexible response</w:t>
      </w:r>
      <w:bookmarkEnd w:id="61"/>
      <w:bookmarkEnd w:id="62"/>
      <w:r>
        <w:rPr>
          <w:rFonts w:eastAsia="Segoe UI Semilight"/>
        </w:rPr>
        <w:t xml:space="preserve"> </w:t>
      </w:r>
    </w:p>
    <w:p w14:paraId="72221F0D" w14:textId="4615231D" w:rsidR="002E7314" w:rsidRDefault="00623FC3" w:rsidP="00D93A04">
      <w:pPr>
        <w:pStyle w:val="Bullet"/>
        <w:numPr>
          <w:ilvl w:val="0"/>
          <w:numId w:val="0"/>
        </w:numPr>
      </w:pPr>
      <w:r>
        <w:t xml:space="preserve">Approximately half of all proposals and applications made to FSANZ each year relate to minor processing aid amendments, including relating to substances that </w:t>
      </w:r>
      <w:r w:rsidR="002E7314">
        <w:t>have been approved in other international food systems</w:t>
      </w:r>
      <w:r w:rsidR="0016287D">
        <w:rPr>
          <w:rStyle w:val="FootnoteReference"/>
        </w:rPr>
        <w:footnoteReference w:id="19"/>
      </w:r>
      <w:r w:rsidR="002E7314">
        <w:t xml:space="preserve">. </w:t>
      </w:r>
    </w:p>
    <w:p w14:paraId="04508108" w14:textId="0BCF3248" w:rsidR="00D93A04" w:rsidRDefault="00D93A04" w:rsidP="00D93A04">
      <w:pPr>
        <w:pStyle w:val="Bullet"/>
        <w:numPr>
          <w:ilvl w:val="0"/>
          <w:numId w:val="0"/>
        </w:numPr>
      </w:pPr>
      <w:r>
        <w:t>Currently</w:t>
      </w:r>
      <w:r w:rsidR="00CD29F6">
        <w:t>,</w:t>
      </w:r>
      <w:r>
        <w:t xml:space="preserve"> FSANZ is required to follow a similar</w:t>
      </w:r>
      <w:r w:rsidR="00A0364F">
        <w:t>ly</w:t>
      </w:r>
      <w:r>
        <w:t xml:space="preserve"> rigid process for all applications and proposals, regardless of the level of risk involved. </w:t>
      </w:r>
      <w:r w:rsidR="00167C71">
        <w:t xml:space="preserve">FSANZ </w:t>
      </w:r>
      <w:r w:rsidR="00DE74A9">
        <w:t xml:space="preserve">also has limited ability to adjust its approach or change the procedure </w:t>
      </w:r>
      <w:r w:rsidR="00426C8C">
        <w:t>or timeframes</w:t>
      </w:r>
      <w:r w:rsidR="00DE74A9">
        <w:t xml:space="preserve"> after initial assessment if new information or data becomes available. </w:t>
      </w:r>
    </w:p>
    <w:p w14:paraId="1E67643B" w14:textId="19EBFF0B" w:rsidR="00595E05" w:rsidRPr="00F83377" w:rsidRDefault="00595E05" w:rsidP="00595E05">
      <w:pPr>
        <w:pStyle w:val="Bullet"/>
        <w:numPr>
          <w:ilvl w:val="0"/>
          <w:numId w:val="0"/>
        </w:numPr>
      </w:pPr>
      <w:r>
        <w:t xml:space="preserve">This approach represents an inefficient use of FSANZ’s limited resources and contributes to the long timeframes in progressing some applications and proposals. FSANZ’s workplan </w:t>
      </w:r>
      <w:r w:rsidR="00907486">
        <w:t xml:space="preserve">currently includes several proposals that were </w:t>
      </w:r>
      <w:r w:rsidR="00A73A73">
        <w:t xml:space="preserve">prepared </w:t>
      </w:r>
      <w:r w:rsidR="00616928">
        <w:t>and administratively assessed many years ago</w:t>
      </w:r>
      <w:r w:rsidR="001550C3">
        <w:t>.</w:t>
      </w:r>
      <w:r w:rsidR="001550C3">
        <w:rPr>
          <w:rStyle w:val="FootnoteReference"/>
        </w:rPr>
        <w:footnoteReference w:id="20"/>
      </w:r>
      <w:r w:rsidR="001550C3">
        <w:t xml:space="preserve"> It also includes several applications received prior to 1 October 2007 which are ‘on hold’.</w:t>
      </w:r>
      <w:r w:rsidR="00881662">
        <w:rPr>
          <w:rStyle w:val="FootnoteReference"/>
        </w:rPr>
        <w:footnoteReference w:id="21"/>
      </w:r>
      <w:r w:rsidR="001550C3">
        <w:t xml:space="preserve"> </w:t>
      </w:r>
    </w:p>
    <w:p w14:paraId="1A3AC05D" w14:textId="2E386F7F" w:rsidR="00A1785C" w:rsidRDefault="00A1785C" w:rsidP="00D93A04">
      <w:pPr>
        <w:pStyle w:val="Bullet"/>
        <w:numPr>
          <w:ilvl w:val="0"/>
          <w:numId w:val="0"/>
        </w:numPr>
      </w:pPr>
      <w:r>
        <w:t>Th</w:t>
      </w:r>
      <w:r w:rsidR="00FA58EE">
        <w:t xml:space="preserve">e time, effort and cost associated with </w:t>
      </w:r>
      <w:r w:rsidR="00AC27B0">
        <w:t>applications can represent a barrier to innovation for industry</w:t>
      </w:r>
      <w:r w:rsidR="00AB4704">
        <w:t>, including because of delays in bringing new products to market</w:t>
      </w:r>
      <w:r w:rsidR="006C57CB">
        <w:t>. This can</w:t>
      </w:r>
      <w:r w:rsidR="00D96359">
        <w:t xml:space="preserve"> also deter prospective applicants from seeking to change the food standards.</w:t>
      </w:r>
      <w:r w:rsidR="002B3B76">
        <w:t xml:space="preserve"> </w:t>
      </w:r>
      <w:r w:rsidR="00B65355">
        <w:t xml:space="preserve">Where the compliance costs associated with making applications are disproportionate to the </w:t>
      </w:r>
      <w:r w:rsidR="005701C8">
        <w:t xml:space="preserve">associated risks, this provides impetus for considering </w:t>
      </w:r>
      <w:r w:rsidR="00CB7BEA">
        <w:t xml:space="preserve">more streamlined processes. </w:t>
      </w:r>
    </w:p>
    <w:p w14:paraId="36AF7FA0" w14:textId="230DAE37" w:rsidR="00344FAC" w:rsidRDefault="00344FAC" w:rsidP="00344FAC">
      <w:pPr>
        <w:pStyle w:val="Heading3"/>
      </w:pPr>
      <w:bookmarkStart w:id="63" w:name="_Ref51486768"/>
      <w:r>
        <w:lastRenderedPageBreak/>
        <w:t>The full suite of regulatory measures is not being leveraged</w:t>
      </w:r>
      <w:bookmarkEnd w:id="63"/>
    </w:p>
    <w:p w14:paraId="2D90E4E3" w14:textId="73550680" w:rsidR="00167020" w:rsidRDefault="00344FAC" w:rsidP="00344FAC">
      <w:pPr>
        <w:pStyle w:val="Bullet"/>
        <w:numPr>
          <w:ilvl w:val="0"/>
          <w:numId w:val="0"/>
        </w:numPr>
      </w:pPr>
      <w:r>
        <w:t xml:space="preserve">FSANZ has several different regulatory instruments to achieve its objectives. The Act allows FSANZ to develop </w:t>
      </w:r>
      <w:r w:rsidRPr="001D7500">
        <w:rPr>
          <w:i/>
        </w:rPr>
        <w:t>food regulatory measures</w:t>
      </w:r>
      <w:r>
        <w:rPr>
          <w:i/>
        </w:rPr>
        <w:t xml:space="preserve"> </w:t>
      </w:r>
      <w:r>
        <w:t xml:space="preserve">which comprise </w:t>
      </w:r>
      <w:r w:rsidR="005007F7">
        <w:t>f</w:t>
      </w:r>
      <w:r w:rsidR="005007F7" w:rsidRPr="00D25630">
        <w:t xml:space="preserve">ood </w:t>
      </w:r>
      <w:r>
        <w:t xml:space="preserve">standards and codes of practice. FSANZ can also develop guidelines to assist interpretation of the </w:t>
      </w:r>
      <w:r w:rsidR="005007F7">
        <w:t>F</w:t>
      </w:r>
      <w:r w:rsidR="005007F7" w:rsidRPr="00D25630">
        <w:t xml:space="preserve">ood </w:t>
      </w:r>
      <w:r>
        <w:t xml:space="preserve">Standards Code on its own initiative or in consultation with </w:t>
      </w:r>
      <w:r w:rsidR="002C558F">
        <w:t xml:space="preserve">the Australian </w:t>
      </w:r>
      <w:r w:rsidR="00730083">
        <w:t>S</w:t>
      </w:r>
      <w:r w:rsidR="002C558F">
        <w:t>tates and territories</w:t>
      </w:r>
      <w:r>
        <w:t xml:space="preserve"> and other bodies (</w:t>
      </w:r>
      <w:r w:rsidR="00214A6A">
        <w:t>s</w:t>
      </w:r>
      <w:r>
        <w:t xml:space="preserve"> 13(</w:t>
      </w:r>
      <w:r w:rsidR="00167020">
        <w:t>c</w:t>
      </w:r>
      <w:r>
        <w:t xml:space="preserve">)). </w:t>
      </w:r>
    </w:p>
    <w:p w14:paraId="05BFE536" w14:textId="47233ABB" w:rsidR="00344FAC" w:rsidRDefault="00344FAC" w:rsidP="00344FAC">
      <w:pPr>
        <w:pStyle w:val="Bullet"/>
        <w:numPr>
          <w:ilvl w:val="0"/>
          <w:numId w:val="0"/>
        </w:numPr>
      </w:pPr>
      <w:r>
        <w:t xml:space="preserve">Currently, FSANZ almost exclusively uses </w:t>
      </w:r>
      <w:r w:rsidR="005007F7">
        <w:t>f</w:t>
      </w:r>
      <w:r w:rsidR="005007F7" w:rsidRPr="00D25630">
        <w:t xml:space="preserve">ood </w:t>
      </w:r>
      <w:r>
        <w:t xml:space="preserve">standards as a legislative instrument. It makes available an Application </w:t>
      </w:r>
      <w:r w:rsidR="005E10D8">
        <w:t>H</w:t>
      </w:r>
      <w:r>
        <w:t xml:space="preserve">andbook (authorised under </w:t>
      </w:r>
      <w:r w:rsidR="00214A6A">
        <w:t>s</w:t>
      </w:r>
      <w:r>
        <w:t xml:space="preserve"> 23) but does not develop codes of practice. FSANZ makes some non-legally binding guidelines available on its website, including ‘User guides to the Food Standards Code’, though some stakeholders </w:t>
      </w:r>
      <w:r w:rsidR="00AF4786">
        <w:t xml:space="preserve">have </w:t>
      </w:r>
      <w:r>
        <w:t>note</w:t>
      </w:r>
      <w:r w:rsidR="00AF4786">
        <w:t>d</w:t>
      </w:r>
      <w:r>
        <w:t xml:space="preserve"> that this may represent a currently under-utilised resource. </w:t>
      </w:r>
    </w:p>
    <w:p w14:paraId="2DC8F20E" w14:textId="3F670C6F" w:rsidR="00344FAC" w:rsidRDefault="00344FAC" w:rsidP="00344FAC">
      <w:pPr>
        <w:pStyle w:val="Bullet"/>
        <w:numPr>
          <w:ilvl w:val="0"/>
          <w:numId w:val="0"/>
        </w:numPr>
      </w:pPr>
      <w:r>
        <w:t xml:space="preserve">Guidelines and codes of practice provide different regulatory instruments that could be used to address specific issues or challenges that do not warrant the time, resources and/or rigour of processes required to develop or vary a standard. As it is, the Act provides for FSANZ to make guidelines and codes of practice as well as </w:t>
      </w:r>
      <w:r w:rsidR="005007F7">
        <w:t>f</w:t>
      </w:r>
      <w:r w:rsidR="005007F7" w:rsidRPr="00D25630">
        <w:t xml:space="preserve">ood </w:t>
      </w:r>
      <w:r>
        <w:t xml:space="preserve">standards; FSANZ can make changes to guidelines without external consultation, and it can make changes </w:t>
      </w:r>
      <w:r w:rsidR="005F6453">
        <w:t>to</w:t>
      </w:r>
      <w:r>
        <w:t xml:space="preserve"> codes of practice following consultation (limited or broad, depending on magnitude of the change) but do not require ratification from the Forum.</w:t>
      </w:r>
    </w:p>
    <w:p w14:paraId="268FAA8C" w14:textId="19C5DE6C" w:rsidR="00344FAC" w:rsidRPr="00F83377" w:rsidRDefault="007B687B" w:rsidP="00D93A04">
      <w:pPr>
        <w:pStyle w:val="Bullet"/>
        <w:numPr>
          <w:ilvl w:val="0"/>
          <w:numId w:val="0"/>
        </w:numPr>
      </w:pPr>
      <w:r>
        <w:t>Other regulatory schemes also make use of voluntary codes of practice</w:t>
      </w:r>
      <w:r w:rsidR="0070214D">
        <w:t>, f</w:t>
      </w:r>
      <w:r w:rsidR="00296C66">
        <w:t>or example, the Australian Competition and Consumer Commission</w:t>
      </w:r>
      <w:r w:rsidR="00436FB8">
        <w:t xml:space="preserve"> (ACCC)</w:t>
      </w:r>
      <w:r w:rsidR="00296C66">
        <w:t xml:space="preserve"> </w:t>
      </w:r>
      <w:r w:rsidR="008D7D8D">
        <w:t>facilitates the development of industry-led industry codes</w:t>
      </w:r>
      <w:r w:rsidR="007B517C">
        <w:t xml:space="preserve">. The value of these instruments is that they can generate a significant degree of buy-in or sense of ownership from within the regulated </w:t>
      </w:r>
      <w:r w:rsidR="0083093F">
        <w:t>sector</w:t>
      </w:r>
      <w:r w:rsidR="007B517C">
        <w:t>, and do not need to go through the same rigorous endorsement processes a</w:t>
      </w:r>
      <w:r w:rsidR="0083093F">
        <w:t>s</w:t>
      </w:r>
      <w:r w:rsidR="007B517C">
        <w:t xml:space="preserve"> </w:t>
      </w:r>
      <w:r w:rsidR="0083093F">
        <w:t>other instruments</w:t>
      </w:r>
      <w:r w:rsidR="007B517C">
        <w:t xml:space="preserve">. </w:t>
      </w:r>
    </w:p>
    <w:p w14:paraId="703DC4FB" w14:textId="77777777" w:rsidR="00472491" w:rsidRDefault="00472491" w:rsidP="00472491">
      <w:pPr>
        <w:pStyle w:val="Heading3"/>
        <w:spacing w:line="256" w:lineRule="auto"/>
      </w:pPr>
      <w:bookmarkStart w:id="64" w:name="_Ref51340702"/>
      <w:bookmarkStart w:id="65" w:name="_Ref51340709"/>
      <w:bookmarkStart w:id="66" w:name="_Ref51340735"/>
      <w:r>
        <w:t>Decision-making arrangements for regulatory measures are unusual</w:t>
      </w:r>
      <w:bookmarkEnd w:id="64"/>
      <w:bookmarkEnd w:id="65"/>
      <w:bookmarkEnd w:id="66"/>
    </w:p>
    <w:p w14:paraId="0CBAB7B0" w14:textId="4487687E" w:rsidR="00472491" w:rsidRDefault="00472491" w:rsidP="00472491">
      <w:pPr>
        <w:rPr>
          <w:lang w:eastAsia="en-AU"/>
        </w:rPr>
      </w:pPr>
      <w:r>
        <w:t xml:space="preserve">Under the current legislation, </w:t>
      </w:r>
      <w:r>
        <w:rPr>
          <w:lang w:eastAsia="en-AU"/>
        </w:rPr>
        <w:t>all draft standards or variations must be approved by the FSANZ Board before being ratified by the Forum. This arrangement is unique to the food regulatory system; most standard</w:t>
      </w:r>
      <w:r w:rsidR="00483710">
        <w:rPr>
          <w:lang w:eastAsia="en-AU"/>
        </w:rPr>
        <w:t>-</w:t>
      </w:r>
      <w:r>
        <w:rPr>
          <w:lang w:eastAsia="en-AU"/>
        </w:rPr>
        <w:t xml:space="preserve">setting bodies have statutory powers to set and amend standards without ministerial involvement (see </w:t>
      </w:r>
      <w:r w:rsidR="006218B2">
        <w:rPr>
          <w:lang w:eastAsia="en-AU"/>
        </w:rPr>
        <w:t>examples in</w:t>
      </w:r>
      <w:r>
        <w:rPr>
          <w:lang w:eastAsia="en-AU"/>
        </w:rPr>
        <w:t xml:space="preserve"> </w:t>
      </w:r>
      <w:r w:rsidR="00812A7D">
        <w:rPr>
          <w:lang w:eastAsia="en-AU"/>
        </w:rPr>
        <w:fldChar w:fldCharType="begin"/>
      </w:r>
      <w:r w:rsidR="00812A7D">
        <w:rPr>
          <w:lang w:eastAsia="en-AU"/>
        </w:rPr>
        <w:instrText xml:space="preserve"> REF _Ref51221838 \h </w:instrText>
      </w:r>
      <w:r w:rsidR="00812A7D">
        <w:rPr>
          <w:lang w:eastAsia="en-AU"/>
        </w:rPr>
      </w:r>
      <w:r w:rsidR="00812A7D">
        <w:rPr>
          <w:lang w:eastAsia="en-AU"/>
        </w:rPr>
        <w:fldChar w:fldCharType="separate"/>
      </w:r>
      <w:r w:rsidR="001C5CC6">
        <w:t xml:space="preserve">Table </w:t>
      </w:r>
      <w:r w:rsidR="001C5CC6">
        <w:rPr>
          <w:noProof/>
        </w:rPr>
        <w:t>7</w:t>
      </w:r>
      <w:r w:rsidR="00812A7D">
        <w:rPr>
          <w:lang w:eastAsia="en-AU"/>
        </w:rPr>
        <w:fldChar w:fldCharType="end"/>
      </w:r>
      <w:r w:rsidR="00812A7D">
        <w:rPr>
          <w:lang w:eastAsia="en-AU"/>
        </w:rPr>
        <w:t xml:space="preserve"> </w:t>
      </w:r>
      <w:r>
        <w:rPr>
          <w:lang w:eastAsia="en-AU"/>
        </w:rPr>
        <w:t>below)</w:t>
      </w:r>
      <w:r>
        <w:rPr>
          <w:rStyle w:val="FootnoteReference"/>
          <w:lang w:eastAsia="en-AU"/>
        </w:rPr>
        <w:footnoteReference w:id="22"/>
      </w:r>
      <w:r>
        <w:rPr>
          <w:lang w:eastAsia="en-AU"/>
        </w:rPr>
        <w:t>.</w:t>
      </w:r>
      <w:r w:rsidR="00AE119F">
        <w:rPr>
          <w:lang w:eastAsia="en-AU"/>
        </w:rPr>
        <w:t xml:space="preserve"> </w:t>
      </w:r>
      <w:r>
        <w:rPr>
          <w:lang w:eastAsia="en-AU"/>
        </w:rPr>
        <w:t xml:space="preserve">Indeed, currently the Australian Pesticides and Veterinary Medicines Authority (APVMA) is able to change the Maximum Residue Limits standard of the Food Standards Code directly, without oversight of the Forum. </w:t>
      </w:r>
    </w:p>
    <w:p w14:paraId="337C86AA" w14:textId="0D6D2137" w:rsidR="00810FE3" w:rsidRDefault="00810FE3" w:rsidP="00810FE3">
      <w:pPr>
        <w:pStyle w:val="Caption"/>
      </w:pPr>
      <w:bookmarkStart w:id="67" w:name="_Ref51221838"/>
      <w:r>
        <w:t xml:space="preserve">Table </w:t>
      </w:r>
      <w:r>
        <w:fldChar w:fldCharType="begin"/>
      </w:r>
      <w:r>
        <w:instrText xml:space="preserve"> SEQ Table \* ARABIC </w:instrText>
      </w:r>
      <w:r>
        <w:fldChar w:fldCharType="separate"/>
      </w:r>
      <w:r w:rsidR="001C5CC6">
        <w:rPr>
          <w:noProof/>
        </w:rPr>
        <w:t>7</w:t>
      </w:r>
      <w:r>
        <w:fldChar w:fldCharType="end"/>
      </w:r>
      <w:bookmarkEnd w:id="67"/>
      <w:r>
        <w:t xml:space="preserve"> | </w:t>
      </w:r>
      <w:r w:rsidR="00730267">
        <w:t xml:space="preserve">Decision-making arrangements for standards in </w:t>
      </w:r>
      <w:r w:rsidR="00967766">
        <w:t>select</w:t>
      </w:r>
      <w:r>
        <w:t xml:space="preserve"> other regulatory schemes</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472491" w14:paraId="333A06BC" w14:textId="77777777" w:rsidTr="00B553D0">
        <w:tc>
          <w:tcPr>
            <w:tcW w:w="9055" w:type="dxa"/>
          </w:tcPr>
          <w:p w14:paraId="289E2A1C" w14:textId="77777777" w:rsidR="00472491" w:rsidRPr="00BF1ECB" w:rsidRDefault="00472491" w:rsidP="00B553D0">
            <w:pPr>
              <w:pStyle w:val="longformcalloutnumber"/>
              <w:numPr>
                <w:ilvl w:val="0"/>
                <w:numId w:val="0"/>
              </w:numPr>
              <w:ind w:left="340" w:hanging="340"/>
              <w:rPr>
                <w:rFonts w:asciiTheme="majorHAnsi" w:hAnsiTheme="majorHAnsi" w:cstheme="majorHAnsi"/>
              </w:rPr>
            </w:pPr>
            <w:r w:rsidRPr="00BF1ECB">
              <w:rPr>
                <w:rFonts w:asciiTheme="majorHAnsi" w:hAnsiTheme="majorHAnsi" w:cstheme="majorHAnsi"/>
              </w:rPr>
              <w:t xml:space="preserve">Australian Pesticides and Veterinary Medicines Authority (APVMA) </w:t>
            </w:r>
          </w:p>
          <w:p w14:paraId="56C23522" w14:textId="1975003B" w:rsidR="00472491" w:rsidRDefault="00472491" w:rsidP="00B553D0">
            <w:pPr>
              <w:pStyle w:val="longformcalloutnumber"/>
              <w:numPr>
                <w:ilvl w:val="0"/>
                <w:numId w:val="0"/>
              </w:numPr>
              <w:rPr>
                <w:rFonts w:asciiTheme="minorHAnsi" w:hAnsiTheme="minorHAnsi" w:cstheme="minorHAnsi"/>
              </w:rPr>
            </w:pPr>
            <w:r>
              <w:rPr>
                <w:rFonts w:asciiTheme="minorHAnsi" w:hAnsiTheme="minorHAnsi" w:cstheme="minorHAnsi"/>
              </w:rPr>
              <w:t xml:space="preserve">The APVMA has co-regulatory responsibility with FSANZ </w:t>
            </w:r>
            <w:r w:rsidR="00274086">
              <w:rPr>
                <w:rFonts w:asciiTheme="minorHAnsi" w:hAnsiTheme="minorHAnsi" w:cstheme="minorHAnsi"/>
              </w:rPr>
              <w:t xml:space="preserve">in Australia </w:t>
            </w:r>
            <w:r>
              <w:rPr>
                <w:rFonts w:asciiTheme="minorHAnsi" w:hAnsiTheme="minorHAnsi" w:cstheme="minorHAnsi"/>
              </w:rPr>
              <w:t xml:space="preserve">for the Maximum Residue Limits standard contained in the Food Standards Code. Under current legislative arrangements, the APVMA has the power to amend Schedule 20 of the Code in certain instances directly, without sign-off by the Forum or statutory requirements of application or proposal processes. </w:t>
            </w:r>
          </w:p>
          <w:p w14:paraId="27E7B088" w14:textId="77777777" w:rsidR="00472491" w:rsidRPr="00BF1ECB" w:rsidRDefault="00472491" w:rsidP="00B553D0">
            <w:pPr>
              <w:pStyle w:val="longformcalloutnumber"/>
              <w:numPr>
                <w:ilvl w:val="0"/>
                <w:numId w:val="0"/>
              </w:numPr>
              <w:rPr>
                <w:rFonts w:asciiTheme="majorHAnsi" w:hAnsiTheme="majorHAnsi" w:cstheme="majorHAnsi"/>
              </w:rPr>
            </w:pPr>
            <w:r w:rsidRPr="00BF1ECB">
              <w:rPr>
                <w:rFonts w:asciiTheme="majorHAnsi" w:hAnsiTheme="majorHAnsi" w:cstheme="majorHAnsi"/>
              </w:rPr>
              <w:t>Australian Building Codes Board (ABCB)</w:t>
            </w:r>
          </w:p>
          <w:p w14:paraId="7E6C1669" w14:textId="6C519E48" w:rsidR="00472491" w:rsidRDefault="00472491" w:rsidP="00B553D0">
            <w:pPr>
              <w:pStyle w:val="longformcalloutnumber"/>
              <w:numPr>
                <w:ilvl w:val="0"/>
                <w:numId w:val="0"/>
              </w:numPr>
              <w:rPr>
                <w:rFonts w:asciiTheme="minorHAnsi" w:hAnsiTheme="minorHAnsi" w:cstheme="minorHAnsi"/>
              </w:rPr>
            </w:pPr>
            <w:r>
              <w:rPr>
                <w:rFonts w:asciiTheme="minorHAnsi" w:hAnsiTheme="minorHAnsi" w:cstheme="minorHAnsi"/>
              </w:rPr>
              <w:t>The ABCB is responsible for developing and maintaining the National Construction Code (NCC) which is a performance-based regulatory instrument that sets out minimum performance requirements for the safety and health, amenity, accessibility and sustainability of the built environment</w:t>
            </w:r>
            <w:r w:rsidR="00A90CD0">
              <w:rPr>
                <w:rFonts w:asciiTheme="minorHAnsi" w:hAnsiTheme="minorHAnsi" w:cstheme="minorHAnsi"/>
              </w:rPr>
              <w:t xml:space="preserve"> in Aust</w:t>
            </w:r>
            <w:r w:rsidR="00274086">
              <w:rPr>
                <w:rFonts w:asciiTheme="minorHAnsi" w:hAnsiTheme="minorHAnsi" w:cstheme="minorHAnsi"/>
              </w:rPr>
              <w:t>ralia</w:t>
            </w:r>
            <w:r>
              <w:rPr>
                <w:rFonts w:asciiTheme="minorHAnsi" w:hAnsiTheme="minorHAnsi" w:cstheme="minorHAnsi"/>
              </w:rPr>
              <w:t xml:space="preserve">. </w:t>
            </w:r>
          </w:p>
          <w:p w14:paraId="1D7C738B" w14:textId="77777777" w:rsidR="00472491" w:rsidRDefault="00472491" w:rsidP="00B553D0">
            <w:pPr>
              <w:pStyle w:val="longformcalloutnumber"/>
              <w:numPr>
                <w:ilvl w:val="0"/>
                <w:numId w:val="0"/>
              </w:numPr>
              <w:rPr>
                <w:rFonts w:asciiTheme="minorHAnsi" w:hAnsiTheme="minorHAnsi" w:cstheme="minorHAnsi"/>
              </w:rPr>
            </w:pPr>
            <w:r>
              <w:rPr>
                <w:rFonts w:asciiTheme="minorHAnsi" w:hAnsiTheme="minorHAnsi" w:cstheme="minorHAnsi"/>
              </w:rPr>
              <w:t xml:space="preserve">The Building Ministers’ Forum comprises the Australian Government, State and Territory ministers with responsibility for building and construction. The BMF sets the strategic policy direction for the ABCB and </w:t>
            </w:r>
            <w:r>
              <w:rPr>
                <w:rFonts w:asciiTheme="minorHAnsi" w:hAnsiTheme="minorHAnsi" w:cstheme="minorHAnsi"/>
              </w:rPr>
              <w:lastRenderedPageBreak/>
              <w:t>can provide directions to the ABCB in relation to the code, but the ABCB is responsible for developing and maintaining codes and standards through the NCC.</w:t>
            </w:r>
          </w:p>
          <w:p w14:paraId="1D24F7DF" w14:textId="77777777" w:rsidR="006E6833" w:rsidRPr="00BF1ECB" w:rsidRDefault="006E6833" w:rsidP="00B553D0">
            <w:pPr>
              <w:pStyle w:val="longformcalloutnumber"/>
              <w:numPr>
                <w:ilvl w:val="0"/>
                <w:numId w:val="0"/>
              </w:numPr>
              <w:rPr>
                <w:rFonts w:asciiTheme="majorHAnsi" w:hAnsiTheme="majorHAnsi" w:cstheme="majorHAnsi"/>
              </w:rPr>
            </w:pPr>
            <w:r w:rsidRPr="00BF1ECB">
              <w:rPr>
                <w:rFonts w:asciiTheme="majorHAnsi" w:hAnsiTheme="majorHAnsi" w:cstheme="majorHAnsi"/>
              </w:rPr>
              <w:t>Standards New Zealand</w:t>
            </w:r>
          </w:p>
          <w:p w14:paraId="13A4C584" w14:textId="76285932" w:rsidR="00317544" w:rsidRPr="00CF0445" w:rsidRDefault="005B5D00" w:rsidP="00B553D0">
            <w:pPr>
              <w:pStyle w:val="longformcalloutnumber"/>
              <w:numPr>
                <w:ilvl w:val="0"/>
                <w:numId w:val="0"/>
              </w:numPr>
              <w:rPr>
                <w:rFonts w:asciiTheme="minorHAnsi" w:hAnsiTheme="minorHAnsi" w:cstheme="minorHAnsi"/>
              </w:rPr>
            </w:pPr>
            <w:r>
              <w:rPr>
                <w:rFonts w:asciiTheme="minorHAnsi" w:hAnsiTheme="minorHAnsi" w:cstheme="minorHAnsi"/>
              </w:rPr>
              <w:t xml:space="preserve">Standards New Zealand is </w:t>
            </w:r>
            <w:r w:rsidR="00560EB6">
              <w:rPr>
                <w:rFonts w:asciiTheme="minorHAnsi" w:hAnsiTheme="minorHAnsi" w:cstheme="minorHAnsi"/>
              </w:rPr>
              <w:t xml:space="preserve">a business unit within the Ministry of Business, Innovation and Employment which specialises in managing the development of standards. </w:t>
            </w:r>
            <w:r w:rsidR="001D51B2">
              <w:rPr>
                <w:rFonts w:asciiTheme="minorHAnsi" w:hAnsiTheme="minorHAnsi" w:cstheme="minorHAnsi"/>
              </w:rPr>
              <w:t xml:space="preserve">The Standards New Zealand Executive have statutory powers under the </w:t>
            </w:r>
            <w:r w:rsidR="001D51B2" w:rsidRPr="002D2A56">
              <w:rPr>
                <w:rFonts w:asciiTheme="minorHAnsi" w:hAnsiTheme="minorHAnsi" w:cstheme="minorHAnsi"/>
                <w:i/>
              </w:rPr>
              <w:t>Standards and Accreditation Act 2015</w:t>
            </w:r>
            <w:r w:rsidR="001D51B2">
              <w:rPr>
                <w:rFonts w:asciiTheme="minorHAnsi" w:hAnsiTheme="minorHAnsi" w:cstheme="minorHAnsi"/>
              </w:rPr>
              <w:t xml:space="preserve"> to </w:t>
            </w:r>
            <w:r w:rsidR="007377F0">
              <w:rPr>
                <w:rFonts w:asciiTheme="minorHAnsi" w:hAnsiTheme="minorHAnsi" w:cstheme="minorHAnsi"/>
              </w:rPr>
              <w:t xml:space="preserve">approve </w:t>
            </w:r>
            <w:r w:rsidR="00F90348">
              <w:rPr>
                <w:rFonts w:asciiTheme="minorHAnsi" w:hAnsiTheme="minorHAnsi" w:cstheme="minorHAnsi"/>
              </w:rPr>
              <w:t xml:space="preserve">new or varied standards. It must advise </w:t>
            </w:r>
            <w:r w:rsidR="00011DC5">
              <w:rPr>
                <w:rFonts w:asciiTheme="minorHAnsi" w:hAnsiTheme="minorHAnsi" w:cstheme="minorHAnsi"/>
              </w:rPr>
              <w:t xml:space="preserve">relevant Ministers of proposals to amend, revise, archive or replace standards that are cited in </w:t>
            </w:r>
            <w:r w:rsidR="002978C3">
              <w:rPr>
                <w:rFonts w:asciiTheme="minorHAnsi" w:hAnsiTheme="minorHAnsi" w:cstheme="minorHAnsi"/>
              </w:rPr>
              <w:t>legislation;</w:t>
            </w:r>
            <w:r w:rsidR="00011DC5">
              <w:rPr>
                <w:rFonts w:asciiTheme="minorHAnsi" w:hAnsiTheme="minorHAnsi" w:cstheme="minorHAnsi"/>
              </w:rPr>
              <w:t xml:space="preserve"> </w:t>
            </w:r>
            <w:r w:rsidR="0020710D">
              <w:rPr>
                <w:rFonts w:asciiTheme="minorHAnsi" w:hAnsiTheme="minorHAnsi" w:cstheme="minorHAnsi"/>
              </w:rPr>
              <w:t>however,</w:t>
            </w:r>
            <w:r w:rsidR="00011DC5">
              <w:rPr>
                <w:rFonts w:asciiTheme="minorHAnsi" w:hAnsiTheme="minorHAnsi" w:cstheme="minorHAnsi"/>
              </w:rPr>
              <w:t xml:space="preserve"> Ministers are not involved in their sign</w:t>
            </w:r>
            <w:r w:rsidR="00FE23EE">
              <w:rPr>
                <w:rFonts w:asciiTheme="minorHAnsi" w:hAnsiTheme="minorHAnsi" w:cstheme="minorHAnsi"/>
              </w:rPr>
              <w:t xml:space="preserve">-off. </w:t>
            </w:r>
          </w:p>
        </w:tc>
      </w:tr>
    </w:tbl>
    <w:p w14:paraId="54213376" w14:textId="77777777" w:rsidR="00472491" w:rsidRDefault="00472491" w:rsidP="00472491">
      <w:pPr>
        <w:rPr>
          <w:lang w:eastAsia="en-AU"/>
        </w:rPr>
      </w:pPr>
    </w:p>
    <w:p w14:paraId="1C079A57" w14:textId="3FCB77EC" w:rsidR="00472491" w:rsidRPr="00065F95" w:rsidRDefault="00472491" w:rsidP="00472491">
      <w:pPr>
        <w:rPr>
          <w:lang w:eastAsia="en-AU"/>
        </w:rPr>
      </w:pPr>
      <w:r>
        <w:rPr>
          <w:lang w:eastAsia="en-AU"/>
        </w:rPr>
        <w:t>The Act is also prescriptive about decision-making duties within FSANZ, with sign-off of regulatory measures listed as a non-delegable duty for the FSANZ Board</w:t>
      </w:r>
      <w:r w:rsidR="00967766">
        <w:rPr>
          <w:lang w:eastAsia="en-AU"/>
        </w:rPr>
        <w:t xml:space="preserve">, which can add an additional complexity to </w:t>
      </w:r>
      <w:r w:rsidR="008D281B">
        <w:rPr>
          <w:lang w:eastAsia="en-AU"/>
        </w:rPr>
        <w:t xml:space="preserve">get signatures for all Board members. </w:t>
      </w:r>
      <w:r>
        <w:rPr>
          <w:lang w:eastAsia="en-AU"/>
        </w:rPr>
        <w:t xml:space="preserve"> </w:t>
      </w:r>
    </w:p>
    <w:p w14:paraId="10023C72" w14:textId="30E67CCB" w:rsidR="00D93A04" w:rsidRDefault="00D93A04" w:rsidP="00D93A04">
      <w:pPr>
        <w:pStyle w:val="Heading2"/>
        <w:ind w:left="578" w:hanging="578"/>
      </w:pPr>
      <w:bookmarkStart w:id="68" w:name="_Ref51486772"/>
      <w:bookmarkStart w:id="69" w:name="_Toc52179135"/>
      <w:r>
        <w:t xml:space="preserve">Legislative changes could support more risk-based processes </w:t>
      </w:r>
      <w:r w:rsidR="00921CC1">
        <w:t>and decision-making</w:t>
      </w:r>
      <w:bookmarkEnd w:id="68"/>
      <w:bookmarkEnd w:id="69"/>
    </w:p>
    <w:p w14:paraId="706B98F8" w14:textId="72B41190" w:rsidR="00D93A04" w:rsidRPr="00B128DD" w:rsidRDefault="007E4C8F" w:rsidP="00D93A04">
      <w:pPr>
        <w:rPr>
          <w:lang w:eastAsia="en-AU"/>
        </w:rPr>
      </w:pPr>
      <w:r>
        <w:rPr>
          <w:lang w:eastAsia="en-AU"/>
        </w:rPr>
        <w:t>Two reform ideas</w:t>
      </w:r>
      <w:r w:rsidR="00D93A04">
        <w:rPr>
          <w:lang w:eastAsia="en-AU"/>
        </w:rPr>
        <w:t xml:space="preserve"> have been identified to address issues relating to legislated processes</w:t>
      </w:r>
      <w:r w:rsidR="009B4014">
        <w:rPr>
          <w:lang w:eastAsia="en-AU"/>
        </w:rPr>
        <w:t>.</w:t>
      </w:r>
      <w:r>
        <w:rPr>
          <w:lang w:eastAsia="en-AU"/>
        </w:rPr>
        <w:t xml:space="preserve"> These</w:t>
      </w:r>
      <w:r w:rsidR="002C75CF">
        <w:rPr>
          <w:lang w:eastAsia="en-AU"/>
        </w:rPr>
        <w:t xml:space="preserve"> are not mutually exclusive and</w:t>
      </w:r>
      <w:r>
        <w:rPr>
          <w:lang w:eastAsia="en-AU"/>
        </w:rPr>
        <w:t xml:space="preserve"> could be </w:t>
      </w:r>
      <w:r w:rsidR="002C75CF">
        <w:rPr>
          <w:lang w:eastAsia="en-AU"/>
        </w:rPr>
        <w:t>implemented</w:t>
      </w:r>
      <w:r>
        <w:rPr>
          <w:lang w:eastAsia="en-AU"/>
        </w:rPr>
        <w:t xml:space="preserve"> separately or in conjunction. </w:t>
      </w:r>
    </w:p>
    <w:p w14:paraId="725B64F1" w14:textId="08F081BF" w:rsidR="00D93A04" w:rsidRDefault="007E4C8F" w:rsidP="00D93A04">
      <w:pPr>
        <w:pStyle w:val="Heading3"/>
      </w:pPr>
      <w:bookmarkStart w:id="70" w:name="_Ref51341328"/>
      <w:r>
        <w:t>Reform idea 8</w:t>
      </w:r>
      <w:r w:rsidR="008B63AF">
        <w:t xml:space="preserve"> </w:t>
      </w:r>
      <w:r>
        <w:t>–</w:t>
      </w:r>
      <w:r w:rsidR="00D93A04">
        <w:t xml:space="preserve"> </w:t>
      </w:r>
      <w:r w:rsidR="00EF1B02">
        <w:t xml:space="preserve">Reframe </w:t>
      </w:r>
      <w:r w:rsidR="00421FF5">
        <w:t>legislation to support more agile, risk-based</w:t>
      </w:r>
      <w:r w:rsidR="0061358E">
        <w:t xml:space="preserve"> processes</w:t>
      </w:r>
      <w:bookmarkEnd w:id="70"/>
      <w:r w:rsidR="0061358E">
        <w:t xml:space="preserve"> </w:t>
      </w:r>
    </w:p>
    <w:p w14:paraId="338EE84D" w14:textId="2DCB1D18" w:rsidR="00D93A04" w:rsidRPr="00A62FC4" w:rsidRDefault="00D93A04" w:rsidP="00D93A04">
      <w:pPr>
        <w:pStyle w:val="Bullet"/>
        <w:numPr>
          <w:ilvl w:val="0"/>
          <w:numId w:val="0"/>
        </w:numPr>
      </w:pPr>
      <w:r>
        <w:t>This</w:t>
      </w:r>
      <w:r w:rsidDel="0097770A">
        <w:t xml:space="preserve"> </w:t>
      </w:r>
      <w:r w:rsidR="0097770A">
        <w:t xml:space="preserve">reform idea </w:t>
      </w:r>
      <w:r>
        <w:t xml:space="preserve">reconceptualises how changes to </w:t>
      </w:r>
      <w:r w:rsidR="005007F7">
        <w:t>f</w:t>
      </w:r>
      <w:r w:rsidR="005007F7" w:rsidRPr="00D25630">
        <w:t xml:space="preserve">ood </w:t>
      </w:r>
      <w:r>
        <w:t xml:space="preserve">standards will be made, with risk being a key driver of process. A move towards recognising categories of risk will allow FSANZ to expedite routine or low-risk amendments while focusing limited resources to carefully consider and assess high </w:t>
      </w:r>
      <w:r w:rsidR="0077077C">
        <w:t>risk</w:t>
      </w:r>
      <w:r>
        <w:t xml:space="preserve"> amendments that may have wide ranging food safety</w:t>
      </w:r>
      <w:r w:rsidR="00764ABD">
        <w:t>,</w:t>
      </w:r>
      <w:r>
        <w:t xml:space="preserve"> social or economic impacts. </w:t>
      </w:r>
    </w:p>
    <w:p w14:paraId="0F57AF0E" w14:textId="0DA3F61B" w:rsidR="00D93A04" w:rsidRDefault="003D420F" w:rsidP="00D93A04">
      <w:pPr>
        <w:pStyle w:val="Bullet"/>
        <w:numPr>
          <w:ilvl w:val="0"/>
          <w:numId w:val="0"/>
        </w:numPr>
      </w:pPr>
      <w:r>
        <w:t>Supporting more agile, risk-based</w:t>
      </w:r>
      <w:r w:rsidR="00D93A04">
        <w:t xml:space="preserve"> processes and decision-making could involve</w:t>
      </w:r>
      <w:r w:rsidR="008E23D1">
        <w:t xml:space="preserve"> </w:t>
      </w:r>
      <w:r w:rsidR="00B65D85">
        <w:t>several</w:t>
      </w:r>
      <w:r w:rsidR="008E23D1">
        <w:t xml:space="preserve"> activities</w:t>
      </w:r>
      <w:r w:rsidR="00CC4C8B">
        <w:t>, such as</w:t>
      </w:r>
      <w:r w:rsidR="00D93A04">
        <w:t>:</w:t>
      </w:r>
    </w:p>
    <w:p w14:paraId="31E356CC" w14:textId="76F232EE" w:rsidR="00D93A04" w:rsidRPr="006673CC" w:rsidRDefault="003C7586" w:rsidP="00E7068E">
      <w:pPr>
        <w:pStyle w:val="ListParagraph"/>
        <w:numPr>
          <w:ilvl w:val="0"/>
          <w:numId w:val="20"/>
        </w:numPr>
      </w:pPr>
      <w:r w:rsidRPr="00BC1D91">
        <w:rPr>
          <w:rFonts w:asciiTheme="majorHAnsi" w:hAnsiTheme="majorHAnsi"/>
        </w:rPr>
        <w:t>Transferring much</w:t>
      </w:r>
      <w:r w:rsidR="00D93A04" w:rsidRPr="00BC1D91">
        <w:rPr>
          <w:rFonts w:asciiTheme="majorHAnsi" w:hAnsiTheme="majorHAnsi"/>
        </w:rPr>
        <w:t xml:space="preserve"> of the detail from the Act </w:t>
      </w:r>
      <w:r w:rsidRPr="00BC1D91">
        <w:rPr>
          <w:rFonts w:asciiTheme="majorHAnsi" w:hAnsiTheme="majorHAnsi"/>
        </w:rPr>
        <w:t xml:space="preserve">into the FSANZ Regulations </w:t>
      </w:r>
      <w:r w:rsidR="00CE1E4F" w:rsidRPr="00BC1D91">
        <w:rPr>
          <w:rFonts w:asciiTheme="majorHAnsi" w:hAnsiTheme="majorHAnsi"/>
        </w:rPr>
        <w:t>–</w:t>
      </w:r>
      <w:r w:rsidR="002320AF" w:rsidRPr="00BC1D91">
        <w:rPr>
          <w:rFonts w:asciiTheme="majorHAnsi" w:hAnsiTheme="majorHAnsi"/>
        </w:rPr>
        <w:t xml:space="preserve"> </w:t>
      </w:r>
      <w:r w:rsidR="00852383" w:rsidRPr="00BC1D91">
        <w:rPr>
          <w:rFonts w:asciiTheme="minorHAnsi" w:hAnsiTheme="minorHAnsi" w:cstheme="minorHAnsi"/>
        </w:rPr>
        <w:t>Part</w:t>
      </w:r>
      <w:r w:rsidR="002320AF" w:rsidRPr="00BC1D91">
        <w:rPr>
          <w:rFonts w:asciiTheme="minorHAnsi" w:hAnsiTheme="minorHAnsi" w:cstheme="minorHAnsi"/>
        </w:rPr>
        <w:t xml:space="preserve"> 3 of the Act could be stripped back to its essentials by moving content into the Regulations.</w:t>
      </w:r>
      <w:r w:rsidR="008E006B" w:rsidRPr="00BC1D91">
        <w:rPr>
          <w:rFonts w:asciiTheme="minorHAnsi" w:hAnsiTheme="minorHAnsi" w:cstheme="minorHAnsi"/>
        </w:rPr>
        <w:t xml:space="preserve"> The Act could include general provisions </w:t>
      </w:r>
      <w:r w:rsidR="00CA34CC" w:rsidRPr="00BC1D91">
        <w:rPr>
          <w:rFonts w:asciiTheme="minorHAnsi" w:hAnsiTheme="minorHAnsi" w:cstheme="minorHAnsi"/>
        </w:rPr>
        <w:t>to</w:t>
      </w:r>
      <w:r w:rsidR="008E006B" w:rsidRPr="00BC1D91">
        <w:rPr>
          <w:rFonts w:asciiTheme="minorHAnsi" w:hAnsiTheme="minorHAnsi" w:cstheme="minorHAnsi"/>
        </w:rPr>
        <w:t xml:space="preserve"> </w:t>
      </w:r>
      <w:r w:rsidR="008E006B" w:rsidRPr="00BC1D91">
        <w:rPr>
          <w:rFonts w:asciiTheme="minorHAnsi" w:hAnsiTheme="minorHAnsi" w:cstheme="minorHAnsi"/>
          <w:i/>
        </w:rPr>
        <w:t xml:space="preserve">provide for applications or proposals to be made to amend </w:t>
      </w:r>
      <w:r w:rsidR="005007F7" w:rsidRPr="00BC1D91">
        <w:rPr>
          <w:rFonts w:asciiTheme="minorHAnsi" w:hAnsiTheme="minorHAnsi" w:cstheme="minorHAnsi"/>
          <w:i/>
        </w:rPr>
        <w:t>f</w:t>
      </w:r>
      <w:r w:rsidR="008E006B" w:rsidRPr="00BC1D91">
        <w:rPr>
          <w:rFonts w:asciiTheme="minorHAnsi" w:hAnsiTheme="minorHAnsi" w:cstheme="minorHAnsi"/>
          <w:i/>
        </w:rPr>
        <w:t xml:space="preserve">ood standards </w:t>
      </w:r>
      <w:r w:rsidR="008E006B" w:rsidRPr="00BC1D91">
        <w:rPr>
          <w:rFonts w:asciiTheme="minorHAnsi" w:hAnsiTheme="minorHAnsi" w:cstheme="minorHAnsi"/>
        </w:rPr>
        <w:t xml:space="preserve">and </w:t>
      </w:r>
      <w:r w:rsidR="008E006B" w:rsidRPr="00BC1D91">
        <w:rPr>
          <w:rFonts w:asciiTheme="minorHAnsi" w:hAnsiTheme="minorHAnsi" w:cstheme="minorHAnsi"/>
          <w:i/>
        </w:rPr>
        <w:t xml:space="preserve">provide for FSANZ and the Forum to be involved in ratifying amendments. </w:t>
      </w:r>
      <w:r w:rsidR="008E006B" w:rsidRPr="00BC1D91">
        <w:rPr>
          <w:rFonts w:asciiTheme="minorHAnsi" w:hAnsiTheme="minorHAnsi" w:cstheme="minorHAnsi"/>
        </w:rPr>
        <w:t xml:space="preserve">Other </w:t>
      </w:r>
      <w:r w:rsidR="008E006B" w:rsidRPr="006673CC">
        <w:t xml:space="preserve">requirements and details could be moved to the Regulations. The advantage of this approach </w:t>
      </w:r>
      <w:r w:rsidR="00CA6C29">
        <w:t xml:space="preserve">is </w:t>
      </w:r>
      <w:r w:rsidR="008E006B" w:rsidRPr="006673CC">
        <w:t xml:space="preserve">the relative ease with which legislation could be updated; </w:t>
      </w:r>
      <w:r w:rsidR="00D709C9">
        <w:t xml:space="preserve">unlike </w:t>
      </w:r>
      <w:r w:rsidR="008E006B" w:rsidRPr="006673CC">
        <w:t>primary legislation</w:t>
      </w:r>
      <w:r w:rsidR="00D709C9">
        <w:t>, changes to Regulations do not require</w:t>
      </w:r>
      <w:r w:rsidR="008E006B" w:rsidRPr="006673CC">
        <w:t xml:space="preserve"> consensus at parliamentary debate.</w:t>
      </w:r>
      <w:r w:rsidR="00395E09">
        <w:rPr>
          <w:rStyle w:val="FootnoteReference"/>
        </w:rPr>
        <w:footnoteReference w:id="23"/>
      </w:r>
    </w:p>
    <w:p w14:paraId="02774027" w14:textId="6A250506" w:rsidR="00D93A04" w:rsidRPr="007D5DE8" w:rsidRDefault="009D66D6" w:rsidP="00760794">
      <w:pPr>
        <w:pStyle w:val="Bullet"/>
        <w:numPr>
          <w:ilvl w:val="0"/>
          <w:numId w:val="20"/>
        </w:numPr>
        <w:rPr>
          <w:rFonts w:asciiTheme="majorHAnsi" w:eastAsiaTheme="minorEastAsia" w:hAnsiTheme="majorHAnsi" w:cstheme="majorHAnsi"/>
        </w:rPr>
      </w:pPr>
      <w:r w:rsidRPr="00A640D7">
        <w:rPr>
          <w:rFonts w:asciiTheme="majorHAnsi" w:hAnsiTheme="majorHAnsi" w:cstheme="majorHAnsi"/>
        </w:rPr>
        <w:t xml:space="preserve">Establishing a policy framework for use of the hierarchy of legislative instruments available to FSANZ </w:t>
      </w:r>
      <w:r w:rsidR="007D5DE8">
        <w:rPr>
          <w:rFonts w:asciiTheme="majorHAnsi" w:eastAsiaTheme="minorEastAsia" w:hAnsiTheme="majorHAnsi" w:cstheme="majorHAnsi"/>
        </w:rPr>
        <w:t xml:space="preserve">– </w:t>
      </w:r>
      <w:r w:rsidR="00D93A04">
        <w:t xml:space="preserve">This might involve creating a resource to guide decisions about the instrument that can most appropriately deal with the identified problem. Implementing such a framework </w:t>
      </w:r>
      <w:r w:rsidR="0042318D">
        <w:t xml:space="preserve">may result in greater uptake of codes of practice (mandatory and voluntary) and </w:t>
      </w:r>
      <w:r w:rsidR="00F10BA5">
        <w:t>guidelines, which can be created and amended in more agile and responsive ways.</w:t>
      </w:r>
    </w:p>
    <w:p w14:paraId="395F0D75" w14:textId="49DD223C" w:rsidR="00D93A04" w:rsidRPr="007D5DE8" w:rsidRDefault="00EE79A6" w:rsidP="00760794">
      <w:pPr>
        <w:pStyle w:val="ListParagraph"/>
        <w:numPr>
          <w:ilvl w:val="0"/>
          <w:numId w:val="20"/>
        </w:numPr>
        <w:rPr>
          <w:rFonts w:asciiTheme="majorHAnsi" w:hAnsiTheme="majorHAnsi"/>
        </w:rPr>
      </w:pPr>
      <w:r>
        <w:rPr>
          <w:rFonts w:asciiTheme="majorHAnsi" w:hAnsiTheme="majorHAnsi"/>
        </w:rPr>
        <w:lastRenderedPageBreak/>
        <w:t>Redefining processes to develop or vary regulatory measures based on risk</w:t>
      </w:r>
      <w:r w:rsidR="00D93A04" w:rsidRPr="00253624">
        <w:rPr>
          <w:rFonts w:asciiTheme="majorHAnsi" w:hAnsiTheme="majorHAnsi"/>
        </w:rPr>
        <w:t xml:space="preserve"> </w:t>
      </w:r>
      <w:r w:rsidR="006176EE">
        <w:rPr>
          <w:rFonts w:asciiTheme="majorHAnsi" w:hAnsiTheme="majorHAnsi"/>
        </w:rPr>
        <w:t>–</w:t>
      </w:r>
      <w:r w:rsidR="007D5DE8">
        <w:rPr>
          <w:rFonts w:asciiTheme="majorHAnsi" w:hAnsiTheme="majorHAnsi"/>
        </w:rPr>
        <w:t xml:space="preserve"> </w:t>
      </w:r>
      <w:r w:rsidR="00D93A04">
        <w:t>This could mean c</w:t>
      </w:r>
      <w:r w:rsidR="00D93A04" w:rsidRPr="00436EFE">
        <w:t>reat</w:t>
      </w:r>
      <w:r w:rsidR="00D93A04">
        <w:t>ing</w:t>
      </w:r>
      <w:r w:rsidR="00D93A04" w:rsidRPr="00436EFE">
        <w:t xml:space="preserve"> outcome-based processes within the legislation that reflect </w:t>
      </w:r>
      <w:r w:rsidR="00D93A04">
        <w:t xml:space="preserve">a </w:t>
      </w:r>
      <w:r w:rsidR="00D93A04" w:rsidRPr="00436EFE">
        <w:t>level of consultation and assessment commensurate with the risk involved</w:t>
      </w:r>
      <w:r w:rsidR="006176EE">
        <w:t xml:space="preserve"> and provide sufficient flexibility to adjust the</w:t>
      </w:r>
      <w:r w:rsidR="00882786">
        <w:t xml:space="preserve"> approach or procedure based on new information</w:t>
      </w:r>
      <w:r w:rsidR="00D93A04" w:rsidRPr="00436EFE">
        <w:t xml:space="preserve">. </w:t>
      </w:r>
    </w:p>
    <w:p w14:paraId="68E18C97" w14:textId="3B73D182" w:rsidR="00D93A04" w:rsidRPr="00436EFE" w:rsidRDefault="00D93A04" w:rsidP="006673CC">
      <w:pPr>
        <w:pStyle w:val="Bullet"/>
        <w:numPr>
          <w:ilvl w:val="0"/>
          <w:numId w:val="0"/>
        </w:numPr>
        <w:ind w:left="720"/>
      </w:pPr>
      <w:r w:rsidRPr="00436EFE">
        <w:t xml:space="preserve">‘Risk’ might be determined through a non-legislated framework and reflect </w:t>
      </w:r>
      <w:r w:rsidR="00D25AAF" w:rsidRPr="00436EFE">
        <w:t>criteri</w:t>
      </w:r>
      <w:r w:rsidR="00F50A11">
        <w:t>a</w:t>
      </w:r>
      <w:r w:rsidRPr="00436EFE">
        <w:t xml:space="preserve"> such as</w:t>
      </w:r>
      <w:r>
        <w:t xml:space="preserve"> those shown in </w:t>
      </w:r>
      <w:r w:rsidR="00F50A11">
        <w:fldChar w:fldCharType="begin"/>
      </w:r>
      <w:r w:rsidR="00F50A11">
        <w:instrText xml:space="preserve"> REF _Ref51223110 \h </w:instrText>
      </w:r>
      <w:r w:rsidR="00F50A11">
        <w:fldChar w:fldCharType="separate"/>
      </w:r>
      <w:r w:rsidR="001C5CC6">
        <w:t xml:space="preserve">Table </w:t>
      </w:r>
      <w:r w:rsidR="001C5CC6">
        <w:rPr>
          <w:noProof/>
        </w:rPr>
        <w:t>8</w:t>
      </w:r>
      <w:r w:rsidR="00F50A11">
        <w:fldChar w:fldCharType="end"/>
      </w:r>
      <w:r w:rsidR="0007000B">
        <w:t>.</w:t>
      </w:r>
      <w:r>
        <w:t xml:space="preserve"> </w:t>
      </w:r>
    </w:p>
    <w:p w14:paraId="45AAA600" w14:textId="3FC4E34E" w:rsidR="00F50A11" w:rsidRDefault="00D93A04" w:rsidP="00F50A11">
      <w:pPr>
        <w:pStyle w:val="Caption"/>
        <w:ind w:firstLine="720"/>
      </w:pPr>
      <w:bookmarkStart w:id="71" w:name="_Ref51223110"/>
      <w:r>
        <w:t xml:space="preserve">Table </w:t>
      </w:r>
      <w:r>
        <w:fldChar w:fldCharType="begin"/>
      </w:r>
      <w:r>
        <w:instrText xml:space="preserve"> SEQ Table \* ARABIC </w:instrText>
      </w:r>
      <w:r>
        <w:fldChar w:fldCharType="separate"/>
      </w:r>
      <w:r w:rsidR="001C5CC6">
        <w:rPr>
          <w:noProof/>
        </w:rPr>
        <w:t>8</w:t>
      </w:r>
      <w:r>
        <w:fldChar w:fldCharType="end"/>
      </w:r>
      <w:bookmarkEnd w:id="71"/>
      <w:r w:rsidR="00F50A11">
        <w:t xml:space="preserve"> | Indicative risk framework</w:t>
      </w:r>
    </w:p>
    <w:tbl>
      <w:tblPr>
        <w:tblStyle w:val="TableGrid"/>
        <w:tblW w:w="8296" w:type="dxa"/>
        <w:tblInd w:w="720" w:type="dxa"/>
        <w:tblLook w:val="04A0" w:firstRow="1" w:lastRow="0" w:firstColumn="1" w:lastColumn="0" w:noHBand="0" w:noVBand="1"/>
      </w:tblPr>
      <w:tblGrid>
        <w:gridCol w:w="511"/>
        <w:gridCol w:w="2835"/>
        <w:gridCol w:w="4950"/>
      </w:tblGrid>
      <w:tr w:rsidR="004D3DA4" w:rsidRPr="00282A5A" w14:paraId="76F5B9DF" w14:textId="77777777" w:rsidTr="001002AE">
        <w:trPr>
          <w:cnfStyle w:val="100000000000" w:firstRow="1" w:lastRow="0" w:firstColumn="0" w:lastColumn="0" w:oddVBand="0" w:evenVBand="0" w:oddHBand="0" w:evenHBand="0" w:firstRowFirstColumn="0" w:firstRowLastColumn="0" w:lastRowFirstColumn="0" w:lastRowLastColumn="0"/>
        </w:trPr>
        <w:tc>
          <w:tcPr>
            <w:tcW w:w="511" w:type="dxa"/>
          </w:tcPr>
          <w:p w14:paraId="0729C6B3" w14:textId="77777777" w:rsidR="00D93A04" w:rsidRPr="007B0BFC" w:rsidRDefault="00D93A04" w:rsidP="00CB0F8F">
            <w:pPr>
              <w:rPr>
                <w:sz w:val="17"/>
                <w:szCs w:val="17"/>
                <w:lang w:eastAsia="en-AU"/>
              </w:rPr>
            </w:pPr>
            <w:r w:rsidRPr="007B0BFC">
              <w:rPr>
                <w:sz w:val="17"/>
                <w:szCs w:val="17"/>
                <w:lang w:eastAsia="en-AU"/>
              </w:rPr>
              <w:t>#</w:t>
            </w:r>
          </w:p>
        </w:tc>
        <w:tc>
          <w:tcPr>
            <w:tcW w:w="2835" w:type="dxa"/>
          </w:tcPr>
          <w:p w14:paraId="68B86D28" w14:textId="77777777" w:rsidR="00D93A04" w:rsidRPr="007B0BFC" w:rsidRDefault="00D93A04" w:rsidP="00CB0F8F">
            <w:pPr>
              <w:rPr>
                <w:sz w:val="17"/>
                <w:szCs w:val="17"/>
                <w:lang w:eastAsia="en-AU"/>
              </w:rPr>
            </w:pPr>
            <w:r w:rsidRPr="007B0BFC">
              <w:rPr>
                <w:rFonts w:ascii="Segoe UI Semibold" w:eastAsia="Segoe UI" w:hAnsi="Segoe UI Semibold" w:cs="Segoe UI"/>
                <w:kern w:val="24"/>
                <w:sz w:val="17"/>
                <w:szCs w:val="17"/>
                <w:lang w:val="en-US"/>
              </w:rPr>
              <w:t>Criterion</w:t>
            </w:r>
          </w:p>
        </w:tc>
        <w:tc>
          <w:tcPr>
            <w:tcW w:w="4950" w:type="dxa"/>
          </w:tcPr>
          <w:p w14:paraId="06409737" w14:textId="77777777" w:rsidR="00D93A04" w:rsidRPr="007B0BFC" w:rsidRDefault="00D93A04" w:rsidP="00CB0F8F">
            <w:pPr>
              <w:rPr>
                <w:sz w:val="17"/>
                <w:szCs w:val="17"/>
                <w:lang w:eastAsia="en-AU"/>
              </w:rPr>
            </w:pPr>
            <w:r w:rsidRPr="007B0BFC">
              <w:rPr>
                <w:rFonts w:ascii="Segoe UI Semibold" w:eastAsia="Segoe UI" w:hAnsi="Segoe UI Semibold" w:cs="Segoe UI"/>
                <w:kern w:val="24"/>
                <w:sz w:val="17"/>
                <w:szCs w:val="17"/>
                <w:lang w:val="en-US"/>
              </w:rPr>
              <w:t xml:space="preserve">Key question </w:t>
            </w:r>
          </w:p>
        </w:tc>
      </w:tr>
      <w:tr w:rsidR="00D93A04" w:rsidRPr="00523391" w14:paraId="561F7D7D" w14:textId="77777777" w:rsidTr="00E7068E">
        <w:trPr>
          <w:cnfStyle w:val="000000100000" w:firstRow="0" w:lastRow="0" w:firstColumn="0" w:lastColumn="0" w:oddVBand="0" w:evenVBand="0" w:oddHBand="1" w:evenHBand="0" w:firstRowFirstColumn="0" w:firstRowLastColumn="0" w:lastRowFirstColumn="0" w:lastRowLastColumn="0"/>
        </w:trPr>
        <w:tc>
          <w:tcPr>
            <w:tcW w:w="511" w:type="dxa"/>
          </w:tcPr>
          <w:p w14:paraId="4BE89640" w14:textId="77777777" w:rsidR="00D93A04" w:rsidRPr="007B0BFC" w:rsidRDefault="00D93A04" w:rsidP="00CB0F8F">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lang w:val="en-US"/>
              </w:rPr>
              <w:t>1</w:t>
            </w:r>
          </w:p>
        </w:tc>
        <w:tc>
          <w:tcPr>
            <w:tcW w:w="2835" w:type="dxa"/>
          </w:tcPr>
          <w:p w14:paraId="34D8E101" w14:textId="77777777" w:rsidR="00D93A04" w:rsidRPr="007B0BFC" w:rsidRDefault="00D93A04" w:rsidP="00CB0F8F">
            <w:pPr>
              <w:rPr>
                <w:color w:val="000000" w:themeColor="text1"/>
                <w:sz w:val="17"/>
                <w:szCs w:val="17"/>
                <w:lang w:eastAsia="en-AU"/>
              </w:rPr>
            </w:pPr>
            <w:r w:rsidRPr="007B0BFC">
              <w:rPr>
                <w:rFonts w:eastAsia="Segoe UI Semilight" w:cs="Segoe UI Semilight"/>
                <w:color w:val="000000" w:themeColor="text1"/>
                <w:kern w:val="24"/>
                <w:sz w:val="17"/>
                <w:szCs w:val="17"/>
                <w:lang w:val="en-US"/>
              </w:rPr>
              <w:t>Alignment with strategic priorities</w:t>
            </w:r>
          </w:p>
        </w:tc>
        <w:tc>
          <w:tcPr>
            <w:tcW w:w="4950" w:type="dxa"/>
          </w:tcPr>
          <w:p w14:paraId="7F3CAF56" w14:textId="77777777" w:rsidR="00D93A04" w:rsidRPr="007B0BFC" w:rsidRDefault="00D93A04" w:rsidP="00CB0F8F">
            <w:pPr>
              <w:rPr>
                <w:color w:val="000000" w:themeColor="text1"/>
                <w:sz w:val="17"/>
                <w:szCs w:val="17"/>
                <w:lang w:eastAsia="en-AU"/>
              </w:rPr>
            </w:pPr>
            <w:r w:rsidRPr="007B0BFC">
              <w:rPr>
                <w:rFonts w:eastAsiaTheme="minorEastAsia"/>
                <w:i/>
                <w:color w:val="000000" w:themeColor="text1"/>
                <w:kern w:val="24"/>
                <w:sz w:val="17"/>
                <w:szCs w:val="17"/>
              </w:rPr>
              <w:t xml:space="preserve">1. Is the application/proposal a </w:t>
            </w:r>
            <w:r w:rsidRPr="007B0BFC">
              <w:rPr>
                <w:rFonts w:eastAsiaTheme="minorEastAsia"/>
                <w:b/>
                <w:i/>
                <w:color w:val="000000" w:themeColor="text1"/>
                <w:kern w:val="24"/>
                <w:sz w:val="17"/>
                <w:szCs w:val="17"/>
              </w:rPr>
              <w:t xml:space="preserve">strategic priority </w:t>
            </w:r>
            <w:r w:rsidRPr="007B0BFC">
              <w:rPr>
                <w:rFonts w:eastAsiaTheme="minorEastAsia"/>
                <w:i/>
                <w:color w:val="000000" w:themeColor="text1"/>
                <w:kern w:val="24"/>
                <w:sz w:val="17"/>
                <w:szCs w:val="17"/>
              </w:rPr>
              <w:t>(e.g. for innovation, safety, health) as determined by Forum?</w:t>
            </w:r>
          </w:p>
        </w:tc>
      </w:tr>
      <w:tr w:rsidR="00D93A04" w:rsidRPr="00523391" w14:paraId="424744A8" w14:textId="77777777" w:rsidTr="00E7068E">
        <w:trPr>
          <w:cnfStyle w:val="000000010000" w:firstRow="0" w:lastRow="0" w:firstColumn="0" w:lastColumn="0" w:oddVBand="0" w:evenVBand="0" w:oddHBand="0" w:evenHBand="1" w:firstRowFirstColumn="0" w:firstRowLastColumn="0" w:lastRowFirstColumn="0" w:lastRowLastColumn="0"/>
        </w:trPr>
        <w:tc>
          <w:tcPr>
            <w:tcW w:w="511" w:type="dxa"/>
          </w:tcPr>
          <w:p w14:paraId="111DF902" w14:textId="77777777" w:rsidR="00D93A04" w:rsidRPr="007B0BFC" w:rsidRDefault="00D93A04" w:rsidP="00CB0F8F">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lang w:val="en-US"/>
              </w:rPr>
              <w:t>2</w:t>
            </w:r>
          </w:p>
        </w:tc>
        <w:tc>
          <w:tcPr>
            <w:tcW w:w="2835" w:type="dxa"/>
          </w:tcPr>
          <w:p w14:paraId="45E677FA" w14:textId="77777777" w:rsidR="00D93A04" w:rsidRPr="007B0BFC" w:rsidRDefault="00D93A04" w:rsidP="00CB0F8F">
            <w:pPr>
              <w:rPr>
                <w:color w:val="000000" w:themeColor="text1"/>
                <w:sz w:val="17"/>
                <w:szCs w:val="17"/>
                <w:lang w:eastAsia="en-AU"/>
              </w:rPr>
            </w:pPr>
            <w:r w:rsidRPr="007B0BFC">
              <w:rPr>
                <w:rFonts w:eastAsia="Segoe UI Semilight" w:cs="Segoe UI Semilight"/>
                <w:color w:val="000000" w:themeColor="text1"/>
                <w:kern w:val="24"/>
                <w:sz w:val="17"/>
                <w:szCs w:val="17"/>
                <w:lang w:val="en-US"/>
              </w:rPr>
              <w:t>Subject matter / Expertise</w:t>
            </w:r>
          </w:p>
        </w:tc>
        <w:tc>
          <w:tcPr>
            <w:tcW w:w="4950" w:type="dxa"/>
          </w:tcPr>
          <w:p w14:paraId="359578C7" w14:textId="192BC811" w:rsidR="00D93A04" w:rsidRPr="007B0BFC" w:rsidRDefault="00D93A04" w:rsidP="00CB0F8F">
            <w:pPr>
              <w:rPr>
                <w:color w:val="000000" w:themeColor="text1"/>
                <w:sz w:val="17"/>
                <w:szCs w:val="17"/>
                <w:lang w:eastAsia="en-AU"/>
              </w:rPr>
            </w:pPr>
            <w:r w:rsidRPr="007B0BFC">
              <w:rPr>
                <w:rFonts w:eastAsiaTheme="minorEastAsia"/>
                <w:i/>
                <w:color w:val="000000" w:themeColor="text1"/>
                <w:kern w:val="24"/>
                <w:sz w:val="17"/>
                <w:szCs w:val="17"/>
              </w:rPr>
              <w:t xml:space="preserve">2. What </w:t>
            </w:r>
            <w:r w:rsidRPr="007B0BFC">
              <w:rPr>
                <w:rFonts w:eastAsiaTheme="minorEastAsia"/>
                <w:b/>
                <w:i/>
                <w:color w:val="000000" w:themeColor="text1"/>
                <w:kern w:val="24"/>
                <w:sz w:val="17"/>
                <w:szCs w:val="17"/>
              </w:rPr>
              <w:t xml:space="preserve">expertise </w:t>
            </w:r>
            <w:r w:rsidRPr="007B0BFC">
              <w:rPr>
                <w:rFonts w:eastAsiaTheme="minorEastAsia"/>
                <w:i/>
                <w:color w:val="000000" w:themeColor="text1"/>
                <w:kern w:val="24"/>
                <w:sz w:val="17"/>
                <w:szCs w:val="17"/>
              </w:rPr>
              <w:t>is required to make decision</w:t>
            </w:r>
            <w:r w:rsidR="001C40E7">
              <w:rPr>
                <w:rFonts w:eastAsiaTheme="minorEastAsia"/>
                <w:i/>
                <w:color w:val="000000" w:themeColor="text1"/>
                <w:kern w:val="24"/>
                <w:sz w:val="17"/>
                <w:szCs w:val="17"/>
              </w:rPr>
              <w:t>s</w:t>
            </w:r>
            <w:r w:rsidR="000D3788">
              <w:rPr>
                <w:rFonts w:eastAsiaTheme="minorEastAsia"/>
                <w:i/>
                <w:color w:val="000000" w:themeColor="text1"/>
                <w:kern w:val="24"/>
                <w:sz w:val="17"/>
                <w:szCs w:val="17"/>
              </w:rPr>
              <w:t>?</w:t>
            </w:r>
            <w:r w:rsidRPr="007B0BFC">
              <w:rPr>
                <w:rFonts w:eastAsiaTheme="minorEastAsia"/>
                <w:i/>
                <w:color w:val="000000" w:themeColor="text1"/>
                <w:kern w:val="24"/>
                <w:sz w:val="17"/>
                <w:szCs w:val="17"/>
              </w:rPr>
              <w:t xml:space="preserve"> (e.g. technical scientific capability or broader policy issue) </w:t>
            </w:r>
          </w:p>
        </w:tc>
      </w:tr>
      <w:tr w:rsidR="00D93A04" w:rsidRPr="00523391" w14:paraId="5C92800A" w14:textId="77777777" w:rsidTr="00E7068E">
        <w:trPr>
          <w:cnfStyle w:val="000000100000" w:firstRow="0" w:lastRow="0" w:firstColumn="0" w:lastColumn="0" w:oddVBand="0" w:evenVBand="0" w:oddHBand="1" w:evenHBand="0" w:firstRowFirstColumn="0" w:firstRowLastColumn="0" w:lastRowFirstColumn="0" w:lastRowLastColumn="0"/>
        </w:trPr>
        <w:tc>
          <w:tcPr>
            <w:tcW w:w="511" w:type="dxa"/>
          </w:tcPr>
          <w:p w14:paraId="4321BD1E" w14:textId="77777777" w:rsidR="00D93A04" w:rsidRPr="007B0BFC" w:rsidRDefault="00D93A04" w:rsidP="00CB0F8F">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rPr>
              <w:t>3</w:t>
            </w:r>
          </w:p>
        </w:tc>
        <w:tc>
          <w:tcPr>
            <w:tcW w:w="2835" w:type="dxa"/>
          </w:tcPr>
          <w:p w14:paraId="00610ACF" w14:textId="77777777" w:rsidR="00D93A04" w:rsidRPr="007B0BFC" w:rsidRDefault="00D93A04" w:rsidP="00CB0F8F">
            <w:pPr>
              <w:rPr>
                <w:color w:val="000000" w:themeColor="text1"/>
                <w:sz w:val="17"/>
                <w:szCs w:val="17"/>
                <w:lang w:eastAsia="en-AU"/>
              </w:rPr>
            </w:pPr>
            <w:r w:rsidRPr="007B0BFC">
              <w:rPr>
                <w:rFonts w:eastAsia="Segoe UI Semilight" w:cs="Segoe UI Semilight"/>
                <w:color w:val="000000" w:themeColor="text1"/>
                <w:kern w:val="24"/>
                <w:sz w:val="17"/>
                <w:szCs w:val="17"/>
                <w:lang w:val="en-US"/>
              </w:rPr>
              <w:t xml:space="preserve">Extent of risk </w:t>
            </w:r>
          </w:p>
        </w:tc>
        <w:tc>
          <w:tcPr>
            <w:tcW w:w="4950" w:type="dxa"/>
          </w:tcPr>
          <w:p w14:paraId="25E851AF" w14:textId="77777777" w:rsidR="00D93A04" w:rsidRPr="007B0BFC" w:rsidRDefault="00D93A04" w:rsidP="00CB0F8F">
            <w:pPr>
              <w:rPr>
                <w:color w:val="000000" w:themeColor="text1"/>
                <w:sz w:val="17"/>
                <w:szCs w:val="17"/>
                <w:lang w:eastAsia="en-AU"/>
              </w:rPr>
            </w:pPr>
            <w:r w:rsidRPr="007B0BFC">
              <w:rPr>
                <w:rFonts w:eastAsiaTheme="minorEastAsia"/>
                <w:i/>
                <w:color w:val="000000" w:themeColor="text1"/>
                <w:kern w:val="24"/>
                <w:sz w:val="17"/>
                <w:szCs w:val="17"/>
              </w:rPr>
              <w:t xml:space="preserve">3. How significant is </w:t>
            </w:r>
            <w:r w:rsidRPr="007B0BFC">
              <w:rPr>
                <w:rFonts w:eastAsiaTheme="minorEastAsia"/>
                <w:b/>
                <w:i/>
                <w:color w:val="000000" w:themeColor="text1"/>
                <w:kern w:val="24"/>
                <w:sz w:val="17"/>
                <w:szCs w:val="17"/>
              </w:rPr>
              <w:t xml:space="preserve">risk to public health or safety / </w:t>
            </w:r>
            <w:r w:rsidRPr="007B0BFC">
              <w:rPr>
                <w:rFonts w:eastAsiaTheme="minorEastAsia"/>
                <w:i/>
                <w:color w:val="000000" w:themeColor="text1"/>
                <w:kern w:val="24"/>
                <w:sz w:val="17"/>
                <w:szCs w:val="17"/>
              </w:rPr>
              <w:t xml:space="preserve">how </w:t>
            </w:r>
            <w:r w:rsidRPr="007B0BFC">
              <w:rPr>
                <w:rFonts w:eastAsiaTheme="minorEastAsia"/>
                <w:b/>
                <w:i/>
                <w:color w:val="000000" w:themeColor="text1"/>
                <w:kern w:val="24"/>
                <w:sz w:val="17"/>
                <w:szCs w:val="17"/>
              </w:rPr>
              <w:t>complex</w:t>
            </w:r>
            <w:r w:rsidRPr="007B0BFC">
              <w:rPr>
                <w:rFonts w:eastAsiaTheme="minorEastAsia"/>
                <w:i/>
                <w:color w:val="000000" w:themeColor="text1"/>
                <w:kern w:val="24"/>
                <w:sz w:val="17"/>
                <w:szCs w:val="17"/>
              </w:rPr>
              <w:t xml:space="preserve"> is the risk assessment? </w:t>
            </w:r>
          </w:p>
        </w:tc>
      </w:tr>
      <w:tr w:rsidR="00D93A04" w:rsidRPr="00523391" w14:paraId="2FF1BD53" w14:textId="77777777" w:rsidTr="00E7068E">
        <w:trPr>
          <w:cnfStyle w:val="000000010000" w:firstRow="0" w:lastRow="0" w:firstColumn="0" w:lastColumn="0" w:oddVBand="0" w:evenVBand="0" w:oddHBand="0" w:evenHBand="1" w:firstRowFirstColumn="0" w:firstRowLastColumn="0" w:lastRowFirstColumn="0" w:lastRowLastColumn="0"/>
        </w:trPr>
        <w:tc>
          <w:tcPr>
            <w:tcW w:w="511" w:type="dxa"/>
          </w:tcPr>
          <w:p w14:paraId="7B46E336" w14:textId="77777777" w:rsidR="00D93A04" w:rsidRPr="007B0BFC" w:rsidRDefault="00D93A04" w:rsidP="00CB0F8F">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rPr>
              <w:t>4</w:t>
            </w:r>
          </w:p>
        </w:tc>
        <w:tc>
          <w:tcPr>
            <w:tcW w:w="2835" w:type="dxa"/>
          </w:tcPr>
          <w:p w14:paraId="698777D0" w14:textId="77777777" w:rsidR="00D93A04" w:rsidRPr="007B0BFC" w:rsidRDefault="00D93A04" w:rsidP="00CB0F8F">
            <w:pPr>
              <w:rPr>
                <w:color w:val="000000" w:themeColor="text1"/>
                <w:sz w:val="17"/>
                <w:szCs w:val="17"/>
                <w:lang w:eastAsia="en-AU"/>
              </w:rPr>
            </w:pPr>
            <w:r w:rsidRPr="007B0BFC">
              <w:rPr>
                <w:rFonts w:eastAsia="Segoe UI Semilight" w:cs="Segoe UI Semilight"/>
                <w:color w:val="000000" w:themeColor="text1"/>
                <w:kern w:val="24"/>
                <w:sz w:val="17"/>
                <w:szCs w:val="17"/>
              </w:rPr>
              <w:t xml:space="preserve">Scope of impact </w:t>
            </w:r>
          </w:p>
        </w:tc>
        <w:tc>
          <w:tcPr>
            <w:tcW w:w="4950" w:type="dxa"/>
          </w:tcPr>
          <w:p w14:paraId="0D0C67AB" w14:textId="77777777" w:rsidR="00D93A04" w:rsidRPr="007B0BFC" w:rsidRDefault="00D93A04" w:rsidP="00CB0F8F">
            <w:pPr>
              <w:rPr>
                <w:color w:val="000000" w:themeColor="text1"/>
                <w:sz w:val="17"/>
                <w:szCs w:val="17"/>
                <w:lang w:eastAsia="en-AU"/>
              </w:rPr>
            </w:pPr>
            <w:r w:rsidRPr="007B0BFC">
              <w:rPr>
                <w:rFonts w:eastAsiaTheme="minorEastAsia"/>
                <w:i/>
                <w:color w:val="000000" w:themeColor="text1"/>
                <w:kern w:val="24"/>
                <w:sz w:val="17"/>
                <w:szCs w:val="17"/>
              </w:rPr>
              <w:t xml:space="preserve">4. How </w:t>
            </w:r>
            <w:r w:rsidRPr="007B0BFC">
              <w:rPr>
                <w:rFonts w:eastAsiaTheme="minorEastAsia"/>
                <w:b/>
                <w:i/>
                <w:color w:val="000000" w:themeColor="text1"/>
                <w:kern w:val="24"/>
                <w:sz w:val="17"/>
                <w:szCs w:val="17"/>
              </w:rPr>
              <w:t xml:space="preserve">broad reaching and immediate </w:t>
            </w:r>
            <w:r w:rsidRPr="007B0BFC">
              <w:rPr>
                <w:rFonts w:eastAsiaTheme="minorEastAsia"/>
                <w:i/>
                <w:color w:val="000000" w:themeColor="text1"/>
                <w:kern w:val="24"/>
                <w:sz w:val="17"/>
                <w:szCs w:val="17"/>
              </w:rPr>
              <w:t xml:space="preserve">are social, economic and health </w:t>
            </w:r>
            <w:r w:rsidRPr="007B0BFC">
              <w:rPr>
                <w:rFonts w:eastAsiaTheme="minorEastAsia"/>
                <w:b/>
                <w:i/>
                <w:color w:val="000000" w:themeColor="text1"/>
                <w:kern w:val="24"/>
                <w:sz w:val="17"/>
                <w:szCs w:val="17"/>
              </w:rPr>
              <w:t xml:space="preserve">impacts? </w:t>
            </w:r>
          </w:p>
        </w:tc>
      </w:tr>
      <w:tr w:rsidR="00D93A04" w:rsidRPr="00523391" w14:paraId="0F522B57" w14:textId="77777777" w:rsidTr="00E7068E">
        <w:trPr>
          <w:cnfStyle w:val="000000100000" w:firstRow="0" w:lastRow="0" w:firstColumn="0" w:lastColumn="0" w:oddVBand="0" w:evenVBand="0" w:oddHBand="1" w:evenHBand="0" w:firstRowFirstColumn="0" w:firstRowLastColumn="0" w:lastRowFirstColumn="0" w:lastRowLastColumn="0"/>
        </w:trPr>
        <w:tc>
          <w:tcPr>
            <w:tcW w:w="511" w:type="dxa"/>
          </w:tcPr>
          <w:p w14:paraId="67F8E773" w14:textId="77777777" w:rsidR="00D93A04" w:rsidRPr="007B0BFC" w:rsidRDefault="00D93A04" w:rsidP="00CB0F8F">
            <w:pPr>
              <w:rPr>
                <w:color w:val="000000" w:themeColor="text1"/>
                <w:sz w:val="17"/>
                <w:szCs w:val="17"/>
                <w:lang w:eastAsia="en-AU"/>
              </w:rPr>
            </w:pPr>
            <w:r w:rsidRPr="007B0BFC">
              <w:rPr>
                <w:rFonts w:ascii="Segoe UI Semibold" w:eastAsia="Segoe UI" w:hAnsi="Segoe UI Semibold" w:cs="Segoe UI"/>
                <w:color w:val="000000" w:themeColor="text1"/>
                <w:kern w:val="24"/>
                <w:sz w:val="17"/>
                <w:szCs w:val="17"/>
              </w:rPr>
              <w:t>5</w:t>
            </w:r>
          </w:p>
        </w:tc>
        <w:tc>
          <w:tcPr>
            <w:tcW w:w="2835" w:type="dxa"/>
          </w:tcPr>
          <w:p w14:paraId="52D41FDC" w14:textId="77777777" w:rsidR="00D93A04" w:rsidRPr="007B0BFC" w:rsidRDefault="00D93A04" w:rsidP="00CB0F8F">
            <w:pPr>
              <w:rPr>
                <w:color w:val="000000" w:themeColor="text1"/>
                <w:sz w:val="17"/>
                <w:szCs w:val="17"/>
                <w:lang w:eastAsia="en-AU"/>
              </w:rPr>
            </w:pPr>
            <w:r w:rsidRPr="007B0BFC">
              <w:rPr>
                <w:rFonts w:eastAsia="Segoe UI Semilight" w:cs="Segoe UI Semilight"/>
                <w:color w:val="000000" w:themeColor="text1"/>
                <w:kern w:val="24"/>
                <w:sz w:val="17"/>
                <w:szCs w:val="17"/>
              </w:rPr>
              <w:t xml:space="preserve">Existing evidence </w:t>
            </w:r>
          </w:p>
        </w:tc>
        <w:tc>
          <w:tcPr>
            <w:tcW w:w="4950" w:type="dxa"/>
          </w:tcPr>
          <w:p w14:paraId="2ED72925" w14:textId="77777777" w:rsidR="00D93A04" w:rsidRPr="007B0BFC" w:rsidRDefault="00D93A04" w:rsidP="00CB0F8F">
            <w:pPr>
              <w:rPr>
                <w:color w:val="000000" w:themeColor="text1"/>
                <w:sz w:val="17"/>
                <w:szCs w:val="17"/>
                <w:lang w:eastAsia="en-AU"/>
              </w:rPr>
            </w:pPr>
            <w:r w:rsidRPr="007B0BFC">
              <w:rPr>
                <w:rFonts w:eastAsia="Segoe UI Semilight" w:cs="Segoe UI Semilight"/>
                <w:color w:val="000000" w:themeColor="text1"/>
                <w:kern w:val="24"/>
                <w:sz w:val="17"/>
                <w:szCs w:val="17"/>
              </w:rPr>
              <w:t xml:space="preserve">5. </w:t>
            </w:r>
            <w:r w:rsidRPr="007B0BFC">
              <w:rPr>
                <w:rFonts w:eastAsia="Segoe UI Semilight" w:cs="Segoe UI Semilight"/>
                <w:i/>
                <w:color w:val="000000" w:themeColor="text1"/>
                <w:kern w:val="24"/>
                <w:sz w:val="17"/>
                <w:szCs w:val="17"/>
              </w:rPr>
              <w:t xml:space="preserve">Is there a strong and relevant </w:t>
            </w:r>
            <w:r w:rsidRPr="007B0BFC">
              <w:rPr>
                <w:rFonts w:eastAsia="Segoe UI Semilight" w:cs="Segoe UI Semilight"/>
                <w:b/>
                <w:i/>
                <w:color w:val="000000" w:themeColor="text1"/>
                <w:kern w:val="24"/>
                <w:sz w:val="17"/>
                <w:szCs w:val="17"/>
              </w:rPr>
              <w:t>evidence-base</w:t>
            </w:r>
            <w:r w:rsidRPr="007B0BFC">
              <w:rPr>
                <w:rFonts w:eastAsia="Segoe UI Semilight" w:cs="Segoe UI Semilight"/>
                <w:i/>
                <w:color w:val="000000" w:themeColor="text1"/>
                <w:kern w:val="24"/>
                <w:sz w:val="17"/>
                <w:szCs w:val="17"/>
              </w:rPr>
              <w:t xml:space="preserve"> in existence? </w:t>
            </w:r>
          </w:p>
        </w:tc>
      </w:tr>
    </w:tbl>
    <w:p w14:paraId="270AE966" w14:textId="77777777" w:rsidR="00D93A04" w:rsidRPr="00436EFE" w:rsidRDefault="00D93A04" w:rsidP="00D93A04">
      <w:pPr>
        <w:pStyle w:val="Bullet"/>
        <w:numPr>
          <w:ilvl w:val="0"/>
          <w:numId w:val="0"/>
        </w:numPr>
      </w:pPr>
    </w:p>
    <w:p w14:paraId="7FF35333" w14:textId="3F8F710D" w:rsidR="00D93A04" w:rsidRDefault="006F4B71" w:rsidP="00D93A04">
      <w:pPr>
        <w:pStyle w:val="Bullet"/>
        <w:numPr>
          <w:ilvl w:val="0"/>
          <w:numId w:val="0"/>
        </w:numPr>
        <w:ind w:left="680"/>
      </w:pPr>
      <w:r>
        <w:t xml:space="preserve">Once </w:t>
      </w:r>
      <w:r w:rsidR="005039FA">
        <w:t>criter</w:t>
      </w:r>
      <w:r w:rsidR="005770A9">
        <w:t>ia</w:t>
      </w:r>
      <w:r w:rsidR="005039FA">
        <w:t xml:space="preserve"> </w:t>
      </w:r>
      <w:r w:rsidR="005463E0">
        <w:t xml:space="preserve">and thresholds </w:t>
      </w:r>
      <w:r w:rsidR="005039FA">
        <w:t>for risk are agreed</w:t>
      </w:r>
      <w:r w:rsidR="005463E0">
        <w:t xml:space="preserve">, </w:t>
      </w:r>
      <w:r w:rsidR="006B2847">
        <w:t>processes</w:t>
      </w:r>
      <w:r w:rsidR="004647B7">
        <w:t xml:space="preserve"> and decision</w:t>
      </w:r>
      <w:r w:rsidR="00526A96">
        <w:t>-</w:t>
      </w:r>
      <w:r w:rsidR="004647B7">
        <w:t>making arrangements</w:t>
      </w:r>
      <w:r w:rsidR="006B2847">
        <w:t xml:space="preserve"> could be aligned to the risk level</w:t>
      </w:r>
      <w:r w:rsidR="00852FFB">
        <w:t xml:space="preserve"> (including the level of public consultation involved)</w:t>
      </w:r>
      <w:r w:rsidR="006B2847">
        <w:t>. For instance</w:t>
      </w:r>
      <w:r w:rsidR="00D93A04">
        <w:t>:</w:t>
      </w:r>
    </w:p>
    <w:p w14:paraId="4C6D8E03" w14:textId="15A603CD" w:rsidR="00D93A04" w:rsidRPr="00436EFE" w:rsidRDefault="00D93A04" w:rsidP="00760794">
      <w:pPr>
        <w:pStyle w:val="Bullet"/>
        <w:numPr>
          <w:ilvl w:val="2"/>
          <w:numId w:val="3"/>
        </w:numPr>
      </w:pPr>
      <w:r w:rsidRPr="00436EFE">
        <w:t>amendment</w:t>
      </w:r>
      <w:r>
        <w:t>s</w:t>
      </w:r>
      <w:r w:rsidRPr="00436EFE">
        <w:t xml:space="preserve"> that are considered ‘low risk’ might follow a process similar to that currently set out for minor var</w:t>
      </w:r>
      <w:r>
        <w:t>i</w:t>
      </w:r>
      <w:r w:rsidRPr="00436EFE">
        <w:t>ations</w:t>
      </w:r>
    </w:p>
    <w:p w14:paraId="47ECA7B2" w14:textId="580FCD10" w:rsidR="00D93A04" w:rsidRDefault="00D93A04">
      <w:pPr>
        <w:pStyle w:val="Bullet"/>
        <w:numPr>
          <w:ilvl w:val="2"/>
          <w:numId w:val="3"/>
        </w:numPr>
      </w:pPr>
      <w:r>
        <w:t>medium risk amendments might follow a process similar to that set out for codes of practice</w:t>
      </w:r>
    </w:p>
    <w:p w14:paraId="541D5F4B" w14:textId="69E18261" w:rsidR="00D93A04" w:rsidRDefault="00D93A04">
      <w:pPr>
        <w:pStyle w:val="Bullet"/>
        <w:numPr>
          <w:ilvl w:val="2"/>
          <w:numId w:val="3"/>
        </w:numPr>
      </w:pPr>
      <w:r>
        <w:t xml:space="preserve">high risk applications might follow </w:t>
      </w:r>
      <w:r w:rsidR="00933CC4">
        <w:t xml:space="preserve">a </w:t>
      </w:r>
      <w:r>
        <w:t>process similar to major variation</w:t>
      </w:r>
    </w:p>
    <w:p w14:paraId="2EE3B9D6" w14:textId="4657F079" w:rsidR="00D93A04" w:rsidRDefault="006B2847" w:rsidP="006D550B">
      <w:pPr>
        <w:pStyle w:val="Bullet"/>
        <w:numPr>
          <w:ilvl w:val="2"/>
          <w:numId w:val="3"/>
        </w:numPr>
      </w:pPr>
      <w:r>
        <w:t>p</w:t>
      </w:r>
      <w:r w:rsidR="00DE6827">
        <w:t>rovision</w:t>
      </w:r>
      <w:r w:rsidR="00D93A04">
        <w:t xml:space="preserve"> for urgent amendments could be retained.</w:t>
      </w:r>
    </w:p>
    <w:p w14:paraId="36B13A7C" w14:textId="747A3674" w:rsidR="002559F4" w:rsidRDefault="00933CC4" w:rsidP="00E7068E">
      <w:pPr>
        <w:pStyle w:val="Bullet"/>
        <w:numPr>
          <w:ilvl w:val="0"/>
          <w:numId w:val="0"/>
        </w:numPr>
        <w:ind w:left="680"/>
      </w:pPr>
      <w:r>
        <w:t xml:space="preserve">Should a risk framework be agreed, separate work would be required to determine </w:t>
      </w:r>
      <w:r w:rsidR="00996540">
        <w:t>the decision</w:t>
      </w:r>
      <w:r w:rsidR="008119EA">
        <w:t>-</w:t>
      </w:r>
      <w:r w:rsidR="00996540">
        <w:t xml:space="preserve">making arrangements for triaging applications and proposals and </w:t>
      </w:r>
      <w:r w:rsidR="0049574A">
        <w:t>deciding</w:t>
      </w:r>
      <w:r w:rsidR="00996540">
        <w:t xml:space="preserve"> an overall risk profile. This may need to be </w:t>
      </w:r>
      <w:r w:rsidR="003C372B">
        <w:t>regularly reviewed</w:t>
      </w:r>
      <w:r w:rsidR="00DD3D6E">
        <w:t xml:space="preserve"> to ensure that </w:t>
      </w:r>
      <w:r w:rsidR="002A0A77">
        <w:t>it</w:t>
      </w:r>
      <w:r w:rsidR="007211BC">
        <w:t xml:space="preserve"> remain</w:t>
      </w:r>
      <w:r w:rsidR="002A0A77">
        <w:t>s</w:t>
      </w:r>
      <w:r w:rsidR="007211BC">
        <w:t xml:space="preserve"> up-to-date </w:t>
      </w:r>
      <w:r w:rsidR="00C12A93">
        <w:t>and fit-for-purpose</w:t>
      </w:r>
      <w:r w:rsidR="002A0A77">
        <w:t xml:space="preserve">, particularly as successive governments and FSANZ leadership may have different approaches or appetites to </w:t>
      </w:r>
      <w:r w:rsidR="00E30063">
        <w:t>risk management</w:t>
      </w:r>
      <w:r w:rsidR="002A0A77">
        <w:t xml:space="preserve">. </w:t>
      </w:r>
    </w:p>
    <w:p w14:paraId="566AEC82" w14:textId="051DC841" w:rsidR="008B3FEC" w:rsidRDefault="007E4C8F" w:rsidP="00DA3E0D">
      <w:pPr>
        <w:pStyle w:val="Heading3"/>
      </w:pPr>
      <w:bookmarkStart w:id="72" w:name="_Ref51333485"/>
      <w:r>
        <w:t>Reform idea 9</w:t>
      </w:r>
      <w:r w:rsidR="00C07BDB">
        <w:t xml:space="preserve"> </w:t>
      </w:r>
      <w:r>
        <w:t>–</w:t>
      </w:r>
      <w:r w:rsidR="008B3FEC">
        <w:t xml:space="preserve"> Redefine the decision-making </w:t>
      </w:r>
      <w:r w:rsidR="007D4B3C">
        <w:t>arrangements</w:t>
      </w:r>
      <w:r w:rsidR="008B3FEC">
        <w:t xml:space="preserve"> </w:t>
      </w:r>
      <w:r w:rsidR="00DA3E0D">
        <w:t xml:space="preserve">to support </w:t>
      </w:r>
      <w:r w:rsidR="00AB2FB7">
        <w:t xml:space="preserve">timelier and </w:t>
      </w:r>
      <w:r w:rsidR="00DA3E0D">
        <w:t>more efficient sign-off of regulatory measures</w:t>
      </w:r>
      <w:bookmarkEnd w:id="72"/>
    </w:p>
    <w:p w14:paraId="20D53DDC" w14:textId="632946E7" w:rsidR="00030368" w:rsidRPr="00436EFE" w:rsidRDefault="00B27B92" w:rsidP="00AB2FB7">
      <w:pPr>
        <w:pStyle w:val="Bullet"/>
        <w:numPr>
          <w:ilvl w:val="0"/>
          <w:numId w:val="0"/>
        </w:numPr>
      </w:pPr>
      <w:r>
        <w:t xml:space="preserve">The risk framework could be used to distinguish between amendments that are highly technical in nature </w:t>
      </w:r>
      <w:r w:rsidR="000268B5">
        <w:t xml:space="preserve">and which have low-regulatory impact </w:t>
      </w:r>
      <w:r w:rsidR="003064F3">
        <w:t xml:space="preserve">and which may be of limited relevance </w:t>
      </w:r>
      <w:r w:rsidR="00773E1F">
        <w:t xml:space="preserve">to </w:t>
      </w:r>
      <w:r w:rsidR="003064F3">
        <w:t>the Forum as the system’s policy steward</w:t>
      </w:r>
      <w:r w:rsidR="00962DAA">
        <w:t xml:space="preserve"> (for example, processing aid amendments)</w:t>
      </w:r>
      <w:r w:rsidR="00B44AFF">
        <w:t>; compared to</w:t>
      </w:r>
      <w:r w:rsidR="000268B5">
        <w:t xml:space="preserve"> </w:t>
      </w:r>
      <w:r w:rsidR="00962DAA">
        <w:t xml:space="preserve">high-impact amendments that </w:t>
      </w:r>
      <w:r w:rsidR="008167BF">
        <w:t>have broad-ranging political and economic consequences, which are likely to be of key inter</w:t>
      </w:r>
      <w:r w:rsidR="00FA554C">
        <w:t xml:space="preserve">est to Ministers (for example, the recent proposal to mandate pregnancy warnings on alcohol). </w:t>
      </w:r>
      <w:r w:rsidR="00550F7E">
        <w:t xml:space="preserve">The Act could then permit </w:t>
      </w:r>
      <w:r w:rsidR="00EA336B">
        <w:t xml:space="preserve">for decisions about draft food regulatory measures to be made </w:t>
      </w:r>
      <w:r w:rsidR="00636BEA">
        <w:t xml:space="preserve">efficiently by the most appropriate </w:t>
      </w:r>
      <w:r w:rsidR="00AB799A">
        <w:t>decision-makers</w:t>
      </w:r>
      <w:r w:rsidR="004D1F29">
        <w:t>,</w:t>
      </w:r>
      <w:r w:rsidR="00AB799A">
        <w:t xml:space="preserve"> commensurate with risk. </w:t>
      </w:r>
      <w:r w:rsidR="00277F2F">
        <w:t xml:space="preserve">Changes could </w:t>
      </w:r>
      <w:r w:rsidR="008346A1">
        <w:t>include</w:t>
      </w:r>
      <w:r w:rsidR="00AB799A">
        <w:t>:</w:t>
      </w:r>
    </w:p>
    <w:p w14:paraId="5A0ECB0C" w14:textId="77777777" w:rsidR="0054646F" w:rsidRPr="00E0390E" w:rsidRDefault="00D93A04" w:rsidP="006673CC">
      <w:pPr>
        <w:pStyle w:val="Bullet"/>
        <w:rPr>
          <w:rFonts w:asciiTheme="majorHAnsi" w:hAnsiTheme="majorHAnsi"/>
        </w:rPr>
      </w:pPr>
      <w:r w:rsidRPr="00253624">
        <w:rPr>
          <w:rFonts w:asciiTheme="majorHAnsi" w:hAnsiTheme="majorHAnsi"/>
        </w:rPr>
        <w:lastRenderedPageBreak/>
        <w:t>Provi</w:t>
      </w:r>
      <w:r w:rsidR="009F46B0">
        <w:rPr>
          <w:rFonts w:asciiTheme="majorHAnsi" w:hAnsiTheme="majorHAnsi"/>
        </w:rPr>
        <w:t>d</w:t>
      </w:r>
      <w:r w:rsidR="008346A1">
        <w:rPr>
          <w:rFonts w:asciiTheme="majorHAnsi" w:hAnsiTheme="majorHAnsi"/>
        </w:rPr>
        <w:t>ing</w:t>
      </w:r>
      <w:r w:rsidR="00573F0F">
        <w:rPr>
          <w:rFonts w:asciiTheme="majorHAnsi" w:hAnsiTheme="majorHAnsi"/>
        </w:rPr>
        <w:t xml:space="preserve"> </w:t>
      </w:r>
      <w:r w:rsidRPr="00253624">
        <w:rPr>
          <w:rFonts w:asciiTheme="majorHAnsi" w:hAnsiTheme="majorHAnsi"/>
        </w:rPr>
        <w:t xml:space="preserve">for both the Forum and the FSANZ Board to delegate decision-making about </w:t>
      </w:r>
      <w:r w:rsidR="005007F7">
        <w:rPr>
          <w:rFonts w:asciiTheme="majorHAnsi" w:hAnsiTheme="majorHAnsi"/>
        </w:rPr>
        <w:t>f</w:t>
      </w:r>
      <w:r w:rsidRPr="00253624">
        <w:rPr>
          <w:rFonts w:asciiTheme="majorHAnsi" w:hAnsiTheme="majorHAnsi"/>
        </w:rPr>
        <w:t>ood standards</w:t>
      </w:r>
      <w:r w:rsidR="00576FD0">
        <w:rPr>
          <w:rFonts w:asciiTheme="majorHAnsi" w:hAnsiTheme="majorHAnsi"/>
        </w:rPr>
        <w:t xml:space="preserve"> </w:t>
      </w:r>
      <w:r w:rsidR="000878EC">
        <w:rPr>
          <w:rFonts w:asciiTheme="majorHAnsi" w:hAnsiTheme="majorHAnsi"/>
        </w:rPr>
        <w:t>–</w:t>
      </w:r>
      <w:r w:rsidR="00576FD0">
        <w:t xml:space="preserve"> </w:t>
      </w:r>
      <w:r w:rsidR="00623C8F">
        <w:t>The Act could be amended</w:t>
      </w:r>
      <w:r>
        <w:t xml:space="preserve"> to </w:t>
      </w:r>
      <w:r w:rsidR="00623C8F">
        <w:t>enable the FSANZ Board to delegate decision-making responsibilities for draft standards or variations, and/or</w:t>
      </w:r>
      <w:r>
        <w:t xml:space="preserve"> for the Forum to delegate decision</w:t>
      </w:r>
      <w:r w:rsidR="00AA761F">
        <w:t xml:space="preserve">-making </w:t>
      </w:r>
      <w:r w:rsidR="00B64968">
        <w:t>following Board approval.</w:t>
      </w:r>
      <w:r>
        <w:t xml:space="preserve"> This </w:t>
      </w:r>
      <w:r w:rsidR="00B64968">
        <w:t xml:space="preserve">could be a general power or could be constrained to apply to ‘low’ and ‘medium’ risk </w:t>
      </w:r>
      <w:r w:rsidR="005243CB">
        <w:t xml:space="preserve">changes. </w:t>
      </w:r>
    </w:p>
    <w:p w14:paraId="5F7CC00F" w14:textId="41B8F5D5" w:rsidR="00AF174B" w:rsidRDefault="001C7157" w:rsidP="00E0390E">
      <w:pPr>
        <w:pStyle w:val="Bullet"/>
        <w:numPr>
          <w:ilvl w:val="0"/>
          <w:numId w:val="0"/>
        </w:numPr>
        <w:ind w:left="340"/>
      </w:pPr>
      <w:r>
        <w:t xml:space="preserve">Decisions delegated by the Forum could be made by </w:t>
      </w:r>
      <w:r w:rsidR="00FF1722">
        <w:t xml:space="preserve">each minister </w:t>
      </w:r>
      <w:r w:rsidR="002F1CB2">
        <w:t xml:space="preserve">- </w:t>
      </w:r>
      <w:r w:rsidR="00FF1722">
        <w:t xml:space="preserve">or </w:t>
      </w:r>
      <w:r w:rsidR="00FF1722" w:rsidRPr="00E0390E">
        <w:rPr>
          <w:i/>
        </w:rPr>
        <w:t xml:space="preserve">their </w:t>
      </w:r>
      <w:r w:rsidR="00FF1722">
        <w:t>delegate</w:t>
      </w:r>
      <w:r w:rsidR="002F1CB2">
        <w:t xml:space="preserve"> -</w:t>
      </w:r>
      <w:r w:rsidR="00C962BF">
        <w:t xml:space="preserve"> with each </w:t>
      </w:r>
      <w:r w:rsidR="00042D60">
        <w:t xml:space="preserve">jurisdiction </w:t>
      </w:r>
      <w:r w:rsidR="001D3A6C">
        <w:t>ultimately casting a vote on an amendment</w:t>
      </w:r>
      <w:r w:rsidR="00FF1722">
        <w:t xml:space="preserve">. </w:t>
      </w:r>
      <w:r w:rsidR="00C962BF">
        <w:t>This means that in some jurisdictions</w:t>
      </w:r>
      <w:r w:rsidR="001D3A6C">
        <w:t xml:space="preserve">, the Minister him or herself would vote, whereas in other jurisdictions another person, such as </w:t>
      </w:r>
      <w:r>
        <w:t xml:space="preserve">a head of </w:t>
      </w:r>
      <w:r w:rsidR="002B05EA">
        <w:t xml:space="preserve">a </w:t>
      </w:r>
      <w:r>
        <w:t>government department</w:t>
      </w:r>
      <w:r w:rsidR="000A3DB3">
        <w:t xml:space="preserve">, </w:t>
      </w:r>
      <w:r w:rsidR="002B05EA">
        <w:t>might vote.</w:t>
      </w:r>
      <w:r w:rsidR="00AF174B">
        <w:t xml:space="preserve"> How these votes are treated as a ‘Forum decision’ would align with arrangements set out in the </w:t>
      </w:r>
      <w:r w:rsidR="007B2076">
        <w:t>FRA</w:t>
      </w:r>
      <w:r w:rsidR="00AF174B">
        <w:t xml:space="preserve">. </w:t>
      </w:r>
    </w:p>
    <w:p w14:paraId="2B11F8B3" w14:textId="2B6BC870" w:rsidR="00D74440" w:rsidRPr="009F46B0" w:rsidRDefault="00D74440" w:rsidP="00E0390E">
      <w:pPr>
        <w:pStyle w:val="Bullet"/>
        <w:numPr>
          <w:ilvl w:val="0"/>
          <w:numId w:val="0"/>
        </w:numPr>
        <w:ind w:left="340"/>
        <w:rPr>
          <w:rFonts w:asciiTheme="majorHAnsi" w:hAnsiTheme="majorHAnsi"/>
        </w:rPr>
      </w:pPr>
      <w:r w:rsidRPr="009F46B0">
        <w:rPr>
          <w:rFonts w:asciiTheme="minorHAnsi" w:hAnsiTheme="minorHAnsi" w:cstheme="minorHAnsi"/>
        </w:rPr>
        <w:t xml:space="preserve">Decisions delegated by the FSANZ Board could be </w:t>
      </w:r>
      <w:r w:rsidR="004011E3" w:rsidRPr="009F46B0">
        <w:rPr>
          <w:rFonts w:asciiTheme="minorHAnsi" w:hAnsiTheme="minorHAnsi" w:cstheme="minorHAnsi"/>
        </w:rPr>
        <w:t xml:space="preserve">made by FSANZ’s CEO. </w:t>
      </w:r>
    </w:p>
    <w:p w14:paraId="4BB8984E" w14:textId="26DFBF28" w:rsidR="000D577A" w:rsidRPr="00615E2C" w:rsidRDefault="002F5FAD" w:rsidP="006673CC">
      <w:pPr>
        <w:pStyle w:val="Bullet"/>
        <w:rPr>
          <w:rFonts w:asciiTheme="majorHAnsi" w:hAnsiTheme="majorHAnsi"/>
        </w:rPr>
      </w:pPr>
      <w:r>
        <w:rPr>
          <w:rFonts w:asciiTheme="majorHAnsi" w:hAnsiTheme="majorHAnsi"/>
        </w:rPr>
        <w:t>Provide</w:t>
      </w:r>
      <w:r w:rsidR="00750A0F">
        <w:rPr>
          <w:rFonts w:asciiTheme="majorHAnsi" w:hAnsiTheme="majorHAnsi"/>
        </w:rPr>
        <w:t xml:space="preserve"> for the Forum to delegate decision-making to FSANZ </w:t>
      </w:r>
      <w:r w:rsidR="001C7157">
        <w:rPr>
          <w:rFonts w:asciiTheme="majorHAnsi" w:hAnsiTheme="majorHAnsi"/>
        </w:rPr>
        <w:t xml:space="preserve">for </w:t>
      </w:r>
      <w:r w:rsidR="000D577A">
        <w:rPr>
          <w:rFonts w:asciiTheme="majorHAnsi" w:hAnsiTheme="majorHAnsi"/>
        </w:rPr>
        <w:t>more low risk, technical amendments</w:t>
      </w:r>
      <w:r w:rsidR="004011E3">
        <w:rPr>
          <w:rFonts w:asciiTheme="majorHAnsi" w:hAnsiTheme="majorHAnsi"/>
        </w:rPr>
        <w:t xml:space="preserve"> - </w:t>
      </w:r>
      <w:r w:rsidR="000D577A">
        <w:rPr>
          <w:rFonts w:asciiTheme="minorHAnsi" w:hAnsiTheme="minorHAnsi" w:cstheme="minorHAnsi"/>
        </w:rPr>
        <w:t xml:space="preserve">This change could remove the Forum from some decision-making </w:t>
      </w:r>
      <w:r w:rsidR="00D74440">
        <w:rPr>
          <w:rFonts w:asciiTheme="minorHAnsi" w:hAnsiTheme="minorHAnsi" w:cstheme="minorHAnsi"/>
        </w:rPr>
        <w:t xml:space="preserve">arrangements </w:t>
      </w:r>
      <w:r w:rsidR="00B411A0">
        <w:rPr>
          <w:rFonts w:asciiTheme="minorHAnsi" w:hAnsiTheme="minorHAnsi" w:cstheme="minorHAnsi"/>
        </w:rPr>
        <w:t xml:space="preserve">(e.g. </w:t>
      </w:r>
      <w:r w:rsidR="00473345">
        <w:rPr>
          <w:rFonts w:asciiTheme="minorHAnsi" w:hAnsiTheme="minorHAnsi" w:cstheme="minorHAnsi"/>
        </w:rPr>
        <w:t xml:space="preserve">routine processing aid amendments) </w:t>
      </w:r>
      <w:r w:rsidR="00D74440">
        <w:rPr>
          <w:rFonts w:asciiTheme="minorHAnsi" w:hAnsiTheme="minorHAnsi" w:cstheme="minorHAnsi"/>
        </w:rPr>
        <w:t xml:space="preserve">and enable FSANZ to </w:t>
      </w:r>
      <w:r w:rsidR="008B3FEC">
        <w:rPr>
          <w:rFonts w:asciiTheme="minorHAnsi" w:hAnsiTheme="minorHAnsi" w:cstheme="minorHAnsi"/>
        </w:rPr>
        <w:t xml:space="preserve">ratify amendments in a </w:t>
      </w:r>
      <w:r w:rsidR="008B680B">
        <w:rPr>
          <w:rFonts w:asciiTheme="minorHAnsi" w:hAnsiTheme="minorHAnsi" w:cstheme="minorHAnsi"/>
        </w:rPr>
        <w:t>tim</w:t>
      </w:r>
      <w:r w:rsidR="006201A9">
        <w:rPr>
          <w:rFonts w:asciiTheme="minorHAnsi" w:hAnsiTheme="minorHAnsi" w:cstheme="minorHAnsi"/>
        </w:rPr>
        <w:t>e</w:t>
      </w:r>
      <w:r w:rsidR="008B680B">
        <w:rPr>
          <w:rFonts w:asciiTheme="minorHAnsi" w:hAnsiTheme="minorHAnsi" w:cstheme="minorHAnsi"/>
        </w:rPr>
        <w:t>lier</w:t>
      </w:r>
      <w:r w:rsidR="008B3FEC">
        <w:rPr>
          <w:rFonts w:asciiTheme="minorHAnsi" w:hAnsiTheme="minorHAnsi" w:cstheme="minorHAnsi"/>
        </w:rPr>
        <w:t xml:space="preserve"> way.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8B30E5" w14:paraId="7CE41D8E" w14:textId="77777777" w:rsidTr="00747266">
        <w:tc>
          <w:tcPr>
            <w:tcW w:w="9055" w:type="dxa"/>
            <w:shd w:val="clear" w:color="auto" w:fill="00264D" w:themeFill="background2"/>
          </w:tcPr>
          <w:p w14:paraId="13C9F5DE" w14:textId="77777777" w:rsidR="008B30E5" w:rsidRPr="00835584" w:rsidRDefault="008B30E5" w:rsidP="0074726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50671F8E" w14:textId="3BF95E5E" w:rsidR="00FE23D7" w:rsidRDefault="00F216FE"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 xml:space="preserve">To what degree are the </w:t>
            </w:r>
            <w:r w:rsidR="00715F70">
              <w:rPr>
                <w:rFonts w:asciiTheme="minorHAnsi" w:hAnsiTheme="minorHAnsi" w:cstheme="minorHAnsi"/>
                <w:color w:val="FFFFFF" w:themeColor="background1"/>
                <w:lang w:eastAsia="en-AU"/>
              </w:rPr>
              <w:t>current statutory application and proposal processes</w:t>
            </w:r>
            <w:r>
              <w:rPr>
                <w:rFonts w:asciiTheme="minorHAnsi" w:hAnsiTheme="minorHAnsi" w:cstheme="minorHAnsi"/>
                <w:color w:val="FFFFFF" w:themeColor="background1"/>
                <w:lang w:eastAsia="en-AU"/>
              </w:rPr>
              <w:t xml:space="preserve"> an</w:t>
            </w:r>
            <w:r w:rsidR="001E0DA4">
              <w:rPr>
                <w:rFonts w:asciiTheme="minorHAnsi" w:hAnsiTheme="minorHAnsi" w:cstheme="minorHAnsi"/>
                <w:color w:val="FFFFFF" w:themeColor="background1"/>
                <w:lang w:eastAsia="en-AU"/>
              </w:rPr>
              <w:t xml:space="preserve"> issue</w:t>
            </w:r>
            <w:r>
              <w:rPr>
                <w:rFonts w:asciiTheme="minorHAnsi" w:hAnsiTheme="minorHAnsi" w:cstheme="minorHAnsi"/>
                <w:color w:val="FFFFFF" w:themeColor="background1"/>
                <w:lang w:eastAsia="en-AU"/>
              </w:rPr>
              <w:t xml:space="preserve"> for the sy</w:t>
            </w:r>
            <w:r w:rsidR="003B7C50">
              <w:rPr>
                <w:rFonts w:asciiTheme="minorHAnsi" w:hAnsiTheme="minorHAnsi" w:cstheme="minorHAnsi"/>
                <w:color w:val="FFFFFF" w:themeColor="background1"/>
                <w:lang w:eastAsia="en-AU"/>
              </w:rPr>
              <w:t>s</w:t>
            </w:r>
            <w:r>
              <w:rPr>
                <w:rFonts w:asciiTheme="minorHAnsi" w:hAnsiTheme="minorHAnsi" w:cstheme="minorHAnsi"/>
                <w:color w:val="FFFFFF" w:themeColor="background1"/>
                <w:lang w:eastAsia="en-AU"/>
              </w:rPr>
              <w:t xml:space="preserve">tem? What are the types of problems that different stakeholder groups face as a consequence? </w:t>
            </w:r>
            <w:r w:rsidR="001E0DA4">
              <w:rPr>
                <w:rFonts w:asciiTheme="minorHAnsi" w:hAnsiTheme="minorHAnsi" w:cstheme="minorHAnsi"/>
                <w:color w:val="FFFFFF" w:themeColor="background1"/>
                <w:lang w:eastAsia="en-AU"/>
              </w:rPr>
              <w:br/>
            </w:r>
          </w:p>
          <w:p w14:paraId="45E9F5FA" w14:textId="50ABC7BC" w:rsidR="008B30E5" w:rsidRPr="00CB3353" w:rsidRDefault="008B30E5">
            <w:pPr>
              <w:pStyle w:val="ListParagraph"/>
              <w:numPr>
                <w:ilvl w:val="0"/>
                <w:numId w:val="15"/>
              </w:numPr>
              <w:rPr>
                <w:rFonts w:asciiTheme="minorHAnsi" w:hAnsiTheme="minorHAnsi" w:cstheme="minorHAnsi"/>
                <w:color w:val="FFFFFF" w:themeColor="background1"/>
                <w:lang w:eastAsia="en-AU"/>
              </w:rPr>
            </w:pPr>
            <w:r w:rsidRPr="00E56C62">
              <w:rPr>
                <w:rFonts w:asciiTheme="minorHAnsi" w:hAnsiTheme="minorHAnsi" w:cstheme="minorHAnsi"/>
                <w:color w:val="FFFFFF" w:themeColor="background1"/>
                <w:lang w:eastAsia="en-AU"/>
              </w:rPr>
              <w:t xml:space="preserve">What would be the impact (positive, negative or otherwise) of implementing each of the </w:t>
            </w:r>
            <w:r w:rsidR="00A55F84">
              <w:rPr>
                <w:rFonts w:asciiTheme="minorHAnsi" w:hAnsiTheme="minorHAnsi" w:cstheme="minorHAnsi"/>
                <w:color w:val="FFFFFF" w:themeColor="background1"/>
                <w:lang w:eastAsia="en-AU"/>
              </w:rPr>
              <w:t>reform ideas</w:t>
            </w:r>
            <w:r w:rsidR="00A55F84" w:rsidRPr="00E56C62">
              <w:rPr>
                <w:rFonts w:asciiTheme="minorHAnsi" w:hAnsiTheme="minorHAnsi" w:cstheme="minorHAnsi"/>
                <w:color w:val="FFFFFF" w:themeColor="background1"/>
                <w:lang w:eastAsia="en-AU"/>
              </w:rPr>
              <w:t xml:space="preserve"> </w:t>
            </w:r>
            <w:r w:rsidRPr="00CB3353">
              <w:rPr>
                <w:rFonts w:asciiTheme="minorHAnsi" w:hAnsiTheme="minorHAnsi" w:cstheme="minorHAnsi"/>
                <w:color w:val="FFFFFF" w:themeColor="background1"/>
                <w:lang w:eastAsia="en-AU"/>
              </w:rPr>
              <w:t xml:space="preserve">below? How could the outcome specified for each </w:t>
            </w:r>
            <w:r w:rsidR="002A389D">
              <w:rPr>
                <w:rFonts w:asciiTheme="minorHAnsi" w:hAnsiTheme="minorHAnsi" w:cstheme="minorHAnsi"/>
                <w:color w:val="FFFFFF" w:themeColor="background1"/>
                <w:lang w:eastAsia="en-AU"/>
              </w:rPr>
              <w:t>reform idea</w:t>
            </w:r>
            <w:r w:rsidR="002A389D" w:rsidRPr="00CB3353">
              <w:rPr>
                <w:rFonts w:asciiTheme="minorHAnsi" w:hAnsiTheme="minorHAnsi" w:cstheme="minorHAnsi"/>
                <w:color w:val="FFFFFF" w:themeColor="background1"/>
                <w:lang w:eastAsia="en-AU"/>
              </w:rPr>
              <w:t xml:space="preserve"> </w:t>
            </w:r>
            <w:r w:rsidRPr="00CB3353">
              <w:rPr>
                <w:rFonts w:asciiTheme="minorHAnsi" w:hAnsiTheme="minorHAnsi" w:cstheme="minorHAnsi"/>
                <w:color w:val="FFFFFF" w:themeColor="background1"/>
                <w:lang w:eastAsia="en-AU"/>
              </w:rPr>
              <w:t>best be achieved?</w:t>
            </w:r>
          </w:p>
          <w:p w14:paraId="5F220947" w14:textId="68C3112D" w:rsidR="00CB3353" w:rsidRPr="008A6DAF" w:rsidRDefault="00CB3353">
            <w:pPr>
              <w:pStyle w:val="ListParagraph"/>
              <w:numPr>
                <w:ilvl w:val="0"/>
                <w:numId w:val="28"/>
              </w:numPr>
              <w:spacing w:before="120"/>
              <w:ind w:left="1077" w:hanging="357"/>
              <w:contextualSpacing w:val="0"/>
              <w:rPr>
                <w:color w:val="FFFFFF" w:themeColor="background1"/>
              </w:rPr>
            </w:pPr>
            <w:r w:rsidRPr="008A6DAF">
              <w:rPr>
                <w:color w:val="FFFFFF" w:themeColor="background1"/>
              </w:rPr>
              <w:fldChar w:fldCharType="begin"/>
            </w:r>
            <w:r w:rsidRPr="008A6DAF">
              <w:rPr>
                <w:color w:val="FFFFFF" w:themeColor="background1"/>
              </w:rPr>
              <w:instrText xml:space="preserve"> REF _Ref51341328 \h </w:instrText>
            </w:r>
            <w:r w:rsidR="009F46B0" w:rsidRPr="008A6DAF">
              <w:rPr>
                <w:color w:val="FFFFFF" w:themeColor="background1"/>
              </w:rPr>
              <w:instrText xml:space="preserve"> \* MERGEFORMAT </w:instrText>
            </w:r>
            <w:r w:rsidRPr="008A6DAF">
              <w:rPr>
                <w:color w:val="FFFFFF" w:themeColor="background1"/>
              </w:rPr>
            </w:r>
            <w:r w:rsidRPr="008A6DAF">
              <w:rPr>
                <w:color w:val="FFFFFF" w:themeColor="background1"/>
              </w:rPr>
              <w:fldChar w:fldCharType="separate"/>
            </w:r>
            <w:r w:rsidR="001C5CC6" w:rsidRPr="008A6DAF">
              <w:rPr>
                <w:color w:val="FFFFFF" w:themeColor="background1"/>
              </w:rPr>
              <w:t>Reform idea 8 – Reframe legislation to support more agile, risk-based processes</w:t>
            </w:r>
            <w:r w:rsidRPr="008A6DAF">
              <w:rPr>
                <w:color w:val="FFFFFF" w:themeColor="background1"/>
              </w:rPr>
              <w:fldChar w:fldCharType="end"/>
            </w:r>
          </w:p>
          <w:p w14:paraId="355B7353" w14:textId="7FBCCD71" w:rsidR="00CB3353" w:rsidRPr="00FF73FE" w:rsidRDefault="00CB3353">
            <w:pPr>
              <w:pStyle w:val="ListParagraph"/>
              <w:numPr>
                <w:ilvl w:val="0"/>
                <w:numId w:val="28"/>
              </w:numPr>
              <w:spacing w:before="120"/>
              <w:ind w:left="1077" w:hanging="357"/>
              <w:contextualSpacing w:val="0"/>
              <w:rPr>
                <w:color w:val="FFFFFF" w:themeColor="background1"/>
              </w:rPr>
            </w:pPr>
            <w:r w:rsidRPr="00FF73FE">
              <w:rPr>
                <w:color w:val="FFFFFF" w:themeColor="background1"/>
              </w:rPr>
              <w:fldChar w:fldCharType="begin"/>
            </w:r>
            <w:r w:rsidRPr="00FF73FE">
              <w:rPr>
                <w:color w:val="FFFFFF" w:themeColor="background1"/>
              </w:rPr>
              <w:instrText xml:space="preserve"> REF _Ref51333485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Reform idea 9 – Redefine the decision-making arrangements to support timelier and more efficient sign-off of regulatory measures</w:t>
            </w:r>
            <w:r w:rsidRPr="00FF73FE">
              <w:rPr>
                <w:color w:val="FFFFFF" w:themeColor="background1"/>
              </w:rPr>
              <w:fldChar w:fldCharType="end"/>
            </w:r>
          </w:p>
          <w:p w14:paraId="75313C52" w14:textId="527923B0" w:rsidR="008B30E5" w:rsidRPr="00E25160" w:rsidRDefault="008B30E5" w:rsidP="00760794">
            <w:pPr>
              <w:pStyle w:val="ListParagraph"/>
              <w:numPr>
                <w:ilvl w:val="0"/>
                <w:numId w:val="15"/>
              </w:numPr>
              <w:contextualSpacing w:val="0"/>
              <w:rPr>
                <w:color w:val="FFFFFF" w:themeColor="background1"/>
                <w:lang w:eastAsia="en-AU"/>
              </w:rPr>
            </w:pPr>
            <w:r w:rsidRPr="00E56C62">
              <w:rPr>
                <w:rFonts w:asciiTheme="minorHAnsi" w:hAnsiTheme="minorHAnsi" w:cstheme="minorHAnsi"/>
                <w:color w:val="FFFFFF" w:themeColor="background1"/>
                <w:lang w:eastAsia="en-AU"/>
              </w:rPr>
              <w:t xml:space="preserve">Are there other potential solutions relating to </w:t>
            </w:r>
            <w:r w:rsidR="001450C2">
              <w:rPr>
                <w:rFonts w:asciiTheme="minorHAnsi" w:hAnsiTheme="minorHAnsi" w:cstheme="minorHAnsi"/>
                <w:color w:val="FFFFFF" w:themeColor="background1"/>
                <w:lang w:eastAsia="en-AU"/>
              </w:rPr>
              <w:t>streamlining current legislative process to develop or vary</w:t>
            </w:r>
            <w:r>
              <w:rPr>
                <w:rFonts w:asciiTheme="minorHAnsi" w:hAnsiTheme="minorHAnsi" w:cstheme="minorHAnsi"/>
                <w:color w:val="FFFFFF" w:themeColor="background1"/>
                <w:lang w:eastAsia="en-AU"/>
              </w:rPr>
              <w:t xml:space="preserve"> regulatory measures</w:t>
            </w:r>
            <w:r w:rsidRPr="00E56C62">
              <w:rPr>
                <w:rFonts w:asciiTheme="minorHAnsi" w:hAnsiTheme="minorHAnsi" w:cstheme="minorHAnsi"/>
                <w:color w:val="FFFFFF" w:themeColor="background1"/>
                <w:lang w:eastAsia="en-AU"/>
              </w:rPr>
              <w:t>?</w:t>
            </w:r>
            <w:r>
              <w:rPr>
                <w:rFonts w:asciiTheme="minorHAnsi" w:hAnsiTheme="minorHAnsi" w:cstheme="minorHAnsi"/>
                <w:color w:val="FFFFFF" w:themeColor="background1"/>
                <w:lang w:eastAsia="en-AU"/>
              </w:rPr>
              <w:t xml:space="preserve"> </w:t>
            </w:r>
          </w:p>
        </w:tc>
      </w:tr>
    </w:tbl>
    <w:p w14:paraId="68C275AA" w14:textId="75848CA1" w:rsidR="0071653F" w:rsidRDefault="00744957" w:rsidP="00E0390E">
      <w:pPr>
        <w:pStyle w:val="Heading2"/>
        <w:ind w:left="142" w:hanging="142"/>
      </w:pPr>
      <w:bookmarkStart w:id="73" w:name="_Ref51487030"/>
      <w:bookmarkStart w:id="74" w:name="_Toc52179136"/>
      <w:r>
        <w:t xml:space="preserve">Additional pathways to develop or </w:t>
      </w:r>
      <w:r w:rsidR="00CE7455">
        <w:t>vary</w:t>
      </w:r>
      <w:r>
        <w:t xml:space="preserve"> </w:t>
      </w:r>
      <w:r w:rsidR="005007F7">
        <w:t>f</w:t>
      </w:r>
      <w:r>
        <w:t xml:space="preserve">ood standards could be </w:t>
      </w:r>
      <w:r w:rsidR="009317FD">
        <w:t>beneficial</w:t>
      </w:r>
      <w:bookmarkEnd w:id="73"/>
      <w:bookmarkEnd w:id="74"/>
    </w:p>
    <w:p w14:paraId="417E91B2" w14:textId="3B8680FD" w:rsidR="00F07485" w:rsidRPr="00F07485" w:rsidRDefault="00F07485" w:rsidP="00F07485">
      <w:pPr>
        <w:rPr>
          <w:lang w:eastAsia="en-AU"/>
        </w:rPr>
      </w:pPr>
      <w:r>
        <w:rPr>
          <w:lang w:eastAsia="en-AU"/>
        </w:rPr>
        <w:t>The Act currently requires</w:t>
      </w:r>
      <w:r w:rsidR="00B656E9">
        <w:rPr>
          <w:lang w:eastAsia="en-AU"/>
        </w:rPr>
        <w:t xml:space="preserve"> FSANZ</w:t>
      </w:r>
      <w:r>
        <w:rPr>
          <w:lang w:eastAsia="en-AU"/>
        </w:rPr>
        <w:t xml:space="preserve"> amendments to be progressed either via applications or proposals. </w:t>
      </w:r>
    </w:p>
    <w:p w14:paraId="5D37D2DF" w14:textId="78C033EA" w:rsidR="00001202" w:rsidRPr="00001202" w:rsidRDefault="00001202" w:rsidP="00001202">
      <w:pPr>
        <w:pStyle w:val="Heading3"/>
      </w:pPr>
      <w:bookmarkStart w:id="75" w:name="_Ref51487032"/>
      <w:r>
        <w:t>Current statutory processes provide limited ability to use international standards and risk assessments</w:t>
      </w:r>
      <w:bookmarkEnd w:id="75"/>
      <w:r>
        <w:t xml:space="preserve"> </w:t>
      </w:r>
    </w:p>
    <w:p w14:paraId="35DE7D81" w14:textId="77777777" w:rsidR="0055159C" w:rsidRDefault="00534C49" w:rsidP="000435CA">
      <w:r>
        <w:t xml:space="preserve">In developing </w:t>
      </w:r>
      <w:r w:rsidR="009D54A8">
        <w:t>standards, FSANZ is required by law to have regard to</w:t>
      </w:r>
      <w:r w:rsidR="0055159C">
        <w:t>:</w:t>
      </w:r>
      <w:r w:rsidR="009D54A8">
        <w:t xml:space="preserve"> </w:t>
      </w:r>
    </w:p>
    <w:p w14:paraId="21C2FC3F" w14:textId="6776E597" w:rsidR="0055159C" w:rsidRDefault="009D54A8" w:rsidP="0055159C">
      <w:pPr>
        <w:pStyle w:val="Bullet"/>
      </w:pPr>
      <w:r>
        <w:t xml:space="preserve">the need for standards to be based on risk analysis using the best available scientific evidence </w:t>
      </w:r>
    </w:p>
    <w:p w14:paraId="77795A4A" w14:textId="77777777" w:rsidR="0055159C" w:rsidRDefault="00F53889" w:rsidP="0055159C">
      <w:pPr>
        <w:pStyle w:val="Bullet"/>
      </w:pPr>
      <w:r>
        <w:t>the goal of consistency between domestic and international standards.</w:t>
      </w:r>
      <w:r w:rsidR="006E482F">
        <w:t xml:space="preserve"> </w:t>
      </w:r>
    </w:p>
    <w:p w14:paraId="7D559602" w14:textId="2F4530D9" w:rsidR="00EC015A" w:rsidRDefault="006E482F" w:rsidP="000435CA">
      <w:pPr>
        <w:rPr>
          <w:lang w:eastAsia="en-AU"/>
        </w:rPr>
      </w:pPr>
      <w:r>
        <w:t>Within this context,</w:t>
      </w:r>
      <w:r w:rsidR="00C04FA4">
        <w:t xml:space="preserve"> </w:t>
      </w:r>
      <w:r w:rsidR="000435CA">
        <w:rPr>
          <w:lang w:eastAsia="en-AU"/>
        </w:rPr>
        <w:t>FSANZ</w:t>
      </w:r>
      <w:r>
        <w:rPr>
          <w:lang w:eastAsia="en-AU"/>
        </w:rPr>
        <w:t xml:space="preserve"> </w:t>
      </w:r>
      <w:r w:rsidR="000435CA">
        <w:rPr>
          <w:lang w:eastAsia="en-AU"/>
        </w:rPr>
        <w:t xml:space="preserve">considers existence and relevance of international standards in its work, and </w:t>
      </w:r>
      <w:r>
        <w:rPr>
          <w:lang w:eastAsia="en-AU"/>
        </w:rPr>
        <w:t xml:space="preserve">routinely </w:t>
      </w:r>
      <w:r w:rsidR="000435CA">
        <w:rPr>
          <w:lang w:eastAsia="en-AU"/>
        </w:rPr>
        <w:t>makes use of risk assessments from abroa</w:t>
      </w:r>
      <w:r w:rsidR="00C04FA4">
        <w:rPr>
          <w:lang w:eastAsia="en-AU"/>
        </w:rPr>
        <w:t>d.</w:t>
      </w:r>
      <w:r w:rsidR="00E64C47">
        <w:rPr>
          <w:lang w:eastAsia="en-AU"/>
        </w:rPr>
        <w:t xml:space="preserve"> FSANZ also work</w:t>
      </w:r>
      <w:r w:rsidR="009503E7">
        <w:rPr>
          <w:lang w:eastAsia="en-AU"/>
        </w:rPr>
        <w:t>s</w:t>
      </w:r>
      <w:r w:rsidR="00E64C47">
        <w:rPr>
          <w:lang w:eastAsia="en-AU"/>
        </w:rPr>
        <w:t xml:space="preserve"> with overseas jurisdictions and international bodies in undertaking its work (see </w:t>
      </w:r>
      <w:r w:rsidR="00C74EE3">
        <w:rPr>
          <w:lang w:eastAsia="en-AU"/>
        </w:rPr>
        <w:fldChar w:fldCharType="begin"/>
      </w:r>
      <w:r w:rsidR="00C74EE3">
        <w:rPr>
          <w:lang w:eastAsia="en-AU"/>
        </w:rPr>
        <w:instrText xml:space="preserve"> REF _Ref51406624 \h </w:instrText>
      </w:r>
      <w:r w:rsidR="00C74EE3">
        <w:rPr>
          <w:lang w:eastAsia="en-AU"/>
        </w:rPr>
      </w:r>
      <w:r w:rsidR="00C74EE3">
        <w:rPr>
          <w:lang w:eastAsia="en-AU"/>
        </w:rPr>
        <w:fldChar w:fldCharType="separate"/>
      </w:r>
      <w:r w:rsidR="001C5CC6">
        <w:t xml:space="preserve">Table </w:t>
      </w:r>
      <w:r w:rsidR="001C5CC6">
        <w:rPr>
          <w:noProof/>
        </w:rPr>
        <w:t>9</w:t>
      </w:r>
      <w:r w:rsidR="00C74EE3">
        <w:rPr>
          <w:lang w:eastAsia="en-AU"/>
        </w:rPr>
        <w:fldChar w:fldCharType="end"/>
      </w:r>
      <w:r w:rsidR="00E64C47">
        <w:rPr>
          <w:lang w:eastAsia="en-AU"/>
        </w:rPr>
        <w:t>).</w:t>
      </w:r>
      <w:r w:rsidR="00C04FA4">
        <w:rPr>
          <w:lang w:eastAsia="en-AU"/>
        </w:rPr>
        <w:t xml:space="preserve"> However,</w:t>
      </w:r>
      <w:r w:rsidR="000435CA">
        <w:rPr>
          <w:lang w:eastAsia="en-AU"/>
        </w:rPr>
        <w:t xml:space="preserve"> it is generally not possible to adopt or harmonise with international standards outside of statutory application or proposal processes. </w:t>
      </w:r>
      <w:r w:rsidR="00C04FA4">
        <w:rPr>
          <w:lang w:eastAsia="en-AU"/>
        </w:rPr>
        <w:t xml:space="preserve">This means </w:t>
      </w:r>
      <w:r w:rsidR="00C04FA4">
        <w:rPr>
          <w:lang w:eastAsia="en-AU"/>
        </w:rPr>
        <w:lastRenderedPageBreak/>
        <w:t>tha</w:t>
      </w:r>
      <w:r w:rsidR="00A32C11">
        <w:rPr>
          <w:lang w:eastAsia="en-AU"/>
        </w:rPr>
        <w:t>t</w:t>
      </w:r>
      <w:r w:rsidR="00E64C47">
        <w:rPr>
          <w:lang w:eastAsia="en-AU"/>
        </w:rPr>
        <w:t>, for example,</w:t>
      </w:r>
      <w:r w:rsidR="00A32C11">
        <w:rPr>
          <w:lang w:eastAsia="en-AU"/>
        </w:rPr>
        <w:t xml:space="preserve"> there are </w:t>
      </w:r>
      <w:r w:rsidR="00133CF2">
        <w:rPr>
          <w:lang w:eastAsia="en-AU"/>
        </w:rPr>
        <w:t xml:space="preserve">limited opportunities to fast track or expedite an application or proposal that is </w:t>
      </w:r>
      <w:r w:rsidR="007964B0">
        <w:rPr>
          <w:lang w:eastAsia="en-AU"/>
        </w:rPr>
        <w:t xml:space="preserve">based </w:t>
      </w:r>
      <w:r w:rsidR="00A13D51">
        <w:rPr>
          <w:lang w:eastAsia="en-AU"/>
        </w:rPr>
        <w:t xml:space="preserve">on </w:t>
      </w:r>
      <w:r w:rsidR="00EC5DA9">
        <w:rPr>
          <w:lang w:eastAsia="en-AU"/>
        </w:rPr>
        <w:t>a well</w:t>
      </w:r>
      <w:r w:rsidR="00A13D51">
        <w:rPr>
          <w:lang w:eastAsia="en-AU"/>
        </w:rPr>
        <w:t>-</w:t>
      </w:r>
      <w:r w:rsidR="00EC5DA9">
        <w:rPr>
          <w:lang w:eastAsia="en-AU"/>
        </w:rPr>
        <w:t xml:space="preserve">established and </w:t>
      </w:r>
      <w:r w:rsidR="00A13D51">
        <w:rPr>
          <w:lang w:eastAsia="en-AU"/>
        </w:rPr>
        <w:t>evidenced</w:t>
      </w:r>
      <w:r w:rsidR="00332632">
        <w:rPr>
          <w:lang w:eastAsia="en-AU"/>
        </w:rPr>
        <w:t xml:space="preserve"> standard or assessment</w:t>
      </w:r>
      <w:r w:rsidR="00A13D51">
        <w:rPr>
          <w:lang w:eastAsia="en-AU"/>
        </w:rPr>
        <w:t xml:space="preserve"> from an overseas jurisdiction</w:t>
      </w:r>
      <w:r w:rsidR="008F5AB6">
        <w:rPr>
          <w:lang w:eastAsia="en-AU"/>
        </w:rPr>
        <w:t xml:space="preserve">. </w:t>
      </w:r>
    </w:p>
    <w:p w14:paraId="26FE0D91" w14:textId="3B82F9FF" w:rsidR="000435CA" w:rsidRDefault="008F5AB6" w:rsidP="000435CA">
      <w:pPr>
        <w:rPr>
          <w:lang w:eastAsia="en-AU"/>
        </w:rPr>
      </w:pPr>
      <w:r>
        <w:rPr>
          <w:lang w:eastAsia="en-AU"/>
        </w:rPr>
        <w:t xml:space="preserve">As a result of these constraints, the international food safety evidence base is arguably underutilised in FSANZ’s assessments. </w:t>
      </w:r>
      <w:r w:rsidR="000435CA">
        <w:rPr>
          <w:lang w:eastAsia="en-AU"/>
        </w:rPr>
        <w:t xml:space="preserve">This can have adverse impacts for industry – because of the time it takes to bring products to market in Australia and/or New Zealand – as well as flow on consequences for consumers in terms of the range of food products available to choose from. Industry stakeholders </w:t>
      </w:r>
      <w:r w:rsidR="004F4F10">
        <w:rPr>
          <w:lang w:eastAsia="en-AU"/>
        </w:rPr>
        <w:t xml:space="preserve">have </w:t>
      </w:r>
      <w:r w:rsidR="000435CA">
        <w:rPr>
          <w:lang w:eastAsia="en-AU"/>
        </w:rPr>
        <w:t>note</w:t>
      </w:r>
      <w:r w:rsidR="004F4F10">
        <w:rPr>
          <w:lang w:eastAsia="en-AU"/>
        </w:rPr>
        <w:t>d</w:t>
      </w:r>
      <w:r w:rsidR="000435CA">
        <w:rPr>
          <w:lang w:eastAsia="en-AU"/>
        </w:rPr>
        <w:t xml:space="preserve"> concerns and frustrations around the time that it can take to introduce new products to market that are available in other reputable markets with rigorous and credible food regulatory systems. </w:t>
      </w:r>
    </w:p>
    <w:p w14:paraId="78CBB44E" w14:textId="14785621" w:rsidR="00D82881" w:rsidRDefault="00D82881" w:rsidP="00D82881">
      <w:pPr>
        <w:pStyle w:val="Caption"/>
      </w:pPr>
      <w:bookmarkStart w:id="76" w:name="_Ref51406624"/>
      <w:r>
        <w:t xml:space="preserve">Table </w:t>
      </w:r>
      <w:r>
        <w:fldChar w:fldCharType="begin"/>
      </w:r>
      <w:r>
        <w:instrText xml:space="preserve"> SEQ Table \* ARABIC </w:instrText>
      </w:r>
      <w:r>
        <w:fldChar w:fldCharType="separate"/>
      </w:r>
      <w:r w:rsidR="001C5CC6">
        <w:rPr>
          <w:noProof/>
        </w:rPr>
        <w:t>9</w:t>
      </w:r>
      <w:r>
        <w:fldChar w:fldCharType="end"/>
      </w:r>
      <w:bookmarkEnd w:id="76"/>
      <w:r>
        <w:t xml:space="preserve"> | Examples of FSANZ's work with other jurisdictions</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256013" w14:paraId="7A7ABD89" w14:textId="77777777" w:rsidTr="00D82881">
        <w:tc>
          <w:tcPr>
            <w:tcW w:w="9055" w:type="dxa"/>
          </w:tcPr>
          <w:p w14:paraId="0F618D36" w14:textId="633F7BDE" w:rsidR="0075647A" w:rsidRPr="00BF1ECB" w:rsidRDefault="00EF7703" w:rsidP="0075647A">
            <w:pPr>
              <w:rPr>
                <w:rFonts w:asciiTheme="majorHAnsi" w:hAnsiTheme="majorHAnsi" w:cstheme="majorHAnsi"/>
              </w:rPr>
            </w:pPr>
            <w:r w:rsidRPr="00BF1ECB">
              <w:rPr>
                <w:rFonts w:asciiTheme="majorHAnsi" w:hAnsiTheme="majorHAnsi" w:cstheme="majorHAnsi"/>
              </w:rPr>
              <w:t xml:space="preserve">Risk assessment sharing for GM foods between </w:t>
            </w:r>
            <w:r w:rsidR="0075647A" w:rsidRPr="00BF1ECB">
              <w:rPr>
                <w:rFonts w:asciiTheme="majorHAnsi" w:hAnsiTheme="majorHAnsi" w:cstheme="majorHAnsi"/>
              </w:rPr>
              <w:t xml:space="preserve">FSANZ and Health Canada  </w:t>
            </w:r>
          </w:p>
          <w:p w14:paraId="18155ED5" w14:textId="52E289D0" w:rsidR="00F75D1B" w:rsidRDefault="00EF3E54" w:rsidP="0075647A">
            <w:r>
              <w:t>Since 2013, FSANZ and Health Canada have worked together on the safety of genetically modified</w:t>
            </w:r>
            <w:r w:rsidR="00F75D1B">
              <w:t xml:space="preserve"> (GM)</w:t>
            </w:r>
            <w:r>
              <w:t xml:space="preserve"> foods</w:t>
            </w:r>
            <w:r w:rsidR="00272A8F">
              <w:t>.</w:t>
            </w:r>
            <w:r w:rsidR="00893952">
              <w:t xml:space="preserve"> A</w:t>
            </w:r>
            <w:r w:rsidR="00A60C3B">
              <w:t xml:space="preserve"> formal agreement is in place to facilitate the sharing of safety assessments of food derived from genetically modified organisms. This helps to reduce duplication and share scientific expertise.</w:t>
            </w:r>
          </w:p>
          <w:p w14:paraId="38F687B5" w14:textId="52E11F93" w:rsidR="00B429ED" w:rsidRDefault="00ED1213" w:rsidP="0075647A">
            <w:r>
              <w:t>This initiative</w:t>
            </w:r>
            <w:r w:rsidR="00F75D1B">
              <w:t xml:space="preserve"> is in a pilot phase for assessing safety of GM foods that are not authorised in either jurisdiction. Health Canada conduct the assessment which is then reviewed by FSANZ. This can form basis of joint approval of a GM food in Canada, Australia and New Zealand.</w:t>
            </w:r>
            <w:r w:rsidR="00F75D1B">
              <w:rPr>
                <w:rStyle w:val="FootnoteReference"/>
              </w:rPr>
              <w:footnoteReference w:id="24"/>
            </w:r>
            <w:r w:rsidR="00F75D1B">
              <w:t xml:space="preserve"> </w:t>
            </w:r>
          </w:p>
          <w:p w14:paraId="555C6846" w14:textId="161728D9" w:rsidR="0075647A" w:rsidRDefault="00B429ED" w:rsidP="0075647A">
            <w:r>
              <w:t>FSANZ also has formalised agreements for information exchange (including through Memoranda of Understanding) with counterparts in</w:t>
            </w:r>
            <w:r w:rsidR="00FF3AB0">
              <w:t xml:space="preserve"> many countries, including</w:t>
            </w:r>
            <w:r>
              <w:t xml:space="preserve"> the USA, Europe, UK</w:t>
            </w:r>
            <w:r w:rsidR="00FF3AB0">
              <w:t>, Japan and Korea.</w:t>
            </w:r>
            <w:r w:rsidR="00FF3AB0">
              <w:rPr>
                <w:rStyle w:val="FootnoteReference"/>
              </w:rPr>
              <w:footnoteReference w:id="25"/>
            </w:r>
          </w:p>
          <w:p w14:paraId="75AFF69E" w14:textId="02CE7F03" w:rsidR="00256013" w:rsidRPr="00BF1ECB" w:rsidRDefault="0075647A" w:rsidP="0075647A">
            <w:pPr>
              <w:rPr>
                <w:rFonts w:asciiTheme="majorHAnsi" w:hAnsiTheme="majorHAnsi" w:cstheme="majorHAnsi"/>
              </w:rPr>
            </w:pPr>
            <w:r w:rsidRPr="00BF1ECB">
              <w:rPr>
                <w:rFonts w:asciiTheme="majorHAnsi" w:hAnsiTheme="majorHAnsi" w:cstheme="majorHAnsi"/>
              </w:rPr>
              <w:t>FSAN</w:t>
            </w:r>
            <w:r w:rsidR="006544CF" w:rsidRPr="00BF1ECB">
              <w:rPr>
                <w:rFonts w:asciiTheme="majorHAnsi" w:hAnsiTheme="majorHAnsi" w:cstheme="majorHAnsi"/>
              </w:rPr>
              <w:t>Z</w:t>
            </w:r>
            <w:r w:rsidRPr="00BF1ECB">
              <w:rPr>
                <w:rFonts w:asciiTheme="majorHAnsi" w:hAnsiTheme="majorHAnsi" w:cstheme="majorHAnsi"/>
              </w:rPr>
              <w:t xml:space="preserve">’s involvement in developing </w:t>
            </w:r>
            <w:r w:rsidR="00272A8F" w:rsidRPr="00BF1ECB">
              <w:rPr>
                <w:rFonts w:asciiTheme="majorHAnsi" w:hAnsiTheme="majorHAnsi" w:cstheme="majorHAnsi"/>
              </w:rPr>
              <w:t>Codex standards</w:t>
            </w:r>
            <w:r w:rsidRPr="00BF1ECB">
              <w:rPr>
                <w:rFonts w:asciiTheme="majorHAnsi" w:hAnsiTheme="majorHAnsi" w:cstheme="majorHAnsi"/>
              </w:rPr>
              <w:t xml:space="preserve"> </w:t>
            </w:r>
          </w:p>
          <w:p w14:paraId="41BFE9D7" w14:textId="5FA63552" w:rsidR="00471100" w:rsidRPr="00471100" w:rsidRDefault="00471100" w:rsidP="0075647A">
            <w:r>
              <w:t xml:space="preserve">FSANZ contributes to international standards development in a range of ways, notably through its </w:t>
            </w:r>
            <w:r w:rsidR="0030068C">
              <w:t xml:space="preserve">participation in </w:t>
            </w:r>
            <w:r>
              <w:t xml:space="preserve">the Codex Alimentarius Commission (Codex) – the international </w:t>
            </w:r>
            <w:r w:rsidR="005007F7">
              <w:t>f</w:t>
            </w:r>
            <w:r>
              <w:t xml:space="preserve">ood standards setting body. </w:t>
            </w:r>
            <w:r w:rsidR="002D098D">
              <w:t>FSANZ contributes to the work of many Codex committees and currently lead</w:t>
            </w:r>
            <w:r w:rsidR="00B26214">
              <w:t>s</w:t>
            </w:r>
            <w:r w:rsidR="002D098D">
              <w:t xml:space="preserve"> the Australian delegation to several committees</w:t>
            </w:r>
            <w:r w:rsidR="0030642C">
              <w:t xml:space="preserve"> and groups</w:t>
            </w:r>
            <w:r w:rsidR="002D098D">
              <w:t xml:space="preserve">, including those related to food additives, </w:t>
            </w:r>
            <w:r w:rsidR="0030642C">
              <w:t>contaminants</w:t>
            </w:r>
            <w:r w:rsidR="002D098D">
              <w:t xml:space="preserve">, food </w:t>
            </w:r>
            <w:r w:rsidR="0030642C">
              <w:t>hygiene</w:t>
            </w:r>
            <w:r w:rsidR="003D4727">
              <w:t>,</w:t>
            </w:r>
            <w:r w:rsidR="0030642C">
              <w:t xml:space="preserve"> antimicrobial resistance</w:t>
            </w:r>
            <w:r w:rsidR="00411549">
              <w:t>,</w:t>
            </w:r>
            <w:r w:rsidR="003D4727">
              <w:t xml:space="preserve"> and</w:t>
            </w:r>
            <w:r w:rsidR="00411549">
              <w:t xml:space="preserve"> nutrition and</w:t>
            </w:r>
            <w:r w:rsidR="003D4727">
              <w:t xml:space="preserve"> foods for special dietary uses</w:t>
            </w:r>
            <w:r w:rsidR="0030642C">
              <w:t xml:space="preserve">. </w:t>
            </w:r>
          </w:p>
        </w:tc>
      </w:tr>
    </w:tbl>
    <w:p w14:paraId="6CA45C44" w14:textId="50A87DCE" w:rsidR="00291C7E" w:rsidRDefault="00326142" w:rsidP="00546C0E">
      <w:pPr>
        <w:pStyle w:val="Heading3"/>
      </w:pPr>
      <w:bookmarkStart w:id="77" w:name="_Ref51487034"/>
      <w:r>
        <w:t xml:space="preserve">An enhanced role for industry </w:t>
      </w:r>
      <w:r w:rsidR="004A3C4D">
        <w:t>through self-</w:t>
      </w:r>
      <w:r w:rsidR="00854A31">
        <w:t xml:space="preserve">assessments would require appropriate </w:t>
      </w:r>
      <w:r w:rsidR="00433C14">
        <w:t>regulatory oversight and safeguards</w:t>
      </w:r>
      <w:bookmarkEnd w:id="77"/>
      <w:r w:rsidR="00433C14">
        <w:t xml:space="preserve"> </w:t>
      </w:r>
    </w:p>
    <w:p w14:paraId="2D1E7892" w14:textId="66A17F54" w:rsidR="00BD6319" w:rsidRDefault="00ED0DAD" w:rsidP="00291C7E">
      <w:pPr>
        <w:rPr>
          <w:lang w:eastAsia="en-AU"/>
        </w:rPr>
      </w:pPr>
      <w:r>
        <w:rPr>
          <w:lang w:eastAsia="en-AU"/>
        </w:rPr>
        <w:t>Food businesses have a vested interest in assuring</w:t>
      </w:r>
      <w:r w:rsidR="007A10E9">
        <w:rPr>
          <w:lang w:eastAsia="en-AU"/>
        </w:rPr>
        <w:t xml:space="preserve"> that the food products they sell are safe for cons</w:t>
      </w:r>
      <w:r w:rsidR="00BD6319">
        <w:rPr>
          <w:lang w:eastAsia="en-AU"/>
        </w:rPr>
        <w:t xml:space="preserve">umers. </w:t>
      </w:r>
      <w:r w:rsidR="00EE3035">
        <w:rPr>
          <w:lang w:eastAsia="en-AU"/>
        </w:rPr>
        <w:t>This interest underpins substantial research and analysis that goes into food product development</w:t>
      </w:r>
      <w:r w:rsidR="00A71D4D">
        <w:rPr>
          <w:lang w:eastAsia="en-AU"/>
        </w:rPr>
        <w:t xml:space="preserve">. </w:t>
      </w:r>
      <w:r w:rsidR="00706B51">
        <w:rPr>
          <w:lang w:eastAsia="en-AU"/>
        </w:rPr>
        <w:t xml:space="preserve">FSANZ’s current approach to ensuring safety of new food products is through a desktop review of evidence provided as part of an application to </w:t>
      </w:r>
      <w:r w:rsidR="00FD1C46">
        <w:rPr>
          <w:lang w:eastAsia="en-AU"/>
        </w:rPr>
        <w:t xml:space="preserve">change </w:t>
      </w:r>
      <w:r w:rsidR="00D52849">
        <w:t>f</w:t>
      </w:r>
      <w:r w:rsidR="005007F7" w:rsidRPr="00D25630">
        <w:t xml:space="preserve">ood </w:t>
      </w:r>
      <w:r w:rsidR="00706B51">
        <w:rPr>
          <w:lang w:eastAsia="en-AU"/>
        </w:rPr>
        <w:t xml:space="preserve">standards. </w:t>
      </w:r>
      <w:r w:rsidR="00FF4DF2">
        <w:rPr>
          <w:lang w:eastAsia="en-AU"/>
        </w:rPr>
        <w:t xml:space="preserve">This process is very rigorous </w:t>
      </w:r>
      <w:r w:rsidR="000824C0">
        <w:rPr>
          <w:lang w:eastAsia="en-AU"/>
        </w:rPr>
        <w:t xml:space="preserve">but could be differentiated more based on risk. </w:t>
      </w:r>
    </w:p>
    <w:p w14:paraId="5F492C66" w14:textId="77777777" w:rsidR="00063392" w:rsidRDefault="00706B51" w:rsidP="00291C7E">
      <w:pPr>
        <w:rPr>
          <w:lang w:eastAsia="en-AU"/>
        </w:rPr>
      </w:pPr>
      <w:r>
        <w:rPr>
          <w:lang w:eastAsia="en-AU"/>
        </w:rPr>
        <w:t xml:space="preserve">There may </w:t>
      </w:r>
      <w:r w:rsidR="00A12F2B">
        <w:rPr>
          <w:lang w:eastAsia="en-AU"/>
        </w:rPr>
        <w:t>be</w:t>
      </w:r>
      <w:r>
        <w:rPr>
          <w:lang w:eastAsia="en-AU"/>
        </w:rPr>
        <w:t xml:space="preserve"> benefit in providing for more streamlined pathways</w:t>
      </w:r>
      <w:r w:rsidR="006A2465">
        <w:rPr>
          <w:lang w:eastAsia="en-AU"/>
        </w:rPr>
        <w:t xml:space="preserve"> for making changes to </w:t>
      </w:r>
      <w:r w:rsidR="005007F7">
        <w:t>f</w:t>
      </w:r>
      <w:r w:rsidR="005007F7" w:rsidRPr="00D25630">
        <w:t xml:space="preserve">ood </w:t>
      </w:r>
      <w:r w:rsidR="006A2465">
        <w:rPr>
          <w:lang w:eastAsia="en-AU"/>
        </w:rPr>
        <w:t xml:space="preserve">standards or introducing new food products that draw on </w:t>
      </w:r>
      <w:r w:rsidR="00F83811">
        <w:rPr>
          <w:lang w:eastAsia="en-AU"/>
        </w:rPr>
        <w:t xml:space="preserve">well-established and evidenced </w:t>
      </w:r>
      <w:r w:rsidR="006A2465">
        <w:rPr>
          <w:lang w:eastAsia="en-AU"/>
        </w:rPr>
        <w:t>international standards and</w:t>
      </w:r>
      <w:r w:rsidR="00F83811">
        <w:rPr>
          <w:lang w:eastAsia="en-AU"/>
        </w:rPr>
        <w:t xml:space="preserve">/or </w:t>
      </w:r>
      <w:r w:rsidR="006A2465">
        <w:rPr>
          <w:lang w:eastAsia="en-AU"/>
        </w:rPr>
        <w:t>risk asses</w:t>
      </w:r>
      <w:r w:rsidR="00F83811">
        <w:rPr>
          <w:lang w:eastAsia="en-AU"/>
        </w:rPr>
        <w:t>sments.</w:t>
      </w:r>
      <w:r>
        <w:rPr>
          <w:lang w:eastAsia="en-AU"/>
        </w:rPr>
        <w:t xml:space="preserve"> </w:t>
      </w:r>
      <w:r w:rsidR="00F83811">
        <w:rPr>
          <w:lang w:eastAsia="en-AU"/>
        </w:rPr>
        <w:t xml:space="preserve">This could include a greater role for industry self-certification </w:t>
      </w:r>
      <w:r w:rsidR="00885C90">
        <w:rPr>
          <w:lang w:eastAsia="en-AU"/>
        </w:rPr>
        <w:t>for products that pose a low risk or streamlined application pathway</w:t>
      </w:r>
      <w:r w:rsidR="00173F20">
        <w:rPr>
          <w:lang w:eastAsia="en-AU"/>
        </w:rPr>
        <w:t>s with shorter statutory timeframes</w:t>
      </w:r>
      <w:r w:rsidR="00885C90">
        <w:rPr>
          <w:lang w:eastAsia="en-AU"/>
        </w:rPr>
        <w:t xml:space="preserve">. </w:t>
      </w:r>
    </w:p>
    <w:p w14:paraId="576DEF40" w14:textId="24AA5EF8" w:rsidR="00063392" w:rsidRDefault="007B4BC4" w:rsidP="00291C7E">
      <w:pPr>
        <w:rPr>
          <w:lang w:eastAsia="en-AU"/>
        </w:rPr>
      </w:pPr>
      <w:r>
        <w:rPr>
          <w:lang w:eastAsia="en-AU"/>
        </w:rPr>
        <w:t xml:space="preserve">There is a growing trend internationally for modern regulatory systems to take a partnership approach with industry to establish shared goals for the system. For example, Canada has proposed to pilot the </w:t>
      </w:r>
      <w:r>
        <w:rPr>
          <w:lang w:eastAsia="en-AU"/>
        </w:rPr>
        <w:lastRenderedPageBreak/>
        <w:t>concept of ‘Ethical Business Regulation’, which is a regulatory approach that recognises that industry has a vested interest (by way of reputation, profits/sales and growth) to ensure risks are well managed</w:t>
      </w:r>
      <w:r w:rsidR="00230D5C">
        <w:rPr>
          <w:rStyle w:val="FootnoteReference"/>
          <w:lang w:eastAsia="en-AU"/>
        </w:rPr>
        <w:footnoteReference w:id="26"/>
      </w:r>
      <w:r>
        <w:rPr>
          <w:lang w:eastAsia="en-AU"/>
        </w:rPr>
        <w:t>. Appropriately leveraging this interest can lead to stronger working relationships between regulators and industry and minimise duplication of risk management efforts. The C</w:t>
      </w:r>
      <w:r w:rsidR="00E72476">
        <w:rPr>
          <w:lang w:eastAsia="en-AU"/>
        </w:rPr>
        <w:t xml:space="preserve">anadian Food Inspection Agency </w:t>
      </w:r>
      <w:r>
        <w:rPr>
          <w:lang w:eastAsia="en-AU"/>
        </w:rPr>
        <w:t>proposes to establish “champion” food businesses, which whom they will collaborate to explore how risk management responsibilities can be shared better between regulators and food businesses.</w:t>
      </w:r>
      <w:r w:rsidR="00037736">
        <w:rPr>
          <w:rStyle w:val="FootnoteReference"/>
          <w:lang w:eastAsia="en-AU"/>
        </w:rPr>
        <w:footnoteReference w:id="27"/>
      </w:r>
      <w:r>
        <w:rPr>
          <w:lang w:eastAsia="en-AU"/>
        </w:rPr>
        <w:t xml:space="preserve"> </w:t>
      </w:r>
    </w:p>
    <w:p w14:paraId="482524F2" w14:textId="0C5AEE9B" w:rsidR="008B4A9B" w:rsidRDefault="00C34622" w:rsidP="008B4A9B">
      <w:pPr>
        <w:rPr>
          <w:lang w:eastAsia="en-AU"/>
        </w:rPr>
      </w:pPr>
      <w:r>
        <w:rPr>
          <w:lang w:eastAsia="en-AU"/>
        </w:rPr>
        <w:t>Within the Australian and New Ze</w:t>
      </w:r>
      <w:r w:rsidR="008B4A9B">
        <w:rPr>
          <w:lang w:eastAsia="en-AU"/>
        </w:rPr>
        <w:t>a</w:t>
      </w:r>
      <w:r>
        <w:rPr>
          <w:lang w:eastAsia="en-AU"/>
        </w:rPr>
        <w:t xml:space="preserve">land context, </w:t>
      </w:r>
      <w:r w:rsidR="008B4A9B">
        <w:rPr>
          <w:lang w:eastAsia="en-AU"/>
        </w:rPr>
        <w:t xml:space="preserve">the potential benefits for industry of more streamlined pathways include more timely amendments to food standards, reduced time to bring products to market and reduced time, effort and costs associated with applications. Potential drawbacks include that more support may be required for food businesses to understand how to utilise streamlined pathways and their associated obligations.   </w:t>
      </w:r>
    </w:p>
    <w:p w14:paraId="378A94AD" w14:textId="59CD61F3" w:rsidR="00706B51" w:rsidRDefault="008B4A9B" w:rsidP="00291C7E">
      <w:pPr>
        <w:rPr>
          <w:lang w:eastAsia="en-AU"/>
        </w:rPr>
      </w:pPr>
      <w:r>
        <w:rPr>
          <w:lang w:eastAsia="en-AU"/>
        </w:rPr>
        <w:t xml:space="preserve">Any changes to partner more effectively with industry would </w:t>
      </w:r>
      <w:r w:rsidR="00885C90">
        <w:rPr>
          <w:lang w:eastAsia="en-AU"/>
        </w:rPr>
        <w:t xml:space="preserve">need to be </w:t>
      </w:r>
      <w:r w:rsidR="00F56A9D">
        <w:rPr>
          <w:lang w:eastAsia="en-AU"/>
        </w:rPr>
        <w:t>balanced with appropriate statutory controls and regulatory oversight</w:t>
      </w:r>
      <w:r>
        <w:rPr>
          <w:lang w:eastAsia="en-AU"/>
        </w:rPr>
        <w:t>.</w:t>
      </w:r>
    </w:p>
    <w:p w14:paraId="3516BDA3" w14:textId="4B5C07BA" w:rsidR="00AD073C" w:rsidDel="00AD073C" w:rsidRDefault="00B139F8" w:rsidP="00291C7E">
      <w:pPr>
        <w:rPr>
          <w:lang w:eastAsia="en-AU"/>
        </w:rPr>
      </w:pPr>
      <w:r>
        <w:rPr>
          <w:lang w:eastAsia="en-AU"/>
        </w:rPr>
        <w:t>Currently</w:t>
      </w:r>
      <w:r w:rsidR="003D105B">
        <w:rPr>
          <w:lang w:eastAsia="en-AU"/>
        </w:rPr>
        <w:t>,</w:t>
      </w:r>
      <w:r>
        <w:rPr>
          <w:lang w:eastAsia="en-AU"/>
        </w:rPr>
        <w:t xml:space="preserve"> FSANZ’s regulatory attention is focused on pre-market approval (through considering applications and proposals to change standards). </w:t>
      </w:r>
      <w:r w:rsidR="003D105B">
        <w:rPr>
          <w:lang w:eastAsia="en-AU"/>
        </w:rPr>
        <w:t xml:space="preserve">Additional </w:t>
      </w:r>
      <w:r w:rsidR="00FF4DF2">
        <w:rPr>
          <w:lang w:eastAsia="en-AU"/>
        </w:rPr>
        <w:t>pathway</w:t>
      </w:r>
      <w:r w:rsidR="003D105B">
        <w:rPr>
          <w:lang w:eastAsia="en-AU"/>
        </w:rPr>
        <w:t>s</w:t>
      </w:r>
      <w:r w:rsidR="00FF4DF2">
        <w:rPr>
          <w:lang w:eastAsia="en-AU"/>
        </w:rPr>
        <w:t xml:space="preserve"> could </w:t>
      </w:r>
      <w:r w:rsidR="005B08B8">
        <w:rPr>
          <w:lang w:eastAsia="en-AU"/>
        </w:rPr>
        <w:t>partially</w:t>
      </w:r>
      <w:r w:rsidR="00FF4DF2">
        <w:rPr>
          <w:lang w:eastAsia="en-AU"/>
        </w:rPr>
        <w:t xml:space="preserve"> shift FSANZ’s oversight role towards post-market surveillance and quality assurance.</w:t>
      </w:r>
      <w:r w:rsidR="00B4589D">
        <w:rPr>
          <w:lang w:eastAsia="en-AU"/>
        </w:rPr>
        <w:t xml:space="preserve"> An example of this post-market focus in another regulatory scheme can be taken from</w:t>
      </w:r>
      <w:r w:rsidR="00FF4DF2">
        <w:rPr>
          <w:lang w:eastAsia="en-AU"/>
        </w:rPr>
        <w:t xml:space="preserve"> </w:t>
      </w:r>
      <w:r w:rsidR="00B4589D">
        <w:rPr>
          <w:lang w:eastAsia="en-AU"/>
        </w:rPr>
        <w:t>t</w:t>
      </w:r>
      <w:r>
        <w:rPr>
          <w:lang w:eastAsia="en-AU"/>
        </w:rPr>
        <w:t xml:space="preserve">he TGA’s </w:t>
      </w:r>
      <w:r>
        <w:rPr>
          <w:i/>
          <w:lang w:eastAsia="en-AU"/>
        </w:rPr>
        <w:t xml:space="preserve">lifecycle approach </w:t>
      </w:r>
      <w:r>
        <w:rPr>
          <w:lang w:eastAsia="en-AU"/>
        </w:rPr>
        <w:t xml:space="preserve">to regulating medical devices </w:t>
      </w:r>
      <w:r w:rsidR="00B4589D">
        <w:rPr>
          <w:lang w:eastAsia="en-AU"/>
        </w:rPr>
        <w:t>(</w:t>
      </w:r>
      <w:r w:rsidR="00D231ED">
        <w:rPr>
          <w:lang w:eastAsia="en-AU"/>
        </w:rPr>
        <w:t xml:space="preserve">see </w:t>
      </w:r>
      <w:r>
        <w:rPr>
          <w:lang w:eastAsia="en-AU"/>
        </w:rPr>
        <w:fldChar w:fldCharType="begin"/>
      </w:r>
      <w:r>
        <w:rPr>
          <w:lang w:eastAsia="en-AU"/>
        </w:rPr>
        <w:instrText xml:space="preserve"> REF _Ref51418447 \h </w:instrText>
      </w:r>
      <w:r>
        <w:rPr>
          <w:lang w:eastAsia="en-AU"/>
        </w:rPr>
      </w:r>
      <w:r>
        <w:rPr>
          <w:lang w:eastAsia="en-AU"/>
        </w:rPr>
        <w:fldChar w:fldCharType="separate"/>
      </w:r>
      <w:r w:rsidR="001C5CC6">
        <w:t xml:space="preserve">Table </w:t>
      </w:r>
      <w:r w:rsidR="001C5CC6">
        <w:rPr>
          <w:noProof/>
        </w:rPr>
        <w:t>10</w:t>
      </w:r>
      <w:r>
        <w:rPr>
          <w:lang w:eastAsia="en-AU"/>
        </w:rPr>
        <w:fldChar w:fldCharType="end"/>
      </w:r>
      <w:r w:rsidR="00B4589D">
        <w:rPr>
          <w:lang w:eastAsia="en-AU"/>
        </w:rPr>
        <w:t>).</w:t>
      </w:r>
    </w:p>
    <w:p w14:paraId="5A369D34" w14:textId="05822D21" w:rsidR="00232CB3" w:rsidRDefault="00232CB3" w:rsidP="00232CB3">
      <w:pPr>
        <w:pStyle w:val="Caption"/>
      </w:pPr>
      <w:bookmarkStart w:id="78" w:name="_Ref51418447"/>
      <w:r>
        <w:t xml:space="preserve">Table </w:t>
      </w:r>
      <w:r>
        <w:fldChar w:fldCharType="begin"/>
      </w:r>
      <w:r>
        <w:instrText xml:space="preserve"> SEQ Table \* ARABIC </w:instrText>
      </w:r>
      <w:r>
        <w:fldChar w:fldCharType="separate"/>
      </w:r>
      <w:r w:rsidR="001C5CC6">
        <w:rPr>
          <w:noProof/>
        </w:rPr>
        <w:t>10</w:t>
      </w:r>
      <w:r>
        <w:fldChar w:fldCharType="end"/>
      </w:r>
      <w:bookmarkEnd w:id="78"/>
      <w:r>
        <w:t xml:space="preserve"> | </w:t>
      </w:r>
      <w:r w:rsidR="00C12A93">
        <w:t>The TGA’s risk-based and lifecycle approach to regulating medical devices</w:t>
      </w:r>
      <w:r w:rsidR="00B10FA7">
        <w:t xml:space="preserve"> </w:t>
      </w:r>
      <w:r w:rsidR="00306213">
        <w:t>in Australia</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232CB3" w14:paraId="136A69D8" w14:textId="77777777" w:rsidTr="003D127B">
        <w:tc>
          <w:tcPr>
            <w:tcW w:w="9055" w:type="dxa"/>
          </w:tcPr>
          <w:p w14:paraId="797D5237" w14:textId="27F79605" w:rsidR="00175E97" w:rsidRDefault="005D3048" w:rsidP="00AA1208">
            <w:pPr>
              <w:rPr>
                <w:lang w:eastAsia="en-AU"/>
              </w:rPr>
            </w:pPr>
            <w:r>
              <w:rPr>
                <w:lang w:eastAsia="en-AU"/>
              </w:rPr>
              <w:t>The TGA</w:t>
            </w:r>
            <w:r w:rsidR="004B237B">
              <w:rPr>
                <w:lang w:eastAsia="en-AU"/>
              </w:rPr>
              <w:t xml:space="preserve"> </w:t>
            </w:r>
            <w:r w:rsidR="003B48F8">
              <w:rPr>
                <w:lang w:eastAsia="en-AU"/>
              </w:rPr>
              <w:t xml:space="preserve">is responsible for regulating medical devices </w:t>
            </w:r>
            <w:r w:rsidR="00306213">
              <w:rPr>
                <w:lang w:eastAsia="en-AU"/>
              </w:rPr>
              <w:t xml:space="preserve">in Australia </w:t>
            </w:r>
            <w:r>
              <w:rPr>
                <w:lang w:eastAsia="en-AU"/>
              </w:rPr>
              <w:t xml:space="preserve">under Chapter 4 of the </w:t>
            </w:r>
            <w:r>
              <w:rPr>
                <w:i/>
                <w:lang w:eastAsia="en-AU"/>
              </w:rPr>
              <w:t xml:space="preserve">Therapeutic Goods Act. </w:t>
            </w:r>
            <w:r w:rsidR="00A12CEF">
              <w:rPr>
                <w:lang w:eastAsia="en-AU"/>
              </w:rPr>
              <w:t xml:space="preserve">Medical devices must meet </w:t>
            </w:r>
            <w:r w:rsidR="00AA79D3">
              <w:rPr>
                <w:lang w:eastAsia="en-AU"/>
              </w:rPr>
              <w:t>essential principles (related to safety and performance characteristics)</w:t>
            </w:r>
            <w:r w:rsidR="00F45C9E">
              <w:rPr>
                <w:lang w:eastAsia="en-AU"/>
              </w:rPr>
              <w:t xml:space="preserve"> to be supplied in Australia</w:t>
            </w:r>
            <w:r w:rsidR="00846A7D">
              <w:rPr>
                <w:lang w:eastAsia="en-AU"/>
              </w:rPr>
              <w:t>. This can be demonstrated through a ‘conformity assessment’ which is a procedure used and evidence generated by a manufacturer to demonstrate that</w:t>
            </w:r>
            <w:r w:rsidR="00F45C9E">
              <w:rPr>
                <w:lang w:eastAsia="en-AU"/>
              </w:rPr>
              <w:t xml:space="preserve"> </w:t>
            </w:r>
            <w:r w:rsidR="00846A7D">
              <w:rPr>
                <w:lang w:eastAsia="en-AU"/>
              </w:rPr>
              <w:t>a medical de</w:t>
            </w:r>
            <w:r w:rsidR="003961BD">
              <w:rPr>
                <w:lang w:eastAsia="en-AU"/>
              </w:rPr>
              <w:t>vice</w:t>
            </w:r>
            <w:r w:rsidR="00846A7D">
              <w:rPr>
                <w:lang w:eastAsia="en-AU"/>
              </w:rPr>
              <w:t xml:space="preserve"> is </w:t>
            </w:r>
            <w:r w:rsidR="00175E97">
              <w:rPr>
                <w:lang w:eastAsia="en-AU"/>
              </w:rPr>
              <w:t xml:space="preserve">safe, fit-for-purpose and performs as intended. </w:t>
            </w:r>
          </w:p>
          <w:p w14:paraId="683F9209" w14:textId="770DFF2D" w:rsidR="00175E97" w:rsidRDefault="003929FC" w:rsidP="00175E97">
            <w:pPr>
              <w:rPr>
                <w:lang w:eastAsia="en-AU"/>
              </w:rPr>
            </w:pPr>
            <w:r>
              <w:rPr>
                <w:lang w:eastAsia="en-AU"/>
              </w:rPr>
              <w:t xml:space="preserve">The </w:t>
            </w:r>
            <w:r w:rsidR="00175E97">
              <w:rPr>
                <w:lang w:eastAsia="en-AU"/>
              </w:rPr>
              <w:t>TGA has a five-part classification system for medical devices; the lowest risk, Class 1 devices, are not assessed by the TGA prior to inclusion on the Australian Register of Therapeutic Goods (ARTG). High risk devices have specific regulatory requirements, for instance the TGA must issue a conformity assessment for some devices (rather than</w:t>
            </w:r>
            <w:r w:rsidR="00F45C9E">
              <w:rPr>
                <w:lang w:eastAsia="en-AU"/>
              </w:rPr>
              <w:t xml:space="preserve"> a</w:t>
            </w:r>
            <w:r w:rsidR="00175E97">
              <w:rPr>
                <w:lang w:eastAsia="en-AU"/>
              </w:rPr>
              <w:t xml:space="preserve"> comparable overseas regulator).  </w:t>
            </w:r>
          </w:p>
          <w:p w14:paraId="41C3914D" w14:textId="06456042" w:rsidR="005D3048" w:rsidRPr="00846A7D" w:rsidRDefault="00F45C9E" w:rsidP="00AA1208">
            <w:pPr>
              <w:rPr>
                <w:lang w:eastAsia="en-AU"/>
              </w:rPr>
            </w:pPr>
            <w:r>
              <w:rPr>
                <w:lang w:eastAsia="en-AU"/>
              </w:rPr>
              <w:t>The TGA</w:t>
            </w:r>
            <w:r w:rsidR="00293529">
              <w:rPr>
                <w:lang w:eastAsia="en-AU"/>
              </w:rPr>
              <w:t xml:space="preserve"> has a life-cycle approach to regulation that spans both pre-and post-market approval: </w:t>
            </w:r>
          </w:p>
          <w:p w14:paraId="478FD380" w14:textId="2BD57841" w:rsidR="005D3048" w:rsidRDefault="005E79D6" w:rsidP="005D3048">
            <w:pPr>
              <w:pStyle w:val="Bullet"/>
            </w:pPr>
            <w:r>
              <w:rPr>
                <w:rFonts w:asciiTheme="majorHAnsi" w:hAnsiTheme="majorHAnsi" w:cstheme="majorHAnsi"/>
              </w:rPr>
              <w:t>p</w:t>
            </w:r>
            <w:r w:rsidR="00A545D7" w:rsidRPr="00293529">
              <w:rPr>
                <w:rFonts w:asciiTheme="majorHAnsi" w:hAnsiTheme="majorHAnsi" w:cstheme="majorHAnsi"/>
              </w:rPr>
              <w:t>re-market activities</w:t>
            </w:r>
            <w:r w:rsidR="00A545D7">
              <w:t xml:space="preserve"> include a conformity assessment which is led by </w:t>
            </w:r>
            <w:r w:rsidR="007907CF">
              <w:t xml:space="preserve">a </w:t>
            </w:r>
            <w:r w:rsidR="00A545D7">
              <w:t xml:space="preserve">manufacturer </w:t>
            </w:r>
            <w:r w:rsidR="005476D3">
              <w:t xml:space="preserve">through a systematic and ongoing examination to determine that the device is safe and </w:t>
            </w:r>
            <w:r w:rsidR="005935BB">
              <w:t>performs</w:t>
            </w:r>
            <w:r w:rsidR="005476D3">
              <w:t xml:space="preserve"> as intended</w:t>
            </w:r>
          </w:p>
          <w:p w14:paraId="317569A3" w14:textId="547B1A27" w:rsidR="005935BB" w:rsidRDefault="005E79D6" w:rsidP="005D3048">
            <w:pPr>
              <w:pStyle w:val="Bullet"/>
            </w:pPr>
            <w:r>
              <w:rPr>
                <w:rFonts w:asciiTheme="majorHAnsi" w:hAnsiTheme="majorHAnsi" w:cstheme="majorHAnsi"/>
              </w:rPr>
              <w:t>m</w:t>
            </w:r>
            <w:r w:rsidR="005935BB" w:rsidRPr="00293529">
              <w:rPr>
                <w:rFonts w:asciiTheme="majorHAnsi" w:hAnsiTheme="majorHAnsi" w:cstheme="majorHAnsi"/>
              </w:rPr>
              <w:t>arket authorisation</w:t>
            </w:r>
            <w:r w:rsidR="005935BB">
              <w:t xml:space="preserve"> involves inclusion in the ARTG </w:t>
            </w:r>
          </w:p>
          <w:p w14:paraId="10DA0936" w14:textId="0B072F3E" w:rsidR="005476D3" w:rsidRDefault="005E79D6" w:rsidP="005D3048">
            <w:pPr>
              <w:pStyle w:val="Bullet"/>
            </w:pPr>
            <w:r>
              <w:rPr>
                <w:rFonts w:asciiTheme="majorHAnsi" w:hAnsiTheme="majorHAnsi" w:cstheme="majorHAnsi"/>
              </w:rPr>
              <w:t>p</w:t>
            </w:r>
            <w:r w:rsidR="005476D3" w:rsidRPr="00293529">
              <w:rPr>
                <w:rFonts w:asciiTheme="majorHAnsi" w:hAnsiTheme="majorHAnsi" w:cstheme="majorHAnsi"/>
              </w:rPr>
              <w:t>ost-market monitoring activities</w:t>
            </w:r>
            <w:r w:rsidR="005476D3">
              <w:t xml:space="preserve"> </w:t>
            </w:r>
            <w:r w:rsidR="00413EE9">
              <w:t xml:space="preserve">include requirements for manufacturer to monitor ongoing performance and safety and notify TGA of major issues. </w:t>
            </w:r>
            <w:r w:rsidR="00DC0834">
              <w:t xml:space="preserve">The </w:t>
            </w:r>
            <w:r w:rsidR="00413EE9">
              <w:t xml:space="preserve">TGA also can conduct random and targeted assessment of devices. </w:t>
            </w:r>
          </w:p>
          <w:p w14:paraId="7664227A" w14:textId="1A12ABE3" w:rsidR="001B6B65" w:rsidRDefault="00DC0834" w:rsidP="00293529">
            <w:pPr>
              <w:pStyle w:val="Bullet"/>
              <w:numPr>
                <w:ilvl w:val="0"/>
                <w:numId w:val="0"/>
              </w:numPr>
            </w:pPr>
            <w:r>
              <w:t xml:space="preserve">The </w:t>
            </w:r>
            <w:r w:rsidR="00413EE9">
              <w:t xml:space="preserve">TGA’s life-cycle approach to regulation places greater emphasis on regulation after inclusion on the ARTG for lower risk categories of medical devices. </w:t>
            </w:r>
            <w:r w:rsidR="00E436D3">
              <w:t xml:space="preserve">This approach aims to </w:t>
            </w:r>
            <w:r w:rsidR="005935BB">
              <w:t xml:space="preserve">ensure that the level of regulation matches the risks posed by </w:t>
            </w:r>
            <w:r w:rsidR="00881E06">
              <w:t>medical devices</w:t>
            </w:r>
            <w:r w:rsidR="005935BB">
              <w:t xml:space="preserve">. </w:t>
            </w:r>
            <w:r w:rsidR="001B6B65">
              <w:t xml:space="preserve">Notably, the TGA is currently implementing a series of medical device regulatory reforms to increase the rigour of pre-market assessments of higher risk </w:t>
            </w:r>
            <w:r w:rsidR="00A84AC8">
              <w:t>medical devices, to assure their quality, safety and performance.</w:t>
            </w:r>
          </w:p>
          <w:p w14:paraId="2F70BF5F" w14:textId="0995E3C4" w:rsidR="006F6D0D" w:rsidRPr="003B0217" w:rsidRDefault="00881E06" w:rsidP="00293529">
            <w:pPr>
              <w:pStyle w:val="Bullet"/>
              <w:numPr>
                <w:ilvl w:val="0"/>
                <w:numId w:val="0"/>
              </w:numPr>
            </w:pPr>
            <w:r>
              <w:lastRenderedPageBreak/>
              <w:t xml:space="preserve">While </w:t>
            </w:r>
            <w:r w:rsidR="00523E83">
              <w:t xml:space="preserve">the </w:t>
            </w:r>
            <w:r>
              <w:t xml:space="preserve">TGA has a regulatory role in enforcing the law, unlike FSANZ, </w:t>
            </w:r>
            <w:r w:rsidR="00760C01">
              <w:t xml:space="preserve">the regulatory model for medical devices shows how oversight and regulatory attention can </w:t>
            </w:r>
            <w:r w:rsidR="008503BD">
              <w:t>encompass both pre and post-market approval</w:t>
            </w:r>
            <w:r w:rsidR="001B6B65">
              <w:t xml:space="preserve"> and the importance of appropriate risk management and statutory controls</w:t>
            </w:r>
            <w:r w:rsidR="008503BD">
              <w:t xml:space="preserve">. </w:t>
            </w:r>
          </w:p>
        </w:tc>
      </w:tr>
    </w:tbl>
    <w:p w14:paraId="774AD2E8" w14:textId="310E9045" w:rsidR="00987E04" w:rsidRPr="00987E04" w:rsidRDefault="00C83371" w:rsidP="00E0390E">
      <w:pPr>
        <w:pStyle w:val="Heading2"/>
        <w:ind w:left="567"/>
      </w:pPr>
      <w:bookmarkStart w:id="79" w:name="_Toc52179137"/>
      <w:r>
        <w:lastRenderedPageBreak/>
        <w:t xml:space="preserve">New pathways to amend </w:t>
      </w:r>
      <w:r w:rsidR="00A91217">
        <w:t>f</w:t>
      </w:r>
      <w:r>
        <w:t>ood standards may support a more timely and responsive regulatory system</w:t>
      </w:r>
      <w:bookmarkEnd w:id="79"/>
    </w:p>
    <w:p w14:paraId="264A847A" w14:textId="6FA51E66" w:rsidR="00D964C4" w:rsidRPr="00D964C4" w:rsidRDefault="000249A5" w:rsidP="00D964C4">
      <w:pPr>
        <w:rPr>
          <w:lang w:eastAsia="en-AU"/>
        </w:rPr>
      </w:pPr>
      <w:r>
        <w:rPr>
          <w:lang w:eastAsia="en-AU"/>
        </w:rPr>
        <w:t>Three reform ideas</w:t>
      </w:r>
      <w:r w:rsidR="00D964C4">
        <w:rPr>
          <w:lang w:eastAsia="en-AU"/>
        </w:rPr>
        <w:t xml:space="preserve"> </w:t>
      </w:r>
      <w:r w:rsidR="0072683D">
        <w:rPr>
          <w:lang w:eastAsia="en-AU"/>
        </w:rPr>
        <w:t xml:space="preserve">relating to new pathways to amend food standards </w:t>
      </w:r>
      <w:r w:rsidR="00DC0DD3">
        <w:rPr>
          <w:lang w:eastAsia="en-AU"/>
        </w:rPr>
        <w:t xml:space="preserve">have been </w:t>
      </w:r>
      <w:r w:rsidR="00D964C4">
        <w:rPr>
          <w:lang w:eastAsia="en-AU"/>
        </w:rPr>
        <w:t>identified</w:t>
      </w:r>
      <w:r w:rsidR="0072683D">
        <w:rPr>
          <w:lang w:eastAsia="en-AU"/>
        </w:rPr>
        <w:t xml:space="preserve">. </w:t>
      </w:r>
      <w:r w:rsidR="002C75CF">
        <w:rPr>
          <w:lang w:eastAsia="en-AU"/>
        </w:rPr>
        <w:t>These are not mutually exclusive and</w:t>
      </w:r>
      <w:r>
        <w:rPr>
          <w:lang w:eastAsia="en-AU"/>
        </w:rPr>
        <w:t xml:space="preserve"> could be </w:t>
      </w:r>
      <w:r w:rsidR="002C75CF">
        <w:rPr>
          <w:lang w:eastAsia="en-AU"/>
        </w:rPr>
        <w:t>implemented</w:t>
      </w:r>
      <w:r>
        <w:rPr>
          <w:lang w:eastAsia="en-AU"/>
        </w:rPr>
        <w:t xml:space="preserve"> separately or in conjunction. </w:t>
      </w:r>
    </w:p>
    <w:p w14:paraId="41A53AC6" w14:textId="178077B8" w:rsidR="00D729DC" w:rsidRDefault="000249A5" w:rsidP="00542E82">
      <w:pPr>
        <w:pStyle w:val="Heading3"/>
      </w:pPr>
      <w:bookmarkStart w:id="80" w:name="_Ref52123538"/>
      <w:r>
        <w:t>Reform</w:t>
      </w:r>
      <w:bookmarkStart w:id="81" w:name="_Ref51341703"/>
      <w:r>
        <w:t xml:space="preserve"> idea 10</w:t>
      </w:r>
      <w:r w:rsidR="0088556C">
        <w:t xml:space="preserve"> </w:t>
      </w:r>
      <w:r>
        <w:t>–</w:t>
      </w:r>
      <w:r w:rsidR="00295029">
        <w:t xml:space="preserve"> </w:t>
      </w:r>
      <w:r w:rsidR="00D729DC">
        <w:t>Provide</w:t>
      </w:r>
      <w:r w:rsidR="00FA7665">
        <w:t xml:space="preserve"> for FSANZ to adopt </w:t>
      </w:r>
      <w:r w:rsidR="00A86C56">
        <w:t xml:space="preserve">or </w:t>
      </w:r>
      <w:r w:rsidR="00D83A5C">
        <w:t xml:space="preserve">accept </w:t>
      </w:r>
      <w:r w:rsidR="00246F27">
        <w:t xml:space="preserve">risk </w:t>
      </w:r>
      <w:r w:rsidR="00882003">
        <w:t>assessments</w:t>
      </w:r>
      <w:r w:rsidR="004033B9">
        <w:t xml:space="preserve"> </w:t>
      </w:r>
      <w:r w:rsidR="00246F27">
        <w:t>from overseas jurisdictions</w:t>
      </w:r>
      <w:bookmarkEnd w:id="80"/>
      <w:bookmarkEnd w:id="81"/>
      <w:r w:rsidR="00D83A5C">
        <w:t xml:space="preserve"> </w:t>
      </w:r>
    </w:p>
    <w:p w14:paraId="217D01CD" w14:textId="173BDCCE" w:rsidR="00AC76F4" w:rsidRDefault="00423D41" w:rsidP="00AC76F4">
      <w:pPr>
        <w:rPr>
          <w:lang w:eastAsia="en-AU"/>
        </w:rPr>
      </w:pPr>
      <w:r w:rsidRPr="00E36013">
        <w:rPr>
          <w:lang w:eastAsia="en-AU"/>
        </w:rPr>
        <w:t xml:space="preserve">FSANZ’s ability to </w:t>
      </w:r>
      <w:r w:rsidR="00BA4017" w:rsidRPr="00E36013">
        <w:rPr>
          <w:lang w:eastAsia="en-AU"/>
        </w:rPr>
        <w:t xml:space="preserve">use </w:t>
      </w:r>
      <w:r w:rsidRPr="00E36013">
        <w:rPr>
          <w:lang w:eastAsia="en-AU"/>
        </w:rPr>
        <w:t xml:space="preserve">risk assessments from </w:t>
      </w:r>
      <w:r w:rsidR="00CB4068" w:rsidRPr="00E36013">
        <w:rPr>
          <w:lang w:eastAsia="en-AU"/>
        </w:rPr>
        <w:t xml:space="preserve">other jurisdictions could be enhanced </w:t>
      </w:r>
      <w:r w:rsidR="00BA4017" w:rsidRPr="00E36013">
        <w:rPr>
          <w:lang w:eastAsia="en-AU"/>
        </w:rPr>
        <w:t>by creating statutory authority</w:t>
      </w:r>
      <w:r w:rsidR="00F24EC5" w:rsidRPr="00E36013">
        <w:rPr>
          <w:lang w:eastAsia="en-AU"/>
        </w:rPr>
        <w:t xml:space="preserve"> for FSANZ</w:t>
      </w:r>
      <w:r w:rsidR="00BA4017" w:rsidRPr="00E36013">
        <w:rPr>
          <w:lang w:eastAsia="en-AU"/>
        </w:rPr>
        <w:t xml:space="preserve"> to recognise and adopt </w:t>
      </w:r>
      <w:r w:rsidR="00F24EC5" w:rsidRPr="00E36013">
        <w:rPr>
          <w:lang w:eastAsia="en-AU"/>
        </w:rPr>
        <w:t>international risk assessments</w:t>
      </w:r>
      <w:r w:rsidR="006A1F04" w:rsidRPr="00E36013">
        <w:rPr>
          <w:lang w:eastAsia="en-AU"/>
        </w:rPr>
        <w:t>.</w:t>
      </w:r>
      <w:r w:rsidR="008A57C6" w:rsidRPr="00E36013">
        <w:rPr>
          <w:lang w:eastAsia="en-AU"/>
        </w:rPr>
        <w:t xml:space="preserve"> This would apply to applications and proposals.</w:t>
      </w:r>
      <w:r w:rsidR="006A1F04" w:rsidRPr="00E36013">
        <w:rPr>
          <w:lang w:eastAsia="en-AU"/>
        </w:rPr>
        <w:t xml:space="preserve"> FSANZ can currently </w:t>
      </w:r>
      <w:r w:rsidR="000D420B" w:rsidRPr="00E36013">
        <w:rPr>
          <w:lang w:eastAsia="en-AU"/>
        </w:rPr>
        <w:t xml:space="preserve">do this in a limited way as </w:t>
      </w:r>
      <w:r w:rsidR="004D6FB1" w:rsidRPr="00E36013">
        <w:rPr>
          <w:lang w:eastAsia="en-AU"/>
        </w:rPr>
        <w:t>part</w:t>
      </w:r>
      <w:r w:rsidR="000D420B" w:rsidRPr="00E36013">
        <w:rPr>
          <w:lang w:eastAsia="en-AU"/>
        </w:rPr>
        <w:t xml:space="preserve"> of considering the weight of evidence for establishing or varying a standard but has little ability to </w:t>
      </w:r>
      <w:r w:rsidR="00B03736" w:rsidRPr="00E36013">
        <w:rPr>
          <w:lang w:eastAsia="en-AU"/>
        </w:rPr>
        <w:t>routinely adopt risk assessments in its work</w:t>
      </w:r>
      <w:r w:rsidR="004D6FB1" w:rsidRPr="00E36013">
        <w:rPr>
          <w:lang w:eastAsia="en-AU"/>
        </w:rPr>
        <w:t xml:space="preserve">. </w:t>
      </w:r>
      <w:r w:rsidR="00AC01D4" w:rsidRPr="00E36013">
        <w:rPr>
          <w:lang w:eastAsia="en-AU"/>
        </w:rPr>
        <w:t xml:space="preserve">The Act could be amended to enable FSANZ to </w:t>
      </w:r>
      <w:r w:rsidR="008A57C6" w:rsidRPr="00E36013">
        <w:rPr>
          <w:lang w:eastAsia="en-AU"/>
        </w:rPr>
        <w:t>formally recognise</w:t>
      </w:r>
      <w:r w:rsidR="00402621" w:rsidRPr="00E36013">
        <w:rPr>
          <w:lang w:eastAsia="en-AU"/>
        </w:rPr>
        <w:t xml:space="preserve"> and adopt the assessment and determinations of</w:t>
      </w:r>
      <w:r w:rsidR="008A57C6" w:rsidRPr="00E36013">
        <w:rPr>
          <w:lang w:eastAsia="en-AU"/>
        </w:rPr>
        <w:t xml:space="preserve"> </w:t>
      </w:r>
      <w:r w:rsidR="00B047FC" w:rsidRPr="00E36013">
        <w:rPr>
          <w:lang w:eastAsia="en-AU"/>
        </w:rPr>
        <w:t>‘overseas bodies’</w:t>
      </w:r>
      <w:r w:rsidR="00402621" w:rsidRPr="00E36013">
        <w:rPr>
          <w:lang w:eastAsia="en-AU"/>
        </w:rPr>
        <w:t xml:space="preserve"> (with appropriate statutory controls). </w:t>
      </w:r>
      <w:r w:rsidR="006A0DC1">
        <w:rPr>
          <w:lang w:eastAsia="en-AU"/>
        </w:rPr>
        <w:t xml:space="preserve">This could be limited to </w:t>
      </w:r>
      <w:r w:rsidR="00A056DD">
        <w:rPr>
          <w:lang w:eastAsia="en-AU"/>
        </w:rPr>
        <w:t xml:space="preserve">specific international bodies (such as Codex) or specific assessments (such as </w:t>
      </w:r>
      <w:r w:rsidR="00A464A0">
        <w:rPr>
          <w:lang w:eastAsia="en-AU"/>
        </w:rPr>
        <w:t xml:space="preserve">chemical risks assessments undertaken by the Join </w:t>
      </w:r>
      <w:r w:rsidR="00E92BBD">
        <w:rPr>
          <w:lang w:eastAsia="en-AU"/>
        </w:rPr>
        <w:t xml:space="preserve">Food an Agricultural Organization </w:t>
      </w:r>
      <w:r w:rsidR="001C7F73">
        <w:rPr>
          <w:lang w:eastAsia="en-AU"/>
        </w:rPr>
        <w:t xml:space="preserve">of the United Nations </w:t>
      </w:r>
      <w:r w:rsidR="00E92BBD">
        <w:rPr>
          <w:lang w:eastAsia="en-AU"/>
        </w:rPr>
        <w:t>/ World Health Organi</w:t>
      </w:r>
      <w:r w:rsidR="001C7F73">
        <w:rPr>
          <w:lang w:eastAsia="en-AU"/>
        </w:rPr>
        <w:t>z</w:t>
      </w:r>
      <w:r w:rsidR="00E92BBD">
        <w:rPr>
          <w:lang w:eastAsia="en-AU"/>
        </w:rPr>
        <w:t>ation</w:t>
      </w:r>
      <w:r w:rsidR="00A464A0">
        <w:rPr>
          <w:lang w:eastAsia="en-AU"/>
        </w:rPr>
        <w:t xml:space="preserve"> Expert Committee on Food Additives) or could be a more general power. </w:t>
      </w:r>
      <w:r w:rsidR="007348C2" w:rsidRPr="00E36013">
        <w:rPr>
          <w:lang w:eastAsia="en-AU"/>
        </w:rPr>
        <w:t xml:space="preserve">A similar provision was introduced to the </w:t>
      </w:r>
      <w:r w:rsidR="007348C2" w:rsidRPr="00555CD4">
        <w:rPr>
          <w:lang w:eastAsia="en-AU"/>
        </w:rPr>
        <w:t>Therapeutic Goods Act</w:t>
      </w:r>
      <w:r w:rsidR="007348C2" w:rsidRPr="00E36013">
        <w:rPr>
          <w:i/>
          <w:lang w:eastAsia="en-AU"/>
        </w:rPr>
        <w:t xml:space="preserve"> </w:t>
      </w:r>
      <w:r w:rsidR="007348C2" w:rsidRPr="00E36013">
        <w:rPr>
          <w:lang w:eastAsia="en-AU"/>
        </w:rPr>
        <w:t xml:space="preserve">to make market-approvals for medical devices more efficient (see </w:t>
      </w:r>
      <w:r w:rsidR="007348C2" w:rsidRPr="00E36013">
        <w:rPr>
          <w:lang w:eastAsia="en-AU"/>
        </w:rPr>
        <w:fldChar w:fldCharType="begin"/>
      </w:r>
      <w:r w:rsidR="007348C2" w:rsidRPr="00E36013">
        <w:rPr>
          <w:lang w:eastAsia="en-AU"/>
        </w:rPr>
        <w:instrText xml:space="preserve"> REF _Ref51499496 \h </w:instrText>
      </w:r>
      <w:r w:rsidR="007348C2">
        <w:rPr>
          <w:lang w:eastAsia="en-AU"/>
        </w:rPr>
        <w:instrText xml:space="preserve"> \* MERGEFORMAT </w:instrText>
      </w:r>
      <w:r w:rsidR="007348C2" w:rsidRPr="00E36013">
        <w:rPr>
          <w:lang w:eastAsia="en-AU"/>
        </w:rPr>
      </w:r>
      <w:r w:rsidR="007348C2" w:rsidRPr="00E36013">
        <w:rPr>
          <w:lang w:eastAsia="en-AU"/>
        </w:rPr>
        <w:fldChar w:fldCharType="separate"/>
      </w:r>
      <w:r w:rsidR="001C5CC6">
        <w:t xml:space="preserve">Table </w:t>
      </w:r>
      <w:r w:rsidR="001C5CC6">
        <w:rPr>
          <w:noProof/>
        </w:rPr>
        <w:t>11</w:t>
      </w:r>
      <w:r w:rsidR="007348C2" w:rsidRPr="00E36013">
        <w:rPr>
          <w:lang w:eastAsia="en-AU"/>
        </w:rPr>
        <w:fldChar w:fldCharType="end"/>
      </w:r>
      <w:r w:rsidR="007348C2" w:rsidRPr="00E36013">
        <w:rPr>
          <w:lang w:eastAsia="en-AU"/>
        </w:rPr>
        <w:t xml:space="preserve">).  </w:t>
      </w:r>
    </w:p>
    <w:p w14:paraId="053303F8" w14:textId="314F1584" w:rsidR="00A464A0" w:rsidRDefault="00001D28" w:rsidP="00AC76F4">
      <w:pPr>
        <w:rPr>
          <w:lang w:eastAsia="en-AU"/>
        </w:rPr>
      </w:pPr>
      <w:r>
        <w:rPr>
          <w:lang w:eastAsia="en-AU"/>
        </w:rPr>
        <w:t xml:space="preserve">This could help to promote </w:t>
      </w:r>
      <w:r w:rsidR="000978A3">
        <w:rPr>
          <w:lang w:eastAsia="en-AU"/>
        </w:rPr>
        <w:t xml:space="preserve">industry </w:t>
      </w:r>
      <w:r>
        <w:rPr>
          <w:lang w:eastAsia="en-AU"/>
        </w:rPr>
        <w:t>innovation</w:t>
      </w:r>
      <w:r w:rsidR="000978A3">
        <w:rPr>
          <w:lang w:eastAsia="en-AU"/>
        </w:rPr>
        <w:t>,</w:t>
      </w:r>
      <w:r>
        <w:rPr>
          <w:lang w:eastAsia="en-AU"/>
        </w:rPr>
        <w:t xml:space="preserve"> reduce data requirements for applicants </w:t>
      </w:r>
      <w:r w:rsidR="000978A3">
        <w:rPr>
          <w:lang w:eastAsia="en-AU"/>
        </w:rPr>
        <w:t xml:space="preserve">and realise efficiencies by reducing current duplication. Careful consideration of applying an appropriate Australia/New Zealand-specific risk assessment would need to be considered, especially where there are </w:t>
      </w:r>
      <w:r w:rsidR="002069C7">
        <w:rPr>
          <w:lang w:eastAsia="en-AU"/>
        </w:rPr>
        <w:t>divergences</w:t>
      </w:r>
      <w:r w:rsidR="000978A3">
        <w:rPr>
          <w:lang w:eastAsia="en-AU"/>
        </w:rPr>
        <w:t xml:space="preserve"> in scientific opinions. This would require information sharing </w:t>
      </w:r>
      <w:r w:rsidR="00471D7A">
        <w:rPr>
          <w:lang w:eastAsia="en-AU"/>
        </w:rPr>
        <w:t xml:space="preserve">and data </w:t>
      </w:r>
      <w:r w:rsidR="000978A3">
        <w:rPr>
          <w:lang w:eastAsia="en-AU"/>
        </w:rPr>
        <w:t xml:space="preserve">arrangements to </w:t>
      </w:r>
      <w:r w:rsidR="00471D7A">
        <w:rPr>
          <w:lang w:eastAsia="en-AU"/>
        </w:rPr>
        <w:t xml:space="preserve">promote confidence in overseas risk assessments. </w:t>
      </w:r>
    </w:p>
    <w:p w14:paraId="1F970D96" w14:textId="776451D6" w:rsidR="005B78DF" w:rsidRDefault="005B78DF" w:rsidP="005B78DF">
      <w:pPr>
        <w:pStyle w:val="Caption"/>
      </w:pPr>
      <w:bookmarkStart w:id="82" w:name="_Ref51499496"/>
      <w:r>
        <w:t xml:space="preserve">Table </w:t>
      </w:r>
      <w:r>
        <w:fldChar w:fldCharType="begin"/>
      </w:r>
      <w:r>
        <w:instrText xml:space="preserve"> SEQ Table \* ARABIC </w:instrText>
      </w:r>
      <w:r>
        <w:fldChar w:fldCharType="separate"/>
      </w:r>
      <w:r w:rsidR="001C5CC6">
        <w:rPr>
          <w:noProof/>
        </w:rPr>
        <w:t>11</w:t>
      </w:r>
      <w:r>
        <w:fldChar w:fldCharType="end"/>
      </w:r>
      <w:bookmarkEnd w:id="82"/>
      <w:r>
        <w:t xml:space="preserve"> | </w:t>
      </w:r>
      <w:r w:rsidR="00CA1474">
        <w:t>Medical device regulation – c</w:t>
      </w:r>
      <w:r>
        <w:t xml:space="preserve">onformity assessment procedures </w:t>
      </w:r>
      <w:r w:rsidR="00CA1474">
        <w:t>and overseas regulators</w:t>
      </w:r>
      <w: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5B78DF" w14:paraId="2546BA93" w14:textId="77777777" w:rsidTr="00BD6D0E">
        <w:tc>
          <w:tcPr>
            <w:tcW w:w="9055" w:type="dxa"/>
          </w:tcPr>
          <w:p w14:paraId="6C71C646" w14:textId="3D65F391" w:rsidR="001D651A" w:rsidRDefault="00383170" w:rsidP="00BF43FF">
            <w:pPr>
              <w:rPr>
                <w:rFonts w:eastAsia="Segoe UI Semilight" w:cs="Times New Roman"/>
              </w:rPr>
            </w:pPr>
            <w:r>
              <w:rPr>
                <w:rFonts w:eastAsia="Segoe UI Semilight" w:cs="Times New Roman"/>
              </w:rPr>
              <w:t>Under</w:t>
            </w:r>
            <w:r w:rsidR="00A00099">
              <w:rPr>
                <w:rFonts w:eastAsia="Segoe UI Semilight" w:cs="Times New Roman"/>
              </w:rPr>
              <w:t xml:space="preserve"> the Australian</w:t>
            </w:r>
            <w:r>
              <w:rPr>
                <w:rFonts w:eastAsia="Segoe UI Semilight" w:cs="Times New Roman"/>
              </w:rPr>
              <w:t xml:space="preserve"> regulatory scheme for medical devices, manufacturers </w:t>
            </w:r>
            <w:r w:rsidR="00BF43FF">
              <w:rPr>
                <w:rFonts w:eastAsia="Segoe UI Semilight" w:cs="Times New Roman"/>
              </w:rPr>
              <w:t>can use</w:t>
            </w:r>
            <w:r w:rsidR="00866E08">
              <w:rPr>
                <w:rFonts w:eastAsia="Segoe UI Semilight" w:cs="Times New Roman"/>
              </w:rPr>
              <w:t xml:space="preserve"> a </w:t>
            </w:r>
            <w:r w:rsidR="00866E08" w:rsidRPr="00F87D21">
              <w:rPr>
                <w:rFonts w:asciiTheme="majorHAnsi" w:eastAsia="Segoe UI Semilight" w:hAnsiTheme="majorHAnsi" w:cstheme="majorHAnsi"/>
              </w:rPr>
              <w:t>conformity assessment</w:t>
            </w:r>
            <w:r w:rsidR="00866E08">
              <w:rPr>
                <w:rFonts w:eastAsia="Segoe UI Semilight" w:cs="Times New Roman"/>
              </w:rPr>
              <w:t xml:space="preserve"> to demonstrate that a medical device is designed and produced to be safe, fit for purpose and perform as intended. </w:t>
            </w:r>
            <w:r w:rsidR="00E82D4B">
              <w:rPr>
                <w:rFonts w:eastAsia="Segoe UI Semilight" w:cs="Times New Roman"/>
              </w:rPr>
              <w:t>Conformity a</w:t>
            </w:r>
            <w:r w:rsidR="00BF43FF">
              <w:rPr>
                <w:rFonts w:eastAsia="Segoe UI Semilight" w:cs="Times New Roman"/>
              </w:rPr>
              <w:t xml:space="preserve">ssessment is the systemic and ongoing examination of evidence to ensure that a medical </w:t>
            </w:r>
            <w:r w:rsidR="00F87D21">
              <w:rPr>
                <w:rFonts w:eastAsia="Segoe UI Semilight" w:cs="Times New Roman"/>
              </w:rPr>
              <w:t>d</w:t>
            </w:r>
            <w:r w:rsidR="00BF43FF">
              <w:rPr>
                <w:rFonts w:eastAsia="Segoe UI Semilight" w:cs="Times New Roman"/>
              </w:rPr>
              <w:t xml:space="preserve">evice complies with essential principles and other legislative requirements. </w:t>
            </w:r>
            <w:r w:rsidR="001F2CEB">
              <w:rPr>
                <w:rFonts w:eastAsia="Segoe UI Semilight" w:cs="Times New Roman"/>
              </w:rPr>
              <w:t>Evidence of a conformity assessment must be held before a device can be included in the ARTG.</w:t>
            </w:r>
          </w:p>
          <w:p w14:paraId="261DDA3B" w14:textId="6903EBFB" w:rsidR="001F2CEB" w:rsidRDefault="001F2CEB" w:rsidP="00BF43FF">
            <w:pPr>
              <w:rPr>
                <w:rFonts w:eastAsia="Segoe UI Semilight" w:cs="Times New Roman"/>
              </w:rPr>
            </w:pPr>
            <w:r>
              <w:rPr>
                <w:rFonts w:eastAsia="Segoe UI Semilight" w:cs="Times New Roman"/>
              </w:rPr>
              <w:t xml:space="preserve">Some medical devices must have a TGA </w:t>
            </w:r>
            <w:r w:rsidR="00FD343C">
              <w:rPr>
                <w:rFonts w:eastAsia="Segoe UI Semilight" w:cs="Times New Roman"/>
              </w:rPr>
              <w:t>c</w:t>
            </w:r>
            <w:r>
              <w:rPr>
                <w:rFonts w:eastAsia="Segoe UI Semilight" w:cs="Times New Roman"/>
              </w:rPr>
              <w:t xml:space="preserve">onformity </w:t>
            </w:r>
            <w:r w:rsidR="00FD343C">
              <w:rPr>
                <w:rFonts w:eastAsia="Segoe UI Semilight" w:cs="Times New Roman"/>
              </w:rPr>
              <w:t>a</w:t>
            </w:r>
            <w:r>
              <w:rPr>
                <w:rFonts w:eastAsia="Segoe UI Semilight" w:cs="Times New Roman"/>
              </w:rPr>
              <w:t xml:space="preserve">ssessment certificate. </w:t>
            </w:r>
            <w:r w:rsidR="000C5A90">
              <w:rPr>
                <w:rFonts w:eastAsia="Segoe UI Semilight" w:cs="Times New Roman"/>
              </w:rPr>
              <w:t xml:space="preserve">Other devices can </w:t>
            </w:r>
            <w:r w:rsidR="00876611">
              <w:rPr>
                <w:rFonts w:eastAsia="Segoe UI Semilight" w:cs="Times New Roman"/>
              </w:rPr>
              <w:t>be included in the ARTG based on evidence from a comparable overseas regulator</w:t>
            </w:r>
            <w:r w:rsidR="00C46693">
              <w:rPr>
                <w:rFonts w:eastAsia="Segoe UI Semilight" w:cs="Times New Roman"/>
              </w:rPr>
              <w:t xml:space="preserve"> or assessment body</w:t>
            </w:r>
            <w:r w:rsidR="00876611">
              <w:rPr>
                <w:rFonts w:eastAsia="Segoe UI Semilight" w:cs="Times New Roman"/>
              </w:rPr>
              <w:t xml:space="preserve">. </w:t>
            </w:r>
            <w:r w:rsidR="00173344">
              <w:rPr>
                <w:rFonts w:eastAsia="Segoe UI Semilight" w:cs="Times New Roman"/>
              </w:rPr>
              <w:t xml:space="preserve">Under the </w:t>
            </w:r>
            <w:r w:rsidR="00173344">
              <w:rPr>
                <w:rFonts w:eastAsia="Segoe UI Semilight" w:cs="Times New Roman"/>
                <w:i/>
              </w:rPr>
              <w:t xml:space="preserve">Therapeutic Goods Act </w:t>
            </w:r>
            <w:r w:rsidR="00173344">
              <w:rPr>
                <w:rFonts w:eastAsia="Segoe UI Semilight" w:cs="Times New Roman"/>
              </w:rPr>
              <w:t xml:space="preserve">the Secretary may </w:t>
            </w:r>
            <w:r w:rsidR="0013758F">
              <w:rPr>
                <w:rFonts w:eastAsia="Segoe UI Semilight" w:cs="Times New Roman"/>
              </w:rPr>
              <w:t>designat</w:t>
            </w:r>
            <w:r w:rsidR="00575EF3">
              <w:rPr>
                <w:rFonts w:eastAsia="Segoe UI Semilight" w:cs="Times New Roman"/>
              </w:rPr>
              <w:t>e a body to be an ‘</w:t>
            </w:r>
            <w:r w:rsidR="00575EF3" w:rsidRPr="009438E4">
              <w:rPr>
                <w:rFonts w:asciiTheme="majorHAnsi" w:eastAsia="Segoe UI Semilight" w:hAnsiTheme="majorHAnsi" w:cstheme="majorHAnsi"/>
              </w:rPr>
              <w:t>overseas regulator and/or assessment body’</w:t>
            </w:r>
            <w:r w:rsidR="00575EF3">
              <w:rPr>
                <w:rFonts w:eastAsia="Segoe UI Semilight" w:cs="Times New Roman"/>
              </w:rPr>
              <w:t xml:space="preserve"> that can provide evidence used to inform inclusion on the ARTG. </w:t>
            </w:r>
          </w:p>
          <w:p w14:paraId="7A8A435A" w14:textId="312A51A3" w:rsidR="005B78DF" w:rsidRPr="000F2145" w:rsidRDefault="00C46693" w:rsidP="00BD6D0E">
            <w:pPr>
              <w:rPr>
                <w:rFonts w:eastAsia="Segoe UI Semilight" w:cs="Times New Roman"/>
              </w:rPr>
            </w:pPr>
            <w:r>
              <w:rPr>
                <w:rFonts w:eastAsia="Segoe UI Semilight" w:cs="Times New Roman"/>
              </w:rPr>
              <w:t xml:space="preserve">These changes were introduced as a result of the Expert Panel Review of </w:t>
            </w:r>
            <w:r w:rsidR="00276967">
              <w:rPr>
                <w:rFonts w:eastAsia="Segoe UI Semilight" w:cs="Times New Roman"/>
              </w:rPr>
              <w:t>Medicines</w:t>
            </w:r>
            <w:r>
              <w:rPr>
                <w:rFonts w:eastAsia="Segoe UI Semilight" w:cs="Times New Roman"/>
              </w:rPr>
              <w:t xml:space="preserve"> and Medical Devices Regulation which </w:t>
            </w:r>
            <w:r w:rsidR="00D05E03">
              <w:rPr>
                <w:rFonts w:eastAsia="Segoe UI Semilight" w:cs="Times New Roman"/>
              </w:rPr>
              <w:t>recommended better utilisation of</w:t>
            </w:r>
            <w:r w:rsidR="00101E41">
              <w:rPr>
                <w:rFonts w:eastAsia="Segoe UI Semilight" w:cs="Times New Roman"/>
              </w:rPr>
              <w:t xml:space="preserve"> overseas approvals of medical devices. </w:t>
            </w:r>
          </w:p>
        </w:tc>
      </w:tr>
    </w:tbl>
    <w:p w14:paraId="0139B0E0" w14:textId="183F45AE" w:rsidR="00FA7665" w:rsidRDefault="000249A5" w:rsidP="00542E82">
      <w:pPr>
        <w:pStyle w:val="Heading3"/>
      </w:pPr>
      <w:bookmarkStart w:id="83" w:name="_Ref51341715"/>
      <w:r>
        <w:lastRenderedPageBreak/>
        <w:t>Reform idea 11</w:t>
      </w:r>
      <w:r w:rsidR="0088556C">
        <w:t xml:space="preserve"> </w:t>
      </w:r>
      <w:r>
        <w:t>–</w:t>
      </w:r>
      <w:r w:rsidR="007726B5">
        <w:t xml:space="preserve"> </w:t>
      </w:r>
      <w:r w:rsidR="0039731E">
        <w:t>Enable</w:t>
      </w:r>
      <w:r w:rsidR="00026DDC">
        <w:t xml:space="preserve"> FSANZ to adopt international standards</w:t>
      </w:r>
      <w:bookmarkEnd w:id="83"/>
      <w:r w:rsidR="004033B9">
        <w:t xml:space="preserve"> </w:t>
      </w:r>
    </w:p>
    <w:p w14:paraId="5AAA75F7" w14:textId="77777777" w:rsidR="005F1EA4" w:rsidRDefault="00EF0B65" w:rsidP="0067203A">
      <w:pPr>
        <w:pStyle w:val="Bullet"/>
        <w:numPr>
          <w:ilvl w:val="0"/>
          <w:numId w:val="0"/>
        </w:numPr>
      </w:pPr>
      <w:r>
        <w:t xml:space="preserve">The Act could be revised to allow FSANZ to </w:t>
      </w:r>
      <w:r w:rsidR="00AE5484">
        <w:t xml:space="preserve">adopt </w:t>
      </w:r>
      <w:r w:rsidR="0067203A">
        <w:t>or incorporate international standards into the Food Standards Code outside of</w:t>
      </w:r>
      <w:r w:rsidR="00933C7F">
        <w:t xml:space="preserve"> the</w:t>
      </w:r>
      <w:r w:rsidR="0067203A">
        <w:t xml:space="preserve"> current proposal pathway</w:t>
      </w:r>
      <w:r w:rsidR="000A1FBC">
        <w:t xml:space="preserve"> through a </w:t>
      </w:r>
      <w:r w:rsidR="00DA4F96">
        <w:t xml:space="preserve">more </w:t>
      </w:r>
      <w:r w:rsidR="000A1FBC">
        <w:t xml:space="preserve">streamlined approach. </w:t>
      </w:r>
      <w:r w:rsidR="004E6FAC">
        <w:t xml:space="preserve">Options to adopt or incorporate international standards </w:t>
      </w:r>
      <w:r w:rsidR="00E055F9">
        <w:t xml:space="preserve">could vary with the level of oversight tailored to the risk presented by the particular standard. </w:t>
      </w:r>
      <w:r w:rsidR="005F1EA4">
        <w:t xml:space="preserve">This could include a range of potential pathways including: </w:t>
      </w:r>
    </w:p>
    <w:p w14:paraId="36DA8D26" w14:textId="381A518A" w:rsidR="00702BC0" w:rsidRDefault="005E79D6" w:rsidP="005F1EA4">
      <w:pPr>
        <w:pStyle w:val="Bullet"/>
      </w:pPr>
      <w:r>
        <w:t>r</w:t>
      </w:r>
      <w:r w:rsidR="008451F0">
        <w:t>outine consideration or</w:t>
      </w:r>
      <w:r w:rsidR="008A2BF1">
        <w:t xml:space="preserve"> adoption of newly developed Codex standards </w:t>
      </w:r>
      <w:r w:rsidR="00702BC0">
        <w:t xml:space="preserve">or standards from overseas jurisdictions </w:t>
      </w:r>
      <w:r w:rsidR="004906C1">
        <w:t xml:space="preserve">when they come into effect </w:t>
      </w:r>
    </w:p>
    <w:p w14:paraId="1122F823" w14:textId="58BB9352" w:rsidR="0039658E" w:rsidRDefault="005E79D6" w:rsidP="005F1EA4">
      <w:pPr>
        <w:pStyle w:val="Bullet"/>
      </w:pPr>
      <w:r>
        <w:t>m</w:t>
      </w:r>
      <w:r w:rsidR="00592201">
        <w:t xml:space="preserve">utual recognition arrangements with other </w:t>
      </w:r>
      <w:r w:rsidR="006275F8">
        <w:t xml:space="preserve">comparable </w:t>
      </w:r>
      <w:r w:rsidR="00592201">
        <w:t>jurisdictions</w:t>
      </w:r>
      <w:r w:rsidR="00A20EAA">
        <w:t xml:space="preserve"> </w:t>
      </w:r>
    </w:p>
    <w:p w14:paraId="16D1FFFE" w14:textId="01F597C9" w:rsidR="00143922" w:rsidRDefault="005E79D6" w:rsidP="005F1EA4">
      <w:pPr>
        <w:pStyle w:val="Bullet"/>
      </w:pPr>
      <w:r>
        <w:t>a</w:t>
      </w:r>
      <w:r w:rsidR="00143922">
        <w:t>doption of standards wh</w:t>
      </w:r>
      <w:r w:rsidR="00B33124">
        <w:t>e</w:t>
      </w:r>
      <w:r w:rsidR="00143922">
        <w:t xml:space="preserve">re accompanied by an appropriate and </w:t>
      </w:r>
      <w:r w:rsidR="00154ED2">
        <w:t>suitable</w:t>
      </w:r>
      <w:r w:rsidR="00143922">
        <w:t xml:space="preserve"> risk and safety assessment</w:t>
      </w:r>
      <w:r w:rsidR="00793968">
        <w:t xml:space="preserve"> (undertaken by FSANZ)</w:t>
      </w:r>
      <w:r w:rsidR="00143922">
        <w:t xml:space="preserve">. </w:t>
      </w:r>
    </w:p>
    <w:p w14:paraId="233B23FA" w14:textId="16ECB0B2" w:rsidR="00FE217F" w:rsidRDefault="00295FE9" w:rsidP="00B33124">
      <w:pPr>
        <w:pStyle w:val="Bullet"/>
        <w:numPr>
          <w:ilvl w:val="0"/>
          <w:numId w:val="0"/>
        </w:numPr>
      </w:pPr>
      <w:r>
        <w:t>This</w:t>
      </w:r>
      <w:r w:rsidDel="002A389D">
        <w:t xml:space="preserve"> </w:t>
      </w:r>
      <w:r w:rsidR="002A389D">
        <w:t xml:space="preserve">reform idea </w:t>
      </w:r>
      <w:r w:rsidR="004358A9">
        <w:t xml:space="preserve">could improve the timeliness to make changes to </w:t>
      </w:r>
      <w:r w:rsidR="00A91217">
        <w:t>f</w:t>
      </w:r>
      <w:r w:rsidR="00A91217" w:rsidRPr="00D25630">
        <w:t xml:space="preserve">ood </w:t>
      </w:r>
      <w:r w:rsidR="004358A9">
        <w:t xml:space="preserve">standards where there is a strong existing evidence base and could help to support consistency between domestic and international standards. </w:t>
      </w:r>
      <w:r w:rsidR="005630E5">
        <w:t xml:space="preserve">It could also lead to more effective resource allocation by </w:t>
      </w:r>
      <w:r w:rsidR="009A1B4B">
        <w:t xml:space="preserve">introducing more tailored pathways for more routine adoption of international standards. </w:t>
      </w:r>
    </w:p>
    <w:p w14:paraId="0537D25F" w14:textId="667261C2" w:rsidR="00295029" w:rsidRDefault="009A1B4B" w:rsidP="00B33124">
      <w:pPr>
        <w:pStyle w:val="Bullet"/>
        <w:numPr>
          <w:ilvl w:val="0"/>
          <w:numId w:val="0"/>
        </w:numPr>
      </w:pPr>
      <w:r>
        <w:t>Resourcing requirements to ensure that standards stay up-to-date and relevant would need to be considered</w:t>
      </w:r>
      <w:r w:rsidR="00FE1B9B">
        <w:t xml:space="preserve">. Clear </w:t>
      </w:r>
      <w:r w:rsidR="00110C3B">
        <w:t xml:space="preserve">and appropriate </w:t>
      </w:r>
      <w:r w:rsidR="00FE1B9B">
        <w:t xml:space="preserve">governance arrangements </w:t>
      </w:r>
      <w:r w:rsidR="00AE73A2">
        <w:t xml:space="preserve">and processes </w:t>
      </w:r>
      <w:r w:rsidR="00FE217F">
        <w:t>for these pathways would need to be agreed that</w:t>
      </w:r>
      <w:r w:rsidR="00110C3B">
        <w:t xml:space="preserve"> support timely decision-making</w:t>
      </w:r>
      <w:r w:rsidR="00AE73A2">
        <w:t xml:space="preserve"> and provide s</w:t>
      </w:r>
      <w:r w:rsidR="000B6242">
        <w:t xml:space="preserve">ufficient opportunities for consultation and engagement. </w:t>
      </w:r>
      <w:r w:rsidR="00110C3B">
        <w:t xml:space="preserve"> </w:t>
      </w:r>
      <w:r w:rsidR="00FE217F">
        <w:t xml:space="preserve"> </w:t>
      </w:r>
    </w:p>
    <w:p w14:paraId="593A2FC2" w14:textId="25F3FC00" w:rsidR="003A6BAA" w:rsidRPr="003A6BAA" w:rsidRDefault="000249A5" w:rsidP="00542E82">
      <w:pPr>
        <w:pStyle w:val="Heading3"/>
      </w:pPr>
      <w:bookmarkStart w:id="84" w:name="_Ref51749058"/>
      <w:bookmarkStart w:id="85" w:name="_Ref51341717"/>
      <w:r>
        <w:t>Reform idea 12</w:t>
      </w:r>
      <w:r w:rsidR="0088556C">
        <w:t xml:space="preserve"> </w:t>
      </w:r>
      <w:r>
        <w:t>–</w:t>
      </w:r>
      <w:r w:rsidR="00CA264D">
        <w:t xml:space="preserve"> </w:t>
      </w:r>
      <w:r w:rsidR="001E6776">
        <w:t xml:space="preserve">Create </w:t>
      </w:r>
      <w:r w:rsidR="005371FC">
        <w:t>industry-led</w:t>
      </w:r>
      <w:r w:rsidR="001E6776">
        <w:t xml:space="preserve"> </w:t>
      </w:r>
      <w:r w:rsidR="005371FC">
        <w:t>pathway</w:t>
      </w:r>
      <w:r w:rsidR="009C73F5">
        <w:t>s</w:t>
      </w:r>
      <w:r w:rsidR="001E6776">
        <w:t xml:space="preserve"> to expedite applications</w:t>
      </w:r>
      <w:r w:rsidR="009C73F5">
        <w:t xml:space="preserve"> and bring new products to market</w:t>
      </w:r>
      <w:bookmarkEnd w:id="84"/>
      <w:r w:rsidR="001E6776">
        <w:t xml:space="preserve"> </w:t>
      </w:r>
      <w:bookmarkEnd w:id="85"/>
    </w:p>
    <w:p w14:paraId="2DEC06B8" w14:textId="0110FE7E" w:rsidR="00457CB8" w:rsidRDefault="00C00DB9" w:rsidP="0058239B">
      <w:pPr>
        <w:rPr>
          <w:lang w:eastAsia="en-AU"/>
        </w:rPr>
      </w:pPr>
      <w:r>
        <w:rPr>
          <w:lang w:eastAsia="en-AU"/>
        </w:rPr>
        <w:t>This</w:t>
      </w:r>
      <w:r w:rsidR="009C73F5">
        <w:rPr>
          <w:lang w:eastAsia="en-AU"/>
        </w:rPr>
        <w:t xml:space="preserve"> </w:t>
      </w:r>
      <w:r w:rsidR="00602B26">
        <w:rPr>
          <w:lang w:eastAsia="en-AU"/>
        </w:rPr>
        <w:t>reform idea</w:t>
      </w:r>
      <w:r w:rsidR="009C73F5">
        <w:rPr>
          <w:lang w:eastAsia="en-AU"/>
        </w:rPr>
        <w:t xml:space="preserve"> would</w:t>
      </w:r>
      <w:r w:rsidR="0059138D">
        <w:rPr>
          <w:lang w:eastAsia="en-AU"/>
        </w:rPr>
        <w:t xml:space="preserve"> create streamlined pathways </w:t>
      </w:r>
      <w:r w:rsidR="0087552C">
        <w:rPr>
          <w:lang w:eastAsia="en-AU"/>
        </w:rPr>
        <w:t xml:space="preserve">for changes to </w:t>
      </w:r>
      <w:r w:rsidR="00A91217">
        <w:t>f</w:t>
      </w:r>
      <w:r w:rsidR="00A91217" w:rsidRPr="00D25630">
        <w:t xml:space="preserve">ood </w:t>
      </w:r>
      <w:r w:rsidR="0087552C">
        <w:rPr>
          <w:lang w:eastAsia="en-AU"/>
        </w:rPr>
        <w:t xml:space="preserve">standards that </w:t>
      </w:r>
      <w:r w:rsidR="00457CB8">
        <w:rPr>
          <w:lang w:eastAsia="en-AU"/>
        </w:rPr>
        <w:t>are supported by well-established international standards and risk assessments. This</w:t>
      </w:r>
      <w:r w:rsidR="00457CB8" w:rsidDel="002A389D">
        <w:rPr>
          <w:lang w:eastAsia="en-AU"/>
        </w:rPr>
        <w:t xml:space="preserve"> </w:t>
      </w:r>
      <w:r w:rsidR="002A389D">
        <w:rPr>
          <w:lang w:eastAsia="en-AU"/>
        </w:rPr>
        <w:t xml:space="preserve">reform idea </w:t>
      </w:r>
      <w:r w:rsidR="00FA7F14">
        <w:rPr>
          <w:lang w:eastAsia="en-AU"/>
        </w:rPr>
        <w:t xml:space="preserve">would enable industry to bring new food products to market </w:t>
      </w:r>
      <w:r w:rsidR="00347CB7">
        <w:rPr>
          <w:lang w:eastAsia="en-AU"/>
        </w:rPr>
        <w:t>in Australia and New Zealand more quickly</w:t>
      </w:r>
      <w:r w:rsidR="009D5E47">
        <w:rPr>
          <w:lang w:eastAsia="en-AU"/>
        </w:rPr>
        <w:t xml:space="preserve"> and woul</w:t>
      </w:r>
      <w:r w:rsidR="00E65FBB">
        <w:rPr>
          <w:lang w:eastAsia="en-AU"/>
        </w:rPr>
        <w:t>d shift oversight more towards post-approval monitoring and quality assurance</w:t>
      </w:r>
      <w:r w:rsidR="005B64B5">
        <w:rPr>
          <w:lang w:eastAsia="en-AU"/>
        </w:rPr>
        <w:t>.</w:t>
      </w:r>
      <w:r w:rsidR="00F43D7B">
        <w:rPr>
          <w:lang w:eastAsia="en-AU"/>
        </w:rPr>
        <w:t xml:space="preserve"> </w:t>
      </w:r>
    </w:p>
    <w:p w14:paraId="6A2C538A" w14:textId="4A718632" w:rsidR="00AB0FFB" w:rsidRDefault="001A5ACC" w:rsidP="0058239B">
      <w:pPr>
        <w:rPr>
          <w:lang w:eastAsia="en-AU"/>
        </w:rPr>
      </w:pPr>
      <w:r>
        <w:rPr>
          <w:lang w:eastAsia="en-AU"/>
        </w:rPr>
        <w:t>This reform idea</w:t>
      </w:r>
      <w:r w:rsidR="00AB0FFB">
        <w:rPr>
          <w:lang w:eastAsia="en-AU"/>
        </w:rPr>
        <w:t xml:space="preserve"> could </w:t>
      </w:r>
      <w:r w:rsidR="001B6362">
        <w:rPr>
          <w:lang w:eastAsia="en-AU"/>
        </w:rPr>
        <w:t xml:space="preserve">be tailored to different risk levels and could </w:t>
      </w:r>
      <w:r w:rsidR="00AB0FFB">
        <w:rPr>
          <w:lang w:eastAsia="en-AU"/>
        </w:rPr>
        <w:t xml:space="preserve">include: </w:t>
      </w:r>
    </w:p>
    <w:p w14:paraId="67185033" w14:textId="263193E6" w:rsidR="00AB0FFB" w:rsidRDefault="00243191" w:rsidP="00FA23FC">
      <w:pPr>
        <w:pStyle w:val="Bullet"/>
      </w:pPr>
      <w:r>
        <w:rPr>
          <w:rFonts w:asciiTheme="majorHAnsi" w:hAnsiTheme="majorHAnsi" w:cstheme="majorHAnsi"/>
        </w:rPr>
        <w:t xml:space="preserve">a </w:t>
      </w:r>
      <w:r w:rsidR="005E79D6">
        <w:rPr>
          <w:rFonts w:asciiTheme="majorHAnsi" w:hAnsiTheme="majorHAnsi" w:cstheme="majorHAnsi"/>
        </w:rPr>
        <w:t>g</w:t>
      </w:r>
      <w:r w:rsidR="00FA23FC" w:rsidRPr="00836FF9">
        <w:rPr>
          <w:rFonts w:asciiTheme="majorHAnsi" w:hAnsiTheme="majorHAnsi" w:cstheme="majorHAnsi"/>
        </w:rPr>
        <w:t>reater role for industry self-certification</w:t>
      </w:r>
      <w:r w:rsidR="00FA23FC">
        <w:t>, including ‘listing’ low risk products in</w:t>
      </w:r>
      <w:r w:rsidR="00FA1DDE">
        <w:t xml:space="preserve"> the</w:t>
      </w:r>
      <w:r w:rsidR="00FA23FC">
        <w:t xml:space="preserve"> </w:t>
      </w:r>
      <w:r w:rsidR="00A91217">
        <w:t>F</w:t>
      </w:r>
      <w:r w:rsidR="00A91217" w:rsidRPr="00D25630">
        <w:t xml:space="preserve">ood </w:t>
      </w:r>
      <w:r w:rsidR="00FA23FC">
        <w:t xml:space="preserve">Standards Code in a similar manner to the TGA’s </w:t>
      </w:r>
      <w:r w:rsidR="0089564F">
        <w:t>listed medicines</w:t>
      </w:r>
      <w:r w:rsidR="00E42C35">
        <w:t xml:space="preserve"> (see </w:t>
      </w:r>
      <w:r w:rsidR="00E42C35">
        <w:fldChar w:fldCharType="begin"/>
      </w:r>
      <w:r w:rsidR="00E42C35">
        <w:instrText xml:space="preserve"> REF _Ref51249274 \h </w:instrText>
      </w:r>
      <w:r w:rsidR="00E42C35">
        <w:fldChar w:fldCharType="separate"/>
      </w:r>
      <w:r w:rsidR="001C5CC6">
        <w:t xml:space="preserve">Table </w:t>
      </w:r>
      <w:r w:rsidR="001C5CC6">
        <w:rPr>
          <w:noProof/>
        </w:rPr>
        <w:t>12</w:t>
      </w:r>
      <w:r w:rsidR="00E42C35">
        <w:fldChar w:fldCharType="end"/>
      </w:r>
      <w:r w:rsidR="00E42C35">
        <w:t>)</w:t>
      </w:r>
    </w:p>
    <w:p w14:paraId="7BD464FA" w14:textId="3084EC69" w:rsidR="0089564F" w:rsidRDefault="00660262" w:rsidP="00FA23FC">
      <w:pPr>
        <w:pStyle w:val="Bullet"/>
      </w:pPr>
      <w:r>
        <w:rPr>
          <w:rFonts w:asciiTheme="majorHAnsi" w:hAnsiTheme="majorHAnsi" w:cstheme="majorHAnsi"/>
        </w:rPr>
        <w:t xml:space="preserve">a </w:t>
      </w:r>
      <w:r w:rsidR="005E79D6">
        <w:rPr>
          <w:rFonts w:asciiTheme="majorHAnsi" w:hAnsiTheme="majorHAnsi" w:cstheme="majorHAnsi"/>
        </w:rPr>
        <w:t>s</w:t>
      </w:r>
      <w:r w:rsidR="00F51E5E" w:rsidRPr="00F51E5E">
        <w:rPr>
          <w:rFonts w:asciiTheme="majorHAnsi" w:hAnsiTheme="majorHAnsi" w:cstheme="majorHAnsi"/>
        </w:rPr>
        <w:t>treamlined application pathway</w:t>
      </w:r>
      <w:r w:rsidR="00F51E5E">
        <w:t xml:space="preserve"> with shorter statutory timeframes, without the Forum’s sign-off</w:t>
      </w:r>
      <w:r w:rsidR="00BD1CAD">
        <w:t xml:space="preserve">, for suitably low-risk standards </w:t>
      </w:r>
      <w:r w:rsidR="00EB4F0E">
        <w:t>where a safety assessment from a comparable jurisdiction is produced as part of the</w:t>
      </w:r>
      <w:r w:rsidR="00BD1CAD">
        <w:t xml:space="preserve"> application</w:t>
      </w:r>
      <w:r w:rsidR="00F51E5E">
        <w:t xml:space="preserve"> </w:t>
      </w:r>
    </w:p>
    <w:p w14:paraId="02DB222A" w14:textId="30F4277F" w:rsidR="0017320B" w:rsidRDefault="005E79D6" w:rsidP="00FA23FC">
      <w:pPr>
        <w:pStyle w:val="Bullet"/>
      </w:pPr>
      <w:r>
        <w:rPr>
          <w:rFonts w:asciiTheme="majorHAnsi" w:hAnsiTheme="majorHAnsi" w:cstheme="majorHAnsi"/>
        </w:rPr>
        <w:t>a</w:t>
      </w:r>
      <w:r w:rsidR="00FF7269" w:rsidRPr="00917048">
        <w:rPr>
          <w:rFonts w:asciiTheme="majorHAnsi" w:hAnsiTheme="majorHAnsi" w:cstheme="majorHAnsi"/>
        </w:rPr>
        <w:t xml:space="preserve">n initial safety assessment </w:t>
      </w:r>
      <w:r w:rsidR="00816DBA" w:rsidRPr="00917048">
        <w:rPr>
          <w:rFonts w:asciiTheme="majorHAnsi" w:hAnsiTheme="majorHAnsi" w:cstheme="majorHAnsi"/>
        </w:rPr>
        <w:t>prior to market entry</w:t>
      </w:r>
      <w:r w:rsidR="00816DBA">
        <w:t xml:space="preserve"> with </w:t>
      </w:r>
      <w:r w:rsidR="00927AE9">
        <w:t xml:space="preserve">the ability to conduct a more fulsome assessment </w:t>
      </w:r>
      <w:r w:rsidR="00917048">
        <w:t xml:space="preserve">after a product is introduced. This could be similar to Canada’s </w:t>
      </w:r>
      <w:r w:rsidR="00917048">
        <w:rPr>
          <w:i/>
        </w:rPr>
        <w:t xml:space="preserve">market authorisation </w:t>
      </w:r>
      <w:r w:rsidR="00917048">
        <w:t>regime</w:t>
      </w:r>
      <w:r w:rsidR="002D0FAA">
        <w:t xml:space="preserve"> (see </w:t>
      </w:r>
      <w:r w:rsidR="002D0FAA">
        <w:fldChar w:fldCharType="begin"/>
      </w:r>
      <w:r w:rsidR="002D0FAA">
        <w:instrText xml:space="preserve"> REF _Ref51498413 \h </w:instrText>
      </w:r>
      <w:r w:rsidR="002D0FAA">
        <w:fldChar w:fldCharType="separate"/>
      </w:r>
      <w:r w:rsidR="001C5CC6">
        <w:t xml:space="preserve">Table </w:t>
      </w:r>
      <w:r w:rsidR="001C5CC6">
        <w:rPr>
          <w:noProof/>
        </w:rPr>
        <w:t>13</w:t>
      </w:r>
      <w:r w:rsidR="002D0FAA">
        <w:fldChar w:fldCharType="end"/>
      </w:r>
      <w:r w:rsidR="002D0FAA">
        <w:t xml:space="preserve">). </w:t>
      </w:r>
    </w:p>
    <w:p w14:paraId="70829D3C" w14:textId="471A0471" w:rsidR="0090123F" w:rsidRDefault="0017320B" w:rsidP="00AF15AD">
      <w:pPr>
        <w:pStyle w:val="Bullet"/>
        <w:numPr>
          <w:ilvl w:val="0"/>
          <w:numId w:val="0"/>
        </w:numPr>
      </w:pPr>
      <w:r>
        <w:t xml:space="preserve">These pathways would require appropriate statutory requirements on food businesses to hold </w:t>
      </w:r>
      <w:r w:rsidR="00AF15AD">
        <w:t xml:space="preserve">and submit relevant information and appropriate powers for FSANZ to request or compel information to be provided. </w:t>
      </w:r>
      <w:r w:rsidR="00BD1CAD">
        <w:t xml:space="preserve"> </w:t>
      </w:r>
      <w:r w:rsidR="00AF15AD">
        <w:t>This</w:t>
      </w:r>
      <w:r w:rsidR="00AF15AD" w:rsidDel="002A389D">
        <w:t xml:space="preserve"> </w:t>
      </w:r>
      <w:r w:rsidR="002A389D">
        <w:t xml:space="preserve">reform idea </w:t>
      </w:r>
      <w:r w:rsidR="00AF15AD">
        <w:t xml:space="preserve">could </w:t>
      </w:r>
      <w:r w:rsidR="0090123F">
        <w:t>support greater innovation and efficiency and supports alignment with international standards</w:t>
      </w:r>
      <w:r w:rsidR="00546191">
        <w:t>, however suitable statutory control</w:t>
      </w:r>
      <w:r w:rsidR="00001574">
        <w:t>s</w:t>
      </w:r>
      <w:r w:rsidR="00546191">
        <w:t xml:space="preserve"> would be required to determine appropriate applications or standards that could use this pathway.</w:t>
      </w:r>
    </w:p>
    <w:p w14:paraId="050EBDC6" w14:textId="66DE1017" w:rsidR="0005211D" w:rsidRDefault="0005211D" w:rsidP="0005211D">
      <w:pPr>
        <w:pStyle w:val="Caption"/>
      </w:pPr>
      <w:bookmarkStart w:id="86" w:name="_Ref51249274"/>
      <w:r>
        <w:t xml:space="preserve">Table </w:t>
      </w:r>
      <w:r>
        <w:fldChar w:fldCharType="begin"/>
      </w:r>
      <w:r>
        <w:instrText xml:space="preserve"> SEQ Table \* ARABIC </w:instrText>
      </w:r>
      <w:r>
        <w:fldChar w:fldCharType="separate"/>
      </w:r>
      <w:r w:rsidR="001C5CC6">
        <w:rPr>
          <w:noProof/>
        </w:rPr>
        <w:t>12</w:t>
      </w:r>
      <w:r>
        <w:fldChar w:fldCharType="end"/>
      </w:r>
      <w:bookmarkEnd w:id="86"/>
      <w:r>
        <w:t xml:space="preserve"> | </w:t>
      </w:r>
      <w:r w:rsidR="008C27CD">
        <w:t>Three-tiered risk-based framework</w:t>
      </w:r>
      <w:r>
        <w:t xml:space="preserve"> for </w:t>
      </w:r>
      <w:r w:rsidR="008C27CD">
        <w:t>complementary medicines</w:t>
      </w:r>
      <w: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05211D" w14:paraId="2214FFAD" w14:textId="77777777" w:rsidTr="002E0A60">
        <w:tc>
          <w:tcPr>
            <w:tcW w:w="9055" w:type="dxa"/>
          </w:tcPr>
          <w:p w14:paraId="794D9651" w14:textId="5CA22A3C" w:rsidR="00F810BE" w:rsidRDefault="008C27CD" w:rsidP="0005211D">
            <w:pPr>
              <w:rPr>
                <w:rFonts w:eastAsia="Segoe UI Semilight" w:cs="Times New Roman"/>
              </w:rPr>
            </w:pPr>
            <w:r>
              <w:rPr>
                <w:rFonts w:eastAsia="Segoe UI Semilight" w:cs="Times New Roman"/>
              </w:rPr>
              <w:t xml:space="preserve">Following amendments to the Therapeutic Good Regulations in 2018, the TGA introduced a </w:t>
            </w:r>
            <w:r w:rsidRPr="008C27CD">
              <w:rPr>
                <w:rFonts w:asciiTheme="majorHAnsi" w:eastAsia="Segoe UI Semilight" w:hAnsiTheme="majorHAnsi" w:cstheme="majorHAnsi"/>
              </w:rPr>
              <w:t xml:space="preserve">three-tiered </w:t>
            </w:r>
            <w:r w:rsidRPr="008C27CD">
              <w:rPr>
                <w:rFonts w:asciiTheme="majorHAnsi" w:eastAsia="Segoe UI Semilight" w:hAnsiTheme="majorHAnsi" w:cstheme="majorHAnsi"/>
              </w:rPr>
              <w:lastRenderedPageBreak/>
              <w:t>risk-based framework for complementary medicines</w:t>
            </w:r>
            <w:r>
              <w:rPr>
                <w:rFonts w:eastAsia="Segoe UI Semilight" w:cs="Times New Roman"/>
              </w:rPr>
              <w:t xml:space="preserve"> </w:t>
            </w:r>
            <w:r w:rsidR="00001574">
              <w:rPr>
                <w:rFonts w:eastAsia="Segoe UI Semilight" w:cs="Times New Roman"/>
              </w:rPr>
              <w:t xml:space="preserve">in Australia </w:t>
            </w:r>
            <w:r>
              <w:rPr>
                <w:rFonts w:eastAsia="Segoe UI Semilight" w:cs="Times New Roman"/>
              </w:rPr>
              <w:t xml:space="preserve">which tailor regulatory oversight to different levels of risk. This was the product of 2018 amendments to the </w:t>
            </w:r>
            <w:r>
              <w:rPr>
                <w:rFonts w:eastAsia="Segoe UI Semilight" w:cs="Times New Roman"/>
                <w:i/>
              </w:rPr>
              <w:t>Therapeutic Goods Regulation</w:t>
            </w:r>
            <w:r w:rsidR="00F810BE">
              <w:rPr>
                <w:rFonts w:eastAsia="Segoe UI Semilight" w:cs="Times New Roman"/>
                <w:i/>
              </w:rPr>
              <w:t xml:space="preserve">s </w:t>
            </w:r>
            <w:r w:rsidR="00F810BE">
              <w:rPr>
                <w:rFonts w:eastAsia="Segoe UI Semilight" w:cs="Times New Roman"/>
              </w:rPr>
              <w:t xml:space="preserve">that established a new intermediate pathway for a complementary medicine to enter the ARTG. </w:t>
            </w:r>
          </w:p>
          <w:p w14:paraId="43A082D3" w14:textId="77777777" w:rsidR="00D26765" w:rsidRDefault="00F810BE" w:rsidP="0005211D">
            <w:pPr>
              <w:rPr>
                <w:rFonts w:eastAsia="Segoe UI Semilight" w:cs="Times New Roman"/>
              </w:rPr>
            </w:pPr>
            <w:r>
              <w:rPr>
                <w:rFonts w:eastAsia="Segoe UI Semilight" w:cs="Times New Roman"/>
              </w:rPr>
              <w:t>The</w:t>
            </w:r>
            <w:r w:rsidR="00D26765">
              <w:rPr>
                <w:rFonts w:eastAsia="Segoe UI Semilight" w:cs="Times New Roman"/>
              </w:rPr>
              <w:t xml:space="preserve">se pathways are: </w:t>
            </w:r>
          </w:p>
          <w:p w14:paraId="02E07E9A" w14:textId="4F3CA97E" w:rsidR="00D26765" w:rsidRDefault="00243191" w:rsidP="00D26765">
            <w:pPr>
              <w:pStyle w:val="Bullet"/>
              <w:rPr>
                <w:rFonts w:eastAsia="Segoe UI Semilight"/>
              </w:rPr>
            </w:pPr>
            <w:r>
              <w:rPr>
                <w:rFonts w:asciiTheme="majorHAnsi" w:eastAsia="Segoe UI Semilight" w:hAnsiTheme="majorHAnsi" w:cstheme="majorHAnsi"/>
              </w:rPr>
              <w:t>l</w:t>
            </w:r>
            <w:r w:rsidR="00D26765" w:rsidRPr="00D26765">
              <w:rPr>
                <w:rFonts w:asciiTheme="majorHAnsi" w:eastAsia="Segoe UI Semilight" w:hAnsiTheme="majorHAnsi" w:cstheme="majorHAnsi"/>
              </w:rPr>
              <w:t>isted medicines</w:t>
            </w:r>
            <w:r w:rsidR="00D26765">
              <w:rPr>
                <w:rFonts w:eastAsia="Segoe UI Semilight"/>
              </w:rPr>
              <w:t xml:space="preserve"> may be listed in the ARTG without undergoing pre-market assessment by the TGA</w:t>
            </w:r>
            <w:r w:rsidR="00C764EA">
              <w:rPr>
                <w:rFonts w:eastAsia="Segoe UI Semilight"/>
              </w:rPr>
              <w:t xml:space="preserve"> after self-certification by sponsors that legislative requirements are met</w:t>
            </w:r>
            <w:r w:rsidR="00305367">
              <w:rPr>
                <w:rFonts w:eastAsia="Segoe UI Semilight"/>
              </w:rPr>
              <w:t>.</w:t>
            </w:r>
            <w:r w:rsidR="00C764EA">
              <w:rPr>
                <w:rFonts w:eastAsia="Segoe UI Semilight"/>
              </w:rPr>
              <w:t xml:space="preserve"> </w:t>
            </w:r>
          </w:p>
          <w:p w14:paraId="76ED5672" w14:textId="653F22C9" w:rsidR="00D26765" w:rsidRDefault="00243191" w:rsidP="00D26765">
            <w:pPr>
              <w:pStyle w:val="Bullet"/>
              <w:rPr>
                <w:rFonts w:eastAsia="Segoe UI Semilight"/>
              </w:rPr>
            </w:pPr>
            <w:r>
              <w:rPr>
                <w:rFonts w:asciiTheme="majorHAnsi" w:eastAsia="Segoe UI Semilight" w:hAnsiTheme="majorHAnsi" w:cstheme="majorHAnsi"/>
              </w:rPr>
              <w:t>a</w:t>
            </w:r>
            <w:r w:rsidR="00D26765" w:rsidRPr="00E07351">
              <w:rPr>
                <w:rFonts w:asciiTheme="majorHAnsi" w:eastAsia="Segoe UI Semilight" w:hAnsiTheme="majorHAnsi" w:cstheme="majorHAnsi"/>
              </w:rPr>
              <w:t>ssessed listed medicines</w:t>
            </w:r>
            <w:r w:rsidR="00D26765">
              <w:rPr>
                <w:rFonts w:eastAsia="Segoe UI Semilight"/>
              </w:rPr>
              <w:t xml:space="preserve"> </w:t>
            </w:r>
            <w:r w:rsidR="00C764EA">
              <w:rPr>
                <w:rFonts w:eastAsia="Segoe UI Semilight"/>
              </w:rPr>
              <w:t>are products that are composed of ingredients from a list set and approved by the TGA, but which make claims that th</w:t>
            </w:r>
            <w:r w:rsidR="00EB3FFC">
              <w:rPr>
                <w:rFonts w:eastAsia="Segoe UI Semilight"/>
              </w:rPr>
              <w:t xml:space="preserve">ey </w:t>
            </w:r>
            <w:r w:rsidR="00C764EA">
              <w:rPr>
                <w:rFonts w:eastAsia="Segoe UI Semilight"/>
              </w:rPr>
              <w:t xml:space="preserve">are indicated for aliments that fall outside the list of permitted indications. Assessed listed medicines may be included in the ARTG following </w:t>
            </w:r>
            <w:r w:rsidR="00383170">
              <w:rPr>
                <w:rFonts w:eastAsia="Segoe UI Semilight"/>
              </w:rPr>
              <w:t>self-certification of quality and safety and</w:t>
            </w:r>
            <w:r w:rsidR="00C764EA">
              <w:rPr>
                <w:rFonts w:eastAsia="Segoe UI Semilight"/>
              </w:rPr>
              <w:t xml:space="preserve"> pre-market assessment </w:t>
            </w:r>
            <w:r w:rsidR="00383170">
              <w:rPr>
                <w:rFonts w:eastAsia="Segoe UI Semilight"/>
              </w:rPr>
              <w:t>for</w:t>
            </w:r>
            <w:r w:rsidR="00C764EA">
              <w:rPr>
                <w:rFonts w:eastAsia="Segoe UI Semilight"/>
              </w:rPr>
              <w:t xml:space="preserve"> efficacy evidence </w:t>
            </w:r>
            <w:r w:rsidR="00383170">
              <w:rPr>
                <w:rFonts w:eastAsia="Segoe UI Semilight"/>
              </w:rPr>
              <w:t>by the TGA</w:t>
            </w:r>
            <w:r w:rsidR="00305367">
              <w:rPr>
                <w:rFonts w:eastAsia="Segoe UI Semilight"/>
              </w:rPr>
              <w:t>.</w:t>
            </w:r>
            <w:r w:rsidR="00383170">
              <w:rPr>
                <w:rFonts w:eastAsia="Segoe UI Semilight"/>
              </w:rPr>
              <w:t xml:space="preserve"> </w:t>
            </w:r>
          </w:p>
          <w:p w14:paraId="2193118D" w14:textId="785B22A1" w:rsidR="0005211D" w:rsidRPr="000F2145" w:rsidRDefault="00243191" w:rsidP="000F2145">
            <w:pPr>
              <w:pStyle w:val="Bullet"/>
              <w:rPr>
                <w:rFonts w:eastAsia="Segoe UI Semilight"/>
              </w:rPr>
            </w:pPr>
            <w:r>
              <w:rPr>
                <w:rFonts w:asciiTheme="majorHAnsi" w:eastAsia="Segoe UI Semilight" w:hAnsiTheme="majorHAnsi" w:cstheme="majorHAnsi"/>
              </w:rPr>
              <w:t>r</w:t>
            </w:r>
            <w:r w:rsidR="00962231" w:rsidRPr="00962231">
              <w:rPr>
                <w:rFonts w:asciiTheme="majorHAnsi" w:eastAsia="Segoe UI Semilight" w:hAnsiTheme="majorHAnsi" w:cstheme="majorHAnsi"/>
              </w:rPr>
              <w:t>egistered medicines</w:t>
            </w:r>
            <w:r w:rsidR="00962231">
              <w:rPr>
                <w:rFonts w:eastAsia="Segoe UI Semilight"/>
                <w:b/>
              </w:rPr>
              <w:t xml:space="preserve"> </w:t>
            </w:r>
            <w:r w:rsidR="00962231">
              <w:rPr>
                <w:rFonts w:eastAsia="Segoe UI Semilight"/>
              </w:rPr>
              <w:t>are registered in the ARTG after successful pre-market assessment of quality, safety and efficacy.</w:t>
            </w:r>
          </w:p>
        </w:tc>
      </w:tr>
    </w:tbl>
    <w:p w14:paraId="0389BD82" w14:textId="6ACF07A1" w:rsidR="008977D9" w:rsidRDefault="008977D9" w:rsidP="008977D9">
      <w:pPr>
        <w:pStyle w:val="Caption"/>
      </w:pPr>
      <w:bookmarkStart w:id="87" w:name="_Ref51498413"/>
      <w:bookmarkStart w:id="88" w:name="_Hlk51320869"/>
      <w:r>
        <w:lastRenderedPageBreak/>
        <w:t xml:space="preserve">Table </w:t>
      </w:r>
      <w:r>
        <w:fldChar w:fldCharType="begin"/>
      </w:r>
      <w:r>
        <w:instrText xml:space="preserve"> SEQ Table \* ARABIC </w:instrText>
      </w:r>
      <w:r>
        <w:fldChar w:fldCharType="separate"/>
      </w:r>
      <w:r w:rsidR="001C5CC6">
        <w:rPr>
          <w:noProof/>
        </w:rPr>
        <w:t>13</w:t>
      </w:r>
      <w:r>
        <w:fldChar w:fldCharType="end"/>
      </w:r>
      <w:bookmarkEnd w:id="87"/>
      <w:r>
        <w:t xml:space="preserve"> | </w:t>
      </w:r>
      <w:r w:rsidRPr="0058218E">
        <w:t>Market authorisation regime in Canada's food regulatory system</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8977D9" w14:paraId="66B05FDE" w14:textId="77777777" w:rsidTr="0065247E">
        <w:tc>
          <w:tcPr>
            <w:tcW w:w="9055" w:type="dxa"/>
          </w:tcPr>
          <w:p w14:paraId="511609CC" w14:textId="546F7ACA" w:rsidR="00B91345" w:rsidRPr="00305314" w:rsidRDefault="008D4BF7" w:rsidP="00305314">
            <w:pPr>
              <w:pStyle w:val="Callout"/>
              <w:rPr>
                <w:rFonts w:asciiTheme="minorHAnsi" w:hAnsiTheme="minorHAnsi" w:cstheme="minorHAnsi"/>
                <w:color w:val="00264D" w:themeColor="background2"/>
                <w:sz w:val="19"/>
                <w:szCs w:val="19"/>
              </w:rPr>
            </w:pPr>
            <w:r w:rsidRPr="00305314">
              <w:rPr>
                <w:rFonts w:asciiTheme="minorHAnsi" w:hAnsiTheme="minorHAnsi" w:cstheme="minorHAnsi"/>
                <w:color w:val="00264D" w:themeColor="background2"/>
                <w:sz w:val="19"/>
                <w:szCs w:val="19"/>
              </w:rPr>
              <w:t xml:space="preserve">In Canada, the Minister for Health </w:t>
            </w:r>
            <w:r w:rsidR="00D65645" w:rsidRPr="00305314">
              <w:rPr>
                <w:rFonts w:asciiTheme="minorHAnsi" w:hAnsiTheme="minorHAnsi" w:cstheme="minorHAnsi"/>
                <w:color w:val="00264D" w:themeColor="background2"/>
                <w:sz w:val="19"/>
                <w:szCs w:val="19"/>
              </w:rPr>
              <w:t xml:space="preserve">can issue a ‘market authorisation’ under the </w:t>
            </w:r>
            <w:r w:rsidR="00D65645" w:rsidRPr="00E752AD">
              <w:rPr>
                <w:rFonts w:asciiTheme="minorHAnsi" w:hAnsiTheme="minorHAnsi" w:cstheme="minorHAnsi"/>
                <w:i/>
                <w:color w:val="00264D" w:themeColor="background2"/>
                <w:sz w:val="19"/>
                <w:szCs w:val="19"/>
              </w:rPr>
              <w:t xml:space="preserve">Food and Drug Act </w:t>
            </w:r>
            <w:r w:rsidR="00E752AD" w:rsidRPr="00E752AD">
              <w:rPr>
                <w:rFonts w:asciiTheme="minorHAnsi" w:hAnsiTheme="minorHAnsi" w:cstheme="minorHAnsi"/>
                <w:i/>
                <w:color w:val="00264D" w:themeColor="background2"/>
                <w:sz w:val="19"/>
                <w:szCs w:val="19"/>
              </w:rPr>
              <w:t>1985</w:t>
            </w:r>
            <w:r w:rsidR="00E752AD">
              <w:rPr>
                <w:rFonts w:asciiTheme="minorHAnsi" w:hAnsiTheme="minorHAnsi" w:cstheme="minorHAnsi"/>
                <w:color w:val="00264D" w:themeColor="background2"/>
                <w:sz w:val="19"/>
                <w:szCs w:val="19"/>
              </w:rPr>
              <w:t xml:space="preserve"> </w:t>
            </w:r>
            <w:r w:rsidR="00D65645" w:rsidRPr="00305314">
              <w:rPr>
                <w:rFonts w:asciiTheme="minorHAnsi" w:hAnsiTheme="minorHAnsi" w:cstheme="minorHAnsi"/>
                <w:color w:val="00264D" w:themeColor="background2"/>
                <w:sz w:val="19"/>
                <w:szCs w:val="19"/>
              </w:rPr>
              <w:t xml:space="preserve">that exempts products from specific </w:t>
            </w:r>
            <w:r w:rsidR="00FF251B" w:rsidRPr="00305314">
              <w:rPr>
                <w:rFonts w:asciiTheme="minorHAnsi" w:hAnsiTheme="minorHAnsi" w:cstheme="minorHAnsi"/>
                <w:color w:val="00264D" w:themeColor="background2"/>
                <w:sz w:val="19"/>
                <w:szCs w:val="19"/>
              </w:rPr>
              <w:t>legislative requirements in the Act and Regulations</w:t>
            </w:r>
            <w:r w:rsidR="00D65645" w:rsidRPr="00305314">
              <w:rPr>
                <w:rFonts w:asciiTheme="minorHAnsi" w:hAnsiTheme="minorHAnsi" w:cstheme="minorHAnsi"/>
                <w:color w:val="00264D" w:themeColor="background2"/>
                <w:sz w:val="19"/>
                <w:szCs w:val="19"/>
              </w:rPr>
              <w:t>. This</w:t>
            </w:r>
            <w:r w:rsidR="008977D9" w:rsidRPr="00305314">
              <w:rPr>
                <w:rFonts w:asciiTheme="minorHAnsi" w:hAnsiTheme="minorHAnsi" w:cstheme="minorHAnsi"/>
                <w:color w:val="00264D" w:themeColor="background2"/>
                <w:sz w:val="19"/>
                <w:szCs w:val="19"/>
              </w:rPr>
              <w:t xml:space="preserve"> allow a food product that is non-compliant with certain regulatory requirements to enter the market when it is in the interest of public health to do so. </w:t>
            </w:r>
            <w:r w:rsidR="00173314" w:rsidRPr="00305314">
              <w:rPr>
                <w:rFonts w:asciiTheme="minorHAnsi" w:hAnsiTheme="minorHAnsi" w:cstheme="minorHAnsi"/>
                <w:color w:val="00264D" w:themeColor="background2"/>
                <w:sz w:val="19"/>
                <w:szCs w:val="19"/>
              </w:rPr>
              <w:t xml:space="preserve">The scheme includes different instruments – </w:t>
            </w:r>
            <w:r w:rsidR="00173314" w:rsidRPr="00305314">
              <w:rPr>
                <w:rFonts w:asciiTheme="minorHAnsi" w:hAnsiTheme="minorHAnsi" w:cstheme="minorHAnsi"/>
                <w:i/>
                <w:color w:val="00264D" w:themeColor="background2"/>
                <w:sz w:val="19"/>
                <w:szCs w:val="19"/>
              </w:rPr>
              <w:t xml:space="preserve">temporary </w:t>
            </w:r>
            <w:r w:rsidR="00173314" w:rsidRPr="00305314">
              <w:rPr>
                <w:rFonts w:asciiTheme="minorHAnsi" w:hAnsiTheme="minorHAnsi" w:cstheme="minorHAnsi"/>
                <w:color w:val="00264D" w:themeColor="background2"/>
                <w:sz w:val="19"/>
                <w:szCs w:val="19"/>
              </w:rPr>
              <w:t xml:space="preserve">and </w:t>
            </w:r>
            <w:r w:rsidR="00173314" w:rsidRPr="00305314">
              <w:rPr>
                <w:rFonts w:asciiTheme="minorHAnsi" w:hAnsiTheme="minorHAnsi" w:cstheme="minorHAnsi"/>
                <w:i/>
                <w:color w:val="00264D" w:themeColor="background2"/>
                <w:sz w:val="19"/>
                <w:szCs w:val="19"/>
              </w:rPr>
              <w:t xml:space="preserve">interim </w:t>
            </w:r>
            <w:r w:rsidR="00173314" w:rsidRPr="00305314">
              <w:rPr>
                <w:rFonts w:asciiTheme="minorHAnsi" w:hAnsiTheme="minorHAnsi" w:cstheme="minorHAnsi"/>
                <w:color w:val="00264D" w:themeColor="background2"/>
                <w:sz w:val="19"/>
                <w:szCs w:val="19"/>
              </w:rPr>
              <w:t xml:space="preserve">market authorisations – that allow a product to be sold while </w:t>
            </w:r>
            <w:r w:rsidR="00305314" w:rsidRPr="00305314">
              <w:rPr>
                <w:rFonts w:asciiTheme="minorHAnsi" w:hAnsiTheme="minorHAnsi" w:cstheme="minorHAnsi"/>
                <w:color w:val="00264D" w:themeColor="background2"/>
                <w:sz w:val="19"/>
                <w:szCs w:val="19"/>
              </w:rPr>
              <w:t xml:space="preserve">relevant data is collected and analysed and amendments to Food and Drug Regulations are made. </w:t>
            </w:r>
          </w:p>
          <w:p w14:paraId="1AA5D385" w14:textId="762194A4" w:rsidR="008977D9" w:rsidRPr="00775CED" w:rsidRDefault="00FF251B" w:rsidP="00305314">
            <w:pPr>
              <w:pStyle w:val="Callout"/>
              <w:rPr>
                <w:color w:val="F25E21" w:themeColor="accent2"/>
                <w:sz w:val="20"/>
                <w:szCs w:val="20"/>
              </w:rPr>
            </w:pPr>
            <w:r w:rsidRPr="00305314">
              <w:rPr>
                <w:rFonts w:asciiTheme="minorHAnsi" w:hAnsiTheme="minorHAnsi" w:cstheme="minorHAnsi"/>
                <w:color w:val="00264D" w:themeColor="background2"/>
                <w:sz w:val="19"/>
                <w:szCs w:val="19"/>
              </w:rPr>
              <w:t xml:space="preserve">The market authorisation regime is a tool to help </w:t>
            </w:r>
            <w:r w:rsidR="007140B3" w:rsidRPr="00305314">
              <w:rPr>
                <w:rFonts w:asciiTheme="minorHAnsi" w:hAnsiTheme="minorHAnsi" w:cstheme="minorHAnsi"/>
                <w:color w:val="00264D" w:themeColor="background2"/>
                <w:sz w:val="19"/>
                <w:szCs w:val="19"/>
              </w:rPr>
              <w:t>g</w:t>
            </w:r>
            <w:r w:rsidRPr="00305314">
              <w:rPr>
                <w:rFonts w:asciiTheme="minorHAnsi" w:hAnsiTheme="minorHAnsi" w:cstheme="minorHAnsi"/>
                <w:color w:val="00264D" w:themeColor="background2"/>
                <w:sz w:val="19"/>
                <w:szCs w:val="19"/>
              </w:rPr>
              <w:t>overnment more rapidly authorise or amend approvals of products with beneficial health impacts</w:t>
            </w:r>
            <w:r w:rsidR="00C33319" w:rsidRPr="00305314">
              <w:rPr>
                <w:rFonts w:asciiTheme="minorHAnsi" w:hAnsiTheme="minorHAnsi" w:cstheme="minorHAnsi"/>
                <w:color w:val="00264D" w:themeColor="background2"/>
                <w:sz w:val="19"/>
                <w:szCs w:val="19"/>
              </w:rPr>
              <w:t>. Market authorisations are rules of general application; they apply to the entire food industry as opposed to a single company.</w:t>
            </w:r>
            <w:r w:rsidRPr="00305314">
              <w:rPr>
                <w:rFonts w:asciiTheme="minorHAnsi" w:hAnsiTheme="minorHAnsi" w:cstheme="minorHAnsi"/>
                <w:color w:val="00264D" w:themeColor="background2"/>
                <w:sz w:val="19"/>
                <w:szCs w:val="19"/>
              </w:rPr>
              <w:t xml:space="preserve"> </w:t>
            </w:r>
            <w:r w:rsidR="000171E6" w:rsidRPr="00305314">
              <w:rPr>
                <w:rFonts w:asciiTheme="minorHAnsi" w:hAnsiTheme="minorHAnsi" w:cstheme="minorHAnsi"/>
                <w:color w:val="00264D" w:themeColor="background2"/>
                <w:sz w:val="19"/>
                <w:szCs w:val="19"/>
              </w:rPr>
              <w:t xml:space="preserve">Market authorisations are subject to </w:t>
            </w:r>
            <w:r w:rsidR="00405144" w:rsidRPr="00305314">
              <w:rPr>
                <w:rFonts w:asciiTheme="minorHAnsi" w:hAnsiTheme="minorHAnsi" w:cstheme="minorHAnsi"/>
                <w:color w:val="00264D" w:themeColor="background2"/>
                <w:sz w:val="19"/>
                <w:szCs w:val="19"/>
              </w:rPr>
              <w:t>general regulatory requirements that require Health Canada to follow a formal regulatory process</w:t>
            </w:r>
            <w:r w:rsidR="008202B1" w:rsidRPr="00305314">
              <w:rPr>
                <w:rFonts w:asciiTheme="minorHAnsi" w:hAnsiTheme="minorHAnsi" w:cstheme="minorHAnsi"/>
                <w:color w:val="00264D" w:themeColor="background2"/>
                <w:sz w:val="19"/>
                <w:szCs w:val="19"/>
              </w:rPr>
              <w:t>.</w:t>
            </w:r>
            <w:r w:rsidR="008202B1" w:rsidRPr="00305314">
              <w:rPr>
                <w:color w:val="00264D" w:themeColor="background2"/>
                <w:sz w:val="19"/>
                <w:szCs w:val="19"/>
              </w:rPr>
              <w:t xml:space="preserve"> </w:t>
            </w:r>
          </w:p>
        </w:tc>
      </w:tr>
    </w:tbl>
    <w:p w14:paraId="2794F987" w14:textId="34F23966" w:rsidR="008977D9" w:rsidRPr="00A14FAF" w:rsidRDefault="008977D9" w:rsidP="00FA6216">
      <w:pPr>
        <w:rPr>
          <w:lang w:eastAsia="en-AU"/>
        </w:rPr>
      </w:pPr>
    </w:p>
    <w:tbl>
      <w:tblPr>
        <w:tblStyle w:val="NousLongformcallout"/>
        <w:tblW w:w="4950" w:type="pct"/>
        <w:tblCellMar>
          <w:top w:w="170" w:type="dxa"/>
          <w:bottom w:w="170" w:type="dxa"/>
        </w:tblCellMar>
        <w:tblLook w:val="04A0" w:firstRow="1" w:lastRow="0" w:firstColumn="1" w:lastColumn="0" w:noHBand="0" w:noVBand="1"/>
      </w:tblPr>
      <w:tblGrid>
        <w:gridCol w:w="9055"/>
      </w:tblGrid>
      <w:tr w:rsidR="00C6107C" w14:paraId="7B1B1300" w14:textId="77777777" w:rsidTr="00747266">
        <w:tc>
          <w:tcPr>
            <w:tcW w:w="9055" w:type="dxa"/>
            <w:shd w:val="clear" w:color="auto" w:fill="00264D" w:themeFill="background2"/>
          </w:tcPr>
          <w:p w14:paraId="76FFD5F0" w14:textId="77777777" w:rsidR="00C6107C" w:rsidRPr="00835584" w:rsidRDefault="00C6107C" w:rsidP="0074726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38C14B71" w14:textId="766E4DB6" w:rsidR="001E0DA4" w:rsidRDefault="00146AEB"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 xml:space="preserve">To what degree </w:t>
            </w:r>
            <w:r w:rsidR="006D6146">
              <w:rPr>
                <w:rFonts w:asciiTheme="minorHAnsi" w:hAnsiTheme="minorHAnsi" w:cstheme="minorHAnsi"/>
                <w:color w:val="FFFFFF" w:themeColor="background1"/>
                <w:lang w:eastAsia="en-AU"/>
              </w:rPr>
              <w:t xml:space="preserve">is the current approach to using </w:t>
            </w:r>
            <w:r w:rsidR="00D057CC">
              <w:rPr>
                <w:rFonts w:asciiTheme="minorHAnsi" w:hAnsiTheme="minorHAnsi" w:cstheme="minorHAnsi"/>
                <w:color w:val="FFFFFF" w:themeColor="background1"/>
                <w:lang w:eastAsia="en-AU"/>
              </w:rPr>
              <w:t>only applications and proposals to develop or vary food standards an issue for the system? What are the types of problems that different stakeholder groups face as a consequence?</w:t>
            </w:r>
            <w:r w:rsidR="00B11189">
              <w:rPr>
                <w:rFonts w:asciiTheme="minorHAnsi" w:hAnsiTheme="minorHAnsi" w:cstheme="minorHAnsi"/>
                <w:color w:val="FFFFFF" w:themeColor="background1"/>
                <w:lang w:eastAsia="en-AU"/>
              </w:rPr>
              <w:br/>
            </w:r>
          </w:p>
          <w:p w14:paraId="4FBF602F" w14:textId="368E9AC9" w:rsidR="00C6107C" w:rsidRPr="00CB3353" w:rsidRDefault="00C6107C">
            <w:pPr>
              <w:pStyle w:val="ListParagraph"/>
              <w:numPr>
                <w:ilvl w:val="0"/>
                <w:numId w:val="15"/>
              </w:numPr>
              <w:rPr>
                <w:rFonts w:asciiTheme="minorHAnsi" w:hAnsiTheme="minorHAnsi" w:cstheme="minorHAnsi"/>
                <w:color w:val="FFFFFF" w:themeColor="background1"/>
                <w:lang w:eastAsia="en-AU"/>
              </w:rPr>
            </w:pPr>
            <w:r w:rsidRPr="00E56C62">
              <w:rPr>
                <w:rFonts w:asciiTheme="minorHAnsi" w:hAnsiTheme="minorHAnsi" w:cstheme="minorHAnsi"/>
                <w:color w:val="FFFFFF" w:themeColor="background1"/>
                <w:lang w:eastAsia="en-AU"/>
              </w:rPr>
              <w:t xml:space="preserve">What would be the impact (positive, negative or otherwise) of implementing each of the </w:t>
            </w:r>
            <w:r w:rsidR="007923E3">
              <w:rPr>
                <w:rFonts w:asciiTheme="minorHAnsi" w:hAnsiTheme="minorHAnsi" w:cstheme="minorHAnsi"/>
                <w:color w:val="FFFFFF" w:themeColor="background1"/>
                <w:lang w:eastAsia="en-AU"/>
              </w:rPr>
              <w:t xml:space="preserve">reform ideas </w:t>
            </w:r>
            <w:r w:rsidRPr="00CB3353">
              <w:rPr>
                <w:rFonts w:asciiTheme="minorHAnsi" w:hAnsiTheme="minorHAnsi" w:cstheme="minorHAnsi"/>
                <w:color w:val="FFFFFF" w:themeColor="background1"/>
                <w:lang w:eastAsia="en-AU"/>
              </w:rPr>
              <w:t xml:space="preserve">below? How could the outcome specified for each </w:t>
            </w:r>
            <w:r w:rsidR="002A389D">
              <w:rPr>
                <w:rFonts w:asciiTheme="minorHAnsi" w:hAnsiTheme="minorHAnsi" w:cstheme="minorHAnsi"/>
                <w:color w:val="FFFFFF" w:themeColor="background1"/>
                <w:lang w:eastAsia="en-AU"/>
              </w:rPr>
              <w:t>reform idea</w:t>
            </w:r>
            <w:r w:rsidR="002A389D" w:rsidRPr="00CB3353">
              <w:rPr>
                <w:rFonts w:asciiTheme="minorHAnsi" w:hAnsiTheme="minorHAnsi" w:cstheme="minorHAnsi"/>
                <w:color w:val="FFFFFF" w:themeColor="background1"/>
                <w:lang w:eastAsia="en-AU"/>
              </w:rPr>
              <w:t xml:space="preserve"> </w:t>
            </w:r>
            <w:r w:rsidRPr="00CB3353">
              <w:rPr>
                <w:rFonts w:asciiTheme="minorHAnsi" w:hAnsiTheme="minorHAnsi" w:cstheme="minorHAnsi"/>
                <w:color w:val="FFFFFF" w:themeColor="background1"/>
                <w:lang w:eastAsia="en-AU"/>
              </w:rPr>
              <w:t>best be achieved?</w:t>
            </w:r>
          </w:p>
          <w:p w14:paraId="5C69A8D7" w14:textId="761206E1" w:rsidR="00686A0E" w:rsidRPr="00686A0E" w:rsidRDefault="00686A0E" w:rsidP="00E7068E">
            <w:pPr>
              <w:pStyle w:val="ListParagraph"/>
              <w:numPr>
                <w:ilvl w:val="0"/>
                <w:numId w:val="28"/>
              </w:numPr>
              <w:spacing w:before="120"/>
              <w:ind w:left="1077" w:hanging="357"/>
              <w:contextualSpacing w:val="0"/>
              <w:rPr>
                <w:color w:val="FFFFFF" w:themeColor="background1"/>
              </w:rPr>
            </w:pPr>
            <w:r w:rsidRPr="00686A0E">
              <w:rPr>
                <w:color w:val="FFFFFF" w:themeColor="background1"/>
              </w:rPr>
              <w:fldChar w:fldCharType="begin"/>
            </w:r>
            <w:r w:rsidRPr="00686A0E">
              <w:rPr>
                <w:color w:val="FFFFFF" w:themeColor="background1"/>
              </w:rPr>
              <w:instrText xml:space="preserve"> REF _Ref52123538 \h </w:instrText>
            </w:r>
            <w:r w:rsidR="00EA3CB5">
              <w:rPr>
                <w:color w:val="FFFFFF" w:themeColor="background1"/>
              </w:rPr>
              <w:instrText xml:space="preserve"> \* MERGEFORMAT </w:instrText>
            </w:r>
            <w:r w:rsidRPr="00686A0E">
              <w:rPr>
                <w:color w:val="FFFFFF" w:themeColor="background1"/>
              </w:rPr>
            </w:r>
            <w:r w:rsidRPr="00686A0E">
              <w:rPr>
                <w:color w:val="FFFFFF" w:themeColor="background1"/>
              </w:rPr>
              <w:fldChar w:fldCharType="separate"/>
            </w:r>
            <w:r w:rsidR="001C5CC6" w:rsidRPr="001C5CC6">
              <w:rPr>
                <w:color w:val="FFFFFF" w:themeColor="background1"/>
              </w:rPr>
              <w:t>Reform idea 10 – Provide for FSANZ to adopt or accept risk assessments from overseas jurisdictions</w:t>
            </w:r>
            <w:r w:rsidRPr="00686A0E">
              <w:rPr>
                <w:color w:val="FFFFFF" w:themeColor="background1"/>
              </w:rPr>
              <w:fldChar w:fldCharType="end"/>
            </w:r>
          </w:p>
          <w:p w14:paraId="7F713669" w14:textId="0D3B0B88" w:rsidR="007A5EE2" w:rsidRPr="00CE1399" w:rsidRDefault="007A5EE2" w:rsidP="00E7068E">
            <w:pPr>
              <w:pStyle w:val="ListParagraph"/>
              <w:numPr>
                <w:ilvl w:val="0"/>
                <w:numId w:val="28"/>
              </w:numPr>
              <w:spacing w:before="120"/>
              <w:ind w:left="1077" w:hanging="357"/>
              <w:contextualSpacing w:val="0"/>
              <w:rPr>
                <w:color w:val="FFFFFF" w:themeColor="background1"/>
              </w:rPr>
            </w:pPr>
            <w:r w:rsidRPr="00CE1399">
              <w:rPr>
                <w:color w:val="FFFFFF" w:themeColor="background1"/>
              </w:rPr>
              <w:fldChar w:fldCharType="begin"/>
            </w:r>
            <w:r w:rsidRPr="00CE1399">
              <w:rPr>
                <w:color w:val="FFFFFF" w:themeColor="background1"/>
              </w:rPr>
              <w:instrText xml:space="preserve"> REF _Ref51341715 \h </w:instrText>
            </w:r>
            <w:r w:rsidR="00CE1399" w:rsidRPr="00CE1399">
              <w:rPr>
                <w:color w:val="FFFFFF" w:themeColor="background1"/>
              </w:rPr>
              <w:instrText xml:space="preserve"> \* MERGEFORMAT </w:instrText>
            </w:r>
            <w:r w:rsidRPr="00CE1399">
              <w:rPr>
                <w:color w:val="FFFFFF" w:themeColor="background1"/>
              </w:rPr>
            </w:r>
            <w:r w:rsidRPr="00CE1399">
              <w:rPr>
                <w:color w:val="FFFFFF" w:themeColor="background1"/>
              </w:rPr>
              <w:fldChar w:fldCharType="separate"/>
            </w:r>
            <w:r w:rsidR="001C5CC6" w:rsidRPr="001C5CC6">
              <w:rPr>
                <w:color w:val="FFFFFF" w:themeColor="background1"/>
              </w:rPr>
              <w:t>Reform idea 11 – Enable FSANZ to adopt international standards</w:t>
            </w:r>
            <w:r w:rsidRPr="00CE1399">
              <w:rPr>
                <w:color w:val="FFFFFF" w:themeColor="background1"/>
              </w:rPr>
              <w:fldChar w:fldCharType="end"/>
            </w:r>
          </w:p>
          <w:p w14:paraId="15A0DF8A" w14:textId="07490F7B" w:rsidR="007A5EE2" w:rsidRPr="00686A0E" w:rsidRDefault="007A5EE2" w:rsidP="00E7068E">
            <w:pPr>
              <w:pStyle w:val="ListParagraph"/>
              <w:numPr>
                <w:ilvl w:val="0"/>
                <w:numId w:val="28"/>
              </w:numPr>
              <w:spacing w:before="120"/>
              <w:ind w:left="1077" w:hanging="357"/>
              <w:contextualSpacing w:val="0"/>
              <w:rPr>
                <w:color w:val="FFFFFF" w:themeColor="background1"/>
              </w:rPr>
            </w:pPr>
            <w:r w:rsidRPr="00686A0E">
              <w:rPr>
                <w:color w:val="FFFFFF" w:themeColor="background1"/>
              </w:rPr>
              <w:fldChar w:fldCharType="begin"/>
            </w:r>
            <w:r w:rsidRPr="00686A0E">
              <w:rPr>
                <w:color w:val="FFFFFF" w:themeColor="background1"/>
              </w:rPr>
              <w:instrText xml:space="preserve"> REF _Ref51341717 \h </w:instrText>
            </w:r>
            <w:r w:rsidR="00EA3CB5">
              <w:rPr>
                <w:color w:val="FFFFFF" w:themeColor="background1"/>
              </w:rPr>
              <w:instrText xml:space="preserve"> \* MERGEFORMAT </w:instrText>
            </w:r>
            <w:r w:rsidRPr="00686A0E">
              <w:rPr>
                <w:color w:val="FFFFFF" w:themeColor="background1"/>
              </w:rPr>
            </w:r>
            <w:r w:rsidRPr="00686A0E">
              <w:rPr>
                <w:color w:val="FFFFFF" w:themeColor="background1"/>
              </w:rPr>
              <w:fldChar w:fldCharType="separate"/>
            </w:r>
            <w:r w:rsidR="001C5CC6" w:rsidRPr="001C5CC6">
              <w:rPr>
                <w:color w:val="FFFFFF" w:themeColor="background1"/>
              </w:rPr>
              <w:t xml:space="preserve">Reform idea 12 – Create industry-led pathways to expedite applications and bring new products to market </w:t>
            </w:r>
            <w:r w:rsidRPr="00686A0E">
              <w:rPr>
                <w:color w:val="FFFFFF" w:themeColor="background1"/>
              </w:rPr>
              <w:fldChar w:fldCharType="end"/>
            </w:r>
          </w:p>
          <w:p w14:paraId="0B4542A9" w14:textId="45624F64" w:rsidR="00C6107C" w:rsidRPr="00E25160" w:rsidRDefault="00C6107C" w:rsidP="00760794">
            <w:pPr>
              <w:pStyle w:val="ListParagraph"/>
              <w:numPr>
                <w:ilvl w:val="0"/>
                <w:numId w:val="15"/>
              </w:numPr>
              <w:contextualSpacing w:val="0"/>
              <w:rPr>
                <w:color w:val="FFFFFF" w:themeColor="background1"/>
                <w:lang w:eastAsia="en-AU"/>
              </w:rPr>
            </w:pPr>
            <w:r w:rsidRPr="007A5EE2">
              <w:rPr>
                <w:rFonts w:asciiTheme="minorHAnsi" w:hAnsiTheme="minorHAnsi" w:cstheme="minorHAnsi"/>
                <w:color w:val="FFFFFF" w:themeColor="background1"/>
                <w:lang w:eastAsia="en-AU"/>
              </w:rPr>
              <w:t xml:space="preserve">Are there other potential solutions relating to </w:t>
            </w:r>
            <w:r w:rsidR="00FB3A50">
              <w:rPr>
                <w:rFonts w:asciiTheme="minorHAnsi" w:hAnsiTheme="minorHAnsi" w:cstheme="minorHAnsi"/>
                <w:color w:val="FFFFFF" w:themeColor="background1"/>
                <w:lang w:eastAsia="en-AU"/>
              </w:rPr>
              <w:t>additional pathways to develop or vary</w:t>
            </w:r>
            <w:r w:rsidRPr="007A5EE2">
              <w:rPr>
                <w:rFonts w:asciiTheme="minorHAnsi" w:hAnsiTheme="minorHAnsi" w:cstheme="minorHAnsi"/>
                <w:color w:val="FFFFFF" w:themeColor="background1"/>
                <w:lang w:eastAsia="en-AU"/>
              </w:rPr>
              <w:t xml:space="preserve"> food regul</w:t>
            </w:r>
            <w:r>
              <w:rPr>
                <w:rFonts w:asciiTheme="minorHAnsi" w:hAnsiTheme="minorHAnsi" w:cstheme="minorHAnsi"/>
                <w:color w:val="FFFFFF" w:themeColor="background1"/>
                <w:lang w:eastAsia="en-AU"/>
              </w:rPr>
              <w:t>atory measures</w:t>
            </w:r>
            <w:r w:rsidRPr="00E56C62">
              <w:rPr>
                <w:rFonts w:asciiTheme="minorHAnsi" w:hAnsiTheme="minorHAnsi" w:cstheme="minorHAnsi"/>
                <w:color w:val="FFFFFF" w:themeColor="background1"/>
                <w:lang w:eastAsia="en-AU"/>
              </w:rPr>
              <w:t>?</w:t>
            </w:r>
          </w:p>
        </w:tc>
      </w:tr>
    </w:tbl>
    <w:p w14:paraId="3AAFA9E4" w14:textId="03D6DDD3" w:rsidR="002F0495" w:rsidRPr="002F0495" w:rsidRDefault="004762F0" w:rsidP="002F0495">
      <w:pPr>
        <w:pStyle w:val="Heading1"/>
      </w:pPr>
      <w:bookmarkStart w:id="89" w:name="_Toc50103663"/>
      <w:bookmarkStart w:id="90" w:name="_Toc52179138"/>
      <w:bookmarkEnd w:id="88"/>
      <w:r w:rsidRPr="00E94A9A">
        <w:lastRenderedPageBreak/>
        <w:t>Partnerships</w:t>
      </w:r>
      <w:bookmarkEnd w:id="89"/>
      <w:bookmarkEnd w:id="90"/>
      <w:r w:rsidRPr="00E94A9A">
        <w:t xml:space="preserve"> </w:t>
      </w:r>
    </w:p>
    <w:p w14:paraId="0D556D9A" w14:textId="7D12CE05" w:rsidR="00115188" w:rsidRDefault="00082713" w:rsidP="00C4294A">
      <w:pPr>
        <w:rPr>
          <w:lang w:eastAsia="en-AU"/>
        </w:rPr>
      </w:pPr>
      <w:r>
        <w:rPr>
          <w:lang w:eastAsia="en-AU"/>
        </w:rPr>
        <w:t>As the standard</w:t>
      </w:r>
      <w:r w:rsidR="00483710">
        <w:rPr>
          <w:lang w:eastAsia="en-AU"/>
        </w:rPr>
        <w:t>-</w:t>
      </w:r>
      <w:r>
        <w:rPr>
          <w:lang w:eastAsia="en-AU"/>
        </w:rPr>
        <w:t xml:space="preserve">setting body, FSANZ </w:t>
      </w:r>
      <w:r w:rsidR="00096891">
        <w:rPr>
          <w:lang w:eastAsia="en-AU"/>
        </w:rPr>
        <w:t>interfaces</w:t>
      </w:r>
      <w:r>
        <w:rPr>
          <w:lang w:eastAsia="en-AU"/>
        </w:rPr>
        <w:t xml:space="preserve"> with a number of other entities</w:t>
      </w:r>
      <w:r w:rsidR="00310190">
        <w:rPr>
          <w:lang w:eastAsia="en-AU"/>
        </w:rPr>
        <w:t xml:space="preserve">. These include: </w:t>
      </w:r>
      <w:r>
        <w:rPr>
          <w:lang w:eastAsia="en-AU"/>
        </w:rPr>
        <w:t>the Forum</w:t>
      </w:r>
      <w:r w:rsidR="00202527">
        <w:rPr>
          <w:lang w:eastAsia="en-AU"/>
        </w:rPr>
        <w:t xml:space="preserve"> in its role as system steward for </w:t>
      </w:r>
      <w:r>
        <w:rPr>
          <w:lang w:eastAsia="en-AU"/>
        </w:rPr>
        <w:t>food policy and strategy</w:t>
      </w:r>
      <w:r w:rsidR="00254193">
        <w:rPr>
          <w:lang w:eastAsia="en-AU"/>
        </w:rPr>
        <w:t xml:space="preserve">; </w:t>
      </w:r>
      <w:r w:rsidR="00096891">
        <w:rPr>
          <w:lang w:eastAsia="en-AU"/>
        </w:rPr>
        <w:t xml:space="preserve">regulatory </w:t>
      </w:r>
      <w:r w:rsidR="00B02CA5">
        <w:rPr>
          <w:lang w:eastAsia="en-AU"/>
        </w:rPr>
        <w:t xml:space="preserve">enforcement agencies </w:t>
      </w:r>
      <w:r w:rsidR="00096891">
        <w:rPr>
          <w:lang w:eastAsia="en-AU"/>
        </w:rPr>
        <w:t>which involve a variety of institutional arrangements</w:t>
      </w:r>
      <w:r w:rsidR="0068191C">
        <w:rPr>
          <w:lang w:eastAsia="en-AU"/>
        </w:rPr>
        <w:t xml:space="preserve"> across </w:t>
      </w:r>
      <w:r w:rsidR="00543124">
        <w:rPr>
          <w:lang w:eastAsia="en-AU"/>
        </w:rPr>
        <w:t>Australia and New Zealand</w:t>
      </w:r>
      <w:r w:rsidR="0068191C">
        <w:rPr>
          <w:lang w:eastAsia="en-AU"/>
        </w:rPr>
        <w:t>; and other regulatory bodies</w:t>
      </w:r>
      <w:r w:rsidR="006C3AC6">
        <w:rPr>
          <w:rStyle w:val="FootnoteReference"/>
          <w:lang w:eastAsia="en-AU"/>
        </w:rPr>
        <w:footnoteReference w:id="28"/>
      </w:r>
      <w:r w:rsidR="0068191C">
        <w:rPr>
          <w:lang w:eastAsia="en-AU"/>
        </w:rPr>
        <w:t>, including the Australian Therapeutic Goods Administration</w:t>
      </w:r>
      <w:r w:rsidR="006F2E1B">
        <w:rPr>
          <w:lang w:eastAsia="en-AU"/>
        </w:rPr>
        <w:t xml:space="preserve"> and the New Zealand Medicines and Medical Devices Safety Authority</w:t>
      </w:r>
      <w:r w:rsidR="004643BE">
        <w:rPr>
          <w:lang w:eastAsia="en-AU"/>
        </w:rPr>
        <w:t xml:space="preserve"> (a business unit within the Ministry of Health)</w:t>
      </w:r>
      <w:r w:rsidR="0068191C">
        <w:rPr>
          <w:lang w:eastAsia="en-AU"/>
        </w:rPr>
        <w:t xml:space="preserve">. </w:t>
      </w:r>
    </w:p>
    <w:p w14:paraId="1A2B08C6" w14:textId="1A07C51F" w:rsidR="00023AE6" w:rsidRDefault="00023AE6" w:rsidP="00C4294A">
      <w:pPr>
        <w:rPr>
          <w:lang w:eastAsia="en-AU"/>
        </w:rPr>
      </w:pPr>
      <w:r>
        <w:rPr>
          <w:lang w:eastAsia="en-AU"/>
        </w:rPr>
        <w:t>There are known tensions at some of these interfaces</w:t>
      </w:r>
      <w:r w:rsidR="009856AD">
        <w:rPr>
          <w:lang w:eastAsia="en-AU"/>
        </w:rPr>
        <w:t>, as well as</w:t>
      </w:r>
      <w:r>
        <w:rPr>
          <w:lang w:eastAsia="en-AU"/>
        </w:rPr>
        <w:t xml:space="preserve"> potential opportunities to </w:t>
      </w:r>
      <w:r w:rsidR="00326EF0">
        <w:rPr>
          <w:lang w:eastAsia="en-AU"/>
        </w:rPr>
        <w:t xml:space="preserve">work even more effectively through a partnership approach. These three interfaces are discussed further below. </w:t>
      </w:r>
    </w:p>
    <w:p w14:paraId="221191DF" w14:textId="0ED1C61C" w:rsidR="000522C5" w:rsidRDefault="00225435" w:rsidP="000522C5">
      <w:pPr>
        <w:pStyle w:val="Heading2"/>
        <w:ind w:left="578" w:hanging="578"/>
      </w:pPr>
      <w:bookmarkStart w:id="91" w:name="_Ref51487268"/>
      <w:bookmarkStart w:id="92" w:name="_Toc52179139"/>
      <w:r>
        <w:t>G</w:t>
      </w:r>
      <w:r w:rsidR="00E11492">
        <w:t xml:space="preserve">overnments’ </w:t>
      </w:r>
      <w:r>
        <w:t>and FSANZ’s</w:t>
      </w:r>
      <w:r w:rsidR="00E11492">
        <w:t xml:space="preserve"> priorities</w:t>
      </w:r>
      <w:r w:rsidR="000522C5">
        <w:t xml:space="preserve"> are not always aligned</w:t>
      </w:r>
      <w:bookmarkEnd w:id="91"/>
      <w:bookmarkEnd w:id="92"/>
      <w:r w:rsidR="00E11492">
        <w:t xml:space="preserve"> </w:t>
      </w:r>
    </w:p>
    <w:p w14:paraId="09E9E450" w14:textId="3F50605C" w:rsidR="006F3AD3" w:rsidRDefault="006F3AD3" w:rsidP="000522C5">
      <w:pPr>
        <w:pStyle w:val="Heading3"/>
      </w:pPr>
      <w:bookmarkStart w:id="93" w:name="_Ref51487271"/>
      <w:r>
        <w:t xml:space="preserve">FSANZ </w:t>
      </w:r>
      <w:r w:rsidR="000A5F9C">
        <w:t>and the Forum do not always have a shared vision of priorities</w:t>
      </w:r>
      <w:bookmarkEnd w:id="93"/>
      <w:r w:rsidR="000A5F9C">
        <w:t xml:space="preserve"> </w:t>
      </w:r>
    </w:p>
    <w:p w14:paraId="569D7A14" w14:textId="5992AEA9" w:rsidR="004E59E4" w:rsidRDefault="007709E9" w:rsidP="000447A7">
      <w:pPr>
        <w:rPr>
          <w:lang w:eastAsia="en-AU"/>
        </w:rPr>
      </w:pPr>
      <w:r>
        <w:rPr>
          <w:lang w:eastAsia="en-AU"/>
        </w:rPr>
        <w:t xml:space="preserve">FSANZ is an independent statutory authority </w:t>
      </w:r>
      <w:r w:rsidR="00E57EAD">
        <w:rPr>
          <w:lang w:eastAsia="en-AU"/>
        </w:rPr>
        <w:t>that</w:t>
      </w:r>
      <w:r w:rsidR="00012C90">
        <w:rPr>
          <w:lang w:eastAsia="en-AU"/>
        </w:rPr>
        <w:t xml:space="preserve"> works within an integrated food regulatory system </w:t>
      </w:r>
      <w:r w:rsidR="001F3E46">
        <w:rPr>
          <w:lang w:eastAsia="en-AU"/>
        </w:rPr>
        <w:t>in close connection</w:t>
      </w:r>
      <w:r w:rsidR="00012C90">
        <w:rPr>
          <w:lang w:eastAsia="en-AU"/>
        </w:rPr>
        <w:t xml:space="preserve"> with the Forum</w:t>
      </w:r>
      <w:r w:rsidR="005C1DBF">
        <w:rPr>
          <w:lang w:eastAsia="en-AU"/>
        </w:rPr>
        <w:t>.</w:t>
      </w:r>
      <w:r w:rsidR="00731348">
        <w:rPr>
          <w:lang w:eastAsia="en-AU"/>
        </w:rPr>
        <w:t xml:space="preserve"> </w:t>
      </w:r>
      <w:r w:rsidR="006F4B01">
        <w:rPr>
          <w:lang w:eastAsia="en-AU"/>
        </w:rPr>
        <w:t xml:space="preserve">In addition to </w:t>
      </w:r>
      <w:r w:rsidR="00E71C5E">
        <w:rPr>
          <w:lang w:eastAsia="en-AU"/>
        </w:rPr>
        <w:t xml:space="preserve">its role </w:t>
      </w:r>
      <w:r w:rsidR="00444A29">
        <w:rPr>
          <w:lang w:eastAsia="en-AU"/>
        </w:rPr>
        <w:t>as the decision</w:t>
      </w:r>
      <w:r w:rsidR="009F7F87">
        <w:rPr>
          <w:lang w:eastAsia="en-AU"/>
        </w:rPr>
        <w:t>-</w:t>
      </w:r>
      <w:r w:rsidR="00444A29">
        <w:rPr>
          <w:lang w:eastAsia="en-AU"/>
        </w:rPr>
        <w:t xml:space="preserve">maker on all changes to food standards, </w:t>
      </w:r>
      <w:r w:rsidR="00610912">
        <w:rPr>
          <w:lang w:eastAsia="en-AU"/>
        </w:rPr>
        <w:t>t</w:t>
      </w:r>
      <w:r w:rsidR="00667B27">
        <w:rPr>
          <w:lang w:eastAsia="en-AU"/>
        </w:rPr>
        <w:t>he Forum</w:t>
      </w:r>
      <w:r w:rsidR="004E59E4">
        <w:rPr>
          <w:lang w:eastAsia="en-AU"/>
        </w:rPr>
        <w:t xml:space="preserve"> </w:t>
      </w:r>
      <w:r w:rsidR="00610912">
        <w:rPr>
          <w:lang w:eastAsia="en-AU"/>
        </w:rPr>
        <w:t xml:space="preserve">can </w:t>
      </w:r>
      <w:r w:rsidR="00A978EA">
        <w:rPr>
          <w:lang w:eastAsia="en-AU"/>
        </w:rPr>
        <w:t xml:space="preserve">request </w:t>
      </w:r>
      <w:r w:rsidR="001F3E46">
        <w:rPr>
          <w:lang w:eastAsia="en-AU"/>
        </w:rPr>
        <w:t>FSAN</w:t>
      </w:r>
      <w:r w:rsidR="00225394">
        <w:rPr>
          <w:lang w:eastAsia="en-AU"/>
        </w:rPr>
        <w:t>Z</w:t>
      </w:r>
      <w:r w:rsidR="001F3E46">
        <w:rPr>
          <w:lang w:eastAsia="en-AU"/>
        </w:rPr>
        <w:t xml:space="preserve"> to</w:t>
      </w:r>
      <w:r w:rsidR="00A978EA">
        <w:rPr>
          <w:lang w:eastAsia="en-AU"/>
        </w:rPr>
        <w:t xml:space="preserve"> </w:t>
      </w:r>
      <w:r w:rsidR="003C5227">
        <w:rPr>
          <w:lang w:eastAsia="en-AU"/>
        </w:rPr>
        <w:t xml:space="preserve">raise proposals or </w:t>
      </w:r>
      <w:r w:rsidR="00A978EA">
        <w:rPr>
          <w:lang w:eastAsia="en-AU"/>
        </w:rPr>
        <w:t>undertake a review of a draft standard</w:t>
      </w:r>
      <w:r w:rsidR="00E71C5E">
        <w:rPr>
          <w:lang w:eastAsia="en-AU"/>
        </w:rPr>
        <w:t xml:space="preserve"> or variation</w:t>
      </w:r>
      <w:r w:rsidR="00A978EA">
        <w:rPr>
          <w:lang w:eastAsia="en-AU"/>
        </w:rPr>
        <w:t>.</w:t>
      </w:r>
      <w:r w:rsidR="00610912">
        <w:rPr>
          <w:lang w:eastAsia="en-AU"/>
        </w:rPr>
        <w:t xml:space="preserve"> The </w:t>
      </w:r>
      <w:r w:rsidR="004643BE">
        <w:rPr>
          <w:lang w:eastAsia="en-AU"/>
        </w:rPr>
        <w:t>responsible</w:t>
      </w:r>
      <w:r w:rsidR="00AF6D3A">
        <w:rPr>
          <w:lang w:eastAsia="en-AU"/>
        </w:rPr>
        <w:t xml:space="preserve"> </w:t>
      </w:r>
      <w:r w:rsidR="00610912">
        <w:rPr>
          <w:lang w:eastAsia="en-AU"/>
        </w:rPr>
        <w:t>Minister</w:t>
      </w:r>
      <w:r w:rsidR="00432B1C">
        <w:rPr>
          <w:rStyle w:val="FootnoteReference"/>
          <w:lang w:eastAsia="en-AU"/>
        </w:rPr>
        <w:footnoteReference w:id="29"/>
      </w:r>
      <w:r w:rsidR="00610912">
        <w:rPr>
          <w:lang w:eastAsia="en-AU"/>
        </w:rPr>
        <w:t xml:space="preserve"> can also request FSANZ to take on additional project work, such as its current work relating to Health Star Ratings. </w:t>
      </w:r>
      <w:r w:rsidR="00A978EA">
        <w:rPr>
          <w:lang w:eastAsia="en-AU"/>
        </w:rPr>
        <w:t xml:space="preserve"> </w:t>
      </w:r>
    </w:p>
    <w:p w14:paraId="2C9DE415" w14:textId="44F6C0FC" w:rsidR="00FA76F0" w:rsidRDefault="009F7F87" w:rsidP="000447A7">
      <w:pPr>
        <w:rPr>
          <w:lang w:eastAsia="en-AU"/>
        </w:rPr>
      </w:pPr>
      <w:r>
        <w:rPr>
          <w:lang w:eastAsia="en-AU"/>
        </w:rPr>
        <w:t>Earlier f</w:t>
      </w:r>
      <w:r w:rsidR="00FA76F0">
        <w:rPr>
          <w:lang w:eastAsia="en-AU"/>
        </w:rPr>
        <w:t>eedback from government stakeholders ha</w:t>
      </w:r>
      <w:r w:rsidR="005F06E8">
        <w:rPr>
          <w:lang w:eastAsia="en-AU"/>
        </w:rPr>
        <w:t>s</w:t>
      </w:r>
      <w:r w:rsidR="00FA76F0">
        <w:rPr>
          <w:lang w:eastAsia="en-AU"/>
        </w:rPr>
        <w:t xml:space="preserve"> suggested that Ministers are sometimes frustrated by the time it takes for proposals to be progressed and finalised</w:t>
      </w:r>
      <w:r w:rsidR="00F8757E">
        <w:rPr>
          <w:lang w:eastAsia="en-AU"/>
        </w:rPr>
        <w:t>. Similarly</w:t>
      </w:r>
      <w:r w:rsidR="007D452C">
        <w:rPr>
          <w:lang w:eastAsia="en-AU"/>
        </w:rPr>
        <w:t>, FSANZ stakeholders have reported challenges</w:t>
      </w:r>
      <w:r w:rsidR="00910BEF">
        <w:rPr>
          <w:lang w:eastAsia="en-AU"/>
        </w:rPr>
        <w:t xml:space="preserve"> in taking on an increasing </w:t>
      </w:r>
      <w:r w:rsidR="00D763E3">
        <w:rPr>
          <w:lang w:eastAsia="en-AU"/>
        </w:rPr>
        <w:t>number</w:t>
      </w:r>
      <w:r w:rsidR="00910BEF">
        <w:rPr>
          <w:lang w:eastAsia="en-AU"/>
        </w:rPr>
        <w:t xml:space="preserve"> of Forum-directed </w:t>
      </w:r>
      <w:r w:rsidR="00D763E3">
        <w:rPr>
          <w:lang w:eastAsia="en-AU"/>
        </w:rPr>
        <w:t>projects</w:t>
      </w:r>
      <w:r w:rsidR="0060108F">
        <w:rPr>
          <w:lang w:eastAsia="en-AU"/>
        </w:rPr>
        <w:t xml:space="preserve">, with little discussion or agreement about </w:t>
      </w:r>
      <w:r w:rsidR="004C2189">
        <w:rPr>
          <w:lang w:eastAsia="en-AU"/>
        </w:rPr>
        <w:t>items</w:t>
      </w:r>
      <w:r w:rsidR="0060108F">
        <w:rPr>
          <w:lang w:eastAsia="en-AU"/>
        </w:rPr>
        <w:t xml:space="preserve"> that can come off its workplan. As discussed further in Section</w:t>
      </w:r>
      <w:r w:rsidR="001D7BF2">
        <w:rPr>
          <w:lang w:eastAsia="en-AU"/>
        </w:rPr>
        <w:t xml:space="preserve"> </w:t>
      </w:r>
      <w:r w:rsidR="001D7BF2">
        <w:rPr>
          <w:lang w:eastAsia="en-AU"/>
        </w:rPr>
        <w:fldChar w:fldCharType="begin"/>
      </w:r>
      <w:r w:rsidR="001D7BF2">
        <w:rPr>
          <w:lang w:eastAsia="en-AU"/>
        </w:rPr>
        <w:instrText xml:space="preserve"> REF _Ref51320697 \r \h </w:instrText>
      </w:r>
      <w:r w:rsidR="001D7BF2">
        <w:rPr>
          <w:lang w:eastAsia="en-AU"/>
        </w:rPr>
      </w:r>
      <w:r w:rsidR="001D7BF2">
        <w:rPr>
          <w:lang w:eastAsia="en-AU"/>
        </w:rPr>
        <w:fldChar w:fldCharType="separate"/>
      </w:r>
      <w:r w:rsidR="001C5CC6">
        <w:rPr>
          <w:lang w:eastAsia="en-AU"/>
        </w:rPr>
        <w:t>6</w:t>
      </w:r>
      <w:r w:rsidR="001D7BF2">
        <w:rPr>
          <w:lang w:eastAsia="en-AU"/>
        </w:rPr>
        <w:fldChar w:fldCharType="end"/>
      </w:r>
      <w:r w:rsidR="0060108F">
        <w:rPr>
          <w:lang w:eastAsia="en-AU"/>
        </w:rPr>
        <w:t xml:space="preserve">, FSANZ has reported </w:t>
      </w:r>
      <w:r w:rsidR="004C2189">
        <w:rPr>
          <w:lang w:eastAsia="en-AU"/>
        </w:rPr>
        <w:t>significant resourcing challenges to</w:t>
      </w:r>
      <w:r w:rsidR="007D452C">
        <w:rPr>
          <w:lang w:eastAsia="en-AU"/>
        </w:rPr>
        <w:t xml:space="preserve"> </w:t>
      </w:r>
      <w:r w:rsidR="007E3F91">
        <w:rPr>
          <w:lang w:eastAsia="en-AU"/>
        </w:rPr>
        <w:t xml:space="preserve">progress proposals and project work while also meeting their statutory timeframes relating to applications. </w:t>
      </w:r>
    </w:p>
    <w:p w14:paraId="18E25C47" w14:textId="6290F0C9" w:rsidR="007C436A" w:rsidRPr="007C436A" w:rsidRDefault="00427A72" w:rsidP="007C436A">
      <w:pPr>
        <w:rPr>
          <w:lang w:eastAsia="en-AU"/>
        </w:rPr>
      </w:pPr>
      <w:r>
        <w:rPr>
          <w:lang w:eastAsia="en-AU"/>
        </w:rPr>
        <w:t xml:space="preserve">FSANZ and the </w:t>
      </w:r>
      <w:r w:rsidR="00343E37">
        <w:rPr>
          <w:lang w:eastAsia="en-AU"/>
        </w:rPr>
        <w:t>F</w:t>
      </w:r>
      <w:r>
        <w:rPr>
          <w:lang w:eastAsia="en-AU"/>
        </w:rPr>
        <w:t>orum often have distinct priorities and interests</w:t>
      </w:r>
      <w:r w:rsidR="008F4BDB">
        <w:rPr>
          <w:lang w:eastAsia="en-AU"/>
        </w:rPr>
        <w:t xml:space="preserve">, and both parties have responsibilities to progress their </w:t>
      </w:r>
      <w:r w:rsidR="003B31F8">
        <w:rPr>
          <w:lang w:eastAsia="en-AU"/>
        </w:rPr>
        <w:t>priorities and obligations</w:t>
      </w:r>
      <w:r w:rsidR="008F4BDB">
        <w:rPr>
          <w:lang w:eastAsia="en-AU"/>
        </w:rPr>
        <w:t xml:space="preserve">. </w:t>
      </w:r>
    </w:p>
    <w:p w14:paraId="4F77054A" w14:textId="39631C01" w:rsidR="00021231" w:rsidRPr="007C436A" w:rsidRDefault="00C2260E" w:rsidP="007C436A">
      <w:pPr>
        <w:rPr>
          <w:lang w:eastAsia="en-AU"/>
        </w:rPr>
      </w:pPr>
      <w:r>
        <w:rPr>
          <w:lang w:eastAsia="en-AU"/>
        </w:rPr>
        <w:t>Alternative arrangements could be considered that enable joint priority setting</w:t>
      </w:r>
      <w:r w:rsidR="00B50277">
        <w:rPr>
          <w:lang w:eastAsia="en-AU"/>
        </w:rPr>
        <w:t xml:space="preserve"> between FSA</w:t>
      </w:r>
      <w:r w:rsidR="00B97086">
        <w:rPr>
          <w:lang w:eastAsia="en-AU"/>
        </w:rPr>
        <w:t>N</w:t>
      </w:r>
      <w:r w:rsidR="00B50277">
        <w:rPr>
          <w:lang w:eastAsia="en-AU"/>
        </w:rPr>
        <w:t>Z and the Forum</w:t>
      </w:r>
      <w:r w:rsidR="001D47F0">
        <w:rPr>
          <w:lang w:eastAsia="en-AU"/>
        </w:rPr>
        <w:t xml:space="preserve">. These could focus on </w:t>
      </w:r>
      <w:r w:rsidR="00B97086">
        <w:rPr>
          <w:lang w:eastAsia="en-AU"/>
        </w:rPr>
        <w:t>establishing a regular two-way dialogue to agree</w:t>
      </w:r>
      <w:r w:rsidR="001D47F0">
        <w:rPr>
          <w:lang w:eastAsia="en-AU"/>
        </w:rPr>
        <w:t xml:space="preserve"> priority </w:t>
      </w:r>
      <w:r w:rsidR="00B42FBB">
        <w:rPr>
          <w:lang w:eastAsia="en-AU"/>
        </w:rPr>
        <w:t>work</w:t>
      </w:r>
      <w:r w:rsidR="00986A1C">
        <w:rPr>
          <w:lang w:eastAsia="en-AU"/>
        </w:rPr>
        <w:t xml:space="preserve"> given available resources and FSANZ’s statutory requirements. Such arrangements would need to</w:t>
      </w:r>
      <w:r w:rsidR="004D4F55">
        <w:rPr>
          <w:lang w:eastAsia="en-AU"/>
        </w:rPr>
        <w:t xml:space="preserve"> ensure adequate independence for FSANZ </w:t>
      </w:r>
      <w:r w:rsidR="00D7291E">
        <w:rPr>
          <w:lang w:eastAsia="en-AU"/>
        </w:rPr>
        <w:t>in delivering its workplan</w:t>
      </w:r>
      <w:r w:rsidR="004D4F55">
        <w:rPr>
          <w:lang w:eastAsia="en-AU"/>
        </w:rPr>
        <w:t xml:space="preserve"> and an appropriate separation of policy development and standard</w:t>
      </w:r>
      <w:r w:rsidR="00483710">
        <w:rPr>
          <w:lang w:eastAsia="en-AU"/>
        </w:rPr>
        <w:t>-</w:t>
      </w:r>
      <w:r w:rsidR="004D4F55">
        <w:rPr>
          <w:lang w:eastAsia="en-AU"/>
        </w:rPr>
        <w:t xml:space="preserve">setting. </w:t>
      </w:r>
      <w:r w:rsidR="00B97086">
        <w:rPr>
          <w:lang w:eastAsia="en-AU"/>
        </w:rPr>
        <w:t>Other mechanisms to enable greater connectivity between standard</w:t>
      </w:r>
      <w:r w:rsidR="00483710">
        <w:rPr>
          <w:lang w:eastAsia="en-AU"/>
        </w:rPr>
        <w:t>-</w:t>
      </w:r>
      <w:r w:rsidR="00B97086">
        <w:rPr>
          <w:lang w:eastAsia="en-AU"/>
        </w:rPr>
        <w:t xml:space="preserve">setting and policy development could also be </w:t>
      </w:r>
      <w:r w:rsidR="00366A5B">
        <w:rPr>
          <w:lang w:eastAsia="en-AU"/>
        </w:rPr>
        <w:t xml:space="preserve">considered. </w:t>
      </w:r>
    </w:p>
    <w:p w14:paraId="1DCB0436" w14:textId="2A361F2B" w:rsidR="00225394" w:rsidRDefault="000522C5" w:rsidP="00E0390E">
      <w:pPr>
        <w:pStyle w:val="Heading2"/>
        <w:ind w:left="0" w:firstLine="0"/>
      </w:pPr>
      <w:bookmarkStart w:id="94" w:name="_Ref51508302"/>
      <w:bookmarkStart w:id="95" w:name="_Toc52179140"/>
      <w:r>
        <w:lastRenderedPageBreak/>
        <w:t xml:space="preserve">Legislative and operational reforms could improve </w:t>
      </w:r>
      <w:r w:rsidR="00225394">
        <w:t>alignment of policy development and</w:t>
      </w:r>
      <w:r>
        <w:t xml:space="preserve"> standard</w:t>
      </w:r>
      <w:r w:rsidR="00483710">
        <w:t>-</w:t>
      </w:r>
      <w:r>
        <w:t>setting</w:t>
      </w:r>
      <w:bookmarkEnd w:id="94"/>
      <w:bookmarkEnd w:id="95"/>
    </w:p>
    <w:p w14:paraId="49C205F9" w14:textId="579C1311" w:rsidR="000522C5" w:rsidRDefault="00D33932" w:rsidP="00225394">
      <w:r>
        <w:t>Two</w:t>
      </w:r>
      <w:r w:rsidR="00225394">
        <w:t xml:space="preserve"> </w:t>
      </w:r>
      <w:r w:rsidR="00021231">
        <w:t xml:space="preserve">reform </w:t>
      </w:r>
      <w:r w:rsidR="00CE1D42">
        <w:t>ideas</w:t>
      </w:r>
      <w:r w:rsidR="00225394">
        <w:t xml:space="preserve"> </w:t>
      </w:r>
      <w:r w:rsidR="003D7309">
        <w:t xml:space="preserve">to address </w:t>
      </w:r>
      <w:r w:rsidR="009523A7">
        <w:t xml:space="preserve">issues related to </w:t>
      </w:r>
      <w:r w:rsidR="00E75D11">
        <w:t>misalignment between policy development and standard</w:t>
      </w:r>
      <w:r w:rsidR="00483710">
        <w:t>-</w:t>
      </w:r>
      <w:r w:rsidR="00E75D11">
        <w:t>setting</w:t>
      </w:r>
      <w:r w:rsidR="00684924">
        <w:t xml:space="preserve"> </w:t>
      </w:r>
      <w:r w:rsidR="00CE1D42">
        <w:t>have been</w:t>
      </w:r>
      <w:r w:rsidR="00684924">
        <w:t xml:space="preserve"> identified.</w:t>
      </w:r>
      <w:r w:rsidR="00CE1D42">
        <w:t xml:space="preserve"> These could be considered separately or in conjunction.</w:t>
      </w:r>
      <w:r w:rsidR="00684924">
        <w:t xml:space="preserve"> </w:t>
      </w:r>
    </w:p>
    <w:p w14:paraId="4EF956C6" w14:textId="199467B1" w:rsidR="000522C5" w:rsidRDefault="002A0C45" w:rsidP="000522C5">
      <w:pPr>
        <w:pStyle w:val="Heading3"/>
      </w:pPr>
      <w:bookmarkStart w:id="96" w:name="_Ref52123579"/>
      <w:r>
        <w:t>Reform</w:t>
      </w:r>
      <w:bookmarkStart w:id="97" w:name="_Ref51342033"/>
      <w:r>
        <w:t xml:space="preserve"> idea 13</w:t>
      </w:r>
      <w:r w:rsidR="00E935EF">
        <w:t xml:space="preserve"> </w:t>
      </w:r>
      <w:r>
        <w:t>–</w:t>
      </w:r>
      <w:r w:rsidR="000522C5">
        <w:t xml:space="preserve"> </w:t>
      </w:r>
      <w:r w:rsidR="004F4668">
        <w:t>Facilitate</w:t>
      </w:r>
      <w:r w:rsidR="000522C5">
        <w:t xml:space="preserve"> joint agenda setting between FSANZ and </w:t>
      </w:r>
      <w:r w:rsidR="00897134">
        <w:t xml:space="preserve">the </w:t>
      </w:r>
      <w:r w:rsidR="000522C5">
        <w:t>Forum</w:t>
      </w:r>
      <w:bookmarkEnd w:id="96"/>
      <w:bookmarkEnd w:id="97"/>
      <w:r w:rsidR="000522C5">
        <w:t xml:space="preserve"> </w:t>
      </w:r>
    </w:p>
    <w:p w14:paraId="0E3967B2" w14:textId="55D10125" w:rsidR="00E11255" w:rsidRDefault="00931D49" w:rsidP="00D67A99">
      <w:pPr>
        <w:pStyle w:val="Bullet"/>
        <w:numPr>
          <w:ilvl w:val="0"/>
          <w:numId w:val="0"/>
        </w:numPr>
      </w:pPr>
      <w:r>
        <w:t>FSANZ and the Forum could implement routine joint priority setting mechanisms</w:t>
      </w:r>
      <w:r w:rsidR="004D2DEC">
        <w:t xml:space="preserve"> to </w:t>
      </w:r>
      <w:r w:rsidR="00B755AA">
        <w:t xml:space="preserve">regularly agree priorities, including both general strategic priorities and priority </w:t>
      </w:r>
      <w:r w:rsidR="00650267">
        <w:t xml:space="preserve">changes to </w:t>
      </w:r>
      <w:r w:rsidR="00A91217">
        <w:t>f</w:t>
      </w:r>
      <w:r w:rsidR="00A91217" w:rsidRPr="00D25630">
        <w:t xml:space="preserve">ood </w:t>
      </w:r>
      <w:r w:rsidR="00650267">
        <w:t>standards</w:t>
      </w:r>
      <w:r w:rsidR="00D67A99">
        <w:t xml:space="preserve">. </w:t>
      </w:r>
      <w:r w:rsidR="00A102A9">
        <w:t>This could, for instance, consist of annual planning where members of FSANZ and the Forum come together to agree the proposals and other project work that will be progressed as part of FSANZ’s workplan</w:t>
      </w:r>
      <w:r w:rsidR="00175DC0">
        <w:t xml:space="preserve"> with a view to removing or abandoning lower priority items</w:t>
      </w:r>
      <w:r w:rsidR="0027227F">
        <w:t>.</w:t>
      </w:r>
      <w:r w:rsidR="003A524C">
        <w:t xml:space="preserve"> </w:t>
      </w:r>
      <w:r w:rsidR="00CF47B5">
        <w:t>(</w:t>
      </w:r>
      <w:r w:rsidR="0027227F">
        <w:t>J</w:t>
      </w:r>
      <w:r w:rsidR="00175DC0">
        <w:t xml:space="preserve">oint priority setting might focus solely </w:t>
      </w:r>
      <w:r w:rsidR="00971CE8">
        <w:t>on the component of FSANZ’s workplan with capacity allocated to</w:t>
      </w:r>
      <w:r w:rsidR="00E3254F">
        <w:t xml:space="preserve"> proposals and project work</w:t>
      </w:r>
      <w:r w:rsidR="00D52D7D">
        <w:t xml:space="preserve"> – it should not displace the progress of applications, which are subject to statutory timeframes)</w:t>
      </w:r>
      <w:r w:rsidR="00A102A9">
        <w:t xml:space="preserve">.  </w:t>
      </w:r>
    </w:p>
    <w:p w14:paraId="239B9643" w14:textId="734D8EDD" w:rsidR="000E1981" w:rsidRDefault="00CE1D42">
      <w:pPr>
        <w:pStyle w:val="Heading3"/>
      </w:pPr>
      <w:bookmarkStart w:id="98" w:name="_Ref51861602"/>
      <w:bookmarkStart w:id="99" w:name="_Ref51914359"/>
      <w:r>
        <w:t xml:space="preserve">Reform idea 14 </w:t>
      </w:r>
      <w:r w:rsidR="00B42FBB">
        <w:t xml:space="preserve">– </w:t>
      </w:r>
      <w:r w:rsidR="000612A5">
        <w:t xml:space="preserve">Amend statutory timeframes to support more strategic prioritisation of work </w:t>
      </w:r>
      <w:bookmarkEnd w:id="98"/>
      <w:bookmarkEnd w:id="99"/>
    </w:p>
    <w:p w14:paraId="150FB5F3" w14:textId="11F8C8C0" w:rsidR="00A93FA0" w:rsidRDefault="00A93FA0" w:rsidP="000E1981">
      <w:r>
        <w:t xml:space="preserve">FSANZ’s priority work is driven in large part by </w:t>
      </w:r>
      <w:r w:rsidR="00230DDE">
        <w:t>the statutory timeframes associated with industry-led applications</w:t>
      </w:r>
      <w:r w:rsidR="00233D90">
        <w:t xml:space="preserve"> (discussed further at Section </w:t>
      </w:r>
      <w:r w:rsidR="00233D90">
        <w:fldChar w:fldCharType="begin"/>
      </w:r>
      <w:r w:rsidR="00233D90">
        <w:instrText xml:space="preserve"> REF _Ref51488485 \r \h </w:instrText>
      </w:r>
      <w:r w:rsidR="00233D90">
        <w:fldChar w:fldCharType="separate"/>
      </w:r>
      <w:r w:rsidR="001C5CC6">
        <w:t>6.3</w:t>
      </w:r>
      <w:r w:rsidR="00233D90">
        <w:fldChar w:fldCharType="end"/>
      </w:r>
      <w:r w:rsidR="00233D90">
        <w:t>)</w:t>
      </w:r>
      <w:r w:rsidR="00230DDE">
        <w:t>. Timeframes t</w:t>
      </w:r>
      <w:r w:rsidR="008C109A">
        <w:t>o which</w:t>
      </w:r>
      <w:r w:rsidR="00230DDE">
        <w:t xml:space="preserve"> FSANZ is subject in developing or reviewing food regulatory measures could be changed to support more strategic prioritisation of work. </w:t>
      </w:r>
      <w:r w:rsidR="001A5ACC">
        <w:t>This could include through</w:t>
      </w:r>
      <w:r w:rsidR="00230DDE">
        <w:t xml:space="preserve">: </w:t>
      </w:r>
    </w:p>
    <w:p w14:paraId="152E9B40" w14:textId="4BE5CFDE" w:rsidR="002A389D" w:rsidRPr="00424E81" w:rsidRDefault="008A23B1" w:rsidP="00423227">
      <w:pPr>
        <w:pStyle w:val="ListParagraph"/>
        <w:numPr>
          <w:ilvl w:val="0"/>
          <w:numId w:val="20"/>
        </w:numPr>
        <w:rPr>
          <w:rFonts w:asciiTheme="majorHAnsi" w:hAnsiTheme="majorHAnsi"/>
        </w:rPr>
      </w:pPr>
      <w:r w:rsidRPr="00424E81">
        <w:rPr>
          <w:rFonts w:asciiTheme="majorHAnsi" w:hAnsiTheme="majorHAnsi"/>
        </w:rPr>
        <w:t>Establish</w:t>
      </w:r>
      <w:r w:rsidR="001A5ACC" w:rsidRPr="00424E81">
        <w:rPr>
          <w:rFonts w:asciiTheme="majorHAnsi" w:hAnsiTheme="majorHAnsi"/>
        </w:rPr>
        <w:t>ing</w:t>
      </w:r>
      <w:r w:rsidRPr="00424E81">
        <w:rPr>
          <w:rFonts w:asciiTheme="majorHAnsi" w:hAnsiTheme="majorHAnsi"/>
        </w:rPr>
        <w:t xml:space="preserve"> timeframes for proposals on a case-by-case basis. </w:t>
      </w:r>
      <w:r w:rsidR="005E38EC">
        <w:t xml:space="preserve">The Act could be amended to enable timeframes to be established within which a proposal should be assessed and completed. This would likely be on a case-by-case basis given that the scope of work involved in a proposal can vary significantly. This could be set by FSANZ </w:t>
      </w:r>
      <w:r w:rsidR="007A0D45">
        <w:t>in consultation with the Forum</w:t>
      </w:r>
      <w:r w:rsidR="005E38EC">
        <w:t xml:space="preserve">, with appropriate flexibility to adjust based on new information. This could help to mitigate issues around the current prioritisation of applications by providing a commensurate mechanism to prioritise proposals. </w:t>
      </w:r>
      <w:r w:rsidR="00FC068A">
        <w:t xml:space="preserve">This </w:t>
      </w:r>
      <w:r w:rsidR="00524B7C">
        <w:t xml:space="preserve">reform idea </w:t>
      </w:r>
      <w:r w:rsidR="00424E81">
        <w:t>would require</w:t>
      </w:r>
      <w:r w:rsidR="00524B7C">
        <w:t xml:space="preserve"> additional</w:t>
      </w:r>
      <w:r w:rsidR="00AB2ABE">
        <w:t xml:space="preserve"> ongoing </w:t>
      </w:r>
      <w:r w:rsidR="00FC068A">
        <w:t>funding</w:t>
      </w:r>
      <w:r w:rsidR="00AB2ABE">
        <w:t xml:space="preserve"> for FSANZ</w:t>
      </w:r>
      <w:r w:rsidR="00FC068A">
        <w:t xml:space="preserve">, as it risks exacerbating existing resource constraints faced by FSANZ by imposing additional workload pressures. </w:t>
      </w:r>
    </w:p>
    <w:p w14:paraId="1738F112" w14:textId="23A812AC" w:rsidR="00124C74" w:rsidRPr="00E0390E" w:rsidRDefault="00A1291F" w:rsidP="00760794">
      <w:pPr>
        <w:pStyle w:val="ListParagraph"/>
        <w:numPr>
          <w:ilvl w:val="0"/>
          <w:numId w:val="20"/>
        </w:numPr>
        <w:rPr>
          <w:rFonts w:asciiTheme="majorHAnsi" w:hAnsiTheme="majorHAnsi"/>
        </w:rPr>
      </w:pPr>
      <w:r w:rsidRPr="002A389D">
        <w:rPr>
          <w:rFonts w:asciiTheme="majorHAnsi" w:hAnsiTheme="majorHAnsi"/>
        </w:rPr>
        <w:t>Creat</w:t>
      </w:r>
      <w:r w:rsidR="00AB2ABE">
        <w:rPr>
          <w:rFonts w:asciiTheme="majorHAnsi" w:hAnsiTheme="majorHAnsi"/>
        </w:rPr>
        <w:t>ing</w:t>
      </w:r>
      <w:r w:rsidRPr="002A389D">
        <w:rPr>
          <w:rFonts w:asciiTheme="majorHAnsi" w:hAnsiTheme="majorHAnsi"/>
        </w:rPr>
        <w:t xml:space="preserve"> more flexibility around statutory timeframes for application</w:t>
      </w:r>
      <w:r w:rsidR="001A5ACC" w:rsidRPr="002A389D">
        <w:rPr>
          <w:rFonts w:asciiTheme="majorHAnsi" w:hAnsiTheme="majorHAnsi"/>
        </w:rPr>
        <w:t xml:space="preserve">s. </w:t>
      </w:r>
      <w:r w:rsidR="00DC486F">
        <w:t xml:space="preserve">There are currently limited legislative provisions </w:t>
      </w:r>
      <w:r w:rsidR="00842716">
        <w:t>for FSANZ to change its procedure or adjust its approach and timing for applications based on new information</w:t>
      </w:r>
      <w:r w:rsidR="00D57938">
        <w:t xml:space="preserve"> and data. There is also limited ability for FSANZ </w:t>
      </w:r>
      <w:r w:rsidR="00A90A3E">
        <w:t>to ‘stop the clock’ on the statutory timeframe.</w:t>
      </w:r>
      <w:r w:rsidR="00D57938">
        <w:t xml:space="preserve"> This inflexibility can contribute</w:t>
      </w:r>
      <w:r w:rsidR="009F7463">
        <w:t xml:space="preserve"> to the prioritisation of applications over proposals. </w:t>
      </w:r>
    </w:p>
    <w:p w14:paraId="1F0B0E1E" w14:textId="4034C158" w:rsidR="00CE1D42" w:rsidRDefault="00CE1D42" w:rsidP="0014653F"/>
    <w:tbl>
      <w:tblPr>
        <w:tblStyle w:val="NousLongformcallout"/>
        <w:tblW w:w="4950" w:type="pct"/>
        <w:tblCellMar>
          <w:top w:w="170" w:type="dxa"/>
          <w:bottom w:w="170" w:type="dxa"/>
        </w:tblCellMar>
        <w:tblLook w:val="04A0" w:firstRow="1" w:lastRow="0" w:firstColumn="1" w:lastColumn="0" w:noHBand="0" w:noVBand="1"/>
      </w:tblPr>
      <w:tblGrid>
        <w:gridCol w:w="9055"/>
      </w:tblGrid>
      <w:tr w:rsidR="00A815A9" w14:paraId="68D5F7AD" w14:textId="77777777" w:rsidTr="00747266">
        <w:tc>
          <w:tcPr>
            <w:tcW w:w="9055" w:type="dxa"/>
            <w:shd w:val="clear" w:color="auto" w:fill="00264D" w:themeFill="background2"/>
          </w:tcPr>
          <w:p w14:paraId="488883AD" w14:textId="77777777" w:rsidR="00A815A9" w:rsidRPr="00835584" w:rsidRDefault="00A815A9" w:rsidP="0074726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5B01E805" w14:textId="01E11666" w:rsidR="00B11189" w:rsidRDefault="007770E5" w:rsidP="00760794">
            <w:pPr>
              <w:pStyle w:val="ListParagraph"/>
              <w:numPr>
                <w:ilvl w:val="0"/>
                <w:numId w:val="15"/>
              </w:numPr>
              <w:contextualSpacing w:val="0"/>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To what degree is the</w:t>
            </w:r>
            <w:r w:rsidR="00792DC2">
              <w:rPr>
                <w:rFonts w:asciiTheme="minorHAnsi" w:hAnsiTheme="minorHAnsi" w:cstheme="minorHAnsi"/>
                <w:color w:val="FFFFFF" w:themeColor="background1"/>
                <w:lang w:eastAsia="en-AU"/>
              </w:rPr>
              <w:t xml:space="preserve"> current alignment between policy development and </w:t>
            </w:r>
            <w:r>
              <w:rPr>
                <w:rFonts w:asciiTheme="minorHAnsi" w:hAnsiTheme="minorHAnsi" w:cstheme="minorHAnsi"/>
                <w:color w:val="FFFFFF" w:themeColor="background1"/>
                <w:lang w:eastAsia="en-AU"/>
              </w:rPr>
              <w:t>standards</w:t>
            </w:r>
            <w:r w:rsidR="00792DC2">
              <w:rPr>
                <w:rFonts w:asciiTheme="minorHAnsi" w:hAnsiTheme="minorHAnsi" w:cstheme="minorHAnsi"/>
                <w:color w:val="FFFFFF" w:themeColor="background1"/>
                <w:lang w:eastAsia="en-AU"/>
              </w:rPr>
              <w:t xml:space="preserve"> setting</w:t>
            </w:r>
            <w:r>
              <w:rPr>
                <w:rFonts w:asciiTheme="minorHAnsi" w:hAnsiTheme="minorHAnsi" w:cstheme="minorHAnsi"/>
                <w:color w:val="FFFFFF" w:themeColor="background1"/>
                <w:lang w:eastAsia="en-AU"/>
              </w:rPr>
              <w:t xml:space="preserve"> an</w:t>
            </w:r>
            <w:r w:rsidR="00792DC2">
              <w:rPr>
                <w:rFonts w:asciiTheme="minorHAnsi" w:hAnsiTheme="minorHAnsi" w:cstheme="minorHAnsi"/>
                <w:color w:val="FFFFFF" w:themeColor="background1"/>
                <w:lang w:eastAsia="en-AU"/>
              </w:rPr>
              <w:t xml:space="preserve"> issue</w:t>
            </w:r>
            <w:r>
              <w:rPr>
                <w:rFonts w:asciiTheme="minorHAnsi" w:hAnsiTheme="minorHAnsi" w:cstheme="minorHAnsi"/>
                <w:color w:val="FFFFFF" w:themeColor="background1"/>
                <w:lang w:eastAsia="en-AU"/>
              </w:rPr>
              <w:t xml:space="preserve"> for the system? What are the types of problems that </w:t>
            </w:r>
            <w:r w:rsidR="00167DD1">
              <w:rPr>
                <w:rFonts w:asciiTheme="minorHAnsi" w:hAnsiTheme="minorHAnsi" w:cstheme="minorHAnsi"/>
                <w:color w:val="FFFFFF" w:themeColor="background1"/>
                <w:lang w:eastAsia="en-AU"/>
              </w:rPr>
              <w:t>different</w:t>
            </w:r>
            <w:r>
              <w:rPr>
                <w:rFonts w:asciiTheme="minorHAnsi" w:hAnsiTheme="minorHAnsi" w:cstheme="minorHAnsi"/>
                <w:color w:val="FFFFFF" w:themeColor="background1"/>
                <w:lang w:eastAsia="en-AU"/>
              </w:rPr>
              <w:t xml:space="preserve"> stakeholder groups face as a consequence? </w:t>
            </w:r>
          </w:p>
          <w:p w14:paraId="10141092" w14:textId="77777777" w:rsidR="008D69BA" w:rsidRDefault="008D69BA" w:rsidP="00BC160D">
            <w:pPr>
              <w:pStyle w:val="ListParagraph"/>
              <w:contextualSpacing w:val="0"/>
              <w:rPr>
                <w:rFonts w:asciiTheme="minorHAnsi" w:hAnsiTheme="minorHAnsi" w:cstheme="minorHAnsi"/>
                <w:color w:val="FFFFFF" w:themeColor="background1"/>
                <w:lang w:eastAsia="en-AU"/>
              </w:rPr>
            </w:pPr>
          </w:p>
          <w:p w14:paraId="05F40019" w14:textId="7AAC03FA" w:rsidR="00587C96" w:rsidRPr="00FF73FE" w:rsidRDefault="00587C96" w:rsidP="00760794">
            <w:pPr>
              <w:pStyle w:val="ListParagraph"/>
              <w:numPr>
                <w:ilvl w:val="0"/>
                <w:numId w:val="15"/>
              </w:numPr>
              <w:spacing w:line="259" w:lineRule="auto"/>
              <w:rPr>
                <w:rFonts w:asciiTheme="minorHAnsi" w:hAnsiTheme="minorHAnsi" w:cstheme="minorHAnsi"/>
                <w:color w:val="FFFFFF" w:themeColor="background1"/>
                <w:lang w:eastAsia="en-AU"/>
              </w:rPr>
            </w:pPr>
            <w:r w:rsidRPr="00E56C62">
              <w:rPr>
                <w:rFonts w:asciiTheme="minorHAnsi" w:hAnsiTheme="minorHAnsi" w:cstheme="minorHAnsi"/>
                <w:color w:val="FFFFFF" w:themeColor="background1"/>
                <w:lang w:eastAsia="en-AU"/>
              </w:rPr>
              <w:lastRenderedPageBreak/>
              <w:t xml:space="preserve">What would be the impact (positive, negative or otherwise) of implementing each of the </w:t>
            </w:r>
            <w:r w:rsidR="00163D89">
              <w:rPr>
                <w:rFonts w:asciiTheme="minorHAnsi" w:hAnsiTheme="minorHAnsi" w:cstheme="minorHAnsi"/>
                <w:color w:val="FFFFFF" w:themeColor="background1"/>
                <w:lang w:eastAsia="en-AU"/>
              </w:rPr>
              <w:t xml:space="preserve">reform </w:t>
            </w:r>
            <w:r w:rsidR="00163D89" w:rsidRPr="00FF73FE">
              <w:rPr>
                <w:rFonts w:asciiTheme="minorHAnsi" w:hAnsiTheme="minorHAnsi" w:cstheme="minorHAnsi"/>
                <w:color w:val="FFFFFF" w:themeColor="background1"/>
                <w:lang w:eastAsia="en-AU"/>
              </w:rPr>
              <w:t>ideas</w:t>
            </w:r>
            <w:r w:rsidRPr="00FF73FE">
              <w:rPr>
                <w:rFonts w:asciiTheme="minorHAnsi" w:hAnsiTheme="minorHAnsi" w:cstheme="minorHAnsi"/>
                <w:color w:val="FFFFFF" w:themeColor="background1"/>
                <w:lang w:eastAsia="en-AU"/>
              </w:rPr>
              <w:t xml:space="preserve"> below? How could the outcome specified for each </w:t>
            </w:r>
            <w:r w:rsidR="00281A04" w:rsidRPr="00FF73FE">
              <w:rPr>
                <w:rFonts w:asciiTheme="minorHAnsi" w:hAnsiTheme="minorHAnsi" w:cstheme="minorHAnsi"/>
                <w:color w:val="FFFFFF" w:themeColor="background1"/>
                <w:lang w:eastAsia="en-AU"/>
              </w:rPr>
              <w:t>reform idea</w:t>
            </w:r>
            <w:r w:rsidRPr="00FF73FE">
              <w:rPr>
                <w:rFonts w:asciiTheme="minorHAnsi" w:hAnsiTheme="minorHAnsi" w:cstheme="minorHAnsi"/>
                <w:color w:val="FFFFFF" w:themeColor="background1"/>
                <w:lang w:eastAsia="en-AU"/>
              </w:rPr>
              <w:t xml:space="preserve"> best be achieved?</w:t>
            </w:r>
          </w:p>
          <w:p w14:paraId="106D5CF2" w14:textId="7F299F00" w:rsidR="00B143D3" w:rsidRPr="00FF73FE" w:rsidRDefault="00BF04C0" w:rsidP="00E7068E">
            <w:pPr>
              <w:pStyle w:val="Bullet"/>
              <w:numPr>
                <w:ilvl w:val="2"/>
                <w:numId w:val="3"/>
              </w:numPr>
              <w:rPr>
                <w:color w:val="FFFFFF" w:themeColor="background1"/>
              </w:rPr>
            </w:pPr>
            <w:r w:rsidRPr="00FF73FE">
              <w:rPr>
                <w:color w:val="FFFFFF" w:themeColor="background1"/>
              </w:rPr>
              <w:fldChar w:fldCharType="begin"/>
            </w:r>
            <w:r w:rsidRPr="00FF73FE">
              <w:rPr>
                <w:color w:val="FFFFFF" w:themeColor="background1"/>
              </w:rPr>
              <w:instrText xml:space="preserve"> REF _Ref52123579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Reform idea 13 – Facilitate joint agenda setting between FSANZ and the Forum</w:t>
            </w:r>
            <w:r w:rsidRPr="00FF73FE">
              <w:rPr>
                <w:color w:val="FFFFFF" w:themeColor="background1"/>
              </w:rPr>
              <w:fldChar w:fldCharType="end"/>
            </w:r>
            <w:r w:rsidR="00FF73FE" w:rsidRPr="00FF73FE">
              <w:rPr>
                <w:color w:val="FFFFFF" w:themeColor="background1"/>
              </w:rPr>
              <w:t xml:space="preserve"> </w:t>
            </w:r>
          </w:p>
          <w:p w14:paraId="03B5AAFA" w14:textId="0690925B" w:rsidR="00A815A9" w:rsidRPr="00FF73FE" w:rsidRDefault="00B143D3" w:rsidP="00E7068E">
            <w:pPr>
              <w:pStyle w:val="Bullet"/>
              <w:numPr>
                <w:ilvl w:val="2"/>
                <w:numId w:val="3"/>
              </w:numPr>
              <w:rPr>
                <w:color w:val="FFFFFF" w:themeColor="background1"/>
              </w:rPr>
            </w:pPr>
            <w:r w:rsidRPr="00FF73FE">
              <w:rPr>
                <w:color w:val="FFFFFF" w:themeColor="background1"/>
              </w:rPr>
              <w:fldChar w:fldCharType="begin"/>
            </w:r>
            <w:r w:rsidRPr="00FF73FE">
              <w:rPr>
                <w:color w:val="FFFFFF" w:themeColor="background1"/>
              </w:rPr>
              <w:instrText xml:space="preserve"> REF _Ref51861602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 xml:space="preserve">Reform idea 14 – Amend statutory timeframes to support more strategic prioritisation of work </w:t>
            </w:r>
            <w:r w:rsidRPr="00FF73FE">
              <w:rPr>
                <w:color w:val="FFFFFF" w:themeColor="background1"/>
              </w:rPr>
              <w:fldChar w:fldCharType="end"/>
            </w:r>
            <w:r w:rsidR="00AC6364" w:rsidRPr="00FF73FE">
              <w:rPr>
                <w:color w:val="FFFFFF" w:themeColor="background1"/>
              </w:rPr>
              <w:t xml:space="preserve"> </w:t>
            </w:r>
          </w:p>
          <w:p w14:paraId="2DA9DED2" w14:textId="4A30D2F5" w:rsidR="00A815A9" w:rsidRPr="00E25160" w:rsidRDefault="00A815A9" w:rsidP="00760794">
            <w:pPr>
              <w:pStyle w:val="ListParagraph"/>
              <w:numPr>
                <w:ilvl w:val="0"/>
                <w:numId w:val="15"/>
              </w:numPr>
              <w:contextualSpacing w:val="0"/>
              <w:rPr>
                <w:color w:val="FFFFFF" w:themeColor="background1"/>
                <w:lang w:eastAsia="en-AU"/>
              </w:rPr>
            </w:pPr>
            <w:r w:rsidRPr="000F0E87">
              <w:rPr>
                <w:rFonts w:asciiTheme="minorHAnsi" w:hAnsiTheme="minorHAnsi" w:cstheme="minorHAnsi"/>
                <w:color w:val="FFFFFF" w:themeColor="background1"/>
                <w:lang w:eastAsia="en-AU"/>
              </w:rPr>
              <w:t>Are there other potential solutions relating to</w:t>
            </w:r>
            <w:r w:rsidR="000F0E87">
              <w:rPr>
                <w:rFonts w:asciiTheme="minorHAnsi" w:hAnsiTheme="minorHAnsi" w:cstheme="minorHAnsi"/>
                <w:color w:val="FFFFFF" w:themeColor="background1"/>
                <w:lang w:eastAsia="en-AU"/>
              </w:rPr>
              <w:t xml:space="preserve"> agreeing system priorities between FSANZ and the Forum?</w:t>
            </w:r>
          </w:p>
        </w:tc>
      </w:tr>
    </w:tbl>
    <w:p w14:paraId="6A8609BA" w14:textId="44C9F7E1" w:rsidR="00AF2098" w:rsidRDefault="00605A07" w:rsidP="00E0390E">
      <w:pPr>
        <w:pStyle w:val="Heading2"/>
        <w:ind w:left="709" w:hanging="860"/>
      </w:pPr>
      <w:bookmarkStart w:id="100" w:name="_Ref51487520"/>
      <w:bookmarkStart w:id="101" w:name="_Toc52179141"/>
      <w:r>
        <w:lastRenderedPageBreak/>
        <w:t xml:space="preserve">Inconsistent interpretation and enforcement of </w:t>
      </w:r>
      <w:r w:rsidR="00A91217">
        <w:t>f</w:t>
      </w:r>
      <w:r>
        <w:t xml:space="preserve">ood standards </w:t>
      </w:r>
      <w:r w:rsidR="00006770">
        <w:t>is an enduring issue for the system</w:t>
      </w:r>
      <w:bookmarkEnd w:id="100"/>
      <w:bookmarkEnd w:id="101"/>
      <w:r w:rsidR="00006770">
        <w:t xml:space="preserve"> </w:t>
      </w:r>
    </w:p>
    <w:p w14:paraId="19C1D40D" w14:textId="29A10821" w:rsidR="002E6100" w:rsidRDefault="00424787" w:rsidP="0017242A">
      <w:pPr>
        <w:rPr>
          <w:lang w:eastAsia="en-AU"/>
        </w:rPr>
      </w:pPr>
      <w:r>
        <w:rPr>
          <w:lang w:eastAsia="en-AU"/>
        </w:rPr>
        <w:t>Food standards are outcomes-based</w:t>
      </w:r>
      <w:r w:rsidR="0017242A">
        <w:rPr>
          <w:lang w:eastAsia="en-AU"/>
        </w:rPr>
        <w:t xml:space="preserve">. </w:t>
      </w:r>
      <w:r w:rsidR="00422A07">
        <w:rPr>
          <w:lang w:eastAsia="en-AU"/>
        </w:rPr>
        <w:t xml:space="preserve">This is consistent with </w:t>
      </w:r>
      <w:r w:rsidR="00422A07">
        <w:rPr>
          <w:i/>
          <w:lang w:eastAsia="en-AU"/>
        </w:rPr>
        <w:t>performance</w:t>
      </w:r>
      <w:r w:rsidR="004F1238">
        <w:rPr>
          <w:i/>
          <w:lang w:eastAsia="en-AU"/>
        </w:rPr>
        <w:t>-</w:t>
      </w:r>
      <w:r w:rsidR="00422A07">
        <w:rPr>
          <w:i/>
          <w:lang w:eastAsia="en-AU"/>
        </w:rPr>
        <w:t xml:space="preserve">based </w:t>
      </w:r>
      <w:r w:rsidR="00422A07">
        <w:rPr>
          <w:lang w:eastAsia="en-AU"/>
        </w:rPr>
        <w:t>regulatory models</w:t>
      </w:r>
      <w:r w:rsidR="00874DEE">
        <w:rPr>
          <w:lang w:eastAsia="en-AU"/>
        </w:rPr>
        <w:t xml:space="preserve"> that </w:t>
      </w:r>
      <w:r w:rsidR="00F80CD8">
        <w:rPr>
          <w:lang w:eastAsia="en-AU"/>
        </w:rPr>
        <w:t>specif</w:t>
      </w:r>
      <w:r w:rsidR="00F17361">
        <w:rPr>
          <w:lang w:eastAsia="en-AU"/>
        </w:rPr>
        <w:t>y</w:t>
      </w:r>
      <w:r w:rsidR="00874DEE">
        <w:rPr>
          <w:lang w:eastAsia="en-AU"/>
        </w:rPr>
        <w:t xml:space="preserve"> required </w:t>
      </w:r>
      <w:r w:rsidR="006B7F39">
        <w:rPr>
          <w:lang w:eastAsia="en-AU"/>
        </w:rPr>
        <w:t>outputs and outcomes</w:t>
      </w:r>
      <w:r w:rsidR="00874DEE">
        <w:rPr>
          <w:lang w:eastAsia="en-AU"/>
        </w:rPr>
        <w:t>, rather</w:t>
      </w:r>
      <w:r w:rsidR="00F80CD8">
        <w:rPr>
          <w:lang w:eastAsia="en-AU"/>
        </w:rPr>
        <w:t xml:space="preserve"> </w:t>
      </w:r>
      <w:r w:rsidR="00874DEE">
        <w:rPr>
          <w:lang w:eastAsia="en-AU"/>
        </w:rPr>
        <w:t>than inputs</w:t>
      </w:r>
      <w:r w:rsidR="006B7F39">
        <w:rPr>
          <w:lang w:eastAsia="en-AU"/>
        </w:rPr>
        <w:t>. This is increasingly common in modern regulatory frameworks and aims to provide a degree of freedom and f</w:t>
      </w:r>
      <w:r w:rsidR="00024999">
        <w:rPr>
          <w:lang w:eastAsia="en-AU"/>
        </w:rPr>
        <w:t>lexibility to regulated entities in how to ensure compliance,</w:t>
      </w:r>
      <w:r w:rsidR="002E6100">
        <w:rPr>
          <w:lang w:eastAsia="en-AU"/>
        </w:rPr>
        <w:t xml:space="preserve"> to support innovation and reduce regulatory burden. </w:t>
      </w:r>
      <w:r w:rsidR="00874DEE">
        <w:rPr>
          <w:lang w:eastAsia="en-AU"/>
        </w:rPr>
        <w:t xml:space="preserve"> </w:t>
      </w:r>
    </w:p>
    <w:p w14:paraId="737EE85D" w14:textId="2F6B662D" w:rsidR="0017242A" w:rsidRDefault="0026193C" w:rsidP="0017242A">
      <w:r>
        <w:rPr>
          <w:lang w:eastAsia="en-AU"/>
        </w:rPr>
        <w:t xml:space="preserve">Some stakeholders have reported </w:t>
      </w:r>
      <w:r w:rsidR="000B26B1">
        <w:rPr>
          <w:lang w:eastAsia="en-AU"/>
        </w:rPr>
        <w:t>that the outcome-based nature of food standards is a</w:t>
      </w:r>
      <w:r w:rsidR="0017242A" w:rsidRPr="4D666914">
        <w:rPr>
          <w:lang w:eastAsia="en-AU"/>
        </w:rPr>
        <w:t xml:space="preserve"> strength of the system</w:t>
      </w:r>
      <w:r w:rsidR="0017242A">
        <w:rPr>
          <w:lang w:eastAsia="en-AU"/>
        </w:rPr>
        <w:t xml:space="preserve"> and</w:t>
      </w:r>
      <w:r w:rsidR="0017242A" w:rsidRPr="4D666914">
        <w:rPr>
          <w:lang w:eastAsia="en-AU"/>
        </w:rPr>
        <w:t xml:space="preserve"> </w:t>
      </w:r>
      <w:r w:rsidR="00300709">
        <w:rPr>
          <w:lang w:eastAsia="en-AU"/>
        </w:rPr>
        <w:t>consider</w:t>
      </w:r>
      <w:r>
        <w:rPr>
          <w:lang w:eastAsia="en-AU"/>
        </w:rPr>
        <w:t xml:space="preserve"> this approach </w:t>
      </w:r>
      <w:r w:rsidR="008B27FE">
        <w:rPr>
          <w:lang w:eastAsia="en-AU"/>
        </w:rPr>
        <w:t>to be</w:t>
      </w:r>
      <w:r w:rsidR="0017242A" w:rsidRPr="4D666914">
        <w:rPr>
          <w:lang w:eastAsia="en-AU"/>
        </w:rPr>
        <w:t xml:space="preserve"> especially helpful for large</w:t>
      </w:r>
      <w:r w:rsidR="0017242A">
        <w:rPr>
          <w:lang w:eastAsia="en-AU"/>
        </w:rPr>
        <w:t>-</w:t>
      </w:r>
      <w:r w:rsidR="0017242A" w:rsidRPr="4D666914">
        <w:rPr>
          <w:lang w:eastAsia="en-AU"/>
        </w:rPr>
        <w:t>scale food producers or processors</w:t>
      </w:r>
      <w:r w:rsidR="0017242A">
        <w:rPr>
          <w:lang w:eastAsia="en-AU"/>
        </w:rPr>
        <w:t>.</w:t>
      </w:r>
      <w:r>
        <w:rPr>
          <w:lang w:eastAsia="en-AU"/>
        </w:rPr>
        <w:t xml:space="preserve"> Such</w:t>
      </w:r>
      <w:r w:rsidR="0017242A">
        <w:rPr>
          <w:lang w:eastAsia="en-AU"/>
        </w:rPr>
        <w:t xml:space="preserve"> businesses generally have</w:t>
      </w:r>
      <w:r w:rsidR="0017242A" w:rsidRPr="4D666914">
        <w:rPr>
          <w:lang w:eastAsia="en-AU"/>
        </w:rPr>
        <w:t xml:space="preserve"> </w:t>
      </w:r>
      <w:r w:rsidR="0017242A">
        <w:rPr>
          <w:lang w:eastAsia="en-AU"/>
        </w:rPr>
        <w:t xml:space="preserve">resources to access legal advice to understand their obligations and can structure their operations flexibly </w:t>
      </w:r>
      <w:r w:rsidR="002E6100">
        <w:rPr>
          <w:lang w:eastAsia="en-AU"/>
        </w:rPr>
        <w:t>based on</w:t>
      </w:r>
      <w:r w:rsidR="0017242A">
        <w:rPr>
          <w:lang w:eastAsia="en-AU"/>
        </w:rPr>
        <w:t xml:space="preserve"> this advice. </w:t>
      </w:r>
      <w:r w:rsidR="0017242A">
        <w:t xml:space="preserve">However, government stakeholders </w:t>
      </w:r>
      <w:r w:rsidR="002E6100">
        <w:t>and industry bodies</w:t>
      </w:r>
      <w:r w:rsidR="0017242A">
        <w:t xml:space="preserve"> report that small food businesses including sole traders</w:t>
      </w:r>
      <w:r w:rsidR="008D5FAF">
        <w:t>,</w:t>
      </w:r>
      <w:r w:rsidR="0017242A">
        <w:t xml:space="preserve"> who may not have ready access to independent legal advice</w:t>
      </w:r>
      <w:r w:rsidR="008D5FAF">
        <w:t>,</w:t>
      </w:r>
      <w:r w:rsidR="0017242A">
        <w:t xml:space="preserve"> have struggled </w:t>
      </w:r>
      <w:r w:rsidR="009F169E">
        <w:t xml:space="preserve">and seek more definitive advice on how to comply with food standards. </w:t>
      </w:r>
    </w:p>
    <w:p w14:paraId="66A53BD8" w14:textId="3CB7A129" w:rsidR="0017242A" w:rsidRDefault="004204E3" w:rsidP="0017242A">
      <w:r>
        <w:t>One</w:t>
      </w:r>
      <w:r w:rsidR="0017242A">
        <w:t xml:space="preserve"> of FSANZ’s </w:t>
      </w:r>
      <w:r w:rsidR="00355417">
        <w:t xml:space="preserve">statutory functions </w:t>
      </w:r>
      <w:r w:rsidR="0017242A">
        <w:t xml:space="preserve">is to issue guidance materials relating to </w:t>
      </w:r>
      <w:r w:rsidR="00A91217">
        <w:t>f</w:t>
      </w:r>
      <w:r w:rsidR="00A91217" w:rsidRPr="00D25630">
        <w:t xml:space="preserve">ood </w:t>
      </w:r>
      <w:r w:rsidR="005B13B7">
        <w:t>s</w:t>
      </w:r>
      <w:r w:rsidR="0017242A">
        <w:t>tandards, however much of the information currently available is legalistic, complex or generic to food businesses of all sizes.</w:t>
      </w:r>
    </w:p>
    <w:p w14:paraId="17DC1651" w14:textId="715DEDAC" w:rsidR="003460F9" w:rsidRDefault="00164691" w:rsidP="00AA11FA">
      <w:pPr>
        <w:rPr>
          <w:lang w:eastAsia="en-AU"/>
        </w:rPr>
      </w:pPr>
      <w:r>
        <w:rPr>
          <w:lang w:eastAsia="en-AU"/>
        </w:rPr>
        <w:t xml:space="preserve">Enforcement of </w:t>
      </w:r>
      <w:r w:rsidR="00A91217">
        <w:t>f</w:t>
      </w:r>
      <w:r w:rsidR="00A91217" w:rsidRPr="00D25630">
        <w:t xml:space="preserve">ood </w:t>
      </w:r>
      <w:r>
        <w:rPr>
          <w:lang w:eastAsia="en-AU"/>
        </w:rPr>
        <w:t xml:space="preserve">standards </w:t>
      </w:r>
      <w:r w:rsidR="00EA5871">
        <w:rPr>
          <w:lang w:eastAsia="en-AU"/>
        </w:rPr>
        <w:t>is conducted through diverse institutional arrangements</w:t>
      </w:r>
      <w:r w:rsidR="00293DFF">
        <w:rPr>
          <w:lang w:eastAsia="en-AU"/>
        </w:rPr>
        <w:t xml:space="preserve"> (</w:t>
      </w:r>
      <w:r w:rsidR="004204E3">
        <w:rPr>
          <w:lang w:eastAsia="en-AU"/>
        </w:rPr>
        <w:t xml:space="preserve">see </w:t>
      </w:r>
      <w:r w:rsidR="001B3B24">
        <w:rPr>
          <w:lang w:eastAsia="en-AU"/>
        </w:rPr>
        <w:fldChar w:fldCharType="begin"/>
      </w:r>
      <w:r w:rsidR="001B3B24">
        <w:rPr>
          <w:lang w:eastAsia="en-AU"/>
        </w:rPr>
        <w:instrText xml:space="preserve"> REF _Ref51327772 \h </w:instrText>
      </w:r>
      <w:r w:rsidR="001B3B24">
        <w:rPr>
          <w:lang w:eastAsia="en-AU"/>
        </w:rPr>
      </w:r>
      <w:r w:rsidR="001B3B24">
        <w:rPr>
          <w:lang w:eastAsia="en-AU"/>
        </w:rPr>
        <w:fldChar w:fldCharType="separate"/>
      </w:r>
      <w:r w:rsidR="001C5CC6">
        <w:t xml:space="preserve">Figure </w:t>
      </w:r>
      <w:r w:rsidR="001C5CC6">
        <w:rPr>
          <w:noProof/>
        </w:rPr>
        <w:t>5</w:t>
      </w:r>
      <w:r w:rsidR="001B3B24">
        <w:rPr>
          <w:lang w:eastAsia="en-AU"/>
        </w:rPr>
        <w:fldChar w:fldCharType="end"/>
      </w:r>
      <w:r w:rsidR="00293DFF">
        <w:rPr>
          <w:lang w:eastAsia="en-AU"/>
        </w:rPr>
        <w:t>)</w:t>
      </w:r>
      <w:r w:rsidR="00D249FA">
        <w:rPr>
          <w:lang w:eastAsia="en-AU"/>
        </w:rPr>
        <w:t xml:space="preserve"> and, in Australia, are loosely based on model law provisions set out in the </w:t>
      </w:r>
      <w:r w:rsidR="004204E3">
        <w:rPr>
          <w:lang w:eastAsia="en-AU"/>
        </w:rPr>
        <w:t>FRA</w:t>
      </w:r>
      <w:r w:rsidR="00293DFF">
        <w:rPr>
          <w:lang w:eastAsia="en-AU"/>
        </w:rPr>
        <w:t xml:space="preserve">. </w:t>
      </w:r>
    </w:p>
    <w:p w14:paraId="745833D8" w14:textId="77777777" w:rsidR="003A5189" w:rsidRDefault="00AA11FA" w:rsidP="003A5189">
      <w:r>
        <w:rPr>
          <w:lang w:eastAsia="en-AU"/>
        </w:rPr>
        <w:t>The Implementation Subcommittee for Food Regulation (ISFR)</w:t>
      </w:r>
      <w:r w:rsidR="003460F9">
        <w:rPr>
          <w:lang w:eastAsia="en-AU"/>
        </w:rPr>
        <w:t xml:space="preserve"> has</w:t>
      </w:r>
      <w:r>
        <w:rPr>
          <w:lang w:eastAsia="en-AU"/>
        </w:rPr>
        <w:t xml:space="preserve"> </w:t>
      </w:r>
      <w:r w:rsidR="003460F9">
        <w:rPr>
          <w:lang w:eastAsia="en-AU"/>
        </w:rPr>
        <w:t xml:space="preserve">an important role to facilitate common approaches to implementing </w:t>
      </w:r>
      <w:r w:rsidR="003460F9">
        <w:t>f</w:t>
      </w:r>
      <w:r w:rsidR="003460F9" w:rsidRPr="00D25630">
        <w:t xml:space="preserve">ood </w:t>
      </w:r>
      <w:r w:rsidR="003460F9">
        <w:rPr>
          <w:lang w:eastAsia="en-AU"/>
        </w:rPr>
        <w:t xml:space="preserve">standards through development of guidelines. The ISFR </w:t>
      </w:r>
      <w:r w:rsidR="00423C25">
        <w:rPr>
          <w:lang w:eastAsia="en-AU"/>
        </w:rPr>
        <w:t xml:space="preserve">is a sub-committee of </w:t>
      </w:r>
      <w:r w:rsidR="00156F05">
        <w:rPr>
          <w:lang w:eastAsia="en-AU"/>
        </w:rPr>
        <w:t>the Food Regulation Standing Committee</w:t>
      </w:r>
      <w:r w:rsidR="000F5F79">
        <w:rPr>
          <w:lang w:eastAsia="en-AU"/>
        </w:rPr>
        <w:t xml:space="preserve"> (FRSC</w:t>
      </w:r>
      <w:r w:rsidR="00510059">
        <w:rPr>
          <w:lang w:eastAsia="en-AU"/>
        </w:rPr>
        <w:t>; which supports the Forum</w:t>
      </w:r>
      <w:r w:rsidR="000F5F79">
        <w:rPr>
          <w:lang w:eastAsia="en-AU"/>
        </w:rPr>
        <w:t>) and includes representatives from</w:t>
      </w:r>
      <w:r w:rsidR="00582183">
        <w:rPr>
          <w:lang w:eastAsia="en-AU"/>
        </w:rPr>
        <w:t xml:space="preserve"> </w:t>
      </w:r>
      <w:r w:rsidR="009A08EF">
        <w:rPr>
          <w:lang w:eastAsia="en-AU"/>
        </w:rPr>
        <w:t>the Australian and New Zealand governments, Australian state and territory governments and the Australian Local Government Association.</w:t>
      </w:r>
      <w:r w:rsidR="003A5189" w:rsidRPr="003A5189">
        <w:t xml:space="preserve"> </w:t>
      </w:r>
    </w:p>
    <w:p w14:paraId="4A0AE3DE" w14:textId="0D29CD40" w:rsidR="003A5189" w:rsidRDefault="003A5189" w:rsidP="003A5189">
      <w:r>
        <w:t xml:space="preserve">The ISFR, along with </w:t>
      </w:r>
      <w:r w:rsidR="00981259">
        <w:t>jurisdictional</w:t>
      </w:r>
      <w:r>
        <w:t xml:space="preserve"> regulators</w:t>
      </w:r>
      <w:r w:rsidR="001E3F97">
        <w:t>,</w:t>
      </w:r>
      <w:r>
        <w:t xml:space="preserve"> are reported to have invested significant resources into creating education materials for food businesses, but interpretations of how the f</w:t>
      </w:r>
      <w:r w:rsidRPr="00D25630">
        <w:t xml:space="preserve">ood </w:t>
      </w:r>
      <w:r>
        <w:t xml:space="preserve">standards apply are varied, leading to </w:t>
      </w:r>
      <w:r w:rsidR="001E3F97">
        <w:t xml:space="preserve">a </w:t>
      </w:r>
      <w:r>
        <w:t xml:space="preserve">lack of consistency and duplication of effort. As a </w:t>
      </w:r>
      <w:r w:rsidR="001E3F97">
        <w:t>result</w:t>
      </w:r>
      <w:r>
        <w:t>, many small food businesses struggle to understand what they must to do to meet their regulatory requirements.</w:t>
      </w:r>
    </w:p>
    <w:p w14:paraId="6326F533" w14:textId="12212C1B" w:rsidR="00686718" w:rsidRDefault="00686718" w:rsidP="00686718">
      <w:pPr>
        <w:rPr>
          <w:lang w:eastAsia="en-AU"/>
        </w:rPr>
      </w:pPr>
      <w:r>
        <w:rPr>
          <w:lang w:eastAsia="en-AU"/>
        </w:rPr>
        <w:t>Differences in interpretations is a pronounced issue for Australian businesses, particularly those that trade across state and territory borders and who may face additional costs</w:t>
      </w:r>
      <w:r w:rsidR="006A3457">
        <w:rPr>
          <w:lang w:eastAsia="en-AU"/>
        </w:rPr>
        <w:t xml:space="preserve"> in adapting</w:t>
      </w:r>
      <w:r>
        <w:rPr>
          <w:lang w:eastAsia="en-AU"/>
        </w:rPr>
        <w:t xml:space="preserve"> their whole production and distribution chain to meet the </w:t>
      </w:r>
      <w:r w:rsidR="004A0AF9">
        <w:rPr>
          <w:lang w:eastAsia="en-AU"/>
        </w:rPr>
        <w:t xml:space="preserve">most rigorous </w:t>
      </w:r>
      <w:r>
        <w:rPr>
          <w:lang w:eastAsia="en-AU"/>
        </w:rPr>
        <w:t xml:space="preserve">compliance requirements across the jurisdictions in which they operate. </w:t>
      </w:r>
    </w:p>
    <w:p w14:paraId="44F4A528" w14:textId="0F40710B" w:rsidR="003460F9" w:rsidRDefault="00686718" w:rsidP="00AA11FA">
      <w:pPr>
        <w:rPr>
          <w:lang w:eastAsia="en-AU"/>
        </w:rPr>
      </w:pPr>
      <w:r>
        <w:rPr>
          <w:lang w:eastAsia="en-AU"/>
        </w:rPr>
        <w:t xml:space="preserve">Interpretive uncertainty is less of an issue for New Zealand food businesses, as all enforcement activities are carried out by the </w:t>
      </w:r>
      <w:r w:rsidR="004A0AF9">
        <w:rPr>
          <w:lang w:eastAsia="en-AU"/>
        </w:rPr>
        <w:t>MPI</w:t>
      </w:r>
      <w:r>
        <w:rPr>
          <w:lang w:eastAsia="en-AU"/>
        </w:rPr>
        <w:t xml:space="preserve">. For New Zealand food businesses that export to Australia, however, inconsistent interpretation and enforcement of standards in the States and territories can be a source of frustration. </w:t>
      </w:r>
    </w:p>
    <w:p w14:paraId="5C882AF1" w14:textId="5A656B79" w:rsidR="00293DFF" w:rsidRDefault="00293DFF" w:rsidP="00293DFF">
      <w:pPr>
        <w:pStyle w:val="Caption"/>
        <w:rPr>
          <w:lang w:eastAsia="en-AU"/>
        </w:rPr>
      </w:pPr>
      <w:bookmarkStart w:id="102" w:name="_Ref51327772"/>
      <w:r>
        <w:lastRenderedPageBreak/>
        <w:t xml:space="preserve">Figure </w:t>
      </w:r>
      <w:r w:rsidR="006E507D">
        <w:fldChar w:fldCharType="begin"/>
      </w:r>
      <w:r w:rsidR="006E507D">
        <w:instrText xml:space="preserve"> SEQ Figure \* ARABIC </w:instrText>
      </w:r>
      <w:r w:rsidR="006E507D">
        <w:fldChar w:fldCharType="separate"/>
      </w:r>
      <w:r w:rsidR="001C5CC6">
        <w:rPr>
          <w:noProof/>
        </w:rPr>
        <w:t>5</w:t>
      </w:r>
      <w:r w:rsidR="006E507D">
        <w:fldChar w:fldCharType="end"/>
      </w:r>
      <w:bookmarkEnd w:id="102"/>
      <w:r>
        <w:t xml:space="preserve"> | Enforcement agencies used in each jurisdiction </w:t>
      </w:r>
    </w:p>
    <w:p w14:paraId="28F778F5" w14:textId="2B0C289A" w:rsidR="00293DFF" w:rsidRDefault="00120585" w:rsidP="00AA11FA">
      <w:pPr>
        <w:rPr>
          <w:lang w:eastAsia="en-AU"/>
        </w:rPr>
      </w:pPr>
      <w:r w:rsidRPr="00120585">
        <w:rPr>
          <w:noProof/>
        </w:rPr>
        <w:drawing>
          <wp:inline distT="0" distB="0" distL="0" distR="0" wp14:anchorId="779B08E2" wp14:editId="29D75F77">
            <wp:extent cx="5670550" cy="2275840"/>
            <wp:effectExtent l="0" t="0" r="6350" b="0"/>
            <wp:docPr id="1" name="Picture 1" descr="This image shows the agencies involved in enforcement of food standards in New Zealand, Australia and each Australian state and territory. This includes state and local government, statutory regulators and private aud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50" cy="2275840"/>
                    </a:xfrm>
                    <a:prstGeom prst="rect">
                      <a:avLst/>
                    </a:prstGeom>
                    <a:noFill/>
                    <a:ln>
                      <a:noFill/>
                    </a:ln>
                  </pic:spPr>
                </pic:pic>
              </a:graphicData>
            </a:graphic>
          </wp:inline>
        </w:drawing>
      </w:r>
    </w:p>
    <w:p w14:paraId="7C2C65B1" w14:textId="0DEB771F" w:rsidR="00AF2098" w:rsidRDefault="00CF3911" w:rsidP="00E0390E">
      <w:pPr>
        <w:pStyle w:val="Heading2"/>
        <w:ind w:left="284" w:hanging="426"/>
      </w:pPr>
      <w:bookmarkStart w:id="103" w:name="_Toc52120050"/>
      <w:bookmarkStart w:id="104" w:name="_Toc52120051"/>
      <w:bookmarkStart w:id="105" w:name="_Ref51336177"/>
      <w:bookmarkStart w:id="106" w:name="_Ref51336611"/>
      <w:bookmarkEnd w:id="103"/>
      <w:bookmarkEnd w:id="104"/>
      <w:r>
        <w:t xml:space="preserve"> </w:t>
      </w:r>
      <w:bookmarkStart w:id="107" w:name="_Toc52179142"/>
      <w:r w:rsidR="00AF2098">
        <w:t xml:space="preserve">Legislative and operational changes may improve the </w:t>
      </w:r>
      <w:r w:rsidR="00B86DF2">
        <w:t xml:space="preserve">implementation and enforcement of </w:t>
      </w:r>
      <w:r w:rsidR="00A91217">
        <w:t>f</w:t>
      </w:r>
      <w:r w:rsidR="00B86DF2">
        <w:t>ood standards</w:t>
      </w:r>
      <w:bookmarkEnd w:id="105"/>
      <w:bookmarkEnd w:id="106"/>
      <w:bookmarkEnd w:id="107"/>
      <w:r w:rsidR="00B86DF2">
        <w:t xml:space="preserve"> </w:t>
      </w:r>
    </w:p>
    <w:p w14:paraId="146F0E13" w14:textId="5F59613E" w:rsidR="00423E8E" w:rsidRPr="00423E8E" w:rsidRDefault="002A0C45" w:rsidP="00423E8E">
      <w:pPr>
        <w:rPr>
          <w:lang w:eastAsia="en-AU"/>
        </w:rPr>
      </w:pPr>
      <w:r>
        <w:rPr>
          <w:lang w:eastAsia="en-AU"/>
        </w:rPr>
        <w:t>Three reform ideas</w:t>
      </w:r>
      <w:r w:rsidR="00423E8E">
        <w:rPr>
          <w:lang w:eastAsia="en-AU"/>
        </w:rPr>
        <w:t xml:space="preserve"> have been identified that could </w:t>
      </w:r>
      <w:r w:rsidR="00B53325">
        <w:rPr>
          <w:lang w:eastAsia="en-AU"/>
        </w:rPr>
        <w:t xml:space="preserve">help drive greater consistency in the interpretation of </w:t>
      </w:r>
      <w:r w:rsidR="00A91217">
        <w:t>f</w:t>
      </w:r>
      <w:r w:rsidR="00A91217" w:rsidRPr="00D25630">
        <w:t xml:space="preserve">ood </w:t>
      </w:r>
      <w:r w:rsidR="00B53325">
        <w:rPr>
          <w:lang w:eastAsia="en-AU"/>
        </w:rPr>
        <w:t xml:space="preserve">standards by the jurisdictions. </w:t>
      </w:r>
      <w:r w:rsidR="00ED1DC8">
        <w:t>These could be considered separately or in conjunction.</w:t>
      </w:r>
    </w:p>
    <w:p w14:paraId="3A5CF3C6" w14:textId="5E52E0C0" w:rsidR="00192249" w:rsidRPr="00BF1ECB" w:rsidRDefault="002A0C45" w:rsidP="0095647E">
      <w:pPr>
        <w:pStyle w:val="Heading3"/>
      </w:pPr>
      <w:bookmarkStart w:id="108" w:name="_Ref52124030"/>
      <w:r w:rsidRPr="0095647E">
        <w:t>Reform</w:t>
      </w:r>
      <w:bookmarkStart w:id="109" w:name="_Ref51342117"/>
      <w:r w:rsidRPr="0095647E">
        <w:t xml:space="preserve"> idea 1</w:t>
      </w:r>
      <w:r w:rsidR="00FC068A" w:rsidRPr="0095647E">
        <w:t>5</w:t>
      </w:r>
      <w:r w:rsidR="00AF27D9" w:rsidRPr="0095647E">
        <w:t xml:space="preserve"> </w:t>
      </w:r>
      <w:r w:rsidRPr="00E5488F">
        <w:t>–</w:t>
      </w:r>
      <w:r w:rsidR="00192249" w:rsidRPr="008236A9">
        <w:t xml:space="preserve"> </w:t>
      </w:r>
      <w:r w:rsidR="00D73C4C" w:rsidRPr="00BF1ECB">
        <w:t xml:space="preserve">Enhance FSANZ’s role in providing guidance about food standards within its current </w:t>
      </w:r>
      <w:r w:rsidR="001E261E" w:rsidRPr="00BF1ECB">
        <w:t xml:space="preserve">statutory </w:t>
      </w:r>
      <w:r w:rsidR="00D73C4C" w:rsidRPr="00BF1ECB">
        <w:t>remit</w:t>
      </w:r>
      <w:bookmarkEnd w:id="108"/>
      <w:bookmarkEnd w:id="109"/>
      <w:r w:rsidR="00D73C4C" w:rsidRPr="00BF1ECB">
        <w:t xml:space="preserve"> </w:t>
      </w:r>
    </w:p>
    <w:p w14:paraId="7FD07094" w14:textId="294C1CBB" w:rsidR="00AC6D49" w:rsidRPr="00AC6D49" w:rsidRDefault="00AC6D49" w:rsidP="00AC6D49">
      <w:pPr>
        <w:rPr>
          <w:lang w:eastAsia="en-AU"/>
        </w:rPr>
      </w:pPr>
      <w:r>
        <w:rPr>
          <w:lang w:eastAsia="en-AU"/>
        </w:rPr>
        <w:t>FSANZ could be resourced to provide comprehensive guidance about food standards within its cur</w:t>
      </w:r>
      <w:r w:rsidR="00B86DF2">
        <w:rPr>
          <w:lang w:eastAsia="en-AU"/>
        </w:rPr>
        <w:t xml:space="preserve">rent legislative remit. </w:t>
      </w:r>
      <w:r w:rsidR="008D6853">
        <w:rPr>
          <w:lang w:eastAsia="en-AU"/>
        </w:rPr>
        <w:t>This</w:t>
      </w:r>
      <w:r w:rsidR="006D221D" w:rsidDel="00281A04">
        <w:rPr>
          <w:lang w:eastAsia="en-AU"/>
        </w:rPr>
        <w:t xml:space="preserve"> </w:t>
      </w:r>
      <w:r w:rsidR="006E54F3">
        <w:rPr>
          <w:lang w:eastAsia="en-AU"/>
        </w:rPr>
        <w:t>could involve:</w:t>
      </w:r>
      <w:r w:rsidR="00385C81">
        <w:rPr>
          <w:lang w:eastAsia="en-AU"/>
        </w:rPr>
        <w:t xml:space="preserve"> </w:t>
      </w:r>
    </w:p>
    <w:p w14:paraId="0A55EAAC" w14:textId="68D1E94C" w:rsidR="0031483E" w:rsidRPr="008D6853" w:rsidRDefault="0031483E" w:rsidP="00E05EE3">
      <w:pPr>
        <w:pStyle w:val="Bullet"/>
        <w:rPr>
          <w:rFonts w:asciiTheme="minorHAnsi" w:hAnsiTheme="minorHAnsi" w:cstheme="minorHAnsi"/>
        </w:rPr>
      </w:pPr>
      <w:r w:rsidRPr="00E05EE3">
        <w:rPr>
          <w:rFonts w:asciiTheme="majorHAnsi" w:hAnsiTheme="majorHAnsi"/>
        </w:rPr>
        <w:t>Includ</w:t>
      </w:r>
      <w:r w:rsidR="00E05EE3" w:rsidRPr="00E05EE3">
        <w:rPr>
          <w:rFonts w:asciiTheme="majorHAnsi" w:hAnsiTheme="majorHAnsi"/>
        </w:rPr>
        <w:t>ing a</w:t>
      </w:r>
      <w:r w:rsidRPr="00E05EE3">
        <w:rPr>
          <w:rFonts w:asciiTheme="majorHAnsi" w:hAnsiTheme="majorHAnsi"/>
        </w:rPr>
        <w:t xml:space="preserve"> statement of intent </w:t>
      </w:r>
      <w:r w:rsidR="00E5208C" w:rsidRPr="00E05EE3">
        <w:rPr>
          <w:rFonts w:asciiTheme="majorHAnsi" w:hAnsiTheme="majorHAnsi"/>
        </w:rPr>
        <w:t>alongside food standards in the Food Standards Code</w:t>
      </w:r>
      <w:r w:rsidR="008D6853">
        <w:rPr>
          <w:rFonts w:asciiTheme="majorHAnsi" w:hAnsiTheme="majorHAnsi"/>
        </w:rPr>
        <w:t xml:space="preserve"> </w:t>
      </w:r>
      <w:r w:rsidR="008D6853" w:rsidRPr="008D6853">
        <w:rPr>
          <w:rFonts w:asciiTheme="minorHAnsi" w:hAnsiTheme="minorHAnsi" w:cstheme="minorHAnsi"/>
        </w:rPr>
        <w:t>to describe what FSANZ wants to achieve in the writing of each food standard (</w:t>
      </w:r>
      <w:r w:rsidR="000001CE">
        <w:rPr>
          <w:rFonts w:asciiTheme="minorHAnsi" w:hAnsiTheme="minorHAnsi" w:cstheme="minorHAnsi"/>
        </w:rPr>
        <w:t>akin</w:t>
      </w:r>
      <w:r w:rsidR="008D6853" w:rsidRPr="008D6853">
        <w:rPr>
          <w:rFonts w:asciiTheme="minorHAnsi" w:hAnsiTheme="minorHAnsi" w:cstheme="minorHAnsi"/>
        </w:rPr>
        <w:t xml:space="preserve"> to Explanatory Memoranda) which could provide basis for enforcement activities. The current definition of ‘standard’ in the Act – which </w:t>
      </w:r>
      <w:r w:rsidR="005B3842">
        <w:rPr>
          <w:rFonts w:asciiTheme="minorHAnsi" w:hAnsiTheme="minorHAnsi" w:cstheme="minorHAnsi"/>
        </w:rPr>
        <w:t xml:space="preserve">excludes editorial notes and text identified as an example – could be changed to enable this. </w:t>
      </w:r>
    </w:p>
    <w:p w14:paraId="34171A4E" w14:textId="2F119ED9" w:rsidR="001F3AC1" w:rsidRPr="00AF6A97" w:rsidRDefault="006F6297" w:rsidP="00AF6A97">
      <w:pPr>
        <w:pStyle w:val="Bullet"/>
        <w:rPr>
          <w:rFonts w:eastAsiaTheme="minorEastAsia"/>
        </w:rPr>
      </w:pPr>
      <w:r w:rsidRPr="0039019B">
        <w:rPr>
          <w:rFonts w:asciiTheme="majorHAnsi" w:eastAsiaTheme="minorEastAsia" w:hAnsiTheme="majorHAnsi" w:cstheme="majorHAnsi"/>
        </w:rPr>
        <w:t>Resourc</w:t>
      </w:r>
      <w:r w:rsidR="007D2BD3">
        <w:rPr>
          <w:rFonts w:asciiTheme="majorHAnsi" w:eastAsiaTheme="minorEastAsia" w:hAnsiTheme="majorHAnsi" w:cstheme="majorHAnsi"/>
        </w:rPr>
        <w:t>ing</w:t>
      </w:r>
      <w:r w:rsidRPr="0039019B">
        <w:rPr>
          <w:rFonts w:asciiTheme="majorHAnsi" w:eastAsiaTheme="minorEastAsia" w:hAnsiTheme="majorHAnsi" w:cstheme="majorHAnsi"/>
        </w:rPr>
        <w:t xml:space="preserve"> FSANZ to update and maintain industry guidelines </w:t>
      </w:r>
      <w:r w:rsidRPr="00913123">
        <w:rPr>
          <w:rFonts w:eastAsiaTheme="minorEastAsia"/>
        </w:rPr>
        <w:t>which provide advice on how industry can comply with food standards.</w:t>
      </w:r>
      <w:r w:rsidR="0039019B">
        <w:rPr>
          <w:rFonts w:eastAsiaTheme="minorEastAsia"/>
        </w:rPr>
        <w:t xml:space="preserve"> This process could be </w:t>
      </w:r>
      <w:r w:rsidR="009D253F">
        <w:rPr>
          <w:rFonts w:eastAsiaTheme="minorEastAsia"/>
        </w:rPr>
        <w:t>led by industry</w:t>
      </w:r>
      <w:r w:rsidR="00561741">
        <w:rPr>
          <w:rFonts w:eastAsiaTheme="minorEastAsia"/>
        </w:rPr>
        <w:t>,</w:t>
      </w:r>
      <w:r w:rsidR="009D253F">
        <w:rPr>
          <w:rFonts w:eastAsiaTheme="minorEastAsia"/>
        </w:rPr>
        <w:t xml:space="preserve"> based on specific </w:t>
      </w:r>
      <w:r w:rsidR="000001CE">
        <w:rPr>
          <w:rFonts w:eastAsiaTheme="minorEastAsia"/>
        </w:rPr>
        <w:t xml:space="preserve">interpretive issues and </w:t>
      </w:r>
      <w:r w:rsidR="009D253F">
        <w:rPr>
          <w:rFonts w:eastAsiaTheme="minorEastAsia"/>
        </w:rPr>
        <w:t>requests for</w:t>
      </w:r>
      <w:r w:rsidR="000001CE">
        <w:rPr>
          <w:rFonts w:eastAsiaTheme="minorEastAsia"/>
        </w:rPr>
        <w:t xml:space="preserve"> clarification</w:t>
      </w:r>
      <w:r w:rsidR="00D90930">
        <w:rPr>
          <w:rFonts w:eastAsiaTheme="minorEastAsia"/>
        </w:rPr>
        <w:t>.</w:t>
      </w:r>
      <w:r w:rsidR="0072151B">
        <w:rPr>
          <w:rFonts w:eastAsiaTheme="minorEastAsia"/>
        </w:rPr>
        <w:t xml:space="preserve"> </w:t>
      </w:r>
    </w:p>
    <w:p w14:paraId="39D1C616" w14:textId="5DB18FC1" w:rsidR="004A6038" w:rsidRDefault="002A0C45" w:rsidP="00641C07">
      <w:pPr>
        <w:pStyle w:val="Heading3"/>
      </w:pPr>
      <w:bookmarkStart w:id="110" w:name="_Ref51342118"/>
      <w:r>
        <w:t>Reform idea 1</w:t>
      </w:r>
      <w:r w:rsidR="00FC068A">
        <w:t>6</w:t>
      </w:r>
      <w:r w:rsidR="00AF27D9">
        <w:t xml:space="preserve"> </w:t>
      </w:r>
      <w:r>
        <w:t>–</w:t>
      </w:r>
      <w:r w:rsidR="00945D45">
        <w:t xml:space="preserve"> </w:t>
      </w:r>
      <w:r w:rsidR="00945D45" w:rsidRPr="00CF5A65">
        <w:t xml:space="preserve">Provide </w:t>
      </w:r>
      <w:r w:rsidR="00D73C4C">
        <w:t xml:space="preserve">for </w:t>
      </w:r>
      <w:r w:rsidR="00945D45" w:rsidRPr="00CF5A65">
        <w:t xml:space="preserve">FSANZ to </w:t>
      </w:r>
      <w:r w:rsidR="00D73C4C">
        <w:t>give</w:t>
      </w:r>
      <w:r w:rsidR="00945D45" w:rsidRPr="00CF5A65">
        <w:t xml:space="preserve"> binding </w:t>
      </w:r>
      <w:r w:rsidR="00D73C4C">
        <w:t xml:space="preserve">interpretive </w:t>
      </w:r>
      <w:r w:rsidR="00945D45" w:rsidRPr="00CF5A65">
        <w:t xml:space="preserve">advice </w:t>
      </w:r>
      <w:r w:rsidR="007D3554">
        <w:t>on food standards</w:t>
      </w:r>
      <w:bookmarkEnd w:id="110"/>
      <w:r w:rsidR="00D73C4C">
        <w:t xml:space="preserve"> </w:t>
      </w:r>
    </w:p>
    <w:p w14:paraId="3501292D" w14:textId="1C8C1287" w:rsidR="00941E18" w:rsidRDefault="00AA3EC2" w:rsidP="00941E18">
      <w:pPr>
        <w:rPr>
          <w:lang w:eastAsia="en-AU"/>
        </w:rPr>
      </w:pPr>
      <w:r>
        <w:rPr>
          <w:lang w:eastAsia="en-AU"/>
        </w:rPr>
        <w:t xml:space="preserve">FSANZ’s role </w:t>
      </w:r>
      <w:r w:rsidR="009E53DC">
        <w:rPr>
          <w:lang w:eastAsia="en-AU"/>
        </w:rPr>
        <w:t xml:space="preserve">in </w:t>
      </w:r>
      <w:r w:rsidR="0005389A">
        <w:rPr>
          <w:lang w:eastAsia="en-AU"/>
        </w:rPr>
        <w:t xml:space="preserve">interpreting food standards could be expanded through new legislative powers to provide binding interpretive advice about standards to jurisdictions and industry. </w:t>
      </w:r>
      <w:r w:rsidR="00211199">
        <w:rPr>
          <w:lang w:eastAsia="en-AU"/>
        </w:rPr>
        <w:t xml:space="preserve">This </w:t>
      </w:r>
      <w:r w:rsidR="00281A04">
        <w:rPr>
          <w:lang w:eastAsia="en-AU"/>
        </w:rPr>
        <w:t xml:space="preserve">reform idea </w:t>
      </w:r>
      <w:r w:rsidR="00211199">
        <w:rPr>
          <w:lang w:eastAsia="en-AU"/>
        </w:rPr>
        <w:t xml:space="preserve">could be achieved through </w:t>
      </w:r>
      <w:r w:rsidR="003E3E8A">
        <w:rPr>
          <w:lang w:eastAsia="en-AU"/>
        </w:rPr>
        <w:t>different mechanisms</w:t>
      </w:r>
      <w:r w:rsidR="00542AF1">
        <w:rPr>
          <w:lang w:eastAsia="en-AU"/>
        </w:rPr>
        <w:t>, such as</w:t>
      </w:r>
      <w:r w:rsidR="00211199">
        <w:rPr>
          <w:lang w:eastAsia="en-AU"/>
        </w:rPr>
        <w:t xml:space="preserve">: </w:t>
      </w:r>
    </w:p>
    <w:p w14:paraId="23470D95" w14:textId="77FC853C" w:rsidR="003E3E8A" w:rsidRDefault="000745B6" w:rsidP="00211199">
      <w:pPr>
        <w:pStyle w:val="Bullet"/>
      </w:pPr>
      <w:r w:rsidRPr="00402F00">
        <w:rPr>
          <w:rFonts w:asciiTheme="majorHAnsi" w:hAnsiTheme="majorHAnsi" w:cstheme="majorHAnsi"/>
        </w:rPr>
        <w:t>Introduc</w:t>
      </w:r>
      <w:r w:rsidR="00EC4B15">
        <w:rPr>
          <w:rFonts w:asciiTheme="majorHAnsi" w:hAnsiTheme="majorHAnsi" w:cstheme="majorHAnsi"/>
        </w:rPr>
        <w:t>ing</w:t>
      </w:r>
      <w:r w:rsidRPr="00402F00">
        <w:rPr>
          <w:rFonts w:asciiTheme="majorHAnsi" w:hAnsiTheme="majorHAnsi" w:cstheme="majorHAnsi"/>
        </w:rPr>
        <w:t xml:space="preserve"> compliance codes </w:t>
      </w:r>
      <w:r w:rsidR="00422F95" w:rsidRPr="00402F00">
        <w:rPr>
          <w:rFonts w:asciiTheme="majorHAnsi" w:hAnsiTheme="majorHAnsi" w:cstheme="majorHAnsi"/>
        </w:rPr>
        <w:t>or advice</w:t>
      </w:r>
      <w:r w:rsidR="00422F95">
        <w:t xml:space="preserve"> that </w:t>
      </w:r>
      <w:r w:rsidR="00980CF5">
        <w:t>can reliably be followed by stakeholders to ensure their compliance with food standards</w:t>
      </w:r>
      <w:r w:rsidR="0081513D">
        <w:t xml:space="preserve">. ‘Deemed to comply’ provisions are commonly used in other regulatory schemes, </w:t>
      </w:r>
      <w:r w:rsidR="00EE16AA">
        <w:t xml:space="preserve">including Worksafe Victoria </w:t>
      </w:r>
      <w:r w:rsidR="0081513D">
        <w:t xml:space="preserve">and the </w:t>
      </w:r>
      <w:r w:rsidR="00F11033">
        <w:t xml:space="preserve">Australian </w:t>
      </w:r>
      <w:r w:rsidR="0081513D">
        <w:t>National Construction Cod</w:t>
      </w:r>
      <w:r w:rsidR="00C96567">
        <w:t>e (</w:t>
      </w:r>
      <w:r w:rsidR="00F11033">
        <w:t xml:space="preserve">see </w:t>
      </w:r>
      <w:r w:rsidR="00104415">
        <w:fldChar w:fldCharType="begin"/>
      </w:r>
      <w:r w:rsidR="00104415">
        <w:instrText xml:space="preserve"> REF _Ref51325021 \h </w:instrText>
      </w:r>
      <w:r w:rsidR="00104415">
        <w:fldChar w:fldCharType="separate"/>
      </w:r>
      <w:r w:rsidR="001C5CC6">
        <w:t xml:space="preserve">Table </w:t>
      </w:r>
      <w:r w:rsidR="001C5CC6">
        <w:rPr>
          <w:noProof/>
        </w:rPr>
        <w:t>14</w:t>
      </w:r>
      <w:r w:rsidR="00104415">
        <w:fldChar w:fldCharType="end"/>
      </w:r>
      <w:r w:rsidR="00C96567">
        <w:t>)</w:t>
      </w:r>
      <w:r w:rsidR="00EE16AA">
        <w:t>.</w:t>
      </w:r>
      <w:r w:rsidR="00C96567">
        <w:t xml:space="preserve"> </w:t>
      </w:r>
      <w:r>
        <w:t xml:space="preserve"> </w:t>
      </w:r>
    </w:p>
    <w:p w14:paraId="66A4A862" w14:textId="2792950F" w:rsidR="00AF6A97" w:rsidRDefault="00AF6A97" w:rsidP="00AF6A97">
      <w:pPr>
        <w:pStyle w:val="Caption"/>
        <w:ind w:left="340"/>
      </w:pPr>
      <w:bookmarkStart w:id="111" w:name="_Ref51325021"/>
      <w:r>
        <w:lastRenderedPageBreak/>
        <w:t xml:space="preserve">Table </w:t>
      </w:r>
      <w:r>
        <w:fldChar w:fldCharType="begin"/>
      </w:r>
      <w:r>
        <w:instrText xml:space="preserve"> SEQ Table \* ARABIC </w:instrText>
      </w:r>
      <w:r>
        <w:fldChar w:fldCharType="separate"/>
      </w:r>
      <w:r w:rsidR="001C5CC6">
        <w:rPr>
          <w:noProof/>
        </w:rPr>
        <w:t>14</w:t>
      </w:r>
      <w:r>
        <w:fldChar w:fldCharType="end"/>
      </w:r>
      <w:bookmarkEnd w:id="111"/>
      <w:r>
        <w:t xml:space="preserve"> | Worksafe Victoria’s guidance powers, including compliance codes</w:t>
      </w:r>
      <w:r w:rsidR="00F9063B">
        <w:t xml:space="preserve"> and National Construction Code's 'deemed to satisfy' provisions</w:t>
      </w:r>
    </w:p>
    <w:tbl>
      <w:tblPr>
        <w:tblStyle w:val="NousLongformcallout"/>
        <w:tblW w:w="4950" w:type="pct"/>
        <w:tblInd w:w="340" w:type="dxa"/>
        <w:tblCellMar>
          <w:top w:w="170" w:type="dxa"/>
          <w:bottom w:w="170" w:type="dxa"/>
        </w:tblCellMar>
        <w:tblLook w:val="04A0" w:firstRow="1" w:lastRow="0" w:firstColumn="1" w:lastColumn="0" w:noHBand="0" w:noVBand="1"/>
      </w:tblPr>
      <w:tblGrid>
        <w:gridCol w:w="9055"/>
      </w:tblGrid>
      <w:tr w:rsidR="00AF6A97" w14:paraId="72B3FF04" w14:textId="77777777" w:rsidTr="00D35063">
        <w:tc>
          <w:tcPr>
            <w:tcW w:w="9055" w:type="dxa"/>
          </w:tcPr>
          <w:p w14:paraId="55DC9ABB" w14:textId="77777777" w:rsidR="00AF6A97" w:rsidRDefault="00AF6A97" w:rsidP="00D35063">
            <w:pPr>
              <w:pStyle w:val="Bullet"/>
              <w:numPr>
                <w:ilvl w:val="0"/>
                <w:numId w:val="0"/>
              </w:numPr>
              <w:rPr>
                <w:rFonts w:eastAsia="Segoe UI Semilight"/>
              </w:rPr>
            </w:pPr>
            <w:r w:rsidRPr="00EB60CA">
              <w:rPr>
                <w:rFonts w:asciiTheme="majorHAnsi" w:eastAsia="Segoe UI Semilight" w:hAnsiTheme="majorHAnsi" w:cstheme="majorHAnsi"/>
              </w:rPr>
              <w:t>Worksafe Victoria</w:t>
            </w:r>
            <w:r>
              <w:rPr>
                <w:rFonts w:eastAsia="Segoe UI Semilight"/>
              </w:rPr>
              <w:t xml:space="preserve"> is the state’s health and safety regulator and manager of Victoria’s workers compensation scheme. It is established under the </w:t>
            </w:r>
            <w:r>
              <w:rPr>
                <w:rFonts w:eastAsia="Segoe UI Semilight"/>
                <w:i/>
              </w:rPr>
              <w:t xml:space="preserve">Occupational Health and Safety Act 2004. </w:t>
            </w:r>
            <w:r>
              <w:rPr>
                <w:rFonts w:eastAsia="Segoe UI Semilight"/>
              </w:rPr>
              <w:t xml:space="preserve">Under the Act it has a range of general powers, including to: </w:t>
            </w:r>
          </w:p>
          <w:p w14:paraId="0B28DDB1" w14:textId="77777777" w:rsidR="00AF6A97" w:rsidRDefault="00AF6A97" w:rsidP="00D35063">
            <w:pPr>
              <w:pStyle w:val="Bullet"/>
              <w:rPr>
                <w:rFonts w:eastAsia="Segoe UI Semilight"/>
              </w:rPr>
            </w:pPr>
            <w:r>
              <w:rPr>
                <w:rFonts w:eastAsia="Segoe UI Semilight"/>
              </w:rPr>
              <w:t>make guidelines about how a provision would apply to a set of circumstances</w:t>
            </w:r>
          </w:p>
          <w:p w14:paraId="39CD760A" w14:textId="77777777" w:rsidR="00AF6A97" w:rsidRDefault="00AF6A97" w:rsidP="00D35063">
            <w:pPr>
              <w:pStyle w:val="Bullet"/>
              <w:rPr>
                <w:rFonts w:eastAsia="Segoe UI Semilight"/>
              </w:rPr>
            </w:pPr>
            <w:r>
              <w:rPr>
                <w:rFonts w:eastAsia="Segoe UI Semilight"/>
              </w:rPr>
              <w:t>give advice on compliance to anyone who has a duty or obligation under the Act</w:t>
            </w:r>
          </w:p>
          <w:p w14:paraId="1A3633F4" w14:textId="77777777" w:rsidR="00AF6A97" w:rsidRDefault="00AF6A97" w:rsidP="00D35063">
            <w:pPr>
              <w:pStyle w:val="Bullet"/>
              <w:rPr>
                <w:rFonts w:eastAsia="Segoe UI Semilight"/>
              </w:rPr>
            </w:pPr>
            <w:r>
              <w:rPr>
                <w:rFonts w:eastAsia="Segoe UI Semilight"/>
              </w:rPr>
              <w:t>issue compliance codes to provide practical guidance to duty holders under the legislation.</w:t>
            </w:r>
          </w:p>
          <w:p w14:paraId="165E35BD" w14:textId="77777777" w:rsidR="00AF6A97" w:rsidRDefault="00AF6A97" w:rsidP="00D35063">
            <w:pPr>
              <w:pStyle w:val="Bullet"/>
              <w:numPr>
                <w:ilvl w:val="0"/>
                <w:numId w:val="0"/>
              </w:numPr>
              <w:rPr>
                <w:rFonts w:eastAsia="Segoe UI Semilight"/>
              </w:rPr>
            </w:pPr>
            <w:r>
              <w:rPr>
                <w:rFonts w:eastAsia="Segoe UI Semilight"/>
              </w:rPr>
              <w:t xml:space="preserve">Compliance codes provide, in effect, a deemed to comply route for regulated entities. While failure to comply with such a code does not give rise to liability, a person who complies with the code may be taken to have complied with the Act. This can provide more certainty for regulated entities about meeting their regulatory obligations. </w:t>
            </w:r>
          </w:p>
          <w:p w14:paraId="01316136" w14:textId="1D28ADDC" w:rsidR="00F9063B" w:rsidRDefault="00F9063B" w:rsidP="00F9063B">
            <w:pPr>
              <w:pStyle w:val="Bullet"/>
              <w:numPr>
                <w:ilvl w:val="0"/>
                <w:numId w:val="0"/>
              </w:numPr>
              <w:rPr>
                <w:rFonts w:eastAsia="Segoe UI Semilight"/>
              </w:rPr>
            </w:pPr>
            <w:r w:rsidRPr="00EB60CA">
              <w:rPr>
                <w:rFonts w:asciiTheme="majorHAnsi" w:eastAsia="Segoe UI Semilight" w:hAnsiTheme="majorHAnsi" w:cstheme="majorHAnsi"/>
              </w:rPr>
              <w:t>The National Construction Code</w:t>
            </w:r>
            <w:r>
              <w:rPr>
                <w:rFonts w:eastAsia="Segoe UI Semilight"/>
              </w:rPr>
              <w:t xml:space="preserve"> is a performance-based building and plumbing code that sets the minimum technical requirements for new buildings in Australia. As a performance-based code, a plumbing or drainage solution complies with the NCC if it satisfied the relevant Performance Requirements. There are multiple pathways for complying with the performance requirements of the code, for instance through: </w:t>
            </w:r>
          </w:p>
          <w:p w14:paraId="5E6B05EB" w14:textId="3B112F7E" w:rsidR="00F9063B" w:rsidRDefault="00F9063B" w:rsidP="00F9063B">
            <w:pPr>
              <w:pStyle w:val="Bullet"/>
              <w:rPr>
                <w:rFonts w:eastAsia="Segoe UI Semilight"/>
              </w:rPr>
            </w:pPr>
            <w:r>
              <w:rPr>
                <w:rFonts w:eastAsia="Segoe UI Semilight"/>
              </w:rPr>
              <w:t>‘</w:t>
            </w:r>
            <w:r w:rsidR="001A1C01">
              <w:rPr>
                <w:rFonts w:eastAsia="Segoe UI Semilight"/>
              </w:rPr>
              <w:t>d</w:t>
            </w:r>
            <w:r>
              <w:rPr>
                <w:rFonts w:eastAsia="Segoe UI Semilight"/>
              </w:rPr>
              <w:t xml:space="preserve">eemed-to-satisfy’ provisions include explicit materials, components, design factors and solutions which, if followed, demonstrate compliance </w:t>
            </w:r>
          </w:p>
          <w:p w14:paraId="4ACEF624" w14:textId="4B4AFDF8" w:rsidR="00F9063B" w:rsidRDefault="001A1C01" w:rsidP="00F9063B">
            <w:pPr>
              <w:pStyle w:val="Bullet"/>
              <w:rPr>
                <w:rFonts w:eastAsia="Segoe UI Semilight"/>
              </w:rPr>
            </w:pPr>
            <w:r>
              <w:rPr>
                <w:rFonts w:eastAsia="Segoe UI Semilight"/>
              </w:rPr>
              <w:t>p</w:t>
            </w:r>
            <w:r w:rsidR="00F9063B">
              <w:rPr>
                <w:rFonts w:eastAsia="Segoe UI Semilight"/>
              </w:rPr>
              <w:t xml:space="preserve">erformance solutions are more general performance requirement for how the building or component must perform but does not include an obligation to adopt a specific material or method. </w:t>
            </w:r>
          </w:p>
          <w:p w14:paraId="2C73D4B5" w14:textId="00C5AC5B" w:rsidR="00F9063B" w:rsidRPr="000F2145" w:rsidRDefault="00F9063B" w:rsidP="00F9063B">
            <w:pPr>
              <w:pStyle w:val="Bullet"/>
              <w:numPr>
                <w:ilvl w:val="0"/>
                <w:numId w:val="0"/>
              </w:numPr>
              <w:rPr>
                <w:rFonts w:eastAsia="Segoe UI Semilight"/>
              </w:rPr>
            </w:pPr>
            <w:r>
              <w:rPr>
                <w:rFonts w:eastAsia="Segoe UI Semilight"/>
              </w:rPr>
              <w:t>Multiple pathways for compliance are designed to promote flexibility and innovation, while ensuring that compliance obligations are readily understood by practitioners.</w:t>
            </w:r>
          </w:p>
        </w:tc>
      </w:tr>
    </w:tbl>
    <w:p w14:paraId="6AAFEC7D" w14:textId="77777777" w:rsidR="005A3918" w:rsidRDefault="005A3918" w:rsidP="005A3918">
      <w:pPr>
        <w:pStyle w:val="Bullet"/>
        <w:numPr>
          <w:ilvl w:val="0"/>
          <w:numId w:val="0"/>
        </w:numPr>
        <w:ind w:left="340"/>
      </w:pPr>
    </w:p>
    <w:p w14:paraId="7B151924" w14:textId="77777777" w:rsidR="008C5191" w:rsidRDefault="009D362B" w:rsidP="00211199">
      <w:pPr>
        <w:pStyle w:val="Bullet"/>
      </w:pPr>
      <w:r w:rsidRPr="00692841">
        <w:rPr>
          <w:rFonts w:asciiTheme="majorHAnsi" w:hAnsiTheme="majorHAnsi" w:cstheme="majorHAnsi"/>
        </w:rPr>
        <w:t>Introduc</w:t>
      </w:r>
      <w:r w:rsidR="00EC4B15">
        <w:rPr>
          <w:rFonts w:asciiTheme="majorHAnsi" w:hAnsiTheme="majorHAnsi" w:cstheme="majorHAnsi"/>
        </w:rPr>
        <w:t>ing</w:t>
      </w:r>
      <w:r w:rsidRPr="00692841">
        <w:rPr>
          <w:rFonts w:asciiTheme="majorHAnsi" w:hAnsiTheme="majorHAnsi" w:cstheme="majorHAnsi"/>
        </w:rPr>
        <w:t xml:space="preserve"> a</w:t>
      </w:r>
      <w:r w:rsidR="00402F00" w:rsidRPr="00692841">
        <w:rPr>
          <w:rFonts w:asciiTheme="majorHAnsi" w:hAnsiTheme="majorHAnsi" w:cstheme="majorHAnsi"/>
        </w:rPr>
        <w:t xml:space="preserve"> power for FSANZ to make binding interpretations about food standards</w:t>
      </w:r>
      <w:r w:rsidR="00402F00">
        <w:t xml:space="preserve"> either in response to an application or proposal, or</w:t>
      </w:r>
      <w:r w:rsidR="00692841">
        <w:t xml:space="preserve"> on its own initiative. </w:t>
      </w:r>
      <w:r w:rsidR="00BC4530">
        <w:t xml:space="preserve">This could form the basis of a </w:t>
      </w:r>
      <w:r w:rsidR="00077C05">
        <w:t>library of binding interpretations or rulings about the food standard</w:t>
      </w:r>
      <w:r w:rsidR="004D59DD">
        <w:t>s which could provide legal protection to regulated entities and greater certainty for enforcement agencies.</w:t>
      </w:r>
      <w:r w:rsidR="00D95BB3">
        <w:t xml:space="preserve"> </w:t>
      </w:r>
    </w:p>
    <w:p w14:paraId="0968324E" w14:textId="338C8E15" w:rsidR="008C5191" w:rsidRDefault="008C5191" w:rsidP="00E0390E">
      <w:pPr>
        <w:pStyle w:val="Bullet"/>
        <w:numPr>
          <w:ilvl w:val="0"/>
          <w:numId w:val="0"/>
        </w:numPr>
        <w:ind w:left="340"/>
      </w:pPr>
      <w:r>
        <w:t xml:space="preserve">This option would not </w:t>
      </w:r>
      <w:r w:rsidR="00077F7D">
        <w:t xml:space="preserve">necessarily </w:t>
      </w:r>
      <w:r>
        <w:t xml:space="preserve">require </w:t>
      </w:r>
      <w:r w:rsidR="00C94A7C">
        <w:t>jurisdictions to recognise FSANZ’s statutory power in legislation</w:t>
      </w:r>
      <w:r w:rsidR="00077F7D">
        <w:t xml:space="preserve">; </w:t>
      </w:r>
      <w:r w:rsidR="00EB1FE0">
        <w:t>jurisdictions could voluntary refer to th</w:t>
      </w:r>
      <w:r w:rsidR="00FB41B9">
        <w:t>is</w:t>
      </w:r>
      <w:r w:rsidR="00EB1FE0">
        <w:t xml:space="preserve"> advice to </w:t>
      </w:r>
      <w:r w:rsidR="001A6979">
        <w:t xml:space="preserve">shape </w:t>
      </w:r>
      <w:r w:rsidR="00EB1FE0">
        <w:t xml:space="preserve">their enforcement activities. In the event that a compliance matter </w:t>
      </w:r>
      <w:r w:rsidR="00FB41B9">
        <w:t>was heard in court, the court would be able to consider</w:t>
      </w:r>
      <w:r w:rsidR="008E51D6">
        <w:t xml:space="preserve"> binding advice to inform their ruling. </w:t>
      </w:r>
    </w:p>
    <w:p w14:paraId="6363C285" w14:textId="25E9E34F" w:rsidR="00211199" w:rsidRDefault="004D59DD" w:rsidP="00E0390E">
      <w:pPr>
        <w:pStyle w:val="Bullet"/>
        <w:numPr>
          <w:ilvl w:val="0"/>
          <w:numId w:val="0"/>
        </w:numPr>
        <w:ind w:left="340"/>
      </w:pPr>
      <w:r>
        <w:t xml:space="preserve">The Australian Tax Office’s (ATO’s) </w:t>
      </w:r>
      <w:r w:rsidR="00226DD1">
        <w:t>model for providing binding advice about tax law</w:t>
      </w:r>
      <w:r w:rsidR="00692841">
        <w:t xml:space="preserve"> </w:t>
      </w:r>
      <w:r w:rsidR="00E9611E">
        <w:t>could provide inspiration for a model for FSANZ</w:t>
      </w:r>
      <w:r w:rsidR="007D3FB0">
        <w:t xml:space="preserve"> (see</w:t>
      </w:r>
      <w:r w:rsidR="004A4981">
        <w:t xml:space="preserve"> </w:t>
      </w:r>
      <w:r w:rsidR="004A4981">
        <w:fldChar w:fldCharType="begin"/>
      </w:r>
      <w:r w:rsidR="004A4981">
        <w:instrText xml:space="preserve"> REF _Ref51310906 \h </w:instrText>
      </w:r>
      <w:r w:rsidR="004A4981">
        <w:fldChar w:fldCharType="separate"/>
      </w:r>
      <w:r w:rsidR="001C5CC6">
        <w:t xml:space="preserve">Table </w:t>
      </w:r>
      <w:r w:rsidR="001C5CC6">
        <w:rPr>
          <w:noProof/>
        </w:rPr>
        <w:t>15</w:t>
      </w:r>
      <w:r w:rsidR="004A4981">
        <w:fldChar w:fldCharType="end"/>
      </w:r>
      <w:r w:rsidR="007D3FB0">
        <w:t xml:space="preserve">).  </w:t>
      </w:r>
    </w:p>
    <w:p w14:paraId="2A2F2350" w14:textId="63734B7C" w:rsidR="007D3FB0" w:rsidRDefault="007D3FB0" w:rsidP="00BB1AE7">
      <w:pPr>
        <w:pStyle w:val="Caption"/>
      </w:pPr>
      <w:bookmarkStart w:id="112" w:name="_Ref51310906"/>
      <w:r>
        <w:t xml:space="preserve">Table </w:t>
      </w:r>
      <w:r>
        <w:fldChar w:fldCharType="begin"/>
      </w:r>
      <w:r>
        <w:instrText xml:space="preserve"> SEQ Table \* ARABIC </w:instrText>
      </w:r>
      <w:r>
        <w:fldChar w:fldCharType="separate"/>
      </w:r>
      <w:r w:rsidR="001C5CC6">
        <w:rPr>
          <w:noProof/>
        </w:rPr>
        <w:t>15</w:t>
      </w:r>
      <w:r>
        <w:fldChar w:fldCharType="end"/>
      </w:r>
      <w:bookmarkEnd w:id="112"/>
      <w:r>
        <w:t xml:space="preserve"> | The </w:t>
      </w:r>
      <w:r w:rsidR="00935F78">
        <w:t>ATO’s</w:t>
      </w:r>
      <w:r>
        <w:t xml:space="preserve"> powers to make legally binding interpretive advice </w:t>
      </w:r>
    </w:p>
    <w:tbl>
      <w:tblPr>
        <w:tblStyle w:val="NousLongformcallout"/>
        <w:tblW w:w="5000" w:type="pct"/>
        <w:tblCellMar>
          <w:top w:w="170" w:type="dxa"/>
          <w:bottom w:w="170" w:type="dxa"/>
        </w:tblCellMar>
        <w:tblLook w:val="04A0" w:firstRow="1" w:lastRow="0" w:firstColumn="1" w:lastColumn="0" w:noHBand="0" w:noVBand="1"/>
      </w:tblPr>
      <w:tblGrid>
        <w:gridCol w:w="9146"/>
      </w:tblGrid>
      <w:tr w:rsidR="007D3FB0" w14:paraId="55385F12" w14:textId="77777777" w:rsidTr="007055CF">
        <w:tc>
          <w:tcPr>
            <w:tcW w:w="5000" w:type="pct"/>
          </w:tcPr>
          <w:p w14:paraId="7F4E6973" w14:textId="30766BA5" w:rsidR="007A06F8" w:rsidRPr="007A06F8" w:rsidRDefault="007055CF" w:rsidP="000C3A26">
            <w:pPr>
              <w:pStyle w:val="Bullet"/>
              <w:numPr>
                <w:ilvl w:val="0"/>
                <w:numId w:val="0"/>
              </w:numPr>
              <w:rPr>
                <w:rFonts w:eastAsia="Segoe UI Semilight"/>
              </w:rPr>
            </w:pPr>
            <w:r w:rsidRPr="00EB60CA">
              <w:rPr>
                <w:rFonts w:asciiTheme="majorHAnsi" w:eastAsia="Segoe UI Semilight" w:hAnsiTheme="majorHAnsi" w:cstheme="majorHAnsi"/>
              </w:rPr>
              <w:t>The ATO</w:t>
            </w:r>
            <w:r w:rsidRPr="007A06F8">
              <w:rPr>
                <w:rFonts w:eastAsia="Segoe UI Semilight"/>
              </w:rPr>
              <w:t xml:space="preserve"> has the power to provide binding interpretive advice about the laws it administers. </w:t>
            </w:r>
            <w:r w:rsidR="00384A98">
              <w:rPr>
                <w:rFonts w:eastAsia="Segoe UI Semilight"/>
              </w:rPr>
              <w:t>Advice is generally in the form of a binding ruling which explains a taxpayer’s obligations or entitlements under a provision of tax law. Th</w:t>
            </w:r>
            <w:r w:rsidR="00915D1E">
              <w:rPr>
                <w:rFonts w:eastAsia="Segoe UI Semilight"/>
              </w:rPr>
              <w:t>e regime for public, private and oral rulings was established in 2005 and expanded in 2010.</w:t>
            </w:r>
            <w:r w:rsidR="007A06F8" w:rsidRPr="007A06F8">
              <w:rPr>
                <w:rFonts w:eastAsia="Segoe UI Semilight"/>
              </w:rPr>
              <w:t xml:space="preserve"> </w:t>
            </w:r>
            <w:r w:rsidR="00BB1AE7" w:rsidRPr="007A06F8">
              <w:rPr>
                <w:rFonts w:eastAsia="Segoe UI Semilight"/>
              </w:rPr>
              <w:t xml:space="preserve"> </w:t>
            </w:r>
          </w:p>
          <w:p w14:paraId="42F82C4D" w14:textId="77777777" w:rsidR="00BB1AE7" w:rsidRPr="007A06F8" w:rsidRDefault="00BB1AE7" w:rsidP="00BB1AE7">
            <w:pPr>
              <w:pStyle w:val="CommentText"/>
              <w:rPr>
                <w:sz w:val="19"/>
                <w:szCs w:val="19"/>
              </w:rPr>
            </w:pPr>
            <w:r w:rsidRPr="007A06F8">
              <w:rPr>
                <w:sz w:val="19"/>
                <w:szCs w:val="19"/>
              </w:rPr>
              <w:t xml:space="preserve">Individuals or businesses can seek a public, private or oral ruling by the Commissioner of Taxation and receive binding advice about how legislation should apply to a specific circumstance. The applicant can </w:t>
            </w:r>
            <w:r w:rsidRPr="007A06F8">
              <w:rPr>
                <w:sz w:val="19"/>
                <w:szCs w:val="19"/>
              </w:rPr>
              <w:lastRenderedPageBreak/>
              <w:t xml:space="preserve">then rely on that advice in a court of law, if required. </w:t>
            </w:r>
          </w:p>
          <w:p w14:paraId="669DF7CD" w14:textId="410E16E1" w:rsidR="007D3FB0" w:rsidRPr="001D7950" w:rsidRDefault="00BB1AE7" w:rsidP="002732D2">
            <w:pPr>
              <w:pStyle w:val="Bullet"/>
              <w:numPr>
                <w:ilvl w:val="0"/>
                <w:numId w:val="0"/>
              </w:numPr>
              <w:rPr>
                <w:rFonts w:eastAsia="Segoe UI Semilight"/>
              </w:rPr>
            </w:pPr>
            <w:r w:rsidRPr="007A06F8">
              <w:t xml:space="preserve">Advice provided through public rulings is collated and published. </w:t>
            </w:r>
            <w:r w:rsidRPr="007A06F8">
              <w:rPr>
                <w:rFonts w:eastAsia="Segoe UI Semilight"/>
              </w:rPr>
              <w:t xml:space="preserve">The ATO </w:t>
            </w:r>
            <w:r w:rsidRPr="007A06F8">
              <w:t xml:space="preserve">also </w:t>
            </w:r>
            <w:r w:rsidRPr="007A06F8">
              <w:rPr>
                <w:rFonts w:eastAsia="Segoe UI Semilight"/>
              </w:rPr>
              <w:t xml:space="preserve">publishes ‘precedential ATO views’ which are documented views about the </w:t>
            </w:r>
            <w:r w:rsidRPr="007A06F8">
              <w:t xml:space="preserve">interpretation of tax </w:t>
            </w:r>
            <w:r w:rsidRPr="007A06F8">
              <w:rPr>
                <w:rFonts w:eastAsia="Segoe UI Semilight"/>
              </w:rPr>
              <w:t>laws</w:t>
            </w:r>
            <w:r w:rsidRPr="007A06F8">
              <w:t>. These can assist individuals and businesses to comply with their obligations and can also inform enforcement approaches.</w:t>
            </w:r>
            <w:r w:rsidR="007A06F8" w:rsidRPr="007A06F8">
              <w:rPr>
                <w:rFonts w:eastAsia="Segoe UI Semilight"/>
              </w:rPr>
              <w:t xml:space="preserve"> Precedential ATO views aim to ensure that decisions on interpretive issues are accurate and consistent over time.</w:t>
            </w:r>
            <w:r w:rsidR="007A06F8">
              <w:rPr>
                <w:rFonts w:eastAsia="Segoe UI Semilight"/>
              </w:rPr>
              <w:t xml:space="preserve"> </w:t>
            </w:r>
          </w:p>
        </w:tc>
      </w:tr>
    </w:tbl>
    <w:p w14:paraId="7193CA9B" w14:textId="46C6DD07" w:rsidR="009B6861" w:rsidRDefault="002A0C45" w:rsidP="009B6861">
      <w:pPr>
        <w:pStyle w:val="Heading3"/>
      </w:pPr>
      <w:bookmarkStart w:id="113" w:name="_Ref51342120"/>
      <w:bookmarkStart w:id="114" w:name="_Ref51914382"/>
      <w:r>
        <w:lastRenderedPageBreak/>
        <w:t>Reform idea 1</w:t>
      </w:r>
      <w:r w:rsidR="00FC068A">
        <w:t>7</w:t>
      </w:r>
      <w:r w:rsidR="00D75232">
        <w:t xml:space="preserve"> </w:t>
      </w:r>
      <w:r>
        <w:t>–</w:t>
      </w:r>
      <w:r w:rsidR="00DC4594">
        <w:t xml:space="preserve"> </w:t>
      </w:r>
      <w:r w:rsidR="00971C88">
        <w:t>Enhance FSANZ’s regulatory role by providing limited enforcement powers</w:t>
      </w:r>
      <w:bookmarkEnd w:id="113"/>
      <w:bookmarkEnd w:id="114"/>
    </w:p>
    <w:p w14:paraId="28932550" w14:textId="202C958A" w:rsidR="000218E0" w:rsidRDefault="009B6861" w:rsidP="009B6861">
      <w:r>
        <w:t xml:space="preserve">FSANZ could </w:t>
      </w:r>
      <w:r w:rsidR="00505353">
        <w:t>undertake a broader regulatory role by being provided appropriate statutory powers in its legislation to enforce compliance with food standards.</w:t>
      </w:r>
      <w:r w:rsidR="00692523">
        <w:t xml:space="preserve"> </w:t>
      </w:r>
      <w:r w:rsidR="008F25D6">
        <w:t>This could include enforcement of:</w:t>
      </w:r>
    </w:p>
    <w:p w14:paraId="33B98450" w14:textId="1E50BC4A" w:rsidR="00DC57CF" w:rsidRDefault="00DC57CF" w:rsidP="00DC57CF">
      <w:pPr>
        <w:pStyle w:val="Bullet"/>
      </w:pPr>
      <w:r>
        <w:t>food-health claims</w:t>
      </w:r>
    </w:p>
    <w:p w14:paraId="11A7F27C" w14:textId="1A542160" w:rsidR="00DC57CF" w:rsidRDefault="00DC57CF" w:rsidP="00DC57CF">
      <w:pPr>
        <w:pStyle w:val="Bullet"/>
      </w:pPr>
      <w:r>
        <w:t>novel foods</w:t>
      </w:r>
    </w:p>
    <w:p w14:paraId="3A6C8ADF" w14:textId="3168EE5C" w:rsidR="00DC57CF" w:rsidRDefault="00C5029C" w:rsidP="00DC57CF">
      <w:pPr>
        <w:pStyle w:val="Bullet"/>
      </w:pPr>
      <w:r>
        <w:t xml:space="preserve">food products sold </w:t>
      </w:r>
      <w:r w:rsidR="00C9384B">
        <w:t>across</w:t>
      </w:r>
      <w:r>
        <w:t xml:space="preserve"> state and territory borders within Australia; or </w:t>
      </w:r>
      <w:r w:rsidR="004A3518">
        <w:t xml:space="preserve">traded between Australia and </w:t>
      </w:r>
      <w:r>
        <w:t xml:space="preserve">New Zealand. </w:t>
      </w:r>
    </w:p>
    <w:p w14:paraId="769AEB01" w14:textId="2439B55C" w:rsidR="00D23F7C" w:rsidRDefault="00764200" w:rsidP="00D23F7C">
      <w:r>
        <w:t>This</w:t>
      </w:r>
      <w:r w:rsidDel="00281A04">
        <w:t xml:space="preserve"> </w:t>
      </w:r>
      <w:r w:rsidR="00281A04">
        <w:t xml:space="preserve">reform idea </w:t>
      </w:r>
      <w:r>
        <w:t xml:space="preserve">could provide </w:t>
      </w:r>
      <w:r w:rsidR="00086D92">
        <w:t xml:space="preserve">a </w:t>
      </w:r>
      <w:r>
        <w:t>more fundamental change to drive greater consistency in enforcement of food standards and could u</w:t>
      </w:r>
      <w:r w:rsidR="000002B5">
        <w:t>se</w:t>
      </w:r>
      <w:r>
        <w:t xml:space="preserve"> FSANZ’s technical expertise to detect non-compliance with food standards. </w:t>
      </w:r>
      <w:r w:rsidR="00303F80">
        <w:t xml:space="preserve">To be successful, FSANZ would need to have appropriate monitoring and enforcement powers, including </w:t>
      </w:r>
      <w:r w:rsidR="00F43484">
        <w:t xml:space="preserve">the ability to </w:t>
      </w:r>
      <w:r w:rsidR="00303F80">
        <w:t>compel</w:t>
      </w:r>
      <w:r w:rsidR="00F43484">
        <w:t xml:space="preserve"> the</w:t>
      </w:r>
      <w:r w:rsidR="00303F80">
        <w:t xml:space="preserve"> provision of information and apply</w:t>
      </w:r>
      <w:r w:rsidR="00EF6199">
        <w:t xml:space="preserve"> </w:t>
      </w:r>
      <w:r w:rsidR="00303F80">
        <w:t>sanctions in response to non-compliance.</w:t>
      </w:r>
      <w:r w:rsidR="00254968">
        <w:t xml:space="preserve"> </w:t>
      </w:r>
      <w:r w:rsidR="00D23F7C">
        <w:t xml:space="preserve">This would also require regulatory capability to be developed within FSANZ. </w:t>
      </w:r>
    </w:p>
    <w:p w14:paraId="4871A976" w14:textId="5BFC7825" w:rsidR="009B0702" w:rsidRPr="00E7068E" w:rsidRDefault="00254968" w:rsidP="009B6861">
      <w:pPr>
        <w:rPr>
          <w:i/>
        </w:rPr>
      </w:pPr>
      <w:r>
        <w:t>This function would need to be reflected in state, territory</w:t>
      </w:r>
      <w:r w:rsidR="004F0EF8">
        <w:t>, Australian Government</w:t>
      </w:r>
      <w:r>
        <w:t xml:space="preserve"> and New Zealand law. </w:t>
      </w:r>
      <w:r w:rsidR="00011473">
        <w:t xml:space="preserve">The </w:t>
      </w:r>
      <w:r w:rsidR="00B95BBC">
        <w:t>roles and boundaries of FSANZ</w:t>
      </w:r>
      <w:r w:rsidR="001F4E41">
        <w:t>,</w:t>
      </w:r>
      <w:r w:rsidR="00B95BBC">
        <w:t xml:space="preserve"> individual jurisdiction</w:t>
      </w:r>
      <w:r w:rsidR="001F4E41">
        <w:t xml:space="preserve"> and Austra</w:t>
      </w:r>
      <w:r w:rsidR="0021746D">
        <w:t>lian Government</w:t>
      </w:r>
      <w:r w:rsidR="00B95BBC">
        <w:t xml:space="preserve"> regulators would need to be clearly articulated and agreed.</w:t>
      </w:r>
      <w:r w:rsidR="0021746D">
        <w:t xml:space="preserve"> </w:t>
      </w:r>
    </w:p>
    <w:p w14:paraId="32DD8965" w14:textId="30BA4AEA" w:rsidR="00D23F7C" w:rsidRDefault="00D23F7C" w:rsidP="009B6861">
      <w:r>
        <w:t xml:space="preserve">Some stakeholders have highlighted the independence of FSANZ as one of its greatest strengths. Of note, there are many other examples of entities that have a role in both setting regulatory rules and enforcing them, including the </w:t>
      </w:r>
      <w:r w:rsidR="00436FB8">
        <w:t>ACCC</w:t>
      </w:r>
      <w:r w:rsidR="005229AD">
        <w:t xml:space="preserve"> and </w:t>
      </w:r>
      <w:r w:rsidR="008C536F">
        <w:t xml:space="preserve">the New Zealand Medicines and Medical Devices Safety Authority. </w:t>
      </w:r>
    </w:p>
    <w:p w14:paraId="1FD5618B" w14:textId="77777777" w:rsidR="00EF6199" w:rsidRDefault="00EF6199" w:rsidP="009B6861"/>
    <w:tbl>
      <w:tblPr>
        <w:tblStyle w:val="NousLongformcallout"/>
        <w:tblW w:w="4950" w:type="pct"/>
        <w:tblCellMar>
          <w:top w:w="170" w:type="dxa"/>
          <w:bottom w:w="170" w:type="dxa"/>
        </w:tblCellMar>
        <w:tblLook w:val="04A0" w:firstRow="1" w:lastRow="0" w:firstColumn="1" w:lastColumn="0" w:noHBand="0" w:noVBand="1"/>
      </w:tblPr>
      <w:tblGrid>
        <w:gridCol w:w="9055"/>
      </w:tblGrid>
      <w:tr w:rsidR="000F0E87" w14:paraId="62259AC8" w14:textId="77777777" w:rsidTr="00747266">
        <w:tc>
          <w:tcPr>
            <w:tcW w:w="9055" w:type="dxa"/>
            <w:shd w:val="clear" w:color="auto" w:fill="00264D" w:themeFill="background2"/>
          </w:tcPr>
          <w:p w14:paraId="4B9D6AA1" w14:textId="77777777" w:rsidR="000F0E87" w:rsidRPr="00835584" w:rsidRDefault="000F0E87" w:rsidP="001642BD">
            <w:pPr>
              <w:pStyle w:val="longformcalloutnumber"/>
              <w:numPr>
                <w:ilvl w:val="0"/>
                <w:numId w:val="0"/>
              </w:numPr>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4B096B97" w14:textId="63E31465" w:rsidR="00792DC2" w:rsidRDefault="00A326D1"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To what degree</w:t>
            </w:r>
            <w:r w:rsidR="00792DC2">
              <w:rPr>
                <w:rFonts w:asciiTheme="minorHAnsi" w:hAnsiTheme="minorHAnsi" w:cstheme="minorHAnsi"/>
                <w:color w:val="FFFFFF" w:themeColor="background1"/>
                <w:lang w:eastAsia="en-AU"/>
              </w:rPr>
              <w:t xml:space="preserve"> does inconsistent interpretation of food standards </w:t>
            </w:r>
            <w:r w:rsidR="008F44B0">
              <w:rPr>
                <w:rFonts w:asciiTheme="minorHAnsi" w:hAnsiTheme="minorHAnsi" w:cstheme="minorHAnsi"/>
                <w:color w:val="FFFFFF" w:themeColor="background1"/>
                <w:lang w:eastAsia="en-AU"/>
              </w:rPr>
              <w:t>present an</w:t>
            </w:r>
            <w:r w:rsidR="00792DC2">
              <w:rPr>
                <w:rFonts w:asciiTheme="minorHAnsi" w:hAnsiTheme="minorHAnsi" w:cstheme="minorHAnsi"/>
                <w:color w:val="FFFFFF" w:themeColor="background1"/>
                <w:lang w:eastAsia="en-AU"/>
              </w:rPr>
              <w:t xml:space="preserve"> issue</w:t>
            </w:r>
            <w:r w:rsidR="002E092C">
              <w:rPr>
                <w:rFonts w:asciiTheme="minorHAnsi" w:hAnsiTheme="minorHAnsi" w:cstheme="minorHAnsi"/>
                <w:color w:val="FFFFFF" w:themeColor="background1"/>
                <w:lang w:eastAsia="en-AU"/>
              </w:rPr>
              <w:t xml:space="preserve"> </w:t>
            </w:r>
            <w:r w:rsidR="008F44B0">
              <w:rPr>
                <w:rFonts w:asciiTheme="minorHAnsi" w:hAnsiTheme="minorHAnsi" w:cstheme="minorHAnsi"/>
                <w:color w:val="FFFFFF" w:themeColor="background1"/>
                <w:lang w:eastAsia="en-AU"/>
              </w:rPr>
              <w:t xml:space="preserve">for the system? What are the types of problems that different stakeholder groups face as a consequence? </w:t>
            </w:r>
          </w:p>
          <w:p w14:paraId="708A7C50" w14:textId="77777777" w:rsidR="00792DC2" w:rsidRDefault="00792DC2" w:rsidP="00E0390E">
            <w:pPr>
              <w:pStyle w:val="ListParagraph"/>
              <w:rPr>
                <w:rFonts w:asciiTheme="minorHAnsi" w:hAnsiTheme="minorHAnsi" w:cstheme="minorHAnsi"/>
                <w:color w:val="FFFFFF" w:themeColor="background1"/>
                <w:lang w:eastAsia="en-AU"/>
              </w:rPr>
            </w:pPr>
          </w:p>
          <w:p w14:paraId="711072E2" w14:textId="4A7CA3B4" w:rsidR="000F0E87" w:rsidRPr="000F0E87" w:rsidRDefault="000F0E87" w:rsidP="00760794">
            <w:pPr>
              <w:pStyle w:val="ListParagraph"/>
              <w:numPr>
                <w:ilvl w:val="0"/>
                <w:numId w:val="15"/>
              </w:numPr>
              <w:rPr>
                <w:rFonts w:asciiTheme="minorHAnsi" w:hAnsiTheme="minorHAnsi" w:cstheme="minorHAnsi"/>
                <w:color w:val="FFFFFF" w:themeColor="background1"/>
                <w:lang w:eastAsia="en-AU"/>
              </w:rPr>
            </w:pPr>
            <w:r w:rsidRPr="000F0E87">
              <w:rPr>
                <w:rFonts w:asciiTheme="minorHAnsi" w:hAnsiTheme="minorHAnsi" w:cstheme="minorHAnsi"/>
                <w:color w:val="FFFFFF" w:themeColor="background1"/>
                <w:lang w:eastAsia="en-AU"/>
              </w:rPr>
              <w:t xml:space="preserve">What would be the impact (positive, negative or otherwise) of implementing each of the </w:t>
            </w:r>
            <w:r w:rsidR="002E092C">
              <w:rPr>
                <w:rFonts w:asciiTheme="minorHAnsi" w:hAnsiTheme="minorHAnsi" w:cstheme="minorHAnsi"/>
                <w:color w:val="FFFFFF" w:themeColor="background1"/>
                <w:lang w:eastAsia="en-AU"/>
              </w:rPr>
              <w:t>reform ideas</w:t>
            </w:r>
            <w:r w:rsidR="002E092C" w:rsidRPr="000F0E87">
              <w:rPr>
                <w:rFonts w:asciiTheme="minorHAnsi" w:hAnsiTheme="minorHAnsi" w:cstheme="minorHAnsi"/>
                <w:color w:val="FFFFFF" w:themeColor="background1"/>
                <w:lang w:eastAsia="en-AU"/>
              </w:rPr>
              <w:t xml:space="preserve"> </w:t>
            </w:r>
            <w:r w:rsidRPr="000F0E87">
              <w:rPr>
                <w:rFonts w:asciiTheme="minorHAnsi" w:hAnsiTheme="minorHAnsi" w:cstheme="minorHAnsi"/>
                <w:color w:val="FFFFFF" w:themeColor="background1"/>
                <w:lang w:eastAsia="en-AU"/>
              </w:rPr>
              <w:t xml:space="preserve">below? How could the outcome specified for each </w:t>
            </w:r>
            <w:r w:rsidR="00281A04">
              <w:rPr>
                <w:rFonts w:asciiTheme="minorHAnsi" w:hAnsiTheme="minorHAnsi" w:cstheme="minorHAnsi"/>
                <w:color w:val="FFFFFF" w:themeColor="background1"/>
                <w:lang w:eastAsia="en-AU"/>
              </w:rPr>
              <w:t>reform idea</w:t>
            </w:r>
            <w:r w:rsidR="00281A04" w:rsidRPr="000F0E87">
              <w:rPr>
                <w:rFonts w:asciiTheme="minorHAnsi" w:hAnsiTheme="minorHAnsi" w:cstheme="minorHAnsi"/>
                <w:color w:val="FFFFFF" w:themeColor="background1"/>
                <w:lang w:eastAsia="en-AU"/>
              </w:rPr>
              <w:t xml:space="preserve"> </w:t>
            </w:r>
            <w:r w:rsidRPr="000F0E87">
              <w:rPr>
                <w:rFonts w:asciiTheme="minorHAnsi" w:hAnsiTheme="minorHAnsi" w:cstheme="minorHAnsi"/>
                <w:color w:val="FFFFFF" w:themeColor="background1"/>
                <w:lang w:eastAsia="en-AU"/>
              </w:rPr>
              <w:t>best be achieved?</w:t>
            </w:r>
          </w:p>
          <w:p w14:paraId="0D26A5A5" w14:textId="5E99C824" w:rsidR="00411677" w:rsidRPr="00FF73FE" w:rsidRDefault="000B4A6A">
            <w:pPr>
              <w:pStyle w:val="ListParagraph"/>
              <w:numPr>
                <w:ilvl w:val="0"/>
                <w:numId w:val="30"/>
              </w:numPr>
              <w:contextualSpacing w:val="0"/>
              <w:rPr>
                <w:color w:val="FFFFFF" w:themeColor="background1"/>
                <w:lang w:eastAsia="en-AU"/>
              </w:rPr>
            </w:pPr>
            <w:r w:rsidRPr="00FF73FE">
              <w:rPr>
                <w:color w:val="FFFFFF" w:themeColor="background1"/>
                <w:lang w:eastAsia="en-AU"/>
              </w:rPr>
              <w:fldChar w:fldCharType="begin"/>
            </w:r>
            <w:r w:rsidRPr="00FF73FE">
              <w:rPr>
                <w:color w:val="FFFFFF" w:themeColor="background1"/>
                <w:lang w:eastAsia="en-AU"/>
              </w:rPr>
              <w:instrText xml:space="preserve"> REF _Ref52124030 \h </w:instrText>
            </w:r>
            <w:r w:rsidRPr="00FF73FE">
              <w:rPr>
                <w:color w:val="FFFFFF" w:themeColor="background1"/>
                <w:lang w:eastAsia="en-AU"/>
              </w:rPr>
            </w:r>
            <w:r w:rsidRPr="00FF73FE">
              <w:rPr>
                <w:color w:val="FFFFFF" w:themeColor="background1"/>
                <w:lang w:eastAsia="en-AU"/>
              </w:rPr>
              <w:fldChar w:fldCharType="separate"/>
            </w:r>
            <w:r w:rsidR="001C5CC6" w:rsidRPr="00FF73FE">
              <w:rPr>
                <w:color w:val="FFFFFF" w:themeColor="background1"/>
              </w:rPr>
              <w:t>Reform idea 15 – Enhance FSANZ’s role in providing guidance about food standards within its current statutory remit</w:t>
            </w:r>
            <w:r w:rsidRPr="00FF73FE">
              <w:rPr>
                <w:color w:val="FFFFFF" w:themeColor="background1"/>
                <w:lang w:eastAsia="en-AU"/>
              </w:rPr>
              <w:fldChar w:fldCharType="end"/>
            </w:r>
          </w:p>
          <w:p w14:paraId="7DBE0D03" w14:textId="28EC3DF9" w:rsidR="00411677" w:rsidRPr="00FF73FE" w:rsidRDefault="00411677">
            <w:pPr>
              <w:pStyle w:val="ListParagraph"/>
              <w:numPr>
                <w:ilvl w:val="0"/>
                <w:numId w:val="30"/>
              </w:numPr>
              <w:contextualSpacing w:val="0"/>
              <w:rPr>
                <w:color w:val="FFFFFF" w:themeColor="background1"/>
                <w:lang w:eastAsia="en-AU"/>
              </w:rPr>
            </w:pPr>
            <w:r w:rsidRPr="00FF73FE">
              <w:rPr>
                <w:color w:val="FFFFFF" w:themeColor="background1"/>
                <w:lang w:eastAsia="en-AU"/>
              </w:rPr>
              <w:fldChar w:fldCharType="begin"/>
            </w:r>
            <w:r w:rsidRPr="00FF73FE">
              <w:rPr>
                <w:color w:val="FFFFFF" w:themeColor="background1"/>
                <w:lang w:eastAsia="en-AU"/>
              </w:rPr>
              <w:instrText xml:space="preserve"> REF _Ref51342118 \h </w:instrText>
            </w:r>
            <w:r w:rsidRPr="00FF73FE">
              <w:rPr>
                <w:color w:val="FFFFFF" w:themeColor="background1"/>
                <w:lang w:eastAsia="en-AU"/>
              </w:rPr>
            </w:r>
            <w:r w:rsidRPr="00FF73FE">
              <w:rPr>
                <w:color w:val="FFFFFF" w:themeColor="background1"/>
                <w:lang w:eastAsia="en-AU"/>
              </w:rPr>
              <w:fldChar w:fldCharType="separate"/>
            </w:r>
            <w:r w:rsidR="001C5CC6" w:rsidRPr="00FF73FE">
              <w:rPr>
                <w:color w:val="FFFFFF" w:themeColor="background1"/>
              </w:rPr>
              <w:t>Reform idea 16 – Provide for FSANZ to give binding interpretive advice on food standards</w:t>
            </w:r>
            <w:r w:rsidRPr="00FF73FE">
              <w:rPr>
                <w:color w:val="FFFFFF" w:themeColor="background1"/>
                <w:lang w:eastAsia="en-AU"/>
              </w:rPr>
              <w:fldChar w:fldCharType="end"/>
            </w:r>
          </w:p>
          <w:p w14:paraId="00D78887" w14:textId="5F7DC289" w:rsidR="00411677" w:rsidRPr="00FF73FE" w:rsidRDefault="00411677">
            <w:pPr>
              <w:pStyle w:val="ListParagraph"/>
              <w:numPr>
                <w:ilvl w:val="0"/>
                <w:numId w:val="30"/>
              </w:numPr>
              <w:contextualSpacing w:val="0"/>
              <w:rPr>
                <w:color w:val="FFFFFF" w:themeColor="background1"/>
                <w:lang w:eastAsia="en-AU"/>
              </w:rPr>
            </w:pPr>
            <w:r w:rsidRPr="00FF73FE">
              <w:rPr>
                <w:color w:val="FFFFFF" w:themeColor="background1"/>
                <w:lang w:eastAsia="en-AU"/>
              </w:rPr>
              <w:fldChar w:fldCharType="begin"/>
            </w:r>
            <w:r w:rsidRPr="00FF73FE">
              <w:rPr>
                <w:color w:val="FFFFFF" w:themeColor="background1"/>
                <w:lang w:eastAsia="en-AU"/>
              </w:rPr>
              <w:instrText xml:space="preserve"> REF _Ref51342120 \h </w:instrText>
            </w:r>
            <w:r w:rsidRPr="00FF73FE">
              <w:rPr>
                <w:color w:val="FFFFFF" w:themeColor="background1"/>
                <w:lang w:eastAsia="en-AU"/>
              </w:rPr>
            </w:r>
            <w:r w:rsidRPr="00FF73FE">
              <w:rPr>
                <w:color w:val="FFFFFF" w:themeColor="background1"/>
                <w:lang w:eastAsia="en-AU"/>
              </w:rPr>
              <w:fldChar w:fldCharType="separate"/>
            </w:r>
            <w:r w:rsidR="001C5CC6" w:rsidRPr="00FF73FE">
              <w:rPr>
                <w:color w:val="FFFFFF" w:themeColor="background1"/>
              </w:rPr>
              <w:t>Reform idea 17 – Enhance FSANZ’s regulatory role by providing limited enforcement powers</w:t>
            </w:r>
            <w:r w:rsidRPr="00FF73FE">
              <w:rPr>
                <w:color w:val="FFFFFF" w:themeColor="background1"/>
                <w:lang w:eastAsia="en-AU"/>
              </w:rPr>
              <w:fldChar w:fldCharType="end"/>
            </w:r>
          </w:p>
          <w:p w14:paraId="364DCFB1" w14:textId="63E75A26" w:rsidR="000F0E87" w:rsidRPr="00E25160" w:rsidRDefault="000F0E87">
            <w:pPr>
              <w:pStyle w:val="ListParagraph"/>
              <w:numPr>
                <w:ilvl w:val="0"/>
                <w:numId w:val="15"/>
              </w:numPr>
              <w:contextualSpacing w:val="0"/>
              <w:rPr>
                <w:color w:val="FFFFFF" w:themeColor="background1"/>
                <w:lang w:eastAsia="en-AU"/>
              </w:rPr>
            </w:pPr>
            <w:r w:rsidRPr="000F0E87">
              <w:rPr>
                <w:rFonts w:asciiTheme="minorHAnsi" w:hAnsiTheme="minorHAnsi" w:cstheme="minorHAnsi"/>
                <w:color w:val="FFFFFF" w:themeColor="background1"/>
                <w:lang w:eastAsia="en-AU"/>
              </w:rPr>
              <w:lastRenderedPageBreak/>
              <w:t>Are there other potential issues or solutions relating to</w:t>
            </w:r>
            <w:r>
              <w:rPr>
                <w:rFonts w:asciiTheme="minorHAnsi" w:hAnsiTheme="minorHAnsi" w:cstheme="minorHAnsi"/>
                <w:color w:val="FFFFFF" w:themeColor="background1"/>
                <w:lang w:eastAsia="en-AU"/>
              </w:rPr>
              <w:t xml:space="preserve"> </w:t>
            </w:r>
            <w:r w:rsidR="00701A44">
              <w:rPr>
                <w:rFonts w:asciiTheme="minorHAnsi" w:hAnsiTheme="minorHAnsi" w:cstheme="minorHAnsi"/>
                <w:color w:val="FFFFFF" w:themeColor="background1"/>
                <w:lang w:eastAsia="en-AU"/>
              </w:rPr>
              <w:t>interpretation of food standards</w:t>
            </w:r>
            <w:r>
              <w:rPr>
                <w:rFonts w:asciiTheme="minorHAnsi" w:hAnsiTheme="minorHAnsi" w:cstheme="minorHAnsi"/>
                <w:color w:val="FFFFFF" w:themeColor="background1"/>
                <w:lang w:eastAsia="en-AU"/>
              </w:rPr>
              <w:t>?</w:t>
            </w:r>
          </w:p>
        </w:tc>
      </w:tr>
    </w:tbl>
    <w:p w14:paraId="7B91FA19" w14:textId="77777777" w:rsidR="009716B3" w:rsidRDefault="009716B3" w:rsidP="00800D0C">
      <w:pPr>
        <w:pStyle w:val="Heading2"/>
        <w:ind w:left="426" w:hanging="568"/>
      </w:pPr>
      <w:bookmarkStart w:id="115" w:name="_Ref52124229"/>
      <w:bookmarkStart w:id="116" w:name="_Toc52179143"/>
      <w:r>
        <w:lastRenderedPageBreak/>
        <w:t>The boundaries between food and medicine – and their respective regulatory frameworks – are not always clear</w:t>
      </w:r>
      <w:bookmarkEnd w:id="115"/>
      <w:bookmarkEnd w:id="116"/>
      <w:r>
        <w:t xml:space="preserve"> </w:t>
      </w:r>
    </w:p>
    <w:p w14:paraId="2A347D0E" w14:textId="77777777" w:rsidR="009716B3" w:rsidRDefault="009716B3" w:rsidP="009716B3">
      <w:r>
        <w:rPr>
          <w:lang w:eastAsia="en-AU"/>
        </w:rPr>
        <w:t xml:space="preserve">The food regulatory system interfaces with a range of other regulatory schemes, </w:t>
      </w:r>
      <w:r w:rsidRPr="00067474">
        <w:t>including consumer affairs, environmental protection, animal welfare and biosecurity.</w:t>
      </w:r>
      <w:r>
        <w:t xml:space="preserve"> Food products may be regulated by some combination of these (and other) regulatory schemes. These interfaces can present challenges where there is not a consistent, shared understanding of what regulatory schemes a product should be regulated by. This can lead to products ‘falling between the cracks’ of regulation. </w:t>
      </w:r>
    </w:p>
    <w:p w14:paraId="3AAE522F" w14:textId="77777777" w:rsidR="009716B3" w:rsidRDefault="009716B3" w:rsidP="009716B3">
      <w:r>
        <w:t>Relevant to this Review</w:t>
      </w:r>
      <w:r>
        <w:rPr>
          <w:rStyle w:val="FootnoteReference"/>
        </w:rPr>
        <w:footnoteReference w:id="30"/>
      </w:r>
      <w:r>
        <w:t xml:space="preserve"> is the ‘food medicine interface’. </w:t>
      </w:r>
    </w:p>
    <w:p w14:paraId="4C93B595" w14:textId="1782A6A0" w:rsidR="009716B3" w:rsidRDefault="009716B3" w:rsidP="009716B3">
      <w:pPr>
        <w:pStyle w:val="Heading3"/>
      </w:pPr>
      <w:bookmarkStart w:id="117" w:name="_Ref51941743"/>
      <w:r>
        <w:t>The food</w:t>
      </w:r>
      <w:r w:rsidR="000F45C2">
        <w:t>-</w:t>
      </w:r>
      <w:r>
        <w:t>medicine interface is an enduring issue</w:t>
      </w:r>
      <w:bookmarkEnd w:id="117"/>
      <w:r>
        <w:t xml:space="preserve"> </w:t>
      </w:r>
    </w:p>
    <w:p w14:paraId="59A9ED2B" w14:textId="7CDDDE9C" w:rsidR="009716B3" w:rsidRDefault="004E3224" w:rsidP="009716B3">
      <w:pPr>
        <w:rPr>
          <w:lang w:eastAsia="en-AU"/>
        </w:rPr>
      </w:pPr>
      <w:r>
        <w:rPr>
          <w:lang w:eastAsia="en-AU"/>
        </w:rPr>
        <w:t xml:space="preserve">Both foods and medicines </w:t>
      </w:r>
      <w:r w:rsidR="00236702">
        <w:rPr>
          <w:lang w:eastAsia="en-AU"/>
        </w:rPr>
        <w:t>can make claims about the relationship between a product and health</w:t>
      </w:r>
      <w:r w:rsidR="00804E23">
        <w:rPr>
          <w:lang w:eastAsia="en-AU"/>
        </w:rPr>
        <w:t xml:space="preserve"> outcomes.</w:t>
      </w:r>
      <w:r w:rsidR="007B7907">
        <w:rPr>
          <w:lang w:eastAsia="en-AU"/>
        </w:rPr>
        <w:t xml:space="preserve"> Regulatory arrangements for foods that make health claims </w:t>
      </w:r>
      <w:r w:rsidR="0094027E">
        <w:rPr>
          <w:lang w:eastAsia="en-AU"/>
        </w:rPr>
        <w:t xml:space="preserve">are covered under the Act and Food Standards Code (discussed at section </w:t>
      </w:r>
      <w:r w:rsidR="0094027E">
        <w:rPr>
          <w:lang w:eastAsia="en-AU"/>
        </w:rPr>
        <w:fldChar w:fldCharType="begin"/>
      </w:r>
      <w:r w:rsidR="0094027E">
        <w:rPr>
          <w:lang w:eastAsia="en-AU"/>
        </w:rPr>
        <w:instrText xml:space="preserve"> REF _Ref51941748 \r \h </w:instrText>
      </w:r>
      <w:r w:rsidR="0094027E">
        <w:rPr>
          <w:lang w:eastAsia="en-AU"/>
        </w:rPr>
      </w:r>
      <w:r w:rsidR="0094027E">
        <w:rPr>
          <w:lang w:eastAsia="en-AU"/>
        </w:rPr>
        <w:fldChar w:fldCharType="separate"/>
      </w:r>
      <w:r w:rsidR="001C5CC6">
        <w:rPr>
          <w:lang w:eastAsia="en-AU"/>
        </w:rPr>
        <w:t>5.5.3</w:t>
      </w:r>
      <w:r w:rsidR="0094027E">
        <w:rPr>
          <w:lang w:eastAsia="en-AU"/>
        </w:rPr>
        <w:fldChar w:fldCharType="end"/>
      </w:r>
      <w:r w:rsidR="0094027E">
        <w:rPr>
          <w:lang w:eastAsia="en-AU"/>
        </w:rPr>
        <w:t>.)</w:t>
      </w:r>
      <w:r w:rsidR="00236702">
        <w:rPr>
          <w:lang w:eastAsia="en-AU"/>
        </w:rPr>
        <w:t xml:space="preserve"> </w:t>
      </w:r>
      <w:r w:rsidR="00F82D7F">
        <w:rPr>
          <w:lang w:eastAsia="en-AU"/>
        </w:rPr>
        <w:t xml:space="preserve">Therapeutic products </w:t>
      </w:r>
      <w:r w:rsidR="00EE3FF7">
        <w:rPr>
          <w:lang w:eastAsia="en-AU"/>
        </w:rPr>
        <w:t xml:space="preserve">(including medicines) </w:t>
      </w:r>
      <w:r w:rsidR="00F82D7F">
        <w:rPr>
          <w:lang w:eastAsia="en-AU"/>
        </w:rPr>
        <w:t xml:space="preserve">are regulated under different schemes in Australia and New Zealand: </w:t>
      </w:r>
    </w:p>
    <w:p w14:paraId="66FC74DE" w14:textId="2D1356F2" w:rsidR="009716B3" w:rsidRDefault="009716B3" w:rsidP="009716B3">
      <w:pPr>
        <w:pStyle w:val="Bullet"/>
      </w:pPr>
      <w:r w:rsidRPr="00653AF7">
        <w:t xml:space="preserve">In Australia, the </w:t>
      </w:r>
      <w:r w:rsidR="007A43E9" w:rsidRPr="00653AF7">
        <w:t>T</w:t>
      </w:r>
      <w:r w:rsidR="007A43E9">
        <w:t>herapeutic Goods Administration (</w:t>
      </w:r>
      <w:r w:rsidRPr="00653AF7">
        <w:t>TGA</w:t>
      </w:r>
      <w:r w:rsidR="007A43E9">
        <w:t>)</w:t>
      </w:r>
      <w:r w:rsidRPr="00653AF7">
        <w:t xml:space="preserve"> regulates therapeutic goods, including complementary medicines, under the</w:t>
      </w:r>
      <w:r>
        <w:t xml:space="preserve"> </w:t>
      </w:r>
      <w:r>
        <w:rPr>
          <w:i/>
        </w:rPr>
        <w:t xml:space="preserve">Therapeutic Goods Act 1989. </w:t>
      </w:r>
      <w:r>
        <w:t xml:space="preserve">Complementary medicines, including nutritional supplements, are defined in the associated Regulations based on a number of designated active ingredients. </w:t>
      </w:r>
    </w:p>
    <w:p w14:paraId="7F1B8BD0" w14:textId="65EC9BB1" w:rsidR="003356EE" w:rsidRPr="0011118D" w:rsidRDefault="003356EE" w:rsidP="003356EE">
      <w:pPr>
        <w:pStyle w:val="Bullet"/>
      </w:pPr>
      <w:r w:rsidRPr="0011118D">
        <w:t xml:space="preserve">In New Zealand, therapeutic products are regulated by the New Zealand Medicines and Medical Devices Authority (Medsafe) under the </w:t>
      </w:r>
      <w:r w:rsidRPr="00E7068E">
        <w:t xml:space="preserve">Medicines Act 1981 </w:t>
      </w:r>
      <w:r w:rsidRPr="0011118D">
        <w:t xml:space="preserve">and associated amending acts and regulations. Medsafe also administers labelling and composition regulations for </w:t>
      </w:r>
      <w:r w:rsidRPr="00E7068E">
        <w:t xml:space="preserve">dietary supplements </w:t>
      </w:r>
      <w:r w:rsidRPr="0011118D">
        <w:t xml:space="preserve">(such as vitamin and mineral tablets) under the </w:t>
      </w:r>
      <w:r w:rsidRPr="00E7068E">
        <w:t xml:space="preserve">Dietary Supplements Regulations 1985 </w:t>
      </w:r>
      <w:r w:rsidRPr="0011118D">
        <w:t xml:space="preserve">(established under the </w:t>
      </w:r>
      <w:r w:rsidRPr="00E7068E">
        <w:t>Food Act 1981) while MPI is responsible for their manufacture.</w:t>
      </w:r>
      <w:r w:rsidR="009166FD">
        <w:rPr>
          <w:rStyle w:val="FootnoteReference"/>
        </w:rPr>
        <w:footnoteReference w:id="31"/>
      </w:r>
      <w:r w:rsidRPr="00E7068E">
        <w:t xml:space="preserve">  Additionally, MPI administers a standard for supplemented food under the Food Act.</w:t>
      </w:r>
      <w:r w:rsidRPr="00E7068E">
        <w:rPr>
          <w:rStyle w:val="FootnoteReference"/>
          <w:rFonts w:eastAsiaTheme="majorEastAsia"/>
        </w:rPr>
        <w:footnoteReference w:id="32"/>
      </w:r>
      <w:r w:rsidRPr="00E7068E">
        <w:t xml:space="preserve"> </w:t>
      </w:r>
    </w:p>
    <w:p w14:paraId="55CD4C66" w14:textId="205DFDB8" w:rsidR="00527321" w:rsidRDefault="009716B3" w:rsidP="002632A7">
      <w:pPr>
        <w:rPr>
          <w:lang w:eastAsia="en-AU"/>
        </w:rPr>
      </w:pPr>
      <w:r>
        <w:rPr>
          <w:lang w:eastAsia="en-AU"/>
        </w:rPr>
        <w:t>The food</w:t>
      </w:r>
      <w:r w:rsidR="00DB6462">
        <w:rPr>
          <w:lang w:eastAsia="en-AU"/>
        </w:rPr>
        <w:t>-</w:t>
      </w:r>
      <w:r>
        <w:rPr>
          <w:lang w:eastAsia="en-AU"/>
        </w:rPr>
        <w:t xml:space="preserve">medicine interface arises where there is contention or ambiguity about </w:t>
      </w:r>
      <w:r w:rsidR="00275A88">
        <w:rPr>
          <w:lang w:eastAsia="en-AU"/>
        </w:rPr>
        <w:t xml:space="preserve">the </w:t>
      </w:r>
      <w:r>
        <w:rPr>
          <w:lang w:eastAsia="en-AU"/>
        </w:rPr>
        <w:t xml:space="preserve">regulatory scheme </w:t>
      </w:r>
      <w:r w:rsidR="00275A88">
        <w:rPr>
          <w:lang w:eastAsia="en-AU"/>
        </w:rPr>
        <w:t>under which a</w:t>
      </w:r>
      <w:r>
        <w:rPr>
          <w:lang w:eastAsia="en-AU"/>
        </w:rPr>
        <w:t xml:space="preserve"> specific product </w:t>
      </w:r>
      <w:r w:rsidR="00275A88">
        <w:rPr>
          <w:lang w:eastAsia="en-AU"/>
        </w:rPr>
        <w:t>is covered</w:t>
      </w:r>
      <w:r>
        <w:rPr>
          <w:lang w:eastAsia="en-AU"/>
        </w:rPr>
        <w:t>. This can lead to inadequate regulation, ineffective risk management and risks to health and safety</w:t>
      </w:r>
      <w:r w:rsidR="00BB3B36">
        <w:rPr>
          <w:lang w:eastAsia="en-AU"/>
        </w:rPr>
        <w:t xml:space="preserve"> (for example, see </w:t>
      </w:r>
      <w:r w:rsidR="00BB3B36">
        <w:rPr>
          <w:lang w:eastAsia="en-AU"/>
        </w:rPr>
        <w:fldChar w:fldCharType="begin"/>
      </w:r>
      <w:r w:rsidR="00BB3B36">
        <w:rPr>
          <w:lang w:eastAsia="en-AU"/>
        </w:rPr>
        <w:instrText xml:space="preserve"> REF _Ref52118804 \h </w:instrText>
      </w:r>
      <w:r w:rsidR="00BB3B36">
        <w:rPr>
          <w:lang w:eastAsia="en-AU"/>
        </w:rPr>
      </w:r>
      <w:r w:rsidR="00BB3B36">
        <w:rPr>
          <w:lang w:eastAsia="en-AU"/>
        </w:rPr>
        <w:fldChar w:fldCharType="separate"/>
      </w:r>
      <w:r w:rsidR="001C5CC6">
        <w:t xml:space="preserve">Table </w:t>
      </w:r>
      <w:r w:rsidR="001C5CC6">
        <w:rPr>
          <w:noProof/>
        </w:rPr>
        <w:t>16</w:t>
      </w:r>
      <w:r w:rsidR="00BB3B36">
        <w:rPr>
          <w:lang w:eastAsia="en-AU"/>
        </w:rPr>
        <w:fldChar w:fldCharType="end"/>
      </w:r>
      <w:r w:rsidR="00BB3B36">
        <w:rPr>
          <w:lang w:eastAsia="en-AU"/>
        </w:rPr>
        <w:t>)</w:t>
      </w:r>
      <w:r>
        <w:rPr>
          <w:lang w:eastAsia="en-AU"/>
        </w:rPr>
        <w:t xml:space="preserve">. </w:t>
      </w:r>
    </w:p>
    <w:p w14:paraId="5238989A" w14:textId="15A387F2" w:rsidR="002632A7" w:rsidRDefault="002632A7" w:rsidP="002632A7">
      <w:r>
        <w:t xml:space="preserve">Stakeholders consulted to date note that this is a vexed issue that defies easy resolution. Over time, there has been significant growth in innovative and diverse products </w:t>
      </w:r>
      <w:r w:rsidR="001F56BB">
        <w:t>that purport to have health benefits</w:t>
      </w:r>
      <w:r w:rsidR="00B568F2">
        <w:t xml:space="preserve">. </w:t>
      </w:r>
      <w:r w:rsidR="009F0200">
        <w:t>Such products may have features that resemble both medicines and foods</w:t>
      </w:r>
      <w:r w:rsidR="00E96A03">
        <w:t>,</w:t>
      </w:r>
      <w:r w:rsidR="009F0200">
        <w:t xml:space="preserve"> and challenge existing product categories that seek to draw a sharp distinction between foods and medicines</w:t>
      </w:r>
      <w:r w:rsidR="00276EE2">
        <w:t>.</w:t>
      </w:r>
      <w:r w:rsidR="00276EE2">
        <w:rPr>
          <w:rStyle w:val="FootnoteReference"/>
        </w:rPr>
        <w:footnoteReference w:id="33"/>
      </w:r>
      <w:r w:rsidR="00A27253">
        <w:t xml:space="preserve"> </w:t>
      </w:r>
      <w:r w:rsidR="00413F1A">
        <w:t xml:space="preserve"> </w:t>
      </w:r>
    </w:p>
    <w:p w14:paraId="7581C082" w14:textId="668886FB" w:rsidR="00BB3B36" w:rsidRDefault="00BB3B36" w:rsidP="00BC160D">
      <w:pPr>
        <w:pStyle w:val="Caption"/>
      </w:pPr>
      <w:bookmarkStart w:id="118" w:name="_Ref52118804"/>
      <w:r>
        <w:lastRenderedPageBreak/>
        <w:t xml:space="preserve">Table </w:t>
      </w:r>
      <w:r>
        <w:fldChar w:fldCharType="begin"/>
      </w:r>
      <w:r>
        <w:instrText xml:space="preserve"> SEQ Table \* ARABIC </w:instrText>
      </w:r>
      <w:r>
        <w:fldChar w:fldCharType="separate"/>
      </w:r>
      <w:r w:rsidR="001C5CC6">
        <w:rPr>
          <w:noProof/>
        </w:rPr>
        <w:t>16</w:t>
      </w:r>
      <w:r>
        <w:fldChar w:fldCharType="end"/>
      </w:r>
      <w:bookmarkEnd w:id="118"/>
      <w:r>
        <w:t xml:space="preserve"> | Issues at the food-medicine interface</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F940C3" w14:paraId="7C20C18E" w14:textId="77777777" w:rsidTr="00A806ED">
        <w:tc>
          <w:tcPr>
            <w:tcW w:w="7285" w:type="dxa"/>
          </w:tcPr>
          <w:p w14:paraId="1314B82B" w14:textId="77777777" w:rsidR="001D7724" w:rsidRDefault="001D7724" w:rsidP="001D7724">
            <w:r>
              <w:t>A 2017 article</w:t>
            </w:r>
            <w:r>
              <w:rPr>
                <w:rStyle w:val="FootnoteReference"/>
              </w:rPr>
              <w:footnoteReference w:id="34"/>
            </w:r>
            <w:r>
              <w:t xml:space="preserve"> reported ‘Kids Smart Vita Gummies’ were listed with the Therapeutic Goods Administration (TGA) as a complementary medicine, yet a similar product ‘Bioglan Omega 3 Fish Oil Kids Gummies’ has not been listed with the TGA and may be classified as foods. </w:t>
            </w:r>
          </w:p>
          <w:p w14:paraId="4E7F13A0" w14:textId="5FDFF2C3" w:rsidR="00F940C3" w:rsidRPr="00BC160D" w:rsidRDefault="001D7724" w:rsidP="00BC160D">
            <w:r>
              <w:t>At a minimum, this blurry interface creates complexities in responding to complaints about food-medicine products. For example, multiple consumers have reported that their complaints about how products have been labelled have been continuously re-directed between regulators without decisive action</w:t>
            </w:r>
            <w:r>
              <w:rPr>
                <w:rStyle w:val="FootnoteReference"/>
              </w:rPr>
              <w:footnoteReference w:id="35"/>
            </w:r>
            <w:r>
              <w:t xml:space="preserve">. </w:t>
            </w:r>
          </w:p>
        </w:tc>
      </w:tr>
    </w:tbl>
    <w:p w14:paraId="3608185C" w14:textId="77777777" w:rsidR="009716B3" w:rsidRDefault="009716B3" w:rsidP="009716B3">
      <w:pPr>
        <w:pStyle w:val="Heading3"/>
      </w:pPr>
      <w:bookmarkStart w:id="119" w:name="_Ref51941745"/>
      <w:r>
        <w:t>Clear delineation of food and medicine defies a simple solution</w:t>
      </w:r>
      <w:bookmarkEnd w:id="119"/>
      <w:r>
        <w:t xml:space="preserve"> </w:t>
      </w:r>
    </w:p>
    <w:p w14:paraId="6F9B5E68" w14:textId="68D8B193" w:rsidR="009716B3" w:rsidRDefault="009716B3" w:rsidP="009716B3">
      <w:pPr>
        <w:rPr>
          <w:lang w:eastAsia="en-AU"/>
        </w:rPr>
      </w:pPr>
      <w:r>
        <w:rPr>
          <w:lang w:eastAsia="en-AU"/>
        </w:rPr>
        <w:t xml:space="preserve">Addressing issues at the interface of food and medicine requires a clear, sensible and consistent way to categorise different products </w:t>
      </w:r>
      <w:r w:rsidR="00B13015">
        <w:rPr>
          <w:lang w:eastAsia="en-AU"/>
        </w:rPr>
        <w:t xml:space="preserve">that make health claims </w:t>
      </w:r>
      <w:r>
        <w:rPr>
          <w:lang w:eastAsia="en-AU"/>
        </w:rPr>
        <w:t xml:space="preserve">to ensure appropriate risk management and </w:t>
      </w:r>
      <w:r w:rsidR="00E25C8F">
        <w:rPr>
          <w:lang w:eastAsia="en-AU"/>
        </w:rPr>
        <w:t>c</w:t>
      </w:r>
      <w:r w:rsidR="0085298B">
        <w:rPr>
          <w:lang w:eastAsia="en-AU"/>
        </w:rPr>
        <w:t xml:space="preserve">lear </w:t>
      </w:r>
      <w:r>
        <w:rPr>
          <w:lang w:eastAsia="en-AU"/>
        </w:rPr>
        <w:t xml:space="preserve">regulatory oversight. This is unlikely to be achieved through legislative changes alone. While clear definitions of ‘food’ and ‘medicine’ (and other related concepts such as ‘health claim’ and ‘therapeutic claim’) are necessary, they are unlikely to be sufficient given: </w:t>
      </w:r>
    </w:p>
    <w:p w14:paraId="3681A595" w14:textId="468FED50" w:rsidR="009716B3" w:rsidRPr="0028795E" w:rsidRDefault="009716B3" w:rsidP="009716B3">
      <w:pPr>
        <w:pStyle w:val="Bullet"/>
      </w:pPr>
      <w:r w:rsidRPr="0028795E">
        <w:t xml:space="preserve">industry innovation and the introduction of new products that </w:t>
      </w:r>
      <w:r w:rsidR="00F94853">
        <w:t xml:space="preserve">make health claims and </w:t>
      </w:r>
      <w:r w:rsidRPr="0028795E">
        <w:t xml:space="preserve">challenge any clear-cut definitions </w:t>
      </w:r>
      <w:r w:rsidR="00196446">
        <w:t>that attempt to delineate foods and medicines</w:t>
      </w:r>
    </w:p>
    <w:p w14:paraId="26BA0AE4" w14:textId="77777777" w:rsidR="009716B3" w:rsidRPr="0028795E" w:rsidRDefault="009716B3" w:rsidP="009716B3">
      <w:pPr>
        <w:pStyle w:val="Bullet"/>
      </w:pPr>
      <w:r w:rsidRPr="0028795E">
        <w:t>the lack of objective criteria to consistently (and in all cases) distinguish food from medicine</w:t>
      </w:r>
    </w:p>
    <w:p w14:paraId="4A40846D" w14:textId="16FAF98C" w:rsidR="009716B3" w:rsidRPr="0028795E" w:rsidRDefault="009716B3" w:rsidP="009716B3">
      <w:pPr>
        <w:pStyle w:val="Bullet"/>
      </w:pPr>
      <w:r w:rsidRPr="0028795E">
        <w:t>context-specific consumer perceptions of wh</w:t>
      </w:r>
      <w:r w:rsidR="00CF1B00">
        <w:t xml:space="preserve">ether a particular product is a ‘food’ or ‘medicine’ (or, indeed, </w:t>
      </w:r>
      <w:r w:rsidR="00812AE2">
        <w:t xml:space="preserve">some </w:t>
      </w:r>
      <w:r w:rsidR="00CF1B00">
        <w:t xml:space="preserve">combination of both) </w:t>
      </w:r>
      <w:r w:rsidR="009F0325">
        <w:t xml:space="preserve">that are informed by </w:t>
      </w:r>
      <w:r w:rsidRPr="0028795E">
        <w:t xml:space="preserve">packaging, labelling, place of sale and other factors that vary on a case-by-case basis. </w:t>
      </w:r>
    </w:p>
    <w:p w14:paraId="28251AE6" w14:textId="1FF33782" w:rsidR="009716B3" w:rsidRDefault="009716B3" w:rsidP="009716B3">
      <w:pPr>
        <w:rPr>
          <w:lang w:eastAsia="en-AU"/>
        </w:rPr>
      </w:pPr>
      <w:r>
        <w:rPr>
          <w:lang w:eastAsia="en-AU"/>
        </w:rPr>
        <w:t>As a result, managing the food</w:t>
      </w:r>
      <w:r w:rsidR="00305501">
        <w:rPr>
          <w:lang w:eastAsia="en-AU"/>
        </w:rPr>
        <w:t>-</w:t>
      </w:r>
      <w:r>
        <w:rPr>
          <w:lang w:eastAsia="en-AU"/>
        </w:rPr>
        <w:t xml:space="preserve">medicine interface depends, in part, on </w:t>
      </w:r>
      <w:r w:rsidR="00DA3839">
        <w:rPr>
          <w:lang w:eastAsia="en-AU"/>
        </w:rPr>
        <w:t xml:space="preserve">a </w:t>
      </w:r>
      <w:r>
        <w:rPr>
          <w:lang w:eastAsia="en-AU"/>
        </w:rPr>
        <w:t xml:space="preserve">regulatory policy strategy that includes active collaboration and coordination between regulators. </w:t>
      </w:r>
    </w:p>
    <w:p w14:paraId="3285A01B" w14:textId="77777777" w:rsidR="009716B3" w:rsidRDefault="009716B3" w:rsidP="009716B3">
      <w:pPr>
        <w:pStyle w:val="Bullet"/>
        <w:numPr>
          <w:ilvl w:val="0"/>
          <w:numId w:val="0"/>
        </w:numPr>
      </w:pPr>
      <w:r>
        <w:t xml:space="preserve">This has been developed in recent years in both countries. In Australia, the Food Medicine Interface Guidance Tool (FMIGT) and protocol was developed by an ISFR/TGA working group and endorsed in 2014. It outlines how TGA and food regulators will work together when assessing a product at the interface of food and medicine. Australian stakeholders consulted to date have noted perceived shortcomings with the FMIGT, including the lack of an escalation framework and dispute resolution mechanisms and the step-by-step and piecemeal nature of the assessment. </w:t>
      </w:r>
    </w:p>
    <w:p w14:paraId="4B5BE846" w14:textId="77777777" w:rsidR="0077338C" w:rsidRPr="0077338C" w:rsidRDefault="009716B3" w:rsidP="0077338C">
      <w:pPr>
        <w:pStyle w:val="Bullet"/>
        <w:numPr>
          <w:ilvl w:val="0"/>
          <w:numId w:val="0"/>
        </w:numPr>
      </w:pPr>
      <w:r>
        <w:t>In New Zealand, Medsafe has also developed a ‘product categorisation decision tool’ to help businesses understand how products are likely to be categorised and makes available online a searchable database of ingredients scheduled under the Medicines Act. MPI and Medsafe also meet regularly to discuss products at the food-medicine interface.</w:t>
      </w:r>
    </w:p>
    <w:p w14:paraId="6512D43E" w14:textId="77FA07E0" w:rsidR="00464E3F" w:rsidRDefault="00673033" w:rsidP="009716B3">
      <w:pPr>
        <w:pStyle w:val="Bullet"/>
        <w:numPr>
          <w:ilvl w:val="0"/>
          <w:numId w:val="0"/>
        </w:numPr>
      </w:pPr>
      <w:r>
        <w:t>The regulatory practice approaches adopted by food and medicine regulators fall out of scope for the Review as they are not tied to the Act or FSANZ operations</w:t>
      </w:r>
      <w:r w:rsidR="009F35F2">
        <w:t xml:space="preserve">. There may be an opportunity however to address this </w:t>
      </w:r>
      <w:r w:rsidR="00D47B58">
        <w:t>(</w:t>
      </w:r>
      <w:r w:rsidR="009F35F2">
        <w:t>in part</w:t>
      </w:r>
      <w:r w:rsidR="00D47B58">
        <w:t>)</w:t>
      </w:r>
      <w:r w:rsidR="009F35F2">
        <w:t xml:space="preserve"> through the concurrent review of the FRA. </w:t>
      </w:r>
    </w:p>
    <w:p w14:paraId="1FEAB5AD" w14:textId="3261796B" w:rsidR="009716B3" w:rsidRDefault="009716B3" w:rsidP="009716B3">
      <w:pPr>
        <w:pStyle w:val="Heading3"/>
      </w:pPr>
      <w:bookmarkStart w:id="120" w:name="_Ref51941748"/>
      <w:r>
        <w:lastRenderedPageBreak/>
        <w:t>Limited oversight of food</w:t>
      </w:r>
      <w:r w:rsidR="00AA03BF">
        <w:t>-</w:t>
      </w:r>
      <w:r>
        <w:t>health claims may contribute to the food regulatory system being seen as a ‘path of least resistance’</w:t>
      </w:r>
      <w:bookmarkEnd w:id="120"/>
      <w:r>
        <w:t xml:space="preserve"> </w:t>
      </w:r>
    </w:p>
    <w:p w14:paraId="54CB1471" w14:textId="77777777" w:rsidR="004E3224" w:rsidRDefault="004E3224" w:rsidP="004E3224">
      <w:r>
        <w:t xml:space="preserve">Food businesses may make claims about the relationship between a food and health within the constraints set by the Act and Standard 1.2.7 of the Food Standards Code. There are two types of food-health claims that food businesses may make on labels or advertising about a food. These are: </w:t>
      </w:r>
    </w:p>
    <w:p w14:paraId="0DDC1F07" w14:textId="7AEBB726" w:rsidR="004E3224" w:rsidRDefault="004E3224" w:rsidP="004E3224">
      <w:pPr>
        <w:pStyle w:val="Bullet"/>
      </w:pPr>
      <w:r w:rsidRPr="00DF25B5">
        <w:rPr>
          <w:rFonts w:asciiTheme="majorHAnsi" w:hAnsiTheme="majorHAnsi" w:cstheme="majorHAnsi"/>
        </w:rPr>
        <w:t>general level health claims</w:t>
      </w:r>
      <w:r>
        <w:rPr>
          <w:i/>
        </w:rPr>
        <w:t xml:space="preserve"> </w:t>
      </w:r>
      <w:r>
        <w:t xml:space="preserve">refer to a food or substance in a food and its effect on health, excluding serious diseases. Food businesses are permitted to make general level health claims on the basis of more than 200 pre-approved food-health relationships in the Code. Businesses are also able to self-substantiate general level health claims but must notify FSANZ under the Standard. FSANZ does not assess, endorse or enforce these claims. Food businesses are required to establish a food-health relationship ‘by a process of systematic review’. </w:t>
      </w:r>
    </w:p>
    <w:p w14:paraId="509EF934" w14:textId="451D34FF" w:rsidR="004E3224" w:rsidRDefault="004E3224" w:rsidP="004E3224">
      <w:pPr>
        <w:pStyle w:val="Bullet"/>
      </w:pPr>
      <w:r w:rsidRPr="00A36C1F">
        <w:rPr>
          <w:rFonts w:asciiTheme="majorHAnsi" w:hAnsiTheme="majorHAnsi" w:cstheme="majorHAnsi"/>
        </w:rPr>
        <w:t>high level health claims</w:t>
      </w:r>
      <w:r w:rsidRPr="00A36C1F">
        <w:rPr>
          <w:i/>
        </w:rPr>
        <w:t xml:space="preserve"> </w:t>
      </w:r>
      <w:r>
        <w:t xml:space="preserve">refer to a </w:t>
      </w:r>
      <w:r w:rsidR="009279C6">
        <w:t xml:space="preserve">food or </w:t>
      </w:r>
      <w:r>
        <w:t>substance in a food and its relationship to a serious disease or biomarker of a serious disease. High level claims are permitted under the Standard and must be based on a food-health relationship pre</w:t>
      </w:r>
      <w:r w:rsidR="009B34C6">
        <w:t>-</w:t>
      </w:r>
      <w:r>
        <w:t xml:space="preserve">approved by FSANZ. There are currently 13 </w:t>
      </w:r>
      <w:r w:rsidR="000B73C9">
        <w:t>food-health relationships</w:t>
      </w:r>
      <w:r>
        <w:t xml:space="preserve"> that are pre-approved. Specific statutory processes for high level health claims variations are set out in the Act. New food-health relationships for high level health claims can be established following assessment of </w:t>
      </w:r>
      <w:r w:rsidR="000B73C9">
        <w:t>an application</w:t>
      </w:r>
      <w:r>
        <w:t xml:space="preserve"> to change food standards which includes consideration by the High Level Health Claims Committee. </w:t>
      </w:r>
    </w:p>
    <w:p w14:paraId="306BCB31" w14:textId="42737D6F" w:rsidR="004F650E" w:rsidRDefault="00394110" w:rsidP="00274C67">
      <w:pPr>
        <w:rPr>
          <w:lang w:eastAsia="en-AU"/>
        </w:rPr>
      </w:pPr>
      <w:r>
        <w:rPr>
          <w:lang w:eastAsia="en-AU"/>
        </w:rPr>
        <w:t>Anecdotally,</w:t>
      </w:r>
      <w:r w:rsidR="000B73C9">
        <w:rPr>
          <w:lang w:eastAsia="en-AU"/>
        </w:rPr>
        <w:t xml:space="preserve"> some</w:t>
      </w:r>
      <w:r>
        <w:rPr>
          <w:lang w:eastAsia="en-AU"/>
        </w:rPr>
        <w:t xml:space="preserve"> </w:t>
      </w:r>
      <w:r w:rsidR="003F56F0">
        <w:rPr>
          <w:lang w:eastAsia="en-AU"/>
        </w:rPr>
        <w:t xml:space="preserve">Australian </w:t>
      </w:r>
      <w:r w:rsidR="009716B3">
        <w:rPr>
          <w:lang w:eastAsia="en-AU"/>
        </w:rPr>
        <w:t xml:space="preserve">stakeholders observe that making a general level health claim under the Food Standards Code is relatively less onerous than regulation of therapeutic goods. </w:t>
      </w:r>
      <w:r>
        <w:rPr>
          <w:lang w:eastAsia="en-AU"/>
        </w:rPr>
        <w:t>T</w:t>
      </w:r>
      <w:r w:rsidR="009716B3">
        <w:rPr>
          <w:lang w:eastAsia="en-AU"/>
        </w:rPr>
        <w:t xml:space="preserve">his can lead to businesses seeing the food regulatory system as a ‘path of least resistance’, given inconsistent approaches to monitoring and enforcement of these claims. </w:t>
      </w:r>
      <w:r w:rsidR="00F53485">
        <w:rPr>
          <w:lang w:eastAsia="en-AU"/>
        </w:rPr>
        <w:t xml:space="preserve">Some </w:t>
      </w:r>
      <w:r w:rsidR="00AD2E64">
        <w:rPr>
          <w:lang w:eastAsia="en-AU"/>
        </w:rPr>
        <w:t xml:space="preserve">food businesses will therefore seek to </w:t>
      </w:r>
      <w:r w:rsidR="005F004C">
        <w:rPr>
          <w:lang w:eastAsia="en-AU"/>
        </w:rPr>
        <w:t>position</w:t>
      </w:r>
      <w:r w:rsidR="00AD2E64">
        <w:rPr>
          <w:lang w:eastAsia="en-AU"/>
        </w:rPr>
        <w:t xml:space="preserve"> their products as foods, and this can present real risks to consumers if</w:t>
      </w:r>
      <w:r w:rsidR="005C0BEF">
        <w:rPr>
          <w:lang w:eastAsia="en-AU"/>
        </w:rPr>
        <w:t xml:space="preserve"> products contain unsafe levels of certain </w:t>
      </w:r>
      <w:r w:rsidR="00C34199">
        <w:rPr>
          <w:lang w:eastAsia="en-AU"/>
        </w:rPr>
        <w:t>ingredients</w:t>
      </w:r>
      <w:r w:rsidR="005C0BEF">
        <w:rPr>
          <w:lang w:eastAsia="en-AU"/>
        </w:rPr>
        <w:t xml:space="preserve">, or if information </w:t>
      </w:r>
      <w:r w:rsidR="003648CB">
        <w:rPr>
          <w:lang w:eastAsia="en-AU"/>
        </w:rPr>
        <w:t>is misleading or incorrect</w:t>
      </w:r>
      <w:r w:rsidR="00274C67">
        <w:rPr>
          <w:lang w:eastAsia="en-AU"/>
        </w:rPr>
        <w:t>.</w:t>
      </w:r>
    </w:p>
    <w:p w14:paraId="165A385C" w14:textId="7618B155" w:rsidR="009716B3" w:rsidRDefault="009716B3" w:rsidP="009716B3">
      <w:pPr>
        <w:rPr>
          <w:lang w:eastAsia="en-AU"/>
        </w:rPr>
      </w:pPr>
      <w:r>
        <w:rPr>
          <w:lang w:eastAsia="en-AU"/>
        </w:rPr>
        <w:t>In New Zealand, MPI undertakes an in-depth evaluation of a ‘dossier of evidence’ to substantiate general level food</w:t>
      </w:r>
      <w:r w:rsidR="00AA03BF">
        <w:rPr>
          <w:lang w:eastAsia="en-AU"/>
        </w:rPr>
        <w:t>-</w:t>
      </w:r>
      <w:r>
        <w:rPr>
          <w:lang w:eastAsia="en-AU"/>
        </w:rPr>
        <w:t>health claims. If a food-health relationship is not substantiated, a food business may be required to ask FSANZ to remove the notified food</w:t>
      </w:r>
      <w:r w:rsidR="00E93334">
        <w:rPr>
          <w:lang w:eastAsia="en-AU"/>
        </w:rPr>
        <w:t>-</w:t>
      </w:r>
      <w:r>
        <w:rPr>
          <w:lang w:eastAsia="en-AU"/>
        </w:rPr>
        <w:t>health relationship</w:t>
      </w:r>
      <w:r w:rsidR="0077338C">
        <w:rPr>
          <w:lang w:eastAsia="en-AU"/>
        </w:rPr>
        <w:t>.</w:t>
      </w:r>
      <w:r>
        <w:rPr>
          <w:lang w:eastAsia="en-AU"/>
        </w:rPr>
        <w:t xml:space="preserve"> This provides more rigorous oversight than in Australia where there is no comparable assessment of such claims. </w:t>
      </w:r>
      <w:r w:rsidR="00D8190F">
        <w:rPr>
          <w:lang w:eastAsia="en-AU"/>
        </w:rPr>
        <w:t>New Zealand stakeholders raise specific concerns</w:t>
      </w:r>
      <w:r w:rsidR="00A07F91">
        <w:rPr>
          <w:lang w:eastAsia="en-AU"/>
        </w:rPr>
        <w:t xml:space="preserve">, however, about claims made </w:t>
      </w:r>
      <w:r w:rsidR="00F41AF4">
        <w:rPr>
          <w:lang w:eastAsia="en-AU"/>
        </w:rPr>
        <w:t xml:space="preserve">in relation to </w:t>
      </w:r>
      <w:r w:rsidR="00A539E1">
        <w:rPr>
          <w:lang w:eastAsia="en-AU"/>
        </w:rPr>
        <w:t>dietary supplements</w:t>
      </w:r>
      <w:r w:rsidR="00D15133">
        <w:rPr>
          <w:lang w:eastAsia="en-AU"/>
        </w:rPr>
        <w:t xml:space="preserve"> </w:t>
      </w:r>
      <w:r w:rsidR="007D38EF">
        <w:rPr>
          <w:lang w:eastAsia="en-AU"/>
        </w:rPr>
        <w:t>which are not subject to the sa</w:t>
      </w:r>
      <w:r w:rsidR="0082780F">
        <w:rPr>
          <w:lang w:eastAsia="en-AU"/>
        </w:rPr>
        <w:t xml:space="preserve">me degree of oversight. </w:t>
      </w:r>
      <w:r w:rsidR="007C4353" w:rsidRPr="00E7068E">
        <w:t>Currently, the Ministry of Health, with support from MPI, is developing a broader regulatory regime for natural health products</w:t>
      </w:r>
      <w:r w:rsidR="007C4353">
        <w:t xml:space="preserve">, including dietary supplements. </w:t>
      </w:r>
    </w:p>
    <w:p w14:paraId="1E30EC94" w14:textId="68D92A4D" w:rsidR="009716B3" w:rsidRDefault="009716B3" w:rsidP="009716B3">
      <w:pPr>
        <w:rPr>
          <w:lang w:eastAsia="en-AU"/>
        </w:rPr>
      </w:pPr>
      <w:r>
        <w:rPr>
          <w:lang w:eastAsia="en-AU"/>
        </w:rPr>
        <w:t>An added complexity in Australia is different approaches to enforcement by the jurisdictions and different capability and capacity which can lead to different regulatory approaches. A recent study</w:t>
      </w:r>
      <w:r>
        <w:rPr>
          <w:rStyle w:val="FootnoteReference"/>
          <w:lang w:eastAsia="en-AU"/>
        </w:rPr>
        <w:footnoteReference w:id="36"/>
      </w:r>
      <w:r>
        <w:rPr>
          <w:lang w:eastAsia="en-AU"/>
        </w:rPr>
        <w:t xml:space="preserve"> found: </w:t>
      </w:r>
    </w:p>
    <w:p w14:paraId="55F0A45C" w14:textId="77777777" w:rsidR="009716B3" w:rsidRPr="00437777" w:rsidRDefault="009716B3" w:rsidP="009716B3">
      <w:pPr>
        <w:pStyle w:val="Bullet"/>
      </w:pPr>
      <w:r w:rsidRPr="00437777">
        <w:t>substantial variations in the length of time for jurisdictions to investigate potential breaches of the health claims standard, ranging from 2-30 months</w:t>
      </w:r>
    </w:p>
    <w:p w14:paraId="0BDE38EA" w14:textId="77777777" w:rsidR="009716B3" w:rsidRPr="00437777" w:rsidRDefault="009716B3" w:rsidP="009716B3">
      <w:pPr>
        <w:pStyle w:val="Bullet"/>
      </w:pPr>
      <w:r w:rsidRPr="00437777">
        <w:t xml:space="preserve">inconsistencies in the evaluation of evidence dossiers and systematic literature reviews underpinned by inconsistent capacity of food regulators. </w:t>
      </w:r>
    </w:p>
    <w:p w14:paraId="673A142A" w14:textId="39D0D5C8" w:rsidR="009716B3" w:rsidRDefault="009A3CD4" w:rsidP="009716B3">
      <w:pPr>
        <w:pStyle w:val="Bullet"/>
        <w:numPr>
          <w:ilvl w:val="0"/>
          <w:numId w:val="0"/>
        </w:numPr>
      </w:pPr>
      <w:r>
        <w:t>S</w:t>
      </w:r>
      <w:r w:rsidR="009716B3">
        <w:t xml:space="preserve">takeholders consulted to date note that there may be a general view that a systematic literature review will not be assessed by an enforcement agency unless a complaint is made.  </w:t>
      </w:r>
    </w:p>
    <w:p w14:paraId="32868B32" w14:textId="3622682F" w:rsidR="002E062F" w:rsidRDefault="00525656" w:rsidP="002E062F">
      <w:pPr>
        <w:pStyle w:val="Bullet"/>
        <w:numPr>
          <w:ilvl w:val="0"/>
          <w:numId w:val="0"/>
        </w:numPr>
      </w:pPr>
      <w:r>
        <w:t>FSANZ’s</w:t>
      </w:r>
      <w:r w:rsidR="00205791">
        <w:t xml:space="preserve"> </w:t>
      </w:r>
      <w:r w:rsidR="00AB2F1A">
        <w:t xml:space="preserve">role in the </w:t>
      </w:r>
      <w:r w:rsidR="00205791">
        <w:t>oversight of food</w:t>
      </w:r>
      <w:r w:rsidR="0075434A">
        <w:t>-</w:t>
      </w:r>
      <w:r w:rsidR="00205791">
        <w:t xml:space="preserve">health claims is currently limited. </w:t>
      </w:r>
      <w:r w:rsidR="002E062F">
        <w:t xml:space="preserve">FSANZ publishes </w:t>
      </w:r>
      <w:r w:rsidR="00AB2F1A">
        <w:t>notified food-health relationships on its website,</w:t>
      </w:r>
      <w:r w:rsidR="002E062F">
        <w:t xml:space="preserve"> although it has no role in validating these. Some stakeholders engaged </w:t>
      </w:r>
      <w:r w:rsidR="002E062F">
        <w:lastRenderedPageBreak/>
        <w:t xml:space="preserve">to date have noted concerns that this approach may lead some consumers to mistakenly believe that this indicates FSANZ’s endorsement. </w:t>
      </w:r>
    </w:p>
    <w:p w14:paraId="547C3CC9" w14:textId="0572656C" w:rsidR="00EE439F" w:rsidRDefault="002E062F" w:rsidP="009716B3">
      <w:pPr>
        <w:pStyle w:val="Bullet"/>
        <w:numPr>
          <w:ilvl w:val="0"/>
          <w:numId w:val="0"/>
        </w:numPr>
      </w:pPr>
      <w:r>
        <w:t>FSANZ could potentially undertake a broader role in relation to food</w:t>
      </w:r>
      <w:r w:rsidR="00AA03BF">
        <w:t>-</w:t>
      </w:r>
      <w:r>
        <w:t xml:space="preserve">health claims to support more consistent and rigorous oversight. </w:t>
      </w:r>
    </w:p>
    <w:p w14:paraId="1CADE384" w14:textId="6369B18F" w:rsidR="009716B3" w:rsidRPr="00A00F62" w:rsidRDefault="009716B3" w:rsidP="00301914">
      <w:pPr>
        <w:pStyle w:val="Heading2"/>
        <w:ind w:left="851" w:hanging="709"/>
      </w:pPr>
      <w:bookmarkStart w:id="121" w:name="_Toc52179144"/>
      <w:r w:rsidRPr="00617773">
        <w:t xml:space="preserve">Three </w:t>
      </w:r>
      <w:r w:rsidR="004B0D09">
        <w:t>improvement opportunities</w:t>
      </w:r>
      <w:r w:rsidRPr="00617773">
        <w:t xml:space="preserve"> have been identified to address issues at the food</w:t>
      </w:r>
      <w:r w:rsidR="004B0D09">
        <w:t>-</w:t>
      </w:r>
      <w:r w:rsidRPr="00617773">
        <w:t>medicine interface.</w:t>
      </w:r>
      <w:bookmarkEnd w:id="121"/>
      <w:r w:rsidRPr="00617773">
        <w:t xml:space="preserve"> </w:t>
      </w:r>
    </w:p>
    <w:p w14:paraId="55FE11F9" w14:textId="3CFEF890" w:rsidR="009716B3" w:rsidRDefault="009716B3" w:rsidP="009716B3">
      <w:pPr>
        <w:pStyle w:val="Heading3"/>
      </w:pPr>
      <w:bookmarkStart w:id="122" w:name="_Ref51941794"/>
      <w:r>
        <w:t>Reform idea 18 – Focus efforts on improving the food</w:t>
      </w:r>
      <w:r w:rsidR="00786AD0">
        <w:t>-</w:t>
      </w:r>
      <w:r>
        <w:t>medicine interface through regulatory practice</w:t>
      </w:r>
      <w:bookmarkEnd w:id="122"/>
    </w:p>
    <w:p w14:paraId="36113F36" w14:textId="1C928E2C" w:rsidR="009716B3" w:rsidRDefault="009716B3" w:rsidP="009716B3">
      <w:r>
        <w:t xml:space="preserve">Under this </w:t>
      </w:r>
      <w:r w:rsidR="008E4435">
        <w:t>R</w:t>
      </w:r>
      <w:r>
        <w:t xml:space="preserve">eform idea, efforts to improve the food medicine interface would focus on regulatory practice, in particular refining the guidance tools described above. </w:t>
      </w:r>
      <w:r w:rsidR="00A97B38">
        <w:t xml:space="preserve">This work would be progressed outside the scope of the Review. </w:t>
      </w:r>
    </w:p>
    <w:p w14:paraId="4EB2CD1D" w14:textId="5A693E08" w:rsidR="009716B3" w:rsidRDefault="009716B3" w:rsidP="009716B3">
      <w:pPr>
        <w:pStyle w:val="Heading3"/>
      </w:pPr>
      <w:bookmarkStart w:id="123" w:name="_Ref51941796"/>
      <w:r>
        <w:t xml:space="preserve">Reform idea 19 – Broaden the role of FSANZ to assess general level </w:t>
      </w:r>
      <w:r w:rsidR="00AB2F1A">
        <w:t xml:space="preserve">health </w:t>
      </w:r>
      <w:r>
        <w:t>claims</w:t>
      </w:r>
      <w:bookmarkEnd w:id="123"/>
      <w:r>
        <w:t xml:space="preserve"> </w:t>
      </w:r>
    </w:p>
    <w:p w14:paraId="3C73AADA" w14:textId="77777777" w:rsidR="009716B3" w:rsidRDefault="009716B3" w:rsidP="009716B3">
      <w:pPr>
        <w:rPr>
          <w:lang w:eastAsia="en-AU"/>
        </w:rPr>
      </w:pPr>
      <w:r>
        <w:rPr>
          <w:lang w:eastAsia="en-AU"/>
        </w:rPr>
        <w:t xml:space="preserve">Under this reform idea, FSANZ would undertake a broader role with respect to general level health claims in Australia that aligns and integrates with, or is informed by, the MPI’s approach in New Zealand. This could seek to make regulation of such claims more rigorous and comparable with regulation of complementary medicines. </w:t>
      </w:r>
    </w:p>
    <w:p w14:paraId="3C6E3474" w14:textId="77777777" w:rsidR="009716B3" w:rsidRPr="00A378A5" w:rsidRDefault="009716B3" w:rsidP="009716B3">
      <w:pPr>
        <w:rPr>
          <w:lang w:eastAsia="en-AU"/>
        </w:rPr>
      </w:pPr>
      <w:r>
        <w:rPr>
          <w:lang w:eastAsia="en-AU"/>
        </w:rPr>
        <w:t xml:space="preserve">This reform idea could be operationalised in different ways:   </w:t>
      </w:r>
    </w:p>
    <w:p w14:paraId="6ADF1603" w14:textId="659E660B" w:rsidR="009716B3" w:rsidRDefault="009716B3" w:rsidP="009716B3">
      <w:pPr>
        <w:pStyle w:val="Bullet"/>
        <w:rPr>
          <w:lang w:val="en-US"/>
        </w:rPr>
      </w:pPr>
      <w:r w:rsidRPr="00B069EC">
        <w:rPr>
          <w:rFonts w:asciiTheme="majorHAnsi" w:hAnsiTheme="majorHAnsi"/>
        </w:rPr>
        <w:t>Resourcing FSANZ to take a greater role working with businesses in pre-market entry phase</w:t>
      </w:r>
      <w:r>
        <w:rPr>
          <w:rFonts w:asciiTheme="majorHAnsi" w:hAnsiTheme="majorHAnsi"/>
        </w:rPr>
        <w:t xml:space="preserve"> – </w:t>
      </w:r>
      <w:r>
        <w:rPr>
          <w:lang w:val="en-US"/>
        </w:rPr>
        <w:t>FSANZ’s role could be expanded to include assessment or evaluation of general level health claims. This could be achieved by amending</w:t>
      </w:r>
      <w:r w:rsidR="00AB2F1A">
        <w:rPr>
          <w:lang w:val="en-US"/>
        </w:rPr>
        <w:t xml:space="preserve"> the</w:t>
      </w:r>
      <w:r>
        <w:rPr>
          <w:lang w:val="en-US"/>
        </w:rPr>
        <w:t xml:space="preserve"> notification process in Standard 1.2.7 and by amending FSANZ’s functions in the Act to include </w:t>
      </w:r>
      <w:r w:rsidRPr="00736774">
        <w:rPr>
          <w:i/>
          <w:lang w:val="en-US"/>
        </w:rPr>
        <w:t>“assessment of general level health claims made by food businesses”.</w:t>
      </w:r>
      <w:r>
        <w:rPr>
          <w:lang w:val="en-US"/>
        </w:rPr>
        <w:t xml:space="preserve"> </w:t>
      </w:r>
      <w:r w:rsidRPr="0049756F">
        <w:rPr>
          <w:lang w:val="en-US"/>
        </w:rPr>
        <w:t xml:space="preserve">FSANZ could </w:t>
      </w:r>
      <w:r>
        <w:rPr>
          <w:lang w:val="en-US"/>
        </w:rPr>
        <w:t>assess</w:t>
      </w:r>
      <w:r w:rsidRPr="0049756F">
        <w:rPr>
          <w:lang w:val="en-US"/>
        </w:rPr>
        <w:t xml:space="preserve"> general level health claims </w:t>
      </w:r>
      <w:r>
        <w:rPr>
          <w:lang w:val="en-US"/>
        </w:rPr>
        <w:t>prior to market entry (i.e. as a pre-requisite for making the food-health claim) or through post-approval assessment</w:t>
      </w:r>
      <w:r w:rsidR="000A6005">
        <w:rPr>
          <w:lang w:val="en-US"/>
        </w:rPr>
        <w:t xml:space="preserve"> (i.e. prohibiting claims that cannot be substantiated). </w:t>
      </w:r>
      <w:r>
        <w:rPr>
          <w:lang w:val="en-US"/>
        </w:rPr>
        <w:t xml:space="preserve"> </w:t>
      </w:r>
    </w:p>
    <w:p w14:paraId="0B5C630F" w14:textId="6DDA807F" w:rsidR="009716B3" w:rsidRPr="0049756F" w:rsidRDefault="009716B3" w:rsidP="009716B3">
      <w:pPr>
        <w:pStyle w:val="Bullet"/>
        <w:rPr>
          <w:rFonts w:asciiTheme="majorHAnsi" w:hAnsiTheme="majorHAnsi"/>
        </w:rPr>
      </w:pPr>
      <w:r>
        <w:rPr>
          <w:rFonts w:asciiTheme="majorHAnsi" w:hAnsiTheme="majorHAnsi"/>
        </w:rPr>
        <w:t xml:space="preserve">Providing greater support to food businesses to understand their obligations – </w:t>
      </w:r>
      <w:r w:rsidRPr="00E56EF3">
        <w:rPr>
          <w:rFonts w:asciiTheme="minorHAnsi" w:hAnsiTheme="minorHAnsi" w:cstheme="minorHAnsi"/>
        </w:rPr>
        <w:t>FSANZ could have a more hands-on role working with food businesses, especially small business</w:t>
      </w:r>
      <w:r w:rsidR="005342E0">
        <w:rPr>
          <w:rFonts w:asciiTheme="minorHAnsi" w:hAnsiTheme="minorHAnsi" w:cstheme="minorHAnsi"/>
        </w:rPr>
        <w:t>es</w:t>
      </w:r>
      <w:r w:rsidRPr="00E56EF3">
        <w:rPr>
          <w:rFonts w:asciiTheme="minorHAnsi" w:hAnsiTheme="minorHAnsi" w:cstheme="minorHAnsi"/>
        </w:rPr>
        <w:t xml:space="preserve">, to understand their obligations </w:t>
      </w:r>
      <w:r>
        <w:rPr>
          <w:rFonts w:asciiTheme="minorHAnsi" w:hAnsiTheme="minorHAnsi" w:cstheme="minorHAnsi"/>
        </w:rPr>
        <w:t xml:space="preserve">when self-substantiating a </w:t>
      </w:r>
      <w:r w:rsidR="003A7517">
        <w:rPr>
          <w:rFonts w:asciiTheme="minorHAnsi" w:hAnsiTheme="minorHAnsi" w:cstheme="minorHAnsi"/>
        </w:rPr>
        <w:t xml:space="preserve">general </w:t>
      </w:r>
      <w:r w:rsidR="00AB2F1A">
        <w:rPr>
          <w:rFonts w:asciiTheme="minorHAnsi" w:hAnsiTheme="minorHAnsi" w:cstheme="minorHAnsi"/>
        </w:rPr>
        <w:t xml:space="preserve">level </w:t>
      </w:r>
      <w:r w:rsidR="003A7517">
        <w:rPr>
          <w:rFonts w:asciiTheme="minorHAnsi" w:hAnsiTheme="minorHAnsi" w:cstheme="minorHAnsi"/>
        </w:rPr>
        <w:t>health</w:t>
      </w:r>
      <w:r>
        <w:rPr>
          <w:rFonts w:asciiTheme="minorHAnsi" w:hAnsiTheme="minorHAnsi" w:cstheme="minorHAnsi"/>
        </w:rPr>
        <w:t xml:space="preserve"> claim</w:t>
      </w:r>
      <w:r w:rsidRPr="00E56EF3">
        <w:rPr>
          <w:rFonts w:asciiTheme="minorHAnsi" w:hAnsiTheme="minorHAnsi" w:cstheme="minorHAnsi"/>
        </w:rPr>
        <w:t>.</w:t>
      </w:r>
      <w:r>
        <w:rPr>
          <w:rFonts w:asciiTheme="majorHAnsi" w:hAnsiTheme="majorHAnsi"/>
          <w:b/>
        </w:rPr>
        <w:t xml:space="preserve"> </w:t>
      </w:r>
    </w:p>
    <w:p w14:paraId="7250F490" w14:textId="3A47C39E" w:rsidR="009716B3" w:rsidRPr="005C5603" w:rsidRDefault="009716B3" w:rsidP="009716B3">
      <w:pPr>
        <w:pStyle w:val="Bullet"/>
        <w:rPr>
          <w:rFonts w:asciiTheme="majorHAnsi" w:hAnsiTheme="majorHAnsi"/>
        </w:rPr>
      </w:pPr>
      <w:r w:rsidRPr="00B069EC">
        <w:rPr>
          <w:rFonts w:asciiTheme="majorHAnsi" w:hAnsiTheme="majorHAnsi"/>
        </w:rPr>
        <w:t>Providing for FSANZ to take on regulatory responsibility for health claims</w:t>
      </w:r>
      <w:r>
        <w:rPr>
          <w:rFonts w:asciiTheme="majorHAnsi" w:hAnsiTheme="majorHAnsi"/>
        </w:rPr>
        <w:t xml:space="preserve"> – </w:t>
      </w:r>
      <w:r w:rsidRPr="00547519">
        <w:rPr>
          <w:rFonts w:asciiTheme="minorHAnsi" w:hAnsiTheme="minorHAnsi" w:cstheme="minorHAnsi"/>
        </w:rPr>
        <w:t xml:space="preserve">FSANZ could be responsible for enforcement of food-health claims (as discussed in </w:t>
      </w:r>
      <w:r>
        <w:rPr>
          <w:rFonts w:asciiTheme="minorHAnsi" w:hAnsiTheme="minorHAnsi" w:cstheme="minorHAnsi"/>
        </w:rPr>
        <w:t>S</w:t>
      </w:r>
      <w:r w:rsidRPr="00547519">
        <w:rPr>
          <w:rFonts w:asciiTheme="minorHAnsi" w:hAnsiTheme="minorHAnsi" w:cstheme="minorHAnsi"/>
        </w:rPr>
        <w:t xml:space="preserve">ection </w:t>
      </w:r>
      <w:r w:rsidRPr="00547519">
        <w:rPr>
          <w:rFonts w:asciiTheme="minorHAnsi" w:hAnsiTheme="minorHAnsi" w:cstheme="minorHAnsi"/>
        </w:rPr>
        <w:fldChar w:fldCharType="begin"/>
      </w:r>
      <w:r w:rsidRPr="00547519">
        <w:rPr>
          <w:rFonts w:asciiTheme="minorHAnsi" w:hAnsiTheme="minorHAnsi" w:cstheme="minorHAnsi"/>
        </w:rPr>
        <w:instrText xml:space="preserve"> REF _Ref51342120 \r \h </w:instrText>
      </w:r>
      <w:r>
        <w:rPr>
          <w:rFonts w:asciiTheme="minorHAnsi" w:hAnsiTheme="minorHAnsi" w:cstheme="minorHAnsi"/>
        </w:rPr>
        <w:instrText xml:space="preserve"> \* MERGEFORMAT </w:instrText>
      </w:r>
      <w:r w:rsidRPr="00547519">
        <w:rPr>
          <w:rFonts w:asciiTheme="minorHAnsi" w:hAnsiTheme="minorHAnsi" w:cstheme="minorHAnsi"/>
        </w:rPr>
      </w:r>
      <w:r w:rsidRPr="00547519">
        <w:rPr>
          <w:rFonts w:asciiTheme="minorHAnsi" w:hAnsiTheme="minorHAnsi" w:cstheme="minorHAnsi"/>
        </w:rPr>
        <w:fldChar w:fldCharType="separate"/>
      </w:r>
      <w:r w:rsidR="001C5CC6">
        <w:rPr>
          <w:rFonts w:asciiTheme="minorHAnsi" w:hAnsiTheme="minorHAnsi" w:cstheme="minorHAnsi"/>
        </w:rPr>
        <w:t>5.4.3</w:t>
      </w:r>
      <w:r w:rsidRPr="00547519">
        <w:rPr>
          <w:rFonts w:asciiTheme="minorHAnsi" w:hAnsiTheme="minorHAnsi" w:cstheme="minorHAnsi"/>
        </w:rPr>
        <w:fldChar w:fldCharType="end"/>
      </w:r>
      <w:r w:rsidRPr="00547519">
        <w:rPr>
          <w:rFonts w:asciiTheme="minorHAnsi" w:hAnsiTheme="minorHAnsi" w:cstheme="minorHAnsi"/>
        </w:rPr>
        <w:t xml:space="preserve"> above)</w:t>
      </w:r>
      <w:r>
        <w:rPr>
          <w:rFonts w:asciiTheme="minorHAnsi" w:hAnsiTheme="minorHAnsi" w:cstheme="minorHAnsi"/>
        </w:rPr>
        <w:t>.</w:t>
      </w:r>
      <w:r w:rsidRPr="00547519">
        <w:rPr>
          <w:rFonts w:asciiTheme="minorHAnsi" w:hAnsiTheme="minorHAnsi" w:cstheme="minorHAnsi"/>
        </w:rPr>
        <w:t xml:space="preserve"> </w:t>
      </w:r>
    </w:p>
    <w:p w14:paraId="26C32868" w14:textId="143975C4" w:rsidR="009716B3" w:rsidRPr="005F62F0" w:rsidRDefault="009716B3" w:rsidP="009716B3">
      <w:pPr>
        <w:pStyle w:val="Bullet"/>
        <w:rPr>
          <w:rFonts w:asciiTheme="majorHAnsi" w:hAnsiTheme="majorHAnsi"/>
        </w:rPr>
      </w:pPr>
      <w:r>
        <w:rPr>
          <w:rFonts w:asciiTheme="majorHAnsi" w:hAnsiTheme="majorHAnsi"/>
        </w:rPr>
        <w:t xml:space="preserve">Provide interpretive advice about food-health claims to jurisdictions and industry – </w:t>
      </w:r>
      <w:r w:rsidRPr="00547519">
        <w:rPr>
          <w:rFonts w:asciiTheme="minorHAnsi" w:hAnsiTheme="minorHAnsi" w:cstheme="minorHAnsi"/>
        </w:rPr>
        <w:t xml:space="preserve">FSANZ could provide interpretive advice about health claims standards (consistent with </w:t>
      </w:r>
      <w:r>
        <w:rPr>
          <w:rFonts w:asciiTheme="minorHAnsi" w:hAnsiTheme="minorHAnsi" w:cstheme="minorHAnsi"/>
        </w:rPr>
        <w:t>the reform ideas</w:t>
      </w:r>
      <w:r w:rsidRPr="00547519">
        <w:rPr>
          <w:rFonts w:asciiTheme="minorHAnsi" w:hAnsiTheme="minorHAnsi" w:cstheme="minorHAnsi"/>
        </w:rPr>
        <w:t xml:space="preserve"> discussed in </w:t>
      </w:r>
      <w:r>
        <w:rPr>
          <w:rFonts w:asciiTheme="minorHAnsi" w:hAnsiTheme="minorHAnsi" w:cstheme="minorHAnsi"/>
        </w:rPr>
        <w:t>S</w:t>
      </w:r>
      <w:r w:rsidRPr="00547519">
        <w:rPr>
          <w:rFonts w:asciiTheme="minorHAnsi" w:hAnsiTheme="minorHAnsi" w:cstheme="minorHAnsi"/>
        </w:rPr>
        <w:t>ection</w:t>
      </w:r>
      <w:r>
        <w:rPr>
          <w:rFonts w:asciiTheme="minorHAnsi" w:hAnsiTheme="minorHAnsi" w:cstheme="minorHAnsi"/>
        </w:rPr>
        <w:t>s</w:t>
      </w:r>
      <w:r w:rsidRPr="00547519">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_Ref51342117 \r \h </w:instrText>
      </w:r>
      <w:r>
        <w:rPr>
          <w:rFonts w:asciiTheme="minorHAnsi" w:hAnsiTheme="minorHAnsi" w:cstheme="minorHAnsi"/>
        </w:rPr>
      </w:r>
      <w:r>
        <w:rPr>
          <w:rFonts w:asciiTheme="minorHAnsi" w:hAnsiTheme="minorHAnsi" w:cstheme="minorHAnsi"/>
        </w:rPr>
        <w:fldChar w:fldCharType="separate"/>
      </w:r>
      <w:r w:rsidR="001C5CC6">
        <w:rPr>
          <w:rFonts w:asciiTheme="minorHAnsi" w:hAnsiTheme="minorHAnsi" w:cstheme="minorHAnsi"/>
        </w:rPr>
        <w:t>5.4.1</w:t>
      </w:r>
      <w:r>
        <w:rPr>
          <w:rFonts w:asciiTheme="minorHAnsi" w:hAnsiTheme="minorHAnsi" w:cstheme="minorHAnsi"/>
        </w:rPr>
        <w:fldChar w:fldCharType="end"/>
      </w:r>
      <w:r>
        <w:rPr>
          <w:rFonts w:asciiTheme="minorHAnsi" w:hAnsiTheme="minorHAnsi" w:cstheme="minorHAnsi"/>
        </w:rPr>
        <w:t xml:space="preserve"> and </w:t>
      </w:r>
      <w:r>
        <w:rPr>
          <w:rFonts w:asciiTheme="minorHAnsi" w:hAnsiTheme="minorHAnsi" w:cstheme="minorHAnsi"/>
        </w:rPr>
        <w:fldChar w:fldCharType="begin"/>
      </w:r>
      <w:r>
        <w:rPr>
          <w:rFonts w:asciiTheme="minorHAnsi" w:hAnsiTheme="minorHAnsi" w:cstheme="minorHAnsi"/>
        </w:rPr>
        <w:instrText xml:space="preserve"> REF _Ref51342118 \r \h </w:instrText>
      </w:r>
      <w:r>
        <w:rPr>
          <w:rFonts w:asciiTheme="minorHAnsi" w:hAnsiTheme="minorHAnsi" w:cstheme="minorHAnsi"/>
        </w:rPr>
      </w:r>
      <w:r>
        <w:rPr>
          <w:rFonts w:asciiTheme="minorHAnsi" w:hAnsiTheme="minorHAnsi" w:cstheme="minorHAnsi"/>
        </w:rPr>
        <w:fldChar w:fldCharType="separate"/>
      </w:r>
      <w:r w:rsidR="001C5CC6">
        <w:rPr>
          <w:rFonts w:asciiTheme="minorHAnsi" w:hAnsiTheme="minorHAnsi" w:cstheme="minorHAnsi"/>
        </w:rPr>
        <w:t>5.4.2</w:t>
      </w:r>
      <w:r>
        <w:rPr>
          <w:rFonts w:asciiTheme="minorHAnsi" w:hAnsiTheme="minorHAnsi" w:cstheme="minorHAnsi"/>
        </w:rPr>
        <w:fldChar w:fldCharType="end"/>
      </w:r>
      <w:r w:rsidRPr="00547519">
        <w:rPr>
          <w:rFonts w:asciiTheme="minorHAnsi" w:hAnsiTheme="minorHAnsi" w:cstheme="minorHAnsi"/>
        </w:rPr>
        <w:t xml:space="preserve"> above). </w:t>
      </w:r>
    </w:p>
    <w:p w14:paraId="24C6BD04" w14:textId="77777777" w:rsidR="002A6E1E" w:rsidRDefault="009716B3" w:rsidP="009716B3">
      <w:pPr>
        <w:rPr>
          <w:lang w:eastAsia="en-AU"/>
        </w:rPr>
      </w:pPr>
      <w:r>
        <w:rPr>
          <w:lang w:eastAsia="en-AU"/>
        </w:rPr>
        <w:t xml:space="preserve">This reform idea could help to address issues that stakeholders engaged to date have raised about the food regulatory system being a ‘comparably less onerous’ than for therapeutic goods and, thus, a ‘path of least resistance’ for business. </w:t>
      </w:r>
    </w:p>
    <w:p w14:paraId="27F1ED6F" w14:textId="239AB777" w:rsidR="009716B3" w:rsidRDefault="009716B3" w:rsidP="009716B3">
      <w:pPr>
        <w:rPr>
          <w:lang w:eastAsia="en-AU"/>
        </w:rPr>
      </w:pPr>
      <w:r>
        <w:rPr>
          <w:lang w:eastAsia="en-AU"/>
        </w:rPr>
        <w:t xml:space="preserve">This </w:t>
      </w:r>
      <w:r w:rsidR="00602B26">
        <w:rPr>
          <w:lang w:eastAsia="en-AU"/>
        </w:rPr>
        <w:t>reform idea</w:t>
      </w:r>
      <w:r>
        <w:rPr>
          <w:lang w:eastAsia="en-AU"/>
        </w:rPr>
        <w:t xml:space="preserve"> could also help to reduce inconsistent interpretation and enforcement of health claims standards by the Australian jurisdictions, especially if FSANZ took on an enforcement role. </w:t>
      </w:r>
    </w:p>
    <w:p w14:paraId="072E7207" w14:textId="3C72E1B1" w:rsidR="009716B3" w:rsidRDefault="002A6E1E" w:rsidP="009716B3">
      <w:pPr>
        <w:rPr>
          <w:lang w:eastAsia="en-AU"/>
        </w:rPr>
      </w:pPr>
      <w:r>
        <w:rPr>
          <w:lang w:eastAsia="en-AU"/>
        </w:rPr>
        <w:lastRenderedPageBreak/>
        <w:t>On the other hand, t</w:t>
      </w:r>
      <w:r w:rsidR="009716B3">
        <w:rPr>
          <w:lang w:eastAsia="en-AU"/>
        </w:rPr>
        <w:t xml:space="preserve">his </w:t>
      </w:r>
      <w:r>
        <w:rPr>
          <w:lang w:eastAsia="en-AU"/>
        </w:rPr>
        <w:t>R</w:t>
      </w:r>
      <w:r w:rsidR="009716B3">
        <w:rPr>
          <w:lang w:eastAsia="en-AU"/>
        </w:rPr>
        <w:t>eform idea may increase the compliance burden for industry and</w:t>
      </w:r>
      <w:r w:rsidR="007A4E3E">
        <w:rPr>
          <w:lang w:eastAsia="en-AU"/>
        </w:rPr>
        <w:t xml:space="preserve"> </w:t>
      </w:r>
      <w:r w:rsidR="00545AEB">
        <w:rPr>
          <w:lang w:eastAsia="en-AU"/>
        </w:rPr>
        <w:t>–</w:t>
      </w:r>
      <w:r w:rsidR="009716B3">
        <w:rPr>
          <w:lang w:eastAsia="en-AU"/>
        </w:rPr>
        <w:t xml:space="preserve"> depending on the regime for assessing general level health claims</w:t>
      </w:r>
      <w:r w:rsidR="007A4E3E">
        <w:rPr>
          <w:lang w:eastAsia="en-AU"/>
        </w:rPr>
        <w:t xml:space="preserve"> </w:t>
      </w:r>
      <w:r w:rsidR="00545AEB">
        <w:rPr>
          <w:lang w:eastAsia="en-AU"/>
        </w:rPr>
        <w:t>–</w:t>
      </w:r>
      <w:r w:rsidR="009716B3">
        <w:rPr>
          <w:lang w:eastAsia="en-AU"/>
        </w:rPr>
        <w:t xml:space="preserve"> could hamper innovation and the ability to </w:t>
      </w:r>
      <w:r w:rsidR="007A4E3E">
        <w:rPr>
          <w:lang w:eastAsia="en-AU"/>
        </w:rPr>
        <w:t xml:space="preserve">bring </w:t>
      </w:r>
      <w:r w:rsidR="009716B3">
        <w:rPr>
          <w:lang w:eastAsia="en-AU"/>
        </w:rPr>
        <w:t xml:space="preserve">products to market. </w:t>
      </w:r>
    </w:p>
    <w:p w14:paraId="7DBCAFB0" w14:textId="77777777" w:rsidR="009E34A0" w:rsidRPr="00301914" w:rsidRDefault="009E34A0" w:rsidP="009E34A0">
      <w:pPr>
        <w:pStyle w:val="Heading3"/>
      </w:pPr>
      <w:bookmarkStart w:id="124" w:name="_Ref51945076"/>
      <w:bookmarkStart w:id="125" w:name="_Ref51941484"/>
      <w:r w:rsidRPr="00301914">
        <w:t>Reform idea 20 – Align definitions and powers in legislation</w:t>
      </w:r>
      <w:r w:rsidRPr="00F173D1">
        <w:t xml:space="preserve"> between therapeutic goods and foods</w:t>
      </w:r>
      <w:bookmarkEnd w:id="124"/>
    </w:p>
    <w:p w14:paraId="3267F490" w14:textId="1E491FB1" w:rsidR="0052192C" w:rsidRDefault="009E34A0" w:rsidP="009E34A0">
      <w:r>
        <w:t xml:space="preserve">Food is defined in s 5 of the </w:t>
      </w:r>
      <w:r w:rsidR="00FC3F43">
        <w:t xml:space="preserve">FSANZ </w:t>
      </w:r>
      <w:r>
        <w:t xml:space="preserve">Act in broad terms which include “any substance or thing of a kind used, or represented as being for use, for human consumption” (s 5(1)(a)). This excludes therapeutic goods within the meaning of the </w:t>
      </w:r>
      <w:r>
        <w:rPr>
          <w:i/>
        </w:rPr>
        <w:t xml:space="preserve">Therapeutic Goods Act </w:t>
      </w:r>
      <w:r>
        <w:t xml:space="preserve">(s 5(2)). </w:t>
      </w:r>
    </w:p>
    <w:p w14:paraId="4AACEB59" w14:textId="7F02360E" w:rsidR="009E34A0" w:rsidRDefault="0052192C" w:rsidP="009E34A0">
      <w:r>
        <w:t>Under the Act, t</w:t>
      </w:r>
      <w:r w:rsidR="009E34A0">
        <w:t xml:space="preserve">he </w:t>
      </w:r>
      <w:r w:rsidR="0053171E">
        <w:t xml:space="preserve">Australian </w:t>
      </w:r>
      <w:r w:rsidR="009E34A0">
        <w:t>Minister</w:t>
      </w:r>
      <w:r w:rsidR="0053171E">
        <w:t xml:space="preserve"> of Health</w:t>
      </w:r>
      <w:r w:rsidR="009E34A0">
        <w:t xml:space="preserve"> may make a declaration of what is food after consulting FSANZ (s 6). This definition is adopted in each of the Australian states and territory food legislative schemes.</w:t>
      </w:r>
      <w:r w:rsidR="00DC69CF">
        <w:rPr>
          <w:rStyle w:val="FootnoteReference"/>
        </w:rPr>
        <w:footnoteReference w:id="37"/>
      </w:r>
      <w:r w:rsidR="009E34A0">
        <w:t xml:space="preserve"> A similar definition is adopted in New Zealand’s </w:t>
      </w:r>
      <w:r w:rsidR="009E34A0">
        <w:rPr>
          <w:i/>
        </w:rPr>
        <w:t>Food Act 2014</w:t>
      </w:r>
      <w:r w:rsidR="009E34A0">
        <w:t xml:space="preserve"> that makes specific inclusions and exclusions relevant to the New Zealand context, including anything declared by the Governor-General to be food for the purposes of the Act. </w:t>
      </w:r>
    </w:p>
    <w:p w14:paraId="66CD8B46" w14:textId="5CEC630A" w:rsidR="009E34A0" w:rsidRDefault="009E34A0" w:rsidP="009E34A0">
      <w:r>
        <w:t xml:space="preserve">In Australia, the definition of ‘therapeutic goods’ in the </w:t>
      </w:r>
      <w:r>
        <w:rPr>
          <w:i/>
        </w:rPr>
        <w:t xml:space="preserve">Therapeutic Goods Act </w:t>
      </w:r>
      <w:r>
        <w:t xml:space="preserve">provides broader grounds for establishing a single source of truth on the definition of a therapeutic good. The definition excludes “goods for which there is a standard” under the FSANZ Act, as well as “goods which, in Australia or New Zealand, have a tradition of use as foods for humans in the form in which they are presented” (s 3(1)). The Secretary may declare that goods are or are not therapeutic goods for the purposes of the Act (s 7) and the Minister may exclude specified goods for the purposes of the Act (s 7AA). </w:t>
      </w:r>
    </w:p>
    <w:p w14:paraId="73A0672C" w14:textId="756032C9" w:rsidR="00113AB1" w:rsidRPr="004F7119" w:rsidRDefault="00372E68" w:rsidP="009E34A0">
      <w:r>
        <w:t xml:space="preserve">The FSANZ Act and </w:t>
      </w:r>
      <w:r>
        <w:rPr>
          <w:i/>
        </w:rPr>
        <w:t xml:space="preserve">Therapeutic Goods Act </w:t>
      </w:r>
      <w:r>
        <w:t xml:space="preserve">are both </w:t>
      </w:r>
      <w:r w:rsidR="00AD02D5">
        <w:t xml:space="preserve">currently </w:t>
      </w:r>
      <w:r>
        <w:t xml:space="preserve">administered by the </w:t>
      </w:r>
      <w:r w:rsidR="00584D4C">
        <w:t xml:space="preserve">Australian </w:t>
      </w:r>
      <w:r>
        <w:t xml:space="preserve">Minister for Health. </w:t>
      </w:r>
    </w:p>
    <w:p w14:paraId="7664E361" w14:textId="77777777" w:rsidR="009E34A0" w:rsidRDefault="009E34A0" w:rsidP="009E34A0">
      <w:r>
        <w:t xml:space="preserve">The definition of food in the FSANZ Act could be broadened to align with this in the following ways: </w:t>
      </w:r>
    </w:p>
    <w:p w14:paraId="1773F01C" w14:textId="77777777" w:rsidR="009E34A0" w:rsidRDefault="009E34A0" w:rsidP="009E34A0">
      <w:pPr>
        <w:pStyle w:val="Bullet"/>
      </w:pPr>
      <w:r w:rsidRPr="00017229">
        <w:rPr>
          <w:rFonts w:asciiTheme="majorHAnsi" w:hAnsiTheme="majorHAnsi" w:cstheme="majorHAnsi"/>
        </w:rPr>
        <w:t xml:space="preserve">Provide for determination of what is </w:t>
      </w:r>
      <w:r w:rsidRPr="00BC160D">
        <w:rPr>
          <w:rFonts w:asciiTheme="majorHAnsi" w:hAnsiTheme="majorHAnsi" w:cstheme="majorHAnsi"/>
          <w:i/>
        </w:rPr>
        <w:t>not</w:t>
      </w:r>
      <w:r w:rsidRPr="00017229">
        <w:rPr>
          <w:rFonts w:asciiTheme="majorHAnsi" w:hAnsiTheme="majorHAnsi" w:cstheme="majorHAnsi"/>
        </w:rPr>
        <w:t xml:space="preserve"> a food</w:t>
      </w:r>
      <w:r>
        <w:t xml:space="preserve"> – The Ministerial power to determine a product as a food under s 6 could be broadened to determine that a product is not a food for the purposes of the Act to specifically exclude items. The New Zealand Governor General already has this power under the </w:t>
      </w:r>
      <w:r>
        <w:rPr>
          <w:i/>
        </w:rPr>
        <w:t xml:space="preserve">Food Act 2014. </w:t>
      </w:r>
    </w:p>
    <w:bookmarkEnd w:id="125"/>
    <w:p w14:paraId="55CF1CFD" w14:textId="12C51753" w:rsidR="009E34A0" w:rsidRPr="00017229" w:rsidRDefault="009E34A0" w:rsidP="009E34A0">
      <w:pPr>
        <w:pStyle w:val="Bullet"/>
        <w:rPr>
          <w:rFonts w:asciiTheme="majorHAnsi" w:hAnsiTheme="majorHAnsi" w:cstheme="majorHAnsi"/>
        </w:rPr>
      </w:pPr>
      <w:r w:rsidRPr="00017229">
        <w:rPr>
          <w:rFonts w:asciiTheme="majorHAnsi" w:hAnsiTheme="majorHAnsi" w:cstheme="majorHAnsi"/>
        </w:rPr>
        <w:t xml:space="preserve">Provide for broader basis for interpretation of what constitutes a therapeutic good </w:t>
      </w:r>
      <w:r>
        <w:rPr>
          <w:rFonts w:asciiTheme="majorHAnsi" w:hAnsiTheme="majorHAnsi" w:cstheme="majorHAnsi"/>
        </w:rPr>
        <w:t xml:space="preserve">– </w:t>
      </w:r>
      <w:r>
        <w:rPr>
          <w:rFonts w:asciiTheme="minorHAnsi" w:hAnsiTheme="minorHAnsi" w:cstheme="minorHAnsi"/>
        </w:rPr>
        <w:t>The provision</w:t>
      </w:r>
      <w:r w:rsidR="001A33EE">
        <w:rPr>
          <w:rFonts w:asciiTheme="minorHAnsi" w:hAnsiTheme="minorHAnsi" w:cstheme="minorHAnsi"/>
        </w:rPr>
        <w:t xml:space="preserve"> within the Act</w:t>
      </w:r>
      <w:r>
        <w:rPr>
          <w:rFonts w:asciiTheme="minorHAnsi" w:hAnsiTheme="minorHAnsi" w:cstheme="minorHAnsi"/>
        </w:rPr>
        <w:t xml:space="preserve"> that excludes therapeutic goods </w:t>
      </w:r>
      <w:r w:rsidR="008F537F">
        <w:rPr>
          <w:rFonts w:asciiTheme="minorHAnsi" w:hAnsiTheme="minorHAnsi" w:cstheme="minorHAnsi"/>
        </w:rPr>
        <w:t xml:space="preserve">from the </w:t>
      </w:r>
      <w:r w:rsidR="00D014D8">
        <w:rPr>
          <w:rFonts w:asciiTheme="minorHAnsi" w:hAnsiTheme="minorHAnsi" w:cstheme="minorHAnsi"/>
        </w:rPr>
        <w:t xml:space="preserve">definition of ‘food’ </w:t>
      </w:r>
      <w:r>
        <w:rPr>
          <w:rFonts w:asciiTheme="minorHAnsi" w:hAnsiTheme="minorHAnsi" w:cstheme="minorHAnsi"/>
        </w:rPr>
        <w:t xml:space="preserve">could be broadened. This could mirror the language in the </w:t>
      </w:r>
      <w:r>
        <w:rPr>
          <w:rFonts w:asciiTheme="minorHAnsi" w:hAnsiTheme="minorHAnsi" w:cstheme="minorHAnsi"/>
          <w:i/>
        </w:rPr>
        <w:t xml:space="preserve">Therapeutic Goods Act </w:t>
      </w:r>
      <w:r>
        <w:rPr>
          <w:rFonts w:asciiTheme="minorHAnsi" w:hAnsiTheme="minorHAnsi" w:cstheme="minorHAnsi"/>
        </w:rPr>
        <w:t xml:space="preserve">to exclude goods which “have a tradition of use as therapeutic goods in the form in which they are presented.” </w:t>
      </w:r>
      <w:r>
        <w:rPr>
          <w:rFonts w:asciiTheme="minorHAnsi" w:hAnsiTheme="minorHAnsi" w:cstheme="minorHAnsi"/>
          <w:i/>
        </w:rPr>
        <w:t xml:space="preserve"> </w:t>
      </w:r>
      <w:r>
        <w:rPr>
          <w:rFonts w:asciiTheme="minorHAnsi" w:hAnsiTheme="minorHAnsi" w:cstheme="minorHAnsi"/>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9716B3" w14:paraId="47480756" w14:textId="77777777" w:rsidTr="00525656">
        <w:tc>
          <w:tcPr>
            <w:tcW w:w="9055" w:type="dxa"/>
            <w:shd w:val="clear" w:color="auto" w:fill="00264D" w:themeFill="background2"/>
          </w:tcPr>
          <w:p w14:paraId="3D6E0653" w14:textId="77777777" w:rsidR="009716B3" w:rsidRPr="00301914" w:rsidRDefault="009716B3" w:rsidP="00AD02D5">
            <w:pPr>
              <w:pStyle w:val="longformcalloutnumber"/>
              <w:numPr>
                <w:ilvl w:val="0"/>
                <w:numId w:val="0"/>
              </w:numPr>
              <w:rPr>
                <w:rFonts w:asciiTheme="minorHAnsi" w:hAnsiTheme="minorHAnsi" w:cstheme="minorHAnsi"/>
                <w:b/>
                <w:color w:val="FFFFFF" w:themeColor="background1"/>
              </w:rPr>
            </w:pPr>
            <w:r w:rsidRPr="00301914">
              <w:rPr>
                <w:rFonts w:asciiTheme="minorHAnsi" w:hAnsiTheme="minorHAnsi" w:cstheme="minorHAnsi"/>
                <w:b/>
                <w:color w:val="FFFFFF" w:themeColor="background1"/>
              </w:rPr>
              <w:t>Discussion questions:</w:t>
            </w:r>
          </w:p>
          <w:p w14:paraId="40F56C01" w14:textId="29635011" w:rsidR="009716B3" w:rsidRDefault="00B2566F" w:rsidP="00760794">
            <w:pPr>
              <w:pStyle w:val="ListParagraph"/>
              <w:numPr>
                <w:ilvl w:val="0"/>
                <w:numId w:val="15"/>
              </w:numPr>
              <w:spacing w:line="259" w:lineRule="auto"/>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To what degree is the food</w:t>
            </w:r>
            <w:r w:rsidR="001A33EE">
              <w:rPr>
                <w:rFonts w:asciiTheme="minorHAnsi" w:hAnsiTheme="minorHAnsi" w:cstheme="minorHAnsi"/>
                <w:color w:val="FFFFFF" w:themeColor="background1"/>
                <w:lang w:eastAsia="en-AU"/>
              </w:rPr>
              <w:t>-</w:t>
            </w:r>
            <w:r>
              <w:rPr>
                <w:rFonts w:asciiTheme="minorHAnsi" w:hAnsiTheme="minorHAnsi" w:cstheme="minorHAnsi"/>
                <w:color w:val="FFFFFF" w:themeColor="background1"/>
                <w:lang w:eastAsia="en-AU"/>
              </w:rPr>
              <w:t xml:space="preserve">medicine interface and the oversight of health claims an issue for the system? What are the types of problems that different stakeholder groups face as a consequence? </w:t>
            </w:r>
          </w:p>
          <w:p w14:paraId="223D31A4" w14:textId="77777777" w:rsidR="009716B3" w:rsidRDefault="009716B3" w:rsidP="00525656">
            <w:pPr>
              <w:pStyle w:val="ListParagraph"/>
              <w:spacing w:line="259" w:lineRule="auto"/>
              <w:rPr>
                <w:rFonts w:asciiTheme="minorHAnsi" w:hAnsiTheme="minorHAnsi" w:cstheme="minorHAnsi"/>
                <w:color w:val="FFFFFF" w:themeColor="background1"/>
                <w:lang w:eastAsia="en-AU"/>
              </w:rPr>
            </w:pPr>
          </w:p>
          <w:p w14:paraId="20A61ACD" w14:textId="3C600B23" w:rsidR="009716B3" w:rsidRPr="00BB6625" w:rsidRDefault="009716B3" w:rsidP="00760794">
            <w:pPr>
              <w:pStyle w:val="ListParagraph"/>
              <w:numPr>
                <w:ilvl w:val="0"/>
                <w:numId w:val="15"/>
              </w:numPr>
              <w:spacing w:line="259" w:lineRule="auto"/>
              <w:rPr>
                <w:rFonts w:asciiTheme="minorHAnsi" w:hAnsiTheme="minorHAnsi" w:cstheme="minorHAnsi"/>
                <w:color w:val="FFFFFF" w:themeColor="background1"/>
                <w:lang w:eastAsia="en-AU"/>
              </w:rPr>
            </w:pPr>
            <w:r w:rsidRPr="000F0E87">
              <w:rPr>
                <w:rFonts w:asciiTheme="minorHAnsi" w:hAnsiTheme="minorHAnsi" w:cstheme="minorHAnsi"/>
                <w:color w:val="FFFFFF" w:themeColor="background1"/>
                <w:lang w:eastAsia="en-AU"/>
              </w:rPr>
              <w:t xml:space="preserve">What would be the impact (positive, negative or otherwise) of implementing each of the </w:t>
            </w:r>
            <w:r>
              <w:rPr>
                <w:rFonts w:asciiTheme="minorHAnsi" w:hAnsiTheme="minorHAnsi" w:cstheme="minorHAnsi"/>
                <w:color w:val="FFFFFF" w:themeColor="background1"/>
                <w:lang w:eastAsia="en-AU"/>
              </w:rPr>
              <w:t>reform ideas</w:t>
            </w:r>
            <w:r w:rsidRPr="000F0E87">
              <w:rPr>
                <w:rFonts w:asciiTheme="minorHAnsi" w:hAnsiTheme="minorHAnsi" w:cstheme="minorHAnsi"/>
                <w:color w:val="FFFFFF" w:themeColor="background1"/>
                <w:lang w:eastAsia="en-AU"/>
              </w:rPr>
              <w:t xml:space="preserve"> </w:t>
            </w:r>
            <w:r w:rsidRPr="00BB6625">
              <w:rPr>
                <w:rFonts w:asciiTheme="minorHAnsi" w:hAnsiTheme="minorHAnsi" w:cstheme="minorHAnsi"/>
                <w:color w:val="FFFFFF" w:themeColor="background1"/>
                <w:lang w:eastAsia="en-AU"/>
              </w:rPr>
              <w:t xml:space="preserve">below? How could the outcome specified for each </w:t>
            </w:r>
            <w:r>
              <w:rPr>
                <w:rFonts w:asciiTheme="minorHAnsi" w:hAnsiTheme="minorHAnsi" w:cstheme="minorHAnsi"/>
                <w:color w:val="FFFFFF" w:themeColor="background1"/>
                <w:lang w:eastAsia="en-AU"/>
              </w:rPr>
              <w:t>reform idea best b</w:t>
            </w:r>
            <w:r w:rsidRPr="00BB6625">
              <w:rPr>
                <w:rFonts w:asciiTheme="minorHAnsi" w:hAnsiTheme="minorHAnsi" w:cstheme="minorHAnsi"/>
                <w:color w:val="FFFFFF" w:themeColor="background1"/>
                <w:lang w:eastAsia="en-AU"/>
              </w:rPr>
              <w:t>e achieved?</w:t>
            </w:r>
          </w:p>
          <w:p w14:paraId="1F5EE31F" w14:textId="370F2757" w:rsidR="009716B3" w:rsidRPr="00FE495F" w:rsidRDefault="008E1239" w:rsidP="0091708A">
            <w:pPr>
              <w:pStyle w:val="Bullet"/>
              <w:numPr>
                <w:ilvl w:val="0"/>
                <w:numId w:val="33"/>
              </w:numPr>
              <w:rPr>
                <w:color w:val="FFFFFF" w:themeColor="background1"/>
              </w:rPr>
            </w:pPr>
            <w:r w:rsidRPr="00FE495F">
              <w:rPr>
                <w:color w:val="FFFFFF" w:themeColor="background1"/>
              </w:rPr>
              <w:fldChar w:fldCharType="begin"/>
            </w:r>
            <w:r w:rsidRPr="00FE495F">
              <w:rPr>
                <w:color w:val="FFFFFF" w:themeColor="background1"/>
              </w:rPr>
              <w:instrText xml:space="preserve"> REF _Ref51941794 \h </w:instrText>
            </w:r>
            <w:r w:rsidR="0091708A" w:rsidRPr="00FE495F">
              <w:rPr>
                <w:color w:val="FFFFFF" w:themeColor="background1"/>
              </w:rPr>
              <w:instrText xml:space="preserve"> \* MERGEFORMAT </w:instrText>
            </w:r>
            <w:r w:rsidRPr="00FE495F">
              <w:rPr>
                <w:color w:val="FFFFFF" w:themeColor="background1"/>
              </w:rPr>
            </w:r>
            <w:r w:rsidRPr="00FE495F">
              <w:rPr>
                <w:color w:val="FFFFFF" w:themeColor="background1"/>
              </w:rPr>
              <w:fldChar w:fldCharType="separate"/>
            </w:r>
            <w:r w:rsidR="001C5CC6" w:rsidRPr="001C5CC6">
              <w:rPr>
                <w:color w:val="FFFFFF" w:themeColor="background1"/>
              </w:rPr>
              <w:t xml:space="preserve">Reform idea 18 – Focus efforts on improving the food-medicine interface through regulatory </w:t>
            </w:r>
            <w:r w:rsidR="001C5CC6" w:rsidRPr="001C5CC6">
              <w:rPr>
                <w:color w:val="FFFFFF" w:themeColor="background1"/>
              </w:rPr>
              <w:lastRenderedPageBreak/>
              <w:t>practice</w:t>
            </w:r>
            <w:r w:rsidRPr="00FE495F">
              <w:rPr>
                <w:color w:val="FFFFFF" w:themeColor="background1"/>
              </w:rPr>
              <w:fldChar w:fldCharType="end"/>
            </w:r>
          </w:p>
          <w:p w14:paraId="285C4324" w14:textId="4C9863FE" w:rsidR="008E1239" w:rsidRPr="00FF73FE" w:rsidRDefault="008E1239" w:rsidP="00E7068E">
            <w:pPr>
              <w:pStyle w:val="Bullet"/>
              <w:numPr>
                <w:ilvl w:val="0"/>
                <w:numId w:val="33"/>
              </w:numPr>
              <w:rPr>
                <w:color w:val="FFFFFF" w:themeColor="background1"/>
              </w:rPr>
            </w:pPr>
            <w:r w:rsidRPr="00FF73FE">
              <w:rPr>
                <w:color w:val="FFFFFF" w:themeColor="background1"/>
              </w:rPr>
              <w:fldChar w:fldCharType="begin"/>
            </w:r>
            <w:r w:rsidRPr="00FF73FE">
              <w:rPr>
                <w:color w:val="FFFFFF" w:themeColor="background1"/>
              </w:rPr>
              <w:instrText xml:space="preserve"> REF _Ref51941796 \h </w:instrText>
            </w:r>
            <w:r w:rsidRPr="00FF73FE">
              <w:rPr>
                <w:color w:val="FFFFFF" w:themeColor="background1"/>
              </w:rPr>
            </w:r>
            <w:r w:rsidRPr="00FF73FE">
              <w:rPr>
                <w:color w:val="FFFFFF" w:themeColor="background1"/>
              </w:rPr>
              <w:fldChar w:fldCharType="separate"/>
            </w:r>
            <w:r w:rsidR="001C5CC6" w:rsidRPr="00FF73FE">
              <w:rPr>
                <w:color w:val="FFFFFF" w:themeColor="background1"/>
              </w:rPr>
              <w:t>Reform idea 19 – Broaden the role of FSANZ to assess general level health claims</w:t>
            </w:r>
            <w:r w:rsidRPr="00FF73FE">
              <w:rPr>
                <w:color w:val="FFFFFF" w:themeColor="background1"/>
              </w:rPr>
              <w:fldChar w:fldCharType="end"/>
            </w:r>
          </w:p>
          <w:p w14:paraId="55CD7BB5" w14:textId="7B127DD4" w:rsidR="005473B7" w:rsidRPr="00FF73FE" w:rsidRDefault="00F173D1" w:rsidP="00E7068E">
            <w:pPr>
              <w:pStyle w:val="Bullet"/>
              <w:numPr>
                <w:ilvl w:val="0"/>
                <w:numId w:val="33"/>
              </w:numPr>
              <w:rPr>
                <w:color w:val="FFFFFF" w:themeColor="background1"/>
              </w:rPr>
            </w:pPr>
            <w:r w:rsidRPr="00FF73FE">
              <w:rPr>
                <w:rFonts w:eastAsiaTheme="minorHAnsi"/>
                <w:color w:val="FFFFFF" w:themeColor="background1"/>
                <w:szCs w:val="22"/>
                <w:lang w:eastAsia="en-US"/>
              </w:rPr>
              <w:fldChar w:fldCharType="begin"/>
            </w:r>
            <w:r w:rsidRPr="00FF73FE">
              <w:rPr>
                <w:rFonts w:eastAsiaTheme="minorHAnsi"/>
                <w:color w:val="FFFFFF" w:themeColor="background1"/>
              </w:rPr>
              <w:instrText xml:space="preserve"> REF _Ref51945076 \h </w:instrText>
            </w:r>
            <w:r w:rsidR="003D2365" w:rsidRPr="00FF73FE">
              <w:rPr>
                <w:color w:val="FFFFFF" w:themeColor="background1"/>
              </w:rPr>
              <w:instrText xml:space="preserve"> \* MERGEFORMAT </w:instrText>
            </w:r>
            <w:r w:rsidRPr="00FF73FE">
              <w:rPr>
                <w:rFonts w:eastAsiaTheme="minorHAnsi"/>
                <w:color w:val="FFFFFF" w:themeColor="background1"/>
                <w:szCs w:val="22"/>
                <w:lang w:eastAsia="en-US"/>
              </w:rPr>
            </w:r>
            <w:r w:rsidRPr="00FF73FE">
              <w:rPr>
                <w:rFonts w:eastAsiaTheme="minorHAnsi"/>
                <w:color w:val="FFFFFF" w:themeColor="background1"/>
                <w:szCs w:val="22"/>
                <w:lang w:eastAsia="en-US"/>
              </w:rPr>
              <w:fldChar w:fldCharType="separate"/>
            </w:r>
            <w:r w:rsidR="001C5CC6" w:rsidRPr="00FF73FE">
              <w:rPr>
                <w:rFonts w:eastAsiaTheme="minorHAnsi"/>
                <w:color w:val="FFFFFF" w:themeColor="background1"/>
              </w:rPr>
              <w:t>Reform idea 20 – Align definitions and powers in legislation between therapeutic goods and foods</w:t>
            </w:r>
            <w:r w:rsidRPr="00FF73FE">
              <w:rPr>
                <w:rFonts w:eastAsiaTheme="minorHAnsi"/>
                <w:color w:val="FFFFFF" w:themeColor="background1"/>
                <w:szCs w:val="22"/>
                <w:lang w:eastAsia="en-US"/>
              </w:rPr>
              <w:fldChar w:fldCharType="end"/>
            </w:r>
            <w:bookmarkStart w:id="126" w:name="_Ref51487683"/>
          </w:p>
          <w:p w14:paraId="1174C220" w14:textId="46A6A170" w:rsidR="009716B3" w:rsidRPr="005473B7" w:rsidRDefault="009716B3" w:rsidP="00760794">
            <w:pPr>
              <w:pStyle w:val="ListParagraph"/>
              <w:numPr>
                <w:ilvl w:val="0"/>
                <w:numId w:val="15"/>
              </w:numPr>
              <w:rPr>
                <w:rFonts w:asciiTheme="minorHAnsi" w:hAnsiTheme="minorHAnsi" w:cstheme="minorHAnsi"/>
                <w:color w:val="FFFFFF" w:themeColor="background1"/>
                <w:lang w:eastAsia="en-AU"/>
              </w:rPr>
            </w:pPr>
            <w:r w:rsidRPr="005473B7">
              <w:rPr>
                <w:rFonts w:asciiTheme="minorHAnsi" w:hAnsiTheme="minorHAnsi" w:cstheme="minorHAnsi"/>
                <w:color w:val="FFFFFF" w:themeColor="background1"/>
                <w:lang w:eastAsia="en-AU"/>
              </w:rPr>
              <w:t xml:space="preserve">Are there other </w:t>
            </w:r>
            <w:r w:rsidR="00B2566F" w:rsidRPr="005473B7">
              <w:rPr>
                <w:rFonts w:asciiTheme="minorHAnsi" w:hAnsiTheme="minorHAnsi" w:cstheme="minorHAnsi"/>
                <w:color w:val="FFFFFF" w:themeColor="background1"/>
                <w:lang w:eastAsia="en-AU"/>
              </w:rPr>
              <w:t>potential solutions</w:t>
            </w:r>
            <w:r w:rsidRPr="005473B7">
              <w:rPr>
                <w:rFonts w:asciiTheme="minorHAnsi" w:hAnsiTheme="minorHAnsi" w:cstheme="minorHAnsi"/>
                <w:color w:val="FFFFFF" w:themeColor="background1"/>
                <w:lang w:eastAsia="en-AU"/>
              </w:rPr>
              <w:t xml:space="preserve"> relating to improving the food</w:t>
            </w:r>
            <w:r w:rsidR="001A33EE">
              <w:rPr>
                <w:rFonts w:asciiTheme="minorHAnsi" w:hAnsiTheme="minorHAnsi" w:cstheme="minorHAnsi"/>
                <w:color w:val="FFFFFF" w:themeColor="background1"/>
                <w:lang w:eastAsia="en-AU"/>
              </w:rPr>
              <w:t>-</w:t>
            </w:r>
            <w:r w:rsidRPr="005473B7">
              <w:rPr>
                <w:rFonts w:asciiTheme="minorHAnsi" w:hAnsiTheme="minorHAnsi" w:cstheme="minorHAnsi"/>
                <w:color w:val="FFFFFF" w:themeColor="background1"/>
                <w:lang w:eastAsia="en-AU"/>
              </w:rPr>
              <w:t>medicine interface?</w:t>
            </w:r>
          </w:p>
        </w:tc>
      </w:tr>
      <w:bookmarkEnd w:id="126"/>
    </w:tbl>
    <w:p w14:paraId="554048AA" w14:textId="23453664" w:rsidR="00AD7CBC" w:rsidRDefault="00AD7CBC" w:rsidP="00A70EE5"/>
    <w:p w14:paraId="35486F80" w14:textId="77777777" w:rsidR="003725E2" w:rsidRDefault="003725E2" w:rsidP="003725E2">
      <w:pPr>
        <w:pStyle w:val="Bullet"/>
        <w:numPr>
          <w:ilvl w:val="0"/>
          <w:numId w:val="0"/>
        </w:numPr>
      </w:pPr>
    </w:p>
    <w:p w14:paraId="457EDE9C" w14:textId="03CC1B53" w:rsidR="002F0495" w:rsidRPr="002F0495" w:rsidRDefault="00F84F0E" w:rsidP="002F0495">
      <w:pPr>
        <w:pStyle w:val="Heading1"/>
      </w:pPr>
      <w:bookmarkStart w:id="127" w:name="_Toc50103641"/>
      <w:bookmarkStart w:id="128" w:name="_Ref51320697"/>
      <w:bookmarkStart w:id="129" w:name="_Ref51333265"/>
      <w:bookmarkStart w:id="130" w:name="_Toc52179145"/>
      <w:r>
        <w:lastRenderedPageBreak/>
        <w:t>Operations</w:t>
      </w:r>
      <w:bookmarkEnd w:id="127"/>
      <w:bookmarkEnd w:id="128"/>
      <w:bookmarkEnd w:id="129"/>
      <w:bookmarkEnd w:id="130"/>
    </w:p>
    <w:p w14:paraId="51005F03" w14:textId="5263EEEA" w:rsidR="00C7517A" w:rsidRDefault="00433692" w:rsidP="006C1DEE">
      <w:pPr>
        <w:rPr>
          <w:lang w:eastAsia="en-AU"/>
        </w:rPr>
      </w:pPr>
      <w:bookmarkStart w:id="131" w:name="_Ref51487960"/>
      <w:r>
        <w:rPr>
          <w:lang w:eastAsia="en-AU"/>
        </w:rPr>
        <w:t xml:space="preserve">This section considers how FSANZ </w:t>
      </w:r>
      <w:r w:rsidR="000A2EF1">
        <w:rPr>
          <w:lang w:eastAsia="en-AU"/>
        </w:rPr>
        <w:t xml:space="preserve">delivers its functions by </w:t>
      </w:r>
      <w:r w:rsidR="00203DFA">
        <w:rPr>
          <w:lang w:eastAsia="en-AU"/>
        </w:rPr>
        <w:t>analysing</w:t>
      </w:r>
      <w:r w:rsidR="000A2EF1">
        <w:rPr>
          <w:lang w:eastAsia="en-AU"/>
        </w:rPr>
        <w:t xml:space="preserve"> elements of its operations that are </w:t>
      </w:r>
      <w:r w:rsidR="00BC2C30">
        <w:rPr>
          <w:lang w:eastAsia="en-AU"/>
        </w:rPr>
        <w:t>founded in the</w:t>
      </w:r>
      <w:r w:rsidR="000A2EF1">
        <w:rPr>
          <w:lang w:eastAsia="en-AU"/>
        </w:rPr>
        <w:t xml:space="preserve"> legislation. This includes </w:t>
      </w:r>
      <w:r w:rsidR="007407E2">
        <w:rPr>
          <w:lang w:eastAsia="en-AU"/>
        </w:rPr>
        <w:t>its governance arrangements</w:t>
      </w:r>
      <w:r w:rsidR="00275A2D">
        <w:rPr>
          <w:lang w:eastAsia="en-AU"/>
        </w:rPr>
        <w:t xml:space="preserve"> </w:t>
      </w:r>
      <w:r w:rsidR="00054C61">
        <w:rPr>
          <w:lang w:eastAsia="en-AU"/>
        </w:rPr>
        <w:t>(including appointment process</w:t>
      </w:r>
      <w:r w:rsidR="00275A2D">
        <w:rPr>
          <w:lang w:eastAsia="en-AU"/>
        </w:rPr>
        <w:t xml:space="preserve"> for Board members) and </w:t>
      </w:r>
      <w:r w:rsidR="004B7B82">
        <w:rPr>
          <w:lang w:eastAsia="en-AU"/>
        </w:rPr>
        <w:t>managing its revenue stream.</w:t>
      </w:r>
      <w:bookmarkEnd w:id="131"/>
      <w:r w:rsidR="004B7B82">
        <w:rPr>
          <w:lang w:eastAsia="en-AU"/>
        </w:rPr>
        <w:t xml:space="preserve"> </w:t>
      </w:r>
    </w:p>
    <w:p w14:paraId="61A9E78B" w14:textId="2807CC56" w:rsidR="00DC3AEE" w:rsidRDefault="005B5D1D" w:rsidP="00E0390E">
      <w:pPr>
        <w:pStyle w:val="Heading2"/>
        <w:ind w:left="142" w:hanging="142"/>
      </w:pPr>
      <w:bookmarkStart w:id="132" w:name="_Ref51578520"/>
      <w:bookmarkStart w:id="133" w:name="_Toc52179146"/>
      <w:r>
        <w:t>FSANZ’s governance is enshrined in legislation</w:t>
      </w:r>
      <w:bookmarkEnd w:id="132"/>
      <w:bookmarkEnd w:id="133"/>
      <w:r>
        <w:t xml:space="preserve"> </w:t>
      </w:r>
    </w:p>
    <w:p w14:paraId="025CAB3A" w14:textId="018C326A" w:rsidR="00016277" w:rsidRDefault="00DC3AEE" w:rsidP="00DC3AEE">
      <w:pPr>
        <w:rPr>
          <w:lang w:eastAsia="en-AU"/>
        </w:rPr>
      </w:pPr>
      <w:r>
        <w:rPr>
          <w:lang w:eastAsia="en-AU"/>
        </w:rPr>
        <w:t xml:space="preserve">FSANZ is governed by a Board that is the accountable Authority for FSANZ and has statutory responsibilities for developing food standards. The Board comprises 12 members with a broad range of expertise </w:t>
      </w:r>
      <w:r w:rsidR="009F022A">
        <w:rPr>
          <w:lang w:eastAsia="en-AU"/>
        </w:rPr>
        <w:t>required by</w:t>
      </w:r>
      <w:r>
        <w:rPr>
          <w:lang w:eastAsia="en-AU"/>
        </w:rPr>
        <w:t xml:space="preserve"> the Act. </w:t>
      </w:r>
      <w:r w:rsidRPr="001C42E0">
        <w:rPr>
          <w:lang w:eastAsia="en-AU"/>
        </w:rPr>
        <w:t xml:space="preserve">Three members are nominated by the </w:t>
      </w:r>
      <w:r w:rsidR="00016277" w:rsidRPr="001C42E0">
        <w:rPr>
          <w:lang w:eastAsia="en-AU"/>
        </w:rPr>
        <w:t>N</w:t>
      </w:r>
      <w:r w:rsidR="00016277">
        <w:rPr>
          <w:lang w:eastAsia="en-AU"/>
        </w:rPr>
        <w:t>ew Zealand</w:t>
      </w:r>
      <w:r w:rsidR="00016277" w:rsidRPr="001C42E0">
        <w:rPr>
          <w:lang w:eastAsia="en-AU"/>
        </w:rPr>
        <w:t xml:space="preserve"> </w:t>
      </w:r>
      <w:r w:rsidRPr="001C42E0">
        <w:rPr>
          <w:lang w:eastAsia="en-AU"/>
        </w:rPr>
        <w:t>lead minister on the Forum.</w:t>
      </w:r>
      <w:r>
        <w:rPr>
          <w:lang w:eastAsia="en-AU"/>
        </w:rPr>
        <w:t xml:space="preserve"> </w:t>
      </w:r>
      <w:r w:rsidR="00AC123E">
        <w:rPr>
          <w:lang w:eastAsia="en-AU"/>
        </w:rPr>
        <w:t xml:space="preserve">Board members are appointed for a maximum of </w:t>
      </w:r>
      <w:r w:rsidR="00511AD8">
        <w:rPr>
          <w:lang w:eastAsia="en-AU"/>
        </w:rPr>
        <w:t>eight</w:t>
      </w:r>
      <w:r w:rsidR="00AC123E">
        <w:rPr>
          <w:lang w:eastAsia="en-AU"/>
        </w:rPr>
        <w:t xml:space="preserve"> years</w:t>
      </w:r>
      <w:r w:rsidR="00511AD8">
        <w:rPr>
          <w:lang w:eastAsia="en-AU"/>
        </w:rPr>
        <w:t>, compris</w:t>
      </w:r>
      <w:r w:rsidR="008D15FF">
        <w:rPr>
          <w:lang w:eastAsia="en-AU"/>
        </w:rPr>
        <w:t>ed of</w:t>
      </w:r>
      <w:r w:rsidR="00511AD8">
        <w:rPr>
          <w:lang w:eastAsia="en-AU"/>
        </w:rPr>
        <w:t xml:space="preserve"> two </w:t>
      </w:r>
      <w:r w:rsidR="00D77FA4">
        <w:rPr>
          <w:lang w:eastAsia="en-AU"/>
        </w:rPr>
        <w:t xml:space="preserve">four-year terms. </w:t>
      </w:r>
    </w:p>
    <w:p w14:paraId="0EBF24D2" w14:textId="5C0D3950" w:rsidR="00B34C6E" w:rsidRDefault="00DC3AEE" w:rsidP="00DC3AEE">
      <w:pPr>
        <w:rPr>
          <w:lang w:eastAsia="en-AU"/>
        </w:rPr>
      </w:pPr>
      <w:r>
        <w:rPr>
          <w:lang w:eastAsia="en-AU"/>
        </w:rPr>
        <w:t xml:space="preserve">The Board has specific non-delegable duties in relation to decisions about draft </w:t>
      </w:r>
      <w:r w:rsidR="00B13A2B">
        <w:rPr>
          <w:lang w:eastAsia="en-AU"/>
        </w:rPr>
        <w:t>s</w:t>
      </w:r>
      <w:r>
        <w:rPr>
          <w:lang w:eastAsia="en-AU"/>
        </w:rPr>
        <w:t xml:space="preserve">tandards or variations (set out in </w:t>
      </w:r>
      <w:r w:rsidR="00660FA7">
        <w:rPr>
          <w:lang w:eastAsia="en-AU"/>
        </w:rPr>
        <w:t>s</w:t>
      </w:r>
      <w:r>
        <w:rPr>
          <w:lang w:eastAsia="en-AU"/>
        </w:rPr>
        <w:t xml:space="preserve"> 150). </w:t>
      </w:r>
    </w:p>
    <w:p w14:paraId="6D5A8711" w14:textId="248EA0E5" w:rsidR="00DC3AEE" w:rsidRPr="007072E3" w:rsidRDefault="00AC123E" w:rsidP="00DC3AEE">
      <w:pPr>
        <w:rPr>
          <w:lang w:eastAsia="en-AU"/>
        </w:rPr>
      </w:pPr>
      <w:r>
        <w:rPr>
          <w:lang w:eastAsia="en-AU"/>
        </w:rPr>
        <w:t>The Act</w:t>
      </w:r>
      <w:r w:rsidR="009B7163">
        <w:rPr>
          <w:lang w:eastAsia="en-AU"/>
        </w:rPr>
        <w:t xml:space="preserve"> </w:t>
      </w:r>
      <w:r w:rsidR="00B34C6E">
        <w:rPr>
          <w:lang w:eastAsia="en-AU"/>
        </w:rPr>
        <w:t>also</w:t>
      </w:r>
      <w:r w:rsidR="00DC3AEE">
        <w:rPr>
          <w:lang w:eastAsia="en-AU"/>
        </w:rPr>
        <w:t xml:space="preserve"> establishes the CEO who is appointed by the Board and who is responsible for the day-to-day administration of FSANZ and control of its operations</w:t>
      </w:r>
      <w:r w:rsidR="001C657E">
        <w:rPr>
          <w:lang w:eastAsia="en-AU"/>
        </w:rPr>
        <w:t>.</w:t>
      </w:r>
      <w:r w:rsidR="00DC3AEE">
        <w:rPr>
          <w:lang w:eastAsia="en-AU"/>
        </w:rPr>
        <w:t xml:space="preserve"> </w:t>
      </w:r>
    </w:p>
    <w:p w14:paraId="44FC88FE" w14:textId="28FF6F6C" w:rsidR="00DC3AEE" w:rsidRDefault="00DC3AEE" w:rsidP="00DC3AEE">
      <w:pPr>
        <w:pStyle w:val="Heading3"/>
      </w:pPr>
      <w:bookmarkStart w:id="134" w:name="_Ref51487963"/>
      <w:bookmarkStart w:id="135" w:name="_Toc51140579"/>
      <w:r>
        <w:t xml:space="preserve">Statutory requirements </w:t>
      </w:r>
      <w:r w:rsidR="00761CF8">
        <w:t>around</w:t>
      </w:r>
      <w:r>
        <w:t xml:space="preserve"> </w:t>
      </w:r>
      <w:r w:rsidR="005B5D1D">
        <w:t xml:space="preserve">Board </w:t>
      </w:r>
      <w:r w:rsidR="00761CF8">
        <w:t>composition</w:t>
      </w:r>
      <w:r w:rsidR="0025661D">
        <w:t>,</w:t>
      </w:r>
      <w:r w:rsidR="00761CF8">
        <w:t xml:space="preserve"> nomination and appointment processes</w:t>
      </w:r>
      <w:r>
        <w:t xml:space="preserve"> </w:t>
      </w:r>
      <w:r w:rsidR="00233931">
        <w:t>could be improved</w:t>
      </w:r>
      <w:bookmarkEnd w:id="134"/>
      <w:r w:rsidR="00233931">
        <w:t xml:space="preserve"> </w:t>
      </w:r>
      <w:bookmarkEnd w:id="135"/>
    </w:p>
    <w:p w14:paraId="7A41C4AF" w14:textId="77777777" w:rsidR="00C278DE" w:rsidRDefault="00A90C80" w:rsidP="00A73E45">
      <w:pPr>
        <w:rPr>
          <w:i/>
          <w:lang w:eastAsia="en-AU"/>
        </w:rPr>
      </w:pPr>
      <w:r>
        <w:rPr>
          <w:lang w:eastAsia="en-AU"/>
        </w:rPr>
        <w:t xml:space="preserve">The Board of FSANZ provides an independent collective decision-making </w:t>
      </w:r>
      <w:r w:rsidR="002E4A22">
        <w:rPr>
          <w:lang w:eastAsia="en-AU"/>
        </w:rPr>
        <w:t>forum</w:t>
      </w:r>
      <w:r w:rsidR="00C278DE">
        <w:rPr>
          <w:lang w:eastAsia="en-AU"/>
        </w:rPr>
        <w:t xml:space="preserve"> for governing FSANZ and making decisions on draft standards</w:t>
      </w:r>
      <w:r w:rsidR="002E4A22">
        <w:rPr>
          <w:lang w:eastAsia="en-AU"/>
        </w:rPr>
        <w:t xml:space="preserve">. </w:t>
      </w:r>
      <w:r w:rsidR="00DC3AEE">
        <w:rPr>
          <w:lang w:eastAsia="en-AU"/>
        </w:rPr>
        <w:t xml:space="preserve">The FSANZ Board is </w:t>
      </w:r>
      <w:r w:rsidR="00DC3AEE">
        <w:rPr>
          <w:i/>
          <w:lang w:eastAsia="en-AU"/>
        </w:rPr>
        <w:t xml:space="preserve">representative </w:t>
      </w:r>
      <w:r w:rsidR="002E4A22">
        <w:rPr>
          <w:lang w:eastAsia="en-AU"/>
        </w:rPr>
        <w:t>in nature</w:t>
      </w:r>
      <w:r w:rsidR="00DC3AEE" w:rsidRPr="00973166">
        <w:rPr>
          <w:lang w:eastAsia="en-AU"/>
        </w:rPr>
        <w:t>:</w:t>
      </w:r>
      <w:r w:rsidR="00DC3AEE">
        <w:rPr>
          <w:lang w:eastAsia="en-AU"/>
        </w:rPr>
        <w:t xml:space="preserve"> more than half (7-out-of-12 members) are nominated by different organisations with specific expertise and role in the food system, including industry, public health and consumer interests. The list of organisations that can provide nominations for different Board members is prescribed in the Regulations</w:t>
      </w:r>
      <w:r w:rsidR="00DC3AEE">
        <w:rPr>
          <w:i/>
          <w:lang w:eastAsia="en-AU"/>
        </w:rPr>
        <w:t>.</w:t>
      </w:r>
      <w:r w:rsidR="00927DE1">
        <w:rPr>
          <w:i/>
          <w:lang w:eastAsia="en-AU"/>
        </w:rPr>
        <w:t xml:space="preserve"> </w:t>
      </w:r>
    </w:p>
    <w:p w14:paraId="2C35636C" w14:textId="23A13382" w:rsidR="00A73E45" w:rsidRDefault="00A73E45" w:rsidP="00A73E45">
      <w:pPr>
        <w:rPr>
          <w:lang w:eastAsia="en-AU"/>
        </w:rPr>
      </w:pPr>
      <w:r>
        <w:rPr>
          <w:lang w:eastAsia="en-AU"/>
        </w:rPr>
        <w:t xml:space="preserve">It is common for Boards with regulatory functions to have some members nominated by external stakeholder groups. Representative Boards can, however, raise concerns in relation to regulatory independence or regulatory </w:t>
      </w:r>
      <w:r>
        <w:rPr>
          <w:i/>
          <w:lang w:eastAsia="en-AU"/>
        </w:rPr>
        <w:t xml:space="preserve">capture </w:t>
      </w:r>
      <w:r>
        <w:rPr>
          <w:lang w:eastAsia="en-AU"/>
        </w:rPr>
        <w:t>if entities with statutory decision-making responsibilities are seen to unduly represent the interests of groups that they regulate.</w:t>
      </w:r>
      <w:r>
        <w:rPr>
          <w:rStyle w:val="FootnoteReference"/>
          <w:lang w:eastAsia="en-AU"/>
        </w:rPr>
        <w:footnoteReference w:id="38"/>
      </w:r>
      <w:r>
        <w:rPr>
          <w:lang w:eastAsia="en-AU"/>
        </w:rPr>
        <w:t xml:space="preserve"> </w:t>
      </w:r>
    </w:p>
    <w:p w14:paraId="1D7C79E6" w14:textId="2871257E" w:rsidR="00AC123E" w:rsidRDefault="004E32F8" w:rsidP="00AC123E">
      <w:r>
        <w:t>To date, s</w:t>
      </w:r>
      <w:r w:rsidR="00190F72">
        <w:t xml:space="preserve">takeholders </w:t>
      </w:r>
      <w:r>
        <w:rPr>
          <w:lang w:eastAsia="en-AU"/>
        </w:rPr>
        <w:t>have</w:t>
      </w:r>
      <w:r w:rsidR="00F5442D">
        <w:rPr>
          <w:lang w:eastAsia="en-AU"/>
        </w:rPr>
        <w:t xml:space="preserve"> not </w:t>
      </w:r>
      <w:r>
        <w:rPr>
          <w:lang w:eastAsia="en-AU"/>
        </w:rPr>
        <w:t>raised</w:t>
      </w:r>
      <w:r w:rsidR="00F5442D">
        <w:rPr>
          <w:lang w:eastAsia="en-AU"/>
        </w:rPr>
        <w:t xml:space="preserve"> specific concerns about regulatory independence in relation to the Board, however</w:t>
      </w:r>
      <w:r w:rsidR="00190F72">
        <w:t xml:space="preserve"> a </w:t>
      </w:r>
      <w:r w:rsidR="001C657E">
        <w:t xml:space="preserve">range of issues </w:t>
      </w:r>
      <w:r w:rsidR="00190F72">
        <w:t xml:space="preserve">around </w:t>
      </w:r>
      <w:r w:rsidR="00F5442D">
        <w:rPr>
          <w:lang w:eastAsia="en-AU"/>
        </w:rPr>
        <w:t>FSAN</w:t>
      </w:r>
      <w:r w:rsidR="00EB2C47">
        <w:rPr>
          <w:lang w:eastAsia="en-AU"/>
        </w:rPr>
        <w:t>Z</w:t>
      </w:r>
      <w:r w:rsidR="00F5442D">
        <w:rPr>
          <w:lang w:eastAsia="en-AU"/>
        </w:rPr>
        <w:t>’s</w:t>
      </w:r>
      <w:r w:rsidR="00190F72">
        <w:t xml:space="preserve"> current governance </w:t>
      </w:r>
      <w:r w:rsidR="00927DE1">
        <w:t>arrangements</w:t>
      </w:r>
      <w:r w:rsidR="00F5442D">
        <w:rPr>
          <w:lang w:eastAsia="en-AU"/>
        </w:rPr>
        <w:t xml:space="preserve"> </w:t>
      </w:r>
      <w:r w:rsidR="0038027A">
        <w:rPr>
          <w:lang w:eastAsia="en-AU"/>
        </w:rPr>
        <w:t>have been</w:t>
      </w:r>
      <w:r w:rsidR="00F5442D">
        <w:rPr>
          <w:lang w:eastAsia="en-AU"/>
        </w:rPr>
        <w:t xml:space="preserve"> noted</w:t>
      </w:r>
      <w:r w:rsidR="00AC123E">
        <w:t>:</w:t>
      </w:r>
    </w:p>
    <w:p w14:paraId="4B5D3B74" w14:textId="26D02793" w:rsidR="00AC123E" w:rsidRPr="00375182" w:rsidRDefault="00AC123E" w:rsidP="00AC123E">
      <w:pPr>
        <w:pStyle w:val="Bullet"/>
      </w:pPr>
      <w:r w:rsidRPr="00375182">
        <w:rPr>
          <w:rFonts w:asciiTheme="majorHAnsi" w:hAnsiTheme="majorHAnsi"/>
        </w:rPr>
        <w:t>Nomination and appointment processes are cumbersome</w:t>
      </w:r>
      <w:r w:rsidR="00815305">
        <w:rPr>
          <w:rFonts w:asciiTheme="majorHAnsi" w:hAnsiTheme="majorHAnsi"/>
        </w:rPr>
        <w:t>.</w:t>
      </w:r>
      <w:r w:rsidR="005E320E" w:rsidRPr="00375182">
        <w:rPr>
          <w:rFonts w:asciiTheme="minorHAnsi" w:hAnsiTheme="minorHAnsi" w:cstheme="minorHAnsi"/>
        </w:rPr>
        <w:t xml:space="preserve"> </w:t>
      </w:r>
      <w:r w:rsidRPr="00375182">
        <w:t>The legislated requirement</w:t>
      </w:r>
      <w:r w:rsidRPr="00375182">
        <w:rPr>
          <w:rStyle w:val="FootnoteReference"/>
          <w:rFonts w:asciiTheme="majorHAnsi" w:hAnsiTheme="majorHAnsi"/>
        </w:rPr>
        <w:footnoteReference w:id="39"/>
      </w:r>
      <w:r w:rsidRPr="00375182">
        <w:t xml:space="preserve"> to seek input from </w:t>
      </w:r>
      <w:r w:rsidR="00D83186">
        <w:t>a large number of prescribed</w:t>
      </w:r>
      <w:r w:rsidRPr="00375182">
        <w:t xml:space="preserve"> organisations, followed by approval from the Forum, can lead to lengthy nomination and appointment processes that are resource intensive without necessarily providing additional value to member selection. These reportedly can take up to 15</w:t>
      </w:r>
      <w:r w:rsidR="009F6D72">
        <w:t>-18</w:t>
      </w:r>
      <w:r w:rsidRPr="00375182">
        <w:t xml:space="preserve"> months. </w:t>
      </w:r>
    </w:p>
    <w:p w14:paraId="52BEB53E" w14:textId="48830BB7" w:rsidR="00DC3AEE" w:rsidRDefault="00DC3AEE" w:rsidP="00AC123E">
      <w:pPr>
        <w:pStyle w:val="Bullet"/>
      </w:pPr>
      <w:r w:rsidRPr="00375182">
        <w:rPr>
          <w:rFonts w:asciiTheme="majorHAnsi" w:eastAsia="Segoe UI Semilight" w:hAnsiTheme="majorHAnsi"/>
        </w:rPr>
        <w:t>Current arrangements may not lead to an optimal skill mix</w:t>
      </w:r>
      <w:r w:rsidR="00815305">
        <w:rPr>
          <w:rFonts w:asciiTheme="majorHAnsi" w:eastAsia="Segoe UI Semilight" w:hAnsiTheme="majorHAnsi"/>
        </w:rPr>
        <w:t>.</w:t>
      </w:r>
      <w:r w:rsidR="005E320E" w:rsidRPr="00375182">
        <w:rPr>
          <w:rFonts w:asciiTheme="minorHAnsi" w:hAnsiTheme="minorHAnsi" w:cstheme="minorHAnsi"/>
        </w:rPr>
        <w:t xml:space="preserve"> </w:t>
      </w:r>
      <w:r w:rsidR="00F60079">
        <w:t>An</w:t>
      </w:r>
      <w:r w:rsidRPr="00375182">
        <w:t xml:space="preserve"> intended strength of the FSANZ Board is breadth of expertise that spans many elements of the food system. The Act sets out an </w:t>
      </w:r>
      <w:r w:rsidRPr="00375182">
        <w:lastRenderedPageBreak/>
        <w:t>extensive list of skills that Board members have to demonstrate expertise “in one or more of”.</w:t>
      </w:r>
      <w:r w:rsidRPr="00375182">
        <w:rPr>
          <w:rStyle w:val="FootnoteReference"/>
        </w:rPr>
        <w:footnoteReference w:id="40"/>
      </w:r>
      <w:r w:rsidRPr="00375182">
        <w:t xml:space="preserve"> </w:t>
      </w:r>
      <w:r w:rsidR="00F60079">
        <w:t xml:space="preserve">However, the Act does not provide for ensuring breadth of expertise on </w:t>
      </w:r>
      <w:r>
        <w:t xml:space="preserve">the Board </w:t>
      </w:r>
      <w:r w:rsidR="00F60079">
        <w:t xml:space="preserve">and neither the Chairperson </w:t>
      </w:r>
      <w:r>
        <w:t xml:space="preserve">nor the CEO </w:t>
      </w:r>
      <w:r w:rsidR="00E276F4">
        <w:t>currently has</w:t>
      </w:r>
      <w:r>
        <w:t xml:space="preserve"> </w:t>
      </w:r>
      <w:r w:rsidR="00F60079">
        <w:t>a formal input</w:t>
      </w:r>
      <w:r>
        <w:t xml:space="preserve"> role </w:t>
      </w:r>
      <w:r w:rsidR="00F60079">
        <w:t xml:space="preserve">to selection of </w:t>
      </w:r>
      <w:r>
        <w:t>new Board members</w:t>
      </w:r>
      <w:r w:rsidR="00F60079">
        <w:t>.</w:t>
      </w:r>
      <w:r>
        <w:t xml:space="preserve"> These arrangements make it difficult to address identified capability gaps in a strategic way or assemble a Board with </w:t>
      </w:r>
      <w:r w:rsidR="0096706E">
        <w:t xml:space="preserve">an </w:t>
      </w:r>
      <w:r>
        <w:t xml:space="preserve">optimal set of capabilities. </w:t>
      </w:r>
    </w:p>
    <w:p w14:paraId="793BFF22" w14:textId="42685E36" w:rsidR="00DC3AEE" w:rsidRPr="00A85E1F" w:rsidRDefault="00DC3AEE" w:rsidP="00AC123E">
      <w:pPr>
        <w:pStyle w:val="Bullet"/>
        <w:rPr>
          <w:rFonts w:eastAsia="Segoe UI Semilight"/>
        </w:rPr>
      </w:pPr>
      <w:r w:rsidRPr="00375182">
        <w:rPr>
          <w:rFonts w:asciiTheme="majorHAnsi" w:eastAsia="Segoe UI Semilight" w:hAnsiTheme="majorHAnsi"/>
        </w:rPr>
        <w:t>The Board’s size can inhibit timely, efficient and responsive governance activities</w:t>
      </w:r>
      <w:r w:rsidR="00815305">
        <w:rPr>
          <w:rFonts w:asciiTheme="majorHAnsi" w:hAnsiTheme="majorHAnsi"/>
        </w:rPr>
        <w:t>.</w:t>
      </w:r>
      <w:r w:rsidR="00073B57" w:rsidRPr="00375182">
        <w:rPr>
          <w:rFonts w:asciiTheme="majorHAnsi" w:hAnsiTheme="majorHAnsi"/>
        </w:rPr>
        <w:t xml:space="preserve"> </w:t>
      </w:r>
      <w:r w:rsidR="00AC123E" w:rsidRPr="00375182">
        <w:t>The FSANZ Board comprises 12 members. A Board offers opportunity for a collective and independent decision-making process that ensures a breadth of expertise and perspectives are brought to bear on decisions. This needs to be balanced with ensuring a manageable size that facilitates effective decision making and does not impose undue fiscal burden</w:t>
      </w:r>
      <w:r w:rsidR="002415BF">
        <w:t xml:space="preserve"> through Board member </w:t>
      </w:r>
      <w:r w:rsidR="002A39C7">
        <w:t>remuneration or the costs involved in Board meetings</w:t>
      </w:r>
      <w:r w:rsidR="00AC123E" w:rsidRPr="00375182">
        <w:t xml:space="preserve">. </w:t>
      </w:r>
      <w:r w:rsidR="00AC123E">
        <w:t xml:space="preserve"> </w:t>
      </w:r>
    </w:p>
    <w:p w14:paraId="0A513558" w14:textId="61A4377B" w:rsidR="00DC3AEE" w:rsidRDefault="00DC3AEE" w:rsidP="00DC3AEE">
      <w:pPr>
        <w:pStyle w:val="Heading2"/>
        <w:ind w:left="578" w:hanging="578"/>
      </w:pPr>
      <w:bookmarkStart w:id="136" w:name="_Toc52120059"/>
      <w:bookmarkStart w:id="137" w:name="_Toc51140584"/>
      <w:bookmarkStart w:id="138" w:name="_Toc52179147"/>
      <w:bookmarkEnd w:id="136"/>
      <w:r>
        <w:t>Legislative change could support more efficient and effective governance for FSANZ</w:t>
      </w:r>
      <w:bookmarkEnd w:id="137"/>
      <w:bookmarkEnd w:id="138"/>
    </w:p>
    <w:p w14:paraId="6A5728EC" w14:textId="057B9FC1" w:rsidR="00E22EC6" w:rsidRPr="00E22EC6" w:rsidRDefault="002450E8" w:rsidP="00E22EC6">
      <w:pPr>
        <w:rPr>
          <w:lang w:eastAsia="en-AU"/>
        </w:rPr>
      </w:pPr>
      <w:r>
        <w:rPr>
          <w:lang w:eastAsia="en-AU"/>
        </w:rPr>
        <w:t>Three</w:t>
      </w:r>
      <w:r w:rsidR="00811BA7">
        <w:rPr>
          <w:lang w:eastAsia="en-AU"/>
        </w:rPr>
        <w:t xml:space="preserve"> reform </w:t>
      </w:r>
      <w:r w:rsidR="00C02E49">
        <w:rPr>
          <w:lang w:eastAsia="en-AU"/>
        </w:rPr>
        <w:t>ideas</w:t>
      </w:r>
      <w:r w:rsidR="00E22EC6">
        <w:rPr>
          <w:lang w:eastAsia="en-AU"/>
        </w:rPr>
        <w:t xml:space="preserve"> </w:t>
      </w:r>
      <w:r w:rsidR="00E22EC6" w:rsidDel="00811BA7">
        <w:rPr>
          <w:lang w:eastAsia="en-AU"/>
        </w:rPr>
        <w:t xml:space="preserve">have </w:t>
      </w:r>
      <w:r w:rsidR="00E22EC6">
        <w:rPr>
          <w:lang w:eastAsia="en-AU"/>
        </w:rPr>
        <w:t xml:space="preserve">been identified to strengthen FSANZ’s internal governance arrangements. </w:t>
      </w:r>
    </w:p>
    <w:p w14:paraId="475A1ACC" w14:textId="09755B0B" w:rsidR="00084F61" w:rsidRDefault="0043378D" w:rsidP="00DC3AEE">
      <w:pPr>
        <w:pStyle w:val="Heading3"/>
      </w:pPr>
      <w:bookmarkStart w:id="139" w:name="_Ref51914417"/>
      <w:bookmarkStart w:id="140" w:name="_Ref51342328"/>
      <w:r>
        <w:t xml:space="preserve">Reform idea </w:t>
      </w:r>
      <w:r w:rsidR="00FC068A">
        <w:t>2</w:t>
      </w:r>
      <w:r w:rsidR="00B13C7D">
        <w:t>1</w:t>
      </w:r>
      <w:r w:rsidR="007539BB">
        <w:t xml:space="preserve"> </w:t>
      </w:r>
      <w:r>
        <w:t>–</w:t>
      </w:r>
      <w:r w:rsidR="00DC3AEE">
        <w:t xml:space="preserve"> Streamline Board appointments</w:t>
      </w:r>
      <w:r w:rsidR="00084F61">
        <w:t xml:space="preserve"> and</w:t>
      </w:r>
      <w:r w:rsidR="00DC3AEE">
        <w:t xml:space="preserve"> nominations</w:t>
      </w:r>
      <w:bookmarkEnd w:id="139"/>
      <w:r w:rsidR="00DC3AEE">
        <w:t xml:space="preserve"> </w:t>
      </w:r>
    </w:p>
    <w:p w14:paraId="3CBA8110" w14:textId="77777777" w:rsidR="005E7D03" w:rsidRDefault="00084F61" w:rsidP="00084F61">
      <w:pPr>
        <w:rPr>
          <w:lang w:eastAsia="en-AU"/>
        </w:rPr>
      </w:pPr>
      <w:r>
        <w:rPr>
          <w:lang w:eastAsia="en-AU"/>
        </w:rPr>
        <w:t>Statutory processes setting up the FSANZ Board, including nomination and appointment processes, could be refined to support more efficient on-boarding and</w:t>
      </w:r>
      <w:r w:rsidR="00C02232">
        <w:rPr>
          <w:lang w:eastAsia="en-AU"/>
        </w:rPr>
        <w:t xml:space="preserve"> </w:t>
      </w:r>
      <w:r w:rsidR="00A958E4">
        <w:rPr>
          <w:lang w:eastAsia="en-AU"/>
        </w:rPr>
        <w:t xml:space="preserve">a more </w:t>
      </w:r>
      <w:r w:rsidR="005079D5">
        <w:rPr>
          <w:lang w:eastAsia="en-AU"/>
        </w:rPr>
        <w:t xml:space="preserve">clearly defined skills-based approach to appointing Board members. </w:t>
      </w:r>
      <w:r w:rsidR="005E7D03">
        <w:rPr>
          <w:lang w:eastAsia="en-AU"/>
        </w:rPr>
        <w:t>Key changes could include:</w:t>
      </w:r>
    </w:p>
    <w:p w14:paraId="59F60965" w14:textId="7DF68372" w:rsidR="005E7D03" w:rsidRPr="00274E03" w:rsidRDefault="005E7D03" w:rsidP="005E7D03">
      <w:pPr>
        <w:pStyle w:val="Bullet"/>
        <w:rPr>
          <w:rFonts w:cstheme="minorBidi"/>
        </w:rPr>
      </w:pPr>
      <w:r w:rsidRPr="00274E03">
        <w:rPr>
          <w:rFonts w:asciiTheme="majorHAnsi" w:hAnsiTheme="majorHAnsi"/>
        </w:rPr>
        <w:t>Streamlin</w:t>
      </w:r>
      <w:r>
        <w:rPr>
          <w:rFonts w:asciiTheme="majorHAnsi" w:hAnsiTheme="majorHAnsi"/>
        </w:rPr>
        <w:t>ing</w:t>
      </w:r>
      <w:r w:rsidRPr="00274E03">
        <w:rPr>
          <w:rFonts w:asciiTheme="majorHAnsi" w:hAnsiTheme="majorHAnsi"/>
        </w:rPr>
        <w:t xml:space="preserve"> nomination and appointment processes</w:t>
      </w:r>
      <w:r w:rsidR="00A414AC">
        <w:rPr>
          <w:rFonts w:asciiTheme="majorHAnsi" w:hAnsiTheme="majorHAnsi"/>
        </w:rPr>
        <w:t xml:space="preserve">. </w:t>
      </w:r>
      <w:r w:rsidRPr="00274E03">
        <w:rPr>
          <w:rFonts w:asciiTheme="minorHAnsi" w:hAnsiTheme="minorHAnsi" w:cstheme="minorHAnsi"/>
        </w:rPr>
        <w:t xml:space="preserve">This could be achieved by reducing the number of members that are appointed by external organisations, removing the statutory requirement for the Minister to seek nominations from prescribed organisations, and/or reducing the Forum’s role in signing off on all Board appointments. </w:t>
      </w:r>
    </w:p>
    <w:p w14:paraId="4ED34593" w14:textId="3F09F1B1" w:rsidR="005E7D03" w:rsidRDefault="005E7D03" w:rsidP="005E7D03">
      <w:pPr>
        <w:pStyle w:val="Bullet"/>
      </w:pPr>
      <w:r w:rsidRPr="00274E03">
        <w:rPr>
          <w:rFonts w:asciiTheme="majorHAnsi" w:hAnsiTheme="majorHAnsi"/>
        </w:rPr>
        <w:t>Adopt</w:t>
      </w:r>
      <w:r>
        <w:rPr>
          <w:rFonts w:asciiTheme="majorHAnsi" w:hAnsiTheme="majorHAnsi"/>
        </w:rPr>
        <w:t>ing a</w:t>
      </w:r>
      <w:r w:rsidRPr="00274E03">
        <w:rPr>
          <w:rFonts w:asciiTheme="majorHAnsi" w:hAnsiTheme="majorHAnsi"/>
        </w:rPr>
        <w:t xml:space="preserve"> skills-based approach to member appointments</w:t>
      </w:r>
      <w:r>
        <w:rPr>
          <w:rFonts w:asciiTheme="majorHAnsi" w:hAnsiTheme="majorHAnsi"/>
        </w:rPr>
        <w:t>.</w:t>
      </w:r>
      <w:r w:rsidRPr="00274E03">
        <w:rPr>
          <w:rFonts w:asciiTheme="majorHAnsi" w:hAnsiTheme="majorHAnsi"/>
        </w:rPr>
        <w:t xml:space="preserve"> </w:t>
      </w:r>
      <w:r w:rsidRPr="00274E03">
        <w:rPr>
          <w:rFonts w:asciiTheme="minorHAnsi" w:hAnsiTheme="minorHAnsi" w:cstheme="minorHAnsi"/>
        </w:rPr>
        <w:t xml:space="preserve">The current list of skills that different Board members are required to have expertise in as a condition of membership could be replaced by a simpler provision requiring that the Minister appointing the Board member must, so far as is practicable, ensure members have skills, experience and knowledge, including in food regulation, consumer affairs, food science, public sector governance and accountability, and the food industry. The Chairperson and/or CEO could have a formal input or decision-making role. </w:t>
      </w:r>
      <w:r>
        <w:t xml:space="preserve"> </w:t>
      </w:r>
      <w:r w:rsidR="00DE7A3B">
        <w:t xml:space="preserve">Consideration could be given to appropriate </w:t>
      </w:r>
      <w:r w:rsidR="000C03D1">
        <w:t>Australia and New Zealand-specific</w:t>
      </w:r>
      <w:r w:rsidR="00DE7A3B">
        <w:t xml:space="preserve"> contextual knowledge. </w:t>
      </w:r>
    </w:p>
    <w:p w14:paraId="5067C013" w14:textId="65133E87" w:rsidR="00AD1AD5" w:rsidRDefault="00AD1AD5">
      <w:pPr>
        <w:pStyle w:val="Heading3"/>
      </w:pPr>
      <w:bookmarkStart w:id="141" w:name="_Ref51859445"/>
      <w:r>
        <w:t>Reform idea 2</w:t>
      </w:r>
      <w:r w:rsidR="00F85B4D">
        <w:t>2</w:t>
      </w:r>
      <w:r>
        <w:t xml:space="preserve"> </w:t>
      </w:r>
      <w:r w:rsidR="008F5F19">
        <w:t>–</w:t>
      </w:r>
      <w:r>
        <w:t xml:space="preserve"> </w:t>
      </w:r>
      <w:r w:rsidR="008F5F19">
        <w:t>Establish minimum term length for Board members</w:t>
      </w:r>
      <w:bookmarkEnd w:id="141"/>
      <w:r w:rsidR="005F1DE1">
        <w:t xml:space="preserve"> </w:t>
      </w:r>
    </w:p>
    <w:p w14:paraId="31B785E9" w14:textId="63F13566" w:rsidR="00084F61" w:rsidRPr="008C2C4D" w:rsidRDefault="003F3551" w:rsidP="00E0390E">
      <w:r>
        <w:t xml:space="preserve">The Act provides for a maximum term of </w:t>
      </w:r>
      <w:r w:rsidR="002651F5">
        <w:t>four</w:t>
      </w:r>
      <w:r>
        <w:t xml:space="preserve"> years </w:t>
      </w:r>
      <w:r w:rsidR="00A53238">
        <w:t xml:space="preserve">for Board members </w:t>
      </w:r>
      <w:r>
        <w:t xml:space="preserve">(with </w:t>
      </w:r>
      <w:r w:rsidR="00F047B7">
        <w:t xml:space="preserve">the option of a second term) but does not include a minimum term length. This can create challenges </w:t>
      </w:r>
      <w:r w:rsidR="00B93A1A">
        <w:t xml:space="preserve">in ensuring continuity of Board membership, when terms vary in length or expire concurrently. </w:t>
      </w:r>
      <w:r w:rsidR="0077408D">
        <w:t>Amending the Act to establish a</w:t>
      </w:r>
      <w:r w:rsidR="00B93A1A">
        <w:t xml:space="preserve"> minimum term length could provide greater certainty and aid planning</w:t>
      </w:r>
      <w:r w:rsidR="0077408D">
        <w:t xml:space="preserve"> for filing Board membership vacancies</w:t>
      </w:r>
      <w:r w:rsidR="00B93A1A">
        <w:t>.</w:t>
      </w:r>
      <w:r w:rsidR="00780085">
        <w:t xml:space="preserve"> </w:t>
      </w:r>
      <w:r w:rsidR="00B93A1A">
        <w:t xml:space="preserve"> </w:t>
      </w:r>
    </w:p>
    <w:p w14:paraId="4BC5A879" w14:textId="377063B3" w:rsidR="00DC3AEE" w:rsidRDefault="00084F61" w:rsidP="00DC3AEE">
      <w:pPr>
        <w:pStyle w:val="Heading3"/>
      </w:pPr>
      <w:bookmarkStart w:id="142" w:name="_Ref51859503"/>
      <w:r>
        <w:lastRenderedPageBreak/>
        <w:t>Reform idea 2</w:t>
      </w:r>
      <w:r w:rsidR="00F85B4D">
        <w:t>3</w:t>
      </w:r>
      <w:r>
        <w:t xml:space="preserve"> – </w:t>
      </w:r>
      <w:r w:rsidR="0018166E">
        <w:t>Reduce</w:t>
      </w:r>
      <w:r>
        <w:t xml:space="preserve"> Board size</w:t>
      </w:r>
      <w:bookmarkEnd w:id="142"/>
      <w:r>
        <w:t xml:space="preserve"> </w:t>
      </w:r>
      <w:bookmarkEnd w:id="140"/>
      <w:r w:rsidR="00DC3AEE">
        <w:t xml:space="preserve"> </w:t>
      </w:r>
    </w:p>
    <w:p w14:paraId="78DD0AB0" w14:textId="20D75422" w:rsidR="00AC123E" w:rsidRDefault="0018166E" w:rsidP="00AC123E">
      <w:pPr>
        <w:rPr>
          <w:rFonts w:asciiTheme="majorHAnsi" w:hAnsiTheme="majorHAnsi"/>
        </w:rPr>
      </w:pPr>
      <w:r>
        <w:rPr>
          <w:lang w:eastAsia="en-AU"/>
        </w:rPr>
        <w:t xml:space="preserve">The Board could be consolidated to </w:t>
      </w:r>
      <w:r w:rsidR="0007241C">
        <w:rPr>
          <w:lang w:eastAsia="en-AU"/>
        </w:rPr>
        <w:t xml:space="preserve">eight </w:t>
      </w:r>
      <w:r w:rsidR="00C97B38">
        <w:rPr>
          <w:lang w:eastAsia="en-AU"/>
        </w:rPr>
        <w:t>people</w:t>
      </w:r>
      <w:r w:rsidR="00382EC5">
        <w:rPr>
          <w:lang w:eastAsia="en-AU"/>
        </w:rPr>
        <w:t>, including a Chairperson and seven members, several of wh</w:t>
      </w:r>
      <w:r w:rsidR="00540760">
        <w:rPr>
          <w:lang w:eastAsia="en-AU"/>
        </w:rPr>
        <w:t>om</w:t>
      </w:r>
      <w:r w:rsidR="00382EC5">
        <w:rPr>
          <w:lang w:eastAsia="en-AU"/>
        </w:rPr>
        <w:t xml:space="preserve"> could be appointed by the New Zealand Minister on the Forum. This could</w:t>
      </w:r>
      <w:r>
        <w:rPr>
          <w:lang w:eastAsia="en-AU"/>
        </w:rPr>
        <w:t xml:space="preserve"> support more efficient decision-making and reduce the fiscal burden associated with a 12-person Board. </w:t>
      </w:r>
      <w:r w:rsidR="00C97B38">
        <w:rPr>
          <w:lang w:eastAsia="en-AU"/>
        </w:rPr>
        <w:t xml:space="preserve">Consideration would need to be given to ensure breadth of expertise is not compromised. </w:t>
      </w:r>
    </w:p>
    <w:p w14:paraId="7CC2F4A9" w14:textId="3649CD61" w:rsidR="00DC3AEE" w:rsidRDefault="00DC3AEE" w:rsidP="004B44B3">
      <w:pPr>
        <w:pStyle w:val="Bullet"/>
        <w:numPr>
          <w:ilvl w:val="0"/>
          <w:numId w:val="0"/>
        </w:numPr>
      </w:pPr>
      <w:r>
        <w:t>The CEO could cease to be a member of the Board.</w:t>
      </w:r>
      <w:r w:rsidR="00DE6A0C">
        <w:t xml:space="preserve"> This arrangement may be particularly desirable if </w:t>
      </w:r>
      <w:r w:rsidR="007052E6">
        <w:t>reform ideas</w:t>
      </w:r>
      <w:r w:rsidR="00DE6A0C">
        <w:t xml:space="preserve"> to allow the Board to delegate de</w:t>
      </w:r>
      <w:r w:rsidR="00004A88">
        <w:t xml:space="preserve">cisions about food standards </w:t>
      </w:r>
      <w:r w:rsidR="0014332C">
        <w:t xml:space="preserve">to the CEO are pursued (as detailed in Section </w:t>
      </w:r>
      <w:r w:rsidR="00875E8E">
        <w:fldChar w:fldCharType="begin"/>
      </w:r>
      <w:r w:rsidR="00875E8E">
        <w:instrText xml:space="preserve"> REF _Ref51333485 \r \h </w:instrText>
      </w:r>
      <w:r w:rsidR="00875E8E">
        <w:fldChar w:fldCharType="separate"/>
      </w:r>
      <w:r w:rsidR="001C5CC6">
        <w:t>4.4.2</w:t>
      </w:r>
      <w:r w:rsidR="00875E8E">
        <w:fldChar w:fldCharType="end"/>
      </w:r>
      <w:r w:rsidR="00875E8E">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7539BB" w14:paraId="1E82CE0E" w14:textId="77777777" w:rsidTr="00316C46">
        <w:tc>
          <w:tcPr>
            <w:tcW w:w="9055" w:type="dxa"/>
            <w:shd w:val="clear" w:color="auto" w:fill="00264D" w:themeFill="background2"/>
          </w:tcPr>
          <w:p w14:paraId="3D37DB0F" w14:textId="77777777" w:rsidR="007539BB" w:rsidRPr="00835584" w:rsidRDefault="007539BB" w:rsidP="00316C4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6BCEDB0E" w14:textId="1D2A62AC" w:rsidR="00EC72BA" w:rsidRDefault="001520F4"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To what degree are FSANZ</w:t>
            </w:r>
            <w:r w:rsidR="00667B91">
              <w:rPr>
                <w:rFonts w:asciiTheme="minorHAnsi" w:hAnsiTheme="minorHAnsi" w:cstheme="minorHAnsi"/>
                <w:color w:val="FFFFFF" w:themeColor="background1"/>
                <w:lang w:eastAsia="en-AU"/>
              </w:rPr>
              <w:t xml:space="preserve">’s governance arrangements an issue for the system? What are the types of problems that different stakeholder groups face as a consequence? </w:t>
            </w:r>
          </w:p>
          <w:p w14:paraId="6B07A2CE" w14:textId="77777777" w:rsidR="00EC72BA" w:rsidRDefault="00EC72BA" w:rsidP="00667B91">
            <w:pPr>
              <w:pStyle w:val="ListParagraph"/>
              <w:rPr>
                <w:rFonts w:asciiTheme="minorHAnsi" w:hAnsiTheme="minorHAnsi" w:cstheme="minorHAnsi"/>
                <w:color w:val="FFFFFF" w:themeColor="background1"/>
                <w:lang w:eastAsia="en-AU"/>
              </w:rPr>
            </w:pPr>
          </w:p>
          <w:p w14:paraId="0B2CE660" w14:textId="05F26370" w:rsidR="00780085" w:rsidRDefault="00780085" w:rsidP="00760794">
            <w:pPr>
              <w:pStyle w:val="ListParagraph"/>
              <w:numPr>
                <w:ilvl w:val="0"/>
                <w:numId w:val="15"/>
              </w:numPr>
              <w:spacing w:line="259" w:lineRule="auto"/>
              <w:rPr>
                <w:rFonts w:asciiTheme="minorHAnsi" w:hAnsiTheme="minorHAnsi" w:cstheme="minorHAnsi"/>
                <w:color w:val="FFFFFF" w:themeColor="background1"/>
                <w:lang w:eastAsia="en-AU"/>
              </w:rPr>
            </w:pPr>
            <w:r w:rsidRPr="00411677">
              <w:rPr>
                <w:rFonts w:asciiTheme="minorHAnsi" w:hAnsiTheme="minorHAnsi" w:cstheme="minorHAnsi"/>
                <w:color w:val="FFFFFF" w:themeColor="background1"/>
                <w:lang w:eastAsia="en-AU"/>
              </w:rPr>
              <w:t xml:space="preserve">What would be the impact (positive, negative or otherwise) of implementing each of the </w:t>
            </w:r>
            <w:r w:rsidR="00281A04">
              <w:rPr>
                <w:rFonts w:asciiTheme="minorHAnsi" w:hAnsiTheme="minorHAnsi" w:cstheme="minorHAnsi"/>
                <w:color w:val="FFFFFF" w:themeColor="background1"/>
                <w:lang w:eastAsia="en-AU"/>
              </w:rPr>
              <w:t xml:space="preserve">reform ideas </w:t>
            </w:r>
            <w:r w:rsidRPr="00411677">
              <w:rPr>
                <w:rFonts w:asciiTheme="minorHAnsi" w:hAnsiTheme="minorHAnsi" w:cstheme="minorHAnsi"/>
                <w:color w:val="FFFFFF" w:themeColor="background1"/>
                <w:lang w:eastAsia="en-AU"/>
              </w:rPr>
              <w:t xml:space="preserve">below? How could the outcome specified for each </w:t>
            </w:r>
            <w:r w:rsidR="00281A04">
              <w:rPr>
                <w:rFonts w:asciiTheme="minorHAnsi" w:hAnsiTheme="minorHAnsi" w:cstheme="minorHAnsi"/>
                <w:color w:val="FFFFFF" w:themeColor="background1"/>
                <w:lang w:eastAsia="en-AU"/>
              </w:rPr>
              <w:t>reform idea</w:t>
            </w:r>
            <w:r w:rsidRPr="00411677">
              <w:rPr>
                <w:rFonts w:asciiTheme="minorHAnsi" w:hAnsiTheme="minorHAnsi" w:cstheme="minorHAnsi"/>
                <w:color w:val="FFFFFF" w:themeColor="background1"/>
                <w:lang w:eastAsia="en-AU"/>
              </w:rPr>
              <w:t xml:space="preserve"> best be achieved?</w:t>
            </w:r>
          </w:p>
          <w:p w14:paraId="09B402C5" w14:textId="1BC757E9" w:rsidR="00ED4394" w:rsidRPr="00CD06ED" w:rsidRDefault="00CD06ED" w:rsidP="00E7068E">
            <w:pPr>
              <w:pStyle w:val="Bullet"/>
              <w:numPr>
                <w:ilvl w:val="0"/>
                <w:numId w:val="33"/>
              </w:numPr>
              <w:rPr>
                <w:color w:val="FFFFFF" w:themeColor="background1"/>
              </w:rPr>
            </w:pPr>
            <w:r w:rsidRPr="00CD06ED">
              <w:rPr>
                <w:color w:val="FFFFFF" w:themeColor="background1"/>
              </w:rPr>
              <w:fldChar w:fldCharType="begin"/>
            </w:r>
            <w:r w:rsidRPr="00CD06ED">
              <w:rPr>
                <w:color w:val="FFFFFF" w:themeColor="background1"/>
              </w:rPr>
              <w:instrText xml:space="preserve"> REF _Ref51914417 \h </w:instrText>
            </w:r>
            <w:r w:rsidR="0091708A">
              <w:rPr>
                <w:color w:val="FFFFFF" w:themeColor="background1"/>
              </w:rPr>
              <w:instrText xml:space="preserve"> \* MERGEFORMAT </w:instrText>
            </w:r>
            <w:r w:rsidRPr="00CD06ED">
              <w:rPr>
                <w:color w:val="FFFFFF" w:themeColor="background1"/>
              </w:rPr>
            </w:r>
            <w:r w:rsidRPr="00CD06ED">
              <w:rPr>
                <w:color w:val="FFFFFF" w:themeColor="background1"/>
              </w:rPr>
              <w:fldChar w:fldCharType="separate"/>
            </w:r>
            <w:r w:rsidR="001C5CC6" w:rsidRPr="001C5CC6">
              <w:rPr>
                <w:color w:val="FFFFFF" w:themeColor="background1"/>
              </w:rPr>
              <w:t>Reform idea 21 – Streamline Board appointments and nominations</w:t>
            </w:r>
            <w:r w:rsidRPr="00CD06ED">
              <w:rPr>
                <w:color w:val="FFFFFF" w:themeColor="background1"/>
              </w:rPr>
              <w:fldChar w:fldCharType="end"/>
            </w:r>
          </w:p>
          <w:p w14:paraId="22C7BF2F" w14:textId="09A68FB3" w:rsidR="009A7E3B" w:rsidRPr="00667B91" w:rsidDel="009A7E3B" w:rsidRDefault="009A7E3B" w:rsidP="0091708A">
            <w:pPr>
              <w:pStyle w:val="Bullet"/>
              <w:numPr>
                <w:ilvl w:val="0"/>
                <w:numId w:val="33"/>
              </w:numPr>
              <w:rPr>
                <w:color w:val="FFFFFF" w:themeColor="background1"/>
              </w:rPr>
            </w:pPr>
            <w:r w:rsidRPr="00667B91">
              <w:rPr>
                <w:color w:val="FFFFFF" w:themeColor="background1"/>
              </w:rPr>
              <w:fldChar w:fldCharType="begin"/>
            </w:r>
            <w:r w:rsidRPr="00667B91">
              <w:rPr>
                <w:color w:val="FFFFFF" w:themeColor="background1"/>
              </w:rPr>
              <w:instrText xml:space="preserve"> REF _Ref51859445 \h </w:instrText>
            </w:r>
            <w:r w:rsidR="00CE7142">
              <w:rPr>
                <w:color w:val="FFFFFF" w:themeColor="background1"/>
              </w:rPr>
              <w:instrText xml:space="preserve"> \* MERGEFORMAT </w:instrText>
            </w:r>
            <w:r w:rsidRPr="00667B91">
              <w:rPr>
                <w:color w:val="FFFFFF" w:themeColor="background1"/>
              </w:rPr>
            </w:r>
            <w:r w:rsidRPr="00667B91">
              <w:rPr>
                <w:color w:val="FFFFFF" w:themeColor="background1"/>
              </w:rPr>
              <w:fldChar w:fldCharType="separate"/>
            </w:r>
            <w:r w:rsidR="001C5CC6" w:rsidRPr="001C5CC6">
              <w:rPr>
                <w:color w:val="FFFFFF" w:themeColor="background1"/>
              </w:rPr>
              <w:t>Reform idea 22 – Establish minimum term length for Board members</w:t>
            </w:r>
            <w:r w:rsidRPr="00667B91">
              <w:rPr>
                <w:color w:val="FFFFFF" w:themeColor="background1"/>
              </w:rPr>
              <w:fldChar w:fldCharType="end"/>
            </w:r>
          </w:p>
          <w:p w14:paraId="62483FC5" w14:textId="6860B307" w:rsidR="00CE7142" w:rsidRPr="0091708A" w:rsidRDefault="00CE7142" w:rsidP="0091708A">
            <w:pPr>
              <w:pStyle w:val="Bullet"/>
              <w:numPr>
                <w:ilvl w:val="0"/>
                <w:numId w:val="33"/>
              </w:numPr>
              <w:rPr>
                <w:color w:val="FFFFFF" w:themeColor="background1"/>
              </w:rPr>
            </w:pPr>
            <w:r w:rsidRPr="0091708A">
              <w:rPr>
                <w:color w:val="FFFFFF" w:themeColor="background1"/>
              </w:rPr>
              <w:fldChar w:fldCharType="begin"/>
            </w:r>
            <w:r w:rsidRPr="0091708A">
              <w:rPr>
                <w:color w:val="FFFFFF" w:themeColor="background1"/>
              </w:rPr>
              <w:instrText xml:space="preserve"> REF _Ref51859503 \h </w:instrText>
            </w:r>
            <w:r w:rsidR="0091708A">
              <w:rPr>
                <w:color w:val="FFFFFF" w:themeColor="background1"/>
              </w:rPr>
              <w:instrText xml:space="preserve"> \* MERGEFORMAT </w:instrText>
            </w:r>
            <w:r w:rsidRPr="0091708A">
              <w:rPr>
                <w:color w:val="FFFFFF" w:themeColor="background1"/>
              </w:rPr>
            </w:r>
            <w:r w:rsidRPr="0091708A">
              <w:rPr>
                <w:color w:val="FFFFFF" w:themeColor="background1"/>
              </w:rPr>
              <w:fldChar w:fldCharType="separate"/>
            </w:r>
            <w:r w:rsidR="001C5CC6" w:rsidRPr="001C5CC6">
              <w:rPr>
                <w:color w:val="FFFFFF" w:themeColor="background1"/>
              </w:rPr>
              <w:t>Reform idea 23 – Reduce Board size</w:t>
            </w:r>
            <w:r w:rsidRPr="0091708A">
              <w:rPr>
                <w:color w:val="FFFFFF" w:themeColor="background1"/>
              </w:rPr>
              <w:fldChar w:fldCharType="end"/>
            </w:r>
            <w:r w:rsidR="00E22D99" w:rsidRPr="0091708A">
              <w:rPr>
                <w:color w:val="FFFFFF" w:themeColor="background1"/>
              </w:rPr>
              <w:t>.</w:t>
            </w:r>
          </w:p>
          <w:p w14:paraId="06A7ABE0" w14:textId="77777777" w:rsidR="007F100D" w:rsidRPr="007F100D" w:rsidRDefault="007F100D" w:rsidP="007F100D">
            <w:pPr>
              <w:pStyle w:val="ListParagraph"/>
              <w:ind w:left="1440"/>
              <w:rPr>
                <w:rFonts w:asciiTheme="minorHAnsi" w:hAnsiTheme="minorHAnsi" w:cstheme="minorHAnsi"/>
                <w:color w:val="FFFFFF" w:themeColor="background1"/>
                <w:lang w:eastAsia="en-AU"/>
              </w:rPr>
            </w:pPr>
          </w:p>
          <w:p w14:paraId="5E3B2838" w14:textId="36B6F00A" w:rsidR="007539BB" w:rsidRPr="00E25160" w:rsidRDefault="007539BB" w:rsidP="00760794">
            <w:pPr>
              <w:pStyle w:val="ListParagraph"/>
              <w:numPr>
                <w:ilvl w:val="0"/>
                <w:numId w:val="15"/>
              </w:numPr>
              <w:contextualSpacing w:val="0"/>
              <w:rPr>
                <w:color w:val="FFFFFF" w:themeColor="background1"/>
                <w:lang w:eastAsia="en-AU"/>
              </w:rPr>
            </w:pPr>
            <w:r w:rsidRPr="000F0E87">
              <w:rPr>
                <w:rFonts w:asciiTheme="minorHAnsi" w:hAnsiTheme="minorHAnsi" w:cstheme="minorHAnsi"/>
                <w:color w:val="FFFFFF" w:themeColor="background1"/>
                <w:lang w:eastAsia="en-AU"/>
              </w:rPr>
              <w:t>Are there other potential solutions relating to</w:t>
            </w:r>
            <w:r>
              <w:rPr>
                <w:rFonts w:asciiTheme="minorHAnsi" w:hAnsiTheme="minorHAnsi" w:cstheme="minorHAnsi"/>
                <w:color w:val="FFFFFF" w:themeColor="background1"/>
                <w:lang w:eastAsia="en-AU"/>
              </w:rPr>
              <w:t xml:space="preserve"> </w:t>
            </w:r>
            <w:r w:rsidR="00AA2C39">
              <w:rPr>
                <w:rFonts w:asciiTheme="minorHAnsi" w:hAnsiTheme="minorHAnsi" w:cstheme="minorHAnsi"/>
                <w:color w:val="FFFFFF" w:themeColor="background1"/>
                <w:lang w:eastAsia="en-AU"/>
              </w:rPr>
              <w:t>FSANZ’s governance arrangements</w:t>
            </w:r>
            <w:r>
              <w:rPr>
                <w:rFonts w:asciiTheme="minorHAnsi" w:hAnsiTheme="minorHAnsi" w:cstheme="minorHAnsi"/>
                <w:color w:val="FFFFFF" w:themeColor="background1"/>
                <w:lang w:eastAsia="en-AU"/>
              </w:rPr>
              <w:t>?</w:t>
            </w:r>
          </w:p>
        </w:tc>
      </w:tr>
    </w:tbl>
    <w:p w14:paraId="2F2ED978" w14:textId="78F19811" w:rsidR="00F84F0E" w:rsidRPr="00D5286A" w:rsidRDefault="00F84F0E" w:rsidP="00F84F0E">
      <w:pPr>
        <w:pStyle w:val="Heading2"/>
        <w:ind w:left="578" w:hanging="578"/>
      </w:pPr>
      <w:bookmarkStart w:id="143" w:name="_Ref51488485"/>
      <w:bookmarkStart w:id="144" w:name="_Toc52179148"/>
      <w:r w:rsidRPr="001661E9">
        <w:rPr>
          <w:rFonts w:eastAsiaTheme="minorEastAsia"/>
        </w:rPr>
        <w:t>FSANZ has multiple priorities and constrained resources</w:t>
      </w:r>
      <w:bookmarkEnd w:id="143"/>
      <w:bookmarkEnd w:id="144"/>
    </w:p>
    <w:p w14:paraId="61AB5DCE" w14:textId="2095BF12" w:rsidR="00A04439" w:rsidRDefault="00F84F0E" w:rsidP="00F84F0E">
      <w:pPr>
        <w:rPr>
          <w:lang w:eastAsia="en-AU"/>
        </w:rPr>
      </w:pPr>
      <w:r>
        <w:rPr>
          <w:lang w:eastAsia="en-AU"/>
        </w:rPr>
        <w:t xml:space="preserve">FSANZ has a range of competing priorities about where it allocates its resources. </w:t>
      </w:r>
      <w:r w:rsidR="00975976">
        <w:rPr>
          <w:lang w:eastAsia="en-AU"/>
        </w:rPr>
        <w:t xml:space="preserve">Its annual report </w:t>
      </w:r>
      <w:r w:rsidR="00A04439">
        <w:rPr>
          <w:lang w:eastAsia="en-AU"/>
        </w:rPr>
        <w:t>categorises it</w:t>
      </w:r>
      <w:r w:rsidR="002B168D">
        <w:rPr>
          <w:lang w:eastAsia="en-AU"/>
        </w:rPr>
        <w:t>s</w:t>
      </w:r>
      <w:r w:rsidR="00A04439">
        <w:rPr>
          <w:lang w:eastAsia="en-AU"/>
        </w:rPr>
        <w:t xml:space="preserve"> work into three key groups</w:t>
      </w:r>
      <w:r w:rsidR="002A2053">
        <w:rPr>
          <w:lang w:eastAsia="en-AU"/>
        </w:rPr>
        <w:t xml:space="preserve"> (</w:t>
      </w:r>
      <w:r w:rsidR="00B7248F">
        <w:rPr>
          <w:lang w:eastAsia="en-AU"/>
        </w:rPr>
        <w:t xml:space="preserve">see </w:t>
      </w:r>
      <w:r w:rsidR="002A2053">
        <w:rPr>
          <w:lang w:eastAsia="en-AU"/>
        </w:rPr>
        <w:fldChar w:fldCharType="begin"/>
      </w:r>
      <w:r w:rsidR="002A2053">
        <w:rPr>
          <w:lang w:eastAsia="en-AU"/>
        </w:rPr>
        <w:instrText xml:space="preserve"> REF _Ref51334395 \h </w:instrText>
      </w:r>
      <w:r w:rsidR="002A2053">
        <w:rPr>
          <w:lang w:eastAsia="en-AU"/>
        </w:rPr>
      </w:r>
      <w:r w:rsidR="002A2053">
        <w:rPr>
          <w:lang w:eastAsia="en-AU"/>
        </w:rPr>
        <w:fldChar w:fldCharType="separate"/>
      </w:r>
      <w:r w:rsidR="001C5CC6">
        <w:t xml:space="preserve">Figure </w:t>
      </w:r>
      <w:r w:rsidR="001C5CC6">
        <w:rPr>
          <w:noProof/>
        </w:rPr>
        <w:t>6</w:t>
      </w:r>
      <w:r w:rsidR="002A2053">
        <w:rPr>
          <w:lang w:eastAsia="en-AU"/>
        </w:rPr>
        <w:fldChar w:fldCharType="end"/>
      </w:r>
      <w:r w:rsidR="002A2053">
        <w:rPr>
          <w:lang w:eastAsia="en-AU"/>
        </w:rPr>
        <w:t xml:space="preserve">). </w:t>
      </w:r>
      <w:r w:rsidR="00961B14">
        <w:rPr>
          <w:lang w:eastAsia="en-AU"/>
        </w:rPr>
        <w:t>In addition, FSANZ manages</w:t>
      </w:r>
      <w:r w:rsidR="000D64E5">
        <w:rPr>
          <w:lang w:eastAsia="en-AU"/>
        </w:rPr>
        <w:t xml:space="preserve"> project</w:t>
      </w:r>
      <w:r w:rsidR="00961B14">
        <w:rPr>
          <w:lang w:eastAsia="en-AU"/>
        </w:rPr>
        <w:t xml:space="preserve"> work, such as </w:t>
      </w:r>
      <w:r w:rsidR="00961B14">
        <w:t xml:space="preserve">contributions to the Australian Health Survey and Australia Total Diet Survey </w:t>
      </w:r>
      <w:r w:rsidR="000D64E5">
        <w:t xml:space="preserve">and </w:t>
      </w:r>
      <w:r w:rsidR="00961B14">
        <w:t>critical food safety incident investigations</w:t>
      </w:r>
      <w:r w:rsidR="002C2E4C">
        <w:t>.</w:t>
      </w:r>
    </w:p>
    <w:p w14:paraId="309AD657" w14:textId="0F59FB88" w:rsidR="002A2053" w:rsidRDefault="002A2053" w:rsidP="002A2053">
      <w:pPr>
        <w:pStyle w:val="Caption"/>
        <w:rPr>
          <w:lang w:eastAsia="en-AU"/>
        </w:rPr>
      </w:pPr>
      <w:bookmarkStart w:id="145" w:name="_Ref51334395"/>
      <w:r>
        <w:t xml:space="preserve">Figure </w:t>
      </w:r>
      <w:r>
        <w:fldChar w:fldCharType="begin"/>
      </w:r>
      <w:r>
        <w:instrText xml:space="preserve"> SEQ Figure \* ARABIC </w:instrText>
      </w:r>
      <w:r>
        <w:fldChar w:fldCharType="separate"/>
      </w:r>
      <w:r w:rsidR="001C5CC6">
        <w:rPr>
          <w:noProof/>
        </w:rPr>
        <w:t>6</w:t>
      </w:r>
      <w:r>
        <w:fldChar w:fldCharType="end"/>
      </w:r>
      <w:bookmarkEnd w:id="145"/>
      <w:r>
        <w:t xml:space="preserve"> | FSANZ's core functions</w:t>
      </w:r>
      <w:r w:rsidR="000D1BA4">
        <w:t>, as categorised in its annual report</w:t>
      </w:r>
    </w:p>
    <w:p w14:paraId="12CEDF00" w14:textId="0F0F3F34" w:rsidR="00A04439" w:rsidRDefault="5B6B3B66" w:rsidP="00F84F0E">
      <w:pPr>
        <w:rPr>
          <w:lang w:eastAsia="en-AU"/>
        </w:rPr>
      </w:pPr>
      <w:r>
        <w:rPr>
          <w:noProof/>
          <w:lang w:eastAsia="en-AU"/>
        </w:rPr>
        <w:drawing>
          <wp:inline distT="0" distB="0" distL="0" distR="0" wp14:anchorId="164B05D1" wp14:editId="6AF6E51D">
            <wp:extent cx="5535928" cy="1946443"/>
            <wp:effectExtent l="0" t="0" r="7620" b="0"/>
            <wp:docPr id="9" name="Picture 9" descr="This diagram describes FSANZ's three core functions as categorised in its annual reports. These are: the development of food standards, coordination and monitoring, and provision and collection of food-relat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535928" cy="1946443"/>
                    </a:xfrm>
                    <a:prstGeom prst="rect">
                      <a:avLst/>
                    </a:prstGeom>
                  </pic:spPr>
                </pic:pic>
              </a:graphicData>
            </a:graphic>
          </wp:inline>
        </w:drawing>
      </w:r>
    </w:p>
    <w:p w14:paraId="43E70AFD" w14:textId="398010EB" w:rsidR="00F84F0E" w:rsidRDefault="00F84F0E" w:rsidP="00F84F0E">
      <w:pPr>
        <w:rPr>
          <w:lang w:eastAsia="en-AU"/>
        </w:rPr>
      </w:pPr>
      <w:r>
        <w:rPr>
          <w:lang w:eastAsia="en-AU"/>
        </w:rPr>
        <w:t xml:space="preserve">FSANZ is required under </w:t>
      </w:r>
      <w:r w:rsidR="00A021F5">
        <w:t>by</w:t>
      </w:r>
      <w:r>
        <w:rPr>
          <w:lang w:eastAsia="en-AU"/>
        </w:rPr>
        <w:t xml:space="preserve"> the Act to develop a three year forward plan for applications, proposal and types of applications and proposals on which it intends to develop standards or variation to standards. This provision requires that FSANZ review and update the plan at least every three months. </w:t>
      </w:r>
    </w:p>
    <w:p w14:paraId="119D7377" w14:textId="3F9ECCA7" w:rsidR="00F84F0E" w:rsidRDefault="00335F34" w:rsidP="00F84F0E">
      <w:pPr>
        <w:pStyle w:val="Heading3"/>
      </w:pPr>
      <w:bookmarkStart w:id="146" w:name="_Ref51939601"/>
      <w:r>
        <w:lastRenderedPageBreak/>
        <w:t>Funding constraints underpin FSANZ’s resourcing model</w:t>
      </w:r>
      <w:bookmarkEnd w:id="146"/>
    </w:p>
    <w:p w14:paraId="3E257935" w14:textId="0AEA4E66" w:rsidR="009A3203" w:rsidRDefault="009A3203" w:rsidP="009A3203">
      <w:r>
        <w:rPr>
          <w:lang w:eastAsia="en-AU"/>
        </w:rPr>
        <w:t xml:space="preserve">FSANZ is primarily funded through a Commonwealth Government appropriation and receives additional funding from the New Zealand Government, special projects and through cost recovery. </w:t>
      </w:r>
      <w:r>
        <w:t xml:space="preserve">Australian states and territories do not directly contribute to FSANZ’s revenue stream. </w:t>
      </w:r>
    </w:p>
    <w:p w14:paraId="2A4AAEB5" w14:textId="77777777" w:rsidR="00962E3C" w:rsidRDefault="009A3203" w:rsidP="009A3203">
      <w:r>
        <w:t xml:space="preserve">In recent years, FSANZ’s operating budget has declined in real terms, which has forced FSANZ to prioritise its resources to process applications within statutory timeframes. </w:t>
      </w:r>
    </w:p>
    <w:p w14:paraId="3EA7C8EF" w14:textId="59CE457E" w:rsidR="009A3203" w:rsidRDefault="009A3203" w:rsidP="009A3203">
      <w:pPr>
        <w:rPr>
          <w:lang w:eastAsia="en-AU"/>
        </w:rPr>
      </w:pPr>
      <w:r>
        <w:t xml:space="preserve">Specifically, </w:t>
      </w:r>
      <w:r>
        <w:rPr>
          <w:lang w:eastAsia="en-AU"/>
        </w:rPr>
        <w:t xml:space="preserve">while all applications must be processed within set timeframes, the Act also provides for applicants to expedite applications by paying a fee. </w:t>
      </w:r>
      <w:r>
        <w:t xml:space="preserve">This provision places a </w:t>
      </w:r>
      <w:r w:rsidR="002C5E9A">
        <w:t>five</w:t>
      </w:r>
      <w:r>
        <w:t xml:space="preserve">-business day timeframe on providing public notice of an application and commences the statutory timeframe for resolving the application. In contrast, for unpaid applications, the statutory timeframe for assessment is not triggered until the assessment itself commences. </w:t>
      </w:r>
      <w:r>
        <w:rPr>
          <w:lang w:eastAsia="en-AU"/>
        </w:rPr>
        <w:t xml:space="preserve">Proposals, on the other hand, are not subject to statutory timeframes and therefore are often relatively slow to progress. </w:t>
      </w:r>
    </w:p>
    <w:p w14:paraId="45D45B21" w14:textId="2CDCD799" w:rsidR="009A3203" w:rsidRDefault="009A3203" w:rsidP="009A3203">
      <w:pPr>
        <w:rPr>
          <w:lang w:eastAsia="en-AU"/>
        </w:rPr>
      </w:pPr>
      <w:r>
        <w:rPr>
          <w:lang w:eastAsia="en-AU"/>
        </w:rPr>
        <w:t xml:space="preserve">This approach does not necessarily deliver the best value to the Australian and New Zealand community; applications may have a small number of beneficiaries outside the initial applicant, while proposals often have system-wide impacts and stakeholders are highly invested in outcomes. </w:t>
      </w:r>
    </w:p>
    <w:p w14:paraId="167BB400" w14:textId="4C0DE09E" w:rsidR="009A3203" w:rsidRDefault="009A3203" w:rsidP="009A3203">
      <w:r>
        <w:t xml:space="preserve">FSANZ’s ability to deliver its functions in a timely and effective way is ultimately a question of resourcing, and what resources can be secured within FSANZ’s funding envelope. For example, based on current funding arrangements, FSANZ has capacity to progress a set number of proposals each year. FSANZ and the Forum could work together more strategically to agree priority proposals (as per Section </w:t>
      </w:r>
      <w:r w:rsidR="009A19A1">
        <w:fldChar w:fldCharType="begin"/>
      </w:r>
      <w:r w:rsidR="009A19A1">
        <w:instrText xml:space="preserve"> REF _Ref51342033 \r \h </w:instrText>
      </w:r>
      <w:r w:rsidR="009A19A1">
        <w:fldChar w:fldCharType="separate"/>
      </w:r>
      <w:r w:rsidR="001C5CC6">
        <w:t>5.2.1</w:t>
      </w:r>
      <w:r w:rsidR="009A19A1">
        <w:fldChar w:fldCharType="end"/>
      </w:r>
      <w:r>
        <w:t>). FSANZ could deliver more – including processing higher volumes of proposals and applications and undertaking other statutory functions in a timely and responsive way – with additional funding</w:t>
      </w:r>
      <w:r w:rsidR="00D37C3A">
        <w:t xml:space="preserve"> and</w:t>
      </w:r>
      <w:r>
        <w:t xml:space="preserve"> resources. </w:t>
      </w:r>
    </w:p>
    <w:p w14:paraId="66DFD931" w14:textId="7E0B9589" w:rsidR="00963A92" w:rsidRDefault="00CA2F4D" w:rsidP="00963A92">
      <w:pPr>
        <w:pStyle w:val="Heading3"/>
      </w:pPr>
      <w:bookmarkStart w:id="147" w:name="_Ref51939603"/>
      <w:r>
        <w:t>Cost recovery mechanisms can be considered as part of the Review</w:t>
      </w:r>
      <w:bookmarkEnd w:id="147"/>
    </w:p>
    <w:p w14:paraId="03222E5C" w14:textId="2221CDE4" w:rsidR="000C401F" w:rsidRDefault="000C401F" w:rsidP="000C401F">
      <w:r>
        <w:t>Funding arrangements are largely agreed outside of the Act and are therefore out of scope for this Review</w:t>
      </w:r>
      <w:r w:rsidR="0007579B">
        <w:t>.</w:t>
      </w:r>
      <w:r>
        <w:t xml:space="preserve"> </w:t>
      </w:r>
      <w:r w:rsidR="0007579B">
        <w:t>H</w:t>
      </w:r>
      <w:r>
        <w:t>owever</w:t>
      </w:r>
      <w:r w:rsidR="0007579B">
        <w:t>,</w:t>
      </w:r>
      <w:r>
        <w:t xml:space="preserve"> a</w:t>
      </w:r>
      <w:r w:rsidR="00B431FC">
        <w:t xml:space="preserve"> separate, target</w:t>
      </w:r>
      <w:r>
        <w:t xml:space="preserve"> review </w:t>
      </w:r>
      <w:r w:rsidR="00C5503C">
        <w:t xml:space="preserve">on this topic </w:t>
      </w:r>
      <w:r>
        <w:t>may be warranted</w:t>
      </w:r>
      <w:r w:rsidR="00967AC4">
        <w:t xml:space="preserve"> -</w:t>
      </w:r>
      <w:r>
        <w:t xml:space="preserve"> </w:t>
      </w:r>
      <w:r w:rsidR="00967AC4">
        <w:t>t</w:t>
      </w:r>
      <w:r>
        <w:t xml:space="preserve">his </w:t>
      </w:r>
      <w:r w:rsidR="004435FB">
        <w:t xml:space="preserve">could </w:t>
      </w:r>
      <w:r>
        <w:t xml:space="preserve">include re-evaluating </w:t>
      </w:r>
      <w:r w:rsidR="004435FB">
        <w:t>the</w:t>
      </w:r>
      <w:r>
        <w:t xml:space="preserve"> overall contribution made by governments; the appropriate distribution of costs between Australia and New Zealand</w:t>
      </w:r>
      <w:r w:rsidR="00347EC5">
        <w:rPr>
          <w:rStyle w:val="FootnoteReference"/>
        </w:rPr>
        <w:footnoteReference w:id="41"/>
      </w:r>
      <w:r>
        <w:t xml:space="preserve"> and the potential for states and territories to directly contribute to project-specific funding. </w:t>
      </w:r>
    </w:p>
    <w:p w14:paraId="5EB913AE" w14:textId="4037FB09" w:rsidR="0021355F" w:rsidRDefault="000C401F" w:rsidP="000C401F">
      <w:r>
        <w:t>Cost</w:t>
      </w:r>
      <w:r w:rsidR="002855A3">
        <w:t xml:space="preserve"> </w:t>
      </w:r>
      <w:r>
        <w:t>recovery mechanisms on the other hand are captured within the Act</w:t>
      </w:r>
      <w:r w:rsidR="004435FB">
        <w:t xml:space="preserve"> and therefore can be addressed as part of the Review</w:t>
      </w:r>
      <w:r>
        <w:t xml:space="preserve">. </w:t>
      </w:r>
    </w:p>
    <w:p w14:paraId="5159433B" w14:textId="11C3D43A" w:rsidR="000C401F" w:rsidRDefault="000C401F" w:rsidP="000C401F">
      <w:r>
        <w:t>Currently, FSANZ can collect fees from industry if a variation to a food standard would bestow an exclusive capturable commercial benefit upon the applicant</w:t>
      </w:r>
      <w:r w:rsidR="00331CAF">
        <w:t xml:space="preserve"> (s 27(</w:t>
      </w:r>
      <w:r w:rsidR="00FC095E">
        <w:t>c</w:t>
      </w:r>
      <w:r w:rsidR="00331CAF">
        <w:t>)</w:t>
      </w:r>
      <w:r w:rsidR="00FC095E">
        <w:t>)</w:t>
      </w:r>
      <w:r>
        <w:t>; or, if the applicant elected to expedite an application</w:t>
      </w:r>
      <w:r w:rsidR="00FC095E">
        <w:t xml:space="preserve"> (s 27(d))</w:t>
      </w:r>
      <w:r>
        <w:t xml:space="preserve">. </w:t>
      </w:r>
    </w:p>
    <w:p w14:paraId="68751709" w14:textId="2FC67430" w:rsidR="000C401F" w:rsidRDefault="000C401F" w:rsidP="000C401F">
      <w:pPr>
        <w:pStyle w:val="Bullet"/>
        <w:numPr>
          <w:ilvl w:val="0"/>
          <w:numId w:val="0"/>
        </w:numPr>
      </w:pPr>
      <w:r>
        <w:t>Cost</w:t>
      </w:r>
      <w:r w:rsidR="002855A3">
        <w:t xml:space="preserve"> </w:t>
      </w:r>
      <w:r>
        <w:t>recovery makes up only about two percent of FSANZ’s total revenue stream</w:t>
      </w:r>
      <w:r w:rsidR="0021355F">
        <w:t>.</w:t>
      </w:r>
      <w:r>
        <w:t xml:space="preserve"> On the other hand, similar bodies to FSANZ such as the TGA and APVMA are primarily or solely funded through cost recovery. While they undertake different and more high-volume work, this illustrates that broader avenues for cost recovery could be considered. </w:t>
      </w:r>
    </w:p>
    <w:p w14:paraId="6F0194A0" w14:textId="77736ECC" w:rsidR="000C401F" w:rsidRDefault="000C401F" w:rsidP="000C401F">
      <w:r>
        <w:t>FSANZ currently undertake</w:t>
      </w:r>
      <w:r w:rsidR="00CC3EDF">
        <w:t>s</w:t>
      </w:r>
      <w:r>
        <w:t xml:space="preserve"> significant work with industry for which it is not currently remunerated. For example, pre-application assistance and advice can be highly resource intensive and may begin long </w:t>
      </w:r>
      <w:r>
        <w:lastRenderedPageBreak/>
        <w:t xml:space="preserve">before an application is eventually submitted to FSANZ. Similarly, there may be a market for FSANZ to do more to support interpret food standards (see Section </w:t>
      </w:r>
      <w:r w:rsidR="002017F3">
        <w:fldChar w:fldCharType="begin"/>
      </w:r>
      <w:r w:rsidR="002017F3">
        <w:instrText xml:space="preserve"> REF _Ref51486367 \r \h </w:instrText>
      </w:r>
      <w:r w:rsidR="002017F3">
        <w:fldChar w:fldCharType="separate"/>
      </w:r>
      <w:r w:rsidR="001C5CC6">
        <w:t>3.1.3</w:t>
      </w:r>
      <w:r w:rsidR="002017F3">
        <w:fldChar w:fldCharType="end"/>
      </w:r>
      <w:r w:rsidR="002017F3">
        <w:t>)</w:t>
      </w:r>
      <w:r>
        <w:t xml:space="preserve">. </w:t>
      </w:r>
    </w:p>
    <w:p w14:paraId="3759EE45" w14:textId="66674B87" w:rsidR="009B1F4E" w:rsidRDefault="000C401F" w:rsidP="000C401F">
      <w:r>
        <w:t>Expanding the provisions for cost-recovery within the Act may be a viable mechanism for strengthening FSANZ’s revenue stream</w:t>
      </w:r>
      <w:r w:rsidR="009B1F4E">
        <w:t xml:space="preserve"> (albeit, by a small margin)</w:t>
      </w:r>
      <w:r>
        <w:t xml:space="preserve">. </w:t>
      </w:r>
    </w:p>
    <w:p w14:paraId="2AAFAE98" w14:textId="3A5C24F6" w:rsidR="000C401F" w:rsidRPr="00065F95" w:rsidRDefault="000C401F" w:rsidP="000C401F">
      <w:r>
        <w:t>Any additions would need to be consistent with Australian and New Zealand government policy in relation to cost recovery.</w:t>
      </w:r>
      <w:r>
        <w:rPr>
          <w:rStyle w:val="FootnoteReference"/>
        </w:rPr>
        <w:footnoteReference w:id="42"/>
      </w:r>
      <w:r>
        <w:t xml:space="preserve"> This includes</w:t>
      </w:r>
      <w:r w:rsidR="00924528">
        <w:t xml:space="preserve"> ensuring that it does not create a risk of regulatory capture, where the independence of FSANZ is challenged by ‘services bought’ by industry. </w:t>
      </w:r>
      <w:r w:rsidR="007F0DB5">
        <w:t xml:space="preserve">It must also </w:t>
      </w:r>
      <w:r>
        <w:t>balanc</w:t>
      </w:r>
      <w:r w:rsidR="007F0DB5">
        <w:t>e</w:t>
      </w:r>
      <w:r>
        <w:t xml:space="preserve"> benefits with the risks such as the additional compliance burden, particularly for small businesses, and the potential displacement or disruption of private markets</w:t>
      </w:r>
      <w:r w:rsidR="00077337">
        <w:t xml:space="preserve">, for example, </w:t>
      </w:r>
      <w:r w:rsidR="00763554">
        <w:t xml:space="preserve">those that currently exist to support food businesses interpret food standards. </w:t>
      </w:r>
    </w:p>
    <w:p w14:paraId="0640EB7D" w14:textId="387A3EAF" w:rsidR="0024661E" w:rsidRPr="00D5286A" w:rsidRDefault="0024661E" w:rsidP="0024661E">
      <w:pPr>
        <w:pStyle w:val="Heading2"/>
        <w:ind w:left="578" w:hanging="578"/>
      </w:pPr>
      <w:bookmarkStart w:id="148" w:name="_Toc51748361"/>
      <w:bookmarkStart w:id="149" w:name="_Toc52179149"/>
      <w:bookmarkEnd w:id="148"/>
      <w:r>
        <w:rPr>
          <w:rFonts w:eastAsiaTheme="minorEastAsia"/>
        </w:rPr>
        <w:t xml:space="preserve">There are opportunities for legislative and operational reform to ensure adequate resourcing </w:t>
      </w:r>
      <w:r w:rsidR="00A707D7">
        <w:rPr>
          <w:rFonts w:eastAsiaTheme="minorEastAsia"/>
        </w:rPr>
        <w:t>for FSANZ</w:t>
      </w:r>
      <w:bookmarkEnd w:id="149"/>
    </w:p>
    <w:p w14:paraId="7A8CCA7C" w14:textId="3F31946C" w:rsidR="0024661E" w:rsidRDefault="006E13C8">
      <w:pPr>
        <w:pStyle w:val="Bullet"/>
        <w:numPr>
          <w:ilvl w:val="0"/>
          <w:numId w:val="0"/>
        </w:numPr>
      </w:pPr>
      <w:r>
        <w:t xml:space="preserve">Two </w:t>
      </w:r>
      <w:r w:rsidR="00F86913">
        <w:t>reform ideas</w:t>
      </w:r>
      <w:r w:rsidR="0024661E">
        <w:t xml:space="preserve"> have been identified to address resourcing constraints faced by FSANZ</w:t>
      </w:r>
      <w:r w:rsidR="00F86913">
        <w:t xml:space="preserve"> by expanding its ability to recover costs for certain activities</w:t>
      </w:r>
      <w:r w:rsidR="0024661E">
        <w:t xml:space="preserve">. </w:t>
      </w:r>
      <w:r w:rsidR="00F86913">
        <w:t>These could be considered separately or in conjunction</w:t>
      </w:r>
      <w:r w:rsidR="0024661E">
        <w:t xml:space="preserve">. </w:t>
      </w:r>
    </w:p>
    <w:p w14:paraId="70A42791" w14:textId="36273358" w:rsidR="003109CF" w:rsidRPr="003109CF" w:rsidRDefault="00944FE5" w:rsidP="003109CF">
      <w:pPr>
        <w:pStyle w:val="Heading3"/>
      </w:pPr>
      <w:bookmarkStart w:id="150" w:name="_Ref51342431"/>
      <w:r>
        <w:t>Reform idea 2</w:t>
      </w:r>
      <w:r w:rsidR="00F85B4D">
        <w:t>4</w:t>
      </w:r>
      <w:r w:rsidR="00AA2C39">
        <w:t xml:space="preserve"> </w:t>
      </w:r>
      <w:r>
        <w:t>–</w:t>
      </w:r>
      <w:r w:rsidR="00122AE3">
        <w:t xml:space="preserve"> Expand scope of applications for which FSANZ can recover costs</w:t>
      </w:r>
      <w:bookmarkEnd w:id="150"/>
    </w:p>
    <w:p w14:paraId="624769BB" w14:textId="78658C80" w:rsidR="00A83F28" w:rsidRDefault="00A83F28" w:rsidP="008B73C4">
      <w:pPr>
        <w:rPr>
          <w:rFonts w:eastAsiaTheme="minorEastAsia"/>
          <w:lang w:val="en-US"/>
        </w:rPr>
      </w:pPr>
      <w:r>
        <w:rPr>
          <w:rFonts w:eastAsiaTheme="minorEastAsia"/>
          <w:lang w:val="en-US"/>
        </w:rPr>
        <w:t xml:space="preserve">The current cost recovery model could be expanded to a greater proportion of applications by amending </w:t>
      </w:r>
      <w:r w:rsidR="00533566">
        <w:rPr>
          <w:rFonts w:eastAsiaTheme="minorEastAsia"/>
          <w:lang w:val="en-US"/>
        </w:rPr>
        <w:t>s</w:t>
      </w:r>
      <w:r>
        <w:rPr>
          <w:rFonts w:eastAsiaTheme="minorEastAsia"/>
          <w:lang w:val="en-US"/>
        </w:rPr>
        <w:t xml:space="preserve"> 146 of the Act. This could include all or a broader subset of applications. This</w:t>
      </w:r>
      <w:r w:rsidDel="00281A04">
        <w:rPr>
          <w:rFonts w:eastAsiaTheme="minorEastAsia"/>
          <w:lang w:val="en-US"/>
        </w:rPr>
        <w:t xml:space="preserve"> </w:t>
      </w:r>
      <w:r w:rsidR="00281A04">
        <w:rPr>
          <w:rFonts w:eastAsiaTheme="minorEastAsia"/>
          <w:lang w:val="en-US"/>
        </w:rPr>
        <w:t xml:space="preserve">reform idea </w:t>
      </w:r>
      <w:r>
        <w:rPr>
          <w:rFonts w:eastAsiaTheme="minorEastAsia"/>
          <w:lang w:val="en-US"/>
        </w:rPr>
        <w:t xml:space="preserve">could provide some limited increase in business revenue, but this would be minimal given the small number of applications that FSANZ processes each year. This also creates an additional regulatory burden on food businesses. </w:t>
      </w:r>
    </w:p>
    <w:p w14:paraId="7D94E16E" w14:textId="50ECC352" w:rsidR="00122AE3" w:rsidRDefault="00944FE5" w:rsidP="00F30A35">
      <w:pPr>
        <w:pStyle w:val="Heading3"/>
      </w:pPr>
      <w:bookmarkStart w:id="151" w:name="_Ref51342432"/>
      <w:r>
        <w:t>Reform idea 2</w:t>
      </w:r>
      <w:r w:rsidR="00F85B4D">
        <w:t>5</w:t>
      </w:r>
      <w:r w:rsidR="00AA2C39">
        <w:t xml:space="preserve"> </w:t>
      </w:r>
      <w:r>
        <w:t>–</w:t>
      </w:r>
      <w:r w:rsidR="00FB6B6C">
        <w:t xml:space="preserve"> </w:t>
      </w:r>
      <w:r w:rsidR="0010396B">
        <w:t>Provide for l</w:t>
      </w:r>
      <w:r w:rsidR="002B0D02">
        <w:t>imited</w:t>
      </w:r>
      <w:r w:rsidR="00FB6B6C">
        <w:t xml:space="preserve"> expansion of scope of activities for which FSANZ can recover costs</w:t>
      </w:r>
      <w:bookmarkEnd w:id="151"/>
    </w:p>
    <w:p w14:paraId="36405F6D" w14:textId="6B840137" w:rsidR="00A32D15" w:rsidRDefault="001A4901" w:rsidP="008B73C4">
      <w:pPr>
        <w:rPr>
          <w:rFonts w:eastAsiaTheme="minorEastAsia"/>
          <w:lang w:val="en-US"/>
        </w:rPr>
      </w:pPr>
      <w:r>
        <w:rPr>
          <w:rFonts w:eastAsiaTheme="minorEastAsia"/>
          <w:lang w:val="en-US"/>
        </w:rPr>
        <w:t xml:space="preserve">The Act could be amended to expand permitted cost recovery activities to include some activities which FSANZ currently </w:t>
      </w:r>
      <w:r w:rsidR="001F3FBF">
        <w:rPr>
          <w:rFonts w:eastAsiaTheme="minorEastAsia"/>
          <w:lang w:val="en-US"/>
        </w:rPr>
        <w:t xml:space="preserve">– or could </w:t>
      </w:r>
      <w:r w:rsidR="00042C96">
        <w:rPr>
          <w:rFonts w:eastAsiaTheme="minorEastAsia"/>
          <w:lang w:val="en-US"/>
        </w:rPr>
        <w:t>–</w:t>
      </w:r>
      <w:r w:rsidR="001F3FBF">
        <w:rPr>
          <w:rFonts w:eastAsiaTheme="minorEastAsia"/>
          <w:lang w:val="en-US"/>
        </w:rPr>
        <w:t xml:space="preserve"> perform. </w:t>
      </w:r>
      <w:r w:rsidR="008541CF">
        <w:rPr>
          <w:rFonts w:eastAsiaTheme="minorEastAsia"/>
          <w:lang w:val="en-US"/>
        </w:rPr>
        <w:t>This could include</w:t>
      </w:r>
      <w:r w:rsidR="00571514">
        <w:rPr>
          <w:rFonts w:eastAsiaTheme="minorEastAsia"/>
          <w:lang w:val="en-US"/>
        </w:rPr>
        <w:t xml:space="preserve"> </w:t>
      </w:r>
      <w:r w:rsidR="000D69FD">
        <w:rPr>
          <w:rFonts w:eastAsiaTheme="minorEastAsia"/>
          <w:lang w:val="en-US"/>
        </w:rPr>
        <w:t>pre-application assistance that is provided by FSANZ to industry free of charge currently</w:t>
      </w:r>
      <w:r w:rsidR="00550AA0">
        <w:rPr>
          <w:rFonts w:eastAsiaTheme="minorEastAsia"/>
          <w:lang w:val="en-US"/>
        </w:rPr>
        <w:t>, or the provision</w:t>
      </w:r>
      <w:r w:rsidR="00F3037C">
        <w:rPr>
          <w:rFonts w:eastAsiaTheme="minorEastAsia"/>
          <w:lang w:val="en-US"/>
        </w:rPr>
        <w:t xml:space="preserve"> of </w:t>
      </w:r>
      <w:r w:rsidR="00462349">
        <w:rPr>
          <w:rFonts w:eastAsiaTheme="minorEastAsia"/>
          <w:lang w:val="en-US"/>
        </w:rPr>
        <w:t>interpretive advice</w:t>
      </w:r>
      <w:r w:rsidR="00550AA0">
        <w:rPr>
          <w:rFonts w:eastAsiaTheme="minorEastAsia"/>
          <w:lang w:val="en-US"/>
        </w:rPr>
        <w:t xml:space="preserve"> on food standards</w:t>
      </w:r>
      <w:r w:rsidR="00462349">
        <w:rPr>
          <w:rFonts w:eastAsiaTheme="minorEastAsia"/>
          <w:lang w:val="en-US"/>
        </w:rPr>
        <w:t xml:space="preserve">. </w:t>
      </w:r>
      <w:r w:rsidR="00A32D15">
        <w:rPr>
          <w:rFonts w:eastAsiaTheme="minorEastAsia"/>
          <w:lang w:val="en-US"/>
        </w:rPr>
        <w:t xml:space="preserve">This </w:t>
      </w:r>
      <w:r w:rsidR="007052E6">
        <w:rPr>
          <w:rFonts w:eastAsiaTheme="minorEastAsia"/>
          <w:lang w:val="en-US"/>
        </w:rPr>
        <w:t>reform idea</w:t>
      </w:r>
      <w:r w:rsidR="00A32D15">
        <w:rPr>
          <w:rFonts w:eastAsiaTheme="minorEastAsia"/>
          <w:lang w:val="en-US"/>
        </w:rPr>
        <w:t xml:space="preserve"> would impose additional costs on industry and</w:t>
      </w:r>
      <w:r w:rsidR="0090177B">
        <w:rPr>
          <w:rFonts w:eastAsiaTheme="minorEastAsia"/>
          <w:lang w:val="en-US"/>
        </w:rPr>
        <w:t xml:space="preserve"> other stakeholders that currently receive services from FSANZ. </w:t>
      </w:r>
    </w:p>
    <w:p w14:paraId="463065CF" w14:textId="77777777" w:rsidR="00337CE5" w:rsidRDefault="00337CE5" w:rsidP="008B73C4">
      <w:pPr>
        <w:rPr>
          <w:rFonts w:eastAsiaTheme="minorEastAsia"/>
          <w:lang w:val="en-US"/>
        </w:rPr>
      </w:pPr>
    </w:p>
    <w:tbl>
      <w:tblPr>
        <w:tblStyle w:val="NousLongformcallout"/>
        <w:tblW w:w="4950" w:type="pct"/>
        <w:tblCellMar>
          <w:top w:w="170" w:type="dxa"/>
          <w:bottom w:w="170" w:type="dxa"/>
        </w:tblCellMar>
        <w:tblLook w:val="04A0" w:firstRow="1" w:lastRow="0" w:firstColumn="1" w:lastColumn="0" w:noHBand="0" w:noVBand="1"/>
      </w:tblPr>
      <w:tblGrid>
        <w:gridCol w:w="9055"/>
      </w:tblGrid>
      <w:tr w:rsidR="00AA2C39" w14:paraId="6A239433" w14:textId="77777777" w:rsidTr="00747266">
        <w:tc>
          <w:tcPr>
            <w:tcW w:w="9055" w:type="dxa"/>
            <w:shd w:val="clear" w:color="auto" w:fill="00264D" w:themeFill="background2"/>
          </w:tcPr>
          <w:p w14:paraId="6D8ED890" w14:textId="77777777" w:rsidR="00AA2C39" w:rsidRPr="00835584" w:rsidRDefault="00AA2C39" w:rsidP="00747266">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393E84D6" w14:textId="193A3DC8" w:rsidR="00EC72BA" w:rsidRDefault="00613E7A"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 xml:space="preserve">To what degree </w:t>
            </w:r>
            <w:r w:rsidR="00D840BF">
              <w:rPr>
                <w:rFonts w:asciiTheme="minorHAnsi" w:hAnsiTheme="minorHAnsi" w:cstheme="minorHAnsi"/>
                <w:color w:val="FFFFFF" w:themeColor="background1"/>
                <w:lang w:eastAsia="en-AU"/>
              </w:rPr>
              <w:t>does FSANZ’s approach to</w:t>
            </w:r>
            <w:r w:rsidR="0057615E">
              <w:rPr>
                <w:rFonts w:asciiTheme="minorHAnsi" w:hAnsiTheme="minorHAnsi" w:cstheme="minorHAnsi"/>
                <w:color w:val="FFFFFF" w:themeColor="background1"/>
                <w:lang w:eastAsia="en-AU"/>
              </w:rPr>
              <w:t xml:space="preserve"> setting its own workplan</w:t>
            </w:r>
            <w:r w:rsidR="00461B95">
              <w:rPr>
                <w:rFonts w:asciiTheme="minorHAnsi" w:hAnsiTheme="minorHAnsi" w:cstheme="minorHAnsi"/>
                <w:color w:val="FFFFFF" w:themeColor="background1"/>
                <w:lang w:eastAsia="en-AU"/>
              </w:rPr>
              <w:t xml:space="preserve"> and resourcing its work</w:t>
            </w:r>
            <w:r w:rsidR="0057615E">
              <w:rPr>
                <w:rFonts w:asciiTheme="minorHAnsi" w:hAnsiTheme="minorHAnsi" w:cstheme="minorHAnsi"/>
                <w:color w:val="FFFFFF" w:themeColor="background1"/>
                <w:lang w:eastAsia="en-AU"/>
              </w:rPr>
              <w:t xml:space="preserve"> </w:t>
            </w:r>
            <w:r w:rsidR="00D840BF">
              <w:rPr>
                <w:rFonts w:asciiTheme="minorHAnsi" w:hAnsiTheme="minorHAnsi" w:cstheme="minorHAnsi"/>
                <w:color w:val="FFFFFF" w:themeColor="background1"/>
                <w:lang w:eastAsia="en-AU"/>
              </w:rPr>
              <w:t xml:space="preserve">present an issue for the system? What are the types of problems that different stakeholder groups face as a consequence? </w:t>
            </w:r>
          </w:p>
          <w:p w14:paraId="393F5B8E" w14:textId="77777777" w:rsidR="00EC72BA" w:rsidRDefault="00EC72BA" w:rsidP="0057615E">
            <w:pPr>
              <w:pStyle w:val="ListParagraph"/>
              <w:rPr>
                <w:rFonts w:asciiTheme="minorHAnsi" w:hAnsiTheme="minorHAnsi" w:cstheme="minorHAnsi"/>
                <w:color w:val="FFFFFF" w:themeColor="background1"/>
                <w:lang w:eastAsia="en-AU"/>
              </w:rPr>
            </w:pPr>
          </w:p>
          <w:p w14:paraId="1C16F956" w14:textId="09A21935" w:rsidR="00AA2C39" w:rsidRDefault="00AA2C39" w:rsidP="00760794">
            <w:pPr>
              <w:pStyle w:val="ListParagraph"/>
              <w:numPr>
                <w:ilvl w:val="0"/>
                <w:numId w:val="15"/>
              </w:numPr>
              <w:rPr>
                <w:rFonts w:asciiTheme="minorHAnsi" w:hAnsiTheme="minorHAnsi" w:cstheme="minorHAnsi"/>
                <w:color w:val="FFFFFF" w:themeColor="background1"/>
                <w:lang w:eastAsia="en-AU"/>
              </w:rPr>
            </w:pPr>
            <w:r w:rsidRPr="00411677">
              <w:rPr>
                <w:rFonts w:asciiTheme="minorHAnsi" w:hAnsiTheme="minorHAnsi" w:cstheme="minorHAnsi"/>
                <w:color w:val="FFFFFF" w:themeColor="background1"/>
                <w:lang w:eastAsia="en-AU"/>
              </w:rPr>
              <w:t xml:space="preserve">What would be the impact (positive, negative or otherwise) of implementing each of the </w:t>
            </w:r>
            <w:r w:rsidR="00281A04">
              <w:rPr>
                <w:rFonts w:asciiTheme="minorHAnsi" w:hAnsiTheme="minorHAnsi" w:cstheme="minorHAnsi"/>
                <w:color w:val="FFFFFF" w:themeColor="background1"/>
                <w:lang w:eastAsia="en-AU"/>
              </w:rPr>
              <w:t xml:space="preserve">reform </w:t>
            </w:r>
            <w:r w:rsidR="00281A04">
              <w:rPr>
                <w:rFonts w:asciiTheme="minorHAnsi" w:hAnsiTheme="minorHAnsi" w:cstheme="minorHAnsi"/>
                <w:color w:val="FFFFFF" w:themeColor="background1"/>
                <w:lang w:eastAsia="en-AU"/>
              </w:rPr>
              <w:lastRenderedPageBreak/>
              <w:t xml:space="preserve">ideas </w:t>
            </w:r>
            <w:r w:rsidRPr="00411677">
              <w:rPr>
                <w:rFonts w:asciiTheme="minorHAnsi" w:hAnsiTheme="minorHAnsi" w:cstheme="minorHAnsi"/>
                <w:color w:val="FFFFFF" w:themeColor="background1"/>
                <w:lang w:eastAsia="en-AU"/>
              </w:rPr>
              <w:t xml:space="preserve">below? How could the outcome specified for each </w:t>
            </w:r>
            <w:r w:rsidR="00281A04">
              <w:rPr>
                <w:rFonts w:asciiTheme="minorHAnsi" w:hAnsiTheme="minorHAnsi" w:cstheme="minorHAnsi"/>
                <w:color w:val="FFFFFF" w:themeColor="background1"/>
                <w:lang w:eastAsia="en-AU"/>
              </w:rPr>
              <w:t>reform idea</w:t>
            </w:r>
            <w:r w:rsidRPr="00411677">
              <w:rPr>
                <w:rFonts w:asciiTheme="minorHAnsi" w:hAnsiTheme="minorHAnsi" w:cstheme="minorHAnsi"/>
                <w:color w:val="FFFFFF" w:themeColor="background1"/>
                <w:lang w:eastAsia="en-AU"/>
              </w:rPr>
              <w:t xml:space="preserve"> best be achieved?</w:t>
            </w:r>
          </w:p>
          <w:p w14:paraId="2B43140C" w14:textId="4730A685" w:rsidR="00AA2C39" w:rsidRDefault="00AA2C39">
            <w:pPr>
              <w:pStyle w:val="ListParagraph"/>
              <w:numPr>
                <w:ilvl w:val="0"/>
                <w:numId w:val="30"/>
              </w:numPr>
              <w:contextualSpacing w:val="0"/>
              <w:rPr>
                <w:color w:val="FFFFFF" w:themeColor="background1"/>
              </w:rPr>
            </w:pPr>
            <w:r w:rsidRPr="00AA2C39">
              <w:rPr>
                <w:color w:val="FFFFFF" w:themeColor="background1"/>
              </w:rPr>
              <w:fldChar w:fldCharType="begin"/>
            </w:r>
            <w:r w:rsidRPr="00AA2C39">
              <w:rPr>
                <w:color w:val="FFFFFF" w:themeColor="background1"/>
              </w:rPr>
              <w:instrText xml:space="preserve"> REF _Ref51342431 \h </w:instrText>
            </w:r>
            <w:r w:rsidR="00A84A20">
              <w:rPr>
                <w:color w:val="FFFFFF" w:themeColor="background1"/>
              </w:rPr>
              <w:instrText xml:space="preserve"> \* MERGEFORMAT </w:instrText>
            </w:r>
            <w:r w:rsidRPr="00AA2C39">
              <w:rPr>
                <w:color w:val="FFFFFF" w:themeColor="background1"/>
              </w:rPr>
            </w:r>
            <w:r w:rsidRPr="00AA2C39">
              <w:rPr>
                <w:color w:val="FFFFFF" w:themeColor="background1"/>
              </w:rPr>
              <w:fldChar w:fldCharType="separate"/>
            </w:r>
            <w:r w:rsidR="001C5CC6" w:rsidRPr="001C5CC6">
              <w:rPr>
                <w:color w:val="FFFFFF" w:themeColor="background1"/>
              </w:rPr>
              <w:t>Reform idea 24 – Expand scope of applications for which FSANZ can recover costs</w:t>
            </w:r>
            <w:r w:rsidRPr="00AA2C39">
              <w:rPr>
                <w:color w:val="FFFFFF" w:themeColor="background1"/>
              </w:rPr>
              <w:fldChar w:fldCharType="end"/>
            </w:r>
          </w:p>
          <w:p w14:paraId="0474244A" w14:textId="78C0F6F5" w:rsidR="00AA2C39" w:rsidRPr="00AA2C39" w:rsidRDefault="00AA2C39">
            <w:pPr>
              <w:pStyle w:val="ListParagraph"/>
              <w:numPr>
                <w:ilvl w:val="0"/>
                <w:numId w:val="30"/>
              </w:numPr>
              <w:contextualSpacing w:val="0"/>
              <w:rPr>
                <w:color w:val="FFFFFF" w:themeColor="background1"/>
              </w:rPr>
            </w:pPr>
            <w:r w:rsidRPr="00AA2C39">
              <w:rPr>
                <w:color w:val="FFFFFF" w:themeColor="background1"/>
              </w:rPr>
              <w:fldChar w:fldCharType="begin"/>
            </w:r>
            <w:r w:rsidRPr="00AA2C39">
              <w:rPr>
                <w:color w:val="FFFFFF" w:themeColor="background1"/>
              </w:rPr>
              <w:instrText xml:space="preserve"> REF _Ref51342432 \h </w:instrText>
            </w:r>
            <w:r w:rsidR="00A84A20">
              <w:rPr>
                <w:color w:val="FFFFFF" w:themeColor="background1"/>
              </w:rPr>
              <w:instrText xml:space="preserve"> \* MERGEFORMAT </w:instrText>
            </w:r>
            <w:r w:rsidRPr="00AA2C39">
              <w:rPr>
                <w:color w:val="FFFFFF" w:themeColor="background1"/>
              </w:rPr>
            </w:r>
            <w:r w:rsidRPr="00AA2C39">
              <w:rPr>
                <w:color w:val="FFFFFF" w:themeColor="background1"/>
              </w:rPr>
              <w:fldChar w:fldCharType="separate"/>
            </w:r>
            <w:r w:rsidR="001C5CC6" w:rsidRPr="001C5CC6">
              <w:rPr>
                <w:color w:val="FFFFFF" w:themeColor="background1"/>
              </w:rPr>
              <w:t>Reform idea 25 – Provide for limited expansion of scope of activities for which FSANZ can recover costs</w:t>
            </w:r>
            <w:r w:rsidRPr="00AA2C39">
              <w:rPr>
                <w:color w:val="FFFFFF" w:themeColor="background1"/>
              </w:rPr>
              <w:fldChar w:fldCharType="end"/>
            </w:r>
          </w:p>
          <w:p w14:paraId="0729D02A" w14:textId="6ACC042E" w:rsidR="00AA2C39" w:rsidRPr="00E25160" w:rsidRDefault="00AA2C39">
            <w:pPr>
              <w:pStyle w:val="ListParagraph"/>
              <w:numPr>
                <w:ilvl w:val="0"/>
                <w:numId w:val="15"/>
              </w:numPr>
              <w:contextualSpacing w:val="0"/>
              <w:rPr>
                <w:color w:val="FFFFFF" w:themeColor="background1"/>
                <w:lang w:eastAsia="en-AU"/>
              </w:rPr>
            </w:pPr>
            <w:r w:rsidRPr="000F0E87">
              <w:rPr>
                <w:rFonts w:asciiTheme="minorHAnsi" w:hAnsiTheme="minorHAnsi" w:cstheme="minorHAnsi"/>
                <w:color w:val="FFFFFF" w:themeColor="background1"/>
                <w:lang w:eastAsia="en-AU"/>
              </w:rPr>
              <w:t>Are there other potential solutions relating to</w:t>
            </w:r>
            <w:r>
              <w:rPr>
                <w:rFonts w:asciiTheme="minorHAnsi" w:hAnsiTheme="minorHAnsi" w:cstheme="minorHAnsi"/>
                <w:color w:val="FFFFFF" w:themeColor="background1"/>
                <w:lang w:eastAsia="en-AU"/>
              </w:rPr>
              <w:t xml:space="preserve"> FSANZ’s </w:t>
            </w:r>
            <w:r w:rsidR="00B40D00">
              <w:rPr>
                <w:rFonts w:asciiTheme="minorHAnsi" w:hAnsiTheme="minorHAnsi" w:cstheme="minorHAnsi"/>
                <w:color w:val="FFFFFF" w:themeColor="background1"/>
                <w:lang w:eastAsia="en-AU"/>
              </w:rPr>
              <w:t>operations</w:t>
            </w:r>
            <w:r>
              <w:rPr>
                <w:rFonts w:asciiTheme="minorHAnsi" w:hAnsiTheme="minorHAnsi" w:cstheme="minorHAnsi"/>
                <w:color w:val="FFFFFF" w:themeColor="background1"/>
                <w:lang w:eastAsia="en-AU"/>
              </w:rPr>
              <w:t>?</w:t>
            </w:r>
          </w:p>
        </w:tc>
      </w:tr>
    </w:tbl>
    <w:p w14:paraId="4AC5AC02" w14:textId="593F23A5" w:rsidR="00DE1DCD" w:rsidRDefault="00DE1DCD" w:rsidP="005A54A0">
      <w:pPr>
        <w:pStyle w:val="Heading1"/>
      </w:pPr>
      <w:bookmarkStart w:id="152" w:name="_Toc52179150"/>
      <w:r>
        <w:lastRenderedPageBreak/>
        <w:t>Key reflections</w:t>
      </w:r>
      <w:bookmarkEnd w:id="152"/>
    </w:p>
    <w:p w14:paraId="3E51DB14" w14:textId="04B53EE0" w:rsidR="0096235A" w:rsidRDefault="0096235A" w:rsidP="00F65007">
      <w:pPr>
        <w:rPr>
          <w:rFonts w:eastAsiaTheme="minorEastAsia"/>
          <w:lang w:val="en-US"/>
        </w:rPr>
      </w:pPr>
      <w:r>
        <w:rPr>
          <w:rFonts w:eastAsiaTheme="minorEastAsia"/>
          <w:lang w:val="en-US"/>
        </w:rPr>
        <w:t xml:space="preserve">This scoping paper has set out a number of issues in the system that fall under five key focus areas. </w:t>
      </w:r>
      <w:r w:rsidR="0007581B">
        <w:rPr>
          <w:rFonts w:eastAsiaTheme="minorEastAsia"/>
          <w:lang w:val="en-US"/>
        </w:rPr>
        <w:t>A wide range of r</w:t>
      </w:r>
      <w:r>
        <w:rPr>
          <w:rFonts w:eastAsiaTheme="minorEastAsia"/>
          <w:lang w:val="en-US"/>
        </w:rPr>
        <w:t xml:space="preserve">eform ideas have also been presented. </w:t>
      </w:r>
      <w:r w:rsidR="00436393">
        <w:rPr>
          <w:rFonts w:eastAsiaTheme="minorEastAsia"/>
          <w:lang w:val="en-US"/>
        </w:rPr>
        <w:t xml:space="preserve">As the Review progresses, there is a need to prioritise issues </w:t>
      </w:r>
      <w:r w:rsidR="00C50438">
        <w:rPr>
          <w:rFonts w:eastAsiaTheme="minorEastAsia"/>
          <w:lang w:val="en-US"/>
        </w:rPr>
        <w:t>for resolution,</w:t>
      </w:r>
      <w:r w:rsidR="00436393">
        <w:rPr>
          <w:rFonts w:eastAsiaTheme="minorEastAsia"/>
          <w:lang w:val="en-US"/>
        </w:rPr>
        <w:t xml:space="preserve"> and better develop reform opportunities that are practical, implementable and </w:t>
      </w:r>
      <w:r w:rsidR="00C50438">
        <w:rPr>
          <w:rFonts w:eastAsiaTheme="minorEastAsia"/>
          <w:lang w:val="en-US"/>
        </w:rPr>
        <w:t xml:space="preserve">economical. </w:t>
      </w:r>
    </w:p>
    <w:p w14:paraId="43DC6DEB" w14:textId="77777777" w:rsidR="00F65007" w:rsidRDefault="00F65007" w:rsidP="00F65007">
      <w:pPr>
        <w:rPr>
          <w:rFonts w:eastAsiaTheme="minorEastAsia"/>
          <w:lang w:val="en-US"/>
        </w:rPr>
      </w:pPr>
    </w:p>
    <w:tbl>
      <w:tblPr>
        <w:tblStyle w:val="NousLongformcallout"/>
        <w:tblW w:w="4950" w:type="pct"/>
        <w:tblCellMar>
          <w:top w:w="170" w:type="dxa"/>
          <w:bottom w:w="170" w:type="dxa"/>
        </w:tblCellMar>
        <w:tblLook w:val="04A0" w:firstRow="1" w:lastRow="0" w:firstColumn="1" w:lastColumn="0" w:noHBand="0" w:noVBand="1"/>
      </w:tblPr>
      <w:tblGrid>
        <w:gridCol w:w="9055"/>
      </w:tblGrid>
      <w:tr w:rsidR="00F65007" w14:paraId="6C10ABC1" w14:textId="77777777" w:rsidTr="00525656">
        <w:tc>
          <w:tcPr>
            <w:tcW w:w="9055" w:type="dxa"/>
            <w:shd w:val="clear" w:color="auto" w:fill="00264D" w:themeFill="background2"/>
          </w:tcPr>
          <w:p w14:paraId="5A81E1FC" w14:textId="52A050AB" w:rsidR="00EC6A49" w:rsidRPr="00E0390E" w:rsidRDefault="00EC6A49" w:rsidP="00E0390E">
            <w:pPr>
              <w:pStyle w:val="longformcalloutnumber"/>
              <w:numPr>
                <w:ilvl w:val="0"/>
                <w:numId w:val="0"/>
              </w:numPr>
              <w:ind w:left="340" w:hanging="340"/>
              <w:rPr>
                <w:rFonts w:asciiTheme="minorHAnsi" w:hAnsiTheme="minorHAnsi" w:cstheme="minorHAnsi"/>
                <w:b/>
                <w:color w:val="F8981D" w:themeColor="accent3"/>
              </w:rPr>
            </w:pPr>
            <w:r w:rsidRPr="00835584">
              <w:rPr>
                <w:rFonts w:asciiTheme="minorHAnsi" w:hAnsiTheme="minorHAnsi" w:cstheme="minorHAnsi"/>
                <w:b/>
                <w:color w:val="F8981D" w:themeColor="accent3"/>
              </w:rPr>
              <w:t>Discussion questions:</w:t>
            </w:r>
          </w:p>
          <w:p w14:paraId="0B9EFCEA" w14:textId="65D9403A" w:rsidR="00F65007" w:rsidRDefault="00EE1CA0"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What are the</w:t>
            </w:r>
            <w:r w:rsidR="00404C70">
              <w:rPr>
                <w:rFonts w:asciiTheme="minorHAnsi" w:hAnsiTheme="minorHAnsi" w:cstheme="minorHAnsi"/>
                <w:color w:val="FFFFFF" w:themeColor="background1"/>
                <w:lang w:eastAsia="en-AU"/>
              </w:rPr>
              <w:t xml:space="preserve"> top 2-3</w:t>
            </w:r>
            <w:r>
              <w:rPr>
                <w:rFonts w:asciiTheme="minorHAnsi" w:hAnsiTheme="minorHAnsi" w:cstheme="minorHAnsi"/>
                <w:color w:val="FFFFFF" w:themeColor="background1"/>
                <w:lang w:eastAsia="en-AU"/>
              </w:rPr>
              <w:t xml:space="preserve"> most pressing issues to resolve through change to the Act and associated operations and responsibilities of FSANZ</w:t>
            </w:r>
            <w:r w:rsidR="00F65007">
              <w:rPr>
                <w:rFonts w:asciiTheme="minorHAnsi" w:hAnsiTheme="minorHAnsi" w:cstheme="minorHAnsi"/>
                <w:color w:val="FFFFFF" w:themeColor="background1"/>
                <w:lang w:eastAsia="en-AU"/>
              </w:rPr>
              <w:t>?</w:t>
            </w:r>
            <w:r>
              <w:rPr>
                <w:rFonts w:asciiTheme="minorHAnsi" w:hAnsiTheme="minorHAnsi" w:cstheme="minorHAnsi"/>
                <w:color w:val="FFFFFF" w:themeColor="background1"/>
                <w:lang w:eastAsia="en-AU"/>
              </w:rPr>
              <w:t xml:space="preserve"> </w:t>
            </w:r>
          </w:p>
          <w:p w14:paraId="6D595C8B" w14:textId="77777777" w:rsidR="00F65007" w:rsidRDefault="00F65007" w:rsidP="00525656">
            <w:pPr>
              <w:pStyle w:val="ListParagraph"/>
              <w:rPr>
                <w:rFonts w:asciiTheme="minorHAnsi" w:hAnsiTheme="minorHAnsi" w:cstheme="minorHAnsi"/>
                <w:color w:val="FFFFFF" w:themeColor="background1"/>
                <w:lang w:eastAsia="en-AU"/>
              </w:rPr>
            </w:pPr>
          </w:p>
          <w:p w14:paraId="5780008E" w14:textId="77777777" w:rsidR="00404C70" w:rsidRDefault="00404C70" w:rsidP="00760794">
            <w:pPr>
              <w:pStyle w:val="ListParagraph"/>
              <w:numPr>
                <w:ilvl w:val="0"/>
                <w:numId w:val="15"/>
              </w:numPr>
              <w:rPr>
                <w:rFonts w:asciiTheme="minorHAnsi" w:hAnsiTheme="minorHAnsi" w:cstheme="minorHAnsi"/>
                <w:color w:val="FFFFFF" w:themeColor="background1"/>
                <w:lang w:eastAsia="en-AU"/>
              </w:rPr>
            </w:pPr>
            <w:r>
              <w:rPr>
                <w:rFonts w:asciiTheme="minorHAnsi" w:hAnsiTheme="minorHAnsi" w:cstheme="minorHAnsi"/>
                <w:color w:val="FFFFFF" w:themeColor="background1"/>
                <w:lang w:eastAsia="en-AU"/>
              </w:rPr>
              <w:t xml:space="preserve">Are there key issues or challenges related to FSANZ and the Act that are not represented in this scoping paper? </w:t>
            </w:r>
          </w:p>
          <w:p w14:paraId="64A22DF0" w14:textId="77777777" w:rsidR="00404C70" w:rsidRPr="00E0390E" w:rsidRDefault="00404C70" w:rsidP="00E0390E">
            <w:pPr>
              <w:pStyle w:val="ListParagraph"/>
              <w:rPr>
                <w:rFonts w:asciiTheme="minorHAnsi" w:hAnsiTheme="minorHAnsi" w:cstheme="minorHAnsi"/>
                <w:color w:val="FFFFFF" w:themeColor="background1"/>
                <w:lang w:eastAsia="en-AU"/>
              </w:rPr>
            </w:pPr>
          </w:p>
          <w:p w14:paraId="5C8EC461" w14:textId="47A66985" w:rsidR="00F65007" w:rsidRPr="00E25160" w:rsidRDefault="00235B33" w:rsidP="00760794">
            <w:pPr>
              <w:pStyle w:val="ListParagraph"/>
              <w:numPr>
                <w:ilvl w:val="0"/>
                <w:numId w:val="15"/>
              </w:numPr>
              <w:rPr>
                <w:color w:val="FFFFFF" w:themeColor="background1"/>
                <w:lang w:eastAsia="en-AU"/>
              </w:rPr>
            </w:pPr>
            <w:r>
              <w:rPr>
                <w:rFonts w:asciiTheme="minorHAnsi" w:hAnsiTheme="minorHAnsi" w:cstheme="minorHAnsi"/>
                <w:color w:val="FFFFFF" w:themeColor="background1"/>
                <w:lang w:eastAsia="en-AU"/>
              </w:rPr>
              <w:t>What other reform ideas should be considered to address th</w:t>
            </w:r>
            <w:r w:rsidR="00110B01">
              <w:rPr>
                <w:rFonts w:asciiTheme="minorHAnsi" w:hAnsiTheme="minorHAnsi" w:cstheme="minorHAnsi"/>
                <w:color w:val="FFFFFF" w:themeColor="background1"/>
                <w:lang w:eastAsia="en-AU"/>
              </w:rPr>
              <w:t>e issues identified in th</w:t>
            </w:r>
            <w:r w:rsidR="00056AE3">
              <w:rPr>
                <w:rFonts w:asciiTheme="minorHAnsi" w:hAnsiTheme="minorHAnsi" w:cstheme="minorHAnsi"/>
                <w:color w:val="FFFFFF" w:themeColor="background1"/>
                <w:lang w:eastAsia="en-AU"/>
              </w:rPr>
              <w:t xml:space="preserve">e paper, assuming no resource constraints? </w:t>
            </w:r>
          </w:p>
        </w:tc>
      </w:tr>
    </w:tbl>
    <w:p w14:paraId="06B02A23" w14:textId="77777777" w:rsidR="00EC72BA" w:rsidRPr="00A74F9C" w:rsidRDefault="00EC72BA" w:rsidP="00E0390E"/>
    <w:p w14:paraId="05E48031" w14:textId="4E81949D" w:rsidR="005A54A0" w:rsidRDefault="005A54A0" w:rsidP="005A54A0">
      <w:pPr>
        <w:pStyle w:val="Heading1"/>
      </w:pPr>
      <w:bookmarkStart w:id="153" w:name="_Toc52179151"/>
      <w:r>
        <w:lastRenderedPageBreak/>
        <w:t>Next steps</w:t>
      </w:r>
      <w:bookmarkEnd w:id="153"/>
    </w:p>
    <w:p w14:paraId="0C02A7F8" w14:textId="09D24CCB" w:rsidR="001002AE" w:rsidRDefault="00F20E3B" w:rsidP="00F20E3B">
      <w:pPr>
        <w:rPr>
          <w:lang w:eastAsia="en-AU"/>
        </w:rPr>
      </w:pPr>
      <w:r>
        <w:rPr>
          <w:lang w:eastAsia="en-AU"/>
        </w:rPr>
        <w:t xml:space="preserve">This scoping paper will be open for public submissions </w:t>
      </w:r>
      <w:r w:rsidR="001002AE">
        <w:rPr>
          <w:lang w:eastAsia="en-AU"/>
        </w:rPr>
        <w:t xml:space="preserve">from </w:t>
      </w:r>
      <w:r>
        <w:rPr>
          <w:lang w:eastAsia="en-AU"/>
        </w:rPr>
        <w:t>5 October 2020</w:t>
      </w:r>
      <w:r w:rsidR="001002AE">
        <w:rPr>
          <w:lang w:eastAsia="en-AU"/>
        </w:rPr>
        <w:t xml:space="preserve"> to</w:t>
      </w:r>
      <w:r>
        <w:rPr>
          <w:lang w:eastAsia="en-AU"/>
        </w:rPr>
        <w:t xml:space="preserve"> midday AEST 16 November 2020. Submissions received will be considered and thematically analysed to further refine the issues and potential reform ideas identified. </w:t>
      </w:r>
    </w:p>
    <w:p w14:paraId="3DCAF4CB" w14:textId="3525F3B1" w:rsidR="00F20E3B" w:rsidRDefault="00F20E3B" w:rsidP="00F20E3B">
      <w:pPr>
        <w:rPr>
          <w:rFonts w:ascii="Calibri" w:hAnsi="Calibri"/>
          <w:sz w:val="22"/>
          <w:lang w:eastAsia="en-AU"/>
        </w:rPr>
      </w:pPr>
      <w:r>
        <w:rPr>
          <w:lang w:eastAsia="en-AU"/>
        </w:rPr>
        <w:t>This will inform and support further consideration o</w:t>
      </w:r>
      <w:r w:rsidR="001002AE">
        <w:rPr>
          <w:lang w:eastAsia="en-AU"/>
        </w:rPr>
        <w:t>f</w:t>
      </w:r>
      <w:r>
        <w:rPr>
          <w:lang w:eastAsia="en-AU"/>
        </w:rPr>
        <w:t xml:space="preserve"> more detailed reform options to address key challenges raised by the Review, including targeted stakeholder </w:t>
      </w:r>
      <w:r w:rsidR="001002AE">
        <w:rPr>
          <w:lang w:eastAsia="en-AU"/>
        </w:rPr>
        <w:t>consultation</w:t>
      </w:r>
      <w:r>
        <w:rPr>
          <w:lang w:eastAsia="en-AU"/>
        </w:rPr>
        <w:t>.</w:t>
      </w:r>
    </w:p>
    <w:p w14:paraId="2E1DF619" w14:textId="77777777" w:rsidR="00F20E3B" w:rsidRDefault="00F20E3B" w:rsidP="00F20E3B">
      <w:r>
        <w:rPr>
          <w:lang w:eastAsia="en-AU"/>
        </w:rPr>
        <w:t xml:space="preserve">Findings from written submissions and additional consultation will be collated into a Regulatory Impact Statement, which will be used to inform any amendments to the FSANZ Act. The Department of Health, in collaboration with New Zealand, will lead the legislative amendment process. </w:t>
      </w:r>
    </w:p>
    <w:p w14:paraId="4596A72D" w14:textId="77777777" w:rsidR="00F20E3B" w:rsidRDefault="00F20E3B" w:rsidP="00FD135B"/>
    <w:p w14:paraId="6C1086F7" w14:textId="2433A2EE" w:rsidR="00902B0A" w:rsidRDefault="00902B0A" w:rsidP="00902B0A"/>
    <w:p w14:paraId="7A011A96" w14:textId="77777777" w:rsidR="00902B0A" w:rsidRPr="00F12892" w:rsidRDefault="00902B0A" w:rsidP="00F12892">
      <w:pPr>
        <w:rPr>
          <w:lang w:eastAsia="en-AU"/>
        </w:rPr>
      </w:pPr>
    </w:p>
    <w:p w14:paraId="2D304D90" w14:textId="41850829" w:rsidR="002A66D2" w:rsidRDefault="00196EFF" w:rsidP="00F45A82">
      <w:pPr>
        <w:pStyle w:val="xAppendixLevel1"/>
      </w:pPr>
      <w:bookmarkStart w:id="154" w:name="_Toc52179152"/>
      <w:bookmarkStart w:id="155" w:name="_Ref50965336"/>
      <w:r>
        <w:lastRenderedPageBreak/>
        <w:t xml:space="preserve">Review </w:t>
      </w:r>
      <w:r w:rsidR="00F45A82">
        <w:t>Terms of Reference</w:t>
      </w:r>
      <w:bookmarkEnd w:id="154"/>
      <w:r w:rsidR="00F45A82">
        <w:t xml:space="preserve"> </w:t>
      </w:r>
      <w:bookmarkEnd w:id="155"/>
    </w:p>
    <w:p w14:paraId="028C81AF" w14:textId="2985DF24" w:rsidR="00A27B7E" w:rsidRPr="00A27B7E" w:rsidRDefault="00B51973" w:rsidP="00A27B7E">
      <w:pPr>
        <w:rPr>
          <w:lang w:eastAsia="en-AU"/>
        </w:rPr>
      </w:pPr>
      <w:r>
        <w:rPr>
          <w:lang w:eastAsia="en-AU"/>
        </w:rPr>
        <w:fldChar w:fldCharType="begin"/>
      </w:r>
      <w:r>
        <w:rPr>
          <w:lang w:eastAsia="en-AU"/>
        </w:rPr>
        <w:instrText xml:space="preserve"> REF _Ref52455802 \h </w:instrText>
      </w:r>
      <w:r>
        <w:rPr>
          <w:lang w:eastAsia="en-AU"/>
        </w:rPr>
      </w:r>
      <w:r>
        <w:rPr>
          <w:lang w:eastAsia="en-AU"/>
        </w:rPr>
        <w:fldChar w:fldCharType="separate"/>
      </w:r>
      <w:r w:rsidR="001C5CC6">
        <w:t xml:space="preserve">Table </w:t>
      </w:r>
      <w:r w:rsidR="001C5CC6">
        <w:rPr>
          <w:noProof/>
        </w:rPr>
        <w:t>17</w:t>
      </w:r>
      <w:r>
        <w:rPr>
          <w:lang w:eastAsia="en-AU"/>
        </w:rPr>
        <w:fldChar w:fldCharType="end"/>
      </w:r>
      <w:r w:rsidR="00A27B7E">
        <w:rPr>
          <w:lang w:eastAsia="en-AU"/>
        </w:rPr>
        <w:t xml:space="preserve"> provides the full Terms of Reference for the Review. </w:t>
      </w:r>
    </w:p>
    <w:p w14:paraId="1620399F" w14:textId="79093008" w:rsidR="00B51973" w:rsidRDefault="00B51973" w:rsidP="00B51973">
      <w:pPr>
        <w:pStyle w:val="Caption"/>
      </w:pPr>
      <w:bookmarkStart w:id="156" w:name="_Ref52455802"/>
      <w:r>
        <w:t xml:space="preserve">Table </w:t>
      </w:r>
      <w:r>
        <w:fldChar w:fldCharType="begin"/>
      </w:r>
      <w:r>
        <w:instrText xml:space="preserve"> SEQ Table \* ARABIC </w:instrText>
      </w:r>
      <w:r>
        <w:fldChar w:fldCharType="separate"/>
      </w:r>
      <w:r w:rsidR="001C5CC6">
        <w:rPr>
          <w:noProof/>
        </w:rPr>
        <w:t>17</w:t>
      </w:r>
      <w:r>
        <w:fldChar w:fldCharType="end"/>
      </w:r>
      <w:bookmarkEnd w:id="156"/>
      <w:r>
        <w:t xml:space="preserve"> | </w:t>
      </w:r>
      <w:r w:rsidRPr="00CF2BA2">
        <w:t>Review Terms of Reference (available online)</w:t>
      </w:r>
    </w:p>
    <w:tbl>
      <w:tblPr>
        <w:tblStyle w:val="NousLongformcallout"/>
        <w:tblW w:w="4950" w:type="pct"/>
        <w:tblCellMar>
          <w:top w:w="170" w:type="dxa"/>
          <w:bottom w:w="170" w:type="dxa"/>
        </w:tblCellMar>
        <w:tblLook w:val="04A0" w:firstRow="1" w:lastRow="0" w:firstColumn="1" w:lastColumn="0" w:noHBand="0" w:noVBand="1"/>
      </w:tblPr>
      <w:tblGrid>
        <w:gridCol w:w="9055"/>
      </w:tblGrid>
      <w:tr w:rsidR="002A0561" w:rsidRPr="00AA1E6A" w14:paraId="4925AB33" w14:textId="77777777" w:rsidTr="00050D81">
        <w:tc>
          <w:tcPr>
            <w:tcW w:w="9055" w:type="dxa"/>
          </w:tcPr>
          <w:p w14:paraId="43C4C92E" w14:textId="77777777" w:rsidR="002A0561" w:rsidRPr="00AA1E6A" w:rsidRDefault="002A0561" w:rsidP="00050D81">
            <w:pPr>
              <w:jc w:val="center"/>
              <w:rPr>
                <w:rFonts w:asciiTheme="minorHAnsi" w:hAnsiTheme="minorHAnsi" w:cstheme="minorHAnsi"/>
                <w:b/>
                <w:sz w:val="17"/>
                <w:szCs w:val="17"/>
              </w:rPr>
            </w:pPr>
            <w:r w:rsidRPr="00AA1E6A">
              <w:rPr>
                <w:rFonts w:asciiTheme="minorHAnsi" w:hAnsiTheme="minorHAnsi" w:cstheme="minorHAnsi"/>
                <w:b/>
                <w:sz w:val="17"/>
                <w:szCs w:val="17"/>
              </w:rPr>
              <w:t xml:space="preserve">Review into the </w:t>
            </w:r>
            <w:r w:rsidRPr="00AA1E6A">
              <w:rPr>
                <w:rFonts w:asciiTheme="minorHAnsi" w:hAnsiTheme="minorHAnsi" w:cstheme="minorHAnsi"/>
                <w:b/>
                <w:i/>
                <w:sz w:val="17"/>
                <w:szCs w:val="17"/>
              </w:rPr>
              <w:t>Food Standards Australia New Zealand Act 1991</w:t>
            </w:r>
          </w:p>
          <w:p w14:paraId="6F66BE87" w14:textId="77777777" w:rsidR="002A0561" w:rsidRPr="00AA1E6A" w:rsidRDefault="002A0561" w:rsidP="00050D81">
            <w:pPr>
              <w:jc w:val="center"/>
              <w:rPr>
                <w:rFonts w:asciiTheme="minorHAnsi" w:hAnsiTheme="minorHAnsi" w:cstheme="minorHAnsi"/>
                <w:b/>
                <w:sz w:val="17"/>
                <w:szCs w:val="17"/>
              </w:rPr>
            </w:pPr>
            <w:r w:rsidRPr="00AA1E6A">
              <w:rPr>
                <w:rFonts w:asciiTheme="minorHAnsi" w:hAnsiTheme="minorHAnsi" w:cstheme="minorHAnsi"/>
                <w:b/>
                <w:sz w:val="17"/>
                <w:szCs w:val="17"/>
              </w:rPr>
              <w:t>TERMS OF REFERENCE</w:t>
            </w:r>
          </w:p>
          <w:p w14:paraId="53A8328F"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 xml:space="preserve">The review will include a comprehensive examination of the effectiveness of the </w:t>
            </w:r>
            <w:r w:rsidRPr="00AA1E6A">
              <w:rPr>
                <w:rFonts w:asciiTheme="minorHAnsi" w:hAnsiTheme="minorHAnsi" w:cstheme="minorHAnsi"/>
                <w:i/>
                <w:sz w:val="17"/>
                <w:szCs w:val="17"/>
              </w:rPr>
              <w:t>Food Standards Australia New Zealand Act 1991</w:t>
            </w:r>
            <w:r w:rsidRPr="00AA1E6A">
              <w:rPr>
                <w:rFonts w:asciiTheme="minorHAnsi" w:hAnsiTheme="minorHAnsi" w:cstheme="minorHAnsi"/>
                <w:sz w:val="17"/>
                <w:szCs w:val="17"/>
              </w:rPr>
              <w:t xml:space="preserve"> (FSANZ Act) and the associated operations and responsibilities of Food Standards Australia New Zealand (FSANZ). It will include consideration of the economic efficiency of regulation, recognising the importance of the food industry to regional communities and the broader economies of both Australia and New Zealand. The review will include findings and recommendations for any reforms. The final report from the review will be provided to the Australian minister responsible for FSANZ, who will consider the report/review in partnership with the New Zealand Minister for Food Safety and consult with state and territory food ministers through the Australia and New Zealand Ministerial Forum on Food Regulation (the Forum).</w:t>
            </w:r>
          </w:p>
          <w:p w14:paraId="76A878FA" w14:textId="77777777" w:rsidR="002A0561" w:rsidRPr="00AA1E6A" w:rsidRDefault="002A0561" w:rsidP="00050D81">
            <w:pPr>
              <w:rPr>
                <w:rFonts w:asciiTheme="minorHAnsi" w:hAnsiTheme="minorHAnsi" w:cstheme="minorHAnsi"/>
                <w:sz w:val="17"/>
                <w:szCs w:val="17"/>
              </w:rPr>
            </w:pPr>
          </w:p>
          <w:p w14:paraId="383617A4" w14:textId="77777777" w:rsidR="002A0561" w:rsidRPr="00AA1E6A" w:rsidRDefault="002A0561" w:rsidP="00050D81">
            <w:pPr>
              <w:rPr>
                <w:rFonts w:asciiTheme="minorHAnsi" w:hAnsiTheme="minorHAnsi" w:cstheme="minorHAnsi"/>
                <w:sz w:val="17"/>
                <w:szCs w:val="17"/>
                <w:u w:val="single"/>
              </w:rPr>
            </w:pPr>
            <w:r w:rsidRPr="00AA1E6A">
              <w:rPr>
                <w:rFonts w:asciiTheme="minorHAnsi" w:hAnsiTheme="minorHAnsi" w:cstheme="minorHAnsi"/>
                <w:sz w:val="17"/>
                <w:szCs w:val="17"/>
                <w:u w:val="single"/>
              </w:rPr>
              <w:t>Scope</w:t>
            </w:r>
          </w:p>
          <w:p w14:paraId="0E35BC22"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The review will include the FSANZ Act and FSANZ operations, with a focus on areas identified as being inconsistent with best practice regulation and standard setting. The review should consider and make recommendations on the appropriateness of FSANZ Act legislation, in particular:</w:t>
            </w:r>
          </w:p>
          <w:p w14:paraId="3E7F17C1" w14:textId="77777777" w:rsidR="002A0561" w:rsidRPr="00AA1E6A" w:rsidRDefault="002A0561">
            <w:pPr>
              <w:pStyle w:val="ListParagraph"/>
              <w:widowControl w:val="0"/>
              <w:numPr>
                <w:ilvl w:val="0"/>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The FSANZ assessment process to ensure it is fit for purpose and outcomes based and promotes an efficient and internationally competitive food industry. This work should include:</w:t>
            </w:r>
          </w:p>
          <w:p w14:paraId="2CBF11D1" w14:textId="77777777" w:rsidR="002A0561" w:rsidRPr="00AA1E6A" w:rsidRDefault="002A0561">
            <w:pPr>
              <w:pStyle w:val="ListParagraph"/>
              <w:widowControl w:val="0"/>
              <w:numPr>
                <w:ilvl w:val="1"/>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ensuring any proposed changes to the regulatory system imposes the least burden on business to achieve the stated objectives of the regulation and specific consideration is given to the impact on small businesses; and</w:t>
            </w:r>
          </w:p>
          <w:p w14:paraId="391B5C70" w14:textId="77777777" w:rsidR="002A0561" w:rsidRPr="00AA1E6A" w:rsidRDefault="002A0561">
            <w:pPr>
              <w:pStyle w:val="ListParagraph"/>
              <w:widowControl w:val="0"/>
              <w:numPr>
                <w:ilvl w:val="1"/>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revision of the interface between the regulator and business, i.e. the digital or paper systems used to support the assessment.</w:t>
            </w:r>
          </w:p>
          <w:p w14:paraId="69B60289" w14:textId="77777777" w:rsidR="002A0561" w:rsidRPr="00AA1E6A" w:rsidRDefault="002A0561">
            <w:pPr>
              <w:pStyle w:val="ListParagraph"/>
              <w:widowControl w:val="0"/>
              <w:numPr>
                <w:ilvl w:val="0"/>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An optimal operating model for FSANZ, the roles and functions of FSANZ including consideration of FSANZ undertaking a greater role as a regulator.</w:t>
            </w:r>
          </w:p>
          <w:p w14:paraId="068C3769" w14:textId="763B29F0" w:rsidR="002A0561" w:rsidRPr="00AA1E6A" w:rsidRDefault="002A0561">
            <w:pPr>
              <w:pStyle w:val="ListParagraph"/>
              <w:widowControl w:val="0"/>
              <w:numPr>
                <w:ilvl w:val="0"/>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 xml:space="preserve">Cost recovery models for </w:t>
            </w:r>
            <w:r w:rsidR="0068317B" w:rsidRPr="00AA1E6A">
              <w:rPr>
                <w:rFonts w:asciiTheme="minorHAnsi" w:hAnsiTheme="minorHAnsi" w:cstheme="minorHAnsi"/>
                <w:sz w:val="17"/>
                <w:szCs w:val="17"/>
              </w:rPr>
              <w:t>industry-initiated</w:t>
            </w:r>
            <w:r w:rsidRPr="00AA1E6A">
              <w:rPr>
                <w:rFonts w:asciiTheme="minorHAnsi" w:hAnsiTheme="minorHAnsi" w:cstheme="minorHAnsi"/>
                <w:sz w:val="17"/>
                <w:szCs w:val="17"/>
              </w:rPr>
              <w:t xml:space="preserve"> work.</w:t>
            </w:r>
          </w:p>
          <w:p w14:paraId="4C36715D" w14:textId="77777777" w:rsidR="002A0561" w:rsidRPr="00AA1E6A" w:rsidRDefault="002A0561">
            <w:pPr>
              <w:pStyle w:val="ListParagraph"/>
              <w:widowControl w:val="0"/>
              <w:numPr>
                <w:ilvl w:val="0"/>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Decision making processes, including the role of the CEO, FSANZ Board and Ministers.</w:t>
            </w:r>
          </w:p>
          <w:p w14:paraId="5FA7DBCB" w14:textId="77777777" w:rsidR="002A0561" w:rsidRPr="00AA1E6A" w:rsidRDefault="002A0561">
            <w:pPr>
              <w:pStyle w:val="ListParagraph"/>
              <w:widowControl w:val="0"/>
              <w:numPr>
                <w:ilvl w:val="0"/>
                <w:numId w:val="12"/>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Best practice board appointment processes.</w:t>
            </w:r>
          </w:p>
          <w:p w14:paraId="45A7E0E0" w14:textId="77777777" w:rsidR="002A0561" w:rsidRPr="00AA1E6A" w:rsidRDefault="002A0561" w:rsidP="00050D81">
            <w:pPr>
              <w:rPr>
                <w:rFonts w:asciiTheme="minorHAnsi" w:hAnsiTheme="minorHAnsi" w:cstheme="minorHAnsi"/>
                <w:sz w:val="17"/>
                <w:szCs w:val="17"/>
              </w:rPr>
            </w:pPr>
          </w:p>
          <w:p w14:paraId="546ABAF4"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The review should consider and make recommendations on the operational functions of FSANZ, in particular:</w:t>
            </w:r>
          </w:p>
          <w:p w14:paraId="1D930AB8" w14:textId="77777777" w:rsidR="002A0561" w:rsidRPr="00AA1E6A" w:rsidRDefault="002A0561">
            <w:pPr>
              <w:pStyle w:val="ListParagraph"/>
              <w:widowControl w:val="0"/>
              <w:numPr>
                <w:ilvl w:val="0"/>
                <w:numId w:val="13"/>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The timeliness of work undertaken and relative priority of the FSANZ work plan including consideration of the risk proportionality and international harmonisation of risk assessments and standards.</w:t>
            </w:r>
          </w:p>
          <w:p w14:paraId="2D0EF3C9" w14:textId="77777777" w:rsidR="002A0561" w:rsidRPr="00AA1E6A" w:rsidRDefault="002A0561">
            <w:pPr>
              <w:pStyle w:val="ListParagraph"/>
              <w:widowControl w:val="0"/>
              <w:numPr>
                <w:ilvl w:val="0"/>
                <w:numId w:val="13"/>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 xml:space="preserve">The operation and effectiveness of the Food-Medicine Interface, including the effectiveness of regulation around nutrition supplements. </w:t>
            </w:r>
          </w:p>
          <w:p w14:paraId="31AB2FAD" w14:textId="77777777" w:rsidR="002A0561" w:rsidRPr="00AA1E6A" w:rsidRDefault="002A0561">
            <w:pPr>
              <w:pStyle w:val="ListParagraph"/>
              <w:widowControl w:val="0"/>
              <w:numPr>
                <w:ilvl w:val="0"/>
                <w:numId w:val="13"/>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FSANZ as an independent agency and appropriate resourcing.</w:t>
            </w:r>
          </w:p>
          <w:p w14:paraId="0F50C888" w14:textId="77777777" w:rsidR="002A0561" w:rsidRPr="00AA1E6A" w:rsidRDefault="002A0561" w:rsidP="00050D81">
            <w:pPr>
              <w:rPr>
                <w:rFonts w:asciiTheme="minorHAnsi" w:hAnsiTheme="minorHAnsi" w:cstheme="minorHAnsi"/>
                <w:sz w:val="17"/>
                <w:szCs w:val="17"/>
              </w:rPr>
            </w:pPr>
          </w:p>
          <w:p w14:paraId="2929C43A"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The review should also consider what wider role FSANZ as a joint body could take across Australia and New Zealand and in Australia only, by considering issues and making recommendations in relation to FSANZ’s potential role including (but not limited to):</w:t>
            </w:r>
          </w:p>
          <w:p w14:paraId="4259AF1A" w14:textId="77777777" w:rsidR="002A0561" w:rsidRPr="00AA1E6A" w:rsidRDefault="002A0561">
            <w:pPr>
              <w:pStyle w:val="ListParagraph"/>
              <w:widowControl w:val="0"/>
              <w:numPr>
                <w:ilvl w:val="0"/>
                <w:numId w:val="14"/>
              </w:numPr>
              <w:spacing w:after="0"/>
              <w:ind w:left="709"/>
              <w:rPr>
                <w:rFonts w:asciiTheme="minorHAnsi" w:hAnsiTheme="minorHAnsi" w:cstheme="minorHAnsi"/>
                <w:sz w:val="17"/>
                <w:szCs w:val="17"/>
              </w:rPr>
            </w:pPr>
            <w:r w:rsidRPr="00AA1E6A">
              <w:rPr>
                <w:rFonts w:asciiTheme="minorHAnsi" w:hAnsiTheme="minorHAnsi" w:cstheme="minorHAnsi"/>
                <w:sz w:val="17"/>
                <w:szCs w:val="17"/>
              </w:rPr>
              <w:t xml:space="preserve">Enforcement of food standards – noting concerns around a lack of consistent implementation of standards across jurisdictions. </w:t>
            </w:r>
          </w:p>
          <w:p w14:paraId="059F3D9C" w14:textId="77777777" w:rsidR="002A0561" w:rsidRPr="00AA1E6A" w:rsidRDefault="002A0561">
            <w:pPr>
              <w:pStyle w:val="ListParagraph"/>
              <w:widowControl w:val="0"/>
              <w:numPr>
                <w:ilvl w:val="0"/>
                <w:numId w:val="14"/>
              </w:numPr>
              <w:spacing w:after="0"/>
              <w:ind w:left="709"/>
              <w:rPr>
                <w:rFonts w:asciiTheme="minorHAnsi" w:hAnsiTheme="minorHAnsi" w:cstheme="minorHAnsi"/>
                <w:sz w:val="17"/>
                <w:szCs w:val="17"/>
              </w:rPr>
            </w:pPr>
            <w:r w:rsidRPr="00AA1E6A">
              <w:rPr>
                <w:rFonts w:asciiTheme="minorHAnsi" w:hAnsiTheme="minorHAnsi" w:cstheme="minorHAnsi"/>
                <w:sz w:val="17"/>
                <w:szCs w:val="17"/>
              </w:rPr>
              <w:t>Emerging issues – such as food fraud and food crime.</w:t>
            </w:r>
          </w:p>
          <w:p w14:paraId="490B2FE3" w14:textId="77777777" w:rsidR="002A0561" w:rsidRPr="00AA1E6A" w:rsidRDefault="002A0561">
            <w:pPr>
              <w:pStyle w:val="ListParagraph"/>
              <w:widowControl w:val="0"/>
              <w:numPr>
                <w:ilvl w:val="0"/>
                <w:numId w:val="14"/>
              </w:numPr>
              <w:spacing w:after="0"/>
              <w:ind w:left="709"/>
              <w:rPr>
                <w:rFonts w:asciiTheme="minorHAnsi" w:hAnsiTheme="minorHAnsi" w:cstheme="minorHAnsi"/>
                <w:sz w:val="17"/>
                <w:szCs w:val="17"/>
              </w:rPr>
            </w:pPr>
            <w:r w:rsidRPr="00AA1E6A">
              <w:rPr>
                <w:rFonts w:asciiTheme="minorHAnsi" w:hAnsiTheme="minorHAnsi" w:cstheme="minorHAnsi"/>
                <w:sz w:val="17"/>
                <w:szCs w:val="17"/>
              </w:rPr>
              <w:t>Food safety – noting consumers’ and industry’s desire for one ‘Face of Food Safety’ that produces a unified national approach to raising awareness and responding to food safety issues (Australian context only).</w:t>
            </w:r>
          </w:p>
          <w:p w14:paraId="4D38E35E" w14:textId="77777777" w:rsidR="002A0561" w:rsidRPr="00AA1E6A" w:rsidRDefault="002A0561">
            <w:pPr>
              <w:pStyle w:val="ListParagraph"/>
              <w:widowControl w:val="0"/>
              <w:numPr>
                <w:ilvl w:val="0"/>
                <w:numId w:val="14"/>
              </w:numPr>
              <w:spacing w:after="0"/>
              <w:ind w:left="709"/>
              <w:rPr>
                <w:rFonts w:asciiTheme="minorHAnsi" w:hAnsiTheme="minorHAnsi" w:cstheme="minorHAnsi"/>
                <w:sz w:val="17"/>
                <w:szCs w:val="17"/>
              </w:rPr>
            </w:pPr>
            <w:r w:rsidRPr="00AA1E6A">
              <w:rPr>
                <w:rFonts w:asciiTheme="minorHAnsi" w:hAnsiTheme="minorHAnsi" w:cstheme="minorHAnsi"/>
                <w:sz w:val="17"/>
                <w:szCs w:val="17"/>
              </w:rPr>
              <w:t>Food safety research – including facilitating collaboration on research relating to food safety.</w:t>
            </w:r>
          </w:p>
          <w:p w14:paraId="1A776711" w14:textId="77777777" w:rsidR="002A0561" w:rsidRPr="00AA1E6A" w:rsidRDefault="002A0561">
            <w:pPr>
              <w:pStyle w:val="ListParagraph"/>
              <w:widowControl w:val="0"/>
              <w:numPr>
                <w:ilvl w:val="0"/>
                <w:numId w:val="14"/>
              </w:numPr>
              <w:spacing w:after="0"/>
              <w:ind w:left="709"/>
              <w:rPr>
                <w:rFonts w:asciiTheme="minorHAnsi" w:hAnsiTheme="minorHAnsi" w:cstheme="minorHAnsi"/>
                <w:sz w:val="17"/>
                <w:szCs w:val="17"/>
              </w:rPr>
            </w:pPr>
            <w:r w:rsidRPr="00AA1E6A">
              <w:rPr>
                <w:rFonts w:asciiTheme="minorHAnsi" w:hAnsiTheme="minorHAnsi" w:cstheme="minorHAnsi"/>
                <w:sz w:val="17"/>
                <w:szCs w:val="17"/>
              </w:rPr>
              <w:t>Communication of food standards to industry and consumers – including a greater role in providing advice on interpretation of food standards.</w:t>
            </w:r>
          </w:p>
          <w:p w14:paraId="71B9A973" w14:textId="77777777" w:rsidR="002A0561" w:rsidRPr="00AA1E6A" w:rsidRDefault="002A0561">
            <w:pPr>
              <w:pStyle w:val="ListParagraph"/>
              <w:widowControl w:val="0"/>
              <w:numPr>
                <w:ilvl w:val="0"/>
                <w:numId w:val="14"/>
              </w:numPr>
              <w:spacing w:after="0"/>
              <w:ind w:left="709"/>
              <w:rPr>
                <w:rFonts w:asciiTheme="minorHAnsi" w:hAnsiTheme="minorHAnsi" w:cstheme="minorHAnsi"/>
                <w:sz w:val="17"/>
                <w:szCs w:val="17"/>
              </w:rPr>
            </w:pPr>
            <w:r w:rsidRPr="00AA1E6A">
              <w:rPr>
                <w:rFonts w:asciiTheme="minorHAnsi" w:hAnsiTheme="minorHAnsi" w:cstheme="minorHAnsi"/>
                <w:sz w:val="17"/>
                <w:szCs w:val="17"/>
              </w:rPr>
              <w:lastRenderedPageBreak/>
              <w:t xml:space="preserve">Undertaking education campaigns – in alignment with Priority 1 and Priority 2 of the Food Regulation system. </w:t>
            </w:r>
          </w:p>
          <w:p w14:paraId="7AA69C68" w14:textId="77777777" w:rsidR="002A0561" w:rsidRPr="00AA1E6A" w:rsidRDefault="002A0561" w:rsidP="00050D81">
            <w:pPr>
              <w:rPr>
                <w:rFonts w:asciiTheme="minorHAnsi" w:hAnsiTheme="minorHAnsi" w:cstheme="minorHAnsi"/>
                <w:sz w:val="17"/>
                <w:szCs w:val="17"/>
              </w:rPr>
            </w:pPr>
          </w:p>
          <w:p w14:paraId="64CB36E4" w14:textId="77777777" w:rsidR="002A0561" w:rsidRPr="00AA1E6A" w:rsidRDefault="002A0561" w:rsidP="00050D81">
            <w:pPr>
              <w:pStyle w:val="ListParagraph"/>
              <w:ind w:left="360"/>
              <w:rPr>
                <w:rFonts w:asciiTheme="minorHAnsi" w:hAnsiTheme="minorHAnsi" w:cstheme="minorHAnsi"/>
                <w:sz w:val="17"/>
                <w:szCs w:val="17"/>
              </w:rPr>
            </w:pPr>
            <w:r w:rsidRPr="00AA1E6A">
              <w:rPr>
                <w:rFonts w:asciiTheme="minorHAnsi" w:hAnsiTheme="minorHAnsi" w:cstheme="minorHAnsi"/>
                <w:sz w:val="17"/>
                <w:szCs w:val="17"/>
              </w:rPr>
              <w:t>The review will provide an indication of the potential role of FSANZ in both Australia and New Zealand and relative impact of the recommendations for Australia and New Zealand.</w:t>
            </w:r>
          </w:p>
          <w:p w14:paraId="6305C56F" w14:textId="77777777" w:rsidR="002A0561" w:rsidRPr="00AA1E6A" w:rsidRDefault="002A0561" w:rsidP="00050D81">
            <w:pPr>
              <w:rPr>
                <w:rFonts w:asciiTheme="minorHAnsi" w:hAnsiTheme="minorHAnsi" w:cstheme="minorHAnsi"/>
                <w:i/>
                <w:sz w:val="17"/>
                <w:szCs w:val="17"/>
              </w:rPr>
            </w:pPr>
            <w:r w:rsidRPr="00AA1E6A">
              <w:rPr>
                <w:rFonts w:asciiTheme="minorHAnsi" w:hAnsiTheme="minorHAnsi" w:cstheme="minorHAnsi"/>
                <w:i/>
                <w:sz w:val="17"/>
                <w:szCs w:val="17"/>
              </w:rPr>
              <w:t>Out of scope</w:t>
            </w:r>
          </w:p>
          <w:p w14:paraId="6F740FC8"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The review will not include other food legislation and agreements, such as the Food Regulation Agreement, the Food Treaty, or the Model Food Act. However, should issues with these instruments be identified, they may be considered separately.</w:t>
            </w:r>
          </w:p>
          <w:p w14:paraId="528E7167" w14:textId="77777777" w:rsidR="002A0561" w:rsidRPr="00AA1E6A" w:rsidRDefault="002A0561" w:rsidP="00050D81">
            <w:pPr>
              <w:rPr>
                <w:rFonts w:asciiTheme="minorHAnsi" w:hAnsiTheme="minorHAnsi" w:cstheme="minorHAnsi"/>
                <w:sz w:val="17"/>
                <w:szCs w:val="17"/>
                <w:u w:val="single"/>
              </w:rPr>
            </w:pPr>
            <w:r w:rsidRPr="00AA1E6A">
              <w:rPr>
                <w:rFonts w:asciiTheme="minorHAnsi" w:hAnsiTheme="minorHAnsi" w:cstheme="minorHAnsi"/>
                <w:sz w:val="17"/>
                <w:szCs w:val="17"/>
                <w:u w:val="single"/>
              </w:rPr>
              <w:t>Process</w:t>
            </w:r>
          </w:p>
          <w:p w14:paraId="3DA15F19" w14:textId="77777777" w:rsidR="002A0561" w:rsidRPr="00AA1E6A" w:rsidRDefault="002A0561" w:rsidP="00050D81">
            <w:pPr>
              <w:rPr>
                <w:rFonts w:asciiTheme="minorHAnsi" w:hAnsiTheme="minorHAnsi" w:cstheme="minorHAnsi"/>
                <w:i/>
                <w:sz w:val="17"/>
                <w:szCs w:val="17"/>
              </w:rPr>
            </w:pPr>
            <w:r w:rsidRPr="00AA1E6A">
              <w:rPr>
                <w:rFonts w:asciiTheme="minorHAnsi" w:hAnsiTheme="minorHAnsi" w:cstheme="minorHAnsi"/>
                <w:i/>
                <w:sz w:val="17"/>
                <w:szCs w:val="17"/>
              </w:rPr>
              <w:t>Stakeholder engagement</w:t>
            </w:r>
          </w:p>
          <w:p w14:paraId="72CA2463"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Wide consultation will be undertaken as part of the review, including with government, consumer, public health, and industry stakeholders along the supply chain.</w:t>
            </w:r>
          </w:p>
          <w:p w14:paraId="4FE2CFCB" w14:textId="77777777" w:rsidR="002A0561" w:rsidRPr="00AA1E6A" w:rsidRDefault="002A0561" w:rsidP="00050D81">
            <w:pPr>
              <w:rPr>
                <w:rFonts w:asciiTheme="minorHAnsi" w:hAnsiTheme="minorHAnsi" w:cstheme="minorHAnsi"/>
                <w:sz w:val="17"/>
                <w:szCs w:val="17"/>
              </w:rPr>
            </w:pPr>
          </w:p>
          <w:p w14:paraId="4B4A72E4" w14:textId="77777777" w:rsidR="002A0561" w:rsidRPr="00AA1E6A" w:rsidRDefault="002A0561" w:rsidP="00050D81">
            <w:pPr>
              <w:rPr>
                <w:rFonts w:asciiTheme="minorHAnsi" w:hAnsiTheme="minorHAnsi" w:cstheme="minorHAnsi"/>
                <w:sz w:val="17"/>
                <w:szCs w:val="17"/>
              </w:rPr>
            </w:pPr>
            <w:r w:rsidRPr="00AA1E6A">
              <w:rPr>
                <w:rFonts w:asciiTheme="minorHAnsi" w:hAnsiTheme="minorHAnsi" w:cstheme="minorHAnsi"/>
                <w:i/>
                <w:sz w:val="17"/>
                <w:szCs w:val="17"/>
              </w:rPr>
              <w:t>Legislative amendments</w:t>
            </w:r>
          </w:p>
          <w:p w14:paraId="02266DFF"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 xml:space="preserve">In accordance with Article 4(4) of the Treaty, no amendments to the FSANZ Act will be introduced without effective consultation with New Zealand. </w:t>
            </w:r>
          </w:p>
          <w:p w14:paraId="175688F6" w14:textId="77777777" w:rsidR="002A0561" w:rsidRPr="00AA1E6A" w:rsidRDefault="002A0561" w:rsidP="00050D81">
            <w:pPr>
              <w:rPr>
                <w:rFonts w:asciiTheme="minorHAnsi" w:hAnsiTheme="minorHAnsi" w:cstheme="minorHAnsi"/>
                <w:sz w:val="17"/>
                <w:szCs w:val="17"/>
              </w:rPr>
            </w:pPr>
          </w:p>
          <w:p w14:paraId="6DD0F71F" w14:textId="77777777" w:rsidR="002A0561" w:rsidRPr="00AA1E6A" w:rsidRDefault="002A0561" w:rsidP="00050D81">
            <w:pPr>
              <w:rPr>
                <w:rFonts w:asciiTheme="minorHAnsi" w:hAnsiTheme="minorHAnsi" w:cstheme="minorHAnsi"/>
                <w:sz w:val="17"/>
                <w:szCs w:val="17"/>
                <w:u w:val="single"/>
              </w:rPr>
            </w:pPr>
            <w:r w:rsidRPr="00AA1E6A">
              <w:rPr>
                <w:rFonts w:asciiTheme="minorHAnsi" w:hAnsiTheme="minorHAnsi" w:cstheme="minorHAnsi"/>
                <w:sz w:val="17"/>
                <w:szCs w:val="17"/>
                <w:u w:val="single"/>
              </w:rPr>
              <w:t>Principles</w:t>
            </w:r>
          </w:p>
          <w:p w14:paraId="04A5421F" w14:textId="77777777" w:rsidR="002A0561" w:rsidRPr="00AA1E6A" w:rsidRDefault="002A0561" w:rsidP="00050D81">
            <w:pPr>
              <w:rPr>
                <w:rFonts w:asciiTheme="minorHAnsi" w:hAnsiTheme="minorHAnsi" w:cstheme="minorHAnsi"/>
                <w:i/>
                <w:sz w:val="17"/>
                <w:szCs w:val="17"/>
              </w:rPr>
            </w:pPr>
            <w:r w:rsidRPr="00AA1E6A">
              <w:rPr>
                <w:rFonts w:asciiTheme="minorHAnsi" w:hAnsiTheme="minorHAnsi" w:cstheme="minorHAnsi"/>
                <w:i/>
                <w:sz w:val="17"/>
                <w:szCs w:val="17"/>
              </w:rPr>
              <w:t>Alignment with Priority 3 of the food regulation system</w:t>
            </w:r>
          </w:p>
          <w:p w14:paraId="52E65B6E" w14:textId="77777777"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 xml:space="preserve">The review will complement the objectives of Priority 3 of the food regulation system, as agreed by the Forum in April 2017: </w:t>
            </w:r>
            <w:r w:rsidRPr="00AA1E6A">
              <w:rPr>
                <w:rFonts w:asciiTheme="minorHAnsi" w:hAnsiTheme="minorHAnsi" w:cstheme="minorHAnsi"/>
                <w:i/>
                <w:sz w:val="17"/>
                <w:szCs w:val="17"/>
              </w:rPr>
              <w:t>to maintain a strong, robust, and agile food regulation system</w:t>
            </w:r>
            <w:r w:rsidRPr="00AA1E6A">
              <w:rPr>
                <w:rFonts w:asciiTheme="minorHAnsi" w:hAnsiTheme="minorHAnsi" w:cstheme="minorHAnsi"/>
                <w:sz w:val="17"/>
                <w:szCs w:val="17"/>
              </w:rPr>
              <w:t>. The central focus of this work is applying best practice regulatory approaches, with the objectives of improving timeliness, ensuring the food regulation system is responsive, and provides a unified voice regarding food safety and applying processes proportional to risk. Under the Priority 3 program of work, the Food Regulation Standing Committee is concurrently considering wider reforms to the food regulatory system (including the Food Regulation Agreement and the Model Food Act). This review will aim to align with and complement the broader Priority 3 work.</w:t>
            </w:r>
          </w:p>
          <w:p w14:paraId="6A4E5F54" w14:textId="77777777" w:rsidR="002A0561" w:rsidRPr="00AA1E6A" w:rsidRDefault="002A0561" w:rsidP="00050D81">
            <w:pPr>
              <w:rPr>
                <w:rFonts w:ascii="Times New Roman" w:hAnsi="Times New Roman" w:cs="Times New Roman"/>
                <w:sz w:val="17"/>
                <w:szCs w:val="17"/>
              </w:rPr>
            </w:pPr>
          </w:p>
          <w:p w14:paraId="5BAC0795" w14:textId="77777777" w:rsidR="002A0561" w:rsidRPr="00AA1E6A" w:rsidRDefault="002A0561" w:rsidP="00050D81">
            <w:pPr>
              <w:rPr>
                <w:rFonts w:asciiTheme="minorHAnsi" w:hAnsiTheme="minorHAnsi" w:cstheme="minorHAnsi"/>
                <w:sz w:val="17"/>
                <w:szCs w:val="17"/>
                <w:u w:val="single"/>
              </w:rPr>
            </w:pPr>
            <w:r w:rsidRPr="00AA1E6A">
              <w:rPr>
                <w:rFonts w:asciiTheme="minorHAnsi" w:hAnsiTheme="minorHAnsi" w:cstheme="minorHAnsi"/>
                <w:sz w:val="17"/>
                <w:szCs w:val="17"/>
                <w:u w:val="single"/>
              </w:rPr>
              <w:t>Management</w:t>
            </w:r>
          </w:p>
          <w:p w14:paraId="71ABD8CF" w14:textId="4DF47C41" w:rsidR="002A0561" w:rsidRPr="00AA1E6A" w:rsidRDefault="002A0561" w:rsidP="00760794">
            <w:pPr>
              <w:pStyle w:val="ListParagraph"/>
              <w:widowControl w:val="0"/>
              <w:numPr>
                <w:ilvl w:val="0"/>
                <w:numId w:val="11"/>
              </w:numPr>
              <w:snapToGrid w:val="0"/>
              <w:spacing w:after="0"/>
              <w:rPr>
                <w:rFonts w:asciiTheme="minorHAnsi" w:hAnsiTheme="minorHAnsi" w:cstheme="minorHAnsi"/>
                <w:sz w:val="17"/>
                <w:szCs w:val="17"/>
              </w:rPr>
            </w:pPr>
            <w:r w:rsidRPr="00AA1E6A">
              <w:rPr>
                <w:rFonts w:asciiTheme="minorHAnsi" w:hAnsiTheme="minorHAnsi" w:cstheme="minorHAnsi"/>
                <w:sz w:val="17"/>
                <w:szCs w:val="17"/>
              </w:rPr>
              <w:t xml:space="preserve">The Australian Government Department of Health in consultation with the Australian Government Department of Agriculture, Water and the Environment will manage the review through an independent consultant, in partnership with the New Zealand Government and in consultation with FSANZ, and Australian </w:t>
            </w:r>
            <w:r w:rsidR="00730083">
              <w:rPr>
                <w:rFonts w:asciiTheme="minorHAnsi" w:hAnsiTheme="minorHAnsi" w:cstheme="minorHAnsi"/>
                <w:sz w:val="17"/>
                <w:szCs w:val="17"/>
              </w:rPr>
              <w:t>S</w:t>
            </w:r>
            <w:r w:rsidRPr="00AA1E6A">
              <w:rPr>
                <w:rFonts w:asciiTheme="minorHAnsi" w:hAnsiTheme="minorHAnsi" w:cstheme="minorHAnsi"/>
                <w:sz w:val="17"/>
                <w:szCs w:val="17"/>
              </w:rPr>
              <w:t>tates and territories.</w:t>
            </w:r>
          </w:p>
          <w:p w14:paraId="68A97CCD" w14:textId="77777777" w:rsidR="002A0561" w:rsidRPr="00AA1E6A" w:rsidRDefault="002A0561" w:rsidP="00050D81">
            <w:pPr>
              <w:pStyle w:val="longformcalloutnumber"/>
              <w:numPr>
                <w:ilvl w:val="0"/>
                <w:numId w:val="0"/>
              </w:numPr>
              <w:rPr>
                <w:b/>
                <w:sz w:val="17"/>
                <w:szCs w:val="17"/>
              </w:rPr>
            </w:pPr>
          </w:p>
        </w:tc>
      </w:tr>
    </w:tbl>
    <w:p w14:paraId="54B0AA08" w14:textId="5A67299C" w:rsidR="00C10782" w:rsidRDefault="00C10782" w:rsidP="00CF7809">
      <w:pPr>
        <w:rPr>
          <w:lang w:eastAsia="en-AU"/>
        </w:rPr>
      </w:pPr>
    </w:p>
    <w:p w14:paraId="1877E90C" w14:textId="5A67299C" w:rsidR="005C68F7" w:rsidRDefault="005C68F7">
      <w:pPr>
        <w:spacing w:after="165"/>
        <w:rPr>
          <w:lang w:eastAsia="en-AU"/>
        </w:rPr>
      </w:pPr>
      <w:r>
        <w:rPr>
          <w:lang w:eastAsia="en-AU"/>
        </w:rPr>
        <w:br w:type="page"/>
      </w:r>
    </w:p>
    <w:p w14:paraId="42B41CD0" w14:textId="09C41538" w:rsidR="00194A2F" w:rsidRDefault="005C68F7" w:rsidP="005C68F7">
      <w:pPr>
        <w:pStyle w:val="xAppendixLevel1"/>
      </w:pPr>
      <w:bookmarkStart w:id="157" w:name="_Ref51138274"/>
      <w:bookmarkStart w:id="158" w:name="_Toc52179153"/>
      <w:r>
        <w:lastRenderedPageBreak/>
        <w:t>FSANZ Act Review Steering Committee members</w:t>
      </w:r>
      <w:bookmarkEnd w:id="157"/>
      <w:bookmarkEnd w:id="158"/>
      <w:r>
        <w:t xml:space="preserve"> </w:t>
      </w:r>
    </w:p>
    <w:p w14:paraId="426EC3D6" w14:textId="317F6ABB" w:rsidR="00013029" w:rsidRPr="00013029" w:rsidRDefault="00C73576" w:rsidP="00013029">
      <w:pPr>
        <w:rPr>
          <w:lang w:eastAsia="en-AU"/>
        </w:rPr>
      </w:pPr>
      <w:r>
        <w:rPr>
          <w:lang w:eastAsia="en-AU"/>
        </w:rPr>
        <w:fldChar w:fldCharType="begin"/>
      </w:r>
      <w:r>
        <w:rPr>
          <w:lang w:eastAsia="en-AU"/>
        </w:rPr>
        <w:instrText xml:space="preserve"> REF _Ref51413321 \h </w:instrText>
      </w:r>
      <w:r>
        <w:rPr>
          <w:lang w:eastAsia="en-AU"/>
        </w:rPr>
      </w:r>
      <w:r>
        <w:rPr>
          <w:lang w:eastAsia="en-AU"/>
        </w:rPr>
        <w:fldChar w:fldCharType="separate"/>
      </w:r>
      <w:r w:rsidR="001C5CC6">
        <w:t xml:space="preserve">Table </w:t>
      </w:r>
      <w:r w:rsidR="001C5CC6">
        <w:rPr>
          <w:noProof/>
        </w:rPr>
        <w:t>18</w:t>
      </w:r>
      <w:r>
        <w:rPr>
          <w:lang w:eastAsia="en-AU"/>
        </w:rPr>
        <w:fldChar w:fldCharType="end"/>
      </w:r>
      <w:r>
        <w:rPr>
          <w:lang w:eastAsia="en-AU"/>
        </w:rPr>
        <w:t xml:space="preserve"> outlines membership of the FSANZ Act Review Steering Committee. </w:t>
      </w:r>
    </w:p>
    <w:p w14:paraId="4609EB0C" w14:textId="5071131E" w:rsidR="009A2A11" w:rsidRDefault="009A2A11" w:rsidP="009A2A11">
      <w:pPr>
        <w:pStyle w:val="Caption"/>
      </w:pPr>
      <w:bookmarkStart w:id="159" w:name="_Ref51413321"/>
      <w:r>
        <w:t xml:space="preserve">Table </w:t>
      </w:r>
      <w:r>
        <w:fldChar w:fldCharType="begin"/>
      </w:r>
      <w:r>
        <w:instrText xml:space="preserve"> SEQ Table \* ARABIC </w:instrText>
      </w:r>
      <w:r>
        <w:fldChar w:fldCharType="separate"/>
      </w:r>
      <w:r w:rsidR="001C5CC6">
        <w:rPr>
          <w:noProof/>
        </w:rPr>
        <w:t>18</w:t>
      </w:r>
      <w:r>
        <w:fldChar w:fldCharType="end"/>
      </w:r>
      <w:bookmarkEnd w:id="159"/>
      <w:r>
        <w:t xml:space="preserve"> | FSANZ Act Review Steering Committee members</w:t>
      </w:r>
    </w:p>
    <w:tbl>
      <w:tblPr>
        <w:tblStyle w:val="TableGrid"/>
        <w:tblW w:w="5000" w:type="pct"/>
        <w:tblLook w:val="04A0" w:firstRow="1" w:lastRow="0" w:firstColumn="1" w:lastColumn="0" w:noHBand="0" w:noVBand="1"/>
      </w:tblPr>
      <w:tblGrid>
        <w:gridCol w:w="4552"/>
        <w:gridCol w:w="4548"/>
      </w:tblGrid>
      <w:tr w:rsidR="00FC63B5" w14:paraId="7538BEE8" w14:textId="77777777" w:rsidTr="00C66510">
        <w:trPr>
          <w:cnfStyle w:val="100000000000" w:firstRow="1" w:lastRow="0" w:firstColumn="0" w:lastColumn="0" w:oddVBand="0" w:evenVBand="0" w:oddHBand="0" w:evenHBand="0" w:firstRowFirstColumn="0" w:firstRowLastColumn="0" w:lastRowFirstColumn="0" w:lastRowLastColumn="0"/>
        </w:trPr>
        <w:tc>
          <w:tcPr>
            <w:tcW w:w="2501" w:type="pct"/>
          </w:tcPr>
          <w:p w14:paraId="54A596A4" w14:textId="500AB870" w:rsidR="00C66510" w:rsidRDefault="00C66510" w:rsidP="005C68F7">
            <w:pPr>
              <w:rPr>
                <w:lang w:eastAsia="en-AU"/>
              </w:rPr>
            </w:pPr>
            <w:r>
              <w:rPr>
                <w:lang w:eastAsia="en-AU"/>
              </w:rPr>
              <w:t xml:space="preserve">Organisation </w:t>
            </w:r>
          </w:p>
        </w:tc>
        <w:tc>
          <w:tcPr>
            <w:tcW w:w="2499" w:type="pct"/>
          </w:tcPr>
          <w:p w14:paraId="6F90E499" w14:textId="7225DB2D" w:rsidR="00C66510" w:rsidRDefault="00C66510" w:rsidP="005C68F7">
            <w:pPr>
              <w:rPr>
                <w:lang w:eastAsia="en-AU"/>
              </w:rPr>
            </w:pPr>
            <w:r>
              <w:rPr>
                <w:lang w:eastAsia="en-AU"/>
              </w:rPr>
              <w:t>Member</w:t>
            </w:r>
          </w:p>
        </w:tc>
      </w:tr>
      <w:tr w:rsidR="00C66510" w14:paraId="05A552CB" w14:textId="77777777" w:rsidTr="00E7068E">
        <w:trPr>
          <w:cnfStyle w:val="000000100000" w:firstRow="0" w:lastRow="0" w:firstColumn="0" w:lastColumn="0" w:oddVBand="0" w:evenVBand="0" w:oddHBand="1" w:evenHBand="0" w:firstRowFirstColumn="0" w:firstRowLastColumn="0" w:lastRowFirstColumn="0" w:lastRowLastColumn="0"/>
        </w:trPr>
        <w:tc>
          <w:tcPr>
            <w:tcW w:w="2501" w:type="pct"/>
          </w:tcPr>
          <w:p w14:paraId="1D00CA1D" w14:textId="4313A563" w:rsidR="00C66510" w:rsidRDefault="00C66510" w:rsidP="005C68F7">
            <w:pPr>
              <w:rPr>
                <w:lang w:eastAsia="en-AU"/>
              </w:rPr>
            </w:pPr>
            <w:r>
              <w:rPr>
                <w:lang w:eastAsia="en-AU"/>
              </w:rPr>
              <w:t xml:space="preserve">Australian Government Department of Health (Chair) </w:t>
            </w:r>
          </w:p>
        </w:tc>
        <w:tc>
          <w:tcPr>
            <w:tcW w:w="2499" w:type="pct"/>
          </w:tcPr>
          <w:p w14:paraId="42566984" w14:textId="00817CFD" w:rsidR="00C66510" w:rsidRDefault="00C66510" w:rsidP="005C68F7">
            <w:pPr>
              <w:rPr>
                <w:lang w:eastAsia="en-AU"/>
              </w:rPr>
            </w:pPr>
            <w:r>
              <w:rPr>
                <w:lang w:eastAsia="en-AU"/>
              </w:rPr>
              <w:t xml:space="preserve">Tiali Goodchild </w:t>
            </w:r>
          </w:p>
        </w:tc>
      </w:tr>
      <w:tr w:rsidR="00C66510" w14:paraId="12582D46" w14:textId="77777777" w:rsidTr="00E7068E">
        <w:trPr>
          <w:cnfStyle w:val="000000010000" w:firstRow="0" w:lastRow="0" w:firstColumn="0" w:lastColumn="0" w:oddVBand="0" w:evenVBand="0" w:oddHBand="0" w:evenHBand="1" w:firstRowFirstColumn="0" w:firstRowLastColumn="0" w:lastRowFirstColumn="0" w:lastRowLastColumn="0"/>
        </w:trPr>
        <w:tc>
          <w:tcPr>
            <w:tcW w:w="2501" w:type="pct"/>
          </w:tcPr>
          <w:p w14:paraId="3265ED7E" w14:textId="32F5A45C" w:rsidR="00C66510" w:rsidRDefault="00C66510" w:rsidP="005C68F7">
            <w:pPr>
              <w:rPr>
                <w:lang w:eastAsia="en-AU"/>
              </w:rPr>
            </w:pPr>
            <w:r>
              <w:rPr>
                <w:lang w:eastAsia="en-AU"/>
              </w:rPr>
              <w:t xml:space="preserve">Australian Government Department of Agriculture, Water and the Environment </w:t>
            </w:r>
          </w:p>
        </w:tc>
        <w:tc>
          <w:tcPr>
            <w:tcW w:w="2499" w:type="pct"/>
          </w:tcPr>
          <w:p w14:paraId="0B54DA03" w14:textId="23FFFFD7" w:rsidR="00C66510" w:rsidRDefault="00C66510" w:rsidP="005C68F7">
            <w:pPr>
              <w:rPr>
                <w:lang w:eastAsia="en-AU"/>
              </w:rPr>
            </w:pPr>
            <w:r>
              <w:rPr>
                <w:lang w:eastAsia="en-AU"/>
              </w:rPr>
              <w:t xml:space="preserve">Nicholas Dowie, Assistant Secretary, Food and Supply Chain Branch </w:t>
            </w:r>
          </w:p>
        </w:tc>
      </w:tr>
      <w:tr w:rsidR="00C66510" w14:paraId="634266D9" w14:textId="77777777" w:rsidTr="00E7068E">
        <w:trPr>
          <w:cnfStyle w:val="000000100000" w:firstRow="0" w:lastRow="0" w:firstColumn="0" w:lastColumn="0" w:oddVBand="0" w:evenVBand="0" w:oddHBand="1" w:evenHBand="0" w:firstRowFirstColumn="0" w:firstRowLastColumn="0" w:lastRowFirstColumn="0" w:lastRowLastColumn="0"/>
        </w:trPr>
        <w:tc>
          <w:tcPr>
            <w:tcW w:w="2501" w:type="pct"/>
          </w:tcPr>
          <w:p w14:paraId="5BCD9944" w14:textId="50323809" w:rsidR="00C66510" w:rsidRDefault="00C66510" w:rsidP="005C68F7">
            <w:pPr>
              <w:rPr>
                <w:lang w:eastAsia="en-AU"/>
              </w:rPr>
            </w:pPr>
            <w:r>
              <w:rPr>
                <w:lang w:eastAsia="en-AU"/>
              </w:rPr>
              <w:t xml:space="preserve">New Zealand Ministry for Primary Industries </w:t>
            </w:r>
          </w:p>
        </w:tc>
        <w:tc>
          <w:tcPr>
            <w:tcW w:w="2499" w:type="pct"/>
          </w:tcPr>
          <w:p w14:paraId="0EC7EE3A" w14:textId="1170306B" w:rsidR="00C66510" w:rsidRDefault="00C66510" w:rsidP="005C68F7">
            <w:pPr>
              <w:rPr>
                <w:lang w:eastAsia="en-AU"/>
              </w:rPr>
            </w:pPr>
            <w:r>
              <w:rPr>
                <w:lang w:eastAsia="en-AU"/>
              </w:rPr>
              <w:t>Bryan Wilson, Deputy Director-General New Zealand Food Safety</w:t>
            </w:r>
          </w:p>
          <w:p w14:paraId="797DA070" w14:textId="4967CB5F" w:rsidR="00C66510" w:rsidRDefault="00C66510" w:rsidP="005C68F7">
            <w:pPr>
              <w:rPr>
                <w:lang w:eastAsia="en-AU"/>
              </w:rPr>
            </w:pPr>
            <w:r>
              <w:rPr>
                <w:lang w:eastAsia="en-AU"/>
              </w:rPr>
              <w:t xml:space="preserve">Philip Houlding, Director, International Policy </w:t>
            </w:r>
          </w:p>
        </w:tc>
      </w:tr>
      <w:tr w:rsidR="00C66510" w14:paraId="754A98C7" w14:textId="77777777" w:rsidTr="00E7068E">
        <w:trPr>
          <w:cnfStyle w:val="000000010000" w:firstRow="0" w:lastRow="0" w:firstColumn="0" w:lastColumn="0" w:oddVBand="0" w:evenVBand="0" w:oddHBand="0" w:evenHBand="1" w:firstRowFirstColumn="0" w:firstRowLastColumn="0" w:lastRowFirstColumn="0" w:lastRowLastColumn="0"/>
        </w:trPr>
        <w:tc>
          <w:tcPr>
            <w:tcW w:w="2501" w:type="pct"/>
          </w:tcPr>
          <w:p w14:paraId="239C22DE" w14:textId="7658358C" w:rsidR="00C66510" w:rsidRDefault="00C66510" w:rsidP="004E6E4D">
            <w:pPr>
              <w:rPr>
                <w:lang w:eastAsia="en-AU"/>
              </w:rPr>
            </w:pPr>
            <w:r>
              <w:rPr>
                <w:lang w:eastAsia="en-AU"/>
              </w:rPr>
              <w:t xml:space="preserve">Food Standards Australia New Zealand </w:t>
            </w:r>
          </w:p>
        </w:tc>
        <w:tc>
          <w:tcPr>
            <w:tcW w:w="2499" w:type="pct"/>
          </w:tcPr>
          <w:p w14:paraId="37F26E5F" w14:textId="4CEE0AB6" w:rsidR="00C66510" w:rsidRDefault="00C66510" w:rsidP="004E6E4D">
            <w:pPr>
              <w:rPr>
                <w:lang w:eastAsia="en-AU"/>
              </w:rPr>
            </w:pPr>
            <w:r>
              <w:rPr>
                <w:lang w:eastAsia="en-AU"/>
              </w:rPr>
              <w:t xml:space="preserve">Mark Booth, Chief Executive Officer </w:t>
            </w:r>
          </w:p>
        </w:tc>
      </w:tr>
      <w:tr w:rsidR="00C66510" w14:paraId="142A3D6A" w14:textId="77777777" w:rsidTr="00E7068E">
        <w:trPr>
          <w:cnfStyle w:val="000000100000" w:firstRow="0" w:lastRow="0" w:firstColumn="0" w:lastColumn="0" w:oddVBand="0" w:evenVBand="0" w:oddHBand="1" w:evenHBand="0" w:firstRowFirstColumn="0" w:firstRowLastColumn="0" w:lastRowFirstColumn="0" w:lastRowLastColumn="0"/>
        </w:trPr>
        <w:tc>
          <w:tcPr>
            <w:tcW w:w="2501" w:type="pct"/>
          </w:tcPr>
          <w:p w14:paraId="0570737E" w14:textId="51AFC98A" w:rsidR="00C66510" w:rsidRDefault="00C66510" w:rsidP="005C68F7">
            <w:pPr>
              <w:rPr>
                <w:lang w:eastAsia="en-AU"/>
              </w:rPr>
            </w:pPr>
            <w:r>
              <w:rPr>
                <w:lang w:eastAsia="en-AU"/>
              </w:rPr>
              <w:t xml:space="preserve">Department of Prime Minister &amp; Cabinet </w:t>
            </w:r>
          </w:p>
        </w:tc>
        <w:tc>
          <w:tcPr>
            <w:tcW w:w="2499" w:type="pct"/>
          </w:tcPr>
          <w:p w14:paraId="460B6863" w14:textId="1DCD839F" w:rsidR="00C66510" w:rsidRDefault="00C66510" w:rsidP="005C68F7">
            <w:pPr>
              <w:rPr>
                <w:lang w:eastAsia="en-AU"/>
              </w:rPr>
            </w:pPr>
            <w:r>
              <w:rPr>
                <w:lang w:eastAsia="en-AU"/>
              </w:rPr>
              <w:t xml:space="preserve">Bernard Fischer, Advisor, Economic Division </w:t>
            </w:r>
          </w:p>
        </w:tc>
      </w:tr>
    </w:tbl>
    <w:p w14:paraId="2A0F20A7" w14:textId="0F410D57" w:rsidR="00E82210" w:rsidRDefault="00E82210" w:rsidP="005C68F7">
      <w:pPr>
        <w:rPr>
          <w:lang w:eastAsia="en-AU"/>
        </w:rPr>
      </w:pPr>
    </w:p>
    <w:p w14:paraId="4DA98BE3" w14:textId="02A5BF84" w:rsidR="00E82210" w:rsidRDefault="00E82210">
      <w:pPr>
        <w:spacing w:after="165"/>
        <w:rPr>
          <w:lang w:eastAsia="en-AU"/>
        </w:rPr>
      </w:pPr>
      <w:r>
        <w:rPr>
          <w:lang w:eastAsia="en-AU"/>
        </w:rPr>
        <w:br w:type="page"/>
      </w:r>
    </w:p>
    <w:p w14:paraId="4A41D0E2" w14:textId="4E9D9085" w:rsidR="00194A2F" w:rsidRPr="00CF7809" w:rsidRDefault="008062AE">
      <w:pPr>
        <w:spacing w:after="165"/>
        <w:rPr>
          <w:lang w:eastAsia="en-AU"/>
        </w:rPr>
      </w:pPr>
      <w:r>
        <w:rPr>
          <w:noProof/>
          <w:lang w:eastAsia="en-AU"/>
        </w:rPr>
        <w:lastRenderedPageBreak/>
        <w:drawing>
          <wp:anchor distT="0" distB="0" distL="114300" distR="114300" simplePos="0" relativeHeight="251658240" behindDoc="0" locked="0" layoutInCell="1" allowOverlap="1" wp14:anchorId="7CC6AEC8" wp14:editId="4F93FED6">
            <wp:simplePos x="0" y="0"/>
            <wp:positionH relativeFrom="column">
              <wp:posOffset>-991978</wp:posOffset>
            </wp:positionH>
            <wp:positionV relativeFrom="paragraph">
              <wp:posOffset>-5295</wp:posOffset>
            </wp:positionV>
            <wp:extent cx="7537180" cy="9753600"/>
            <wp:effectExtent l="0" t="0" r="6985" b="0"/>
            <wp:wrapNone/>
            <wp:docPr id="14336" name="Picture 14336" descr="This is the back page of the scoping paper with information about Nous Group, the management consultancy that is assisting with the Review. It reads &quot;Nous Group is an international management consultancy operating in 10 locations across Australia, the UK and Canada. For over 20 years we have been partnering with leaders to shape world-class businesses, effective governments and empowere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out_Nous_Proposa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37180" cy="9753600"/>
                    </a:xfrm>
                    <a:prstGeom prst="rect">
                      <a:avLst/>
                    </a:prstGeom>
                  </pic:spPr>
                </pic:pic>
              </a:graphicData>
            </a:graphic>
            <wp14:sizeRelH relativeFrom="page">
              <wp14:pctWidth>0</wp14:pctWidth>
            </wp14:sizeRelH>
            <wp14:sizeRelV relativeFrom="page">
              <wp14:pctHeight>0</wp14:pctHeight>
            </wp14:sizeRelV>
          </wp:anchor>
        </w:drawing>
      </w:r>
    </w:p>
    <w:sectPr w:rsidR="00194A2F" w:rsidRPr="00CF7809" w:rsidSect="00AE1109">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CDEE1" w14:textId="77777777" w:rsidR="00506AB3" w:rsidRDefault="00506AB3" w:rsidP="00302076">
      <w:pPr>
        <w:spacing w:after="0"/>
      </w:pPr>
      <w:r>
        <w:separator/>
      </w:r>
    </w:p>
  </w:endnote>
  <w:endnote w:type="continuationSeparator" w:id="0">
    <w:p w14:paraId="6BC38E9C" w14:textId="77777777" w:rsidR="00506AB3" w:rsidRDefault="00506AB3" w:rsidP="00302076">
      <w:pPr>
        <w:spacing w:after="0"/>
      </w:pPr>
      <w:r>
        <w:continuationSeparator/>
      </w:r>
    </w:p>
  </w:endnote>
  <w:endnote w:type="continuationNotice" w:id="1">
    <w:p w14:paraId="4A9011EF" w14:textId="77777777" w:rsidR="00506AB3" w:rsidRDefault="00506A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FD5BC" w14:textId="728A81BC" w:rsidR="00423227" w:rsidRPr="00FD4AB1" w:rsidRDefault="00423227" w:rsidP="00050D8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659846979"/>
        <w:dataBinding w:prefixMappings="xmlns:ns0='http://purl.org/dc/elements/1.1/' xmlns:ns1='http://schemas.openxmlformats.org/package/2006/metadata/core-properties' " w:xpath="/ns1:coreProperties[1]/ns0:title[1]" w:storeItemID="{6C3C8BC8-F283-45AE-878A-BAB7291924A1}"/>
        <w:text/>
      </w:sdtPr>
      <w:sdtEndPr/>
      <w:sdtContent>
        <w:r>
          <w:rPr>
            <w:color w:val="808080" w:themeColor="background1" w:themeShade="80"/>
            <w:szCs w:val="15"/>
            <w:lang w:eastAsia="en-AU"/>
          </w:rPr>
          <w:t>Review of the Food Standards Australia New Zealand Act 1991</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067177579"/>
        <w:dataBinding w:prefixMappings="xmlns:ns0='http://schemas.microsoft.com/office/2006/coverPageProps' " w:xpath="/ns0:CoverPageProperties[1]/ns0:PublishDate[1]" w:storeItemID="{55AF091B-3C7A-41E3-B477-F2FDAA23CFDA}"/>
        <w:date w:fullDate="2020-10-02T00:00:00Z">
          <w:dateFormat w:val="d MMMM yyyy"/>
          <w:lid w:val="en-AU"/>
          <w:storeMappedDataAs w:val="dateTime"/>
          <w:calendar w:val="gregorian"/>
        </w:date>
      </w:sdtPr>
      <w:sdtEndPr/>
      <w:sdtContent>
        <w:r w:rsidR="00E77E48">
          <w:rPr>
            <w:color w:val="808080" w:themeColor="background1" w:themeShade="80"/>
            <w:szCs w:val="15"/>
            <w:lang w:eastAsia="en-AU"/>
          </w:rPr>
          <w:t>2 October 2020</w:t>
        </w:r>
      </w:sdtContent>
    </w:sdt>
    <w:r w:rsidRPr="00FD4AB1">
      <w:rPr>
        <w:rFonts w:ascii="Segoe UI Semibold" w:hAnsi="Segoe UI Semibold" w:cs="Segoe UI"/>
        <w:color w:val="A5A5A5"/>
      </w:rPr>
      <w:ptab w:relativeTo="margin" w:alignment="right" w:leader="none"/>
    </w:r>
    <w:r w:rsidRPr="00FD4AB1">
      <w:rPr>
        <w:rFonts w:cs="Segoe UI Semilight"/>
        <w:color w:val="A5A5A5"/>
      </w:rPr>
      <w:t xml:space="preserve">| </w:t>
    </w:r>
    <w:r w:rsidRPr="003B464C">
      <w:rPr>
        <w:rFonts w:cs="Segoe UI Semilight"/>
        <w:b/>
        <w:color w:val="A5A5A5"/>
        <w:sz w:val="16"/>
        <w:szCs w:val="16"/>
      </w:rPr>
      <w:fldChar w:fldCharType="begin"/>
    </w:r>
    <w:r w:rsidRPr="003B464C">
      <w:rPr>
        <w:rFonts w:cs="Segoe UI Semilight"/>
        <w:color w:val="A5A5A5"/>
        <w:sz w:val="16"/>
        <w:szCs w:val="16"/>
      </w:rPr>
      <w:instrText xml:space="preserve"> PAGE  \* roman  \* MERGEFORMAT </w:instrText>
    </w:r>
    <w:r w:rsidRPr="003B464C">
      <w:rPr>
        <w:rFonts w:cs="Segoe UI Semilight"/>
        <w:b/>
        <w:color w:val="A5A5A5"/>
        <w:sz w:val="16"/>
        <w:szCs w:val="16"/>
      </w:rPr>
      <w:fldChar w:fldCharType="separate"/>
    </w:r>
    <w:r w:rsidRPr="00F75386">
      <w:rPr>
        <w:rFonts w:cs="Segoe UI Semilight"/>
        <w:b/>
        <w:color w:val="A5A5A5"/>
        <w:sz w:val="16"/>
        <w:szCs w:val="16"/>
      </w:rPr>
      <w:t>i</w:t>
    </w:r>
    <w:r w:rsidRPr="003B464C">
      <w:rPr>
        <w:rFonts w:cs="Segoe UI Semilight"/>
        <w:b/>
        <w:color w:val="A5A5A5"/>
        <w:sz w:val="16"/>
        <w:szCs w:val="16"/>
      </w:rPr>
      <w:fldChar w:fldCharType="end"/>
    </w:r>
    <w:r w:rsidRPr="003B464C">
      <w:rPr>
        <w:rFonts w:cs="Segoe UI Semilight"/>
        <w:color w:val="A5A5A5"/>
        <w:sz w:val="16"/>
        <w:szCs w:val="16"/>
      </w:rPr>
      <w:t xml:space="preserve"> </w:t>
    </w:r>
    <w:r w:rsidRPr="00FD4AB1">
      <w:rPr>
        <w:rFonts w:cs="Segoe UI Semilight"/>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6459E" w14:textId="02549F60" w:rsidR="00423227" w:rsidRDefault="00423227" w:rsidP="00037553">
    <w:pPr>
      <w:pStyle w:val="NousFooter"/>
    </w:pPr>
    <w:r w:rsidRPr="008A55C6">
      <w:t xml:space="preserve">Nous Group | </w:t>
    </w:r>
    <w:sdt>
      <w:sdtPr>
        <w:alias w:val="Title"/>
        <w:id w:val="1215702115"/>
        <w:dataBinding w:prefixMappings="xmlns:ns0='http://purl.org/dc/elements/1.1/' xmlns:ns1='http://schemas.openxmlformats.org/package/2006/metadata/core-properties' " w:xpath="/ns1:coreProperties[1]/ns0:title[1]" w:storeItemID="{6C3C8BC8-F283-45AE-878A-BAB7291924A1}"/>
        <w:text/>
      </w:sdtPr>
      <w:sdtEndPr/>
      <w:sdtContent>
        <w:r>
          <w:t>Review of the Food Standards Australia New Zealand Act 1991</w:t>
        </w:r>
      </w:sdtContent>
    </w:sdt>
    <w:r w:rsidRPr="008A55C6">
      <w:t xml:space="preserve"> | </w:t>
    </w:r>
    <w:sdt>
      <w:sdtPr>
        <w:alias w:val="Publish Date"/>
        <w:id w:val="914751666"/>
        <w:dataBinding w:prefixMappings="xmlns:ns0='http://schemas.microsoft.com/office/2006/coverPageProps' " w:xpath="/ns0:CoverPageProperties[1]/ns0:PublishDate[1]" w:storeItemID="{55AF091B-3C7A-41E3-B477-F2FDAA23CFDA}"/>
        <w:date w:fullDate="2020-10-02T00:00:00Z">
          <w:dateFormat w:val="d MMMM yyyy"/>
          <w:lid w:val="en-AU"/>
          <w:storeMappedDataAs w:val="dateTime"/>
          <w:calendar w:val="gregorian"/>
        </w:date>
      </w:sdtPr>
      <w:sdtEndPr/>
      <w:sdtContent>
        <w:r w:rsidR="00E77E48">
          <w:t>2 October 2020</w:t>
        </w:r>
      </w:sdtContent>
    </w:sdt>
    <w:r w:rsidRPr="008A55C6">
      <w:ptab w:relativeTo="margin" w:alignment="right" w:leader="none"/>
    </w:r>
    <w:r w:rsidRPr="008A55C6">
      <w:t>|</w:t>
    </w:r>
    <w:r>
      <w:t xml:space="preserve"> </w:t>
    </w:r>
    <w:r>
      <w:fldChar w:fldCharType="begin"/>
    </w:r>
    <w:r>
      <w:instrText xml:space="preserve"> PAGE  \* Arabic  \* MERGEFORMAT </w:instrText>
    </w:r>
    <w:r>
      <w:fldChar w:fldCharType="separate"/>
    </w:r>
    <w:r>
      <w:rPr>
        <w:noProof/>
      </w:rPr>
      <w:t>2</w:t>
    </w:r>
    <w:r>
      <w:fldChar w:fldCharType="end"/>
    </w:r>
    <w:r>
      <w:t xml:space="preserve"> </w:t>
    </w:r>
    <w:r w:rsidRPr="008A55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61468" w14:textId="77777777" w:rsidR="00506AB3" w:rsidRDefault="00506AB3" w:rsidP="00302076">
      <w:pPr>
        <w:spacing w:after="0"/>
      </w:pPr>
      <w:r>
        <w:separator/>
      </w:r>
    </w:p>
  </w:footnote>
  <w:footnote w:type="continuationSeparator" w:id="0">
    <w:p w14:paraId="16FA553F" w14:textId="77777777" w:rsidR="00506AB3" w:rsidRDefault="00506AB3" w:rsidP="00302076">
      <w:pPr>
        <w:spacing w:after="0"/>
      </w:pPr>
      <w:r>
        <w:continuationSeparator/>
      </w:r>
    </w:p>
  </w:footnote>
  <w:footnote w:type="continuationNotice" w:id="1">
    <w:p w14:paraId="047A938D" w14:textId="77777777" w:rsidR="00506AB3" w:rsidRDefault="00506AB3">
      <w:pPr>
        <w:spacing w:after="0" w:line="240" w:lineRule="auto"/>
      </w:pPr>
    </w:p>
  </w:footnote>
  <w:footnote w:id="2">
    <w:p w14:paraId="6BA01D3F" w14:textId="3B934D97" w:rsidR="00423227" w:rsidRDefault="00423227" w:rsidP="00DF27B4">
      <w:pPr>
        <w:pStyle w:val="FootnoteText"/>
        <w:rPr>
          <w:i/>
        </w:rPr>
      </w:pPr>
      <w:r>
        <w:rPr>
          <w:rStyle w:val="FootnoteReference"/>
        </w:rPr>
        <w:footnoteRef/>
      </w:r>
      <w:r>
        <w:t xml:space="preserve"> This figure is adapted from a figure on page 15 of the 2018 Food Export Review: </w:t>
      </w:r>
      <w:r>
        <w:rPr>
          <w:i/>
        </w:rPr>
        <w:t>Underpinning trust, preparing for the future.</w:t>
      </w:r>
    </w:p>
    <w:p w14:paraId="46B62108" w14:textId="063C01FF" w:rsidR="00423227" w:rsidRDefault="00423227" w:rsidP="00DF27B4">
      <w:pPr>
        <w:pStyle w:val="FootnoteText"/>
      </w:pPr>
      <w:r>
        <w:rPr>
          <w:i/>
        </w:rPr>
        <w:t xml:space="preserve"> </w:t>
      </w:r>
    </w:p>
  </w:footnote>
  <w:footnote w:id="3">
    <w:p w14:paraId="3CFE69CC" w14:textId="77777777" w:rsidR="00423227" w:rsidRPr="007450BB" w:rsidRDefault="00423227">
      <w:pPr>
        <w:pStyle w:val="FootnoteText"/>
      </w:pPr>
      <w:r>
        <w:rPr>
          <w:rStyle w:val="FootnoteReference"/>
        </w:rPr>
        <w:footnoteRef/>
      </w:r>
      <w:r>
        <w:t xml:space="preserve"> Department of the Prime Minister and Cabinet (2020) </w:t>
      </w:r>
      <w:r>
        <w:rPr>
          <w:i/>
        </w:rPr>
        <w:t>The Australian Guide to Regulatory Impact Analysis</w:t>
      </w:r>
      <w:r>
        <w:t xml:space="preserve">. Commonwealth of Australia. </w:t>
      </w:r>
    </w:p>
  </w:footnote>
  <w:footnote w:id="4">
    <w:p w14:paraId="727ABBF0" w14:textId="48AF9478" w:rsidR="00423227" w:rsidRDefault="00423227">
      <w:pPr>
        <w:pStyle w:val="FootnoteText"/>
      </w:pPr>
      <w:r>
        <w:rPr>
          <w:rStyle w:val="FootnoteReference"/>
        </w:rPr>
        <w:footnoteRef/>
      </w:r>
      <w:r>
        <w:t xml:space="preserve"> Fit for a Better World – Accelerating our Economic Potential (2020, available at: &lt;</w:t>
      </w:r>
      <w:hyperlink r:id="rId1" w:history="1">
        <w:r w:rsidRPr="00802809">
          <w:rPr>
            <w:rStyle w:val="Hyperlink"/>
          </w:rPr>
          <w:t>https://www.mpi.govt.nz/dmsdocument/41031/direct</w:t>
        </w:r>
      </w:hyperlink>
      <w:r>
        <w:t>&gt;</w:t>
      </w:r>
    </w:p>
  </w:footnote>
  <w:footnote w:id="5">
    <w:p w14:paraId="40E48DC7" w14:textId="6BB3F916" w:rsidR="00423227" w:rsidRDefault="00423227">
      <w:pPr>
        <w:pStyle w:val="FootnoteText"/>
      </w:pPr>
      <w:r>
        <w:rPr>
          <w:rStyle w:val="FootnoteReference"/>
        </w:rPr>
        <w:footnoteRef/>
      </w:r>
      <w:r>
        <w:t xml:space="preserve"> For example, a 2005 Review of the FRA found that the Agreement has made a positive contribution to the development of a national approach to food regulation within Australia, including through its co-operative structure, improved communications between portfolios and clearer administrative arrangements. A 2006 review of the Food Treaty found that most stakeholders consider that the Treaty has been successful in reducing barriers to trade. A 2018 Food Export Review found that “the Australian food system is performing reasonably well” and “has to date been reasonably well-functioning and have provided a competitive advantage to Australia’s food exports.”</w:t>
      </w:r>
    </w:p>
  </w:footnote>
  <w:footnote w:id="6">
    <w:p w14:paraId="45304EEB" w14:textId="757ECDE3" w:rsidR="00423227" w:rsidRPr="00714BDC" w:rsidRDefault="00423227">
      <w:pPr>
        <w:pStyle w:val="FootnoteText"/>
      </w:pPr>
      <w:r>
        <w:rPr>
          <w:rStyle w:val="FootnoteReference"/>
        </w:rPr>
        <w:footnoteRef/>
      </w:r>
      <w:r>
        <w:t xml:space="preserve"> For example, New Zealand’s top two exports to Australia in the last five years have been </w:t>
      </w:r>
      <w:r>
        <w:rPr>
          <w:i/>
        </w:rPr>
        <w:t xml:space="preserve">milk powder, butter, and cheese </w:t>
      </w:r>
      <w:r>
        <w:t xml:space="preserve">and </w:t>
      </w:r>
      <w:r>
        <w:rPr>
          <w:i/>
        </w:rPr>
        <w:t xml:space="preserve">preparations of milk, cereals, flour and starch. </w:t>
      </w:r>
      <w:r>
        <w:t xml:space="preserve">Together, these contributed $1.5bn to New Zealand’s gross domestic product in 2019. </w:t>
      </w:r>
    </w:p>
  </w:footnote>
  <w:footnote w:id="7">
    <w:p w14:paraId="0AEF0C64" w14:textId="77777777" w:rsidR="00423227" w:rsidRPr="005B4920" w:rsidRDefault="00423227" w:rsidP="00560321">
      <w:pPr>
        <w:pStyle w:val="FootnoteText"/>
      </w:pPr>
      <w:r>
        <w:rPr>
          <w:rStyle w:val="FootnoteReference"/>
        </w:rPr>
        <w:footnoteRef/>
      </w:r>
      <w:r w:rsidRPr="005B4920">
        <w:t xml:space="preserve"> Source: Ministerial Forum for </w:t>
      </w:r>
      <w:r>
        <w:t xml:space="preserve">Food Regulation. Overarching strategic statement for the food regulatory system. </w:t>
      </w:r>
      <w:r w:rsidRPr="005B4920">
        <w:t>https://foodregulation.gov.au/internet/fr/publishing.nsf/Content/foodsecretariat-stategic-statement</w:t>
      </w:r>
    </w:p>
  </w:footnote>
  <w:footnote w:id="8">
    <w:p w14:paraId="0AEBC896" w14:textId="6BC42B25" w:rsidR="00423227" w:rsidRPr="0085298B" w:rsidRDefault="00423227">
      <w:pPr>
        <w:pStyle w:val="FootnoteText"/>
      </w:pPr>
      <w:r w:rsidRPr="0085298B">
        <w:rPr>
          <w:rStyle w:val="FootnoteReference"/>
        </w:rPr>
        <w:footnoteRef/>
      </w:r>
      <w:r w:rsidRPr="0085298B">
        <w:t xml:space="preserve"> </w:t>
      </w:r>
      <w:r w:rsidRPr="00E7068E">
        <w:t>Ministry of Health 2020, ‘Global Burden of Disease Study provi</w:t>
      </w:r>
      <w:r>
        <w:t>d</w:t>
      </w:r>
      <w:r w:rsidRPr="00E7068E">
        <w:t>es important insights into the health of New Zealanders’, available at: &lt;https://www.health.govt.nz/news-media/news-items/global-burden-disease-study-provides-important-insights-health-new-zealanders&gt;</w:t>
      </w:r>
    </w:p>
  </w:footnote>
  <w:footnote w:id="9">
    <w:p w14:paraId="024CC351" w14:textId="7E90D497" w:rsidR="00423227" w:rsidRDefault="00423227">
      <w:pPr>
        <w:pStyle w:val="FootnoteText"/>
      </w:pPr>
      <w:r>
        <w:rPr>
          <w:rStyle w:val="FootnoteReference"/>
        </w:rPr>
        <w:footnoteRef/>
      </w:r>
      <w:r>
        <w:t xml:space="preserve"> Australian Institute of Health and Welfare 2010 ‘Premature mortality from chronic disease’, available at: &lt;</w:t>
      </w:r>
      <w:r w:rsidRPr="00D858DD">
        <w:t>https://www.aihw.gov.au/reports/chronic-disease/premature-mortality-from-chronic-disease/contents/summary</w:t>
      </w:r>
      <w:r>
        <w:t>&gt;</w:t>
      </w:r>
    </w:p>
  </w:footnote>
  <w:footnote w:id="10">
    <w:p w14:paraId="190ADCA7" w14:textId="35DE80C9" w:rsidR="00423227" w:rsidRPr="00E7068E" w:rsidRDefault="00423227">
      <w:pPr>
        <w:pStyle w:val="FootnoteText"/>
        <w:rPr>
          <w:i/>
          <w:szCs w:val="15"/>
        </w:rPr>
      </w:pPr>
      <w:r w:rsidRPr="00FC2497">
        <w:rPr>
          <w:rStyle w:val="FootnoteReference"/>
          <w:szCs w:val="15"/>
        </w:rPr>
        <w:footnoteRef/>
      </w:r>
      <w:r w:rsidRPr="00FC2497">
        <w:rPr>
          <w:szCs w:val="15"/>
        </w:rPr>
        <w:t xml:space="preserve"> </w:t>
      </w:r>
      <w:r w:rsidRPr="00E7068E">
        <w:rPr>
          <w:rFonts w:asciiTheme="minorHAnsi" w:hAnsiTheme="minorHAnsi" w:cstheme="minorHAnsi"/>
          <w:color w:val="000000"/>
          <w:szCs w:val="15"/>
        </w:rPr>
        <w:t>Crosland P, Ananthapavan J, Davison J, Lambert M, Carter R 2019, ‘The economic cost of preventable disease in Australia: a systematic review of estimates and methods’ Australian and New Zealand Journal of Public Health. 43(5), available at: &lt;</w:t>
      </w:r>
      <w:r w:rsidRPr="00FC2497">
        <w:rPr>
          <w:szCs w:val="15"/>
        </w:rPr>
        <w:t xml:space="preserve"> </w:t>
      </w:r>
      <w:r w:rsidRPr="00E7068E">
        <w:rPr>
          <w:rFonts w:asciiTheme="minorHAnsi" w:hAnsiTheme="minorHAnsi" w:cstheme="minorHAnsi"/>
          <w:color w:val="000000"/>
          <w:szCs w:val="15"/>
        </w:rPr>
        <w:t>https://pubmed.ncbi.nlm.nih.gov/31390112/&gt;.</w:t>
      </w:r>
    </w:p>
  </w:footnote>
  <w:footnote w:id="11">
    <w:p w14:paraId="4D569D69" w14:textId="7267B6C7" w:rsidR="00423227" w:rsidRDefault="00423227">
      <w:pPr>
        <w:pStyle w:val="FootnoteText"/>
      </w:pPr>
      <w:r>
        <w:rPr>
          <w:rStyle w:val="FootnoteReference"/>
        </w:rPr>
        <w:footnoteRef/>
      </w:r>
      <w:r>
        <w:t xml:space="preserve"> The Forum is obliged to consider set criteria that are set out in the Food Regulation Agreement. This includes seven criteria: (i) inconsistency with existing policy guidelines; (ii) inconsistency with objectives of FSANZ Act; (iii) does not protect public health and safety; (iv) does not promote consistency between domestic and international food standards; (v) does not provide adequate information to enable informed choice; (vi) is difficult to enforce or comply with; (vii) places an unreasonable burden on industry or consumers.  </w:t>
      </w:r>
    </w:p>
  </w:footnote>
  <w:footnote w:id="12">
    <w:p w14:paraId="142EB68E" w14:textId="609D5B39" w:rsidR="00423227" w:rsidRPr="004B3638" w:rsidRDefault="00423227" w:rsidP="006454C8">
      <w:pPr>
        <w:pStyle w:val="FootnoteText"/>
      </w:pPr>
      <w:r>
        <w:rPr>
          <w:rStyle w:val="FootnoteReference"/>
        </w:rPr>
        <w:footnoteRef/>
      </w:r>
      <w:r w:rsidRPr="004B3638">
        <w:t xml:space="preserve"> </w:t>
      </w:r>
      <w:r w:rsidRPr="00001207">
        <w:rPr>
          <w:rFonts w:asciiTheme="minorHAnsi" w:hAnsiTheme="minorHAnsi" w:cstheme="minorHAnsi"/>
          <w:color w:val="222222"/>
          <w:szCs w:val="15"/>
          <w:shd w:val="clear" w:color="auto" w:fill="FFFFFF"/>
        </w:rPr>
        <w:t>Food Regulation Standing Committee (FRSC) Working Group on the Regulation of Infant Formula Products</w:t>
      </w:r>
      <w:r w:rsidRPr="00001207">
        <w:rPr>
          <w:rFonts w:asciiTheme="minorHAnsi" w:hAnsiTheme="minorHAnsi" w:cstheme="minorHAnsi"/>
          <w:szCs w:val="15"/>
        </w:rPr>
        <w:t xml:space="preserve"> (2011).</w:t>
      </w:r>
      <w:r>
        <w:t xml:space="preserve"> </w:t>
      </w:r>
      <w:r w:rsidRPr="00001207">
        <w:rPr>
          <w:i/>
        </w:rPr>
        <w:t>Policy Guideline on infant formula products.</w:t>
      </w:r>
      <w:r>
        <w:t xml:space="preserve"> </w:t>
      </w:r>
      <w:r w:rsidRPr="004B3638">
        <w:t>https://foodregulation.gov.au/internet/fr/publishing.nsf/Content/publication-Policy-Guideline-on-Infant-Formula-Products</w:t>
      </w:r>
    </w:p>
  </w:footnote>
  <w:footnote w:id="13">
    <w:p w14:paraId="678D7C1A" w14:textId="0FDBDED1" w:rsidR="00423227" w:rsidRPr="00E0390E" w:rsidRDefault="00423227">
      <w:pPr>
        <w:pStyle w:val="FootnoteText"/>
        <w:rPr>
          <w:i/>
        </w:rPr>
      </w:pPr>
      <w:r>
        <w:rPr>
          <w:rStyle w:val="FootnoteReference"/>
        </w:rPr>
        <w:footnoteRef/>
      </w:r>
      <w:r>
        <w:t xml:space="preserve"> FSANZ is currently the secretariat for the bi-national Food Safety Network and its role is to coordinate activities, collate and share information. See </w:t>
      </w:r>
      <w:r>
        <w:rPr>
          <w:i/>
        </w:rPr>
        <w:t>Food Regulation (2019) ‘Incident response: Responding to foodborne illness outbreaks’, available at: &lt;</w:t>
      </w:r>
      <w:hyperlink r:id="rId2" w:anchor=":~:text=They%20conduct%20epidemiological%20investigations%20to,is%20the%20source%20of%20illness.&amp;text=FSANZ%20provides%20the%20secretariat%20for,activities%2C%20collate%20and%20share%20information." w:history="1">
        <w:r w:rsidRPr="00AC5F10">
          <w:rPr>
            <w:rStyle w:val="Hyperlink"/>
            <w:i/>
          </w:rPr>
          <w:t>https://foodregulation.gov.au/internet/fr/publishing.nsf/Content/incident-response#:~:text=They%20conduct%20epidemiological%20investigations%20to,is%2</w:t>
        </w:r>
        <w:r w:rsidRPr="00E7068E">
          <w:rPr>
            <w:rStyle w:val="Hyperlink"/>
            <w:i/>
          </w:rPr>
          <w:t>0the%20source%20of%20illness.&amp;text=FSANZ%20provides%20the%20secretariat%20for,activities%2C%20collate%20and%20share%20information.</w:t>
        </w:r>
      </w:hyperlink>
      <w:r>
        <w:rPr>
          <w:i/>
        </w:rPr>
        <w:t>&gt;</w:t>
      </w:r>
    </w:p>
  </w:footnote>
  <w:footnote w:id="14">
    <w:p w14:paraId="4A5CE9F4" w14:textId="77777777" w:rsidR="00423227" w:rsidRDefault="00423227" w:rsidP="003A255F">
      <w:pPr>
        <w:pStyle w:val="FootnoteText"/>
      </w:pPr>
      <w:r>
        <w:rPr>
          <w:rStyle w:val="FootnoteReference"/>
        </w:rPr>
        <w:footnoteRef/>
      </w:r>
      <w:r>
        <w:t xml:space="preserve"> The Terms of Reference for the Review specify consideration of several additional functions, namely:  enforcement of food standards (4a), emerging issues such as food fraud and food crime (4b), food safety (4c), coordination of food safety research (4d), communication of food standards to industry and consumers (4e) and undertaking education campaigns in alignment with Priority 1 and 2 of the food regulatory system (4f). </w:t>
      </w:r>
    </w:p>
    <w:p w14:paraId="698819D1" w14:textId="3F1B4E3A" w:rsidR="00423227" w:rsidRDefault="00423227" w:rsidP="003A255F">
      <w:pPr>
        <w:pStyle w:val="FootnoteText"/>
      </w:pPr>
      <w:r>
        <w:t xml:space="preserve">FSANZ currently has an Australia-specific function “to coordinate monitoring, surveillance and enforcement of activities relating to food available in Australia” (S13(f)). FSANZ also has a broader role in Australia and New Zealand to “develop guidelines to assist the interpretation of the Australia New Zealand Food Standards Code” (s 13(c)). </w:t>
      </w:r>
    </w:p>
    <w:p w14:paraId="25536183" w14:textId="77777777" w:rsidR="00423227" w:rsidRDefault="00423227" w:rsidP="003A255F">
      <w:pPr>
        <w:pStyle w:val="FootnoteText"/>
      </w:pPr>
    </w:p>
    <w:p w14:paraId="0AD0985D" w14:textId="77777777" w:rsidR="00423227" w:rsidRDefault="00423227" w:rsidP="003A255F">
      <w:pPr>
        <w:pStyle w:val="FootnoteText"/>
      </w:pPr>
    </w:p>
  </w:footnote>
  <w:footnote w:id="15">
    <w:p w14:paraId="2B01F4DA" w14:textId="77777777" w:rsidR="00423227" w:rsidRDefault="00423227" w:rsidP="00FA07C2">
      <w:pPr>
        <w:pStyle w:val="FootnoteText"/>
      </w:pPr>
      <w:r>
        <w:rPr>
          <w:rStyle w:val="FootnoteReference"/>
        </w:rPr>
        <w:footnoteRef/>
      </w:r>
      <w:r>
        <w:t xml:space="preserve"> New Zealand regulations are not subject to sunsetting arrangements. </w:t>
      </w:r>
    </w:p>
  </w:footnote>
  <w:footnote w:id="16">
    <w:p w14:paraId="2BB22DE3" w14:textId="7FEB83F5" w:rsidR="00423227" w:rsidRPr="004D44D3" w:rsidRDefault="00423227">
      <w:pPr>
        <w:pStyle w:val="FootnoteText"/>
      </w:pPr>
      <w:r>
        <w:rPr>
          <w:rStyle w:val="FootnoteReference"/>
        </w:rPr>
        <w:footnoteRef/>
      </w:r>
      <w:r>
        <w:t xml:space="preserve"> FSANZ (2019) </w:t>
      </w:r>
      <w:r>
        <w:rPr>
          <w:i/>
        </w:rPr>
        <w:t xml:space="preserve">Information paper – review of Food standards Code chapters 3 and 4 – Food Safety Management requirements, </w:t>
      </w:r>
      <w:r>
        <w:t>available at: &lt;</w:t>
      </w:r>
      <w:r w:rsidRPr="009E065C">
        <w:t>https://www.foodstandards.gov.au/foodsafety/standards/review/Documents/Review%20of%20food%20safety%20management%20standards%20-%20information%20paper.pdf</w:t>
      </w:r>
      <w:r>
        <w:t xml:space="preserve">&gt; </w:t>
      </w:r>
    </w:p>
  </w:footnote>
  <w:footnote w:id="17">
    <w:p w14:paraId="31A720B0" w14:textId="339255F4" w:rsidR="00423227" w:rsidRDefault="00423227" w:rsidP="005716F4">
      <w:pPr>
        <w:pStyle w:val="FootnoteText"/>
      </w:pPr>
      <w:r>
        <w:rPr>
          <w:rStyle w:val="FootnoteReference"/>
        </w:rPr>
        <w:footnoteRef/>
      </w:r>
      <w:r>
        <w:t xml:space="preserve"> Within the standard development process, FSANZ may also be requested by the Forum to undertake a review of a draft standard or variation. This section is not focussed on this form of review. </w:t>
      </w:r>
    </w:p>
  </w:footnote>
  <w:footnote w:id="18">
    <w:p w14:paraId="045D015C" w14:textId="533B6B09" w:rsidR="00423227" w:rsidRDefault="00423227">
      <w:pPr>
        <w:pStyle w:val="FootnoteText"/>
      </w:pPr>
      <w:r>
        <w:rPr>
          <w:rStyle w:val="FootnoteReference"/>
        </w:rPr>
        <w:footnoteRef/>
      </w:r>
      <w:r>
        <w:t xml:space="preserve"> FSANZ (2017) P1028 Infant formula, available at &lt;</w:t>
      </w:r>
      <w:r w:rsidRPr="00D74D4E">
        <w:t xml:space="preserve"> https://www.foodstandards.gov.au/code/proposals/Pages/P1028.aspx</w:t>
      </w:r>
      <w:r>
        <w:t>&gt;</w:t>
      </w:r>
    </w:p>
  </w:footnote>
  <w:footnote w:id="19">
    <w:p w14:paraId="33F0F9DC" w14:textId="1FF581EC" w:rsidR="00423227" w:rsidRDefault="00423227">
      <w:pPr>
        <w:pStyle w:val="FootnoteText"/>
      </w:pPr>
      <w:r>
        <w:rPr>
          <w:rStyle w:val="FootnoteReference"/>
        </w:rPr>
        <w:footnoteRef/>
      </w:r>
      <w:r>
        <w:t xml:space="preserve"> FSANZ (2020) </w:t>
      </w:r>
      <w:r w:rsidRPr="00D503E9">
        <w:rPr>
          <w:i/>
        </w:rPr>
        <w:t>A position paper on FSANZ’s resourcing.</w:t>
      </w:r>
      <w:r>
        <w:t xml:space="preserve"> Unpublished position paper. </w:t>
      </w:r>
    </w:p>
  </w:footnote>
  <w:footnote w:id="20">
    <w:p w14:paraId="0A741D6D" w14:textId="09F5A020" w:rsidR="00423227" w:rsidRDefault="00423227">
      <w:pPr>
        <w:pStyle w:val="FootnoteText"/>
      </w:pPr>
      <w:r>
        <w:rPr>
          <w:rStyle w:val="FootnoteReference"/>
        </w:rPr>
        <w:footnoteRef/>
      </w:r>
      <w:r>
        <w:t xml:space="preserve"> For example, P1024 – Revision of the Regulation of Nutritive Substances &amp; Novel Foods was prepared in November 2012 and P1028 – Infant Formula was prepared in July 2013. See FSANZ (2020) Food standards development work plan, available at: </w:t>
      </w:r>
      <w:r>
        <w:br/>
        <w:t>&lt;</w:t>
      </w:r>
      <w:r w:rsidRPr="00E658B4">
        <w:t>https://www.foodstandards.gov.au/code/changes/Documents/Food%20standards%20development%20Work%20Plan.pdf</w:t>
      </w:r>
    </w:p>
  </w:footnote>
  <w:footnote w:id="21">
    <w:p w14:paraId="6AD0EEA7" w14:textId="1A2AC140" w:rsidR="00423227" w:rsidRDefault="00423227">
      <w:pPr>
        <w:pStyle w:val="FootnoteText"/>
      </w:pPr>
      <w:r>
        <w:rPr>
          <w:rStyle w:val="FootnoteReference"/>
        </w:rPr>
        <w:footnoteRef/>
      </w:r>
      <w:r>
        <w:t xml:space="preserve"> Ibid</w:t>
      </w:r>
    </w:p>
  </w:footnote>
  <w:footnote w:id="22">
    <w:p w14:paraId="4DA261F3" w14:textId="60E12139" w:rsidR="00423227" w:rsidRDefault="00423227" w:rsidP="00472491">
      <w:pPr>
        <w:pStyle w:val="FootnoteText"/>
      </w:pPr>
      <w:r>
        <w:rPr>
          <w:rStyle w:val="FootnoteReference"/>
        </w:rPr>
        <w:footnoteRef/>
      </w:r>
      <w:r>
        <w:t xml:space="preserve"> The National Cabinet Review of COAG Councils and Ministerial Forums is underway at the time of writing. Recommendations from this review may fundamentally reconceive the existence or role of the Forum in the food regulatory system. </w:t>
      </w:r>
    </w:p>
  </w:footnote>
  <w:footnote w:id="23">
    <w:p w14:paraId="40F72D57" w14:textId="0E69B780" w:rsidR="00423227" w:rsidRDefault="00423227">
      <w:pPr>
        <w:pStyle w:val="FootnoteText"/>
      </w:pPr>
      <w:r>
        <w:rPr>
          <w:rStyle w:val="FootnoteReference"/>
        </w:rPr>
        <w:footnoteRef/>
      </w:r>
      <w:r>
        <w:t xml:space="preserve"> Changes to FSANZ Regulations require some level of sign off from both Australia and New Zealand. The Joint Food Treaty includes a commitment to consultation between the member states regarding food legislation, in particular that “Australia shall not introduce any amendments to the Australian legislation establishing the Authority, or move government amendments to that legislation, without effective consultation with New Zealand during their development.”</w:t>
      </w:r>
    </w:p>
  </w:footnote>
  <w:footnote w:id="24">
    <w:p w14:paraId="13086599" w14:textId="2CC2E48F" w:rsidR="00423227" w:rsidRDefault="00423227">
      <w:pPr>
        <w:pStyle w:val="FootnoteText"/>
      </w:pPr>
      <w:r>
        <w:rPr>
          <w:rStyle w:val="FootnoteReference"/>
        </w:rPr>
        <w:footnoteRef/>
      </w:r>
      <w:r>
        <w:t xml:space="preserve"> FSANZ (2020). </w:t>
      </w:r>
      <w:r w:rsidRPr="00076773">
        <w:rPr>
          <w:i/>
        </w:rPr>
        <w:t>Canada and FSANZ working together on GM food safety</w:t>
      </w:r>
      <w:r>
        <w:t xml:space="preserve">. </w:t>
      </w:r>
      <w:r w:rsidRPr="00F75D1B">
        <w:t>https://www.foodstandards.gov.au/science/international/Pages/gm-food-safety.aspx</w:t>
      </w:r>
    </w:p>
  </w:footnote>
  <w:footnote w:id="25">
    <w:p w14:paraId="1186D058" w14:textId="343E70BF" w:rsidR="00423227" w:rsidRDefault="00423227">
      <w:pPr>
        <w:pStyle w:val="FootnoteText"/>
      </w:pPr>
      <w:r>
        <w:rPr>
          <w:rStyle w:val="FootnoteReference"/>
        </w:rPr>
        <w:footnoteRef/>
      </w:r>
      <w:r>
        <w:t xml:space="preserve"> FSANZ (2014). </w:t>
      </w:r>
      <w:r>
        <w:rPr>
          <w:i/>
        </w:rPr>
        <w:t>Promoting international harmonisation of Food Standards.</w:t>
      </w:r>
      <w:r>
        <w:t xml:space="preserve"> </w:t>
      </w:r>
      <w:r w:rsidRPr="005F390D">
        <w:t>https://www.foodstandards.gov.au/publications/Pages/International-activities-and-engagement.aspx</w:t>
      </w:r>
    </w:p>
  </w:footnote>
  <w:footnote w:id="26">
    <w:p w14:paraId="223466C4" w14:textId="2D8DC583" w:rsidR="00423227" w:rsidRDefault="00423227">
      <w:pPr>
        <w:pStyle w:val="FootnoteText"/>
      </w:pPr>
      <w:r>
        <w:rPr>
          <w:rStyle w:val="FootnoteReference"/>
        </w:rPr>
        <w:footnoteRef/>
      </w:r>
      <w:r>
        <w:t xml:space="preserve"> Canadian Food Inspection Agency “Targeted Regulatory Review: Agri-food and Aquaculture Roadmap” 2019 from &lt;</w:t>
      </w:r>
      <w:r w:rsidRPr="00DF2658">
        <w:t xml:space="preserve"> </w:t>
      </w:r>
      <w:r w:rsidRPr="005C3B2C">
        <w:t>https://www.inspection.gc.ca/about-the-cfia/acts-and-regulations/forward-regulatory-plan/agri-food-and-aquaculture-roadmap/eng/1558026225581/1558026225797</w:t>
      </w:r>
      <w:r>
        <w:t>&gt;</w:t>
      </w:r>
    </w:p>
  </w:footnote>
  <w:footnote w:id="27">
    <w:p w14:paraId="370A0F42" w14:textId="6FE1FEF9" w:rsidR="00423227" w:rsidRDefault="00423227">
      <w:pPr>
        <w:pStyle w:val="FootnoteText"/>
      </w:pPr>
      <w:r>
        <w:rPr>
          <w:rStyle w:val="FootnoteReference"/>
        </w:rPr>
        <w:footnoteRef/>
      </w:r>
      <w:r>
        <w:t xml:space="preserve"> Notably, unlike FSANZ, the Canadian Food Inspection Agency is responsible for enforcement of food standards. </w:t>
      </w:r>
    </w:p>
  </w:footnote>
  <w:footnote w:id="28">
    <w:p w14:paraId="53E1EAF6" w14:textId="77777777" w:rsidR="00423227" w:rsidRDefault="00423227" w:rsidP="006C3AC6">
      <w:pPr>
        <w:pStyle w:val="FootnoteText"/>
      </w:pPr>
      <w:r>
        <w:rPr>
          <w:rStyle w:val="FootnoteReference"/>
        </w:rPr>
        <w:footnoteRef/>
      </w:r>
      <w:r>
        <w:t xml:space="preserve"> The food regulatory system interfaces with a number of other regulatory schemes, including consumer law, biosecurity, agriculture and animal welfare and border control. This scoping paper has focused on the food-medicine interface as this is specifically referenced in the Terms of Reference. </w:t>
      </w:r>
    </w:p>
  </w:footnote>
  <w:footnote w:id="29">
    <w:p w14:paraId="50D9BADA" w14:textId="08E10895" w:rsidR="00423227" w:rsidRDefault="00423227">
      <w:pPr>
        <w:pStyle w:val="FootnoteText"/>
      </w:pPr>
      <w:r>
        <w:rPr>
          <w:rStyle w:val="FootnoteReference"/>
        </w:rPr>
        <w:footnoteRef/>
      </w:r>
      <w:r>
        <w:t xml:space="preserve"> Currently the Australian Minister for Health as set out in the Common of Australia Administrative Arrangements Order. </w:t>
      </w:r>
    </w:p>
  </w:footnote>
  <w:footnote w:id="30">
    <w:p w14:paraId="771B1907" w14:textId="77777777" w:rsidR="00423227" w:rsidRDefault="00423227" w:rsidP="009716B3">
      <w:pPr>
        <w:pStyle w:val="FootnoteText"/>
      </w:pPr>
      <w:r>
        <w:rPr>
          <w:rStyle w:val="FootnoteReference"/>
        </w:rPr>
        <w:footnoteRef/>
      </w:r>
      <w:r>
        <w:t xml:space="preserve"> The food medicine interface is called out explicitly in provision 3b of the Terms of Reference for this Review. </w:t>
      </w:r>
    </w:p>
  </w:footnote>
  <w:footnote w:id="31">
    <w:p w14:paraId="411DB73B" w14:textId="3B739D34" w:rsidR="00423227" w:rsidRDefault="00423227">
      <w:pPr>
        <w:pStyle w:val="FootnoteText"/>
      </w:pPr>
      <w:r>
        <w:rPr>
          <w:rStyle w:val="FootnoteReference"/>
        </w:rPr>
        <w:footnoteRef/>
      </w:r>
      <w:r>
        <w:t xml:space="preserve"> </w:t>
      </w:r>
      <w:r w:rsidRPr="00E7068E">
        <w:t>Currently, the Ministry of Health, with support from MPI, is developing a broader regulatory regime for natural health products that will supersede the Dietary Supplements Regulations.</w:t>
      </w:r>
    </w:p>
  </w:footnote>
  <w:footnote w:id="32">
    <w:p w14:paraId="5E8F41B1" w14:textId="77777777" w:rsidR="00423227" w:rsidRDefault="00423227" w:rsidP="003356EE">
      <w:pPr>
        <w:pStyle w:val="FootnoteText"/>
        <w:rPr>
          <w:lang w:val="en-NZ"/>
        </w:rPr>
      </w:pPr>
      <w:r>
        <w:rPr>
          <w:rStyle w:val="FootnoteReference"/>
        </w:rPr>
        <w:footnoteRef/>
      </w:r>
      <w:r>
        <w:t xml:space="preserve"> </w:t>
      </w:r>
      <w:r>
        <w:rPr>
          <w:lang w:val="en-NZ"/>
        </w:rPr>
        <w:t>A supplemented food is a food, but it has been modified in some way or had substances added to it so that it performs a physiological role.</w:t>
      </w:r>
    </w:p>
  </w:footnote>
  <w:footnote w:id="33">
    <w:p w14:paraId="383C47BB" w14:textId="1FD5B5FC" w:rsidR="00423227" w:rsidRDefault="00423227">
      <w:pPr>
        <w:pStyle w:val="FootnoteText"/>
      </w:pPr>
      <w:r>
        <w:rPr>
          <w:rStyle w:val="FootnoteReference"/>
        </w:rPr>
        <w:footnoteRef/>
      </w:r>
      <w:r>
        <w:t xml:space="preserve"> For example, a US study from 2013 on ‘food-pharma convergence in medical nutrition’ notes that “industries within the health and life science sector are moving towards one another resulting in new industries such as the medical nutrition industry.” </w:t>
      </w:r>
    </w:p>
    <w:p w14:paraId="64B34B34" w14:textId="789BD271" w:rsidR="00423227" w:rsidRDefault="00423227">
      <w:pPr>
        <w:pStyle w:val="FootnoteText"/>
      </w:pPr>
      <w:r>
        <w:t xml:space="preserve">Weenen, T et al 2013, ‘Food-Pharma Convergence in Medical Nutrition – Best of both Worlds’, available at: </w:t>
      </w:r>
      <w:r>
        <w:br/>
        <w:t>&lt;</w:t>
      </w:r>
      <w:r w:rsidRPr="00583F29">
        <w:t>https://journals.plos.org/plosone/article?id=10.1371/journal.pone.0082609</w:t>
      </w:r>
      <w:r>
        <w:t>&gt;</w:t>
      </w:r>
    </w:p>
  </w:footnote>
  <w:footnote w:id="34">
    <w:p w14:paraId="56F30183" w14:textId="77777777" w:rsidR="00423227" w:rsidRDefault="00423227" w:rsidP="001D7724">
      <w:pPr>
        <w:pStyle w:val="FootnoteText"/>
      </w:pPr>
      <w:r>
        <w:rPr>
          <w:rStyle w:val="FootnoteReference"/>
        </w:rPr>
        <w:footnoteRef/>
      </w:r>
      <w:r>
        <w:t xml:space="preserve"> </w:t>
      </w:r>
      <w:r w:rsidRPr="00EC1A51">
        <w:t xml:space="preserve">The Conversation. (2019). </w:t>
      </w:r>
      <w:r w:rsidRPr="00C45EFA">
        <w:rPr>
          <w:i/>
        </w:rPr>
        <w:t>Kids' vitamin gummies: unhealthy, poorly regulated and exploitative</w:t>
      </w:r>
      <w:r w:rsidRPr="00EC1A51">
        <w:t xml:space="preserve">. https://theconversation.com/kids-vitamin-gummies-unhealthy-poorly-regulated-and-exploitative-76466 </w:t>
      </w:r>
    </w:p>
  </w:footnote>
  <w:footnote w:id="35">
    <w:p w14:paraId="438DE910" w14:textId="77777777" w:rsidR="00423227" w:rsidRDefault="00423227" w:rsidP="001D7724">
      <w:pPr>
        <w:pStyle w:val="FootnoteText"/>
      </w:pPr>
      <w:r>
        <w:rPr>
          <w:rStyle w:val="FootnoteReference"/>
        </w:rPr>
        <w:footnoteRef/>
      </w:r>
      <w:r>
        <w:t xml:space="preserve"> Harvey, K., Watson, W., &amp; Stanton, R (2019). </w:t>
      </w:r>
      <w:r w:rsidRPr="00FB0CC9">
        <w:rPr>
          <w:i/>
        </w:rPr>
        <w:t>When food meets medicine: reform needed.</w:t>
      </w:r>
      <w:r>
        <w:t xml:space="preserve"> MJA: </w:t>
      </w:r>
      <w:r w:rsidRPr="00874AF2">
        <w:t>https://insightplus.mja.com.au/2019/15/where-food-meets-medicine-reform-needed/</w:t>
      </w:r>
    </w:p>
  </w:footnote>
  <w:footnote w:id="36">
    <w:p w14:paraId="52D32EB2" w14:textId="77777777" w:rsidR="00423227" w:rsidRPr="00ED1FE4" w:rsidRDefault="00423227" w:rsidP="009716B3">
      <w:pPr>
        <w:pStyle w:val="FootnoteText"/>
      </w:pPr>
      <w:r>
        <w:rPr>
          <w:rStyle w:val="FootnoteReference"/>
        </w:rPr>
        <w:footnoteRef/>
      </w:r>
      <w:r>
        <w:t xml:space="preserve"> </w:t>
      </w:r>
      <w:r>
        <w:rPr>
          <w:i/>
        </w:rPr>
        <w:t xml:space="preserve">Key issues with Food and Medicine Interface </w:t>
      </w:r>
      <w:r>
        <w:t xml:space="preserve">2019, prepared by Department of Health and submitted for the Review. </w:t>
      </w:r>
    </w:p>
  </w:footnote>
  <w:footnote w:id="37">
    <w:p w14:paraId="5A42D8CD" w14:textId="03D65182" w:rsidR="00423227" w:rsidRPr="002B30B6" w:rsidRDefault="00423227">
      <w:pPr>
        <w:pStyle w:val="FootnoteText"/>
      </w:pPr>
      <w:r>
        <w:rPr>
          <w:rStyle w:val="FootnoteReference"/>
        </w:rPr>
        <w:footnoteRef/>
      </w:r>
      <w:r>
        <w:t xml:space="preserve"> There are slight variations from the FSANZ Act definition in some cases. For example, Queensland’s </w:t>
      </w:r>
      <w:r>
        <w:rPr>
          <w:i/>
        </w:rPr>
        <w:t xml:space="preserve">Food Act 2006 </w:t>
      </w:r>
      <w:r>
        <w:t xml:space="preserve">includes “water, other than reticulated water"” in its definition of food. </w:t>
      </w:r>
    </w:p>
  </w:footnote>
  <w:footnote w:id="38">
    <w:p w14:paraId="1733E1A8" w14:textId="77777777" w:rsidR="00423227" w:rsidRDefault="00423227" w:rsidP="00A73E45">
      <w:pPr>
        <w:pStyle w:val="FootnoteText"/>
      </w:pPr>
      <w:r>
        <w:rPr>
          <w:rStyle w:val="FootnoteReference"/>
        </w:rPr>
        <w:footnoteRef/>
      </w:r>
      <w:r>
        <w:t xml:space="preserve"> </w:t>
      </w:r>
      <w:r>
        <w:rPr>
          <w:lang w:eastAsia="en-AU"/>
        </w:rPr>
        <w:t xml:space="preserve">The Second Reading Speech to the Bill that established FSANZ make explicit mention of the Board’s independence, stipulating that Board members are </w:t>
      </w:r>
      <w:r w:rsidRPr="00ED4D3D">
        <w:rPr>
          <w:i/>
          <w:lang w:eastAsia="en-AU"/>
        </w:rPr>
        <w:t>“not representatives of the various interest groups.”</w:t>
      </w:r>
    </w:p>
  </w:footnote>
  <w:footnote w:id="39">
    <w:p w14:paraId="5E30E41D" w14:textId="77777777" w:rsidR="00423227" w:rsidRDefault="00423227" w:rsidP="00AC123E">
      <w:pPr>
        <w:pStyle w:val="FootnoteText"/>
      </w:pPr>
      <w:r>
        <w:rPr>
          <w:rStyle w:val="FootnoteReference"/>
        </w:rPr>
        <w:footnoteRef/>
      </w:r>
      <w:r>
        <w:t xml:space="preserve"> Per s 116(1)(f) and (g), </w:t>
      </w:r>
      <w:r w:rsidRPr="00A90ECF">
        <w:t xml:space="preserve">the Minister </w:t>
      </w:r>
      <w:r>
        <w:t xml:space="preserve">must seek appointment </w:t>
      </w:r>
      <w:r w:rsidRPr="00A90ECF">
        <w:t>nominations from</w:t>
      </w:r>
      <w:r>
        <w:t xml:space="preserve"> certain </w:t>
      </w:r>
      <w:r w:rsidRPr="00A90ECF">
        <w:t>organisations and public bodies prescribed in the Regulations to determine if the person is suitably qualified for the appointment.</w:t>
      </w:r>
    </w:p>
  </w:footnote>
  <w:footnote w:id="40">
    <w:p w14:paraId="14AC1BF5" w14:textId="6E774F57" w:rsidR="00423227" w:rsidRPr="00A90ECF" w:rsidRDefault="00423227" w:rsidP="00AC123E">
      <w:pPr>
        <w:rPr>
          <w:sz w:val="15"/>
          <w:szCs w:val="15"/>
          <w:lang w:eastAsia="en-AU"/>
        </w:rPr>
      </w:pPr>
      <w:r w:rsidRPr="00784B79">
        <w:rPr>
          <w:rStyle w:val="FootnoteReference"/>
          <w:sz w:val="15"/>
          <w:szCs w:val="15"/>
        </w:rPr>
        <w:footnoteRef/>
      </w:r>
      <w:r w:rsidRPr="00784B79">
        <w:rPr>
          <w:sz w:val="15"/>
          <w:szCs w:val="15"/>
        </w:rPr>
        <w:t xml:space="preserve"> </w:t>
      </w:r>
      <w:r w:rsidRPr="00784B79">
        <w:rPr>
          <w:sz w:val="15"/>
          <w:szCs w:val="15"/>
          <w:lang w:eastAsia="en-AU"/>
        </w:rPr>
        <w:t xml:space="preserve">This is supported through provisions in </w:t>
      </w:r>
      <w:r>
        <w:rPr>
          <w:sz w:val="15"/>
          <w:szCs w:val="15"/>
          <w:lang w:eastAsia="en-AU"/>
        </w:rPr>
        <w:t>s</w:t>
      </w:r>
      <w:r w:rsidRPr="00784B79">
        <w:rPr>
          <w:sz w:val="15"/>
          <w:szCs w:val="15"/>
          <w:lang w:eastAsia="en-AU"/>
        </w:rPr>
        <w:t xml:space="preserve"> 116 (S 116(2) to S 116(5)) that set out a list of relevant skills for each Board member and requires that each has expertise in one or more fields. The lists of relevant skills are extensive, including a range of scientific disciplines, regulation and government, and industry expertise.</w:t>
      </w:r>
    </w:p>
  </w:footnote>
  <w:footnote w:id="41">
    <w:p w14:paraId="187B5288" w14:textId="5E189867" w:rsidR="00423227" w:rsidRDefault="00423227">
      <w:pPr>
        <w:pStyle w:val="FootnoteText"/>
      </w:pPr>
      <w:r>
        <w:rPr>
          <w:rStyle w:val="FootnoteReference"/>
        </w:rPr>
        <w:footnoteRef/>
      </w:r>
      <w:r>
        <w:t xml:space="preserve"> Reviewing the contributions made by Australian and New Zealand Governments should also consider any new functions FSANZ may take on as a consequence of this Review. It is important that FSANZ’s resources are allocated in such a way that meet the needs of both Australia and New Zealand.  </w:t>
      </w:r>
    </w:p>
  </w:footnote>
  <w:footnote w:id="42">
    <w:p w14:paraId="30C9C96C" w14:textId="77777777" w:rsidR="00423227" w:rsidRPr="006052D9" w:rsidRDefault="00423227" w:rsidP="000C401F">
      <w:pPr>
        <w:pStyle w:val="FootnoteText"/>
      </w:pPr>
      <w:r>
        <w:rPr>
          <w:rStyle w:val="FootnoteReference"/>
        </w:rPr>
        <w:footnoteRef/>
      </w:r>
      <w:r>
        <w:t xml:space="preserve"> This includes the </w:t>
      </w:r>
      <w:r>
        <w:rPr>
          <w:i/>
        </w:rPr>
        <w:t xml:space="preserve">Australian Government Charging Framework </w:t>
      </w:r>
      <w:r>
        <w:t xml:space="preserve">(developed in 2015) which is supported by the </w:t>
      </w:r>
      <w:r>
        <w:rPr>
          <w:i/>
        </w:rPr>
        <w:t xml:space="preserve">Australian Government Cost Recovery Guidelines </w:t>
      </w:r>
      <w:r>
        <w:t xml:space="preserve">and the </w:t>
      </w:r>
      <w:r>
        <w:rPr>
          <w:i/>
        </w:rPr>
        <w:t xml:space="preserve">Governance, Performance and Accountability (Charging for Regulatory Activities) Order.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D9914" w14:textId="59C06EBD" w:rsidR="00423227" w:rsidRDefault="00423227">
    <w:pPr>
      <w:pStyle w:val="Header"/>
    </w:pPr>
    <w:r>
      <w:rPr>
        <w:noProof/>
      </w:rPr>
      <mc:AlternateContent>
        <mc:Choice Requires="wps">
          <w:drawing>
            <wp:anchor distT="0" distB="0" distL="114300" distR="114300" simplePos="0" relativeHeight="251658240" behindDoc="1" locked="0" layoutInCell="0" allowOverlap="1" wp14:anchorId="3F90E8B1" wp14:editId="426A6C7A">
              <wp:simplePos x="0" y="0"/>
              <wp:positionH relativeFrom="margin">
                <wp:align>center</wp:align>
              </wp:positionH>
              <wp:positionV relativeFrom="margin">
                <wp:align>center</wp:align>
              </wp:positionV>
              <wp:extent cx="4996815" cy="2997835"/>
              <wp:effectExtent l="0" t="0" r="0" b="0"/>
              <wp:wrapNone/>
              <wp:docPr id="8" name="PowerPlusWaterMarkObject10755479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EC7A25" w14:textId="77777777" w:rsidR="00423227" w:rsidRDefault="00423227" w:rsidP="00F63CD0">
                          <w:pPr>
                            <w:jc w:val="center"/>
                            <w:rPr>
                              <w:sz w:val="24"/>
                              <w:szCs w:val="24"/>
                            </w:rPr>
                          </w:pPr>
                          <w:r>
                            <w:rPr>
                              <w:rFonts w:eastAsia="Segoe UI" w:cs="Segoe UI"/>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F90E8B1" id="_x0000_t202" coordsize="21600,21600" o:spt="202" path="m,l,21600r21600,l21600,xe">
              <v:stroke joinstyle="miter"/>
              <v:path gradientshapeok="t" o:connecttype="rect"/>
            </v:shapetype>
            <v:shape id="PowerPlusWaterMarkObject1075547922" o:spid="_x0000_s1026" type="#_x0000_t202" style="position:absolute;margin-left:0;margin-top:0;width:393.45pt;height:236.0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" o:allowincell="f" filled="f" stroked="f">
              <v:stroke joinstyle="round"/>
              <o:lock v:ext="edit" rotation="t" aspectratio="t" verticies="t" adjusthandles="t" grouping="t" shapetype="t"/>
              <v:textbox>
                <w:txbxContent>
                  <w:p w14:paraId="07EC7A25" w14:textId="77777777" w:rsidR="00423227" w:rsidRDefault="00423227" w:rsidP="00F63CD0">
                    <w:pPr>
                      <w:jc w:val="center"/>
                      <w:rPr>
                        <w:sz w:val="24"/>
                        <w:szCs w:val="24"/>
                      </w:rPr>
                    </w:pPr>
                    <w:r>
                      <w:rPr>
                        <w:rFonts w:eastAsia="Segoe UI" w:cs="Segoe UI"/>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EBDC6" w14:textId="4450881F" w:rsidR="00423227" w:rsidRDefault="00423227" w:rsidP="00050D81">
    <w:pPr>
      <w:pStyle w:val="Header"/>
      <w:tabs>
        <w:tab w:val="clear" w:pos="4513"/>
        <w:tab w:val="clear" w:pos="9026"/>
        <w:tab w:val="left" w:pos="175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15F3"/>
    <w:multiLevelType w:val="multilevel"/>
    <w:tmpl w:val="9CD6342C"/>
    <w:styleLink w:val="TableN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1" w15:restartNumberingAfterBreak="0">
    <w:nsid w:val="02A92B8A"/>
    <w:multiLevelType w:val="hybridMultilevel"/>
    <w:tmpl w:val="02F60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6247"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BC95408"/>
    <w:multiLevelType w:val="hybridMultilevel"/>
    <w:tmpl w:val="D69CDD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FA17FC"/>
    <w:multiLevelType w:val="hybridMultilevel"/>
    <w:tmpl w:val="B1DA7E24"/>
    <w:lvl w:ilvl="0" w:tplc="F9AAA7F6">
      <w:start w:val="4"/>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AE2D93"/>
    <w:multiLevelType w:val="hybridMultilevel"/>
    <w:tmpl w:val="479CB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51D3705"/>
    <w:multiLevelType w:val="hybridMultilevel"/>
    <w:tmpl w:val="FAF29D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514189"/>
    <w:multiLevelType w:val="hybridMultilevel"/>
    <w:tmpl w:val="ED1CE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B06917"/>
    <w:multiLevelType w:val="hybridMultilevel"/>
    <w:tmpl w:val="4114FD30"/>
    <w:lvl w:ilvl="0" w:tplc="AA7A7C96">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4A0E50"/>
    <w:multiLevelType w:val="hybridMultilevel"/>
    <w:tmpl w:val="7E808C36"/>
    <w:lvl w:ilvl="0" w:tplc="0C09000F">
      <w:start w:val="1"/>
      <w:numFmt w:val="decimal"/>
      <w:lvlText w:val="%1."/>
      <w:lvlJc w:val="left"/>
      <w:pPr>
        <w:ind w:left="720" w:hanging="360"/>
      </w:pPr>
      <w:rPr>
        <w:rFonts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A47D30"/>
    <w:multiLevelType w:val="hybridMultilevel"/>
    <w:tmpl w:val="2EAA91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E2D62A7"/>
    <w:multiLevelType w:val="hybridMultilevel"/>
    <w:tmpl w:val="B1AEFB7E"/>
    <w:lvl w:ilvl="0" w:tplc="4650C26E">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F0B120D"/>
    <w:multiLevelType w:val="hybridMultilevel"/>
    <w:tmpl w:val="F8A68B56"/>
    <w:lvl w:ilvl="0" w:tplc="C9C87C6E">
      <w:start w:val="1"/>
      <w:numFmt w:val="bullet"/>
      <w:lvlText w:val="-"/>
      <w:lvlJc w:val="left"/>
      <w:pPr>
        <w:ind w:left="720" w:hanging="360"/>
      </w:pPr>
      <w:rPr>
        <w:rFonts w:ascii="Segoe UI" w:eastAsiaTheme="minorHAnsi" w:hAnsi="Segoe UI" w:cs="Segoe U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213811E6"/>
    <w:multiLevelType w:val="hybridMultilevel"/>
    <w:tmpl w:val="AFAE3F8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4A4D92"/>
    <w:multiLevelType w:val="hybridMultilevel"/>
    <w:tmpl w:val="4A041048"/>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F0647BF"/>
    <w:multiLevelType w:val="hybridMultilevel"/>
    <w:tmpl w:val="43CE9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FE403B0"/>
    <w:multiLevelType w:val="hybridMultilevel"/>
    <w:tmpl w:val="3BA6D3DA"/>
    <w:lvl w:ilvl="0" w:tplc="14090019">
      <w:start w:val="1"/>
      <w:numFmt w:val="lowerLetter"/>
      <w:lvlText w:val="%1."/>
      <w:lvlJc w:val="left"/>
      <w:pPr>
        <w:ind w:left="360" w:hanging="360"/>
      </w:pPr>
      <w:rPr>
        <w:color w:val="auto"/>
      </w:rPr>
    </w:lvl>
    <w:lvl w:ilvl="1" w:tplc="0C090003">
      <w:start w:val="1"/>
      <w:numFmt w:val="bullet"/>
      <w:lvlText w:val="o"/>
      <w:lvlJc w:val="left"/>
      <w:pPr>
        <w:ind w:left="1080" w:hanging="360"/>
      </w:pPr>
      <w:rPr>
        <w:rFonts w:ascii="Courier New" w:hAnsi="Courier New" w:cs="Courier New" w:hint="default"/>
      </w:rPr>
    </w:lvl>
    <w:lvl w:ilvl="2" w:tplc="0C090001">
      <w:start w:val="1"/>
      <w:numFmt w:val="bullet"/>
      <w:lvlText w:val=""/>
      <w:lvlJc w:val="left"/>
      <w:pPr>
        <w:ind w:left="1800"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3001460E"/>
    <w:multiLevelType w:val="hybridMultilevel"/>
    <w:tmpl w:val="75500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04E6628"/>
    <w:multiLevelType w:val="hybridMultilevel"/>
    <w:tmpl w:val="90E65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25116FE"/>
    <w:multiLevelType w:val="hybridMultilevel"/>
    <w:tmpl w:val="A0927E50"/>
    <w:lvl w:ilvl="0" w:tplc="365E2780">
      <w:start w:val="1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580BBC"/>
    <w:multiLevelType w:val="hybridMultilevel"/>
    <w:tmpl w:val="8934F6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39D1413D"/>
    <w:multiLevelType w:val="hybridMultilevel"/>
    <w:tmpl w:val="4EBAC128"/>
    <w:lvl w:ilvl="0" w:tplc="080CF41E">
      <w:start w:val="1"/>
      <w:numFmt w:val="bullet"/>
      <w:pStyle w:val="TableNBullet"/>
      <w:lvlText w:val=""/>
      <w:lvlJc w:val="left"/>
      <w:pPr>
        <w:ind w:left="227" w:hanging="227"/>
      </w:pPr>
      <w:rPr>
        <w:rFonts w:ascii="Symbol" w:hAnsi="Symbol" w:hint="default"/>
        <w:color w:val="auto"/>
        <w:position w:val="4"/>
        <w:sz w:val="16"/>
      </w:rPr>
    </w:lvl>
    <w:lvl w:ilvl="1" w:tplc="ABA09FB0">
      <w:start w:val="1"/>
      <w:numFmt w:val="bullet"/>
      <w:lvlText w:val=""/>
      <w:lvlJc w:val="left"/>
      <w:pPr>
        <w:ind w:left="510" w:hanging="226"/>
      </w:pPr>
      <w:rPr>
        <w:rFonts w:ascii="Symbol" w:hAnsi="Symbol" w:hint="default"/>
        <w:color w:val="auto"/>
        <w:position w:val="4"/>
        <w:sz w:val="16"/>
      </w:rPr>
    </w:lvl>
    <w:lvl w:ilvl="2" w:tplc="C67AD5EA">
      <w:start w:val="1"/>
      <w:numFmt w:val="bullet"/>
      <w:lvlText w:val=""/>
      <w:lvlJc w:val="left"/>
      <w:pPr>
        <w:ind w:left="794" w:hanging="227"/>
      </w:pPr>
      <w:rPr>
        <w:rFonts w:ascii="Symbol" w:hAnsi="Symbol" w:hint="default"/>
        <w:color w:val="auto"/>
        <w:position w:val="4"/>
        <w:sz w:val="16"/>
      </w:rPr>
    </w:lvl>
    <w:lvl w:ilvl="3" w:tplc="11646962">
      <w:start w:val="1"/>
      <w:numFmt w:val="bullet"/>
      <w:lvlText w:val=""/>
      <w:lvlJc w:val="left"/>
      <w:pPr>
        <w:ind w:left="680" w:hanging="170"/>
      </w:pPr>
      <w:rPr>
        <w:rFonts w:ascii="Wingdings 2" w:hAnsi="Wingdings 2" w:hint="default"/>
        <w:color w:val="404040" w:themeColor="text1" w:themeTint="BF"/>
        <w:position w:val="4"/>
        <w:sz w:val="10"/>
      </w:rPr>
    </w:lvl>
    <w:lvl w:ilvl="4" w:tplc="31304DC8">
      <w:start w:val="1"/>
      <w:numFmt w:val="lowerLetter"/>
      <w:lvlText w:val="(%5)"/>
      <w:lvlJc w:val="left"/>
      <w:pPr>
        <w:ind w:left="850" w:hanging="170"/>
      </w:pPr>
      <w:rPr>
        <w:rFonts w:hint="default"/>
      </w:rPr>
    </w:lvl>
    <w:lvl w:ilvl="5" w:tplc="6E1C8B7C">
      <w:start w:val="1"/>
      <w:numFmt w:val="lowerRoman"/>
      <w:lvlText w:val="(%6)"/>
      <w:lvlJc w:val="left"/>
      <w:pPr>
        <w:ind w:left="1020" w:hanging="170"/>
      </w:pPr>
      <w:rPr>
        <w:rFonts w:hint="default"/>
      </w:rPr>
    </w:lvl>
    <w:lvl w:ilvl="6" w:tplc="8DE28710">
      <w:start w:val="1"/>
      <w:numFmt w:val="decimal"/>
      <w:lvlText w:val="%7."/>
      <w:lvlJc w:val="left"/>
      <w:pPr>
        <w:ind w:left="1190" w:hanging="170"/>
      </w:pPr>
      <w:rPr>
        <w:rFonts w:hint="default"/>
      </w:rPr>
    </w:lvl>
    <w:lvl w:ilvl="7" w:tplc="D1A09E28">
      <w:start w:val="1"/>
      <w:numFmt w:val="lowerLetter"/>
      <w:lvlText w:val="%8."/>
      <w:lvlJc w:val="left"/>
      <w:pPr>
        <w:ind w:left="1360" w:hanging="170"/>
      </w:pPr>
      <w:rPr>
        <w:rFonts w:hint="default"/>
      </w:rPr>
    </w:lvl>
    <w:lvl w:ilvl="8" w:tplc="ECCCDD7C">
      <w:start w:val="1"/>
      <w:numFmt w:val="lowerRoman"/>
      <w:lvlText w:val="%9."/>
      <w:lvlJc w:val="left"/>
      <w:pPr>
        <w:ind w:left="1530" w:hanging="170"/>
      </w:pPr>
      <w:rPr>
        <w:rFonts w:hint="default"/>
      </w:rPr>
    </w:lvl>
  </w:abstractNum>
  <w:abstractNum w:abstractNumId="23" w15:restartNumberingAfterBreak="0">
    <w:nsid w:val="3ADC3EC7"/>
    <w:multiLevelType w:val="hybridMultilevel"/>
    <w:tmpl w:val="D2885A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6260BF"/>
    <w:multiLevelType w:val="hybridMultilevel"/>
    <w:tmpl w:val="64F0AAC6"/>
    <w:lvl w:ilvl="0" w:tplc="14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EDF214D"/>
    <w:multiLevelType w:val="hybridMultilevel"/>
    <w:tmpl w:val="73DC6264"/>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F">
      <w:start w:val="1"/>
      <w:numFmt w:val="decimal"/>
      <w:lvlText w:val="%3."/>
      <w:lvlJc w:val="left"/>
      <w:pPr>
        <w:ind w:left="2160" w:hanging="360"/>
      </w:p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FEE5514"/>
    <w:multiLevelType w:val="hybridMultilevel"/>
    <w:tmpl w:val="69FEC29C"/>
    <w:lvl w:ilvl="0" w:tplc="0C090019">
      <w:start w:val="1"/>
      <w:numFmt w:val="lowerLetter"/>
      <w:lvlText w:val="%1."/>
      <w:lvlJc w:val="left"/>
      <w:pPr>
        <w:ind w:left="1440" w:hanging="360"/>
      </w:pPr>
      <w:rPr>
        <w:rFonts w:hint="default"/>
      </w:rPr>
    </w:lvl>
    <w:lvl w:ilvl="1" w:tplc="0C090019">
      <w:start w:val="1"/>
      <w:numFmt w:val="lowerLetter"/>
      <w:lvlText w:val="%2."/>
      <w:lvlJc w:val="left"/>
      <w:pPr>
        <w:ind w:left="2160" w:hanging="360"/>
      </w:pPr>
      <w:rPr>
        <w:rFont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5A870EF"/>
    <w:multiLevelType w:val="hybridMultilevel"/>
    <w:tmpl w:val="942025DC"/>
    <w:lvl w:ilvl="0" w:tplc="E7D4444C">
      <w:start w:val="1"/>
      <w:numFmt w:val="lowerLetter"/>
      <w:lvlText w:val="%1)"/>
      <w:lvlJc w:val="left"/>
      <w:pPr>
        <w:ind w:left="680" w:hanging="340"/>
      </w:pPr>
      <w:rPr>
        <w:rFonts w:hint="default"/>
        <w:sz w:val="19"/>
        <w:szCs w:val="19"/>
      </w:rPr>
    </w:lvl>
    <w:lvl w:ilvl="1" w:tplc="D57EF26A">
      <w:start w:val="1"/>
      <w:numFmt w:val="bullet"/>
      <w:lvlText w:val=""/>
      <w:lvlJc w:val="left"/>
      <w:pPr>
        <w:ind w:left="1020" w:hanging="340"/>
      </w:pPr>
      <w:rPr>
        <w:rFonts w:ascii="Symbol" w:hAnsi="Symbol" w:hint="default"/>
        <w:sz w:val="16"/>
      </w:rPr>
    </w:lvl>
    <w:lvl w:ilvl="2" w:tplc="5F5499DE">
      <w:start w:val="1"/>
      <w:numFmt w:val="bullet"/>
      <w:lvlText w:val=""/>
      <w:lvlJc w:val="left"/>
      <w:pPr>
        <w:ind w:left="1361" w:hanging="341"/>
      </w:pPr>
      <w:rPr>
        <w:rFonts w:ascii="Symbol" w:hAnsi="Symbol" w:hint="default"/>
        <w:sz w:val="16"/>
      </w:rPr>
    </w:lvl>
    <w:lvl w:ilvl="3" w:tplc="6C324A4E">
      <w:start w:val="1"/>
      <w:numFmt w:val="bullet"/>
      <w:lvlText w:val=""/>
      <w:lvlJc w:val="left"/>
      <w:pPr>
        <w:ind w:left="3220" w:hanging="360"/>
      </w:pPr>
      <w:rPr>
        <w:rFonts w:ascii="Symbol" w:hAnsi="Symbol" w:hint="default"/>
      </w:rPr>
    </w:lvl>
    <w:lvl w:ilvl="4" w:tplc="15E69D3A">
      <w:start w:val="1"/>
      <w:numFmt w:val="bullet"/>
      <w:lvlText w:val="o"/>
      <w:lvlJc w:val="left"/>
      <w:pPr>
        <w:ind w:left="3940" w:hanging="360"/>
      </w:pPr>
      <w:rPr>
        <w:rFonts w:ascii="Courier New" w:hAnsi="Courier New" w:cs="Courier New" w:hint="default"/>
      </w:rPr>
    </w:lvl>
    <w:lvl w:ilvl="5" w:tplc="617659EC">
      <w:start w:val="1"/>
      <w:numFmt w:val="bullet"/>
      <w:lvlText w:val=""/>
      <w:lvlJc w:val="left"/>
      <w:pPr>
        <w:ind w:left="4660" w:hanging="360"/>
      </w:pPr>
      <w:rPr>
        <w:rFonts w:ascii="Wingdings" w:hAnsi="Wingdings" w:hint="default"/>
      </w:rPr>
    </w:lvl>
    <w:lvl w:ilvl="6" w:tplc="4E2E9784">
      <w:start w:val="1"/>
      <w:numFmt w:val="bullet"/>
      <w:lvlText w:val=""/>
      <w:lvlJc w:val="left"/>
      <w:pPr>
        <w:ind w:left="5380" w:hanging="360"/>
      </w:pPr>
      <w:rPr>
        <w:rFonts w:ascii="Symbol" w:hAnsi="Symbol" w:hint="default"/>
      </w:rPr>
    </w:lvl>
    <w:lvl w:ilvl="7" w:tplc="4C944776">
      <w:start w:val="1"/>
      <w:numFmt w:val="bullet"/>
      <w:lvlText w:val="o"/>
      <w:lvlJc w:val="left"/>
      <w:pPr>
        <w:ind w:left="6100" w:hanging="360"/>
      </w:pPr>
      <w:rPr>
        <w:rFonts w:ascii="Courier New" w:hAnsi="Courier New" w:cs="Courier New" w:hint="default"/>
      </w:rPr>
    </w:lvl>
    <w:lvl w:ilvl="8" w:tplc="EFFC382E">
      <w:start w:val="1"/>
      <w:numFmt w:val="bullet"/>
      <w:lvlText w:val=""/>
      <w:lvlJc w:val="left"/>
      <w:pPr>
        <w:ind w:left="6820" w:hanging="360"/>
      </w:pPr>
      <w:rPr>
        <w:rFonts w:ascii="Wingdings" w:hAnsi="Wingdings" w:hint="default"/>
      </w:rPr>
    </w:lvl>
  </w:abstractNum>
  <w:abstractNum w:abstractNumId="29" w15:restartNumberingAfterBreak="0">
    <w:nsid w:val="49254D57"/>
    <w:multiLevelType w:val="hybridMultilevel"/>
    <w:tmpl w:val="A1AE04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9B039D8"/>
    <w:multiLevelType w:val="hybridMultilevel"/>
    <w:tmpl w:val="55143902"/>
    <w:lvl w:ilvl="0" w:tplc="59521B8E">
      <w:start w:val="1"/>
      <w:numFmt w:val="lowerLetter"/>
      <w:lvlText w:val="%1)"/>
      <w:lvlJc w:val="left"/>
      <w:pPr>
        <w:ind w:left="680" w:hanging="340"/>
      </w:pPr>
      <w:rPr>
        <w:rFonts w:hint="default"/>
        <w:sz w:val="19"/>
        <w:szCs w:val="19"/>
      </w:rPr>
    </w:lvl>
    <w:lvl w:ilvl="1" w:tplc="AD4483AA">
      <w:start w:val="1"/>
      <w:numFmt w:val="bullet"/>
      <w:lvlText w:val=""/>
      <w:lvlJc w:val="left"/>
      <w:pPr>
        <w:ind w:left="1020" w:hanging="340"/>
      </w:pPr>
      <w:rPr>
        <w:rFonts w:ascii="Symbol" w:hAnsi="Symbol" w:hint="default"/>
        <w:sz w:val="16"/>
      </w:rPr>
    </w:lvl>
    <w:lvl w:ilvl="2" w:tplc="A2FE7A20">
      <w:start w:val="1"/>
      <w:numFmt w:val="bullet"/>
      <w:lvlText w:val=""/>
      <w:lvlJc w:val="left"/>
      <w:pPr>
        <w:ind w:left="1361" w:hanging="341"/>
      </w:pPr>
      <w:rPr>
        <w:rFonts w:ascii="Symbol" w:hAnsi="Symbol" w:hint="default"/>
        <w:sz w:val="16"/>
      </w:rPr>
    </w:lvl>
    <w:lvl w:ilvl="3" w:tplc="87FAE446">
      <w:start w:val="1"/>
      <w:numFmt w:val="bullet"/>
      <w:lvlText w:val=""/>
      <w:lvlJc w:val="left"/>
      <w:pPr>
        <w:ind w:left="3220" w:hanging="360"/>
      </w:pPr>
      <w:rPr>
        <w:rFonts w:ascii="Symbol" w:hAnsi="Symbol" w:hint="default"/>
      </w:rPr>
    </w:lvl>
    <w:lvl w:ilvl="4" w:tplc="06C2954A">
      <w:start w:val="1"/>
      <w:numFmt w:val="bullet"/>
      <w:lvlText w:val="o"/>
      <w:lvlJc w:val="left"/>
      <w:pPr>
        <w:ind w:left="3940" w:hanging="360"/>
      </w:pPr>
      <w:rPr>
        <w:rFonts w:ascii="Courier New" w:hAnsi="Courier New" w:cs="Courier New" w:hint="default"/>
      </w:rPr>
    </w:lvl>
    <w:lvl w:ilvl="5" w:tplc="D4AA0D44">
      <w:start w:val="1"/>
      <w:numFmt w:val="bullet"/>
      <w:lvlText w:val=""/>
      <w:lvlJc w:val="left"/>
      <w:pPr>
        <w:ind w:left="4660" w:hanging="360"/>
      </w:pPr>
      <w:rPr>
        <w:rFonts w:ascii="Wingdings" w:hAnsi="Wingdings" w:hint="default"/>
      </w:rPr>
    </w:lvl>
    <w:lvl w:ilvl="6" w:tplc="30B274B4">
      <w:start w:val="1"/>
      <w:numFmt w:val="bullet"/>
      <w:lvlText w:val=""/>
      <w:lvlJc w:val="left"/>
      <w:pPr>
        <w:ind w:left="5380" w:hanging="360"/>
      </w:pPr>
      <w:rPr>
        <w:rFonts w:ascii="Symbol" w:hAnsi="Symbol" w:hint="default"/>
      </w:rPr>
    </w:lvl>
    <w:lvl w:ilvl="7" w:tplc="BCC8B5E0">
      <w:start w:val="1"/>
      <w:numFmt w:val="bullet"/>
      <w:lvlText w:val="o"/>
      <w:lvlJc w:val="left"/>
      <w:pPr>
        <w:ind w:left="6100" w:hanging="360"/>
      </w:pPr>
      <w:rPr>
        <w:rFonts w:ascii="Courier New" w:hAnsi="Courier New" w:cs="Courier New" w:hint="default"/>
      </w:rPr>
    </w:lvl>
    <w:lvl w:ilvl="8" w:tplc="CEFAEFE0">
      <w:start w:val="1"/>
      <w:numFmt w:val="bullet"/>
      <w:lvlText w:val=""/>
      <w:lvlJc w:val="left"/>
      <w:pPr>
        <w:ind w:left="6820" w:hanging="360"/>
      </w:pPr>
      <w:rPr>
        <w:rFonts w:ascii="Wingdings" w:hAnsi="Wingdings" w:hint="default"/>
      </w:rPr>
    </w:lvl>
  </w:abstractNum>
  <w:abstractNum w:abstractNumId="3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3D2157"/>
    <w:multiLevelType w:val="hybridMultilevel"/>
    <w:tmpl w:val="310876F2"/>
    <w:lvl w:ilvl="0" w:tplc="94C4A102">
      <w:start w:val="1"/>
      <w:numFmt w:val="decimal"/>
      <w:pStyle w:val="introductionlist"/>
      <w:lvlText w:val="%1."/>
      <w:lvlJc w:val="left"/>
      <w:pPr>
        <w:ind w:left="357" w:hanging="357"/>
      </w:pPr>
      <w:rPr>
        <w:rFonts w:hint="default"/>
        <w:b w:val="0"/>
      </w:rPr>
    </w:lvl>
    <w:lvl w:ilvl="1" w:tplc="5BBC8D0A">
      <w:start w:val="1"/>
      <w:numFmt w:val="lowerLetter"/>
      <w:lvlText w:val="%2."/>
      <w:lvlJc w:val="left"/>
      <w:pPr>
        <w:ind w:left="720" w:hanging="363"/>
      </w:pPr>
      <w:rPr>
        <w:rFonts w:hint="default"/>
      </w:rPr>
    </w:lvl>
    <w:lvl w:ilvl="2" w:tplc="3BFE0630">
      <w:start w:val="1"/>
      <w:numFmt w:val="lowerRoman"/>
      <w:lvlText w:val="%3."/>
      <w:lvlJc w:val="right"/>
      <w:pPr>
        <w:ind w:left="1077" w:hanging="357"/>
      </w:pPr>
      <w:rPr>
        <w:rFonts w:hint="default"/>
      </w:rPr>
    </w:lvl>
    <w:lvl w:ilvl="3" w:tplc="D3142B9C">
      <w:start w:val="1"/>
      <w:numFmt w:val="decimal"/>
      <w:lvlText w:val="%4."/>
      <w:lvlJc w:val="left"/>
      <w:pPr>
        <w:ind w:left="2880" w:hanging="360"/>
      </w:pPr>
      <w:rPr>
        <w:rFonts w:hint="default"/>
      </w:rPr>
    </w:lvl>
    <w:lvl w:ilvl="4" w:tplc="4C08394A">
      <w:start w:val="1"/>
      <w:numFmt w:val="lowerLetter"/>
      <w:lvlText w:val="%5."/>
      <w:lvlJc w:val="left"/>
      <w:pPr>
        <w:ind w:left="3600" w:hanging="360"/>
      </w:pPr>
      <w:rPr>
        <w:rFonts w:hint="default"/>
      </w:rPr>
    </w:lvl>
    <w:lvl w:ilvl="5" w:tplc="2E2EEE30">
      <w:start w:val="1"/>
      <w:numFmt w:val="lowerRoman"/>
      <w:lvlText w:val="%6."/>
      <w:lvlJc w:val="right"/>
      <w:pPr>
        <w:ind w:left="4320" w:hanging="180"/>
      </w:pPr>
      <w:rPr>
        <w:rFonts w:hint="default"/>
      </w:rPr>
    </w:lvl>
    <w:lvl w:ilvl="6" w:tplc="3D2AD7F2">
      <w:start w:val="1"/>
      <w:numFmt w:val="decimal"/>
      <w:lvlText w:val="%7."/>
      <w:lvlJc w:val="left"/>
      <w:pPr>
        <w:ind w:left="5040" w:hanging="360"/>
      </w:pPr>
      <w:rPr>
        <w:rFonts w:hint="default"/>
      </w:rPr>
    </w:lvl>
    <w:lvl w:ilvl="7" w:tplc="00CCEEFE">
      <w:start w:val="1"/>
      <w:numFmt w:val="lowerLetter"/>
      <w:lvlText w:val="%8."/>
      <w:lvlJc w:val="left"/>
      <w:pPr>
        <w:ind w:left="5760" w:hanging="360"/>
      </w:pPr>
      <w:rPr>
        <w:rFonts w:hint="default"/>
      </w:rPr>
    </w:lvl>
    <w:lvl w:ilvl="8" w:tplc="0BBEF9D0">
      <w:start w:val="1"/>
      <w:numFmt w:val="lowerRoman"/>
      <w:lvlText w:val="%9."/>
      <w:lvlJc w:val="right"/>
      <w:pPr>
        <w:ind w:left="6480" w:hanging="180"/>
      </w:pPr>
      <w:rPr>
        <w:rFonts w:hint="default"/>
      </w:rPr>
    </w:lvl>
  </w:abstractNum>
  <w:abstractNum w:abstractNumId="33" w15:restartNumberingAfterBreak="0">
    <w:nsid w:val="501E5B73"/>
    <w:multiLevelType w:val="hybridMultilevel"/>
    <w:tmpl w:val="1A12A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5107FD"/>
    <w:multiLevelType w:val="hybridMultilevel"/>
    <w:tmpl w:val="56FA14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0E9520E"/>
    <w:multiLevelType w:val="hybridMultilevel"/>
    <w:tmpl w:val="70E439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1E051AB"/>
    <w:multiLevelType w:val="hybridMultilevel"/>
    <w:tmpl w:val="B9A20764"/>
    <w:lvl w:ilvl="0" w:tplc="C9C87C6E">
      <w:start w:val="1"/>
      <w:numFmt w:val="bullet"/>
      <w:lvlText w:val="-"/>
      <w:lvlJc w:val="left"/>
      <w:pPr>
        <w:ind w:left="720" w:hanging="360"/>
      </w:pPr>
      <w:rPr>
        <w:rFonts w:ascii="Segoe UI" w:eastAsiaTheme="minorHAnsi" w:hAnsi="Segoe UI" w:cs="Segoe U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15:restartNumberingAfterBreak="0">
    <w:nsid w:val="54C55940"/>
    <w:multiLevelType w:val="hybridMultilevel"/>
    <w:tmpl w:val="D3261AAA"/>
    <w:styleLink w:val="TableexpListnumberedmultilevel"/>
    <w:lvl w:ilvl="0" w:tplc="A470F8B6">
      <w:start w:val="1"/>
      <w:numFmt w:val="bullet"/>
      <w:pStyle w:val="intoductionbullet"/>
      <w:lvlText w:val=""/>
      <w:lvlJc w:val="left"/>
      <w:pPr>
        <w:ind w:left="357" w:hanging="357"/>
      </w:pPr>
      <w:rPr>
        <w:rFonts w:ascii="Symbol" w:hAnsi="Symbol" w:hint="default"/>
        <w:color w:val="00264D" w:themeColor="background2"/>
      </w:rPr>
    </w:lvl>
    <w:lvl w:ilvl="1" w:tplc="1A1E3B64">
      <w:start w:val="1"/>
      <w:numFmt w:val="bullet"/>
      <w:lvlText w:val=""/>
      <w:lvlJc w:val="left"/>
      <w:pPr>
        <w:ind w:left="720" w:hanging="363"/>
      </w:pPr>
      <w:rPr>
        <w:rFonts w:ascii="Symbol" w:hAnsi="Symbol" w:hint="default"/>
        <w:color w:val="00264D" w:themeColor="background2"/>
      </w:rPr>
    </w:lvl>
    <w:lvl w:ilvl="2" w:tplc="E9FE68A0">
      <w:start w:val="1"/>
      <w:numFmt w:val="bullet"/>
      <w:lvlText w:val=""/>
      <w:lvlJc w:val="left"/>
      <w:pPr>
        <w:ind w:left="1077" w:hanging="357"/>
      </w:pPr>
      <w:rPr>
        <w:rFonts w:ascii="Symbol" w:hAnsi="Symbol" w:hint="default"/>
        <w:color w:val="00264D" w:themeColor="background2"/>
      </w:rPr>
    </w:lvl>
    <w:lvl w:ilvl="3" w:tplc="3B68968C">
      <w:start w:val="1"/>
      <w:numFmt w:val="bullet"/>
      <w:lvlText w:val=""/>
      <w:lvlJc w:val="left"/>
      <w:pPr>
        <w:ind w:left="2880" w:hanging="360"/>
      </w:pPr>
      <w:rPr>
        <w:rFonts w:ascii="Symbol" w:hAnsi="Symbol" w:hint="default"/>
      </w:rPr>
    </w:lvl>
    <w:lvl w:ilvl="4" w:tplc="1F820F68">
      <w:start w:val="1"/>
      <w:numFmt w:val="bullet"/>
      <w:lvlText w:val="o"/>
      <w:lvlJc w:val="left"/>
      <w:pPr>
        <w:ind w:left="3600" w:hanging="360"/>
      </w:pPr>
      <w:rPr>
        <w:rFonts w:ascii="Courier New" w:hAnsi="Courier New" w:cs="Courier New" w:hint="default"/>
      </w:rPr>
    </w:lvl>
    <w:lvl w:ilvl="5" w:tplc="7D6AD0BA">
      <w:start w:val="1"/>
      <w:numFmt w:val="bullet"/>
      <w:lvlText w:val=""/>
      <w:lvlJc w:val="left"/>
      <w:pPr>
        <w:ind w:left="4320" w:hanging="360"/>
      </w:pPr>
      <w:rPr>
        <w:rFonts w:ascii="Wingdings" w:hAnsi="Wingdings" w:hint="default"/>
      </w:rPr>
    </w:lvl>
    <w:lvl w:ilvl="6" w:tplc="03005F0A">
      <w:start w:val="1"/>
      <w:numFmt w:val="bullet"/>
      <w:lvlText w:val=""/>
      <w:lvlJc w:val="left"/>
      <w:pPr>
        <w:ind w:left="5040" w:hanging="360"/>
      </w:pPr>
      <w:rPr>
        <w:rFonts w:ascii="Symbol" w:hAnsi="Symbol" w:hint="default"/>
      </w:rPr>
    </w:lvl>
    <w:lvl w:ilvl="7" w:tplc="5CBCF808">
      <w:start w:val="1"/>
      <w:numFmt w:val="bullet"/>
      <w:lvlText w:val="o"/>
      <w:lvlJc w:val="left"/>
      <w:pPr>
        <w:ind w:left="5760" w:hanging="360"/>
      </w:pPr>
      <w:rPr>
        <w:rFonts w:ascii="Courier New" w:hAnsi="Courier New" w:cs="Courier New" w:hint="default"/>
      </w:rPr>
    </w:lvl>
    <w:lvl w:ilvl="8" w:tplc="D4381924">
      <w:start w:val="1"/>
      <w:numFmt w:val="bullet"/>
      <w:lvlText w:val=""/>
      <w:lvlJc w:val="left"/>
      <w:pPr>
        <w:ind w:left="6480" w:hanging="360"/>
      </w:pPr>
      <w:rPr>
        <w:rFonts w:ascii="Wingdings" w:hAnsi="Wingdings" w:hint="default"/>
      </w:rPr>
    </w:lvl>
  </w:abstractNum>
  <w:abstractNum w:abstractNumId="38" w15:restartNumberingAfterBreak="0">
    <w:nsid w:val="58807324"/>
    <w:multiLevelType w:val="multilevel"/>
    <w:tmpl w:val="DCF68B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8A6169F"/>
    <w:multiLevelType w:val="hybridMultilevel"/>
    <w:tmpl w:val="2DA8E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8B030FE"/>
    <w:multiLevelType w:val="hybridMultilevel"/>
    <w:tmpl w:val="A40495DC"/>
    <w:styleLink w:val="Listnumberedmultilevel"/>
    <w:lvl w:ilvl="0" w:tplc="AFBA16B0">
      <w:start w:val="1"/>
      <w:numFmt w:val="decimal"/>
      <w:pStyle w:val="TableNListnumbered"/>
      <w:lvlText w:val="%1."/>
      <w:lvlJc w:val="left"/>
      <w:pPr>
        <w:ind w:left="227" w:hanging="227"/>
      </w:pPr>
      <w:rPr>
        <w:rFonts w:ascii="Segoe UI" w:hAnsi="Segoe UI" w:hint="default"/>
        <w:b w:val="0"/>
        <w:i w:val="0"/>
        <w:sz w:val="17"/>
      </w:rPr>
    </w:lvl>
    <w:lvl w:ilvl="1" w:tplc="CD1060C8">
      <w:start w:val="1"/>
      <w:numFmt w:val="lowerLetter"/>
      <w:lvlText w:val="%2."/>
      <w:lvlJc w:val="left"/>
      <w:pPr>
        <w:ind w:left="454" w:hanging="227"/>
      </w:pPr>
      <w:rPr>
        <w:rFonts w:ascii="Segoe UI" w:hAnsi="Segoe UI" w:hint="default"/>
        <w:b w:val="0"/>
        <w:i w:val="0"/>
        <w:sz w:val="17"/>
      </w:rPr>
    </w:lvl>
    <w:lvl w:ilvl="2" w:tplc="6466F36E">
      <w:start w:val="1"/>
      <w:numFmt w:val="lowerRoman"/>
      <w:lvlText w:val="%3."/>
      <w:lvlJc w:val="left"/>
      <w:pPr>
        <w:ind w:left="680" w:hanging="226"/>
      </w:pPr>
      <w:rPr>
        <w:rFonts w:ascii="Segoe UI" w:hAnsi="Segoe UI" w:hint="default"/>
        <w:b w:val="0"/>
        <w:i w:val="0"/>
        <w:sz w:val="17"/>
      </w:rPr>
    </w:lvl>
    <w:lvl w:ilvl="3" w:tplc="6E24B8DE">
      <w:start w:val="1"/>
      <w:numFmt w:val="decimal"/>
      <w:lvlText w:val="%4."/>
      <w:lvlJc w:val="left"/>
      <w:pPr>
        <w:ind w:left="2880" w:hanging="360"/>
      </w:pPr>
      <w:rPr>
        <w:rFonts w:hint="default"/>
      </w:rPr>
    </w:lvl>
    <w:lvl w:ilvl="4" w:tplc="D58254B2">
      <w:start w:val="1"/>
      <w:numFmt w:val="lowerLetter"/>
      <w:lvlText w:val="%5."/>
      <w:lvlJc w:val="left"/>
      <w:pPr>
        <w:ind w:left="3600" w:hanging="360"/>
      </w:pPr>
      <w:rPr>
        <w:rFonts w:hint="default"/>
      </w:rPr>
    </w:lvl>
    <w:lvl w:ilvl="5" w:tplc="B456F34C">
      <w:start w:val="1"/>
      <w:numFmt w:val="lowerRoman"/>
      <w:lvlText w:val="%6."/>
      <w:lvlJc w:val="right"/>
      <w:pPr>
        <w:ind w:left="4320" w:hanging="180"/>
      </w:pPr>
      <w:rPr>
        <w:rFonts w:hint="default"/>
      </w:rPr>
    </w:lvl>
    <w:lvl w:ilvl="6" w:tplc="3B00B89E">
      <w:start w:val="1"/>
      <w:numFmt w:val="decimal"/>
      <w:lvlText w:val="%7."/>
      <w:lvlJc w:val="left"/>
      <w:pPr>
        <w:ind w:left="5040" w:hanging="360"/>
      </w:pPr>
      <w:rPr>
        <w:rFonts w:hint="default"/>
      </w:rPr>
    </w:lvl>
    <w:lvl w:ilvl="7" w:tplc="192ABA60">
      <w:start w:val="1"/>
      <w:numFmt w:val="lowerLetter"/>
      <w:lvlText w:val="%8."/>
      <w:lvlJc w:val="left"/>
      <w:pPr>
        <w:ind w:left="5760" w:hanging="360"/>
      </w:pPr>
      <w:rPr>
        <w:rFonts w:hint="default"/>
      </w:rPr>
    </w:lvl>
    <w:lvl w:ilvl="8" w:tplc="755E34E4">
      <w:start w:val="1"/>
      <w:numFmt w:val="lowerRoman"/>
      <w:lvlText w:val="%9."/>
      <w:lvlJc w:val="right"/>
      <w:pPr>
        <w:ind w:left="6480" w:hanging="180"/>
      </w:pPr>
      <w:rPr>
        <w:rFonts w:hint="default"/>
      </w:rPr>
    </w:lvl>
  </w:abstractNum>
  <w:abstractNum w:abstractNumId="41" w15:restartNumberingAfterBreak="0">
    <w:nsid w:val="58B142DD"/>
    <w:multiLevelType w:val="hybridMultilevel"/>
    <w:tmpl w:val="B8AC209C"/>
    <w:lvl w:ilvl="0" w:tplc="F9AAA7F6">
      <w:start w:val="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90D0AF9"/>
    <w:multiLevelType w:val="hybridMultilevel"/>
    <w:tmpl w:val="78749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583C76"/>
    <w:multiLevelType w:val="hybridMultilevel"/>
    <w:tmpl w:val="6524A200"/>
    <w:lvl w:ilvl="0" w:tplc="8270603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E936A7D"/>
    <w:multiLevelType w:val="hybridMultilevel"/>
    <w:tmpl w:val="12C207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60DC1973"/>
    <w:multiLevelType w:val="hybridMultilevel"/>
    <w:tmpl w:val="A31AB5D8"/>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46" w15:restartNumberingAfterBreak="0">
    <w:nsid w:val="63667D74"/>
    <w:multiLevelType w:val="hybridMultilevel"/>
    <w:tmpl w:val="4A041048"/>
    <w:lvl w:ilvl="0" w:tplc="0C090019">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15:restartNumberingAfterBreak="0">
    <w:nsid w:val="657F09EF"/>
    <w:multiLevelType w:val="hybridMultilevel"/>
    <w:tmpl w:val="A6B8611C"/>
    <w:lvl w:ilvl="0" w:tplc="3A76170A">
      <w:start w:val="1"/>
      <w:numFmt w:val="bullet"/>
      <w:lvlText w:val=""/>
      <w:lvlJc w:val="left"/>
      <w:pPr>
        <w:ind w:left="1080" w:hanging="360"/>
      </w:pPr>
      <w:rPr>
        <w:rFonts w:ascii="Symbol" w:hAnsi="Symbol"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67085E51"/>
    <w:multiLevelType w:val="hybridMultilevel"/>
    <w:tmpl w:val="056699B6"/>
    <w:lvl w:ilvl="0" w:tplc="0C090001">
      <w:start w:val="1"/>
      <w:numFmt w:val="bullet"/>
      <w:lvlText w:val=""/>
      <w:lvlJc w:val="left"/>
      <w:pPr>
        <w:ind w:left="720" w:hanging="360"/>
      </w:pPr>
      <w:rPr>
        <w:rFonts w:ascii="Symbol" w:hAnsi="Symbol" w:hint="default"/>
        <w:b/>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79C1BBE"/>
    <w:multiLevelType w:val="hybridMultilevel"/>
    <w:tmpl w:val="16028E62"/>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6873553E"/>
    <w:multiLevelType w:val="hybridMultilevel"/>
    <w:tmpl w:val="D048EF36"/>
    <w:lvl w:ilvl="0" w:tplc="22A20592">
      <w:start w:val="1"/>
      <w:numFmt w:val="lowerLetter"/>
      <w:lvlText w:val="%1)"/>
      <w:lvlJc w:val="left"/>
      <w:pPr>
        <w:ind w:left="680" w:hanging="340"/>
      </w:pPr>
      <w:rPr>
        <w:rFonts w:hint="default"/>
        <w:sz w:val="16"/>
      </w:rPr>
    </w:lvl>
    <w:lvl w:ilvl="1" w:tplc="043EFBA6">
      <w:start w:val="1"/>
      <w:numFmt w:val="bullet"/>
      <w:lvlText w:val=""/>
      <w:lvlJc w:val="left"/>
      <w:pPr>
        <w:ind w:left="1020" w:hanging="340"/>
      </w:pPr>
      <w:rPr>
        <w:rFonts w:ascii="Symbol" w:hAnsi="Symbol" w:hint="default"/>
        <w:sz w:val="16"/>
      </w:rPr>
    </w:lvl>
    <w:lvl w:ilvl="2" w:tplc="A91C004A">
      <w:start w:val="1"/>
      <w:numFmt w:val="bullet"/>
      <w:lvlText w:val=""/>
      <w:lvlJc w:val="left"/>
      <w:pPr>
        <w:ind w:left="1361" w:hanging="341"/>
      </w:pPr>
      <w:rPr>
        <w:rFonts w:ascii="Symbol" w:hAnsi="Symbol" w:hint="default"/>
        <w:sz w:val="16"/>
      </w:rPr>
    </w:lvl>
    <w:lvl w:ilvl="3" w:tplc="8732FCEE">
      <w:start w:val="1"/>
      <w:numFmt w:val="bullet"/>
      <w:lvlText w:val=""/>
      <w:lvlJc w:val="left"/>
      <w:pPr>
        <w:ind w:left="3220" w:hanging="360"/>
      </w:pPr>
      <w:rPr>
        <w:rFonts w:ascii="Symbol" w:hAnsi="Symbol" w:hint="default"/>
      </w:rPr>
    </w:lvl>
    <w:lvl w:ilvl="4" w:tplc="EFB470CC">
      <w:start w:val="1"/>
      <w:numFmt w:val="bullet"/>
      <w:lvlText w:val="o"/>
      <w:lvlJc w:val="left"/>
      <w:pPr>
        <w:ind w:left="3940" w:hanging="360"/>
      </w:pPr>
      <w:rPr>
        <w:rFonts w:ascii="Courier New" w:hAnsi="Courier New" w:cs="Courier New" w:hint="default"/>
      </w:rPr>
    </w:lvl>
    <w:lvl w:ilvl="5" w:tplc="D43CBB78">
      <w:start w:val="1"/>
      <w:numFmt w:val="bullet"/>
      <w:lvlText w:val=""/>
      <w:lvlJc w:val="left"/>
      <w:pPr>
        <w:ind w:left="4660" w:hanging="360"/>
      </w:pPr>
      <w:rPr>
        <w:rFonts w:ascii="Wingdings" w:hAnsi="Wingdings" w:hint="default"/>
      </w:rPr>
    </w:lvl>
    <w:lvl w:ilvl="6" w:tplc="793EAFD4">
      <w:start w:val="1"/>
      <w:numFmt w:val="bullet"/>
      <w:lvlText w:val=""/>
      <w:lvlJc w:val="left"/>
      <w:pPr>
        <w:ind w:left="5380" w:hanging="360"/>
      </w:pPr>
      <w:rPr>
        <w:rFonts w:ascii="Symbol" w:hAnsi="Symbol" w:hint="default"/>
      </w:rPr>
    </w:lvl>
    <w:lvl w:ilvl="7" w:tplc="0A98C768">
      <w:start w:val="1"/>
      <w:numFmt w:val="bullet"/>
      <w:lvlText w:val="o"/>
      <w:lvlJc w:val="left"/>
      <w:pPr>
        <w:ind w:left="6100" w:hanging="360"/>
      </w:pPr>
      <w:rPr>
        <w:rFonts w:ascii="Courier New" w:hAnsi="Courier New" w:cs="Courier New" w:hint="default"/>
      </w:rPr>
    </w:lvl>
    <w:lvl w:ilvl="8" w:tplc="5E0C7964">
      <w:start w:val="1"/>
      <w:numFmt w:val="bullet"/>
      <w:lvlText w:val=""/>
      <w:lvlJc w:val="left"/>
      <w:pPr>
        <w:ind w:left="6820" w:hanging="360"/>
      </w:pPr>
      <w:rPr>
        <w:rFonts w:ascii="Wingdings" w:hAnsi="Wingdings" w:hint="default"/>
      </w:rPr>
    </w:lvl>
  </w:abstractNum>
  <w:abstractNum w:abstractNumId="51" w15:restartNumberingAfterBreak="0">
    <w:nsid w:val="6AF3366B"/>
    <w:multiLevelType w:val="hybridMultilevel"/>
    <w:tmpl w:val="B64E6C56"/>
    <w:lvl w:ilvl="0" w:tplc="14090019">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B07293D"/>
    <w:multiLevelType w:val="hybridMultilevel"/>
    <w:tmpl w:val="9D36D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A11DDC"/>
    <w:multiLevelType w:val="hybridMultilevel"/>
    <w:tmpl w:val="7028117A"/>
    <w:lvl w:ilvl="0" w:tplc="0C09000F">
      <w:start w:val="1"/>
      <w:numFmt w:val="decimal"/>
      <w:lvlText w:val="%1."/>
      <w:lvlJc w:val="left"/>
      <w:pPr>
        <w:ind w:left="720" w:hanging="360"/>
      </w:pPr>
      <w:rPr>
        <w:rFonts w:hint="default"/>
        <w:b/>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D7D13DF"/>
    <w:multiLevelType w:val="hybridMultilevel"/>
    <w:tmpl w:val="0AA0F07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5" w15:restartNumberingAfterBreak="0">
    <w:nsid w:val="6DF055C1"/>
    <w:multiLevelType w:val="hybridMultilevel"/>
    <w:tmpl w:val="1D62A9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0E00A84"/>
    <w:multiLevelType w:val="hybridMultilevel"/>
    <w:tmpl w:val="57E20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350093B"/>
    <w:multiLevelType w:val="hybridMultilevel"/>
    <w:tmpl w:val="A336D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79B7218E"/>
    <w:multiLevelType w:val="hybridMultilevel"/>
    <w:tmpl w:val="E4B468E6"/>
    <w:lvl w:ilvl="0" w:tplc="092AD7A8">
      <w:start w:val="1"/>
      <w:numFmt w:val="bullet"/>
      <w:pStyle w:val="Bullet"/>
      <w:lvlText w:val=""/>
      <w:lvlJc w:val="left"/>
      <w:pPr>
        <w:ind w:left="340" w:hanging="340"/>
      </w:pPr>
      <w:rPr>
        <w:rFonts w:ascii="Symbol" w:hAnsi="Symbol" w:hint="default"/>
        <w:sz w:val="16"/>
      </w:rPr>
    </w:lvl>
    <w:lvl w:ilvl="1" w:tplc="F7BCA576">
      <w:start w:val="1"/>
      <w:numFmt w:val="bullet"/>
      <w:lvlText w:val=""/>
      <w:lvlJc w:val="left"/>
      <w:pPr>
        <w:ind w:left="680" w:hanging="340"/>
      </w:pPr>
      <w:rPr>
        <w:rFonts w:ascii="Symbol" w:hAnsi="Symbol" w:hint="default"/>
        <w:sz w:val="16"/>
      </w:rPr>
    </w:lvl>
    <w:lvl w:ilvl="2" w:tplc="3A76170A">
      <w:start w:val="1"/>
      <w:numFmt w:val="bullet"/>
      <w:lvlText w:val=""/>
      <w:lvlJc w:val="left"/>
      <w:pPr>
        <w:ind w:left="1021" w:hanging="341"/>
      </w:pPr>
      <w:rPr>
        <w:rFonts w:ascii="Symbol" w:hAnsi="Symbol" w:hint="default"/>
        <w:sz w:val="16"/>
      </w:rPr>
    </w:lvl>
    <w:lvl w:ilvl="3" w:tplc="56D2354E">
      <w:start w:val="1"/>
      <w:numFmt w:val="bullet"/>
      <w:lvlText w:val=""/>
      <w:lvlJc w:val="left"/>
      <w:pPr>
        <w:ind w:left="2880" w:hanging="360"/>
      </w:pPr>
      <w:rPr>
        <w:rFonts w:ascii="Symbol" w:hAnsi="Symbol" w:hint="default"/>
      </w:rPr>
    </w:lvl>
    <w:lvl w:ilvl="4" w:tplc="3FE0085C">
      <w:start w:val="1"/>
      <w:numFmt w:val="bullet"/>
      <w:lvlText w:val="o"/>
      <w:lvlJc w:val="left"/>
      <w:pPr>
        <w:ind w:left="3600" w:hanging="360"/>
      </w:pPr>
      <w:rPr>
        <w:rFonts w:ascii="Courier New" w:hAnsi="Courier New" w:cs="Courier New" w:hint="default"/>
      </w:rPr>
    </w:lvl>
    <w:lvl w:ilvl="5" w:tplc="1498894A">
      <w:start w:val="1"/>
      <w:numFmt w:val="bullet"/>
      <w:lvlText w:val=""/>
      <w:lvlJc w:val="left"/>
      <w:pPr>
        <w:ind w:left="4320" w:hanging="360"/>
      </w:pPr>
      <w:rPr>
        <w:rFonts w:ascii="Wingdings" w:hAnsi="Wingdings" w:hint="default"/>
      </w:rPr>
    </w:lvl>
    <w:lvl w:ilvl="6" w:tplc="8348C300">
      <w:start w:val="1"/>
      <w:numFmt w:val="bullet"/>
      <w:lvlText w:val=""/>
      <w:lvlJc w:val="left"/>
      <w:pPr>
        <w:ind w:left="5040" w:hanging="360"/>
      </w:pPr>
      <w:rPr>
        <w:rFonts w:ascii="Symbol" w:hAnsi="Symbol" w:hint="default"/>
      </w:rPr>
    </w:lvl>
    <w:lvl w:ilvl="7" w:tplc="92F2C774">
      <w:start w:val="1"/>
      <w:numFmt w:val="bullet"/>
      <w:lvlText w:val="o"/>
      <w:lvlJc w:val="left"/>
      <w:pPr>
        <w:ind w:left="5760" w:hanging="360"/>
      </w:pPr>
      <w:rPr>
        <w:rFonts w:ascii="Courier New" w:hAnsi="Courier New" w:cs="Courier New" w:hint="default"/>
      </w:rPr>
    </w:lvl>
    <w:lvl w:ilvl="8" w:tplc="5D865C50">
      <w:start w:val="1"/>
      <w:numFmt w:val="bullet"/>
      <w:lvlText w:val=""/>
      <w:lvlJc w:val="left"/>
      <w:pPr>
        <w:ind w:left="6480" w:hanging="360"/>
      </w:pPr>
      <w:rPr>
        <w:rFonts w:ascii="Wingdings" w:hAnsi="Wingdings" w:hint="default"/>
      </w:rPr>
    </w:lvl>
  </w:abstractNum>
  <w:num w:numId="1">
    <w:abstractNumId w:val="57"/>
  </w:num>
  <w:num w:numId="2">
    <w:abstractNumId w:val="2"/>
  </w:num>
  <w:num w:numId="3">
    <w:abstractNumId w:val="59"/>
  </w:num>
  <w:num w:numId="4">
    <w:abstractNumId w:val="27"/>
  </w:num>
  <w:num w:numId="5">
    <w:abstractNumId w:val="31"/>
  </w:num>
  <w:num w:numId="6">
    <w:abstractNumId w:val="32"/>
  </w:num>
  <w:num w:numId="7">
    <w:abstractNumId w:val="37"/>
  </w:num>
  <w:num w:numId="8">
    <w:abstractNumId w:val="5"/>
  </w:num>
  <w:num w:numId="9">
    <w:abstractNumId w:val="0"/>
  </w:num>
  <w:num w:numId="10">
    <w:abstractNumId w:val="40"/>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lvlOverride w:ilvl="2"/>
    <w:lvlOverride w:ilvl="3"/>
    <w:lvlOverride w:ilvl="4"/>
    <w:lvlOverride w:ilvl="5"/>
    <w:lvlOverride w:ilvl="6"/>
    <w:lvlOverride w:ilvl="7"/>
    <w:lvlOverride w:ilvl="8"/>
  </w:num>
  <w:num w:numId="13">
    <w:abstractNumId w:val="51"/>
    <w:lvlOverride w:ilvl="0">
      <w:startOverride w:val="1"/>
    </w:lvlOverride>
    <w:lvlOverride w:ilvl="1"/>
    <w:lvlOverride w:ilvl="2"/>
    <w:lvlOverride w:ilvl="3"/>
    <w:lvlOverride w:ilvl="4"/>
    <w:lvlOverride w:ilvl="5"/>
    <w:lvlOverride w:ilvl="6"/>
    <w:lvlOverride w:ilvl="7"/>
    <w:lvlOverride w:ilvl="8"/>
  </w:num>
  <w:num w:numId="14">
    <w:abstractNumId w:val="17"/>
    <w:lvlOverride w:ilvl="0">
      <w:startOverride w:val="1"/>
    </w:lvlOverride>
    <w:lvlOverride w:ilvl="1"/>
    <w:lvlOverride w:ilvl="2"/>
    <w:lvlOverride w:ilvl="3"/>
    <w:lvlOverride w:ilvl="4"/>
    <w:lvlOverride w:ilvl="5"/>
    <w:lvlOverride w:ilvl="6"/>
    <w:lvlOverride w:ilvl="7"/>
    <w:lvlOverride w:ilvl="8"/>
  </w:num>
  <w:num w:numId="15">
    <w:abstractNumId w:val="10"/>
  </w:num>
  <w:num w:numId="16">
    <w:abstractNumId w:val="50"/>
  </w:num>
  <w:num w:numId="17">
    <w:abstractNumId w:val="12"/>
  </w:num>
  <w:num w:numId="18">
    <w:abstractNumId w:val="30"/>
  </w:num>
  <w:num w:numId="19">
    <w:abstractNumId w:val="28"/>
  </w:num>
  <w:num w:numId="20">
    <w:abstractNumId w:val="23"/>
  </w:num>
  <w:num w:numId="21">
    <w:abstractNumId w:val="46"/>
  </w:num>
  <w:num w:numId="22">
    <w:abstractNumId w:val="22"/>
  </w:num>
  <w:num w:numId="23">
    <w:abstractNumId w:val="9"/>
  </w:num>
  <w:num w:numId="24">
    <w:abstractNumId w:val="15"/>
  </w:num>
  <w:num w:numId="25">
    <w:abstractNumId w:val="26"/>
  </w:num>
  <w:num w:numId="26">
    <w:abstractNumId w:val="29"/>
  </w:num>
  <w:num w:numId="27">
    <w:abstractNumId w:val="41"/>
  </w:num>
  <w:num w:numId="28">
    <w:abstractNumId w:val="4"/>
  </w:num>
  <w:num w:numId="29">
    <w:abstractNumId w:val="48"/>
  </w:num>
  <w:num w:numId="30">
    <w:abstractNumId w:val="49"/>
  </w:num>
  <w:num w:numId="31">
    <w:abstractNumId w:val="34"/>
  </w:num>
  <w:num w:numId="32">
    <w:abstractNumId w:val="53"/>
  </w:num>
  <w:num w:numId="33">
    <w:abstractNumId w:val="47"/>
  </w:num>
  <w:num w:numId="34">
    <w:abstractNumId w:val="13"/>
  </w:num>
  <w:num w:numId="35">
    <w:abstractNumId w:val="36"/>
  </w:num>
  <w:num w:numId="36">
    <w:abstractNumId w:val="18"/>
  </w:num>
  <w:num w:numId="37">
    <w:abstractNumId w:val="3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42"/>
  </w:num>
  <w:num w:numId="42">
    <w:abstractNumId w:val="16"/>
  </w:num>
  <w:num w:numId="43">
    <w:abstractNumId w:val="42"/>
  </w:num>
  <w:num w:numId="44">
    <w:abstractNumId w:val="44"/>
  </w:num>
  <w:num w:numId="45">
    <w:abstractNumId w:val="20"/>
  </w:num>
  <w:num w:numId="46">
    <w:abstractNumId w:val="21"/>
  </w:num>
  <w:num w:numId="47">
    <w:abstractNumId w:val="1"/>
  </w:num>
  <w:num w:numId="48">
    <w:abstractNumId w:val="56"/>
  </w:num>
  <w:num w:numId="49">
    <w:abstractNumId w:val="58"/>
  </w:num>
  <w:num w:numId="50">
    <w:abstractNumId w:val="54"/>
  </w:num>
  <w:num w:numId="51">
    <w:abstractNumId w:val="11"/>
  </w:num>
  <w:num w:numId="52">
    <w:abstractNumId w:val="14"/>
  </w:num>
  <w:num w:numId="53">
    <w:abstractNumId w:val="8"/>
  </w:num>
  <w:num w:numId="54">
    <w:abstractNumId w:val="43"/>
  </w:num>
  <w:num w:numId="55">
    <w:abstractNumId w:val="19"/>
  </w:num>
  <w:num w:numId="56">
    <w:abstractNumId w:val="25"/>
    <w:lvlOverride w:ilvl="0">
      <w:startOverride w:val="1"/>
    </w:lvlOverride>
    <w:lvlOverride w:ilvl="1"/>
    <w:lvlOverride w:ilvl="2">
      <w:startOverride w:val="1"/>
    </w:lvlOverride>
    <w:lvlOverride w:ilvl="3"/>
    <w:lvlOverride w:ilvl="4"/>
    <w:lvlOverride w:ilvl="5"/>
    <w:lvlOverride w:ilvl="6"/>
    <w:lvlOverride w:ilvl="7"/>
    <w:lvlOverride w:ilvl="8"/>
  </w:num>
  <w:num w:numId="57">
    <w:abstractNumId w:val="55"/>
  </w:num>
  <w:num w:numId="58">
    <w:abstractNumId w:val="35"/>
  </w:num>
  <w:num w:numId="59">
    <w:abstractNumId w:val="39"/>
  </w:num>
  <w:num w:numId="60">
    <w:abstractNumId w:val="25"/>
    <w:lvlOverride w:ilvl="0">
      <w:startOverride w:val="1"/>
    </w:lvlOverride>
    <w:lvlOverride w:ilvl="1"/>
    <w:lvlOverride w:ilvl="2">
      <w:startOverride w:val="1"/>
    </w:lvlOverride>
    <w:lvlOverride w:ilvl="3"/>
    <w:lvlOverride w:ilvl="4"/>
    <w:lvlOverride w:ilvl="5"/>
    <w:lvlOverride w:ilvl="6"/>
    <w:lvlOverride w:ilvl="7"/>
    <w:lvlOverride w:ilvl="8"/>
  </w:num>
  <w:num w:numId="61">
    <w:abstractNumId w:val="7"/>
  </w:num>
  <w:num w:numId="62">
    <w:abstractNumId w:val="33"/>
  </w:num>
  <w:num w:numId="63">
    <w:abstractNumId w:val="3"/>
  </w:num>
  <w:num w:numId="64">
    <w:abstractNumId w:val="6"/>
  </w:num>
  <w:num w:numId="65">
    <w:abstractNumId w:val="52"/>
  </w:num>
  <w:num w:numId="66">
    <w:abstractNumId w:val="59"/>
  </w:num>
  <w:num w:numId="67">
    <w:abstractNumId w:val="59"/>
  </w:num>
  <w:num w:numId="68">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B2FFF"/>
    <w:rsid w:val="000001CE"/>
    <w:rsid w:val="000002B3"/>
    <w:rsid w:val="000002B5"/>
    <w:rsid w:val="0000047E"/>
    <w:rsid w:val="00000510"/>
    <w:rsid w:val="00000568"/>
    <w:rsid w:val="00000724"/>
    <w:rsid w:val="00000837"/>
    <w:rsid w:val="00000A59"/>
    <w:rsid w:val="00000A9B"/>
    <w:rsid w:val="00000C0C"/>
    <w:rsid w:val="00000CB5"/>
    <w:rsid w:val="00000D0A"/>
    <w:rsid w:val="00001202"/>
    <w:rsid w:val="00001207"/>
    <w:rsid w:val="0000130C"/>
    <w:rsid w:val="000013E2"/>
    <w:rsid w:val="00001574"/>
    <w:rsid w:val="00001744"/>
    <w:rsid w:val="00001763"/>
    <w:rsid w:val="0000198E"/>
    <w:rsid w:val="00001A6E"/>
    <w:rsid w:val="00001B45"/>
    <w:rsid w:val="00001D12"/>
    <w:rsid w:val="00001D28"/>
    <w:rsid w:val="00001D70"/>
    <w:rsid w:val="00001EE7"/>
    <w:rsid w:val="00002020"/>
    <w:rsid w:val="00002394"/>
    <w:rsid w:val="00002492"/>
    <w:rsid w:val="00002500"/>
    <w:rsid w:val="00002ABD"/>
    <w:rsid w:val="00002B32"/>
    <w:rsid w:val="00002BEA"/>
    <w:rsid w:val="00002E43"/>
    <w:rsid w:val="00002EA7"/>
    <w:rsid w:val="00002EAB"/>
    <w:rsid w:val="0000315E"/>
    <w:rsid w:val="000033AA"/>
    <w:rsid w:val="0000386D"/>
    <w:rsid w:val="000038A6"/>
    <w:rsid w:val="0000404E"/>
    <w:rsid w:val="000041EC"/>
    <w:rsid w:val="000043D0"/>
    <w:rsid w:val="000047D2"/>
    <w:rsid w:val="00004A88"/>
    <w:rsid w:val="00004B70"/>
    <w:rsid w:val="00004BD9"/>
    <w:rsid w:val="00004FA2"/>
    <w:rsid w:val="0000519C"/>
    <w:rsid w:val="00005283"/>
    <w:rsid w:val="0000538A"/>
    <w:rsid w:val="00005755"/>
    <w:rsid w:val="00005887"/>
    <w:rsid w:val="000058CD"/>
    <w:rsid w:val="00005F4F"/>
    <w:rsid w:val="000060E7"/>
    <w:rsid w:val="000061C6"/>
    <w:rsid w:val="00006507"/>
    <w:rsid w:val="00006691"/>
    <w:rsid w:val="00006752"/>
    <w:rsid w:val="00006770"/>
    <w:rsid w:val="00006D5C"/>
    <w:rsid w:val="00006E47"/>
    <w:rsid w:val="00007070"/>
    <w:rsid w:val="000073D1"/>
    <w:rsid w:val="00007457"/>
    <w:rsid w:val="00007671"/>
    <w:rsid w:val="0000780E"/>
    <w:rsid w:val="00007D2D"/>
    <w:rsid w:val="00007E27"/>
    <w:rsid w:val="00010052"/>
    <w:rsid w:val="0001009B"/>
    <w:rsid w:val="0001030F"/>
    <w:rsid w:val="000103B1"/>
    <w:rsid w:val="000103D5"/>
    <w:rsid w:val="00010469"/>
    <w:rsid w:val="00010765"/>
    <w:rsid w:val="000107D1"/>
    <w:rsid w:val="00010A2C"/>
    <w:rsid w:val="00010B60"/>
    <w:rsid w:val="00010C9C"/>
    <w:rsid w:val="00010CE9"/>
    <w:rsid w:val="00010EE5"/>
    <w:rsid w:val="00011093"/>
    <w:rsid w:val="000110A6"/>
    <w:rsid w:val="000110C4"/>
    <w:rsid w:val="00011167"/>
    <w:rsid w:val="00011473"/>
    <w:rsid w:val="000115EE"/>
    <w:rsid w:val="00011783"/>
    <w:rsid w:val="000118B5"/>
    <w:rsid w:val="000119FD"/>
    <w:rsid w:val="00011A93"/>
    <w:rsid w:val="00011AB6"/>
    <w:rsid w:val="00011ADC"/>
    <w:rsid w:val="00011B02"/>
    <w:rsid w:val="00011DC5"/>
    <w:rsid w:val="00011E3C"/>
    <w:rsid w:val="0001205F"/>
    <w:rsid w:val="00012330"/>
    <w:rsid w:val="00012691"/>
    <w:rsid w:val="00012883"/>
    <w:rsid w:val="000128BF"/>
    <w:rsid w:val="00012C90"/>
    <w:rsid w:val="00012D73"/>
    <w:rsid w:val="00012F3F"/>
    <w:rsid w:val="00013029"/>
    <w:rsid w:val="00013076"/>
    <w:rsid w:val="000132D0"/>
    <w:rsid w:val="000132E1"/>
    <w:rsid w:val="00013323"/>
    <w:rsid w:val="00013444"/>
    <w:rsid w:val="00013710"/>
    <w:rsid w:val="0001382A"/>
    <w:rsid w:val="00013919"/>
    <w:rsid w:val="00013B1A"/>
    <w:rsid w:val="00013FB4"/>
    <w:rsid w:val="00013FF2"/>
    <w:rsid w:val="0001404A"/>
    <w:rsid w:val="000141B2"/>
    <w:rsid w:val="0001445F"/>
    <w:rsid w:val="000145B3"/>
    <w:rsid w:val="00014BCB"/>
    <w:rsid w:val="00014CD3"/>
    <w:rsid w:val="000151E5"/>
    <w:rsid w:val="00015280"/>
    <w:rsid w:val="00015377"/>
    <w:rsid w:val="000154E8"/>
    <w:rsid w:val="000155B9"/>
    <w:rsid w:val="0001614A"/>
    <w:rsid w:val="0001619F"/>
    <w:rsid w:val="00016277"/>
    <w:rsid w:val="000162AB"/>
    <w:rsid w:val="0001634B"/>
    <w:rsid w:val="00016C09"/>
    <w:rsid w:val="00016E7A"/>
    <w:rsid w:val="000171E6"/>
    <w:rsid w:val="00017200"/>
    <w:rsid w:val="000172AF"/>
    <w:rsid w:val="0001744D"/>
    <w:rsid w:val="0001751B"/>
    <w:rsid w:val="0001762F"/>
    <w:rsid w:val="00017B7B"/>
    <w:rsid w:val="00017C35"/>
    <w:rsid w:val="000203A0"/>
    <w:rsid w:val="000204CB"/>
    <w:rsid w:val="0002090E"/>
    <w:rsid w:val="00020B7D"/>
    <w:rsid w:val="00020E71"/>
    <w:rsid w:val="00020EAD"/>
    <w:rsid w:val="00020ED7"/>
    <w:rsid w:val="00020F87"/>
    <w:rsid w:val="00020FFD"/>
    <w:rsid w:val="000210AD"/>
    <w:rsid w:val="00021161"/>
    <w:rsid w:val="00021231"/>
    <w:rsid w:val="0002126E"/>
    <w:rsid w:val="000212D1"/>
    <w:rsid w:val="000218E0"/>
    <w:rsid w:val="0002194F"/>
    <w:rsid w:val="00021964"/>
    <w:rsid w:val="00021B51"/>
    <w:rsid w:val="00021B96"/>
    <w:rsid w:val="00021CDD"/>
    <w:rsid w:val="00021E37"/>
    <w:rsid w:val="00021EBD"/>
    <w:rsid w:val="00021F62"/>
    <w:rsid w:val="00021F9A"/>
    <w:rsid w:val="000220AF"/>
    <w:rsid w:val="00022247"/>
    <w:rsid w:val="00022622"/>
    <w:rsid w:val="00022765"/>
    <w:rsid w:val="00022A00"/>
    <w:rsid w:val="00022AEE"/>
    <w:rsid w:val="00022DD6"/>
    <w:rsid w:val="00022FFF"/>
    <w:rsid w:val="0002329C"/>
    <w:rsid w:val="000235F9"/>
    <w:rsid w:val="000236A4"/>
    <w:rsid w:val="00023793"/>
    <w:rsid w:val="00023794"/>
    <w:rsid w:val="00023A77"/>
    <w:rsid w:val="00023AE6"/>
    <w:rsid w:val="00023BB3"/>
    <w:rsid w:val="00023BBC"/>
    <w:rsid w:val="00023C68"/>
    <w:rsid w:val="00023F9B"/>
    <w:rsid w:val="000240A5"/>
    <w:rsid w:val="000244B5"/>
    <w:rsid w:val="00024595"/>
    <w:rsid w:val="00024999"/>
    <w:rsid w:val="000249A5"/>
    <w:rsid w:val="00024A9B"/>
    <w:rsid w:val="00025060"/>
    <w:rsid w:val="0002551E"/>
    <w:rsid w:val="00025662"/>
    <w:rsid w:val="000257F4"/>
    <w:rsid w:val="0002588F"/>
    <w:rsid w:val="0002595C"/>
    <w:rsid w:val="00025CCC"/>
    <w:rsid w:val="00026286"/>
    <w:rsid w:val="00026304"/>
    <w:rsid w:val="000263BA"/>
    <w:rsid w:val="00026439"/>
    <w:rsid w:val="00026492"/>
    <w:rsid w:val="000265FF"/>
    <w:rsid w:val="000268B5"/>
    <w:rsid w:val="0002692B"/>
    <w:rsid w:val="000269AE"/>
    <w:rsid w:val="00026D05"/>
    <w:rsid w:val="00026D98"/>
    <w:rsid w:val="00026DC8"/>
    <w:rsid w:val="00026DDC"/>
    <w:rsid w:val="00026FF9"/>
    <w:rsid w:val="0002710D"/>
    <w:rsid w:val="000272FE"/>
    <w:rsid w:val="000274C6"/>
    <w:rsid w:val="0002789E"/>
    <w:rsid w:val="00027A5A"/>
    <w:rsid w:val="00027A8C"/>
    <w:rsid w:val="00027C5B"/>
    <w:rsid w:val="00027CA4"/>
    <w:rsid w:val="00027D8C"/>
    <w:rsid w:val="00027E10"/>
    <w:rsid w:val="000301AE"/>
    <w:rsid w:val="00030315"/>
    <w:rsid w:val="00030368"/>
    <w:rsid w:val="00030432"/>
    <w:rsid w:val="000305F5"/>
    <w:rsid w:val="00030670"/>
    <w:rsid w:val="000307DE"/>
    <w:rsid w:val="00031097"/>
    <w:rsid w:val="000314D7"/>
    <w:rsid w:val="00031871"/>
    <w:rsid w:val="00032030"/>
    <w:rsid w:val="0003224B"/>
    <w:rsid w:val="00032343"/>
    <w:rsid w:val="00032BC5"/>
    <w:rsid w:val="00032CBC"/>
    <w:rsid w:val="00032EBC"/>
    <w:rsid w:val="00033192"/>
    <w:rsid w:val="000332AA"/>
    <w:rsid w:val="00033300"/>
    <w:rsid w:val="00033358"/>
    <w:rsid w:val="0003356C"/>
    <w:rsid w:val="0003374B"/>
    <w:rsid w:val="00033C3F"/>
    <w:rsid w:val="00033CDC"/>
    <w:rsid w:val="00033E7E"/>
    <w:rsid w:val="00033F13"/>
    <w:rsid w:val="00033F7B"/>
    <w:rsid w:val="00033F82"/>
    <w:rsid w:val="00033FA2"/>
    <w:rsid w:val="000342A3"/>
    <w:rsid w:val="00034479"/>
    <w:rsid w:val="00034784"/>
    <w:rsid w:val="000347DA"/>
    <w:rsid w:val="000349C6"/>
    <w:rsid w:val="00034A2E"/>
    <w:rsid w:val="00034B36"/>
    <w:rsid w:val="00034CD3"/>
    <w:rsid w:val="0003546C"/>
    <w:rsid w:val="00035BF8"/>
    <w:rsid w:val="00035C94"/>
    <w:rsid w:val="00035E4C"/>
    <w:rsid w:val="00036300"/>
    <w:rsid w:val="000367E8"/>
    <w:rsid w:val="00036BDE"/>
    <w:rsid w:val="00037066"/>
    <w:rsid w:val="00037434"/>
    <w:rsid w:val="00037553"/>
    <w:rsid w:val="00037736"/>
    <w:rsid w:val="00037B28"/>
    <w:rsid w:val="00040113"/>
    <w:rsid w:val="00040455"/>
    <w:rsid w:val="0004046C"/>
    <w:rsid w:val="00040C13"/>
    <w:rsid w:val="00040C22"/>
    <w:rsid w:val="00040E19"/>
    <w:rsid w:val="00040E6E"/>
    <w:rsid w:val="00040FA8"/>
    <w:rsid w:val="00041723"/>
    <w:rsid w:val="00041B7D"/>
    <w:rsid w:val="00041C6F"/>
    <w:rsid w:val="00041CB3"/>
    <w:rsid w:val="00042179"/>
    <w:rsid w:val="00042500"/>
    <w:rsid w:val="0004282C"/>
    <w:rsid w:val="00042A42"/>
    <w:rsid w:val="00042BAD"/>
    <w:rsid w:val="00042C96"/>
    <w:rsid w:val="00042D60"/>
    <w:rsid w:val="00042DF6"/>
    <w:rsid w:val="00043304"/>
    <w:rsid w:val="000434F7"/>
    <w:rsid w:val="000435CA"/>
    <w:rsid w:val="00043783"/>
    <w:rsid w:val="00043B86"/>
    <w:rsid w:val="00043D77"/>
    <w:rsid w:val="00043EAC"/>
    <w:rsid w:val="000443E7"/>
    <w:rsid w:val="000445EC"/>
    <w:rsid w:val="000447A7"/>
    <w:rsid w:val="000447C8"/>
    <w:rsid w:val="000448CA"/>
    <w:rsid w:val="00044975"/>
    <w:rsid w:val="00044CB8"/>
    <w:rsid w:val="00044E28"/>
    <w:rsid w:val="00044F17"/>
    <w:rsid w:val="0004520C"/>
    <w:rsid w:val="000452F9"/>
    <w:rsid w:val="00045595"/>
    <w:rsid w:val="00045730"/>
    <w:rsid w:val="000459E5"/>
    <w:rsid w:val="00045D9A"/>
    <w:rsid w:val="00045F5B"/>
    <w:rsid w:val="000467B3"/>
    <w:rsid w:val="0004723D"/>
    <w:rsid w:val="0004761A"/>
    <w:rsid w:val="0004761E"/>
    <w:rsid w:val="000476A2"/>
    <w:rsid w:val="00047754"/>
    <w:rsid w:val="00047B31"/>
    <w:rsid w:val="00047B8A"/>
    <w:rsid w:val="00047BC9"/>
    <w:rsid w:val="0005009D"/>
    <w:rsid w:val="000500E7"/>
    <w:rsid w:val="000501A7"/>
    <w:rsid w:val="0005022A"/>
    <w:rsid w:val="000502D6"/>
    <w:rsid w:val="00050551"/>
    <w:rsid w:val="00050AEE"/>
    <w:rsid w:val="00050CBE"/>
    <w:rsid w:val="00050D11"/>
    <w:rsid w:val="00050D81"/>
    <w:rsid w:val="00050DAE"/>
    <w:rsid w:val="00050F2E"/>
    <w:rsid w:val="00051129"/>
    <w:rsid w:val="00051366"/>
    <w:rsid w:val="00051622"/>
    <w:rsid w:val="00051638"/>
    <w:rsid w:val="000518FB"/>
    <w:rsid w:val="0005195D"/>
    <w:rsid w:val="00051A2F"/>
    <w:rsid w:val="00051B6E"/>
    <w:rsid w:val="00051CF2"/>
    <w:rsid w:val="00051EF1"/>
    <w:rsid w:val="00051F1E"/>
    <w:rsid w:val="00051FF3"/>
    <w:rsid w:val="0005211D"/>
    <w:rsid w:val="000522C5"/>
    <w:rsid w:val="00052383"/>
    <w:rsid w:val="000525A5"/>
    <w:rsid w:val="000525AA"/>
    <w:rsid w:val="000527A3"/>
    <w:rsid w:val="000528A0"/>
    <w:rsid w:val="00052CD9"/>
    <w:rsid w:val="00053167"/>
    <w:rsid w:val="00053368"/>
    <w:rsid w:val="0005355E"/>
    <w:rsid w:val="0005389A"/>
    <w:rsid w:val="000538BB"/>
    <w:rsid w:val="00053ADB"/>
    <w:rsid w:val="00053F07"/>
    <w:rsid w:val="0005423C"/>
    <w:rsid w:val="000542CB"/>
    <w:rsid w:val="000542CE"/>
    <w:rsid w:val="00054711"/>
    <w:rsid w:val="00054776"/>
    <w:rsid w:val="00054958"/>
    <w:rsid w:val="000549A6"/>
    <w:rsid w:val="00054A20"/>
    <w:rsid w:val="00054ADE"/>
    <w:rsid w:val="00054C61"/>
    <w:rsid w:val="00054DFA"/>
    <w:rsid w:val="00054F2D"/>
    <w:rsid w:val="00054F46"/>
    <w:rsid w:val="000553CB"/>
    <w:rsid w:val="0005575C"/>
    <w:rsid w:val="0005590E"/>
    <w:rsid w:val="000559B6"/>
    <w:rsid w:val="00055AE0"/>
    <w:rsid w:val="00055B66"/>
    <w:rsid w:val="00055C73"/>
    <w:rsid w:val="00055D43"/>
    <w:rsid w:val="00055DBD"/>
    <w:rsid w:val="00055E24"/>
    <w:rsid w:val="0005604C"/>
    <w:rsid w:val="000561E5"/>
    <w:rsid w:val="00056338"/>
    <w:rsid w:val="00056529"/>
    <w:rsid w:val="00056705"/>
    <w:rsid w:val="00056AE3"/>
    <w:rsid w:val="00056F09"/>
    <w:rsid w:val="00056FD6"/>
    <w:rsid w:val="00057035"/>
    <w:rsid w:val="0005704E"/>
    <w:rsid w:val="00057260"/>
    <w:rsid w:val="000573D3"/>
    <w:rsid w:val="00057732"/>
    <w:rsid w:val="0005789D"/>
    <w:rsid w:val="0005792D"/>
    <w:rsid w:val="00057941"/>
    <w:rsid w:val="00057FEB"/>
    <w:rsid w:val="00060719"/>
    <w:rsid w:val="0006098A"/>
    <w:rsid w:val="00060A43"/>
    <w:rsid w:val="00060A73"/>
    <w:rsid w:val="00060ADF"/>
    <w:rsid w:val="000610A5"/>
    <w:rsid w:val="00061276"/>
    <w:rsid w:val="000612A5"/>
    <w:rsid w:val="000618C0"/>
    <w:rsid w:val="000619D4"/>
    <w:rsid w:val="00061BB3"/>
    <w:rsid w:val="00061DC3"/>
    <w:rsid w:val="00061F1F"/>
    <w:rsid w:val="00061F93"/>
    <w:rsid w:val="00062043"/>
    <w:rsid w:val="000622D7"/>
    <w:rsid w:val="000629D4"/>
    <w:rsid w:val="00062A05"/>
    <w:rsid w:val="00062A8B"/>
    <w:rsid w:val="000630AC"/>
    <w:rsid w:val="000630D2"/>
    <w:rsid w:val="00063196"/>
    <w:rsid w:val="00063392"/>
    <w:rsid w:val="000634B6"/>
    <w:rsid w:val="000634D4"/>
    <w:rsid w:val="00063678"/>
    <w:rsid w:val="00063848"/>
    <w:rsid w:val="000639E0"/>
    <w:rsid w:val="00063BC4"/>
    <w:rsid w:val="00064087"/>
    <w:rsid w:val="000642CE"/>
    <w:rsid w:val="000643AD"/>
    <w:rsid w:val="0006442C"/>
    <w:rsid w:val="000646B4"/>
    <w:rsid w:val="000646F0"/>
    <w:rsid w:val="00064745"/>
    <w:rsid w:val="000647DD"/>
    <w:rsid w:val="00064A99"/>
    <w:rsid w:val="00064B5A"/>
    <w:rsid w:val="00064CC5"/>
    <w:rsid w:val="00064CDB"/>
    <w:rsid w:val="00064E4A"/>
    <w:rsid w:val="00064F22"/>
    <w:rsid w:val="0006509B"/>
    <w:rsid w:val="000652D3"/>
    <w:rsid w:val="0006532D"/>
    <w:rsid w:val="00065896"/>
    <w:rsid w:val="0006595D"/>
    <w:rsid w:val="00065B50"/>
    <w:rsid w:val="00065C01"/>
    <w:rsid w:val="00065D23"/>
    <w:rsid w:val="000660B3"/>
    <w:rsid w:val="0006662A"/>
    <w:rsid w:val="000669BE"/>
    <w:rsid w:val="000669FF"/>
    <w:rsid w:val="00066A05"/>
    <w:rsid w:val="00066A8C"/>
    <w:rsid w:val="00066CF2"/>
    <w:rsid w:val="00066D1F"/>
    <w:rsid w:val="0006717D"/>
    <w:rsid w:val="000671CE"/>
    <w:rsid w:val="0006736A"/>
    <w:rsid w:val="00067474"/>
    <w:rsid w:val="00067B6D"/>
    <w:rsid w:val="00067E42"/>
    <w:rsid w:val="00067E6F"/>
    <w:rsid w:val="00067F92"/>
    <w:rsid w:val="0007000B"/>
    <w:rsid w:val="00070249"/>
    <w:rsid w:val="0007025A"/>
    <w:rsid w:val="00070641"/>
    <w:rsid w:val="00070B44"/>
    <w:rsid w:val="00070BAE"/>
    <w:rsid w:val="00070C2C"/>
    <w:rsid w:val="00071157"/>
    <w:rsid w:val="000712CB"/>
    <w:rsid w:val="000712ED"/>
    <w:rsid w:val="00071365"/>
    <w:rsid w:val="000714D6"/>
    <w:rsid w:val="00071BDA"/>
    <w:rsid w:val="00071DD3"/>
    <w:rsid w:val="00071E1B"/>
    <w:rsid w:val="00071E73"/>
    <w:rsid w:val="0007213D"/>
    <w:rsid w:val="0007222B"/>
    <w:rsid w:val="000722DC"/>
    <w:rsid w:val="0007231B"/>
    <w:rsid w:val="0007241C"/>
    <w:rsid w:val="0007257C"/>
    <w:rsid w:val="00072615"/>
    <w:rsid w:val="000728CF"/>
    <w:rsid w:val="000729D2"/>
    <w:rsid w:val="00072A36"/>
    <w:rsid w:val="00072D3F"/>
    <w:rsid w:val="00072D95"/>
    <w:rsid w:val="00072E5D"/>
    <w:rsid w:val="00072F2A"/>
    <w:rsid w:val="000733D6"/>
    <w:rsid w:val="000734D2"/>
    <w:rsid w:val="000734F2"/>
    <w:rsid w:val="0007370D"/>
    <w:rsid w:val="00073842"/>
    <w:rsid w:val="000738A3"/>
    <w:rsid w:val="00073974"/>
    <w:rsid w:val="000739B9"/>
    <w:rsid w:val="00073A5A"/>
    <w:rsid w:val="00073B57"/>
    <w:rsid w:val="000740FD"/>
    <w:rsid w:val="000740FF"/>
    <w:rsid w:val="0007419F"/>
    <w:rsid w:val="000745B6"/>
    <w:rsid w:val="0007479A"/>
    <w:rsid w:val="000747B1"/>
    <w:rsid w:val="00074CB4"/>
    <w:rsid w:val="00074D4F"/>
    <w:rsid w:val="00074E00"/>
    <w:rsid w:val="000751EF"/>
    <w:rsid w:val="000752E3"/>
    <w:rsid w:val="0007553A"/>
    <w:rsid w:val="0007579B"/>
    <w:rsid w:val="0007581B"/>
    <w:rsid w:val="0007582F"/>
    <w:rsid w:val="00075BAE"/>
    <w:rsid w:val="00075D51"/>
    <w:rsid w:val="00076773"/>
    <w:rsid w:val="00076A5A"/>
    <w:rsid w:val="00076BFC"/>
    <w:rsid w:val="00076D05"/>
    <w:rsid w:val="00076E1E"/>
    <w:rsid w:val="00076E4C"/>
    <w:rsid w:val="00076E91"/>
    <w:rsid w:val="00077275"/>
    <w:rsid w:val="00077337"/>
    <w:rsid w:val="0007742F"/>
    <w:rsid w:val="00077510"/>
    <w:rsid w:val="0007757A"/>
    <w:rsid w:val="000775F4"/>
    <w:rsid w:val="00077888"/>
    <w:rsid w:val="000778E7"/>
    <w:rsid w:val="000778FD"/>
    <w:rsid w:val="00077AB9"/>
    <w:rsid w:val="00077BC4"/>
    <w:rsid w:val="00077C05"/>
    <w:rsid w:val="00077D0F"/>
    <w:rsid w:val="00077F7D"/>
    <w:rsid w:val="00080156"/>
    <w:rsid w:val="000802E2"/>
    <w:rsid w:val="00080A11"/>
    <w:rsid w:val="00080AFB"/>
    <w:rsid w:val="00080EC9"/>
    <w:rsid w:val="000812BB"/>
    <w:rsid w:val="00081438"/>
    <w:rsid w:val="0008143B"/>
    <w:rsid w:val="0008152D"/>
    <w:rsid w:val="000816FC"/>
    <w:rsid w:val="00081951"/>
    <w:rsid w:val="00081A58"/>
    <w:rsid w:val="00081EF7"/>
    <w:rsid w:val="00082157"/>
    <w:rsid w:val="00082183"/>
    <w:rsid w:val="00082466"/>
    <w:rsid w:val="000824C0"/>
    <w:rsid w:val="0008250F"/>
    <w:rsid w:val="00082588"/>
    <w:rsid w:val="000826B6"/>
    <w:rsid w:val="000826C1"/>
    <w:rsid w:val="00082713"/>
    <w:rsid w:val="00082752"/>
    <w:rsid w:val="00082C23"/>
    <w:rsid w:val="00082CEA"/>
    <w:rsid w:val="00082E9A"/>
    <w:rsid w:val="000830C3"/>
    <w:rsid w:val="000831A4"/>
    <w:rsid w:val="0008356D"/>
    <w:rsid w:val="00083992"/>
    <w:rsid w:val="00083C2E"/>
    <w:rsid w:val="00083D6F"/>
    <w:rsid w:val="00084316"/>
    <w:rsid w:val="0008433B"/>
    <w:rsid w:val="000843C9"/>
    <w:rsid w:val="0008456E"/>
    <w:rsid w:val="00084B94"/>
    <w:rsid w:val="00084CEA"/>
    <w:rsid w:val="00084DAA"/>
    <w:rsid w:val="00084F28"/>
    <w:rsid w:val="00084F61"/>
    <w:rsid w:val="00085022"/>
    <w:rsid w:val="000851B6"/>
    <w:rsid w:val="00085246"/>
    <w:rsid w:val="00085615"/>
    <w:rsid w:val="0008561E"/>
    <w:rsid w:val="0008578B"/>
    <w:rsid w:val="00085868"/>
    <w:rsid w:val="00085BC4"/>
    <w:rsid w:val="00085E4F"/>
    <w:rsid w:val="00086870"/>
    <w:rsid w:val="00086B06"/>
    <w:rsid w:val="00086CCF"/>
    <w:rsid w:val="00086D92"/>
    <w:rsid w:val="000874D5"/>
    <w:rsid w:val="00087511"/>
    <w:rsid w:val="000876C7"/>
    <w:rsid w:val="00087715"/>
    <w:rsid w:val="000878BE"/>
    <w:rsid w:val="000878EC"/>
    <w:rsid w:val="00087D3C"/>
    <w:rsid w:val="000901B2"/>
    <w:rsid w:val="000903DC"/>
    <w:rsid w:val="0009070E"/>
    <w:rsid w:val="00090872"/>
    <w:rsid w:val="00090ACD"/>
    <w:rsid w:val="00090D89"/>
    <w:rsid w:val="00090F77"/>
    <w:rsid w:val="00091373"/>
    <w:rsid w:val="0009142F"/>
    <w:rsid w:val="00091795"/>
    <w:rsid w:val="00091A80"/>
    <w:rsid w:val="00091B3D"/>
    <w:rsid w:val="00091CE9"/>
    <w:rsid w:val="00091F8C"/>
    <w:rsid w:val="00092011"/>
    <w:rsid w:val="000920A1"/>
    <w:rsid w:val="0009215F"/>
    <w:rsid w:val="00092191"/>
    <w:rsid w:val="00092311"/>
    <w:rsid w:val="000923C1"/>
    <w:rsid w:val="00092684"/>
    <w:rsid w:val="00092AEA"/>
    <w:rsid w:val="00092C2B"/>
    <w:rsid w:val="00092D3A"/>
    <w:rsid w:val="00092EA2"/>
    <w:rsid w:val="00093239"/>
    <w:rsid w:val="00093428"/>
    <w:rsid w:val="00093BD6"/>
    <w:rsid w:val="00093D2A"/>
    <w:rsid w:val="00093E95"/>
    <w:rsid w:val="00093EAC"/>
    <w:rsid w:val="00093FA9"/>
    <w:rsid w:val="00094662"/>
    <w:rsid w:val="000948FC"/>
    <w:rsid w:val="000949AE"/>
    <w:rsid w:val="00095068"/>
    <w:rsid w:val="000950F6"/>
    <w:rsid w:val="00095185"/>
    <w:rsid w:val="0009521A"/>
    <w:rsid w:val="000952AE"/>
    <w:rsid w:val="00095524"/>
    <w:rsid w:val="00095689"/>
    <w:rsid w:val="0009578B"/>
    <w:rsid w:val="00095877"/>
    <w:rsid w:val="00095A18"/>
    <w:rsid w:val="00095FDD"/>
    <w:rsid w:val="00096180"/>
    <w:rsid w:val="000961D8"/>
    <w:rsid w:val="0009635D"/>
    <w:rsid w:val="0009663D"/>
    <w:rsid w:val="000966E0"/>
    <w:rsid w:val="000966E4"/>
    <w:rsid w:val="00096794"/>
    <w:rsid w:val="000967F9"/>
    <w:rsid w:val="0009680D"/>
    <w:rsid w:val="00096839"/>
    <w:rsid w:val="00096891"/>
    <w:rsid w:val="000968D5"/>
    <w:rsid w:val="0009697E"/>
    <w:rsid w:val="0009712D"/>
    <w:rsid w:val="00097731"/>
    <w:rsid w:val="00097732"/>
    <w:rsid w:val="000978A3"/>
    <w:rsid w:val="000979A3"/>
    <w:rsid w:val="00097F11"/>
    <w:rsid w:val="000A03F0"/>
    <w:rsid w:val="000A0515"/>
    <w:rsid w:val="000A05A9"/>
    <w:rsid w:val="000A05E6"/>
    <w:rsid w:val="000A064D"/>
    <w:rsid w:val="000A0807"/>
    <w:rsid w:val="000A0848"/>
    <w:rsid w:val="000A090C"/>
    <w:rsid w:val="000A0B33"/>
    <w:rsid w:val="000A0CEC"/>
    <w:rsid w:val="000A0FE6"/>
    <w:rsid w:val="000A1152"/>
    <w:rsid w:val="000A13C3"/>
    <w:rsid w:val="000A1675"/>
    <w:rsid w:val="000A170C"/>
    <w:rsid w:val="000A1E41"/>
    <w:rsid w:val="000A1F0C"/>
    <w:rsid w:val="000A1FBC"/>
    <w:rsid w:val="000A2431"/>
    <w:rsid w:val="000A2802"/>
    <w:rsid w:val="000A2BC9"/>
    <w:rsid w:val="000A2EF1"/>
    <w:rsid w:val="000A309E"/>
    <w:rsid w:val="000A345A"/>
    <w:rsid w:val="000A361C"/>
    <w:rsid w:val="000A36E6"/>
    <w:rsid w:val="000A372B"/>
    <w:rsid w:val="000A3776"/>
    <w:rsid w:val="000A3CED"/>
    <w:rsid w:val="000A3D2D"/>
    <w:rsid w:val="000A3DB3"/>
    <w:rsid w:val="000A3DEF"/>
    <w:rsid w:val="000A4210"/>
    <w:rsid w:val="000A444A"/>
    <w:rsid w:val="000A44BE"/>
    <w:rsid w:val="000A44FD"/>
    <w:rsid w:val="000A4611"/>
    <w:rsid w:val="000A4860"/>
    <w:rsid w:val="000A49C0"/>
    <w:rsid w:val="000A4AA9"/>
    <w:rsid w:val="000A4BC7"/>
    <w:rsid w:val="000A4BC8"/>
    <w:rsid w:val="000A4F51"/>
    <w:rsid w:val="000A50F2"/>
    <w:rsid w:val="000A53DF"/>
    <w:rsid w:val="000A58D5"/>
    <w:rsid w:val="000A5B19"/>
    <w:rsid w:val="000A5F9C"/>
    <w:rsid w:val="000A6005"/>
    <w:rsid w:val="000A63E2"/>
    <w:rsid w:val="000A650F"/>
    <w:rsid w:val="000A67D0"/>
    <w:rsid w:val="000A69AE"/>
    <w:rsid w:val="000A6F23"/>
    <w:rsid w:val="000A6F29"/>
    <w:rsid w:val="000A7310"/>
    <w:rsid w:val="000A73D6"/>
    <w:rsid w:val="000A7520"/>
    <w:rsid w:val="000A783E"/>
    <w:rsid w:val="000A7B3C"/>
    <w:rsid w:val="000A7C4B"/>
    <w:rsid w:val="000A7C73"/>
    <w:rsid w:val="000A7CD2"/>
    <w:rsid w:val="000B020A"/>
    <w:rsid w:val="000B03BA"/>
    <w:rsid w:val="000B03C9"/>
    <w:rsid w:val="000B0A38"/>
    <w:rsid w:val="000B0DCD"/>
    <w:rsid w:val="000B0E57"/>
    <w:rsid w:val="000B0EE5"/>
    <w:rsid w:val="000B126D"/>
    <w:rsid w:val="000B12AF"/>
    <w:rsid w:val="000B1608"/>
    <w:rsid w:val="000B1ABC"/>
    <w:rsid w:val="000B1BC6"/>
    <w:rsid w:val="000B1EAE"/>
    <w:rsid w:val="000B1F1D"/>
    <w:rsid w:val="000B1F2E"/>
    <w:rsid w:val="000B23DA"/>
    <w:rsid w:val="000B23FB"/>
    <w:rsid w:val="000B2457"/>
    <w:rsid w:val="000B26B1"/>
    <w:rsid w:val="000B26F3"/>
    <w:rsid w:val="000B29A8"/>
    <w:rsid w:val="000B29CE"/>
    <w:rsid w:val="000B2A41"/>
    <w:rsid w:val="000B2A68"/>
    <w:rsid w:val="000B2CE1"/>
    <w:rsid w:val="000B2D79"/>
    <w:rsid w:val="000B2EC2"/>
    <w:rsid w:val="000B2F87"/>
    <w:rsid w:val="000B305B"/>
    <w:rsid w:val="000B3166"/>
    <w:rsid w:val="000B321C"/>
    <w:rsid w:val="000B32CA"/>
    <w:rsid w:val="000B34DB"/>
    <w:rsid w:val="000B36D4"/>
    <w:rsid w:val="000B3A4B"/>
    <w:rsid w:val="000B3A9E"/>
    <w:rsid w:val="000B3AF0"/>
    <w:rsid w:val="000B3B61"/>
    <w:rsid w:val="000B3C61"/>
    <w:rsid w:val="000B3E97"/>
    <w:rsid w:val="000B3EC1"/>
    <w:rsid w:val="000B406A"/>
    <w:rsid w:val="000B434B"/>
    <w:rsid w:val="000B488E"/>
    <w:rsid w:val="000B4A6A"/>
    <w:rsid w:val="000B4B6E"/>
    <w:rsid w:val="000B4E03"/>
    <w:rsid w:val="000B511E"/>
    <w:rsid w:val="000B51AB"/>
    <w:rsid w:val="000B5320"/>
    <w:rsid w:val="000B557D"/>
    <w:rsid w:val="000B558F"/>
    <w:rsid w:val="000B55AE"/>
    <w:rsid w:val="000B5883"/>
    <w:rsid w:val="000B5AE8"/>
    <w:rsid w:val="000B5AFB"/>
    <w:rsid w:val="000B5C0E"/>
    <w:rsid w:val="000B5CE1"/>
    <w:rsid w:val="000B60D7"/>
    <w:rsid w:val="000B6242"/>
    <w:rsid w:val="000B6455"/>
    <w:rsid w:val="000B6723"/>
    <w:rsid w:val="000B67B6"/>
    <w:rsid w:val="000B696E"/>
    <w:rsid w:val="000B6B70"/>
    <w:rsid w:val="000B6D32"/>
    <w:rsid w:val="000B6EAC"/>
    <w:rsid w:val="000B6EBF"/>
    <w:rsid w:val="000B6F74"/>
    <w:rsid w:val="000B7070"/>
    <w:rsid w:val="000B70F5"/>
    <w:rsid w:val="000B73C9"/>
    <w:rsid w:val="000B7566"/>
    <w:rsid w:val="000B78C1"/>
    <w:rsid w:val="000B7971"/>
    <w:rsid w:val="000B7BC0"/>
    <w:rsid w:val="000B7BF7"/>
    <w:rsid w:val="000B7E44"/>
    <w:rsid w:val="000B7E89"/>
    <w:rsid w:val="000C03D1"/>
    <w:rsid w:val="000C050A"/>
    <w:rsid w:val="000C0564"/>
    <w:rsid w:val="000C059C"/>
    <w:rsid w:val="000C0751"/>
    <w:rsid w:val="000C0977"/>
    <w:rsid w:val="000C0E2B"/>
    <w:rsid w:val="000C0E50"/>
    <w:rsid w:val="000C0EDB"/>
    <w:rsid w:val="000C112F"/>
    <w:rsid w:val="000C13F9"/>
    <w:rsid w:val="000C1411"/>
    <w:rsid w:val="000C1486"/>
    <w:rsid w:val="000C1487"/>
    <w:rsid w:val="000C160E"/>
    <w:rsid w:val="000C179B"/>
    <w:rsid w:val="000C1805"/>
    <w:rsid w:val="000C1D05"/>
    <w:rsid w:val="000C1E53"/>
    <w:rsid w:val="000C2244"/>
    <w:rsid w:val="000C22D0"/>
    <w:rsid w:val="000C2EAB"/>
    <w:rsid w:val="000C32F4"/>
    <w:rsid w:val="000C3425"/>
    <w:rsid w:val="000C3459"/>
    <w:rsid w:val="000C3658"/>
    <w:rsid w:val="000C3748"/>
    <w:rsid w:val="000C3A26"/>
    <w:rsid w:val="000C3E51"/>
    <w:rsid w:val="000C3F33"/>
    <w:rsid w:val="000C401F"/>
    <w:rsid w:val="000C4277"/>
    <w:rsid w:val="000C4913"/>
    <w:rsid w:val="000C49BF"/>
    <w:rsid w:val="000C4AD9"/>
    <w:rsid w:val="000C4FF6"/>
    <w:rsid w:val="000C54D6"/>
    <w:rsid w:val="000C5A90"/>
    <w:rsid w:val="000C5A9F"/>
    <w:rsid w:val="000C5C1E"/>
    <w:rsid w:val="000C5CB8"/>
    <w:rsid w:val="000C5CCA"/>
    <w:rsid w:val="000C61B1"/>
    <w:rsid w:val="000C62C0"/>
    <w:rsid w:val="000C6423"/>
    <w:rsid w:val="000C65B4"/>
    <w:rsid w:val="000C6973"/>
    <w:rsid w:val="000C6A76"/>
    <w:rsid w:val="000C6E7C"/>
    <w:rsid w:val="000C71D0"/>
    <w:rsid w:val="000C7230"/>
    <w:rsid w:val="000C73E4"/>
    <w:rsid w:val="000C770C"/>
    <w:rsid w:val="000C77A9"/>
    <w:rsid w:val="000C7926"/>
    <w:rsid w:val="000C7976"/>
    <w:rsid w:val="000C7A09"/>
    <w:rsid w:val="000C7A28"/>
    <w:rsid w:val="000C7C7A"/>
    <w:rsid w:val="000C7D7C"/>
    <w:rsid w:val="000D0264"/>
    <w:rsid w:val="000D07F3"/>
    <w:rsid w:val="000D0853"/>
    <w:rsid w:val="000D088F"/>
    <w:rsid w:val="000D0911"/>
    <w:rsid w:val="000D109B"/>
    <w:rsid w:val="000D118D"/>
    <w:rsid w:val="000D1302"/>
    <w:rsid w:val="000D14D4"/>
    <w:rsid w:val="000D15E1"/>
    <w:rsid w:val="000D1BA4"/>
    <w:rsid w:val="000D1F23"/>
    <w:rsid w:val="000D1FF4"/>
    <w:rsid w:val="000D2029"/>
    <w:rsid w:val="000D2066"/>
    <w:rsid w:val="000D214E"/>
    <w:rsid w:val="000D22A0"/>
    <w:rsid w:val="000D248C"/>
    <w:rsid w:val="000D2569"/>
    <w:rsid w:val="000D2A5F"/>
    <w:rsid w:val="000D2CEF"/>
    <w:rsid w:val="000D2FD1"/>
    <w:rsid w:val="000D325F"/>
    <w:rsid w:val="000D32AF"/>
    <w:rsid w:val="000D3380"/>
    <w:rsid w:val="000D3788"/>
    <w:rsid w:val="000D3990"/>
    <w:rsid w:val="000D3E4A"/>
    <w:rsid w:val="000D3FEC"/>
    <w:rsid w:val="000D4195"/>
    <w:rsid w:val="000D420B"/>
    <w:rsid w:val="000D4253"/>
    <w:rsid w:val="000D432A"/>
    <w:rsid w:val="000D4596"/>
    <w:rsid w:val="000D460B"/>
    <w:rsid w:val="000D4679"/>
    <w:rsid w:val="000D4DD2"/>
    <w:rsid w:val="000D4E3E"/>
    <w:rsid w:val="000D4EC7"/>
    <w:rsid w:val="000D5388"/>
    <w:rsid w:val="000D577A"/>
    <w:rsid w:val="000D5879"/>
    <w:rsid w:val="000D59B8"/>
    <w:rsid w:val="000D5B32"/>
    <w:rsid w:val="000D5B3E"/>
    <w:rsid w:val="000D5CE3"/>
    <w:rsid w:val="000D5D37"/>
    <w:rsid w:val="000D6018"/>
    <w:rsid w:val="000D64E5"/>
    <w:rsid w:val="000D6608"/>
    <w:rsid w:val="000D6697"/>
    <w:rsid w:val="000D678E"/>
    <w:rsid w:val="000D682A"/>
    <w:rsid w:val="000D69FD"/>
    <w:rsid w:val="000D6A5B"/>
    <w:rsid w:val="000D6B30"/>
    <w:rsid w:val="000D6B5A"/>
    <w:rsid w:val="000D6CDC"/>
    <w:rsid w:val="000D6E8B"/>
    <w:rsid w:val="000D719C"/>
    <w:rsid w:val="000D7415"/>
    <w:rsid w:val="000D7947"/>
    <w:rsid w:val="000E0124"/>
    <w:rsid w:val="000E01A9"/>
    <w:rsid w:val="000E07A9"/>
    <w:rsid w:val="000E08EB"/>
    <w:rsid w:val="000E0999"/>
    <w:rsid w:val="000E0A73"/>
    <w:rsid w:val="000E0C15"/>
    <w:rsid w:val="000E0C7D"/>
    <w:rsid w:val="000E0CA3"/>
    <w:rsid w:val="000E0D28"/>
    <w:rsid w:val="000E0D3D"/>
    <w:rsid w:val="000E0D73"/>
    <w:rsid w:val="000E0EBC"/>
    <w:rsid w:val="000E1094"/>
    <w:rsid w:val="000E1624"/>
    <w:rsid w:val="000E1823"/>
    <w:rsid w:val="000E1907"/>
    <w:rsid w:val="000E1981"/>
    <w:rsid w:val="000E1B04"/>
    <w:rsid w:val="000E1F34"/>
    <w:rsid w:val="000E209C"/>
    <w:rsid w:val="000E2676"/>
    <w:rsid w:val="000E2DA9"/>
    <w:rsid w:val="000E30E0"/>
    <w:rsid w:val="000E31E1"/>
    <w:rsid w:val="000E32C1"/>
    <w:rsid w:val="000E331C"/>
    <w:rsid w:val="000E35C6"/>
    <w:rsid w:val="000E35DD"/>
    <w:rsid w:val="000E37EA"/>
    <w:rsid w:val="000E38C6"/>
    <w:rsid w:val="000E3C35"/>
    <w:rsid w:val="000E3CAD"/>
    <w:rsid w:val="000E4107"/>
    <w:rsid w:val="000E4DC5"/>
    <w:rsid w:val="000E50F1"/>
    <w:rsid w:val="000E51D6"/>
    <w:rsid w:val="000E5657"/>
    <w:rsid w:val="000E578A"/>
    <w:rsid w:val="000E5BBD"/>
    <w:rsid w:val="000E5BE4"/>
    <w:rsid w:val="000E5F4C"/>
    <w:rsid w:val="000E6694"/>
    <w:rsid w:val="000E6B4C"/>
    <w:rsid w:val="000E6C2D"/>
    <w:rsid w:val="000E6D39"/>
    <w:rsid w:val="000E6D75"/>
    <w:rsid w:val="000E6E45"/>
    <w:rsid w:val="000E6FD3"/>
    <w:rsid w:val="000E7173"/>
    <w:rsid w:val="000E7218"/>
    <w:rsid w:val="000E7220"/>
    <w:rsid w:val="000E75E9"/>
    <w:rsid w:val="000E7646"/>
    <w:rsid w:val="000E77B9"/>
    <w:rsid w:val="000E78CD"/>
    <w:rsid w:val="000E7CB6"/>
    <w:rsid w:val="000E7DFA"/>
    <w:rsid w:val="000E7FB7"/>
    <w:rsid w:val="000F00B1"/>
    <w:rsid w:val="000F0338"/>
    <w:rsid w:val="000F04D9"/>
    <w:rsid w:val="000F072E"/>
    <w:rsid w:val="000F081B"/>
    <w:rsid w:val="000F08BD"/>
    <w:rsid w:val="000F0967"/>
    <w:rsid w:val="000F0AA9"/>
    <w:rsid w:val="000F0ABF"/>
    <w:rsid w:val="000F0B21"/>
    <w:rsid w:val="000F0E4E"/>
    <w:rsid w:val="000F0E87"/>
    <w:rsid w:val="000F0F08"/>
    <w:rsid w:val="000F0F95"/>
    <w:rsid w:val="000F173E"/>
    <w:rsid w:val="000F17A0"/>
    <w:rsid w:val="000F19A3"/>
    <w:rsid w:val="000F1ACB"/>
    <w:rsid w:val="000F1B4B"/>
    <w:rsid w:val="000F1DA0"/>
    <w:rsid w:val="000F2145"/>
    <w:rsid w:val="000F2335"/>
    <w:rsid w:val="000F2405"/>
    <w:rsid w:val="000F269D"/>
    <w:rsid w:val="000F2746"/>
    <w:rsid w:val="000F276F"/>
    <w:rsid w:val="000F28DD"/>
    <w:rsid w:val="000F29FD"/>
    <w:rsid w:val="000F2AF8"/>
    <w:rsid w:val="000F2C5E"/>
    <w:rsid w:val="000F2C8F"/>
    <w:rsid w:val="000F2CD2"/>
    <w:rsid w:val="000F2EDA"/>
    <w:rsid w:val="000F2F09"/>
    <w:rsid w:val="000F309B"/>
    <w:rsid w:val="000F314E"/>
    <w:rsid w:val="000F3392"/>
    <w:rsid w:val="000F35F9"/>
    <w:rsid w:val="000F363F"/>
    <w:rsid w:val="000F3B14"/>
    <w:rsid w:val="000F3BBB"/>
    <w:rsid w:val="000F3C3A"/>
    <w:rsid w:val="000F3C68"/>
    <w:rsid w:val="000F3CC0"/>
    <w:rsid w:val="000F4054"/>
    <w:rsid w:val="000F4222"/>
    <w:rsid w:val="000F4412"/>
    <w:rsid w:val="000F45C2"/>
    <w:rsid w:val="000F4B01"/>
    <w:rsid w:val="000F4BCA"/>
    <w:rsid w:val="000F4CD4"/>
    <w:rsid w:val="000F4F3B"/>
    <w:rsid w:val="000F4F63"/>
    <w:rsid w:val="000F5256"/>
    <w:rsid w:val="000F53F8"/>
    <w:rsid w:val="000F5495"/>
    <w:rsid w:val="000F599B"/>
    <w:rsid w:val="000F59AC"/>
    <w:rsid w:val="000F5D72"/>
    <w:rsid w:val="000F5E86"/>
    <w:rsid w:val="000F5F72"/>
    <w:rsid w:val="000F5F79"/>
    <w:rsid w:val="000F675F"/>
    <w:rsid w:val="000F6768"/>
    <w:rsid w:val="000F6BA9"/>
    <w:rsid w:val="000F71AA"/>
    <w:rsid w:val="000F75D7"/>
    <w:rsid w:val="000F76F3"/>
    <w:rsid w:val="000F7793"/>
    <w:rsid w:val="000F7F46"/>
    <w:rsid w:val="0010004A"/>
    <w:rsid w:val="00100130"/>
    <w:rsid w:val="001002AE"/>
    <w:rsid w:val="00100640"/>
    <w:rsid w:val="0010094F"/>
    <w:rsid w:val="00100EA4"/>
    <w:rsid w:val="00100EB1"/>
    <w:rsid w:val="00100EC2"/>
    <w:rsid w:val="00100FA6"/>
    <w:rsid w:val="001012A3"/>
    <w:rsid w:val="00101958"/>
    <w:rsid w:val="00101B53"/>
    <w:rsid w:val="00101C6A"/>
    <w:rsid w:val="00101E41"/>
    <w:rsid w:val="00101EB1"/>
    <w:rsid w:val="0010201A"/>
    <w:rsid w:val="00102060"/>
    <w:rsid w:val="00102077"/>
    <w:rsid w:val="00102122"/>
    <w:rsid w:val="0010226A"/>
    <w:rsid w:val="0010232E"/>
    <w:rsid w:val="00102769"/>
    <w:rsid w:val="00102D4B"/>
    <w:rsid w:val="00102D9A"/>
    <w:rsid w:val="00102D9D"/>
    <w:rsid w:val="00102E4B"/>
    <w:rsid w:val="00102EC5"/>
    <w:rsid w:val="0010300D"/>
    <w:rsid w:val="0010364F"/>
    <w:rsid w:val="001036C4"/>
    <w:rsid w:val="001038F6"/>
    <w:rsid w:val="00103923"/>
    <w:rsid w:val="0010396B"/>
    <w:rsid w:val="001039D6"/>
    <w:rsid w:val="00103B17"/>
    <w:rsid w:val="00103C3B"/>
    <w:rsid w:val="00103CE1"/>
    <w:rsid w:val="00103F21"/>
    <w:rsid w:val="00103FE2"/>
    <w:rsid w:val="00104415"/>
    <w:rsid w:val="00104557"/>
    <w:rsid w:val="0010462B"/>
    <w:rsid w:val="00104BF4"/>
    <w:rsid w:val="00104F47"/>
    <w:rsid w:val="00104F6D"/>
    <w:rsid w:val="001052CA"/>
    <w:rsid w:val="00105462"/>
    <w:rsid w:val="00105596"/>
    <w:rsid w:val="001055AC"/>
    <w:rsid w:val="001055DF"/>
    <w:rsid w:val="00105755"/>
    <w:rsid w:val="00105958"/>
    <w:rsid w:val="00105AC8"/>
    <w:rsid w:val="00105ADD"/>
    <w:rsid w:val="00106164"/>
    <w:rsid w:val="00106174"/>
    <w:rsid w:val="00106266"/>
    <w:rsid w:val="0010627B"/>
    <w:rsid w:val="001062CF"/>
    <w:rsid w:val="00106434"/>
    <w:rsid w:val="00106464"/>
    <w:rsid w:val="00106793"/>
    <w:rsid w:val="001069AA"/>
    <w:rsid w:val="00106D89"/>
    <w:rsid w:val="00106DFC"/>
    <w:rsid w:val="001073F3"/>
    <w:rsid w:val="00107452"/>
    <w:rsid w:val="001077D1"/>
    <w:rsid w:val="001078B2"/>
    <w:rsid w:val="00107913"/>
    <w:rsid w:val="001079C1"/>
    <w:rsid w:val="00107A09"/>
    <w:rsid w:val="00107A97"/>
    <w:rsid w:val="00107A9E"/>
    <w:rsid w:val="00107AAE"/>
    <w:rsid w:val="00107EB0"/>
    <w:rsid w:val="001101EB"/>
    <w:rsid w:val="001101F3"/>
    <w:rsid w:val="00110389"/>
    <w:rsid w:val="00110545"/>
    <w:rsid w:val="00110764"/>
    <w:rsid w:val="00110B01"/>
    <w:rsid w:val="00110B52"/>
    <w:rsid w:val="00110C3B"/>
    <w:rsid w:val="0011118D"/>
    <w:rsid w:val="00111261"/>
    <w:rsid w:val="001116EA"/>
    <w:rsid w:val="001117E8"/>
    <w:rsid w:val="0011180B"/>
    <w:rsid w:val="00111AD1"/>
    <w:rsid w:val="00111D9E"/>
    <w:rsid w:val="00111F1C"/>
    <w:rsid w:val="0011202C"/>
    <w:rsid w:val="001120E3"/>
    <w:rsid w:val="00112150"/>
    <w:rsid w:val="001122A2"/>
    <w:rsid w:val="001124D5"/>
    <w:rsid w:val="001124FA"/>
    <w:rsid w:val="001126ED"/>
    <w:rsid w:val="00112718"/>
    <w:rsid w:val="00112919"/>
    <w:rsid w:val="001129DE"/>
    <w:rsid w:val="00112A52"/>
    <w:rsid w:val="00112D29"/>
    <w:rsid w:val="00112D6E"/>
    <w:rsid w:val="00112DBA"/>
    <w:rsid w:val="00113322"/>
    <w:rsid w:val="00113502"/>
    <w:rsid w:val="0011357A"/>
    <w:rsid w:val="001138BA"/>
    <w:rsid w:val="00113AB1"/>
    <w:rsid w:val="0011406C"/>
    <w:rsid w:val="00114207"/>
    <w:rsid w:val="00114526"/>
    <w:rsid w:val="001147AE"/>
    <w:rsid w:val="001148B0"/>
    <w:rsid w:val="00114949"/>
    <w:rsid w:val="00114A77"/>
    <w:rsid w:val="00114A7A"/>
    <w:rsid w:val="00114B1C"/>
    <w:rsid w:val="00115188"/>
    <w:rsid w:val="001151E8"/>
    <w:rsid w:val="001151FB"/>
    <w:rsid w:val="001152D0"/>
    <w:rsid w:val="001152E8"/>
    <w:rsid w:val="00115437"/>
    <w:rsid w:val="0011559D"/>
    <w:rsid w:val="001157E9"/>
    <w:rsid w:val="00115A80"/>
    <w:rsid w:val="00115C61"/>
    <w:rsid w:val="00115E30"/>
    <w:rsid w:val="00115F14"/>
    <w:rsid w:val="0011630D"/>
    <w:rsid w:val="0011641E"/>
    <w:rsid w:val="00116545"/>
    <w:rsid w:val="00116851"/>
    <w:rsid w:val="00116945"/>
    <w:rsid w:val="00116A09"/>
    <w:rsid w:val="00116B4F"/>
    <w:rsid w:val="00116D0B"/>
    <w:rsid w:val="00116E70"/>
    <w:rsid w:val="00116F29"/>
    <w:rsid w:val="0011710D"/>
    <w:rsid w:val="001175E2"/>
    <w:rsid w:val="00117941"/>
    <w:rsid w:val="00117DEA"/>
    <w:rsid w:val="00117FED"/>
    <w:rsid w:val="0012018B"/>
    <w:rsid w:val="001202BE"/>
    <w:rsid w:val="001202C6"/>
    <w:rsid w:val="00120585"/>
    <w:rsid w:val="00120AF5"/>
    <w:rsid w:val="00120B2D"/>
    <w:rsid w:val="00120C95"/>
    <w:rsid w:val="00120D45"/>
    <w:rsid w:val="00120F4B"/>
    <w:rsid w:val="001213D0"/>
    <w:rsid w:val="001214F7"/>
    <w:rsid w:val="0012151D"/>
    <w:rsid w:val="001215ED"/>
    <w:rsid w:val="00121A12"/>
    <w:rsid w:val="00121A29"/>
    <w:rsid w:val="00121C20"/>
    <w:rsid w:val="00121E91"/>
    <w:rsid w:val="00121F1D"/>
    <w:rsid w:val="0012216D"/>
    <w:rsid w:val="001222AE"/>
    <w:rsid w:val="001224B4"/>
    <w:rsid w:val="00122666"/>
    <w:rsid w:val="0012271A"/>
    <w:rsid w:val="00122750"/>
    <w:rsid w:val="00122AE3"/>
    <w:rsid w:val="00122AE5"/>
    <w:rsid w:val="00122B88"/>
    <w:rsid w:val="00122C84"/>
    <w:rsid w:val="00122E3E"/>
    <w:rsid w:val="00122FF3"/>
    <w:rsid w:val="001235D4"/>
    <w:rsid w:val="00123613"/>
    <w:rsid w:val="00123B03"/>
    <w:rsid w:val="00123FAD"/>
    <w:rsid w:val="001241AE"/>
    <w:rsid w:val="001242A0"/>
    <w:rsid w:val="00124600"/>
    <w:rsid w:val="00124622"/>
    <w:rsid w:val="0012495E"/>
    <w:rsid w:val="001249A8"/>
    <w:rsid w:val="00124C74"/>
    <w:rsid w:val="00125173"/>
    <w:rsid w:val="00125263"/>
    <w:rsid w:val="001253C6"/>
    <w:rsid w:val="00125433"/>
    <w:rsid w:val="001256DB"/>
    <w:rsid w:val="00125757"/>
    <w:rsid w:val="00125974"/>
    <w:rsid w:val="00125CA3"/>
    <w:rsid w:val="00125D66"/>
    <w:rsid w:val="00125D94"/>
    <w:rsid w:val="00125F6D"/>
    <w:rsid w:val="0012618D"/>
    <w:rsid w:val="00126455"/>
    <w:rsid w:val="00126674"/>
    <w:rsid w:val="0012668D"/>
    <w:rsid w:val="001268D4"/>
    <w:rsid w:val="00126A27"/>
    <w:rsid w:val="00126DFE"/>
    <w:rsid w:val="00126F5F"/>
    <w:rsid w:val="0012707A"/>
    <w:rsid w:val="00127A88"/>
    <w:rsid w:val="00127ADE"/>
    <w:rsid w:val="00127E87"/>
    <w:rsid w:val="00130100"/>
    <w:rsid w:val="001303A7"/>
    <w:rsid w:val="0013046D"/>
    <w:rsid w:val="001304AE"/>
    <w:rsid w:val="00130687"/>
    <w:rsid w:val="00130776"/>
    <w:rsid w:val="00130947"/>
    <w:rsid w:val="00130A17"/>
    <w:rsid w:val="00130B11"/>
    <w:rsid w:val="00130CB1"/>
    <w:rsid w:val="00130D60"/>
    <w:rsid w:val="0013109D"/>
    <w:rsid w:val="0013133D"/>
    <w:rsid w:val="0013142C"/>
    <w:rsid w:val="00131999"/>
    <w:rsid w:val="00131DBD"/>
    <w:rsid w:val="00131EFC"/>
    <w:rsid w:val="00132000"/>
    <w:rsid w:val="0013205E"/>
    <w:rsid w:val="00132257"/>
    <w:rsid w:val="00132283"/>
    <w:rsid w:val="00132541"/>
    <w:rsid w:val="00132665"/>
    <w:rsid w:val="00132A64"/>
    <w:rsid w:val="00132C79"/>
    <w:rsid w:val="00132CB8"/>
    <w:rsid w:val="00132F6D"/>
    <w:rsid w:val="0013338E"/>
    <w:rsid w:val="001333EF"/>
    <w:rsid w:val="00133649"/>
    <w:rsid w:val="00133892"/>
    <w:rsid w:val="001339B1"/>
    <w:rsid w:val="001339E3"/>
    <w:rsid w:val="00133A67"/>
    <w:rsid w:val="00133B81"/>
    <w:rsid w:val="00133C0E"/>
    <w:rsid w:val="00133CF2"/>
    <w:rsid w:val="00133E70"/>
    <w:rsid w:val="00133FA4"/>
    <w:rsid w:val="0013439E"/>
    <w:rsid w:val="001344DC"/>
    <w:rsid w:val="00134B2E"/>
    <w:rsid w:val="00134B55"/>
    <w:rsid w:val="00134BDC"/>
    <w:rsid w:val="00134D31"/>
    <w:rsid w:val="00134E30"/>
    <w:rsid w:val="001350D9"/>
    <w:rsid w:val="0013531B"/>
    <w:rsid w:val="00135A77"/>
    <w:rsid w:val="00135C80"/>
    <w:rsid w:val="0013617C"/>
    <w:rsid w:val="00136583"/>
    <w:rsid w:val="0013678F"/>
    <w:rsid w:val="001368A8"/>
    <w:rsid w:val="00136A0E"/>
    <w:rsid w:val="00136B5A"/>
    <w:rsid w:val="00136B66"/>
    <w:rsid w:val="00136B6B"/>
    <w:rsid w:val="00136BA5"/>
    <w:rsid w:val="00136BE0"/>
    <w:rsid w:val="00136C7E"/>
    <w:rsid w:val="00136CB6"/>
    <w:rsid w:val="0013709F"/>
    <w:rsid w:val="001370BF"/>
    <w:rsid w:val="001372BC"/>
    <w:rsid w:val="0013758F"/>
    <w:rsid w:val="001376B5"/>
    <w:rsid w:val="00137BBF"/>
    <w:rsid w:val="00137BD3"/>
    <w:rsid w:val="00137C4C"/>
    <w:rsid w:val="00137FB5"/>
    <w:rsid w:val="00140532"/>
    <w:rsid w:val="00140AD8"/>
    <w:rsid w:val="00140EB6"/>
    <w:rsid w:val="00140F5D"/>
    <w:rsid w:val="00141034"/>
    <w:rsid w:val="001411A3"/>
    <w:rsid w:val="001413E4"/>
    <w:rsid w:val="00141991"/>
    <w:rsid w:val="00141B90"/>
    <w:rsid w:val="001421D9"/>
    <w:rsid w:val="00142576"/>
    <w:rsid w:val="00142597"/>
    <w:rsid w:val="001426B8"/>
    <w:rsid w:val="00142B0D"/>
    <w:rsid w:val="00142BAC"/>
    <w:rsid w:val="00142C0F"/>
    <w:rsid w:val="00142D4A"/>
    <w:rsid w:val="00142D67"/>
    <w:rsid w:val="0014301A"/>
    <w:rsid w:val="0014332C"/>
    <w:rsid w:val="00143540"/>
    <w:rsid w:val="00143624"/>
    <w:rsid w:val="001437E5"/>
    <w:rsid w:val="001438A0"/>
    <w:rsid w:val="00143922"/>
    <w:rsid w:val="00143A67"/>
    <w:rsid w:val="001446BF"/>
    <w:rsid w:val="00144767"/>
    <w:rsid w:val="00145075"/>
    <w:rsid w:val="001450C2"/>
    <w:rsid w:val="001450F4"/>
    <w:rsid w:val="00145127"/>
    <w:rsid w:val="00145390"/>
    <w:rsid w:val="001454F0"/>
    <w:rsid w:val="0014609C"/>
    <w:rsid w:val="0014653F"/>
    <w:rsid w:val="00146545"/>
    <w:rsid w:val="001467EC"/>
    <w:rsid w:val="001468F2"/>
    <w:rsid w:val="00146929"/>
    <w:rsid w:val="00146AEB"/>
    <w:rsid w:val="00146ECF"/>
    <w:rsid w:val="00146F6F"/>
    <w:rsid w:val="001472D8"/>
    <w:rsid w:val="0014736B"/>
    <w:rsid w:val="001473B6"/>
    <w:rsid w:val="00147760"/>
    <w:rsid w:val="00147905"/>
    <w:rsid w:val="00147996"/>
    <w:rsid w:val="00147E76"/>
    <w:rsid w:val="00150296"/>
    <w:rsid w:val="0015069B"/>
    <w:rsid w:val="00150708"/>
    <w:rsid w:val="00150924"/>
    <w:rsid w:val="00150B4D"/>
    <w:rsid w:val="00150C98"/>
    <w:rsid w:val="00150D1A"/>
    <w:rsid w:val="00150E0A"/>
    <w:rsid w:val="00150EA8"/>
    <w:rsid w:val="001511F6"/>
    <w:rsid w:val="00151360"/>
    <w:rsid w:val="00151372"/>
    <w:rsid w:val="001514DF"/>
    <w:rsid w:val="00151581"/>
    <w:rsid w:val="00151666"/>
    <w:rsid w:val="00151951"/>
    <w:rsid w:val="00151C70"/>
    <w:rsid w:val="00151D38"/>
    <w:rsid w:val="001520DD"/>
    <w:rsid w:val="001520F4"/>
    <w:rsid w:val="00152105"/>
    <w:rsid w:val="001522BB"/>
    <w:rsid w:val="001522C7"/>
    <w:rsid w:val="00152329"/>
    <w:rsid w:val="001527CA"/>
    <w:rsid w:val="001528F6"/>
    <w:rsid w:val="001528FC"/>
    <w:rsid w:val="00152C2A"/>
    <w:rsid w:val="00152C62"/>
    <w:rsid w:val="00152C6F"/>
    <w:rsid w:val="00152E0B"/>
    <w:rsid w:val="00152FC6"/>
    <w:rsid w:val="00152FDE"/>
    <w:rsid w:val="001536CF"/>
    <w:rsid w:val="001536EA"/>
    <w:rsid w:val="001536F9"/>
    <w:rsid w:val="001537A3"/>
    <w:rsid w:val="0015381C"/>
    <w:rsid w:val="001539C7"/>
    <w:rsid w:val="00153A0D"/>
    <w:rsid w:val="00153B3E"/>
    <w:rsid w:val="00153BEC"/>
    <w:rsid w:val="001541EC"/>
    <w:rsid w:val="001542DA"/>
    <w:rsid w:val="00154750"/>
    <w:rsid w:val="00154A82"/>
    <w:rsid w:val="00154D21"/>
    <w:rsid w:val="00154EC1"/>
    <w:rsid w:val="00154ED2"/>
    <w:rsid w:val="00154F73"/>
    <w:rsid w:val="001550C3"/>
    <w:rsid w:val="0015535C"/>
    <w:rsid w:val="00155882"/>
    <w:rsid w:val="00155B3E"/>
    <w:rsid w:val="00155E27"/>
    <w:rsid w:val="00155F38"/>
    <w:rsid w:val="00155F40"/>
    <w:rsid w:val="00155F7A"/>
    <w:rsid w:val="00156133"/>
    <w:rsid w:val="0015622A"/>
    <w:rsid w:val="001564A0"/>
    <w:rsid w:val="0015669F"/>
    <w:rsid w:val="0015670C"/>
    <w:rsid w:val="0015687F"/>
    <w:rsid w:val="00156A0E"/>
    <w:rsid w:val="00156E35"/>
    <w:rsid w:val="00156E38"/>
    <w:rsid w:val="00156EB9"/>
    <w:rsid w:val="00156F05"/>
    <w:rsid w:val="00157058"/>
    <w:rsid w:val="001572E3"/>
    <w:rsid w:val="001572EC"/>
    <w:rsid w:val="0015758B"/>
    <w:rsid w:val="0015758F"/>
    <w:rsid w:val="001576EA"/>
    <w:rsid w:val="00157872"/>
    <w:rsid w:val="0015795E"/>
    <w:rsid w:val="00157C02"/>
    <w:rsid w:val="00160329"/>
    <w:rsid w:val="0016037D"/>
    <w:rsid w:val="001603A4"/>
    <w:rsid w:val="0016067D"/>
    <w:rsid w:val="001609E2"/>
    <w:rsid w:val="00160C11"/>
    <w:rsid w:val="001611B7"/>
    <w:rsid w:val="0016143C"/>
    <w:rsid w:val="0016195B"/>
    <w:rsid w:val="00161EC6"/>
    <w:rsid w:val="001621C3"/>
    <w:rsid w:val="0016260E"/>
    <w:rsid w:val="00162838"/>
    <w:rsid w:val="0016287D"/>
    <w:rsid w:val="001628A0"/>
    <w:rsid w:val="00162989"/>
    <w:rsid w:val="00162B55"/>
    <w:rsid w:val="001631A6"/>
    <w:rsid w:val="0016325A"/>
    <w:rsid w:val="001632F4"/>
    <w:rsid w:val="0016372E"/>
    <w:rsid w:val="00163847"/>
    <w:rsid w:val="0016395C"/>
    <w:rsid w:val="00163A22"/>
    <w:rsid w:val="00163BF9"/>
    <w:rsid w:val="00163D89"/>
    <w:rsid w:val="00163DBB"/>
    <w:rsid w:val="00163F29"/>
    <w:rsid w:val="00163FBA"/>
    <w:rsid w:val="00164050"/>
    <w:rsid w:val="001642BD"/>
    <w:rsid w:val="00164398"/>
    <w:rsid w:val="001644E8"/>
    <w:rsid w:val="00164691"/>
    <w:rsid w:val="00164777"/>
    <w:rsid w:val="00164874"/>
    <w:rsid w:val="001648BC"/>
    <w:rsid w:val="00164AA0"/>
    <w:rsid w:val="00164B61"/>
    <w:rsid w:val="00164FAA"/>
    <w:rsid w:val="00165DEE"/>
    <w:rsid w:val="00165E4D"/>
    <w:rsid w:val="00165FEB"/>
    <w:rsid w:val="001661E9"/>
    <w:rsid w:val="00166250"/>
    <w:rsid w:val="00166889"/>
    <w:rsid w:val="001669F8"/>
    <w:rsid w:val="00166A06"/>
    <w:rsid w:val="00166E1E"/>
    <w:rsid w:val="00166F6A"/>
    <w:rsid w:val="00166FCE"/>
    <w:rsid w:val="00167020"/>
    <w:rsid w:val="001671F8"/>
    <w:rsid w:val="00167637"/>
    <w:rsid w:val="00167673"/>
    <w:rsid w:val="00167AAD"/>
    <w:rsid w:val="00167C71"/>
    <w:rsid w:val="00167C81"/>
    <w:rsid w:val="00167CC4"/>
    <w:rsid w:val="00167CF9"/>
    <w:rsid w:val="00167DD1"/>
    <w:rsid w:val="00167FAD"/>
    <w:rsid w:val="001706AF"/>
    <w:rsid w:val="001707BF"/>
    <w:rsid w:val="00170A76"/>
    <w:rsid w:val="00170D58"/>
    <w:rsid w:val="00170D70"/>
    <w:rsid w:val="00170DD2"/>
    <w:rsid w:val="00170EC2"/>
    <w:rsid w:val="00171077"/>
    <w:rsid w:val="001710E0"/>
    <w:rsid w:val="001711F7"/>
    <w:rsid w:val="0017152F"/>
    <w:rsid w:val="001718BD"/>
    <w:rsid w:val="00171AC6"/>
    <w:rsid w:val="00171BE8"/>
    <w:rsid w:val="00171D97"/>
    <w:rsid w:val="00171F0C"/>
    <w:rsid w:val="00172038"/>
    <w:rsid w:val="0017203F"/>
    <w:rsid w:val="0017221D"/>
    <w:rsid w:val="001723B9"/>
    <w:rsid w:val="00172407"/>
    <w:rsid w:val="00172413"/>
    <w:rsid w:val="00172428"/>
    <w:rsid w:val="0017242A"/>
    <w:rsid w:val="00172854"/>
    <w:rsid w:val="00172C1E"/>
    <w:rsid w:val="00172CE2"/>
    <w:rsid w:val="00173033"/>
    <w:rsid w:val="0017320B"/>
    <w:rsid w:val="00173314"/>
    <w:rsid w:val="00173344"/>
    <w:rsid w:val="001735F7"/>
    <w:rsid w:val="00173876"/>
    <w:rsid w:val="001739A4"/>
    <w:rsid w:val="00173C00"/>
    <w:rsid w:val="00173C06"/>
    <w:rsid w:val="00173E2E"/>
    <w:rsid w:val="00173F20"/>
    <w:rsid w:val="001740F4"/>
    <w:rsid w:val="00174436"/>
    <w:rsid w:val="001744E5"/>
    <w:rsid w:val="00174AC9"/>
    <w:rsid w:val="00174C81"/>
    <w:rsid w:val="00174EEC"/>
    <w:rsid w:val="001751A3"/>
    <w:rsid w:val="001752E7"/>
    <w:rsid w:val="00175388"/>
    <w:rsid w:val="001753B1"/>
    <w:rsid w:val="001757B6"/>
    <w:rsid w:val="0017595C"/>
    <w:rsid w:val="00175C23"/>
    <w:rsid w:val="00175DC0"/>
    <w:rsid w:val="00175E97"/>
    <w:rsid w:val="001765A3"/>
    <w:rsid w:val="0017661F"/>
    <w:rsid w:val="0017663C"/>
    <w:rsid w:val="001766B1"/>
    <w:rsid w:val="00176A1E"/>
    <w:rsid w:val="00176C20"/>
    <w:rsid w:val="00176DE8"/>
    <w:rsid w:val="00176E0A"/>
    <w:rsid w:val="00176E39"/>
    <w:rsid w:val="00176E44"/>
    <w:rsid w:val="00176FE1"/>
    <w:rsid w:val="0017719F"/>
    <w:rsid w:val="001771AC"/>
    <w:rsid w:val="001778E5"/>
    <w:rsid w:val="001779CC"/>
    <w:rsid w:val="001779E8"/>
    <w:rsid w:val="00177A2A"/>
    <w:rsid w:val="00177A89"/>
    <w:rsid w:val="00177B8A"/>
    <w:rsid w:val="00177BFA"/>
    <w:rsid w:val="00177D89"/>
    <w:rsid w:val="00177E1B"/>
    <w:rsid w:val="00177E90"/>
    <w:rsid w:val="00180161"/>
    <w:rsid w:val="001803C0"/>
    <w:rsid w:val="00180623"/>
    <w:rsid w:val="001806E1"/>
    <w:rsid w:val="00180BB5"/>
    <w:rsid w:val="00180C96"/>
    <w:rsid w:val="00180ED4"/>
    <w:rsid w:val="00181022"/>
    <w:rsid w:val="00181174"/>
    <w:rsid w:val="001813B7"/>
    <w:rsid w:val="0018157F"/>
    <w:rsid w:val="0018166E"/>
    <w:rsid w:val="001817B8"/>
    <w:rsid w:val="00181BE2"/>
    <w:rsid w:val="00181CD3"/>
    <w:rsid w:val="00181EF3"/>
    <w:rsid w:val="00182087"/>
    <w:rsid w:val="0018245C"/>
    <w:rsid w:val="001824D4"/>
    <w:rsid w:val="001825D3"/>
    <w:rsid w:val="001827E4"/>
    <w:rsid w:val="00182D67"/>
    <w:rsid w:val="00182EC8"/>
    <w:rsid w:val="00182FDD"/>
    <w:rsid w:val="0018309B"/>
    <w:rsid w:val="001831C3"/>
    <w:rsid w:val="001835F3"/>
    <w:rsid w:val="00183748"/>
    <w:rsid w:val="0018375C"/>
    <w:rsid w:val="0018392E"/>
    <w:rsid w:val="001839AB"/>
    <w:rsid w:val="00183CC6"/>
    <w:rsid w:val="00184013"/>
    <w:rsid w:val="001841DA"/>
    <w:rsid w:val="00184496"/>
    <w:rsid w:val="0018450A"/>
    <w:rsid w:val="0018496E"/>
    <w:rsid w:val="00184A84"/>
    <w:rsid w:val="00184CB9"/>
    <w:rsid w:val="00184CEF"/>
    <w:rsid w:val="00184DC1"/>
    <w:rsid w:val="00184E13"/>
    <w:rsid w:val="00184EF8"/>
    <w:rsid w:val="001850C3"/>
    <w:rsid w:val="001854BC"/>
    <w:rsid w:val="0018580C"/>
    <w:rsid w:val="00185837"/>
    <w:rsid w:val="0018591E"/>
    <w:rsid w:val="00186155"/>
    <w:rsid w:val="00186307"/>
    <w:rsid w:val="0018662E"/>
    <w:rsid w:val="0018664C"/>
    <w:rsid w:val="00186701"/>
    <w:rsid w:val="00186764"/>
    <w:rsid w:val="001868CA"/>
    <w:rsid w:val="00186BB0"/>
    <w:rsid w:val="00186C20"/>
    <w:rsid w:val="00186C5A"/>
    <w:rsid w:val="00186C8C"/>
    <w:rsid w:val="00186D0E"/>
    <w:rsid w:val="00186FB3"/>
    <w:rsid w:val="0018759C"/>
    <w:rsid w:val="0018774F"/>
    <w:rsid w:val="00187878"/>
    <w:rsid w:val="00187A74"/>
    <w:rsid w:val="00187AFA"/>
    <w:rsid w:val="00187B7A"/>
    <w:rsid w:val="00187CF3"/>
    <w:rsid w:val="00187D38"/>
    <w:rsid w:val="00187FE4"/>
    <w:rsid w:val="001902D0"/>
    <w:rsid w:val="00190B4C"/>
    <w:rsid w:val="00190D77"/>
    <w:rsid w:val="00190F33"/>
    <w:rsid w:val="00190F72"/>
    <w:rsid w:val="00191083"/>
    <w:rsid w:val="00191263"/>
    <w:rsid w:val="00191272"/>
    <w:rsid w:val="00191465"/>
    <w:rsid w:val="00191567"/>
    <w:rsid w:val="001916C6"/>
    <w:rsid w:val="001918FA"/>
    <w:rsid w:val="00191ACC"/>
    <w:rsid w:val="00191B01"/>
    <w:rsid w:val="00191D1F"/>
    <w:rsid w:val="00191E14"/>
    <w:rsid w:val="00191ED6"/>
    <w:rsid w:val="00192171"/>
    <w:rsid w:val="00192249"/>
    <w:rsid w:val="001922D9"/>
    <w:rsid w:val="001922F4"/>
    <w:rsid w:val="0019254C"/>
    <w:rsid w:val="00192649"/>
    <w:rsid w:val="00192C02"/>
    <w:rsid w:val="00192D94"/>
    <w:rsid w:val="00192ECE"/>
    <w:rsid w:val="0019313F"/>
    <w:rsid w:val="0019314B"/>
    <w:rsid w:val="0019322F"/>
    <w:rsid w:val="00193280"/>
    <w:rsid w:val="00193717"/>
    <w:rsid w:val="001937BF"/>
    <w:rsid w:val="001937EE"/>
    <w:rsid w:val="001938E7"/>
    <w:rsid w:val="001938EE"/>
    <w:rsid w:val="001939EA"/>
    <w:rsid w:val="00193A07"/>
    <w:rsid w:val="00193D5F"/>
    <w:rsid w:val="00193F54"/>
    <w:rsid w:val="001944C9"/>
    <w:rsid w:val="001944DF"/>
    <w:rsid w:val="0019484A"/>
    <w:rsid w:val="00194A17"/>
    <w:rsid w:val="00194A2F"/>
    <w:rsid w:val="00194B13"/>
    <w:rsid w:val="00194B9E"/>
    <w:rsid w:val="00194BEE"/>
    <w:rsid w:val="00194F0A"/>
    <w:rsid w:val="001956F3"/>
    <w:rsid w:val="00195851"/>
    <w:rsid w:val="00195C32"/>
    <w:rsid w:val="00195D71"/>
    <w:rsid w:val="00195E40"/>
    <w:rsid w:val="0019627F"/>
    <w:rsid w:val="0019631A"/>
    <w:rsid w:val="00196446"/>
    <w:rsid w:val="0019644C"/>
    <w:rsid w:val="00196505"/>
    <w:rsid w:val="001966B7"/>
    <w:rsid w:val="00196A4E"/>
    <w:rsid w:val="00196A6D"/>
    <w:rsid w:val="00196CA1"/>
    <w:rsid w:val="00196E9A"/>
    <w:rsid w:val="00196EFF"/>
    <w:rsid w:val="00197034"/>
    <w:rsid w:val="001972CB"/>
    <w:rsid w:val="0019739A"/>
    <w:rsid w:val="0019759E"/>
    <w:rsid w:val="00197D7C"/>
    <w:rsid w:val="00197DB1"/>
    <w:rsid w:val="001A0240"/>
    <w:rsid w:val="001A0347"/>
    <w:rsid w:val="001A03CE"/>
    <w:rsid w:val="001A03F5"/>
    <w:rsid w:val="001A046F"/>
    <w:rsid w:val="001A04BD"/>
    <w:rsid w:val="001A05F2"/>
    <w:rsid w:val="001A0696"/>
    <w:rsid w:val="001A06BC"/>
    <w:rsid w:val="001A081D"/>
    <w:rsid w:val="001A0927"/>
    <w:rsid w:val="001A0ADC"/>
    <w:rsid w:val="001A0D1B"/>
    <w:rsid w:val="001A0F41"/>
    <w:rsid w:val="001A14D4"/>
    <w:rsid w:val="001A1A23"/>
    <w:rsid w:val="001A1A5E"/>
    <w:rsid w:val="001A1B8E"/>
    <w:rsid w:val="001A1C01"/>
    <w:rsid w:val="001A1CA0"/>
    <w:rsid w:val="001A1D1A"/>
    <w:rsid w:val="001A1D3C"/>
    <w:rsid w:val="001A1DA0"/>
    <w:rsid w:val="001A1E52"/>
    <w:rsid w:val="001A20F1"/>
    <w:rsid w:val="001A2154"/>
    <w:rsid w:val="001A222B"/>
    <w:rsid w:val="001A2236"/>
    <w:rsid w:val="001A23FD"/>
    <w:rsid w:val="001A25F7"/>
    <w:rsid w:val="001A2604"/>
    <w:rsid w:val="001A2ADF"/>
    <w:rsid w:val="001A2F37"/>
    <w:rsid w:val="001A30BF"/>
    <w:rsid w:val="001A3329"/>
    <w:rsid w:val="001A33EE"/>
    <w:rsid w:val="001A3508"/>
    <w:rsid w:val="001A35B5"/>
    <w:rsid w:val="001A37EE"/>
    <w:rsid w:val="001A3E54"/>
    <w:rsid w:val="001A3F5B"/>
    <w:rsid w:val="001A3F92"/>
    <w:rsid w:val="001A41B9"/>
    <w:rsid w:val="001A4408"/>
    <w:rsid w:val="001A48FA"/>
    <w:rsid w:val="001A4901"/>
    <w:rsid w:val="001A4C31"/>
    <w:rsid w:val="001A4E1A"/>
    <w:rsid w:val="001A5025"/>
    <w:rsid w:val="001A5065"/>
    <w:rsid w:val="001A5128"/>
    <w:rsid w:val="001A536D"/>
    <w:rsid w:val="001A57A3"/>
    <w:rsid w:val="001A580B"/>
    <w:rsid w:val="001A58E6"/>
    <w:rsid w:val="001A5ACC"/>
    <w:rsid w:val="001A5C2C"/>
    <w:rsid w:val="001A5FC9"/>
    <w:rsid w:val="001A6979"/>
    <w:rsid w:val="001A6DB8"/>
    <w:rsid w:val="001A6FC5"/>
    <w:rsid w:val="001A7646"/>
    <w:rsid w:val="001A76CC"/>
    <w:rsid w:val="001A780D"/>
    <w:rsid w:val="001A7A8F"/>
    <w:rsid w:val="001A7BC9"/>
    <w:rsid w:val="001A7EEA"/>
    <w:rsid w:val="001A7F4D"/>
    <w:rsid w:val="001A7FEA"/>
    <w:rsid w:val="001B014C"/>
    <w:rsid w:val="001B0358"/>
    <w:rsid w:val="001B04BC"/>
    <w:rsid w:val="001B0589"/>
    <w:rsid w:val="001B0833"/>
    <w:rsid w:val="001B0ADA"/>
    <w:rsid w:val="001B0FA6"/>
    <w:rsid w:val="001B10B4"/>
    <w:rsid w:val="001B1440"/>
    <w:rsid w:val="001B1451"/>
    <w:rsid w:val="001B15D6"/>
    <w:rsid w:val="001B1648"/>
    <w:rsid w:val="001B166C"/>
    <w:rsid w:val="001B1ADD"/>
    <w:rsid w:val="001B1B00"/>
    <w:rsid w:val="001B1E9C"/>
    <w:rsid w:val="001B2008"/>
    <w:rsid w:val="001B2460"/>
    <w:rsid w:val="001B26B0"/>
    <w:rsid w:val="001B2B98"/>
    <w:rsid w:val="001B2C3C"/>
    <w:rsid w:val="001B2D79"/>
    <w:rsid w:val="001B2FD5"/>
    <w:rsid w:val="001B30ED"/>
    <w:rsid w:val="001B31B1"/>
    <w:rsid w:val="001B32E2"/>
    <w:rsid w:val="001B331C"/>
    <w:rsid w:val="001B331F"/>
    <w:rsid w:val="001B3400"/>
    <w:rsid w:val="001B345B"/>
    <w:rsid w:val="001B36C7"/>
    <w:rsid w:val="001B3976"/>
    <w:rsid w:val="001B3A71"/>
    <w:rsid w:val="001B3A72"/>
    <w:rsid w:val="001B3B24"/>
    <w:rsid w:val="001B3B7B"/>
    <w:rsid w:val="001B3BA7"/>
    <w:rsid w:val="001B3C54"/>
    <w:rsid w:val="001B3DD3"/>
    <w:rsid w:val="001B3DDD"/>
    <w:rsid w:val="001B451D"/>
    <w:rsid w:val="001B45FE"/>
    <w:rsid w:val="001B4687"/>
    <w:rsid w:val="001B4929"/>
    <w:rsid w:val="001B4A40"/>
    <w:rsid w:val="001B4DCC"/>
    <w:rsid w:val="001B4F74"/>
    <w:rsid w:val="001B54A5"/>
    <w:rsid w:val="001B5590"/>
    <w:rsid w:val="001B55EF"/>
    <w:rsid w:val="001B567F"/>
    <w:rsid w:val="001B581F"/>
    <w:rsid w:val="001B5A86"/>
    <w:rsid w:val="001B5DDA"/>
    <w:rsid w:val="001B5E79"/>
    <w:rsid w:val="001B5E80"/>
    <w:rsid w:val="001B5FE4"/>
    <w:rsid w:val="001B60A4"/>
    <w:rsid w:val="001B60BF"/>
    <w:rsid w:val="001B6362"/>
    <w:rsid w:val="001B6712"/>
    <w:rsid w:val="001B6728"/>
    <w:rsid w:val="001B673C"/>
    <w:rsid w:val="001B6916"/>
    <w:rsid w:val="001B6B65"/>
    <w:rsid w:val="001B6B7A"/>
    <w:rsid w:val="001B6DC8"/>
    <w:rsid w:val="001B6E14"/>
    <w:rsid w:val="001B70E8"/>
    <w:rsid w:val="001B74B5"/>
    <w:rsid w:val="001B7507"/>
    <w:rsid w:val="001B7671"/>
    <w:rsid w:val="001B7681"/>
    <w:rsid w:val="001B7AED"/>
    <w:rsid w:val="001B7CB1"/>
    <w:rsid w:val="001C0204"/>
    <w:rsid w:val="001C04DF"/>
    <w:rsid w:val="001C05D5"/>
    <w:rsid w:val="001C06C6"/>
    <w:rsid w:val="001C07C3"/>
    <w:rsid w:val="001C0924"/>
    <w:rsid w:val="001C0BE0"/>
    <w:rsid w:val="001C0DC5"/>
    <w:rsid w:val="001C1129"/>
    <w:rsid w:val="001C1171"/>
    <w:rsid w:val="001C1392"/>
    <w:rsid w:val="001C149C"/>
    <w:rsid w:val="001C1921"/>
    <w:rsid w:val="001C1B0C"/>
    <w:rsid w:val="001C1D91"/>
    <w:rsid w:val="001C1ED7"/>
    <w:rsid w:val="001C1F46"/>
    <w:rsid w:val="001C1FC0"/>
    <w:rsid w:val="001C212F"/>
    <w:rsid w:val="001C3030"/>
    <w:rsid w:val="001C309F"/>
    <w:rsid w:val="001C3378"/>
    <w:rsid w:val="001C33A2"/>
    <w:rsid w:val="001C3A43"/>
    <w:rsid w:val="001C3B4C"/>
    <w:rsid w:val="001C400B"/>
    <w:rsid w:val="001C4079"/>
    <w:rsid w:val="001C40E7"/>
    <w:rsid w:val="001C4141"/>
    <w:rsid w:val="001C4543"/>
    <w:rsid w:val="001C4649"/>
    <w:rsid w:val="001C4AA5"/>
    <w:rsid w:val="001C4BC8"/>
    <w:rsid w:val="001C4D38"/>
    <w:rsid w:val="001C4EEE"/>
    <w:rsid w:val="001C4F1E"/>
    <w:rsid w:val="001C4FF4"/>
    <w:rsid w:val="001C54C3"/>
    <w:rsid w:val="001C5581"/>
    <w:rsid w:val="001C58AE"/>
    <w:rsid w:val="001C5B1C"/>
    <w:rsid w:val="001C5CC6"/>
    <w:rsid w:val="001C5E4C"/>
    <w:rsid w:val="001C5E76"/>
    <w:rsid w:val="001C5F21"/>
    <w:rsid w:val="001C5F36"/>
    <w:rsid w:val="001C60A6"/>
    <w:rsid w:val="001C657E"/>
    <w:rsid w:val="001C6826"/>
    <w:rsid w:val="001C6A1F"/>
    <w:rsid w:val="001C6B9F"/>
    <w:rsid w:val="001C6D01"/>
    <w:rsid w:val="001C6D3C"/>
    <w:rsid w:val="001C6D91"/>
    <w:rsid w:val="001C6D9E"/>
    <w:rsid w:val="001C704B"/>
    <w:rsid w:val="001C7157"/>
    <w:rsid w:val="001C738F"/>
    <w:rsid w:val="001C73E3"/>
    <w:rsid w:val="001C7650"/>
    <w:rsid w:val="001C7980"/>
    <w:rsid w:val="001C7E1D"/>
    <w:rsid w:val="001C7F73"/>
    <w:rsid w:val="001C7FAE"/>
    <w:rsid w:val="001D0275"/>
    <w:rsid w:val="001D0ABC"/>
    <w:rsid w:val="001D0CEE"/>
    <w:rsid w:val="001D0EAE"/>
    <w:rsid w:val="001D0ECB"/>
    <w:rsid w:val="001D12C6"/>
    <w:rsid w:val="001D18A4"/>
    <w:rsid w:val="001D19EC"/>
    <w:rsid w:val="001D1FEF"/>
    <w:rsid w:val="001D21C7"/>
    <w:rsid w:val="001D22A6"/>
    <w:rsid w:val="001D23D2"/>
    <w:rsid w:val="001D247C"/>
    <w:rsid w:val="001D253C"/>
    <w:rsid w:val="001D26A6"/>
    <w:rsid w:val="001D2806"/>
    <w:rsid w:val="001D290E"/>
    <w:rsid w:val="001D2AC5"/>
    <w:rsid w:val="001D2C62"/>
    <w:rsid w:val="001D2D55"/>
    <w:rsid w:val="001D2D7C"/>
    <w:rsid w:val="001D2E3E"/>
    <w:rsid w:val="001D2FE7"/>
    <w:rsid w:val="001D3381"/>
    <w:rsid w:val="001D3820"/>
    <w:rsid w:val="001D3A6C"/>
    <w:rsid w:val="001D3B49"/>
    <w:rsid w:val="001D44BE"/>
    <w:rsid w:val="001D47F0"/>
    <w:rsid w:val="001D4ABF"/>
    <w:rsid w:val="001D5154"/>
    <w:rsid w:val="001D51B2"/>
    <w:rsid w:val="001D51D2"/>
    <w:rsid w:val="001D532A"/>
    <w:rsid w:val="001D56C2"/>
    <w:rsid w:val="001D5753"/>
    <w:rsid w:val="001D5978"/>
    <w:rsid w:val="001D5A8B"/>
    <w:rsid w:val="001D5B5E"/>
    <w:rsid w:val="001D5BF1"/>
    <w:rsid w:val="001D612E"/>
    <w:rsid w:val="001D6178"/>
    <w:rsid w:val="001D6505"/>
    <w:rsid w:val="001D651A"/>
    <w:rsid w:val="001D6569"/>
    <w:rsid w:val="001D668B"/>
    <w:rsid w:val="001D67F6"/>
    <w:rsid w:val="001D6A54"/>
    <w:rsid w:val="001D6BA3"/>
    <w:rsid w:val="001D6C68"/>
    <w:rsid w:val="001D6D43"/>
    <w:rsid w:val="001D717A"/>
    <w:rsid w:val="001D72D1"/>
    <w:rsid w:val="001D732C"/>
    <w:rsid w:val="001D73B8"/>
    <w:rsid w:val="001D7422"/>
    <w:rsid w:val="001D749A"/>
    <w:rsid w:val="001D7500"/>
    <w:rsid w:val="001D75AA"/>
    <w:rsid w:val="001D7724"/>
    <w:rsid w:val="001D7950"/>
    <w:rsid w:val="001D797F"/>
    <w:rsid w:val="001D7B7F"/>
    <w:rsid w:val="001D7BF2"/>
    <w:rsid w:val="001D7DC5"/>
    <w:rsid w:val="001E0212"/>
    <w:rsid w:val="001E03C5"/>
    <w:rsid w:val="001E0492"/>
    <w:rsid w:val="001E075A"/>
    <w:rsid w:val="001E0AFA"/>
    <w:rsid w:val="001E0DA4"/>
    <w:rsid w:val="001E0F4E"/>
    <w:rsid w:val="001E121F"/>
    <w:rsid w:val="001E160F"/>
    <w:rsid w:val="001E1C02"/>
    <w:rsid w:val="001E1D12"/>
    <w:rsid w:val="001E1DA5"/>
    <w:rsid w:val="001E1F50"/>
    <w:rsid w:val="001E2025"/>
    <w:rsid w:val="001E21A2"/>
    <w:rsid w:val="001E21EF"/>
    <w:rsid w:val="001E2289"/>
    <w:rsid w:val="001E261E"/>
    <w:rsid w:val="001E28E0"/>
    <w:rsid w:val="001E2987"/>
    <w:rsid w:val="001E29C5"/>
    <w:rsid w:val="001E29D9"/>
    <w:rsid w:val="001E2ACA"/>
    <w:rsid w:val="001E2CFC"/>
    <w:rsid w:val="001E300E"/>
    <w:rsid w:val="001E3264"/>
    <w:rsid w:val="001E3279"/>
    <w:rsid w:val="001E33AE"/>
    <w:rsid w:val="001E34A0"/>
    <w:rsid w:val="001E36BE"/>
    <w:rsid w:val="001E3787"/>
    <w:rsid w:val="001E37AD"/>
    <w:rsid w:val="001E3CDF"/>
    <w:rsid w:val="001E3D2B"/>
    <w:rsid w:val="001E3DD9"/>
    <w:rsid w:val="001E3DDD"/>
    <w:rsid w:val="001E3E62"/>
    <w:rsid w:val="001E3E93"/>
    <w:rsid w:val="001E3F89"/>
    <w:rsid w:val="001E3F97"/>
    <w:rsid w:val="001E41B3"/>
    <w:rsid w:val="001E439E"/>
    <w:rsid w:val="001E451B"/>
    <w:rsid w:val="001E48BB"/>
    <w:rsid w:val="001E4B09"/>
    <w:rsid w:val="001E4C4B"/>
    <w:rsid w:val="001E4D98"/>
    <w:rsid w:val="001E4F9E"/>
    <w:rsid w:val="001E4FE1"/>
    <w:rsid w:val="001E4FF0"/>
    <w:rsid w:val="001E543C"/>
    <w:rsid w:val="001E54BF"/>
    <w:rsid w:val="001E59B1"/>
    <w:rsid w:val="001E59DA"/>
    <w:rsid w:val="001E5E53"/>
    <w:rsid w:val="001E6071"/>
    <w:rsid w:val="001E607E"/>
    <w:rsid w:val="001E66C1"/>
    <w:rsid w:val="001E6761"/>
    <w:rsid w:val="001E6776"/>
    <w:rsid w:val="001E6856"/>
    <w:rsid w:val="001E6B67"/>
    <w:rsid w:val="001E6BA9"/>
    <w:rsid w:val="001E6DF0"/>
    <w:rsid w:val="001E74FD"/>
    <w:rsid w:val="001E7633"/>
    <w:rsid w:val="001E76CF"/>
    <w:rsid w:val="001E78B0"/>
    <w:rsid w:val="001E7A65"/>
    <w:rsid w:val="001F014E"/>
    <w:rsid w:val="001F0BF8"/>
    <w:rsid w:val="001F10D1"/>
    <w:rsid w:val="001F11B2"/>
    <w:rsid w:val="001F1250"/>
    <w:rsid w:val="001F14F0"/>
    <w:rsid w:val="001F174A"/>
    <w:rsid w:val="001F180A"/>
    <w:rsid w:val="001F1A31"/>
    <w:rsid w:val="001F1AC0"/>
    <w:rsid w:val="001F1F83"/>
    <w:rsid w:val="001F2439"/>
    <w:rsid w:val="001F265D"/>
    <w:rsid w:val="001F272C"/>
    <w:rsid w:val="001F2B1C"/>
    <w:rsid w:val="001F2CEB"/>
    <w:rsid w:val="001F38FA"/>
    <w:rsid w:val="001F3AC1"/>
    <w:rsid w:val="001F3C0D"/>
    <w:rsid w:val="001F3CA0"/>
    <w:rsid w:val="001F3DA7"/>
    <w:rsid w:val="001F3E46"/>
    <w:rsid w:val="001F3FB1"/>
    <w:rsid w:val="001F3FBF"/>
    <w:rsid w:val="001F401A"/>
    <w:rsid w:val="001F4336"/>
    <w:rsid w:val="001F458E"/>
    <w:rsid w:val="001F45D5"/>
    <w:rsid w:val="001F4BB6"/>
    <w:rsid w:val="001F4DF5"/>
    <w:rsid w:val="001F4E41"/>
    <w:rsid w:val="001F4E8E"/>
    <w:rsid w:val="001F4EC0"/>
    <w:rsid w:val="001F4F3F"/>
    <w:rsid w:val="001F50DA"/>
    <w:rsid w:val="001F50F7"/>
    <w:rsid w:val="001F5234"/>
    <w:rsid w:val="001F56BB"/>
    <w:rsid w:val="001F5A62"/>
    <w:rsid w:val="001F5B89"/>
    <w:rsid w:val="001F5CEB"/>
    <w:rsid w:val="001F5E89"/>
    <w:rsid w:val="001F5FA6"/>
    <w:rsid w:val="001F6243"/>
    <w:rsid w:val="001F62F7"/>
    <w:rsid w:val="001F63AF"/>
    <w:rsid w:val="001F6487"/>
    <w:rsid w:val="001F64B4"/>
    <w:rsid w:val="001F6665"/>
    <w:rsid w:val="001F6F45"/>
    <w:rsid w:val="001F7040"/>
    <w:rsid w:val="001F7219"/>
    <w:rsid w:val="001F72BE"/>
    <w:rsid w:val="001F7495"/>
    <w:rsid w:val="001F75B9"/>
    <w:rsid w:val="001F76FB"/>
    <w:rsid w:val="001F79BC"/>
    <w:rsid w:val="001F7ABC"/>
    <w:rsid w:val="001F7BAB"/>
    <w:rsid w:val="0020000D"/>
    <w:rsid w:val="00200256"/>
    <w:rsid w:val="002006AC"/>
    <w:rsid w:val="00200E3A"/>
    <w:rsid w:val="00200E47"/>
    <w:rsid w:val="00200E59"/>
    <w:rsid w:val="0020108F"/>
    <w:rsid w:val="0020114A"/>
    <w:rsid w:val="002011B0"/>
    <w:rsid w:val="002012CA"/>
    <w:rsid w:val="0020147B"/>
    <w:rsid w:val="002015BF"/>
    <w:rsid w:val="00201611"/>
    <w:rsid w:val="00201734"/>
    <w:rsid w:val="002017F3"/>
    <w:rsid w:val="0020182A"/>
    <w:rsid w:val="00201894"/>
    <w:rsid w:val="00201EB1"/>
    <w:rsid w:val="00201F24"/>
    <w:rsid w:val="0020250F"/>
    <w:rsid w:val="00202527"/>
    <w:rsid w:val="002028B9"/>
    <w:rsid w:val="0020299E"/>
    <w:rsid w:val="00202C96"/>
    <w:rsid w:val="00202E08"/>
    <w:rsid w:val="00202FE9"/>
    <w:rsid w:val="0020331E"/>
    <w:rsid w:val="00203366"/>
    <w:rsid w:val="00203940"/>
    <w:rsid w:val="002039C7"/>
    <w:rsid w:val="00203BD2"/>
    <w:rsid w:val="00203DFA"/>
    <w:rsid w:val="002041DD"/>
    <w:rsid w:val="002042B4"/>
    <w:rsid w:val="002042C5"/>
    <w:rsid w:val="0020454D"/>
    <w:rsid w:val="00204805"/>
    <w:rsid w:val="00204812"/>
    <w:rsid w:val="002049B0"/>
    <w:rsid w:val="00204BF6"/>
    <w:rsid w:val="00204CA0"/>
    <w:rsid w:val="00204E76"/>
    <w:rsid w:val="002053ED"/>
    <w:rsid w:val="00205536"/>
    <w:rsid w:val="002055FC"/>
    <w:rsid w:val="0020572C"/>
    <w:rsid w:val="00205791"/>
    <w:rsid w:val="002058A9"/>
    <w:rsid w:val="00205DE5"/>
    <w:rsid w:val="00206080"/>
    <w:rsid w:val="00206292"/>
    <w:rsid w:val="002063D2"/>
    <w:rsid w:val="00206408"/>
    <w:rsid w:val="002064DA"/>
    <w:rsid w:val="002064EA"/>
    <w:rsid w:val="002066CB"/>
    <w:rsid w:val="00206832"/>
    <w:rsid w:val="002068D9"/>
    <w:rsid w:val="00206928"/>
    <w:rsid w:val="0020695C"/>
    <w:rsid w:val="002069C7"/>
    <w:rsid w:val="00206C34"/>
    <w:rsid w:val="00206EEB"/>
    <w:rsid w:val="002070DA"/>
    <w:rsid w:val="0020710D"/>
    <w:rsid w:val="00207375"/>
    <w:rsid w:val="002074FC"/>
    <w:rsid w:val="00207789"/>
    <w:rsid w:val="0020797B"/>
    <w:rsid w:val="00207D2B"/>
    <w:rsid w:val="00207EDC"/>
    <w:rsid w:val="002100F4"/>
    <w:rsid w:val="00210378"/>
    <w:rsid w:val="00210380"/>
    <w:rsid w:val="0021052A"/>
    <w:rsid w:val="00210636"/>
    <w:rsid w:val="00210747"/>
    <w:rsid w:val="00210882"/>
    <w:rsid w:val="00210DFC"/>
    <w:rsid w:val="00210FDE"/>
    <w:rsid w:val="0021100C"/>
    <w:rsid w:val="00211129"/>
    <w:rsid w:val="00211199"/>
    <w:rsid w:val="002111E7"/>
    <w:rsid w:val="002114AD"/>
    <w:rsid w:val="002119F1"/>
    <w:rsid w:val="00211A0E"/>
    <w:rsid w:val="00211A8C"/>
    <w:rsid w:val="00211AE7"/>
    <w:rsid w:val="00211E94"/>
    <w:rsid w:val="00211FC3"/>
    <w:rsid w:val="002122E1"/>
    <w:rsid w:val="00212AE9"/>
    <w:rsid w:val="00212B16"/>
    <w:rsid w:val="00212B4A"/>
    <w:rsid w:val="00212B7C"/>
    <w:rsid w:val="00212CA5"/>
    <w:rsid w:val="00212E56"/>
    <w:rsid w:val="00213251"/>
    <w:rsid w:val="0021355F"/>
    <w:rsid w:val="0021388D"/>
    <w:rsid w:val="00213C39"/>
    <w:rsid w:val="00214295"/>
    <w:rsid w:val="002142C4"/>
    <w:rsid w:val="00214510"/>
    <w:rsid w:val="0021454C"/>
    <w:rsid w:val="00214575"/>
    <w:rsid w:val="002146E3"/>
    <w:rsid w:val="002149C3"/>
    <w:rsid w:val="00214A32"/>
    <w:rsid w:val="00214A6A"/>
    <w:rsid w:val="00214B80"/>
    <w:rsid w:val="00214BD1"/>
    <w:rsid w:val="00214C96"/>
    <w:rsid w:val="00214CCB"/>
    <w:rsid w:val="00214F7C"/>
    <w:rsid w:val="0021527D"/>
    <w:rsid w:val="0021534F"/>
    <w:rsid w:val="0021543E"/>
    <w:rsid w:val="002157EE"/>
    <w:rsid w:val="002159CA"/>
    <w:rsid w:val="002159E0"/>
    <w:rsid w:val="00215BF9"/>
    <w:rsid w:val="00215D3B"/>
    <w:rsid w:val="00215FCF"/>
    <w:rsid w:val="00216138"/>
    <w:rsid w:val="002161EC"/>
    <w:rsid w:val="00216642"/>
    <w:rsid w:val="00216BCD"/>
    <w:rsid w:val="00216D74"/>
    <w:rsid w:val="00216DAA"/>
    <w:rsid w:val="00216DDB"/>
    <w:rsid w:val="00217468"/>
    <w:rsid w:val="0021746D"/>
    <w:rsid w:val="00217569"/>
    <w:rsid w:val="002176C5"/>
    <w:rsid w:val="002176CC"/>
    <w:rsid w:val="0021782F"/>
    <w:rsid w:val="00217F28"/>
    <w:rsid w:val="002200E4"/>
    <w:rsid w:val="00220550"/>
    <w:rsid w:val="002206CC"/>
    <w:rsid w:val="002207B8"/>
    <w:rsid w:val="0022088C"/>
    <w:rsid w:val="00220940"/>
    <w:rsid w:val="00220AE4"/>
    <w:rsid w:val="00220BEC"/>
    <w:rsid w:val="00220ED3"/>
    <w:rsid w:val="002210D8"/>
    <w:rsid w:val="0022117D"/>
    <w:rsid w:val="002214AC"/>
    <w:rsid w:val="0022162E"/>
    <w:rsid w:val="00221BB3"/>
    <w:rsid w:val="00221D0F"/>
    <w:rsid w:val="00221D64"/>
    <w:rsid w:val="00221E6F"/>
    <w:rsid w:val="00221F47"/>
    <w:rsid w:val="00222392"/>
    <w:rsid w:val="00222542"/>
    <w:rsid w:val="00222838"/>
    <w:rsid w:val="002228AA"/>
    <w:rsid w:val="002228FB"/>
    <w:rsid w:val="00222983"/>
    <w:rsid w:val="00222BBA"/>
    <w:rsid w:val="00222F6B"/>
    <w:rsid w:val="0022373D"/>
    <w:rsid w:val="002238D1"/>
    <w:rsid w:val="00223F25"/>
    <w:rsid w:val="00224271"/>
    <w:rsid w:val="0022430E"/>
    <w:rsid w:val="00224357"/>
    <w:rsid w:val="00224395"/>
    <w:rsid w:val="0022455C"/>
    <w:rsid w:val="002247D0"/>
    <w:rsid w:val="0022489F"/>
    <w:rsid w:val="00224C1D"/>
    <w:rsid w:val="00224CDB"/>
    <w:rsid w:val="00224F5F"/>
    <w:rsid w:val="002250E4"/>
    <w:rsid w:val="00225199"/>
    <w:rsid w:val="0022533A"/>
    <w:rsid w:val="00225394"/>
    <w:rsid w:val="00225435"/>
    <w:rsid w:val="0022553A"/>
    <w:rsid w:val="00225A07"/>
    <w:rsid w:val="00225B94"/>
    <w:rsid w:val="00225DC1"/>
    <w:rsid w:val="00225FE7"/>
    <w:rsid w:val="0022602E"/>
    <w:rsid w:val="0022604A"/>
    <w:rsid w:val="0022608A"/>
    <w:rsid w:val="00226355"/>
    <w:rsid w:val="00226723"/>
    <w:rsid w:val="00226837"/>
    <w:rsid w:val="00226B1E"/>
    <w:rsid w:val="00226DD1"/>
    <w:rsid w:val="00226FB8"/>
    <w:rsid w:val="00226FCE"/>
    <w:rsid w:val="00227223"/>
    <w:rsid w:val="002272A3"/>
    <w:rsid w:val="00227331"/>
    <w:rsid w:val="00227417"/>
    <w:rsid w:val="00227562"/>
    <w:rsid w:val="00227578"/>
    <w:rsid w:val="002276BF"/>
    <w:rsid w:val="002278EC"/>
    <w:rsid w:val="00227965"/>
    <w:rsid w:val="00227A57"/>
    <w:rsid w:val="00227B5D"/>
    <w:rsid w:val="00227C91"/>
    <w:rsid w:val="00227D6D"/>
    <w:rsid w:val="00227D84"/>
    <w:rsid w:val="00227DBA"/>
    <w:rsid w:val="00227E24"/>
    <w:rsid w:val="00227F93"/>
    <w:rsid w:val="00230150"/>
    <w:rsid w:val="0023017E"/>
    <w:rsid w:val="002301AF"/>
    <w:rsid w:val="00230A9D"/>
    <w:rsid w:val="00230AC6"/>
    <w:rsid w:val="00230D5C"/>
    <w:rsid w:val="00230DDE"/>
    <w:rsid w:val="00230EDC"/>
    <w:rsid w:val="0023109E"/>
    <w:rsid w:val="00231208"/>
    <w:rsid w:val="0023140C"/>
    <w:rsid w:val="002319CD"/>
    <w:rsid w:val="00231A54"/>
    <w:rsid w:val="00231CBA"/>
    <w:rsid w:val="002320AF"/>
    <w:rsid w:val="002320B0"/>
    <w:rsid w:val="00232451"/>
    <w:rsid w:val="002327BE"/>
    <w:rsid w:val="00232AAD"/>
    <w:rsid w:val="00232CB3"/>
    <w:rsid w:val="00232D32"/>
    <w:rsid w:val="00232D7F"/>
    <w:rsid w:val="00232DF2"/>
    <w:rsid w:val="00232ECA"/>
    <w:rsid w:val="00233042"/>
    <w:rsid w:val="0023328A"/>
    <w:rsid w:val="0023346F"/>
    <w:rsid w:val="002337FF"/>
    <w:rsid w:val="00233931"/>
    <w:rsid w:val="0023394A"/>
    <w:rsid w:val="00233AD0"/>
    <w:rsid w:val="00233D90"/>
    <w:rsid w:val="00233FC2"/>
    <w:rsid w:val="00234909"/>
    <w:rsid w:val="002349B0"/>
    <w:rsid w:val="00234D28"/>
    <w:rsid w:val="002352C9"/>
    <w:rsid w:val="0023552A"/>
    <w:rsid w:val="002355D0"/>
    <w:rsid w:val="002355D3"/>
    <w:rsid w:val="002357DF"/>
    <w:rsid w:val="0023580D"/>
    <w:rsid w:val="00235B33"/>
    <w:rsid w:val="00235B58"/>
    <w:rsid w:val="00235BB5"/>
    <w:rsid w:val="00236046"/>
    <w:rsid w:val="00236053"/>
    <w:rsid w:val="00236148"/>
    <w:rsid w:val="00236237"/>
    <w:rsid w:val="00236271"/>
    <w:rsid w:val="0023666F"/>
    <w:rsid w:val="00236702"/>
    <w:rsid w:val="00236893"/>
    <w:rsid w:val="00236C32"/>
    <w:rsid w:val="00236CE5"/>
    <w:rsid w:val="002370EA"/>
    <w:rsid w:val="00237155"/>
    <w:rsid w:val="002372CC"/>
    <w:rsid w:val="002377B0"/>
    <w:rsid w:val="0023783C"/>
    <w:rsid w:val="00237B24"/>
    <w:rsid w:val="00237C1A"/>
    <w:rsid w:val="00237E06"/>
    <w:rsid w:val="00237F17"/>
    <w:rsid w:val="00237F63"/>
    <w:rsid w:val="00240038"/>
    <w:rsid w:val="002401CB"/>
    <w:rsid w:val="002402C2"/>
    <w:rsid w:val="00240335"/>
    <w:rsid w:val="00240589"/>
    <w:rsid w:val="0024071C"/>
    <w:rsid w:val="0024074B"/>
    <w:rsid w:val="00240792"/>
    <w:rsid w:val="0024085F"/>
    <w:rsid w:val="00240917"/>
    <w:rsid w:val="0024093A"/>
    <w:rsid w:val="00240C92"/>
    <w:rsid w:val="00240E9C"/>
    <w:rsid w:val="00240EB7"/>
    <w:rsid w:val="00240F8A"/>
    <w:rsid w:val="00241229"/>
    <w:rsid w:val="00241277"/>
    <w:rsid w:val="002415BF"/>
    <w:rsid w:val="002418FB"/>
    <w:rsid w:val="002419E7"/>
    <w:rsid w:val="00241B29"/>
    <w:rsid w:val="00241CF1"/>
    <w:rsid w:val="00241D96"/>
    <w:rsid w:val="00241F14"/>
    <w:rsid w:val="00241FED"/>
    <w:rsid w:val="00242090"/>
    <w:rsid w:val="0024235F"/>
    <w:rsid w:val="0024269A"/>
    <w:rsid w:val="00242C7E"/>
    <w:rsid w:val="00242D5B"/>
    <w:rsid w:val="00242F33"/>
    <w:rsid w:val="00243191"/>
    <w:rsid w:val="00243929"/>
    <w:rsid w:val="00243B94"/>
    <w:rsid w:val="00243F9D"/>
    <w:rsid w:val="00244157"/>
    <w:rsid w:val="0024422C"/>
    <w:rsid w:val="00244506"/>
    <w:rsid w:val="00244893"/>
    <w:rsid w:val="00244A5A"/>
    <w:rsid w:val="00244B47"/>
    <w:rsid w:val="00244C1F"/>
    <w:rsid w:val="00245068"/>
    <w:rsid w:val="00245090"/>
    <w:rsid w:val="002450E8"/>
    <w:rsid w:val="0024535B"/>
    <w:rsid w:val="002454DC"/>
    <w:rsid w:val="00245681"/>
    <w:rsid w:val="00245772"/>
    <w:rsid w:val="0024594F"/>
    <w:rsid w:val="00245A53"/>
    <w:rsid w:val="00245A7D"/>
    <w:rsid w:val="00245C40"/>
    <w:rsid w:val="00245D19"/>
    <w:rsid w:val="002460C6"/>
    <w:rsid w:val="0024614B"/>
    <w:rsid w:val="0024617A"/>
    <w:rsid w:val="002463F7"/>
    <w:rsid w:val="0024661E"/>
    <w:rsid w:val="00246AEF"/>
    <w:rsid w:val="00246CCB"/>
    <w:rsid w:val="00246CCC"/>
    <w:rsid w:val="00246E98"/>
    <w:rsid w:val="00246F27"/>
    <w:rsid w:val="00246F66"/>
    <w:rsid w:val="00246F7A"/>
    <w:rsid w:val="00247093"/>
    <w:rsid w:val="0024710C"/>
    <w:rsid w:val="002473C7"/>
    <w:rsid w:val="002474DB"/>
    <w:rsid w:val="00247579"/>
    <w:rsid w:val="00247614"/>
    <w:rsid w:val="0024786A"/>
    <w:rsid w:val="00247928"/>
    <w:rsid w:val="00247AC4"/>
    <w:rsid w:val="00247B5F"/>
    <w:rsid w:val="00247CFE"/>
    <w:rsid w:val="00247DC2"/>
    <w:rsid w:val="00247F8A"/>
    <w:rsid w:val="00247FF6"/>
    <w:rsid w:val="0025005A"/>
    <w:rsid w:val="00250139"/>
    <w:rsid w:val="002501CF"/>
    <w:rsid w:val="00250217"/>
    <w:rsid w:val="0025026E"/>
    <w:rsid w:val="00250937"/>
    <w:rsid w:val="00250C43"/>
    <w:rsid w:val="00250D30"/>
    <w:rsid w:val="00250E25"/>
    <w:rsid w:val="00250EC2"/>
    <w:rsid w:val="00251062"/>
    <w:rsid w:val="00251210"/>
    <w:rsid w:val="002515B7"/>
    <w:rsid w:val="0025164A"/>
    <w:rsid w:val="00251730"/>
    <w:rsid w:val="00251898"/>
    <w:rsid w:val="002518E2"/>
    <w:rsid w:val="002519DF"/>
    <w:rsid w:val="00251AAD"/>
    <w:rsid w:val="00251DA5"/>
    <w:rsid w:val="00251F4A"/>
    <w:rsid w:val="002521B1"/>
    <w:rsid w:val="00252224"/>
    <w:rsid w:val="002524C0"/>
    <w:rsid w:val="0025256B"/>
    <w:rsid w:val="00252798"/>
    <w:rsid w:val="002527D3"/>
    <w:rsid w:val="00252C37"/>
    <w:rsid w:val="00252E67"/>
    <w:rsid w:val="002530FD"/>
    <w:rsid w:val="0025324E"/>
    <w:rsid w:val="00253283"/>
    <w:rsid w:val="00253982"/>
    <w:rsid w:val="00253B03"/>
    <w:rsid w:val="00254190"/>
    <w:rsid w:val="00254193"/>
    <w:rsid w:val="002542AD"/>
    <w:rsid w:val="002543D6"/>
    <w:rsid w:val="00254454"/>
    <w:rsid w:val="0025466A"/>
    <w:rsid w:val="00254764"/>
    <w:rsid w:val="00254903"/>
    <w:rsid w:val="0025491A"/>
    <w:rsid w:val="00254968"/>
    <w:rsid w:val="00254998"/>
    <w:rsid w:val="00254A0E"/>
    <w:rsid w:val="00254AE3"/>
    <w:rsid w:val="00254B49"/>
    <w:rsid w:val="00254B63"/>
    <w:rsid w:val="00255532"/>
    <w:rsid w:val="00255545"/>
    <w:rsid w:val="002559F4"/>
    <w:rsid w:val="00255E82"/>
    <w:rsid w:val="00256013"/>
    <w:rsid w:val="002565AD"/>
    <w:rsid w:val="0025661D"/>
    <w:rsid w:val="002567A2"/>
    <w:rsid w:val="002567D4"/>
    <w:rsid w:val="00256E47"/>
    <w:rsid w:val="002577DE"/>
    <w:rsid w:val="00257B9C"/>
    <w:rsid w:val="00257BE0"/>
    <w:rsid w:val="00257CD3"/>
    <w:rsid w:val="00257E77"/>
    <w:rsid w:val="002600AE"/>
    <w:rsid w:val="0026065F"/>
    <w:rsid w:val="002606C4"/>
    <w:rsid w:val="00260F8D"/>
    <w:rsid w:val="002612E9"/>
    <w:rsid w:val="002615D7"/>
    <w:rsid w:val="00261705"/>
    <w:rsid w:val="0026193C"/>
    <w:rsid w:val="00261D3F"/>
    <w:rsid w:val="00261FE2"/>
    <w:rsid w:val="00262188"/>
    <w:rsid w:val="002621EB"/>
    <w:rsid w:val="00262237"/>
    <w:rsid w:val="00262330"/>
    <w:rsid w:val="002625C1"/>
    <w:rsid w:val="002626AE"/>
    <w:rsid w:val="002627B5"/>
    <w:rsid w:val="0026293F"/>
    <w:rsid w:val="0026299B"/>
    <w:rsid w:val="00262A07"/>
    <w:rsid w:val="00262E30"/>
    <w:rsid w:val="00262EF1"/>
    <w:rsid w:val="0026328F"/>
    <w:rsid w:val="002632A7"/>
    <w:rsid w:val="00263317"/>
    <w:rsid w:val="002633EA"/>
    <w:rsid w:val="0026346F"/>
    <w:rsid w:val="002637F0"/>
    <w:rsid w:val="00263B05"/>
    <w:rsid w:val="00263D2A"/>
    <w:rsid w:val="0026422D"/>
    <w:rsid w:val="0026425B"/>
    <w:rsid w:val="002644EE"/>
    <w:rsid w:val="00264601"/>
    <w:rsid w:val="0026476A"/>
    <w:rsid w:val="00264B3F"/>
    <w:rsid w:val="00264FC0"/>
    <w:rsid w:val="002650DD"/>
    <w:rsid w:val="002651F5"/>
    <w:rsid w:val="002653C7"/>
    <w:rsid w:val="00265CC3"/>
    <w:rsid w:val="00265CD1"/>
    <w:rsid w:val="00265D78"/>
    <w:rsid w:val="002661D3"/>
    <w:rsid w:val="002664E0"/>
    <w:rsid w:val="0026650A"/>
    <w:rsid w:val="002665DE"/>
    <w:rsid w:val="00266B67"/>
    <w:rsid w:val="00266C54"/>
    <w:rsid w:val="00266F53"/>
    <w:rsid w:val="002672AB"/>
    <w:rsid w:val="00267487"/>
    <w:rsid w:val="002674D1"/>
    <w:rsid w:val="0026757D"/>
    <w:rsid w:val="002679F2"/>
    <w:rsid w:val="00267D39"/>
    <w:rsid w:val="00267F05"/>
    <w:rsid w:val="00267F46"/>
    <w:rsid w:val="002701DB"/>
    <w:rsid w:val="002704FD"/>
    <w:rsid w:val="00270532"/>
    <w:rsid w:val="002706E6"/>
    <w:rsid w:val="00270A82"/>
    <w:rsid w:val="00270EBC"/>
    <w:rsid w:val="00270ED2"/>
    <w:rsid w:val="002710B1"/>
    <w:rsid w:val="00271434"/>
    <w:rsid w:val="00271465"/>
    <w:rsid w:val="002717CD"/>
    <w:rsid w:val="002717FD"/>
    <w:rsid w:val="00271A14"/>
    <w:rsid w:val="00271B31"/>
    <w:rsid w:val="00271BAF"/>
    <w:rsid w:val="00271C3B"/>
    <w:rsid w:val="00271CA1"/>
    <w:rsid w:val="00272216"/>
    <w:rsid w:val="0027227F"/>
    <w:rsid w:val="002722ED"/>
    <w:rsid w:val="0027234B"/>
    <w:rsid w:val="002724C8"/>
    <w:rsid w:val="0027251A"/>
    <w:rsid w:val="00272753"/>
    <w:rsid w:val="00272A33"/>
    <w:rsid w:val="00272A3B"/>
    <w:rsid w:val="00272A8F"/>
    <w:rsid w:val="00272C9D"/>
    <w:rsid w:val="00272D7A"/>
    <w:rsid w:val="00272EC0"/>
    <w:rsid w:val="00273281"/>
    <w:rsid w:val="002732BD"/>
    <w:rsid w:val="002732D2"/>
    <w:rsid w:val="00273591"/>
    <w:rsid w:val="00273703"/>
    <w:rsid w:val="0027390C"/>
    <w:rsid w:val="00273B41"/>
    <w:rsid w:val="00273BF2"/>
    <w:rsid w:val="00273CC4"/>
    <w:rsid w:val="00273E05"/>
    <w:rsid w:val="00274001"/>
    <w:rsid w:val="00274086"/>
    <w:rsid w:val="00274176"/>
    <w:rsid w:val="002746A8"/>
    <w:rsid w:val="00274A5E"/>
    <w:rsid w:val="00274B28"/>
    <w:rsid w:val="00274B9B"/>
    <w:rsid w:val="00274C67"/>
    <w:rsid w:val="00274CAB"/>
    <w:rsid w:val="00274D85"/>
    <w:rsid w:val="00274E03"/>
    <w:rsid w:val="00274E19"/>
    <w:rsid w:val="00274FDD"/>
    <w:rsid w:val="00275091"/>
    <w:rsid w:val="002752A7"/>
    <w:rsid w:val="002754C5"/>
    <w:rsid w:val="002755E7"/>
    <w:rsid w:val="00275606"/>
    <w:rsid w:val="00275843"/>
    <w:rsid w:val="00275861"/>
    <w:rsid w:val="00275A2D"/>
    <w:rsid w:val="00275A88"/>
    <w:rsid w:val="00275C2F"/>
    <w:rsid w:val="00275D94"/>
    <w:rsid w:val="00276048"/>
    <w:rsid w:val="00276273"/>
    <w:rsid w:val="0027653D"/>
    <w:rsid w:val="00276579"/>
    <w:rsid w:val="002766A6"/>
    <w:rsid w:val="00276847"/>
    <w:rsid w:val="002768C8"/>
    <w:rsid w:val="00276967"/>
    <w:rsid w:val="00276A06"/>
    <w:rsid w:val="00276A8A"/>
    <w:rsid w:val="00276DFF"/>
    <w:rsid w:val="00276EB1"/>
    <w:rsid w:val="00276EE2"/>
    <w:rsid w:val="00276F9D"/>
    <w:rsid w:val="002770CD"/>
    <w:rsid w:val="00277145"/>
    <w:rsid w:val="002779FC"/>
    <w:rsid w:val="00277D92"/>
    <w:rsid w:val="00277DBA"/>
    <w:rsid w:val="00277EB8"/>
    <w:rsid w:val="00277F2F"/>
    <w:rsid w:val="00277F56"/>
    <w:rsid w:val="00280394"/>
    <w:rsid w:val="002807CD"/>
    <w:rsid w:val="0028097F"/>
    <w:rsid w:val="00280996"/>
    <w:rsid w:val="00280A00"/>
    <w:rsid w:val="00280B6E"/>
    <w:rsid w:val="00280C4A"/>
    <w:rsid w:val="00280D8D"/>
    <w:rsid w:val="00281117"/>
    <w:rsid w:val="00281122"/>
    <w:rsid w:val="002815B3"/>
    <w:rsid w:val="002817FE"/>
    <w:rsid w:val="0028191E"/>
    <w:rsid w:val="00281A04"/>
    <w:rsid w:val="00281A27"/>
    <w:rsid w:val="00281A4E"/>
    <w:rsid w:val="00281B66"/>
    <w:rsid w:val="00281B6F"/>
    <w:rsid w:val="00281BF7"/>
    <w:rsid w:val="00281C34"/>
    <w:rsid w:val="00281C80"/>
    <w:rsid w:val="00281D42"/>
    <w:rsid w:val="00281D83"/>
    <w:rsid w:val="00281EE5"/>
    <w:rsid w:val="00281FEC"/>
    <w:rsid w:val="00282A13"/>
    <w:rsid w:val="00282D26"/>
    <w:rsid w:val="00282D41"/>
    <w:rsid w:val="00282D88"/>
    <w:rsid w:val="00282FB2"/>
    <w:rsid w:val="00283031"/>
    <w:rsid w:val="0028321C"/>
    <w:rsid w:val="002832C2"/>
    <w:rsid w:val="00283713"/>
    <w:rsid w:val="002837F4"/>
    <w:rsid w:val="00283A07"/>
    <w:rsid w:val="00283A3F"/>
    <w:rsid w:val="00283ACE"/>
    <w:rsid w:val="00283DBD"/>
    <w:rsid w:val="00283EB6"/>
    <w:rsid w:val="002841EC"/>
    <w:rsid w:val="0028420D"/>
    <w:rsid w:val="0028420F"/>
    <w:rsid w:val="0028426A"/>
    <w:rsid w:val="0028437B"/>
    <w:rsid w:val="0028448E"/>
    <w:rsid w:val="00284582"/>
    <w:rsid w:val="00284759"/>
    <w:rsid w:val="002849E2"/>
    <w:rsid w:val="00284A1C"/>
    <w:rsid w:val="00284CD8"/>
    <w:rsid w:val="00284DD2"/>
    <w:rsid w:val="002853B5"/>
    <w:rsid w:val="002855A3"/>
    <w:rsid w:val="00285621"/>
    <w:rsid w:val="002857AC"/>
    <w:rsid w:val="00286129"/>
    <w:rsid w:val="0028617A"/>
    <w:rsid w:val="0028619A"/>
    <w:rsid w:val="0028640C"/>
    <w:rsid w:val="0028656A"/>
    <w:rsid w:val="00286AFC"/>
    <w:rsid w:val="00286B35"/>
    <w:rsid w:val="00286E5C"/>
    <w:rsid w:val="00286EB2"/>
    <w:rsid w:val="002870CB"/>
    <w:rsid w:val="00287144"/>
    <w:rsid w:val="00287157"/>
    <w:rsid w:val="00287331"/>
    <w:rsid w:val="0028758D"/>
    <w:rsid w:val="00287911"/>
    <w:rsid w:val="00287933"/>
    <w:rsid w:val="002900BF"/>
    <w:rsid w:val="0029014D"/>
    <w:rsid w:val="00290222"/>
    <w:rsid w:val="002902D0"/>
    <w:rsid w:val="00290DC4"/>
    <w:rsid w:val="00290FDC"/>
    <w:rsid w:val="002910B2"/>
    <w:rsid w:val="002911D5"/>
    <w:rsid w:val="00291573"/>
    <w:rsid w:val="002919DF"/>
    <w:rsid w:val="00291B6B"/>
    <w:rsid w:val="00291C7E"/>
    <w:rsid w:val="00291E3F"/>
    <w:rsid w:val="002922E2"/>
    <w:rsid w:val="002922F1"/>
    <w:rsid w:val="00292680"/>
    <w:rsid w:val="0029269C"/>
    <w:rsid w:val="00293110"/>
    <w:rsid w:val="00293118"/>
    <w:rsid w:val="00293200"/>
    <w:rsid w:val="0029320C"/>
    <w:rsid w:val="002933AC"/>
    <w:rsid w:val="00293529"/>
    <w:rsid w:val="002935AB"/>
    <w:rsid w:val="002935E9"/>
    <w:rsid w:val="00293CAA"/>
    <w:rsid w:val="00293DFF"/>
    <w:rsid w:val="00293F91"/>
    <w:rsid w:val="00294473"/>
    <w:rsid w:val="002944AF"/>
    <w:rsid w:val="002945A2"/>
    <w:rsid w:val="0029471E"/>
    <w:rsid w:val="002947B6"/>
    <w:rsid w:val="002947E6"/>
    <w:rsid w:val="00294836"/>
    <w:rsid w:val="00294A32"/>
    <w:rsid w:val="00294AC6"/>
    <w:rsid w:val="00294ED3"/>
    <w:rsid w:val="00295029"/>
    <w:rsid w:val="002952AF"/>
    <w:rsid w:val="002956FE"/>
    <w:rsid w:val="00295BD0"/>
    <w:rsid w:val="00295CB2"/>
    <w:rsid w:val="00295D8A"/>
    <w:rsid w:val="00295FE9"/>
    <w:rsid w:val="00296230"/>
    <w:rsid w:val="002962EE"/>
    <w:rsid w:val="0029634C"/>
    <w:rsid w:val="002964D4"/>
    <w:rsid w:val="00296C66"/>
    <w:rsid w:val="00296E9B"/>
    <w:rsid w:val="00296EA7"/>
    <w:rsid w:val="00296EF0"/>
    <w:rsid w:val="00297209"/>
    <w:rsid w:val="0029750C"/>
    <w:rsid w:val="00297577"/>
    <w:rsid w:val="0029769D"/>
    <w:rsid w:val="00297835"/>
    <w:rsid w:val="002978C3"/>
    <w:rsid w:val="0029799B"/>
    <w:rsid w:val="00297E43"/>
    <w:rsid w:val="00297F33"/>
    <w:rsid w:val="002A03FE"/>
    <w:rsid w:val="002A04F0"/>
    <w:rsid w:val="002A0561"/>
    <w:rsid w:val="002A073D"/>
    <w:rsid w:val="002A08F5"/>
    <w:rsid w:val="002A09F4"/>
    <w:rsid w:val="002A0A77"/>
    <w:rsid w:val="002A0C45"/>
    <w:rsid w:val="002A0C54"/>
    <w:rsid w:val="002A0E8D"/>
    <w:rsid w:val="002A0F43"/>
    <w:rsid w:val="002A0F89"/>
    <w:rsid w:val="002A1089"/>
    <w:rsid w:val="002A127B"/>
    <w:rsid w:val="002A12A6"/>
    <w:rsid w:val="002A1432"/>
    <w:rsid w:val="002A163E"/>
    <w:rsid w:val="002A1A1C"/>
    <w:rsid w:val="002A1D50"/>
    <w:rsid w:val="002A2053"/>
    <w:rsid w:val="002A2140"/>
    <w:rsid w:val="002A22F2"/>
    <w:rsid w:val="002A22FF"/>
    <w:rsid w:val="002A238C"/>
    <w:rsid w:val="002A244C"/>
    <w:rsid w:val="002A25EA"/>
    <w:rsid w:val="002A28C0"/>
    <w:rsid w:val="002A28CB"/>
    <w:rsid w:val="002A2908"/>
    <w:rsid w:val="002A2A5C"/>
    <w:rsid w:val="002A2C3C"/>
    <w:rsid w:val="002A2F6D"/>
    <w:rsid w:val="002A307B"/>
    <w:rsid w:val="002A3190"/>
    <w:rsid w:val="002A3777"/>
    <w:rsid w:val="002A37C0"/>
    <w:rsid w:val="002A389D"/>
    <w:rsid w:val="002A38F8"/>
    <w:rsid w:val="002A3933"/>
    <w:rsid w:val="002A39C7"/>
    <w:rsid w:val="002A3AA4"/>
    <w:rsid w:val="002A3B84"/>
    <w:rsid w:val="002A3EA5"/>
    <w:rsid w:val="002A3F35"/>
    <w:rsid w:val="002A4795"/>
    <w:rsid w:val="002A4F84"/>
    <w:rsid w:val="002A4FA5"/>
    <w:rsid w:val="002A50C5"/>
    <w:rsid w:val="002A5327"/>
    <w:rsid w:val="002A55C9"/>
    <w:rsid w:val="002A5618"/>
    <w:rsid w:val="002A577A"/>
    <w:rsid w:val="002A5790"/>
    <w:rsid w:val="002A5865"/>
    <w:rsid w:val="002A58D0"/>
    <w:rsid w:val="002A5A82"/>
    <w:rsid w:val="002A6025"/>
    <w:rsid w:val="002A6032"/>
    <w:rsid w:val="002A62B9"/>
    <w:rsid w:val="002A664F"/>
    <w:rsid w:val="002A66D2"/>
    <w:rsid w:val="002A6759"/>
    <w:rsid w:val="002A67DA"/>
    <w:rsid w:val="002A6B0C"/>
    <w:rsid w:val="002A6C92"/>
    <w:rsid w:val="002A6DC4"/>
    <w:rsid w:val="002A6E1E"/>
    <w:rsid w:val="002A6EA7"/>
    <w:rsid w:val="002A6ED9"/>
    <w:rsid w:val="002A7056"/>
    <w:rsid w:val="002A70BF"/>
    <w:rsid w:val="002A7189"/>
    <w:rsid w:val="002A739E"/>
    <w:rsid w:val="002A73EC"/>
    <w:rsid w:val="002A76F2"/>
    <w:rsid w:val="002A774D"/>
    <w:rsid w:val="002A7862"/>
    <w:rsid w:val="002A78E8"/>
    <w:rsid w:val="002A7953"/>
    <w:rsid w:val="002A7CA8"/>
    <w:rsid w:val="002A7E9F"/>
    <w:rsid w:val="002B0099"/>
    <w:rsid w:val="002B023E"/>
    <w:rsid w:val="002B04F4"/>
    <w:rsid w:val="002B05EA"/>
    <w:rsid w:val="002B07BF"/>
    <w:rsid w:val="002B085F"/>
    <w:rsid w:val="002B0BAA"/>
    <w:rsid w:val="002B0D02"/>
    <w:rsid w:val="002B0F13"/>
    <w:rsid w:val="002B1041"/>
    <w:rsid w:val="002B127A"/>
    <w:rsid w:val="002B12A0"/>
    <w:rsid w:val="002B1425"/>
    <w:rsid w:val="002B14C6"/>
    <w:rsid w:val="002B168D"/>
    <w:rsid w:val="002B1A76"/>
    <w:rsid w:val="002B1CA4"/>
    <w:rsid w:val="002B1E08"/>
    <w:rsid w:val="002B247D"/>
    <w:rsid w:val="002B2540"/>
    <w:rsid w:val="002B26AC"/>
    <w:rsid w:val="002B26D2"/>
    <w:rsid w:val="002B272B"/>
    <w:rsid w:val="002B277A"/>
    <w:rsid w:val="002B28F5"/>
    <w:rsid w:val="002B2986"/>
    <w:rsid w:val="002B2BC8"/>
    <w:rsid w:val="002B2C0F"/>
    <w:rsid w:val="002B2F6C"/>
    <w:rsid w:val="002B2F71"/>
    <w:rsid w:val="002B2FDA"/>
    <w:rsid w:val="002B303D"/>
    <w:rsid w:val="002B30B6"/>
    <w:rsid w:val="002B30E6"/>
    <w:rsid w:val="002B3280"/>
    <w:rsid w:val="002B3378"/>
    <w:rsid w:val="002B38CE"/>
    <w:rsid w:val="002B3A51"/>
    <w:rsid w:val="002B3B76"/>
    <w:rsid w:val="002B3BE2"/>
    <w:rsid w:val="002B3D74"/>
    <w:rsid w:val="002B4073"/>
    <w:rsid w:val="002B4139"/>
    <w:rsid w:val="002B44F5"/>
    <w:rsid w:val="002B4500"/>
    <w:rsid w:val="002B483C"/>
    <w:rsid w:val="002B4A24"/>
    <w:rsid w:val="002B4CD6"/>
    <w:rsid w:val="002B4DCF"/>
    <w:rsid w:val="002B4EAC"/>
    <w:rsid w:val="002B504C"/>
    <w:rsid w:val="002B5081"/>
    <w:rsid w:val="002B50B9"/>
    <w:rsid w:val="002B516E"/>
    <w:rsid w:val="002B51E6"/>
    <w:rsid w:val="002B53AA"/>
    <w:rsid w:val="002B565E"/>
    <w:rsid w:val="002B5695"/>
    <w:rsid w:val="002B5822"/>
    <w:rsid w:val="002B5954"/>
    <w:rsid w:val="002B597B"/>
    <w:rsid w:val="002B5AAA"/>
    <w:rsid w:val="002B5C1C"/>
    <w:rsid w:val="002B5C44"/>
    <w:rsid w:val="002B5DD5"/>
    <w:rsid w:val="002B5E33"/>
    <w:rsid w:val="002B5F2C"/>
    <w:rsid w:val="002B5F85"/>
    <w:rsid w:val="002B6031"/>
    <w:rsid w:val="002B65B1"/>
    <w:rsid w:val="002B6896"/>
    <w:rsid w:val="002B68E2"/>
    <w:rsid w:val="002B6B3A"/>
    <w:rsid w:val="002B7144"/>
    <w:rsid w:val="002B724E"/>
    <w:rsid w:val="002B7535"/>
    <w:rsid w:val="002B75A0"/>
    <w:rsid w:val="002B7859"/>
    <w:rsid w:val="002B79AA"/>
    <w:rsid w:val="002B7A6E"/>
    <w:rsid w:val="002B7BD9"/>
    <w:rsid w:val="002B7D13"/>
    <w:rsid w:val="002B7FEB"/>
    <w:rsid w:val="002C0385"/>
    <w:rsid w:val="002C0510"/>
    <w:rsid w:val="002C0547"/>
    <w:rsid w:val="002C06A9"/>
    <w:rsid w:val="002C0798"/>
    <w:rsid w:val="002C0959"/>
    <w:rsid w:val="002C0C74"/>
    <w:rsid w:val="002C0D92"/>
    <w:rsid w:val="002C0EDE"/>
    <w:rsid w:val="002C0F0E"/>
    <w:rsid w:val="002C1187"/>
    <w:rsid w:val="002C11F0"/>
    <w:rsid w:val="002C127C"/>
    <w:rsid w:val="002C1AED"/>
    <w:rsid w:val="002C208D"/>
    <w:rsid w:val="002C20C8"/>
    <w:rsid w:val="002C2144"/>
    <w:rsid w:val="002C21EB"/>
    <w:rsid w:val="002C2218"/>
    <w:rsid w:val="002C22A6"/>
    <w:rsid w:val="002C267E"/>
    <w:rsid w:val="002C2ADF"/>
    <w:rsid w:val="002C2DD9"/>
    <w:rsid w:val="002C2E4C"/>
    <w:rsid w:val="002C2E81"/>
    <w:rsid w:val="002C2F99"/>
    <w:rsid w:val="002C303D"/>
    <w:rsid w:val="002C3288"/>
    <w:rsid w:val="002C3434"/>
    <w:rsid w:val="002C353F"/>
    <w:rsid w:val="002C359B"/>
    <w:rsid w:val="002C38D8"/>
    <w:rsid w:val="002C3CF0"/>
    <w:rsid w:val="002C3E2B"/>
    <w:rsid w:val="002C3EC3"/>
    <w:rsid w:val="002C3F5C"/>
    <w:rsid w:val="002C4225"/>
    <w:rsid w:val="002C45BB"/>
    <w:rsid w:val="002C4883"/>
    <w:rsid w:val="002C4B7D"/>
    <w:rsid w:val="002C4FCC"/>
    <w:rsid w:val="002C511A"/>
    <w:rsid w:val="002C51A8"/>
    <w:rsid w:val="002C5285"/>
    <w:rsid w:val="002C54E3"/>
    <w:rsid w:val="002C558F"/>
    <w:rsid w:val="002C59F8"/>
    <w:rsid w:val="002C5B4A"/>
    <w:rsid w:val="002C5CB4"/>
    <w:rsid w:val="002C5E9A"/>
    <w:rsid w:val="002C608A"/>
    <w:rsid w:val="002C60D0"/>
    <w:rsid w:val="002C6192"/>
    <w:rsid w:val="002C61D5"/>
    <w:rsid w:val="002C6223"/>
    <w:rsid w:val="002C63E5"/>
    <w:rsid w:val="002C6C19"/>
    <w:rsid w:val="002C6FD9"/>
    <w:rsid w:val="002C7541"/>
    <w:rsid w:val="002C75CF"/>
    <w:rsid w:val="002C7B48"/>
    <w:rsid w:val="002C7BCE"/>
    <w:rsid w:val="002C7D53"/>
    <w:rsid w:val="002C7E63"/>
    <w:rsid w:val="002C7EE9"/>
    <w:rsid w:val="002D02CC"/>
    <w:rsid w:val="002D096E"/>
    <w:rsid w:val="002D098D"/>
    <w:rsid w:val="002D0A22"/>
    <w:rsid w:val="002D0C77"/>
    <w:rsid w:val="002D0ED6"/>
    <w:rsid w:val="002D0FAA"/>
    <w:rsid w:val="002D1117"/>
    <w:rsid w:val="002D11BE"/>
    <w:rsid w:val="002D11E1"/>
    <w:rsid w:val="002D1493"/>
    <w:rsid w:val="002D15B4"/>
    <w:rsid w:val="002D1632"/>
    <w:rsid w:val="002D187B"/>
    <w:rsid w:val="002D1A02"/>
    <w:rsid w:val="002D1EE0"/>
    <w:rsid w:val="002D1FF6"/>
    <w:rsid w:val="002D2234"/>
    <w:rsid w:val="002D2387"/>
    <w:rsid w:val="002D2614"/>
    <w:rsid w:val="002D2676"/>
    <w:rsid w:val="002D2701"/>
    <w:rsid w:val="002D275A"/>
    <w:rsid w:val="002D2A56"/>
    <w:rsid w:val="002D2AA0"/>
    <w:rsid w:val="002D2B5D"/>
    <w:rsid w:val="002D2BAC"/>
    <w:rsid w:val="002D2BF0"/>
    <w:rsid w:val="002D2C5E"/>
    <w:rsid w:val="002D2DDF"/>
    <w:rsid w:val="002D30D3"/>
    <w:rsid w:val="002D323E"/>
    <w:rsid w:val="002D3248"/>
    <w:rsid w:val="002D373B"/>
    <w:rsid w:val="002D3C0F"/>
    <w:rsid w:val="002D3D56"/>
    <w:rsid w:val="002D3D60"/>
    <w:rsid w:val="002D3F15"/>
    <w:rsid w:val="002D4000"/>
    <w:rsid w:val="002D40E1"/>
    <w:rsid w:val="002D4451"/>
    <w:rsid w:val="002D4506"/>
    <w:rsid w:val="002D4CEF"/>
    <w:rsid w:val="002D4EBC"/>
    <w:rsid w:val="002D4EFA"/>
    <w:rsid w:val="002D5688"/>
    <w:rsid w:val="002D58F8"/>
    <w:rsid w:val="002D5947"/>
    <w:rsid w:val="002D59E6"/>
    <w:rsid w:val="002D5A3F"/>
    <w:rsid w:val="002D60BC"/>
    <w:rsid w:val="002D610C"/>
    <w:rsid w:val="002D6695"/>
    <w:rsid w:val="002D6B42"/>
    <w:rsid w:val="002D6CD1"/>
    <w:rsid w:val="002D6D65"/>
    <w:rsid w:val="002D6E83"/>
    <w:rsid w:val="002D6F41"/>
    <w:rsid w:val="002D7383"/>
    <w:rsid w:val="002D7436"/>
    <w:rsid w:val="002D7581"/>
    <w:rsid w:val="002D7942"/>
    <w:rsid w:val="002D79D5"/>
    <w:rsid w:val="002D7AA0"/>
    <w:rsid w:val="002D7C40"/>
    <w:rsid w:val="002D7DC1"/>
    <w:rsid w:val="002E0102"/>
    <w:rsid w:val="002E028C"/>
    <w:rsid w:val="002E062F"/>
    <w:rsid w:val="002E0698"/>
    <w:rsid w:val="002E06A1"/>
    <w:rsid w:val="002E0779"/>
    <w:rsid w:val="002E092C"/>
    <w:rsid w:val="002E09EA"/>
    <w:rsid w:val="002E0A60"/>
    <w:rsid w:val="002E0A94"/>
    <w:rsid w:val="002E0A9B"/>
    <w:rsid w:val="002E1022"/>
    <w:rsid w:val="002E12AE"/>
    <w:rsid w:val="002E159B"/>
    <w:rsid w:val="002E15B9"/>
    <w:rsid w:val="002E1622"/>
    <w:rsid w:val="002E17EF"/>
    <w:rsid w:val="002E1911"/>
    <w:rsid w:val="002E1963"/>
    <w:rsid w:val="002E1BB1"/>
    <w:rsid w:val="002E1EA9"/>
    <w:rsid w:val="002E1EBD"/>
    <w:rsid w:val="002E1F6E"/>
    <w:rsid w:val="002E1FCF"/>
    <w:rsid w:val="002E2313"/>
    <w:rsid w:val="002E23E9"/>
    <w:rsid w:val="002E2628"/>
    <w:rsid w:val="002E27AA"/>
    <w:rsid w:val="002E2C7E"/>
    <w:rsid w:val="002E2CDC"/>
    <w:rsid w:val="002E2CE4"/>
    <w:rsid w:val="002E2D2C"/>
    <w:rsid w:val="002E3062"/>
    <w:rsid w:val="002E3310"/>
    <w:rsid w:val="002E335D"/>
    <w:rsid w:val="002E33E6"/>
    <w:rsid w:val="002E3498"/>
    <w:rsid w:val="002E3973"/>
    <w:rsid w:val="002E3A1B"/>
    <w:rsid w:val="002E3C50"/>
    <w:rsid w:val="002E3CFB"/>
    <w:rsid w:val="002E3F19"/>
    <w:rsid w:val="002E40AB"/>
    <w:rsid w:val="002E41FC"/>
    <w:rsid w:val="002E4482"/>
    <w:rsid w:val="002E479B"/>
    <w:rsid w:val="002E4988"/>
    <w:rsid w:val="002E4A22"/>
    <w:rsid w:val="002E4E39"/>
    <w:rsid w:val="002E5045"/>
    <w:rsid w:val="002E5430"/>
    <w:rsid w:val="002E559B"/>
    <w:rsid w:val="002E5629"/>
    <w:rsid w:val="002E58C3"/>
    <w:rsid w:val="002E59EA"/>
    <w:rsid w:val="002E5A8F"/>
    <w:rsid w:val="002E5B98"/>
    <w:rsid w:val="002E5C63"/>
    <w:rsid w:val="002E5E57"/>
    <w:rsid w:val="002E5EB6"/>
    <w:rsid w:val="002E5F98"/>
    <w:rsid w:val="002E6100"/>
    <w:rsid w:val="002E61AC"/>
    <w:rsid w:val="002E64DA"/>
    <w:rsid w:val="002E655F"/>
    <w:rsid w:val="002E65C1"/>
    <w:rsid w:val="002E6630"/>
    <w:rsid w:val="002E6690"/>
    <w:rsid w:val="002E683A"/>
    <w:rsid w:val="002E6D7C"/>
    <w:rsid w:val="002E6D94"/>
    <w:rsid w:val="002E6DC3"/>
    <w:rsid w:val="002E6DF1"/>
    <w:rsid w:val="002E6FA0"/>
    <w:rsid w:val="002E7078"/>
    <w:rsid w:val="002E7314"/>
    <w:rsid w:val="002E770C"/>
    <w:rsid w:val="002E78CA"/>
    <w:rsid w:val="002E7AD4"/>
    <w:rsid w:val="002F0071"/>
    <w:rsid w:val="002F008E"/>
    <w:rsid w:val="002F032A"/>
    <w:rsid w:val="002F0387"/>
    <w:rsid w:val="002F0495"/>
    <w:rsid w:val="002F04B0"/>
    <w:rsid w:val="002F0684"/>
    <w:rsid w:val="002F08CB"/>
    <w:rsid w:val="002F08D2"/>
    <w:rsid w:val="002F0C6A"/>
    <w:rsid w:val="002F0C6E"/>
    <w:rsid w:val="002F0DAA"/>
    <w:rsid w:val="002F191D"/>
    <w:rsid w:val="002F1BAC"/>
    <w:rsid w:val="002F1CB2"/>
    <w:rsid w:val="002F1CF7"/>
    <w:rsid w:val="002F1DAC"/>
    <w:rsid w:val="002F2233"/>
    <w:rsid w:val="002F2242"/>
    <w:rsid w:val="002F231A"/>
    <w:rsid w:val="002F23FA"/>
    <w:rsid w:val="002F2D3A"/>
    <w:rsid w:val="002F2D45"/>
    <w:rsid w:val="002F2DDA"/>
    <w:rsid w:val="002F2F4C"/>
    <w:rsid w:val="002F30F9"/>
    <w:rsid w:val="002F3319"/>
    <w:rsid w:val="002F346D"/>
    <w:rsid w:val="002F349C"/>
    <w:rsid w:val="002F352D"/>
    <w:rsid w:val="002F38E4"/>
    <w:rsid w:val="002F3929"/>
    <w:rsid w:val="002F3CBB"/>
    <w:rsid w:val="002F3D47"/>
    <w:rsid w:val="002F41A3"/>
    <w:rsid w:val="002F42C6"/>
    <w:rsid w:val="002F4697"/>
    <w:rsid w:val="002F46BE"/>
    <w:rsid w:val="002F480A"/>
    <w:rsid w:val="002F4AFC"/>
    <w:rsid w:val="002F4BAD"/>
    <w:rsid w:val="002F4CE3"/>
    <w:rsid w:val="002F4D7F"/>
    <w:rsid w:val="002F4DA8"/>
    <w:rsid w:val="002F5054"/>
    <w:rsid w:val="002F53C2"/>
    <w:rsid w:val="002F55D8"/>
    <w:rsid w:val="002F5720"/>
    <w:rsid w:val="002F5723"/>
    <w:rsid w:val="002F5966"/>
    <w:rsid w:val="002F5A32"/>
    <w:rsid w:val="002F5CD6"/>
    <w:rsid w:val="002F5E2E"/>
    <w:rsid w:val="002F5E52"/>
    <w:rsid w:val="002F5FAD"/>
    <w:rsid w:val="002F603F"/>
    <w:rsid w:val="002F6152"/>
    <w:rsid w:val="002F638D"/>
    <w:rsid w:val="002F6495"/>
    <w:rsid w:val="002F6498"/>
    <w:rsid w:val="002F678F"/>
    <w:rsid w:val="002F6903"/>
    <w:rsid w:val="002F6B5E"/>
    <w:rsid w:val="002F6D28"/>
    <w:rsid w:val="002F6D34"/>
    <w:rsid w:val="002F71B3"/>
    <w:rsid w:val="002F7514"/>
    <w:rsid w:val="002F7A1A"/>
    <w:rsid w:val="002F7B7F"/>
    <w:rsid w:val="002F7B93"/>
    <w:rsid w:val="002F7CD6"/>
    <w:rsid w:val="002F7E1B"/>
    <w:rsid w:val="002F7FF2"/>
    <w:rsid w:val="003000A5"/>
    <w:rsid w:val="00300297"/>
    <w:rsid w:val="00300382"/>
    <w:rsid w:val="0030068C"/>
    <w:rsid w:val="00300692"/>
    <w:rsid w:val="00300709"/>
    <w:rsid w:val="003007BD"/>
    <w:rsid w:val="00300B16"/>
    <w:rsid w:val="00300EF1"/>
    <w:rsid w:val="00300F28"/>
    <w:rsid w:val="00301271"/>
    <w:rsid w:val="0030146B"/>
    <w:rsid w:val="00301486"/>
    <w:rsid w:val="0030150B"/>
    <w:rsid w:val="00301914"/>
    <w:rsid w:val="00301A14"/>
    <w:rsid w:val="00301E97"/>
    <w:rsid w:val="00302076"/>
    <w:rsid w:val="003020B6"/>
    <w:rsid w:val="003023FC"/>
    <w:rsid w:val="003025F8"/>
    <w:rsid w:val="00302623"/>
    <w:rsid w:val="003027C1"/>
    <w:rsid w:val="00302923"/>
    <w:rsid w:val="00302BBB"/>
    <w:rsid w:val="00302DAE"/>
    <w:rsid w:val="00302E4E"/>
    <w:rsid w:val="00303274"/>
    <w:rsid w:val="003033AF"/>
    <w:rsid w:val="00303406"/>
    <w:rsid w:val="00303669"/>
    <w:rsid w:val="00303693"/>
    <w:rsid w:val="0030373B"/>
    <w:rsid w:val="00303799"/>
    <w:rsid w:val="003037D1"/>
    <w:rsid w:val="003038DB"/>
    <w:rsid w:val="00303E3E"/>
    <w:rsid w:val="00303F80"/>
    <w:rsid w:val="003042DA"/>
    <w:rsid w:val="003044A2"/>
    <w:rsid w:val="003047D7"/>
    <w:rsid w:val="0030485B"/>
    <w:rsid w:val="00304D14"/>
    <w:rsid w:val="00304EE2"/>
    <w:rsid w:val="00304F11"/>
    <w:rsid w:val="00304FF4"/>
    <w:rsid w:val="00305314"/>
    <w:rsid w:val="00305367"/>
    <w:rsid w:val="00305368"/>
    <w:rsid w:val="003053AC"/>
    <w:rsid w:val="00305501"/>
    <w:rsid w:val="00305730"/>
    <w:rsid w:val="003058FA"/>
    <w:rsid w:val="00305B9D"/>
    <w:rsid w:val="00305ED7"/>
    <w:rsid w:val="00305F84"/>
    <w:rsid w:val="00306213"/>
    <w:rsid w:val="0030642C"/>
    <w:rsid w:val="00306477"/>
    <w:rsid w:val="003064F3"/>
    <w:rsid w:val="003065F5"/>
    <w:rsid w:val="003067D4"/>
    <w:rsid w:val="00306B0B"/>
    <w:rsid w:val="00306C24"/>
    <w:rsid w:val="00306D6A"/>
    <w:rsid w:val="00306DDF"/>
    <w:rsid w:val="0030700D"/>
    <w:rsid w:val="00307340"/>
    <w:rsid w:val="003073AD"/>
    <w:rsid w:val="003074E9"/>
    <w:rsid w:val="00307613"/>
    <w:rsid w:val="003076BA"/>
    <w:rsid w:val="00307B11"/>
    <w:rsid w:val="00307C27"/>
    <w:rsid w:val="00307D36"/>
    <w:rsid w:val="00307D9A"/>
    <w:rsid w:val="00307EC7"/>
    <w:rsid w:val="00310190"/>
    <w:rsid w:val="003105DE"/>
    <w:rsid w:val="00310651"/>
    <w:rsid w:val="00310790"/>
    <w:rsid w:val="003108CF"/>
    <w:rsid w:val="003109CF"/>
    <w:rsid w:val="00310B9E"/>
    <w:rsid w:val="00310BBC"/>
    <w:rsid w:val="00310C67"/>
    <w:rsid w:val="00310E06"/>
    <w:rsid w:val="0031114A"/>
    <w:rsid w:val="00311BCD"/>
    <w:rsid w:val="003122B1"/>
    <w:rsid w:val="00312405"/>
    <w:rsid w:val="00312A4F"/>
    <w:rsid w:val="00312B9E"/>
    <w:rsid w:val="00312EAA"/>
    <w:rsid w:val="003131B7"/>
    <w:rsid w:val="0031393B"/>
    <w:rsid w:val="00313A1C"/>
    <w:rsid w:val="00313CCB"/>
    <w:rsid w:val="00313CDD"/>
    <w:rsid w:val="00314125"/>
    <w:rsid w:val="003142C3"/>
    <w:rsid w:val="00314726"/>
    <w:rsid w:val="0031483E"/>
    <w:rsid w:val="00314887"/>
    <w:rsid w:val="003149E4"/>
    <w:rsid w:val="00314BCF"/>
    <w:rsid w:val="00314BF7"/>
    <w:rsid w:val="00314E81"/>
    <w:rsid w:val="0031529B"/>
    <w:rsid w:val="003155C7"/>
    <w:rsid w:val="00315610"/>
    <w:rsid w:val="0031567B"/>
    <w:rsid w:val="00315908"/>
    <w:rsid w:val="00315FE5"/>
    <w:rsid w:val="00315FFE"/>
    <w:rsid w:val="0031699A"/>
    <w:rsid w:val="00316C46"/>
    <w:rsid w:val="0031706B"/>
    <w:rsid w:val="00317544"/>
    <w:rsid w:val="003176B7"/>
    <w:rsid w:val="0031786D"/>
    <w:rsid w:val="00317A0D"/>
    <w:rsid w:val="00317B24"/>
    <w:rsid w:val="00317C1B"/>
    <w:rsid w:val="00317D2B"/>
    <w:rsid w:val="00317E3E"/>
    <w:rsid w:val="00317E90"/>
    <w:rsid w:val="00317E9D"/>
    <w:rsid w:val="00317FF8"/>
    <w:rsid w:val="00320120"/>
    <w:rsid w:val="00320314"/>
    <w:rsid w:val="00320583"/>
    <w:rsid w:val="003205AD"/>
    <w:rsid w:val="003205B0"/>
    <w:rsid w:val="00320615"/>
    <w:rsid w:val="00320837"/>
    <w:rsid w:val="00320964"/>
    <w:rsid w:val="0032099F"/>
    <w:rsid w:val="003209F0"/>
    <w:rsid w:val="00320A42"/>
    <w:rsid w:val="00320A52"/>
    <w:rsid w:val="00320C4A"/>
    <w:rsid w:val="00320E46"/>
    <w:rsid w:val="003212CA"/>
    <w:rsid w:val="00321380"/>
    <w:rsid w:val="00321796"/>
    <w:rsid w:val="0032192F"/>
    <w:rsid w:val="00321A88"/>
    <w:rsid w:val="00321CB1"/>
    <w:rsid w:val="00321D41"/>
    <w:rsid w:val="00321D6C"/>
    <w:rsid w:val="00321E37"/>
    <w:rsid w:val="00321E83"/>
    <w:rsid w:val="003223D9"/>
    <w:rsid w:val="00322684"/>
    <w:rsid w:val="00322936"/>
    <w:rsid w:val="00322AF7"/>
    <w:rsid w:val="00322BC7"/>
    <w:rsid w:val="00322E18"/>
    <w:rsid w:val="00322EED"/>
    <w:rsid w:val="00323083"/>
    <w:rsid w:val="003230C2"/>
    <w:rsid w:val="003233D7"/>
    <w:rsid w:val="00323423"/>
    <w:rsid w:val="00323809"/>
    <w:rsid w:val="00323D29"/>
    <w:rsid w:val="00323E01"/>
    <w:rsid w:val="00324036"/>
    <w:rsid w:val="0032421B"/>
    <w:rsid w:val="003246F6"/>
    <w:rsid w:val="003249A4"/>
    <w:rsid w:val="00324D65"/>
    <w:rsid w:val="0032504F"/>
    <w:rsid w:val="0032505C"/>
    <w:rsid w:val="00325463"/>
    <w:rsid w:val="00325528"/>
    <w:rsid w:val="00325771"/>
    <w:rsid w:val="00325889"/>
    <w:rsid w:val="0032591A"/>
    <w:rsid w:val="00325C45"/>
    <w:rsid w:val="00325D3D"/>
    <w:rsid w:val="00325FE2"/>
    <w:rsid w:val="0032610B"/>
    <w:rsid w:val="00326142"/>
    <w:rsid w:val="00326256"/>
    <w:rsid w:val="0032628D"/>
    <w:rsid w:val="003264DE"/>
    <w:rsid w:val="003265B1"/>
    <w:rsid w:val="003268EA"/>
    <w:rsid w:val="00326969"/>
    <w:rsid w:val="00326AE2"/>
    <w:rsid w:val="00326BA5"/>
    <w:rsid w:val="00326E03"/>
    <w:rsid w:val="00326EF0"/>
    <w:rsid w:val="00326F03"/>
    <w:rsid w:val="00327081"/>
    <w:rsid w:val="00327156"/>
    <w:rsid w:val="0032719A"/>
    <w:rsid w:val="00327559"/>
    <w:rsid w:val="003276D2"/>
    <w:rsid w:val="00327715"/>
    <w:rsid w:val="00327840"/>
    <w:rsid w:val="003278A9"/>
    <w:rsid w:val="003279D5"/>
    <w:rsid w:val="00327AB9"/>
    <w:rsid w:val="00327CE6"/>
    <w:rsid w:val="003302CF"/>
    <w:rsid w:val="003303D9"/>
    <w:rsid w:val="00330B0B"/>
    <w:rsid w:val="00330B2C"/>
    <w:rsid w:val="00330B9A"/>
    <w:rsid w:val="00330D97"/>
    <w:rsid w:val="00330EE0"/>
    <w:rsid w:val="00331483"/>
    <w:rsid w:val="0033165B"/>
    <w:rsid w:val="00331B9E"/>
    <w:rsid w:val="00331BD1"/>
    <w:rsid w:val="00331CAF"/>
    <w:rsid w:val="00331D5B"/>
    <w:rsid w:val="00331DAB"/>
    <w:rsid w:val="00331F9F"/>
    <w:rsid w:val="00331FB8"/>
    <w:rsid w:val="003323BE"/>
    <w:rsid w:val="00332632"/>
    <w:rsid w:val="00332687"/>
    <w:rsid w:val="003326A1"/>
    <w:rsid w:val="00332AF2"/>
    <w:rsid w:val="00332E6D"/>
    <w:rsid w:val="00332E85"/>
    <w:rsid w:val="00332E91"/>
    <w:rsid w:val="00333046"/>
    <w:rsid w:val="0033322A"/>
    <w:rsid w:val="0033323D"/>
    <w:rsid w:val="00333259"/>
    <w:rsid w:val="0033351C"/>
    <w:rsid w:val="0033365C"/>
    <w:rsid w:val="00333813"/>
    <w:rsid w:val="003338C6"/>
    <w:rsid w:val="00333EC9"/>
    <w:rsid w:val="00333F95"/>
    <w:rsid w:val="00334457"/>
    <w:rsid w:val="00334541"/>
    <w:rsid w:val="00334B3F"/>
    <w:rsid w:val="00334B5F"/>
    <w:rsid w:val="00334B98"/>
    <w:rsid w:val="00334E53"/>
    <w:rsid w:val="00334E98"/>
    <w:rsid w:val="0033500A"/>
    <w:rsid w:val="003353F6"/>
    <w:rsid w:val="003355DC"/>
    <w:rsid w:val="003356EE"/>
    <w:rsid w:val="00335900"/>
    <w:rsid w:val="00335B7F"/>
    <w:rsid w:val="00335BE6"/>
    <w:rsid w:val="00335CEE"/>
    <w:rsid w:val="00335F34"/>
    <w:rsid w:val="0033630B"/>
    <w:rsid w:val="00336332"/>
    <w:rsid w:val="00336405"/>
    <w:rsid w:val="0033640A"/>
    <w:rsid w:val="00336418"/>
    <w:rsid w:val="00336571"/>
    <w:rsid w:val="00336688"/>
    <w:rsid w:val="003367BC"/>
    <w:rsid w:val="003368A8"/>
    <w:rsid w:val="00336912"/>
    <w:rsid w:val="00336970"/>
    <w:rsid w:val="00336BD3"/>
    <w:rsid w:val="00336C69"/>
    <w:rsid w:val="00336C6F"/>
    <w:rsid w:val="00336F2B"/>
    <w:rsid w:val="00337028"/>
    <w:rsid w:val="003372F3"/>
    <w:rsid w:val="00337565"/>
    <w:rsid w:val="0033757A"/>
    <w:rsid w:val="00337629"/>
    <w:rsid w:val="00337895"/>
    <w:rsid w:val="003378F3"/>
    <w:rsid w:val="00337CBF"/>
    <w:rsid w:val="00337CE5"/>
    <w:rsid w:val="00337D5E"/>
    <w:rsid w:val="0034006F"/>
    <w:rsid w:val="00340119"/>
    <w:rsid w:val="00340222"/>
    <w:rsid w:val="003402D1"/>
    <w:rsid w:val="003405BE"/>
    <w:rsid w:val="00340D64"/>
    <w:rsid w:val="00340DA1"/>
    <w:rsid w:val="00340E3C"/>
    <w:rsid w:val="00340E9B"/>
    <w:rsid w:val="00340EF3"/>
    <w:rsid w:val="00340F6F"/>
    <w:rsid w:val="00340FF7"/>
    <w:rsid w:val="003411B2"/>
    <w:rsid w:val="003411E5"/>
    <w:rsid w:val="00341218"/>
    <w:rsid w:val="00341771"/>
    <w:rsid w:val="00341951"/>
    <w:rsid w:val="00341961"/>
    <w:rsid w:val="00341A7B"/>
    <w:rsid w:val="00341B57"/>
    <w:rsid w:val="00341C1C"/>
    <w:rsid w:val="00341CEA"/>
    <w:rsid w:val="00342141"/>
    <w:rsid w:val="003421A5"/>
    <w:rsid w:val="00342345"/>
    <w:rsid w:val="00342AC6"/>
    <w:rsid w:val="00342C25"/>
    <w:rsid w:val="00342EFC"/>
    <w:rsid w:val="003430EF"/>
    <w:rsid w:val="00343359"/>
    <w:rsid w:val="00343633"/>
    <w:rsid w:val="00343678"/>
    <w:rsid w:val="00343705"/>
    <w:rsid w:val="0034397A"/>
    <w:rsid w:val="00343995"/>
    <w:rsid w:val="00343BB9"/>
    <w:rsid w:val="00343D16"/>
    <w:rsid w:val="00343E37"/>
    <w:rsid w:val="00343E82"/>
    <w:rsid w:val="00344654"/>
    <w:rsid w:val="003446C3"/>
    <w:rsid w:val="00344939"/>
    <w:rsid w:val="00344979"/>
    <w:rsid w:val="00344B41"/>
    <w:rsid w:val="00344E7A"/>
    <w:rsid w:val="00344EA3"/>
    <w:rsid w:val="00344FAC"/>
    <w:rsid w:val="003451EC"/>
    <w:rsid w:val="0034528E"/>
    <w:rsid w:val="003456FB"/>
    <w:rsid w:val="00345A08"/>
    <w:rsid w:val="00345B6E"/>
    <w:rsid w:val="00345CA1"/>
    <w:rsid w:val="00345E44"/>
    <w:rsid w:val="00345F5A"/>
    <w:rsid w:val="003460F9"/>
    <w:rsid w:val="00346261"/>
    <w:rsid w:val="00346387"/>
    <w:rsid w:val="0034638F"/>
    <w:rsid w:val="00346417"/>
    <w:rsid w:val="00346D56"/>
    <w:rsid w:val="003470E8"/>
    <w:rsid w:val="003471B1"/>
    <w:rsid w:val="00347526"/>
    <w:rsid w:val="00347633"/>
    <w:rsid w:val="003479BC"/>
    <w:rsid w:val="00347B67"/>
    <w:rsid w:val="00347BE7"/>
    <w:rsid w:val="00347CB7"/>
    <w:rsid w:val="00347EC5"/>
    <w:rsid w:val="0035011E"/>
    <w:rsid w:val="003502B0"/>
    <w:rsid w:val="00350458"/>
    <w:rsid w:val="0035046D"/>
    <w:rsid w:val="00350579"/>
    <w:rsid w:val="0035068C"/>
    <w:rsid w:val="003507D3"/>
    <w:rsid w:val="003507EE"/>
    <w:rsid w:val="00350D5F"/>
    <w:rsid w:val="00350F23"/>
    <w:rsid w:val="003510DD"/>
    <w:rsid w:val="003513EC"/>
    <w:rsid w:val="0035149F"/>
    <w:rsid w:val="003518B0"/>
    <w:rsid w:val="003518EE"/>
    <w:rsid w:val="00351B44"/>
    <w:rsid w:val="00351C73"/>
    <w:rsid w:val="00351C89"/>
    <w:rsid w:val="00351D8E"/>
    <w:rsid w:val="00351E84"/>
    <w:rsid w:val="00352226"/>
    <w:rsid w:val="0035246F"/>
    <w:rsid w:val="003527C0"/>
    <w:rsid w:val="0035286C"/>
    <w:rsid w:val="00352D72"/>
    <w:rsid w:val="0035305E"/>
    <w:rsid w:val="003533A6"/>
    <w:rsid w:val="00353743"/>
    <w:rsid w:val="00353B92"/>
    <w:rsid w:val="00353FD9"/>
    <w:rsid w:val="003541D3"/>
    <w:rsid w:val="0035484D"/>
    <w:rsid w:val="00354A07"/>
    <w:rsid w:val="00354A1D"/>
    <w:rsid w:val="00354B6B"/>
    <w:rsid w:val="00354DCF"/>
    <w:rsid w:val="00354E0E"/>
    <w:rsid w:val="00354FDB"/>
    <w:rsid w:val="00355417"/>
    <w:rsid w:val="003556A9"/>
    <w:rsid w:val="00355715"/>
    <w:rsid w:val="00355AAB"/>
    <w:rsid w:val="00355AB9"/>
    <w:rsid w:val="00355D21"/>
    <w:rsid w:val="00355F08"/>
    <w:rsid w:val="003561DC"/>
    <w:rsid w:val="00356344"/>
    <w:rsid w:val="00356571"/>
    <w:rsid w:val="00356897"/>
    <w:rsid w:val="00356CAF"/>
    <w:rsid w:val="00356DBC"/>
    <w:rsid w:val="00356EEA"/>
    <w:rsid w:val="00356F88"/>
    <w:rsid w:val="00357244"/>
    <w:rsid w:val="003572FE"/>
    <w:rsid w:val="00357827"/>
    <w:rsid w:val="00357917"/>
    <w:rsid w:val="00357A99"/>
    <w:rsid w:val="00357B0F"/>
    <w:rsid w:val="00357B4B"/>
    <w:rsid w:val="00357F38"/>
    <w:rsid w:val="00357F93"/>
    <w:rsid w:val="0036049A"/>
    <w:rsid w:val="0036068E"/>
    <w:rsid w:val="00360AA2"/>
    <w:rsid w:val="00360BC7"/>
    <w:rsid w:val="00361467"/>
    <w:rsid w:val="00361811"/>
    <w:rsid w:val="00361A43"/>
    <w:rsid w:val="00361DB2"/>
    <w:rsid w:val="00361FC9"/>
    <w:rsid w:val="003621B7"/>
    <w:rsid w:val="00362553"/>
    <w:rsid w:val="00362570"/>
    <w:rsid w:val="0036265A"/>
    <w:rsid w:val="00362767"/>
    <w:rsid w:val="003628D0"/>
    <w:rsid w:val="003629DC"/>
    <w:rsid w:val="00362D7E"/>
    <w:rsid w:val="00362E3A"/>
    <w:rsid w:val="00363337"/>
    <w:rsid w:val="003633BE"/>
    <w:rsid w:val="00363453"/>
    <w:rsid w:val="0036363A"/>
    <w:rsid w:val="003637F8"/>
    <w:rsid w:val="0036385D"/>
    <w:rsid w:val="00363B76"/>
    <w:rsid w:val="00363CA3"/>
    <w:rsid w:val="00363CD8"/>
    <w:rsid w:val="0036406F"/>
    <w:rsid w:val="00364189"/>
    <w:rsid w:val="00364734"/>
    <w:rsid w:val="003647B0"/>
    <w:rsid w:val="00364878"/>
    <w:rsid w:val="003648CB"/>
    <w:rsid w:val="00364A47"/>
    <w:rsid w:val="00364C71"/>
    <w:rsid w:val="003650EE"/>
    <w:rsid w:val="003651FB"/>
    <w:rsid w:val="00365247"/>
    <w:rsid w:val="00365460"/>
    <w:rsid w:val="003654E8"/>
    <w:rsid w:val="003655F8"/>
    <w:rsid w:val="00365922"/>
    <w:rsid w:val="00365ADB"/>
    <w:rsid w:val="00365B11"/>
    <w:rsid w:val="00365B23"/>
    <w:rsid w:val="00365E98"/>
    <w:rsid w:val="00365EBB"/>
    <w:rsid w:val="00365F5E"/>
    <w:rsid w:val="00365F75"/>
    <w:rsid w:val="0036601D"/>
    <w:rsid w:val="0036608B"/>
    <w:rsid w:val="003662D6"/>
    <w:rsid w:val="00366306"/>
    <w:rsid w:val="00366696"/>
    <w:rsid w:val="00366A5B"/>
    <w:rsid w:val="0036711D"/>
    <w:rsid w:val="00367422"/>
    <w:rsid w:val="003674A5"/>
    <w:rsid w:val="00367505"/>
    <w:rsid w:val="00367C71"/>
    <w:rsid w:val="00367EF4"/>
    <w:rsid w:val="00367F4F"/>
    <w:rsid w:val="00370124"/>
    <w:rsid w:val="003704C5"/>
    <w:rsid w:val="0037082D"/>
    <w:rsid w:val="00370BA8"/>
    <w:rsid w:val="00370BC6"/>
    <w:rsid w:val="00370C2A"/>
    <w:rsid w:val="00370C30"/>
    <w:rsid w:val="0037136B"/>
    <w:rsid w:val="0037141E"/>
    <w:rsid w:val="003717EA"/>
    <w:rsid w:val="00371B92"/>
    <w:rsid w:val="00371C2E"/>
    <w:rsid w:val="00372176"/>
    <w:rsid w:val="003723F6"/>
    <w:rsid w:val="003724AD"/>
    <w:rsid w:val="003725E2"/>
    <w:rsid w:val="003726EB"/>
    <w:rsid w:val="003728C6"/>
    <w:rsid w:val="00372BC8"/>
    <w:rsid w:val="00372D3E"/>
    <w:rsid w:val="00372D53"/>
    <w:rsid w:val="00372E68"/>
    <w:rsid w:val="00372EF0"/>
    <w:rsid w:val="00372F00"/>
    <w:rsid w:val="0037341F"/>
    <w:rsid w:val="00373986"/>
    <w:rsid w:val="00373A39"/>
    <w:rsid w:val="00373AA7"/>
    <w:rsid w:val="00373AE1"/>
    <w:rsid w:val="00373B5A"/>
    <w:rsid w:val="00373EDF"/>
    <w:rsid w:val="00373F74"/>
    <w:rsid w:val="00374056"/>
    <w:rsid w:val="003743FD"/>
    <w:rsid w:val="0037444D"/>
    <w:rsid w:val="00374570"/>
    <w:rsid w:val="00374A8A"/>
    <w:rsid w:val="00374FE5"/>
    <w:rsid w:val="003754F6"/>
    <w:rsid w:val="0037578D"/>
    <w:rsid w:val="003759AB"/>
    <w:rsid w:val="00375AF7"/>
    <w:rsid w:val="00375C63"/>
    <w:rsid w:val="00375D21"/>
    <w:rsid w:val="00375DFD"/>
    <w:rsid w:val="0037627D"/>
    <w:rsid w:val="003762A6"/>
    <w:rsid w:val="003763F7"/>
    <w:rsid w:val="003769C5"/>
    <w:rsid w:val="00376BAB"/>
    <w:rsid w:val="00376DE7"/>
    <w:rsid w:val="00377061"/>
    <w:rsid w:val="0037707F"/>
    <w:rsid w:val="003771E7"/>
    <w:rsid w:val="0037720E"/>
    <w:rsid w:val="00377B35"/>
    <w:rsid w:val="00377B5A"/>
    <w:rsid w:val="00377BCB"/>
    <w:rsid w:val="00377FBA"/>
    <w:rsid w:val="0038020E"/>
    <w:rsid w:val="0038027A"/>
    <w:rsid w:val="00380395"/>
    <w:rsid w:val="0038051A"/>
    <w:rsid w:val="0038085A"/>
    <w:rsid w:val="003809A8"/>
    <w:rsid w:val="00380B29"/>
    <w:rsid w:val="00380B67"/>
    <w:rsid w:val="00380FCD"/>
    <w:rsid w:val="003811E8"/>
    <w:rsid w:val="003811F8"/>
    <w:rsid w:val="003815C9"/>
    <w:rsid w:val="0038192E"/>
    <w:rsid w:val="003819EB"/>
    <w:rsid w:val="00381EE1"/>
    <w:rsid w:val="00382016"/>
    <w:rsid w:val="00382295"/>
    <w:rsid w:val="0038236F"/>
    <w:rsid w:val="00382744"/>
    <w:rsid w:val="00382763"/>
    <w:rsid w:val="003828DF"/>
    <w:rsid w:val="003829D7"/>
    <w:rsid w:val="00382A93"/>
    <w:rsid w:val="00382B16"/>
    <w:rsid w:val="00382D04"/>
    <w:rsid w:val="00382D47"/>
    <w:rsid w:val="00382EC5"/>
    <w:rsid w:val="00383170"/>
    <w:rsid w:val="0038338E"/>
    <w:rsid w:val="0038352E"/>
    <w:rsid w:val="0038379B"/>
    <w:rsid w:val="00383A25"/>
    <w:rsid w:val="00383B16"/>
    <w:rsid w:val="00384521"/>
    <w:rsid w:val="00384559"/>
    <w:rsid w:val="00384595"/>
    <w:rsid w:val="003845E9"/>
    <w:rsid w:val="00384A98"/>
    <w:rsid w:val="00384D96"/>
    <w:rsid w:val="00385130"/>
    <w:rsid w:val="0038568F"/>
    <w:rsid w:val="00385A47"/>
    <w:rsid w:val="00385C81"/>
    <w:rsid w:val="00385DB0"/>
    <w:rsid w:val="00385E9F"/>
    <w:rsid w:val="00385FE8"/>
    <w:rsid w:val="00385FEF"/>
    <w:rsid w:val="003865D5"/>
    <w:rsid w:val="0038662A"/>
    <w:rsid w:val="003866F3"/>
    <w:rsid w:val="00386B1C"/>
    <w:rsid w:val="00386B2D"/>
    <w:rsid w:val="00386C20"/>
    <w:rsid w:val="00386F04"/>
    <w:rsid w:val="00386FFC"/>
    <w:rsid w:val="00387B3E"/>
    <w:rsid w:val="00387B4B"/>
    <w:rsid w:val="00387CD1"/>
    <w:rsid w:val="00390086"/>
    <w:rsid w:val="003900E2"/>
    <w:rsid w:val="0039019B"/>
    <w:rsid w:val="003901A9"/>
    <w:rsid w:val="003906F4"/>
    <w:rsid w:val="0039075D"/>
    <w:rsid w:val="00390775"/>
    <w:rsid w:val="00390ABD"/>
    <w:rsid w:val="00390C7D"/>
    <w:rsid w:val="00390D42"/>
    <w:rsid w:val="00390D7E"/>
    <w:rsid w:val="0039118F"/>
    <w:rsid w:val="0039136C"/>
    <w:rsid w:val="003916B0"/>
    <w:rsid w:val="003916CF"/>
    <w:rsid w:val="003924A4"/>
    <w:rsid w:val="00392702"/>
    <w:rsid w:val="00392725"/>
    <w:rsid w:val="003928C0"/>
    <w:rsid w:val="003929FC"/>
    <w:rsid w:val="00392E4B"/>
    <w:rsid w:val="00392FD7"/>
    <w:rsid w:val="00392FEF"/>
    <w:rsid w:val="00393113"/>
    <w:rsid w:val="00393545"/>
    <w:rsid w:val="0039362E"/>
    <w:rsid w:val="00393637"/>
    <w:rsid w:val="003936EA"/>
    <w:rsid w:val="00393785"/>
    <w:rsid w:val="003937A7"/>
    <w:rsid w:val="0039391F"/>
    <w:rsid w:val="00393953"/>
    <w:rsid w:val="00393AB0"/>
    <w:rsid w:val="00393C25"/>
    <w:rsid w:val="00394031"/>
    <w:rsid w:val="00394110"/>
    <w:rsid w:val="0039452D"/>
    <w:rsid w:val="0039461F"/>
    <w:rsid w:val="00394C1B"/>
    <w:rsid w:val="00394CE1"/>
    <w:rsid w:val="00394F48"/>
    <w:rsid w:val="00394FF2"/>
    <w:rsid w:val="0039531F"/>
    <w:rsid w:val="003954BF"/>
    <w:rsid w:val="00395569"/>
    <w:rsid w:val="003956D4"/>
    <w:rsid w:val="0039576C"/>
    <w:rsid w:val="003957DB"/>
    <w:rsid w:val="00395A74"/>
    <w:rsid w:val="00395C89"/>
    <w:rsid w:val="00395C9C"/>
    <w:rsid w:val="00395E09"/>
    <w:rsid w:val="00395FA8"/>
    <w:rsid w:val="00396103"/>
    <w:rsid w:val="003961BD"/>
    <w:rsid w:val="003961C0"/>
    <w:rsid w:val="003961EC"/>
    <w:rsid w:val="0039637C"/>
    <w:rsid w:val="0039643A"/>
    <w:rsid w:val="00396479"/>
    <w:rsid w:val="0039658E"/>
    <w:rsid w:val="00396617"/>
    <w:rsid w:val="003967B2"/>
    <w:rsid w:val="00396802"/>
    <w:rsid w:val="0039684B"/>
    <w:rsid w:val="00396A9D"/>
    <w:rsid w:val="00396C06"/>
    <w:rsid w:val="00396DA5"/>
    <w:rsid w:val="00396E95"/>
    <w:rsid w:val="00396FC4"/>
    <w:rsid w:val="00396FC7"/>
    <w:rsid w:val="003970BD"/>
    <w:rsid w:val="003971D4"/>
    <w:rsid w:val="0039731E"/>
    <w:rsid w:val="00397345"/>
    <w:rsid w:val="0039768E"/>
    <w:rsid w:val="003978BE"/>
    <w:rsid w:val="00397901"/>
    <w:rsid w:val="0039797E"/>
    <w:rsid w:val="00397AB8"/>
    <w:rsid w:val="00397E25"/>
    <w:rsid w:val="00397E98"/>
    <w:rsid w:val="003A0011"/>
    <w:rsid w:val="003A0075"/>
    <w:rsid w:val="003A01D6"/>
    <w:rsid w:val="003A0350"/>
    <w:rsid w:val="003A05FB"/>
    <w:rsid w:val="003A08B1"/>
    <w:rsid w:val="003A08C4"/>
    <w:rsid w:val="003A0948"/>
    <w:rsid w:val="003A0952"/>
    <w:rsid w:val="003A0A65"/>
    <w:rsid w:val="003A0A81"/>
    <w:rsid w:val="003A0BA8"/>
    <w:rsid w:val="003A0DB1"/>
    <w:rsid w:val="003A12BB"/>
    <w:rsid w:val="003A13D2"/>
    <w:rsid w:val="003A1421"/>
    <w:rsid w:val="003A1775"/>
    <w:rsid w:val="003A18ED"/>
    <w:rsid w:val="003A199A"/>
    <w:rsid w:val="003A2120"/>
    <w:rsid w:val="003A214C"/>
    <w:rsid w:val="003A255F"/>
    <w:rsid w:val="003A27D8"/>
    <w:rsid w:val="003A27ED"/>
    <w:rsid w:val="003A28BB"/>
    <w:rsid w:val="003A2B21"/>
    <w:rsid w:val="003A2B78"/>
    <w:rsid w:val="003A2DC2"/>
    <w:rsid w:val="003A2E54"/>
    <w:rsid w:val="003A2F60"/>
    <w:rsid w:val="003A30D6"/>
    <w:rsid w:val="003A3116"/>
    <w:rsid w:val="003A3893"/>
    <w:rsid w:val="003A38D8"/>
    <w:rsid w:val="003A3B4B"/>
    <w:rsid w:val="003A3BEB"/>
    <w:rsid w:val="003A4148"/>
    <w:rsid w:val="003A41DD"/>
    <w:rsid w:val="003A4329"/>
    <w:rsid w:val="003A447A"/>
    <w:rsid w:val="003A481F"/>
    <w:rsid w:val="003A5189"/>
    <w:rsid w:val="003A524C"/>
    <w:rsid w:val="003A52A8"/>
    <w:rsid w:val="003A52B9"/>
    <w:rsid w:val="003A555F"/>
    <w:rsid w:val="003A5577"/>
    <w:rsid w:val="003A5901"/>
    <w:rsid w:val="003A594C"/>
    <w:rsid w:val="003A5DCC"/>
    <w:rsid w:val="003A5E0E"/>
    <w:rsid w:val="003A61AE"/>
    <w:rsid w:val="003A6325"/>
    <w:rsid w:val="003A63B4"/>
    <w:rsid w:val="003A6507"/>
    <w:rsid w:val="003A6669"/>
    <w:rsid w:val="003A6793"/>
    <w:rsid w:val="003A6862"/>
    <w:rsid w:val="003A68BC"/>
    <w:rsid w:val="003A69DC"/>
    <w:rsid w:val="003A6AC0"/>
    <w:rsid w:val="003A6BAA"/>
    <w:rsid w:val="003A6BEE"/>
    <w:rsid w:val="003A7272"/>
    <w:rsid w:val="003A7429"/>
    <w:rsid w:val="003A7517"/>
    <w:rsid w:val="003A7602"/>
    <w:rsid w:val="003A7735"/>
    <w:rsid w:val="003B0217"/>
    <w:rsid w:val="003B04CD"/>
    <w:rsid w:val="003B082B"/>
    <w:rsid w:val="003B0C10"/>
    <w:rsid w:val="003B0EA9"/>
    <w:rsid w:val="003B0ED6"/>
    <w:rsid w:val="003B0F69"/>
    <w:rsid w:val="003B1CD2"/>
    <w:rsid w:val="003B1D7F"/>
    <w:rsid w:val="003B20BF"/>
    <w:rsid w:val="003B25B0"/>
    <w:rsid w:val="003B25FC"/>
    <w:rsid w:val="003B28EE"/>
    <w:rsid w:val="003B307A"/>
    <w:rsid w:val="003B31F8"/>
    <w:rsid w:val="003B3214"/>
    <w:rsid w:val="003B35BC"/>
    <w:rsid w:val="003B366D"/>
    <w:rsid w:val="003B385D"/>
    <w:rsid w:val="003B4568"/>
    <w:rsid w:val="003B4868"/>
    <w:rsid w:val="003B48F8"/>
    <w:rsid w:val="003B4BA8"/>
    <w:rsid w:val="003B4D08"/>
    <w:rsid w:val="003B4D4C"/>
    <w:rsid w:val="003B4EC1"/>
    <w:rsid w:val="003B5205"/>
    <w:rsid w:val="003B53C1"/>
    <w:rsid w:val="003B5517"/>
    <w:rsid w:val="003B58E2"/>
    <w:rsid w:val="003B5BDA"/>
    <w:rsid w:val="003B5CA4"/>
    <w:rsid w:val="003B5CBB"/>
    <w:rsid w:val="003B5FDC"/>
    <w:rsid w:val="003B6297"/>
    <w:rsid w:val="003B6632"/>
    <w:rsid w:val="003B6912"/>
    <w:rsid w:val="003B6947"/>
    <w:rsid w:val="003B69B2"/>
    <w:rsid w:val="003B6CF5"/>
    <w:rsid w:val="003B6FA8"/>
    <w:rsid w:val="003B6FF7"/>
    <w:rsid w:val="003B7066"/>
    <w:rsid w:val="003B75D5"/>
    <w:rsid w:val="003B767E"/>
    <w:rsid w:val="003B7777"/>
    <w:rsid w:val="003B7B29"/>
    <w:rsid w:val="003B7C50"/>
    <w:rsid w:val="003B7FC5"/>
    <w:rsid w:val="003C0058"/>
    <w:rsid w:val="003C01B1"/>
    <w:rsid w:val="003C0342"/>
    <w:rsid w:val="003C03D1"/>
    <w:rsid w:val="003C0748"/>
    <w:rsid w:val="003C074C"/>
    <w:rsid w:val="003C078B"/>
    <w:rsid w:val="003C0926"/>
    <w:rsid w:val="003C0B08"/>
    <w:rsid w:val="003C0B61"/>
    <w:rsid w:val="003C0BB7"/>
    <w:rsid w:val="003C1053"/>
    <w:rsid w:val="003C10A7"/>
    <w:rsid w:val="003C1160"/>
    <w:rsid w:val="003C1496"/>
    <w:rsid w:val="003C15B4"/>
    <w:rsid w:val="003C1BDA"/>
    <w:rsid w:val="003C1C8D"/>
    <w:rsid w:val="003C1EB2"/>
    <w:rsid w:val="003C1F0F"/>
    <w:rsid w:val="003C2037"/>
    <w:rsid w:val="003C23A3"/>
    <w:rsid w:val="003C247D"/>
    <w:rsid w:val="003C267E"/>
    <w:rsid w:val="003C2751"/>
    <w:rsid w:val="003C277E"/>
    <w:rsid w:val="003C27BD"/>
    <w:rsid w:val="003C2D5D"/>
    <w:rsid w:val="003C30D7"/>
    <w:rsid w:val="003C3295"/>
    <w:rsid w:val="003C353E"/>
    <w:rsid w:val="003C362E"/>
    <w:rsid w:val="003C3644"/>
    <w:rsid w:val="003C372B"/>
    <w:rsid w:val="003C3C4C"/>
    <w:rsid w:val="003C3CF6"/>
    <w:rsid w:val="003C3DD5"/>
    <w:rsid w:val="003C408B"/>
    <w:rsid w:val="003C424B"/>
    <w:rsid w:val="003C442A"/>
    <w:rsid w:val="003C4733"/>
    <w:rsid w:val="003C4935"/>
    <w:rsid w:val="003C4ABE"/>
    <w:rsid w:val="003C4F7D"/>
    <w:rsid w:val="003C5227"/>
    <w:rsid w:val="003C5505"/>
    <w:rsid w:val="003C56B9"/>
    <w:rsid w:val="003C581C"/>
    <w:rsid w:val="003C59FB"/>
    <w:rsid w:val="003C5CC8"/>
    <w:rsid w:val="003C5D60"/>
    <w:rsid w:val="003C613B"/>
    <w:rsid w:val="003C6198"/>
    <w:rsid w:val="003C65BD"/>
    <w:rsid w:val="003C6615"/>
    <w:rsid w:val="003C662A"/>
    <w:rsid w:val="003C6B2B"/>
    <w:rsid w:val="003C6E7D"/>
    <w:rsid w:val="003C705F"/>
    <w:rsid w:val="003C70BB"/>
    <w:rsid w:val="003C7156"/>
    <w:rsid w:val="003C7378"/>
    <w:rsid w:val="003C7559"/>
    <w:rsid w:val="003C7586"/>
    <w:rsid w:val="003C75AB"/>
    <w:rsid w:val="003C75C7"/>
    <w:rsid w:val="003D0361"/>
    <w:rsid w:val="003D03B6"/>
    <w:rsid w:val="003D0583"/>
    <w:rsid w:val="003D06DB"/>
    <w:rsid w:val="003D0875"/>
    <w:rsid w:val="003D08FD"/>
    <w:rsid w:val="003D09F4"/>
    <w:rsid w:val="003D0C0C"/>
    <w:rsid w:val="003D0D87"/>
    <w:rsid w:val="003D0F7F"/>
    <w:rsid w:val="003D105B"/>
    <w:rsid w:val="003D116F"/>
    <w:rsid w:val="003D11ED"/>
    <w:rsid w:val="003D127B"/>
    <w:rsid w:val="003D136F"/>
    <w:rsid w:val="003D13F4"/>
    <w:rsid w:val="003D144C"/>
    <w:rsid w:val="003D1485"/>
    <w:rsid w:val="003D170A"/>
    <w:rsid w:val="003D1736"/>
    <w:rsid w:val="003D1EF0"/>
    <w:rsid w:val="003D20A9"/>
    <w:rsid w:val="003D20C2"/>
    <w:rsid w:val="003D2119"/>
    <w:rsid w:val="003D22B9"/>
    <w:rsid w:val="003D2358"/>
    <w:rsid w:val="003D235E"/>
    <w:rsid w:val="003D2365"/>
    <w:rsid w:val="003D2392"/>
    <w:rsid w:val="003D2468"/>
    <w:rsid w:val="003D2672"/>
    <w:rsid w:val="003D2811"/>
    <w:rsid w:val="003D2836"/>
    <w:rsid w:val="003D2844"/>
    <w:rsid w:val="003D29EE"/>
    <w:rsid w:val="003D2A8B"/>
    <w:rsid w:val="003D2A8E"/>
    <w:rsid w:val="003D2AFD"/>
    <w:rsid w:val="003D2CE7"/>
    <w:rsid w:val="003D2EE1"/>
    <w:rsid w:val="003D305A"/>
    <w:rsid w:val="003D3224"/>
    <w:rsid w:val="003D3464"/>
    <w:rsid w:val="003D34FC"/>
    <w:rsid w:val="003D36C5"/>
    <w:rsid w:val="003D37FF"/>
    <w:rsid w:val="003D39D9"/>
    <w:rsid w:val="003D39E8"/>
    <w:rsid w:val="003D3E67"/>
    <w:rsid w:val="003D3FCA"/>
    <w:rsid w:val="003D420F"/>
    <w:rsid w:val="003D4530"/>
    <w:rsid w:val="003D4727"/>
    <w:rsid w:val="003D47D5"/>
    <w:rsid w:val="003D48CC"/>
    <w:rsid w:val="003D4B1D"/>
    <w:rsid w:val="003D4C79"/>
    <w:rsid w:val="003D4EA2"/>
    <w:rsid w:val="003D5172"/>
    <w:rsid w:val="003D5285"/>
    <w:rsid w:val="003D5658"/>
    <w:rsid w:val="003D60DF"/>
    <w:rsid w:val="003D60E6"/>
    <w:rsid w:val="003D6211"/>
    <w:rsid w:val="003D6B7A"/>
    <w:rsid w:val="003D6D74"/>
    <w:rsid w:val="003D6E3E"/>
    <w:rsid w:val="003D6FD2"/>
    <w:rsid w:val="003D6FE0"/>
    <w:rsid w:val="003D70B6"/>
    <w:rsid w:val="003D7309"/>
    <w:rsid w:val="003D75D1"/>
    <w:rsid w:val="003D7FE5"/>
    <w:rsid w:val="003E0241"/>
    <w:rsid w:val="003E02D1"/>
    <w:rsid w:val="003E0476"/>
    <w:rsid w:val="003E0957"/>
    <w:rsid w:val="003E0CF1"/>
    <w:rsid w:val="003E0DE7"/>
    <w:rsid w:val="003E0DFB"/>
    <w:rsid w:val="003E122A"/>
    <w:rsid w:val="003E1428"/>
    <w:rsid w:val="003E1837"/>
    <w:rsid w:val="003E1B1E"/>
    <w:rsid w:val="003E1E76"/>
    <w:rsid w:val="003E23A8"/>
    <w:rsid w:val="003E28EE"/>
    <w:rsid w:val="003E2D12"/>
    <w:rsid w:val="003E2D8C"/>
    <w:rsid w:val="003E2E15"/>
    <w:rsid w:val="003E31D4"/>
    <w:rsid w:val="003E3262"/>
    <w:rsid w:val="003E3BFF"/>
    <w:rsid w:val="003E3D01"/>
    <w:rsid w:val="003E3E8A"/>
    <w:rsid w:val="003E4133"/>
    <w:rsid w:val="003E4C55"/>
    <w:rsid w:val="003E4D3D"/>
    <w:rsid w:val="003E4F2E"/>
    <w:rsid w:val="003E4FFE"/>
    <w:rsid w:val="003E5034"/>
    <w:rsid w:val="003E5345"/>
    <w:rsid w:val="003E5465"/>
    <w:rsid w:val="003E5487"/>
    <w:rsid w:val="003E557E"/>
    <w:rsid w:val="003E5685"/>
    <w:rsid w:val="003E5796"/>
    <w:rsid w:val="003E5AC4"/>
    <w:rsid w:val="003E5DC9"/>
    <w:rsid w:val="003E60C2"/>
    <w:rsid w:val="003E6260"/>
    <w:rsid w:val="003E639C"/>
    <w:rsid w:val="003E65F3"/>
    <w:rsid w:val="003E69CF"/>
    <w:rsid w:val="003E6B54"/>
    <w:rsid w:val="003E6CF8"/>
    <w:rsid w:val="003E6EB5"/>
    <w:rsid w:val="003E6F02"/>
    <w:rsid w:val="003E6FFC"/>
    <w:rsid w:val="003E76B6"/>
    <w:rsid w:val="003E7832"/>
    <w:rsid w:val="003E7A75"/>
    <w:rsid w:val="003E7C62"/>
    <w:rsid w:val="003E7DF3"/>
    <w:rsid w:val="003E7EE4"/>
    <w:rsid w:val="003F04F1"/>
    <w:rsid w:val="003F05EC"/>
    <w:rsid w:val="003F089B"/>
    <w:rsid w:val="003F0BBC"/>
    <w:rsid w:val="003F0ED6"/>
    <w:rsid w:val="003F0EE1"/>
    <w:rsid w:val="003F0EE7"/>
    <w:rsid w:val="003F13B8"/>
    <w:rsid w:val="003F13F3"/>
    <w:rsid w:val="003F1627"/>
    <w:rsid w:val="003F195F"/>
    <w:rsid w:val="003F1B2D"/>
    <w:rsid w:val="003F1BB2"/>
    <w:rsid w:val="003F1C6C"/>
    <w:rsid w:val="003F1EEB"/>
    <w:rsid w:val="003F1F1F"/>
    <w:rsid w:val="003F20BB"/>
    <w:rsid w:val="003F2142"/>
    <w:rsid w:val="003F21B0"/>
    <w:rsid w:val="003F23B8"/>
    <w:rsid w:val="003F2676"/>
    <w:rsid w:val="003F2949"/>
    <w:rsid w:val="003F2A8C"/>
    <w:rsid w:val="003F2DDB"/>
    <w:rsid w:val="003F2E64"/>
    <w:rsid w:val="003F2FDA"/>
    <w:rsid w:val="003F302D"/>
    <w:rsid w:val="003F30B8"/>
    <w:rsid w:val="003F3212"/>
    <w:rsid w:val="003F335A"/>
    <w:rsid w:val="003F3551"/>
    <w:rsid w:val="003F3688"/>
    <w:rsid w:val="003F389B"/>
    <w:rsid w:val="003F3DD6"/>
    <w:rsid w:val="003F3E7A"/>
    <w:rsid w:val="003F44C1"/>
    <w:rsid w:val="003F46F1"/>
    <w:rsid w:val="003F47A2"/>
    <w:rsid w:val="003F49E1"/>
    <w:rsid w:val="003F4B48"/>
    <w:rsid w:val="003F4C82"/>
    <w:rsid w:val="003F4F29"/>
    <w:rsid w:val="003F5035"/>
    <w:rsid w:val="003F50F8"/>
    <w:rsid w:val="003F5462"/>
    <w:rsid w:val="003F5691"/>
    <w:rsid w:val="003F56E6"/>
    <w:rsid w:val="003F56F0"/>
    <w:rsid w:val="003F5802"/>
    <w:rsid w:val="003F58F1"/>
    <w:rsid w:val="003F5960"/>
    <w:rsid w:val="003F59B6"/>
    <w:rsid w:val="003F5A2E"/>
    <w:rsid w:val="003F5BC5"/>
    <w:rsid w:val="003F5D00"/>
    <w:rsid w:val="003F688C"/>
    <w:rsid w:val="003F6A1B"/>
    <w:rsid w:val="003F6C41"/>
    <w:rsid w:val="003F6CF3"/>
    <w:rsid w:val="003F6DE0"/>
    <w:rsid w:val="003F6FFF"/>
    <w:rsid w:val="003F7108"/>
    <w:rsid w:val="003F762A"/>
    <w:rsid w:val="003F7715"/>
    <w:rsid w:val="003F7765"/>
    <w:rsid w:val="003F7BD3"/>
    <w:rsid w:val="003F7C05"/>
    <w:rsid w:val="003F7E25"/>
    <w:rsid w:val="003F7E6C"/>
    <w:rsid w:val="00400005"/>
    <w:rsid w:val="00400559"/>
    <w:rsid w:val="004005DD"/>
    <w:rsid w:val="00400666"/>
    <w:rsid w:val="004008D5"/>
    <w:rsid w:val="00400A12"/>
    <w:rsid w:val="00400A3A"/>
    <w:rsid w:val="00400B5B"/>
    <w:rsid w:val="00400C7F"/>
    <w:rsid w:val="00400D52"/>
    <w:rsid w:val="00401113"/>
    <w:rsid w:val="004011E3"/>
    <w:rsid w:val="00401285"/>
    <w:rsid w:val="00401716"/>
    <w:rsid w:val="0040198D"/>
    <w:rsid w:val="00401E7B"/>
    <w:rsid w:val="0040201D"/>
    <w:rsid w:val="0040203D"/>
    <w:rsid w:val="004021A8"/>
    <w:rsid w:val="00402225"/>
    <w:rsid w:val="00402298"/>
    <w:rsid w:val="00402412"/>
    <w:rsid w:val="00402621"/>
    <w:rsid w:val="004029F5"/>
    <w:rsid w:val="00402C43"/>
    <w:rsid w:val="00402F00"/>
    <w:rsid w:val="00402F31"/>
    <w:rsid w:val="0040329D"/>
    <w:rsid w:val="004033B9"/>
    <w:rsid w:val="0040369B"/>
    <w:rsid w:val="004036BD"/>
    <w:rsid w:val="004037AF"/>
    <w:rsid w:val="00403CCB"/>
    <w:rsid w:val="00403DBD"/>
    <w:rsid w:val="00403DE6"/>
    <w:rsid w:val="00403EF9"/>
    <w:rsid w:val="00404038"/>
    <w:rsid w:val="004040B9"/>
    <w:rsid w:val="004040F7"/>
    <w:rsid w:val="00404181"/>
    <w:rsid w:val="004044F7"/>
    <w:rsid w:val="0040454B"/>
    <w:rsid w:val="0040488A"/>
    <w:rsid w:val="004048D4"/>
    <w:rsid w:val="0040493B"/>
    <w:rsid w:val="00404C70"/>
    <w:rsid w:val="00404C75"/>
    <w:rsid w:val="00404D3A"/>
    <w:rsid w:val="00404E33"/>
    <w:rsid w:val="00404F5F"/>
    <w:rsid w:val="00404FD9"/>
    <w:rsid w:val="004050F1"/>
    <w:rsid w:val="00405144"/>
    <w:rsid w:val="0040529B"/>
    <w:rsid w:val="004053BA"/>
    <w:rsid w:val="00405BDC"/>
    <w:rsid w:val="004062CA"/>
    <w:rsid w:val="0040632E"/>
    <w:rsid w:val="0040653A"/>
    <w:rsid w:val="00406CFD"/>
    <w:rsid w:val="00406FAE"/>
    <w:rsid w:val="004072C7"/>
    <w:rsid w:val="0040734D"/>
    <w:rsid w:val="00407528"/>
    <w:rsid w:val="004076ED"/>
    <w:rsid w:val="00407849"/>
    <w:rsid w:val="004100C9"/>
    <w:rsid w:val="00410331"/>
    <w:rsid w:val="00410661"/>
    <w:rsid w:val="00410727"/>
    <w:rsid w:val="00410922"/>
    <w:rsid w:val="00410CD4"/>
    <w:rsid w:val="00410F20"/>
    <w:rsid w:val="00410FE8"/>
    <w:rsid w:val="0041100B"/>
    <w:rsid w:val="0041132C"/>
    <w:rsid w:val="00411549"/>
    <w:rsid w:val="00411677"/>
    <w:rsid w:val="00411684"/>
    <w:rsid w:val="00411818"/>
    <w:rsid w:val="004118C9"/>
    <w:rsid w:val="004119D1"/>
    <w:rsid w:val="00411A7F"/>
    <w:rsid w:val="00411E7D"/>
    <w:rsid w:val="00411F9C"/>
    <w:rsid w:val="00412398"/>
    <w:rsid w:val="004126F8"/>
    <w:rsid w:val="004128C5"/>
    <w:rsid w:val="00412918"/>
    <w:rsid w:val="00412B3B"/>
    <w:rsid w:val="00413341"/>
    <w:rsid w:val="004133EE"/>
    <w:rsid w:val="0041344D"/>
    <w:rsid w:val="00413602"/>
    <w:rsid w:val="0041373B"/>
    <w:rsid w:val="0041380C"/>
    <w:rsid w:val="00413931"/>
    <w:rsid w:val="00413A52"/>
    <w:rsid w:val="00413BA0"/>
    <w:rsid w:val="00413BCB"/>
    <w:rsid w:val="00413DE4"/>
    <w:rsid w:val="00413E0C"/>
    <w:rsid w:val="00413EA5"/>
    <w:rsid w:val="00413EE9"/>
    <w:rsid w:val="00413F1A"/>
    <w:rsid w:val="004141AF"/>
    <w:rsid w:val="00414288"/>
    <w:rsid w:val="00414357"/>
    <w:rsid w:val="004148A4"/>
    <w:rsid w:val="00414DED"/>
    <w:rsid w:val="00415146"/>
    <w:rsid w:val="00415443"/>
    <w:rsid w:val="004159F4"/>
    <w:rsid w:val="00415AB6"/>
    <w:rsid w:val="00415C4A"/>
    <w:rsid w:val="00415F66"/>
    <w:rsid w:val="00416211"/>
    <w:rsid w:val="004163A4"/>
    <w:rsid w:val="00416433"/>
    <w:rsid w:val="004164D9"/>
    <w:rsid w:val="00416AC1"/>
    <w:rsid w:val="0041714E"/>
    <w:rsid w:val="0041738A"/>
    <w:rsid w:val="00417539"/>
    <w:rsid w:val="0041754F"/>
    <w:rsid w:val="00417A94"/>
    <w:rsid w:val="00417C13"/>
    <w:rsid w:val="00417CCC"/>
    <w:rsid w:val="00417DC5"/>
    <w:rsid w:val="004201CE"/>
    <w:rsid w:val="004204E3"/>
    <w:rsid w:val="00420795"/>
    <w:rsid w:val="0042092F"/>
    <w:rsid w:val="00420AB2"/>
    <w:rsid w:val="00420D1A"/>
    <w:rsid w:val="00420E13"/>
    <w:rsid w:val="00420F3B"/>
    <w:rsid w:val="00421079"/>
    <w:rsid w:val="004215AA"/>
    <w:rsid w:val="00421677"/>
    <w:rsid w:val="00421996"/>
    <w:rsid w:val="00421D14"/>
    <w:rsid w:val="00421FF5"/>
    <w:rsid w:val="004227D6"/>
    <w:rsid w:val="00422906"/>
    <w:rsid w:val="00422A07"/>
    <w:rsid w:val="00422D46"/>
    <w:rsid w:val="00422EE4"/>
    <w:rsid w:val="00422F95"/>
    <w:rsid w:val="00423132"/>
    <w:rsid w:val="0042318D"/>
    <w:rsid w:val="004231BA"/>
    <w:rsid w:val="00423216"/>
    <w:rsid w:val="00423227"/>
    <w:rsid w:val="00423333"/>
    <w:rsid w:val="004233D7"/>
    <w:rsid w:val="004234CE"/>
    <w:rsid w:val="00423666"/>
    <w:rsid w:val="00423829"/>
    <w:rsid w:val="00423C25"/>
    <w:rsid w:val="00423CC1"/>
    <w:rsid w:val="00423D11"/>
    <w:rsid w:val="00423D41"/>
    <w:rsid w:val="00423E8E"/>
    <w:rsid w:val="00424084"/>
    <w:rsid w:val="004243DB"/>
    <w:rsid w:val="00424787"/>
    <w:rsid w:val="004248BE"/>
    <w:rsid w:val="00424A57"/>
    <w:rsid w:val="00424AAD"/>
    <w:rsid w:val="00424E81"/>
    <w:rsid w:val="00425268"/>
    <w:rsid w:val="00425306"/>
    <w:rsid w:val="004254B6"/>
    <w:rsid w:val="00425504"/>
    <w:rsid w:val="00425562"/>
    <w:rsid w:val="004256D7"/>
    <w:rsid w:val="00425AF5"/>
    <w:rsid w:val="00425AFC"/>
    <w:rsid w:val="00425BB5"/>
    <w:rsid w:val="0042617D"/>
    <w:rsid w:val="004261CA"/>
    <w:rsid w:val="00426653"/>
    <w:rsid w:val="004267EB"/>
    <w:rsid w:val="00426C8C"/>
    <w:rsid w:val="00426F1E"/>
    <w:rsid w:val="00426F1F"/>
    <w:rsid w:val="004270CA"/>
    <w:rsid w:val="004272ED"/>
    <w:rsid w:val="0042751D"/>
    <w:rsid w:val="00427590"/>
    <w:rsid w:val="004275A7"/>
    <w:rsid w:val="004277D8"/>
    <w:rsid w:val="00427A72"/>
    <w:rsid w:val="00427BFA"/>
    <w:rsid w:val="00427D73"/>
    <w:rsid w:val="00427E2C"/>
    <w:rsid w:val="004302DF"/>
    <w:rsid w:val="00430BCD"/>
    <w:rsid w:val="00430C74"/>
    <w:rsid w:val="00430E21"/>
    <w:rsid w:val="00431385"/>
    <w:rsid w:val="0043139F"/>
    <w:rsid w:val="00431419"/>
    <w:rsid w:val="0043185B"/>
    <w:rsid w:val="004318A1"/>
    <w:rsid w:val="00431C32"/>
    <w:rsid w:val="00431CCC"/>
    <w:rsid w:val="00431E59"/>
    <w:rsid w:val="00431E92"/>
    <w:rsid w:val="00432438"/>
    <w:rsid w:val="0043272B"/>
    <w:rsid w:val="0043278A"/>
    <w:rsid w:val="00432AB9"/>
    <w:rsid w:val="00432B1C"/>
    <w:rsid w:val="00432BAF"/>
    <w:rsid w:val="00432C01"/>
    <w:rsid w:val="00432D03"/>
    <w:rsid w:val="00432DB5"/>
    <w:rsid w:val="00432FDD"/>
    <w:rsid w:val="00433253"/>
    <w:rsid w:val="00433547"/>
    <w:rsid w:val="00433629"/>
    <w:rsid w:val="00433692"/>
    <w:rsid w:val="0043378D"/>
    <w:rsid w:val="004338B5"/>
    <w:rsid w:val="00433962"/>
    <w:rsid w:val="00433C14"/>
    <w:rsid w:val="00434261"/>
    <w:rsid w:val="00434408"/>
    <w:rsid w:val="00434603"/>
    <w:rsid w:val="00434658"/>
    <w:rsid w:val="00434FB0"/>
    <w:rsid w:val="00435213"/>
    <w:rsid w:val="004352A5"/>
    <w:rsid w:val="00435661"/>
    <w:rsid w:val="00435703"/>
    <w:rsid w:val="0043570D"/>
    <w:rsid w:val="004358A9"/>
    <w:rsid w:val="00435ABC"/>
    <w:rsid w:val="00435FA0"/>
    <w:rsid w:val="00436066"/>
    <w:rsid w:val="004360A4"/>
    <w:rsid w:val="00436161"/>
    <w:rsid w:val="00436393"/>
    <w:rsid w:val="00436531"/>
    <w:rsid w:val="0043690E"/>
    <w:rsid w:val="00436EFE"/>
    <w:rsid w:val="00436FB8"/>
    <w:rsid w:val="004375FA"/>
    <w:rsid w:val="00437AE2"/>
    <w:rsid w:val="00437D82"/>
    <w:rsid w:val="00437D97"/>
    <w:rsid w:val="00437E4D"/>
    <w:rsid w:val="00437E79"/>
    <w:rsid w:val="00437F0F"/>
    <w:rsid w:val="00437FDE"/>
    <w:rsid w:val="004404C9"/>
    <w:rsid w:val="004405D2"/>
    <w:rsid w:val="0044081F"/>
    <w:rsid w:val="00440883"/>
    <w:rsid w:val="00440A6E"/>
    <w:rsid w:val="00440CED"/>
    <w:rsid w:val="0044100B"/>
    <w:rsid w:val="00441019"/>
    <w:rsid w:val="004414B2"/>
    <w:rsid w:val="00441A09"/>
    <w:rsid w:val="00441BE9"/>
    <w:rsid w:val="00441D47"/>
    <w:rsid w:val="00441F2B"/>
    <w:rsid w:val="00441F61"/>
    <w:rsid w:val="00442244"/>
    <w:rsid w:val="004423F3"/>
    <w:rsid w:val="0044241E"/>
    <w:rsid w:val="004425F8"/>
    <w:rsid w:val="004426FC"/>
    <w:rsid w:val="004428B1"/>
    <w:rsid w:val="0044290C"/>
    <w:rsid w:val="00442AAF"/>
    <w:rsid w:val="00442B4D"/>
    <w:rsid w:val="00442E04"/>
    <w:rsid w:val="00442E11"/>
    <w:rsid w:val="00443301"/>
    <w:rsid w:val="004435FB"/>
    <w:rsid w:val="004436CC"/>
    <w:rsid w:val="00443951"/>
    <w:rsid w:val="00443BC4"/>
    <w:rsid w:val="004440EC"/>
    <w:rsid w:val="00444456"/>
    <w:rsid w:val="00444612"/>
    <w:rsid w:val="0044486B"/>
    <w:rsid w:val="004448DE"/>
    <w:rsid w:val="00444A29"/>
    <w:rsid w:val="004451A2"/>
    <w:rsid w:val="004452C9"/>
    <w:rsid w:val="00445504"/>
    <w:rsid w:val="0044589A"/>
    <w:rsid w:val="00445C6A"/>
    <w:rsid w:val="00445EEE"/>
    <w:rsid w:val="0044632D"/>
    <w:rsid w:val="00446549"/>
    <w:rsid w:val="00446728"/>
    <w:rsid w:val="00446BEB"/>
    <w:rsid w:val="00446CF4"/>
    <w:rsid w:val="0044735D"/>
    <w:rsid w:val="0044740C"/>
    <w:rsid w:val="0044755B"/>
    <w:rsid w:val="0044761E"/>
    <w:rsid w:val="00447624"/>
    <w:rsid w:val="00447A31"/>
    <w:rsid w:val="00447C16"/>
    <w:rsid w:val="00447C6B"/>
    <w:rsid w:val="00447DDA"/>
    <w:rsid w:val="00450011"/>
    <w:rsid w:val="004500AA"/>
    <w:rsid w:val="004503C6"/>
    <w:rsid w:val="00450563"/>
    <w:rsid w:val="00450764"/>
    <w:rsid w:val="004508C9"/>
    <w:rsid w:val="00450C05"/>
    <w:rsid w:val="00450EB2"/>
    <w:rsid w:val="00451338"/>
    <w:rsid w:val="00451428"/>
    <w:rsid w:val="00451A5E"/>
    <w:rsid w:val="00451E30"/>
    <w:rsid w:val="00451FEE"/>
    <w:rsid w:val="004520EF"/>
    <w:rsid w:val="0045216B"/>
    <w:rsid w:val="00452300"/>
    <w:rsid w:val="004523E1"/>
    <w:rsid w:val="00452414"/>
    <w:rsid w:val="0045256F"/>
    <w:rsid w:val="00452654"/>
    <w:rsid w:val="0045293F"/>
    <w:rsid w:val="004529F9"/>
    <w:rsid w:val="00452D86"/>
    <w:rsid w:val="00452DFC"/>
    <w:rsid w:val="00452E40"/>
    <w:rsid w:val="00452EBD"/>
    <w:rsid w:val="00452F0B"/>
    <w:rsid w:val="00452F19"/>
    <w:rsid w:val="00452F68"/>
    <w:rsid w:val="0045319F"/>
    <w:rsid w:val="00453529"/>
    <w:rsid w:val="004536DC"/>
    <w:rsid w:val="00453C3A"/>
    <w:rsid w:val="00453EBB"/>
    <w:rsid w:val="00453F3E"/>
    <w:rsid w:val="0045434A"/>
    <w:rsid w:val="00454501"/>
    <w:rsid w:val="004547CA"/>
    <w:rsid w:val="00454A0F"/>
    <w:rsid w:val="00454C09"/>
    <w:rsid w:val="00454C2E"/>
    <w:rsid w:val="0045506F"/>
    <w:rsid w:val="004550F1"/>
    <w:rsid w:val="0045517A"/>
    <w:rsid w:val="00455266"/>
    <w:rsid w:val="0045559D"/>
    <w:rsid w:val="00455632"/>
    <w:rsid w:val="00455663"/>
    <w:rsid w:val="0045575A"/>
    <w:rsid w:val="00455D3F"/>
    <w:rsid w:val="00455F7B"/>
    <w:rsid w:val="0045600A"/>
    <w:rsid w:val="00456044"/>
    <w:rsid w:val="00456414"/>
    <w:rsid w:val="00456808"/>
    <w:rsid w:val="00456A2D"/>
    <w:rsid w:val="00456D1E"/>
    <w:rsid w:val="004572DB"/>
    <w:rsid w:val="00457348"/>
    <w:rsid w:val="00457393"/>
    <w:rsid w:val="004575B1"/>
    <w:rsid w:val="00457604"/>
    <w:rsid w:val="00457890"/>
    <w:rsid w:val="00457A7F"/>
    <w:rsid w:val="00457CB8"/>
    <w:rsid w:val="00457D44"/>
    <w:rsid w:val="004602D4"/>
    <w:rsid w:val="004603D4"/>
    <w:rsid w:val="004608A0"/>
    <w:rsid w:val="00460BFA"/>
    <w:rsid w:val="00460CDA"/>
    <w:rsid w:val="00461219"/>
    <w:rsid w:val="00461222"/>
    <w:rsid w:val="004612A7"/>
    <w:rsid w:val="00461578"/>
    <w:rsid w:val="00461685"/>
    <w:rsid w:val="004618BC"/>
    <w:rsid w:val="00461A06"/>
    <w:rsid w:val="00461B95"/>
    <w:rsid w:val="00461BA3"/>
    <w:rsid w:val="00461D7C"/>
    <w:rsid w:val="00461DD3"/>
    <w:rsid w:val="0046215F"/>
    <w:rsid w:val="00462349"/>
    <w:rsid w:val="004627C0"/>
    <w:rsid w:val="0046286E"/>
    <w:rsid w:val="004629A6"/>
    <w:rsid w:val="00462A6A"/>
    <w:rsid w:val="00462C4E"/>
    <w:rsid w:val="00462D66"/>
    <w:rsid w:val="00462F1A"/>
    <w:rsid w:val="00462FC8"/>
    <w:rsid w:val="004630E6"/>
    <w:rsid w:val="0046322C"/>
    <w:rsid w:val="004632E2"/>
    <w:rsid w:val="004637D1"/>
    <w:rsid w:val="00463A9B"/>
    <w:rsid w:val="00464107"/>
    <w:rsid w:val="00464280"/>
    <w:rsid w:val="004643BE"/>
    <w:rsid w:val="00464420"/>
    <w:rsid w:val="0046460A"/>
    <w:rsid w:val="00464678"/>
    <w:rsid w:val="004647B7"/>
    <w:rsid w:val="00464A59"/>
    <w:rsid w:val="00464E3F"/>
    <w:rsid w:val="00464E96"/>
    <w:rsid w:val="0046527C"/>
    <w:rsid w:val="00465620"/>
    <w:rsid w:val="0046563D"/>
    <w:rsid w:val="004656B7"/>
    <w:rsid w:val="00465743"/>
    <w:rsid w:val="004657AB"/>
    <w:rsid w:val="0046592E"/>
    <w:rsid w:val="00465BBC"/>
    <w:rsid w:val="00465FE7"/>
    <w:rsid w:val="0046643E"/>
    <w:rsid w:val="004665AF"/>
    <w:rsid w:val="0046666C"/>
    <w:rsid w:val="0046679D"/>
    <w:rsid w:val="004667AB"/>
    <w:rsid w:val="004667C9"/>
    <w:rsid w:val="00466816"/>
    <w:rsid w:val="004668A7"/>
    <w:rsid w:val="004668D8"/>
    <w:rsid w:val="004669A9"/>
    <w:rsid w:val="00466AE3"/>
    <w:rsid w:val="00466B94"/>
    <w:rsid w:val="00466E31"/>
    <w:rsid w:val="00466F0D"/>
    <w:rsid w:val="00466F24"/>
    <w:rsid w:val="00466F68"/>
    <w:rsid w:val="0046737C"/>
    <w:rsid w:val="004673F4"/>
    <w:rsid w:val="0046772B"/>
    <w:rsid w:val="004677C6"/>
    <w:rsid w:val="00467A12"/>
    <w:rsid w:val="00467B1B"/>
    <w:rsid w:val="00467D30"/>
    <w:rsid w:val="004703AC"/>
    <w:rsid w:val="00470E51"/>
    <w:rsid w:val="00470FEB"/>
    <w:rsid w:val="00470FEE"/>
    <w:rsid w:val="00471070"/>
    <w:rsid w:val="004710BF"/>
    <w:rsid w:val="00471100"/>
    <w:rsid w:val="0047110F"/>
    <w:rsid w:val="004711CB"/>
    <w:rsid w:val="00471476"/>
    <w:rsid w:val="004715BE"/>
    <w:rsid w:val="00471646"/>
    <w:rsid w:val="00471712"/>
    <w:rsid w:val="004718C1"/>
    <w:rsid w:val="00471A5B"/>
    <w:rsid w:val="00471D64"/>
    <w:rsid w:val="00471D7A"/>
    <w:rsid w:val="00471E3B"/>
    <w:rsid w:val="00471F3E"/>
    <w:rsid w:val="00471F5D"/>
    <w:rsid w:val="00471FA8"/>
    <w:rsid w:val="00472215"/>
    <w:rsid w:val="00472275"/>
    <w:rsid w:val="00472491"/>
    <w:rsid w:val="004724A2"/>
    <w:rsid w:val="004726CD"/>
    <w:rsid w:val="00472717"/>
    <w:rsid w:val="00472914"/>
    <w:rsid w:val="00472B6A"/>
    <w:rsid w:val="00472DD5"/>
    <w:rsid w:val="00472E81"/>
    <w:rsid w:val="00473070"/>
    <w:rsid w:val="004731BF"/>
    <w:rsid w:val="004731CE"/>
    <w:rsid w:val="00473345"/>
    <w:rsid w:val="004733B0"/>
    <w:rsid w:val="00473401"/>
    <w:rsid w:val="004734D2"/>
    <w:rsid w:val="00473D26"/>
    <w:rsid w:val="0047426B"/>
    <w:rsid w:val="004743E3"/>
    <w:rsid w:val="00474769"/>
    <w:rsid w:val="004747CA"/>
    <w:rsid w:val="0047484A"/>
    <w:rsid w:val="004749CE"/>
    <w:rsid w:val="00474D61"/>
    <w:rsid w:val="00474D99"/>
    <w:rsid w:val="00475284"/>
    <w:rsid w:val="00475495"/>
    <w:rsid w:val="00475647"/>
    <w:rsid w:val="00475887"/>
    <w:rsid w:val="00475A48"/>
    <w:rsid w:val="00475BC6"/>
    <w:rsid w:val="004760F6"/>
    <w:rsid w:val="00476234"/>
    <w:rsid w:val="004762F0"/>
    <w:rsid w:val="0047660E"/>
    <w:rsid w:val="00476616"/>
    <w:rsid w:val="00476636"/>
    <w:rsid w:val="004766B1"/>
    <w:rsid w:val="00476A09"/>
    <w:rsid w:val="00476C07"/>
    <w:rsid w:val="00476D13"/>
    <w:rsid w:val="00476F0F"/>
    <w:rsid w:val="00476F4F"/>
    <w:rsid w:val="004775C1"/>
    <w:rsid w:val="00477696"/>
    <w:rsid w:val="004776D5"/>
    <w:rsid w:val="00477714"/>
    <w:rsid w:val="00477728"/>
    <w:rsid w:val="00477796"/>
    <w:rsid w:val="004778DC"/>
    <w:rsid w:val="00477C8C"/>
    <w:rsid w:val="00477EC6"/>
    <w:rsid w:val="00477FD3"/>
    <w:rsid w:val="00480012"/>
    <w:rsid w:val="004802D2"/>
    <w:rsid w:val="004802E1"/>
    <w:rsid w:val="0048035F"/>
    <w:rsid w:val="00480717"/>
    <w:rsid w:val="0048080D"/>
    <w:rsid w:val="00480EAA"/>
    <w:rsid w:val="00481174"/>
    <w:rsid w:val="004813E1"/>
    <w:rsid w:val="0048162F"/>
    <w:rsid w:val="004818FD"/>
    <w:rsid w:val="00481CA4"/>
    <w:rsid w:val="00481DA0"/>
    <w:rsid w:val="00481F81"/>
    <w:rsid w:val="00481F8C"/>
    <w:rsid w:val="0048201F"/>
    <w:rsid w:val="004820A4"/>
    <w:rsid w:val="0048229D"/>
    <w:rsid w:val="00482389"/>
    <w:rsid w:val="0048285A"/>
    <w:rsid w:val="00482CB6"/>
    <w:rsid w:val="00482EB9"/>
    <w:rsid w:val="00483009"/>
    <w:rsid w:val="00483227"/>
    <w:rsid w:val="00483710"/>
    <w:rsid w:val="00483730"/>
    <w:rsid w:val="00483762"/>
    <w:rsid w:val="004838FA"/>
    <w:rsid w:val="00483A75"/>
    <w:rsid w:val="00483C67"/>
    <w:rsid w:val="00484172"/>
    <w:rsid w:val="0048417F"/>
    <w:rsid w:val="004841CD"/>
    <w:rsid w:val="004844A1"/>
    <w:rsid w:val="004847A0"/>
    <w:rsid w:val="00484827"/>
    <w:rsid w:val="00484853"/>
    <w:rsid w:val="0048485B"/>
    <w:rsid w:val="00484B4A"/>
    <w:rsid w:val="00484B99"/>
    <w:rsid w:val="00484C20"/>
    <w:rsid w:val="0048507F"/>
    <w:rsid w:val="00485283"/>
    <w:rsid w:val="00485613"/>
    <w:rsid w:val="0048562C"/>
    <w:rsid w:val="004859DB"/>
    <w:rsid w:val="00485ACD"/>
    <w:rsid w:val="0048622B"/>
    <w:rsid w:val="0048629C"/>
    <w:rsid w:val="00486739"/>
    <w:rsid w:val="0048678C"/>
    <w:rsid w:val="00486892"/>
    <w:rsid w:val="00486A53"/>
    <w:rsid w:val="00486A60"/>
    <w:rsid w:val="00486A79"/>
    <w:rsid w:val="00486C41"/>
    <w:rsid w:val="00486DF0"/>
    <w:rsid w:val="00486EFE"/>
    <w:rsid w:val="00486F58"/>
    <w:rsid w:val="00486F9D"/>
    <w:rsid w:val="00487016"/>
    <w:rsid w:val="0048714F"/>
    <w:rsid w:val="00487271"/>
    <w:rsid w:val="004874EC"/>
    <w:rsid w:val="004875DB"/>
    <w:rsid w:val="0048775C"/>
    <w:rsid w:val="00487B2B"/>
    <w:rsid w:val="00487C63"/>
    <w:rsid w:val="00487C8A"/>
    <w:rsid w:val="00487FCC"/>
    <w:rsid w:val="00487FD6"/>
    <w:rsid w:val="00490177"/>
    <w:rsid w:val="004902AD"/>
    <w:rsid w:val="004902D6"/>
    <w:rsid w:val="004903CA"/>
    <w:rsid w:val="0049062E"/>
    <w:rsid w:val="004906C1"/>
    <w:rsid w:val="00490740"/>
    <w:rsid w:val="00490977"/>
    <w:rsid w:val="004909A0"/>
    <w:rsid w:val="00490F4F"/>
    <w:rsid w:val="004913C0"/>
    <w:rsid w:val="004913D1"/>
    <w:rsid w:val="00491D83"/>
    <w:rsid w:val="00491DD2"/>
    <w:rsid w:val="004924E4"/>
    <w:rsid w:val="004925BD"/>
    <w:rsid w:val="004925EC"/>
    <w:rsid w:val="00492748"/>
    <w:rsid w:val="0049276B"/>
    <w:rsid w:val="004927CE"/>
    <w:rsid w:val="00492956"/>
    <w:rsid w:val="00492B21"/>
    <w:rsid w:val="00492B56"/>
    <w:rsid w:val="00492CA9"/>
    <w:rsid w:val="00493011"/>
    <w:rsid w:val="004939A5"/>
    <w:rsid w:val="00493C7A"/>
    <w:rsid w:val="00493D7A"/>
    <w:rsid w:val="00493E72"/>
    <w:rsid w:val="00493E98"/>
    <w:rsid w:val="00493FAF"/>
    <w:rsid w:val="0049415C"/>
    <w:rsid w:val="00494213"/>
    <w:rsid w:val="00494562"/>
    <w:rsid w:val="00494754"/>
    <w:rsid w:val="00494AE6"/>
    <w:rsid w:val="00494DE8"/>
    <w:rsid w:val="0049500A"/>
    <w:rsid w:val="0049574A"/>
    <w:rsid w:val="00495AEC"/>
    <w:rsid w:val="00495BBB"/>
    <w:rsid w:val="00495CE4"/>
    <w:rsid w:val="00496091"/>
    <w:rsid w:val="004962A6"/>
    <w:rsid w:val="00496530"/>
    <w:rsid w:val="004965DB"/>
    <w:rsid w:val="004965E2"/>
    <w:rsid w:val="00496658"/>
    <w:rsid w:val="00496950"/>
    <w:rsid w:val="0049697A"/>
    <w:rsid w:val="004969C4"/>
    <w:rsid w:val="00496A1A"/>
    <w:rsid w:val="00496E53"/>
    <w:rsid w:val="00496E6F"/>
    <w:rsid w:val="00496E7A"/>
    <w:rsid w:val="0049756F"/>
    <w:rsid w:val="00497886"/>
    <w:rsid w:val="00497A07"/>
    <w:rsid w:val="00497B7F"/>
    <w:rsid w:val="00497C54"/>
    <w:rsid w:val="00497C9D"/>
    <w:rsid w:val="00497FE1"/>
    <w:rsid w:val="004A0060"/>
    <w:rsid w:val="004A0163"/>
    <w:rsid w:val="004A0317"/>
    <w:rsid w:val="004A0547"/>
    <w:rsid w:val="004A083E"/>
    <w:rsid w:val="004A0AF9"/>
    <w:rsid w:val="004A0C50"/>
    <w:rsid w:val="004A0E6D"/>
    <w:rsid w:val="004A135A"/>
    <w:rsid w:val="004A19CC"/>
    <w:rsid w:val="004A1B0F"/>
    <w:rsid w:val="004A1B22"/>
    <w:rsid w:val="004A1B41"/>
    <w:rsid w:val="004A1B96"/>
    <w:rsid w:val="004A1C1F"/>
    <w:rsid w:val="004A1C55"/>
    <w:rsid w:val="004A1C63"/>
    <w:rsid w:val="004A20E3"/>
    <w:rsid w:val="004A2370"/>
    <w:rsid w:val="004A23FD"/>
    <w:rsid w:val="004A2412"/>
    <w:rsid w:val="004A2597"/>
    <w:rsid w:val="004A262A"/>
    <w:rsid w:val="004A26C0"/>
    <w:rsid w:val="004A2776"/>
    <w:rsid w:val="004A287F"/>
    <w:rsid w:val="004A2A48"/>
    <w:rsid w:val="004A2C23"/>
    <w:rsid w:val="004A2C81"/>
    <w:rsid w:val="004A33D9"/>
    <w:rsid w:val="004A3518"/>
    <w:rsid w:val="004A3642"/>
    <w:rsid w:val="004A36F1"/>
    <w:rsid w:val="004A3C4D"/>
    <w:rsid w:val="004A3D01"/>
    <w:rsid w:val="004A4058"/>
    <w:rsid w:val="004A4302"/>
    <w:rsid w:val="004A4981"/>
    <w:rsid w:val="004A4B77"/>
    <w:rsid w:val="004A5570"/>
    <w:rsid w:val="004A5733"/>
    <w:rsid w:val="004A58DD"/>
    <w:rsid w:val="004A58F3"/>
    <w:rsid w:val="004A5B90"/>
    <w:rsid w:val="004A5C11"/>
    <w:rsid w:val="004A5C41"/>
    <w:rsid w:val="004A5C66"/>
    <w:rsid w:val="004A5C6C"/>
    <w:rsid w:val="004A5F1A"/>
    <w:rsid w:val="004A6038"/>
    <w:rsid w:val="004A619C"/>
    <w:rsid w:val="004A6211"/>
    <w:rsid w:val="004A63F4"/>
    <w:rsid w:val="004A661A"/>
    <w:rsid w:val="004A6887"/>
    <w:rsid w:val="004A6898"/>
    <w:rsid w:val="004A6B36"/>
    <w:rsid w:val="004A6BAE"/>
    <w:rsid w:val="004A7064"/>
    <w:rsid w:val="004A71E7"/>
    <w:rsid w:val="004A72B6"/>
    <w:rsid w:val="004A7399"/>
    <w:rsid w:val="004A73CE"/>
    <w:rsid w:val="004A7405"/>
    <w:rsid w:val="004A7ACB"/>
    <w:rsid w:val="004A7CEC"/>
    <w:rsid w:val="004A7E76"/>
    <w:rsid w:val="004B0287"/>
    <w:rsid w:val="004B03B6"/>
    <w:rsid w:val="004B0761"/>
    <w:rsid w:val="004B0917"/>
    <w:rsid w:val="004B0B4F"/>
    <w:rsid w:val="004B0C4C"/>
    <w:rsid w:val="004B0D09"/>
    <w:rsid w:val="004B0DED"/>
    <w:rsid w:val="004B12CC"/>
    <w:rsid w:val="004B13A3"/>
    <w:rsid w:val="004B13BA"/>
    <w:rsid w:val="004B162C"/>
    <w:rsid w:val="004B181B"/>
    <w:rsid w:val="004B182F"/>
    <w:rsid w:val="004B19C2"/>
    <w:rsid w:val="004B1C8C"/>
    <w:rsid w:val="004B1DC8"/>
    <w:rsid w:val="004B237B"/>
    <w:rsid w:val="004B26D8"/>
    <w:rsid w:val="004B2A21"/>
    <w:rsid w:val="004B309A"/>
    <w:rsid w:val="004B3115"/>
    <w:rsid w:val="004B3638"/>
    <w:rsid w:val="004B3650"/>
    <w:rsid w:val="004B3825"/>
    <w:rsid w:val="004B3A2C"/>
    <w:rsid w:val="004B42E9"/>
    <w:rsid w:val="004B4499"/>
    <w:rsid w:val="004B44B3"/>
    <w:rsid w:val="004B4BD5"/>
    <w:rsid w:val="004B52CB"/>
    <w:rsid w:val="004B52E6"/>
    <w:rsid w:val="004B53BE"/>
    <w:rsid w:val="004B57DE"/>
    <w:rsid w:val="004B57F0"/>
    <w:rsid w:val="004B591F"/>
    <w:rsid w:val="004B592C"/>
    <w:rsid w:val="004B5E15"/>
    <w:rsid w:val="004B5EFF"/>
    <w:rsid w:val="004B5F32"/>
    <w:rsid w:val="004B5F7B"/>
    <w:rsid w:val="004B5F83"/>
    <w:rsid w:val="004B629C"/>
    <w:rsid w:val="004B63FC"/>
    <w:rsid w:val="004B66DF"/>
    <w:rsid w:val="004B682E"/>
    <w:rsid w:val="004B6A0B"/>
    <w:rsid w:val="004B6F7C"/>
    <w:rsid w:val="004B7047"/>
    <w:rsid w:val="004B7491"/>
    <w:rsid w:val="004B7721"/>
    <w:rsid w:val="004B7B82"/>
    <w:rsid w:val="004B7C2B"/>
    <w:rsid w:val="004B7D47"/>
    <w:rsid w:val="004B7ECD"/>
    <w:rsid w:val="004C000A"/>
    <w:rsid w:val="004C00BE"/>
    <w:rsid w:val="004C011E"/>
    <w:rsid w:val="004C0279"/>
    <w:rsid w:val="004C0512"/>
    <w:rsid w:val="004C05F9"/>
    <w:rsid w:val="004C0A44"/>
    <w:rsid w:val="004C0ABB"/>
    <w:rsid w:val="004C0BA1"/>
    <w:rsid w:val="004C0C61"/>
    <w:rsid w:val="004C0C7D"/>
    <w:rsid w:val="004C0FF5"/>
    <w:rsid w:val="004C10F7"/>
    <w:rsid w:val="004C116A"/>
    <w:rsid w:val="004C119B"/>
    <w:rsid w:val="004C1355"/>
    <w:rsid w:val="004C145B"/>
    <w:rsid w:val="004C154C"/>
    <w:rsid w:val="004C15D0"/>
    <w:rsid w:val="004C17ED"/>
    <w:rsid w:val="004C1B2E"/>
    <w:rsid w:val="004C1BBB"/>
    <w:rsid w:val="004C1C50"/>
    <w:rsid w:val="004C1CBB"/>
    <w:rsid w:val="004C1D82"/>
    <w:rsid w:val="004C1DAD"/>
    <w:rsid w:val="004C1F86"/>
    <w:rsid w:val="004C1F88"/>
    <w:rsid w:val="004C1FEC"/>
    <w:rsid w:val="004C2189"/>
    <w:rsid w:val="004C230A"/>
    <w:rsid w:val="004C2456"/>
    <w:rsid w:val="004C2851"/>
    <w:rsid w:val="004C2987"/>
    <w:rsid w:val="004C2A87"/>
    <w:rsid w:val="004C2E51"/>
    <w:rsid w:val="004C3089"/>
    <w:rsid w:val="004C34E7"/>
    <w:rsid w:val="004C3782"/>
    <w:rsid w:val="004C379B"/>
    <w:rsid w:val="004C3BD0"/>
    <w:rsid w:val="004C44C6"/>
    <w:rsid w:val="004C4745"/>
    <w:rsid w:val="004C482F"/>
    <w:rsid w:val="004C494A"/>
    <w:rsid w:val="004C528E"/>
    <w:rsid w:val="004C58A7"/>
    <w:rsid w:val="004C5CB5"/>
    <w:rsid w:val="004C5EFA"/>
    <w:rsid w:val="004C6095"/>
    <w:rsid w:val="004C621A"/>
    <w:rsid w:val="004C62F8"/>
    <w:rsid w:val="004C6510"/>
    <w:rsid w:val="004C6703"/>
    <w:rsid w:val="004C6768"/>
    <w:rsid w:val="004C69DD"/>
    <w:rsid w:val="004C6C9B"/>
    <w:rsid w:val="004C6DF0"/>
    <w:rsid w:val="004C704F"/>
    <w:rsid w:val="004C7139"/>
    <w:rsid w:val="004C73EE"/>
    <w:rsid w:val="004C73FE"/>
    <w:rsid w:val="004C76C8"/>
    <w:rsid w:val="004C78F3"/>
    <w:rsid w:val="004C7928"/>
    <w:rsid w:val="004C7931"/>
    <w:rsid w:val="004C7AFB"/>
    <w:rsid w:val="004C7C7F"/>
    <w:rsid w:val="004C7DDE"/>
    <w:rsid w:val="004C7E62"/>
    <w:rsid w:val="004C7ECD"/>
    <w:rsid w:val="004C7EF0"/>
    <w:rsid w:val="004D00E3"/>
    <w:rsid w:val="004D03A8"/>
    <w:rsid w:val="004D04C7"/>
    <w:rsid w:val="004D0586"/>
    <w:rsid w:val="004D0684"/>
    <w:rsid w:val="004D06D8"/>
    <w:rsid w:val="004D0B2E"/>
    <w:rsid w:val="004D0F31"/>
    <w:rsid w:val="004D136E"/>
    <w:rsid w:val="004D1376"/>
    <w:rsid w:val="004D170D"/>
    <w:rsid w:val="004D1758"/>
    <w:rsid w:val="004D179D"/>
    <w:rsid w:val="004D17B8"/>
    <w:rsid w:val="004D194A"/>
    <w:rsid w:val="004D19AB"/>
    <w:rsid w:val="004D1F29"/>
    <w:rsid w:val="004D1F5B"/>
    <w:rsid w:val="004D2005"/>
    <w:rsid w:val="004D215D"/>
    <w:rsid w:val="004D25F1"/>
    <w:rsid w:val="004D26E1"/>
    <w:rsid w:val="004D2D9E"/>
    <w:rsid w:val="004D2DEC"/>
    <w:rsid w:val="004D30CF"/>
    <w:rsid w:val="004D30DB"/>
    <w:rsid w:val="004D3120"/>
    <w:rsid w:val="004D3228"/>
    <w:rsid w:val="004D3426"/>
    <w:rsid w:val="004D36C4"/>
    <w:rsid w:val="004D3B72"/>
    <w:rsid w:val="004D3DA4"/>
    <w:rsid w:val="004D3FE4"/>
    <w:rsid w:val="004D4218"/>
    <w:rsid w:val="004D443F"/>
    <w:rsid w:val="004D44D3"/>
    <w:rsid w:val="004D476B"/>
    <w:rsid w:val="004D49F5"/>
    <w:rsid w:val="004D4A10"/>
    <w:rsid w:val="004D4CE3"/>
    <w:rsid w:val="004D4D38"/>
    <w:rsid w:val="004D4D89"/>
    <w:rsid w:val="004D4F55"/>
    <w:rsid w:val="004D4F59"/>
    <w:rsid w:val="004D5142"/>
    <w:rsid w:val="004D5247"/>
    <w:rsid w:val="004D52C1"/>
    <w:rsid w:val="004D537C"/>
    <w:rsid w:val="004D558F"/>
    <w:rsid w:val="004D57CA"/>
    <w:rsid w:val="004D59DD"/>
    <w:rsid w:val="004D5A47"/>
    <w:rsid w:val="004D5BC1"/>
    <w:rsid w:val="004D5CE4"/>
    <w:rsid w:val="004D5FD7"/>
    <w:rsid w:val="004D601E"/>
    <w:rsid w:val="004D616E"/>
    <w:rsid w:val="004D6200"/>
    <w:rsid w:val="004D6589"/>
    <w:rsid w:val="004D6599"/>
    <w:rsid w:val="004D670F"/>
    <w:rsid w:val="004D67F3"/>
    <w:rsid w:val="004D6899"/>
    <w:rsid w:val="004D6AB3"/>
    <w:rsid w:val="004D6F34"/>
    <w:rsid w:val="004D6F3E"/>
    <w:rsid w:val="004D6FB1"/>
    <w:rsid w:val="004D710F"/>
    <w:rsid w:val="004D7730"/>
    <w:rsid w:val="004D78E6"/>
    <w:rsid w:val="004D7AA4"/>
    <w:rsid w:val="004D7B81"/>
    <w:rsid w:val="004D7DD5"/>
    <w:rsid w:val="004E0062"/>
    <w:rsid w:val="004E01F1"/>
    <w:rsid w:val="004E04E2"/>
    <w:rsid w:val="004E074B"/>
    <w:rsid w:val="004E0997"/>
    <w:rsid w:val="004E09B2"/>
    <w:rsid w:val="004E0B44"/>
    <w:rsid w:val="004E0C12"/>
    <w:rsid w:val="004E0DD1"/>
    <w:rsid w:val="004E0DD9"/>
    <w:rsid w:val="004E138A"/>
    <w:rsid w:val="004E13AC"/>
    <w:rsid w:val="004E13EF"/>
    <w:rsid w:val="004E155A"/>
    <w:rsid w:val="004E1581"/>
    <w:rsid w:val="004E183B"/>
    <w:rsid w:val="004E18FC"/>
    <w:rsid w:val="004E191E"/>
    <w:rsid w:val="004E1A27"/>
    <w:rsid w:val="004E1AE9"/>
    <w:rsid w:val="004E1F79"/>
    <w:rsid w:val="004E2138"/>
    <w:rsid w:val="004E2186"/>
    <w:rsid w:val="004E21D0"/>
    <w:rsid w:val="004E22DC"/>
    <w:rsid w:val="004E24A3"/>
    <w:rsid w:val="004E25D1"/>
    <w:rsid w:val="004E26E9"/>
    <w:rsid w:val="004E28E3"/>
    <w:rsid w:val="004E290B"/>
    <w:rsid w:val="004E2B03"/>
    <w:rsid w:val="004E3224"/>
    <w:rsid w:val="004E32EF"/>
    <w:rsid w:val="004E32F8"/>
    <w:rsid w:val="004E378F"/>
    <w:rsid w:val="004E39F8"/>
    <w:rsid w:val="004E3CB7"/>
    <w:rsid w:val="004E4153"/>
    <w:rsid w:val="004E4260"/>
    <w:rsid w:val="004E436B"/>
    <w:rsid w:val="004E43EC"/>
    <w:rsid w:val="004E43FC"/>
    <w:rsid w:val="004E45E9"/>
    <w:rsid w:val="004E47F4"/>
    <w:rsid w:val="004E4C46"/>
    <w:rsid w:val="004E5151"/>
    <w:rsid w:val="004E517B"/>
    <w:rsid w:val="004E5413"/>
    <w:rsid w:val="004E55DE"/>
    <w:rsid w:val="004E59E4"/>
    <w:rsid w:val="004E5B56"/>
    <w:rsid w:val="004E5CC5"/>
    <w:rsid w:val="004E5CD3"/>
    <w:rsid w:val="004E5D13"/>
    <w:rsid w:val="004E5E18"/>
    <w:rsid w:val="004E5EF1"/>
    <w:rsid w:val="004E6643"/>
    <w:rsid w:val="004E68AC"/>
    <w:rsid w:val="004E690E"/>
    <w:rsid w:val="004E6E4D"/>
    <w:rsid w:val="004E6FAC"/>
    <w:rsid w:val="004E7769"/>
    <w:rsid w:val="004E78AE"/>
    <w:rsid w:val="004E79DB"/>
    <w:rsid w:val="004E7B39"/>
    <w:rsid w:val="004E7BF4"/>
    <w:rsid w:val="004E7D4F"/>
    <w:rsid w:val="004E7E13"/>
    <w:rsid w:val="004F0101"/>
    <w:rsid w:val="004F0220"/>
    <w:rsid w:val="004F04DD"/>
    <w:rsid w:val="004F07D8"/>
    <w:rsid w:val="004F08B2"/>
    <w:rsid w:val="004F0CA6"/>
    <w:rsid w:val="004F0CDA"/>
    <w:rsid w:val="004F0EF8"/>
    <w:rsid w:val="004F10BB"/>
    <w:rsid w:val="004F1193"/>
    <w:rsid w:val="004F1238"/>
    <w:rsid w:val="004F171E"/>
    <w:rsid w:val="004F18A3"/>
    <w:rsid w:val="004F1928"/>
    <w:rsid w:val="004F1D8A"/>
    <w:rsid w:val="004F20BC"/>
    <w:rsid w:val="004F23C6"/>
    <w:rsid w:val="004F27B9"/>
    <w:rsid w:val="004F28EC"/>
    <w:rsid w:val="004F29B1"/>
    <w:rsid w:val="004F2A03"/>
    <w:rsid w:val="004F2AEB"/>
    <w:rsid w:val="004F2C8B"/>
    <w:rsid w:val="004F2E29"/>
    <w:rsid w:val="004F35CF"/>
    <w:rsid w:val="004F3794"/>
    <w:rsid w:val="004F39A2"/>
    <w:rsid w:val="004F3AE4"/>
    <w:rsid w:val="004F3C50"/>
    <w:rsid w:val="004F3E93"/>
    <w:rsid w:val="004F4091"/>
    <w:rsid w:val="004F42C3"/>
    <w:rsid w:val="004F4668"/>
    <w:rsid w:val="004F469D"/>
    <w:rsid w:val="004F47AC"/>
    <w:rsid w:val="004F487E"/>
    <w:rsid w:val="004F4AA0"/>
    <w:rsid w:val="004F4C60"/>
    <w:rsid w:val="004F4DCA"/>
    <w:rsid w:val="004F4E4B"/>
    <w:rsid w:val="004F4F10"/>
    <w:rsid w:val="004F50AF"/>
    <w:rsid w:val="004F511A"/>
    <w:rsid w:val="004F5126"/>
    <w:rsid w:val="004F51F8"/>
    <w:rsid w:val="004F587D"/>
    <w:rsid w:val="004F58E3"/>
    <w:rsid w:val="004F5C53"/>
    <w:rsid w:val="004F5EB1"/>
    <w:rsid w:val="004F60C3"/>
    <w:rsid w:val="004F6249"/>
    <w:rsid w:val="004F64B7"/>
    <w:rsid w:val="004F650E"/>
    <w:rsid w:val="004F6668"/>
    <w:rsid w:val="004F6944"/>
    <w:rsid w:val="004F695D"/>
    <w:rsid w:val="004F6C97"/>
    <w:rsid w:val="004F6F26"/>
    <w:rsid w:val="004F7119"/>
    <w:rsid w:val="004F7503"/>
    <w:rsid w:val="004F757A"/>
    <w:rsid w:val="004F77F2"/>
    <w:rsid w:val="004F7AB9"/>
    <w:rsid w:val="004F7B8D"/>
    <w:rsid w:val="004F7DF5"/>
    <w:rsid w:val="004F7FAB"/>
    <w:rsid w:val="00500279"/>
    <w:rsid w:val="00500368"/>
    <w:rsid w:val="005003CD"/>
    <w:rsid w:val="005004F6"/>
    <w:rsid w:val="005007F7"/>
    <w:rsid w:val="00500C99"/>
    <w:rsid w:val="00500F60"/>
    <w:rsid w:val="00501494"/>
    <w:rsid w:val="00501560"/>
    <w:rsid w:val="0050194A"/>
    <w:rsid w:val="0050195B"/>
    <w:rsid w:val="00501DB8"/>
    <w:rsid w:val="00501EB4"/>
    <w:rsid w:val="00501F5A"/>
    <w:rsid w:val="00502468"/>
    <w:rsid w:val="0050268F"/>
    <w:rsid w:val="00502895"/>
    <w:rsid w:val="00502AF1"/>
    <w:rsid w:val="00502C54"/>
    <w:rsid w:val="0050324B"/>
    <w:rsid w:val="0050326E"/>
    <w:rsid w:val="0050371B"/>
    <w:rsid w:val="005038B5"/>
    <w:rsid w:val="0050394A"/>
    <w:rsid w:val="00503966"/>
    <w:rsid w:val="005039FA"/>
    <w:rsid w:val="00503A77"/>
    <w:rsid w:val="00503C01"/>
    <w:rsid w:val="00503C5F"/>
    <w:rsid w:val="00503DBF"/>
    <w:rsid w:val="00503E17"/>
    <w:rsid w:val="00503E92"/>
    <w:rsid w:val="005043C2"/>
    <w:rsid w:val="005043C5"/>
    <w:rsid w:val="0050471C"/>
    <w:rsid w:val="005048E3"/>
    <w:rsid w:val="00504C23"/>
    <w:rsid w:val="00504F1A"/>
    <w:rsid w:val="00505322"/>
    <w:rsid w:val="00505353"/>
    <w:rsid w:val="0050560A"/>
    <w:rsid w:val="0050589A"/>
    <w:rsid w:val="00505950"/>
    <w:rsid w:val="00505BE4"/>
    <w:rsid w:val="00506265"/>
    <w:rsid w:val="00506543"/>
    <w:rsid w:val="00506741"/>
    <w:rsid w:val="0050679D"/>
    <w:rsid w:val="005067B6"/>
    <w:rsid w:val="00506914"/>
    <w:rsid w:val="005069F4"/>
    <w:rsid w:val="00506A1D"/>
    <w:rsid w:val="00506A7F"/>
    <w:rsid w:val="00506AB3"/>
    <w:rsid w:val="00506CF7"/>
    <w:rsid w:val="00507062"/>
    <w:rsid w:val="00507635"/>
    <w:rsid w:val="005077F6"/>
    <w:rsid w:val="005079D5"/>
    <w:rsid w:val="00507A2A"/>
    <w:rsid w:val="00507B3C"/>
    <w:rsid w:val="00507BBA"/>
    <w:rsid w:val="00507D2C"/>
    <w:rsid w:val="00507EF0"/>
    <w:rsid w:val="00507FE7"/>
    <w:rsid w:val="00510059"/>
    <w:rsid w:val="005103DE"/>
    <w:rsid w:val="00510412"/>
    <w:rsid w:val="0051061A"/>
    <w:rsid w:val="00510818"/>
    <w:rsid w:val="005109B9"/>
    <w:rsid w:val="00510F7C"/>
    <w:rsid w:val="005111A5"/>
    <w:rsid w:val="005111DD"/>
    <w:rsid w:val="005113BA"/>
    <w:rsid w:val="0051142C"/>
    <w:rsid w:val="00511678"/>
    <w:rsid w:val="00511751"/>
    <w:rsid w:val="005117CD"/>
    <w:rsid w:val="005117E0"/>
    <w:rsid w:val="00511AD8"/>
    <w:rsid w:val="00512663"/>
    <w:rsid w:val="005127F5"/>
    <w:rsid w:val="00512B1F"/>
    <w:rsid w:val="005130FC"/>
    <w:rsid w:val="00513205"/>
    <w:rsid w:val="0051339D"/>
    <w:rsid w:val="0051355A"/>
    <w:rsid w:val="00513581"/>
    <w:rsid w:val="005137A0"/>
    <w:rsid w:val="00513AC0"/>
    <w:rsid w:val="00513C5B"/>
    <w:rsid w:val="00513E08"/>
    <w:rsid w:val="0051406A"/>
    <w:rsid w:val="00514272"/>
    <w:rsid w:val="005144B5"/>
    <w:rsid w:val="005145BB"/>
    <w:rsid w:val="00514B32"/>
    <w:rsid w:val="00514C8B"/>
    <w:rsid w:val="00514CE2"/>
    <w:rsid w:val="00514D55"/>
    <w:rsid w:val="0051542D"/>
    <w:rsid w:val="00515624"/>
    <w:rsid w:val="00515774"/>
    <w:rsid w:val="005158A3"/>
    <w:rsid w:val="0051592A"/>
    <w:rsid w:val="00515AA7"/>
    <w:rsid w:val="00515B4A"/>
    <w:rsid w:val="00515D99"/>
    <w:rsid w:val="00515DD3"/>
    <w:rsid w:val="00515EC6"/>
    <w:rsid w:val="0051615D"/>
    <w:rsid w:val="0051671B"/>
    <w:rsid w:val="005168D3"/>
    <w:rsid w:val="00516F4F"/>
    <w:rsid w:val="005170C0"/>
    <w:rsid w:val="00517259"/>
    <w:rsid w:val="0051761A"/>
    <w:rsid w:val="0051768B"/>
    <w:rsid w:val="005177E5"/>
    <w:rsid w:val="00517964"/>
    <w:rsid w:val="005179FE"/>
    <w:rsid w:val="00517AFA"/>
    <w:rsid w:val="00517B01"/>
    <w:rsid w:val="00517D2D"/>
    <w:rsid w:val="00517F75"/>
    <w:rsid w:val="00517FCB"/>
    <w:rsid w:val="00520116"/>
    <w:rsid w:val="00520208"/>
    <w:rsid w:val="005203CB"/>
    <w:rsid w:val="00520443"/>
    <w:rsid w:val="0052047D"/>
    <w:rsid w:val="005209F6"/>
    <w:rsid w:val="00520FA5"/>
    <w:rsid w:val="00521166"/>
    <w:rsid w:val="0052159E"/>
    <w:rsid w:val="0052165E"/>
    <w:rsid w:val="00521867"/>
    <w:rsid w:val="0052192C"/>
    <w:rsid w:val="00522287"/>
    <w:rsid w:val="005222A0"/>
    <w:rsid w:val="00522666"/>
    <w:rsid w:val="005229AD"/>
    <w:rsid w:val="00522B5B"/>
    <w:rsid w:val="00522E3C"/>
    <w:rsid w:val="00522F55"/>
    <w:rsid w:val="005233DA"/>
    <w:rsid w:val="00523529"/>
    <w:rsid w:val="005236CA"/>
    <w:rsid w:val="005237C3"/>
    <w:rsid w:val="00523B99"/>
    <w:rsid w:val="00523E83"/>
    <w:rsid w:val="00523EAE"/>
    <w:rsid w:val="00524066"/>
    <w:rsid w:val="005240EC"/>
    <w:rsid w:val="00524148"/>
    <w:rsid w:val="005241C4"/>
    <w:rsid w:val="005243CB"/>
    <w:rsid w:val="00524519"/>
    <w:rsid w:val="0052452C"/>
    <w:rsid w:val="005247B3"/>
    <w:rsid w:val="00524AE7"/>
    <w:rsid w:val="00524B7C"/>
    <w:rsid w:val="00524BC6"/>
    <w:rsid w:val="00524CF6"/>
    <w:rsid w:val="00524EA6"/>
    <w:rsid w:val="00525023"/>
    <w:rsid w:val="0052508E"/>
    <w:rsid w:val="00525222"/>
    <w:rsid w:val="00525451"/>
    <w:rsid w:val="00525459"/>
    <w:rsid w:val="005254A8"/>
    <w:rsid w:val="005255A7"/>
    <w:rsid w:val="00525656"/>
    <w:rsid w:val="00525B1C"/>
    <w:rsid w:val="005260FB"/>
    <w:rsid w:val="005263F1"/>
    <w:rsid w:val="00526423"/>
    <w:rsid w:val="005264D4"/>
    <w:rsid w:val="00526934"/>
    <w:rsid w:val="00526A96"/>
    <w:rsid w:val="00526B50"/>
    <w:rsid w:val="00526B8A"/>
    <w:rsid w:val="00526CA0"/>
    <w:rsid w:val="00526DDC"/>
    <w:rsid w:val="00526E95"/>
    <w:rsid w:val="005271FA"/>
    <w:rsid w:val="00527277"/>
    <w:rsid w:val="00527317"/>
    <w:rsid w:val="00527321"/>
    <w:rsid w:val="0052741B"/>
    <w:rsid w:val="005276CD"/>
    <w:rsid w:val="005277FE"/>
    <w:rsid w:val="00527BA6"/>
    <w:rsid w:val="00527F72"/>
    <w:rsid w:val="0053004C"/>
    <w:rsid w:val="005300CC"/>
    <w:rsid w:val="00530E8F"/>
    <w:rsid w:val="00530EB5"/>
    <w:rsid w:val="005312BB"/>
    <w:rsid w:val="005315D4"/>
    <w:rsid w:val="0053168F"/>
    <w:rsid w:val="0053171E"/>
    <w:rsid w:val="00531720"/>
    <w:rsid w:val="0053188A"/>
    <w:rsid w:val="00531AB3"/>
    <w:rsid w:val="00531DCC"/>
    <w:rsid w:val="00531E27"/>
    <w:rsid w:val="00531E40"/>
    <w:rsid w:val="00532430"/>
    <w:rsid w:val="00532437"/>
    <w:rsid w:val="00532838"/>
    <w:rsid w:val="005328FD"/>
    <w:rsid w:val="0053294D"/>
    <w:rsid w:val="00532B99"/>
    <w:rsid w:val="00532CCD"/>
    <w:rsid w:val="00532D1E"/>
    <w:rsid w:val="00532D7C"/>
    <w:rsid w:val="00532F73"/>
    <w:rsid w:val="005330C1"/>
    <w:rsid w:val="005332B8"/>
    <w:rsid w:val="00533353"/>
    <w:rsid w:val="005333FE"/>
    <w:rsid w:val="00533566"/>
    <w:rsid w:val="0053359D"/>
    <w:rsid w:val="00533B0C"/>
    <w:rsid w:val="00533D02"/>
    <w:rsid w:val="00533DE9"/>
    <w:rsid w:val="0053425F"/>
    <w:rsid w:val="005342CA"/>
    <w:rsid w:val="005342E0"/>
    <w:rsid w:val="0053430D"/>
    <w:rsid w:val="005346B4"/>
    <w:rsid w:val="00534738"/>
    <w:rsid w:val="0053496A"/>
    <w:rsid w:val="00534A2F"/>
    <w:rsid w:val="00534BCF"/>
    <w:rsid w:val="00534C49"/>
    <w:rsid w:val="00534EC0"/>
    <w:rsid w:val="00535428"/>
    <w:rsid w:val="005356EF"/>
    <w:rsid w:val="0053592F"/>
    <w:rsid w:val="00535A0E"/>
    <w:rsid w:val="00536396"/>
    <w:rsid w:val="0053647D"/>
    <w:rsid w:val="0053687D"/>
    <w:rsid w:val="00536A88"/>
    <w:rsid w:val="00536E71"/>
    <w:rsid w:val="0053709A"/>
    <w:rsid w:val="0053719D"/>
    <w:rsid w:val="005371FC"/>
    <w:rsid w:val="00537209"/>
    <w:rsid w:val="0053746F"/>
    <w:rsid w:val="00537756"/>
    <w:rsid w:val="00537E4B"/>
    <w:rsid w:val="00537FFB"/>
    <w:rsid w:val="00540491"/>
    <w:rsid w:val="005405C2"/>
    <w:rsid w:val="00540760"/>
    <w:rsid w:val="00540893"/>
    <w:rsid w:val="00540E71"/>
    <w:rsid w:val="00540FBF"/>
    <w:rsid w:val="005412D9"/>
    <w:rsid w:val="005413B6"/>
    <w:rsid w:val="0054143D"/>
    <w:rsid w:val="005416CC"/>
    <w:rsid w:val="00541823"/>
    <w:rsid w:val="00541846"/>
    <w:rsid w:val="00541BA9"/>
    <w:rsid w:val="00541CED"/>
    <w:rsid w:val="00541D36"/>
    <w:rsid w:val="00541F76"/>
    <w:rsid w:val="00542301"/>
    <w:rsid w:val="005423BD"/>
    <w:rsid w:val="00542402"/>
    <w:rsid w:val="00542598"/>
    <w:rsid w:val="00542862"/>
    <w:rsid w:val="005429B3"/>
    <w:rsid w:val="00542AF1"/>
    <w:rsid w:val="00542CCC"/>
    <w:rsid w:val="00542E82"/>
    <w:rsid w:val="00542E94"/>
    <w:rsid w:val="00542EE0"/>
    <w:rsid w:val="00542EF4"/>
    <w:rsid w:val="00543124"/>
    <w:rsid w:val="00543179"/>
    <w:rsid w:val="0054321C"/>
    <w:rsid w:val="0054330C"/>
    <w:rsid w:val="0054374B"/>
    <w:rsid w:val="00543988"/>
    <w:rsid w:val="005442B7"/>
    <w:rsid w:val="00544300"/>
    <w:rsid w:val="00544556"/>
    <w:rsid w:val="00544754"/>
    <w:rsid w:val="00544822"/>
    <w:rsid w:val="00544AB5"/>
    <w:rsid w:val="00544CFC"/>
    <w:rsid w:val="005450EB"/>
    <w:rsid w:val="00545342"/>
    <w:rsid w:val="005457C3"/>
    <w:rsid w:val="0054594D"/>
    <w:rsid w:val="00545AEB"/>
    <w:rsid w:val="00545C10"/>
    <w:rsid w:val="005460F0"/>
    <w:rsid w:val="00546191"/>
    <w:rsid w:val="005461B8"/>
    <w:rsid w:val="005463E0"/>
    <w:rsid w:val="0054646F"/>
    <w:rsid w:val="005466BF"/>
    <w:rsid w:val="005467F0"/>
    <w:rsid w:val="00546991"/>
    <w:rsid w:val="00546A04"/>
    <w:rsid w:val="00546A2C"/>
    <w:rsid w:val="00546C0E"/>
    <w:rsid w:val="005473B7"/>
    <w:rsid w:val="00547519"/>
    <w:rsid w:val="005476D3"/>
    <w:rsid w:val="00547847"/>
    <w:rsid w:val="005479E9"/>
    <w:rsid w:val="00550001"/>
    <w:rsid w:val="0055005D"/>
    <w:rsid w:val="00550AA0"/>
    <w:rsid w:val="00550B40"/>
    <w:rsid w:val="00550BD0"/>
    <w:rsid w:val="00550C04"/>
    <w:rsid w:val="00550C38"/>
    <w:rsid w:val="00550C94"/>
    <w:rsid w:val="00550D1F"/>
    <w:rsid w:val="00550F42"/>
    <w:rsid w:val="00550F7E"/>
    <w:rsid w:val="0055129B"/>
    <w:rsid w:val="0055159C"/>
    <w:rsid w:val="005515A3"/>
    <w:rsid w:val="005517DF"/>
    <w:rsid w:val="00551994"/>
    <w:rsid w:val="00551A7A"/>
    <w:rsid w:val="00551AED"/>
    <w:rsid w:val="00551D7E"/>
    <w:rsid w:val="00551F6C"/>
    <w:rsid w:val="00552167"/>
    <w:rsid w:val="005525D0"/>
    <w:rsid w:val="00552A39"/>
    <w:rsid w:val="00552BF5"/>
    <w:rsid w:val="00552C93"/>
    <w:rsid w:val="00552E77"/>
    <w:rsid w:val="00552F6C"/>
    <w:rsid w:val="00553026"/>
    <w:rsid w:val="00553104"/>
    <w:rsid w:val="005533D8"/>
    <w:rsid w:val="00553418"/>
    <w:rsid w:val="00553680"/>
    <w:rsid w:val="0055370F"/>
    <w:rsid w:val="005538FC"/>
    <w:rsid w:val="005539CD"/>
    <w:rsid w:val="00553C86"/>
    <w:rsid w:val="00553CAC"/>
    <w:rsid w:val="0055404B"/>
    <w:rsid w:val="005541A2"/>
    <w:rsid w:val="0055453E"/>
    <w:rsid w:val="0055461E"/>
    <w:rsid w:val="00554765"/>
    <w:rsid w:val="00554769"/>
    <w:rsid w:val="00554D22"/>
    <w:rsid w:val="00554E04"/>
    <w:rsid w:val="00554E36"/>
    <w:rsid w:val="00555148"/>
    <w:rsid w:val="00555600"/>
    <w:rsid w:val="005558EF"/>
    <w:rsid w:val="005559FA"/>
    <w:rsid w:val="00555A57"/>
    <w:rsid w:val="00555C42"/>
    <w:rsid w:val="00555CD4"/>
    <w:rsid w:val="00555DCF"/>
    <w:rsid w:val="00556A7F"/>
    <w:rsid w:val="00556D6A"/>
    <w:rsid w:val="00556EB0"/>
    <w:rsid w:val="00556F88"/>
    <w:rsid w:val="005570B4"/>
    <w:rsid w:val="00557820"/>
    <w:rsid w:val="00557A5C"/>
    <w:rsid w:val="0056011D"/>
    <w:rsid w:val="00560321"/>
    <w:rsid w:val="005604C2"/>
    <w:rsid w:val="00560B9F"/>
    <w:rsid w:val="00560CF4"/>
    <w:rsid w:val="00560EB6"/>
    <w:rsid w:val="00560FAF"/>
    <w:rsid w:val="00561098"/>
    <w:rsid w:val="00561175"/>
    <w:rsid w:val="0056134A"/>
    <w:rsid w:val="00561655"/>
    <w:rsid w:val="00561741"/>
    <w:rsid w:val="00561F52"/>
    <w:rsid w:val="005621F1"/>
    <w:rsid w:val="00562347"/>
    <w:rsid w:val="0056236F"/>
    <w:rsid w:val="00562645"/>
    <w:rsid w:val="00562886"/>
    <w:rsid w:val="005628CA"/>
    <w:rsid w:val="00562CBE"/>
    <w:rsid w:val="00562F2D"/>
    <w:rsid w:val="0056305A"/>
    <w:rsid w:val="00563064"/>
    <w:rsid w:val="005630E5"/>
    <w:rsid w:val="0056328C"/>
    <w:rsid w:val="0056329D"/>
    <w:rsid w:val="0056330D"/>
    <w:rsid w:val="0056347F"/>
    <w:rsid w:val="005634B4"/>
    <w:rsid w:val="005634C5"/>
    <w:rsid w:val="005634D7"/>
    <w:rsid w:val="005634FB"/>
    <w:rsid w:val="005635FC"/>
    <w:rsid w:val="005638AC"/>
    <w:rsid w:val="005638B8"/>
    <w:rsid w:val="005639C8"/>
    <w:rsid w:val="00563C34"/>
    <w:rsid w:val="00564262"/>
    <w:rsid w:val="0056441C"/>
    <w:rsid w:val="00564883"/>
    <w:rsid w:val="00564895"/>
    <w:rsid w:val="00564948"/>
    <w:rsid w:val="00564BE6"/>
    <w:rsid w:val="00564C5B"/>
    <w:rsid w:val="00564FB8"/>
    <w:rsid w:val="0056500D"/>
    <w:rsid w:val="0056501E"/>
    <w:rsid w:val="00565259"/>
    <w:rsid w:val="005652E4"/>
    <w:rsid w:val="00565AE8"/>
    <w:rsid w:val="00565B01"/>
    <w:rsid w:val="00565D26"/>
    <w:rsid w:val="00565F5B"/>
    <w:rsid w:val="00565F97"/>
    <w:rsid w:val="00566095"/>
    <w:rsid w:val="00566343"/>
    <w:rsid w:val="00566535"/>
    <w:rsid w:val="00566607"/>
    <w:rsid w:val="0056681F"/>
    <w:rsid w:val="005668DD"/>
    <w:rsid w:val="00566B21"/>
    <w:rsid w:val="00566BC7"/>
    <w:rsid w:val="00566C0D"/>
    <w:rsid w:val="00566FEA"/>
    <w:rsid w:val="00567094"/>
    <w:rsid w:val="005672B4"/>
    <w:rsid w:val="00567413"/>
    <w:rsid w:val="005675C6"/>
    <w:rsid w:val="005676C8"/>
    <w:rsid w:val="00567852"/>
    <w:rsid w:val="005678CF"/>
    <w:rsid w:val="00567933"/>
    <w:rsid w:val="00567B14"/>
    <w:rsid w:val="00567D83"/>
    <w:rsid w:val="00567D99"/>
    <w:rsid w:val="00567F26"/>
    <w:rsid w:val="00570151"/>
    <w:rsid w:val="00570161"/>
    <w:rsid w:val="00570176"/>
    <w:rsid w:val="005701C8"/>
    <w:rsid w:val="005706E0"/>
    <w:rsid w:val="00570BE8"/>
    <w:rsid w:val="00570E7B"/>
    <w:rsid w:val="00570FF1"/>
    <w:rsid w:val="005710E8"/>
    <w:rsid w:val="0057127F"/>
    <w:rsid w:val="00571514"/>
    <w:rsid w:val="005716F4"/>
    <w:rsid w:val="00571B06"/>
    <w:rsid w:val="00571B7F"/>
    <w:rsid w:val="00571EEC"/>
    <w:rsid w:val="00572063"/>
    <w:rsid w:val="0057214D"/>
    <w:rsid w:val="0057222A"/>
    <w:rsid w:val="00572781"/>
    <w:rsid w:val="005727AD"/>
    <w:rsid w:val="00572D09"/>
    <w:rsid w:val="005732B1"/>
    <w:rsid w:val="00573733"/>
    <w:rsid w:val="00573939"/>
    <w:rsid w:val="00573AD7"/>
    <w:rsid w:val="00573B67"/>
    <w:rsid w:val="00573D15"/>
    <w:rsid w:val="00573E47"/>
    <w:rsid w:val="00573F0F"/>
    <w:rsid w:val="00574120"/>
    <w:rsid w:val="0057425D"/>
    <w:rsid w:val="00574542"/>
    <w:rsid w:val="005745BD"/>
    <w:rsid w:val="0057469A"/>
    <w:rsid w:val="005749E4"/>
    <w:rsid w:val="00574C96"/>
    <w:rsid w:val="00574E86"/>
    <w:rsid w:val="00574EA9"/>
    <w:rsid w:val="00574F8E"/>
    <w:rsid w:val="005753B8"/>
    <w:rsid w:val="00575490"/>
    <w:rsid w:val="0057550B"/>
    <w:rsid w:val="005755CF"/>
    <w:rsid w:val="005757A0"/>
    <w:rsid w:val="00575949"/>
    <w:rsid w:val="00575989"/>
    <w:rsid w:val="00575AD5"/>
    <w:rsid w:val="00575C06"/>
    <w:rsid w:val="00575C43"/>
    <w:rsid w:val="00575C7D"/>
    <w:rsid w:val="00575EF3"/>
    <w:rsid w:val="0057615E"/>
    <w:rsid w:val="00576587"/>
    <w:rsid w:val="0057659D"/>
    <w:rsid w:val="00576698"/>
    <w:rsid w:val="00576A44"/>
    <w:rsid w:val="00576E33"/>
    <w:rsid w:val="00576E41"/>
    <w:rsid w:val="00576E72"/>
    <w:rsid w:val="00576EC2"/>
    <w:rsid w:val="00576FD0"/>
    <w:rsid w:val="005770A9"/>
    <w:rsid w:val="00577255"/>
    <w:rsid w:val="0057752E"/>
    <w:rsid w:val="005775DF"/>
    <w:rsid w:val="0057779E"/>
    <w:rsid w:val="005778CC"/>
    <w:rsid w:val="00577B23"/>
    <w:rsid w:val="00577DD3"/>
    <w:rsid w:val="005801B5"/>
    <w:rsid w:val="0058033C"/>
    <w:rsid w:val="00580556"/>
    <w:rsid w:val="005805D0"/>
    <w:rsid w:val="00580764"/>
    <w:rsid w:val="0058085E"/>
    <w:rsid w:val="00580884"/>
    <w:rsid w:val="005808D6"/>
    <w:rsid w:val="00580923"/>
    <w:rsid w:val="00580A09"/>
    <w:rsid w:val="00580B0A"/>
    <w:rsid w:val="00580E87"/>
    <w:rsid w:val="005811F5"/>
    <w:rsid w:val="00581230"/>
    <w:rsid w:val="005813C2"/>
    <w:rsid w:val="00581490"/>
    <w:rsid w:val="0058163A"/>
    <w:rsid w:val="005819EE"/>
    <w:rsid w:val="00581D2F"/>
    <w:rsid w:val="00581E4D"/>
    <w:rsid w:val="005820E3"/>
    <w:rsid w:val="00582183"/>
    <w:rsid w:val="0058239B"/>
    <w:rsid w:val="005828D7"/>
    <w:rsid w:val="00582A86"/>
    <w:rsid w:val="00582DDE"/>
    <w:rsid w:val="005834B4"/>
    <w:rsid w:val="00583805"/>
    <w:rsid w:val="00583871"/>
    <w:rsid w:val="00583D11"/>
    <w:rsid w:val="00583D2D"/>
    <w:rsid w:val="00583ED7"/>
    <w:rsid w:val="00583F29"/>
    <w:rsid w:val="00583FEE"/>
    <w:rsid w:val="00584119"/>
    <w:rsid w:val="0058416C"/>
    <w:rsid w:val="00584575"/>
    <w:rsid w:val="00584D4C"/>
    <w:rsid w:val="00584DD4"/>
    <w:rsid w:val="00585085"/>
    <w:rsid w:val="005851F7"/>
    <w:rsid w:val="005853FB"/>
    <w:rsid w:val="005855BF"/>
    <w:rsid w:val="005857A8"/>
    <w:rsid w:val="0058581F"/>
    <w:rsid w:val="005859DE"/>
    <w:rsid w:val="005860DF"/>
    <w:rsid w:val="005865DA"/>
    <w:rsid w:val="005868D3"/>
    <w:rsid w:val="005869B6"/>
    <w:rsid w:val="00586B16"/>
    <w:rsid w:val="00586DCC"/>
    <w:rsid w:val="00586EFA"/>
    <w:rsid w:val="00587002"/>
    <w:rsid w:val="005870E1"/>
    <w:rsid w:val="005873A7"/>
    <w:rsid w:val="0058783A"/>
    <w:rsid w:val="00587887"/>
    <w:rsid w:val="00587BFF"/>
    <w:rsid w:val="00587C96"/>
    <w:rsid w:val="00587DEC"/>
    <w:rsid w:val="00587E6B"/>
    <w:rsid w:val="0059082F"/>
    <w:rsid w:val="00590830"/>
    <w:rsid w:val="00591330"/>
    <w:rsid w:val="0059138D"/>
    <w:rsid w:val="00591715"/>
    <w:rsid w:val="005917E1"/>
    <w:rsid w:val="00591829"/>
    <w:rsid w:val="0059193E"/>
    <w:rsid w:val="00591A87"/>
    <w:rsid w:val="00591D82"/>
    <w:rsid w:val="00591DA5"/>
    <w:rsid w:val="00591E54"/>
    <w:rsid w:val="00591ECD"/>
    <w:rsid w:val="0059214F"/>
    <w:rsid w:val="00592201"/>
    <w:rsid w:val="00592477"/>
    <w:rsid w:val="00592709"/>
    <w:rsid w:val="0059271F"/>
    <w:rsid w:val="005929BE"/>
    <w:rsid w:val="00592A93"/>
    <w:rsid w:val="00592BA6"/>
    <w:rsid w:val="00592CBE"/>
    <w:rsid w:val="00592E76"/>
    <w:rsid w:val="005930EA"/>
    <w:rsid w:val="0059312B"/>
    <w:rsid w:val="00593288"/>
    <w:rsid w:val="00593400"/>
    <w:rsid w:val="005934E2"/>
    <w:rsid w:val="005935BB"/>
    <w:rsid w:val="005938AF"/>
    <w:rsid w:val="00593A43"/>
    <w:rsid w:val="00593B7C"/>
    <w:rsid w:val="00593CDA"/>
    <w:rsid w:val="00593DD2"/>
    <w:rsid w:val="00594024"/>
    <w:rsid w:val="00594089"/>
    <w:rsid w:val="00594148"/>
    <w:rsid w:val="00594458"/>
    <w:rsid w:val="005946F6"/>
    <w:rsid w:val="00594A7C"/>
    <w:rsid w:val="00594EF4"/>
    <w:rsid w:val="00595615"/>
    <w:rsid w:val="00595624"/>
    <w:rsid w:val="00595A82"/>
    <w:rsid w:val="00595BDA"/>
    <w:rsid w:val="00595E05"/>
    <w:rsid w:val="00595ECA"/>
    <w:rsid w:val="00596161"/>
    <w:rsid w:val="005962F2"/>
    <w:rsid w:val="005964BC"/>
    <w:rsid w:val="005964D7"/>
    <w:rsid w:val="005964E0"/>
    <w:rsid w:val="0059687C"/>
    <w:rsid w:val="00596E44"/>
    <w:rsid w:val="00596E48"/>
    <w:rsid w:val="00596FFB"/>
    <w:rsid w:val="00597085"/>
    <w:rsid w:val="005973DD"/>
    <w:rsid w:val="0059765E"/>
    <w:rsid w:val="00597828"/>
    <w:rsid w:val="00597C85"/>
    <w:rsid w:val="00597DFC"/>
    <w:rsid w:val="005A0033"/>
    <w:rsid w:val="005A0306"/>
    <w:rsid w:val="005A0743"/>
    <w:rsid w:val="005A0811"/>
    <w:rsid w:val="005A0BC7"/>
    <w:rsid w:val="005A0E0E"/>
    <w:rsid w:val="005A0EF5"/>
    <w:rsid w:val="005A113E"/>
    <w:rsid w:val="005A1471"/>
    <w:rsid w:val="005A173A"/>
    <w:rsid w:val="005A1D5D"/>
    <w:rsid w:val="005A1F56"/>
    <w:rsid w:val="005A2128"/>
    <w:rsid w:val="005A269D"/>
    <w:rsid w:val="005A2776"/>
    <w:rsid w:val="005A2A37"/>
    <w:rsid w:val="005A2B6E"/>
    <w:rsid w:val="005A2BE5"/>
    <w:rsid w:val="005A2E5D"/>
    <w:rsid w:val="005A3094"/>
    <w:rsid w:val="005A3720"/>
    <w:rsid w:val="005A3918"/>
    <w:rsid w:val="005A400D"/>
    <w:rsid w:val="005A4026"/>
    <w:rsid w:val="005A4088"/>
    <w:rsid w:val="005A43C3"/>
    <w:rsid w:val="005A499D"/>
    <w:rsid w:val="005A4A27"/>
    <w:rsid w:val="005A4C03"/>
    <w:rsid w:val="005A4E57"/>
    <w:rsid w:val="005A4FF3"/>
    <w:rsid w:val="005A542A"/>
    <w:rsid w:val="005A54A0"/>
    <w:rsid w:val="005A552C"/>
    <w:rsid w:val="005A5870"/>
    <w:rsid w:val="005A597D"/>
    <w:rsid w:val="005A5BCA"/>
    <w:rsid w:val="005A5EB6"/>
    <w:rsid w:val="005A5F71"/>
    <w:rsid w:val="005A6112"/>
    <w:rsid w:val="005A61BC"/>
    <w:rsid w:val="005A6662"/>
    <w:rsid w:val="005A6983"/>
    <w:rsid w:val="005A6E4F"/>
    <w:rsid w:val="005A714A"/>
    <w:rsid w:val="005A719E"/>
    <w:rsid w:val="005A73B8"/>
    <w:rsid w:val="005A78E2"/>
    <w:rsid w:val="005A78ED"/>
    <w:rsid w:val="005A7D15"/>
    <w:rsid w:val="005B0023"/>
    <w:rsid w:val="005B0058"/>
    <w:rsid w:val="005B0158"/>
    <w:rsid w:val="005B016D"/>
    <w:rsid w:val="005B01A8"/>
    <w:rsid w:val="005B02CD"/>
    <w:rsid w:val="005B0632"/>
    <w:rsid w:val="005B0706"/>
    <w:rsid w:val="005B0845"/>
    <w:rsid w:val="005B08B8"/>
    <w:rsid w:val="005B0B95"/>
    <w:rsid w:val="005B0BF3"/>
    <w:rsid w:val="005B0D80"/>
    <w:rsid w:val="005B0FFA"/>
    <w:rsid w:val="005B114E"/>
    <w:rsid w:val="005B1210"/>
    <w:rsid w:val="005B1220"/>
    <w:rsid w:val="005B13B7"/>
    <w:rsid w:val="005B1668"/>
    <w:rsid w:val="005B1898"/>
    <w:rsid w:val="005B1AEF"/>
    <w:rsid w:val="005B1C27"/>
    <w:rsid w:val="005B1C73"/>
    <w:rsid w:val="005B2164"/>
    <w:rsid w:val="005B2263"/>
    <w:rsid w:val="005B2552"/>
    <w:rsid w:val="005B256E"/>
    <w:rsid w:val="005B25E2"/>
    <w:rsid w:val="005B25F1"/>
    <w:rsid w:val="005B2723"/>
    <w:rsid w:val="005B27BE"/>
    <w:rsid w:val="005B2A25"/>
    <w:rsid w:val="005B2B28"/>
    <w:rsid w:val="005B2D03"/>
    <w:rsid w:val="005B325A"/>
    <w:rsid w:val="005B3433"/>
    <w:rsid w:val="005B343E"/>
    <w:rsid w:val="005B35B6"/>
    <w:rsid w:val="005B368F"/>
    <w:rsid w:val="005B36DA"/>
    <w:rsid w:val="005B370E"/>
    <w:rsid w:val="005B383C"/>
    <w:rsid w:val="005B3842"/>
    <w:rsid w:val="005B385E"/>
    <w:rsid w:val="005B3878"/>
    <w:rsid w:val="005B38C2"/>
    <w:rsid w:val="005B38D2"/>
    <w:rsid w:val="005B3A63"/>
    <w:rsid w:val="005B3AF6"/>
    <w:rsid w:val="005B3F88"/>
    <w:rsid w:val="005B3FEA"/>
    <w:rsid w:val="005B46BA"/>
    <w:rsid w:val="005B47BC"/>
    <w:rsid w:val="005B4884"/>
    <w:rsid w:val="005B4920"/>
    <w:rsid w:val="005B4AC4"/>
    <w:rsid w:val="005B4B17"/>
    <w:rsid w:val="005B4F92"/>
    <w:rsid w:val="005B516A"/>
    <w:rsid w:val="005B5A8E"/>
    <w:rsid w:val="005B5D00"/>
    <w:rsid w:val="005B5D1D"/>
    <w:rsid w:val="005B5D68"/>
    <w:rsid w:val="005B6088"/>
    <w:rsid w:val="005B613B"/>
    <w:rsid w:val="005B6330"/>
    <w:rsid w:val="005B64B5"/>
    <w:rsid w:val="005B657D"/>
    <w:rsid w:val="005B66CE"/>
    <w:rsid w:val="005B6775"/>
    <w:rsid w:val="005B688D"/>
    <w:rsid w:val="005B697A"/>
    <w:rsid w:val="005B6C7B"/>
    <w:rsid w:val="005B6DDC"/>
    <w:rsid w:val="005B6E56"/>
    <w:rsid w:val="005B6FF6"/>
    <w:rsid w:val="005B702D"/>
    <w:rsid w:val="005B70E1"/>
    <w:rsid w:val="005B72BD"/>
    <w:rsid w:val="005B7351"/>
    <w:rsid w:val="005B735C"/>
    <w:rsid w:val="005B7388"/>
    <w:rsid w:val="005B7558"/>
    <w:rsid w:val="005B7704"/>
    <w:rsid w:val="005B78DF"/>
    <w:rsid w:val="005B79DB"/>
    <w:rsid w:val="005B7C56"/>
    <w:rsid w:val="005C0014"/>
    <w:rsid w:val="005C0135"/>
    <w:rsid w:val="005C0326"/>
    <w:rsid w:val="005C07E1"/>
    <w:rsid w:val="005C08F7"/>
    <w:rsid w:val="005C091C"/>
    <w:rsid w:val="005C0A13"/>
    <w:rsid w:val="005C0B1E"/>
    <w:rsid w:val="005C0B20"/>
    <w:rsid w:val="005C0B26"/>
    <w:rsid w:val="005C0BBD"/>
    <w:rsid w:val="005C0BEF"/>
    <w:rsid w:val="005C120B"/>
    <w:rsid w:val="005C15CC"/>
    <w:rsid w:val="005C1637"/>
    <w:rsid w:val="005C19A6"/>
    <w:rsid w:val="005C1AFF"/>
    <w:rsid w:val="005C1D39"/>
    <w:rsid w:val="005C1DAB"/>
    <w:rsid w:val="005C1DBF"/>
    <w:rsid w:val="005C1E1F"/>
    <w:rsid w:val="005C1E71"/>
    <w:rsid w:val="005C25CB"/>
    <w:rsid w:val="005C2A6C"/>
    <w:rsid w:val="005C2C6F"/>
    <w:rsid w:val="005C320D"/>
    <w:rsid w:val="005C376A"/>
    <w:rsid w:val="005C3AEE"/>
    <w:rsid w:val="005C3B34"/>
    <w:rsid w:val="005C3B95"/>
    <w:rsid w:val="005C3EA6"/>
    <w:rsid w:val="005C3F1C"/>
    <w:rsid w:val="005C429E"/>
    <w:rsid w:val="005C4358"/>
    <w:rsid w:val="005C47AE"/>
    <w:rsid w:val="005C4A13"/>
    <w:rsid w:val="005C4BDA"/>
    <w:rsid w:val="005C4D6B"/>
    <w:rsid w:val="005C528B"/>
    <w:rsid w:val="005C530E"/>
    <w:rsid w:val="005C53CA"/>
    <w:rsid w:val="005C5603"/>
    <w:rsid w:val="005C5882"/>
    <w:rsid w:val="005C5B23"/>
    <w:rsid w:val="005C5DF4"/>
    <w:rsid w:val="005C607C"/>
    <w:rsid w:val="005C61A0"/>
    <w:rsid w:val="005C6440"/>
    <w:rsid w:val="005C68F7"/>
    <w:rsid w:val="005C69B2"/>
    <w:rsid w:val="005C6BAD"/>
    <w:rsid w:val="005C728B"/>
    <w:rsid w:val="005C73DE"/>
    <w:rsid w:val="005C7C1E"/>
    <w:rsid w:val="005C7FC1"/>
    <w:rsid w:val="005D0299"/>
    <w:rsid w:val="005D050B"/>
    <w:rsid w:val="005D053C"/>
    <w:rsid w:val="005D0695"/>
    <w:rsid w:val="005D0DC3"/>
    <w:rsid w:val="005D0E75"/>
    <w:rsid w:val="005D0E7D"/>
    <w:rsid w:val="005D0FF1"/>
    <w:rsid w:val="005D105E"/>
    <w:rsid w:val="005D12A4"/>
    <w:rsid w:val="005D180F"/>
    <w:rsid w:val="005D18EA"/>
    <w:rsid w:val="005D1983"/>
    <w:rsid w:val="005D1E11"/>
    <w:rsid w:val="005D1E56"/>
    <w:rsid w:val="005D1E5F"/>
    <w:rsid w:val="005D1ECB"/>
    <w:rsid w:val="005D2351"/>
    <w:rsid w:val="005D2565"/>
    <w:rsid w:val="005D262C"/>
    <w:rsid w:val="005D274B"/>
    <w:rsid w:val="005D2AED"/>
    <w:rsid w:val="005D2DB3"/>
    <w:rsid w:val="005D2DF9"/>
    <w:rsid w:val="005D2EFC"/>
    <w:rsid w:val="005D2F6C"/>
    <w:rsid w:val="005D3048"/>
    <w:rsid w:val="005D308A"/>
    <w:rsid w:val="005D35B3"/>
    <w:rsid w:val="005D3AA0"/>
    <w:rsid w:val="005D3B6B"/>
    <w:rsid w:val="005D3D95"/>
    <w:rsid w:val="005D4392"/>
    <w:rsid w:val="005D43D2"/>
    <w:rsid w:val="005D474E"/>
    <w:rsid w:val="005D475C"/>
    <w:rsid w:val="005D47E4"/>
    <w:rsid w:val="005D47F0"/>
    <w:rsid w:val="005D48A4"/>
    <w:rsid w:val="005D4A85"/>
    <w:rsid w:val="005D4C89"/>
    <w:rsid w:val="005D4D40"/>
    <w:rsid w:val="005D4D9C"/>
    <w:rsid w:val="005D4F99"/>
    <w:rsid w:val="005D528E"/>
    <w:rsid w:val="005D5452"/>
    <w:rsid w:val="005D570F"/>
    <w:rsid w:val="005D59F1"/>
    <w:rsid w:val="005D5A47"/>
    <w:rsid w:val="005D5C14"/>
    <w:rsid w:val="005D5C8F"/>
    <w:rsid w:val="005D65B6"/>
    <w:rsid w:val="005D6A78"/>
    <w:rsid w:val="005D6AFD"/>
    <w:rsid w:val="005D6B62"/>
    <w:rsid w:val="005D6CFD"/>
    <w:rsid w:val="005D6EA5"/>
    <w:rsid w:val="005D7030"/>
    <w:rsid w:val="005D72C9"/>
    <w:rsid w:val="005D742E"/>
    <w:rsid w:val="005D7454"/>
    <w:rsid w:val="005D74CC"/>
    <w:rsid w:val="005D7606"/>
    <w:rsid w:val="005D7613"/>
    <w:rsid w:val="005D7635"/>
    <w:rsid w:val="005D7681"/>
    <w:rsid w:val="005D77B3"/>
    <w:rsid w:val="005D7805"/>
    <w:rsid w:val="005D798F"/>
    <w:rsid w:val="005D7AF6"/>
    <w:rsid w:val="005D7DFA"/>
    <w:rsid w:val="005D7E65"/>
    <w:rsid w:val="005E009D"/>
    <w:rsid w:val="005E011D"/>
    <w:rsid w:val="005E0391"/>
    <w:rsid w:val="005E0498"/>
    <w:rsid w:val="005E061F"/>
    <w:rsid w:val="005E09FB"/>
    <w:rsid w:val="005E0A00"/>
    <w:rsid w:val="005E0AEB"/>
    <w:rsid w:val="005E0FD3"/>
    <w:rsid w:val="005E10D8"/>
    <w:rsid w:val="005E1182"/>
    <w:rsid w:val="005E13AD"/>
    <w:rsid w:val="005E1600"/>
    <w:rsid w:val="005E1AC8"/>
    <w:rsid w:val="005E1AE0"/>
    <w:rsid w:val="005E1FCD"/>
    <w:rsid w:val="005E23AF"/>
    <w:rsid w:val="005E2497"/>
    <w:rsid w:val="005E25C6"/>
    <w:rsid w:val="005E2868"/>
    <w:rsid w:val="005E2878"/>
    <w:rsid w:val="005E2E73"/>
    <w:rsid w:val="005E2F05"/>
    <w:rsid w:val="005E2FDB"/>
    <w:rsid w:val="005E303F"/>
    <w:rsid w:val="005E30C9"/>
    <w:rsid w:val="005E3163"/>
    <w:rsid w:val="005E320E"/>
    <w:rsid w:val="005E3400"/>
    <w:rsid w:val="005E341C"/>
    <w:rsid w:val="005E38EC"/>
    <w:rsid w:val="005E3B0F"/>
    <w:rsid w:val="005E3DB8"/>
    <w:rsid w:val="005E40FD"/>
    <w:rsid w:val="005E414D"/>
    <w:rsid w:val="005E4254"/>
    <w:rsid w:val="005E426C"/>
    <w:rsid w:val="005E44B9"/>
    <w:rsid w:val="005E47D1"/>
    <w:rsid w:val="005E498A"/>
    <w:rsid w:val="005E4A82"/>
    <w:rsid w:val="005E4CA5"/>
    <w:rsid w:val="005E4EBF"/>
    <w:rsid w:val="005E4F85"/>
    <w:rsid w:val="005E51BD"/>
    <w:rsid w:val="005E52D2"/>
    <w:rsid w:val="005E54F8"/>
    <w:rsid w:val="005E551D"/>
    <w:rsid w:val="005E5717"/>
    <w:rsid w:val="005E5BAB"/>
    <w:rsid w:val="005E5E2A"/>
    <w:rsid w:val="005E5F61"/>
    <w:rsid w:val="005E608E"/>
    <w:rsid w:val="005E64A8"/>
    <w:rsid w:val="005E658F"/>
    <w:rsid w:val="005E65E4"/>
    <w:rsid w:val="005E6708"/>
    <w:rsid w:val="005E6799"/>
    <w:rsid w:val="005E6B5B"/>
    <w:rsid w:val="005E6C01"/>
    <w:rsid w:val="005E71BC"/>
    <w:rsid w:val="005E7268"/>
    <w:rsid w:val="005E75E8"/>
    <w:rsid w:val="005E7725"/>
    <w:rsid w:val="005E79D6"/>
    <w:rsid w:val="005E7D03"/>
    <w:rsid w:val="005E7F78"/>
    <w:rsid w:val="005F004C"/>
    <w:rsid w:val="005F012C"/>
    <w:rsid w:val="005F0277"/>
    <w:rsid w:val="005F0529"/>
    <w:rsid w:val="005F06E8"/>
    <w:rsid w:val="005F0913"/>
    <w:rsid w:val="005F097C"/>
    <w:rsid w:val="005F0A0C"/>
    <w:rsid w:val="005F0A1F"/>
    <w:rsid w:val="005F0B49"/>
    <w:rsid w:val="005F0BC0"/>
    <w:rsid w:val="005F0BDC"/>
    <w:rsid w:val="005F1004"/>
    <w:rsid w:val="005F1498"/>
    <w:rsid w:val="005F155D"/>
    <w:rsid w:val="005F163E"/>
    <w:rsid w:val="005F17F0"/>
    <w:rsid w:val="005F19C2"/>
    <w:rsid w:val="005F1A2F"/>
    <w:rsid w:val="005F1A33"/>
    <w:rsid w:val="005F1D21"/>
    <w:rsid w:val="005F1DB3"/>
    <w:rsid w:val="005F1DE1"/>
    <w:rsid w:val="005F1DEF"/>
    <w:rsid w:val="005F1EA4"/>
    <w:rsid w:val="005F1FB1"/>
    <w:rsid w:val="005F21F6"/>
    <w:rsid w:val="005F22E3"/>
    <w:rsid w:val="005F2655"/>
    <w:rsid w:val="005F2A29"/>
    <w:rsid w:val="005F2D14"/>
    <w:rsid w:val="005F2F05"/>
    <w:rsid w:val="005F3064"/>
    <w:rsid w:val="005F341C"/>
    <w:rsid w:val="005F382F"/>
    <w:rsid w:val="005F384D"/>
    <w:rsid w:val="005F390D"/>
    <w:rsid w:val="005F3B2C"/>
    <w:rsid w:val="005F3D94"/>
    <w:rsid w:val="005F3E63"/>
    <w:rsid w:val="005F3F85"/>
    <w:rsid w:val="005F401C"/>
    <w:rsid w:val="005F4614"/>
    <w:rsid w:val="005F4AD2"/>
    <w:rsid w:val="005F4DD0"/>
    <w:rsid w:val="005F5683"/>
    <w:rsid w:val="005F577B"/>
    <w:rsid w:val="005F57B8"/>
    <w:rsid w:val="005F5BEF"/>
    <w:rsid w:val="005F6090"/>
    <w:rsid w:val="005F62F0"/>
    <w:rsid w:val="005F6453"/>
    <w:rsid w:val="005F6703"/>
    <w:rsid w:val="005F6E39"/>
    <w:rsid w:val="005F6E51"/>
    <w:rsid w:val="005F6E82"/>
    <w:rsid w:val="005F6F06"/>
    <w:rsid w:val="005F7275"/>
    <w:rsid w:val="005F7493"/>
    <w:rsid w:val="005F751C"/>
    <w:rsid w:val="005F7844"/>
    <w:rsid w:val="005F7886"/>
    <w:rsid w:val="005F7D2E"/>
    <w:rsid w:val="005F7DB1"/>
    <w:rsid w:val="005F7F7A"/>
    <w:rsid w:val="00600000"/>
    <w:rsid w:val="00600014"/>
    <w:rsid w:val="00600071"/>
    <w:rsid w:val="0060012E"/>
    <w:rsid w:val="00600456"/>
    <w:rsid w:val="00600595"/>
    <w:rsid w:val="006006D6"/>
    <w:rsid w:val="00600910"/>
    <w:rsid w:val="00600946"/>
    <w:rsid w:val="00600AE3"/>
    <w:rsid w:val="00600BB9"/>
    <w:rsid w:val="00600C0C"/>
    <w:rsid w:val="00600F56"/>
    <w:rsid w:val="0060108F"/>
    <w:rsid w:val="006011B0"/>
    <w:rsid w:val="0060159D"/>
    <w:rsid w:val="006016A5"/>
    <w:rsid w:val="00602059"/>
    <w:rsid w:val="00602156"/>
    <w:rsid w:val="006021B1"/>
    <w:rsid w:val="00602297"/>
    <w:rsid w:val="00602334"/>
    <w:rsid w:val="00602B26"/>
    <w:rsid w:val="00602D39"/>
    <w:rsid w:val="00602FD5"/>
    <w:rsid w:val="006032D1"/>
    <w:rsid w:val="00603472"/>
    <w:rsid w:val="006036F8"/>
    <w:rsid w:val="00603B8A"/>
    <w:rsid w:val="00603D7C"/>
    <w:rsid w:val="00603D97"/>
    <w:rsid w:val="00604026"/>
    <w:rsid w:val="0060435A"/>
    <w:rsid w:val="0060438B"/>
    <w:rsid w:val="006046C7"/>
    <w:rsid w:val="006047DF"/>
    <w:rsid w:val="006047F6"/>
    <w:rsid w:val="006048B3"/>
    <w:rsid w:val="00604934"/>
    <w:rsid w:val="00604948"/>
    <w:rsid w:val="00604B99"/>
    <w:rsid w:val="00604FF2"/>
    <w:rsid w:val="0060517D"/>
    <w:rsid w:val="006052D9"/>
    <w:rsid w:val="0060531F"/>
    <w:rsid w:val="00605616"/>
    <w:rsid w:val="00605666"/>
    <w:rsid w:val="006058C5"/>
    <w:rsid w:val="00605A07"/>
    <w:rsid w:val="00605AD2"/>
    <w:rsid w:val="00605C5C"/>
    <w:rsid w:val="00605FC6"/>
    <w:rsid w:val="00606172"/>
    <w:rsid w:val="00606338"/>
    <w:rsid w:val="00606345"/>
    <w:rsid w:val="00606893"/>
    <w:rsid w:val="00606BE7"/>
    <w:rsid w:val="00606D48"/>
    <w:rsid w:val="00606F5E"/>
    <w:rsid w:val="0060767F"/>
    <w:rsid w:val="006076DA"/>
    <w:rsid w:val="00607845"/>
    <w:rsid w:val="00607A60"/>
    <w:rsid w:val="00607E84"/>
    <w:rsid w:val="0061005E"/>
    <w:rsid w:val="0061060A"/>
    <w:rsid w:val="00610618"/>
    <w:rsid w:val="0061089E"/>
    <w:rsid w:val="006108A2"/>
    <w:rsid w:val="00610912"/>
    <w:rsid w:val="00610AF3"/>
    <w:rsid w:val="00611804"/>
    <w:rsid w:val="00611BFA"/>
    <w:rsid w:val="00611CE1"/>
    <w:rsid w:val="006120FA"/>
    <w:rsid w:val="006122E3"/>
    <w:rsid w:val="0061241C"/>
    <w:rsid w:val="00612AF0"/>
    <w:rsid w:val="00612F8C"/>
    <w:rsid w:val="00613458"/>
    <w:rsid w:val="0061358E"/>
    <w:rsid w:val="00613623"/>
    <w:rsid w:val="00613714"/>
    <w:rsid w:val="00613B8A"/>
    <w:rsid w:val="00613BED"/>
    <w:rsid w:val="00613D1F"/>
    <w:rsid w:val="00613E7A"/>
    <w:rsid w:val="00613FBB"/>
    <w:rsid w:val="00614337"/>
    <w:rsid w:val="0061447D"/>
    <w:rsid w:val="0061448A"/>
    <w:rsid w:val="0061467D"/>
    <w:rsid w:val="0061499D"/>
    <w:rsid w:val="00614DE4"/>
    <w:rsid w:val="006150DA"/>
    <w:rsid w:val="006153E0"/>
    <w:rsid w:val="00615441"/>
    <w:rsid w:val="00615772"/>
    <w:rsid w:val="00615D58"/>
    <w:rsid w:val="00615E2C"/>
    <w:rsid w:val="00615F73"/>
    <w:rsid w:val="00616132"/>
    <w:rsid w:val="006161B0"/>
    <w:rsid w:val="00616323"/>
    <w:rsid w:val="006166DA"/>
    <w:rsid w:val="00616775"/>
    <w:rsid w:val="00616928"/>
    <w:rsid w:val="00616B93"/>
    <w:rsid w:val="00617064"/>
    <w:rsid w:val="0061708B"/>
    <w:rsid w:val="006170FA"/>
    <w:rsid w:val="00617369"/>
    <w:rsid w:val="006176EE"/>
    <w:rsid w:val="00617773"/>
    <w:rsid w:val="0061791A"/>
    <w:rsid w:val="00617C09"/>
    <w:rsid w:val="00617E90"/>
    <w:rsid w:val="00617F25"/>
    <w:rsid w:val="00617F57"/>
    <w:rsid w:val="006201A9"/>
    <w:rsid w:val="00620530"/>
    <w:rsid w:val="006209D3"/>
    <w:rsid w:val="00620AC1"/>
    <w:rsid w:val="00620BF0"/>
    <w:rsid w:val="00620CD1"/>
    <w:rsid w:val="00620DE7"/>
    <w:rsid w:val="006213A3"/>
    <w:rsid w:val="00621402"/>
    <w:rsid w:val="006214F9"/>
    <w:rsid w:val="00621529"/>
    <w:rsid w:val="0062161F"/>
    <w:rsid w:val="0062169D"/>
    <w:rsid w:val="0062174D"/>
    <w:rsid w:val="006217A3"/>
    <w:rsid w:val="006217BE"/>
    <w:rsid w:val="006218B2"/>
    <w:rsid w:val="00621952"/>
    <w:rsid w:val="00621A93"/>
    <w:rsid w:val="00621B94"/>
    <w:rsid w:val="00621C28"/>
    <w:rsid w:val="00621C34"/>
    <w:rsid w:val="00621DAF"/>
    <w:rsid w:val="00621DBF"/>
    <w:rsid w:val="00621E32"/>
    <w:rsid w:val="00621EC1"/>
    <w:rsid w:val="006222DF"/>
    <w:rsid w:val="0062233B"/>
    <w:rsid w:val="00622AB5"/>
    <w:rsid w:val="00622BB6"/>
    <w:rsid w:val="00623016"/>
    <w:rsid w:val="0062359C"/>
    <w:rsid w:val="006236C6"/>
    <w:rsid w:val="00623702"/>
    <w:rsid w:val="0062373B"/>
    <w:rsid w:val="00623A77"/>
    <w:rsid w:val="00623C12"/>
    <w:rsid w:val="00623C4A"/>
    <w:rsid w:val="00623C8F"/>
    <w:rsid w:val="00623D2F"/>
    <w:rsid w:val="00623FC3"/>
    <w:rsid w:val="0062411E"/>
    <w:rsid w:val="00624174"/>
    <w:rsid w:val="006241BB"/>
    <w:rsid w:val="006244B5"/>
    <w:rsid w:val="00624512"/>
    <w:rsid w:val="00624672"/>
    <w:rsid w:val="006246D2"/>
    <w:rsid w:val="006247E9"/>
    <w:rsid w:val="0062481A"/>
    <w:rsid w:val="00624BB7"/>
    <w:rsid w:val="00624D59"/>
    <w:rsid w:val="00624DBA"/>
    <w:rsid w:val="00625270"/>
    <w:rsid w:val="00625320"/>
    <w:rsid w:val="00625375"/>
    <w:rsid w:val="00625438"/>
    <w:rsid w:val="0062545A"/>
    <w:rsid w:val="00625482"/>
    <w:rsid w:val="0062550E"/>
    <w:rsid w:val="0062557A"/>
    <w:rsid w:val="00625AFA"/>
    <w:rsid w:val="00625BEB"/>
    <w:rsid w:val="00625D35"/>
    <w:rsid w:val="00625D97"/>
    <w:rsid w:val="0062645B"/>
    <w:rsid w:val="0062651E"/>
    <w:rsid w:val="00626614"/>
    <w:rsid w:val="0062674A"/>
    <w:rsid w:val="006269D6"/>
    <w:rsid w:val="00626AB9"/>
    <w:rsid w:val="00626C9E"/>
    <w:rsid w:val="00627117"/>
    <w:rsid w:val="006271D2"/>
    <w:rsid w:val="00627469"/>
    <w:rsid w:val="006275F8"/>
    <w:rsid w:val="00627A8F"/>
    <w:rsid w:val="00627B25"/>
    <w:rsid w:val="00627BF4"/>
    <w:rsid w:val="00627D6E"/>
    <w:rsid w:val="00627EA5"/>
    <w:rsid w:val="00627F32"/>
    <w:rsid w:val="0063013C"/>
    <w:rsid w:val="00630150"/>
    <w:rsid w:val="0063018A"/>
    <w:rsid w:val="006301DC"/>
    <w:rsid w:val="00630410"/>
    <w:rsid w:val="0063048E"/>
    <w:rsid w:val="0063091E"/>
    <w:rsid w:val="00630A7F"/>
    <w:rsid w:val="00630B1F"/>
    <w:rsid w:val="00630B4A"/>
    <w:rsid w:val="00630BA7"/>
    <w:rsid w:val="00630C5D"/>
    <w:rsid w:val="00630DD0"/>
    <w:rsid w:val="00630DD9"/>
    <w:rsid w:val="006310A1"/>
    <w:rsid w:val="00631142"/>
    <w:rsid w:val="006312AC"/>
    <w:rsid w:val="00631736"/>
    <w:rsid w:val="00631857"/>
    <w:rsid w:val="006318CE"/>
    <w:rsid w:val="00631B6D"/>
    <w:rsid w:val="00631E6B"/>
    <w:rsid w:val="00631ECD"/>
    <w:rsid w:val="00632026"/>
    <w:rsid w:val="00632129"/>
    <w:rsid w:val="0063220B"/>
    <w:rsid w:val="00632616"/>
    <w:rsid w:val="00632A5B"/>
    <w:rsid w:val="00632ACF"/>
    <w:rsid w:val="00632B94"/>
    <w:rsid w:val="00632D5A"/>
    <w:rsid w:val="00632DAA"/>
    <w:rsid w:val="0063300A"/>
    <w:rsid w:val="00633094"/>
    <w:rsid w:val="006330C3"/>
    <w:rsid w:val="006330F0"/>
    <w:rsid w:val="00633674"/>
    <w:rsid w:val="006336FC"/>
    <w:rsid w:val="006339D7"/>
    <w:rsid w:val="00633C50"/>
    <w:rsid w:val="00633E03"/>
    <w:rsid w:val="00633EBA"/>
    <w:rsid w:val="00634328"/>
    <w:rsid w:val="00634399"/>
    <w:rsid w:val="00634A36"/>
    <w:rsid w:val="00634D59"/>
    <w:rsid w:val="00634E36"/>
    <w:rsid w:val="006354A7"/>
    <w:rsid w:val="00635828"/>
    <w:rsid w:val="006358EA"/>
    <w:rsid w:val="00635ACA"/>
    <w:rsid w:val="00635B54"/>
    <w:rsid w:val="00635D31"/>
    <w:rsid w:val="00635F79"/>
    <w:rsid w:val="00636213"/>
    <w:rsid w:val="00636440"/>
    <w:rsid w:val="00636990"/>
    <w:rsid w:val="00636BEA"/>
    <w:rsid w:val="00636D62"/>
    <w:rsid w:val="00636EBC"/>
    <w:rsid w:val="00636F1F"/>
    <w:rsid w:val="0063706F"/>
    <w:rsid w:val="0063707A"/>
    <w:rsid w:val="00637133"/>
    <w:rsid w:val="00637142"/>
    <w:rsid w:val="006371A9"/>
    <w:rsid w:val="00637540"/>
    <w:rsid w:val="0063774B"/>
    <w:rsid w:val="006377E2"/>
    <w:rsid w:val="00637875"/>
    <w:rsid w:val="00637948"/>
    <w:rsid w:val="006379DE"/>
    <w:rsid w:val="00637B7E"/>
    <w:rsid w:val="00637C7A"/>
    <w:rsid w:val="00637DC3"/>
    <w:rsid w:val="0064044E"/>
    <w:rsid w:val="0064049E"/>
    <w:rsid w:val="0064062C"/>
    <w:rsid w:val="0064064A"/>
    <w:rsid w:val="00640663"/>
    <w:rsid w:val="0064072D"/>
    <w:rsid w:val="00640B9F"/>
    <w:rsid w:val="00640C90"/>
    <w:rsid w:val="00640C9D"/>
    <w:rsid w:val="00640ECC"/>
    <w:rsid w:val="00641C07"/>
    <w:rsid w:val="00641E60"/>
    <w:rsid w:val="00641F66"/>
    <w:rsid w:val="00642480"/>
    <w:rsid w:val="00642508"/>
    <w:rsid w:val="006426BA"/>
    <w:rsid w:val="00642C3F"/>
    <w:rsid w:val="00642DBC"/>
    <w:rsid w:val="0064347F"/>
    <w:rsid w:val="00643A25"/>
    <w:rsid w:val="00643C26"/>
    <w:rsid w:val="00643DDA"/>
    <w:rsid w:val="00643EC0"/>
    <w:rsid w:val="00644121"/>
    <w:rsid w:val="0064418E"/>
    <w:rsid w:val="0064486B"/>
    <w:rsid w:val="00644A0E"/>
    <w:rsid w:val="00644D28"/>
    <w:rsid w:val="00644D47"/>
    <w:rsid w:val="00644DE5"/>
    <w:rsid w:val="00645079"/>
    <w:rsid w:val="00645082"/>
    <w:rsid w:val="00645229"/>
    <w:rsid w:val="00645232"/>
    <w:rsid w:val="006454C8"/>
    <w:rsid w:val="006457C6"/>
    <w:rsid w:val="00645B35"/>
    <w:rsid w:val="006463F0"/>
    <w:rsid w:val="00646547"/>
    <w:rsid w:val="00646AFE"/>
    <w:rsid w:val="00646B63"/>
    <w:rsid w:val="00646CB7"/>
    <w:rsid w:val="00646D3C"/>
    <w:rsid w:val="006471C8"/>
    <w:rsid w:val="006475F6"/>
    <w:rsid w:val="00647883"/>
    <w:rsid w:val="00647956"/>
    <w:rsid w:val="006479D5"/>
    <w:rsid w:val="006479EF"/>
    <w:rsid w:val="00647CAF"/>
    <w:rsid w:val="00647D0C"/>
    <w:rsid w:val="00647E9D"/>
    <w:rsid w:val="00650267"/>
    <w:rsid w:val="006507E3"/>
    <w:rsid w:val="00650AAB"/>
    <w:rsid w:val="00650C42"/>
    <w:rsid w:val="00650E1B"/>
    <w:rsid w:val="00650EF7"/>
    <w:rsid w:val="00651022"/>
    <w:rsid w:val="0065162E"/>
    <w:rsid w:val="00651712"/>
    <w:rsid w:val="006517CE"/>
    <w:rsid w:val="00651858"/>
    <w:rsid w:val="00651A29"/>
    <w:rsid w:val="00651C55"/>
    <w:rsid w:val="006520E3"/>
    <w:rsid w:val="00652161"/>
    <w:rsid w:val="006522EB"/>
    <w:rsid w:val="00652451"/>
    <w:rsid w:val="0065247E"/>
    <w:rsid w:val="006524F5"/>
    <w:rsid w:val="006524F9"/>
    <w:rsid w:val="006527FE"/>
    <w:rsid w:val="006528AF"/>
    <w:rsid w:val="006528B7"/>
    <w:rsid w:val="006528DE"/>
    <w:rsid w:val="00652A2E"/>
    <w:rsid w:val="00652AF3"/>
    <w:rsid w:val="00652B5A"/>
    <w:rsid w:val="00652E13"/>
    <w:rsid w:val="00652E6E"/>
    <w:rsid w:val="00653308"/>
    <w:rsid w:val="00653394"/>
    <w:rsid w:val="00653664"/>
    <w:rsid w:val="006538DC"/>
    <w:rsid w:val="00653916"/>
    <w:rsid w:val="00653E82"/>
    <w:rsid w:val="00653ED7"/>
    <w:rsid w:val="0065422C"/>
    <w:rsid w:val="006544CF"/>
    <w:rsid w:val="0065475E"/>
    <w:rsid w:val="00654918"/>
    <w:rsid w:val="00654BDD"/>
    <w:rsid w:val="00654C22"/>
    <w:rsid w:val="00654D61"/>
    <w:rsid w:val="00654FA4"/>
    <w:rsid w:val="006550B5"/>
    <w:rsid w:val="00655556"/>
    <w:rsid w:val="0065595C"/>
    <w:rsid w:val="00656072"/>
    <w:rsid w:val="006560AB"/>
    <w:rsid w:val="00656204"/>
    <w:rsid w:val="006563B0"/>
    <w:rsid w:val="0065646A"/>
    <w:rsid w:val="00656782"/>
    <w:rsid w:val="0065685F"/>
    <w:rsid w:val="00656A56"/>
    <w:rsid w:val="00656ACE"/>
    <w:rsid w:val="00656E4F"/>
    <w:rsid w:val="00656EEC"/>
    <w:rsid w:val="006577EA"/>
    <w:rsid w:val="006578A1"/>
    <w:rsid w:val="006578F2"/>
    <w:rsid w:val="00657B67"/>
    <w:rsid w:val="00657E64"/>
    <w:rsid w:val="00657F56"/>
    <w:rsid w:val="00657FE4"/>
    <w:rsid w:val="0066000E"/>
    <w:rsid w:val="00660262"/>
    <w:rsid w:val="006606A6"/>
    <w:rsid w:val="006607B3"/>
    <w:rsid w:val="006607FA"/>
    <w:rsid w:val="00660849"/>
    <w:rsid w:val="00660B11"/>
    <w:rsid w:val="00660B63"/>
    <w:rsid w:val="00660C94"/>
    <w:rsid w:val="00660FA7"/>
    <w:rsid w:val="0066109D"/>
    <w:rsid w:val="006612BF"/>
    <w:rsid w:val="006612C0"/>
    <w:rsid w:val="0066197E"/>
    <w:rsid w:val="00661B6F"/>
    <w:rsid w:val="00661C2F"/>
    <w:rsid w:val="00661C33"/>
    <w:rsid w:val="00661D38"/>
    <w:rsid w:val="0066226C"/>
    <w:rsid w:val="00662649"/>
    <w:rsid w:val="00662699"/>
    <w:rsid w:val="0066272D"/>
    <w:rsid w:val="0066274E"/>
    <w:rsid w:val="00662EED"/>
    <w:rsid w:val="00663254"/>
    <w:rsid w:val="00663358"/>
    <w:rsid w:val="006633B2"/>
    <w:rsid w:val="00663514"/>
    <w:rsid w:val="00663620"/>
    <w:rsid w:val="00663CB4"/>
    <w:rsid w:val="00663FBA"/>
    <w:rsid w:val="00664007"/>
    <w:rsid w:val="00664013"/>
    <w:rsid w:val="00664235"/>
    <w:rsid w:val="006645B5"/>
    <w:rsid w:val="006645B7"/>
    <w:rsid w:val="0066460D"/>
    <w:rsid w:val="006647AC"/>
    <w:rsid w:val="006648A8"/>
    <w:rsid w:val="00664A68"/>
    <w:rsid w:val="00664E8B"/>
    <w:rsid w:val="006652EE"/>
    <w:rsid w:val="00665D30"/>
    <w:rsid w:val="00665D73"/>
    <w:rsid w:val="00665DE8"/>
    <w:rsid w:val="00665E03"/>
    <w:rsid w:val="00665EC7"/>
    <w:rsid w:val="006663A9"/>
    <w:rsid w:val="0066681D"/>
    <w:rsid w:val="006669CA"/>
    <w:rsid w:val="00666E07"/>
    <w:rsid w:val="00666E46"/>
    <w:rsid w:val="00666F6D"/>
    <w:rsid w:val="006673CC"/>
    <w:rsid w:val="006674F9"/>
    <w:rsid w:val="00667877"/>
    <w:rsid w:val="006678E5"/>
    <w:rsid w:val="006679F2"/>
    <w:rsid w:val="00667B27"/>
    <w:rsid w:val="00667B54"/>
    <w:rsid w:val="00667B91"/>
    <w:rsid w:val="00667C45"/>
    <w:rsid w:val="00667DE1"/>
    <w:rsid w:val="00667F1A"/>
    <w:rsid w:val="006702B5"/>
    <w:rsid w:val="006703C0"/>
    <w:rsid w:val="00670517"/>
    <w:rsid w:val="00670A19"/>
    <w:rsid w:val="00670A51"/>
    <w:rsid w:val="00670B42"/>
    <w:rsid w:val="00670BDF"/>
    <w:rsid w:val="00670D9C"/>
    <w:rsid w:val="006712D7"/>
    <w:rsid w:val="00671852"/>
    <w:rsid w:val="00671973"/>
    <w:rsid w:val="00671B33"/>
    <w:rsid w:val="00671BDF"/>
    <w:rsid w:val="00671DDF"/>
    <w:rsid w:val="0067203A"/>
    <w:rsid w:val="0067235A"/>
    <w:rsid w:val="00672485"/>
    <w:rsid w:val="00672A37"/>
    <w:rsid w:val="00672FAF"/>
    <w:rsid w:val="00673033"/>
    <w:rsid w:val="00673204"/>
    <w:rsid w:val="00673301"/>
    <w:rsid w:val="006733CF"/>
    <w:rsid w:val="00673913"/>
    <w:rsid w:val="00674085"/>
    <w:rsid w:val="006741AF"/>
    <w:rsid w:val="006744FD"/>
    <w:rsid w:val="0067451E"/>
    <w:rsid w:val="006747A4"/>
    <w:rsid w:val="006747BD"/>
    <w:rsid w:val="00674C8D"/>
    <w:rsid w:val="00675434"/>
    <w:rsid w:val="006754B2"/>
    <w:rsid w:val="00675705"/>
    <w:rsid w:val="00675A01"/>
    <w:rsid w:val="00675C1F"/>
    <w:rsid w:val="00675E27"/>
    <w:rsid w:val="00675E81"/>
    <w:rsid w:val="006760D4"/>
    <w:rsid w:val="0067624E"/>
    <w:rsid w:val="0067684B"/>
    <w:rsid w:val="00676B19"/>
    <w:rsid w:val="00676DCB"/>
    <w:rsid w:val="00676F69"/>
    <w:rsid w:val="00676F6D"/>
    <w:rsid w:val="0067703E"/>
    <w:rsid w:val="0067707C"/>
    <w:rsid w:val="006770EB"/>
    <w:rsid w:val="00677214"/>
    <w:rsid w:val="00677287"/>
    <w:rsid w:val="00677448"/>
    <w:rsid w:val="00677B2B"/>
    <w:rsid w:val="00677CF2"/>
    <w:rsid w:val="00677D31"/>
    <w:rsid w:val="00677EC0"/>
    <w:rsid w:val="00677F02"/>
    <w:rsid w:val="00680211"/>
    <w:rsid w:val="0068065D"/>
    <w:rsid w:val="00680880"/>
    <w:rsid w:val="00680AF1"/>
    <w:rsid w:val="00680B89"/>
    <w:rsid w:val="00680C42"/>
    <w:rsid w:val="00680D0C"/>
    <w:rsid w:val="00680D78"/>
    <w:rsid w:val="00680F9A"/>
    <w:rsid w:val="0068123A"/>
    <w:rsid w:val="00681246"/>
    <w:rsid w:val="006812E6"/>
    <w:rsid w:val="006813A2"/>
    <w:rsid w:val="00681480"/>
    <w:rsid w:val="00681606"/>
    <w:rsid w:val="006818DC"/>
    <w:rsid w:val="0068191C"/>
    <w:rsid w:val="00681AD2"/>
    <w:rsid w:val="00681C94"/>
    <w:rsid w:val="00681EBF"/>
    <w:rsid w:val="006821E2"/>
    <w:rsid w:val="00682216"/>
    <w:rsid w:val="0068225A"/>
    <w:rsid w:val="00682282"/>
    <w:rsid w:val="00682398"/>
    <w:rsid w:val="006823C9"/>
    <w:rsid w:val="00682823"/>
    <w:rsid w:val="00682889"/>
    <w:rsid w:val="00682B9C"/>
    <w:rsid w:val="00682BB0"/>
    <w:rsid w:val="00682FC1"/>
    <w:rsid w:val="00683056"/>
    <w:rsid w:val="0068313D"/>
    <w:rsid w:val="0068317B"/>
    <w:rsid w:val="006832BA"/>
    <w:rsid w:val="006833E7"/>
    <w:rsid w:val="006834C3"/>
    <w:rsid w:val="0068360A"/>
    <w:rsid w:val="00683827"/>
    <w:rsid w:val="00683E10"/>
    <w:rsid w:val="00683ED9"/>
    <w:rsid w:val="006845D0"/>
    <w:rsid w:val="00684750"/>
    <w:rsid w:val="00684924"/>
    <w:rsid w:val="00684969"/>
    <w:rsid w:val="00684A2E"/>
    <w:rsid w:val="00684C79"/>
    <w:rsid w:val="00684E02"/>
    <w:rsid w:val="00685259"/>
    <w:rsid w:val="006852AB"/>
    <w:rsid w:val="0068552C"/>
    <w:rsid w:val="006856C4"/>
    <w:rsid w:val="00685A09"/>
    <w:rsid w:val="00685E3A"/>
    <w:rsid w:val="00685EDD"/>
    <w:rsid w:val="0068612E"/>
    <w:rsid w:val="0068629D"/>
    <w:rsid w:val="0068631E"/>
    <w:rsid w:val="006863C8"/>
    <w:rsid w:val="006863F8"/>
    <w:rsid w:val="0068659D"/>
    <w:rsid w:val="00686718"/>
    <w:rsid w:val="006867CF"/>
    <w:rsid w:val="006867FF"/>
    <w:rsid w:val="00686A0E"/>
    <w:rsid w:val="00686AE5"/>
    <w:rsid w:val="00686B73"/>
    <w:rsid w:val="00686DD2"/>
    <w:rsid w:val="00686DD7"/>
    <w:rsid w:val="00686EDC"/>
    <w:rsid w:val="006876B8"/>
    <w:rsid w:val="006878B0"/>
    <w:rsid w:val="00687990"/>
    <w:rsid w:val="00687A6B"/>
    <w:rsid w:val="00687C6A"/>
    <w:rsid w:val="00687D6F"/>
    <w:rsid w:val="0069009C"/>
    <w:rsid w:val="006900F2"/>
    <w:rsid w:val="00690258"/>
    <w:rsid w:val="00690629"/>
    <w:rsid w:val="006907F8"/>
    <w:rsid w:val="0069097C"/>
    <w:rsid w:val="00690982"/>
    <w:rsid w:val="00690CD0"/>
    <w:rsid w:val="00690E62"/>
    <w:rsid w:val="00690F99"/>
    <w:rsid w:val="00690FC0"/>
    <w:rsid w:val="006913EA"/>
    <w:rsid w:val="0069161F"/>
    <w:rsid w:val="006916AB"/>
    <w:rsid w:val="006917B4"/>
    <w:rsid w:val="00691DC6"/>
    <w:rsid w:val="00691EA5"/>
    <w:rsid w:val="006924E0"/>
    <w:rsid w:val="00692523"/>
    <w:rsid w:val="006925DF"/>
    <w:rsid w:val="0069268B"/>
    <w:rsid w:val="006926E4"/>
    <w:rsid w:val="00692841"/>
    <w:rsid w:val="006929C8"/>
    <w:rsid w:val="00692D4C"/>
    <w:rsid w:val="0069312C"/>
    <w:rsid w:val="00693166"/>
    <w:rsid w:val="0069334A"/>
    <w:rsid w:val="006933A5"/>
    <w:rsid w:val="006934D1"/>
    <w:rsid w:val="006934FC"/>
    <w:rsid w:val="00693AD6"/>
    <w:rsid w:val="00693C56"/>
    <w:rsid w:val="00693D75"/>
    <w:rsid w:val="00693FF6"/>
    <w:rsid w:val="00694616"/>
    <w:rsid w:val="00694A7B"/>
    <w:rsid w:val="00694C26"/>
    <w:rsid w:val="0069524E"/>
    <w:rsid w:val="0069535F"/>
    <w:rsid w:val="0069548F"/>
    <w:rsid w:val="006955FC"/>
    <w:rsid w:val="0069561B"/>
    <w:rsid w:val="006958D8"/>
    <w:rsid w:val="00695A08"/>
    <w:rsid w:val="00695C47"/>
    <w:rsid w:val="00695E6A"/>
    <w:rsid w:val="00695E7F"/>
    <w:rsid w:val="00695EE8"/>
    <w:rsid w:val="00696344"/>
    <w:rsid w:val="006966B1"/>
    <w:rsid w:val="006966C4"/>
    <w:rsid w:val="00696947"/>
    <w:rsid w:val="00696B99"/>
    <w:rsid w:val="00696E81"/>
    <w:rsid w:val="00696ED6"/>
    <w:rsid w:val="006973A5"/>
    <w:rsid w:val="00697503"/>
    <w:rsid w:val="006977FE"/>
    <w:rsid w:val="006978F6"/>
    <w:rsid w:val="00697A03"/>
    <w:rsid w:val="00697D4F"/>
    <w:rsid w:val="00697E1B"/>
    <w:rsid w:val="006A053C"/>
    <w:rsid w:val="006A059B"/>
    <w:rsid w:val="006A06FF"/>
    <w:rsid w:val="006A073C"/>
    <w:rsid w:val="006A0A28"/>
    <w:rsid w:val="006A0DC1"/>
    <w:rsid w:val="006A1437"/>
    <w:rsid w:val="006A15AC"/>
    <w:rsid w:val="006A17E1"/>
    <w:rsid w:val="006A18CE"/>
    <w:rsid w:val="006A1AB2"/>
    <w:rsid w:val="006A1C1E"/>
    <w:rsid w:val="006A1F04"/>
    <w:rsid w:val="006A1F15"/>
    <w:rsid w:val="006A2044"/>
    <w:rsid w:val="006A2215"/>
    <w:rsid w:val="006A2465"/>
    <w:rsid w:val="006A25DD"/>
    <w:rsid w:val="006A2A8C"/>
    <w:rsid w:val="006A2AAF"/>
    <w:rsid w:val="006A2BAF"/>
    <w:rsid w:val="006A2EE0"/>
    <w:rsid w:val="006A31A0"/>
    <w:rsid w:val="006A3407"/>
    <w:rsid w:val="006A3457"/>
    <w:rsid w:val="006A36F4"/>
    <w:rsid w:val="006A3D48"/>
    <w:rsid w:val="006A3E0A"/>
    <w:rsid w:val="006A4232"/>
    <w:rsid w:val="006A4451"/>
    <w:rsid w:val="006A44C0"/>
    <w:rsid w:val="006A4883"/>
    <w:rsid w:val="006A4A26"/>
    <w:rsid w:val="006A4AFA"/>
    <w:rsid w:val="006A4EB0"/>
    <w:rsid w:val="006A4FE1"/>
    <w:rsid w:val="006A514A"/>
    <w:rsid w:val="006A53DC"/>
    <w:rsid w:val="006A558C"/>
    <w:rsid w:val="006A55EE"/>
    <w:rsid w:val="006A571D"/>
    <w:rsid w:val="006A5979"/>
    <w:rsid w:val="006A5AEC"/>
    <w:rsid w:val="006A5CB4"/>
    <w:rsid w:val="006A5EA3"/>
    <w:rsid w:val="006A6154"/>
    <w:rsid w:val="006A6216"/>
    <w:rsid w:val="006A65F6"/>
    <w:rsid w:val="006A6B1D"/>
    <w:rsid w:val="006A6C56"/>
    <w:rsid w:val="006A6F0D"/>
    <w:rsid w:val="006A70B9"/>
    <w:rsid w:val="006A7136"/>
    <w:rsid w:val="006A728A"/>
    <w:rsid w:val="006A775D"/>
    <w:rsid w:val="006A7945"/>
    <w:rsid w:val="006A7B8C"/>
    <w:rsid w:val="006A7BDF"/>
    <w:rsid w:val="006A7CCF"/>
    <w:rsid w:val="006A7E81"/>
    <w:rsid w:val="006B0425"/>
    <w:rsid w:val="006B0570"/>
    <w:rsid w:val="006B07D0"/>
    <w:rsid w:val="006B082A"/>
    <w:rsid w:val="006B0B8F"/>
    <w:rsid w:val="006B1439"/>
    <w:rsid w:val="006B1499"/>
    <w:rsid w:val="006B1711"/>
    <w:rsid w:val="006B1722"/>
    <w:rsid w:val="006B1895"/>
    <w:rsid w:val="006B19B6"/>
    <w:rsid w:val="006B1AA8"/>
    <w:rsid w:val="006B1B59"/>
    <w:rsid w:val="006B20D2"/>
    <w:rsid w:val="006B23A8"/>
    <w:rsid w:val="006B2847"/>
    <w:rsid w:val="006B2A06"/>
    <w:rsid w:val="006B2EF4"/>
    <w:rsid w:val="006B2F55"/>
    <w:rsid w:val="006B2FCD"/>
    <w:rsid w:val="006B322F"/>
    <w:rsid w:val="006B349F"/>
    <w:rsid w:val="006B34A7"/>
    <w:rsid w:val="006B34E6"/>
    <w:rsid w:val="006B36DC"/>
    <w:rsid w:val="006B391E"/>
    <w:rsid w:val="006B39BA"/>
    <w:rsid w:val="006B3D4D"/>
    <w:rsid w:val="006B3E7B"/>
    <w:rsid w:val="006B3F43"/>
    <w:rsid w:val="006B3F48"/>
    <w:rsid w:val="006B40E2"/>
    <w:rsid w:val="006B43AC"/>
    <w:rsid w:val="006B49F0"/>
    <w:rsid w:val="006B4B8A"/>
    <w:rsid w:val="006B4E82"/>
    <w:rsid w:val="006B4F7A"/>
    <w:rsid w:val="006B5152"/>
    <w:rsid w:val="006B5605"/>
    <w:rsid w:val="006B5680"/>
    <w:rsid w:val="006B5849"/>
    <w:rsid w:val="006B5C58"/>
    <w:rsid w:val="006B5EB2"/>
    <w:rsid w:val="006B635D"/>
    <w:rsid w:val="006B6752"/>
    <w:rsid w:val="006B6BA7"/>
    <w:rsid w:val="006B6D5C"/>
    <w:rsid w:val="006B6D64"/>
    <w:rsid w:val="006B6F7E"/>
    <w:rsid w:val="006B70E0"/>
    <w:rsid w:val="006B7205"/>
    <w:rsid w:val="006B776F"/>
    <w:rsid w:val="006B7F39"/>
    <w:rsid w:val="006B7FBA"/>
    <w:rsid w:val="006C02A3"/>
    <w:rsid w:val="006C04DD"/>
    <w:rsid w:val="006C06E4"/>
    <w:rsid w:val="006C07FC"/>
    <w:rsid w:val="006C09B8"/>
    <w:rsid w:val="006C0A74"/>
    <w:rsid w:val="006C0B65"/>
    <w:rsid w:val="006C10C9"/>
    <w:rsid w:val="006C12EF"/>
    <w:rsid w:val="006C1478"/>
    <w:rsid w:val="006C1C3B"/>
    <w:rsid w:val="006C1CF4"/>
    <w:rsid w:val="006C1D35"/>
    <w:rsid w:val="006C1DEE"/>
    <w:rsid w:val="006C2371"/>
    <w:rsid w:val="006C23BA"/>
    <w:rsid w:val="006C276D"/>
    <w:rsid w:val="006C2790"/>
    <w:rsid w:val="006C28B1"/>
    <w:rsid w:val="006C2993"/>
    <w:rsid w:val="006C2D14"/>
    <w:rsid w:val="006C2E07"/>
    <w:rsid w:val="006C2EA3"/>
    <w:rsid w:val="006C2EB1"/>
    <w:rsid w:val="006C2EF3"/>
    <w:rsid w:val="006C2FFF"/>
    <w:rsid w:val="006C30C8"/>
    <w:rsid w:val="006C3372"/>
    <w:rsid w:val="006C3485"/>
    <w:rsid w:val="006C34E4"/>
    <w:rsid w:val="006C3778"/>
    <w:rsid w:val="006C37CA"/>
    <w:rsid w:val="006C3A70"/>
    <w:rsid w:val="006C3AC6"/>
    <w:rsid w:val="006C3BFE"/>
    <w:rsid w:val="006C3E58"/>
    <w:rsid w:val="006C4017"/>
    <w:rsid w:val="006C44EB"/>
    <w:rsid w:val="006C45F6"/>
    <w:rsid w:val="006C476A"/>
    <w:rsid w:val="006C4EEF"/>
    <w:rsid w:val="006C55B6"/>
    <w:rsid w:val="006C5609"/>
    <w:rsid w:val="006C57CB"/>
    <w:rsid w:val="006C59C8"/>
    <w:rsid w:val="006C5A82"/>
    <w:rsid w:val="006C5D8B"/>
    <w:rsid w:val="006C5EA3"/>
    <w:rsid w:val="006C5FAB"/>
    <w:rsid w:val="006C62DA"/>
    <w:rsid w:val="006C650A"/>
    <w:rsid w:val="006C6540"/>
    <w:rsid w:val="006C6698"/>
    <w:rsid w:val="006C69CF"/>
    <w:rsid w:val="006C6AC7"/>
    <w:rsid w:val="006C6F80"/>
    <w:rsid w:val="006C72C2"/>
    <w:rsid w:val="006C735B"/>
    <w:rsid w:val="006C73EB"/>
    <w:rsid w:val="006C7725"/>
    <w:rsid w:val="006C787E"/>
    <w:rsid w:val="006C7B9C"/>
    <w:rsid w:val="006C7C39"/>
    <w:rsid w:val="006C7D01"/>
    <w:rsid w:val="006C7D2B"/>
    <w:rsid w:val="006C7F8A"/>
    <w:rsid w:val="006C7F98"/>
    <w:rsid w:val="006D004D"/>
    <w:rsid w:val="006D042F"/>
    <w:rsid w:val="006D04C8"/>
    <w:rsid w:val="006D05A0"/>
    <w:rsid w:val="006D06E9"/>
    <w:rsid w:val="006D097F"/>
    <w:rsid w:val="006D0D33"/>
    <w:rsid w:val="006D0EA2"/>
    <w:rsid w:val="006D1279"/>
    <w:rsid w:val="006D12C9"/>
    <w:rsid w:val="006D1BBE"/>
    <w:rsid w:val="006D1F35"/>
    <w:rsid w:val="006D2036"/>
    <w:rsid w:val="006D211F"/>
    <w:rsid w:val="006D2120"/>
    <w:rsid w:val="006D221D"/>
    <w:rsid w:val="006D25DB"/>
    <w:rsid w:val="006D28CE"/>
    <w:rsid w:val="006D299A"/>
    <w:rsid w:val="006D2A98"/>
    <w:rsid w:val="006D2D0F"/>
    <w:rsid w:val="006D2D17"/>
    <w:rsid w:val="006D2E2D"/>
    <w:rsid w:val="006D2F05"/>
    <w:rsid w:val="006D30ED"/>
    <w:rsid w:val="006D3597"/>
    <w:rsid w:val="006D3ABB"/>
    <w:rsid w:val="006D3BAC"/>
    <w:rsid w:val="006D3C7E"/>
    <w:rsid w:val="006D3F63"/>
    <w:rsid w:val="006D400B"/>
    <w:rsid w:val="006D4224"/>
    <w:rsid w:val="006D42A5"/>
    <w:rsid w:val="006D44DD"/>
    <w:rsid w:val="006D457C"/>
    <w:rsid w:val="006D460B"/>
    <w:rsid w:val="006D4622"/>
    <w:rsid w:val="006D46B8"/>
    <w:rsid w:val="006D477D"/>
    <w:rsid w:val="006D47C3"/>
    <w:rsid w:val="006D4822"/>
    <w:rsid w:val="006D4C53"/>
    <w:rsid w:val="006D4CF8"/>
    <w:rsid w:val="006D4E8C"/>
    <w:rsid w:val="006D550B"/>
    <w:rsid w:val="006D5592"/>
    <w:rsid w:val="006D5866"/>
    <w:rsid w:val="006D5882"/>
    <w:rsid w:val="006D5892"/>
    <w:rsid w:val="006D58CB"/>
    <w:rsid w:val="006D5903"/>
    <w:rsid w:val="006D5ACC"/>
    <w:rsid w:val="006D5B38"/>
    <w:rsid w:val="006D6146"/>
    <w:rsid w:val="006D63D3"/>
    <w:rsid w:val="006D676B"/>
    <w:rsid w:val="006D6869"/>
    <w:rsid w:val="006D695E"/>
    <w:rsid w:val="006D6AA5"/>
    <w:rsid w:val="006D6AE2"/>
    <w:rsid w:val="006D6B7F"/>
    <w:rsid w:val="006D6BCA"/>
    <w:rsid w:val="006D6C28"/>
    <w:rsid w:val="006D6D07"/>
    <w:rsid w:val="006D6D96"/>
    <w:rsid w:val="006D7511"/>
    <w:rsid w:val="006D752E"/>
    <w:rsid w:val="006D75FC"/>
    <w:rsid w:val="006D79DB"/>
    <w:rsid w:val="006D7B8A"/>
    <w:rsid w:val="006D7FB8"/>
    <w:rsid w:val="006D7FE0"/>
    <w:rsid w:val="006E001F"/>
    <w:rsid w:val="006E00C4"/>
    <w:rsid w:val="006E0193"/>
    <w:rsid w:val="006E01D9"/>
    <w:rsid w:val="006E01E0"/>
    <w:rsid w:val="006E02B2"/>
    <w:rsid w:val="006E02EC"/>
    <w:rsid w:val="006E03EC"/>
    <w:rsid w:val="006E0AC7"/>
    <w:rsid w:val="006E0B89"/>
    <w:rsid w:val="006E0C89"/>
    <w:rsid w:val="006E0CB4"/>
    <w:rsid w:val="006E0D4E"/>
    <w:rsid w:val="006E0D69"/>
    <w:rsid w:val="006E0FDA"/>
    <w:rsid w:val="006E115E"/>
    <w:rsid w:val="006E11CB"/>
    <w:rsid w:val="006E1225"/>
    <w:rsid w:val="006E13C8"/>
    <w:rsid w:val="006E1756"/>
    <w:rsid w:val="006E17E8"/>
    <w:rsid w:val="006E1AE2"/>
    <w:rsid w:val="006E1C03"/>
    <w:rsid w:val="006E1C98"/>
    <w:rsid w:val="006E2108"/>
    <w:rsid w:val="006E21A8"/>
    <w:rsid w:val="006E23E7"/>
    <w:rsid w:val="006E2435"/>
    <w:rsid w:val="006E2549"/>
    <w:rsid w:val="006E29CE"/>
    <w:rsid w:val="006E2BE5"/>
    <w:rsid w:val="006E2C27"/>
    <w:rsid w:val="006E2D26"/>
    <w:rsid w:val="006E3034"/>
    <w:rsid w:val="006E33D9"/>
    <w:rsid w:val="006E353A"/>
    <w:rsid w:val="006E3596"/>
    <w:rsid w:val="006E36B7"/>
    <w:rsid w:val="006E38D1"/>
    <w:rsid w:val="006E3F52"/>
    <w:rsid w:val="006E40DC"/>
    <w:rsid w:val="006E41AB"/>
    <w:rsid w:val="006E43B9"/>
    <w:rsid w:val="006E4594"/>
    <w:rsid w:val="006E462E"/>
    <w:rsid w:val="006E4766"/>
    <w:rsid w:val="006E482F"/>
    <w:rsid w:val="006E48D6"/>
    <w:rsid w:val="006E4A8D"/>
    <w:rsid w:val="006E507D"/>
    <w:rsid w:val="006E50F5"/>
    <w:rsid w:val="006E5139"/>
    <w:rsid w:val="006E52FA"/>
    <w:rsid w:val="006E54F3"/>
    <w:rsid w:val="006E55E8"/>
    <w:rsid w:val="006E58DB"/>
    <w:rsid w:val="006E5B7F"/>
    <w:rsid w:val="006E5BCD"/>
    <w:rsid w:val="006E5F9F"/>
    <w:rsid w:val="006E605D"/>
    <w:rsid w:val="006E6833"/>
    <w:rsid w:val="006E6AC3"/>
    <w:rsid w:val="006E6BF8"/>
    <w:rsid w:val="006E6D27"/>
    <w:rsid w:val="006E6EE6"/>
    <w:rsid w:val="006E7180"/>
    <w:rsid w:val="006E7356"/>
    <w:rsid w:val="006E73E9"/>
    <w:rsid w:val="006E76B8"/>
    <w:rsid w:val="006E76E7"/>
    <w:rsid w:val="006E7723"/>
    <w:rsid w:val="006E78AC"/>
    <w:rsid w:val="006E7B03"/>
    <w:rsid w:val="006E7BE8"/>
    <w:rsid w:val="006E7E12"/>
    <w:rsid w:val="006F0124"/>
    <w:rsid w:val="006F0158"/>
    <w:rsid w:val="006F0229"/>
    <w:rsid w:val="006F02CF"/>
    <w:rsid w:val="006F0D85"/>
    <w:rsid w:val="006F1147"/>
    <w:rsid w:val="006F1237"/>
    <w:rsid w:val="006F1668"/>
    <w:rsid w:val="006F1D1A"/>
    <w:rsid w:val="006F1F71"/>
    <w:rsid w:val="006F1FAF"/>
    <w:rsid w:val="006F2171"/>
    <w:rsid w:val="006F22EB"/>
    <w:rsid w:val="006F27A2"/>
    <w:rsid w:val="006F28CF"/>
    <w:rsid w:val="006F2948"/>
    <w:rsid w:val="006F2A7A"/>
    <w:rsid w:val="006F2E1B"/>
    <w:rsid w:val="006F33B2"/>
    <w:rsid w:val="006F363E"/>
    <w:rsid w:val="006F36EE"/>
    <w:rsid w:val="006F380B"/>
    <w:rsid w:val="006F38C3"/>
    <w:rsid w:val="006F3980"/>
    <w:rsid w:val="006F3AD3"/>
    <w:rsid w:val="006F3B24"/>
    <w:rsid w:val="006F3D3C"/>
    <w:rsid w:val="006F3FD0"/>
    <w:rsid w:val="006F44FC"/>
    <w:rsid w:val="006F453D"/>
    <w:rsid w:val="006F482A"/>
    <w:rsid w:val="006F4971"/>
    <w:rsid w:val="006F4B01"/>
    <w:rsid w:val="006F4B71"/>
    <w:rsid w:val="006F4C17"/>
    <w:rsid w:val="006F4E0D"/>
    <w:rsid w:val="006F4EAA"/>
    <w:rsid w:val="006F53A0"/>
    <w:rsid w:val="006F53F3"/>
    <w:rsid w:val="006F54FB"/>
    <w:rsid w:val="006F55F5"/>
    <w:rsid w:val="006F5698"/>
    <w:rsid w:val="006F5B5A"/>
    <w:rsid w:val="006F61C7"/>
    <w:rsid w:val="006F6297"/>
    <w:rsid w:val="006F663D"/>
    <w:rsid w:val="006F6647"/>
    <w:rsid w:val="006F6648"/>
    <w:rsid w:val="006F666A"/>
    <w:rsid w:val="006F6B71"/>
    <w:rsid w:val="006F6B95"/>
    <w:rsid w:val="006F6C02"/>
    <w:rsid w:val="006F6C1C"/>
    <w:rsid w:val="006F6D0D"/>
    <w:rsid w:val="006F6DEB"/>
    <w:rsid w:val="006F6F75"/>
    <w:rsid w:val="006F70FE"/>
    <w:rsid w:val="006F7315"/>
    <w:rsid w:val="006F7474"/>
    <w:rsid w:val="006F749E"/>
    <w:rsid w:val="006F798B"/>
    <w:rsid w:val="006F7A60"/>
    <w:rsid w:val="006F7BF8"/>
    <w:rsid w:val="006F7CBC"/>
    <w:rsid w:val="006F7D0A"/>
    <w:rsid w:val="006F7E22"/>
    <w:rsid w:val="006F7E4E"/>
    <w:rsid w:val="006F7EB8"/>
    <w:rsid w:val="00700000"/>
    <w:rsid w:val="007000D0"/>
    <w:rsid w:val="007001B7"/>
    <w:rsid w:val="007004B5"/>
    <w:rsid w:val="00700A47"/>
    <w:rsid w:val="00700AF7"/>
    <w:rsid w:val="00700B4B"/>
    <w:rsid w:val="00700FEE"/>
    <w:rsid w:val="00701157"/>
    <w:rsid w:val="00701220"/>
    <w:rsid w:val="007013E8"/>
    <w:rsid w:val="0070146D"/>
    <w:rsid w:val="007014FC"/>
    <w:rsid w:val="007015D4"/>
    <w:rsid w:val="00701750"/>
    <w:rsid w:val="00701A44"/>
    <w:rsid w:val="00701AD2"/>
    <w:rsid w:val="007020EE"/>
    <w:rsid w:val="00702108"/>
    <w:rsid w:val="0070214D"/>
    <w:rsid w:val="00702647"/>
    <w:rsid w:val="0070272B"/>
    <w:rsid w:val="0070298C"/>
    <w:rsid w:val="00702BC0"/>
    <w:rsid w:val="00703028"/>
    <w:rsid w:val="007031DD"/>
    <w:rsid w:val="0070331E"/>
    <w:rsid w:val="00703637"/>
    <w:rsid w:val="007038EF"/>
    <w:rsid w:val="00703A38"/>
    <w:rsid w:val="00703D49"/>
    <w:rsid w:val="00703E01"/>
    <w:rsid w:val="00703ECE"/>
    <w:rsid w:val="00703F5B"/>
    <w:rsid w:val="00704001"/>
    <w:rsid w:val="00704169"/>
    <w:rsid w:val="007041DC"/>
    <w:rsid w:val="007043DC"/>
    <w:rsid w:val="007043F1"/>
    <w:rsid w:val="00704AE7"/>
    <w:rsid w:val="00704C3A"/>
    <w:rsid w:val="00704C99"/>
    <w:rsid w:val="00704DA7"/>
    <w:rsid w:val="00704F40"/>
    <w:rsid w:val="00704F7C"/>
    <w:rsid w:val="00705099"/>
    <w:rsid w:val="007051B5"/>
    <w:rsid w:val="007052E6"/>
    <w:rsid w:val="007055AC"/>
    <w:rsid w:val="007055CF"/>
    <w:rsid w:val="007055FF"/>
    <w:rsid w:val="00705780"/>
    <w:rsid w:val="00705C85"/>
    <w:rsid w:val="00705DB4"/>
    <w:rsid w:val="00706146"/>
    <w:rsid w:val="00706631"/>
    <w:rsid w:val="00706772"/>
    <w:rsid w:val="007068C7"/>
    <w:rsid w:val="0070698C"/>
    <w:rsid w:val="00706B51"/>
    <w:rsid w:val="00706D3C"/>
    <w:rsid w:val="00706EAD"/>
    <w:rsid w:val="00706ED6"/>
    <w:rsid w:val="00706F01"/>
    <w:rsid w:val="00707065"/>
    <w:rsid w:val="0070719C"/>
    <w:rsid w:val="007072E3"/>
    <w:rsid w:val="00707487"/>
    <w:rsid w:val="007074D5"/>
    <w:rsid w:val="007074DB"/>
    <w:rsid w:val="007074F0"/>
    <w:rsid w:val="0070759F"/>
    <w:rsid w:val="00707839"/>
    <w:rsid w:val="007079AE"/>
    <w:rsid w:val="007079E3"/>
    <w:rsid w:val="00707C0B"/>
    <w:rsid w:val="00707DF4"/>
    <w:rsid w:val="00707F88"/>
    <w:rsid w:val="0071014C"/>
    <w:rsid w:val="007102F7"/>
    <w:rsid w:val="00710567"/>
    <w:rsid w:val="007108DE"/>
    <w:rsid w:val="00710B49"/>
    <w:rsid w:val="00710CD4"/>
    <w:rsid w:val="00710E80"/>
    <w:rsid w:val="00710F4B"/>
    <w:rsid w:val="0071156C"/>
    <w:rsid w:val="0071159F"/>
    <w:rsid w:val="007115E7"/>
    <w:rsid w:val="007116A5"/>
    <w:rsid w:val="0071181C"/>
    <w:rsid w:val="0071183A"/>
    <w:rsid w:val="00711D75"/>
    <w:rsid w:val="00712197"/>
    <w:rsid w:val="00712299"/>
    <w:rsid w:val="00712330"/>
    <w:rsid w:val="0071237F"/>
    <w:rsid w:val="007123AC"/>
    <w:rsid w:val="0071260B"/>
    <w:rsid w:val="0071269F"/>
    <w:rsid w:val="007129C0"/>
    <w:rsid w:val="00712A37"/>
    <w:rsid w:val="00712ABD"/>
    <w:rsid w:val="00712B95"/>
    <w:rsid w:val="00712C81"/>
    <w:rsid w:val="00712F47"/>
    <w:rsid w:val="0071322D"/>
    <w:rsid w:val="00713232"/>
    <w:rsid w:val="007133E3"/>
    <w:rsid w:val="0071376E"/>
    <w:rsid w:val="00713FE0"/>
    <w:rsid w:val="007140B3"/>
    <w:rsid w:val="00714687"/>
    <w:rsid w:val="007148E8"/>
    <w:rsid w:val="00714BDC"/>
    <w:rsid w:val="00715019"/>
    <w:rsid w:val="007155AC"/>
    <w:rsid w:val="00715B77"/>
    <w:rsid w:val="00715CE6"/>
    <w:rsid w:val="00715F70"/>
    <w:rsid w:val="007161C5"/>
    <w:rsid w:val="0071653F"/>
    <w:rsid w:val="00716910"/>
    <w:rsid w:val="00716D76"/>
    <w:rsid w:val="00716D80"/>
    <w:rsid w:val="007170FF"/>
    <w:rsid w:val="0072010F"/>
    <w:rsid w:val="007202CA"/>
    <w:rsid w:val="007204B5"/>
    <w:rsid w:val="00720565"/>
    <w:rsid w:val="007208F9"/>
    <w:rsid w:val="00720AD4"/>
    <w:rsid w:val="00720B3A"/>
    <w:rsid w:val="00720FD5"/>
    <w:rsid w:val="007211BC"/>
    <w:rsid w:val="00721209"/>
    <w:rsid w:val="00721462"/>
    <w:rsid w:val="007214C1"/>
    <w:rsid w:val="0072151B"/>
    <w:rsid w:val="007215BF"/>
    <w:rsid w:val="007215E5"/>
    <w:rsid w:val="00721B07"/>
    <w:rsid w:val="00721D43"/>
    <w:rsid w:val="00721D7E"/>
    <w:rsid w:val="00722267"/>
    <w:rsid w:val="00722659"/>
    <w:rsid w:val="0072271E"/>
    <w:rsid w:val="007228E2"/>
    <w:rsid w:val="00722CE5"/>
    <w:rsid w:val="0072320F"/>
    <w:rsid w:val="007238CD"/>
    <w:rsid w:val="007239B6"/>
    <w:rsid w:val="00723C46"/>
    <w:rsid w:val="007241D5"/>
    <w:rsid w:val="0072425C"/>
    <w:rsid w:val="0072425E"/>
    <w:rsid w:val="007242CE"/>
    <w:rsid w:val="007245A9"/>
    <w:rsid w:val="0072470C"/>
    <w:rsid w:val="00724D24"/>
    <w:rsid w:val="00724E5E"/>
    <w:rsid w:val="00725629"/>
    <w:rsid w:val="007256CE"/>
    <w:rsid w:val="00725842"/>
    <w:rsid w:val="007259C6"/>
    <w:rsid w:val="00725AEA"/>
    <w:rsid w:val="00725F45"/>
    <w:rsid w:val="00725F5E"/>
    <w:rsid w:val="007260F0"/>
    <w:rsid w:val="00726276"/>
    <w:rsid w:val="00726279"/>
    <w:rsid w:val="007262AC"/>
    <w:rsid w:val="00726591"/>
    <w:rsid w:val="0072683D"/>
    <w:rsid w:val="0072685F"/>
    <w:rsid w:val="00726B62"/>
    <w:rsid w:val="00726C0A"/>
    <w:rsid w:val="00726CCD"/>
    <w:rsid w:val="00727010"/>
    <w:rsid w:val="00727061"/>
    <w:rsid w:val="007270CF"/>
    <w:rsid w:val="00727101"/>
    <w:rsid w:val="00727314"/>
    <w:rsid w:val="0072759B"/>
    <w:rsid w:val="007278DE"/>
    <w:rsid w:val="00727A81"/>
    <w:rsid w:val="00730083"/>
    <w:rsid w:val="0073012A"/>
    <w:rsid w:val="00730171"/>
    <w:rsid w:val="00730267"/>
    <w:rsid w:val="0073033D"/>
    <w:rsid w:val="0073038E"/>
    <w:rsid w:val="00730522"/>
    <w:rsid w:val="00730A8B"/>
    <w:rsid w:val="00730E9F"/>
    <w:rsid w:val="0073103E"/>
    <w:rsid w:val="00731348"/>
    <w:rsid w:val="007315CF"/>
    <w:rsid w:val="00731622"/>
    <w:rsid w:val="00731884"/>
    <w:rsid w:val="007318CB"/>
    <w:rsid w:val="007318F6"/>
    <w:rsid w:val="00731BAA"/>
    <w:rsid w:val="00732306"/>
    <w:rsid w:val="00732390"/>
    <w:rsid w:val="00732497"/>
    <w:rsid w:val="00732699"/>
    <w:rsid w:val="00732874"/>
    <w:rsid w:val="00732AD9"/>
    <w:rsid w:val="00732B14"/>
    <w:rsid w:val="00732B32"/>
    <w:rsid w:val="00732C06"/>
    <w:rsid w:val="00732F35"/>
    <w:rsid w:val="007331DF"/>
    <w:rsid w:val="00733278"/>
    <w:rsid w:val="0073328F"/>
    <w:rsid w:val="00733382"/>
    <w:rsid w:val="00733522"/>
    <w:rsid w:val="0073369A"/>
    <w:rsid w:val="0073398C"/>
    <w:rsid w:val="007339E3"/>
    <w:rsid w:val="00733BDF"/>
    <w:rsid w:val="00733CA6"/>
    <w:rsid w:val="00733F51"/>
    <w:rsid w:val="0073421D"/>
    <w:rsid w:val="0073459E"/>
    <w:rsid w:val="0073477B"/>
    <w:rsid w:val="007348C2"/>
    <w:rsid w:val="00734AB5"/>
    <w:rsid w:val="0073505E"/>
    <w:rsid w:val="007356A7"/>
    <w:rsid w:val="007356BE"/>
    <w:rsid w:val="007357D8"/>
    <w:rsid w:val="00735838"/>
    <w:rsid w:val="00735AA5"/>
    <w:rsid w:val="00735EDC"/>
    <w:rsid w:val="007360AE"/>
    <w:rsid w:val="007360DA"/>
    <w:rsid w:val="00736662"/>
    <w:rsid w:val="007367C8"/>
    <w:rsid w:val="00736A0B"/>
    <w:rsid w:val="00736D92"/>
    <w:rsid w:val="00737201"/>
    <w:rsid w:val="0073721F"/>
    <w:rsid w:val="007374BA"/>
    <w:rsid w:val="007377F0"/>
    <w:rsid w:val="00737BA3"/>
    <w:rsid w:val="00737BB4"/>
    <w:rsid w:val="007400AF"/>
    <w:rsid w:val="00740247"/>
    <w:rsid w:val="00740302"/>
    <w:rsid w:val="00740358"/>
    <w:rsid w:val="00740372"/>
    <w:rsid w:val="0074045D"/>
    <w:rsid w:val="007404A8"/>
    <w:rsid w:val="00740576"/>
    <w:rsid w:val="00740623"/>
    <w:rsid w:val="007406B1"/>
    <w:rsid w:val="007407B0"/>
    <w:rsid w:val="007407E2"/>
    <w:rsid w:val="00740807"/>
    <w:rsid w:val="007409CA"/>
    <w:rsid w:val="00740E62"/>
    <w:rsid w:val="00740F53"/>
    <w:rsid w:val="007413A8"/>
    <w:rsid w:val="00741402"/>
    <w:rsid w:val="0074170A"/>
    <w:rsid w:val="00741947"/>
    <w:rsid w:val="00741B34"/>
    <w:rsid w:val="00741B74"/>
    <w:rsid w:val="00741E85"/>
    <w:rsid w:val="00741F9F"/>
    <w:rsid w:val="007420FF"/>
    <w:rsid w:val="00742201"/>
    <w:rsid w:val="00742378"/>
    <w:rsid w:val="007423A6"/>
    <w:rsid w:val="007424B3"/>
    <w:rsid w:val="00742B3A"/>
    <w:rsid w:val="00742DB3"/>
    <w:rsid w:val="00742EB3"/>
    <w:rsid w:val="00742ED6"/>
    <w:rsid w:val="007430DC"/>
    <w:rsid w:val="007432E2"/>
    <w:rsid w:val="00743420"/>
    <w:rsid w:val="007437A3"/>
    <w:rsid w:val="00743972"/>
    <w:rsid w:val="00743CEB"/>
    <w:rsid w:val="00743D13"/>
    <w:rsid w:val="00743D24"/>
    <w:rsid w:val="0074401C"/>
    <w:rsid w:val="0074405B"/>
    <w:rsid w:val="00744516"/>
    <w:rsid w:val="0074451F"/>
    <w:rsid w:val="007447E2"/>
    <w:rsid w:val="00744957"/>
    <w:rsid w:val="00744C87"/>
    <w:rsid w:val="007450BB"/>
    <w:rsid w:val="00745293"/>
    <w:rsid w:val="00745610"/>
    <w:rsid w:val="0074569F"/>
    <w:rsid w:val="00745A15"/>
    <w:rsid w:val="00745D34"/>
    <w:rsid w:val="0074602D"/>
    <w:rsid w:val="007460CF"/>
    <w:rsid w:val="00746439"/>
    <w:rsid w:val="007465EC"/>
    <w:rsid w:val="00746643"/>
    <w:rsid w:val="00746773"/>
    <w:rsid w:val="00746B57"/>
    <w:rsid w:val="00746FC2"/>
    <w:rsid w:val="00747266"/>
    <w:rsid w:val="00747272"/>
    <w:rsid w:val="007475C6"/>
    <w:rsid w:val="007476BE"/>
    <w:rsid w:val="00747840"/>
    <w:rsid w:val="0074784F"/>
    <w:rsid w:val="00747AD6"/>
    <w:rsid w:val="00747C82"/>
    <w:rsid w:val="00747F35"/>
    <w:rsid w:val="007500A4"/>
    <w:rsid w:val="0075023A"/>
    <w:rsid w:val="007502CB"/>
    <w:rsid w:val="00750426"/>
    <w:rsid w:val="00750429"/>
    <w:rsid w:val="0075055D"/>
    <w:rsid w:val="0075056B"/>
    <w:rsid w:val="0075061A"/>
    <w:rsid w:val="0075083D"/>
    <w:rsid w:val="007508A0"/>
    <w:rsid w:val="007509CC"/>
    <w:rsid w:val="00750A0F"/>
    <w:rsid w:val="00750C72"/>
    <w:rsid w:val="00750E98"/>
    <w:rsid w:val="00751297"/>
    <w:rsid w:val="0075143E"/>
    <w:rsid w:val="0075147A"/>
    <w:rsid w:val="007516C2"/>
    <w:rsid w:val="00751796"/>
    <w:rsid w:val="007518B9"/>
    <w:rsid w:val="00751B2A"/>
    <w:rsid w:val="007520F9"/>
    <w:rsid w:val="007521C5"/>
    <w:rsid w:val="00752592"/>
    <w:rsid w:val="00752899"/>
    <w:rsid w:val="007529D6"/>
    <w:rsid w:val="00752B1D"/>
    <w:rsid w:val="00752B83"/>
    <w:rsid w:val="00752D0D"/>
    <w:rsid w:val="00752D99"/>
    <w:rsid w:val="00752F4C"/>
    <w:rsid w:val="00752F87"/>
    <w:rsid w:val="007530D3"/>
    <w:rsid w:val="007531E3"/>
    <w:rsid w:val="00753391"/>
    <w:rsid w:val="007539BB"/>
    <w:rsid w:val="00753BEF"/>
    <w:rsid w:val="00753E10"/>
    <w:rsid w:val="00753F7E"/>
    <w:rsid w:val="007542B8"/>
    <w:rsid w:val="00754316"/>
    <w:rsid w:val="00754320"/>
    <w:rsid w:val="00754323"/>
    <w:rsid w:val="0075434A"/>
    <w:rsid w:val="0075435C"/>
    <w:rsid w:val="0075439C"/>
    <w:rsid w:val="00754649"/>
    <w:rsid w:val="00754AFF"/>
    <w:rsid w:val="00754B3F"/>
    <w:rsid w:val="00754CC8"/>
    <w:rsid w:val="00754D30"/>
    <w:rsid w:val="00754E9A"/>
    <w:rsid w:val="00755192"/>
    <w:rsid w:val="007555E5"/>
    <w:rsid w:val="007555FB"/>
    <w:rsid w:val="00755703"/>
    <w:rsid w:val="00755825"/>
    <w:rsid w:val="00755919"/>
    <w:rsid w:val="00755AB8"/>
    <w:rsid w:val="00755CC3"/>
    <w:rsid w:val="00755FA6"/>
    <w:rsid w:val="007560F3"/>
    <w:rsid w:val="00756257"/>
    <w:rsid w:val="0075647A"/>
    <w:rsid w:val="0075655E"/>
    <w:rsid w:val="00756D8B"/>
    <w:rsid w:val="00756F99"/>
    <w:rsid w:val="00756FB5"/>
    <w:rsid w:val="00757275"/>
    <w:rsid w:val="00757296"/>
    <w:rsid w:val="0075758B"/>
    <w:rsid w:val="007576D1"/>
    <w:rsid w:val="007577EE"/>
    <w:rsid w:val="0075791B"/>
    <w:rsid w:val="00757A86"/>
    <w:rsid w:val="00757ADF"/>
    <w:rsid w:val="00757E8D"/>
    <w:rsid w:val="00757F88"/>
    <w:rsid w:val="007600F4"/>
    <w:rsid w:val="007605B1"/>
    <w:rsid w:val="00760794"/>
    <w:rsid w:val="007608CF"/>
    <w:rsid w:val="00760BDB"/>
    <w:rsid w:val="00760C01"/>
    <w:rsid w:val="00760CE1"/>
    <w:rsid w:val="00760DE8"/>
    <w:rsid w:val="00761491"/>
    <w:rsid w:val="0076154A"/>
    <w:rsid w:val="00761776"/>
    <w:rsid w:val="00761B02"/>
    <w:rsid w:val="00761B22"/>
    <w:rsid w:val="00761C44"/>
    <w:rsid w:val="00761CE6"/>
    <w:rsid w:val="00761CF8"/>
    <w:rsid w:val="00761D97"/>
    <w:rsid w:val="00761EC6"/>
    <w:rsid w:val="0076206E"/>
    <w:rsid w:val="00762332"/>
    <w:rsid w:val="0076256E"/>
    <w:rsid w:val="007625AA"/>
    <w:rsid w:val="00762619"/>
    <w:rsid w:val="00762633"/>
    <w:rsid w:val="007627E3"/>
    <w:rsid w:val="00762A56"/>
    <w:rsid w:val="00763038"/>
    <w:rsid w:val="0076309F"/>
    <w:rsid w:val="007631EF"/>
    <w:rsid w:val="0076329D"/>
    <w:rsid w:val="00763554"/>
    <w:rsid w:val="00763584"/>
    <w:rsid w:val="0076358B"/>
    <w:rsid w:val="0076368C"/>
    <w:rsid w:val="00763706"/>
    <w:rsid w:val="00763968"/>
    <w:rsid w:val="00763AC8"/>
    <w:rsid w:val="00763C8B"/>
    <w:rsid w:val="00763D1A"/>
    <w:rsid w:val="00763D44"/>
    <w:rsid w:val="00763F70"/>
    <w:rsid w:val="00764200"/>
    <w:rsid w:val="007642B7"/>
    <w:rsid w:val="00764318"/>
    <w:rsid w:val="007643AE"/>
    <w:rsid w:val="007643FE"/>
    <w:rsid w:val="007646CA"/>
    <w:rsid w:val="00764ABD"/>
    <w:rsid w:val="00764C02"/>
    <w:rsid w:val="00764E13"/>
    <w:rsid w:val="0076509F"/>
    <w:rsid w:val="007652FF"/>
    <w:rsid w:val="007657F9"/>
    <w:rsid w:val="00765A36"/>
    <w:rsid w:val="00765A6D"/>
    <w:rsid w:val="00765AE1"/>
    <w:rsid w:val="00765B94"/>
    <w:rsid w:val="00765DB2"/>
    <w:rsid w:val="0076638F"/>
    <w:rsid w:val="0076673A"/>
    <w:rsid w:val="00766869"/>
    <w:rsid w:val="00766984"/>
    <w:rsid w:val="007669C1"/>
    <w:rsid w:val="00766A69"/>
    <w:rsid w:val="00766BA8"/>
    <w:rsid w:val="00766C74"/>
    <w:rsid w:val="00766DDF"/>
    <w:rsid w:val="00766F49"/>
    <w:rsid w:val="007670D0"/>
    <w:rsid w:val="00767139"/>
    <w:rsid w:val="0076719C"/>
    <w:rsid w:val="007672FC"/>
    <w:rsid w:val="00767623"/>
    <w:rsid w:val="00767A95"/>
    <w:rsid w:val="007700D2"/>
    <w:rsid w:val="007702B2"/>
    <w:rsid w:val="0077058F"/>
    <w:rsid w:val="0077077C"/>
    <w:rsid w:val="007709E9"/>
    <w:rsid w:val="00770AB3"/>
    <w:rsid w:val="00770BC7"/>
    <w:rsid w:val="00770C74"/>
    <w:rsid w:val="00770E8B"/>
    <w:rsid w:val="00770E9D"/>
    <w:rsid w:val="00770EDB"/>
    <w:rsid w:val="00770F98"/>
    <w:rsid w:val="007716A6"/>
    <w:rsid w:val="007717C4"/>
    <w:rsid w:val="00771A50"/>
    <w:rsid w:val="00771B5B"/>
    <w:rsid w:val="00771F55"/>
    <w:rsid w:val="00771F5F"/>
    <w:rsid w:val="00771F82"/>
    <w:rsid w:val="0077221F"/>
    <w:rsid w:val="0077244E"/>
    <w:rsid w:val="007724E7"/>
    <w:rsid w:val="007725F5"/>
    <w:rsid w:val="007726B5"/>
    <w:rsid w:val="00772832"/>
    <w:rsid w:val="00772B4A"/>
    <w:rsid w:val="00772F14"/>
    <w:rsid w:val="0077306D"/>
    <w:rsid w:val="00773373"/>
    <w:rsid w:val="0077337B"/>
    <w:rsid w:val="0077338C"/>
    <w:rsid w:val="007733E2"/>
    <w:rsid w:val="00773490"/>
    <w:rsid w:val="00773869"/>
    <w:rsid w:val="00773B5B"/>
    <w:rsid w:val="00773CDE"/>
    <w:rsid w:val="00773E0A"/>
    <w:rsid w:val="00773E1C"/>
    <w:rsid w:val="00773E1F"/>
    <w:rsid w:val="0077408D"/>
    <w:rsid w:val="00774308"/>
    <w:rsid w:val="00774769"/>
    <w:rsid w:val="00774845"/>
    <w:rsid w:val="00774F9D"/>
    <w:rsid w:val="007753F8"/>
    <w:rsid w:val="00775586"/>
    <w:rsid w:val="00775CA8"/>
    <w:rsid w:val="00775CED"/>
    <w:rsid w:val="00775D6F"/>
    <w:rsid w:val="00775E58"/>
    <w:rsid w:val="00775EE7"/>
    <w:rsid w:val="00776039"/>
    <w:rsid w:val="00776585"/>
    <w:rsid w:val="007767C5"/>
    <w:rsid w:val="0077691D"/>
    <w:rsid w:val="00776A4F"/>
    <w:rsid w:val="00776B2E"/>
    <w:rsid w:val="00776C1D"/>
    <w:rsid w:val="00776FB9"/>
    <w:rsid w:val="007770E5"/>
    <w:rsid w:val="007775DB"/>
    <w:rsid w:val="0077790F"/>
    <w:rsid w:val="007779AD"/>
    <w:rsid w:val="00777BBD"/>
    <w:rsid w:val="00777BEA"/>
    <w:rsid w:val="00777C2C"/>
    <w:rsid w:val="00777FF3"/>
    <w:rsid w:val="00780085"/>
    <w:rsid w:val="0078014C"/>
    <w:rsid w:val="0078021E"/>
    <w:rsid w:val="007803A8"/>
    <w:rsid w:val="0078055C"/>
    <w:rsid w:val="007807E4"/>
    <w:rsid w:val="00780905"/>
    <w:rsid w:val="00780942"/>
    <w:rsid w:val="00780C90"/>
    <w:rsid w:val="00780E13"/>
    <w:rsid w:val="007810C4"/>
    <w:rsid w:val="0078124A"/>
    <w:rsid w:val="0078171C"/>
    <w:rsid w:val="007818FB"/>
    <w:rsid w:val="007819F4"/>
    <w:rsid w:val="00781E9C"/>
    <w:rsid w:val="00781F2C"/>
    <w:rsid w:val="00781FAA"/>
    <w:rsid w:val="00782292"/>
    <w:rsid w:val="00782501"/>
    <w:rsid w:val="007828E0"/>
    <w:rsid w:val="00782A2C"/>
    <w:rsid w:val="00782C0B"/>
    <w:rsid w:val="00782D64"/>
    <w:rsid w:val="00783076"/>
    <w:rsid w:val="00783292"/>
    <w:rsid w:val="007832E2"/>
    <w:rsid w:val="0078337B"/>
    <w:rsid w:val="00783383"/>
    <w:rsid w:val="00783894"/>
    <w:rsid w:val="00783BFE"/>
    <w:rsid w:val="00783DD2"/>
    <w:rsid w:val="00784137"/>
    <w:rsid w:val="007841E3"/>
    <w:rsid w:val="007842C4"/>
    <w:rsid w:val="007846ED"/>
    <w:rsid w:val="00784995"/>
    <w:rsid w:val="00784B79"/>
    <w:rsid w:val="00784FFF"/>
    <w:rsid w:val="007854D0"/>
    <w:rsid w:val="0078569A"/>
    <w:rsid w:val="007856A3"/>
    <w:rsid w:val="00785C0B"/>
    <w:rsid w:val="00785C58"/>
    <w:rsid w:val="00785D8E"/>
    <w:rsid w:val="00785FDB"/>
    <w:rsid w:val="007860AD"/>
    <w:rsid w:val="007861BF"/>
    <w:rsid w:val="00786275"/>
    <w:rsid w:val="007866AE"/>
    <w:rsid w:val="007867DE"/>
    <w:rsid w:val="00786A99"/>
    <w:rsid w:val="00786AD0"/>
    <w:rsid w:val="00786AEB"/>
    <w:rsid w:val="00786B0A"/>
    <w:rsid w:val="00786BA3"/>
    <w:rsid w:val="00786DC4"/>
    <w:rsid w:val="00786EFE"/>
    <w:rsid w:val="00786F5E"/>
    <w:rsid w:val="00786FEB"/>
    <w:rsid w:val="00787197"/>
    <w:rsid w:val="0078720F"/>
    <w:rsid w:val="0078758C"/>
    <w:rsid w:val="007878B3"/>
    <w:rsid w:val="007879FA"/>
    <w:rsid w:val="00787BA2"/>
    <w:rsid w:val="00787D3D"/>
    <w:rsid w:val="00787D87"/>
    <w:rsid w:val="00790052"/>
    <w:rsid w:val="007901B2"/>
    <w:rsid w:val="007902AC"/>
    <w:rsid w:val="00790603"/>
    <w:rsid w:val="007907CF"/>
    <w:rsid w:val="0079092F"/>
    <w:rsid w:val="00790B5E"/>
    <w:rsid w:val="00791187"/>
    <w:rsid w:val="007913D7"/>
    <w:rsid w:val="00791439"/>
    <w:rsid w:val="00791444"/>
    <w:rsid w:val="007914C8"/>
    <w:rsid w:val="0079160B"/>
    <w:rsid w:val="007916AF"/>
    <w:rsid w:val="00791776"/>
    <w:rsid w:val="007917BC"/>
    <w:rsid w:val="00791876"/>
    <w:rsid w:val="0079207F"/>
    <w:rsid w:val="00792109"/>
    <w:rsid w:val="007923E3"/>
    <w:rsid w:val="00792659"/>
    <w:rsid w:val="0079290E"/>
    <w:rsid w:val="0079299F"/>
    <w:rsid w:val="00792A32"/>
    <w:rsid w:val="00792D7C"/>
    <w:rsid w:val="00792DC2"/>
    <w:rsid w:val="00792F1C"/>
    <w:rsid w:val="007931C3"/>
    <w:rsid w:val="00793299"/>
    <w:rsid w:val="007932FF"/>
    <w:rsid w:val="0079338A"/>
    <w:rsid w:val="007935EF"/>
    <w:rsid w:val="007936D0"/>
    <w:rsid w:val="007938E2"/>
    <w:rsid w:val="00793907"/>
    <w:rsid w:val="00793968"/>
    <w:rsid w:val="00793C2A"/>
    <w:rsid w:val="007944E5"/>
    <w:rsid w:val="00794548"/>
    <w:rsid w:val="00794ABD"/>
    <w:rsid w:val="00795384"/>
    <w:rsid w:val="00795409"/>
    <w:rsid w:val="00795718"/>
    <w:rsid w:val="00795762"/>
    <w:rsid w:val="007957A2"/>
    <w:rsid w:val="007958B3"/>
    <w:rsid w:val="0079599A"/>
    <w:rsid w:val="00795A6D"/>
    <w:rsid w:val="00795A7F"/>
    <w:rsid w:val="00796183"/>
    <w:rsid w:val="0079622F"/>
    <w:rsid w:val="00796246"/>
    <w:rsid w:val="007962FC"/>
    <w:rsid w:val="00796444"/>
    <w:rsid w:val="0079647F"/>
    <w:rsid w:val="007964A6"/>
    <w:rsid w:val="007964B0"/>
    <w:rsid w:val="00796E1B"/>
    <w:rsid w:val="00796F6B"/>
    <w:rsid w:val="00796F82"/>
    <w:rsid w:val="007970A2"/>
    <w:rsid w:val="007970E1"/>
    <w:rsid w:val="00797246"/>
    <w:rsid w:val="00797471"/>
    <w:rsid w:val="00797497"/>
    <w:rsid w:val="00797B36"/>
    <w:rsid w:val="00797FD8"/>
    <w:rsid w:val="007A04D8"/>
    <w:rsid w:val="007A06F8"/>
    <w:rsid w:val="007A0953"/>
    <w:rsid w:val="007A0A9E"/>
    <w:rsid w:val="007A0B71"/>
    <w:rsid w:val="007A0CEF"/>
    <w:rsid w:val="007A0D45"/>
    <w:rsid w:val="007A0DF7"/>
    <w:rsid w:val="007A10E9"/>
    <w:rsid w:val="007A1552"/>
    <w:rsid w:val="007A15E0"/>
    <w:rsid w:val="007A16A4"/>
    <w:rsid w:val="007A16F2"/>
    <w:rsid w:val="007A17A2"/>
    <w:rsid w:val="007A18DC"/>
    <w:rsid w:val="007A1C6A"/>
    <w:rsid w:val="007A1D46"/>
    <w:rsid w:val="007A2181"/>
    <w:rsid w:val="007A2270"/>
    <w:rsid w:val="007A26D6"/>
    <w:rsid w:val="007A29D9"/>
    <w:rsid w:val="007A2C8B"/>
    <w:rsid w:val="007A2D24"/>
    <w:rsid w:val="007A2D59"/>
    <w:rsid w:val="007A2E18"/>
    <w:rsid w:val="007A3004"/>
    <w:rsid w:val="007A3FC9"/>
    <w:rsid w:val="007A403C"/>
    <w:rsid w:val="007A41A1"/>
    <w:rsid w:val="007A41D7"/>
    <w:rsid w:val="007A4273"/>
    <w:rsid w:val="007A43E9"/>
    <w:rsid w:val="007A46DD"/>
    <w:rsid w:val="007A46E3"/>
    <w:rsid w:val="007A483E"/>
    <w:rsid w:val="007A4888"/>
    <w:rsid w:val="007A4A48"/>
    <w:rsid w:val="007A4A49"/>
    <w:rsid w:val="007A4ABF"/>
    <w:rsid w:val="007A4B34"/>
    <w:rsid w:val="007A4B4F"/>
    <w:rsid w:val="007A4CAD"/>
    <w:rsid w:val="007A4DBA"/>
    <w:rsid w:val="007A4E3E"/>
    <w:rsid w:val="007A503F"/>
    <w:rsid w:val="007A5092"/>
    <w:rsid w:val="007A513F"/>
    <w:rsid w:val="007A5467"/>
    <w:rsid w:val="007A551F"/>
    <w:rsid w:val="007A5567"/>
    <w:rsid w:val="007A5727"/>
    <w:rsid w:val="007A576D"/>
    <w:rsid w:val="007A5881"/>
    <w:rsid w:val="007A58E6"/>
    <w:rsid w:val="007A5A79"/>
    <w:rsid w:val="007A5EE2"/>
    <w:rsid w:val="007A6062"/>
    <w:rsid w:val="007A638F"/>
    <w:rsid w:val="007A653A"/>
    <w:rsid w:val="007A65D0"/>
    <w:rsid w:val="007A69C8"/>
    <w:rsid w:val="007A6FD7"/>
    <w:rsid w:val="007A734B"/>
    <w:rsid w:val="007A7424"/>
    <w:rsid w:val="007A747C"/>
    <w:rsid w:val="007A772F"/>
    <w:rsid w:val="007A776E"/>
    <w:rsid w:val="007A789D"/>
    <w:rsid w:val="007A7C2B"/>
    <w:rsid w:val="007B01E3"/>
    <w:rsid w:val="007B0242"/>
    <w:rsid w:val="007B03D2"/>
    <w:rsid w:val="007B0539"/>
    <w:rsid w:val="007B08CB"/>
    <w:rsid w:val="007B0939"/>
    <w:rsid w:val="007B0B81"/>
    <w:rsid w:val="007B0BFC"/>
    <w:rsid w:val="007B0CEF"/>
    <w:rsid w:val="007B0DA8"/>
    <w:rsid w:val="007B0F17"/>
    <w:rsid w:val="007B14E2"/>
    <w:rsid w:val="007B1AA6"/>
    <w:rsid w:val="007B1B23"/>
    <w:rsid w:val="007B1DAF"/>
    <w:rsid w:val="007B1DBB"/>
    <w:rsid w:val="007B1E07"/>
    <w:rsid w:val="007B1E0A"/>
    <w:rsid w:val="007B1F05"/>
    <w:rsid w:val="007B205C"/>
    <w:rsid w:val="007B2063"/>
    <w:rsid w:val="007B2076"/>
    <w:rsid w:val="007B2110"/>
    <w:rsid w:val="007B229D"/>
    <w:rsid w:val="007B2816"/>
    <w:rsid w:val="007B2883"/>
    <w:rsid w:val="007B28DA"/>
    <w:rsid w:val="007B2AF8"/>
    <w:rsid w:val="007B2B8A"/>
    <w:rsid w:val="007B2C37"/>
    <w:rsid w:val="007B2C4A"/>
    <w:rsid w:val="007B2F91"/>
    <w:rsid w:val="007B2FD2"/>
    <w:rsid w:val="007B3089"/>
    <w:rsid w:val="007B30B7"/>
    <w:rsid w:val="007B31B8"/>
    <w:rsid w:val="007B38A0"/>
    <w:rsid w:val="007B3E35"/>
    <w:rsid w:val="007B40B7"/>
    <w:rsid w:val="007B42C4"/>
    <w:rsid w:val="007B4337"/>
    <w:rsid w:val="007B43C0"/>
    <w:rsid w:val="007B43F4"/>
    <w:rsid w:val="007B4B61"/>
    <w:rsid w:val="007B4BC4"/>
    <w:rsid w:val="007B4CCB"/>
    <w:rsid w:val="007B4DC9"/>
    <w:rsid w:val="007B4F1F"/>
    <w:rsid w:val="007B5137"/>
    <w:rsid w:val="007B517C"/>
    <w:rsid w:val="007B52B1"/>
    <w:rsid w:val="007B53BE"/>
    <w:rsid w:val="007B54C9"/>
    <w:rsid w:val="007B5594"/>
    <w:rsid w:val="007B58DD"/>
    <w:rsid w:val="007B5B25"/>
    <w:rsid w:val="007B5BE4"/>
    <w:rsid w:val="007B5C0B"/>
    <w:rsid w:val="007B5C36"/>
    <w:rsid w:val="007B5E95"/>
    <w:rsid w:val="007B5ECB"/>
    <w:rsid w:val="007B5EF6"/>
    <w:rsid w:val="007B60B9"/>
    <w:rsid w:val="007B60EE"/>
    <w:rsid w:val="007B61C0"/>
    <w:rsid w:val="007B6358"/>
    <w:rsid w:val="007B64F3"/>
    <w:rsid w:val="007B65D6"/>
    <w:rsid w:val="007B65DA"/>
    <w:rsid w:val="007B6792"/>
    <w:rsid w:val="007B687B"/>
    <w:rsid w:val="007B6A94"/>
    <w:rsid w:val="007B6AAD"/>
    <w:rsid w:val="007B6CC6"/>
    <w:rsid w:val="007B6D2F"/>
    <w:rsid w:val="007B7166"/>
    <w:rsid w:val="007B7301"/>
    <w:rsid w:val="007B733D"/>
    <w:rsid w:val="007B74FC"/>
    <w:rsid w:val="007B78E8"/>
    <w:rsid w:val="007B7907"/>
    <w:rsid w:val="007B79F8"/>
    <w:rsid w:val="007B7AE4"/>
    <w:rsid w:val="007B7D57"/>
    <w:rsid w:val="007B7F5F"/>
    <w:rsid w:val="007C0011"/>
    <w:rsid w:val="007C010D"/>
    <w:rsid w:val="007C01BB"/>
    <w:rsid w:val="007C0306"/>
    <w:rsid w:val="007C041B"/>
    <w:rsid w:val="007C051B"/>
    <w:rsid w:val="007C06A3"/>
    <w:rsid w:val="007C0843"/>
    <w:rsid w:val="007C0C6A"/>
    <w:rsid w:val="007C1000"/>
    <w:rsid w:val="007C1077"/>
    <w:rsid w:val="007C10DE"/>
    <w:rsid w:val="007C13BC"/>
    <w:rsid w:val="007C1560"/>
    <w:rsid w:val="007C17D8"/>
    <w:rsid w:val="007C1AF4"/>
    <w:rsid w:val="007C20F2"/>
    <w:rsid w:val="007C2619"/>
    <w:rsid w:val="007C2830"/>
    <w:rsid w:val="007C283F"/>
    <w:rsid w:val="007C29A9"/>
    <w:rsid w:val="007C29B8"/>
    <w:rsid w:val="007C29CD"/>
    <w:rsid w:val="007C2C48"/>
    <w:rsid w:val="007C2D2D"/>
    <w:rsid w:val="007C2D6A"/>
    <w:rsid w:val="007C3067"/>
    <w:rsid w:val="007C31F8"/>
    <w:rsid w:val="007C3348"/>
    <w:rsid w:val="007C336C"/>
    <w:rsid w:val="007C348E"/>
    <w:rsid w:val="007C35C1"/>
    <w:rsid w:val="007C3690"/>
    <w:rsid w:val="007C37E6"/>
    <w:rsid w:val="007C39E9"/>
    <w:rsid w:val="007C3B5A"/>
    <w:rsid w:val="007C3BEB"/>
    <w:rsid w:val="007C4068"/>
    <w:rsid w:val="007C40DA"/>
    <w:rsid w:val="007C412E"/>
    <w:rsid w:val="007C4353"/>
    <w:rsid w:val="007C436A"/>
    <w:rsid w:val="007C4439"/>
    <w:rsid w:val="007C469E"/>
    <w:rsid w:val="007C4AF5"/>
    <w:rsid w:val="007C4AFC"/>
    <w:rsid w:val="007C4EF5"/>
    <w:rsid w:val="007C501F"/>
    <w:rsid w:val="007C554F"/>
    <w:rsid w:val="007C561C"/>
    <w:rsid w:val="007C5C9D"/>
    <w:rsid w:val="007C6261"/>
    <w:rsid w:val="007C6452"/>
    <w:rsid w:val="007C65C6"/>
    <w:rsid w:val="007C66CD"/>
    <w:rsid w:val="007C674B"/>
    <w:rsid w:val="007C6924"/>
    <w:rsid w:val="007C6C62"/>
    <w:rsid w:val="007C6D4C"/>
    <w:rsid w:val="007C6DDC"/>
    <w:rsid w:val="007C7107"/>
    <w:rsid w:val="007C71A6"/>
    <w:rsid w:val="007C7371"/>
    <w:rsid w:val="007C7772"/>
    <w:rsid w:val="007C7A3C"/>
    <w:rsid w:val="007C7C6A"/>
    <w:rsid w:val="007C7D13"/>
    <w:rsid w:val="007C7DDD"/>
    <w:rsid w:val="007D030C"/>
    <w:rsid w:val="007D06A3"/>
    <w:rsid w:val="007D072C"/>
    <w:rsid w:val="007D0752"/>
    <w:rsid w:val="007D07D4"/>
    <w:rsid w:val="007D0AC3"/>
    <w:rsid w:val="007D0D1C"/>
    <w:rsid w:val="007D0DFD"/>
    <w:rsid w:val="007D0F43"/>
    <w:rsid w:val="007D0F60"/>
    <w:rsid w:val="007D0F71"/>
    <w:rsid w:val="007D10FD"/>
    <w:rsid w:val="007D12A0"/>
    <w:rsid w:val="007D1558"/>
    <w:rsid w:val="007D166D"/>
    <w:rsid w:val="007D16B9"/>
    <w:rsid w:val="007D1788"/>
    <w:rsid w:val="007D1819"/>
    <w:rsid w:val="007D184D"/>
    <w:rsid w:val="007D1ADB"/>
    <w:rsid w:val="007D24F4"/>
    <w:rsid w:val="007D2580"/>
    <w:rsid w:val="007D2767"/>
    <w:rsid w:val="007D28BD"/>
    <w:rsid w:val="007D29D8"/>
    <w:rsid w:val="007D2BD3"/>
    <w:rsid w:val="007D31C2"/>
    <w:rsid w:val="007D3554"/>
    <w:rsid w:val="007D35F7"/>
    <w:rsid w:val="007D38EF"/>
    <w:rsid w:val="007D3F59"/>
    <w:rsid w:val="007D3FB0"/>
    <w:rsid w:val="007D4082"/>
    <w:rsid w:val="007D41CF"/>
    <w:rsid w:val="007D42F6"/>
    <w:rsid w:val="007D452C"/>
    <w:rsid w:val="007D47E0"/>
    <w:rsid w:val="007D484E"/>
    <w:rsid w:val="007D4B3C"/>
    <w:rsid w:val="007D4CFD"/>
    <w:rsid w:val="007D53AF"/>
    <w:rsid w:val="007D550F"/>
    <w:rsid w:val="007D56D5"/>
    <w:rsid w:val="007D58AE"/>
    <w:rsid w:val="007D58BD"/>
    <w:rsid w:val="007D5977"/>
    <w:rsid w:val="007D5A7B"/>
    <w:rsid w:val="007D5DE8"/>
    <w:rsid w:val="007D5E30"/>
    <w:rsid w:val="007D63DD"/>
    <w:rsid w:val="007D6516"/>
    <w:rsid w:val="007D65BA"/>
    <w:rsid w:val="007D65DC"/>
    <w:rsid w:val="007D67DB"/>
    <w:rsid w:val="007D6C48"/>
    <w:rsid w:val="007D6D9F"/>
    <w:rsid w:val="007D75BB"/>
    <w:rsid w:val="007D785F"/>
    <w:rsid w:val="007D78D5"/>
    <w:rsid w:val="007D7976"/>
    <w:rsid w:val="007D7BF9"/>
    <w:rsid w:val="007D7D60"/>
    <w:rsid w:val="007D7F49"/>
    <w:rsid w:val="007D7F84"/>
    <w:rsid w:val="007E02B6"/>
    <w:rsid w:val="007E0397"/>
    <w:rsid w:val="007E0606"/>
    <w:rsid w:val="007E0642"/>
    <w:rsid w:val="007E06AD"/>
    <w:rsid w:val="007E0808"/>
    <w:rsid w:val="007E0833"/>
    <w:rsid w:val="007E0A0C"/>
    <w:rsid w:val="007E0B16"/>
    <w:rsid w:val="007E0C99"/>
    <w:rsid w:val="007E0D4D"/>
    <w:rsid w:val="007E114C"/>
    <w:rsid w:val="007E125D"/>
    <w:rsid w:val="007E14E8"/>
    <w:rsid w:val="007E1570"/>
    <w:rsid w:val="007E23E6"/>
    <w:rsid w:val="007E242F"/>
    <w:rsid w:val="007E2797"/>
    <w:rsid w:val="007E28DD"/>
    <w:rsid w:val="007E28EC"/>
    <w:rsid w:val="007E2D4F"/>
    <w:rsid w:val="007E33E7"/>
    <w:rsid w:val="007E377F"/>
    <w:rsid w:val="007E37E8"/>
    <w:rsid w:val="007E3905"/>
    <w:rsid w:val="007E3B9F"/>
    <w:rsid w:val="007E3BAF"/>
    <w:rsid w:val="007E3EC7"/>
    <w:rsid w:val="007E3F91"/>
    <w:rsid w:val="007E41D6"/>
    <w:rsid w:val="007E4927"/>
    <w:rsid w:val="007E4AAC"/>
    <w:rsid w:val="007E4C8F"/>
    <w:rsid w:val="007E5084"/>
    <w:rsid w:val="007E5181"/>
    <w:rsid w:val="007E5429"/>
    <w:rsid w:val="007E56B9"/>
    <w:rsid w:val="007E5713"/>
    <w:rsid w:val="007E57CE"/>
    <w:rsid w:val="007E5812"/>
    <w:rsid w:val="007E5D7F"/>
    <w:rsid w:val="007E5E26"/>
    <w:rsid w:val="007E5EA2"/>
    <w:rsid w:val="007E5EE0"/>
    <w:rsid w:val="007E6063"/>
    <w:rsid w:val="007E615D"/>
    <w:rsid w:val="007E61A1"/>
    <w:rsid w:val="007E6435"/>
    <w:rsid w:val="007E65E9"/>
    <w:rsid w:val="007E6602"/>
    <w:rsid w:val="007E67E7"/>
    <w:rsid w:val="007E6B27"/>
    <w:rsid w:val="007E6C0E"/>
    <w:rsid w:val="007E6DBF"/>
    <w:rsid w:val="007E6E79"/>
    <w:rsid w:val="007E6FB7"/>
    <w:rsid w:val="007E7076"/>
    <w:rsid w:val="007E72F1"/>
    <w:rsid w:val="007E7358"/>
    <w:rsid w:val="007E7440"/>
    <w:rsid w:val="007E74D3"/>
    <w:rsid w:val="007E75CB"/>
    <w:rsid w:val="007E7878"/>
    <w:rsid w:val="007E7932"/>
    <w:rsid w:val="007E7F46"/>
    <w:rsid w:val="007E7F6D"/>
    <w:rsid w:val="007E7FFC"/>
    <w:rsid w:val="007F014C"/>
    <w:rsid w:val="007F01E9"/>
    <w:rsid w:val="007F05B4"/>
    <w:rsid w:val="007F0706"/>
    <w:rsid w:val="007F0847"/>
    <w:rsid w:val="007F0878"/>
    <w:rsid w:val="007F0947"/>
    <w:rsid w:val="007F0C0A"/>
    <w:rsid w:val="007F0D6C"/>
    <w:rsid w:val="007F0DB5"/>
    <w:rsid w:val="007F0E49"/>
    <w:rsid w:val="007F0E74"/>
    <w:rsid w:val="007F100D"/>
    <w:rsid w:val="007F1103"/>
    <w:rsid w:val="007F167F"/>
    <w:rsid w:val="007F16AA"/>
    <w:rsid w:val="007F17EB"/>
    <w:rsid w:val="007F1C59"/>
    <w:rsid w:val="007F1C8D"/>
    <w:rsid w:val="007F1CD9"/>
    <w:rsid w:val="007F2082"/>
    <w:rsid w:val="007F21C9"/>
    <w:rsid w:val="007F22A6"/>
    <w:rsid w:val="007F231D"/>
    <w:rsid w:val="007F23C5"/>
    <w:rsid w:val="007F247F"/>
    <w:rsid w:val="007F2688"/>
    <w:rsid w:val="007F2709"/>
    <w:rsid w:val="007F270A"/>
    <w:rsid w:val="007F28A0"/>
    <w:rsid w:val="007F2A88"/>
    <w:rsid w:val="007F3253"/>
    <w:rsid w:val="007F3414"/>
    <w:rsid w:val="007F35EC"/>
    <w:rsid w:val="007F3872"/>
    <w:rsid w:val="007F3A3A"/>
    <w:rsid w:val="007F3B89"/>
    <w:rsid w:val="007F4089"/>
    <w:rsid w:val="007F4305"/>
    <w:rsid w:val="007F4651"/>
    <w:rsid w:val="007F4711"/>
    <w:rsid w:val="007F4756"/>
    <w:rsid w:val="007F4A15"/>
    <w:rsid w:val="007F4BF0"/>
    <w:rsid w:val="007F4CE5"/>
    <w:rsid w:val="007F4D60"/>
    <w:rsid w:val="007F4D83"/>
    <w:rsid w:val="007F4E7E"/>
    <w:rsid w:val="007F517E"/>
    <w:rsid w:val="007F55EA"/>
    <w:rsid w:val="007F5763"/>
    <w:rsid w:val="007F5955"/>
    <w:rsid w:val="007F5988"/>
    <w:rsid w:val="007F59A4"/>
    <w:rsid w:val="007F5D6E"/>
    <w:rsid w:val="007F6104"/>
    <w:rsid w:val="007F6728"/>
    <w:rsid w:val="007F6813"/>
    <w:rsid w:val="007F6878"/>
    <w:rsid w:val="007F69C6"/>
    <w:rsid w:val="007F6E62"/>
    <w:rsid w:val="007F7288"/>
    <w:rsid w:val="007F775B"/>
    <w:rsid w:val="007F78AC"/>
    <w:rsid w:val="007F79B9"/>
    <w:rsid w:val="007F7C0B"/>
    <w:rsid w:val="00800541"/>
    <w:rsid w:val="00800563"/>
    <w:rsid w:val="008005B4"/>
    <w:rsid w:val="0080087D"/>
    <w:rsid w:val="008008B6"/>
    <w:rsid w:val="00800D0C"/>
    <w:rsid w:val="0080114E"/>
    <w:rsid w:val="00801475"/>
    <w:rsid w:val="008016F0"/>
    <w:rsid w:val="00801771"/>
    <w:rsid w:val="0080196F"/>
    <w:rsid w:val="00802126"/>
    <w:rsid w:val="0080215E"/>
    <w:rsid w:val="008025F6"/>
    <w:rsid w:val="008027E2"/>
    <w:rsid w:val="008029D5"/>
    <w:rsid w:val="00802B54"/>
    <w:rsid w:val="00802B9C"/>
    <w:rsid w:val="00802C50"/>
    <w:rsid w:val="00802CAF"/>
    <w:rsid w:val="0080315C"/>
    <w:rsid w:val="008031F4"/>
    <w:rsid w:val="008035EF"/>
    <w:rsid w:val="0080394D"/>
    <w:rsid w:val="00803A8E"/>
    <w:rsid w:val="00803C3A"/>
    <w:rsid w:val="00803F00"/>
    <w:rsid w:val="00803FD4"/>
    <w:rsid w:val="008043BE"/>
    <w:rsid w:val="00804642"/>
    <w:rsid w:val="00804648"/>
    <w:rsid w:val="008046B8"/>
    <w:rsid w:val="0080482F"/>
    <w:rsid w:val="00804C22"/>
    <w:rsid w:val="00804C2E"/>
    <w:rsid w:val="00804D08"/>
    <w:rsid w:val="00804E23"/>
    <w:rsid w:val="008052B5"/>
    <w:rsid w:val="00805437"/>
    <w:rsid w:val="00805A2C"/>
    <w:rsid w:val="00805B0E"/>
    <w:rsid w:val="00805BE1"/>
    <w:rsid w:val="00805DB0"/>
    <w:rsid w:val="008060B5"/>
    <w:rsid w:val="008062AE"/>
    <w:rsid w:val="008063D9"/>
    <w:rsid w:val="00806783"/>
    <w:rsid w:val="00806824"/>
    <w:rsid w:val="0080691E"/>
    <w:rsid w:val="00806D0B"/>
    <w:rsid w:val="00806EA4"/>
    <w:rsid w:val="008070D4"/>
    <w:rsid w:val="008071C4"/>
    <w:rsid w:val="00807320"/>
    <w:rsid w:val="00807346"/>
    <w:rsid w:val="00807437"/>
    <w:rsid w:val="008076D8"/>
    <w:rsid w:val="00807772"/>
    <w:rsid w:val="008077C4"/>
    <w:rsid w:val="008078BA"/>
    <w:rsid w:val="0080796F"/>
    <w:rsid w:val="008101BF"/>
    <w:rsid w:val="0081027F"/>
    <w:rsid w:val="0081031B"/>
    <w:rsid w:val="008103DB"/>
    <w:rsid w:val="0081072B"/>
    <w:rsid w:val="0081085C"/>
    <w:rsid w:val="00810FE3"/>
    <w:rsid w:val="00811169"/>
    <w:rsid w:val="00811175"/>
    <w:rsid w:val="008113D3"/>
    <w:rsid w:val="00811678"/>
    <w:rsid w:val="008116B0"/>
    <w:rsid w:val="00811765"/>
    <w:rsid w:val="00811917"/>
    <w:rsid w:val="00811928"/>
    <w:rsid w:val="008119EA"/>
    <w:rsid w:val="00811B2C"/>
    <w:rsid w:val="00811BA7"/>
    <w:rsid w:val="00811BB4"/>
    <w:rsid w:val="00811BB5"/>
    <w:rsid w:val="00811C94"/>
    <w:rsid w:val="00812057"/>
    <w:rsid w:val="008122F3"/>
    <w:rsid w:val="00812A7D"/>
    <w:rsid w:val="00812AE2"/>
    <w:rsid w:val="00812B11"/>
    <w:rsid w:val="00812C37"/>
    <w:rsid w:val="00812C3E"/>
    <w:rsid w:val="008134B0"/>
    <w:rsid w:val="008136ED"/>
    <w:rsid w:val="008137E7"/>
    <w:rsid w:val="0081382C"/>
    <w:rsid w:val="00813A5E"/>
    <w:rsid w:val="00813C37"/>
    <w:rsid w:val="00813F69"/>
    <w:rsid w:val="0081417A"/>
    <w:rsid w:val="00814211"/>
    <w:rsid w:val="0081483F"/>
    <w:rsid w:val="00814AAD"/>
    <w:rsid w:val="00814B23"/>
    <w:rsid w:val="00814E96"/>
    <w:rsid w:val="00814EB8"/>
    <w:rsid w:val="0081513D"/>
    <w:rsid w:val="0081513F"/>
    <w:rsid w:val="008152C4"/>
    <w:rsid w:val="00815305"/>
    <w:rsid w:val="00815544"/>
    <w:rsid w:val="008155A9"/>
    <w:rsid w:val="008155F4"/>
    <w:rsid w:val="00815C78"/>
    <w:rsid w:val="00815D36"/>
    <w:rsid w:val="00815D71"/>
    <w:rsid w:val="00815FD9"/>
    <w:rsid w:val="00816018"/>
    <w:rsid w:val="00816515"/>
    <w:rsid w:val="00816701"/>
    <w:rsid w:val="008167B3"/>
    <w:rsid w:val="008167BF"/>
    <w:rsid w:val="00816838"/>
    <w:rsid w:val="00816B36"/>
    <w:rsid w:val="00816C68"/>
    <w:rsid w:val="00816DBA"/>
    <w:rsid w:val="00816E3D"/>
    <w:rsid w:val="00816F70"/>
    <w:rsid w:val="00817441"/>
    <w:rsid w:val="008175BD"/>
    <w:rsid w:val="00817A69"/>
    <w:rsid w:val="00817C14"/>
    <w:rsid w:val="00817DED"/>
    <w:rsid w:val="008200B8"/>
    <w:rsid w:val="008201A9"/>
    <w:rsid w:val="008202B1"/>
    <w:rsid w:val="008203C4"/>
    <w:rsid w:val="008204D1"/>
    <w:rsid w:val="00820E83"/>
    <w:rsid w:val="00821165"/>
    <w:rsid w:val="00821250"/>
    <w:rsid w:val="00821449"/>
    <w:rsid w:val="00821711"/>
    <w:rsid w:val="00821964"/>
    <w:rsid w:val="00821B12"/>
    <w:rsid w:val="00821E73"/>
    <w:rsid w:val="008221D0"/>
    <w:rsid w:val="0082223C"/>
    <w:rsid w:val="00822545"/>
    <w:rsid w:val="008225E4"/>
    <w:rsid w:val="00822B5F"/>
    <w:rsid w:val="00822EA1"/>
    <w:rsid w:val="00822F56"/>
    <w:rsid w:val="00822F61"/>
    <w:rsid w:val="00823368"/>
    <w:rsid w:val="00823462"/>
    <w:rsid w:val="00823496"/>
    <w:rsid w:val="00823616"/>
    <w:rsid w:val="0082369C"/>
    <w:rsid w:val="008236A9"/>
    <w:rsid w:val="00823C09"/>
    <w:rsid w:val="00823C0C"/>
    <w:rsid w:val="00823D0A"/>
    <w:rsid w:val="00823D3F"/>
    <w:rsid w:val="00823D7A"/>
    <w:rsid w:val="00823F93"/>
    <w:rsid w:val="008243B9"/>
    <w:rsid w:val="00824462"/>
    <w:rsid w:val="0082465C"/>
    <w:rsid w:val="00824796"/>
    <w:rsid w:val="00824958"/>
    <w:rsid w:val="00824A18"/>
    <w:rsid w:val="00825093"/>
    <w:rsid w:val="00825165"/>
    <w:rsid w:val="00825564"/>
    <w:rsid w:val="008256F3"/>
    <w:rsid w:val="00825805"/>
    <w:rsid w:val="00825B81"/>
    <w:rsid w:val="00825CBE"/>
    <w:rsid w:val="00825DDA"/>
    <w:rsid w:val="00825E3F"/>
    <w:rsid w:val="0082609E"/>
    <w:rsid w:val="008262CA"/>
    <w:rsid w:val="0082635C"/>
    <w:rsid w:val="0082637F"/>
    <w:rsid w:val="00826504"/>
    <w:rsid w:val="008267A3"/>
    <w:rsid w:val="0082682B"/>
    <w:rsid w:val="00826933"/>
    <w:rsid w:val="00826CD4"/>
    <w:rsid w:val="00826D91"/>
    <w:rsid w:val="008271A0"/>
    <w:rsid w:val="008271F7"/>
    <w:rsid w:val="00827673"/>
    <w:rsid w:val="00827804"/>
    <w:rsid w:val="0082780F"/>
    <w:rsid w:val="0082785A"/>
    <w:rsid w:val="00827B73"/>
    <w:rsid w:val="00827BE0"/>
    <w:rsid w:val="00827C66"/>
    <w:rsid w:val="00827D62"/>
    <w:rsid w:val="00827D7E"/>
    <w:rsid w:val="00830056"/>
    <w:rsid w:val="00830205"/>
    <w:rsid w:val="008307C1"/>
    <w:rsid w:val="0083093F"/>
    <w:rsid w:val="0083095E"/>
    <w:rsid w:val="0083098E"/>
    <w:rsid w:val="00830B2A"/>
    <w:rsid w:val="0083109F"/>
    <w:rsid w:val="00831199"/>
    <w:rsid w:val="008311DD"/>
    <w:rsid w:val="008313AA"/>
    <w:rsid w:val="008313FA"/>
    <w:rsid w:val="00831444"/>
    <w:rsid w:val="0083196E"/>
    <w:rsid w:val="00831D66"/>
    <w:rsid w:val="0083206E"/>
    <w:rsid w:val="008323FD"/>
    <w:rsid w:val="0083245B"/>
    <w:rsid w:val="00832791"/>
    <w:rsid w:val="008327AA"/>
    <w:rsid w:val="008329C0"/>
    <w:rsid w:val="00832CA2"/>
    <w:rsid w:val="00832EB8"/>
    <w:rsid w:val="00832F58"/>
    <w:rsid w:val="008330BF"/>
    <w:rsid w:val="00833432"/>
    <w:rsid w:val="0083377E"/>
    <w:rsid w:val="00833818"/>
    <w:rsid w:val="0083385D"/>
    <w:rsid w:val="00833A59"/>
    <w:rsid w:val="00833B25"/>
    <w:rsid w:val="00833CB0"/>
    <w:rsid w:val="008340F1"/>
    <w:rsid w:val="00834283"/>
    <w:rsid w:val="00834596"/>
    <w:rsid w:val="008346A1"/>
    <w:rsid w:val="008346D2"/>
    <w:rsid w:val="008348D1"/>
    <w:rsid w:val="00834A33"/>
    <w:rsid w:val="00834B6F"/>
    <w:rsid w:val="00834BA6"/>
    <w:rsid w:val="00834D0A"/>
    <w:rsid w:val="0083511A"/>
    <w:rsid w:val="008351E4"/>
    <w:rsid w:val="00835235"/>
    <w:rsid w:val="00835584"/>
    <w:rsid w:val="008355E2"/>
    <w:rsid w:val="00835613"/>
    <w:rsid w:val="00835735"/>
    <w:rsid w:val="00835766"/>
    <w:rsid w:val="00835A05"/>
    <w:rsid w:val="00835B0E"/>
    <w:rsid w:val="00835CBB"/>
    <w:rsid w:val="0083604C"/>
    <w:rsid w:val="00836388"/>
    <w:rsid w:val="008365E3"/>
    <w:rsid w:val="00836658"/>
    <w:rsid w:val="008366CA"/>
    <w:rsid w:val="00836900"/>
    <w:rsid w:val="00836B24"/>
    <w:rsid w:val="00836BC4"/>
    <w:rsid w:val="00836C0A"/>
    <w:rsid w:val="00836FF9"/>
    <w:rsid w:val="0083726A"/>
    <w:rsid w:val="008375E2"/>
    <w:rsid w:val="008377C5"/>
    <w:rsid w:val="00837AC9"/>
    <w:rsid w:val="00837CB7"/>
    <w:rsid w:val="00837FAA"/>
    <w:rsid w:val="008401B3"/>
    <w:rsid w:val="008401EF"/>
    <w:rsid w:val="0084025E"/>
    <w:rsid w:val="008402A2"/>
    <w:rsid w:val="0084064C"/>
    <w:rsid w:val="00840981"/>
    <w:rsid w:val="00840AAD"/>
    <w:rsid w:val="00840C40"/>
    <w:rsid w:val="00840F45"/>
    <w:rsid w:val="008412D2"/>
    <w:rsid w:val="00841438"/>
    <w:rsid w:val="0084180A"/>
    <w:rsid w:val="0084196A"/>
    <w:rsid w:val="00841D14"/>
    <w:rsid w:val="008420E0"/>
    <w:rsid w:val="00842716"/>
    <w:rsid w:val="00842B70"/>
    <w:rsid w:val="00842E35"/>
    <w:rsid w:val="00842EC7"/>
    <w:rsid w:val="00842ECC"/>
    <w:rsid w:val="00842F17"/>
    <w:rsid w:val="00842FEB"/>
    <w:rsid w:val="0084307A"/>
    <w:rsid w:val="008430F8"/>
    <w:rsid w:val="0084331D"/>
    <w:rsid w:val="00843553"/>
    <w:rsid w:val="0084357D"/>
    <w:rsid w:val="00843615"/>
    <w:rsid w:val="0084381B"/>
    <w:rsid w:val="008438AC"/>
    <w:rsid w:val="00843E35"/>
    <w:rsid w:val="0084449F"/>
    <w:rsid w:val="00844695"/>
    <w:rsid w:val="00844889"/>
    <w:rsid w:val="00844A01"/>
    <w:rsid w:val="00844A14"/>
    <w:rsid w:val="00844A2F"/>
    <w:rsid w:val="00844BAD"/>
    <w:rsid w:val="00844D51"/>
    <w:rsid w:val="00844DB0"/>
    <w:rsid w:val="00845185"/>
    <w:rsid w:val="008451F0"/>
    <w:rsid w:val="008452D0"/>
    <w:rsid w:val="00845525"/>
    <w:rsid w:val="008456A9"/>
    <w:rsid w:val="00845B84"/>
    <w:rsid w:val="00845C8A"/>
    <w:rsid w:val="00845ED2"/>
    <w:rsid w:val="00845FA0"/>
    <w:rsid w:val="00846289"/>
    <w:rsid w:val="008462F1"/>
    <w:rsid w:val="008464F1"/>
    <w:rsid w:val="008465E7"/>
    <w:rsid w:val="0084665D"/>
    <w:rsid w:val="008467FE"/>
    <w:rsid w:val="0084687F"/>
    <w:rsid w:val="00846A08"/>
    <w:rsid w:val="00846A7D"/>
    <w:rsid w:val="00846BC9"/>
    <w:rsid w:val="00846C5F"/>
    <w:rsid w:val="008473D9"/>
    <w:rsid w:val="00847684"/>
    <w:rsid w:val="0084787D"/>
    <w:rsid w:val="0084794B"/>
    <w:rsid w:val="00847A61"/>
    <w:rsid w:val="00847A88"/>
    <w:rsid w:val="00847C9E"/>
    <w:rsid w:val="00847CEB"/>
    <w:rsid w:val="00847D28"/>
    <w:rsid w:val="00847D73"/>
    <w:rsid w:val="00847D76"/>
    <w:rsid w:val="00847E5D"/>
    <w:rsid w:val="00847ED4"/>
    <w:rsid w:val="00847F08"/>
    <w:rsid w:val="008502C4"/>
    <w:rsid w:val="008502E9"/>
    <w:rsid w:val="008503BD"/>
    <w:rsid w:val="008508FC"/>
    <w:rsid w:val="00850C00"/>
    <w:rsid w:val="00850F63"/>
    <w:rsid w:val="00851085"/>
    <w:rsid w:val="008511A4"/>
    <w:rsid w:val="0085137B"/>
    <w:rsid w:val="00851475"/>
    <w:rsid w:val="00851484"/>
    <w:rsid w:val="00851551"/>
    <w:rsid w:val="00851716"/>
    <w:rsid w:val="00851942"/>
    <w:rsid w:val="00851C33"/>
    <w:rsid w:val="00851E75"/>
    <w:rsid w:val="00851EA7"/>
    <w:rsid w:val="008521DE"/>
    <w:rsid w:val="00852351"/>
    <w:rsid w:val="00852383"/>
    <w:rsid w:val="0085248E"/>
    <w:rsid w:val="0085278F"/>
    <w:rsid w:val="008527DC"/>
    <w:rsid w:val="00852959"/>
    <w:rsid w:val="0085298B"/>
    <w:rsid w:val="00852B9F"/>
    <w:rsid w:val="00852E60"/>
    <w:rsid w:val="00852EBF"/>
    <w:rsid w:val="00852FFB"/>
    <w:rsid w:val="00853055"/>
    <w:rsid w:val="0085315D"/>
    <w:rsid w:val="00853410"/>
    <w:rsid w:val="008534B4"/>
    <w:rsid w:val="00853548"/>
    <w:rsid w:val="008535FF"/>
    <w:rsid w:val="008538D2"/>
    <w:rsid w:val="00853AF4"/>
    <w:rsid w:val="008541C0"/>
    <w:rsid w:val="008541CF"/>
    <w:rsid w:val="0085463C"/>
    <w:rsid w:val="008547C3"/>
    <w:rsid w:val="00854876"/>
    <w:rsid w:val="008549A3"/>
    <w:rsid w:val="00854A31"/>
    <w:rsid w:val="00854A7F"/>
    <w:rsid w:val="00854E4A"/>
    <w:rsid w:val="008551EE"/>
    <w:rsid w:val="00855217"/>
    <w:rsid w:val="0085534A"/>
    <w:rsid w:val="0085539B"/>
    <w:rsid w:val="008555D8"/>
    <w:rsid w:val="00855698"/>
    <w:rsid w:val="008556D2"/>
    <w:rsid w:val="008557AD"/>
    <w:rsid w:val="00855AD1"/>
    <w:rsid w:val="00855D85"/>
    <w:rsid w:val="00855FB3"/>
    <w:rsid w:val="008562DD"/>
    <w:rsid w:val="0085642C"/>
    <w:rsid w:val="00856599"/>
    <w:rsid w:val="008565BB"/>
    <w:rsid w:val="00856762"/>
    <w:rsid w:val="008567FF"/>
    <w:rsid w:val="00856872"/>
    <w:rsid w:val="0085738E"/>
    <w:rsid w:val="0085748F"/>
    <w:rsid w:val="008575DF"/>
    <w:rsid w:val="0085777B"/>
    <w:rsid w:val="00857838"/>
    <w:rsid w:val="0085797C"/>
    <w:rsid w:val="00857A37"/>
    <w:rsid w:val="00857CBD"/>
    <w:rsid w:val="00857EB3"/>
    <w:rsid w:val="00857F08"/>
    <w:rsid w:val="008600BF"/>
    <w:rsid w:val="00860690"/>
    <w:rsid w:val="0086093B"/>
    <w:rsid w:val="00860A1C"/>
    <w:rsid w:val="00860C15"/>
    <w:rsid w:val="00860C24"/>
    <w:rsid w:val="00860EEA"/>
    <w:rsid w:val="00860FBD"/>
    <w:rsid w:val="0086146A"/>
    <w:rsid w:val="0086165D"/>
    <w:rsid w:val="00861B99"/>
    <w:rsid w:val="00861BCD"/>
    <w:rsid w:val="00861F15"/>
    <w:rsid w:val="008620A0"/>
    <w:rsid w:val="0086297D"/>
    <w:rsid w:val="00862F79"/>
    <w:rsid w:val="00863075"/>
    <w:rsid w:val="00863107"/>
    <w:rsid w:val="00863D4E"/>
    <w:rsid w:val="00863F9C"/>
    <w:rsid w:val="00864511"/>
    <w:rsid w:val="00864696"/>
    <w:rsid w:val="008649B6"/>
    <w:rsid w:val="008650CD"/>
    <w:rsid w:val="00865277"/>
    <w:rsid w:val="0086538C"/>
    <w:rsid w:val="0086579A"/>
    <w:rsid w:val="0086582B"/>
    <w:rsid w:val="00865D76"/>
    <w:rsid w:val="008660F8"/>
    <w:rsid w:val="0086637A"/>
    <w:rsid w:val="00866474"/>
    <w:rsid w:val="0086649C"/>
    <w:rsid w:val="008664C7"/>
    <w:rsid w:val="008664E1"/>
    <w:rsid w:val="008665C8"/>
    <w:rsid w:val="008666AF"/>
    <w:rsid w:val="00866706"/>
    <w:rsid w:val="00866883"/>
    <w:rsid w:val="00866B39"/>
    <w:rsid w:val="00866DEF"/>
    <w:rsid w:val="00866E08"/>
    <w:rsid w:val="00866F89"/>
    <w:rsid w:val="00867019"/>
    <w:rsid w:val="00867114"/>
    <w:rsid w:val="0086722B"/>
    <w:rsid w:val="00867345"/>
    <w:rsid w:val="00867388"/>
    <w:rsid w:val="0086783D"/>
    <w:rsid w:val="00867906"/>
    <w:rsid w:val="00867A1B"/>
    <w:rsid w:val="00867D06"/>
    <w:rsid w:val="0087023D"/>
    <w:rsid w:val="008703D2"/>
    <w:rsid w:val="00870475"/>
    <w:rsid w:val="0087085E"/>
    <w:rsid w:val="00870928"/>
    <w:rsid w:val="00870956"/>
    <w:rsid w:val="00870A85"/>
    <w:rsid w:val="00870AAE"/>
    <w:rsid w:val="0087130F"/>
    <w:rsid w:val="00871950"/>
    <w:rsid w:val="00871CF8"/>
    <w:rsid w:val="00871E49"/>
    <w:rsid w:val="00872032"/>
    <w:rsid w:val="0087207D"/>
    <w:rsid w:val="00872329"/>
    <w:rsid w:val="00872838"/>
    <w:rsid w:val="00872B0C"/>
    <w:rsid w:val="00872BC7"/>
    <w:rsid w:val="00873209"/>
    <w:rsid w:val="008733B5"/>
    <w:rsid w:val="008736F0"/>
    <w:rsid w:val="00873987"/>
    <w:rsid w:val="008739A6"/>
    <w:rsid w:val="00873B84"/>
    <w:rsid w:val="00873D8F"/>
    <w:rsid w:val="008743E7"/>
    <w:rsid w:val="00874590"/>
    <w:rsid w:val="0087495B"/>
    <w:rsid w:val="0087497F"/>
    <w:rsid w:val="00874A3D"/>
    <w:rsid w:val="00874BD9"/>
    <w:rsid w:val="00874CE7"/>
    <w:rsid w:val="00874DAE"/>
    <w:rsid w:val="00874DEE"/>
    <w:rsid w:val="00874E13"/>
    <w:rsid w:val="00874E6D"/>
    <w:rsid w:val="00874FD3"/>
    <w:rsid w:val="00875102"/>
    <w:rsid w:val="0087513D"/>
    <w:rsid w:val="0087552C"/>
    <w:rsid w:val="008756BA"/>
    <w:rsid w:val="0087572C"/>
    <w:rsid w:val="00875782"/>
    <w:rsid w:val="00875954"/>
    <w:rsid w:val="008759C8"/>
    <w:rsid w:val="00875A6B"/>
    <w:rsid w:val="00875A99"/>
    <w:rsid w:val="00875AED"/>
    <w:rsid w:val="00875C12"/>
    <w:rsid w:val="00875E8E"/>
    <w:rsid w:val="00875F1A"/>
    <w:rsid w:val="0087646C"/>
    <w:rsid w:val="008764BF"/>
    <w:rsid w:val="00876611"/>
    <w:rsid w:val="00876778"/>
    <w:rsid w:val="00876D79"/>
    <w:rsid w:val="008770E1"/>
    <w:rsid w:val="00877108"/>
    <w:rsid w:val="00877731"/>
    <w:rsid w:val="008777E8"/>
    <w:rsid w:val="0087784F"/>
    <w:rsid w:val="00877AC5"/>
    <w:rsid w:val="00877C12"/>
    <w:rsid w:val="00877E25"/>
    <w:rsid w:val="00877EC1"/>
    <w:rsid w:val="0088007F"/>
    <w:rsid w:val="008805CC"/>
    <w:rsid w:val="00880B46"/>
    <w:rsid w:val="00880CFC"/>
    <w:rsid w:val="00880F7C"/>
    <w:rsid w:val="00880FF2"/>
    <w:rsid w:val="00881662"/>
    <w:rsid w:val="00881C6D"/>
    <w:rsid w:val="00881E06"/>
    <w:rsid w:val="00881F63"/>
    <w:rsid w:val="00882003"/>
    <w:rsid w:val="0088241F"/>
    <w:rsid w:val="0088264B"/>
    <w:rsid w:val="00882786"/>
    <w:rsid w:val="00882955"/>
    <w:rsid w:val="00882A13"/>
    <w:rsid w:val="00882A14"/>
    <w:rsid w:val="00882A37"/>
    <w:rsid w:val="00882E6C"/>
    <w:rsid w:val="00882EE5"/>
    <w:rsid w:val="00882FC1"/>
    <w:rsid w:val="008831BC"/>
    <w:rsid w:val="0088322C"/>
    <w:rsid w:val="008832CA"/>
    <w:rsid w:val="008832F4"/>
    <w:rsid w:val="008836DD"/>
    <w:rsid w:val="0088373D"/>
    <w:rsid w:val="00883931"/>
    <w:rsid w:val="00883B13"/>
    <w:rsid w:val="008840DA"/>
    <w:rsid w:val="0088434D"/>
    <w:rsid w:val="00884634"/>
    <w:rsid w:val="008846BA"/>
    <w:rsid w:val="0088483D"/>
    <w:rsid w:val="00884B51"/>
    <w:rsid w:val="00884B5C"/>
    <w:rsid w:val="00884CF7"/>
    <w:rsid w:val="0088503A"/>
    <w:rsid w:val="0088517E"/>
    <w:rsid w:val="00885295"/>
    <w:rsid w:val="00885462"/>
    <w:rsid w:val="0088556C"/>
    <w:rsid w:val="00885905"/>
    <w:rsid w:val="00885AFF"/>
    <w:rsid w:val="00885B3C"/>
    <w:rsid w:val="00885C27"/>
    <w:rsid w:val="00885C6C"/>
    <w:rsid w:val="00885C90"/>
    <w:rsid w:val="00886252"/>
    <w:rsid w:val="0088637B"/>
    <w:rsid w:val="0088642C"/>
    <w:rsid w:val="008864FB"/>
    <w:rsid w:val="00886594"/>
    <w:rsid w:val="008866B4"/>
    <w:rsid w:val="008869B1"/>
    <w:rsid w:val="00886B8C"/>
    <w:rsid w:val="0088704F"/>
    <w:rsid w:val="00887247"/>
    <w:rsid w:val="008873A6"/>
    <w:rsid w:val="0088773D"/>
    <w:rsid w:val="00887762"/>
    <w:rsid w:val="00887A46"/>
    <w:rsid w:val="00887B1C"/>
    <w:rsid w:val="00887BF1"/>
    <w:rsid w:val="00887D84"/>
    <w:rsid w:val="00887DFA"/>
    <w:rsid w:val="00890029"/>
    <w:rsid w:val="0089056A"/>
    <w:rsid w:val="008905D3"/>
    <w:rsid w:val="0089064C"/>
    <w:rsid w:val="00890679"/>
    <w:rsid w:val="008906AF"/>
    <w:rsid w:val="008906CE"/>
    <w:rsid w:val="00890F3B"/>
    <w:rsid w:val="0089109A"/>
    <w:rsid w:val="008910E8"/>
    <w:rsid w:val="008917EE"/>
    <w:rsid w:val="0089195C"/>
    <w:rsid w:val="00891A0E"/>
    <w:rsid w:val="00891A9B"/>
    <w:rsid w:val="00891B99"/>
    <w:rsid w:val="00891F4A"/>
    <w:rsid w:val="00892832"/>
    <w:rsid w:val="008928E7"/>
    <w:rsid w:val="0089293E"/>
    <w:rsid w:val="00892D49"/>
    <w:rsid w:val="00892E4E"/>
    <w:rsid w:val="00893073"/>
    <w:rsid w:val="00893169"/>
    <w:rsid w:val="0089329E"/>
    <w:rsid w:val="00893800"/>
    <w:rsid w:val="008938E5"/>
    <w:rsid w:val="00893952"/>
    <w:rsid w:val="008939FE"/>
    <w:rsid w:val="00893CCE"/>
    <w:rsid w:val="00893E09"/>
    <w:rsid w:val="00893F0E"/>
    <w:rsid w:val="00894130"/>
    <w:rsid w:val="0089437C"/>
    <w:rsid w:val="008946CA"/>
    <w:rsid w:val="0089486D"/>
    <w:rsid w:val="00894C37"/>
    <w:rsid w:val="00894D40"/>
    <w:rsid w:val="00894EA9"/>
    <w:rsid w:val="00894EEA"/>
    <w:rsid w:val="00894FC9"/>
    <w:rsid w:val="00895149"/>
    <w:rsid w:val="0089563E"/>
    <w:rsid w:val="0089564F"/>
    <w:rsid w:val="008957FC"/>
    <w:rsid w:val="008958E4"/>
    <w:rsid w:val="008960CE"/>
    <w:rsid w:val="00896582"/>
    <w:rsid w:val="008967D3"/>
    <w:rsid w:val="0089686D"/>
    <w:rsid w:val="00896AF5"/>
    <w:rsid w:val="00896CF4"/>
    <w:rsid w:val="00897081"/>
    <w:rsid w:val="00897134"/>
    <w:rsid w:val="00897388"/>
    <w:rsid w:val="0089779A"/>
    <w:rsid w:val="008977D9"/>
    <w:rsid w:val="00897937"/>
    <w:rsid w:val="0089797C"/>
    <w:rsid w:val="008979A2"/>
    <w:rsid w:val="00897A8F"/>
    <w:rsid w:val="00897AF5"/>
    <w:rsid w:val="00897B29"/>
    <w:rsid w:val="00897C20"/>
    <w:rsid w:val="00897CBC"/>
    <w:rsid w:val="00897CD9"/>
    <w:rsid w:val="00897D0F"/>
    <w:rsid w:val="00897F6E"/>
    <w:rsid w:val="008A0061"/>
    <w:rsid w:val="008A047A"/>
    <w:rsid w:val="008A06B7"/>
    <w:rsid w:val="008A098A"/>
    <w:rsid w:val="008A0A24"/>
    <w:rsid w:val="008A0B55"/>
    <w:rsid w:val="008A0E3A"/>
    <w:rsid w:val="008A1034"/>
    <w:rsid w:val="008A1081"/>
    <w:rsid w:val="008A142D"/>
    <w:rsid w:val="008A155A"/>
    <w:rsid w:val="008A1704"/>
    <w:rsid w:val="008A18AF"/>
    <w:rsid w:val="008A18E5"/>
    <w:rsid w:val="008A1A08"/>
    <w:rsid w:val="008A1A18"/>
    <w:rsid w:val="008A1C36"/>
    <w:rsid w:val="008A1D6E"/>
    <w:rsid w:val="008A23B1"/>
    <w:rsid w:val="008A2613"/>
    <w:rsid w:val="008A262B"/>
    <w:rsid w:val="008A28C5"/>
    <w:rsid w:val="008A28FA"/>
    <w:rsid w:val="008A2A70"/>
    <w:rsid w:val="008A2A7C"/>
    <w:rsid w:val="008A2B8F"/>
    <w:rsid w:val="008A2B95"/>
    <w:rsid w:val="008A2BAB"/>
    <w:rsid w:val="008A2BF1"/>
    <w:rsid w:val="008A2CDE"/>
    <w:rsid w:val="008A2DD7"/>
    <w:rsid w:val="008A2E27"/>
    <w:rsid w:val="008A33F8"/>
    <w:rsid w:val="008A3401"/>
    <w:rsid w:val="008A37B6"/>
    <w:rsid w:val="008A3BDD"/>
    <w:rsid w:val="008A3CA7"/>
    <w:rsid w:val="008A401D"/>
    <w:rsid w:val="008A410C"/>
    <w:rsid w:val="008A4408"/>
    <w:rsid w:val="008A480C"/>
    <w:rsid w:val="008A487F"/>
    <w:rsid w:val="008A4C6D"/>
    <w:rsid w:val="008A50D7"/>
    <w:rsid w:val="008A519D"/>
    <w:rsid w:val="008A5292"/>
    <w:rsid w:val="008A542A"/>
    <w:rsid w:val="008A544B"/>
    <w:rsid w:val="008A549A"/>
    <w:rsid w:val="008A5590"/>
    <w:rsid w:val="008A55C6"/>
    <w:rsid w:val="008A55DA"/>
    <w:rsid w:val="008A577D"/>
    <w:rsid w:val="008A57C6"/>
    <w:rsid w:val="008A5AE3"/>
    <w:rsid w:val="008A5BB4"/>
    <w:rsid w:val="008A612F"/>
    <w:rsid w:val="008A617B"/>
    <w:rsid w:val="008A61DF"/>
    <w:rsid w:val="008A692B"/>
    <w:rsid w:val="008A699F"/>
    <w:rsid w:val="008A6DAF"/>
    <w:rsid w:val="008A6E67"/>
    <w:rsid w:val="008A72C7"/>
    <w:rsid w:val="008A7D4F"/>
    <w:rsid w:val="008A7E9F"/>
    <w:rsid w:val="008B019E"/>
    <w:rsid w:val="008B02B8"/>
    <w:rsid w:val="008B0346"/>
    <w:rsid w:val="008B034F"/>
    <w:rsid w:val="008B03D5"/>
    <w:rsid w:val="008B0670"/>
    <w:rsid w:val="008B0C0C"/>
    <w:rsid w:val="008B0C14"/>
    <w:rsid w:val="008B0C65"/>
    <w:rsid w:val="008B0E22"/>
    <w:rsid w:val="008B0EE8"/>
    <w:rsid w:val="008B0EF1"/>
    <w:rsid w:val="008B0F93"/>
    <w:rsid w:val="008B1080"/>
    <w:rsid w:val="008B112A"/>
    <w:rsid w:val="008B11EA"/>
    <w:rsid w:val="008B1272"/>
    <w:rsid w:val="008B12D4"/>
    <w:rsid w:val="008B1491"/>
    <w:rsid w:val="008B1539"/>
    <w:rsid w:val="008B15FD"/>
    <w:rsid w:val="008B18EB"/>
    <w:rsid w:val="008B1B25"/>
    <w:rsid w:val="008B1E4D"/>
    <w:rsid w:val="008B1E4F"/>
    <w:rsid w:val="008B2132"/>
    <w:rsid w:val="008B27FE"/>
    <w:rsid w:val="008B2819"/>
    <w:rsid w:val="008B29FA"/>
    <w:rsid w:val="008B2C43"/>
    <w:rsid w:val="008B2C53"/>
    <w:rsid w:val="008B3033"/>
    <w:rsid w:val="008B30E5"/>
    <w:rsid w:val="008B3576"/>
    <w:rsid w:val="008B35DC"/>
    <w:rsid w:val="008B38EA"/>
    <w:rsid w:val="008B3957"/>
    <w:rsid w:val="008B3A47"/>
    <w:rsid w:val="008B3D96"/>
    <w:rsid w:val="008B3FEC"/>
    <w:rsid w:val="008B4802"/>
    <w:rsid w:val="008B49DA"/>
    <w:rsid w:val="008B4A9B"/>
    <w:rsid w:val="008B4F7F"/>
    <w:rsid w:val="008B521D"/>
    <w:rsid w:val="008B5289"/>
    <w:rsid w:val="008B5590"/>
    <w:rsid w:val="008B581D"/>
    <w:rsid w:val="008B589C"/>
    <w:rsid w:val="008B5B4D"/>
    <w:rsid w:val="008B5C97"/>
    <w:rsid w:val="008B63AF"/>
    <w:rsid w:val="008B63B7"/>
    <w:rsid w:val="008B644B"/>
    <w:rsid w:val="008B6537"/>
    <w:rsid w:val="008B680B"/>
    <w:rsid w:val="008B689C"/>
    <w:rsid w:val="008B6C92"/>
    <w:rsid w:val="008B6E61"/>
    <w:rsid w:val="008B7100"/>
    <w:rsid w:val="008B72BA"/>
    <w:rsid w:val="008B73C4"/>
    <w:rsid w:val="008B7491"/>
    <w:rsid w:val="008B7724"/>
    <w:rsid w:val="008B7921"/>
    <w:rsid w:val="008B7A06"/>
    <w:rsid w:val="008B7D74"/>
    <w:rsid w:val="008C00BA"/>
    <w:rsid w:val="008C0582"/>
    <w:rsid w:val="008C05C6"/>
    <w:rsid w:val="008C07C7"/>
    <w:rsid w:val="008C0E69"/>
    <w:rsid w:val="008C109A"/>
    <w:rsid w:val="008C125C"/>
    <w:rsid w:val="008C14E5"/>
    <w:rsid w:val="008C1559"/>
    <w:rsid w:val="008C1671"/>
    <w:rsid w:val="008C1691"/>
    <w:rsid w:val="008C16BA"/>
    <w:rsid w:val="008C189B"/>
    <w:rsid w:val="008C18A6"/>
    <w:rsid w:val="008C1AC3"/>
    <w:rsid w:val="008C1B4B"/>
    <w:rsid w:val="008C1B9F"/>
    <w:rsid w:val="008C1BC9"/>
    <w:rsid w:val="008C1C48"/>
    <w:rsid w:val="008C1DBC"/>
    <w:rsid w:val="008C1E0E"/>
    <w:rsid w:val="008C1F8B"/>
    <w:rsid w:val="008C21AA"/>
    <w:rsid w:val="008C21C6"/>
    <w:rsid w:val="008C21C8"/>
    <w:rsid w:val="008C229C"/>
    <w:rsid w:val="008C232A"/>
    <w:rsid w:val="008C27B8"/>
    <w:rsid w:val="008C27CD"/>
    <w:rsid w:val="008C28DB"/>
    <w:rsid w:val="008C2AA1"/>
    <w:rsid w:val="008C2C4D"/>
    <w:rsid w:val="008C2F7A"/>
    <w:rsid w:val="008C3003"/>
    <w:rsid w:val="008C3023"/>
    <w:rsid w:val="008C33AA"/>
    <w:rsid w:val="008C33C0"/>
    <w:rsid w:val="008C34C1"/>
    <w:rsid w:val="008C34DD"/>
    <w:rsid w:val="008C3703"/>
    <w:rsid w:val="008C38BE"/>
    <w:rsid w:val="008C3A47"/>
    <w:rsid w:val="008C3E22"/>
    <w:rsid w:val="008C3E56"/>
    <w:rsid w:val="008C3EE9"/>
    <w:rsid w:val="008C403B"/>
    <w:rsid w:val="008C410B"/>
    <w:rsid w:val="008C4221"/>
    <w:rsid w:val="008C44F6"/>
    <w:rsid w:val="008C4575"/>
    <w:rsid w:val="008C461B"/>
    <w:rsid w:val="008C4667"/>
    <w:rsid w:val="008C46CD"/>
    <w:rsid w:val="008C491C"/>
    <w:rsid w:val="008C4E69"/>
    <w:rsid w:val="008C5051"/>
    <w:rsid w:val="008C5116"/>
    <w:rsid w:val="008C5191"/>
    <w:rsid w:val="008C5199"/>
    <w:rsid w:val="008C5284"/>
    <w:rsid w:val="008C536F"/>
    <w:rsid w:val="008C5600"/>
    <w:rsid w:val="008C584B"/>
    <w:rsid w:val="008C5859"/>
    <w:rsid w:val="008C5954"/>
    <w:rsid w:val="008C5972"/>
    <w:rsid w:val="008C59A9"/>
    <w:rsid w:val="008C5CCA"/>
    <w:rsid w:val="008C5E67"/>
    <w:rsid w:val="008C5EAB"/>
    <w:rsid w:val="008C5F3B"/>
    <w:rsid w:val="008C61F6"/>
    <w:rsid w:val="008C622A"/>
    <w:rsid w:val="008C66D1"/>
    <w:rsid w:val="008C6A04"/>
    <w:rsid w:val="008C6A3D"/>
    <w:rsid w:val="008C703D"/>
    <w:rsid w:val="008C70C8"/>
    <w:rsid w:val="008C72A1"/>
    <w:rsid w:val="008C758E"/>
    <w:rsid w:val="008C7623"/>
    <w:rsid w:val="008C7923"/>
    <w:rsid w:val="008C7B91"/>
    <w:rsid w:val="008C7DAF"/>
    <w:rsid w:val="008D048E"/>
    <w:rsid w:val="008D04CF"/>
    <w:rsid w:val="008D0550"/>
    <w:rsid w:val="008D08DE"/>
    <w:rsid w:val="008D09C6"/>
    <w:rsid w:val="008D0CC3"/>
    <w:rsid w:val="008D0CDD"/>
    <w:rsid w:val="008D0D61"/>
    <w:rsid w:val="008D0E5A"/>
    <w:rsid w:val="008D0ECB"/>
    <w:rsid w:val="008D1216"/>
    <w:rsid w:val="008D13A8"/>
    <w:rsid w:val="008D15FF"/>
    <w:rsid w:val="008D1796"/>
    <w:rsid w:val="008D190D"/>
    <w:rsid w:val="008D1962"/>
    <w:rsid w:val="008D1A0F"/>
    <w:rsid w:val="008D1CAB"/>
    <w:rsid w:val="008D1CF4"/>
    <w:rsid w:val="008D1D3C"/>
    <w:rsid w:val="008D209C"/>
    <w:rsid w:val="008D22F8"/>
    <w:rsid w:val="008D2599"/>
    <w:rsid w:val="008D2689"/>
    <w:rsid w:val="008D2698"/>
    <w:rsid w:val="008D26DA"/>
    <w:rsid w:val="008D2742"/>
    <w:rsid w:val="008D281B"/>
    <w:rsid w:val="008D2A2B"/>
    <w:rsid w:val="008D2C66"/>
    <w:rsid w:val="008D2D2A"/>
    <w:rsid w:val="008D2F3A"/>
    <w:rsid w:val="008D3060"/>
    <w:rsid w:val="008D3310"/>
    <w:rsid w:val="008D3538"/>
    <w:rsid w:val="008D3542"/>
    <w:rsid w:val="008D35B7"/>
    <w:rsid w:val="008D3673"/>
    <w:rsid w:val="008D367B"/>
    <w:rsid w:val="008D3A21"/>
    <w:rsid w:val="008D3A77"/>
    <w:rsid w:val="008D3AF1"/>
    <w:rsid w:val="008D3BB2"/>
    <w:rsid w:val="008D3BB4"/>
    <w:rsid w:val="008D3D8D"/>
    <w:rsid w:val="008D3DA0"/>
    <w:rsid w:val="008D3E40"/>
    <w:rsid w:val="008D40F5"/>
    <w:rsid w:val="008D4188"/>
    <w:rsid w:val="008D420B"/>
    <w:rsid w:val="008D44CF"/>
    <w:rsid w:val="008D4527"/>
    <w:rsid w:val="008D4531"/>
    <w:rsid w:val="008D45D8"/>
    <w:rsid w:val="008D48C0"/>
    <w:rsid w:val="008D4B76"/>
    <w:rsid w:val="008D4BF7"/>
    <w:rsid w:val="008D4C46"/>
    <w:rsid w:val="008D4D43"/>
    <w:rsid w:val="008D4D8D"/>
    <w:rsid w:val="008D4DED"/>
    <w:rsid w:val="008D504D"/>
    <w:rsid w:val="008D50E7"/>
    <w:rsid w:val="008D5279"/>
    <w:rsid w:val="008D52B8"/>
    <w:rsid w:val="008D536D"/>
    <w:rsid w:val="008D579B"/>
    <w:rsid w:val="008D5859"/>
    <w:rsid w:val="008D5C04"/>
    <w:rsid w:val="008D5DC7"/>
    <w:rsid w:val="008D5DF8"/>
    <w:rsid w:val="008D5F41"/>
    <w:rsid w:val="008D5FAF"/>
    <w:rsid w:val="008D609E"/>
    <w:rsid w:val="008D65E1"/>
    <w:rsid w:val="008D6852"/>
    <w:rsid w:val="008D6853"/>
    <w:rsid w:val="008D69BA"/>
    <w:rsid w:val="008D6A2A"/>
    <w:rsid w:val="008D7261"/>
    <w:rsid w:val="008D75B6"/>
    <w:rsid w:val="008D7D8D"/>
    <w:rsid w:val="008D7F8F"/>
    <w:rsid w:val="008E006B"/>
    <w:rsid w:val="008E00A8"/>
    <w:rsid w:val="008E01ED"/>
    <w:rsid w:val="008E0353"/>
    <w:rsid w:val="008E0539"/>
    <w:rsid w:val="008E058B"/>
    <w:rsid w:val="008E07F3"/>
    <w:rsid w:val="008E0801"/>
    <w:rsid w:val="008E0B56"/>
    <w:rsid w:val="008E0CAF"/>
    <w:rsid w:val="008E0D18"/>
    <w:rsid w:val="008E0EA2"/>
    <w:rsid w:val="008E0F7E"/>
    <w:rsid w:val="008E1154"/>
    <w:rsid w:val="008E1239"/>
    <w:rsid w:val="008E12DC"/>
    <w:rsid w:val="008E1739"/>
    <w:rsid w:val="008E1C10"/>
    <w:rsid w:val="008E1E2F"/>
    <w:rsid w:val="008E1FEB"/>
    <w:rsid w:val="008E212C"/>
    <w:rsid w:val="008E2130"/>
    <w:rsid w:val="008E23D1"/>
    <w:rsid w:val="008E26CA"/>
    <w:rsid w:val="008E296E"/>
    <w:rsid w:val="008E2E51"/>
    <w:rsid w:val="008E3017"/>
    <w:rsid w:val="008E377C"/>
    <w:rsid w:val="008E3879"/>
    <w:rsid w:val="008E3949"/>
    <w:rsid w:val="008E3A05"/>
    <w:rsid w:val="008E3A33"/>
    <w:rsid w:val="008E3C2F"/>
    <w:rsid w:val="008E3F70"/>
    <w:rsid w:val="008E41ED"/>
    <w:rsid w:val="008E4435"/>
    <w:rsid w:val="008E457C"/>
    <w:rsid w:val="008E45C7"/>
    <w:rsid w:val="008E4825"/>
    <w:rsid w:val="008E482C"/>
    <w:rsid w:val="008E4833"/>
    <w:rsid w:val="008E4838"/>
    <w:rsid w:val="008E48F5"/>
    <w:rsid w:val="008E4A2C"/>
    <w:rsid w:val="008E4E33"/>
    <w:rsid w:val="008E4EC8"/>
    <w:rsid w:val="008E51D6"/>
    <w:rsid w:val="008E5784"/>
    <w:rsid w:val="008E5AEE"/>
    <w:rsid w:val="008E5B77"/>
    <w:rsid w:val="008E5D18"/>
    <w:rsid w:val="008E5E54"/>
    <w:rsid w:val="008E61E0"/>
    <w:rsid w:val="008E660F"/>
    <w:rsid w:val="008E6715"/>
    <w:rsid w:val="008E6A80"/>
    <w:rsid w:val="008E6B80"/>
    <w:rsid w:val="008E6BA3"/>
    <w:rsid w:val="008E6EBC"/>
    <w:rsid w:val="008E73BD"/>
    <w:rsid w:val="008E74A3"/>
    <w:rsid w:val="008E7984"/>
    <w:rsid w:val="008E7AD8"/>
    <w:rsid w:val="008E7B2C"/>
    <w:rsid w:val="008E7B8F"/>
    <w:rsid w:val="008F0044"/>
    <w:rsid w:val="008F010C"/>
    <w:rsid w:val="008F0590"/>
    <w:rsid w:val="008F0716"/>
    <w:rsid w:val="008F08F7"/>
    <w:rsid w:val="008F0FB6"/>
    <w:rsid w:val="008F10DB"/>
    <w:rsid w:val="008F1686"/>
    <w:rsid w:val="008F1A0A"/>
    <w:rsid w:val="008F211E"/>
    <w:rsid w:val="008F2312"/>
    <w:rsid w:val="008F2402"/>
    <w:rsid w:val="008F245F"/>
    <w:rsid w:val="008F25D6"/>
    <w:rsid w:val="008F263D"/>
    <w:rsid w:val="008F26D4"/>
    <w:rsid w:val="008F2700"/>
    <w:rsid w:val="008F2764"/>
    <w:rsid w:val="008F292E"/>
    <w:rsid w:val="008F29E4"/>
    <w:rsid w:val="008F2AD1"/>
    <w:rsid w:val="008F2B18"/>
    <w:rsid w:val="008F2EDE"/>
    <w:rsid w:val="008F2EED"/>
    <w:rsid w:val="008F2F0C"/>
    <w:rsid w:val="008F3408"/>
    <w:rsid w:val="008F3528"/>
    <w:rsid w:val="008F3566"/>
    <w:rsid w:val="008F3FB4"/>
    <w:rsid w:val="008F41FC"/>
    <w:rsid w:val="008F4270"/>
    <w:rsid w:val="008F4343"/>
    <w:rsid w:val="008F43E0"/>
    <w:rsid w:val="008F43FD"/>
    <w:rsid w:val="008F44B0"/>
    <w:rsid w:val="008F4907"/>
    <w:rsid w:val="008F4AD6"/>
    <w:rsid w:val="008F4B5E"/>
    <w:rsid w:val="008F4BDB"/>
    <w:rsid w:val="008F4E56"/>
    <w:rsid w:val="008F4F25"/>
    <w:rsid w:val="008F4FA3"/>
    <w:rsid w:val="008F537F"/>
    <w:rsid w:val="008F55E3"/>
    <w:rsid w:val="008F5741"/>
    <w:rsid w:val="008F57C4"/>
    <w:rsid w:val="008F57E8"/>
    <w:rsid w:val="008F581A"/>
    <w:rsid w:val="008F583C"/>
    <w:rsid w:val="008F58D7"/>
    <w:rsid w:val="008F5A67"/>
    <w:rsid w:val="008F5AB6"/>
    <w:rsid w:val="008F5B7B"/>
    <w:rsid w:val="008F5BEA"/>
    <w:rsid w:val="008F5D5B"/>
    <w:rsid w:val="008F5F19"/>
    <w:rsid w:val="008F5F34"/>
    <w:rsid w:val="008F6003"/>
    <w:rsid w:val="008F6035"/>
    <w:rsid w:val="008F6B38"/>
    <w:rsid w:val="008F6CC4"/>
    <w:rsid w:val="008F6D0E"/>
    <w:rsid w:val="008F6D2D"/>
    <w:rsid w:val="008F6E80"/>
    <w:rsid w:val="008F6FA1"/>
    <w:rsid w:val="008F70EC"/>
    <w:rsid w:val="008F72D8"/>
    <w:rsid w:val="008F7A46"/>
    <w:rsid w:val="008F7EFE"/>
    <w:rsid w:val="009000E3"/>
    <w:rsid w:val="0090046D"/>
    <w:rsid w:val="0090071E"/>
    <w:rsid w:val="00900828"/>
    <w:rsid w:val="0090091B"/>
    <w:rsid w:val="009010AA"/>
    <w:rsid w:val="00901187"/>
    <w:rsid w:val="0090123F"/>
    <w:rsid w:val="0090177B"/>
    <w:rsid w:val="00901799"/>
    <w:rsid w:val="00901FA2"/>
    <w:rsid w:val="009023A2"/>
    <w:rsid w:val="00902664"/>
    <w:rsid w:val="009027E2"/>
    <w:rsid w:val="00902B0A"/>
    <w:rsid w:val="00902B89"/>
    <w:rsid w:val="00902BB9"/>
    <w:rsid w:val="00902C30"/>
    <w:rsid w:val="00902CB7"/>
    <w:rsid w:val="00902FCC"/>
    <w:rsid w:val="00903308"/>
    <w:rsid w:val="00903329"/>
    <w:rsid w:val="00903347"/>
    <w:rsid w:val="009034A0"/>
    <w:rsid w:val="009034F5"/>
    <w:rsid w:val="00903A12"/>
    <w:rsid w:val="00903B80"/>
    <w:rsid w:val="00903FC3"/>
    <w:rsid w:val="00904484"/>
    <w:rsid w:val="00904B18"/>
    <w:rsid w:val="00904C3C"/>
    <w:rsid w:val="00904F03"/>
    <w:rsid w:val="00904FF8"/>
    <w:rsid w:val="0090540F"/>
    <w:rsid w:val="009055BC"/>
    <w:rsid w:val="00905746"/>
    <w:rsid w:val="00905957"/>
    <w:rsid w:val="0090596A"/>
    <w:rsid w:val="009059B2"/>
    <w:rsid w:val="00905B07"/>
    <w:rsid w:val="00906465"/>
    <w:rsid w:val="009066EE"/>
    <w:rsid w:val="00906B79"/>
    <w:rsid w:val="00906B98"/>
    <w:rsid w:val="00907486"/>
    <w:rsid w:val="00907572"/>
    <w:rsid w:val="00907662"/>
    <w:rsid w:val="009077EB"/>
    <w:rsid w:val="00907ABE"/>
    <w:rsid w:val="00907AD8"/>
    <w:rsid w:val="00907E96"/>
    <w:rsid w:val="00910152"/>
    <w:rsid w:val="00910285"/>
    <w:rsid w:val="00910484"/>
    <w:rsid w:val="00910499"/>
    <w:rsid w:val="009105E6"/>
    <w:rsid w:val="009105F6"/>
    <w:rsid w:val="0091066D"/>
    <w:rsid w:val="009107B1"/>
    <w:rsid w:val="009107E8"/>
    <w:rsid w:val="00910BEF"/>
    <w:rsid w:val="00910CBA"/>
    <w:rsid w:val="00910CE2"/>
    <w:rsid w:val="00911046"/>
    <w:rsid w:val="0091140B"/>
    <w:rsid w:val="009114DA"/>
    <w:rsid w:val="009115C5"/>
    <w:rsid w:val="00911B1C"/>
    <w:rsid w:val="00911D7B"/>
    <w:rsid w:val="00912230"/>
    <w:rsid w:val="009126FB"/>
    <w:rsid w:val="00912B90"/>
    <w:rsid w:val="00912BFD"/>
    <w:rsid w:val="00912ED8"/>
    <w:rsid w:val="00913123"/>
    <w:rsid w:val="00913282"/>
    <w:rsid w:val="009132B6"/>
    <w:rsid w:val="00913BC2"/>
    <w:rsid w:val="00913E83"/>
    <w:rsid w:val="00914137"/>
    <w:rsid w:val="0091432C"/>
    <w:rsid w:val="009144CE"/>
    <w:rsid w:val="00914504"/>
    <w:rsid w:val="009145D9"/>
    <w:rsid w:val="009146F7"/>
    <w:rsid w:val="00914835"/>
    <w:rsid w:val="00914C25"/>
    <w:rsid w:val="00914D3D"/>
    <w:rsid w:val="00914F60"/>
    <w:rsid w:val="009152E3"/>
    <w:rsid w:val="00915615"/>
    <w:rsid w:val="00915862"/>
    <w:rsid w:val="00915C2B"/>
    <w:rsid w:val="00915D1B"/>
    <w:rsid w:val="00915D1E"/>
    <w:rsid w:val="00915E1F"/>
    <w:rsid w:val="009161E2"/>
    <w:rsid w:val="0091637A"/>
    <w:rsid w:val="0091664B"/>
    <w:rsid w:val="009166FD"/>
    <w:rsid w:val="009168E9"/>
    <w:rsid w:val="00916907"/>
    <w:rsid w:val="00916922"/>
    <w:rsid w:val="00916B14"/>
    <w:rsid w:val="0091701C"/>
    <w:rsid w:val="00917048"/>
    <w:rsid w:val="0091708A"/>
    <w:rsid w:val="0091740C"/>
    <w:rsid w:val="0091784D"/>
    <w:rsid w:val="00917923"/>
    <w:rsid w:val="00917960"/>
    <w:rsid w:val="00917A23"/>
    <w:rsid w:val="00917B16"/>
    <w:rsid w:val="00917DCC"/>
    <w:rsid w:val="00917F2A"/>
    <w:rsid w:val="00920057"/>
    <w:rsid w:val="00920244"/>
    <w:rsid w:val="00920763"/>
    <w:rsid w:val="00920EB4"/>
    <w:rsid w:val="00920F10"/>
    <w:rsid w:val="00920FF1"/>
    <w:rsid w:val="009210A4"/>
    <w:rsid w:val="0092132C"/>
    <w:rsid w:val="00921670"/>
    <w:rsid w:val="0092169D"/>
    <w:rsid w:val="009217DC"/>
    <w:rsid w:val="009219CF"/>
    <w:rsid w:val="00921A04"/>
    <w:rsid w:val="00921AFA"/>
    <w:rsid w:val="00921B2D"/>
    <w:rsid w:val="00921CC1"/>
    <w:rsid w:val="0092220B"/>
    <w:rsid w:val="0092231E"/>
    <w:rsid w:val="0092267B"/>
    <w:rsid w:val="009226D3"/>
    <w:rsid w:val="00922963"/>
    <w:rsid w:val="00922B26"/>
    <w:rsid w:val="00922B82"/>
    <w:rsid w:val="00922C6A"/>
    <w:rsid w:val="00922F48"/>
    <w:rsid w:val="0092306D"/>
    <w:rsid w:val="009230E3"/>
    <w:rsid w:val="0092325A"/>
    <w:rsid w:val="009234A6"/>
    <w:rsid w:val="00923A03"/>
    <w:rsid w:val="00923A61"/>
    <w:rsid w:val="00923B9C"/>
    <w:rsid w:val="00923CBF"/>
    <w:rsid w:val="00923D6A"/>
    <w:rsid w:val="00923FCF"/>
    <w:rsid w:val="0092428B"/>
    <w:rsid w:val="00924374"/>
    <w:rsid w:val="0092441A"/>
    <w:rsid w:val="00924508"/>
    <w:rsid w:val="0092450C"/>
    <w:rsid w:val="00924528"/>
    <w:rsid w:val="009246CB"/>
    <w:rsid w:val="0092488E"/>
    <w:rsid w:val="00924FEA"/>
    <w:rsid w:val="00924FFB"/>
    <w:rsid w:val="009252F0"/>
    <w:rsid w:val="00925385"/>
    <w:rsid w:val="009255CF"/>
    <w:rsid w:val="009257CB"/>
    <w:rsid w:val="009257DA"/>
    <w:rsid w:val="00925CB2"/>
    <w:rsid w:val="0092615B"/>
    <w:rsid w:val="00926502"/>
    <w:rsid w:val="00926508"/>
    <w:rsid w:val="0092693A"/>
    <w:rsid w:val="00926980"/>
    <w:rsid w:val="00926C4C"/>
    <w:rsid w:val="00926E3F"/>
    <w:rsid w:val="00926F6F"/>
    <w:rsid w:val="00926FF4"/>
    <w:rsid w:val="00927079"/>
    <w:rsid w:val="00927219"/>
    <w:rsid w:val="00927349"/>
    <w:rsid w:val="00927350"/>
    <w:rsid w:val="00927475"/>
    <w:rsid w:val="009276AA"/>
    <w:rsid w:val="0092773B"/>
    <w:rsid w:val="009279C6"/>
    <w:rsid w:val="00927AE9"/>
    <w:rsid w:val="00927D67"/>
    <w:rsid w:val="00927D86"/>
    <w:rsid w:val="00927DE1"/>
    <w:rsid w:val="00927DF3"/>
    <w:rsid w:val="00927EF2"/>
    <w:rsid w:val="00927F10"/>
    <w:rsid w:val="00927F15"/>
    <w:rsid w:val="009305CF"/>
    <w:rsid w:val="00930665"/>
    <w:rsid w:val="00930A65"/>
    <w:rsid w:val="00930A85"/>
    <w:rsid w:val="00930D95"/>
    <w:rsid w:val="00930F62"/>
    <w:rsid w:val="00931000"/>
    <w:rsid w:val="00931091"/>
    <w:rsid w:val="00931121"/>
    <w:rsid w:val="009312B6"/>
    <w:rsid w:val="0093131F"/>
    <w:rsid w:val="0093152F"/>
    <w:rsid w:val="00931574"/>
    <w:rsid w:val="00931613"/>
    <w:rsid w:val="009317FD"/>
    <w:rsid w:val="00931889"/>
    <w:rsid w:val="00931903"/>
    <w:rsid w:val="00931914"/>
    <w:rsid w:val="00931D49"/>
    <w:rsid w:val="00931DAB"/>
    <w:rsid w:val="0093201F"/>
    <w:rsid w:val="00932079"/>
    <w:rsid w:val="00932090"/>
    <w:rsid w:val="00932384"/>
    <w:rsid w:val="0093269D"/>
    <w:rsid w:val="009327DD"/>
    <w:rsid w:val="009327FA"/>
    <w:rsid w:val="009329C8"/>
    <w:rsid w:val="00932D12"/>
    <w:rsid w:val="00932D52"/>
    <w:rsid w:val="00932E9F"/>
    <w:rsid w:val="00933001"/>
    <w:rsid w:val="00933006"/>
    <w:rsid w:val="00933112"/>
    <w:rsid w:val="009332EE"/>
    <w:rsid w:val="009333DF"/>
    <w:rsid w:val="00933426"/>
    <w:rsid w:val="009334C9"/>
    <w:rsid w:val="0093356A"/>
    <w:rsid w:val="0093364E"/>
    <w:rsid w:val="00933692"/>
    <w:rsid w:val="00933858"/>
    <w:rsid w:val="009338D0"/>
    <w:rsid w:val="00933A74"/>
    <w:rsid w:val="00933A92"/>
    <w:rsid w:val="00933AF8"/>
    <w:rsid w:val="00933C7F"/>
    <w:rsid w:val="00933CC4"/>
    <w:rsid w:val="00933D51"/>
    <w:rsid w:val="00933E9C"/>
    <w:rsid w:val="00933EC1"/>
    <w:rsid w:val="00933FDA"/>
    <w:rsid w:val="009340AC"/>
    <w:rsid w:val="009340EC"/>
    <w:rsid w:val="009343B7"/>
    <w:rsid w:val="0093541D"/>
    <w:rsid w:val="00935899"/>
    <w:rsid w:val="009358FA"/>
    <w:rsid w:val="00935D87"/>
    <w:rsid w:val="00935F78"/>
    <w:rsid w:val="009364A0"/>
    <w:rsid w:val="00936553"/>
    <w:rsid w:val="00936586"/>
    <w:rsid w:val="009365F1"/>
    <w:rsid w:val="00936660"/>
    <w:rsid w:val="009366C6"/>
    <w:rsid w:val="009373D0"/>
    <w:rsid w:val="0093768B"/>
    <w:rsid w:val="00937733"/>
    <w:rsid w:val="0093774C"/>
    <w:rsid w:val="009379E4"/>
    <w:rsid w:val="00937ADE"/>
    <w:rsid w:val="00937E06"/>
    <w:rsid w:val="00937F7A"/>
    <w:rsid w:val="00940018"/>
    <w:rsid w:val="009400AD"/>
    <w:rsid w:val="00940229"/>
    <w:rsid w:val="0094027E"/>
    <w:rsid w:val="00940382"/>
    <w:rsid w:val="00940594"/>
    <w:rsid w:val="0094060F"/>
    <w:rsid w:val="009407D8"/>
    <w:rsid w:val="00940C2F"/>
    <w:rsid w:val="00940CAE"/>
    <w:rsid w:val="00940CB4"/>
    <w:rsid w:val="00940D1C"/>
    <w:rsid w:val="00940F12"/>
    <w:rsid w:val="00940F43"/>
    <w:rsid w:val="009411EF"/>
    <w:rsid w:val="0094126E"/>
    <w:rsid w:val="00941399"/>
    <w:rsid w:val="00941600"/>
    <w:rsid w:val="0094169A"/>
    <w:rsid w:val="0094187A"/>
    <w:rsid w:val="00941E18"/>
    <w:rsid w:val="00941F49"/>
    <w:rsid w:val="009421AA"/>
    <w:rsid w:val="00942206"/>
    <w:rsid w:val="0094220B"/>
    <w:rsid w:val="0094238C"/>
    <w:rsid w:val="009426DE"/>
    <w:rsid w:val="00942793"/>
    <w:rsid w:val="00942819"/>
    <w:rsid w:val="00942876"/>
    <w:rsid w:val="0094289E"/>
    <w:rsid w:val="00942B61"/>
    <w:rsid w:val="00942C6C"/>
    <w:rsid w:val="00942E4B"/>
    <w:rsid w:val="00942FD7"/>
    <w:rsid w:val="00943147"/>
    <w:rsid w:val="00943328"/>
    <w:rsid w:val="0094335C"/>
    <w:rsid w:val="00943464"/>
    <w:rsid w:val="00943746"/>
    <w:rsid w:val="00943858"/>
    <w:rsid w:val="009438E4"/>
    <w:rsid w:val="00943B34"/>
    <w:rsid w:val="00943C6E"/>
    <w:rsid w:val="00943EB2"/>
    <w:rsid w:val="00943EDA"/>
    <w:rsid w:val="00944012"/>
    <w:rsid w:val="0094409C"/>
    <w:rsid w:val="009440D3"/>
    <w:rsid w:val="009447B2"/>
    <w:rsid w:val="009448D8"/>
    <w:rsid w:val="00944B27"/>
    <w:rsid w:val="00944FE5"/>
    <w:rsid w:val="0094502A"/>
    <w:rsid w:val="009451AE"/>
    <w:rsid w:val="009453F7"/>
    <w:rsid w:val="009454A5"/>
    <w:rsid w:val="0094573F"/>
    <w:rsid w:val="00945768"/>
    <w:rsid w:val="0094592F"/>
    <w:rsid w:val="009459AA"/>
    <w:rsid w:val="00945D45"/>
    <w:rsid w:val="00945E70"/>
    <w:rsid w:val="00945E77"/>
    <w:rsid w:val="00945EDB"/>
    <w:rsid w:val="0094604C"/>
    <w:rsid w:val="0094608A"/>
    <w:rsid w:val="0094609F"/>
    <w:rsid w:val="00946419"/>
    <w:rsid w:val="00946712"/>
    <w:rsid w:val="009467D1"/>
    <w:rsid w:val="00946831"/>
    <w:rsid w:val="00946A61"/>
    <w:rsid w:val="00946C04"/>
    <w:rsid w:val="00946FF3"/>
    <w:rsid w:val="00947028"/>
    <w:rsid w:val="009470C3"/>
    <w:rsid w:val="009473E2"/>
    <w:rsid w:val="00947517"/>
    <w:rsid w:val="00947566"/>
    <w:rsid w:val="00947644"/>
    <w:rsid w:val="00947907"/>
    <w:rsid w:val="00947911"/>
    <w:rsid w:val="00947D65"/>
    <w:rsid w:val="00950132"/>
    <w:rsid w:val="0095017D"/>
    <w:rsid w:val="009503E7"/>
    <w:rsid w:val="009504E3"/>
    <w:rsid w:val="00950576"/>
    <w:rsid w:val="009508B9"/>
    <w:rsid w:val="009508F7"/>
    <w:rsid w:val="00950A41"/>
    <w:rsid w:val="00950C11"/>
    <w:rsid w:val="00950CA8"/>
    <w:rsid w:val="009511F4"/>
    <w:rsid w:val="00951359"/>
    <w:rsid w:val="009513A9"/>
    <w:rsid w:val="009514BC"/>
    <w:rsid w:val="0095161E"/>
    <w:rsid w:val="00951A1F"/>
    <w:rsid w:val="00951F3B"/>
    <w:rsid w:val="0095225B"/>
    <w:rsid w:val="009523A7"/>
    <w:rsid w:val="00952493"/>
    <w:rsid w:val="009525AD"/>
    <w:rsid w:val="009528EC"/>
    <w:rsid w:val="00952B40"/>
    <w:rsid w:val="00952B96"/>
    <w:rsid w:val="00952BF3"/>
    <w:rsid w:val="00952C66"/>
    <w:rsid w:val="00953132"/>
    <w:rsid w:val="009531F3"/>
    <w:rsid w:val="00953558"/>
    <w:rsid w:val="00953BA3"/>
    <w:rsid w:val="00953C0C"/>
    <w:rsid w:val="00953F28"/>
    <w:rsid w:val="00953F4B"/>
    <w:rsid w:val="00954307"/>
    <w:rsid w:val="0095454D"/>
    <w:rsid w:val="00954825"/>
    <w:rsid w:val="00954829"/>
    <w:rsid w:val="00954AE1"/>
    <w:rsid w:val="00954B71"/>
    <w:rsid w:val="00955240"/>
    <w:rsid w:val="00955270"/>
    <w:rsid w:val="00955305"/>
    <w:rsid w:val="00955ABF"/>
    <w:rsid w:val="00955D3E"/>
    <w:rsid w:val="00955D52"/>
    <w:rsid w:val="00955F0B"/>
    <w:rsid w:val="009560B8"/>
    <w:rsid w:val="0095647E"/>
    <w:rsid w:val="0095685B"/>
    <w:rsid w:val="00956A52"/>
    <w:rsid w:val="00956A74"/>
    <w:rsid w:val="00956A8F"/>
    <w:rsid w:val="00956BE5"/>
    <w:rsid w:val="00957569"/>
    <w:rsid w:val="009576F5"/>
    <w:rsid w:val="00957BB1"/>
    <w:rsid w:val="00957CD0"/>
    <w:rsid w:val="009602A4"/>
    <w:rsid w:val="009603B2"/>
    <w:rsid w:val="00960432"/>
    <w:rsid w:val="00960765"/>
    <w:rsid w:val="00960868"/>
    <w:rsid w:val="00960913"/>
    <w:rsid w:val="00960A5A"/>
    <w:rsid w:val="00960AB9"/>
    <w:rsid w:val="00960D62"/>
    <w:rsid w:val="00960DC2"/>
    <w:rsid w:val="0096108D"/>
    <w:rsid w:val="009611D4"/>
    <w:rsid w:val="00961205"/>
    <w:rsid w:val="00961463"/>
    <w:rsid w:val="0096165F"/>
    <w:rsid w:val="009616F0"/>
    <w:rsid w:val="0096181B"/>
    <w:rsid w:val="00961838"/>
    <w:rsid w:val="00961B14"/>
    <w:rsid w:val="00961B56"/>
    <w:rsid w:val="00961CC4"/>
    <w:rsid w:val="00961EA2"/>
    <w:rsid w:val="009620D5"/>
    <w:rsid w:val="009621BD"/>
    <w:rsid w:val="00962231"/>
    <w:rsid w:val="00962305"/>
    <w:rsid w:val="0096235A"/>
    <w:rsid w:val="009624BB"/>
    <w:rsid w:val="00962508"/>
    <w:rsid w:val="009628D3"/>
    <w:rsid w:val="009628DE"/>
    <w:rsid w:val="00962BFC"/>
    <w:rsid w:val="00962C87"/>
    <w:rsid w:val="00962CC8"/>
    <w:rsid w:val="00962DAA"/>
    <w:rsid w:val="00962E3C"/>
    <w:rsid w:val="00962E82"/>
    <w:rsid w:val="0096303D"/>
    <w:rsid w:val="009633E2"/>
    <w:rsid w:val="00963461"/>
    <w:rsid w:val="00963466"/>
    <w:rsid w:val="0096354A"/>
    <w:rsid w:val="00963732"/>
    <w:rsid w:val="009638F0"/>
    <w:rsid w:val="00963A92"/>
    <w:rsid w:val="00963B80"/>
    <w:rsid w:val="00963B90"/>
    <w:rsid w:val="00963E6F"/>
    <w:rsid w:val="00963FF6"/>
    <w:rsid w:val="00964150"/>
    <w:rsid w:val="009641ED"/>
    <w:rsid w:val="00964AB7"/>
    <w:rsid w:val="00964C35"/>
    <w:rsid w:val="00964CA5"/>
    <w:rsid w:val="00965070"/>
    <w:rsid w:val="0096523B"/>
    <w:rsid w:val="0096533C"/>
    <w:rsid w:val="009653C1"/>
    <w:rsid w:val="0096545B"/>
    <w:rsid w:val="00965AA2"/>
    <w:rsid w:val="00965C4C"/>
    <w:rsid w:val="00965D5D"/>
    <w:rsid w:val="00965D69"/>
    <w:rsid w:val="00965FA9"/>
    <w:rsid w:val="0096627D"/>
    <w:rsid w:val="009662A8"/>
    <w:rsid w:val="009664A4"/>
    <w:rsid w:val="00966724"/>
    <w:rsid w:val="0096689D"/>
    <w:rsid w:val="009669DC"/>
    <w:rsid w:val="009669FF"/>
    <w:rsid w:val="00966CFF"/>
    <w:rsid w:val="00966DC0"/>
    <w:rsid w:val="00966FFD"/>
    <w:rsid w:val="0096706E"/>
    <w:rsid w:val="0096721A"/>
    <w:rsid w:val="00967477"/>
    <w:rsid w:val="00967766"/>
    <w:rsid w:val="009677DE"/>
    <w:rsid w:val="00967832"/>
    <w:rsid w:val="00967AC4"/>
    <w:rsid w:val="00967BA7"/>
    <w:rsid w:val="00967BFE"/>
    <w:rsid w:val="00967C33"/>
    <w:rsid w:val="00967EA7"/>
    <w:rsid w:val="00967F2B"/>
    <w:rsid w:val="0097024C"/>
    <w:rsid w:val="00970638"/>
    <w:rsid w:val="009706C7"/>
    <w:rsid w:val="0097101B"/>
    <w:rsid w:val="009712D0"/>
    <w:rsid w:val="00971525"/>
    <w:rsid w:val="0097164F"/>
    <w:rsid w:val="009716B3"/>
    <w:rsid w:val="00971706"/>
    <w:rsid w:val="0097178B"/>
    <w:rsid w:val="009718F5"/>
    <w:rsid w:val="00971985"/>
    <w:rsid w:val="009719B1"/>
    <w:rsid w:val="00971BB3"/>
    <w:rsid w:val="00971BFA"/>
    <w:rsid w:val="00971C66"/>
    <w:rsid w:val="00971C88"/>
    <w:rsid w:val="00971CB4"/>
    <w:rsid w:val="00971CE8"/>
    <w:rsid w:val="00971E0C"/>
    <w:rsid w:val="00971E64"/>
    <w:rsid w:val="00971F5B"/>
    <w:rsid w:val="00971FBF"/>
    <w:rsid w:val="00971FC4"/>
    <w:rsid w:val="009721A1"/>
    <w:rsid w:val="00972293"/>
    <w:rsid w:val="009722F7"/>
    <w:rsid w:val="00972474"/>
    <w:rsid w:val="00972658"/>
    <w:rsid w:val="0097270C"/>
    <w:rsid w:val="009729FE"/>
    <w:rsid w:val="00972AA6"/>
    <w:rsid w:val="00972ACF"/>
    <w:rsid w:val="00972F34"/>
    <w:rsid w:val="00973390"/>
    <w:rsid w:val="009733B8"/>
    <w:rsid w:val="009733F2"/>
    <w:rsid w:val="00973555"/>
    <w:rsid w:val="00973D1E"/>
    <w:rsid w:val="00973E16"/>
    <w:rsid w:val="00973E8A"/>
    <w:rsid w:val="00973EFC"/>
    <w:rsid w:val="00974059"/>
    <w:rsid w:val="00974155"/>
    <w:rsid w:val="00974258"/>
    <w:rsid w:val="009742F3"/>
    <w:rsid w:val="0097431C"/>
    <w:rsid w:val="00974717"/>
    <w:rsid w:val="00974D38"/>
    <w:rsid w:val="009750A6"/>
    <w:rsid w:val="009751EE"/>
    <w:rsid w:val="009755F5"/>
    <w:rsid w:val="0097592E"/>
    <w:rsid w:val="00975976"/>
    <w:rsid w:val="00975E66"/>
    <w:rsid w:val="00975F52"/>
    <w:rsid w:val="009762B3"/>
    <w:rsid w:val="009762FC"/>
    <w:rsid w:val="00976458"/>
    <w:rsid w:val="00976519"/>
    <w:rsid w:val="009765CC"/>
    <w:rsid w:val="009766A7"/>
    <w:rsid w:val="00976722"/>
    <w:rsid w:val="00976B6C"/>
    <w:rsid w:val="0097770A"/>
    <w:rsid w:val="009778A2"/>
    <w:rsid w:val="009778BF"/>
    <w:rsid w:val="0097798D"/>
    <w:rsid w:val="009779C5"/>
    <w:rsid w:val="00977A4D"/>
    <w:rsid w:val="00977BA7"/>
    <w:rsid w:val="00977C2D"/>
    <w:rsid w:val="00977E2E"/>
    <w:rsid w:val="00977EEB"/>
    <w:rsid w:val="00980221"/>
    <w:rsid w:val="009802E3"/>
    <w:rsid w:val="009804DB"/>
    <w:rsid w:val="009805C7"/>
    <w:rsid w:val="009809EF"/>
    <w:rsid w:val="00980A98"/>
    <w:rsid w:val="00980B52"/>
    <w:rsid w:val="00980CA6"/>
    <w:rsid w:val="00980CF5"/>
    <w:rsid w:val="0098116B"/>
    <w:rsid w:val="00981259"/>
    <w:rsid w:val="00981702"/>
    <w:rsid w:val="00981940"/>
    <w:rsid w:val="00981960"/>
    <w:rsid w:val="00981B29"/>
    <w:rsid w:val="00981BBB"/>
    <w:rsid w:val="00981D12"/>
    <w:rsid w:val="00981EF8"/>
    <w:rsid w:val="00982046"/>
    <w:rsid w:val="0098243E"/>
    <w:rsid w:val="0098248A"/>
    <w:rsid w:val="00982660"/>
    <w:rsid w:val="0098272F"/>
    <w:rsid w:val="00982932"/>
    <w:rsid w:val="00982ADC"/>
    <w:rsid w:val="00982BDB"/>
    <w:rsid w:val="00982C3D"/>
    <w:rsid w:val="00982DE5"/>
    <w:rsid w:val="00982E60"/>
    <w:rsid w:val="00982FAE"/>
    <w:rsid w:val="00983131"/>
    <w:rsid w:val="009832A2"/>
    <w:rsid w:val="009832F2"/>
    <w:rsid w:val="009837A6"/>
    <w:rsid w:val="009837C4"/>
    <w:rsid w:val="00983962"/>
    <w:rsid w:val="00983A1A"/>
    <w:rsid w:val="00983AB1"/>
    <w:rsid w:val="00983FCB"/>
    <w:rsid w:val="0098410B"/>
    <w:rsid w:val="00984363"/>
    <w:rsid w:val="009845B7"/>
    <w:rsid w:val="0098460F"/>
    <w:rsid w:val="0098468C"/>
    <w:rsid w:val="009846BA"/>
    <w:rsid w:val="009846BC"/>
    <w:rsid w:val="0098476D"/>
    <w:rsid w:val="00984882"/>
    <w:rsid w:val="0098495B"/>
    <w:rsid w:val="00984DFC"/>
    <w:rsid w:val="009852A4"/>
    <w:rsid w:val="0098558F"/>
    <w:rsid w:val="009856AD"/>
    <w:rsid w:val="009857AE"/>
    <w:rsid w:val="0098581C"/>
    <w:rsid w:val="00985824"/>
    <w:rsid w:val="00985AB5"/>
    <w:rsid w:val="00986202"/>
    <w:rsid w:val="009862B9"/>
    <w:rsid w:val="00986A1C"/>
    <w:rsid w:val="00986EDE"/>
    <w:rsid w:val="00986FFC"/>
    <w:rsid w:val="00987229"/>
    <w:rsid w:val="009876E7"/>
    <w:rsid w:val="00987957"/>
    <w:rsid w:val="00987DA8"/>
    <w:rsid w:val="00987E04"/>
    <w:rsid w:val="00987E7E"/>
    <w:rsid w:val="009900B4"/>
    <w:rsid w:val="009900D0"/>
    <w:rsid w:val="009900E7"/>
    <w:rsid w:val="0099016D"/>
    <w:rsid w:val="0099080B"/>
    <w:rsid w:val="00990EF4"/>
    <w:rsid w:val="00990F00"/>
    <w:rsid w:val="009912F9"/>
    <w:rsid w:val="00991481"/>
    <w:rsid w:val="009917BE"/>
    <w:rsid w:val="009919A2"/>
    <w:rsid w:val="00991B47"/>
    <w:rsid w:val="00991BA7"/>
    <w:rsid w:val="00991E6F"/>
    <w:rsid w:val="00992106"/>
    <w:rsid w:val="00992124"/>
    <w:rsid w:val="0099268B"/>
    <w:rsid w:val="00992715"/>
    <w:rsid w:val="0099292E"/>
    <w:rsid w:val="00992AD9"/>
    <w:rsid w:val="00992C6E"/>
    <w:rsid w:val="00992D36"/>
    <w:rsid w:val="0099334F"/>
    <w:rsid w:val="0099341E"/>
    <w:rsid w:val="00993522"/>
    <w:rsid w:val="0099354F"/>
    <w:rsid w:val="009936A6"/>
    <w:rsid w:val="00993731"/>
    <w:rsid w:val="00993A27"/>
    <w:rsid w:val="00993CD8"/>
    <w:rsid w:val="00993DED"/>
    <w:rsid w:val="00993E59"/>
    <w:rsid w:val="00993E8F"/>
    <w:rsid w:val="00993EE9"/>
    <w:rsid w:val="00994248"/>
    <w:rsid w:val="00994327"/>
    <w:rsid w:val="0099462F"/>
    <w:rsid w:val="009947CD"/>
    <w:rsid w:val="009947E2"/>
    <w:rsid w:val="00994B1E"/>
    <w:rsid w:val="00994C7E"/>
    <w:rsid w:val="00994D16"/>
    <w:rsid w:val="00994D40"/>
    <w:rsid w:val="00995003"/>
    <w:rsid w:val="009950EB"/>
    <w:rsid w:val="009956F7"/>
    <w:rsid w:val="0099598B"/>
    <w:rsid w:val="00995A86"/>
    <w:rsid w:val="00995AAB"/>
    <w:rsid w:val="00995CCB"/>
    <w:rsid w:val="00996066"/>
    <w:rsid w:val="009963FE"/>
    <w:rsid w:val="00996540"/>
    <w:rsid w:val="00996A03"/>
    <w:rsid w:val="00996CD7"/>
    <w:rsid w:val="00996E9E"/>
    <w:rsid w:val="009971A7"/>
    <w:rsid w:val="009973FF"/>
    <w:rsid w:val="00997480"/>
    <w:rsid w:val="0099782D"/>
    <w:rsid w:val="009979A5"/>
    <w:rsid w:val="00997AC2"/>
    <w:rsid w:val="00997E86"/>
    <w:rsid w:val="009A001E"/>
    <w:rsid w:val="009A0139"/>
    <w:rsid w:val="009A01B1"/>
    <w:rsid w:val="009A01C0"/>
    <w:rsid w:val="009A07F2"/>
    <w:rsid w:val="009A08EF"/>
    <w:rsid w:val="009A0992"/>
    <w:rsid w:val="009A0B5E"/>
    <w:rsid w:val="009A0C1D"/>
    <w:rsid w:val="009A0ECD"/>
    <w:rsid w:val="009A0FD3"/>
    <w:rsid w:val="009A0FE2"/>
    <w:rsid w:val="009A10F6"/>
    <w:rsid w:val="009A11FC"/>
    <w:rsid w:val="009A12CF"/>
    <w:rsid w:val="009A19A1"/>
    <w:rsid w:val="009A1B4B"/>
    <w:rsid w:val="009A1B64"/>
    <w:rsid w:val="009A20DA"/>
    <w:rsid w:val="009A21AD"/>
    <w:rsid w:val="009A23FA"/>
    <w:rsid w:val="009A2424"/>
    <w:rsid w:val="009A24B3"/>
    <w:rsid w:val="009A2784"/>
    <w:rsid w:val="009A27E5"/>
    <w:rsid w:val="009A285E"/>
    <w:rsid w:val="009A2951"/>
    <w:rsid w:val="009A2969"/>
    <w:rsid w:val="009A2A11"/>
    <w:rsid w:val="009A2A71"/>
    <w:rsid w:val="009A2A93"/>
    <w:rsid w:val="009A30CF"/>
    <w:rsid w:val="009A317A"/>
    <w:rsid w:val="009A3203"/>
    <w:rsid w:val="009A34AC"/>
    <w:rsid w:val="009A355D"/>
    <w:rsid w:val="009A3612"/>
    <w:rsid w:val="009A3B64"/>
    <w:rsid w:val="009A3C7C"/>
    <w:rsid w:val="009A3CD4"/>
    <w:rsid w:val="009A3DF3"/>
    <w:rsid w:val="009A419E"/>
    <w:rsid w:val="009A41ED"/>
    <w:rsid w:val="009A431E"/>
    <w:rsid w:val="009A4546"/>
    <w:rsid w:val="009A4646"/>
    <w:rsid w:val="009A483A"/>
    <w:rsid w:val="009A49C0"/>
    <w:rsid w:val="009A4A18"/>
    <w:rsid w:val="009A4A6A"/>
    <w:rsid w:val="009A4B8D"/>
    <w:rsid w:val="009A4CC7"/>
    <w:rsid w:val="009A4D89"/>
    <w:rsid w:val="009A4E8E"/>
    <w:rsid w:val="009A4F8E"/>
    <w:rsid w:val="009A523A"/>
    <w:rsid w:val="009A528A"/>
    <w:rsid w:val="009A5526"/>
    <w:rsid w:val="009A56B3"/>
    <w:rsid w:val="009A570F"/>
    <w:rsid w:val="009A59C2"/>
    <w:rsid w:val="009A5A89"/>
    <w:rsid w:val="009A5DD9"/>
    <w:rsid w:val="009A5DE5"/>
    <w:rsid w:val="009A5EAF"/>
    <w:rsid w:val="009A6092"/>
    <w:rsid w:val="009A6226"/>
    <w:rsid w:val="009A6296"/>
    <w:rsid w:val="009A656B"/>
    <w:rsid w:val="009A6768"/>
    <w:rsid w:val="009A69F5"/>
    <w:rsid w:val="009A6B07"/>
    <w:rsid w:val="009A6C62"/>
    <w:rsid w:val="009A6D47"/>
    <w:rsid w:val="009A6E63"/>
    <w:rsid w:val="009A6E69"/>
    <w:rsid w:val="009A6FD3"/>
    <w:rsid w:val="009A7068"/>
    <w:rsid w:val="009A7142"/>
    <w:rsid w:val="009A72E0"/>
    <w:rsid w:val="009A7591"/>
    <w:rsid w:val="009A7BCD"/>
    <w:rsid w:val="009A7E3B"/>
    <w:rsid w:val="009B0117"/>
    <w:rsid w:val="009B01A3"/>
    <w:rsid w:val="009B036B"/>
    <w:rsid w:val="009B03F0"/>
    <w:rsid w:val="009B041B"/>
    <w:rsid w:val="009B0702"/>
    <w:rsid w:val="009B0E06"/>
    <w:rsid w:val="009B121A"/>
    <w:rsid w:val="009B1CC9"/>
    <w:rsid w:val="009B1F4E"/>
    <w:rsid w:val="009B1FB0"/>
    <w:rsid w:val="009B2006"/>
    <w:rsid w:val="009B22C5"/>
    <w:rsid w:val="009B2306"/>
    <w:rsid w:val="009B2B01"/>
    <w:rsid w:val="009B2DC6"/>
    <w:rsid w:val="009B2E79"/>
    <w:rsid w:val="009B2EBA"/>
    <w:rsid w:val="009B328C"/>
    <w:rsid w:val="009B32C1"/>
    <w:rsid w:val="009B34C6"/>
    <w:rsid w:val="009B3592"/>
    <w:rsid w:val="009B3900"/>
    <w:rsid w:val="009B3B86"/>
    <w:rsid w:val="009B3C49"/>
    <w:rsid w:val="009B3EB0"/>
    <w:rsid w:val="009B3F0E"/>
    <w:rsid w:val="009B4014"/>
    <w:rsid w:val="009B41A4"/>
    <w:rsid w:val="009B42BC"/>
    <w:rsid w:val="009B42D0"/>
    <w:rsid w:val="009B43E9"/>
    <w:rsid w:val="009B453F"/>
    <w:rsid w:val="009B4CF8"/>
    <w:rsid w:val="009B4DC9"/>
    <w:rsid w:val="009B4ED2"/>
    <w:rsid w:val="009B52D5"/>
    <w:rsid w:val="009B5387"/>
    <w:rsid w:val="009B53C8"/>
    <w:rsid w:val="009B5566"/>
    <w:rsid w:val="009B55FB"/>
    <w:rsid w:val="009B5602"/>
    <w:rsid w:val="009B5748"/>
    <w:rsid w:val="009B5A42"/>
    <w:rsid w:val="009B5DED"/>
    <w:rsid w:val="009B5E3D"/>
    <w:rsid w:val="009B5F1E"/>
    <w:rsid w:val="009B62C5"/>
    <w:rsid w:val="009B67BD"/>
    <w:rsid w:val="009B67EC"/>
    <w:rsid w:val="009B6861"/>
    <w:rsid w:val="009B6986"/>
    <w:rsid w:val="009B6B41"/>
    <w:rsid w:val="009B6CDA"/>
    <w:rsid w:val="009B6E4D"/>
    <w:rsid w:val="009B6F56"/>
    <w:rsid w:val="009B7163"/>
    <w:rsid w:val="009B7187"/>
    <w:rsid w:val="009B74FB"/>
    <w:rsid w:val="009B75DD"/>
    <w:rsid w:val="009B76A7"/>
    <w:rsid w:val="009B78C6"/>
    <w:rsid w:val="009B7B69"/>
    <w:rsid w:val="009B7FA8"/>
    <w:rsid w:val="009C0099"/>
    <w:rsid w:val="009C00C1"/>
    <w:rsid w:val="009C052F"/>
    <w:rsid w:val="009C06B2"/>
    <w:rsid w:val="009C082D"/>
    <w:rsid w:val="009C08CE"/>
    <w:rsid w:val="009C09ED"/>
    <w:rsid w:val="009C0B73"/>
    <w:rsid w:val="009C108D"/>
    <w:rsid w:val="009C15A3"/>
    <w:rsid w:val="009C177F"/>
    <w:rsid w:val="009C1A19"/>
    <w:rsid w:val="009C1B85"/>
    <w:rsid w:val="009C1BBD"/>
    <w:rsid w:val="009C1E28"/>
    <w:rsid w:val="009C1F6A"/>
    <w:rsid w:val="009C1FC5"/>
    <w:rsid w:val="009C2208"/>
    <w:rsid w:val="009C2217"/>
    <w:rsid w:val="009C221A"/>
    <w:rsid w:val="009C2357"/>
    <w:rsid w:val="009C24CE"/>
    <w:rsid w:val="009C27E5"/>
    <w:rsid w:val="009C27FF"/>
    <w:rsid w:val="009C289A"/>
    <w:rsid w:val="009C2A6B"/>
    <w:rsid w:val="009C2A6D"/>
    <w:rsid w:val="009C2A87"/>
    <w:rsid w:val="009C32C5"/>
    <w:rsid w:val="009C32CD"/>
    <w:rsid w:val="009C3349"/>
    <w:rsid w:val="009C3429"/>
    <w:rsid w:val="009C3526"/>
    <w:rsid w:val="009C3631"/>
    <w:rsid w:val="009C36FF"/>
    <w:rsid w:val="009C3774"/>
    <w:rsid w:val="009C38F4"/>
    <w:rsid w:val="009C399D"/>
    <w:rsid w:val="009C39B9"/>
    <w:rsid w:val="009C3AF5"/>
    <w:rsid w:val="009C3C3C"/>
    <w:rsid w:val="009C3F56"/>
    <w:rsid w:val="009C3F83"/>
    <w:rsid w:val="009C3FC8"/>
    <w:rsid w:val="009C400C"/>
    <w:rsid w:val="009C4394"/>
    <w:rsid w:val="009C4657"/>
    <w:rsid w:val="009C483A"/>
    <w:rsid w:val="009C4C39"/>
    <w:rsid w:val="009C4E42"/>
    <w:rsid w:val="009C4FAD"/>
    <w:rsid w:val="009C507A"/>
    <w:rsid w:val="009C5167"/>
    <w:rsid w:val="009C5B36"/>
    <w:rsid w:val="009C5CD5"/>
    <w:rsid w:val="009C5D29"/>
    <w:rsid w:val="009C6093"/>
    <w:rsid w:val="009C6253"/>
    <w:rsid w:val="009C6587"/>
    <w:rsid w:val="009C6904"/>
    <w:rsid w:val="009C6979"/>
    <w:rsid w:val="009C6C89"/>
    <w:rsid w:val="009C6E14"/>
    <w:rsid w:val="009C6E52"/>
    <w:rsid w:val="009C718D"/>
    <w:rsid w:val="009C73F5"/>
    <w:rsid w:val="009C7467"/>
    <w:rsid w:val="009C750F"/>
    <w:rsid w:val="009C764A"/>
    <w:rsid w:val="009C76D2"/>
    <w:rsid w:val="009C7705"/>
    <w:rsid w:val="009C7801"/>
    <w:rsid w:val="009C7B0E"/>
    <w:rsid w:val="009C7DF9"/>
    <w:rsid w:val="009C7F13"/>
    <w:rsid w:val="009C7F68"/>
    <w:rsid w:val="009C7FEF"/>
    <w:rsid w:val="009D03D3"/>
    <w:rsid w:val="009D05A2"/>
    <w:rsid w:val="009D077D"/>
    <w:rsid w:val="009D0DB5"/>
    <w:rsid w:val="009D0E29"/>
    <w:rsid w:val="009D105D"/>
    <w:rsid w:val="009D12C3"/>
    <w:rsid w:val="009D13D8"/>
    <w:rsid w:val="009D159C"/>
    <w:rsid w:val="009D15FB"/>
    <w:rsid w:val="009D15FC"/>
    <w:rsid w:val="009D1A32"/>
    <w:rsid w:val="009D1B4A"/>
    <w:rsid w:val="009D252A"/>
    <w:rsid w:val="009D253F"/>
    <w:rsid w:val="009D25F6"/>
    <w:rsid w:val="009D263B"/>
    <w:rsid w:val="009D2716"/>
    <w:rsid w:val="009D27F5"/>
    <w:rsid w:val="009D2945"/>
    <w:rsid w:val="009D2E8B"/>
    <w:rsid w:val="009D2F23"/>
    <w:rsid w:val="009D2FF6"/>
    <w:rsid w:val="009D3013"/>
    <w:rsid w:val="009D3256"/>
    <w:rsid w:val="009D336E"/>
    <w:rsid w:val="009D362B"/>
    <w:rsid w:val="009D3800"/>
    <w:rsid w:val="009D3828"/>
    <w:rsid w:val="009D3897"/>
    <w:rsid w:val="009D3946"/>
    <w:rsid w:val="009D3C8F"/>
    <w:rsid w:val="009D3FED"/>
    <w:rsid w:val="009D405F"/>
    <w:rsid w:val="009D424F"/>
    <w:rsid w:val="009D42FA"/>
    <w:rsid w:val="009D435C"/>
    <w:rsid w:val="009D4A32"/>
    <w:rsid w:val="009D4BBF"/>
    <w:rsid w:val="009D4BE1"/>
    <w:rsid w:val="009D4CBE"/>
    <w:rsid w:val="009D4D1B"/>
    <w:rsid w:val="009D4E63"/>
    <w:rsid w:val="009D4F62"/>
    <w:rsid w:val="009D504C"/>
    <w:rsid w:val="009D543F"/>
    <w:rsid w:val="009D54A8"/>
    <w:rsid w:val="009D58C3"/>
    <w:rsid w:val="009D5979"/>
    <w:rsid w:val="009D5A2D"/>
    <w:rsid w:val="009D5D2C"/>
    <w:rsid w:val="009D5E47"/>
    <w:rsid w:val="009D5F57"/>
    <w:rsid w:val="009D5FDE"/>
    <w:rsid w:val="009D60D7"/>
    <w:rsid w:val="009D61B7"/>
    <w:rsid w:val="009D66D6"/>
    <w:rsid w:val="009D6779"/>
    <w:rsid w:val="009D68B3"/>
    <w:rsid w:val="009D691E"/>
    <w:rsid w:val="009D6C33"/>
    <w:rsid w:val="009D7031"/>
    <w:rsid w:val="009D73AD"/>
    <w:rsid w:val="009D7850"/>
    <w:rsid w:val="009D79FF"/>
    <w:rsid w:val="009D7A53"/>
    <w:rsid w:val="009D7A93"/>
    <w:rsid w:val="009E0531"/>
    <w:rsid w:val="009E065C"/>
    <w:rsid w:val="009E06C1"/>
    <w:rsid w:val="009E0819"/>
    <w:rsid w:val="009E08DD"/>
    <w:rsid w:val="009E0E15"/>
    <w:rsid w:val="009E0E77"/>
    <w:rsid w:val="009E15C9"/>
    <w:rsid w:val="009E173D"/>
    <w:rsid w:val="009E1769"/>
    <w:rsid w:val="009E1796"/>
    <w:rsid w:val="009E1851"/>
    <w:rsid w:val="009E19BD"/>
    <w:rsid w:val="009E1A65"/>
    <w:rsid w:val="009E1BC6"/>
    <w:rsid w:val="009E1CC3"/>
    <w:rsid w:val="009E1D8C"/>
    <w:rsid w:val="009E1F4A"/>
    <w:rsid w:val="009E1F58"/>
    <w:rsid w:val="009E21AF"/>
    <w:rsid w:val="009E236E"/>
    <w:rsid w:val="009E25A1"/>
    <w:rsid w:val="009E27AB"/>
    <w:rsid w:val="009E2858"/>
    <w:rsid w:val="009E2C9E"/>
    <w:rsid w:val="009E2DA1"/>
    <w:rsid w:val="009E34A0"/>
    <w:rsid w:val="009E35A7"/>
    <w:rsid w:val="009E378D"/>
    <w:rsid w:val="009E37F4"/>
    <w:rsid w:val="009E38E6"/>
    <w:rsid w:val="009E39F5"/>
    <w:rsid w:val="009E3ACC"/>
    <w:rsid w:val="009E3CB9"/>
    <w:rsid w:val="009E4307"/>
    <w:rsid w:val="009E462B"/>
    <w:rsid w:val="009E4926"/>
    <w:rsid w:val="009E4A32"/>
    <w:rsid w:val="009E4D3D"/>
    <w:rsid w:val="009E4DA6"/>
    <w:rsid w:val="009E50B2"/>
    <w:rsid w:val="009E5237"/>
    <w:rsid w:val="009E5340"/>
    <w:rsid w:val="009E53DC"/>
    <w:rsid w:val="009E554F"/>
    <w:rsid w:val="009E563F"/>
    <w:rsid w:val="009E56DE"/>
    <w:rsid w:val="009E5AE9"/>
    <w:rsid w:val="009E5AEA"/>
    <w:rsid w:val="009E5CD3"/>
    <w:rsid w:val="009E62C5"/>
    <w:rsid w:val="009E635F"/>
    <w:rsid w:val="009E6388"/>
    <w:rsid w:val="009E63B7"/>
    <w:rsid w:val="009E6529"/>
    <w:rsid w:val="009E652B"/>
    <w:rsid w:val="009E6561"/>
    <w:rsid w:val="009E668A"/>
    <w:rsid w:val="009E67BA"/>
    <w:rsid w:val="009E6A1D"/>
    <w:rsid w:val="009E6C49"/>
    <w:rsid w:val="009E6E2A"/>
    <w:rsid w:val="009E6F75"/>
    <w:rsid w:val="009E71F6"/>
    <w:rsid w:val="009E7529"/>
    <w:rsid w:val="009E77E3"/>
    <w:rsid w:val="009E799B"/>
    <w:rsid w:val="009E7BD9"/>
    <w:rsid w:val="009E7CA7"/>
    <w:rsid w:val="009E7EE0"/>
    <w:rsid w:val="009F0136"/>
    <w:rsid w:val="009F0146"/>
    <w:rsid w:val="009F0200"/>
    <w:rsid w:val="009F022A"/>
    <w:rsid w:val="009F0325"/>
    <w:rsid w:val="009F035D"/>
    <w:rsid w:val="009F05F5"/>
    <w:rsid w:val="009F06D9"/>
    <w:rsid w:val="009F0D24"/>
    <w:rsid w:val="009F0F19"/>
    <w:rsid w:val="009F119E"/>
    <w:rsid w:val="009F1402"/>
    <w:rsid w:val="009F144A"/>
    <w:rsid w:val="009F169E"/>
    <w:rsid w:val="009F1885"/>
    <w:rsid w:val="009F188C"/>
    <w:rsid w:val="009F1C12"/>
    <w:rsid w:val="009F1DBA"/>
    <w:rsid w:val="009F1FCC"/>
    <w:rsid w:val="009F20E4"/>
    <w:rsid w:val="009F21D0"/>
    <w:rsid w:val="009F234E"/>
    <w:rsid w:val="009F2498"/>
    <w:rsid w:val="009F26EC"/>
    <w:rsid w:val="009F2A37"/>
    <w:rsid w:val="009F2AE6"/>
    <w:rsid w:val="009F2AEC"/>
    <w:rsid w:val="009F2D61"/>
    <w:rsid w:val="009F32A9"/>
    <w:rsid w:val="009F3490"/>
    <w:rsid w:val="009F35F2"/>
    <w:rsid w:val="009F375A"/>
    <w:rsid w:val="009F3793"/>
    <w:rsid w:val="009F37BC"/>
    <w:rsid w:val="009F3B96"/>
    <w:rsid w:val="009F3CD5"/>
    <w:rsid w:val="009F4345"/>
    <w:rsid w:val="009F46B0"/>
    <w:rsid w:val="009F481D"/>
    <w:rsid w:val="009F4B9F"/>
    <w:rsid w:val="009F4C2B"/>
    <w:rsid w:val="009F4D5B"/>
    <w:rsid w:val="009F4E9A"/>
    <w:rsid w:val="009F4F09"/>
    <w:rsid w:val="009F5368"/>
    <w:rsid w:val="009F5496"/>
    <w:rsid w:val="009F5564"/>
    <w:rsid w:val="009F5910"/>
    <w:rsid w:val="009F5C0B"/>
    <w:rsid w:val="009F5C3A"/>
    <w:rsid w:val="009F6296"/>
    <w:rsid w:val="009F6304"/>
    <w:rsid w:val="009F662D"/>
    <w:rsid w:val="009F6820"/>
    <w:rsid w:val="009F6A6F"/>
    <w:rsid w:val="009F6A75"/>
    <w:rsid w:val="009F6B3A"/>
    <w:rsid w:val="009F6B6A"/>
    <w:rsid w:val="009F6C45"/>
    <w:rsid w:val="009F6D72"/>
    <w:rsid w:val="009F70D6"/>
    <w:rsid w:val="009F70D8"/>
    <w:rsid w:val="009F713E"/>
    <w:rsid w:val="009F7193"/>
    <w:rsid w:val="009F72E9"/>
    <w:rsid w:val="009F7463"/>
    <w:rsid w:val="009F7A23"/>
    <w:rsid w:val="009F7CBA"/>
    <w:rsid w:val="009F7F87"/>
    <w:rsid w:val="00A00099"/>
    <w:rsid w:val="00A00359"/>
    <w:rsid w:val="00A00478"/>
    <w:rsid w:val="00A00B44"/>
    <w:rsid w:val="00A00C51"/>
    <w:rsid w:val="00A00F62"/>
    <w:rsid w:val="00A00F8A"/>
    <w:rsid w:val="00A0110E"/>
    <w:rsid w:val="00A011EE"/>
    <w:rsid w:val="00A013C0"/>
    <w:rsid w:val="00A01423"/>
    <w:rsid w:val="00A018A0"/>
    <w:rsid w:val="00A01BA6"/>
    <w:rsid w:val="00A01C1C"/>
    <w:rsid w:val="00A01CEC"/>
    <w:rsid w:val="00A01E76"/>
    <w:rsid w:val="00A01FCB"/>
    <w:rsid w:val="00A021F5"/>
    <w:rsid w:val="00A02824"/>
    <w:rsid w:val="00A02857"/>
    <w:rsid w:val="00A02A25"/>
    <w:rsid w:val="00A02DF0"/>
    <w:rsid w:val="00A02F78"/>
    <w:rsid w:val="00A03376"/>
    <w:rsid w:val="00A0364F"/>
    <w:rsid w:val="00A03966"/>
    <w:rsid w:val="00A03B6B"/>
    <w:rsid w:val="00A03DE7"/>
    <w:rsid w:val="00A0429A"/>
    <w:rsid w:val="00A043D9"/>
    <w:rsid w:val="00A04415"/>
    <w:rsid w:val="00A04439"/>
    <w:rsid w:val="00A046EA"/>
    <w:rsid w:val="00A04B58"/>
    <w:rsid w:val="00A04C38"/>
    <w:rsid w:val="00A04CFF"/>
    <w:rsid w:val="00A04E8B"/>
    <w:rsid w:val="00A04F5A"/>
    <w:rsid w:val="00A0507E"/>
    <w:rsid w:val="00A05629"/>
    <w:rsid w:val="00A056DD"/>
    <w:rsid w:val="00A0579A"/>
    <w:rsid w:val="00A058E3"/>
    <w:rsid w:val="00A05C74"/>
    <w:rsid w:val="00A06208"/>
    <w:rsid w:val="00A06358"/>
    <w:rsid w:val="00A0636D"/>
    <w:rsid w:val="00A065F5"/>
    <w:rsid w:val="00A06721"/>
    <w:rsid w:val="00A0679D"/>
    <w:rsid w:val="00A0689B"/>
    <w:rsid w:val="00A06930"/>
    <w:rsid w:val="00A06FE8"/>
    <w:rsid w:val="00A07076"/>
    <w:rsid w:val="00A0725B"/>
    <w:rsid w:val="00A07326"/>
    <w:rsid w:val="00A07418"/>
    <w:rsid w:val="00A07883"/>
    <w:rsid w:val="00A078BE"/>
    <w:rsid w:val="00A07AE3"/>
    <w:rsid w:val="00A07DCF"/>
    <w:rsid w:val="00A07F91"/>
    <w:rsid w:val="00A102A9"/>
    <w:rsid w:val="00A1031F"/>
    <w:rsid w:val="00A10327"/>
    <w:rsid w:val="00A10341"/>
    <w:rsid w:val="00A1037E"/>
    <w:rsid w:val="00A1074F"/>
    <w:rsid w:val="00A10823"/>
    <w:rsid w:val="00A10868"/>
    <w:rsid w:val="00A1096E"/>
    <w:rsid w:val="00A10A67"/>
    <w:rsid w:val="00A10C81"/>
    <w:rsid w:val="00A10CD5"/>
    <w:rsid w:val="00A10E5C"/>
    <w:rsid w:val="00A10F6C"/>
    <w:rsid w:val="00A11481"/>
    <w:rsid w:val="00A1148E"/>
    <w:rsid w:val="00A1162F"/>
    <w:rsid w:val="00A1166F"/>
    <w:rsid w:val="00A117CB"/>
    <w:rsid w:val="00A11823"/>
    <w:rsid w:val="00A11B06"/>
    <w:rsid w:val="00A11BA1"/>
    <w:rsid w:val="00A11ED7"/>
    <w:rsid w:val="00A11F08"/>
    <w:rsid w:val="00A1211C"/>
    <w:rsid w:val="00A1218F"/>
    <w:rsid w:val="00A1219D"/>
    <w:rsid w:val="00A121BD"/>
    <w:rsid w:val="00A12621"/>
    <w:rsid w:val="00A1270C"/>
    <w:rsid w:val="00A127E3"/>
    <w:rsid w:val="00A1291F"/>
    <w:rsid w:val="00A12CAF"/>
    <w:rsid w:val="00A12CEF"/>
    <w:rsid w:val="00A12DBC"/>
    <w:rsid w:val="00A12F2B"/>
    <w:rsid w:val="00A134A1"/>
    <w:rsid w:val="00A1352E"/>
    <w:rsid w:val="00A136E7"/>
    <w:rsid w:val="00A139E9"/>
    <w:rsid w:val="00A13D51"/>
    <w:rsid w:val="00A13D87"/>
    <w:rsid w:val="00A13DE3"/>
    <w:rsid w:val="00A13DEF"/>
    <w:rsid w:val="00A13E16"/>
    <w:rsid w:val="00A13E6E"/>
    <w:rsid w:val="00A1433E"/>
    <w:rsid w:val="00A14811"/>
    <w:rsid w:val="00A149E3"/>
    <w:rsid w:val="00A14A7F"/>
    <w:rsid w:val="00A14E55"/>
    <w:rsid w:val="00A14EB8"/>
    <w:rsid w:val="00A153A1"/>
    <w:rsid w:val="00A15829"/>
    <w:rsid w:val="00A1593E"/>
    <w:rsid w:val="00A15969"/>
    <w:rsid w:val="00A15A7B"/>
    <w:rsid w:val="00A15D8E"/>
    <w:rsid w:val="00A162C7"/>
    <w:rsid w:val="00A16358"/>
    <w:rsid w:val="00A16632"/>
    <w:rsid w:val="00A1681E"/>
    <w:rsid w:val="00A16CA5"/>
    <w:rsid w:val="00A16CC1"/>
    <w:rsid w:val="00A16CDC"/>
    <w:rsid w:val="00A16DE9"/>
    <w:rsid w:val="00A16E9F"/>
    <w:rsid w:val="00A1736E"/>
    <w:rsid w:val="00A1778B"/>
    <w:rsid w:val="00A17791"/>
    <w:rsid w:val="00A1785C"/>
    <w:rsid w:val="00A17977"/>
    <w:rsid w:val="00A179ED"/>
    <w:rsid w:val="00A200EF"/>
    <w:rsid w:val="00A205F7"/>
    <w:rsid w:val="00A206A9"/>
    <w:rsid w:val="00A206DE"/>
    <w:rsid w:val="00A20927"/>
    <w:rsid w:val="00A209A8"/>
    <w:rsid w:val="00A20AB6"/>
    <w:rsid w:val="00A20CBC"/>
    <w:rsid w:val="00A20EAA"/>
    <w:rsid w:val="00A20F8A"/>
    <w:rsid w:val="00A21253"/>
    <w:rsid w:val="00A212D8"/>
    <w:rsid w:val="00A21330"/>
    <w:rsid w:val="00A215DC"/>
    <w:rsid w:val="00A21639"/>
    <w:rsid w:val="00A21DFE"/>
    <w:rsid w:val="00A2200E"/>
    <w:rsid w:val="00A22144"/>
    <w:rsid w:val="00A2241D"/>
    <w:rsid w:val="00A2252C"/>
    <w:rsid w:val="00A22AF9"/>
    <w:rsid w:val="00A22CE7"/>
    <w:rsid w:val="00A22F58"/>
    <w:rsid w:val="00A2302C"/>
    <w:rsid w:val="00A23372"/>
    <w:rsid w:val="00A23490"/>
    <w:rsid w:val="00A23561"/>
    <w:rsid w:val="00A238C2"/>
    <w:rsid w:val="00A23B7E"/>
    <w:rsid w:val="00A23FCF"/>
    <w:rsid w:val="00A24246"/>
    <w:rsid w:val="00A2427E"/>
    <w:rsid w:val="00A24540"/>
    <w:rsid w:val="00A249F5"/>
    <w:rsid w:val="00A24BEB"/>
    <w:rsid w:val="00A24EE1"/>
    <w:rsid w:val="00A24F00"/>
    <w:rsid w:val="00A25377"/>
    <w:rsid w:val="00A253C2"/>
    <w:rsid w:val="00A25969"/>
    <w:rsid w:val="00A25999"/>
    <w:rsid w:val="00A25B5F"/>
    <w:rsid w:val="00A2621F"/>
    <w:rsid w:val="00A262BC"/>
    <w:rsid w:val="00A2635C"/>
    <w:rsid w:val="00A263E5"/>
    <w:rsid w:val="00A26B5D"/>
    <w:rsid w:val="00A26B74"/>
    <w:rsid w:val="00A26BD8"/>
    <w:rsid w:val="00A27120"/>
    <w:rsid w:val="00A27253"/>
    <w:rsid w:val="00A273F7"/>
    <w:rsid w:val="00A274E7"/>
    <w:rsid w:val="00A2762D"/>
    <w:rsid w:val="00A2762F"/>
    <w:rsid w:val="00A2763E"/>
    <w:rsid w:val="00A279FE"/>
    <w:rsid w:val="00A27B40"/>
    <w:rsid w:val="00A27B7E"/>
    <w:rsid w:val="00A27E58"/>
    <w:rsid w:val="00A27F27"/>
    <w:rsid w:val="00A27F72"/>
    <w:rsid w:val="00A30302"/>
    <w:rsid w:val="00A303EB"/>
    <w:rsid w:val="00A3063D"/>
    <w:rsid w:val="00A307E4"/>
    <w:rsid w:val="00A3090A"/>
    <w:rsid w:val="00A30AB4"/>
    <w:rsid w:val="00A30B57"/>
    <w:rsid w:val="00A31423"/>
    <w:rsid w:val="00A3188F"/>
    <w:rsid w:val="00A318D7"/>
    <w:rsid w:val="00A31A9E"/>
    <w:rsid w:val="00A31F43"/>
    <w:rsid w:val="00A320EF"/>
    <w:rsid w:val="00A3226C"/>
    <w:rsid w:val="00A323CF"/>
    <w:rsid w:val="00A325E9"/>
    <w:rsid w:val="00A326D1"/>
    <w:rsid w:val="00A32C11"/>
    <w:rsid w:val="00A32CEE"/>
    <w:rsid w:val="00A32D15"/>
    <w:rsid w:val="00A32E80"/>
    <w:rsid w:val="00A32F41"/>
    <w:rsid w:val="00A32F67"/>
    <w:rsid w:val="00A33037"/>
    <w:rsid w:val="00A332CE"/>
    <w:rsid w:val="00A33392"/>
    <w:rsid w:val="00A3344D"/>
    <w:rsid w:val="00A33662"/>
    <w:rsid w:val="00A33972"/>
    <w:rsid w:val="00A33C0E"/>
    <w:rsid w:val="00A33D24"/>
    <w:rsid w:val="00A33E2A"/>
    <w:rsid w:val="00A33E6F"/>
    <w:rsid w:val="00A3428D"/>
    <w:rsid w:val="00A34744"/>
    <w:rsid w:val="00A35294"/>
    <w:rsid w:val="00A3553E"/>
    <w:rsid w:val="00A35632"/>
    <w:rsid w:val="00A356D3"/>
    <w:rsid w:val="00A35720"/>
    <w:rsid w:val="00A359CC"/>
    <w:rsid w:val="00A35E56"/>
    <w:rsid w:val="00A35E7D"/>
    <w:rsid w:val="00A35F87"/>
    <w:rsid w:val="00A361E8"/>
    <w:rsid w:val="00A3623F"/>
    <w:rsid w:val="00A362BF"/>
    <w:rsid w:val="00A3660B"/>
    <w:rsid w:val="00A3681A"/>
    <w:rsid w:val="00A36873"/>
    <w:rsid w:val="00A36C1F"/>
    <w:rsid w:val="00A36C8F"/>
    <w:rsid w:val="00A36E76"/>
    <w:rsid w:val="00A37113"/>
    <w:rsid w:val="00A3752D"/>
    <w:rsid w:val="00A3761C"/>
    <w:rsid w:val="00A37723"/>
    <w:rsid w:val="00A378A5"/>
    <w:rsid w:val="00A37D1A"/>
    <w:rsid w:val="00A37FD4"/>
    <w:rsid w:val="00A40160"/>
    <w:rsid w:val="00A402D9"/>
    <w:rsid w:val="00A4049D"/>
    <w:rsid w:val="00A4086A"/>
    <w:rsid w:val="00A40AEB"/>
    <w:rsid w:val="00A40BF0"/>
    <w:rsid w:val="00A4149A"/>
    <w:rsid w:val="00A414AC"/>
    <w:rsid w:val="00A414FC"/>
    <w:rsid w:val="00A41AB6"/>
    <w:rsid w:val="00A41CAC"/>
    <w:rsid w:val="00A41F0F"/>
    <w:rsid w:val="00A42051"/>
    <w:rsid w:val="00A423CD"/>
    <w:rsid w:val="00A42868"/>
    <w:rsid w:val="00A42B45"/>
    <w:rsid w:val="00A4340C"/>
    <w:rsid w:val="00A4351B"/>
    <w:rsid w:val="00A43530"/>
    <w:rsid w:val="00A43598"/>
    <w:rsid w:val="00A435B0"/>
    <w:rsid w:val="00A4368F"/>
    <w:rsid w:val="00A43D6A"/>
    <w:rsid w:val="00A4425F"/>
    <w:rsid w:val="00A4449C"/>
    <w:rsid w:val="00A44533"/>
    <w:rsid w:val="00A44624"/>
    <w:rsid w:val="00A4469C"/>
    <w:rsid w:val="00A44908"/>
    <w:rsid w:val="00A44A7F"/>
    <w:rsid w:val="00A44BFB"/>
    <w:rsid w:val="00A44D96"/>
    <w:rsid w:val="00A44F1B"/>
    <w:rsid w:val="00A453EE"/>
    <w:rsid w:val="00A454B8"/>
    <w:rsid w:val="00A45615"/>
    <w:rsid w:val="00A45791"/>
    <w:rsid w:val="00A45AAE"/>
    <w:rsid w:val="00A45AB7"/>
    <w:rsid w:val="00A45B8A"/>
    <w:rsid w:val="00A45F36"/>
    <w:rsid w:val="00A4621D"/>
    <w:rsid w:val="00A4628D"/>
    <w:rsid w:val="00A464A0"/>
    <w:rsid w:val="00A46649"/>
    <w:rsid w:val="00A46870"/>
    <w:rsid w:val="00A4691D"/>
    <w:rsid w:val="00A46B2A"/>
    <w:rsid w:val="00A46B7F"/>
    <w:rsid w:val="00A46CC3"/>
    <w:rsid w:val="00A470C0"/>
    <w:rsid w:val="00A4712C"/>
    <w:rsid w:val="00A476A3"/>
    <w:rsid w:val="00A4790C"/>
    <w:rsid w:val="00A47944"/>
    <w:rsid w:val="00A47B30"/>
    <w:rsid w:val="00A47B52"/>
    <w:rsid w:val="00A47FA4"/>
    <w:rsid w:val="00A50358"/>
    <w:rsid w:val="00A50553"/>
    <w:rsid w:val="00A5057C"/>
    <w:rsid w:val="00A50684"/>
    <w:rsid w:val="00A507FB"/>
    <w:rsid w:val="00A5097D"/>
    <w:rsid w:val="00A50AC9"/>
    <w:rsid w:val="00A50F34"/>
    <w:rsid w:val="00A510E9"/>
    <w:rsid w:val="00A51153"/>
    <w:rsid w:val="00A5157F"/>
    <w:rsid w:val="00A51662"/>
    <w:rsid w:val="00A51666"/>
    <w:rsid w:val="00A516EF"/>
    <w:rsid w:val="00A519CA"/>
    <w:rsid w:val="00A51BB4"/>
    <w:rsid w:val="00A51C5C"/>
    <w:rsid w:val="00A51C83"/>
    <w:rsid w:val="00A51F75"/>
    <w:rsid w:val="00A5202A"/>
    <w:rsid w:val="00A52227"/>
    <w:rsid w:val="00A52265"/>
    <w:rsid w:val="00A52292"/>
    <w:rsid w:val="00A52348"/>
    <w:rsid w:val="00A52466"/>
    <w:rsid w:val="00A52961"/>
    <w:rsid w:val="00A52A1C"/>
    <w:rsid w:val="00A52AFA"/>
    <w:rsid w:val="00A52B70"/>
    <w:rsid w:val="00A52BF6"/>
    <w:rsid w:val="00A52D98"/>
    <w:rsid w:val="00A52EBE"/>
    <w:rsid w:val="00A52F80"/>
    <w:rsid w:val="00A53049"/>
    <w:rsid w:val="00A53238"/>
    <w:rsid w:val="00A532A9"/>
    <w:rsid w:val="00A535BE"/>
    <w:rsid w:val="00A535E2"/>
    <w:rsid w:val="00A537A1"/>
    <w:rsid w:val="00A537A3"/>
    <w:rsid w:val="00A5381A"/>
    <w:rsid w:val="00A539E1"/>
    <w:rsid w:val="00A53BED"/>
    <w:rsid w:val="00A53FB1"/>
    <w:rsid w:val="00A54020"/>
    <w:rsid w:val="00A5409E"/>
    <w:rsid w:val="00A540C1"/>
    <w:rsid w:val="00A545D7"/>
    <w:rsid w:val="00A54707"/>
    <w:rsid w:val="00A54B50"/>
    <w:rsid w:val="00A54CDE"/>
    <w:rsid w:val="00A5513B"/>
    <w:rsid w:val="00A55173"/>
    <w:rsid w:val="00A5521F"/>
    <w:rsid w:val="00A55358"/>
    <w:rsid w:val="00A55ABC"/>
    <w:rsid w:val="00A55AFC"/>
    <w:rsid w:val="00A55C29"/>
    <w:rsid w:val="00A55C74"/>
    <w:rsid w:val="00A55CF8"/>
    <w:rsid w:val="00A55F84"/>
    <w:rsid w:val="00A560DC"/>
    <w:rsid w:val="00A561FE"/>
    <w:rsid w:val="00A56251"/>
    <w:rsid w:val="00A56273"/>
    <w:rsid w:val="00A564BD"/>
    <w:rsid w:val="00A565D9"/>
    <w:rsid w:val="00A56AB7"/>
    <w:rsid w:val="00A56B11"/>
    <w:rsid w:val="00A56D9A"/>
    <w:rsid w:val="00A57051"/>
    <w:rsid w:val="00A5716F"/>
    <w:rsid w:val="00A577FE"/>
    <w:rsid w:val="00A57C7C"/>
    <w:rsid w:val="00A57D52"/>
    <w:rsid w:val="00A57F01"/>
    <w:rsid w:val="00A57F18"/>
    <w:rsid w:val="00A6008E"/>
    <w:rsid w:val="00A601ED"/>
    <w:rsid w:val="00A608BB"/>
    <w:rsid w:val="00A609F4"/>
    <w:rsid w:val="00A60B7B"/>
    <w:rsid w:val="00A60C02"/>
    <w:rsid w:val="00A60C3B"/>
    <w:rsid w:val="00A60F60"/>
    <w:rsid w:val="00A61277"/>
    <w:rsid w:val="00A61488"/>
    <w:rsid w:val="00A6173D"/>
    <w:rsid w:val="00A61C67"/>
    <w:rsid w:val="00A61FAF"/>
    <w:rsid w:val="00A6253D"/>
    <w:rsid w:val="00A62566"/>
    <w:rsid w:val="00A6289D"/>
    <w:rsid w:val="00A6299E"/>
    <w:rsid w:val="00A62B3A"/>
    <w:rsid w:val="00A62BCE"/>
    <w:rsid w:val="00A62F09"/>
    <w:rsid w:val="00A62FC4"/>
    <w:rsid w:val="00A631D9"/>
    <w:rsid w:val="00A63455"/>
    <w:rsid w:val="00A634CE"/>
    <w:rsid w:val="00A63761"/>
    <w:rsid w:val="00A637A5"/>
    <w:rsid w:val="00A63878"/>
    <w:rsid w:val="00A63A99"/>
    <w:rsid w:val="00A63C5B"/>
    <w:rsid w:val="00A640D7"/>
    <w:rsid w:val="00A642A2"/>
    <w:rsid w:val="00A643F4"/>
    <w:rsid w:val="00A64808"/>
    <w:rsid w:val="00A6482E"/>
    <w:rsid w:val="00A64D56"/>
    <w:rsid w:val="00A64DD7"/>
    <w:rsid w:val="00A64E42"/>
    <w:rsid w:val="00A64F82"/>
    <w:rsid w:val="00A6519D"/>
    <w:rsid w:val="00A654A8"/>
    <w:rsid w:val="00A6590D"/>
    <w:rsid w:val="00A659AD"/>
    <w:rsid w:val="00A659B6"/>
    <w:rsid w:val="00A65B6B"/>
    <w:rsid w:val="00A65CB9"/>
    <w:rsid w:val="00A65CF5"/>
    <w:rsid w:val="00A65DA4"/>
    <w:rsid w:val="00A65E8F"/>
    <w:rsid w:val="00A65F4D"/>
    <w:rsid w:val="00A660CA"/>
    <w:rsid w:val="00A6617B"/>
    <w:rsid w:val="00A6638D"/>
    <w:rsid w:val="00A6656E"/>
    <w:rsid w:val="00A66665"/>
    <w:rsid w:val="00A6684E"/>
    <w:rsid w:val="00A669CB"/>
    <w:rsid w:val="00A66A98"/>
    <w:rsid w:val="00A670E2"/>
    <w:rsid w:val="00A67180"/>
    <w:rsid w:val="00A67302"/>
    <w:rsid w:val="00A679B6"/>
    <w:rsid w:val="00A67E36"/>
    <w:rsid w:val="00A67F79"/>
    <w:rsid w:val="00A67FC4"/>
    <w:rsid w:val="00A7042E"/>
    <w:rsid w:val="00A70609"/>
    <w:rsid w:val="00A70684"/>
    <w:rsid w:val="00A707A7"/>
    <w:rsid w:val="00A707C4"/>
    <w:rsid w:val="00A707D7"/>
    <w:rsid w:val="00A70C4B"/>
    <w:rsid w:val="00A70D4B"/>
    <w:rsid w:val="00A70EE5"/>
    <w:rsid w:val="00A71005"/>
    <w:rsid w:val="00A711EB"/>
    <w:rsid w:val="00A71229"/>
    <w:rsid w:val="00A7135A"/>
    <w:rsid w:val="00A713F8"/>
    <w:rsid w:val="00A71667"/>
    <w:rsid w:val="00A7167B"/>
    <w:rsid w:val="00A71866"/>
    <w:rsid w:val="00A71983"/>
    <w:rsid w:val="00A71D0F"/>
    <w:rsid w:val="00A71D22"/>
    <w:rsid w:val="00A71D4D"/>
    <w:rsid w:val="00A71FB2"/>
    <w:rsid w:val="00A72075"/>
    <w:rsid w:val="00A72092"/>
    <w:rsid w:val="00A7213B"/>
    <w:rsid w:val="00A7213C"/>
    <w:rsid w:val="00A72240"/>
    <w:rsid w:val="00A72495"/>
    <w:rsid w:val="00A72791"/>
    <w:rsid w:val="00A72B36"/>
    <w:rsid w:val="00A72D99"/>
    <w:rsid w:val="00A730D1"/>
    <w:rsid w:val="00A730E1"/>
    <w:rsid w:val="00A73141"/>
    <w:rsid w:val="00A73A2D"/>
    <w:rsid w:val="00A73A45"/>
    <w:rsid w:val="00A73A73"/>
    <w:rsid w:val="00A73AC2"/>
    <w:rsid w:val="00A73C68"/>
    <w:rsid w:val="00A73DD0"/>
    <w:rsid w:val="00A73E45"/>
    <w:rsid w:val="00A74049"/>
    <w:rsid w:val="00A7429E"/>
    <w:rsid w:val="00A745D1"/>
    <w:rsid w:val="00A7488B"/>
    <w:rsid w:val="00A74B15"/>
    <w:rsid w:val="00A74CA6"/>
    <w:rsid w:val="00A74D78"/>
    <w:rsid w:val="00A74EB6"/>
    <w:rsid w:val="00A74EC3"/>
    <w:rsid w:val="00A74F9C"/>
    <w:rsid w:val="00A751A7"/>
    <w:rsid w:val="00A7567F"/>
    <w:rsid w:val="00A758E4"/>
    <w:rsid w:val="00A75CF0"/>
    <w:rsid w:val="00A75CF1"/>
    <w:rsid w:val="00A75DC9"/>
    <w:rsid w:val="00A75E2B"/>
    <w:rsid w:val="00A75ED4"/>
    <w:rsid w:val="00A75F20"/>
    <w:rsid w:val="00A75F2E"/>
    <w:rsid w:val="00A75FA5"/>
    <w:rsid w:val="00A761D0"/>
    <w:rsid w:val="00A76544"/>
    <w:rsid w:val="00A7679F"/>
    <w:rsid w:val="00A7691C"/>
    <w:rsid w:val="00A76BEB"/>
    <w:rsid w:val="00A76D44"/>
    <w:rsid w:val="00A76ED0"/>
    <w:rsid w:val="00A77178"/>
    <w:rsid w:val="00A77482"/>
    <w:rsid w:val="00A77597"/>
    <w:rsid w:val="00A777D4"/>
    <w:rsid w:val="00A7790E"/>
    <w:rsid w:val="00A77B3F"/>
    <w:rsid w:val="00A77BC7"/>
    <w:rsid w:val="00A77D99"/>
    <w:rsid w:val="00A77DAB"/>
    <w:rsid w:val="00A8010D"/>
    <w:rsid w:val="00A80310"/>
    <w:rsid w:val="00A80365"/>
    <w:rsid w:val="00A804D1"/>
    <w:rsid w:val="00A80587"/>
    <w:rsid w:val="00A806ED"/>
    <w:rsid w:val="00A80BA3"/>
    <w:rsid w:val="00A80C79"/>
    <w:rsid w:val="00A80DA2"/>
    <w:rsid w:val="00A80E3E"/>
    <w:rsid w:val="00A81178"/>
    <w:rsid w:val="00A81475"/>
    <w:rsid w:val="00A815A9"/>
    <w:rsid w:val="00A81812"/>
    <w:rsid w:val="00A819B6"/>
    <w:rsid w:val="00A81E32"/>
    <w:rsid w:val="00A81FFB"/>
    <w:rsid w:val="00A82030"/>
    <w:rsid w:val="00A822E6"/>
    <w:rsid w:val="00A82344"/>
    <w:rsid w:val="00A8254F"/>
    <w:rsid w:val="00A82A09"/>
    <w:rsid w:val="00A82B6D"/>
    <w:rsid w:val="00A82B79"/>
    <w:rsid w:val="00A82BDA"/>
    <w:rsid w:val="00A8318E"/>
    <w:rsid w:val="00A83228"/>
    <w:rsid w:val="00A83407"/>
    <w:rsid w:val="00A83511"/>
    <w:rsid w:val="00A836D3"/>
    <w:rsid w:val="00A83AA8"/>
    <w:rsid w:val="00A83F28"/>
    <w:rsid w:val="00A83FC2"/>
    <w:rsid w:val="00A83FC9"/>
    <w:rsid w:val="00A83FD7"/>
    <w:rsid w:val="00A83FE1"/>
    <w:rsid w:val="00A8450B"/>
    <w:rsid w:val="00A84A20"/>
    <w:rsid w:val="00A84A7D"/>
    <w:rsid w:val="00A84AC8"/>
    <w:rsid w:val="00A84E29"/>
    <w:rsid w:val="00A84F53"/>
    <w:rsid w:val="00A850DC"/>
    <w:rsid w:val="00A85107"/>
    <w:rsid w:val="00A85284"/>
    <w:rsid w:val="00A85348"/>
    <w:rsid w:val="00A85353"/>
    <w:rsid w:val="00A85388"/>
    <w:rsid w:val="00A8579F"/>
    <w:rsid w:val="00A85AF8"/>
    <w:rsid w:val="00A85B1D"/>
    <w:rsid w:val="00A85BA6"/>
    <w:rsid w:val="00A85DCD"/>
    <w:rsid w:val="00A85E1F"/>
    <w:rsid w:val="00A85ED1"/>
    <w:rsid w:val="00A85F12"/>
    <w:rsid w:val="00A860CF"/>
    <w:rsid w:val="00A8640D"/>
    <w:rsid w:val="00A86606"/>
    <w:rsid w:val="00A86713"/>
    <w:rsid w:val="00A86905"/>
    <w:rsid w:val="00A86B93"/>
    <w:rsid w:val="00A86C56"/>
    <w:rsid w:val="00A871CA"/>
    <w:rsid w:val="00A87253"/>
    <w:rsid w:val="00A87B53"/>
    <w:rsid w:val="00A87CD5"/>
    <w:rsid w:val="00A90047"/>
    <w:rsid w:val="00A902C0"/>
    <w:rsid w:val="00A90331"/>
    <w:rsid w:val="00A90367"/>
    <w:rsid w:val="00A90506"/>
    <w:rsid w:val="00A90A3E"/>
    <w:rsid w:val="00A90C25"/>
    <w:rsid w:val="00A90C6B"/>
    <w:rsid w:val="00A90C80"/>
    <w:rsid w:val="00A90CD0"/>
    <w:rsid w:val="00A91217"/>
    <w:rsid w:val="00A9138B"/>
    <w:rsid w:val="00A91426"/>
    <w:rsid w:val="00A91527"/>
    <w:rsid w:val="00A915FB"/>
    <w:rsid w:val="00A91892"/>
    <w:rsid w:val="00A91921"/>
    <w:rsid w:val="00A9193D"/>
    <w:rsid w:val="00A91993"/>
    <w:rsid w:val="00A91D27"/>
    <w:rsid w:val="00A91D65"/>
    <w:rsid w:val="00A91F9D"/>
    <w:rsid w:val="00A91FF0"/>
    <w:rsid w:val="00A92056"/>
    <w:rsid w:val="00A92382"/>
    <w:rsid w:val="00A92402"/>
    <w:rsid w:val="00A925DA"/>
    <w:rsid w:val="00A925FF"/>
    <w:rsid w:val="00A92CB8"/>
    <w:rsid w:val="00A933B4"/>
    <w:rsid w:val="00A936D4"/>
    <w:rsid w:val="00A93717"/>
    <w:rsid w:val="00A93D0E"/>
    <w:rsid w:val="00A93D97"/>
    <w:rsid w:val="00A93E85"/>
    <w:rsid w:val="00A93FA0"/>
    <w:rsid w:val="00A9414E"/>
    <w:rsid w:val="00A94437"/>
    <w:rsid w:val="00A94817"/>
    <w:rsid w:val="00A94E0C"/>
    <w:rsid w:val="00A94E68"/>
    <w:rsid w:val="00A94EAF"/>
    <w:rsid w:val="00A94EB5"/>
    <w:rsid w:val="00A95073"/>
    <w:rsid w:val="00A952CC"/>
    <w:rsid w:val="00A95550"/>
    <w:rsid w:val="00A956D5"/>
    <w:rsid w:val="00A95761"/>
    <w:rsid w:val="00A958E4"/>
    <w:rsid w:val="00A95A8B"/>
    <w:rsid w:val="00A95E25"/>
    <w:rsid w:val="00A95E35"/>
    <w:rsid w:val="00A96425"/>
    <w:rsid w:val="00A9670F"/>
    <w:rsid w:val="00A96805"/>
    <w:rsid w:val="00A968A5"/>
    <w:rsid w:val="00A96976"/>
    <w:rsid w:val="00A96B34"/>
    <w:rsid w:val="00A96BE1"/>
    <w:rsid w:val="00A96E2E"/>
    <w:rsid w:val="00A96E54"/>
    <w:rsid w:val="00A971B4"/>
    <w:rsid w:val="00A971DB"/>
    <w:rsid w:val="00A97429"/>
    <w:rsid w:val="00A976FA"/>
    <w:rsid w:val="00A97850"/>
    <w:rsid w:val="00A978DE"/>
    <w:rsid w:val="00A978EA"/>
    <w:rsid w:val="00A97B38"/>
    <w:rsid w:val="00A97C60"/>
    <w:rsid w:val="00A97EA2"/>
    <w:rsid w:val="00A97F1D"/>
    <w:rsid w:val="00A97F4B"/>
    <w:rsid w:val="00A97F8A"/>
    <w:rsid w:val="00AA0019"/>
    <w:rsid w:val="00AA014B"/>
    <w:rsid w:val="00AA03BF"/>
    <w:rsid w:val="00AA046C"/>
    <w:rsid w:val="00AA062F"/>
    <w:rsid w:val="00AA078B"/>
    <w:rsid w:val="00AA08A3"/>
    <w:rsid w:val="00AA0902"/>
    <w:rsid w:val="00AA0BB8"/>
    <w:rsid w:val="00AA0FE8"/>
    <w:rsid w:val="00AA1037"/>
    <w:rsid w:val="00AA10E2"/>
    <w:rsid w:val="00AA11FA"/>
    <w:rsid w:val="00AA1208"/>
    <w:rsid w:val="00AA1215"/>
    <w:rsid w:val="00AA1318"/>
    <w:rsid w:val="00AA13F6"/>
    <w:rsid w:val="00AA1B99"/>
    <w:rsid w:val="00AA1BB7"/>
    <w:rsid w:val="00AA1D06"/>
    <w:rsid w:val="00AA1D52"/>
    <w:rsid w:val="00AA1D74"/>
    <w:rsid w:val="00AA2154"/>
    <w:rsid w:val="00AA2391"/>
    <w:rsid w:val="00AA23BA"/>
    <w:rsid w:val="00AA2492"/>
    <w:rsid w:val="00AA267D"/>
    <w:rsid w:val="00AA26DC"/>
    <w:rsid w:val="00AA2B00"/>
    <w:rsid w:val="00AA2C39"/>
    <w:rsid w:val="00AA2E1A"/>
    <w:rsid w:val="00AA2F3D"/>
    <w:rsid w:val="00AA32A9"/>
    <w:rsid w:val="00AA3934"/>
    <w:rsid w:val="00AA3A3B"/>
    <w:rsid w:val="00AA3A68"/>
    <w:rsid w:val="00AA3B4F"/>
    <w:rsid w:val="00AA3EC2"/>
    <w:rsid w:val="00AA46F0"/>
    <w:rsid w:val="00AA47DB"/>
    <w:rsid w:val="00AA4802"/>
    <w:rsid w:val="00AA49CA"/>
    <w:rsid w:val="00AA4A8E"/>
    <w:rsid w:val="00AA4AB7"/>
    <w:rsid w:val="00AA4B71"/>
    <w:rsid w:val="00AA4CDD"/>
    <w:rsid w:val="00AA4E87"/>
    <w:rsid w:val="00AA536E"/>
    <w:rsid w:val="00AA5894"/>
    <w:rsid w:val="00AA5A29"/>
    <w:rsid w:val="00AA5C00"/>
    <w:rsid w:val="00AA5C34"/>
    <w:rsid w:val="00AA5EAA"/>
    <w:rsid w:val="00AA5F32"/>
    <w:rsid w:val="00AA6340"/>
    <w:rsid w:val="00AA6347"/>
    <w:rsid w:val="00AA66B2"/>
    <w:rsid w:val="00AA68EA"/>
    <w:rsid w:val="00AA69B3"/>
    <w:rsid w:val="00AA6A3F"/>
    <w:rsid w:val="00AA6D5A"/>
    <w:rsid w:val="00AA6D88"/>
    <w:rsid w:val="00AA716F"/>
    <w:rsid w:val="00AA7231"/>
    <w:rsid w:val="00AA75A3"/>
    <w:rsid w:val="00AA761F"/>
    <w:rsid w:val="00AA76AC"/>
    <w:rsid w:val="00AA79D3"/>
    <w:rsid w:val="00AA7AB6"/>
    <w:rsid w:val="00AA7BF9"/>
    <w:rsid w:val="00AA7ECB"/>
    <w:rsid w:val="00AB0056"/>
    <w:rsid w:val="00AB011E"/>
    <w:rsid w:val="00AB046A"/>
    <w:rsid w:val="00AB058E"/>
    <w:rsid w:val="00AB060E"/>
    <w:rsid w:val="00AB0970"/>
    <w:rsid w:val="00AB0B3B"/>
    <w:rsid w:val="00AB0B55"/>
    <w:rsid w:val="00AB0B98"/>
    <w:rsid w:val="00AB0BFB"/>
    <w:rsid w:val="00AB0CA3"/>
    <w:rsid w:val="00AB0CB9"/>
    <w:rsid w:val="00AB0E23"/>
    <w:rsid w:val="00AB0F47"/>
    <w:rsid w:val="00AB0FFB"/>
    <w:rsid w:val="00AB12B7"/>
    <w:rsid w:val="00AB12D6"/>
    <w:rsid w:val="00AB1438"/>
    <w:rsid w:val="00AB1834"/>
    <w:rsid w:val="00AB18E0"/>
    <w:rsid w:val="00AB192D"/>
    <w:rsid w:val="00AB1A4A"/>
    <w:rsid w:val="00AB1F80"/>
    <w:rsid w:val="00AB1FB4"/>
    <w:rsid w:val="00AB1FBE"/>
    <w:rsid w:val="00AB1FCB"/>
    <w:rsid w:val="00AB204C"/>
    <w:rsid w:val="00AB204F"/>
    <w:rsid w:val="00AB227A"/>
    <w:rsid w:val="00AB241A"/>
    <w:rsid w:val="00AB247A"/>
    <w:rsid w:val="00AB24A6"/>
    <w:rsid w:val="00AB24F1"/>
    <w:rsid w:val="00AB24FA"/>
    <w:rsid w:val="00AB25DD"/>
    <w:rsid w:val="00AB2782"/>
    <w:rsid w:val="00AB28E2"/>
    <w:rsid w:val="00AB29F1"/>
    <w:rsid w:val="00AB2AA8"/>
    <w:rsid w:val="00AB2ABE"/>
    <w:rsid w:val="00AB2B06"/>
    <w:rsid w:val="00AB2D8B"/>
    <w:rsid w:val="00AB2F1A"/>
    <w:rsid w:val="00AB2FB7"/>
    <w:rsid w:val="00AB3374"/>
    <w:rsid w:val="00AB3418"/>
    <w:rsid w:val="00AB34FD"/>
    <w:rsid w:val="00AB3985"/>
    <w:rsid w:val="00AB3B39"/>
    <w:rsid w:val="00AB3B96"/>
    <w:rsid w:val="00AB3C84"/>
    <w:rsid w:val="00AB3CC6"/>
    <w:rsid w:val="00AB3CFA"/>
    <w:rsid w:val="00AB3DB6"/>
    <w:rsid w:val="00AB3F29"/>
    <w:rsid w:val="00AB419D"/>
    <w:rsid w:val="00AB4583"/>
    <w:rsid w:val="00AB4704"/>
    <w:rsid w:val="00AB47C5"/>
    <w:rsid w:val="00AB4A19"/>
    <w:rsid w:val="00AB4E15"/>
    <w:rsid w:val="00AB4EE7"/>
    <w:rsid w:val="00AB5102"/>
    <w:rsid w:val="00AB5186"/>
    <w:rsid w:val="00AB57EB"/>
    <w:rsid w:val="00AB59B3"/>
    <w:rsid w:val="00AB5B85"/>
    <w:rsid w:val="00AB5B9E"/>
    <w:rsid w:val="00AB5DF0"/>
    <w:rsid w:val="00AB5F1D"/>
    <w:rsid w:val="00AB6173"/>
    <w:rsid w:val="00AB651D"/>
    <w:rsid w:val="00AB67DE"/>
    <w:rsid w:val="00AB686F"/>
    <w:rsid w:val="00AB689A"/>
    <w:rsid w:val="00AB6B40"/>
    <w:rsid w:val="00AB6DE1"/>
    <w:rsid w:val="00AB6E0C"/>
    <w:rsid w:val="00AB706A"/>
    <w:rsid w:val="00AB70D5"/>
    <w:rsid w:val="00AB72E6"/>
    <w:rsid w:val="00AB72F6"/>
    <w:rsid w:val="00AB736A"/>
    <w:rsid w:val="00AB736B"/>
    <w:rsid w:val="00AB73AE"/>
    <w:rsid w:val="00AB773F"/>
    <w:rsid w:val="00AB77FD"/>
    <w:rsid w:val="00AB799A"/>
    <w:rsid w:val="00AB79AB"/>
    <w:rsid w:val="00AB7E22"/>
    <w:rsid w:val="00AC0075"/>
    <w:rsid w:val="00AC010C"/>
    <w:rsid w:val="00AC015E"/>
    <w:rsid w:val="00AC01D4"/>
    <w:rsid w:val="00AC01DF"/>
    <w:rsid w:val="00AC033B"/>
    <w:rsid w:val="00AC04CE"/>
    <w:rsid w:val="00AC0581"/>
    <w:rsid w:val="00AC06C8"/>
    <w:rsid w:val="00AC06DE"/>
    <w:rsid w:val="00AC074F"/>
    <w:rsid w:val="00AC0948"/>
    <w:rsid w:val="00AC0DB3"/>
    <w:rsid w:val="00AC0E4F"/>
    <w:rsid w:val="00AC123E"/>
    <w:rsid w:val="00AC1444"/>
    <w:rsid w:val="00AC150B"/>
    <w:rsid w:val="00AC1691"/>
    <w:rsid w:val="00AC1972"/>
    <w:rsid w:val="00AC197E"/>
    <w:rsid w:val="00AC1A06"/>
    <w:rsid w:val="00AC1D44"/>
    <w:rsid w:val="00AC1FED"/>
    <w:rsid w:val="00AC2001"/>
    <w:rsid w:val="00AC23D1"/>
    <w:rsid w:val="00AC262A"/>
    <w:rsid w:val="00AC27B0"/>
    <w:rsid w:val="00AC2B20"/>
    <w:rsid w:val="00AC2D2C"/>
    <w:rsid w:val="00AC2F02"/>
    <w:rsid w:val="00AC2F82"/>
    <w:rsid w:val="00AC3272"/>
    <w:rsid w:val="00AC335E"/>
    <w:rsid w:val="00AC3513"/>
    <w:rsid w:val="00AC38E9"/>
    <w:rsid w:val="00AC3BB7"/>
    <w:rsid w:val="00AC3DBC"/>
    <w:rsid w:val="00AC3EDE"/>
    <w:rsid w:val="00AC3FE4"/>
    <w:rsid w:val="00AC3FFF"/>
    <w:rsid w:val="00AC400C"/>
    <w:rsid w:val="00AC4018"/>
    <w:rsid w:val="00AC40EB"/>
    <w:rsid w:val="00AC42E4"/>
    <w:rsid w:val="00AC4587"/>
    <w:rsid w:val="00AC4633"/>
    <w:rsid w:val="00AC47DB"/>
    <w:rsid w:val="00AC48E1"/>
    <w:rsid w:val="00AC49BB"/>
    <w:rsid w:val="00AC4DD3"/>
    <w:rsid w:val="00AC4DE3"/>
    <w:rsid w:val="00AC4E33"/>
    <w:rsid w:val="00AC5277"/>
    <w:rsid w:val="00AC56CF"/>
    <w:rsid w:val="00AC5737"/>
    <w:rsid w:val="00AC579C"/>
    <w:rsid w:val="00AC57C8"/>
    <w:rsid w:val="00AC5873"/>
    <w:rsid w:val="00AC58DF"/>
    <w:rsid w:val="00AC59BE"/>
    <w:rsid w:val="00AC5A0E"/>
    <w:rsid w:val="00AC5CB6"/>
    <w:rsid w:val="00AC5E2F"/>
    <w:rsid w:val="00AC5F10"/>
    <w:rsid w:val="00AC604A"/>
    <w:rsid w:val="00AC61FD"/>
    <w:rsid w:val="00AC6211"/>
    <w:rsid w:val="00AC6364"/>
    <w:rsid w:val="00AC638F"/>
    <w:rsid w:val="00AC63E1"/>
    <w:rsid w:val="00AC66E0"/>
    <w:rsid w:val="00AC678F"/>
    <w:rsid w:val="00AC695E"/>
    <w:rsid w:val="00AC6963"/>
    <w:rsid w:val="00AC6A14"/>
    <w:rsid w:val="00AC6D49"/>
    <w:rsid w:val="00AC6E42"/>
    <w:rsid w:val="00AC6E8F"/>
    <w:rsid w:val="00AC7172"/>
    <w:rsid w:val="00AC720A"/>
    <w:rsid w:val="00AC76F4"/>
    <w:rsid w:val="00AC7783"/>
    <w:rsid w:val="00AC7B99"/>
    <w:rsid w:val="00AC7C0F"/>
    <w:rsid w:val="00AD00A6"/>
    <w:rsid w:val="00AD011A"/>
    <w:rsid w:val="00AD0174"/>
    <w:rsid w:val="00AD021C"/>
    <w:rsid w:val="00AD02D5"/>
    <w:rsid w:val="00AD0349"/>
    <w:rsid w:val="00AD0663"/>
    <w:rsid w:val="00AD073C"/>
    <w:rsid w:val="00AD0EAA"/>
    <w:rsid w:val="00AD1395"/>
    <w:rsid w:val="00AD1AD5"/>
    <w:rsid w:val="00AD214F"/>
    <w:rsid w:val="00AD24AF"/>
    <w:rsid w:val="00AD2627"/>
    <w:rsid w:val="00AD26B5"/>
    <w:rsid w:val="00AD29BF"/>
    <w:rsid w:val="00AD2D7A"/>
    <w:rsid w:val="00AD2E64"/>
    <w:rsid w:val="00AD2E8B"/>
    <w:rsid w:val="00AD2FE1"/>
    <w:rsid w:val="00AD3124"/>
    <w:rsid w:val="00AD31A7"/>
    <w:rsid w:val="00AD31C9"/>
    <w:rsid w:val="00AD327E"/>
    <w:rsid w:val="00AD3476"/>
    <w:rsid w:val="00AD35BE"/>
    <w:rsid w:val="00AD3702"/>
    <w:rsid w:val="00AD380F"/>
    <w:rsid w:val="00AD3A31"/>
    <w:rsid w:val="00AD3B6B"/>
    <w:rsid w:val="00AD3E1F"/>
    <w:rsid w:val="00AD3F26"/>
    <w:rsid w:val="00AD4012"/>
    <w:rsid w:val="00AD45E4"/>
    <w:rsid w:val="00AD49AE"/>
    <w:rsid w:val="00AD4A5A"/>
    <w:rsid w:val="00AD4C9A"/>
    <w:rsid w:val="00AD4E14"/>
    <w:rsid w:val="00AD5113"/>
    <w:rsid w:val="00AD52AA"/>
    <w:rsid w:val="00AD53A8"/>
    <w:rsid w:val="00AD53E1"/>
    <w:rsid w:val="00AD54A2"/>
    <w:rsid w:val="00AD5501"/>
    <w:rsid w:val="00AD5AF9"/>
    <w:rsid w:val="00AD5C40"/>
    <w:rsid w:val="00AD5FCE"/>
    <w:rsid w:val="00AD64B5"/>
    <w:rsid w:val="00AD6A7E"/>
    <w:rsid w:val="00AD6FAD"/>
    <w:rsid w:val="00AD72DB"/>
    <w:rsid w:val="00AD732A"/>
    <w:rsid w:val="00AD7418"/>
    <w:rsid w:val="00AD74A8"/>
    <w:rsid w:val="00AD75C7"/>
    <w:rsid w:val="00AD7661"/>
    <w:rsid w:val="00AD77EE"/>
    <w:rsid w:val="00AD7849"/>
    <w:rsid w:val="00AD788F"/>
    <w:rsid w:val="00AD78A7"/>
    <w:rsid w:val="00AD78EC"/>
    <w:rsid w:val="00AD794F"/>
    <w:rsid w:val="00AD7ABA"/>
    <w:rsid w:val="00AD7C18"/>
    <w:rsid w:val="00AD7CBC"/>
    <w:rsid w:val="00AD7E4D"/>
    <w:rsid w:val="00AD7F6A"/>
    <w:rsid w:val="00AD7FDC"/>
    <w:rsid w:val="00AE0BC7"/>
    <w:rsid w:val="00AE103F"/>
    <w:rsid w:val="00AE1109"/>
    <w:rsid w:val="00AE119F"/>
    <w:rsid w:val="00AE1350"/>
    <w:rsid w:val="00AE1747"/>
    <w:rsid w:val="00AE1D0E"/>
    <w:rsid w:val="00AE2073"/>
    <w:rsid w:val="00AE23F6"/>
    <w:rsid w:val="00AE24D9"/>
    <w:rsid w:val="00AE26EF"/>
    <w:rsid w:val="00AE28A4"/>
    <w:rsid w:val="00AE2A5D"/>
    <w:rsid w:val="00AE2ADF"/>
    <w:rsid w:val="00AE2AE6"/>
    <w:rsid w:val="00AE2C83"/>
    <w:rsid w:val="00AE2D72"/>
    <w:rsid w:val="00AE35E0"/>
    <w:rsid w:val="00AE365F"/>
    <w:rsid w:val="00AE37D1"/>
    <w:rsid w:val="00AE3C38"/>
    <w:rsid w:val="00AE405B"/>
    <w:rsid w:val="00AE424A"/>
    <w:rsid w:val="00AE4633"/>
    <w:rsid w:val="00AE4758"/>
    <w:rsid w:val="00AE4A0D"/>
    <w:rsid w:val="00AE4AEC"/>
    <w:rsid w:val="00AE4D7C"/>
    <w:rsid w:val="00AE5013"/>
    <w:rsid w:val="00AE504A"/>
    <w:rsid w:val="00AE5484"/>
    <w:rsid w:val="00AE5624"/>
    <w:rsid w:val="00AE577A"/>
    <w:rsid w:val="00AE5877"/>
    <w:rsid w:val="00AE5BC9"/>
    <w:rsid w:val="00AE5C1B"/>
    <w:rsid w:val="00AE5D8B"/>
    <w:rsid w:val="00AE61EA"/>
    <w:rsid w:val="00AE63C4"/>
    <w:rsid w:val="00AE6402"/>
    <w:rsid w:val="00AE64B4"/>
    <w:rsid w:val="00AE663F"/>
    <w:rsid w:val="00AE69A3"/>
    <w:rsid w:val="00AE6C07"/>
    <w:rsid w:val="00AE6E85"/>
    <w:rsid w:val="00AE6ECD"/>
    <w:rsid w:val="00AE7046"/>
    <w:rsid w:val="00AE716A"/>
    <w:rsid w:val="00AE71BF"/>
    <w:rsid w:val="00AE73A2"/>
    <w:rsid w:val="00AE7483"/>
    <w:rsid w:val="00AE7796"/>
    <w:rsid w:val="00AE7B7E"/>
    <w:rsid w:val="00AE7BCE"/>
    <w:rsid w:val="00AE7D72"/>
    <w:rsid w:val="00AE7DE6"/>
    <w:rsid w:val="00AE7E04"/>
    <w:rsid w:val="00AF0173"/>
    <w:rsid w:val="00AF0375"/>
    <w:rsid w:val="00AF03E8"/>
    <w:rsid w:val="00AF107B"/>
    <w:rsid w:val="00AF127C"/>
    <w:rsid w:val="00AF1495"/>
    <w:rsid w:val="00AF15AD"/>
    <w:rsid w:val="00AF1672"/>
    <w:rsid w:val="00AF174B"/>
    <w:rsid w:val="00AF17FC"/>
    <w:rsid w:val="00AF1865"/>
    <w:rsid w:val="00AF1A70"/>
    <w:rsid w:val="00AF1C0F"/>
    <w:rsid w:val="00AF1CB4"/>
    <w:rsid w:val="00AF1D4F"/>
    <w:rsid w:val="00AF1DE5"/>
    <w:rsid w:val="00AF2007"/>
    <w:rsid w:val="00AF2098"/>
    <w:rsid w:val="00AF21FF"/>
    <w:rsid w:val="00AF234F"/>
    <w:rsid w:val="00AF2514"/>
    <w:rsid w:val="00AF26E8"/>
    <w:rsid w:val="00AF27D9"/>
    <w:rsid w:val="00AF2A23"/>
    <w:rsid w:val="00AF2A6D"/>
    <w:rsid w:val="00AF2BCE"/>
    <w:rsid w:val="00AF2D42"/>
    <w:rsid w:val="00AF2EE7"/>
    <w:rsid w:val="00AF3147"/>
    <w:rsid w:val="00AF33C7"/>
    <w:rsid w:val="00AF3681"/>
    <w:rsid w:val="00AF3849"/>
    <w:rsid w:val="00AF3A09"/>
    <w:rsid w:val="00AF3A2B"/>
    <w:rsid w:val="00AF3CE2"/>
    <w:rsid w:val="00AF3D94"/>
    <w:rsid w:val="00AF3FDA"/>
    <w:rsid w:val="00AF401B"/>
    <w:rsid w:val="00AF4029"/>
    <w:rsid w:val="00AF4786"/>
    <w:rsid w:val="00AF479C"/>
    <w:rsid w:val="00AF47B7"/>
    <w:rsid w:val="00AF5173"/>
    <w:rsid w:val="00AF52DC"/>
    <w:rsid w:val="00AF53B6"/>
    <w:rsid w:val="00AF54FE"/>
    <w:rsid w:val="00AF56CB"/>
    <w:rsid w:val="00AF56E5"/>
    <w:rsid w:val="00AF57EF"/>
    <w:rsid w:val="00AF5A4B"/>
    <w:rsid w:val="00AF5AA3"/>
    <w:rsid w:val="00AF5B29"/>
    <w:rsid w:val="00AF5D5F"/>
    <w:rsid w:val="00AF6008"/>
    <w:rsid w:val="00AF616D"/>
    <w:rsid w:val="00AF6363"/>
    <w:rsid w:val="00AF672D"/>
    <w:rsid w:val="00AF6A97"/>
    <w:rsid w:val="00AF6D38"/>
    <w:rsid w:val="00AF6D3A"/>
    <w:rsid w:val="00AF6F49"/>
    <w:rsid w:val="00AF6FD5"/>
    <w:rsid w:val="00AF7435"/>
    <w:rsid w:val="00AF7829"/>
    <w:rsid w:val="00AF7996"/>
    <w:rsid w:val="00AF7E59"/>
    <w:rsid w:val="00B001CC"/>
    <w:rsid w:val="00B00293"/>
    <w:rsid w:val="00B002A4"/>
    <w:rsid w:val="00B0033B"/>
    <w:rsid w:val="00B00689"/>
    <w:rsid w:val="00B00690"/>
    <w:rsid w:val="00B00740"/>
    <w:rsid w:val="00B00865"/>
    <w:rsid w:val="00B008C8"/>
    <w:rsid w:val="00B0090C"/>
    <w:rsid w:val="00B00B3F"/>
    <w:rsid w:val="00B00D1D"/>
    <w:rsid w:val="00B00DB9"/>
    <w:rsid w:val="00B0110C"/>
    <w:rsid w:val="00B0153A"/>
    <w:rsid w:val="00B018EA"/>
    <w:rsid w:val="00B01950"/>
    <w:rsid w:val="00B01C14"/>
    <w:rsid w:val="00B02053"/>
    <w:rsid w:val="00B020D6"/>
    <w:rsid w:val="00B022C7"/>
    <w:rsid w:val="00B02324"/>
    <w:rsid w:val="00B02434"/>
    <w:rsid w:val="00B02487"/>
    <w:rsid w:val="00B02ACD"/>
    <w:rsid w:val="00B02CA5"/>
    <w:rsid w:val="00B0335A"/>
    <w:rsid w:val="00B03476"/>
    <w:rsid w:val="00B034CA"/>
    <w:rsid w:val="00B0350E"/>
    <w:rsid w:val="00B0352B"/>
    <w:rsid w:val="00B035E0"/>
    <w:rsid w:val="00B03736"/>
    <w:rsid w:val="00B03C53"/>
    <w:rsid w:val="00B03DF5"/>
    <w:rsid w:val="00B04027"/>
    <w:rsid w:val="00B0434F"/>
    <w:rsid w:val="00B043A2"/>
    <w:rsid w:val="00B045AC"/>
    <w:rsid w:val="00B04784"/>
    <w:rsid w:val="00B047FC"/>
    <w:rsid w:val="00B0492F"/>
    <w:rsid w:val="00B04981"/>
    <w:rsid w:val="00B04AD0"/>
    <w:rsid w:val="00B04B94"/>
    <w:rsid w:val="00B04EE5"/>
    <w:rsid w:val="00B04FF9"/>
    <w:rsid w:val="00B050DD"/>
    <w:rsid w:val="00B0528F"/>
    <w:rsid w:val="00B0560B"/>
    <w:rsid w:val="00B05715"/>
    <w:rsid w:val="00B05897"/>
    <w:rsid w:val="00B05A13"/>
    <w:rsid w:val="00B05A60"/>
    <w:rsid w:val="00B05B77"/>
    <w:rsid w:val="00B05CA6"/>
    <w:rsid w:val="00B05E15"/>
    <w:rsid w:val="00B05EF7"/>
    <w:rsid w:val="00B06005"/>
    <w:rsid w:val="00B06134"/>
    <w:rsid w:val="00B061EA"/>
    <w:rsid w:val="00B0630C"/>
    <w:rsid w:val="00B063E8"/>
    <w:rsid w:val="00B06437"/>
    <w:rsid w:val="00B0667E"/>
    <w:rsid w:val="00B06694"/>
    <w:rsid w:val="00B067EB"/>
    <w:rsid w:val="00B06953"/>
    <w:rsid w:val="00B069EC"/>
    <w:rsid w:val="00B06A67"/>
    <w:rsid w:val="00B06C61"/>
    <w:rsid w:val="00B06D78"/>
    <w:rsid w:val="00B06DAA"/>
    <w:rsid w:val="00B07298"/>
    <w:rsid w:val="00B073B3"/>
    <w:rsid w:val="00B073C9"/>
    <w:rsid w:val="00B073CA"/>
    <w:rsid w:val="00B074B8"/>
    <w:rsid w:val="00B07A7E"/>
    <w:rsid w:val="00B07C8E"/>
    <w:rsid w:val="00B07E1E"/>
    <w:rsid w:val="00B07F3D"/>
    <w:rsid w:val="00B10098"/>
    <w:rsid w:val="00B10121"/>
    <w:rsid w:val="00B103A5"/>
    <w:rsid w:val="00B1044B"/>
    <w:rsid w:val="00B108BA"/>
    <w:rsid w:val="00B109CB"/>
    <w:rsid w:val="00B10A19"/>
    <w:rsid w:val="00B10E22"/>
    <w:rsid w:val="00B10E76"/>
    <w:rsid w:val="00B10FA0"/>
    <w:rsid w:val="00B10FA7"/>
    <w:rsid w:val="00B11010"/>
    <w:rsid w:val="00B11189"/>
    <w:rsid w:val="00B11356"/>
    <w:rsid w:val="00B1140C"/>
    <w:rsid w:val="00B11784"/>
    <w:rsid w:val="00B11E32"/>
    <w:rsid w:val="00B11FB0"/>
    <w:rsid w:val="00B123B1"/>
    <w:rsid w:val="00B12434"/>
    <w:rsid w:val="00B1258C"/>
    <w:rsid w:val="00B1268C"/>
    <w:rsid w:val="00B126B4"/>
    <w:rsid w:val="00B1281A"/>
    <w:rsid w:val="00B12888"/>
    <w:rsid w:val="00B128DD"/>
    <w:rsid w:val="00B12BB9"/>
    <w:rsid w:val="00B12DC9"/>
    <w:rsid w:val="00B13015"/>
    <w:rsid w:val="00B13043"/>
    <w:rsid w:val="00B13457"/>
    <w:rsid w:val="00B13499"/>
    <w:rsid w:val="00B1361B"/>
    <w:rsid w:val="00B13906"/>
    <w:rsid w:val="00B139F8"/>
    <w:rsid w:val="00B13A2B"/>
    <w:rsid w:val="00B13ABA"/>
    <w:rsid w:val="00B13BE4"/>
    <w:rsid w:val="00B13C7D"/>
    <w:rsid w:val="00B13F2B"/>
    <w:rsid w:val="00B14033"/>
    <w:rsid w:val="00B140CC"/>
    <w:rsid w:val="00B142CF"/>
    <w:rsid w:val="00B1439F"/>
    <w:rsid w:val="00B143D3"/>
    <w:rsid w:val="00B1464A"/>
    <w:rsid w:val="00B146D3"/>
    <w:rsid w:val="00B1479B"/>
    <w:rsid w:val="00B1489A"/>
    <w:rsid w:val="00B1498E"/>
    <w:rsid w:val="00B14B78"/>
    <w:rsid w:val="00B14D4C"/>
    <w:rsid w:val="00B15263"/>
    <w:rsid w:val="00B1588D"/>
    <w:rsid w:val="00B161AF"/>
    <w:rsid w:val="00B16292"/>
    <w:rsid w:val="00B167F7"/>
    <w:rsid w:val="00B169A9"/>
    <w:rsid w:val="00B16AFA"/>
    <w:rsid w:val="00B16B42"/>
    <w:rsid w:val="00B16B6A"/>
    <w:rsid w:val="00B16D8F"/>
    <w:rsid w:val="00B16ED8"/>
    <w:rsid w:val="00B17445"/>
    <w:rsid w:val="00B176D0"/>
    <w:rsid w:val="00B17AF0"/>
    <w:rsid w:val="00B17B8A"/>
    <w:rsid w:val="00B20028"/>
    <w:rsid w:val="00B202F8"/>
    <w:rsid w:val="00B2042A"/>
    <w:rsid w:val="00B207C1"/>
    <w:rsid w:val="00B209D7"/>
    <w:rsid w:val="00B20BEB"/>
    <w:rsid w:val="00B20EE8"/>
    <w:rsid w:val="00B21126"/>
    <w:rsid w:val="00B2120B"/>
    <w:rsid w:val="00B21318"/>
    <w:rsid w:val="00B21698"/>
    <w:rsid w:val="00B21767"/>
    <w:rsid w:val="00B21AE7"/>
    <w:rsid w:val="00B21B00"/>
    <w:rsid w:val="00B21B76"/>
    <w:rsid w:val="00B21E2F"/>
    <w:rsid w:val="00B2219A"/>
    <w:rsid w:val="00B222E8"/>
    <w:rsid w:val="00B22380"/>
    <w:rsid w:val="00B2252C"/>
    <w:rsid w:val="00B22778"/>
    <w:rsid w:val="00B22E83"/>
    <w:rsid w:val="00B231FF"/>
    <w:rsid w:val="00B2377B"/>
    <w:rsid w:val="00B23847"/>
    <w:rsid w:val="00B23957"/>
    <w:rsid w:val="00B23B2A"/>
    <w:rsid w:val="00B23B98"/>
    <w:rsid w:val="00B23BEE"/>
    <w:rsid w:val="00B23C51"/>
    <w:rsid w:val="00B23DA1"/>
    <w:rsid w:val="00B242B9"/>
    <w:rsid w:val="00B2445D"/>
    <w:rsid w:val="00B24556"/>
    <w:rsid w:val="00B24B48"/>
    <w:rsid w:val="00B24B6F"/>
    <w:rsid w:val="00B24CBA"/>
    <w:rsid w:val="00B24CC9"/>
    <w:rsid w:val="00B24F85"/>
    <w:rsid w:val="00B2502B"/>
    <w:rsid w:val="00B25053"/>
    <w:rsid w:val="00B2505E"/>
    <w:rsid w:val="00B251F0"/>
    <w:rsid w:val="00B2563A"/>
    <w:rsid w:val="00B2566A"/>
    <w:rsid w:val="00B2566F"/>
    <w:rsid w:val="00B257C3"/>
    <w:rsid w:val="00B2583C"/>
    <w:rsid w:val="00B25845"/>
    <w:rsid w:val="00B259D9"/>
    <w:rsid w:val="00B25AF8"/>
    <w:rsid w:val="00B25D77"/>
    <w:rsid w:val="00B26040"/>
    <w:rsid w:val="00B26107"/>
    <w:rsid w:val="00B261AB"/>
    <w:rsid w:val="00B26214"/>
    <w:rsid w:val="00B263FB"/>
    <w:rsid w:val="00B2650F"/>
    <w:rsid w:val="00B2671D"/>
    <w:rsid w:val="00B2695D"/>
    <w:rsid w:val="00B26A99"/>
    <w:rsid w:val="00B26BC8"/>
    <w:rsid w:val="00B26C8A"/>
    <w:rsid w:val="00B271BC"/>
    <w:rsid w:val="00B279AA"/>
    <w:rsid w:val="00B27A80"/>
    <w:rsid w:val="00B27A83"/>
    <w:rsid w:val="00B27B92"/>
    <w:rsid w:val="00B27D08"/>
    <w:rsid w:val="00B27F94"/>
    <w:rsid w:val="00B30174"/>
    <w:rsid w:val="00B305ED"/>
    <w:rsid w:val="00B3071F"/>
    <w:rsid w:val="00B30AAD"/>
    <w:rsid w:val="00B30CBE"/>
    <w:rsid w:val="00B31378"/>
    <w:rsid w:val="00B31394"/>
    <w:rsid w:val="00B313D4"/>
    <w:rsid w:val="00B31577"/>
    <w:rsid w:val="00B315B1"/>
    <w:rsid w:val="00B31640"/>
    <w:rsid w:val="00B316CA"/>
    <w:rsid w:val="00B31842"/>
    <w:rsid w:val="00B3198A"/>
    <w:rsid w:val="00B31A20"/>
    <w:rsid w:val="00B31BA3"/>
    <w:rsid w:val="00B31F46"/>
    <w:rsid w:val="00B32202"/>
    <w:rsid w:val="00B3228B"/>
    <w:rsid w:val="00B32320"/>
    <w:rsid w:val="00B3256C"/>
    <w:rsid w:val="00B325C8"/>
    <w:rsid w:val="00B3295D"/>
    <w:rsid w:val="00B3295E"/>
    <w:rsid w:val="00B329E1"/>
    <w:rsid w:val="00B32D0F"/>
    <w:rsid w:val="00B32DC4"/>
    <w:rsid w:val="00B32E57"/>
    <w:rsid w:val="00B33124"/>
    <w:rsid w:val="00B33657"/>
    <w:rsid w:val="00B33745"/>
    <w:rsid w:val="00B33811"/>
    <w:rsid w:val="00B338DE"/>
    <w:rsid w:val="00B3394F"/>
    <w:rsid w:val="00B339D9"/>
    <w:rsid w:val="00B33C55"/>
    <w:rsid w:val="00B33D86"/>
    <w:rsid w:val="00B34029"/>
    <w:rsid w:val="00B3411A"/>
    <w:rsid w:val="00B343E7"/>
    <w:rsid w:val="00B34854"/>
    <w:rsid w:val="00B3490B"/>
    <w:rsid w:val="00B34C6E"/>
    <w:rsid w:val="00B3521E"/>
    <w:rsid w:val="00B3530C"/>
    <w:rsid w:val="00B35394"/>
    <w:rsid w:val="00B35CF5"/>
    <w:rsid w:val="00B35DE6"/>
    <w:rsid w:val="00B35E65"/>
    <w:rsid w:val="00B35E8F"/>
    <w:rsid w:val="00B3626B"/>
    <w:rsid w:val="00B36716"/>
    <w:rsid w:val="00B36CA6"/>
    <w:rsid w:val="00B36EC2"/>
    <w:rsid w:val="00B37018"/>
    <w:rsid w:val="00B373F6"/>
    <w:rsid w:val="00B37896"/>
    <w:rsid w:val="00B378E7"/>
    <w:rsid w:val="00B37A22"/>
    <w:rsid w:val="00B37BCC"/>
    <w:rsid w:val="00B37D69"/>
    <w:rsid w:val="00B37EF8"/>
    <w:rsid w:val="00B403FF"/>
    <w:rsid w:val="00B40800"/>
    <w:rsid w:val="00B4088B"/>
    <w:rsid w:val="00B40BD7"/>
    <w:rsid w:val="00B40D00"/>
    <w:rsid w:val="00B40D39"/>
    <w:rsid w:val="00B411A0"/>
    <w:rsid w:val="00B411FC"/>
    <w:rsid w:val="00B416AA"/>
    <w:rsid w:val="00B4177E"/>
    <w:rsid w:val="00B418AC"/>
    <w:rsid w:val="00B41B3E"/>
    <w:rsid w:val="00B41B81"/>
    <w:rsid w:val="00B41C4B"/>
    <w:rsid w:val="00B41D13"/>
    <w:rsid w:val="00B41F52"/>
    <w:rsid w:val="00B41F94"/>
    <w:rsid w:val="00B42065"/>
    <w:rsid w:val="00B420FB"/>
    <w:rsid w:val="00B42121"/>
    <w:rsid w:val="00B42626"/>
    <w:rsid w:val="00B42813"/>
    <w:rsid w:val="00B4283B"/>
    <w:rsid w:val="00B429ED"/>
    <w:rsid w:val="00B42C70"/>
    <w:rsid w:val="00B42C8C"/>
    <w:rsid w:val="00B42FBB"/>
    <w:rsid w:val="00B4310D"/>
    <w:rsid w:val="00B431FC"/>
    <w:rsid w:val="00B43230"/>
    <w:rsid w:val="00B43232"/>
    <w:rsid w:val="00B4348A"/>
    <w:rsid w:val="00B4350F"/>
    <w:rsid w:val="00B43718"/>
    <w:rsid w:val="00B43ED1"/>
    <w:rsid w:val="00B43FA7"/>
    <w:rsid w:val="00B44003"/>
    <w:rsid w:val="00B44709"/>
    <w:rsid w:val="00B447B3"/>
    <w:rsid w:val="00B447CB"/>
    <w:rsid w:val="00B44AFF"/>
    <w:rsid w:val="00B4502E"/>
    <w:rsid w:val="00B452FF"/>
    <w:rsid w:val="00B45449"/>
    <w:rsid w:val="00B45619"/>
    <w:rsid w:val="00B456DB"/>
    <w:rsid w:val="00B45729"/>
    <w:rsid w:val="00B4589D"/>
    <w:rsid w:val="00B458F8"/>
    <w:rsid w:val="00B45C61"/>
    <w:rsid w:val="00B45F2D"/>
    <w:rsid w:val="00B45F60"/>
    <w:rsid w:val="00B4626F"/>
    <w:rsid w:val="00B4630D"/>
    <w:rsid w:val="00B46430"/>
    <w:rsid w:val="00B46583"/>
    <w:rsid w:val="00B4690D"/>
    <w:rsid w:val="00B4699F"/>
    <w:rsid w:val="00B46C42"/>
    <w:rsid w:val="00B46C51"/>
    <w:rsid w:val="00B46C91"/>
    <w:rsid w:val="00B47286"/>
    <w:rsid w:val="00B47479"/>
    <w:rsid w:val="00B4753F"/>
    <w:rsid w:val="00B4754E"/>
    <w:rsid w:val="00B475C6"/>
    <w:rsid w:val="00B4794A"/>
    <w:rsid w:val="00B4798A"/>
    <w:rsid w:val="00B47CB0"/>
    <w:rsid w:val="00B501E8"/>
    <w:rsid w:val="00B50277"/>
    <w:rsid w:val="00B506F2"/>
    <w:rsid w:val="00B507AD"/>
    <w:rsid w:val="00B50802"/>
    <w:rsid w:val="00B50C7F"/>
    <w:rsid w:val="00B50F59"/>
    <w:rsid w:val="00B50F88"/>
    <w:rsid w:val="00B5128F"/>
    <w:rsid w:val="00B514D9"/>
    <w:rsid w:val="00B5151F"/>
    <w:rsid w:val="00B5153F"/>
    <w:rsid w:val="00B516CC"/>
    <w:rsid w:val="00B5183A"/>
    <w:rsid w:val="00B518D1"/>
    <w:rsid w:val="00B51973"/>
    <w:rsid w:val="00B51B0B"/>
    <w:rsid w:val="00B51C10"/>
    <w:rsid w:val="00B51C7C"/>
    <w:rsid w:val="00B51D96"/>
    <w:rsid w:val="00B51EA6"/>
    <w:rsid w:val="00B52178"/>
    <w:rsid w:val="00B52272"/>
    <w:rsid w:val="00B526FE"/>
    <w:rsid w:val="00B529FB"/>
    <w:rsid w:val="00B52BCD"/>
    <w:rsid w:val="00B52C05"/>
    <w:rsid w:val="00B52CA0"/>
    <w:rsid w:val="00B53325"/>
    <w:rsid w:val="00B533D2"/>
    <w:rsid w:val="00B5341E"/>
    <w:rsid w:val="00B5350A"/>
    <w:rsid w:val="00B5372D"/>
    <w:rsid w:val="00B53B70"/>
    <w:rsid w:val="00B54638"/>
    <w:rsid w:val="00B5491C"/>
    <w:rsid w:val="00B54BB2"/>
    <w:rsid w:val="00B54BE2"/>
    <w:rsid w:val="00B54E32"/>
    <w:rsid w:val="00B54E93"/>
    <w:rsid w:val="00B54F29"/>
    <w:rsid w:val="00B54F5B"/>
    <w:rsid w:val="00B54FB3"/>
    <w:rsid w:val="00B55246"/>
    <w:rsid w:val="00B553D0"/>
    <w:rsid w:val="00B55440"/>
    <w:rsid w:val="00B55F24"/>
    <w:rsid w:val="00B560BB"/>
    <w:rsid w:val="00B5620D"/>
    <w:rsid w:val="00B564A0"/>
    <w:rsid w:val="00B564F6"/>
    <w:rsid w:val="00B5677F"/>
    <w:rsid w:val="00B5686C"/>
    <w:rsid w:val="00B568A8"/>
    <w:rsid w:val="00B568F2"/>
    <w:rsid w:val="00B56A65"/>
    <w:rsid w:val="00B56A6E"/>
    <w:rsid w:val="00B56CD1"/>
    <w:rsid w:val="00B56F91"/>
    <w:rsid w:val="00B57278"/>
    <w:rsid w:val="00B57306"/>
    <w:rsid w:val="00B575E5"/>
    <w:rsid w:val="00B57683"/>
    <w:rsid w:val="00B577CD"/>
    <w:rsid w:val="00B57874"/>
    <w:rsid w:val="00B57AF0"/>
    <w:rsid w:val="00B57B6C"/>
    <w:rsid w:val="00B57BF8"/>
    <w:rsid w:val="00B6004A"/>
    <w:rsid w:val="00B601CB"/>
    <w:rsid w:val="00B6037C"/>
    <w:rsid w:val="00B60E70"/>
    <w:rsid w:val="00B6103D"/>
    <w:rsid w:val="00B61126"/>
    <w:rsid w:val="00B61156"/>
    <w:rsid w:val="00B613BC"/>
    <w:rsid w:val="00B61416"/>
    <w:rsid w:val="00B6148B"/>
    <w:rsid w:val="00B615A5"/>
    <w:rsid w:val="00B61604"/>
    <w:rsid w:val="00B6173B"/>
    <w:rsid w:val="00B61930"/>
    <w:rsid w:val="00B61C35"/>
    <w:rsid w:val="00B61D03"/>
    <w:rsid w:val="00B61F46"/>
    <w:rsid w:val="00B6208B"/>
    <w:rsid w:val="00B620A0"/>
    <w:rsid w:val="00B620A7"/>
    <w:rsid w:val="00B62526"/>
    <w:rsid w:val="00B625E5"/>
    <w:rsid w:val="00B62B9A"/>
    <w:rsid w:val="00B62CE0"/>
    <w:rsid w:val="00B62DB3"/>
    <w:rsid w:val="00B62E26"/>
    <w:rsid w:val="00B63513"/>
    <w:rsid w:val="00B635DC"/>
    <w:rsid w:val="00B6381E"/>
    <w:rsid w:val="00B63D8F"/>
    <w:rsid w:val="00B64243"/>
    <w:rsid w:val="00B64729"/>
    <w:rsid w:val="00B648B6"/>
    <w:rsid w:val="00B64968"/>
    <w:rsid w:val="00B64A41"/>
    <w:rsid w:val="00B64BA1"/>
    <w:rsid w:val="00B64C58"/>
    <w:rsid w:val="00B65239"/>
    <w:rsid w:val="00B65355"/>
    <w:rsid w:val="00B654E9"/>
    <w:rsid w:val="00B656E9"/>
    <w:rsid w:val="00B65D85"/>
    <w:rsid w:val="00B660AD"/>
    <w:rsid w:val="00B660D6"/>
    <w:rsid w:val="00B6642A"/>
    <w:rsid w:val="00B6682C"/>
    <w:rsid w:val="00B6684F"/>
    <w:rsid w:val="00B6692E"/>
    <w:rsid w:val="00B66A8A"/>
    <w:rsid w:val="00B66B55"/>
    <w:rsid w:val="00B67290"/>
    <w:rsid w:val="00B674CB"/>
    <w:rsid w:val="00B6762E"/>
    <w:rsid w:val="00B67647"/>
    <w:rsid w:val="00B677E5"/>
    <w:rsid w:val="00B67862"/>
    <w:rsid w:val="00B67960"/>
    <w:rsid w:val="00B679F1"/>
    <w:rsid w:val="00B67A6B"/>
    <w:rsid w:val="00B67B6C"/>
    <w:rsid w:val="00B67C3C"/>
    <w:rsid w:val="00B67CA3"/>
    <w:rsid w:val="00B67F3F"/>
    <w:rsid w:val="00B70099"/>
    <w:rsid w:val="00B70196"/>
    <w:rsid w:val="00B702B1"/>
    <w:rsid w:val="00B702F1"/>
    <w:rsid w:val="00B70736"/>
    <w:rsid w:val="00B70771"/>
    <w:rsid w:val="00B70866"/>
    <w:rsid w:val="00B70A52"/>
    <w:rsid w:val="00B70CB0"/>
    <w:rsid w:val="00B70D0A"/>
    <w:rsid w:val="00B70E3F"/>
    <w:rsid w:val="00B70FCE"/>
    <w:rsid w:val="00B7101C"/>
    <w:rsid w:val="00B714FF"/>
    <w:rsid w:val="00B71A5D"/>
    <w:rsid w:val="00B71EBA"/>
    <w:rsid w:val="00B72134"/>
    <w:rsid w:val="00B72231"/>
    <w:rsid w:val="00B72312"/>
    <w:rsid w:val="00B7245F"/>
    <w:rsid w:val="00B7248F"/>
    <w:rsid w:val="00B7272E"/>
    <w:rsid w:val="00B72A75"/>
    <w:rsid w:val="00B72C24"/>
    <w:rsid w:val="00B73065"/>
    <w:rsid w:val="00B7374C"/>
    <w:rsid w:val="00B73C54"/>
    <w:rsid w:val="00B743FB"/>
    <w:rsid w:val="00B74566"/>
    <w:rsid w:val="00B746DC"/>
    <w:rsid w:val="00B747F0"/>
    <w:rsid w:val="00B74848"/>
    <w:rsid w:val="00B74A2E"/>
    <w:rsid w:val="00B74A47"/>
    <w:rsid w:val="00B74ADA"/>
    <w:rsid w:val="00B74B08"/>
    <w:rsid w:val="00B75179"/>
    <w:rsid w:val="00B751F3"/>
    <w:rsid w:val="00B75372"/>
    <w:rsid w:val="00B75416"/>
    <w:rsid w:val="00B755AA"/>
    <w:rsid w:val="00B7594D"/>
    <w:rsid w:val="00B761FC"/>
    <w:rsid w:val="00B762C5"/>
    <w:rsid w:val="00B762F5"/>
    <w:rsid w:val="00B76587"/>
    <w:rsid w:val="00B766FF"/>
    <w:rsid w:val="00B76799"/>
    <w:rsid w:val="00B769B5"/>
    <w:rsid w:val="00B76BE9"/>
    <w:rsid w:val="00B76C02"/>
    <w:rsid w:val="00B76CB0"/>
    <w:rsid w:val="00B76FB8"/>
    <w:rsid w:val="00B76FE9"/>
    <w:rsid w:val="00B76FF7"/>
    <w:rsid w:val="00B77307"/>
    <w:rsid w:val="00B773C9"/>
    <w:rsid w:val="00B773F2"/>
    <w:rsid w:val="00B7786F"/>
    <w:rsid w:val="00B77C3A"/>
    <w:rsid w:val="00B77D67"/>
    <w:rsid w:val="00B77F9F"/>
    <w:rsid w:val="00B8040F"/>
    <w:rsid w:val="00B806CC"/>
    <w:rsid w:val="00B80749"/>
    <w:rsid w:val="00B8091F"/>
    <w:rsid w:val="00B8099C"/>
    <w:rsid w:val="00B80AD2"/>
    <w:rsid w:val="00B80AFF"/>
    <w:rsid w:val="00B80D8B"/>
    <w:rsid w:val="00B8114C"/>
    <w:rsid w:val="00B8116F"/>
    <w:rsid w:val="00B81209"/>
    <w:rsid w:val="00B81532"/>
    <w:rsid w:val="00B81656"/>
    <w:rsid w:val="00B81B6E"/>
    <w:rsid w:val="00B81B85"/>
    <w:rsid w:val="00B81F93"/>
    <w:rsid w:val="00B81FCC"/>
    <w:rsid w:val="00B82268"/>
    <w:rsid w:val="00B822B5"/>
    <w:rsid w:val="00B824AF"/>
    <w:rsid w:val="00B82506"/>
    <w:rsid w:val="00B82633"/>
    <w:rsid w:val="00B82C25"/>
    <w:rsid w:val="00B82DA8"/>
    <w:rsid w:val="00B82F8F"/>
    <w:rsid w:val="00B83228"/>
    <w:rsid w:val="00B83230"/>
    <w:rsid w:val="00B83356"/>
    <w:rsid w:val="00B83394"/>
    <w:rsid w:val="00B83488"/>
    <w:rsid w:val="00B83522"/>
    <w:rsid w:val="00B8353C"/>
    <w:rsid w:val="00B839C8"/>
    <w:rsid w:val="00B83A80"/>
    <w:rsid w:val="00B83BBE"/>
    <w:rsid w:val="00B83D96"/>
    <w:rsid w:val="00B8400D"/>
    <w:rsid w:val="00B846E6"/>
    <w:rsid w:val="00B8499A"/>
    <w:rsid w:val="00B84AA1"/>
    <w:rsid w:val="00B84C14"/>
    <w:rsid w:val="00B84E83"/>
    <w:rsid w:val="00B851A2"/>
    <w:rsid w:val="00B85432"/>
    <w:rsid w:val="00B8563E"/>
    <w:rsid w:val="00B859D9"/>
    <w:rsid w:val="00B85B2A"/>
    <w:rsid w:val="00B85F87"/>
    <w:rsid w:val="00B85FBA"/>
    <w:rsid w:val="00B86071"/>
    <w:rsid w:val="00B86103"/>
    <w:rsid w:val="00B862B3"/>
    <w:rsid w:val="00B863F5"/>
    <w:rsid w:val="00B8642B"/>
    <w:rsid w:val="00B86AB8"/>
    <w:rsid w:val="00B86B09"/>
    <w:rsid w:val="00B86BAA"/>
    <w:rsid w:val="00B86C07"/>
    <w:rsid w:val="00B86C26"/>
    <w:rsid w:val="00B86CFB"/>
    <w:rsid w:val="00B86DF2"/>
    <w:rsid w:val="00B87033"/>
    <w:rsid w:val="00B87099"/>
    <w:rsid w:val="00B8768C"/>
    <w:rsid w:val="00B878A9"/>
    <w:rsid w:val="00B87943"/>
    <w:rsid w:val="00B87ADE"/>
    <w:rsid w:val="00B87DD7"/>
    <w:rsid w:val="00B87F2E"/>
    <w:rsid w:val="00B87FB3"/>
    <w:rsid w:val="00B9029A"/>
    <w:rsid w:val="00B9046F"/>
    <w:rsid w:val="00B90519"/>
    <w:rsid w:val="00B90682"/>
    <w:rsid w:val="00B90FB2"/>
    <w:rsid w:val="00B91345"/>
    <w:rsid w:val="00B91637"/>
    <w:rsid w:val="00B916B1"/>
    <w:rsid w:val="00B91960"/>
    <w:rsid w:val="00B9198C"/>
    <w:rsid w:val="00B91CF0"/>
    <w:rsid w:val="00B91DEB"/>
    <w:rsid w:val="00B91E82"/>
    <w:rsid w:val="00B920A3"/>
    <w:rsid w:val="00B9215E"/>
    <w:rsid w:val="00B92414"/>
    <w:rsid w:val="00B924C0"/>
    <w:rsid w:val="00B92657"/>
    <w:rsid w:val="00B928C1"/>
    <w:rsid w:val="00B92C18"/>
    <w:rsid w:val="00B92CCD"/>
    <w:rsid w:val="00B9310A"/>
    <w:rsid w:val="00B93162"/>
    <w:rsid w:val="00B93852"/>
    <w:rsid w:val="00B93A1A"/>
    <w:rsid w:val="00B93C43"/>
    <w:rsid w:val="00B93E27"/>
    <w:rsid w:val="00B93FCF"/>
    <w:rsid w:val="00B93FFD"/>
    <w:rsid w:val="00B94092"/>
    <w:rsid w:val="00B94123"/>
    <w:rsid w:val="00B9461A"/>
    <w:rsid w:val="00B947CC"/>
    <w:rsid w:val="00B94985"/>
    <w:rsid w:val="00B94AE6"/>
    <w:rsid w:val="00B94ED8"/>
    <w:rsid w:val="00B9503A"/>
    <w:rsid w:val="00B95377"/>
    <w:rsid w:val="00B954F7"/>
    <w:rsid w:val="00B9566B"/>
    <w:rsid w:val="00B95A9F"/>
    <w:rsid w:val="00B95BBC"/>
    <w:rsid w:val="00B95C70"/>
    <w:rsid w:val="00B95D3F"/>
    <w:rsid w:val="00B95E1B"/>
    <w:rsid w:val="00B95EEB"/>
    <w:rsid w:val="00B96373"/>
    <w:rsid w:val="00B966E2"/>
    <w:rsid w:val="00B96770"/>
    <w:rsid w:val="00B9679C"/>
    <w:rsid w:val="00B968B5"/>
    <w:rsid w:val="00B969CA"/>
    <w:rsid w:val="00B96C1C"/>
    <w:rsid w:val="00B96C2B"/>
    <w:rsid w:val="00B96D62"/>
    <w:rsid w:val="00B97086"/>
    <w:rsid w:val="00B9723E"/>
    <w:rsid w:val="00B97411"/>
    <w:rsid w:val="00B974C7"/>
    <w:rsid w:val="00B97C64"/>
    <w:rsid w:val="00B97DE8"/>
    <w:rsid w:val="00B97E66"/>
    <w:rsid w:val="00B97FB4"/>
    <w:rsid w:val="00BA0239"/>
    <w:rsid w:val="00BA02B2"/>
    <w:rsid w:val="00BA03B3"/>
    <w:rsid w:val="00BA041E"/>
    <w:rsid w:val="00BA046D"/>
    <w:rsid w:val="00BA07FA"/>
    <w:rsid w:val="00BA0838"/>
    <w:rsid w:val="00BA0902"/>
    <w:rsid w:val="00BA0A61"/>
    <w:rsid w:val="00BA0AC7"/>
    <w:rsid w:val="00BA103F"/>
    <w:rsid w:val="00BA11AF"/>
    <w:rsid w:val="00BA126B"/>
    <w:rsid w:val="00BA1769"/>
    <w:rsid w:val="00BA17AE"/>
    <w:rsid w:val="00BA18A0"/>
    <w:rsid w:val="00BA18A2"/>
    <w:rsid w:val="00BA1B7E"/>
    <w:rsid w:val="00BA1BD5"/>
    <w:rsid w:val="00BA1C64"/>
    <w:rsid w:val="00BA1CA9"/>
    <w:rsid w:val="00BA1DDE"/>
    <w:rsid w:val="00BA1FA9"/>
    <w:rsid w:val="00BA1FD0"/>
    <w:rsid w:val="00BA2121"/>
    <w:rsid w:val="00BA2209"/>
    <w:rsid w:val="00BA22DD"/>
    <w:rsid w:val="00BA270F"/>
    <w:rsid w:val="00BA29B2"/>
    <w:rsid w:val="00BA2A0C"/>
    <w:rsid w:val="00BA2C3E"/>
    <w:rsid w:val="00BA2D42"/>
    <w:rsid w:val="00BA318B"/>
    <w:rsid w:val="00BA37DE"/>
    <w:rsid w:val="00BA398A"/>
    <w:rsid w:val="00BA3B1C"/>
    <w:rsid w:val="00BA3B3F"/>
    <w:rsid w:val="00BA3CB5"/>
    <w:rsid w:val="00BA3DB0"/>
    <w:rsid w:val="00BA3DB6"/>
    <w:rsid w:val="00BA4017"/>
    <w:rsid w:val="00BA4034"/>
    <w:rsid w:val="00BA43C0"/>
    <w:rsid w:val="00BA4693"/>
    <w:rsid w:val="00BA4836"/>
    <w:rsid w:val="00BA4B86"/>
    <w:rsid w:val="00BA4BCF"/>
    <w:rsid w:val="00BA501F"/>
    <w:rsid w:val="00BA51FF"/>
    <w:rsid w:val="00BA538A"/>
    <w:rsid w:val="00BA5424"/>
    <w:rsid w:val="00BA55F5"/>
    <w:rsid w:val="00BA56C6"/>
    <w:rsid w:val="00BA57E7"/>
    <w:rsid w:val="00BA5AD1"/>
    <w:rsid w:val="00BA5AE9"/>
    <w:rsid w:val="00BA5B39"/>
    <w:rsid w:val="00BA5C2B"/>
    <w:rsid w:val="00BA5DA8"/>
    <w:rsid w:val="00BA5FCA"/>
    <w:rsid w:val="00BA69CD"/>
    <w:rsid w:val="00BA6B17"/>
    <w:rsid w:val="00BA6B5B"/>
    <w:rsid w:val="00BA6CBF"/>
    <w:rsid w:val="00BA6DB4"/>
    <w:rsid w:val="00BA6FBE"/>
    <w:rsid w:val="00BA7494"/>
    <w:rsid w:val="00BA7519"/>
    <w:rsid w:val="00BA7565"/>
    <w:rsid w:val="00BA764C"/>
    <w:rsid w:val="00BA784D"/>
    <w:rsid w:val="00BA7850"/>
    <w:rsid w:val="00BA7A91"/>
    <w:rsid w:val="00BA7EA4"/>
    <w:rsid w:val="00BA7F1B"/>
    <w:rsid w:val="00BA7F89"/>
    <w:rsid w:val="00BB024D"/>
    <w:rsid w:val="00BB02CA"/>
    <w:rsid w:val="00BB0AE2"/>
    <w:rsid w:val="00BB0BC1"/>
    <w:rsid w:val="00BB0C76"/>
    <w:rsid w:val="00BB0D16"/>
    <w:rsid w:val="00BB1182"/>
    <w:rsid w:val="00BB12D4"/>
    <w:rsid w:val="00BB134B"/>
    <w:rsid w:val="00BB1493"/>
    <w:rsid w:val="00BB1AE7"/>
    <w:rsid w:val="00BB1F76"/>
    <w:rsid w:val="00BB219B"/>
    <w:rsid w:val="00BB2566"/>
    <w:rsid w:val="00BB272C"/>
    <w:rsid w:val="00BB2935"/>
    <w:rsid w:val="00BB29FA"/>
    <w:rsid w:val="00BB2A39"/>
    <w:rsid w:val="00BB2D08"/>
    <w:rsid w:val="00BB2E5A"/>
    <w:rsid w:val="00BB2E7D"/>
    <w:rsid w:val="00BB2FFB"/>
    <w:rsid w:val="00BB3194"/>
    <w:rsid w:val="00BB32E4"/>
    <w:rsid w:val="00BB3330"/>
    <w:rsid w:val="00BB3AFA"/>
    <w:rsid w:val="00BB3B36"/>
    <w:rsid w:val="00BB3D54"/>
    <w:rsid w:val="00BB3F68"/>
    <w:rsid w:val="00BB4015"/>
    <w:rsid w:val="00BB457B"/>
    <w:rsid w:val="00BB4778"/>
    <w:rsid w:val="00BB48E3"/>
    <w:rsid w:val="00BB49E8"/>
    <w:rsid w:val="00BB4BC7"/>
    <w:rsid w:val="00BB4DD1"/>
    <w:rsid w:val="00BB52D4"/>
    <w:rsid w:val="00BB5603"/>
    <w:rsid w:val="00BB58B2"/>
    <w:rsid w:val="00BB58E0"/>
    <w:rsid w:val="00BB59C8"/>
    <w:rsid w:val="00BB5B47"/>
    <w:rsid w:val="00BB5BAF"/>
    <w:rsid w:val="00BB5D14"/>
    <w:rsid w:val="00BB5D9D"/>
    <w:rsid w:val="00BB6197"/>
    <w:rsid w:val="00BB63B9"/>
    <w:rsid w:val="00BB6525"/>
    <w:rsid w:val="00BB655E"/>
    <w:rsid w:val="00BB6625"/>
    <w:rsid w:val="00BB6698"/>
    <w:rsid w:val="00BB6849"/>
    <w:rsid w:val="00BB6A7E"/>
    <w:rsid w:val="00BB6AA0"/>
    <w:rsid w:val="00BB6BFA"/>
    <w:rsid w:val="00BB6DD1"/>
    <w:rsid w:val="00BB7145"/>
    <w:rsid w:val="00BB7209"/>
    <w:rsid w:val="00BB768B"/>
    <w:rsid w:val="00BB7754"/>
    <w:rsid w:val="00BB7959"/>
    <w:rsid w:val="00BB7C34"/>
    <w:rsid w:val="00BB7CA5"/>
    <w:rsid w:val="00BB7CE3"/>
    <w:rsid w:val="00BB7DE5"/>
    <w:rsid w:val="00BB7E9F"/>
    <w:rsid w:val="00BB7F0E"/>
    <w:rsid w:val="00BC00C0"/>
    <w:rsid w:val="00BC0381"/>
    <w:rsid w:val="00BC045D"/>
    <w:rsid w:val="00BC0695"/>
    <w:rsid w:val="00BC08ED"/>
    <w:rsid w:val="00BC0A36"/>
    <w:rsid w:val="00BC0D57"/>
    <w:rsid w:val="00BC1130"/>
    <w:rsid w:val="00BC11FE"/>
    <w:rsid w:val="00BC12C6"/>
    <w:rsid w:val="00BC1373"/>
    <w:rsid w:val="00BC15D8"/>
    <w:rsid w:val="00BC15E5"/>
    <w:rsid w:val="00BC160D"/>
    <w:rsid w:val="00BC196E"/>
    <w:rsid w:val="00BC1A23"/>
    <w:rsid w:val="00BC1D91"/>
    <w:rsid w:val="00BC1F22"/>
    <w:rsid w:val="00BC2103"/>
    <w:rsid w:val="00BC22E0"/>
    <w:rsid w:val="00BC2357"/>
    <w:rsid w:val="00BC2407"/>
    <w:rsid w:val="00BC256C"/>
    <w:rsid w:val="00BC2A30"/>
    <w:rsid w:val="00BC2A88"/>
    <w:rsid w:val="00BC2C30"/>
    <w:rsid w:val="00BC2C50"/>
    <w:rsid w:val="00BC2C71"/>
    <w:rsid w:val="00BC2DE6"/>
    <w:rsid w:val="00BC305B"/>
    <w:rsid w:val="00BC31C1"/>
    <w:rsid w:val="00BC3709"/>
    <w:rsid w:val="00BC39C7"/>
    <w:rsid w:val="00BC3EE4"/>
    <w:rsid w:val="00BC448F"/>
    <w:rsid w:val="00BC44BA"/>
    <w:rsid w:val="00BC4530"/>
    <w:rsid w:val="00BC4591"/>
    <w:rsid w:val="00BC4620"/>
    <w:rsid w:val="00BC474A"/>
    <w:rsid w:val="00BC4834"/>
    <w:rsid w:val="00BC4B2B"/>
    <w:rsid w:val="00BC4C87"/>
    <w:rsid w:val="00BC4CDB"/>
    <w:rsid w:val="00BC5014"/>
    <w:rsid w:val="00BC50D6"/>
    <w:rsid w:val="00BC51D7"/>
    <w:rsid w:val="00BC5424"/>
    <w:rsid w:val="00BC54A1"/>
    <w:rsid w:val="00BC55B3"/>
    <w:rsid w:val="00BC597B"/>
    <w:rsid w:val="00BC5D11"/>
    <w:rsid w:val="00BC5F3D"/>
    <w:rsid w:val="00BC6201"/>
    <w:rsid w:val="00BC64D1"/>
    <w:rsid w:val="00BC662C"/>
    <w:rsid w:val="00BC668B"/>
    <w:rsid w:val="00BC68E3"/>
    <w:rsid w:val="00BC6D8B"/>
    <w:rsid w:val="00BC6EB4"/>
    <w:rsid w:val="00BC72E2"/>
    <w:rsid w:val="00BC7456"/>
    <w:rsid w:val="00BC74E9"/>
    <w:rsid w:val="00BC7590"/>
    <w:rsid w:val="00BC75C5"/>
    <w:rsid w:val="00BC75E6"/>
    <w:rsid w:val="00BC7880"/>
    <w:rsid w:val="00BC7B74"/>
    <w:rsid w:val="00BC7C4A"/>
    <w:rsid w:val="00BC7C7C"/>
    <w:rsid w:val="00BC7E8C"/>
    <w:rsid w:val="00BD005F"/>
    <w:rsid w:val="00BD01A6"/>
    <w:rsid w:val="00BD01CE"/>
    <w:rsid w:val="00BD05BA"/>
    <w:rsid w:val="00BD0829"/>
    <w:rsid w:val="00BD0A00"/>
    <w:rsid w:val="00BD0A3C"/>
    <w:rsid w:val="00BD0A91"/>
    <w:rsid w:val="00BD0D0F"/>
    <w:rsid w:val="00BD0DA1"/>
    <w:rsid w:val="00BD0DCE"/>
    <w:rsid w:val="00BD1118"/>
    <w:rsid w:val="00BD12A7"/>
    <w:rsid w:val="00BD1415"/>
    <w:rsid w:val="00BD1434"/>
    <w:rsid w:val="00BD1578"/>
    <w:rsid w:val="00BD166E"/>
    <w:rsid w:val="00BD18BD"/>
    <w:rsid w:val="00BD19C8"/>
    <w:rsid w:val="00BD1B9B"/>
    <w:rsid w:val="00BD1BEA"/>
    <w:rsid w:val="00BD1CAD"/>
    <w:rsid w:val="00BD1D47"/>
    <w:rsid w:val="00BD1E8D"/>
    <w:rsid w:val="00BD1EFE"/>
    <w:rsid w:val="00BD227B"/>
    <w:rsid w:val="00BD27EE"/>
    <w:rsid w:val="00BD2B7B"/>
    <w:rsid w:val="00BD2BCC"/>
    <w:rsid w:val="00BD2FB1"/>
    <w:rsid w:val="00BD35D7"/>
    <w:rsid w:val="00BD3AFA"/>
    <w:rsid w:val="00BD3B72"/>
    <w:rsid w:val="00BD3CEA"/>
    <w:rsid w:val="00BD3DC8"/>
    <w:rsid w:val="00BD40B4"/>
    <w:rsid w:val="00BD41EF"/>
    <w:rsid w:val="00BD439C"/>
    <w:rsid w:val="00BD4A26"/>
    <w:rsid w:val="00BD4A35"/>
    <w:rsid w:val="00BD4BE9"/>
    <w:rsid w:val="00BD4C6D"/>
    <w:rsid w:val="00BD4D35"/>
    <w:rsid w:val="00BD4E1A"/>
    <w:rsid w:val="00BD4FB5"/>
    <w:rsid w:val="00BD50B0"/>
    <w:rsid w:val="00BD5132"/>
    <w:rsid w:val="00BD53F3"/>
    <w:rsid w:val="00BD577D"/>
    <w:rsid w:val="00BD57BF"/>
    <w:rsid w:val="00BD58AE"/>
    <w:rsid w:val="00BD5B59"/>
    <w:rsid w:val="00BD629C"/>
    <w:rsid w:val="00BD6319"/>
    <w:rsid w:val="00BD648A"/>
    <w:rsid w:val="00BD66AB"/>
    <w:rsid w:val="00BD6777"/>
    <w:rsid w:val="00BD68F5"/>
    <w:rsid w:val="00BD6D0E"/>
    <w:rsid w:val="00BD6F75"/>
    <w:rsid w:val="00BD70AC"/>
    <w:rsid w:val="00BD717D"/>
    <w:rsid w:val="00BD71FF"/>
    <w:rsid w:val="00BD7682"/>
    <w:rsid w:val="00BD7833"/>
    <w:rsid w:val="00BD7A6D"/>
    <w:rsid w:val="00BD7B79"/>
    <w:rsid w:val="00BD7B82"/>
    <w:rsid w:val="00BE0055"/>
    <w:rsid w:val="00BE01F1"/>
    <w:rsid w:val="00BE041D"/>
    <w:rsid w:val="00BE0ADE"/>
    <w:rsid w:val="00BE0B2A"/>
    <w:rsid w:val="00BE0D7C"/>
    <w:rsid w:val="00BE0E26"/>
    <w:rsid w:val="00BE0F66"/>
    <w:rsid w:val="00BE1129"/>
    <w:rsid w:val="00BE116C"/>
    <w:rsid w:val="00BE11AC"/>
    <w:rsid w:val="00BE137A"/>
    <w:rsid w:val="00BE139E"/>
    <w:rsid w:val="00BE1A1C"/>
    <w:rsid w:val="00BE1A1D"/>
    <w:rsid w:val="00BE1C1E"/>
    <w:rsid w:val="00BE2179"/>
    <w:rsid w:val="00BE22BE"/>
    <w:rsid w:val="00BE233B"/>
    <w:rsid w:val="00BE234C"/>
    <w:rsid w:val="00BE2AE1"/>
    <w:rsid w:val="00BE2CB7"/>
    <w:rsid w:val="00BE2E75"/>
    <w:rsid w:val="00BE2F99"/>
    <w:rsid w:val="00BE2FB1"/>
    <w:rsid w:val="00BE2FCF"/>
    <w:rsid w:val="00BE392C"/>
    <w:rsid w:val="00BE3C2F"/>
    <w:rsid w:val="00BE4293"/>
    <w:rsid w:val="00BE4759"/>
    <w:rsid w:val="00BE4788"/>
    <w:rsid w:val="00BE47D3"/>
    <w:rsid w:val="00BE4870"/>
    <w:rsid w:val="00BE5143"/>
    <w:rsid w:val="00BE5327"/>
    <w:rsid w:val="00BE542F"/>
    <w:rsid w:val="00BE563D"/>
    <w:rsid w:val="00BE56C7"/>
    <w:rsid w:val="00BE578B"/>
    <w:rsid w:val="00BE593E"/>
    <w:rsid w:val="00BE5D41"/>
    <w:rsid w:val="00BE6186"/>
    <w:rsid w:val="00BE64EE"/>
    <w:rsid w:val="00BE651C"/>
    <w:rsid w:val="00BE6AA1"/>
    <w:rsid w:val="00BE6DA6"/>
    <w:rsid w:val="00BE73C1"/>
    <w:rsid w:val="00BE78D0"/>
    <w:rsid w:val="00BE7924"/>
    <w:rsid w:val="00BE7C02"/>
    <w:rsid w:val="00BE7DDE"/>
    <w:rsid w:val="00BF001C"/>
    <w:rsid w:val="00BF00C0"/>
    <w:rsid w:val="00BF0101"/>
    <w:rsid w:val="00BF0200"/>
    <w:rsid w:val="00BF02A6"/>
    <w:rsid w:val="00BF04C0"/>
    <w:rsid w:val="00BF0633"/>
    <w:rsid w:val="00BF06A2"/>
    <w:rsid w:val="00BF0864"/>
    <w:rsid w:val="00BF08C1"/>
    <w:rsid w:val="00BF0AB1"/>
    <w:rsid w:val="00BF0D06"/>
    <w:rsid w:val="00BF0E45"/>
    <w:rsid w:val="00BF0E5E"/>
    <w:rsid w:val="00BF0EE2"/>
    <w:rsid w:val="00BF1024"/>
    <w:rsid w:val="00BF11F2"/>
    <w:rsid w:val="00BF1203"/>
    <w:rsid w:val="00BF191F"/>
    <w:rsid w:val="00BF1A2D"/>
    <w:rsid w:val="00BF1DD6"/>
    <w:rsid w:val="00BF1ECB"/>
    <w:rsid w:val="00BF1FB1"/>
    <w:rsid w:val="00BF2074"/>
    <w:rsid w:val="00BF2262"/>
    <w:rsid w:val="00BF2516"/>
    <w:rsid w:val="00BF2534"/>
    <w:rsid w:val="00BF28D5"/>
    <w:rsid w:val="00BF2E17"/>
    <w:rsid w:val="00BF30AD"/>
    <w:rsid w:val="00BF326B"/>
    <w:rsid w:val="00BF3536"/>
    <w:rsid w:val="00BF379D"/>
    <w:rsid w:val="00BF3851"/>
    <w:rsid w:val="00BF3AEC"/>
    <w:rsid w:val="00BF3B5F"/>
    <w:rsid w:val="00BF3ECC"/>
    <w:rsid w:val="00BF3F56"/>
    <w:rsid w:val="00BF4002"/>
    <w:rsid w:val="00BF408B"/>
    <w:rsid w:val="00BF43FF"/>
    <w:rsid w:val="00BF449D"/>
    <w:rsid w:val="00BF488F"/>
    <w:rsid w:val="00BF4A0D"/>
    <w:rsid w:val="00BF4C80"/>
    <w:rsid w:val="00BF4CAF"/>
    <w:rsid w:val="00BF5079"/>
    <w:rsid w:val="00BF508E"/>
    <w:rsid w:val="00BF50E9"/>
    <w:rsid w:val="00BF5245"/>
    <w:rsid w:val="00BF5417"/>
    <w:rsid w:val="00BF56A1"/>
    <w:rsid w:val="00BF587E"/>
    <w:rsid w:val="00BF588A"/>
    <w:rsid w:val="00BF5931"/>
    <w:rsid w:val="00BF59B1"/>
    <w:rsid w:val="00BF5DAC"/>
    <w:rsid w:val="00BF5DD2"/>
    <w:rsid w:val="00BF5E00"/>
    <w:rsid w:val="00BF638F"/>
    <w:rsid w:val="00BF6589"/>
    <w:rsid w:val="00BF66AB"/>
    <w:rsid w:val="00BF6A36"/>
    <w:rsid w:val="00BF6D28"/>
    <w:rsid w:val="00BF6D39"/>
    <w:rsid w:val="00BF7155"/>
    <w:rsid w:val="00BF7198"/>
    <w:rsid w:val="00BF74DB"/>
    <w:rsid w:val="00BF75DC"/>
    <w:rsid w:val="00BF7A75"/>
    <w:rsid w:val="00BF7A9A"/>
    <w:rsid w:val="00BF7B8F"/>
    <w:rsid w:val="00BF7DEB"/>
    <w:rsid w:val="00C003E0"/>
    <w:rsid w:val="00C00421"/>
    <w:rsid w:val="00C00C05"/>
    <w:rsid w:val="00C00DB9"/>
    <w:rsid w:val="00C00FA6"/>
    <w:rsid w:val="00C01297"/>
    <w:rsid w:val="00C01405"/>
    <w:rsid w:val="00C014B6"/>
    <w:rsid w:val="00C014D7"/>
    <w:rsid w:val="00C01858"/>
    <w:rsid w:val="00C019B7"/>
    <w:rsid w:val="00C01AD2"/>
    <w:rsid w:val="00C01D17"/>
    <w:rsid w:val="00C01DDD"/>
    <w:rsid w:val="00C01EB1"/>
    <w:rsid w:val="00C01EDF"/>
    <w:rsid w:val="00C01F01"/>
    <w:rsid w:val="00C02232"/>
    <w:rsid w:val="00C024CA"/>
    <w:rsid w:val="00C02623"/>
    <w:rsid w:val="00C0262F"/>
    <w:rsid w:val="00C02725"/>
    <w:rsid w:val="00C02727"/>
    <w:rsid w:val="00C02781"/>
    <w:rsid w:val="00C0285D"/>
    <w:rsid w:val="00C02BEE"/>
    <w:rsid w:val="00C02E49"/>
    <w:rsid w:val="00C02FA9"/>
    <w:rsid w:val="00C03085"/>
    <w:rsid w:val="00C032E9"/>
    <w:rsid w:val="00C03782"/>
    <w:rsid w:val="00C039D1"/>
    <w:rsid w:val="00C03A0B"/>
    <w:rsid w:val="00C03C0D"/>
    <w:rsid w:val="00C03C65"/>
    <w:rsid w:val="00C03DEF"/>
    <w:rsid w:val="00C04005"/>
    <w:rsid w:val="00C0422E"/>
    <w:rsid w:val="00C04338"/>
    <w:rsid w:val="00C044F0"/>
    <w:rsid w:val="00C04712"/>
    <w:rsid w:val="00C048B2"/>
    <w:rsid w:val="00C04C57"/>
    <w:rsid w:val="00C04CE4"/>
    <w:rsid w:val="00C04DDC"/>
    <w:rsid w:val="00C04E34"/>
    <w:rsid w:val="00C04F75"/>
    <w:rsid w:val="00C04FA4"/>
    <w:rsid w:val="00C050BA"/>
    <w:rsid w:val="00C050DD"/>
    <w:rsid w:val="00C05147"/>
    <w:rsid w:val="00C0556F"/>
    <w:rsid w:val="00C05D2B"/>
    <w:rsid w:val="00C05F8D"/>
    <w:rsid w:val="00C0609A"/>
    <w:rsid w:val="00C063D5"/>
    <w:rsid w:val="00C06596"/>
    <w:rsid w:val="00C06605"/>
    <w:rsid w:val="00C066D1"/>
    <w:rsid w:val="00C06742"/>
    <w:rsid w:val="00C06D52"/>
    <w:rsid w:val="00C06EFE"/>
    <w:rsid w:val="00C07227"/>
    <w:rsid w:val="00C07255"/>
    <w:rsid w:val="00C075EF"/>
    <w:rsid w:val="00C0784E"/>
    <w:rsid w:val="00C0785F"/>
    <w:rsid w:val="00C07BBA"/>
    <w:rsid w:val="00C07BDB"/>
    <w:rsid w:val="00C07CC2"/>
    <w:rsid w:val="00C07F73"/>
    <w:rsid w:val="00C10061"/>
    <w:rsid w:val="00C1007C"/>
    <w:rsid w:val="00C102D6"/>
    <w:rsid w:val="00C10459"/>
    <w:rsid w:val="00C1058A"/>
    <w:rsid w:val="00C10623"/>
    <w:rsid w:val="00C10675"/>
    <w:rsid w:val="00C10782"/>
    <w:rsid w:val="00C107FC"/>
    <w:rsid w:val="00C109E4"/>
    <w:rsid w:val="00C10A71"/>
    <w:rsid w:val="00C10B33"/>
    <w:rsid w:val="00C10B49"/>
    <w:rsid w:val="00C10C7D"/>
    <w:rsid w:val="00C10DC0"/>
    <w:rsid w:val="00C10F6D"/>
    <w:rsid w:val="00C1109F"/>
    <w:rsid w:val="00C110F4"/>
    <w:rsid w:val="00C113B6"/>
    <w:rsid w:val="00C1163E"/>
    <w:rsid w:val="00C1180D"/>
    <w:rsid w:val="00C12496"/>
    <w:rsid w:val="00C12587"/>
    <w:rsid w:val="00C1276C"/>
    <w:rsid w:val="00C129C2"/>
    <w:rsid w:val="00C12A47"/>
    <w:rsid w:val="00C12A93"/>
    <w:rsid w:val="00C12DE2"/>
    <w:rsid w:val="00C1301B"/>
    <w:rsid w:val="00C1306B"/>
    <w:rsid w:val="00C1314E"/>
    <w:rsid w:val="00C131A7"/>
    <w:rsid w:val="00C132FD"/>
    <w:rsid w:val="00C13468"/>
    <w:rsid w:val="00C1349C"/>
    <w:rsid w:val="00C1360E"/>
    <w:rsid w:val="00C13691"/>
    <w:rsid w:val="00C136F3"/>
    <w:rsid w:val="00C1396D"/>
    <w:rsid w:val="00C13B64"/>
    <w:rsid w:val="00C13EFA"/>
    <w:rsid w:val="00C142C5"/>
    <w:rsid w:val="00C14304"/>
    <w:rsid w:val="00C1459B"/>
    <w:rsid w:val="00C14609"/>
    <w:rsid w:val="00C1467A"/>
    <w:rsid w:val="00C14904"/>
    <w:rsid w:val="00C14BE1"/>
    <w:rsid w:val="00C14C53"/>
    <w:rsid w:val="00C14CE3"/>
    <w:rsid w:val="00C14F6E"/>
    <w:rsid w:val="00C1521D"/>
    <w:rsid w:val="00C15412"/>
    <w:rsid w:val="00C1547D"/>
    <w:rsid w:val="00C15503"/>
    <w:rsid w:val="00C1556B"/>
    <w:rsid w:val="00C156E7"/>
    <w:rsid w:val="00C15BE4"/>
    <w:rsid w:val="00C15D46"/>
    <w:rsid w:val="00C15FCD"/>
    <w:rsid w:val="00C16218"/>
    <w:rsid w:val="00C16324"/>
    <w:rsid w:val="00C16413"/>
    <w:rsid w:val="00C16736"/>
    <w:rsid w:val="00C16A75"/>
    <w:rsid w:val="00C16A9C"/>
    <w:rsid w:val="00C171B9"/>
    <w:rsid w:val="00C1752C"/>
    <w:rsid w:val="00C178FF"/>
    <w:rsid w:val="00C20470"/>
    <w:rsid w:val="00C208DC"/>
    <w:rsid w:val="00C20BD2"/>
    <w:rsid w:val="00C20D1C"/>
    <w:rsid w:val="00C20D23"/>
    <w:rsid w:val="00C210E6"/>
    <w:rsid w:val="00C21476"/>
    <w:rsid w:val="00C21554"/>
    <w:rsid w:val="00C2160A"/>
    <w:rsid w:val="00C216CB"/>
    <w:rsid w:val="00C21713"/>
    <w:rsid w:val="00C21787"/>
    <w:rsid w:val="00C21AC5"/>
    <w:rsid w:val="00C21B10"/>
    <w:rsid w:val="00C21D7F"/>
    <w:rsid w:val="00C223F6"/>
    <w:rsid w:val="00C2241D"/>
    <w:rsid w:val="00C2260E"/>
    <w:rsid w:val="00C22782"/>
    <w:rsid w:val="00C22963"/>
    <w:rsid w:val="00C233D6"/>
    <w:rsid w:val="00C23503"/>
    <w:rsid w:val="00C23A01"/>
    <w:rsid w:val="00C23A62"/>
    <w:rsid w:val="00C23A8E"/>
    <w:rsid w:val="00C23B02"/>
    <w:rsid w:val="00C23BAD"/>
    <w:rsid w:val="00C2430F"/>
    <w:rsid w:val="00C2448C"/>
    <w:rsid w:val="00C244A3"/>
    <w:rsid w:val="00C248B8"/>
    <w:rsid w:val="00C24950"/>
    <w:rsid w:val="00C24A88"/>
    <w:rsid w:val="00C24CB8"/>
    <w:rsid w:val="00C250B4"/>
    <w:rsid w:val="00C25262"/>
    <w:rsid w:val="00C25485"/>
    <w:rsid w:val="00C254BB"/>
    <w:rsid w:val="00C25632"/>
    <w:rsid w:val="00C2563C"/>
    <w:rsid w:val="00C2573E"/>
    <w:rsid w:val="00C2576A"/>
    <w:rsid w:val="00C25A0D"/>
    <w:rsid w:val="00C25CB0"/>
    <w:rsid w:val="00C260F8"/>
    <w:rsid w:val="00C26143"/>
    <w:rsid w:val="00C26399"/>
    <w:rsid w:val="00C263BD"/>
    <w:rsid w:val="00C2659C"/>
    <w:rsid w:val="00C2666B"/>
    <w:rsid w:val="00C26A79"/>
    <w:rsid w:val="00C271CC"/>
    <w:rsid w:val="00C272F4"/>
    <w:rsid w:val="00C278DE"/>
    <w:rsid w:val="00C279BF"/>
    <w:rsid w:val="00C30285"/>
    <w:rsid w:val="00C302A0"/>
    <w:rsid w:val="00C30492"/>
    <w:rsid w:val="00C304C0"/>
    <w:rsid w:val="00C304D2"/>
    <w:rsid w:val="00C30984"/>
    <w:rsid w:val="00C30A27"/>
    <w:rsid w:val="00C30ACB"/>
    <w:rsid w:val="00C30D2A"/>
    <w:rsid w:val="00C31069"/>
    <w:rsid w:val="00C310B9"/>
    <w:rsid w:val="00C3137C"/>
    <w:rsid w:val="00C3138A"/>
    <w:rsid w:val="00C31765"/>
    <w:rsid w:val="00C31803"/>
    <w:rsid w:val="00C3185E"/>
    <w:rsid w:val="00C318CB"/>
    <w:rsid w:val="00C31A36"/>
    <w:rsid w:val="00C31C79"/>
    <w:rsid w:val="00C31CD5"/>
    <w:rsid w:val="00C31DB8"/>
    <w:rsid w:val="00C321D5"/>
    <w:rsid w:val="00C326C0"/>
    <w:rsid w:val="00C32728"/>
    <w:rsid w:val="00C32836"/>
    <w:rsid w:val="00C32A8F"/>
    <w:rsid w:val="00C32AE1"/>
    <w:rsid w:val="00C32DC2"/>
    <w:rsid w:val="00C32F8F"/>
    <w:rsid w:val="00C332D8"/>
    <w:rsid w:val="00C33319"/>
    <w:rsid w:val="00C3333F"/>
    <w:rsid w:val="00C33975"/>
    <w:rsid w:val="00C33989"/>
    <w:rsid w:val="00C33CE8"/>
    <w:rsid w:val="00C33D88"/>
    <w:rsid w:val="00C34030"/>
    <w:rsid w:val="00C3403C"/>
    <w:rsid w:val="00C34199"/>
    <w:rsid w:val="00C341C6"/>
    <w:rsid w:val="00C344E3"/>
    <w:rsid w:val="00C34622"/>
    <w:rsid w:val="00C3476B"/>
    <w:rsid w:val="00C3518F"/>
    <w:rsid w:val="00C3557F"/>
    <w:rsid w:val="00C357FA"/>
    <w:rsid w:val="00C3686A"/>
    <w:rsid w:val="00C368F6"/>
    <w:rsid w:val="00C36A43"/>
    <w:rsid w:val="00C36B71"/>
    <w:rsid w:val="00C36C2E"/>
    <w:rsid w:val="00C36D33"/>
    <w:rsid w:val="00C36E51"/>
    <w:rsid w:val="00C370B9"/>
    <w:rsid w:val="00C374F1"/>
    <w:rsid w:val="00C376A3"/>
    <w:rsid w:val="00C37901"/>
    <w:rsid w:val="00C379E5"/>
    <w:rsid w:val="00C37BF1"/>
    <w:rsid w:val="00C37C1F"/>
    <w:rsid w:val="00C37C8C"/>
    <w:rsid w:val="00C37E8E"/>
    <w:rsid w:val="00C37F96"/>
    <w:rsid w:val="00C40288"/>
    <w:rsid w:val="00C402CF"/>
    <w:rsid w:val="00C40946"/>
    <w:rsid w:val="00C40A82"/>
    <w:rsid w:val="00C40D28"/>
    <w:rsid w:val="00C4100F"/>
    <w:rsid w:val="00C41011"/>
    <w:rsid w:val="00C410BA"/>
    <w:rsid w:val="00C41121"/>
    <w:rsid w:val="00C411F4"/>
    <w:rsid w:val="00C4125C"/>
    <w:rsid w:val="00C414D1"/>
    <w:rsid w:val="00C4168F"/>
    <w:rsid w:val="00C416C3"/>
    <w:rsid w:val="00C41995"/>
    <w:rsid w:val="00C41A1B"/>
    <w:rsid w:val="00C41B68"/>
    <w:rsid w:val="00C41CFC"/>
    <w:rsid w:val="00C421B9"/>
    <w:rsid w:val="00C42422"/>
    <w:rsid w:val="00C4294A"/>
    <w:rsid w:val="00C429D7"/>
    <w:rsid w:val="00C42A97"/>
    <w:rsid w:val="00C42AD0"/>
    <w:rsid w:val="00C42AD5"/>
    <w:rsid w:val="00C42C3D"/>
    <w:rsid w:val="00C4313C"/>
    <w:rsid w:val="00C43196"/>
    <w:rsid w:val="00C43368"/>
    <w:rsid w:val="00C435C9"/>
    <w:rsid w:val="00C435ED"/>
    <w:rsid w:val="00C43B87"/>
    <w:rsid w:val="00C43EA1"/>
    <w:rsid w:val="00C43F92"/>
    <w:rsid w:val="00C44319"/>
    <w:rsid w:val="00C4447A"/>
    <w:rsid w:val="00C44598"/>
    <w:rsid w:val="00C4491D"/>
    <w:rsid w:val="00C44998"/>
    <w:rsid w:val="00C44C52"/>
    <w:rsid w:val="00C44F51"/>
    <w:rsid w:val="00C45087"/>
    <w:rsid w:val="00C45208"/>
    <w:rsid w:val="00C4526B"/>
    <w:rsid w:val="00C45466"/>
    <w:rsid w:val="00C4595E"/>
    <w:rsid w:val="00C45B0C"/>
    <w:rsid w:val="00C45E22"/>
    <w:rsid w:val="00C45E6F"/>
    <w:rsid w:val="00C45EFA"/>
    <w:rsid w:val="00C45F07"/>
    <w:rsid w:val="00C46414"/>
    <w:rsid w:val="00C4654E"/>
    <w:rsid w:val="00C46572"/>
    <w:rsid w:val="00C465A4"/>
    <w:rsid w:val="00C46693"/>
    <w:rsid w:val="00C467BB"/>
    <w:rsid w:val="00C4683A"/>
    <w:rsid w:val="00C46884"/>
    <w:rsid w:val="00C46ABF"/>
    <w:rsid w:val="00C46F94"/>
    <w:rsid w:val="00C472BA"/>
    <w:rsid w:val="00C47466"/>
    <w:rsid w:val="00C4757D"/>
    <w:rsid w:val="00C47A99"/>
    <w:rsid w:val="00C47B50"/>
    <w:rsid w:val="00C47C89"/>
    <w:rsid w:val="00C47F10"/>
    <w:rsid w:val="00C5018E"/>
    <w:rsid w:val="00C5029C"/>
    <w:rsid w:val="00C502E6"/>
    <w:rsid w:val="00C50438"/>
    <w:rsid w:val="00C50B0B"/>
    <w:rsid w:val="00C50CAB"/>
    <w:rsid w:val="00C51011"/>
    <w:rsid w:val="00C511E4"/>
    <w:rsid w:val="00C51346"/>
    <w:rsid w:val="00C514B5"/>
    <w:rsid w:val="00C51D63"/>
    <w:rsid w:val="00C51FC5"/>
    <w:rsid w:val="00C52323"/>
    <w:rsid w:val="00C523BB"/>
    <w:rsid w:val="00C525B4"/>
    <w:rsid w:val="00C5260B"/>
    <w:rsid w:val="00C52638"/>
    <w:rsid w:val="00C52F9C"/>
    <w:rsid w:val="00C53221"/>
    <w:rsid w:val="00C53256"/>
    <w:rsid w:val="00C533F8"/>
    <w:rsid w:val="00C5354B"/>
    <w:rsid w:val="00C53AF9"/>
    <w:rsid w:val="00C54071"/>
    <w:rsid w:val="00C544AD"/>
    <w:rsid w:val="00C5477F"/>
    <w:rsid w:val="00C548C7"/>
    <w:rsid w:val="00C54972"/>
    <w:rsid w:val="00C54B00"/>
    <w:rsid w:val="00C54B43"/>
    <w:rsid w:val="00C54C3B"/>
    <w:rsid w:val="00C54FB6"/>
    <w:rsid w:val="00C5503C"/>
    <w:rsid w:val="00C550EE"/>
    <w:rsid w:val="00C55284"/>
    <w:rsid w:val="00C553D4"/>
    <w:rsid w:val="00C5540A"/>
    <w:rsid w:val="00C554F5"/>
    <w:rsid w:val="00C55705"/>
    <w:rsid w:val="00C55948"/>
    <w:rsid w:val="00C55A29"/>
    <w:rsid w:val="00C55C54"/>
    <w:rsid w:val="00C55CA0"/>
    <w:rsid w:val="00C55D3A"/>
    <w:rsid w:val="00C5633B"/>
    <w:rsid w:val="00C56484"/>
    <w:rsid w:val="00C5677E"/>
    <w:rsid w:val="00C569DE"/>
    <w:rsid w:val="00C56AA0"/>
    <w:rsid w:val="00C56B35"/>
    <w:rsid w:val="00C57076"/>
    <w:rsid w:val="00C57148"/>
    <w:rsid w:val="00C5725A"/>
    <w:rsid w:val="00C572DE"/>
    <w:rsid w:val="00C57623"/>
    <w:rsid w:val="00C57689"/>
    <w:rsid w:val="00C57843"/>
    <w:rsid w:val="00C5795F"/>
    <w:rsid w:val="00C57D5B"/>
    <w:rsid w:val="00C57E6B"/>
    <w:rsid w:val="00C60276"/>
    <w:rsid w:val="00C60335"/>
    <w:rsid w:val="00C604C2"/>
    <w:rsid w:val="00C60621"/>
    <w:rsid w:val="00C60721"/>
    <w:rsid w:val="00C60783"/>
    <w:rsid w:val="00C60C0D"/>
    <w:rsid w:val="00C60CA6"/>
    <w:rsid w:val="00C6107C"/>
    <w:rsid w:val="00C6116D"/>
    <w:rsid w:val="00C61174"/>
    <w:rsid w:val="00C61692"/>
    <w:rsid w:val="00C618EE"/>
    <w:rsid w:val="00C61B33"/>
    <w:rsid w:val="00C61D85"/>
    <w:rsid w:val="00C62280"/>
    <w:rsid w:val="00C623EA"/>
    <w:rsid w:val="00C625F2"/>
    <w:rsid w:val="00C62764"/>
    <w:rsid w:val="00C62893"/>
    <w:rsid w:val="00C62C3F"/>
    <w:rsid w:val="00C62C47"/>
    <w:rsid w:val="00C62EB6"/>
    <w:rsid w:val="00C62F71"/>
    <w:rsid w:val="00C62FB0"/>
    <w:rsid w:val="00C6300D"/>
    <w:rsid w:val="00C63294"/>
    <w:rsid w:val="00C63497"/>
    <w:rsid w:val="00C63823"/>
    <w:rsid w:val="00C63C54"/>
    <w:rsid w:val="00C63E03"/>
    <w:rsid w:val="00C63E0C"/>
    <w:rsid w:val="00C63E13"/>
    <w:rsid w:val="00C63EB1"/>
    <w:rsid w:val="00C63FFE"/>
    <w:rsid w:val="00C6411E"/>
    <w:rsid w:val="00C642F3"/>
    <w:rsid w:val="00C644B8"/>
    <w:rsid w:val="00C6494D"/>
    <w:rsid w:val="00C64A96"/>
    <w:rsid w:val="00C64C7B"/>
    <w:rsid w:val="00C64D37"/>
    <w:rsid w:val="00C651B3"/>
    <w:rsid w:val="00C6537F"/>
    <w:rsid w:val="00C65AB2"/>
    <w:rsid w:val="00C65CFC"/>
    <w:rsid w:val="00C65D0C"/>
    <w:rsid w:val="00C65EF0"/>
    <w:rsid w:val="00C65FAC"/>
    <w:rsid w:val="00C66042"/>
    <w:rsid w:val="00C662FC"/>
    <w:rsid w:val="00C66510"/>
    <w:rsid w:val="00C665E3"/>
    <w:rsid w:val="00C66646"/>
    <w:rsid w:val="00C66851"/>
    <w:rsid w:val="00C6687A"/>
    <w:rsid w:val="00C66951"/>
    <w:rsid w:val="00C66BAC"/>
    <w:rsid w:val="00C66F10"/>
    <w:rsid w:val="00C6717B"/>
    <w:rsid w:val="00C6739A"/>
    <w:rsid w:val="00C673C0"/>
    <w:rsid w:val="00C676FA"/>
    <w:rsid w:val="00C6773C"/>
    <w:rsid w:val="00C677A3"/>
    <w:rsid w:val="00C677AE"/>
    <w:rsid w:val="00C67945"/>
    <w:rsid w:val="00C67A04"/>
    <w:rsid w:val="00C67EFD"/>
    <w:rsid w:val="00C70099"/>
    <w:rsid w:val="00C7041E"/>
    <w:rsid w:val="00C70629"/>
    <w:rsid w:val="00C7075F"/>
    <w:rsid w:val="00C70DE7"/>
    <w:rsid w:val="00C70F96"/>
    <w:rsid w:val="00C70F9C"/>
    <w:rsid w:val="00C70FA1"/>
    <w:rsid w:val="00C71818"/>
    <w:rsid w:val="00C71966"/>
    <w:rsid w:val="00C719C1"/>
    <w:rsid w:val="00C71EB8"/>
    <w:rsid w:val="00C72036"/>
    <w:rsid w:val="00C729A6"/>
    <w:rsid w:val="00C731A7"/>
    <w:rsid w:val="00C73278"/>
    <w:rsid w:val="00C73560"/>
    <w:rsid w:val="00C73576"/>
    <w:rsid w:val="00C735E1"/>
    <w:rsid w:val="00C7363B"/>
    <w:rsid w:val="00C73E07"/>
    <w:rsid w:val="00C74207"/>
    <w:rsid w:val="00C743F2"/>
    <w:rsid w:val="00C748AF"/>
    <w:rsid w:val="00C74A96"/>
    <w:rsid w:val="00C74C73"/>
    <w:rsid w:val="00C74E01"/>
    <w:rsid w:val="00C74EE3"/>
    <w:rsid w:val="00C75081"/>
    <w:rsid w:val="00C7517A"/>
    <w:rsid w:val="00C7531F"/>
    <w:rsid w:val="00C75655"/>
    <w:rsid w:val="00C75DC6"/>
    <w:rsid w:val="00C75E29"/>
    <w:rsid w:val="00C761AB"/>
    <w:rsid w:val="00C762CF"/>
    <w:rsid w:val="00C76415"/>
    <w:rsid w:val="00C764EA"/>
    <w:rsid w:val="00C76555"/>
    <w:rsid w:val="00C76735"/>
    <w:rsid w:val="00C76809"/>
    <w:rsid w:val="00C769A6"/>
    <w:rsid w:val="00C76A65"/>
    <w:rsid w:val="00C76AF8"/>
    <w:rsid w:val="00C76B75"/>
    <w:rsid w:val="00C76F67"/>
    <w:rsid w:val="00C77026"/>
    <w:rsid w:val="00C7751D"/>
    <w:rsid w:val="00C77BCF"/>
    <w:rsid w:val="00C77FCA"/>
    <w:rsid w:val="00C77FE4"/>
    <w:rsid w:val="00C8014E"/>
    <w:rsid w:val="00C80303"/>
    <w:rsid w:val="00C80362"/>
    <w:rsid w:val="00C804DD"/>
    <w:rsid w:val="00C8055F"/>
    <w:rsid w:val="00C8074B"/>
    <w:rsid w:val="00C80A6F"/>
    <w:rsid w:val="00C80E9B"/>
    <w:rsid w:val="00C80F00"/>
    <w:rsid w:val="00C80F11"/>
    <w:rsid w:val="00C81133"/>
    <w:rsid w:val="00C8115C"/>
    <w:rsid w:val="00C8141A"/>
    <w:rsid w:val="00C8148A"/>
    <w:rsid w:val="00C814ED"/>
    <w:rsid w:val="00C81933"/>
    <w:rsid w:val="00C81BE7"/>
    <w:rsid w:val="00C81C10"/>
    <w:rsid w:val="00C81D8C"/>
    <w:rsid w:val="00C82888"/>
    <w:rsid w:val="00C8292A"/>
    <w:rsid w:val="00C82A3B"/>
    <w:rsid w:val="00C82B97"/>
    <w:rsid w:val="00C82EA8"/>
    <w:rsid w:val="00C83090"/>
    <w:rsid w:val="00C83180"/>
    <w:rsid w:val="00C8320C"/>
    <w:rsid w:val="00C83338"/>
    <w:rsid w:val="00C83371"/>
    <w:rsid w:val="00C834FC"/>
    <w:rsid w:val="00C83819"/>
    <w:rsid w:val="00C8389A"/>
    <w:rsid w:val="00C83905"/>
    <w:rsid w:val="00C83A67"/>
    <w:rsid w:val="00C83A7F"/>
    <w:rsid w:val="00C83F5B"/>
    <w:rsid w:val="00C83FE5"/>
    <w:rsid w:val="00C8401C"/>
    <w:rsid w:val="00C8423F"/>
    <w:rsid w:val="00C84290"/>
    <w:rsid w:val="00C845A6"/>
    <w:rsid w:val="00C8475A"/>
    <w:rsid w:val="00C84B5E"/>
    <w:rsid w:val="00C84BB2"/>
    <w:rsid w:val="00C84C54"/>
    <w:rsid w:val="00C84E49"/>
    <w:rsid w:val="00C8520F"/>
    <w:rsid w:val="00C85342"/>
    <w:rsid w:val="00C85424"/>
    <w:rsid w:val="00C8548E"/>
    <w:rsid w:val="00C855E7"/>
    <w:rsid w:val="00C85632"/>
    <w:rsid w:val="00C85654"/>
    <w:rsid w:val="00C85733"/>
    <w:rsid w:val="00C8588B"/>
    <w:rsid w:val="00C85C34"/>
    <w:rsid w:val="00C85EF7"/>
    <w:rsid w:val="00C85F54"/>
    <w:rsid w:val="00C85FE6"/>
    <w:rsid w:val="00C85FEF"/>
    <w:rsid w:val="00C86096"/>
    <w:rsid w:val="00C86292"/>
    <w:rsid w:val="00C86622"/>
    <w:rsid w:val="00C868A5"/>
    <w:rsid w:val="00C86B4E"/>
    <w:rsid w:val="00C86BEF"/>
    <w:rsid w:val="00C8710E"/>
    <w:rsid w:val="00C87188"/>
    <w:rsid w:val="00C87307"/>
    <w:rsid w:val="00C8730A"/>
    <w:rsid w:val="00C87460"/>
    <w:rsid w:val="00C87592"/>
    <w:rsid w:val="00C875BB"/>
    <w:rsid w:val="00C87613"/>
    <w:rsid w:val="00C8776D"/>
    <w:rsid w:val="00C87C10"/>
    <w:rsid w:val="00C87C14"/>
    <w:rsid w:val="00C87FFE"/>
    <w:rsid w:val="00C901D8"/>
    <w:rsid w:val="00C901FC"/>
    <w:rsid w:val="00C902C5"/>
    <w:rsid w:val="00C904B6"/>
    <w:rsid w:val="00C905D7"/>
    <w:rsid w:val="00C905E7"/>
    <w:rsid w:val="00C9071B"/>
    <w:rsid w:val="00C90816"/>
    <w:rsid w:val="00C90DDD"/>
    <w:rsid w:val="00C90FB1"/>
    <w:rsid w:val="00C90FD0"/>
    <w:rsid w:val="00C91094"/>
    <w:rsid w:val="00C911D3"/>
    <w:rsid w:val="00C91275"/>
    <w:rsid w:val="00C9157C"/>
    <w:rsid w:val="00C9165A"/>
    <w:rsid w:val="00C9166F"/>
    <w:rsid w:val="00C9191F"/>
    <w:rsid w:val="00C91A98"/>
    <w:rsid w:val="00C91AB4"/>
    <w:rsid w:val="00C91BCF"/>
    <w:rsid w:val="00C91C87"/>
    <w:rsid w:val="00C921EB"/>
    <w:rsid w:val="00C926DD"/>
    <w:rsid w:val="00C929FB"/>
    <w:rsid w:val="00C92B98"/>
    <w:rsid w:val="00C92C6D"/>
    <w:rsid w:val="00C92CC9"/>
    <w:rsid w:val="00C92CF0"/>
    <w:rsid w:val="00C92E3B"/>
    <w:rsid w:val="00C92F7B"/>
    <w:rsid w:val="00C930D5"/>
    <w:rsid w:val="00C93299"/>
    <w:rsid w:val="00C9331B"/>
    <w:rsid w:val="00C93334"/>
    <w:rsid w:val="00C9384B"/>
    <w:rsid w:val="00C93857"/>
    <w:rsid w:val="00C93913"/>
    <w:rsid w:val="00C93974"/>
    <w:rsid w:val="00C93D87"/>
    <w:rsid w:val="00C93EA2"/>
    <w:rsid w:val="00C93ED0"/>
    <w:rsid w:val="00C9404C"/>
    <w:rsid w:val="00C941A4"/>
    <w:rsid w:val="00C9421C"/>
    <w:rsid w:val="00C946E6"/>
    <w:rsid w:val="00C94980"/>
    <w:rsid w:val="00C949A0"/>
    <w:rsid w:val="00C949C4"/>
    <w:rsid w:val="00C94A7C"/>
    <w:rsid w:val="00C94A85"/>
    <w:rsid w:val="00C94B47"/>
    <w:rsid w:val="00C94D9A"/>
    <w:rsid w:val="00C950FA"/>
    <w:rsid w:val="00C9512A"/>
    <w:rsid w:val="00C95193"/>
    <w:rsid w:val="00C9542B"/>
    <w:rsid w:val="00C95757"/>
    <w:rsid w:val="00C9595B"/>
    <w:rsid w:val="00C95EA4"/>
    <w:rsid w:val="00C95EEB"/>
    <w:rsid w:val="00C9617B"/>
    <w:rsid w:val="00C962BF"/>
    <w:rsid w:val="00C96485"/>
    <w:rsid w:val="00C96567"/>
    <w:rsid w:val="00C965A2"/>
    <w:rsid w:val="00C968BE"/>
    <w:rsid w:val="00C969F6"/>
    <w:rsid w:val="00C96ED0"/>
    <w:rsid w:val="00C97125"/>
    <w:rsid w:val="00C971A9"/>
    <w:rsid w:val="00C9743F"/>
    <w:rsid w:val="00C976D9"/>
    <w:rsid w:val="00C97A89"/>
    <w:rsid w:val="00C97B38"/>
    <w:rsid w:val="00C97CA5"/>
    <w:rsid w:val="00C97DE7"/>
    <w:rsid w:val="00CA01F1"/>
    <w:rsid w:val="00CA0A64"/>
    <w:rsid w:val="00CA0BA3"/>
    <w:rsid w:val="00CA0BC9"/>
    <w:rsid w:val="00CA0E55"/>
    <w:rsid w:val="00CA0E8F"/>
    <w:rsid w:val="00CA1474"/>
    <w:rsid w:val="00CA14FD"/>
    <w:rsid w:val="00CA1533"/>
    <w:rsid w:val="00CA1793"/>
    <w:rsid w:val="00CA188D"/>
    <w:rsid w:val="00CA189F"/>
    <w:rsid w:val="00CA2282"/>
    <w:rsid w:val="00CA22BD"/>
    <w:rsid w:val="00CA2332"/>
    <w:rsid w:val="00CA23E3"/>
    <w:rsid w:val="00CA245D"/>
    <w:rsid w:val="00CA2468"/>
    <w:rsid w:val="00CA2470"/>
    <w:rsid w:val="00CA264D"/>
    <w:rsid w:val="00CA28FD"/>
    <w:rsid w:val="00CA2BA9"/>
    <w:rsid w:val="00CA2D14"/>
    <w:rsid w:val="00CA2D15"/>
    <w:rsid w:val="00CA2EB9"/>
    <w:rsid w:val="00CA2F4D"/>
    <w:rsid w:val="00CA3176"/>
    <w:rsid w:val="00CA32C0"/>
    <w:rsid w:val="00CA32D2"/>
    <w:rsid w:val="00CA346E"/>
    <w:rsid w:val="00CA34CC"/>
    <w:rsid w:val="00CA36E1"/>
    <w:rsid w:val="00CA37B3"/>
    <w:rsid w:val="00CA38F1"/>
    <w:rsid w:val="00CA39AD"/>
    <w:rsid w:val="00CA39FA"/>
    <w:rsid w:val="00CA3B24"/>
    <w:rsid w:val="00CA3CB6"/>
    <w:rsid w:val="00CA3DEF"/>
    <w:rsid w:val="00CA3EA9"/>
    <w:rsid w:val="00CA4200"/>
    <w:rsid w:val="00CA427D"/>
    <w:rsid w:val="00CA4307"/>
    <w:rsid w:val="00CA435D"/>
    <w:rsid w:val="00CA46D4"/>
    <w:rsid w:val="00CA4F9B"/>
    <w:rsid w:val="00CA5040"/>
    <w:rsid w:val="00CA518B"/>
    <w:rsid w:val="00CA51BD"/>
    <w:rsid w:val="00CA5294"/>
    <w:rsid w:val="00CA5675"/>
    <w:rsid w:val="00CA5831"/>
    <w:rsid w:val="00CA5906"/>
    <w:rsid w:val="00CA5B51"/>
    <w:rsid w:val="00CA5B9D"/>
    <w:rsid w:val="00CA5D66"/>
    <w:rsid w:val="00CA5DDF"/>
    <w:rsid w:val="00CA5F6F"/>
    <w:rsid w:val="00CA5FEB"/>
    <w:rsid w:val="00CA60B2"/>
    <w:rsid w:val="00CA60FB"/>
    <w:rsid w:val="00CA6562"/>
    <w:rsid w:val="00CA65A4"/>
    <w:rsid w:val="00CA66FE"/>
    <w:rsid w:val="00CA6717"/>
    <w:rsid w:val="00CA6A91"/>
    <w:rsid w:val="00CA6B5F"/>
    <w:rsid w:val="00CA6C29"/>
    <w:rsid w:val="00CA6C5E"/>
    <w:rsid w:val="00CA6D86"/>
    <w:rsid w:val="00CA6E14"/>
    <w:rsid w:val="00CA701E"/>
    <w:rsid w:val="00CA7430"/>
    <w:rsid w:val="00CA7522"/>
    <w:rsid w:val="00CA7551"/>
    <w:rsid w:val="00CA7596"/>
    <w:rsid w:val="00CA75FC"/>
    <w:rsid w:val="00CA7867"/>
    <w:rsid w:val="00CA79CC"/>
    <w:rsid w:val="00CA7F85"/>
    <w:rsid w:val="00CB017C"/>
    <w:rsid w:val="00CB021E"/>
    <w:rsid w:val="00CB02ED"/>
    <w:rsid w:val="00CB063D"/>
    <w:rsid w:val="00CB0975"/>
    <w:rsid w:val="00CB0991"/>
    <w:rsid w:val="00CB09D2"/>
    <w:rsid w:val="00CB0A7F"/>
    <w:rsid w:val="00CB0C78"/>
    <w:rsid w:val="00CB0D55"/>
    <w:rsid w:val="00CB0DDE"/>
    <w:rsid w:val="00CB0E5C"/>
    <w:rsid w:val="00CB0F8F"/>
    <w:rsid w:val="00CB0F98"/>
    <w:rsid w:val="00CB1070"/>
    <w:rsid w:val="00CB13C9"/>
    <w:rsid w:val="00CB1532"/>
    <w:rsid w:val="00CB1538"/>
    <w:rsid w:val="00CB1A53"/>
    <w:rsid w:val="00CB1D67"/>
    <w:rsid w:val="00CB1DD0"/>
    <w:rsid w:val="00CB2101"/>
    <w:rsid w:val="00CB21C2"/>
    <w:rsid w:val="00CB23CC"/>
    <w:rsid w:val="00CB27ED"/>
    <w:rsid w:val="00CB2815"/>
    <w:rsid w:val="00CB3307"/>
    <w:rsid w:val="00CB3353"/>
    <w:rsid w:val="00CB3378"/>
    <w:rsid w:val="00CB364C"/>
    <w:rsid w:val="00CB387C"/>
    <w:rsid w:val="00CB3D0E"/>
    <w:rsid w:val="00CB3EA8"/>
    <w:rsid w:val="00CB403E"/>
    <w:rsid w:val="00CB4068"/>
    <w:rsid w:val="00CB47F0"/>
    <w:rsid w:val="00CB494E"/>
    <w:rsid w:val="00CB4A34"/>
    <w:rsid w:val="00CB4A36"/>
    <w:rsid w:val="00CB4B9F"/>
    <w:rsid w:val="00CB4C97"/>
    <w:rsid w:val="00CB4F9C"/>
    <w:rsid w:val="00CB5088"/>
    <w:rsid w:val="00CB5339"/>
    <w:rsid w:val="00CB5347"/>
    <w:rsid w:val="00CB55BC"/>
    <w:rsid w:val="00CB58D6"/>
    <w:rsid w:val="00CB590F"/>
    <w:rsid w:val="00CB59FF"/>
    <w:rsid w:val="00CB5A0D"/>
    <w:rsid w:val="00CB5A0E"/>
    <w:rsid w:val="00CB5B3A"/>
    <w:rsid w:val="00CB5BB3"/>
    <w:rsid w:val="00CB5D97"/>
    <w:rsid w:val="00CB5E7A"/>
    <w:rsid w:val="00CB61AB"/>
    <w:rsid w:val="00CB61C8"/>
    <w:rsid w:val="00CB64D6"/>
    <w:rsid w:val="00CB6563"/>
    <w:rsid w:val="00CB6C20"/>
    <w:rsid w:val="00CB70FF"/>
    <w:rsid w:val="00CB73DA"/>
    <w:rsid w:val="00CB7457"/>
    <w:rsid w:val="00CB7770"/>
    <w:rsid w:val="00CB786A"/>
    <w:rsid w:val="00CB7A85"/>
    <w:rsid w:val="00CB7B10"/>
    <w:rsid w:val="00CB7BEA"/>
    <w:rsid w:val="00CB7CA3"/>
    <w:rsid w:val="00CB7E33"/>
    <w:rsid w:val="00CB7ECD"/>
    <w:rsid w:val="00CC045C"/>
    <w:rsid w:val="00CC0A00"/>
    <w:rsid w:val="00CC0B8B"/>
    <w:rsid w:val="00CC0BF4"/>
    <w:rsid w:val="00CC0CBC"/>
    <w:rsid w:val="00CC10F8"/>
    <w:rsid w:val="00CC110B"/>
    <w:rsid w:val="00CC1467"/>
    <w:rsid w:val="00CC14EC"/>
    <w:rsid w:val="00CC18C6"/>
    <w:rsid w:val="00CC1B14"/>
    <w:rsid w:val="00CC1BA6"/>
    <w:rsid w:val="00CC1C60"/>
    <w:rsid w:val="00CC1C6E"/>
    <w:rsid w:val="00CC1CC8"/>
    <w:rsid w:val="00CC22D0"/>
    <w:rsid w:val="00CC245F"/>
    <w:rsid w:val="00CC2A32"/>
    <w:rsid w:val="00CC2A4F"/>
    <w:rsid w:val="00CC2B2D"/>
    <w:rsid w:val="00CC2CF6"/>
    <w:rsid w:val="00CC2EE0"/>
    <w:rsid w:val="00CC3054"/>
    <w:rsid w:val="00CC3169"/>
    <w:rsid w:val="00CC3416"/>
    <w:rsid w:val="00CC34BF"/>
    <w:rsid w:val="00CC366E"/>
    <w:rsid w:val="00CC3729"/>
    <w:rsid w:val="00CC3753"/>
    <w:rsid w:val="00CC3844"/>
    <w:rsid w:val="00CC3962"/>
    <w:rsid w:val="00CC3BE3"/>
    <w:rsid w:val="00CC3EDF"/>
    <w:rsid w:val="00CC421E"/>
    <w:rsid w:val="00CC42D0"/>
    <w:rsid w:val="00CC459F"/>
    <w:rsid w:val="00CC4625"/>
    <w:rsid w:val="00CC46CF"/>
    <w:rsid w:val="00CC485E"/>
    <w:rsid w:val="00CC4873"/>
    <w:rsid w:val="00CC4C8B"/>
    <w:rsid w:val="00CC5176"/>
    <w:rsid w:val="00CC545E"/>
    <w:rsid w:val="00CC5801"/>
    <w:rsid w:val="00CC5960"/>
    <w:rsid w:val="00CC5B00"/>
    <w:rsid w:val="00CC5F1B"/>
    <w:rsid w:val="00CC5F20"/>
    <w:rsid w:val="00CC6217"/>
    <w:rsid w:val="00CC63A3"/>
    <w:rsid w:val="00CC6987"/>
    <w:rsid w:val="00CC6B57"/>
    <w:rsid w:val="00CC6C48"/>
    <w:rsid w:val="00CC6D84"/>
    <w:rsid w:val="00CC6D8F"/>
    <w:rsid w:val="00CC6D97"/>
    <w:rsid w:val="00CC7A24"/>
    <w:rsid w:val="00CC7A5C"/>
    <w:rsid w:val="00CC7F0B"/>
    <w:rsid w:val="00CD001D"/>
    <w:rsid w:val="00CD0381"/>
    <w:rsid w:val="00CD04B6"/>
    <w:rsid w:val="00CD0674"/>
    <w:rsid w:val="00CD06ED"/>
    <w:rsid w:val="00CD0A72"/>
    <w:rsid w:val="00CD0A79"/>
    <w:rsid w:val="00CD0CDB"/>
    <w:rsid w:val="00CD1764"/>
    <w:rsid w:val="00CD186D"/>
    <w:rsid w:val="00CD19B1"/>
    <w:rsid w:val="00CD19CE"/>
    <w:rsid w:val="00CD1AC7"/>
    <w:rsid w:val="00CD1C54"/>
    <w:rsid w:val="00CD1D5C"/>
    <w:rsid w:val="00CD1D88"/>
    <w:rsid w:val="00CD2150"/>
    <w:rsid w:val="00CD21B2"/>
    <w:rsid w:val="00CD2411"/>
    <w:rsid w:val="00CD2694"/>
    <w:rsid w:val="00CD29F6"/>
    <w:rsid w:val="00CD2A0B"/>
    <w:rsid w:val="00CD2B1D"/>
    <w:rsid w:val="00CD2F4E"/>
    <w:rsid w:val="00CD338C"/>
    <w:rsid w:val="00CD33FB"/>
    <w:rsid w:val="00CD3A35"/>
    <w:rsid w:val="00CD3E98"/>
    <w:rsid w:val="00CD4077"/>
    <w:rsid w:val="00CD41B8"/>
    <w:rsid w:val="00CD421E"/>
    <w:rsid w:val="00CD42AC"/>
    <w:rsid w:val="00CD4327"/>
    <w:rsid w:val="00CD446E"/>
    <w:rsid w:val="00CD44A4"/>
    <w:rsid w:val="00CD44A7"/>
    <w:rsid w:val="00CD45C2"/>
    <w:rsid w:val="00CD47F8"/>
    <w:rsid w:val="00CD47FC"/>
    <w:rsid w:val="00CD49A0"/>
    <w:rsid w:val="00CD49DE"/>
    <w:rsid w:val="00CD4C02"/>
    <w:rsid w:val="00CD4CD6"/>
    <w:rsid w:val="00CD53B1"/>
    <w:rsid w:val="00CD54AC"/>
    <w:rsid w:val="00CD54D8"/>
    <w:rsid w:val="00CD55F1"/>
    <w:rsid w:val="00CD5707"/>
    <w:rsid w:val="00CD5711"/>
    <w:rsid w:val="00CD589D"/>
    <w:rsid w:val="00CD5A48"/>
    <w:rsid w:val="00CD5CF1"/>
    <w:rsid w:val="00CD60F0"/>
    <w:rsid w:val="00CD6446"/>
    <w:rsid w:val="00CD67DE"/>
    <w:rsid w:val="00CD693C"/>
    <w:rsid w:val="00CD69F6"/>
    <w:rsid w:val="00CD6A00"/>
    <w:rsid w:val="00CD6A57"/>
    <w:rsid w:val="00CD6A63"/>
    <w:rsid w:val="00CD6C08"/>
    <w:rsid w:val="00CD70A7"/>
    <w:rsid w:val="00CD713D"/>
    <w:rsid w:val="00CD7453"/>
    <w:rsid w:val="00CD7AC0"/>
    <w:rsid w:val="00CD7C18"/>
    <w:rsid w:val="00CD7DCE"/>
    <w:rsid w:val="00CE02E9"/>
    <w:rsid w:val="00CE0454"/>
    <w:rsid w:val="00CE0473"/>
    <w:rsid w:val="00CE055B"/>
    <w:rsid w:val="00CE05D5"/>
    <w:rsid w:val="00CE08C8"/>
    <w:rsid w:val="00CE0AD7"/>
    <w:rsid w:val="00CE0B52"/>
    <w:rsid w:val="00CE0B64"/>
    <w:rsid w:val="00CE0CA2"/>
    <w:rsid w:val="00CE0D9B"/>
    <w:rsid w:val="00CE1125"/>
    <w:rsid w:val="00CE1313"/>
    <w:rsid w:val="00CE1399"/>
    <w:rsid w:val="00CE13DB"/>
    <w:rsid w:val="00CE1579"/>
    <w:rsid w:val="00CE16A7"/>
    <w:rsid w:val="00CE1704"/>
    <w:rsid w:val="00CE1B16"/>
    <w:rsid w:val="00CE1B88"/>
    <w:rsid w:val="00CE1CBE"/>
    <w:rsid w:val="00CE1D42"/>
    <w:rsid w:val="00CE1E4F"/>
    <w:rsid w:val="00CE2098"/>
    <w:rsid w:val="00CE2BDD"/>
    <w:rsid w:val="00CE2C67"/>
    <w:rsid w:val="00CE2D88"/>
    <w:rsid w:val="00CE2E88"/>
    <w:rsid w:val="00CE2FC2"/>
    <w:rsid w:val="00CE307B"/>
    <w:rsid w:val="00CE3377"/>
    <w:rsid w:val="00CE36D7"/>
    <w:rsid w:val="00CE37C9"/>
    <w:rsid w:val="00CE399A"/>
    <w:rsid w:val="00CE3C45"/>
    <w:rsid w:val="00CE3F19"/>
    <w:rsid w:val="00CE40B8"/>
    <w:rsid w:val="00CE40F5"/>
    <w:rsid w:val="00CE4301"/>
    <w:rsid w:val="00CE4C42"/>
    <w:rsid w:val="00CE4D4B"/>
    <w:rsid w:val="00CE517C"/>
    <w:rsid w:val="00CE51F7"/>
    <w:rsid w:val="00CE57D9"/>
    <w:rsid w:val="00CE5983"/>
    <w:rsid w:val="00CE5AA2"/>
    <w:rsid w:val="00CE5E2C"/>
    <w:rsid w:val="00CE5EFD"/>
    <w:rsid w:val="00CE651A"/>
    <w:rsid w:val="00CE6651"/>
    <w:rsid w:val="00CE696C"/>
    <w:rsid w:val="00CE69D5"/>
    <w:rsid w:val="00CE6A9F"/>
    <w:rsid w:val="00CE6D94"/>
    <w:rsid w:val="00CE6E93"/>
    <w:rsid w:val="00CE7142"/>
    <w:rsid w:val="00CE71CF"/>
    <w:rsid w:val="00CE7410"/>
    <w:rsid w:val="00CE7455"/>
    <w:rsid w:val="00CE7ABA"/>
    <w:rsid w:val="00CE7B67"/>
    <w:rsid w:val="00CE7E03"/>
    <w:rsid w:val="00CE7EFB"/>
    <w:rsid w:val="00CE7F29"/>
    <w:rsid w:val="00CE7F73"/>
    <w:rsid w:val="00CF021F"/>
    <w:rsid w:val="00CF02A4"/>
    <w:rsid w:val="00CF0445"/>
    <w:rsid w:val="00CF0516"/>
    <w:rsid w:val="00CF0609"/>
    <w:rsid w:val="00CF07F2"/>
    <w:rsid w:val="00CF09BD"/>
    <w:rsid w:val="00CF0AA2"/>
    <w:rsid w:val="00CF0ADB"/>
    <w:rsid w:val="00CF0B3D"/>
    <w:rsid w:val="00CF0BF8"/>
    <w:rsid w:val="00CF0C3C"/>
    <w:rsid w:val="00CF0E56"/>
    <w:rsid w:val="00CF10F8"/>
    <w:rsid w:val="00CF1427"/>
    <w:rsid w:val="00CF1452"/>
    <w:rsid w:val="00CF1732"/>
    <w:rsid w:val="00CF1898"/>
    <w:rsid w:val="00CF1B00"/>
    <w:rsid w:val="00CF1DDB"/>
    <w:rsid w:val="00CF209E"/>
    <w:rsid w:val="00CF2309"/>
    <w:rsid w:val="00CF24BB"/>
    <w:rsid w:val="00CF2597"/>
    <w:rsid w:val="00CF2602"/>
    <w:rsid w:val="00CF28F4"/>
    <w:rsid w:val="00CF2C0F"/>
    <w:rsid w:val="00CF2D69"/>
    <w:rsid w:val="00CF2DCB"/>
    <w:rsid w:val="00CF31AE"/>
    <w:rsid w:val="00CF36B8"/>
    <w:rsid w:val="00CF3735"/>
    <w:rsid w:val="00CF375E"/>
    <w:rsid w:val="00CF3911"/>
    <w:rsid w:val="00CF3951"/>
    <w:rsid w:val="00CF3969"/>
    <w:rsid w:val="00CF3978"/>
    <w:rsid w:val="00CF3CEA"/>
    <w:rsid w:val="00CF3FC7"/>
    <w:rsid w:val="00CF4045"/>
    <w:rsid w:val="00CF4283"/>
    <w:rsid w:val="00CF4689"/>
    <w:rsid w:val="00CF47B5"/>
    <w:rsid w:val="00CF4940"/>
    <w:rsid w:val="00CF4BC0"/>
    <w:rsid w:val="00CF4D2F"/>
    <w:rsid w:val="00CF4E63"/>
    <w:rsid w:val="00CF515A"/>
    <w:rsid w:val="00CF5179"/>
    <w:rsid w:val="00CF5375"/>
    <w:rsid w:val="00CF5A18"/>
    <w:rsid w:val="00CF5B62"/>
    <w:rsid w:val="00CF5CF8"/>
    <w:rsid w:val="00CF5EC0"/>
    <w:rsid w:val="00CF617D"/>
    <w:rsid w:val="00CF61D2"/>
    <w:rsid w:val="00CF6237"/>
    <w:rsid w:val="00CF62C9"/>
    <w:rsid w:val="00CF6485"/>
    <w:rsid w:val="00CF67F0"/>
    <w:rsid w:val="00CF6838"/>
    <w:rsid w:val="00CF69C8"/>
    <w:rsid w:val="00CF6BDF"/>
    <w:rsid w:val="00CF6C0E"/>
    <w:rsid w:val="00CF6C88"/>
    <w:rsid w:val="00CF779E"/>
    <w:rsid w:val="00CF7809"/>
    <w:rsid w:val="00CF78BD"/>
    <w:rsid w:val="00CF7931"/>
    <w:rsid w:val="00CF7994"/>
    <w:rsid w:val="00CF7B1C"/>
    <w:rsid w:val="00CF7C54"/>
    <w:rsid w:val="00D000E8"/>
    <w:rsid w:val="00D00186"/>
    <w:rsid w:val="00D0046C"/>
    <w:rsid w:val="00D006A7"/>
    <w:rsid w:val="00D00791"/>
    <w:rsid w:val="00D00994"/>
    <w:rsid w:val="00D009EC"/>
    <w:rsid w:val="00D00A48"/>
    <w:rsid w:val="00D00AD5"/>
    <w:rsid w:val="00D00F39"/>
    <w:rsid w:val="00D00FB6"/>
    <w:rsid w:val="00D01111"/>
    <w:rsid w:val="00D01212"/>
    <w:rsid w:val="00D014D8"/>
    <w:rsid w:val="00D01695"/>
    <w:rsid w:val="00D01AD2"/>
    <w:rsid w:val="00D01BB8"/>
    <w:rsid w:val="00D01BE7"/>
    <w:rsid w:val="00D0212E"/>
    <w:rsid w:val="00D0240F"/>
    <w:rsid w:val="00D0242F"/>
    <w:rsid w:val="00D02885"/>
    <w:rsid w:val="00D02913"/>
    <w:rsid w:val="00D02953"/>
    <w:rsid w:val="00D02A84"/>
    <w:rsid w:val="00D02D67"/>
    <w:rsid w:val="00D02F2D"/>
    <w:rsid w:val="00D03031"/>
    <w:rsid w:val="00D03082"/>
    <w:rsid w:val="00D032AC"/>
    <w:rsid w:val="00D036CB"/>
    <w:rsid w:val="00D03858"/>
    <w:rsid w:val="00D03B3F"/>
    <w:rsid w:val="00D03BD8"/>
    <w:rsid w:val="00D03D69"/>
    <w:rsid w:val="00D041A4"/>
    <w:rsid w:val="00D043CE"/>
    <w:rsid w:val="00D04421"/>
    <w:rsid w:val="00D044C0"/>
    <w:rsid w:val="00D045DC"/>
    <w:rsid w:val="00D04798"/>
    <w:rsid w:val="00D0482D"/>
    <w:rsid w:val="00D048ED"/>
    <w:rsid w:val="00D04951"/>
    <w:rsid w:val="00D04CEE"/>
    <w:rsid w:val="00D05751"/>
    <w:rsid w:val="00D0579C"/>
    <w:rsid w:val="00D057CC"/>
    <w:rsid w:val="00D05823"/>
    <w:rsid w:val="00D05922"/>
    <w:rsid w:val="00D05DA4"/>
    <w:rsid w:val="00D05E03"/>
    <w:rsid w:val="00D0614D"/>
    <w:rsid w:val="00D0615B"/>
    <w:rsid w:val="00D06310"/>
    <w:rsid w:val="00D0636B"/>
    <w:rsid w:val="00D06868"/>
    <w:rsid w:val="00D0699A"/>
    <w:rsid w:val="00D06CC5"/>
    <w:rsid w:val="00D07534"/>
    <w:rsid w:val="00D07664"/>
    <w:rsid w:val="00D077E2"/>
    <w:rsid w:val="00D07B3F"/>
    <w:rsid w:val="00D07BCF"/>
    <w:rsid w:val="00D07CBD"/>
    <w:rsid w:val="00D07CC8"/>
    <w:rsid w:val="00D10455"/>
    <w:rsid w:val="00D10562"/>
    <w:rsid w:val="00D1073D"/>
    <w:rsid w:val="00D10B00"/>
    <w:rsid w:val="00D10BD9"/>
    <w:rsid w:val="00D10BEE"/>
    <w:rsid w:val="00D10C09"/>
    <w:rsid w:val="00D11283"/>
    <w:rsid w:val="00D11414"/>
    <w:rsid w:val="00D1144F"/>
    <w:rsid w:val="00D11544"/>
    <w:rsid w:val="00D11930"/>
    <w:rsid w:val="00D11E35"/>
    <w:rsid w:val="00D11FA9"/>
    <w:rsid w:val="00D1268B"/>
    <w:rsid w:val="00D126BD"/>
    <w:rsid w:val="00D12D0B"/>
    <w:rsid w:val="00D12D6B"/>
    <w:rsid w:val="00D12F54"/>
    <w:rsid w:val="00D130BA"/>
    <w:rsid w:val="00D13158"/>
    <w:rsid w:val="00D13166"/>
    <w:rsid w:val="00D133F7"/>
    <w:rsid w:val="00D134B1"/>
    <w:rsid w:val="00D135D4"/>
    <w:rsid w:val="00D13A4C"/>
    <w:rsid w:val="00D13A9F"/>
    <w:rsid w:val="00D13AC1"/>
    <w:rsid w:val="00D13C58"/>
    <w:rsid w:val="00D13E93"/>
    <w:rsid w:val="00D14260"/>
    <w:rsid w:val="00D142F3"/>
    <w:rsid w:val="00D14441"/>
    <w:rsid w:val="00D146BA"/>
    <w:rsid w:val="00D14821"/>
    <w:rsid w:val="00D149CF"/>
    <w:rsid w:val="00D14BE3"/>
    <w:rsid w:val="00D15133"/>
    <w:rsid w:val="00D156DB"/>
    <w:rsid w:val="00D15A1E"/>
    <w:rsid w:val="00D15BD0"/>
    <w:rsid w:val="00D15C3A"/>
    <w:rsid w:val="00D16229"/>
    <w:rsid w:val="00D16A64"/>
    <w:rsid w:val="00D16BE1"/>
    <w:rsid w:val="00D16C2F"/>
    <w:rsid w:val="00D16E6D"/>
    <w:rsid w:val="00D16F3D"/>
    <w:rsid w:val="00D1719E"/>
    <w:rsid w:val="00D17253"/>
    <w:rsid w:val="00D17331"/>
    <w:rsid w:val="00D174C5"/>
    <w:rsid w:val="00D17743"/>
    <w:rsid w:val="00D17A08"/>
    <w:rsid w:val="00D17D90"/>
    <w:rsid w:val="00D17E70"/>
    <w:rsid w:val="00D17ECE"/>
    <w:rsid w:val="00D201D6"/>
    <w:rsid w:val="00D202CD"/>
    <w:rsid w:val="00D202DA"/>
    <w:rsid w:val="00D202E6"/>
    <w:rsid w:val="00D2055D"/>
    <w:rsid w:val="00D2065B"/>
    <w:rsid w:val="00D207A1"/>
    <w:rsid w:val="00D207DA"/>
    <w:rsid w:val="00D20C03"/>
    <w:rsid w:val="00D20FD4"/>
    <w:rsid w:val="00D2121B"/>
    <w:rsid w:val="00D212F4"/>
    <w:rsid w:val="00D216D8"/>
    <w:rsid w:val="00D21C75"/>
    <w:rsid w:val="00D21FC1"/>
    <w:rsid w:val="00D22510"/>
    <w:rsid w:val="00D22543"/>
    <w:rsid w:val="00D2287D"/>
    <w:rsid w:val="00D22940"/>
    <w:rsid w:val="00D22AC3"/>
    <w:rsid w:val="00D22BAD"/>
    <w:rsid w:val="00D231ED"/>
    <w:rsid w:val="00D23364"/>
    <w:rsid w:val="00D234E3"/>
    <w:rsid w:val="00D237CA"/>
    <w:rsid w:val="00D23826"/>
    <w:rsid w:val="00D23968"/>
    <w:rsid w:val="00D239A5"/>
    <w:rsid w:val="00D23A5E"/>
    <w:rsid w:val="00D23D90"/>
    <w:rsid w:val="00D23D9A"/>
    <w:rsid w:val="00D23F7C"/>
    <w:rsid w:val="00D240FD"/>
    <w:rsid w:val="00D24109"/>
    <w:rsid w:val="00D24695"/>
    <w:rsid w:val="00D246BB"/>
    <w:rsid w:val="00D2484F"/>
    <w:rsid w:val="00D249FA"/>
    <w:rsid w:val="00D24C8A"/>
    <w:rsid w:val="00D24DF1"/>
    <w:rsid w:val="00D24E90"/>
    <w:rsid w:val="00D2514B"/>
    <w:rsid w:val="00D2536D"/>
    <w:rsid w:val="00D25630"/>
    <w:rsid w:val="00D25742"/>
    <w:rsid w:val="00D257E7"/>
    <w:rsid w:val="00D258A8"/>
    <w:rsid w:val="00D25A87"/>
    <w:rsid w:val="00D25AAF"/>
    <w:rsid w:val="00D25ABE"/>
    <w:rsid w:val="00D25D43"/>
    <w:rsid w:val="00D25DBC"/>
    <w:rsid w:val="00D25DE3"/>
    <w:rsid w:val="00D260B0"/>
    <w:rsid w:val="00D26312"/>
    <w:rsid w:val="00D263DA"/>
    <w:rsid w:val="00D265BD"/>
    <w:rsid w:val="00D26765"/>
    <w:rsid w:val="00D26A5E"/>
    <w:rsid w:val="00D26AB1"/>
    <w:rsid w:val="00D26B41"/>
    <w:rsid w:val="00D26D8B"/>
    <w:rsid w:val="00D26F08"/>
    <w:rsid w:val="00D2747F"/>
    <w:rsid w:val="00D276AE"/>
    <w:rsid w:val="00D279F4"/>
    <w:rsid w:val="00D27A2A"/>
    <w:rsid w:val="00D27EC3"/>
    <w:rsid w:val="00D30149"/>
    <w:rsid w:val="00D3024B"/>
    <w:rsid w:val="00D306B7"/>
    <w:rsid w:val="00D30715"/>
    <w:rsid w:val="00D30B03"/>
    <w:rsid w:val="00D30E32"/>
    <w:rsid w:val="00D3127F"/>
    <w:rsid w:val="00D312AD"/>
    <w:rsid w:val="00D312D0"/>
    <w:rsid w:val="00D31357"/>
    <w:rsid w:val="00D314B4"/>
    <w:rsid w:val="00D314CF"/>
    <w:rsid w:val="00D318AD"/>
    <w:rsid w:val="00D319A4"/>
    <w:rsid w:val="00D31A8C"/>
    <w:rsid w:val="00D31B04"/>
    <w:rsid w:val="00D31E5F"/>
    <w:rsid w:val="00D31E61"/>
    <w:rsid w:val="00D31F6D"/>
    <w:rsid w:val="00D320FE"/>
    <w:rsid w:val="00D32174"/>
    <w:rsid w:val="00D321DB"/>
    <w:rsid w:val="00D32287"/>
    <w:rsid w:val="00D322D3"/>
    <w:rsid w:val="00D32654"/>
    <w:rsid w:val="00D327E9"/>
    <w:rsid w:val="00D32EE9"/>
    <w:rsid w:val="00D33051"/>
    <w:rsid w:val="00D33194"/>
    <w:rsid w:val="00D3327B"/>
    <w:rsid w:val="00D33932"/>
    <w:rsid w:val="00D33F02"/>
    <w:rsid w:val="00D33FB0"/>
    <w:rsid w:val="00D34047"/>
    <w:rsid w:val="00D340B4"/>
    <w:rsid w:val="00D34202"/>
    <w:rsid w:val="00D34227"/>
    <w:rsid w:val="00D34372"/>
    <w:rsid w:val="00D34439"/>
    <w:rsid w:val="00D34477"/>
    <w:rsid w:val="00D34554"/>
    <w:rsid w:val="00D3464F"/>
    <w:rsid w:val="00D346AA"/>
    <w:rsid w:val="00D34F11"/>
    <w:rsid w:val="00D34F9A"/>
    <w:rsid w:val="00D35063"/>
    <w:rsid w:val="00D35315"/>
    <w:rsid w:val="00D35437"/>
    <w:rsid w:val="00D35470"/>
    <w:rsid w:val="00D35488"/>
    <w:rsid w:val="00D35809"/>
    <w:rsid w:val="00D35AE2"/>
    <w:rsid w:val="00D35C7B"/>
    <w:rsid w:val="00D36040"/>
    <w:rsid w:val="00D361A7"/>
    <w:rsid w:val="00D36435"/>
    <w:rsid w:val="00D3646E"/>
    <w:rsid w:val="00D3678D"/>
    <w:rsid w:val="00D37168"/>
    <w:rsid w:val="00D37413"/>
    <w:rsid w:val="00D3765B"/>
    <w:rsid w:val="00D37C3A"/>
    <w:rsid w:val="00D37CCD"/>
    <w:rsid w:val="00D37EEB"/>
    <w:rsid w:val="00D40053"/>
    <w:rsid w:val="00D4059F"/>
    <w:rsid w:val="00D40721"/>
    <w:rsid w:val="00D40CB1"/>
    <w:rsid w:val="00D40EFB"/>
    <w:rsid w:val="00D41040"/>
    <w:rsid w:val="00D412CD"/>
    <w:rsid w:val="00D41418"/>
    <w:rsid w:val="00D41D31"/>
    <w:rsid w:val="00D41F25"/>
    <w:rsid w:val="00D4229D"/>
    <w:rsid w:val="00D4245D"/>
    <w:rsid w:val="00D424F1"/>
    <w:rsid w:val="00D42709"/>
    <w:rsid w:val="00D428AE"/>
    <w:rsid w:val="00D42C4D"/>
    <w:rsid w:val="00D42E7B"/>
    <w:rsid w:val="00D42F11"/>
    <w:rsid w:val="00D434BA"/>
    <w:rsid w:val="00D436A1"/>
    <w:rsid w:val="00D436F0"/>
    <w:rsid w:val="00D437D7"/>
    <w:rsid w:val="00D438AF"/>
    <w:rsid w:val="00D43A55"/>
    <w:rsid w:val="00D43A62"/>
    <w:rsid w:val="00D43C03"/>
    <w:rsid w:val="00D43CBD"/>
    <w:rsid w:val="00D43D7C"/>
    <w:rsid w:val="00D43FDF"/>
    <w:rsid w:val="00D44233"/>
    <w:rsid w:val="00D444CC"/>
    <w:rsid w:val="00D446DA"/>
    <w:rsid w:val="00D4478F"/>
    <w:rsid w:val="00D449EE"/>
    <w:rsid w:val="00D44C0F"/>
    <w:rsid w:val="00D44C7D"/>
    <w:rsid w:val="00D44CD4"/>
    <w:rsid w:val="00D44F26"/>
    <w:rsid w:val="00D454A6"/>
    <w:rsid w:val="00D45580"/>
    <w:rsid w:val="00D456A8"/>
    <w:rsid w:val="00D45841"/>
    <w:rsid w:val="00D46150"/>
    <w:rsid w:val="00D46237"/>
    <w:rsid w:val="00D462A9"/>
    <w:rsid w:val="00D465FD"/>
    <w:rsid w:val="00D467A1"/>
    <w:rsid w:val="00D468F7"/>
    <w:rsid w:val="00D46C3B"/>
    <w:rsid w:val="00D46EF2"/>
    <w:rsid w:val="00D46F06"/>
    <w:rsid w:val="00D471DB"/>
    <w:rsid w:val="00D47476"/>
    <w:rsid w:val="00D4776D"/>
    <w:rsid w:val="00D4783A"/>
    <w:rsid w:val="00D47861"/>
    <w:rsid w:val="00D47AB8"/>
    <w:rsid w:val="00D47B58"/>
    <w:rsid w:val="00D47D97"/>
    <w:rsid w:val="00D500C2"/>
    <w:rsid w:val="00D503E9"/>
    <w:rsid w:val="00D5072C"/>
    <w:rsid w:val="00D50780"/>
    <w:rsid w:val="00D50791"/>
    <w:rsid w:val="00D50984"/>
    <w:rsid w:val="00D509FF"/>
    <w:rsid w:val="00D50CBD"/>
    <w:rsid w:val="00D50EA0"/>
    <w:rsid w:val="00D50FEA"/>
    <w:rsid w:val="00D5111B"/>
    <w:rsid w:val="00D51254"/>
    <w:rsid w:val="00D512BB"/>
    <w:rsid w:val="00D512E9"/>
    <w:rsid w:val="00D516BB"/>
    <w:rsid w:val="00D519C1"/>
    <w:rsid w:val="00D519C8"/>
    <w:rsid w:val="00D51B92"/>
    <w:rsid w:val="00D51C12"/>
    <w:rsid w:val="00D51C52"/>
    <w:rsid w:val="00D51EDF"/>
    <w:rsid w:val="00D52304"/>
    <w:rsid w:val="00D526E9"/>
    <w:rsid w:val="00D5277E"/>
    <w:rsid w:val="00D52849"/>
    <w:rsid w:val="00D5286A"/>
    <w:rsid w:val="00D5292F"/>
    <w:rsid w:val="00D529C6"/>
    <w:rsid w:val="00D52D7D"/>
    <w:rsid w:val="00D53125"/>
    <w:rsid w:val="00D53286"/>
    <w:rsid w:val="00D53459"/>
    <w:rsid w:val="00D536E0"/>
    <w:rsid w:val="00D53920"/>
    <w:rsid w:val="00D54266"/>
    <w:rsid w:val="00D544BF"/>
    <w:rsid w:val="00D54703"/>
    <w:rsid w:val="00D548A7"/>
    <w:rsid w:val="00D54CB3"/>
    <w:rsid w:val="00D54D1D"/>
    <w:rsid w:val="00D54D84"/>
    <w:rsid w:val="00D54FCA"/>
    <w:rsid w:val="00D550C3"/>
    <w:rsid w:val="00D551D9"/>
    <w:rsid w:val="00D55542"/>
    <w:rsid w:val="00D555BC"/>
    <w:rsid w:val="00D5561E"/>
    <w:rsid w:val="00D55820"/>
    <w:rsid w:val="00D55893"/>
    <w:rsid w:val="00D558F0"/>
    <w:rsid w:val="00D55DA4"/>
    <w:rsid w:val="00D56039"/>
    <w:rsid w:val="00D56511"/>
    <w:rsid w:val="00D565C7"/>
    <w:rsid w:val="00D56629"/>
    <w:rsid w:val="00D566F0"/>
    <w:rsid w:val="00D5670B"/>
    <w:rsid w:val="00D5677F"/>
    <w:rsid w:val="00D56781"/>
    <w:rsid w:val="00D567DD"/>
    <w:rsid w:val="00D567F0"/>
    <w:rsid w:val="00D5692C"/>
    <w:rsid w:val="00D56A45"/>
    <w:rsid w:val="00D56C65"/>
    <w:rsid w:val="00D57420"/>
    <w:rsid w:val="00D575F8"/>
    <w:rsid w:val="00D57938"/>
    <w:rsid w:val="00D57A88"/>
    <w:rsid w:val="00D57B1E"/>
    <w:rsid w:val="00D57B1F"/>
    <w:rsid w:val="00D57E09"/>
    <w:rsid w:val="00D60127"/>
    <w:rsid w:val="00D601A4"/>
    <w:rsid w:val="00D602E1"/>
    <w:rsid w:val="00D60634"/>
    <w:rsid w:val="00D606E2"/>
    <w:rsid w:val="00D60911"/>
    <w:rsid w:val="00D60B5B"/>
    <w:rsid w:val="00D60C0C"/>
    <w:rsid w:val="00D60D2B"/>
    <w:rsid w:val="00D60DDD"/>
    <w:rsid w:val="00D60E69"/>
    <w:rsid w:val="00D60F44"/>
    <w:rsid w:val="00D61242"/>
    <w:rsid w:val="00D614C0"/>
    <w:rsid w:val="00D616DB"/>
    <w:rsid w:val="00D61790"/>
    <w:rsid w:val="00D61977"/>
    <w:rsid w:val="00D619E1"/>
    <w:rsid w:val="00D61AED"/>
    <w:rsid w:val="00D61AF4"/>
    <w:rsid w:val="00D61B92"/>
    <w:rsid w:val="00D61CB2"/>
    <w:rsid w:val="00D61D79"/>
    <w:rsid w:val="00D62108"/>
    <w:rsid w:val="00D6254E"/>
    <w:rsid w:val="00D62831"/>
    <w:rsid w:val="00D62ADF"/>
    <w:rsid w:val="00D632CD"/>
    <w:rsid w:val="00D632E5"/>
    <w:rsid w:val="00D63810"/>
    <w:rsid w:val="00D63854"/>
    <w:rsid w:val="00D6391E"/>
    <w:rsid w:val="00D6394E"/>
    <w:rsid w:val="00D63B9B"/>
    <w:rsid w:val="00D63C53"/>
    <w:rsid w:val="00D63D89"/>
    <w:rsid w:val="00D63E2C"/>
    <w:rsid w:val="00D63EC2"/>
    <w:rsid w:val="00D64175"/>
    <w:rsid w:val="00D64269"/>
    <w:rsid w:val="00D647E7"/>
    <w:rsid w:val="00D64A25"/>
    <w:rsid w:val="00D64A32"/>
    <w:rsid w:val="00D64CAF"/>
    <w:rsid w:val="00D64CB4"/>
    <w:rsid w:val="00D64E80"/>
    <w:rsid w:val="00D65250"/>
    <w:rsid w:val="00D652F8"/>
    <w:rsid w:val="00D6532A"/>
    <w:rsid w:val="00D65457"/>
    <w:rsid w:val="00D654E0"/>
    <w:rsid w:val="00D65645"/>
    <w:rsid w:val="00D65815"/>
    <w:rsid w:val="00D6581E"/>
    <w:rsid w:val="00D65F69"/>
    <w:rsid w:val="00D66291"/>
    <w:rsid w:val="00D6651E"/>
    <w:rsid w:val="00D6678A"/>
    <w:rsid w:val="00D66ACA"/>
    <w:rsid w:val="00D66C9D"/>
    <w:rsid w:val="00D6727D"/>
    <w:rsid w:val="00D672A9"/>
    <w:rsid w:val="00D673E7"/>
    <w:rsid w:val="00D67566"/>
    <w:rsid w:val="00D67627"/>
    <w:rsid w:val="00D67A65"/>
    <w:rsid w:val="00D67A99"/>
    <w:rsid w:val="00D67C53"/>
    <w:rsid w:val="00D67F3B"/>
    <w:rsid w:val="00D70266"/>
    <w:rsid w:val="00D70289"/>
    <w:rsid w:val="00D70298"/>
    <w:rsid w:val="00D702F6"/>
    <w:rsid w:val="00D709C9"/>
    <w:rsid w:val="00D709F4"/>
    <w:rsid w:val="00D70C67"/>
    <w:rsid w:val="00D70CA3"/>
    <w:rsid w:val="00D70CE9"/>
    <w:rsid w:val="00D70F2A"/>
    <w:rsid w:val="00D70FFC"/>
    <w:rsid w:val="00D712B1"/>
    <w:rsid w:val="00D7157F"/>
    <w:rsid w:val="00D716F4"/>
    <w:rsid w:val="00D71741"/>
    <w:rsid w:val="00D7191C"/>
    <w:rsid w:val="00D71B5F"/>
    <w:rsid w:val="00D71D30"/>
    <w:rsid w:val="00D71FC2"/>
    <w:rsid w:val="00D7211A"/>
    <w:rsid w:val="00D723B0"/>
    <w:rsid w:val="00D724D9"/>
    <w:rsid w:val="00D725B7"/>
    <w:rsid w:val="00D727BD"/>
    <w:rsid w:val="00D7291E"/>
    <w:rsid w:val="00D729DC"/>
    <w:rsid w:val="00D729DE"/>
    <w:rsid w:val="00D72B56"/>
    <w:rsid w:val="00D732B8"/>
    <w:rsid w:val="00D73579"/>
    <w:rsid w:val="00D7365C"/>
    <w:rsid w:val="00D73867"/>
    <w:rsid w:val="00D73996"/>
    <w:rsid w:val="00D73A43"/>
    <w:rsid w:val="00D73B26"/>
    <w:rsid w:val="00D73C4C"/>
    <w:rsid w:val="00D73C54"/>
    <w:rsid w:val="00D73C86"/>
    <w:rsid w:val="00D73DDF"/>
    <w:rsid w:val="00D74104"/>
    <w:rsid w:val="00D74440"/>
    <w:rsid w:val="00D74984"/>
    <w:rsid w:val="00D749A2"/>
    <w:rsid w:val="00D74ADD"/>
    <w:rsid w:val="00D74D2A"/>
    <w:rsid w:val="00D74D4E"/>
    <w:rsid w:val="00D74F44"/>
    <w:rsid w:val="00D750E9"/>
    <w:rsid w:val="00D7511C"/>
    <w:rsid w:val="00D75232"/>
    <w:rsid w:val="00D754D5"/>
    <w:rsid w:val="00D7554D"/>
    <w:rsid w:val="00D7571F"/>
    <w:rsid w:val="00D75939"/>
    <w:rsid w:val="00D75AB1"/>
    <w:rsid w:val="00D75BC4"/>
    <w:rsid w:val="00D75D0D"/>
    <w:rsid w:val="00D75EA2"/>
    <w:rsid w:val="00D7630A"/>
    <w:rsid w:val="00D763E3"/>
    <w:rsid w:val="00D764B4"/>
    <w:rsid w:val="00D76B6F"/>
    <w:rsid w:val="00D76CD5"/>
    <w:rsid w:val="00D76F66"/>
    <w:rsid w:val="00D77055"/>
    <w:rsid w:val="00D770B9"/>
    <w:rsid w:val="00D77591"/>
    <w:rsid w:val="00D779CD"/>
    <w:rsid w:val="00D77B51"/>
    <w:rsid w:val="00D77E2B"/>
    <w:rsid w:val="00D77FA4"/>
    <w:rsid w:val="00D80222"/>
    <w:rsid w:val="00D8041F"/>
    <w:rsid w:val="00D8053E"/>
    <w:rsid w:val="00D808CE"/>
    <w:rsid w:val="00D8093F"/>
    <w:rsid w:val="00D80A8B"/>
    <w:rsid w:val="00D80BB1"/>
    <w:rsid w:val="00D80D13"/>
    <w:rsid w:val="00D80E3D"/>
    <w:rsid w:val="00D80EAE"/>
    <w:rsid w:val="00D81146"/>
    <w:rsid w:val="00D811C6"/>
    <w:rsid w:val="00D81417"/>
    <w:rsid w:val="00D81466"/>
    <w:rsid w:val="00D816CC"/>
    <w:rsid w:val="00D8182B"/>
    <w:rsid w:val="00D8190F"/>
    <w:rsid w:val="00D81D02"/>
    <w:rsid w:val="00D81E6E"/>
    <w:rsid w:val="00D8225A"/>
    <w:rsid w:val="00D825D0"/>
    <w:rsid w:val="00D82653"/>
    <w:rsid w:val="00D827CD"/>
    <w:rsid w:val="00D82881"/>
    <w:rsid w:val="00D82924"/>
    <w:rsid w:val="00D829C8"/>
    <w:rsid w:val="00D82A12"/>
    <w:rsid w:val="00D82B5C"/>
    <w:rsid w:val="00D8306E"/>
    <w:rsid w:val="00D83105"/>
    <w:rsid w:val="00D83186"/>
    <w:rsid w:val="00D839AE"/>
    <w:rsid w:val="00D83A5C"/>
    <w:rsid w:val="00D83B7E"/>
    <w:rsid w:val="00D83BF1"/>
    <w:rsid w:val="00D83E09"/>
    <w:rsid w:val="00D83F35"/>
    <w:rsid w:val="00D83FA2"/>
    <w:rsid w:val="00D840BF"/>
    <w:rsid w:val="00D84324"/>
    <w:rsid w:val="00D843ED"/>
    <w:rsid w:val="00D84651"/>
    <w:rsid w:val="00D847AA"/>
    <w:rsid w:val="00D84819"/>
    <w:rsid w:val="00D84A07"/>
    <w:rsid w:val="00D84A0E"/>
    <w:rsid w:val="00D84BC7"/>
    <w:rsid w:val="00D84BEE"/>
    <w:rsid w:val="00D852AF"/>
    <w:rsid w:val="00D854E8"/>
    <w:rsid w:val="00D857DE"/>
    <w:rsid w:val="00D85828"/>
    <w:rsid w:val="00D858DD"/>
    <w:rsid w:val="00D86231"/>
    <w:rsid w:val="00D863A4"/>
    <w:rsid w:val="00D86419"/>
    <w:rsid w:val="00D86496"/>
    <w:rsid w:val="00D86563"/>
    <w:rsid w:val="00D865BA"/>
    <w:rsid w:val="00D8662B"/>
    <w:rsid w:val="00D86708"/>
    <w:rsid w:val="00D86758"/>
    <w:rsid w:val="00D86891"/>
    <w:rsid w:val="00D86D65"/>
    <w:rsid w:val="00D86F1E"/>
    <w:rsid w:val="00D872A4"/>
    <w:rsid w:val="00D87388"/>
    <w:rsid w:val="00D87508"/>
    <w:rsid w:val="00D87624"/>
    <w:rsid w:val="00D878FC"/>
    <w:rsid w:val="00D87A3D"/>
    <w:rsid w:val="00D87DB8"/>
    <w:rsid w:val="00D87DCE"/>
    <w:rsid w:val="00D90284"/>
    <w:rsid w:val="00D902B6"/>
    <w:rsid w:val="00D90353"/>
    <w:rsid w:val="00D90368"/>
    <w:rsid w:val="00D90432"/>
    <w:rsid w:val="00D90495"/>
    <w:rsid w:val="00D90930"/>
    <w:rsid w:val="00D90C85"/>
    <w:rsid w:val="00D90CEA"/>
    <w:rsid w:val="00D90E76"/>
    <w:rsid w:val="00D90EB2"/>
    <w:rsid w:val="00D90FAF"/>
    <w:rsid w:val="00D910C9"/>
    <w:rsid w:val="00D9114B"/>
    <w:rsid w:val="00D9114F"/>
    <w:rsid w:val="00D91276"/>
    <w:rsid w:val="00D91593"/>
    <w:rsid w:val="00D920F8"/>
    <w:rsid w:val="00D92130"/>
    <w:rsid w:val="00D9224F"/>
    <w:rsid w:val="00D92253"/>
    <w:rsid w:val="00D926F5"/>
    <w:rsid w:val="00D928C2"/>
    <w:rsid w:val="00D92959"/>
    <w:rsid w:val="00D9297B"/>
    <w:rsid w:val="00D92A2D"/>
    <w:rsid w:val="00D92C6B"/>
    <w:rsid w:val="00D92D30"/>
    <w:rsid w:val="00D93188"/>
    <w:rsid w:val="00D931AB"/>
    <w:rsid w:val="00D93350"/>
    <w:rsid w:val="00D93A04"/>
    <w:rsid w:val="00D93A67"/>
    <w:rsid w:val="00D93CAC"/>
    <w:rsid w:val="00D93CCA"/>
    <w:rsid w:val="00D93F18"/>
    <w:rsid w:val="00D93FF8"/>
    <w:rsid w:val="00D9427F"/>
    <w:rsid w:val="00D9439F"/>
    <w:rsid w:val="00D9470F"/>
    <w:rsid w:val="00D947FD"/>
    <w:rsid w:val="00D94845"/>
    <w:rsid w:val="00D949B1"/>
    <w:rsid w:val="00D94DB7"/>
    <w:rsid w:val="00D94DDD"/>
    <w:rsid w:val="00D94F6A"/>
    <w:rsid w:val="00D95146"/>
    <w:rsid w:val="00D951C0"/>
    <w:rsid w:val="00D951C4"/>
    <w:rsid w:val="00D95455"/>
    <w:rsid w:val="00D956EC"/>
    <w:rsid w:val="00D9586F"/>
    <w:rsid w:val="00D95985"/>
    <w:rsid w:val="00D959A6"/>
    <w:rsid w:val="00D95AFC"/>
    <w:rsid w:val="00D95B7C"/>
    <w:rsid w:val="00D95BB3"/>
    <w:rsid w:val="00D95D04"/>
    <w:rsid w:val="00D96359"/>
    <w:rsid w:val="00D96458"/>
    <w:rsid w:val="00D964C4"/>
    <w:rsid w:val="00D965F7"/>
    <w:rsid w:val="00D965FB"/>
    <w:rsid w:val="00D968E3"/>
    <w:rsid w:val="00D96ABC"/>
    <w:rsid w:val="00D972AC"/>
    <w:rsid w:val="00D9744A"/>
    <w:rsid w:val="00D9762B"/>
    <w:rsid w:val="00D97668"/>
    <w:rsid w:val="00D9777F"/>
    <w:rsid w:val="00D97990"/>
    <w:rsid w:val="00D97B24"/>
    <w:rsid w:val="00D97B47"/>
    <w:rsid w:val="00D97D2B"/>
    <w:rsid w:val="00D97EE2"/>
    <w:rsid w:val="00DA021B"/>
    <w:rsid w:val="00DA04E3"/>
    <w:rsid w:val="00DA04FF"/>
    <w:rsid w:val="00DA0537"/>
    <w:rsid w:val="00DA0680"/>
    <w:rsid w:val="00DA0FBB"/>
    <w:rsid w:val="00DA1009"/>
    <w:rsid w:val="00DA1025"/>
    <w:rsid w:val="00DA1045"/>
    <w:rsid w:val="00DA16AB"/>
    <w:rsid w:val="00DA177B"/>
    <w:rsid w:val="00DA1786"/>
    <w:rsid w:val="00DA17A5"/>
    <w:rsid w:val="00DA17C9"/>
    <w:rsid w:val="00DA18B5"/>
    <w:rsid w:val="00DA1951"/>
    <w:rsid w:val="00DA1B0E"/>
    <w:rsid w:val="00DA1B36"/>
    <w:rsid w:val="00DA1E2B"/>
    <w:rsid w:val="00DA2050"/>
    <w:rsid w:val="00DA20A7"/>
    <w:rsid w:val="00DA2542"/>
    <w:rsid w:val="00DA2634"/>
    <w:rsid w:val="00DA2A6B"/>
    <w:rsid w:val="00DA2EA9"/>
    <w:rsid w:val="00DA321B"/>
    <w:rsid w:val="00DA35EC"/>
    <w:rsid w:val="00DA37E1"/>
    <w:rsid w:val="00DA3839"/>
    <w:rsid w:val="00DA3941"/>
    <w:rsid w:val="00DA3C71"/>
    <w:rsid w:val="00DA3C72"/>
    <w:rsid w:val="00DA3E0D"/>
    <w:rsid w:val="00DA40FF"/>
    <w:rsid w:val="00DA4216"/>
    <w:rsid w:val="00DA43FA"/>
    <w:rsid w:val="00DA4844"/>
    <w:rsid w:val="00DA4872"/>
    <w:rsid w:val="00DA48BD"/>
    <w:rsid w:val="00DA48F1"/>
    <w:rsid w:val="00DA4937"/>
    <w:rsid w:val="00DA49D8"/>
    <w:rsid w:val="00DA4E89"/>
    <w:rsid w:val="00DA4F96"/>
    <w:rsid w:val="00DA51EE"/>
    <w:rsid w:val="00DA5394"/>
    <w:rsid w:val="00DA5527"/>
    <w:rsid w:val="00DA59E5"/>
    <w:rsid w:val="00DA5C59"/>
    <w:rsid w:val="00DA5D06"/>
    <w:rsid w:val="00DA5FBF"/>
    <w:rsid w:val="00DA62A9"/>
    <w:rsid w:val="00DA6572"/>
    <w:rsid w:val="00DA6960"/>
    <w:rsid w:val="00DA6A34"/>
    <w:rsid w:val="00DA6A3C"/>
    <w:rsid w:val="00DA6A94"/>
    <w:rsid w:val="00DA6AA2"/>
    <w:rsid w:val="00DA6F7B"/>
    <w:rsid w:val="00DA6FC5"/>
    <w:rsid w:val="00DA7327"/>
    <w:rsid w:val="00DA74AB"/>
    <w:rsid w:val="00DA764A"/>
    <w:rsid w:val="00DA7821"/>
    <w:rsid w:val="00DA7867"/>
    <w:rsid w:val="00DA7F6A"/>
    <w:rsid w:val="00DA7F79"/>
    <w:rsid w:val="00DA7FF6"/>
    <w:rsid w:val="00DB01B0"/>
    <w:rsid w:val="00DB0580"/>
    <w:rsid w:val="00DB0AEA"/>
    <w:rsid w:val="00DB0E20"/>
    <w:rsid w:val="00DB142B"/>
    <w:rsid w:val="00DB1569"/>
    <w:rsid w:val="00DB17E4"/>
    <w:rsid w:val="00DB1979"/>
    <w:rsid w:val="00DB19C5"/>
    <w:rsid w:val="00DB1F1A"/>
    <w:rsid w:val="00DB1FCD"/>
    <w:rsid w:val="00DB23F2"/>
    <w:rsid w:val="00DB244A"/>
    <w:rsid w:val="00DB24EA"/>
    <w:rsid w:val="00DB2805"/>
    <w:rsid w:val="00DB296A"/>
    <w:rsid w:val="00DB2AD5"/>
    <w:rsid w:val="00DB309B"/>
    <w:rsid w:val="00DB3491"/>
    <w:rsid w:val="00DB3539"/>
    <w:rsid w:val="00DB3549"/>
    <w:rsid w:val="00DB3602"/>
    <w:rsid w:val="00DB38F6"/>
    <w:rsid w:val="00DB47B9"/>
    <w:rsid w:val="00DB500E"/>
    <w:rsid w:val="00DB5484"/>
    <w:rsid w:val="00DB5676"/>
    <w:rsid w:val="00DB5776"/>
    <w:rsid w:val="00DB57FE"/>
    <w:rsid w:val="00DB5A42"/>
    <w:rsid w:val="00DB5C09"/>
    <w:rsid w:val="00DB5EFF"/>
    <w:rsid w:val="00DB5F31"/>
    <w:rsid w:val="00DB6037"/>
    <w:rsid w:val="00DB60A3"/>
    <w:rsid w:val="00DB621C"/>
    <w:rsid w:val="00DB6462"/>
    <w:rsid w:val="00DB657D"/>
    <w:rsid w:val="00DB6B73"/>
    <w:rsid w:val="00DB6C65"/>
    <w:rsid w:val="00DB6D83"/>
    <w:rsid w:val="00DB71B2"/>
    <w:rsid w:val="00DB725C"/>
    <w:rsid w:val="00DB746B"/>
    <w:rsid w:val="00DB7581"/>
    <w:rsid w:val="00DB76DA"/>
    <w:rsid w:val="00DB76EC"/>
    <w:rsid w:val="00DB79BE"/>
    <w:rsid w:val="00DB7C65"/>
    <w:rsid w:val="00DB7FA4"/>
    <w:rsid w:val="00DC0834"/>
    <w:rsid w:val="00DC0DD3"/>
    <w:rsid w:val="00DC0DE1"/>
    <w:rsid w:val="00DC0EA1"/>
    <w:rsid w:val="00DC0EA4"/>
    <w:rsid w:val="00DC1065"/>
    <w:rsid w:val="00DC116E"/>
    <w:rsid w:val="00DC124F"/>
    <w:rsid w:val="00DC13EC"/>
    <w:rsid w:val="00DC146B"/>
    <w:rsid w:val="00DC182C"/>
    <w:rsid w:val="00DC1E46"/>
    <w:rsid w:val="00DC20DB"/>
    <w:rsid w:val="00DC20F0"/>
    <w:rsid w:val="00DC2298"/>
    <w:rsid w:val="00DC23A7"/>
    <w:rsid w:val="00DC2452"/>
    <w:rsid w:val="00DC2508"/>
    <w:rsid w:val="00DC2DD8"/>
    <w:rsid w:val="00DC2E6B"/>
    <w:rsid w:val="00DC2EA7"/>
    <w:rsid w:val="00DC2F1D"/>
    <w:rsid w:val="00DC3016"/>
    <w:rsid w:val="00DC324E"/>
    <w:rsid w:val="00DC33A9"/>
    <w:rsid w:val="00DC357A"/>
    <w:rsid w:val="00DC35E8"/>
    <w:rsid w:val="00DC3657"/>
    <w:rsid w:val="00DC3776"/>
    <w:rsid w:val="00DC3AEE"/>
    <w:rsid w:val="00DC3B09"/>
    <w:rsid w:val="00DC3DCA"/>
    <w:rsid w:val="00DC3E50"/>
    <w:rsid w:val="00DC3EFA"/>
    <w:rsid w:val="00DC41B2"/>
    <w:rsid w:val="00DC41DA"/>
    <w:rsid w:val="00DC437E"/>
    <w:rsid w:val="00DC4594"/>
    <w:rsid w:val="00DC45BD"/>
    <w:rsid w:val="00DC486F"/>
    <w:rsid w:val="00DC4CC9"/>
    <w:rsid w:val="00DC4F63"/>
    <w:rsid w:val="00DC4FD7"/>
    <w:rsid w:val="00DC51DC"/>
    <w:rsid w:val="00DC5284"/>
    <w:rsid w:val="00DC529C"/>
    <w:rsid w:val="00DC5340"/>
    <w:rsid w:val="00DC5385"/>
    <w:rsid w:val="00DC5652"/>
    <w:rsid w:val="00DC57CF"/>
    <w:rsid w:val="00DC5919"/>
    <w:rsid w:val="00DC594D"/>
    <w:rsid w:val="00DC5AED"/>
    <w:rsid w:val="00DC5EC8"/>
    <w:rsid w:val="00DC5EF8"/>
    <w:rsid w:val="00DC679E"/>
    <w:rsid w:val="00DC69CF"/>
    <w:rsid w:val="00DC6AAD"/>
    <w:rsid w:val="00DC6BA5"/>
    <w:rsid w:val="00DC6DCB"/>
    <w:rsid w:val="00DC6EAA"/>
    <w:rsid w:val="00DC7738"/>
    <w:rsid w:val="00DC78A7"/>
    <w:rsid w:val="00DC7D21"/>
    <w:rsid w:val="00DC7D3C"/>
    <w:rsid w:val="00DD02E6"/>
    <w:rsid w:val="00DD03E8"/>
    <w:rsid w:val="00DD0427"/>
    <w:rsid w:val="00DD048C"/>
    <w:rsid w:val="00DD04C5"/>
    <w:rsid w:val="00DD07F2"/>
    <w:rsid w:val="00DD0810"/>
    <w:rsid w:val="00DD0A04"/>
    <w:rsid w:val="00DD0A10"/>
    <w:rsid w:val="00DD0A31"/>
    <w:rsid w:val="00DD0A92"/>
    <w:rsid w:val="00DD0D0F"/>
    <w:rsid w:val="00DD152D"/>
    <w:rsid w:val="00DD1590"/>
    <w:rsid w:val="00DD172A"/>
    <w:rsid w:val="00DD1787"/>
    <w:rsid w:val="00DD189F"/>
    <w:rsid w:val="00DD1BC3"/>
    <w:rsid w:val="00DD1BE7"/>
    <w:rsid w:val="00DD2113"/>
    <w:rsid w:val="00DD2127"/>
    <w:rsid w:val="00DD2392"/>
    <w:rsid w:val="00DD2940"/>
    <w:rsid w:val="00DD3238"/>
    <w:rsid w:val="00DD3332"/>
    <w:rsid w:val="00DD3525"/>
    <w:rsid w:val="00DD375D"/>
    <w:rsid w:val="00DD3837"/>
    <w:rsid w:val="00DD38A9"/>
    <w:rsid w:val="00DD396C"/>
    <w:rsid w:val="00DD3A56"/>
    <w:rsid w:val="00DD3D6E"/>
    <w:rsid w:val="00DD3D7F"/>
    <w:rsid w:val="00DD3DC2"/>
    <w:rsid w:val="00DD416E"/>
    <w:rsid w:val="00DD4224"/>
    <w:rsid w:val="00DD44D7"/>
    <w:rsid w:val="00DD4575"/>
    <w:rsid w:val="00DD45A5"/>
    <w:rsid w:val="00DD4602"/>
    <w:rsid w:val="00DD4718"/>
    <w:rsid w:val="00DD483B"/>
    <w:rsid w:val="00DD4C42"/>
    <w:rsid w:val="00DD4FB6"/>
    <w:rsid w:val="00DD54B8"/>
    <w:rsid w:val="00DD54E1"/>
    <w:rsid w:val="00DD5518"/>
    <w:rsid w:val="00DD58CA"/>
    <w:rsid w:val="00DD58EE"/>
    <w:rsid w:val="00DD5939"/>
    <w:rsid w:val="00DD5ADB"/>
    <w:rsid w:val="00DD5B6A"/>
    <w:rsid w:val="00DD5D24"/>
    <w:rsid w:val="00DD5E9C"/>
    <w:rsid w:val="00DD5ECE"/>
    <w:rsid w:val="00DD60A4"/>
    <w:rsid w:val="00DD617C"/>
    <w:rsid w:val="00DD63C1"/>
    <w:rsid w:val="00DD6434"/>
    <w:rsid w:val="00DD685B"/>
    <w:rsid w:val="00DD6B43"/>
    <w:rsid w:val="00DD6D9C"/>
    <w:rsid w:val="00DD6ECC"/>
    <w:rsid w:val="00DD707C"/>
    <w:rsid w:val="00DD7387"/>
    <w:rsid w:val="00DD7644"/>
    <w:rsid w:val="00DD7749"/>
    <w:rsid w:val="00DD776E"/>
    <w:rsid w:val="00DD784A"/>
    <w:rsid w:val="00DD7952"/>
    <w:rsid w:val="00DD7D31"/>
    <w:rsid w:val="00DD7DAA"/>
    <w:rsid w:val="00DD7DAF"/>
    <w:rsid w:val="00DD7F49"/>
    <w:rsid w:val="00DE003B"/>
    <w:rsid w:val="00DE00F0"/>
    <w:rsid w:val="00DE0B00"/>
    <w:rsid w:val="00DE11ED"/>
    <w:rsid w:val="00DE1652"/>
    <w:rsid w:val="00DE1927"/>
    <w:rsid w:val="00DE1950"/>
    <w:rsid w:val="00DE19D4"/>
    <w:rsid w:val="00DE1BD0"/>
    <w:rsid w:val="00DE1DCD"/>
    <w:rsid w:val="00DE20A2"/>
    <w:rsid w:val="00DE211C"/>
    <w:rsid w:val="00DE226B"/>
    <w:rsid w:val="00DE2668"/>
    <w:rsid w:val="00DE2A48"/>
    <w:rsid w:val="00DE2D92"/>
    <w:rsid w:val="00DE2DD6"/>
    <w:rsid w:val="00DE2FC1"/>
    <w:rsid w:val="00DE312F"/>
    <w:rsid w:val="00DE3140"/>
    <w:rsid w:val="00DE3177"/>
    <w:rsid w:val="00DE31EF"/>
    <w:rsid w:val="00DE3321"/>
    <w:rsid w:val="00DE344B"/>
    <w:rsid w:val="00DE35A2"/>
    <w:rsid w:val="00DE3684"/>
    <w:rsid w:val="00DE36D4"/>
    <w:rsid w:val="00DE37B6"/>
    <w:rsid w:val="00DE390E"/>
    <w:rsid w:val="00DE396A"/>
    <w:rsid w:val="00DE3E5F"/>
    <w:rsid w:val="00DE4087"/>
    <w:rsid w:val="00DE4146"/>
    <w:rsid w:val="00DE41A3"/>
    <w:rsid w:val="00DE42A6"/>
    <w:rsid w:val="00DE44E1"/>
    <w:rsid w:val="00DE47E6"/>
    <w:rsid w:val="00DE4891"/>
    <w:rsid w:val="00DE4E3E"/>
    <w:rsid w:val="00DE4E7F"/>
    <w:rsid w:val="00DE51CA"/>
    <w:rsid w:val="00DE527E"/>
    <w:rsid w:val="00DE55D6"/>
    <w:rsid w:val="00DE5671"/>
    <w:rsid w:val="00DE5787"/>
    <w:rsid w:val="00DE57BB"/>
    <w:rsid w:val="00DE61BB"/>
    <w:rsid w:val="00DE627D"/>
    <w:rsid w:val="00DE6370"/>
    <w:rsid w:val="00DE6390"/>
    <w:rsid w:val="00DE64F7"/>
    <w:rsid w:val="00DE650C"/>
    <w:rsid w:val="00DE67AC"/>
    <w:rsid w:val="00DE6827"/>
    <w:rsid w:val="00DE6A0C"/>
    <w:rsid w:val="00DE6D75"/>
    <w:rsid w:val="00DE6E62"/>
    <w:rsid w:val="00DE74A9"/>
    <w:rsid w:val="00DE78DA"/>
    <w:rsid w:val="00DE792C"/>
    <w:rsid w:val="00DE7A3B"/>
    <w:rsid w:val="00DF03FD"/>
    <w:rsid w:val="00DF060F"/>
    <w:rsid w:val="00DF0D37"/>
    <w:rsid w:val="00DF11F7"/>
    <w:rsid w:val="00DF13C3"/>
    <w:rsid w:val="00DF162F"/>
    <w:rsid w:val="00DF18D6"/>
    <w:rsid w:val="00DF1981"/>
    <w:rsid w:val="00DF1C14"/>
    <w:rsid w:val="00DF2003"/>
    <w:rsid w:val="00DF214B"/>
    <w:rsid w:val="00DF21CF"/>
    <w:rsid w:val="00DF245B"/>
    <w:rsid w:val="00DF24AB"/>
    <w:rsid w:val="00DF25B5"/>
    <w:rsid w:val="00DF25D2"/>
    <w:rsid w:val="00DF27B4"/>
    <w:rsid w:val="00DF2CEB"/>
    <w:rsid w:val="00DF2EAE"/>
    <w:rsid w:val="00DF2FE5"/>
    <w:rsid w:val="00DF312E"/>
    <w:rsid w:val="00DF32B2"/>
    <w:rsid w:val="00DF3431"/>
    <w:rsid w:val="00DF37B3"/>
    <w:rsid w:val="00DF38B6"/>
    <w:rsid w:val="00DF3B91"/>
    <w:rsid w:val="00DF3E59"/>
    <w:rsid w:val="00DF4021"/>
    <w:rsid w:val="00DF4402"/>
    <w:rsid w:val="00DF4643"/>
    <w:rsid w:val="00DF4661"/>
    <w:rsid w:val="00DF46D8"/>
    <w:rsid w:val="00DF473C"/>
    <w:rsid w:val="00DF4A12"/>
    <w:rsid w:val="00DF4AC5"/>
    <w:rsid w:val="00DF4D3C"/>
    <w:rsid w:val="00DF4D65"/>
    <w:rsid w:val="00DF4DDB"/>
    <w:rsid w:val="00DF4E76"/>
    <w:rsid w:val="00DF51FE"/>
    <w:rsid w:val="00DF53B7"/>
    <w:rsid w:val="00DF55DF"/>
    <w:rsid w:val="00DF5F9B"/>
    <w:rsid w:val="00DF66B8"/>
    <w:rsid w:val="00DF66FD"/>
    <w:rsid w:val="00DF679D"/>
    <w:rsid w:val="00DF67AF"/>
    <w:rsid w:val="00DF686F"/>
    <w:rsid w:val="00DF687B"/>
    <w:rsid w:val="00DF6C9C"/>
    <w:rsid w:val="00DF6D4A"/>
    <w:rsid w:val="00DF6E47"/>
    <w:rsid w:val="00DF6EFE"/>
    <w:rsid w:val="00DF6FCA"/>
    <w:rsid w:val="00DF709E"/>
    <w:rsid w:val="00DF70B2"/>
    <w:rsid w:val="00DF7207"/>
    <w:rsid w:val="00DF74F7"/>
    <w:rsid w:val="00DF763F"/>
    <w:rsid w:val="00DF76FA"/>
    <w:rsid w:val="00DF7761"/>
    <w:rsid w:val="00DF77B6"/>
    <w:rsid w:val="00DF7826"/>
    <w:rsid w:val="00DF7B8A"/>
    <w:rsid w:val="00DF7E65"/>
    <w:rsid w:val="00E0080D"/>
    <w:rsid w:val="00E00BAC"/>
    <w:rsid w:val="00E00EB3"/>
    <w:rsid w:val="00E01180"/>
    <w:rsid w:val="00E01215"/>
    <w:rsid w:val="00E01493"/>
    <w:rsid w:val="00E01871"/>
    <w:rsid w:val="00E01C60"/>
    <w:rsid w:val="00E01C78"/>
    <w:rsid w:val="00E01E57"/>
    <w:rsid w:val="00E01F57"/>
    <w:rsid w:val="00E023CC"/>
    <w:rsid w:val="00E02487"/>
    <w:rsid w:val="00E026E6"/>
    <w:rsid w:val="00E029C6"/>
    <w:rsid w:val="00E02F94"/>
    <w:rsid w:val="00E030AC"/>
    <w:rsid w:val="00E031A7"/>
    <w:rsid w:val="00E031CC"/>
    <w:rsid w:val="00E03502"/>
    <w:rsid w:val="00E03621"/>
    <w:rsid w:val="00E037D1"/>
    <w:rsid w:val="00E0390E"/>
    <w:rsid w:val="00E03CEF"/>
    <w:rsid w:val="00E03ECF"/>
    <w:rsid w:val="00E041AC"/>
    <w:rsid w:val="00E041D4"/>
    <w:rsid w:val="00E04586"/>
    <w:rsid w:val="00E049AC"/>
    <w:rsid w:val="00E0510C"/>
    <w:rsid w:val="00E0544A"/>
    <w:rsid w:val="00E054CC"/>
    <w:rsid w:val="00E0554D"/>
    <w:rsid w:val="00E055F9"/>
    <w:rsid w:val="00E05774"/>
    <w:rsid w:val="00E059AD"/>
    <w:rsid w:val="00E059F0"/>
    <w:rsid w:val="00E05A86"/>
    <w:rsid w:val="00E05B93"/>
    <w:rsid w:val="00E05EE3"/>
    <w:rsid w:val="00E06148"/>
    <w:rsid w:val="00E061D6"/>
    <w:rsid w:val="00E061E1"/>
    <w:rsid w:val="00E064A9"/>
    <w:rsid w:val="00E066D1"/>
    <w:rsid w:val="00E067D8"/>
    <w:rsid w:val="00E068B1"/>
    <w:rsid w:val="00E06979"/>
    <w:rsid w:val="00E069EA"/>
    <w:rsid w:val="00E06A31"/>
    <w:rsid w:val="00E06CEF"/>
    <w:rsid w:val="00E07351"/>
    <w:rsid w:val="00E074A9"/>
    <w:rsid w:val="00E07AD0"/>
    <w:rsid w:val="00E10083"/>
    <w:rsid w:val="00E10260"/>
    <w:rsid w:val="00E1032A"/>
    <w:rsid w:val="00E1082B"/>
    <w:rsid w:val="00E10A66"/>
    <w:rsid w:val="00E11255"/>
    <w:rsid w:val="00E11492"/>
    <w:rsid w:val="00E1155E"/>
    <w:rsid w:val="00E116B1"/>
    <w:rsid w:val="00E116C8"/>
    <w:rsid w:val="00E116E0"/>
    <w:rsid w:val="00E116F5"/>
    <w:rsid w:val="00E118A7"/>
    <w:rsid w:val="00E118DA"/>
    <w:rsid w:val="00E119E0"/>
    <w:rsid w:val="00E11BDA"/>
    <w:rsid w:val="00E11BFD"/>
    <w:rsid w:val="00E11C98"/>
    <w:rsid w:val="00E122E5"/>
    <w:rsid w:val="00E12300"/>
    <w:rsid w:val="00E12460"/>
    <w:rsid w:val="00E124CA"/>
    <w:rsid w:val="00E12512"/>
    <w:rsid w:val="00E125C2"/>
    <w:rsid w:val="00E126CF"/>
    <w:rsid w:val="00E127E8"/>
    <w:rsid w:val="00E1292F"/>
    <w:rsid w:val="00E12D3B"/>
    <w:rsid w:val="00E12F16"/>
    <w:rsid w:val="00E130A1"/>
    <w:rsid w:val="00E130BF"/>
    <w:rsid w:val="00E13189"/>
    <w:rsid w:val="00E13194"/>
    <w:rsid w:val="00E131A9"/>
    <w:rsid w:val="00E1336D"/>
    <w:rsid w:val="00E133B2"/>
    <w:rsid w:val="00E1355D"/>
    <w:rsid w:val="00E1396C"/>
    <w:rsid w:val="00E13C68"/>
    <w:rsid w:val="00E13D74"/>
    <w:rsid w:val="00E13DCA"/>
    <w:rsid w:val="00E13E88"/>
    <w:rsid w:val="00E14111"/>
    <w:rsid w:val="00E142F1"/>
    <w:rsid w:val="00E1442C"/>
    <w:rsid w:val="00E1483B"/>
    <w:rsid w:val="00E148EE"/>
    <w:rsid w:val="00E14997"/>
    <w:rsid w:val="00E14A2D"/>
    <w:rsid w:val="00E14B61"/>
    <w:rsid w:val="00E14D81"/>
    <w:rsid w:val="00E14F64"/>
    <w:rsid w:val="00E15081"/>
    <w:rsid w:val="00E1514C"/>
    <w:rsid w:val="00E151F3"/>
    <w:rsid w:val="00E153BF"/>
    <w:rsid w:val="00E153C3"/>
    <w:rsid w:val="00E15486"/>
    <w:rsid w:val="00E15950"/>
    <w:rsid w:val="00E159FB"/>
    <w:rsid w:val="00E15B64"/>
    <w:rsid w:val="00E15D0D"/>
    <w:rsid w:val="00E15E62"/>
    <w:rsid w:val="00E15F02"/>
    <w:rsid w:val="00E16267"/>
    <w:rsid w:val="00E16674"/>
    <w:rsid w:val="00E1669A"/>
    <w:rsid w:val="00E169E8"/>
    <w:rsid w:val="00E16A26"/>
    <w:rsid w:val="00E17082"/>
    <w:rsid w:val="00E17116"/>
    <w:rsid w:val="00E17385"/>
    <w:rsid w:val="00E17437"/>
    <w:rsid w:val="00E1749C"/>
    <w:rsid w:val="00E17BF4"/>
    <w:rsid w:val="00E17C60"/>
    <w:rsid w:val="00E20058"/>
    <w:rsid w:val="00E202DC"/>
    <w:rsid w:val="00E2053C"/>
    <w:rsid w:val="00E2055A"/>
    <w:rsid w:val="00E20652"/>
    <w:rsid w:val="00E2083E"/>
    <w:rsid w:val="00E20A63"/>
    <w:rsid w:val="00E20AAC"/>
    <w:rsid w:val="00E20CBC"/>
    <w:rsid w:val="00E20CFA"/>
    <w:rsid w:val="00E20E93"/>
    <w:rsid w:val="00E20F4A"/>
    <w:rsid w:val="00E20F9A"/>
    <w:rsid w:val="00E21080"/>
    <w:rsid w:val="00E212BC"/>
    <w:rsid w:val="00E213BF"/>
    <w:rsid w:val="00E21531"/>
    <w:rsid w:val="00E21532"/>
    <w:rsid w:val="00E2155B"/>
    <w:rsid w:val="00E216DF"/>
    <w:rsid w:val="00E21C49"/>
    <w:rsid w:val="00E21DE6"/>
    <w:rsid w:val="00E2252E"/>
    <w:rsid w:val="00E22687"/>
    <w:rsid w:val="00E228CC"/>
    <w:rsid w:val="00E22CF6"/>
    <w:rsid w:val="00E22D99"/>
    <w:rsid w:val="00E22EC6"/>
    <w:rsid w:val="00E23156"/>
    <w:rsid w:val="00E232D7"/>
    <w:rsid w:val="00E23468"/>
    <w:rsid w:val="00E2379C"/>
    <w:rsid w:val="00E2396C"/>
    <w:rsid w:val="00E23AD6"/>
    <w:rsid w:val="00E23CCF"/>
    <w:rsid w:val="00E23D7E"/>
    <w:rsid w:val="00E23D9D"/>
    <w:rsid w:val="00E240EC"/>
    <w:rsid w:val="00E2424F"/>
    <w:rsid w:val="00E243F6"/>
    <w:rsid w:val="00E24775"/>
    <w:rsid w:val="00E249F2"/>
    <w:rsid w:val="00E24F40"/>
    <w:rsid w:val="00E25160"/>
    <w:rsid w:val="00E251CD"/>
    <w:rsid w:val="00E251D6"/>
    <w:rsid w:val="00E25618"/>
    <w:rsid w:val="00E2582E"/>
    <w:rsid w:val="00E25861"/>
    <w:rsid w:val="00E258C9"/>
    <w:rsid w:val="00E25B8F"/>
    <w:rsid w:val="00E25C8F"/>
    <w:rsid w:val="00E25EAD"/>
    <w:rsid w:val="00E267BF"/>
    <w:rsid w:val="00E26816"/>
    <w:rsid w:val="00E26C40"/>
    <w:rsid w:val="00E26DE6"/>
    <w:rsid w:val="00E27074"/>
    <w:rsid w:val="00E272A4"/>
    <w:rsid w:val="00E272CE"/>
    <w:rsid w:val="00E272DF"/>
    <w:rsid w:val="00E274C9"/>
    <w:rsid w:val="00E276F4"/>
    <w:rsid w:val="00E2786F"/>
    <w:rsid w:val="00E278FD"/>
    <w:rsid w:val="00E27E02"/>
    <w:rsid w:val="00E27E57"/>
    <w:rsid w:val="00E27EEC"/>
    <w:rsid w:val="00E30063"/>
    <w:rsid w:val="00E3016E"/>
    <w:rsid w:val="00E30BED"/>
    <w:rsid w:val="00E311B1"/>
    <w:rsid w:val="00E313A2"/>
    <w:rsid w:val="00E31614"/>
    <w:rsid w:val="00E31B19"/>
    <w:rsid w:val="00E31CCE"/>
    <w:rsid w:val="00E31DAD"/>
    <w:rsid w:val="00E31E70"/>
    <w:rsid w:val="00E3230C"/>
    <w:rsid w:val="00E32322"/>
    <w:rsid w:val="00E3254F"/>
    <w:rsid w:val="00E327FE"/>
    <w:rsid w:val="00E328F2"/>
    <w:rsid w:val="00E32C9A"/>
    <w:rsid w:val="00E32CAC"/>
    <w:rsid w:val="00E32D2A"/>
    <w:rsid w:val="00E335F5"/>
    <w:rsid w:val="00E335F9"/>
    <w:rsid w:val="00E3364A"/>
    <w:rsid w:val="00E33765"/>
    <w:rsid w:val="00E33915"/>
    <w:rsid w:val="00E3405B"/>
    <w:rsid w:val="00E341BD"/>
    <w:rsid w:val="00E34224"/>
    <w:rsid w:val="00E3464C"/>
    <w:rsid w:val="00E34723"/>
    <w:rsid w:val="00E34B7F"/>
    <w:rsid w:val="00E34E61"/>
    <w:rsid w:val="00E34EBF"/>
    <w:rsid w:val="00E34F66"/>
    <w:rsid w:val="00E3508D"/>
    <w:rsid w:val="00E35228"/>
    <w:rsid w:val="00E352E9"/>
    <w:rsid w:val="00E3539A"/>
    <w:rsid w:val="00E35413"/>
    <w:rsid w:val="00E3559D"/>
    <w:rsid w:val="00E35623"/>
    <w:rsid w:val="00E35A11"/>
    <w:rsid w:val="00E36013"/>
    <w:rsid w:val="00E36066"/>
    <w:rsid w:val="00E3618C"/>
    <w:rsid w:val="00E363C9"/>
    <w:rsid w:val="00E363E1"/>
    <w:rsid w:val="00E36792"/>
    <w:rsid w:val="00E36909"/>
    <w:rsid w:val="00E369EB"/>
    <w:rsid w:val="00E36A5C"/>
    <w:rsid w:val="00E36B8F"/>
    <w:rsid w:val="00E370EF"/>
    <w:rsid w:val="00E37115"/>
    <w:rsid w:val="00E37210"/>
    <w:rsid w:val="00E3728A"/>
    <w:rsid w:val="00E375BD"/>
    <w:rsid w:val="00E37BD2"/>
    <w:rsid w:val="00E37DFE"/>
    <w:rsid w:val="00E37FE3"/>
    <w:rsid w:val="00E400DC"/>
    <w:rsid w:val="00E40576"/>
    <w:rsid w:val="00E405AF"/>
    <w:rsid w:val="00E41083"/>
    <w:rsid w:val="00E417B8"/>
    <w:rsid w:val="00E41B4A"/>
    <w:rsid w:val="00E41EAE"/>
    <w:rsid w:val="00E41EF7"/>
    <w:rsid w:val="00E4243A"/>
    <w:rsid w:val="00E4253C"/>
    <w:rsid w:val="00E4253E"/>
    <w:rsid w:val="00E42C35"/>
    <w:rsid w:val="00E42DFE"/>
    <w:rsid w:val="00E433A9"/>
    <w:rsid w:val="00E435F7"/>
    <w:rsid w:val="00E436D3"/>
    <w:rsid w:val="00E4446B"/>
    <w:rsid w:val="00E4504F"/>
    <w:rsid w:val="00E4545C"/>
    <w:rsid w:val="00E45508"/>
    <w:rsid w:val="00E455C6"/>
    <w:rsid w:val="00E456C1"/>
    <w:rsid w:val="00E45768"/>
    <w:rsid w:val="00E458A6"/>
    <w:rsid w:val="00E45A37"/>
    <w:rsid w:val="00E45AA0"/>
    <w:rsid w:val="00E45AB6"/>
    <w:rsid w:val="00E45BCE"/>
    <w:rsid w:val="00E45F66"/>
    <w:rsid w:val="00E460A5"/>
    <w:rsid w:val="00E461CA"/>
    <w:rsid w:val="00E467F9"/>
    <w:rsid w:val="00E468A0"/>
    <w:rsid w:val="00E4691B"/>
    <w:rsid w:val="00E46B89"/>
    <w:rsid w:val="00E46CAC"/>
    <w:rsid w:val="00E46CD4"/>
    <w:rsid w:val="00E46E9D"/>
    <w:rsid w:val="00E46EA1"/>
    <w:rsid w:val="00E46F23"/>
    <w:rsid w:val="00E47107"/>
    <w:rsid w:val="00E47AD1"/>
    <w:rsid w:val="00E47D4A"/>
    <w:rsid w:val="00E47EB5"/>
    <w:rsid w:val="00E47F9C"/>
    <w:rsid w:val="00E500F9"/>
    <w:rsid w:val="00E50331"/>
    <w:rsid w:val="00E504CF"/>
    <w:rsid w:val="00E50632"/>
    <w:rsid w:val="00E50726"/>
    <w:rsid w:val="00E50A12"/>
    <w:rsid w:val="00E50A44"/>
    <w:rsid w:val="00E50A57"/>
    <w:rsid w:val="00E50C15"/>
    <w:rsid w:val="00E50FB1"/>
    <w:rsid w:val="00E5112B"/>
    <w:rsid w:val="00E518D3"/>
    <w:rsid w:val="00E51EEE"/>
    <w:rsid w:val="00E51F6A"/>
    <w:rsid w:val="00E5208C"/>
    <w:rsid w:val="00E520B0"/>
    <w:rsid w:val="00E523F5"/>
    <w:rsid w:val="00E5240F"/>
    <w:rsid w:val="00E52561"/>
    <w:rsid w:val="00E525BD"/>
    <w:rsid w:val="00E526E4"/>
    <w:rsid w:val="00E52924"/>
    <w:rsid w:val="00E5292B"/>
    <w:rsid w:val="00E52B4D"/>
    <w:rsid w:val="00E52BBC"/>
    <w:rsid w:val="00E52E56"/>
    <w:rsid w:val="00E52EB4"/>
    <w:rsid w:val="00E52ECF"/>
    <w:rsid w:val="00E52F68"/>
    <w:rsid w:val="00E5310E"/>
    <w:rsid w:val="00E53185"/>
    <w:rsid w:val="00E53567"/>
    <w:rsid w:val="00E53710"/>
    <w:rsid w:val="00E53782"/>
    <w:rsid w:val="00E538B4"/>
    <w:rsid w:val="00E539B4"/>
    <w:rsid w:val="00E539D1"/>
    <w:rsid w:val="00E53C0A"/>
    <w:rsid w:val="00E53D79"/>
    <w:rsid w:val="00E54129"/>
    <w:rsid w:val="00E54529"/>
    <w:rsid w:val="00E5488F"/>
    <w:rsid w:val="00E54A3F"/>
    <w:rsid w:val="00E54DE0"/>
    <w:rsid w:val="00E54EE5"/>
    <w:rsid w:val="00E55103"/>
    <w:rsid w:val="00E55844"/>
    <w:rsid w:val="00E55994"/>
    <w:rsid w:val="00E55BA0"/>
    <w:rsid w:val="00E55BAF"/>
    <w:rsid w:val="00E55E9D"/>
    <w:rsid w:val="00E55EE6"/>
    <w:rsid w:val="00E5608D"/>
    <w:rsid w:val="00E5617B"/>
    <w:rsid w:val="00E563D4"/>
    <w:rsid w:val="00E5643E"/>
    <w:rsid w:val="00E56472"/>
    <w:rsid w:val="00E56635"/>
    <w:rsid w:val="00E566F9"/>
    <w:rsid w:val="00E56859"/>
    <w:rsid w:val="00E569E2"/>
    <w:rsid w:val="00E56C62"/>
    <w:rsid w:val="00E56EF3"/>
    <w:rsid w:val="00E57095"/>
    <w:rsid w:val="00E570DF"/>
    <w:rsid w:val="00E572FD"/>
    <w:rsid w:val="00E57348"/>
    <w:rsid w:val="00E5739F"/>
    <w:rsid w:val="00E575E6"/>
    <w:rsid w:val="00E57D03"/>
    <w:rsid w:val="00E57DA0"/>
    <w:rsid w:val="00E57E6A"/>
    <w:rsid w:val="00E57EAD"/>
    <w:rsid w:val="00E57EE9"/>
    <w:rsid w:val="00E60135"/>
    <w:rsid w:val="00E60358"/>
    <w:rsid w:val="00E60372"/>
    <w:rsid w:val="00E605E5"/>
    <w:rsid w:val="00E60702"/>
    <w:rsid w:val="00E60CCB"/>
    <w:rsid w:val="00E60FF5"/>
    <w:rsid w:val="00E61024"/>
    <w:rsid w:val="00E610D7"/>
    <w:rsid w:val="00E61157"/>
    <w:rsid w:val="00E611D6"/>
    <w:rsid w:val="00E6122D"/>
    <w:rsid w:val="00E616FC"/>
    <w:rsid w:val="00E61A70"/>
    <w:rsid w:val="00E61CF8"/>
    <w:rsid w:val="00E61D3A"/>
    <w:rsid w:val="00E61DDD"/>
    <w:rsid w:val="00E61DFD"/>
    <w:rsid w:val="00E61E80"/>
    <w:rsid w:val="00E61E81"/>
    <w:rsid w:val="00E6206E"/>
    <w:rsid w:val="00E6212C"/>
    <w:rsid w:val="00E62375"/>
    <w:rsid w:val="00E623AC"/>
    <w:rsid w:val="00E62558"/>
    <w:rsid w:val="00E62745"/>
    <w:rsid w:val="00E62E5D"/>
    <w:rsid w:val="00E630C1"/>
    <w:rsid w:val="00E63120"/>
    <w:rsid w:val="00E6315D"/>
    <w:rsid w:val="00E63162"/>
    <w:rsid w:val="00E633D1"/>
    <w:rsid w:val="00E6362B"/>
    <w:rsid w:val="00E637B0"/>
    <w:rsid w:val="00E63C02"/>
    <w:rsid w:val="00E63C36"/>
    <w:rsid w:val="00E63CE7"/>
    <w:rsid w:val="00E63D91"/>
    <w:rsid w:val="00E64212"/>
    <w:rsid w:val="00E64275"/>
    <w:rsid w:val="00E64385"/>
    <w:rsid w:val="00E64794"/>
    <w:rsid w:val="00E64C47"/>
    <w:rsid w:val="00E64C65"/>
    <w:rsid w:val="00E64CBD"/>
    <w:rsid w:val="00E64E4E"/>
    <w:rsid w:val="00E64E7A"/>
    <w:rsid w:val="00E64FAE"/>
    <w:rsid w:val="00E6529F"/>
    <w:rsid w:val="00E65506"/>
    <w:rsid w:val="00E656B8"/>
    <w:rsid w:val="00E658B4"/>
    <w:rsid w:val="00E659DD"/>
    <w:rsid w:val="00E65BD5"/>
    <w:rsid w:val="00E65FBB"/>
    <w:rsid w:val="00E6619B"/>
    <w:rsid w:val="00E6620C"/>
    <w:rsid w:val="00E66374"/>
    <w:rsid w:val="00E66395"/>
    <w:rsid w:val="00E66472"/>
    <w:rsid w:val="00E66A74"/>
    <w:rsid w:val="00E66CA0"/>
    <w:rsid w:val="00E66E9F"/>
    <w:rsid w:val="00E67359"/>
    <w:rsid w:val="00E673A1"/>
    <w:rsid w:val="00E676DE"/>
    <w:rsid w:val="00E67A2A"/>
    <w:rsid w:val="00E67BD0"/>
    <w:rsid w:val="00E67DA9"/>
    <w:rsid w:val="00E67DC2"/>
    <w:rsid w:val="00E67EE3"/>
    <w:rsid w:val="00E705A1"/>
    <w:rsid w:val="00E7068E"/>
    <w:rsid w:val="00E709A2"/>
    <w:rsid w:val="00E70E56"/>
    <w:rsid w:val="00E710F6"/>
    <w:rsid w:val="00E7110E"/>
    <w:rsid w:val="00E7126E"/>
    <w:rsid w:val="00E7134A"/>
    <w:rsid w:val="00E71396"/>
    <w:rsid w:val="00E71536"/>
    <w:rsid w:val="00E715EA"/>
    <w:rsid w:val="00E715EF"/>
    <w:rsid w:val="00E719CF"/>
    <w:rsid w:val="00E71C5E"/>
    <w:rsid w:val="00E71D07"/>
    <w:rsid w:val="00E7213A"/>
    <w:rsid w:val="00E72476"/>
    <w:rsid w:val="00E72550"/>
    <w:rsid w:val="00E72A6C"/>
    <w:rsid w:val="00E72A7B"/>
    <w:rsid w:val="00E72B48"/>
    <w:rsid w:val="00E72CB5"/>
    <w:rsid w:val="00E72D2D"/>
    <w:rsid w:val="00E72DC3"/>
    <w:rsid w:val="00E733F2"/>
    <w:rsid w:val="00E73435"/>
    <w:rsid w:val="00E73532"/>
    <w:rsid w:val="00E73648"/>
    <w:rsid w:val="00E737BB"/>
    <w:rsid w:val="00E737EA"/>
    <w:rsid w:val="00E73989"/>
    <w:rsid w:val="00E73A11"/>
    <w:rsid w:val="00E74373"/>
    <w:rsid w:val="00E744D8"/>
    <w:rsid w:val="00E74989"/>
    <w:rsid w:val="00E74CF9"/>
    <w:rsid w:val="00E74E0D"/>
    <w:rsid w:val="00E75063"/>
    <w:rsid w:val="00E752AD"/>
    <w:rsid w:val="00E75571"/>
    <w:rsid w:val="00E757C3"/>
    <w:rsid w:val="00E758FC"/>
    <w:rsid w:val="00E75924"/>
    <w:rsid w:val="00E75C66"/>
    <w:rsid w:val="00E75D11"/>
    <w:rsid w:val="00E75D58"/>
    <w:rsid w:val="00E75F85"/>
    <w:rsid w:val="00E75F90"/>
    <w:rsid w:val="00E760DB"/>
    <w:rsid w:val="00E76170"/>
    <w:rsid w:val="00E7625B"/>
    <w:rsid w:val="00E76537"/>
    <w:rsid w:val="00E76562"/>
    <w:rsid w:val="00E765C2"/>
    <w:rsid w:val="00E766E2"/>
    <w:rsid w:val="00E7672B"/>
    <w:rsid w:val="00E76FB0"/>
    <w:rsid w:val="00E76FF4"/>
    <w:rsid w:val="00E770D6"/>
    <w:rsid w:val="00E77192"/>
    <w:rsid w:val="00E771E7"/>
    <w:rsid w:val="00E773C7"/>
    <w:rsid w:val="00E77E48"/>
    <w:rsid w:val="00E8017D"/>
    <w:rsid w:val="00E8039F"/>
    <w:rsid w:val="00E806C5"/>
    <w:rsid w:val="00E8084D"/>
    <w:rsid w:val="00E80963"/>
    <w:rsid w:val="00E81688"/>
    <w:rsid w:val="00E817B4"/>
    <w:rsid w:val="00E819F8"/>
    <w:rsid w:val="00E81EF9"/>
    <w:rsid w:val="00E81FFD"/>
    <w:rsid w:val="00E8216C"/>
    <w:rsid w:val="00E82210"/>
    <w:rsid w:val="00E82244"/>
    <w:rsid w:val="00E82302"/>
    <w:rsid w:val="00E82401"/>
    <w:rsid w:val="00E8246C"/>
    <w:rsid w:val="00E82ACD"/>
    <w:rsid w:val="00E82B53"/>
    <w:rsid w:val="00E82D4B"/>
    <w:rsid w:val="00E82F4E"/>
    <w:rsid w:val="00E83043"/>
    <w:rsid w:val="00E830DE"/>
    <w:rsid w:val="00E8319D"/>
    <w:rsid w:val="00E839C1"/>
    <w:rsid w:val="00E83A4D"/>
    <w:rsid w:val="00E83BBC"/>
    <w:rsid w:val="00E83E72"/>
    <w:rsid w:val="00E84256"/>
    <w:rsid w:val="00E84389"/>
    <w:rsid w:val="00E84422"/>
    <w:rsid w:val="00E848A1"/>
    <w:rsid w:val="00E8493A"/>
    <w:rsid w:val="00E8498B"/>
    <w:rsid w:val="00E84B62"/>
    <w:rsid w:val="00E8586A"/>
    <w:rsid w:val="00E85B56"/>
    <w:rsid w:val="00E85B7B"/>
    <w:rsid w:val="00E85E00"/>
    <w:rsid w:val="00E85FCD"/>
    <w:rsid w:val="00E8644C"/>
    <w:rsid w:val="00E86DC8"/>
    <w:rsid w:val="00E8707D"/>
    <w:rsid w:val="00E872C4"/>
    <w:rsid w:val="00E87374"/>
    <w:rsid w:val="00E87488"/>
    <w:rsid w:val="00E87500"/>
    <w:rsid w:val="00E8758A"/>
    <w:rsid w:val="00E87964"/>
    <w:rsid w:val="00E879E8"/>
    <w:rsid w:val="00E87B15"/>
    <w:rsid w:val="00E90914"/>
    <w:rsid w:val="00E90BB3"/>
    <w:rsid w:val="00E90C0B"/>
    <w:rsid w:val="00E90F42"/>
    <w:rsid w:val="00E90FA9"/>
    <w:rsid w:val="00E91403"/>
    <w:rsid w:val="00E91913"/>
    <w:rsid w:val="00E91B0C"/>
    <w:rsid w:val="00E92417"/>
    <w:rsid w:val="00E92483"/>
    <w:rsid w:val="00E926BF"/>
    <w:rsid w:val="00E92833"/>
    <w:rsid w:val="00E92905"/>
    <w:rsid w:val="00E92BBD"/>
    <w:rsid w:val="00E92DB6"/>
    <w:rsid w:val="00E92E27"/>
    <w:rsid w:val="00E930BB"/>
    <w:rsid w:val="00E931E5"/>
    <w:rsid w:val="00E93334"/>
    <w:rsid w:val="00E935EF"/>
    <w:rsid w:val="00E936CB"/>
    <w:rsid w:val="00E93A3C"/>
    <w:rsid w:val="00E93B30"/>
    <w:rsid w:val="00E93D5E"/>
    <w:rsid w:val="00E93EB7"/>
    <w:rsid w:val="00E93F80"/>
    <w:rsid w:val="00E93FF6"/>
    <w:rsid w:val="00E9411D"/>
    <w:rsid w:val="00E94208"/>
    <w:rsid w:val="00E94410"/>
    <w:rsid w:val="00E948B0"/>
    <w:rsid w:val="00E94A27"/>
    <w:rsid w:val="00E94B4B"/>
    <w:rsid w:val="00E94CD8"/>
    <w:rsid w:val="00E94CF1"/>
    <w:rsid w:val="00E94F3B"/>
    <w:rsid w:val="00E94F96"/>
    <w:rsid w:val="00E953E7"/>
    <w:rsid w:val="00E954C6"/>
    <w:rsid w:val="00E9550E"/>
    <w:rsid w:val="00E9560F"/>
    <w:rsid w:val="00E95681"/>
    <w:rsid w:val="00E956F7"/>
    <w:rsid w:val="00E95A24"/>
    <w:rsid w:val="00E95A5B"/>
    <w:rsid w:val="00E95AC2"/>
    <w:rsid w:val="00E95EDC"/>
    <w:rsid w:val="00E9611E"/>
    <w:rsid w:val="00E963D4"/>
    <w:rsid w:val="00E96586"/>
    <w:rsid w:val="00E96727"/>
    <w:rsid w:val="00E9676F"/>
    <w:rsid w:val="00E967DF"/>
    <w:rsid w:val="00E9694E"/>
    <w:rsid w:val="00E96A03"/>
    <w:rsid w:val="00E96C49"/>
    <w:rsid w:val="00E96D49"/>
    <w:rsid w:val="00E96F3F"/>
    <w:rsid w:val="00E970C7"/>
    <w:rsid w:val="00E978A5"/>
    <w:rsid w:val="00E97B59"/>
    <w:rsid w:val="00E97D04"/>
    <w:rsid w:val="00E97E6D"/>
    <w:rsid w:val="00EA01CA"/>
    <w:rsid w:val="00EA055A"/>
    <w:rsid w:val="00EA070A"/>
    <w:rsid w:val="00EA0AC0"/>
    <w:rsid w:val="00EA0D51"/>
    <w:rsid w:val="00EA10D5"/>
    <w:rsid w:val="00EA10E8"/>
    <w:rsid w:val="00EA11F8"/>
    <w:rsid w:val="00EA125F"/>
    <w:rsid w:val="00EA140A"/>
    <w:rsid w:val="00EA1459"/>
    <w:rsid w:val="00EA14C9"/>
    <w:rsid w:val="00EA1650"/>
    <w:rsid w:val="00EA1B0E"/>
    <w:rsid w:val="00EA20A2"/>
    <w:rsid w:val="00EA20D6"/>
    <w:rsid w:val="00EA20FA"/>
    <w:rsid w:val="00EA2436"/>
    <w:rsid w:val="00EA2441"/>
    <w:rsid w:val="00EA244B"/>
    <w:rsid w:val="00EA2507"/>
    <w:rsid w:val="00EA25FE"/>
    <w:rsid w:val="00EA2703"/>
    <w:rsid w:val="00EA2714"/>
    <w:rsid w:val="00EA277E"/>
    <w:rsid w:val="00EA27D9"/>
    <w:rsid w:val="00EA2A0E"/>
    <w:rsid w:val="00EA2BD3"/>
    <w:rsid w:val="00EA2E37"/>
    <w:rsid w:val="00EA30DE"/>
    <w:rsid w:val="00EA31CE"/>
    <w:rsid w:val="00EA31DC"/>
    <w:rsid w:val="00EA336B"/>
    <w:rsid w:val="00EA33C1"/>
    <w:rsid w:val="00EA35CF"/>
    <w:rsid w:val="00EA3605"/>
    <w:rsid w:val="00EA37E4"/>
    <w:rsid w:val="00EA39DF"/>
    <w:rsid w:val="00EA3B3C"/>
    <w:rsid w:val="00EA3C59"/>
    <w:rsid w:val="00EA3C70"/>
    <w:rsid w:val="00EA3CB5"/>
    <w:rsid w:val="00EA3EBD"/>
    <w:rsid w:val="00EA40EE"/>
    <w:rsid w:val="00EA476A"/>
    <w:rsid w:val="00EA4A74"/>
    <w:rsid w:val="00EA4C1B"/>
    <w:rsid w:val="00EA4F19"/>
    <w:rsid w:val="00EA4FAE"/>
    <w:rsid w:val="00EA501D"/>
    <w:rsid w:val="00EA55C2"/>
    <w:rsid w:val="00EA565B"/>
    <w:rsid w:val="00EA5871"/>
    <w:rsid w:val="00EA5C45"/>
    <w:rsid w:val="00EA5E36"/>
    <w:rsid w:val="00EA5F41"/>
    <w:rsid w:val="00EA5FC1"/>
    <w:rsid w:val="00EA60DB"/>
    <w:rsid w:val="00EA677D"/>
    <w:rsid w:val="00EA682C"/>
    <w:rsid w:val="00EA686A"/>
    <w:rsid w:val="00EA6F4F"/>
    <w:rsid w:val="00EA6F5B"/>
    <w:rsid w:val="00EA6F76"/>
    <w:rsid w:val="00EA6F84"/>
    <w:rsid w:val="00EA732A"/>
    <w:rsid w:val="00EA737C"/>
    <w:rsid w:val="00EA7539"/>
    <w:rsid w:val="00EA7905"/>
    <w:rsid w:val="00EA7CD9"/>
    <w:rsid w:val="00EA7EF5"/>
    <w:rsid w:val="00EA7FF4"/>
    <w:rsid w:val="00EB00E6"/>
    <w:rsid w:val="00EB014B"/>
    <w:rsid w:val="00EB0220"/>
    <w:rsid w:val="00EB023E"/>
    <w:rsid w:val="00EB066C"/>
    <w:rsid w:val="00EB06B8"/>
    <w:rsid w:val="00EB0B3C"/>
    <w:rsid w:val="00EB0C85"/>
    <w:rsid w:val="00EB0CE9"/>
    <w:rsid w:val="00EB0D1A"/>
    <w:rsid w:val="00EB101D"/>
    <w:rsid w:val="00EB11DE"/>
    <w:rsid w:val="00EB1378"/>
    <w:rsid w:val="00EB144D"/>
    <w:rsid w:val="00EB162F"/>
    <w:rsid w:val="00EB1A3A"/>
    <w:rsid w:val="00EB1BEA"/>
    <w:rsid w:val="00EB1DB9"/>
    <w:rsid w:val="00EB1FE0"/>
    <w:rsid w:val="00EB2273"/>
    <w:rsid w:val="00EB2299"/>
    <w:rsid w:val="00EB24AA"/>
    <w:rsid w:val="00EB24B0"/>
    <w:rsid w:val="00EB283D"/>
    <w:rsid w:val="00EB29CC"/>
    <w:rsid w:val="00EB2AA8"/>
    <w:rsid w:val="00EB2C47"/>
    <w:rsid w:val="00EB2C60"/>
    <w:rsid w:val="00EB2E55"/>
    <w:rsid w:val="00EB2FFF"/>
    <w:rsid w:val="00EB330D"/>
    <w:rsid w:val="00EB3410"/>
    <w:rsid w:val="00EB3831"/>
    <w:rsid w:val="00EB384F"/>
    <w:rsid w:val="00EB3FFC"/>
    <w:rsid w:val="00EB40B1"/>
    <w:rsid w:val="00EB4269"/>
    <w:rsid w:val="00EB433E"/>
    <w:rsid w:val="00EB4423"/>
    <w:rsid w:val="00EB45D6"/>
    <w:rsid w:val="00EB4875"/>
    <w:rsid w:val="00EB4919"/>
    <w:rsid w:val="00EB4AB1"/>
    <w:rsid w:val="00EB4C1A"/>
    <w:rsid w:val="00EB4F0E"/>
    <w:rsid w:val="00EB5549"/>
    <w:rsid w:val="00EB5A22"/>
    <w:rsid w:val="00EB5B51"/>
    <w:rsid w:val="00EB5D62"/>
    <w:rsid w:val="00EB60A9"/>
    <w:rsid w:val="00EB60CA"/>
    <w:rsid w:val="00EB679F"/>
    <w:rsid w:val="00EB67ED"/>
    <w:rsid w:val="00EB6A4E"/>
    <w:rsid w:val="00EB6AA6"/>
    <w:rsid w:val="00EB6AF1"/>
    <w:rsid w:val="00EB6F6C"/>
    <w:rsid w:val="00EB7236"/>
    <w:rsid w:val="00EB7306"/>
    <w:rsid w:val="00EB73E3"/>
    <w:rsid w:val="00EB7537"/>
    <w:rsid w:val="00EB75DA"/>
    <w:rsid w:val="00EB7837"/>
    <w:rsid w:val="00EB7CB7"/>
    <w:rsid w:val="00EC004D"/>
    <w:rsid w:val="00EC015A"/>
    <w:rsid w:val="00EC02C0"/>
    <w:rsid w:val="00EC034C"/>
    <w:rsid w:val="00EC03D9"/>
    <w:rsid w:val="00EC03DD"/>
    <w:rsid w:val="00EC052D"/>
    <w:rsid w:val="00EC0601"/>
    <w:rsid w:val="00EC0A54"/>
    <w:rsid w:val="00EC0C09"/>
    <w:rsid w:val="00EC0DF0"/>
    <w:rsid w:val="00EC0FF6"/>
    <w:rsid w:val="00EC1118"/>
    <w:rsid w:val="00EC1350"/>
    <w:rsid w:val="00EC154A"/>
    <w:rsid w:val="00EC1B18"/>
    <w:rsid w:val="00EC21AF"/>
    <w:rsid w:val="00EC21B6"/>
    <w:rsid w:val="00EC21EE"/>
    <w:rsid w:val="00EC2290"/>
    <w:rsid w:val="00EC243D"/>
    <w:rsid w:val="00EC2716"/>
    <w:rsid w:val="00EC29E3"/>
    <w:rsid w:val="00EC2C61"/>
    <w:rsid w:val="00EC2D88"/>
    <w:rsid w:val="00EC3002"/>
    <w:rsid w:val="00EC3369"/>
    <w:rsid w:val="00EC33DA"/>
    <w:rsid w:val="00EC363F"/>
    <w:rsid w:val="00EC36BC"/>
    <w:rsid w:val="00EC392B"/>
    <w:rsid w:val="00EC3C8A"/>
    <w:rsid w:val="00EC3F6E"/>
    <w:rsid w:val="00EC4154"/>
    <w:rsid w:val="00EC419E"/>
    <w:rsid w:val="00EC4349"/>
    <w:rsid w:val="00EC4502"/>
    <w:rsid w:val="00EC4813"/>
    <w:rsid w:val="00EC4B15"/>
    <w:rsid w:val="00EC4B48"/>
    <w:rsid w:val="00EC5082"/>
    <w:rsid w:val="00EC54A2"/>
    <w:rsid w:val="00EC578E"/>
    <w:rsid w:val="00EC5825"/>
    <w:rsid w:val="00EC58B9"/>
    <w:rsid w:val="00EC58CB"/>
    <w:rsid w:val="00EC5AAA"/>
    <w:rsid w:val="00EC5CEA"/>
    <w:rsid w:val="00EC5DA9"/>
    <w:rsid w:val="00EC5E17"/>
    <w:rsid w:val="00EC5E77"/>
    <w:rsid w:val="00EC5FC0"/>
    <w:rsid w:val="00EC60A2"/>
    <w:rsid w:val="00EC60D9"/>
    <w:rsid w:val="00EC61C3"/>
    <w:rsid w:val="00EC657A"/>
    <w:rsid w:val="00EC663B"/>
    <w:rsid w:val="00EC681F"/>
    <w:rsid w:val="00EC6965"/>
    <w:rsid w:val="00EC69FC"/>
    <w:rsid w:val="00EC6A49"/>
    <w:rsid w:val="00EC6BDC"/>
    <w:rsid w:val="00EC729D"/>
    <w:rsid w:val="00EC72BA"/>
    <w:rsid w:val="00EC73BC"/>
    <w:rsid w:val="00EC7535"/>
    <w:rsid w:val="00EC76BA"/>
    <w:rsid w:val="00EC772A"/>
    <w:rsid w:val="00EC77A1"/>
    <w:rsid w:val="00EC796B"/>
    <w:rsid w:val="00EC7D86"/>
    <w:rsid w:val="00EC7E43"/>
    <w:rsid w:val="00ED0134"/>
    <w:rsid w:val="00ED0396"/>
    <w:rsid w:val="00ED05D9"/>
    <w:rsid w:val="00ED0829"/>
    <w:rsid w:val="00ED0BBF"/>
    <w:rsid w:val="00ED0DAD"/>
    <w:rsid w:val="00ED0DC0"/>
    <w:rsid w:val="00ED0E73"/>
    <w:rsid w:val="00ED0FBC"/>
    <w:rsid w:val="00ED1036"/>
    <w:rsid w:val="00ED114F"/>
    <w:rsid w:val="00ED1213"/>
    <w:rsid w:val="00ED132E"/>
    <w:rsid w:val="00ED1404"/>
    <w:rsid w:val="00ED15A3"/>
    <w:rsid w:val="00ED1643"/>
    <w:rsid w:val="00ED1801"/>
    <w:rsid w:val="00ED189C"/>
    <w:rsid w:val="00ED19CC"/>
    <w:rsid w:val="00ED1C09"/>
    <w:rsid w:val="00ED1D91"/>
    <w:rsid w:val="00ED1DC8"/>
    <w:rsid w:val="00ED1F3E"/>
    <w:rsid w:val="00ED1FE4"/>
    <w:rsid w:val="00ED23A1"/>
    <w:rsid w:val="00ED2672"/>
    <w:rsid w:val="00ED29A0"/>
    <w:rsid w:val="00ED2A60"/>
    <w:rsid w:val="00ED2DD3"/>
    <w:rsid w:val="00ED2E50"/>
    <w:rsid w:val="00ED2E60"/>
    <w:rsid w:val="00ED3112"/>
    <w:rsid w:val="00ED3327"/>
    <w:rsid w:val="00ED346A"/>
    <w:rsid w:val="00ED351D"/>
    <w:rsid w:val="00ED3589"/>
    <w:rsid w:val="00ED3625"/>
    <w:rsid w:val="00ED3ACB"/>
    <w:rsid w:val="00ED3C1D"/>
    <w:rsid w:val="00ED3DEA"/>
    <w:rsid w:val="00ED427A"/>
    <w:rsid w:val="00ED4394"/>
    <w:rsid w:val="00ED4489"/>
    <w:rsid w:val="00ED4747"/>
    <w:rsid w:val="00ED4A19"/>
    <w:rsid w:val="00ED4C2E"/>
    <w:rsid w:val="00ED4C88"/>
    <w:rsid w:val="00ED4CC5"/>
    <w:rsid w:val="00ED4DD2"/>
    <w:rsid w:val="00ED4F83"/>
    <w:rsid w:val="00ED4FE9"/>
    <w:rsid w:val="00ED516F"/>
    <w:rsid w:val="00ED5171"/>
    <w:rsid w:val="00ED5539"/>
    <w:rsid w:val="00ED5802"/>
    <w:rsid w:val="00ED5883"/>
    <w:rsid w:val="00ED5A00"/>
    <w:rsid w:val="00ED6057"/>
    <w:rsid w:val="00ED645B"/>
    <w:rsid w:val="00ED66E2"/>
    <w:rsid w:val="00ED6AFE"/>
    <w:rsid w:val="00ED6BFF"/>
    <w:rsid w:val="00ED6CE8"/>
    <w:rsid w:val="00ED6D02"/>
    <w:rsid w:val="00ED6E52"/>
    <w:rsid w:val="00ED6ED7"/>
    <w:rsid w:val="00ED6FCB"/>
    <w:rsid w:val="00ED719B"/>
    <w:rsid w:val="00ED7275"/>
    <w:rsid w:val="00ED72F8"/>
    <w:rsid w:val="00ED738E"/>
    <w:rsid w:val="00ED75B1"/>
    <w:rsid w:val="00ED7800"/>
    <w:rsid w:val="00ED7B1B"/>
    <w:rsid w:val="00ED7CB2"/>
    <w:rsid w:val="00ED7F40"/>
    <w:rsid w:val="00EE0329"/>
    <w:rsid w:val="00EE048B"/>
    <w:rsid w:val="00EE08A7"/>
    <w:rsid w:val="00EE0B02"/>
    <w:rsid w:val="00EE0BCC"/>
    <w:rsid w:val="00EE0C32"/>
    <w:rsid w:val="00EE16AA"/>
    <w:rsid w:val="00EE1AA5"/>
    <w:rsid w:val="00EE1C1D"/>
    <w:rsid w:val="00EE1CA0"/>
    <w:rsid w:val="00EE229A"/>
    <w:rsid w:val="00EE2513"/>
    <w:rsid w:val="00EE2713"/>
    <w:rsid w:val="00EE284F"/>
    <w:rsid w:val="00EE2AA0"/>
    <w:rsid w:val="00EE2ACE"/>
    <w:rsid w:val="00EE2FC0"/>
    <w:rsid w:val="00EE3001"/>
    <w:rsid w:val="00EE3035"/>
    <w:rsid w:val="00EE3090"/>
    <w:rsid w:val="00EE335C"/>
    <w:rsid w:val="00EE3FF7"/>
    <w:rsid w:val="00EE439F"/>
    <w:rsid w:val="00EE4512"/>
    <w:rsid w:val="00EE49B4"/>
    <w:rsid w:val="00EE4A34"/>
    <w:rsid w:val="00EE4BE6"/>
    <w:rsid w:val="00EE4F76"/>
    <w:rsid w:val="00EE4F99"/>
    <w:rsid w:val="00EE50E3"/>
    <w:rsid w:val="00EE51B6"/>
    <w:rsid w:val="00EE5272"/>
    <w:rsid w:val="00EE536A"/>
    <w:rsid w:val="00EE54CD"/>
    <w:rsid w:val="00EE5687"/>
    <w:rsid w:val="00EE56AA"/>
    <w:rsid w:val="00EE5B44"/>
    <w:rsid w:val="00EE5C6E"/>
    <w:rsid w:val="00EE61AE"/>
    <w:rsid w:val="00EE6220"/>
    <w:rsid w:val="00EE6589"/>
    <w:rsid w:val="00EE67C5"/>
    <w:rsid w:val="00EE6B14"/>
    <w:rsid w:val="00EE6D69"/>
    <w:rsid w:val="00EE6DA4"/>
    <w:rsid w:val="00EE6E8D"/>
    <w:rsid w:val="00EE7437"/>
    <w:rsid w:val="00EE7510"/>
    <w:rsid w:val="00EE7794"/>
    <w:rsid w:val="00EE7928"/>
    <w:rsid w:val="00EE79A6"/>
    <w:rsid w:val="00EE79B3"/>
    <w:rsid w:val="00EE7A01"/>
    <w:rsid w:val="00EE7AF1"/>
    <w:rsid w:val="00EF01BA"/>
    <w:rsid w:val="00EF02AC"/>
    <w:rsid w:val="00EF033E"/>
    <w:rsid w:val="00EF0512"/>
    <w:rsid w:val="00EF081A"/>
    <w:rsid w:val="00EF0B65"/>
    <w:rsid w:val="00EF0D64"/>
    <w:rsid w:val="00EF0D67"/>
    <w:rsid w:val="00EF0E0D"/>
    <w:rsid w:val="00EF0F5C"/>
    <w:rsid w:val="00EF1367"/>
    <w:rsid w:val="00EF14B5"/>
    <w:rsid w:val="00EF151E"/>
    <w:rsid w:val="00EF1B02"/>
    <w:rsid w:val="00EF1D36"/>
    <w:rsid w:val="00EF1E01"/>
    <w:rsid w:val="00EF2238"/>
    <w:rsid w:val="00EF2285"/>
    <w:rsid w:val="00EF2287"/>
    <w:rsid w:val="00EF232D"/>
    <w:rsid w:val="00EF2605"/>
    <w:rsid w:val="00EF2826"/>
    <w:rsid w:val="00EF2886"/>
    <w:rsid w:val="00EF28D4"/>
    <w:rsid w:val="00EF3127"/>
    <w:rsid w:val="00EF32B3"/>
    <w:rsid w:val="00EF3457"/>
    <w:rsid w:val="00EF3730"/>
    <w:rsid w:val="00EF37E7"/>
    <w:rsid w:val="00EF3AE3"/>
    <w:rsid w:val="00EF3B03"/>
    <w:rsid w:val="00EF3E14"/>
    <w:rsid w:val="00EF3E54"/>
    <w:rsid w:val="00EF3F49"/>
    <w:rsid w:val="00EF4138"/>
    <w:rsid w:val="00EF4432"/>
    <w:rsid w:val="00EF45F0"/>
    <w:rsid w:val="00EF46A2"/>
    <w:rsid w:val="00EF46E4"/>
    <w:rsid w:val="00EF46FA"/>
    <w:rsid w:val="00EF4995"/>
    <w:rsid w:val="00EF4A7E"/>
    <w:rsid w:val="00EF5420"/>
    <w:rsid w:val="00EF552C"/>
    <w:rsid w:val="00EF55C0"/>
    <w:rsid w:val="00EF5626"/>
    <w:rsid w:val="00EF56CE"/>
    <w:rsid w:val="00EF5A49"/>
    <w:rsid w:val="00EF5AEF"/>
    <w:rsid w:val="00EF5B04"/>
    <w:rsid w:val="00EF5EAF"/>
    <w:rsid w:val="00EF5FEE"/>
    <w:rsid w:val="00EF608F"/>
    <w:rsid w:val="00EF6199"/>
    <w:rsid w:val="00EF655D"/>
    <w:rsid w:val="00EF6815"/>
    <w:rsid w:val="00EF6A0A"/>
    <w:rsid w:val="00EF6E98"/>
    <w:rsid w:val="00EF706F"/>
    <w:rsid w:val="00EF71BE"/>
    <w:rsid w:val="00EF722C"/>
    <w:rsid w:val="00EF748D"/>
    <w:rsid w:val="00EF7598"/>
    <w:rsid w:val="00EF7703"/>
    <w:rsid w:val="00EF7721"/>
    <w:rsid w:val="00EF7749"/>
    <w:rsid w:val="00EF788D"/>
    <w:rsid w:val="00EF7919"/>
    <w:rsid w:val="00EF7A73"/>
    <w:rsid w:val="00EF7EA4"/>
    <w:rsid w:val="00F0013C"/>
    <w:rsid w:val="00F001D5"/>
    <w:rsid w:val="00F00203"/>
    <w:rsid w:val="00F003DC"/>
    <w:rsid w:val="00F0068D"/>
    <w:rsid w:val="00F007D9"/>
    <w:rsid w:val="00F00833"/>
    <w:rsid w:val="00F008E6"/>
    <w:rsid w:val="00F00BB6"/>
    <w:rsid w:val="00F00E2A"/>
    <w:rsid w:val="00F01490"/>
    <w:rsid w:val="00F01588"/>
    <w:rsid w:val="00F01686"/>
    <w:rsid w:val="00F016C8"/>
    <w:rsid w:val="00F01910"/>
    <w:rsid w:val="00F01A54"/>
    <w:rsid w:val="00F01CD6"/>
    <w:rsid w:val="00F01D8B"/>
    <w:rsid w:val="00F02613"/>
    <w:rsid w:val="00F028CC"/>
    <w:rsid w:val="00F02BA4"/>
    <w:rsid w:val="00F02E25"/>
    <w:rsid w:val="00F03289"/>
    <w:rsid w:val="00F03480"/>
    <w:rsid w:val="00F03549"/>
    <w:rsid w:val="00F0389E"/>
    <w:rsid w:val="00F038FA"/>
    <w:rsid w:val="00F03C81"/>
    <w:rsid w:val="00F03CB5"/>
    <w:rsid w:val="00F03CBD"/>
    <w:rsid w:val="00F03F3B"/>
    <w:rsid w:val="00F03F8E"/>
    <w:rsid w:val="00F041D2"/>
    <w:rsid w:val="00F042AB"/>
    <w:rsid w:val="00F042B0"/>
    <w:rsid w:val="00F043E1"/>
    <w:rsid w:val="00F04458"/>
    <w:rsid w:val="00F045B2"/>
    <w:rsid w:val="00F047B7"/>
    <w:rsid w:val="00F04907"/>
    <w:rsid w:val="00F0491D"/>
    <w:rsid w:val="00F04AE7"/>
    <w:rsid w:val="00F04AF4"/>
    <w:rsid w:val="00F04C90"/>
    <w:rsid w:val="00F04D20"/>
    <w:rsid w:val="00F04D38"/>
    <w:rsid w:val="00F05332"/>
    <w:rsid w:val="00F05C62"/>
    <w:rsid w:val="00F05E8B"/>
    <w:rsid w:val="00F060CE"/>
    <w:rsid w:val="00F06232"/>
    <w:rsid w:val="00F06509"/>
    <w:rsid w:val="00F06607"/>
    <w:rsid w:val="00F06612"/>
    <w:rsid w:val="00F06678"/>
    <w:rsid w:val="00F066CA"/>
    <w:rsid w:val="00F06A50"/>
    <w:rsid w:val="00F06D45"/>
    <w:rsid w:val="00F06D64"/>
    <w:rsid w:val="00F06E39"/>
    <w:rsid w:val="00F07077"/>
    <w:rsid w:val="00F07097"/>
    <w:rsid w:val="00F070D7"/>
    <w:rsid w:val="00F0736B"/>
    <w:rsid w:val="00F07485"/>
    <w:rsid w:val="00F07A4D"/>
    <w:rsid w:val="00F07CD1"/>
    <w:rsid w:val="00F07F20"/>
    <w:rsid w:val="00F07FAD"/>
    <w:rsid w:val="00F101A5"/>
    <w:rsid w:val="00F10416"/>
    <w:rsid w:val="00F106E2"/>
    <w:rsid w:val="00F10743"/>
    <w:rsid w:val="00F107FD"/>
    <w:rsid w:val="00F10887"/>
    <w:rsid w:val="00F109F9"/>
    <w:rsid w:val="00F10A46"/>
    <w:rsid w:val="00F10BA5"/>
    <w:rsid w:val="00F10DB5"/>
    <w:rsid w:val="00F10E12"/>
    <w:rsid w:val="00F10E37"/>
    <w:rsid w:val="00F11033"/>
    <w:rsid w:val="00F11058"/>
    <w:rsid w:val="00F111EB"/>
    <w:rsid w:val="00F11220"/>
    <w:rsid w:val="00F114DB"/>
    <w:rsid w:val="00F11582"/>
    <w:rsid w:val="00F11CEB"/>
    <w:rsid w:val="00F120C4"/>
    <w:rsid w:val="00F12100"/>
    <w:rsid w:val="00F1221B"/>
    <w:rsid w:val="00F126F0"/>
    <w:rsid w:val="00F12766"/>
    <w:rsid w:val="00F12892"/>
    <w:rsid w:val="00F129D8"/>
    <w:rsid w:val="00F12A8E"/>
    <w:rsid w:val="00F12E0C"/>
    <w:rsid w:val="00F131C5"/>
    <w:rsid w:val="00F1336C"/>
    <w:rsid w:val="00F1344C"/>
    <w:rsid w:val="00F135D0"/>
    <w:rsid w:val="00F13608"/>
    <w:rsid w:val="00F136A6"/>
    <w:rsid w:val="00F137BA"/>
    <w:rsid w:val="00F13E02"/>
    <w:rsid w:val="00F13EC1"/>
    <w:rsid w:val="00F1409C"/>
    <w:rsid w:val="00F14167"/>
    <w:rsid w:val="00F14272"/>
    <w:rsid w:val="00F14692"/>
    <w:rsid w:val="00F146DF"/>
    <w:rsid w:val="00F14B58"/>
    <w:rsid w:val="00F150E1"/>
    <w:rsid w:val="00F1531E"/>
    <w:rsid w:val="00F154A5"/>
    <w:rsid w:val="00F154F0"/>
    <w:rsid w:val="00F15B7D"/>
    <w:rsid w:val="00F15BE2"/>
    <w:rsid w:val="00F15E84"/>
    <w:rsid w:val="00F16403"/>
    <w:rsid w:val="00F1670C"/>
    <w:rsid w:val="00F16813"/>
    <w:rsid w:val="00F1682A"/>
    <w:rsid w:val="00F168F2"/>
    <w:rsid w:val="00F1691B"/>
    <w:rsid w:val="00F1698C"/>
    <w:rsid w:val="00F16CC8"/>
    <w:rsid w:val="00F16CEC"/>
    <w:rsid w:val="00F16CF1"/>
    <w:rsid w:val="00F16DC8"/>
    <w:rsid w:val="00F16E3D"/>
    <w:rsid w:val="00F17361"/>
    <w:rsid w:val="00F173BD"/>
    <w:rsid w:val="00F173D1"/>
    <w:rsid w:val="00F17495"/>
    <w:rsid w:val="00F17820"/>
    <w:rsid w:val="00F179A7"/>
    <w:rsid w:val="00F17C34"/>
    <w:rsid w:val="00F17E32"/>
    <w:rsid w:val="00F17E9A"/>
    <w:rsid w:val="00F17EAA"/>
    <w:rsid w:val="00F201AF"/>
    <w:rsid w:val="00F202C2"/>
    <w:rsid w:val="00F206D8"/>
    <w:rsid w:val="00F20E3B"/>
    <w:rsid w:val="00F21687"/>
    <w:rsid w:val="00F216DC"/>
    <w:rsid w:val="00F216FE"/>
    <w:rsid w:val="00F21FD0"/>
    <w:rsid w:val="00F2211D"/>
    <w:rsid w:val="00F2284A"/>
    <w:rsid w:val="00F2287C"/>
    <w:rsid w:val="00F22987"/>
    <w:rsid w:val="00F22D5E"/>
    <w:rsid w:val="00F22DF8"/>
    <w:rsid w:val="00F23219"/>
    <w:rsid w:val="00F23481"/>
    <w:rsid w:val="00F23710"/>
    <w:rsid w:val="00F239AB"/>
    <w:rsid w:val="00F239B7"/>
    <w:rsid w:val="00F23B38"/>
    <w:rsid w:val="00F23ECF"/>
    <w:rsid w:val="00F240A0"/>
    <w:rsid w:val="00F242B2"/>
    <w:rsid w:val="00F24536"/>
    <w:rsid w:val="00F2470B"/>
    <w:rsid w:val="00F2497C"/>
    <w:rsid w:val="00F24AC5"/>
    <w:rsid w:val="00F24EC5"/>
    <w:rsid w:val="00F2515D"/>
    <w:rsid w:val="00F2548E"/>
    <w:rsid w:val="00F25524"/>
    <w:rsid w:val="00F25639"/>
    <w:rsid w:val="00F256E4"/>
    <w:rsid w:val="00F25E70"/>
    <w:rsid w:val="00F26803"/>
    <w:rsid w:val="00F26980"/>
    <w:rsid w:val="00F26AA6"/>
    <w:rsid w:val="00F26CE7"/>
    <w:rsid w:val="00F27034"/>
    <w:rsid w:val="00F270CD"/>
    <w:rsid w:val="00F2711A"/>
    <w:rsid w:val="00F2729B"/>
    <w:rsid w:val="00F272AA"/>
    <w:rsid w:val="00F273DB"/>
    <w:rsid w:val="00F27553"/>
    <w:rsid w:val="00F275F7"/>
    <w:rsid w:val="00F2787C"/>
    <w:rsid w:val="00F27A4D"/>
    <w:rsid w:val="00F27DE7"/>
    <w:rsid w:val="00F27EBA"/>
    <w:rsid w:val="00F302F8"/>
    <w:rsid w:val="00F3037C"/>
    <w:rsid w:val="00F303E9"/>
    <w:rsid w:val="00F304B6"/>
    <w:rsid w:val="00F3064A"/>
    <w:rsid w:val="00F30788"/>
    <w:rsid w:val="00F30A35"/>
    <w:rsid w:val="00F30E47"/>
    <w:rsid w:val="00F30EE9"/>
    <w:rsid w:val="00F312C2"/>
    <w:rsid w:val="00F31463"/>
    <w:rsid w:val="00F31494"/>
    <w:rsid w:val="00F315E1"/>
    <w:rsid w:val="00F317E5"/>
    <w:rsid w:val="00F31842"/>
    <w:rsid w:val="00F3190A"/>
    <w:rsid w:val="00F319B7"/>
    <w:rsid w:val="00F319CD"/>
    <w:rsid w:val="00F31C16"/>
    <w:rsid w:val="00F31C4F"/>
    <w:rsid w:val="00F31C6C"/>
    <w:rsid w:val="00F31D7F"/>
    <w:rsid w:val="00F32033"/>
    <w:rsid w:val="00F323FE"/>
    <w:rsid w:val="00F32839"/>
    <w:rsid w:val="00F32849"/>
    <w:rsid w:val="00F328A0"/>
    <w:rsid w:val="00F32B14"/>
    <w:rsid w:val="00F32BA2"/>
    <w:rsid w:val="00F32C39"/>
    <w:rsid w:val="00F32C96"/>
    <w:rsid w:val="00F32D6D"/>
    <w:rsid w:val="00F32DB8"/>
    <w:rsid w:val="00F32E11"/>
    <w:rsid w:val="00F32E38"/>
    <w:rsid w:val="00F330D4"/>
    <w:rsid w:val="00F331B4"/>
    <w:rsid w:val="00F3345C"/>
    <w:rsid w:val="00F3346D"/>
    <w:rsid w:val="00F33510"/>
    <w:rsid w:val="00F338BD"/>
    <w:rsid w:val="00F33972"/>
    <w:rsid w:val="00F33ACB"/>
    <w:rsid w:val="00F33C55"/>
    <w:rsid w:val="00F33CD9"/>
    <w:rsid w:val="00F33E6C"/>
    <w:rsid w:val="00F33F3B"/>
    <w:rsid w:val="00F33FC8"/>
    <w:rsid w:val="00F3428D"/>
    <w:rsid w:val="00F345D2"/>
    <w:rsid w:val="00F34712"/>
    <w:rsid w:val="00F34786"/>
    <w:rsid w:val="00F34879"/>
    <w:rsid w:val="00F34CA6"/>
    <w:rsid w:val="00F34D0D"/>
    <w:rsid w:val="00F34D0E"/>
    <w:rsid w:val="00F34F97"/>
    <w:rsid w:val="00F34FAB"/>
    <w:rsid w:val="00F34FB5"/>
    <w:rsid w:val="00F34FC7"/>
    <w:rsid w:val="00F35096"/>
    <w:rsid w:val="00F3514F"/>
    <w:rsid w:val="00F35860"/>
    <w:rsid w:val="00F35996"/>
    <w:rsid w:val="00F35A76"/>
    <w:rsid w:val="00F35A7B"/>
    <w:rsid w:val="00F35AA0"/>
    <w:rsid w:val="00F35DD7"/>
    <w:rsid w:val="00F36222"/>
    <w:rsid w:val="00F362AD"/>
    <w:rsid w:val="00F364F8"/>
    <w:rsid w:val="00F368F1"/>
    <w:rsid w:val="00F36912"/>
    <w:rsid w:val="00F369F0"/>
    <w:rsid w:val="00F36CEA"/>
    <w:rsid w:val="00F36F0D"/>
    <w:rsid w:val="00F37026"/>
    <w:rsid w:val="00F373E4"/>
    <w:rsid w:val="00F373FE"/>
    <w:rsid w:val="00F374D5"/>
    <w:rsid w:val="00F3773B"/>
    <w:rsid w:val="00F37799"/>
    <w:rsid w:val="00F377D2"/>
    <w:rsid w:val="00F377D5"/>
    <w:rsid w:val="00F3783B"/>
    <w:rsid w:val="00F378D7"/>
    <w:rsid w:val="00F3793B"/>
    <w:rsid w:val="00F37A10"/>
    <w:rsid w:val="00F37A29"/>
    <w:rsid w:val="00F37AFA"/>
    <w:rsid w:val="00F37B94"/>
    <w:rsid w:val="00F37BDB"/>
    <w:rsid w:val="00F37C0A"/>
    <w:rsid w:val="00F37C4B"/>
    <w:rsid w:val="00F4012A"/>
    <w:rsid w:val="00F40169"/>
    <w:rsid w:val="00F4021D"/>
    <w:rsid w:val="00F40243"/>
    <w:rsid w:val="00F4034C"/>
    <w:rsid w:val="00F40552"/>
    <w:rsid w:val="00F40837"/>
    <w:rsid w:val="00F40CB0"/>
    <w:rsid w:val="00F40E58"/>
    <w:rsid w:val="00F40FA7"/>
    <w:rsid w:val="00F41016"/>
    <w:rsid w:val="00F411FF"/>
    <w:rsid w:val="00F41218"/>
    <w:rsid w:val="00F413C2"/>
    <w:rsid w:val="00F41780"/>
    <w:rsid w:val="00F417B9"/>
    <w:rsid w:val="00F41AF4"/>
    <w:rsid w:val="00F41CFC"/>
    <w:rsid w:val="00F4228D"/>
    <w:rsid w:val="00F422FA"/>
    <w:rsid w:val="00F425FC"/>
    <w:rsid w:val="00F42738"/>
    <w:rsid w:val="00F42A4E"/>
    <w:rsid w:val="00F42AB1"/>
    <w:rsid w:val="00F42B9A"/>
    <w:rsid w:val="00F42BCB"/>
    <w:rsid w:val="00F43015"/>
    <w:rsid w:val="00F43017"/>
    <w:rsid w:val="00F43032"/>
    <w:rsid w:val="00F430A4"/>
    <w:rsid w:val="00F430AB"/>
    <w:rsid w:val="00F43184"/>
    <w:rsid w:val="00F43243"/>
    <w:rsid w:val="00F43484"/>
    <w:rsid w:val="00F4364D"/>
    <w:rsid w:val="00F438BA"/>
    <w:rsid w:val="00F4392D"/>
    <w:rsid w:val="00F43D7B"/>
    <w:rsid w:val="00F43DE3"/>
    <w:rsid w:val="00F44165"/>
    <w:rsid w:val="00F441F4"/>
    <w:rsid w:val="00F44765"/>
    <w:rsid w:val="00F44A21"/>
    <w:rsid w:val="00F44A95"/>
    <w:rsid w:val="00F44AB2"/>
    <w:rsid w:val="00F44DF0"/>
    <w:rsid w:val="00F44E04"/>
    <w:rsid w:val="00F44E6C"/>
    <w:rsid w:val="00F451FF"/>
    <w:rsid w:val="00F45458"/>
    <w:rsid w:val="00F45528"/>
    <w:rsid w:val="00F45562"/>
    <w:rsid w:val="00F45654"/>
    <w:rsid w:val="00F457B8"/>
    <w:rsid w:val="00F45A82"/>
    <w:rsid w:val="00F45B24"/>
    <w:rsid w:val="00F45C9B"/>
    <w:rsid w:val="00F45C9E"/>
    <w:rsid w:val="00F46002"/>
    <w:rsid w:val="00F46224"/>
    <w:rsid w:val="00F46653"/>
    <w:rsid w:val="00F46B7D"/>
    <w:rsid w:val="00F46FF5"/>
    <w:rsid w:val="00F4762F"/>
    <w:rsid w:val="00F47848"/>
    <w:rsid w:val="00F47963"/>
    <w:rsid w:val="00F47A3D"/>
    <w:rsid w:val="00F47E81"/>
    <w:rsid w:val="00F5014A"/>
    <w:rsid w:val="00F50483"/>
    <w:rsid w:val="00F50731"/>
    <w:rsid w:val="00F509CE"/>
    <w:rsid w:val="00F509F2"/>
    <w:rsid w:val="00F50A11"/>
    <w:rsid w:val="00F50C3B"/>
    <w:rsid w:val="00F50CA2"/>
    <w:rsid w:val="00F50CC0"/>
    <w:rsid w:val="00F50D9D"/>
    <w:rsid w:val="00F50EA8"/>
    <w:rsid w:val="00F51009"/>
    <w:rsid w:val="00F511FC"/>
    <w:rsid w:val="00F513AC"/>
    <w:rsid w:val="00F514B7"/>
    <w:rsid w:val="00F51BF7"/>
    <w:rsid w:val="00F51DA1"/>
    <w:rsid w:val="00F51DF2"/>
    <w:rsid w:val="00F51DF5"/>
    <w:rsid w:val="00F51E5E"/>
    <w:rsid w:val="00F520C0"/>
    <w:rsid w:val="00F52AEF"/>
    <w:rsid w:val="00F52B57"/>
    <w:rsid w:val="00F52C95"/>
    <w:rsid w:val="00F52E66"/>
    <w:rsid w:val="00F53288"/>
    <w:rsid w:val="00F5335D"/>
    <w:rsid w:val="00F53485"/>
    <w:rsid w:val="00F53564"/>
    <w:rsid w:val="00F5365F"/>
    <w:rsid w:val="00F53889"/>
    <w:rsid w:val="00F539CB"/>
    <w:rsid w:val="00F53A27"/>
    <w:rsid w:val="00F53B28"/>
    <w:rsid w:val="00F53CC8"/>
    <w:rsid w:val="00F53D8A"/>
    <w:rsid w:val="00F53EC8"/>
    <w:rsid w:val="00F5424D"/>
    <w:rsid w:val="00F542F4"/>
    <w:rsid w:val="00F5442D"/>
    <w:rsid w:val="00F54487"/>
    <w:rsid w:val="00F545FF"/>
    <w:rsid w:val="00F547E1"/>
    <w:rsid w:val="00F54931"/>
    <w:rsid w:val="00F54F8A"/>
    <w:rsid w:val="00F55057"/>
    <w:rsid w:val="00F550BF"/>
    <w:rsid w:val="00F55568"/>
    <w:rsid w:val="00F559FC"/>
    <w:rsid w:val="00F55A42"/>
    <w:rsid w:val="00F55C04"/>
    <w:rsid w:val="00F55C5D"/>
    <w:rsid w:val="00F55D62"/>
    <w:rsid w:val="00F55F58"/>
    <w:rsid w:val="00F56151"/>
    <w:rsid w:val="00F563B4"/>
    <w:rsid w:val="00F563DC"/>
    <w:rsid w:val="00F5676D"/>
    <w:rsid w:val="00F56831"/>
    <w:rsid w:val="00F56858"/>
    <w:rsid w:val="00F56A9D"/>
    <w:rsid w:val="00F56AC3"/>
    <w:rsid w:val="00F56CB4"/>
    <w:rsid w:val="00F56E27"/>
    <w:rsid w:val="00F5719F"/>
    <w:rsid w:val="00F5740D"/>
    <w:rsid w:val="00F57460"/>
    <w:rsid w:val="00F57829"/>
    <w:rsid w:val="00F57A65"/>
    <w:rsid w:val="00F57B68"/>
    <w:rsid w:val="00F57CC0"/>
    <w:rsid w:val="00F57D6C"/>
    <w:rsid w:val="00F60079"/>
    <w:rsid w:val="00F6011C"/>
    <w:rsid w:val="00F604E5"/>
    <w:rsid w:val="00F606D3"/>
    <w:rsid w:val="00F609D2"/>
    <w:rsid w:val="00F60A00"/>
    <w:rsid w:val="00F60A6C"/>
    <w:rsid w:val="00F60AB6"/>
    <w:rsid w:val="00F60B84"/>
    <w:rsid w:val="00F60BF0"/>
    <w:rsid w:val="00F60BF5"/>
    <w:rsid w:val="00F60D6B"/>
    <w:rsid w:val="00F6133C"/>
    <w:rsid w:val="00F613C0"/>
    <w:rsid w:val="00F61834"/>
    <w:rsid w:val="00F61989"/>
    <w:rsid w:val="00F619FF"/>
    <w:rsid w:val="00F61A41"/>
    <w:rsid w:val="00F61AC2"/>
    <w:rsid w:val="00F61C8E"/>
    <w:rsid w:val="00F61F50"/>
    <w:rsid w:val="00F61FCC"/>
    <w:rsid w:val="00F6205B"/>
    <w:rsid w:val="00F62446"/>
    <w:rsid w:val="00F62849"/>
    <w:rsid w:val="00F629E7"/>
    <w:rsid w:val="00F62B0A"/>
    <w:rsid w:val="00F62BC5"/>
    <w:rsid w:val="00F62F5B"/>
    <w:rsid w:val="00F62F86"/>
    <w:rsid w:val="00F632C7"/>
    <w:rsid w:val="00F63346"/>
    <w:rsid w:val="00F63398"/>
    <w:rsid w:val="00F636D4"/>
    <w:rsid w:val="00F63A89"/>
    <w:rsid w:val="00F63BCA"/>
    <w:rsid w:val="00F63CD0"/>
    <w:rsid w:val="00F642FD"/>
    <w:rsid w:val="00F64365"/>
    <w:rsid w:val="00F64524"/>
    <w:rsid w:val="00F64D1F"/>
    <w:rsid w:val="00F64D74"/>
    <w:rsid w:val="00F64F47"/>
    <w:rsid w:val="00F65007"/>
    <w:rsid w:val="00F6504F"/>
    <w:rsid w:val="00F6537E"/>
    <w:rsid w:val="00F65600"/>
    <w:rsid w:val="00F65950"/>
    <w:rsid w:val="00F65A14"/>
    <w:rsid w:val="00F65A27"/>
    <w:rsid w:val="00F65A9D"/>
    <w:rsid w:val="00F65B29"/>
    <w:rsid w:val="00F65B33"/>
    <w:rsid w:val="00F65C25"/>
    <w:rsid w:val="00F65C75"/>
    <w:rsid w:val="00F65E73"/>
    <w:rsid w:val="00F6603E"/>
    <w:rsid w:val="00F660A8"/>
    <w:rsid w:val="00F6645A"/>
    <w:rsid w:val="00F6666A"/>
    <w:rsid w:val="00F66723"/>
    <w:rsid w:val="00F66D8B"/>
    <w:rsid w:val="00F672CB"/>
    <w:rsid w:val="00F6743E"/>
    <w:rsid w:val="00F6746A"/>
    <w:rsid w:val="00F677B7"/>
    <w:rsid w:val="00F677FA"/>
    <w:rsid w:val="00F67A89"/>
    <w:rsid w:val="00F67B26"/>
    <w:rsid w:val="00F67EFB"/>
    <w:rsid w:val="00F67FAC"/>
    <w:rsid w:val="00F7051A"/>
    <w:rsid w:val="00F70704"/>
    <w:rsid w:val="00F70774"/>
    <w:rsid w:val="00F70C8A"/>
    <w:rsid w:val="00F70FDC"/>
    <w:rsid w:val="00F71228"/>
    <w:rsid w:val="00F71869"/>
    <w:rsid w:val="00F718E6"/>
    <w:rsid w:val="00F71C6F"/>
    <w:rsid w:val="00F71EBD"/>
    <w:rsid w:val="00F71ECC"/>
    <w:rsid w:val="00F71F49"/>
    <w:rsid w:val="00F71F9E"/>
    <w:rsid w:val="00F71FF2"/>
    <w:rsid w:val="00F71FF4"/>
    <w:rsid w:val="00F72329"/>
    <w:rsid w:val="00F72907"/>
    <w:rsid w:val="00F729E7"/>
    <w:rsid w:val="00F72ABF"/>
    <w:rsid w:val="00F72E18"/>
    <w:rsid w:val="00F73527"/>
    <w:rsid w:val="00F73563"/>
    <w:rsid w:val="00F73948"/>
    <w:rsid w:val="00F73AC5"/>
    <w:rsid w:val="00F73B0B"/>
    <w:rsid w:val="00F73B6A"/>
    <w:rsid w:val="00F73C47"/>
    <w:rsid w:val="00F73D6A"/>
    <w:rsid w:val="00F74A0E"/>
    <w:rsid w:val="00F74DD7"/>
    <w:rsid w:val="00F74F50"/>
    <w:rsid w:val="00F74FA5"/>
    <w:rsid w:val="00F756B9"/>
    <w:rsid w:val="00F75C69"/>
    <w:rsid w:val="00F75D1B"/>
    <w:rsid w:val="00F76349"/>
    <w:rsid w:val="00F764B5"/>
    <w:rsid w:val="00F764EA"/>
    <w:rsid w:val="00F76916"/>
    <w:rsid w:val="00F76B54"/>
    <w:rsid w:val="00F76B80"/>
    <w:rsid w:val="00F76F57"/>
    <w:rsid w:val="00F76FE2"/>
    <w:rsid w:val="00F7731E"/>
    <w:rsid w:val="00F776A0"/>
    <w:rsid w:val="00F77718"/>
    <w:rsid w:val="00F77A68"/>
    <w:rsid w:val="00F77BA0"/>
    <w:rsid w:val="00F77D91"/>
    <w:rsid w:val="00F77F28"/>
    <w:rsid w:val="00F800A9"/>
    <w:rsid w:val="00F8010D"/>
    <w:rsid w:val="00F80513"/>
    <w:rsid w:val="00F809D0"/>
    <w:rsid w:val="00F80CD8"/>
    <w:rsid w:val="00F80FB7"/>
    <w:rsid w:val="00F810BE"/>
    <w:rsid w:val="00F81238"/>
    <w:rsid w:val="00F8139C"/>
    <w:rsid w:val="00F81640"/>
    <w:rsid w:val="00F8176F"/>
    <w:rsid w:val="00F8179E"/>
    <w:rsid w:val="00F81916"/>
    <w:rsid w:val="00F819DB"/>
    <w:rsid w:val="00F81D0F"/>
    <w:rsid w:val="00F821FE"/>
    <w:rsid w:val="00F8222C"/>
    <w:rsid w:val="00F82497"/>
    <w:rsid w:val="00F82541"/>
    <w:rsid w:val="00F82872"/>
    <w:rsid w:val="00F82D7F"/>
    <w:rsid w:val="00F82E18"/>
    <w:rsid w:val="00F831BD"/>
    <w:rsid w:val="00F83276"/>
    <w:rsid w:val="00F83377"/>
    <w:rsid w:val="00F83656"/>
    <w:rsid w:val="00F83717"/>
    <w:rsid w:val="00F83811"/>
    <w:rsid w:val="00F83C13"/>
    <w:rsid w:val="00F83DAD"/>
    <w:rsid w:val="00F841D6"/>
    <w:rsid w:val="00F8495C"/>
    <w:rsid w:val="00F84B09"/>
    <w:rsid w:val="00F84F0E"/>
    <w:rsid w:val="00F84F9D"/>
    <w:rsid w:val="00F85182"/>
    <w:rsid w:val="00F85209"/>
    <w:rsid w:val="00F85697"/>
    <w:rsid w:val="00F8569B"/>
    <w:rsid w:val="00F856D8"/>
    <w:rsid w:val="00F85731"/>
    <w:rsid w:val="00F85801"/>
    <w:rsid w:val="00F85A48"/>
    <w:rsid w:val="00F85B4D"/>
    <w:rsid w:val="00F85CF0"/>
    <w:rsid w:val="00F85D16"/>
    <w:rsid w:val="00F85D96"/>
    <w:rsid w:val="00F861F5"/>
    <w:rsid w:val="00F866FB"/>
    <w:rsid w:val="00F8677A"/>
    <w:rsid w:val="00F8679F"/>
    <w:rsid w:val="00F867B8"/>
    <w:rsid w:val="00F8683A"/>
    <w:rsid w:val="00F86913"/>
    <w:rsid w:val="00F86D51"/>
    <w:rsid w:val="00F86D6D"/>
    <w:rsid w:val="00F8720A"/>
    <w:rsid w:val="00F8723D"/>
    <w:rsid w:val="00F87382"/>
    <w:rsid w:val="00F874A5"/>
    <w:rsid w:val="00F8750A"/>
    <w:rsid w:val="00F8757E"/>
    <w:rsid w:val="00F875CD"/>
    <w:rsid w:val="00F876C2"/>
    <w:rsid w:val="00F8798B"/>
    <w:rsid w:val="00F87D21"/>
    <w:rsid w:val="00F87D8A"/>
    <w:rsid w:val="00F9026F"/>
    <w:rsid w:val="00F902DE"/>
    <w:rsid w:val="00F90348"/>
    <w:rsid w:val="00F9063B"/>
    <w:rsid w:val="00F90934"/>
    <w:rsid w:val="00F90DE5"/>
    <w:rsid w:val="00F91282"/>
    <w:rsid w:val="00F91513"/>
    <w:rsid w:val="00F915FD"/>
    <w:rsid w:val="00F917D7"/>
    <w:rsid w:val="00F91839"/>
    <w:rsid w:val="00F91D08"/>
    <w:rsid w:val="00F91E74"/>
    <w:rsid w:val="00F92082"/>
    <w:rsid w:val="00F9247E"/>
    <w:rsid w:val="00F92855"/>
    <w:rsid w:val="00F928C5"/>
    <w:rsid w:val="00F92BEF"/>
    <w:rsid w:val="00F92D92"/>
    <w:rsid w:val="00F93195"/>
    <w:rsid w:val="00F93288"/>
    <w:rsid w:val="00F933CA"/>
    <w:rsid w:val="00F93449"/>
    <w:rsid w:val="00F93CCF"/>
    <w:rsid w:val="00F9403F"/>
    <w:rsid w:val="00F940C3"/>
    <w:rsid w:val="00F94853"/>
    <w:rsid w:val="00F94DB8"/>
    <w:rsid w:val="00F95087"/>
    <w:rsid w:val="00F95106"/>
    <w:rsid w:val="00F95343"/>
    <w:rsid w:val="00F954F6"/>
    <w:rsid w:val="00F95518"/>
    <w:rsid w:val="00F95623"/>
    <w:rsid w:val="00F957AD"/>
    <w:rsid w:val="00F95F6D"/>
    <w:rsid w:val="00F95F73"/>
    <w:rsid w:val="00F96083"/>
    <w:rsid w:val="00F96185"/>
    <w:rsid w:val="00F96468"/>
    <w:rsid w:val="00F96506"/>
    <w:rsid w:val="00F966CB"/>
    <w:rsid w:val="00F9677C"/>
    <w:rsid w:val="00F96967"/>
    <w:rsid w:val="00F96AD2"/>
    <w:rsid w:val="00F96D44"/>
    <w:rsid w:val="00F96F1E"/>
    <w:rsid w:val="00F96F8B"/>
    <w:rsid w:val="00F96FA9"/>
    <w:rsid w:val="00F96FB3"/>
    <w:rsid w:val="00F96FFC"/>
    <w:rsid w:val="00F9708F"/>
    <w:rsid w:val="00F97096"/>
    <w:rsid w:val="00F970F5"/>
    <w:rsid w:val="00F97432"/>
    <w:rsid w:val="00F974C6"/>
    <w:rsid w:val="00F976DB"/>
    <w:rsid w:val="00F97824"/>
    <w:rsid w:val="00F97A93"/>
    <w:rsid w:val="00F97B5A"/>
    <w:rsid w:val="00F97CE0"/>
    <w:rsid w:val="00FA0265"/>
    <w:rsid w:val="00FA028B"/>
    <w:rsid w:val="00FA041E"/>
    <w:rsid w:val="00FA048A"/>
    <w:rsid w:val="00FA07C2"/>
    <w:rsid w:val="00FA08F5"/>
    <w:rsid w:val="00FA0956"/>
    <w:rsid w:val="00FA0960"/>
    <w:rsid w:val="00FA0CB3"/>
    <w:rsid w:val="00FA0D25"/>
    <w:rsid w:val="00FA0FB6"/>
    <w:rsid w:val="00FA10FA"/>
    <w:rsid w:val="00FA160D"/>
    <w:rsid w:val="00FA1683"/>
    <w:rsid w:val="00FA177E"/>
    <w:rsid w:val="00FA1BBE"/>
    <w:rsid w:val="00FA1C49"/>
    <w:rsid w:val="00FA1C73"/>
    <w:rsid w:val="00FA1DDE"/>
    <w:rsid w:val="00FA1EC8"/>
    <w:rsid w:val="00FA22C9"/>
    <w:rsid w:val="00FA22EB"/>
    <w:rsid w:val="00FA2391"/>
    <w:rsid w:val="00FA23FC"/>
    <w:rsid w:val="00FA2480"/>
    <w:rsid w:val="00FA27E6"/>
    <w:rsid w:val="00FA2827"/>
    <w:rsid w:val="00FA2AA4"/>
    <w:rsid w:val="00FA30FB"/>
    <w:rsid w:val="00FA3282"/>
    <w:rsid w:val="00FA328E"/>
    <w:rsid w:val="00FA3851"/>
    <w:rsid w:val="00FA3A77"/>
    <w:rsid w:val="00FA3C8E"/>
    <w:rsid w:val="00FA3D81"/>
    <w:rsid w:val="00FA3EB5"/>
    <w:rsid w:val="00FA4849"/>
    <w:rsid w:val="00FA4A7E"/>
    <w:rsid w:val="00FA4B32"/>
    <w:rsid w:val="00FA4B86"/>
    <w:rsid w:val="00FA4E84"/>
    <w:rsid w:val="00FA4F5F"/>
    <w:rsid w:val="00FA4FC0"/>
    <w:rsid w:val="00FA513E"/>
    <w:rsid w:val="00FA554C"/>
    <w:rsid w:val="00FA56AE"/>
    <w:rsid w:val="00FA586D"/>
    <w:rsid w:val="00FA58EE"/>
    <w:rsid w:val="00FA592A"/>
    <w:rsid w:val="00FA5CEB"/>
    <w:rsid w:val="00FA5E2B"/>
    <w:rsid w:val="00FA614C"/>
    <w:rsid w:val="00FA6216"/>
    <w:rsid w:val="00FA6495"/>
    <w:rsid w:val="00FA64CC"/>
    <w:rsid w:val="00FA692B"/>
    <w:rsid w:val="00FA6A24"/>
    <w:rsid w:val="00FA6F0C"/>
    <w:rsid w:val="00FA7503"/>
    <w:rsid w:val="00FA753A"/>
    <w:rsid w:val="00FA7665"/>
    <w:rsid w:val="00FA76F0"/>
    <w:rsid w:val="00FA7A23"/>
    <w:rsid w:val="00FA7B42"/>
    <w:rsid w:val="00FA7D35"/>
    <w:rsid w:val="00FA7D7F"/>
    <w:rsid w:val="00FA7F14"/>
    <w:rsid w:val="00FA7FC7"/>
    <w:rsid w:val="00FB0002"/>
    <w:rsid w:val="00FB01ED"/>
    <w:rsid w:val="00FB025B"/>
    <w:rsid w:val="00FB0271"/>
    <w:rsid w:val="00FB0812"/>
    <w:rsid w:val="00FB08A6"/>
    <w:rsid w:val="00FB08D3"/>
    <w:rsid w:val="00FB0967"/>
    <w:rsid w:val="00FB09C4"/>
    <w:rsid w:val="00FB0CC9"/>
    <w:rsid w:val="00FB0CD8"/>
    <w:rsid w:val="00FB0E0A"/>
    <w:rsid w:val="00FB1450"/>
    <w:rsid w:val="00FB171F"/>
    <w:rsid w:val="00FB173E"/>
    <w:rsid w:val="00FB17EE"/>
    <w:rsid w:val="00FB1E8D"/>
    <w:rsid w:val="00FB1ECB"/>
    <w:rsid w:val="00FB2315"/>
    <w:rsid w:val="00FB2399"/>
    <w:rsid w:val="00FB2789"/>
    <w:rsid w:val="00FB296B"/>
    <w:rsid w:val="00FB2A99"/>
    <w:rsid w:val="00FB2AE5"/>
    <w:rsid w:val="00FB2C5F"/>
    <w:rsid w:val="00FB2D2D"/>
    <w:rsid w:val="00FB30A8"/>
    <w:rsid w:val="00FB3328"/>
    <w:rsid w:val="00FB339A"/>
    <w:rsid w:val="00FB380D"/>
    <w:rsid w:val="00FB38D3"/>
    <w:rsid w:val="00FB3A50"/>
    <w:rsid w:val="00FB3A80"/>
    <w:rsid w:val="00FB3BC4"/>
    <w:rsid w:val="00FB3CC5"/>
    <w:rsid w:val="00FB4008"/>
    <w:rsid w:val="00FB4056"/>
    <w:rsid w:val="00FB4178"/>
    <w:rsid w:val="00FB4183"/>
    <w:rsid w:val="00FB41B9"/>
    <w:rsid w:val="00FB41E7"/>
    <w:rsid w:val="00FB42CD"/>
    <w:rsid w:val="00FB4603"/>
    <w:rsid w:val="00FB49B8"/>
    <w:rsid w:val="00FB4C90"/>
    <w:rsid w:val="00FB4F82"/>
    <w:rsid w:val="00FB503B"/>
    <w:rsid w:val="00FB5221"/>
    <w:rsid w:val="00FB5265"/>
    <w:rsid w:val="00FB56AC"/>
    <w:rsid w:val="00FB56FA"/>
    <w:rsid w:val="00FB5701"/>
    <w:rsid w:val="00FB582E"/>
    <w:rsid w:val="00FB593D"/>
    <w:rsid w:val="00FB5A46"/>
    <w:rsid w:val="00FB5C63"/>
    <w:rsid w:val="00FB5EB8"/>
    <w:rsid w:val="00FB62D6"/>
    <w:rsid w:val="00FB6361"/>
    <w:rsid w:val="00FB646E"/>
    <w:rsid w:val="00FB6518"/>
    <w:rsid w:val="00FB66B2"/>
    <w:rsid w:val="00FB6B6C"/>
    <w:rsid w:val="00FB7290"/>
    <w:rsid w:val="00FB7F71"/>
    <w:rsid w:val="00FC0167"/>
    <w:rsid w:val="00FC042F"/>
    <w:rsid w:val="00FC068A"/>
    <w:rsid w:val="00FC06ED"/>
    <w:rsid w:val="00FC08E1"/>
    <w:rsid w:val="00FC095E"/>
    <w:rsid w:val="00FC0BB4"/>
    <w:rsid w:val="00FC1005"/>
    <w:rsid w:val="00FC12BA"/>
    <w:rsid w:val="00FC1962"/>
    <w:rsid w:val="00FC1BCC"/>
    <w:rsid w:val="00FC1DAC"/>
    <w:rsid w:val="00FC1EF5"/>
    <w:rsid w:val="00FC22D7"/>
    <w:rsid w:val="00FC2497"/>
    <w:rsid w:val="00FC271F"/>
    <w:rsid w:val="00FC297D"/>
    <w:rsid w:val="00FC29F4"/>
    <w:rsid w:val="00FC2F42"/>
    <w:rsid w:val="00FC3024"/>
    <w:rsid w:val="00FC3571"/>
    <w:rsid w:val="00FC39B5"/>
    <w:rsid w:val="00FC3EEB"/>
    <w:rsid w:val="00FC3F43"/>
    <w:rsid w:val="00FC413F"/>
    <w:rsid w:val="00FC4246"/>
    <w:rsid w:val="00FC442B"/>
    <w:rsid w:val="00FC469B"/>
    <w:rsid w:val="00FC47C3"/>
    <w:rsid w:val="00FC48BE"/>
    <w:rsid w:val="00FC4BF2"/>
    <w:rsid w:val="00FC54F8"/>
    <w:rsid w:val="00FC55AF"/>
    <w:rsid w:val="00FC57A6"/>
    <w:rsid w:val="00FC5B7A"/>
    <w:rsid w:val="00FC5E3D"/>
    <w:rsid w:val="00FC61FA"/>
    <w:rsid w:val="00FC63B5"/>
    <w:rsid w:val="00FC63F2"/>
    <w:rsid w:val="00FC6525"/>
    <w:rsid w:val="00FC6534"/>
    <w:rsid w:val="00FC65D3"/>
    <w:rsid w:val="00FC66AE"/>
    <w:rsid w:val="00FC6FEF"/>
    <w:rsid w:val="00FC7016"/>
    <w:rsid w:val="00FC7139"/>
    <w:rsid w:val="00FC71CF"/>
    <w:rsid w:val="00FC71FB"/>
    <w:rsid w:val="00FC73D0"/>
    <w:rsid w:val="00FC7685"/>
    <w:rsid w:val="00FC7C4B"/>
    <w:rsid w:val="00FC7D33"/>
    <w:rsid w:val="00FC7DBC"/>
    <w:rsid w:val="00FC7F3F"/>
    <w:rsid w:val="00FC7FE5"/>
    <w:rsid w:val="00FD0173"/>
    <w:rsid w:val="00FD0865"/>
    <w:rsid w:val="00FD0AFC"/>
    <w:rsid w:val="00FD0F20"/>
    <w:rsid w:val="00FD1136"/>
    <w:rsid w:val="00FD135B"/>
    <w:rsid w:val="00FD1688"/>
    <w:rsid w:val="00FD1770"/>
    <w:rsid w:val="00FD19C5"/>
    <w:rsid w:val="00FD1A1A"/>
    <w:rsid w:val="00FD1AE4"/>
    <w:rsid w:val="00FD1C46"/>
    <w:rsid w:val="00FD1DEB"/>
    <w:rsid w:val="00FD2591"/>
    <w:rsid w:val="00FD2707"/>
    <w:rsid w:val="00FD2840"/>
    <w:rsid w:val="00FD28AA"/>
    <w:rsid w:val="00FD29A3"/>
    <w:rsid w:val="00FD2A5B"/>
    <w:rsid w:val="00FD2D41"/>
    <w:rsid w:val="00FD2E71"/>
    <w:rsid w:val="00FD2EFE"/>
    <w:rsid w:val="00FD2F60"/>
    <w:rsid w:val="00FD307E"/>
    <w:rsid w:val="00FD3190"/>
    <w:rsid w:val="00FD31C7"/>
    <w:rsid w:val="00FD343C"/>
    <w:rsid w:val="00FD352A"/>
    <w:rsid w:val="00FD38B9"/>
    <w:rsid w:val="00FD4013"/>
    <w:rsid w:val="00FD4223"/>
    <w:rsid w:val="00FD43FC"/>
    <w:rsid w:val="00FD43FE"/>
    <w:rsid w:val="00FD4462"/>
    <w:rsid w:val="00FD469F"/>
    <w:rsid w:val="00FD46F0"/>
    <w:rsid w:val="00FD48A4"/>
    <w:rsid w:val="00FD48F9"/>
    <w:rsid w:val="00FD4A1F"/>
    <w:rsid w:val="00FD4D44"/>
    <w:rsid w:val="00FD4E21"/>
    <w:rsid w:val="00FD54D4"/>
    <w:rsid w:val="00FD5501"/>
    <w:rsid w:val="00FD5584"/>
    <w:rsid w:val="00FD56B1"/>
    <w:rsid w:val="00FD579A"/>
    <w:rsid w:val="00FD58B8"/>
    <w:rsid w:val="00FD59A4"/>
    <w:rsid w:val="00FD5A47"/>
    <w:rsid w:val="00FD6306"/>
    <w:rsid w:val="00FD65B0"/>
    <w:rsid w:val="00FD65FA"/>
    <w:rsid w:val="00FD68E7"/>
    <w:rsid w:val="00FD6931"/>
    <w:rsid w:val="00FD6E0C"/>
    <w:rsid w:val="00FD6EFF"/>
    <w:rsid w:val="00FD70D3"/>
    <w:rsid w:val="00FD75FE"/>
    <w:rsid w:val="00FD7638"/>
    <w:rsid w:val="00FD7787"/>
    <w:rsid w:val="00FE015F"/>
    <w:rsid w:val="00FE02CE"/>
    <w:rsid w:val="00FE0331"/>
    <w:rsid w:val="00FE03EE"/>
    <w:rsid w:val="00FE04C0"/>
    <w:rsid w:val="00FE089F"/>
    <w:rsid w:val="00FE0A04"/>
    <w:rsid w:val="00FE0A21"/>
    <w:rsid w:val="00FE0FFA"/>
    <w:rsid w:val="00FE12E5"/>
    <w:rsid w:val="00FE14E2"/>
    <w:rsid w:val="00FE14F0"/>
    <w:rsid w:val="00FE1856"/>
    <w:rsid w:val="00FE196A"/>
    <w:rsid w:val="00FE1B4B"/>
    <w:rsid w:val="00FE1B9B"/>
    <w:rsid w:val="00FE20A9"/>
    <w:rsid w:val="00FE20F8"/>
    <w:rsid w:val="00FE217F"/>
    <w:rsid w:val="00FE2380"/>
    <w:rsid w:val="00FE23D7"/>
    <w:rsid w:val="00FE23EE"/>
    <w:rsid w:val="00FE256C"/>
    <w:rsid w:val="00FE2732"/>
    <w:rsid w:val="00FE2DA7"/>
    <w:rsid w:val="00FE3616"/>
    <w:rsid w:val="00FE3830"/>
    <w:rsid w:val="00FE386A"/>
    <w:rsid w:val="00FE3A43"/>
    <w:rsid w:val="00FE3AA3"/>
    <w:rsid w:val="00FE40FB"/>
    <w:rsid w:val="00FE40FE"/>
    <w:rsid w:val="00FE41E4"/>
    <w:rsid w:val="00FE4236"/>
    <w:rsid w:val="00FE43A5"/>
    <w:rsid w:val="00FE4499"/>
    <w:rsid w:val="00FE450E"/>
    <w:rsid w:val="00FE458A"/>
    <w:rsid w:val="00FE471F"/>
    <w:rsid w:val="00FE495F"/>
    <w:rsid w:val="00FE4C06"/>
    <w:rsid w:val="00FE4CA1"/>
    <w:rsid w:val="00FE4DF9"/>
    <w:rsid w:val="00FE4F23"/>
    <w:rsid w:val="00FE5099"/>
    <w:rsid w:val="00FE5551"/>
    <w:rsid w:val="00FE5658"/>
    <w:rsid w:val="00FE577C"/>
    <w:rsid w:val="00FE5A3A"/>
    <w:rsid w:val="00FE5CDD"/>
    <w:rsid w:val="00FE6149"/>
    <w:rsid w:val="00FE629A"/>
    <w:rsid w:val="00FE65B3"/>
    <w:rsid w:val="00FE6785"/>
    <w:rsid w:val="00FE67AE"/>
    <w:rsid w:val="00FE681C"/>
    <w:rsid w:val="00FE68C8"/>
    <w:rsid w:val="00FE68ED"/>
    <w:rsid w:val="00FE6C06"/>
    <w:rsid w:val="00FE6C65"/>
    <w:rsid w:val="00FE6C8C"/>
    <w:rsid w:val="00FE78B2"/>
    <w:rsid w:val="00FE7A9B"/>
    <w:rsid w:val="00FE7C89"/>
    <w:rsid w:val="00FE7D8A"/>
    <w:rsid w:val="00FE7E06"/>
    <w:rsid w:val="00FE7EBF"/>
    <w:rsid w:val="00FF0191"/>
    <w:rsid w:val="00FF0334"/>
    <w:rsid w:val="00FF04BE"/>
    <w:rsid w:val="00FF0525"/>
    <w:rsid w:val="00FF093F"/>
    <w:rsid w:val="00FF0985"/>
    <w:rsid w:val="00FF0AC7"/>
    <w:rsid w:val="00FF0BF8"/>
    <w:rsid w:val="00FF0CC5"/>
    <w:rsid w:val="00FF0CF7"/>
    <w:rsid w:val="00FF0D5E"/>
    <w:rsid w:val="00FF1140"/>
    <w:rsid w:val="00FF12A6"/>
    <w:rsid w:val="00FF1722"/>
    <w:rsid w:val="00FF17D1"/>
    <w:rsid w:val="00FF1815"/>
    <w:rsid w:val="00FF20DF"/>
    <w:rsid w:val="00FF233D"/>
    <w:rsid w:val="00FF251B"/>
    <w:rsid w:val="00FF2810"/>
    <w:rsid w:val="00FF2BCA"/>
    <w:rsid w:val="00FF2FBF"/>
    <w:rsid w:val="00FF309E"/>
    <w:rsid w:val="00FF31BF"/>
    <w:rsid w:val="00FF349D"/>
    <w:rsid w:val="00FF35D7"/>
    <w:rsid w:val="00FF38A6"/>
    <w:rsid w:val="00FF39A3"/>
    <w:rsid w:val="00FF39FF"/>
    <w:rsid w:val="00FF3AB0"/>
    <w:rsid w:val="00FF40E8"/>
    <w:rsid w:val="00FF4501"/>
    <w:rsid w:val="00FF4A53"/>
    <w:rsid w:val="00FF4C3A"/>
    <w:rsid w:val="00FF4D09"/>
    <w:rsid w:val="00FF4DF2"/>
    <w:rsid w:val="00FF53A5"/>
    <w:rsid w:val="00FF53EF"/>
    <w:rsid w:val="00FF54EC"/>
    <w:rsid w:val="00FF5706"/>
    <w:rsid w:val="00FF580E"/>
    <w:rsid w:val="00FF5B8E"/>
    <w:rsid w:val="00FF5BE7"/>
    <w:rsid w:val="00FF5CCC"/>
    <w:rsid w:val="00FF5F69"/>
    <w:rsid w:val="00FF6128"/>
    <w:rsid w:val="00FF6466"/>
    <w:rsid w:val="00FF65FE"/>
    <w:rsid w:val="00FF6AD5"/>
    <w:rsid w:val="00FF6D72"/>
    <w:rsid w:val="00FF6FD5"/>
    <w:rsid w:val="00FF7017"/>
    <w:rsid w:val="00FF7035"/>
    <w:rsid w:val="00FF70A9"/>
    <w:rsid w:val="00FF7269"/>
    <w:rsid w:val="00FF727A"/>
    <w:rsid w:val="00FF73FE"/>
    <w:rsid w:val="00FF7717"/>
    <w:rsid w:val="00FF7E9D"/>
    <w:rsid w:val="00FF7EC8"/>
    <w:rsid w:val="0F360279"/>
    <w:rsid w:val="1D42A9AB"/>
    <w:rsid w:val="1F2F87FC"/>
    <w:rsid w:val="25C05639"/>
    <w:rsid w:val="2682E126"/>
    <w:rsid w:val="35331039"/>
    <w:rsid w:val="461C65EF"/>
    <w:rsid w:val="4C6F1AFC"/>
    <w:rsid w:val="59A02677"/>
    <w:rsid w:val="5B6B3B66"/>
    <w:rsid w:val="660590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81956"/>
  <w15:chartTrackingRefBased/>
  <w15:docId w15:val="{1E03203F-F4AB-48EE-B2AA-4FD316AD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5">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07"/>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2"/>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2"/>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2"/>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2"/>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3"/>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5117E0"/>
    <w:pPr>
      <w:numPr>
        <w:numId w:val="22"/>
      </w:numPr>
      <w:spacing w:before="60" w:after="60"/>
    </w:pPr>
    <w:rPr>
      <w:rFonts w:ascii="MS Gothic" w:hAnsi="MS Gothic"/>
      <w:sz w:val="17"/>
    </w:rPr>
  </w:style>
  <w:style w:type="paragraph" w:customStyle="1" w:styleId="TableNListnumbered">
    <w:name w:val="Table N List (numbered)"/>
    <w:basedOn w:val="TableNBullet"/>
    <w:uiPriority w:val="2"/>
    <w:qFormat/>
    <w:rsid w:val="005117E0"/>
    <w:pPr>
      <w:numPr>
        <w:numId w:val="10"/>
      </w:numPr>
    </w:pPr>
  </w:style>
  <w:style w:type="paragraph" w:customStyle="1" w:styleId="xAppendixLevel1">
    <w:name w:val="xAppendix Level 1"/>
    <w:basedOn w:val="Heading1"/>
    <w:next w:val="Normal"/>
    <w:uiPriority w:val="98"/>
    <w:qFormat/>
    <w:rsid w:val="00FD352A"/>
    <w:pPr>
      <w:numPr>
        <w:numId w:val="1"/>
      </w:numPr>
      <w:ind w:left="2693" w:hanging="2693"/>
    </w:pPr>
    <w:rPr>
      <w:bCs/>
      <w:sz w:val="44"/>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5B016D"/>
    <w:pPr>
      <w:ind w:left="340" w:hanging="340"/>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8"/>
      </w:numPr>
      <w:spacing w:before="60" w:after="60"/>
    </w:pPr>
    <w:rPr>
      <w:rFonts w:ascii="MS Gothic" w:hAnsi="MS Gothic"/>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9"/>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MS Gothic" w:eastAsia="Times New Roman" w:hAnsi="MS Gothic" w:cs="Times New Roman"/>
      <w:sz w:val="17"/>
      <w:szCs w:val="19"/>
      <w:lang w:val="en-AU" w:eastAsia="en-AU"/>
    </w:rPr>
  </w:style>
  <w:style w:type="table" w:styleId="TableGrid">
    <w:name w:val="Table Grid"/>
    <w:aliases w:val="Nous Table,Table,NOUS,NOUS Side Header"/>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light" w:hAnsi="Segoe UI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Semilight" w:hAnsi="Segoe UI Semilight"/>
        <w:sz w:val="17"/>
      </w:rPr>
    </w:tblStylePr>
    <w:tblStylePr w:type="band2Horz">
      <w:rPr>
        <w:rFonts w:ascii="Segoe UI Semilight" w:hAnsi="Segoe UI Semilight"/>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light" w:hAnsi="Segoe UI Semiligh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light" w:hAnsi="Segoe UI Semiligh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light" w:hAnsi="Segoe UI Semilight"/>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4"/>
      </w:numPr>
    </w:pPr>
    <w:rPr>
      <w:rFonts w:ascii="MS Gothic" w:hAnsi="MS Gothic"/>
    </w:rPr>
  </w:style>
  <w:style w:type="paragraph" w:customStyle="1" w:styleId="longformcalloutnumber">
    <w:name w:val="long form callout number"/>
    <w:basedOn w:val="longformcalloutbullet"/>
    <w:uiPriority w:val="20"/>
    <w:qFormat/>
    <w:rsid w:val="005F382F"/>
    <w:pPr>
      <w:numPr>
        <w:numId w:val="5"/>
      </w:numPr>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E92417"/>
    <w:pPr>
      <w:tabs>
        <w:tab w:val="left" w:pos="426"/>
        <w:tab w:val="left" w:pos="1134"/>
        <w:tab w:val="right" w:leader="dot" w:pos="8920"/>
      </w:tabs>
      <w:spacing w:after="100" w:line="240" w:lineRule="auto"/>
    </w:pPr>
    <w:rPr>
      <w:noProof/>
      <w:lang w:val="en-US"/>
    </w:rPr>
  </w:style>
  <w:style w:type="paragraph" w:customStyle="1" w:styleId="BioQualifications">
    <w:name w:val="Bio Qualifications"/>
    <w:basedOn w:val="Normal"/>
    <w:uiPriority w:val="97"/>
    <w:qFormat/>
    <w:rsid w:val="00625270"/>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6"/>
      </w:numPr>
      <w:spacing w:before="60"/>
    </w:pPr>
  </w:style>
  <w:style w:type="paragraph" w:customStyle="1" w:styleId="intoductionbullet">
    <w:name w:val="intoduction bullet"/>
    <w:basedOn w:val="Sectionintroduction"/>
    <w:uiPriority w:val="21"/>
    <w:qFormat/>
    <w:rsid w:val="009A69F5"/>
    <w:pPr>
      <w:numPr>
        <w:numId w:val="7"/>
      </w:numPr>
    </w:pPr>
  </w:style>
  <w:style w:type="paragraph" w:customStyle="1" w:styleId="BioQualificationsText">
    <w:name w:val="Bio Qualifications Text"/>
    <w:basedOn w:val="Normal"/>
    <w:uiPriority w:val="97"/>
    <w:qFormat/>
    <w:rsid w:val="00625270"/>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0"/>
      </w:numPr>
    </w:pPr>
  </w:style>
  <w:style w:type="numbering" w:customStyle="1" w:styleId="TableexpListnumberedmultilevel">
    <w:name w:val="Table exp List (numbered) multilevel"/>
    <w:uiPriority w:val="99"/>
    <w:rsid w:val="00F660A8"/>
    <w:pPr>
      <w:numPr>
        <w:numId w:val="7"/>
      </w:numPr>
    </w:pPr>
  </w:style>
  <w:style w:type="numbering" w:customStyle="1" w:styleId="TableNListnumberedmultilevel">
    <w:name w:val="Table N List (numbered) multilevel"/>
    <w:uiPriority w:val="99"/>
    <w:rsid w:val="00F660A8"/>
    <w:pPr>
      <w:numPr>
        <w:numId w:val="9"/>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semiHidden/>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paragraph" w:styleId="ListParagraph">
    <w:name w:val="List Paragraph"/>
    <w:basedOn w:val="Normal"/>
    <w:uiPriority w:val="34"/>
    <w:qFormat/>
    <w:rsid w:val="00EB2FFF"/>
    <w:pPr>
      <w:ind w:left="720"/>
      <w:contextualSpacing/>
    </w:pPr>
  </w:style>
  <w:style w:type="paragraph" w:styleId="NormalWeb">
    <w:name w:val="Normal (Web)"/>
    <w:basedOn w:val="Normal"/>
    <w:uiPriority w:val="99"/>
    <w:semiHidden/>
    <w:unhideWhenUsed/>
    <w:rsid w:val="00EB2F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931903"/>
    <w:rPr>
      <w:b/>
      <w:bCs/>
    </w:rPr>
  </w:style>
  <w:style w:type="character" w:customStyle="1" w:styleId="CommentSubjectChar">
    <w:name w:val="Comment Subject Char"/>
    <w:basedOn w:val="CommentTextChar"/>
    <w:link w:val="CommentSubject"/>
    <w:uiPriority w:val="99"/>
    <w:semiHidden/>
    <w:rsid w:val="00931903"/>
    <w:rPr>
      <w:rFonts w:ascii="Segoe UI" w:hAnsi="Segoe UI"/>
      <w:b/>
      <w:bCs/>
      <w:sz w:val="20"/>
      <w:szCs w:val="20"/>
      <w:lang w:val="en-AU"/>
    </w:rPr>
  </w:style>
  <w:style w:type="paragraph" w:styleId="TOCHeading">
    <w:name w:val="TOC Heading"/>
    <w:basedOn w:val="Heading1"/>
    <w:next w:val="Normal"/>
    <w:uiPriority w:val="39"/>
    <w:unhideWhenUsed/>
    <w:qFormat/>
    <w:rsid w:val="008D579B"/>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8D579B"/>
    <w:pPr>
      <w:spacing w:after="100"/>
      <w:ind w:left="380"/>
    </w:pPr>
  </w:style>
  <w:style w:type="paragraph" w:styleId="Revision">
    <w:name w:val="Revision"/>
    <w:hidden/>
    <w:uiPriority w:val="99"/>
    <w:semiHidden/>
    <w:rsid w:val="000D460B"/>
    <w:pPr>
      <w:spacing w:after="0" w:line="240" w:lineRule="auto"/>
    </w:pPr>
    <w:rPr>
      <w:rFonts w:ascii="Segoe UI" w:hAnsi="Segoe UI"/>
      <w:sz w:val="19"/>
      <w:lang w:val="en-AU"/>
    </w:rPr>
  </w:style>
  <w:style w:type="character" w:customStyle="1" w:styleId="normaltextrun">
    <w:name w:val="normaltextrun"/>
    <w:basedOn w:val="DefaultParagraphFont"/>
    <w:rsid w:val="00F45A82"/>
  </w:style>
  <w:style w:type="paragraph" w:customStyle="1" w:styleId="acthead5">
    <w:name w:val="acthead5"/>
    <w:basedOn w:val="Normal"/>
    <w:rsid w:val="00C554F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C554F5"/>
  </w:style>
  <w:style w:type="paragraph" w:customStyle="1" w:styleId="subsection">
    <w:name w:val="subsection"/>
    <w:basedOn w:val="Normal"/>
    <w:rsid w:val="00C554F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C554F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otnoteReference">
    <w:name w:val="footnote reference"/>
    <w:basedOn w:val="DefaultParagraphFont"/>
    <w:uiPriority w:val="99"/>
    <w:unhideWhenUsed/>
    <w:rsid w:val="00337D5E"/>
    <w:rPr>
      <w:vertAlign w:val="superscript"/>
    </w:rPr>
  </w:style>
  <w:style w:type="paragraph" w:styleId="TOC4">
    <w:name w:val="toc 4"/>
    <w:basedOn w:val="Normal"/>
    <w:next w:val="Normal"/>
    <w:autoRedefine/>
    <w:uiPriority w:val="39"/>
    <w:unhideWhenUsed/>
    <w:rsid w:val="00B33D86"/>
    <w:pPr>
      <w:spacing w:after="100"/>
      <w:ind w:left="570"/>
    </w:pPr>
  </w:style>
  <w:style w:type="paragraph" w:styleId="TOC5">
    <w:name w:val="toc 5"/>
    <w:basedOn w:val="Normal"/>
    <w:next w:val="Normal"/>
    <w:autoRedefine/>
    <w:uiPriority w:val="39"/>
    <w:unhideWhenUsed/>
    <w:rsid w:val="00B33D86"/>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B33D86"/>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B33D86"/>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33D86"/>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33D86"/>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unhideWhenUsed/>
    <w:rsid w:val="00B33D86"/>
    <w:rPr>
      <w:color w:val="605E5C"/>
      <w:shd w:val="clear" w:color="auto" w:fill="E1DFDD"/>
    </w:rPr>
  </w:style>
  <w:style w:type="character" w:styleId="FollowedHyperlink">
    <w:name w:val="FollowedHyperlink"/>
    <w:basedOn w:val="DefaultParagraphFont"/>
    <w:uiPriority w:val="99"/>
    <w:semiHidden/>
    <w:unhideWhenUsed/>
    <w:rsid w:val="001F6F45"/>
    <w:rPr>
      <w:color w:val="0048C7" w:themeColor="followedHyperlink"/>
      <w:u w:val="single"/>
    </w:rPr>
  </w:style>
  <w:style w:type="paragraph" w:customStyle="1" w:styleId="Default">
    <w:name w:val="Default"/>
    <w:rsid w:val="00334E98"/>
    <w:pPr>
      <w:autoSpaceDE w:val="0"/>
      <w:autoSpaceDN w:val="0"/>
      <w:adjustRightInd w:val="0"/>
      <w:spacing w:after="0" w:line="240" w:lineRule="auto"/>
    </w:pPr>
    <w:rPr>
      <w:rFonts w:ascii="Calibri" w:hAnsi="Calibri" w:cs="Calibri"/>
      <w:color w:val="000000"/>
      <w:sz w:val="24"/>
      <w:szCs w:val="24"/>
      <w:lang w:val="en-AU"/>
    </w:rPr>
  </w:style>
  <w:style w:type="character" w:styleId="Strong">
    <w:name w:val="Strong"/>
    <w:basedOn w:val="DefaultParagraphFont"/>
    <w:uiPriority w:val="22"/>
    <w:qFormat/>
    <w:rsid w:val="00331B9E"/>
    <w:rPr>
      <w:b/>
      <w:bCs/>
    </w:rPr>
  </w:style>
  <w:style w:type="character" w:styleId="Emphasis">
    <w:name w:val="Emphasis"/>
    <w:basedOn w:val="DefaultParagraphFont"/>
    <w:uiPriority w:val="20"/>
    <w:qFormat/>
    <w:rsid w:val="00331B9E"/>
    <w:rPr>
      <w:i/>
      <w:iCs/>
    </w:rPr>
  </w:style>
  <w:style w:type="paragraph" w:customStyle="1" w:styleId="Bullet1">
    <w:name w:val="Bullet 1"/>
    <w:basedOn w:val="Normal"/>
    <w:qFormat/>
    <w:rsid w:val="002D7581"/>
    <w:pPr>
      <w:numPr>
        <w:numId w:val="23"/>
      </w:numPr>
      <w:spacing w:after="0" w:line="240" w:lineRule="auto"/>
      <w:contextualSpacing/>
    </w:pPr>
    <w:rPr>
      <w:rFonts w:ascii="Calibri" w:eastAsia="Calibri" w:hAnsi="Calibri" w:cs="Times New Roman"/>
      <w:bCs/>
      <w:iCs/>
      <w:sz w:val="24"/>
      <w:szCs w:val="24"/>
    </w:rPr>
  </w:style>
  <w:style w:type="table" w:customStyle="1" w:styleId="NousLongformcallout1">
    <w:name w:val="Nous_Long form call out1"/>
    <w:basedOn w:val="TableNormal"/>
    <w:uiPriority w:val="99"/>
    <w:rsid w:val="00600000"/>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Mention">
    <w:name w:val="Mention"/>
    <w:basedOn w:val="DefaultParagraphFont"/>
    <w:uiPriority w:val="99"/>
    <w:unhideWhenUsed/>
    <w:rsid w:val="008025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5062">
      <w:bodyDiv w:val="1"/>
      <w:marLeft w:val="0"/>
      <w:marRight w:val="0"/>
      <w:marTop w:val="0"/>
      <w:marBottom w:val="0"/>
      <w:divBdr>
        <w:top w:val="none" w:sz="0" w:space="0" w:color="auto"/>
        <w:left w:val="none" w:sz="0" w:space="0" w:color="auto"/>
        <w:bottom w:val="none" w:sz="0" w:space="0" w:color="auto"/>
        <w:right w:val="none" w:sz="0" w:space="0" w:color="auto"/>
      </w:divBdr>
      <w:divsChild>
        <w:div w:id="629827481">
          <w:marLeft w:val="446"/>
          <w:marRight w:val="0"/>
          <w:marTop w:val="0"/>
          <w:marBottom w:val="180"/>
          <w:divBdr>
            <w:top w:val="none" w:sz="0" w:space="0" w:color="auto"/>
            <w:left w:val="none" w:sz="0" w:space="0" w:color="auto"/>
            <w:bottom w:val="none" w:sz="0" w:space="0" w:color="auto"/>
            <w:right w:val="none" w:sz="0" w:space="0" w:color="auto"/>
          </w:divBdr>
        </w:div>
      </w:divsChild>
    </w:div>
    <w:div w:id="122626877">
      <w:bodyDiv w:val="1"/>
      <w:marLeft w:val="0"/>
      <w:marRight w:val="0"/>
      <w:marTop w:val="0"/>
      <w:marBottom w:val="0"/>
      <w:divBdr>
        <w:top w:val="none" w:sz="0" w:space="0" w:color="auto"/>
        <w:left w:val="none" w:sz="0" w:space="0" w:color="auto"/>
        <w:bottom w:val="none" w:sz="0" w:space="0" w:color="auto"/>
        <w:right w:val="none" w:sz="0" w:space="0" w:color="auto"/>
      </w:divBdr>
    </w:div>
    <w:div w:id="200939559">
      <w:bodyDiv w:val="1"/>
      <w:marLeft w:val="0"/>
      <w:marRight w:val="0"/>
      <w:marTop w:val="0"/>
      <w:marBottom w:val="0"/>
      <w:divBdr>
        <w:top w:val="none" w:sz="0" w:space="0" w:color="auto"/>
        <w:left w:val="none" w:sz="0" w:space="0" w:color="auto"/>
        <w:bottom w:val="none" w:sz="0" w:space="0" w:color="auto"/>
        <w:right w:val="none" w:sz="0" w:space="0" w:color="auto"/>
      </w:divBdr>
    </w:div>
    <w:div w:id="219099467">
      <w:bodyDiv w:val="1"/>
      <w:marLeft w:val="0"/>
      <w:marRight w:val="0"/>
      <w:marTop w:val="0"/>
      <w:marBottom w:val="0"/>
      <w:divBdr>
        <w:top w:val="none" w:sz="0" w:space="0" w:color="auto"/>
        <w:left w:val="none" w:sz="0" w:space="0" w:color="auto"/>
        <w:bottom w:val="none" w:sz="0" w:space="0" w:color="auto"/>
        <w:right w:val="none" w:sz="0" w:space="0" w:color="auto"/>
      </w:divBdr>
    </w:div>
    <w:div w:id="234050108">
      <w:bodyDiv w:val="1"/>
      <w:marLeft w:val="0"/>
      <w:marRight w:val="0"/>
      <w:marTop w:val="0"/>
      <w:marBottom w:val="0"/>
      <w:divBdr>
        <w:top w:val="none" w:sz="0" w:space="0" w:color="auto"/>
        <w:left w:val="none" w:sz="0" w:space="0" w:color="auto"/>
        <w:bottom w:val="none" w:sz="0" w:space="0" w:color="auto"/>
        <w:right w:val="none" w:sz="0" w:space="0" w:color="auto"/>
      </w:divBdr>
    </w:div>
    <w:div w:id="241984836">
      <w:bodyDiv w:val="1"/>
      <w:marLeft w:val="0"/>
      <w:marRight w:val="0"/>
      <w:marTop w:val="0"/>
      <w:marBottom w:val="0"/>
      <w:divBdr>
        <w:top w:val="none" w:sz="0" w:space="0" w:color="auto"/>
        <w:left w:val="none" w:sz="0" w:space="0" w:color="auto"/>
        <w:bottom w:val="none" w:sz="0" w:space="0" w:color="auto"/>
        <w:right w:val="none" w:sz="0" w:space="0" w:color="auto"/>
      </w:divBdr>
    </w:div>
    <w:div w:id="250745179">
      <w:bodyDiv w:val="1"/>
      <w:marLeft w:val="0"/>
      <w:marRight w:val="0"/>
      <w:marTop w:val="0"/>
      <w:marBottom w:val="0"/>
      <w:divBdr>
        <w:top w:val="none" w:sz="0" w:space="0" w:color="auto"/>
        <w:left w:val="none" w:sz="0" w:space="0" w:color="auto"/>
        <w:bottom w:val="none" w:sz="0" w:space="0" w:color="auto"/>
        <w:right w:val="none" w:sz="0" w:space="0" w:color="auto"/>
      </w:divBdr>
    </w:div>
    <w:div w:id="284428248">
      <w:bodyDiv w:val="1"/>
      <w:marLeft w:val="0"/>
      <w:marRight w:val="0"/>
      <w:marTop w:val="0"/>
      <w:marBottom w:val="0"/>
      <w:divBdr>
        <w:top w:val="none" w:sz="0" w:space="0" w:color="auto"/>
        <w:left w:val="none" w:sz="0" w:space="0" w:color="auto"/>
        <w:bottom w:val="none" w:sz="0" w:space="0" w:color="auto"/>
        <w:right w:val="none" w:sz="0" w:space="0" w:color="auto"/>
      </w:divBdr>
    </w:div>
    <w:div w:id="292174544">
      <w:bodyDiv w:val="1"/>
      <w:marLeft w:val="0"/>
      <w:marRight w:val="0"/>
      <w:marTop w:val="0"/>
      <w:marBottom w:val="0"/>
      <w:divBdr>
        <w:top w:val="none" w:sz="0" w:space="0" w:color="auto"/>
        <w:left w:val="none" w:sz="0" w:space="0" w:color="auto"/>
        <w:bottom w:val="none" w:sz="0" w:space="0" w:color="auto"/>
        <w:right w:val="none" w:sz="0" w:space="0" w:color="auto"/>
      </w:divBdr>
    </w:div>
    <w:div w:id="305552107">
      <w:bodyDiv w:val="1"/>
      <w:marLeft w:val="0"/>
      <w:marRight w:val="0"/>
      <w:marTop w:val="0"/>
      <w:marBottom w:val="0"/>
      <w:divBdr>
        <w:top w:val="none" w:sz="0" w:space="0" w:color="auto"/>
        <w:left w:val="none" w:sz="0" w:space="0" w:color="auto"/>
        <w:bottom w:val="none" w:sz="0" w:space="0" w:color="auto"/>
        <w:right w:val="none" w:sz="0" w:space="0" w:color="auto"/>
      </w:divBdr>
    </w:div>
    <w:div w:id="306514197">
      <w:bodyDiv w:val="1"/>
      <w:marLeft w:val="0"/>
      <w:marRight w:val="0"/>
      <w:marTop w:val="0"/>
      <w:marBottom w:val="0"/>
      <w:divBdr>
        <w:top w:val="none" w:sz="0" w:space="0" w:color="auto"/>
        <w:left w:val="none" w:sz="0" w:space="0" w:color="auto"/>
        <w:bottom w:val="none" w:sz="0" w:space="0" w:color="auto"/>
        <w:right w:val="none" w:sz="0" w:space="0" w:color="auto"/>
      </w:divBdr>
    </w:div>
    <w:div w:id="314843654">
      <w:bodyDiv w:val="1"/>
      <w:marLeft w:val="0"/>
      <w:marRight w:val="0"/>
      <w:marTop w:val="0"/>
      <w:marBottom w:val="0"/>
      <w:divBdr>
        <w:top w:val="none" w:sz="0" w:space="0" w:color="auto"/>
        <w:left w:val="none" w:sz="0" w:space="0" w:color="auto"/>
        <w:bottom w:val="none" w:sz="0" w:space="0" w:color="auto"/>
        <w:right w:val="none" w:sz="0" w:space="0" w:color="auto"/>
      </w:divBdr>
      <w:divsChild>
        <w:div w:id="700665591">
          <w:marLeft w:val="547"/>
          <w:marRight w:val="0"/>
          <w:marTop w:val="0"/>
          <w:marBottom w:val="0"/>
          <w:divBdr>
            <w:top w:val="none" w:sz="0" w:space="0" w:color="auto"/>
            <w:left w:val="none" w:sz="0" w:space="0" w:color="auto"/>
            <w:bottom w:val="none" w:sz="0" w:space="0" w:color="auto"/>
            <w:right w:val="none" w:sz="0" w:space="0" w:color="auto"/>
          </w:divBdr>
        </w:div>
        <w:div w:id="781002010">
          <w:marLeft w:val="547"/>
          <w:marRight w:val="0"/>
          <w:marTop w:val="0"/>
          <w:marBottom w:val="0"/>
          <w:divBdr>
            <w:top w:val="none" w:sz="0" w:space="0" w:color="auto"/>
            <w:left w:val="none" w:sz="0" w:space="0" w:color="auto"/>
            <w:bottom w:val="none" w:sz="0" w:space="0" w:color="auto"/>
            <w:right w:val="none" w:sz="0" w:space="0" w:color="auto"/>
          </w:divBdr>
        </w:div>
        <w:div w:id="1899242261">
          <w:marLeft w:val="547"/>
          <w:marRight w:val="0"/>
          <w:marTop w:val="0"/>
          <w:marBottom w:val="0"/>
          <w:divBdr>
            <w:top w:val="none" w:sz="0" w:space="0" w:color="auto"/>
            <w:left w:val="none" w:sz="0" w:space="0" w:color="auto"/>
            <w:bottom w:val="none" w:sz="0" w:space="0" w:color="auto"/>
            <w:right w:val="none" w:sz="0" w:space="0" w:color="auto"/>
          </w:divBdr>
        </w:div>
        <w:div w:id="2060979895">
          <w:marLeft w:val="547"/>
          <w:marRight w:val="0"/>
          <w:marTop w:val="0"/>
          <w:marBottom w:val="0"/>
          <w:divBdr>
            <w:top w:val="none" w:sz="0" w:space="0" w:color="auto"/>
            <w:left w:val="none" w:sz="0" w:space="0" w:color="auto"/>
            <w:bottom w:val="none" w:sz="0" w:space="0" w:color="auto"/>
            <w:right w:val="none" w:sz="0" w:space="0" w:color="auto"/>
          </w:divBdr>
        </w:div>
      </w:divsChild>
    </w:div>
    <w:div w:id="362754105">
      <w:bodyDiv w:val="1"/>
      <w:marLeft w:val="0"/>
      <w:marRight w:val="0"/>
      <w:marTop w:val="0"/>
      <w:marBottom w:val="0"/>
      <w:divBdr>
        <w:top w:val="none" w:sz="0" w:space="0" w:color="auto"/>
        <w:left w:val="none" w:sz="0" w:space="0" w:color="auto"/>
        <w:bottom w:val="none" w:sz="0" w:space="0" w:color="auto"/>
        <w:right w:val="none" w:sz="0" w:space="0" w:color="auto"/>
      </w:divBdr>
    </w:div>
    <w:div w:id="397943369">
      <w:bodyDiv w:val="1"/>
      <w:marLeft w:val="0"/>
      <w:marRight w:val="0"/>
      <w:marTop w:val="0"/>
      <w:marBottom w:val="0"/>
      <w:divBdr>
        <w:top w:val="none" w:sz="0" w:space="0" w:color="auto"/>
        <w:left w:val="none" w:sz="0" w:space="0" w:color="auto"/>
        <w:bottom w:val="none" w:sz="0" w:space="0" w:color="auto"/>
        <w:right w:val="none" w:sz="0" w:space="0" w:color="auto"/>
      </w:divBdr>
    </w:div>
    <w:div w:id="496575175">
      <w:bodyDiv w:val="1"/>
      <w:marLeft w:val="0"/>
      <w:marRight w:val="0"/>
      <w:marTop w:val="0"/>
      <w:marBottom w:val="0"/>
      <w:divBdr>
        <w:top w:val="none" w:sz="0" w:space="0" w:color="auto"/>
        <w:left w:val="none" w:sz="0" w:space="0" w:color="auto"/>
        <w:bottom w:val="none" w:sz="0" w:space="0" w:color="auto"/>
        <w:right w:val="none" w:sz="0" w:space="0" w:color="auto"/>
      </w:divBdr>
    </w:div>
    <w:div w:id="532770145">
      <w:bodyDiv w:val="1"/>
      <w:marLeft w:val="0"/>
      <w:marRight w:val="0"/>
      <w:marTop w:val="0"/>
      <w:marBottom w:val="0"/>
      <w:divBdr>
        <w:top w:val="none" w:sz="0" w:space="0" w:color="auto"/>
        <w:left w:val="none" w:sz="0" w:space="0" w:color="auto"/>
        <w:bottom w:val="none" w:sz="0" w:space="0" w:color="auto"/>
        <w:right w:val="none" w:sz="0" w:space="0" w:color="auto"/>
      </w:divBdr>
    </w:div>
    <w:div w:id="643580805">
      <w:bodyDiv w:val="1"/>
      <w:marLeft w:val="0"/>
      <w:marRight w:val="0"/>
      <w:marTop w:val="0"/>
      <w:marBottom w:val="0"/>
      <w:divBdr>
        <w:top w:val="none" w:sz="0" w:space="0" w:color="auto"/>
        <w:left w:val="none" w:sz="0" w:space="0" w:color="auto"/>
        <w:bottom w:val="none" w:sz="0" w:space="0" w:color="auto"/>
        <w:right w:val="none" w:sz="0" w:space="0" w:color="auto"/>
      </w:divBdr>
    </w:div>
    <w:div w:id="649866706">
      <w:bodyDiv w:val="1"/>
      <w:marLeft w:val="0"/>
      <w:marRight w:val="0"/>
      <w:marTop w:val="0"/>
      <w:marBottom w:val="0"/>
      <w:divBdr>
        <w:top w:val="none" w:sz="0" w:space="0" w:color="auto"/>
        <w:left w:val="none" w:sz="0" w:space="0" w:color="auto"/>
        <w:bottom w:val="none" w:sz="0" w:space="0" w:color="auto"/>
        <w:right w:val="none" w:sz="0" w:space="0" w:color="auto"/>
      </w:divBdr>
    </w:div>
    <w:div w:id="691998254">
      <w:bodyDiv w:val="1"/>
      <w:marLeft w:val="0"/>
      <w:marRight w:val="0"/>
      <w:marTop w:val="0"/>
      <w:marBottom w:val="0"/>
      <w:divBdr>
        <w:top w:val="none" w:sz="0" w:space="0" w:color="auto"/>
        <w:left w:val="none" w:sz="0" w:space="0" w:color="auto"/>
        <w:bottom w:val="none" w:sz="0" w:space="0" w:color="auto"/>
        <w:right w:val="none" w:sz="0" w:space="0" w:color="auto"/>
      </w:divBdr>
    </w:div>
    <w:div w:id="759184664">
      <w:bodyDiv w:val="1"/>
      <w:marLeft w:val="0"/>
      <w:marRight w:val="0"/>
      <w:marTop w:val="0"/>
      <w:marBottom w:val="0"/>
      <w:divBdr>
        <w:top w:val="none" w:sz="0" w:space="0" w:color="auto"/>
        <w:left w:val="none" w:sz="0" w:space="0" w:color="auto"/>
        <w:bottom w:val="none" w:sz="0" w:space="0" w:color="auto"/>
        <w:right w:val="none" w:sz="0" w:space="0" w:color="auto"/>
      </w:divBdr>
    </w:div>
    <w:div w:id="759915208">
      <w:bodyDiv w:val="1"/>
      <w:marLeft w:val="0"/>
      <w:marRight w:val="0"/>
      <w:marTop w:val="0"/>
      <w:marBottom w:val="0"/>
      <w:divBdr>
        <w:top w:val="none" w:sz="0" w:space="0" w:color="auto"/>
        <w:left w:val="none" w:sz="0" w:space="0" w:color="auto"/>
        <w:bottom w:val="none" w:sz="0" w:space="0" w:color="auto"/>
        <w:right w:val="none" w:sz="0" w:space="0" w:color="auto"/>
      </w:divBdr>
      <w:divsChild>
        <w:div w:id="606818425">
          <w:marLeft w:val="446"/>
          <w:marRight w:val="0"/>
          <w:marTop w:val="0"/>
          <w:marBottom w:val="180"/>
          <w:divBdr>
            <w:top w:val="none" w:sz="0" w:space="0" w:color="auto"/>
            <w:left w:val="none" w:sz="0" w:space="0" w:color="auto"/>
            <w:bottom w:val="none" w:sz="0" w:space="0" w:color="auto"/>
            <w:right w:val="none" w:sz="0" w:space="0" w:color="auto"/>
          </w:divBdr>
        </w:div>
        <w:div w:id="1698461959">
          <w:marLeft w:val="446"/>
          <w:marRight w:val="0"/>
          <w:marTop w:val="0"/>
          <w:marBottom w:val="180"/>
          <w:divBdr>
            <w:top w:val="none" w:sz="0" w:space="0" w:color="auto"/>
            <w:left w:val="none" w:sz="0" w:space="0" w:color="auto"/>
            <w:bottom w:val="none" w:sz="0" w:space="0" w:color="auto"/>
            <w:right w:val="none" w:sz="0" w:space="0" w:color="auto"/>
          </w:divBdr>
        </w:div>
      </w:divsChild>
    </w:div>
    <w:div w:id="768352807">
      <w:bodyDiv w:val="1"/>
      <w:marLeft w:val="0"/>
      <w:marRight w:val="0"/>
      <w:marTop w:val="0"/>
      <w:marBottom w:val="0"/>
      <w:divBdr>
        <w:top w:val="none" w:sz="0" w:space="0" w:color="auto"/>
        <w:left w:val="none" w:sz="0" w:space="0" w:color="auto"/>
        <w:bottom w:val="none" w:sz="0" w:space="0" w:color="auto"/>
        <w:right w:val="none" w:sz="0" w:space="0" w:color="auto"/>
      </w:divBdr>
    </w:div>
    <w:div w:id="780220279">
      <w:bodyDiv w:val="1"/>
      <w:marLeft w:val="0"/>
      <w:marRight w:val="0"/>
      <w:marTop w:val="0"/>
      <w:marBottom w:val="0"/>
      <w:divBdr>
        <w:top w:val="none" w:sz="0" w:space="0" w:color="auto"/>
        <w:left w:val="none" w:sz="0" w:space="0" w:color="auto"/>
        <w:bottom w:val="none" w:sz="0" w:space="0" w:color="auto"/>
        <w:right w:val="none" w:sz="0" w:space="0" w:color="auto"/>
      </w:divBdr>
    </w:div>
    <w:div w:id="782385974">
      <w:bodyDiv w:val="1"/>
      <w:marLeft w:val="0"/>
      <w:marRight w:val="0"/>
      <w:marTop w:val="0"/>
      <w:marBottom w:val="0"/>
      <w:divBdr>
        <w:top w:val="none" w:sz="0" w:space="0" w:color="auto"/>
        <w:left w:val="none" w:sz="0" w:space="0" w:color="auto"/>
        <w:bottom w:val="none" w:sz="0" w:space="0" w:color="auto"/>
        <w:right w:val="none" w:sz="0" w:space="0" w:color="auto"/>
      </w:divBdr>
      <w:divsChild>
        <w:div w:id="573323901">
          <w:marLeft w:val="446"/>
          <w:marRight w:val="0"/>
          <w:marTop w:val="0"/>
          <w:marBottom w:val="180"/>
          <w:divBdr>
            <w:top w:val="none" w:sz="0" w:space="0" w:color="auto"/>
            <w:left w:val="none" w:sz="0" w:space="0" w:color="auto"/>
            <w:bottom w:val="none" w:sz="0" w:space="0" w:color="auto"/>
            <w:right w:val="none" w:sz="0" w:space="0" w:color="auto"/>
          </w:divBdr>
        </w:div>
        <w:div w:id="1445231182">
          <w:marLeft w:val="446"/>
          <w:marRight w:val="0"/>
          <w:marTop w:val="0"/>
          <w:marBottom w:val="180"/>
          <w:divBdr>
            <w:top w:val="none" w:sz="0" w:space="0" w:color="auto"/>
            <w:left w:val="none" w:sz="0" w:space="0" w:color="auto"/>
            <w:bottom w:val="none" w:sz="0" w:space="0" w:color="auto"/>
            <w:right w:val="none" w:sz="0" w:space="0" w:color="auto"/>
          </w:divBdr>
        </w:div>
      </w:divsChild>
    </w:div>
    <w:div w:id="784620044">
      <w:bodyDiv w:val="1"/>
      <w:marLeft w:val="0"/>
      <w:marRight w:val="0"/>
      <w:marTop w:val="0"/>
      <w:marBottom w:val="0"/>
      <w:divBdr>
        <w:top w:val="none" w:sz="0" w:space="0" w:color="auto"/>
        <w:left w:val="none" w:sz="0" w:space="0" w:color="auto"/>
        <w:bottom w:val="none" w:sz="0" w:space="0" w:color="auto"/>
        <w:right w:val="none" w:sz="0" w:space="0" w:color="auto"/>
      </w:divBdr>
    </w:div>
    <w:div w:id="786656315">
      <w:bodyDiv w:val="1"/>
      <w:marLeft w:val="0"/>
      <w:marRight w:val="0"/>
      <w:marTop w:val="0"/>
      <w:marBottom w:val="0"/>
      <w:divBdr>
        <w:top w:val="none" w:sz="0" w:space="0" w:color="auto"/>
        <w:left w:val="none" w:sz="0" w:space="0" w:color="auto"/>
        <w:bottom w:val="none" w:sz="0" w:space="0" w:color="auto"/>
        <w:right w:val="none" w:sz="0" w:space="0" w:color="auto"/>
      </w:divBdr>
    </w:div>
    <w:div w:id="825584822">
      <w:bodyDiv w:val="1"/>
      <w:marLeft w:val="0"/>
      <w:marRight w:val="0"/>
      <w:marTop w:val="0"/>
      <w:marBottom w:val="0"/>
      <w:divBdr>
        <w:top w:val="none" w:sz="0" w:space="0" w:color="auto"/>
        <w:left w:val="none" w:sz="0" w:space="0" w:color="auto"/>
        <w:bottom w:val="none" w:sz="0" w:space="0" w:color="auto"/>
        <w:right w:val="none" w:sz="0" w:space="0" w:color="auto"/>
      </w:divBdr>
    </w:div>
    <w:div w:id="897206845">
      <w:bodyDiv w:val="1"/>
      <w:marLeft w:val="0"/>
      <w:marRight w:val="0"/>
      <w:marTop w:val="0"/>
      <w:marBottom w:val="0"/>
      <w:divBdr>
        <w:top w:val="none" w:sz="0" w:space="0" w:color="auto"/>
        <w:left w:val="none" w:sz="0" w:space="0" w:color="auto"/>
        <w:bottom w:val="none" w:sz="0" w:space="0" w:color="auto"/>
        <w:right w:val="none" w:sz="0" w:space="0" w:color="auto"/>
      </w:divBdr>
    </w:div>
    <w:div w:id="897671630">
      <w:bodyDiv w:val="1"/>
      <w:marLeft w:val="0"/>
      <w:marRight w:val="0"/>
      <w:marTop w:val="0"/>
      <w:marBottom w:val="0"/>
      <w:divBdr>
        <w:top w:val="none" w:sz="0" w:space="0" w:color="auto"/>
        <w:left w:val="none" w:sz="0" w:space="0" w:color="auto"/>
        <w:bottom w:val="none" w:sz="0" w:space="0" w:color="auto"/>
        <w:right w:val="none" w:sz="0" w:space="0" w:color="auto"/>
      </w:divBdr>
    </w:div>
    <w:div w:id="907763233">
      <w:bodyDiv w:val="1"/>
      <w:marLeft w:val="0"/>
      <w:marRight w:val="0"/>
      <w:marTop w:val="0"/>
      <w:marBottom w:val="0"/>
      <w:divBdr>
        <w:top w:val="none" w:sz="0" w:space="0" w:color="auto"/>
        <w:left w:val="none" w:sz="0" w:space="0" w:color="auto"/>
        <w:bottom w:val="none" w:sz="0" w:space="0" w:color="auto"/>
        <w:right w:val="none" w:sz="0" w:space="0" w:color="auto"/>
      </w:divBdr>
    </w:div>
    <w:div w:id="962882818">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24012871">
      <w:bodyDiv w:val="1"/>
      <w:marLeft w:val="0"/>
      <w:marRight w:val="0"/>
      <w:marTop w:val="0"/>
      <w:marBottom w:val="0"/>
      <w:divBdr>
        <w:top w:val="none" w:sz="0" w:space="0" w:color="auto"/>
        <w:left w:val="none" w:sz="0" w:space="0" w:color="auto"/>
        <w:bottom w:val="none" w:sz="0" w:space="0" w:color="auto"/>
        <w:right w:val="none" w:sz="0" w:space="0" w:color="auto"/>
      </w:divBdr>
      <w:divsChild>
        <w:div w:id="187065272">
          <w:marLeft w:val="547"/>
          <w:marRight w:val="0"/>
          <w:marTop w:val="91"/>
          <w:marBottom w:val="0"/>
          <w:divBdr>
            <w:top w:val="none" w:sz="0" w:space="0" w:color="auto"/>
            <w:left w:val="none" w:sz="0" w:space="0" w:color="auto"/>
            <w:bottom w:val="none" w:sz="0" w:space="0" w:color="auto"/>
            <w:right w:val="none" w:sz="0" w:space="0" w:color="auto"/>
          </w:divBdr>
        </w:div>
      </w:divsChild>
    </w:div>
    <w:div w:id="1032345299">
      <w:bodyDiv w:val="1"/>
      <w:marLeft w:val="0"/>
      <w:marRight w:val="0"/>
      <w:marTop w:val="0"/>
      <w:marBottom w:val="0"/>
      <w:divBdr>
        <w:top w:val="none" w:sz="0" w:space="0" w:color="auto"/>
        <w:left w:val="none" w:sz="0" w:space="0" w:color="auto"/>
        <w:bottom w:val="none" w:sz="0" w:space="0" w:color="auto"/>
        <w:right w:val="none" w:sz="0" w:space="0" w:color="auto"/>
      </w:divBdr>
    </w:div>
    <w:div w:id="1057818583">
      <w:bodyDiv w:val="1"/>
      <w:marLeft w:val="0"/>
      <w:marRight w:val="0"/>
      <w:marTop w:val="0"/>
      <w:marBottom w:val="0"/>
      <w:divBdr>
        <w:top w:val="none" w:sz="0" w:space="0" w:color="auto"/>
        <w:left w:val="none" w:sz="0" w:space="0" w:color="auto"/>
        <w:bottom w:val="none" w:sz="0" w:space="0" w:color="auto"/>
        <w:right w:val="none" w:sz="0" w:space="0" w:color="auto"/>
      </w:divBdr>
      <w:divsChild>
        <w:div w:id="1415660740">
          <w:marLeft w:val="547"/>
          <w:marRight w:val="0"/>
          <w:marTop w:val="91"/>
          <w:marBottom w:val="0"/>
          <w:divBdr>
            <w:top w:val="none" w:sz="0" w:space="0" w:color="auto"/>
            <w:left w:val="none" w:sz="0" w:space="0" w:color="auto"/>
            <w:bottom w:val="none" w:sz="0" w:space="0" w:color="auto"/>
            <w:right w:val="none" w:sz="0" w:space="0" w:color="auto"/>
          </w:divBdr>
        </w:div>
      </w:divsChild>
    </w:div>
    <w:div w:id="1057900624">
      <w:bodyDiv w:val="1"/>
      <w:marLeft w:val="0"/>
      <w:marRight w:val="0"/>
      <w:marTop w:val="0"/>
      <w:marBottom w:val="0"/>
      <w:divBdr>
        <w:top w:val="none" w:sz="0" w:space="0" w:color="auto"/>
        <w:left w:val="none" w:sz="0" w:space="0" w:color="auto"/>
        <w:bottom w:val="none" w:sz="0" w:space="0" w:color="auto"/>
        <w:right w:val="none" w:sz="0" w:space="0" w:color="auto"/>
      </w:divBdr>
    </w:div>
    <w:div w:id="1076904134">
      <w:bodyDiv w:val="1"/>
      <w:marLeft w:val="0"/>
      <w:marRight w:val="0"/>
      <w:marTop w:val="0"/>
      <w:marBottom w:val="0"/>
      <w:divBdr>
        <w:top w:val="none" w:sz="0" w:space="0" w:color="auto"/>
        <w:left w:val="none" w:sz="0" w:space="0" w:color="auto"/>
        <w:bottom w:val="none" w:sz="0" w:space="0" w:color="auto"/>
        <w:right w:val="none" w:sz="0" w:space="0" w:color="auto"/>
      </w:divBdr>
    </w:div>
    <w:div w:id="1096709896">
      <w:bodyDiv w:val="1"/>
      <w:marLeft w:val="0"/>
      <w:marRight w:val="0"/>
      <w:marTop w:val="0"/>
      <w:marBottom w:val="0"/>
      <w:divBdr>
        <w:top w:val="none" w:sz="0" w:space="0" w:color="auto"/>
        <w:left w:val="none" w:sz="0" w:space="0" w:color="auto"/>
        <w:bottom w:val="none" w:sz="0" w:space="0" w:color="auto"/>
        <w:right w:val="none" w:sz="0" w:space="0" w:color="auto"/>
      </w:divBdr>
    </w:div>
    <w:div w:id="1115715009">
      <w:bodyDiv w:val="1"/>
      <w:marLeft w:val="0"/>
      <w:marRight w:val="0"/>
      <w:marTop w:val="0"/>
      <w:marBottom w:val="0"/>
      <w:divBdr>
        <w:top w:val="none" w:sz="0" w:space="0" w:color="auto"/>
        <w:left w:val="none" w:sz="0" w:space="0" w:color="auto"/>
        <w:bottom w:val="none" w:sz="0" w:space="0" w:color="auto"/>
        <w:right w:val="none" w:sz="0" w:space="0" w:color="auto"/>
      </w:divBdr>
    </w:div>
    <w:div w:id="1129664596">
      <w:bodyDiv w:val="1"/>
      <w:marLeft w:val="0"/>
      <w:marRight w:val="0"/>
      <w:marTop w:val="0"/>
      <w:marBottom w:val="0"/>
      <w:divBdr>
        <w:top w:val="none" w:sz="0" w:space="0" w:color="auto"/>
        <w:left w:val="none" w:sz="0" w:space="0" w:color="auto"/>
        <w:bottom w:val="none" w:sz="0" w:space="0" w:color="auto"/>
        <w:right w:val="none" w:sz="0" w:space="0" w:color="auto"/>
      </w:divBdr>
    </w:div>
    <w:div w:id="1217548625">
      <w:bodyDiv w:val="1"/>
      <w:marLeft w:val="0"/>
      <w:marRight w:val="0"/>
      <w:marTop w:val="0"/>
      <w:marBottom w:val="0"/>
      <w:divBdr>
        <w:top w:val="none" w:sz="0" w:space="0" w:color="auto"/>
        <w:left w:val="none" w:sz="0" w:space="0" w:color="auto"/>
        <w:bottom w:val="none" w:sz="0" w:space="0" w:color="auto"/>
        <w:right w:val="none" w:sz="0" w:space="0" w:color="auto"/>
      </w:divBdr>
    </w:div>
    <w:div w:id="1218005314">
      <w:bodyDiv w:val="1"/>
      <w:marLeft w:val="0"/>
      <w:marRight w:val="0"/>
      <w:marTop w:val="0"/>
      <w:marBottom w:val="0"/>
      <w:divBdr>
        <w:top w:val="none" w:sz="0" w:space="0" w:color="auto"/>
        <w:left w:val="none" w:sz="0" w:space="0" w:color="auto"/>
        <w:bottom w:val="none" w:sz="0" w:space="0" w:color="auto"/>
        <w:right w:val="none" w:sz="0" w:space="0" w:color="auto"/>
      </w:divBdr>
    </w:div>
    <w:div w:id="1222136619">
      <w:bodyDiv w:val="1"/>
      <w:marLeft w:val="0"/>
      <w:marRight w:val="0"/>
      <w:marTop w:val="0"/>
      <w:marBottom w:val="0"/>
      <w:divBdr>
        <w:top w:val="none" w:sz="0" w:space="0" w:color="auto"/>
        <w:left w:val="none" w:sz="0" w:space="0" w:color="auto"/>
        <w:bottom w:val="none" w:sz="0" w:space="0" w:color="auto"/>
        <w:right w:val="none" w:sz="0" w:space="0" w:color="auto"/>
      </w:divBdr>
    </w:div>
    <w:div w:id="1241405307">
      <w:bodyDiv w:val="1"/>
      <w:marLeft w:val="0"/>
      <w:marRight w:val="0"/>
      <w:marTop w:val="0"/>
      <w:marBottom w:val="0"/>
      <w:divBdr>
        <w:top w:val="none" w:sz="0" w:space="0" w:color="auto"/>
        <w:left w:val="none" w:sz="0" w:space="0" w:color="auto"/>
        <w:bottom w:val="none" w:sz="0" w:space="0" w:color="auto"/>
        <w:right w:val="none" w:sz="0" w:space="0" w:color="auto"/>
      </w:divBdr>
      <w:divsChild>
        <w:div w:id="707098771">
          <w:marLeft w:val="547"/>
          <w:marRight w:val="0"/>
          <w:marTop w:val="91"/>
          <w:marBottom w:val="0"/>
          <w:divBdr>
            <w:top w:val="none" w:sz="0" w:space="0" w:color="auto"/>
            <w:left w:val="none" w:sz="0" w:space="0" w:color="auto"/>
            <w:bottom w:val="none" w:sz="0" w:space="0" w:color="auto"/>
            <w:right w:val="none" w:sz="0" w:space="0" w:color="auto"/>
          </w:divBdr>
        </w:div>
        <w:div w:id="1579751507">
          <w:marLeft w:val="547"/>
          <w:marRight w:val="0"/>
          <w:marTop w:val="91"/>
          <w:marBottom w:val="0"/>
          <w:divBdr>
            <w:top w:val="none" w:sz="0" w:space="0" w:color="auto"/>
            <w:left w:val="none" w:sz="0" w:space="0" w:color="auto"/>
            <w:bottom w:val="none" w:sz="0" w:space="0" w:color="auto"/>
            <w:right w:val="none" w:sz="0" w:space="0" w:color="auto"/>
          </w:divBdr>
        </w:div>
      </w:divsChild>
    </w:div>
    <w:div w:id="1286353773">
      <w:bodyDiv w:val="1"/>
      <w:marLeft w:val="0"/>
      <w:marRight w:val="0"/>
      <w:marTop w:val="0"/>
      <w:marBottom w:val="0"/>
      <w:divBdr>
        <w:top w:val="none" w:sz="0" w:space="0" w:color="auto"/>
        <w:left w:val="none" w:sz="0" w:space="0" w:color="auto"/>
        <w:bottom w:val="none" w:sz="0" w:space="0" w:color="auto"/>
        <w:right w:val="none" w:sz="0" w:space="0" w:color="auto"/>
      </w:divBdr>
    </w:div>
    <w:div w:id="1324895030">
      <w:bodyDiv w:val="1"/>
      <w:marLeft w:val="0"/>
      <w:marRight w:val="0"/>
      <w:marTop w:val="0"/>
      <w:marBottom w:val="0"/>
      <w:divBdr>
        <w:top w:val="none" w:sz="0" w:space="0" w:color="auto"/>
        <w:left w:val="none" w:sz="0" w:space="0" w:color="auto"/>
        <w:bottom w:val="none" w:sz="0" w:space="0" w:color="auto"/>
        <w:right w:val="none" w:sz="0" w:space="0" w:color="auto"/>
      </w:divBdr>
    </w:div>
    <w:div w:id="1400320996">
      <w:bodyDiv w:val="1"/>
      <w:marLeft w:val="0"/>
      <w:marRight w:val="0"/>
      <w:marTop w:val="0"/>
      <w:marBottom w:val="0"/>
      <w:divBdr>
        <w:top w:val="none" w:sz="0" w:space="0" w:color="auto"/>
        <w:left w:val="none" w:sz="0" w:space="0" w:color="auto"/>
        <w:bottom w:val="none" w:sz="0" w:space="0" w:color="auto"/>
        <w:right w:val="none" w:sz="0" w:space="0" w:color="auto"/>
      </w:divBdr>
    </w:div>
    <w:div w:id="1403217941">
      <w:bodyDiv w:val="1"/>
      <w:marLeft w:val="0"/>
      <w:marRight w:val="0"/>
      <w:marTop w:val="0"/>
      <w:marBottom w:val="0"/>
      <w:divBdr>
        <w:top w:val="none" w:sz="0" w:space="0" w:color="auto"/>
        <w:left w:val="none" w:sz="0" w:space="0" w:color="auto"/>
        <w:bottom w:val="none" w:sz="0" w:space="0" w:color="auto"/>
        <w:right w:val="none" w:sz="0" w:space="0" w:color="auto"/>
      </w:divBdr>
    </w:div>
    <w:div w:id="1447388391">
      <w:bodyDiv w:val="1"/>
      <w:marLeft w:val="0"/>
      <w:marRight w:val="0"/>
      <w:marTop w:val="0"/>
      <w:marBottom w:val="0"/>
      <w:divBdr>
        <w:top w:val="none" w:sz="0" w:space="0" w:color="auto"/>
        <w:left w:val="none" w:sz="0" w:space="0" w:color="auto"/>
        <w:bottom w:val="none" w:sz="0" w:space="0" w:color="auto"/>
        <w:right w:val="none" w:sz="0" w:space="0" w:color="auto"/>
      </w:divBdr>
    </w:div>
    <w:div w:id="1449933230">
      <w:bodyDiv w:val="1"/>
      <w:marLeft w:val="0"/>
      <w:marRight w:val="0"/>
      <w:marTop w:val="0"/>
      <w:marBottom w:val="0"/>
      <w:divBdr>
        <w:top w:val="none" w:sz="0" w:space="0" w:color="auto"/>
        <w:left w:val="none" w:sz="0" w:space="0" w:color="auto"/>
        <w:bottom w:val="none" w:sz="0" w:space="0" w:color="auto"/>
        <w:right w:val="none" w:sz="0" w:space="0" w:color="auto"/>
      </w:divBdr>
    </w:div>
    <w:div w:id="1457019489">
      <w:bodyDiv w:val="1"/>
      <w:marLeft w:val="0"/>
      <w:marRight w:val="0"/>
      <w:marTop w:val="0"/>
      <w:marBottom w:val="0"/>
      <w:divBdr>
        <w:top w:val="none" w:sz="0" w:space="0" w:color="auto"/>
        <w:left w:val="none" w:sz="0" w:space="0" w:color="auto"/>
        <w:bottom w:val="none" w:sz="0" w:space="0" w:color="auto"/>
        <w:right w:val="none" w:sz="0" w:space="0" w:color="auto"/>
      </w:divBdr>
    </w:div>
    <w:div w:id="1464083352">
      <w:bodyDiv w:val="1"/>
      <w:marLeft w:val="0"/>
      <w:marRight w:val="0"/>
      <w:marTop w:val="0"/>
      <w:marBottom w:val="0"/>
      <w:divBdr>
        <w:top w:val="none" w:sz="0" w:space="0" w:color="auto"/>
        <w:left w:val="none" w:sz="0" w:space="0" w:color="auto"/>
        <w:bottom w:val="none" w:sz="0" w:space="0" w:color="auto"/>
        <w:right w:val="none" w:sz="0" w:space="0" w:color="auto"/>
      </w:divBdr>
    </w:div>
    <w:div w:id="1491600584">
      <w:bodyDiv w:val="1"/>
      <w:marLeft w:val="0"/>
      <w:marRight w:val="0"/>
      <w:marTop w:val="0"/>
      <w:marBottom w:val="0"/>
      <w:divBdr>
        <w:top w:val="none" w:sz="0" w:space="0" w:color="auto"/>
        <w:left w:val="none" w:sz="0" w:space="0" w:color="auto"/>
        <w:bottom w:val="none" w:sz="0" w:space="0" w:color="auto"/>
        <w:right w:val="none" w:sz="0" w:space="0" w:color="auto"/>
      </w:divBdr>
    </w:div>
    <w:div w:id="1552041019">
      <w:bodyDiv w:val="1"/>
      <w:marLeft w:val="0"/>
      <w:marRight w:val="0"/>
      <w:marTop w:val="0"/>
      <w:marBottom w:val="0"/>
      <w:divBdr>
        <w:top w:val="none" w:sz="0" w:space="0" w:color="auto"/>
        <w:left w:val="none" w:sz="0" w:space="0" w:color="auto"/>
        <w:bottom w:val="none" w:sz="0" w:space="0" w:color="auto"/>
        <w:right w:val="none" w:sz="0" w:space="0" w:color="auto"/>
      </w:divBdr>
    </w:div>
    <w:div w:id="1554538444">
      <w:bodyDiv w:val="1"/>
      <w:marLeft w:val="0"/>
      <w:marRight w:val="0"/>
      <w:marTop w:val="0"/>
      <w:marBottom w:val="0"/>
      <w:divBdr>
        <w:top w:val="none" w:sz="0" w:space="0" w:color="auto"/>
        <w:left w:val="none" w:sz="0" w:space="0" w:color="auto"/>
        <w:bottom w:val="none" w:sz="0" w:space="0" w:color="auto"/>
        <w:right w:val="none" w:sz="0" w:space="0" w:color="auto"/>
      </w:divBdr>
    </w:div>
    <w:div w:id="1563172546">
      <w:bodyDiv w:val="1"/>
      <w:marLeft w:val="0"/>
      <w:marRight w:val="0"/>
      <w:marTop w:val="0"/>
      <w:marBottom w:val="0"/>
      <w:divBdr>
        <w:top w:val="none" w:sz="0" w:space="0" w:color="auto"/>
        <w:left w:val="none" w:sz="0" w:space="0" w:color="auto"/>
        <w:bottom w:val="none" w:sz="0" w:space="0" w:color="auto"/>
        <w:right w:val="none" w:sz="0" w:space="0" w:color="auto"/>
      </w:divBdr>
    </w:div>
    <w:div w:id="1644844878">
      <w:bodyDiv w:val="1"/>
      <w:marLeft w:val="0"/>
      <w:marRight w:val="0"/>
      <w:marTop w:val="0"/>
      <w:marBottom w:val="0"/>
      <w:divBdr>
        <w:top w:val="none" w:sz="0" w:space="0" w:color="auto"/>
        <w:left w:val="none" w:sz="0" w:space="0" w:color="auto"/>
        <w:bottom w:val="none" w:sz="0" w:space="0" w:color="auto"/>
        <w:right w:val="none" w:sz="0" w:space="0" w:color="auto"/>
      </w:divBdr>
    </w:div>
    <w:div w:id="1653099975">
      <w:bodyDiv w:val="1"/>
      <w:marLeft w:val="0"/>
      <w:marRight w:val="0"/>
      <w:marTop w:val="0"/>
      <w:marBottom w:val="0"/>
      <w:divBdr>
        <w:top w:val="none" w:sz="0" w:space="0" w:color="auto"/>
        <w:left w:val="none" w:sz="0" w:space="0" w:color="auto"/>
        <w:bottom w:val="none" w:sz="0" w:space="0" w:color="auto"/>
        <w:right w:val="none" w:sz="0" w:space="0" w:color="auto"/>
      </w:divBdr>
      <w:divsChild>
        <w:div w:id="1376930547">
          <w:marLeft w:val="446"/>
          <w:marRight w:val="0"/>
          <w:marTop w:val="0"/>
          <w:marBottom w:val="180"/>
          <w:divBdr>
            <w:top w:val="none" w:sz="0" w:space="0" w:color="auto"/>
            <w:left w:val="none" w:sz="0" w:space="0" w:color="auto"/>
            <w:bottom w:val="none" w:sz="0" w:space="0" w:color="auto"/>
            <w:right w:val="none" w:sz="0" w:space="0" w:color="auto"/>
          </w:divBdr>
        </w:div>
        <w:div w:id="1589969677">
          <w:marLeft w:val="446"/>
          <w:marRight w:val="0"/>
          <w:marTop w:val="0"/>
          <w:marBottom w:val="180"/>
          <w:divBdr>
            <w:top w:val="none" w:sz="0" w:space="0" w:color="auto"/>
            <w:left w:val="none" w:sz="0" w:space="0" w:color="auto"/>
            <w:bottom w:val="none" w:sz="0" w:space="0" w:color="auto"/>
            <w:right w:val="none" w:sz="0" w:space="0" w:color="auto"/>
          </w:divBdr>
        </w:div>
      </w:divsChild>
    </w:div>
    <w:div w:id="1693679216">
      <w:bodyDiv w:val="1"/>
      <w:marLeft w:val="0"/>
      <w:marRight w:val="0"/>
      <w:marTop w:val="0"/>
      <w:marBottom w:val="0"/>
      <w:divBdr>
        <w:top w:val="none" w:sz="0" w:space="0" w:color="auto"/>
        <w:left w:val="none" w:sz="0" w:space="0" w:color="auto"/>
        <w:bottom w:val="none" w:sz="0" w:space="0" w:color="auto"/>
        <w:right w:val="none" w:sz="0" w:space="0" w:color="auto"/>
      </w:divBdr>
    </w:div>
    <w:div w:id="1694765137">
      <w:bodyDiv w:val="1"/>
      <w:marLeft w:val="0"/>
      <w:marRight w:val="0"/>
      <w:marTop w:val="0"/>
      <w:marBottom w:val="0"/>
      <w:divBdr>
        <w:top w:val="none" w:sz="0" w:space="0" w:color="auto"/>
        <w:left w:val="none" w:sz="0" w:space="0" w:color="auto"/>
        <w:bottom w:val="none" w:sz="0" w:space="0" w:color="auto"/>
        <w:right w:val="none" w:sz="0" w:space="0" w:color="auto"/>
      </w:divBdr>
    </w:div>
    <w:div w:id="1734816088">
      <w:bodyDiv w:val="1"/>
      <w:marLeft w:val="0"/>
      <w:marRight w:val="0"/>
      <w:marTop w:val="0"/>
      <w:marBottom w:val="0"/>
      <w:divBdr>
        <w:top w:val="none" w:sz="0" w:space="0" w:color="auto"/>
        <w:left w:val="none" w:sz="0" w:space="0" w:color="auto"/>
        <w:bottom w:val="none" w:sz="0" w:space="0" w:color="auto"/>
        <w:right w:val="none" w:sz="0" w:space="0" w:color="auto"/>
      </w:divBdr>
    </w:div>
    <w:div w:id="1759477156">
      <w:bodyDiv w:val="1"/>
      <w:marLeft w:val="0"/>
      <w:marRight w:val="0"/>
      <w:marTop w:val="0"/>
      <w:marBottom w:val="0"/>
      <w:divBdr>
        <w:top w:val="none" w:sz="0" w:space="0" w:color="auto"/>
        <w:left w:val="none" w:sz="0" w:space="0" w:color="auto"/>
        <w:bottom w:val="none" w:sz="0" w:space="0" w:color="auto"/>
        <w:right w:val="none" w:sz="0" w:space="0" w:color="auto"/>
      </w:divBdr>
      <w:divsChild>
        <w:div w:id="624628066">
          <w:marLeft w:val="547"/>
          <w:marRight w:val="0"/>
          <w:marTop w:val="91"/>
          <w:marBottom w:val="0"/>
          <w:divBdr>
            <w:top w:val="none" w:sz="0" w:space="0" w:color="auto"/>
            <w:left w:val="none" w:sz="0" w:space="0" w:color="auto"/>
            <w:bottom w:val="none" w:sz="0" w:space="0" w:color="auto"/>
            <w:right w:val="none" w:sz="0" w:space="0" w:color="auto"/>
          </w:divBdr>
        </w:div>
        <w:div w:id="627048988">
          <w:marLeft w:val="547"/>
          <w:marRight w:val="0"/>
          <w:marTop w:val="91"/>
          <w:marBottom w:val="0"/>
          <w:divBdr>
            <w:top w:val="none" w:sz="0" w:space="0" w:color="auto"/>
            <w:left w:val="none" w:sz="0" w:space="0" w:color="auto"/>
            <w:bottom w:val="none" w:sz="0" w:space="0" w:color="auto"/>
            <w:right w:val="none" w:sz="0" w:space="0" w:color="auto"/>
          </w:divBdr>
        </w:div>
      </w:divsChild>
    </w:div>
    <w:div w:id="1776365154">
      <w:bodyDiv w:val="1"/>
      <w:marLeft w:val="0"/>
      <w:marRight w:val="0"/>
      <w:marTop w:val="0"/>
      <w:marBottom w:val="0"/>
      <w:divBdr>
        <w:top w:val="none" w:sz="0" w:space="0" w:color="auto"/>
        <w:left w:val="none" w:sz="0" w:space="0" w:color="auto"/>
        <w:bottom w:val="none" w:sz="0" w:space="0" w:color="auto"/>
        <w:right w:val="none" w:sz="0" w:space="0" w:color="auto"/>
      </w:divBdr>
    </w:div>
    <w:div w:id="1778480888">
      <w:bodyDiv w:val="1"/>
      <w:marLeft w:val="0"/>
      <w:marRight w:val="0"/>
      <w:marTop w:val="0"/>
      <w:marBottom w:val="0"/>
      <w:divBdr>
        <w:top w:val="none" w:sz="0" w:space="0" w:color="auto"/>
        <w:left w:val="none" w:sz="0" w:space="0" w:color="auto"/>
        <w:bottom w:val="none" w:sz="0" w:space="0" w:color="auto"/>
        <w:right w:val="none" w:sz="0" w:space="0" w:color="auto"/>
      </w:divBdr>
    </w:div>
    <w:div w:id="1793474039">
      <w:bodyDiv w:val="1"/>
      <w:marLeft w:val="0"/>
      <w:marRight w:val="0"/>
      <w:marTop w:val="0"/>
      <w:marBottom w:val="0"/>
      <w:divBdr>
        <w:top w:val="none" w:sz="0" w:space="0" w:color="auto"/>
        <w:left w:val="none" w:sz="0" w:space="0" w:color="auto"/>
        <w:bottom w:val="none" w:sz="0" w:space="0" w:color="auto"/>
        <w:right w:val="none" w:sz="0" w:space="0" w:color="auto"/>
      </w:divBdr>
    </w:div>
    <w:div w:id="1820462891">
      <w:bodyDiv w:val="1"/>
      <w:marLeft w:val="0"/>
      <w:marRight w:val="0"/>
      <w:marTop w:val="0"/>
      <w:marBottom w:val="0"/>
      <w:divBdr>
        <w:top w:val="none" w:sz="0" w:space="0" w:color="auto"/>
        <w:left w:val="none" w:sz="0" w:space="0" w:color="auto"/>
        <w:bottom w:val="none" w:sz="0" w:space="0" w:color="auto"/>
        <w:right w:val="none" w:sz="0" w:space="0" w:color="auto"/>
      </w:divBdr>
    </w:div>
    <w:div w:id="1821995340">
      <w:bodyDiv w:val="1"/>
      <w:marLeft w:val="0"/>
      <w:marRight w:val="0"/>
      <w:marTop w:val="0"/>
      <w:marBottom w:val="0"/>
      <w:divBdr>
        <w:top w:val="none" w:sz="0" w:space="0" w:color="auto"/>
        <w:left w:val="none" w:sz="0" w:space="0" w:color="auto"/>
        <w:bottom w:val="none" w:sz="0" w:space="0" w:color="auto"/>
        <w:right w:val="none" w:sz="0" w:space="0" w:color="auto"/>
      </w:divBdr>
    </w:div>
    <w:div w:id="1859274495">
      <w:bodyDiv w:val="1"/>
      <w:marLeft w:val="0"/>
      <w:marRight w:val="0"/>
      <w:marTop w:val="0"/>
      <w:marBottom w:val="0"/>
      <w:divBdr>
        <w:top w:val="none" w:sz="0" w:space="0" w:color="auto"/>
        <w:left w:val="none" w:sz="0" w:space="0" w:color="auto"/>
        <w:bottom w:val="none" w:sz="0" w:space="0" w:color="auto"/>
        <w:right w:val="none" w:sz="0" w:space="0" w:color="auto"/>
      </w:divBdr>
    </w:div>
    <w:div w:id="1885168188">
      <w:bodyDiv w:val="1"/>
      <w:marLeft w:val="0"/>
      <w:marRight w:val="0"/>
      <w:marTop w:val="0"/>
      <w:marBottom w:val="0"/>
      <w:divBdr>
        <w:top w:val="none" w:sz="0" w:space="0" w:color="auto"/>
        <w:left w:val="none" w:sz="0" w:space="0" w:color="auto"/>
        <w:bottom w:val="none" w:sz="0" w:space="0" w:color="auto"/>
        <w:right w:val="none" w:sz="0" w:space="0" w:color="auto"/>
      </w:divBdr>
    </w:div>
    <w:div w:id="1894271632">
      <w:bodyDiv w:val="1"/>
      <w:marLeft w:val="0"/>
      <w:marRight w:val="0"/>
      <w:marTop w:val="0"/>
      <w:marBottom w:val="0"/>
      <w:divBdr>
        <w:top w:val="none" w:sz="0" w:space="0" w:color="auto"/>
        <w:left w:val="none" w:sz="0" w:space="0" w:color="auto"/>
        <w:bottom w:val="none" w:sz="0" w:space="0" w:color="auto"/>
        <w:right w:val="none" w:sz="0" w:space="0" w:color="auto"/>
      </w:divBdr>
    </w:div>
    <w:div w:id="1897274377">
      <w:bodyDiv w:val="1"/>
      <w:marLeft w:val="0"/>
      <w:marRight w:val="0"/>
      <w:marTop w:val="0"/>
      <w:marBottom w:val="0"/>
      <w:divBdr>
        <w:top w:val="none" w:sz="0" w:space="0" w:color="auto"/>
        <w:left w:val="none" w:sz="0" w:space="0" w:color="auto"/>
        <w:bottom w:val="none" w:sz="0" w:space="0" w:color="auto"/>
        <w:right w:val="none" w:sz="0" w:space="0" w:color="auto"/>
      </w:divBdr>
    </w:div>
    <w:div w:id="1934970034">
      <w:bodyDiv w:val="1"/>
      <w:marLeft w:val="0"/>
      <w:marRight w:val="0"/>
      <w:marTop w:val="0"/>
      <w:marBottom w:val="0"/>
      <w:divBdr>
        <w:top w:val="none" w:sz="0" w:space="0" w:color="auto"/>
        <w:left w:val="none" w:sz="0" w:space="0" w:color="auto"/>
        <w:bottom w:val="none" w:sz="0" w:space="0" w:color="auto"/>
        <w:right w:val="none" w:sz="0" w:space="0" w:color="auto"/>
      </w:divBdr>
    </w:div>
    <w:div w:id="1945841932">
      <w:bodyDiv w:val="1"/>
      <w:marLeft w:val="0"/>
      <w:marRight w:val="0"/>
      <w:marTop w:val="0"/>
      <w:marBottom w:val="0"/>
      <w:divBdr>
        <w:top w:val="none" w:sz="0" w:space="0" w:color="auto"/>
        <w:left w:val="none" w:sz="0" w:space="0" w:color="auto"/>
        <w:bottom w:val="none" w:sz="0" w:space="0" w:color="auto"/>
        <w:right w:val="none" w:sz="0" w:space="0" w:color="auto"/>
      </w:divBdr>
    </w:div>
    <w:div w:id="1995453143">
      <w:bodyDiv w:val="1"/>
      <w:marLeft w:val="0"/>
      <w:marRight w:val="0"/>
      <w:marTop w:val="0"/>
      <w:marBottom w:val="0"/>
      <w:divBdr>
        <w:top w:val="none" w:sz="0" w:space="0" w:color="auto"/>
        <w:left w:val="none" w:sz="0" w:space="0" w:color="auto"/>
        <w:bottom w:val="none" w:sz="0" w:space="0" w:color="auto"/>
        <w:right w:val="none" w:sz="0" w:space="0" w:color="auto"/>
      </w:divBdr>
    </w:div>
    <w:div w:id="1997024812">
      <w:bodyDiv w:val="1"/>
      <w:marLeft w:val="0"/>
      <w:marRight w:val="0"/>
      <w:marTop w:val="0"/>
      <w:marBottom w:val="0"/>
      <w:divBdr>
        <w:top w:val="none" w:sz="0" w:space="0" w:color="auto"/>
        <w:left w:val="none" w:sz="0" w:space="0" w:color="auto"/>
        <w:bottom w:val="none" w:sz="0" w:space="0" w:color="auto"/>
        <w:right w:val="none" w:sz="0" w:space="0" w:color="auto"/>
      </w:divBdr>
    </w:div>
    <w:div w:id="2011248358">
      <w:bodyDiv w:val="1"/>
      <w:marLeft w:val="0"/>
      <w:marRight w:val="0"/>
      <w:marTop w:val="0"/>
      <w:marBottom w:val="0"/>
      <w:divBdr>
        <w:top w:val="none" w:sz="0" w:space="0" w:color="auto"/>
        <w:left w:val="none" w:sz="0" w:space="0" w:color="auto"/>
        <w:bottom w:val="none" w:sz="0" w:space="0" w:color="auto"/>
        <w:right w:val="none" w:sz="0" w:space="0" w:color="auto"/>
      </w:divBdr>
      <w:divsChild>
        <w:div w:id="945886770">
          <w:marLeft w:val="547"/>
          <w:marRight w:val="0"/>
          <w:marTop w:val="0"/>
          <w:marBottom w:val="0"/>
          <w:divBdr>
            <w:top w:val="none" w:sz="0" w:space="0" w:color="auto"/>
            <w:left w:val="none" w:sz="0" w:space="0" w:color="auto"/>
            <w:bottom w:val="none" w:sz="0" w:space="0" w:color="auto"/>
            <w:right w:val="none" w:sz="0" w:space="0" w:color="auto"/>
          </w:divBdr>
        </w:div>
        <w:div w:id="1391268841">
          <w:marLeft w:val="547"/>
          <w:marRight w:val="0"/>
          <w:marTop w:val="0"/>
          <w:marBottom w:val="0"/>
          <w:divBdr>
            <w:top w:val="none" w:sz="0" w:space="0" w:color="auto"/>
            <w:left w:val="none" w:sz="0" w:space="0" w:color="auto"/>
            <w:bottom w:val="none" w:sz="0" w:space="0" w:color="auto"/>
            <w:right w:val="none" w:sz="0" w:space="0" w:color="auto"/>
          </w:divBdr>
        </w:div>
        <w:div w:id="1594896821">
          <w:marLeft w:val="547"/>
          <w:marRight w:val="0"/>
          <w:marTop w:val="0"/>
          <w:marBottom w:val="0"/>
          <w:divBdr>
            <w:top w:val="none" w:sz="0" w:space="0" w:color="auto"/>
            <w:left w:val="none" w:sz="0" w:space="0" w:color="auto"/>
            <w:bottom w:val="none" w:sz="0" w:space="0" w:color="auto"/>
            <w:right w:val="none" w:sz="0" w:space="0" w:color="auto"/>
          </w:divBdr>
        </w:div>
        <w:div w:id="1826431418">
          <w:marLeft w:val="547"/>
          <w:marRight w:val="0"/>
          <w:marTop w:val="0"/>
          <w:marBottom w:val="0"/>
          <w:divBdr>
            <w:top w:val="none" w:sz="0" w:space="0" w:color="auto"/>
            <w:left w:val="none" w:sz="0" w:space="0" w:color="auto"/>
            <w:bottom w:val="none" w:sz="0" w:space="0" w:color="auto"/>
            <w:right w:val="none" w:sz="0" w:space="0" w:color="auto"/>
          </w:divBdr>
        </w:div>
      </w:divsChild>
    </w:div>
    <w:div w:id="2018729048">
      <w:bodyDiv w:val="1"/>
      <w:marLeft w:val="0"/>
      <w:marRight w:val="0"/>
      <w:marTop w:val="0"/>
      <w:marBottom w:val="0"/>
      <w:divBdr>
        <w:top w:val="none" w:sz="0" w:space="0" w:color="auto"/>
        <w:left w:val="none" w:sz="0" w:space="0" w:color="auto"/>
        <w:bottom w:val="none" w:sz="0" w:space="0" w:color="auto"/>
        <w:right w:val="none" w:sz="0" w:space="0" w:color="auto"/>
      </w:divBdr>
      <w:divsChild>
        <w:div w:id="6756330">
          <w:marLeft w:val="446"/>
          <w:marRight w:val="0"/>
          <w:marTop w:val="0"/>
          <w:marBottom w:val="180"/>
          <w:divBdr>
            <w:top w:val="none" w:sz="0" w:space="0" w:color="auto"/>
            <w:left w:val="none" w:sz="0" w:space="0" w:color="auto"/>
            <w:bottom w:val="none" w:sz="0" w:space="0" w:color="auto"/>
            <w:right w:val="none" w:sz="0" w:space="0" w:color="auto"/>
          </w:divBdr>
        </w:div>
        <w:div w:id="1124932533">
          <w:marLeft w:val="446"/>
          <w:marRight w:val="0"/>
          <w:marTop w:val="0"/>
          <w:marBottom w:val="180"/>
          <w:divBdr>
            <w:top w:val="none" w:sz="0" w:space="0" w:color="auto"/>
            <w:left w:val="none" w:sz="0" w:space="0" w:color="auto"/>
            <w:bottom w:val="none" w:sz="0" w:space="0" w:color="auto"/>
            <w:right w:val="none" w:sz="0" w:space="0" w:color="auto"/>
          </w:divBdr>
        </w:div>
        <w:div w:id="1828587548">
          <w:marLeft w:val="446"/>
          <w:marRight w:val="0"/>
          <w:marTop w:val="0"/>
          <w:marBottom w:val="180"/>
          <w:divBdr>
            <w:top w:val="none" w:sz="0" w:space="0" w:color="auto"/>
            <w:left w:val="none" w:sz="0" w:space="0" w:color="auto"/>
            <w:bottom w:val="none" w:sz="0" w:space="0" w:color="auto"/>
            <w:right w:val="none" w:sz="0" w:space="0" w:color="auto"/>
          </w:divBdr>
        </w:div>
      </w:divsChild>
    </w:div>
    <w:div w:id="2048406377">
      <w:bodyDiv w:val="1"/>
      <w:marLeft w:val="0"/>
      <w:marRight w:val="0"/>
      <w:marTop w:val="0"/>
      <w:marBottom w:val="0"/>
      <w:divBdr>
        <w:top w:val="none" w:sz="0" w:space="0" w:color="auto"/>
        <w:left w:val="none" w:sz="0" w:space="0" w:color="auto"/>
        <w:bottom w:val="none" w:sz="0" w:space="0" w:color="auto"/>
        <w:right w:val="none" w:sz="0" w:space="0" w:color="auto"/>
      </w:divBdr>
      <w:divsChild>
        <w:div w:id="1079252983">
          <w:marLeft w:val="446"/>
          <w:marRight w:val="0"/>
          <w:marTop w:val="0"/>
          <w:marBottom w:val="180"/>
          <w:divBdr>
            <w:top w:val="none" w:sz="0" w:space="0" w:color="auto"/>
            <w:left w:val="none" w:sz="0" w:space="0" w:color="auto"/>
            <w:bottom w:val="none" w:sz="0" w:space="0" w:color="auto"/>
            <w:right w:val="none" w:sz="0" w:space="0" w:color="auto"/>
          </w:divBdr>
        </w:div>
      </w:divsChild>
    </w:div>
    <w:div w:id="2080786331">
      <w:bodyDiv w:val="1"/>
      <w:marLeft w:val="0"/>
      <w:marRight w:val="0"/>
      <w:marTop w:val="0"/>
      <w:marBottom w:val="0"/>
      <w:divBdr>
        <w:top w:val="none" w:sz="0" w:space="0" w:color="auto"/>
        <w:left w:val="none" w:sz="0" w:space="0" w:color="auto"/>
        <w:bottom w:val="none" w:sz="0" w:space="0" w:color="auto"/>
        <w:right w:val="none" w:sz="0" w:space="0" w:color="auto"/>
      </w:divBdr>
    </w:div>
    <w:div w:id="2086607780">
      <w:bodyDiv w:val="1"/>
      <w:marLeft w:val="0"/>
      <w:marRight w:val="0"/>
      <w:marTop w:val="0"/>
      <w:marBottom w:val="0"/>
      <w:divBdr>
        <w:top w:val="none" w:sz="0" w:space="0" w:color="auto"/>
        <w:left w:val="none" w:sz="0" w:space="0" w:color="auto"/>
        <w:bottom w:val="none" w:sz="0" w:space="0" w:color="auto"/>
        <w:right w:val="none" w:sz="0" w:space="0" w:color="auto"/>
      </w:divBdr>
      <w:divsChild>
        <w:div w:id="336274674">
          <w:marLeft w:val="446"/>
          <w:marRight w:val="0"/>
          <w:marTop w:val="0"/>
          <w:marBottom w:val="180"/>
          <w:divBdr>
            <w:top w:val="none" w:sz="0" w:space="0" w:color="auto"/>
            <w:left w:val="none" w:sz="0" w:space="0" w:color="auto"/>
            <w:bottom w:val="none" w:sz="0" w:space="0" w:color="auto"/>
            <w:right w:val="none" w:sz="0" w:space="0" w:color="auto"/>
          </w:divBdr>
        </w:div>
        <w:div w:id="1092510443">
          <w:marLeft w:val="446"/>
          <w:marRight w:val="0"/>
          <w:marTop w:val="0"/>
          <w:marBottom w:val="180"/>
          <w:divBdr>
            <w:top w:val="none" w:sz="0" w:space="0" w:color="auto"/>
            <w:left w:val="none" w:sz="0" w:space="0" w:color="auto"/>
            <w:bottom w:val="none" w:sz="0" w:space="0" w:color="auto"/>
            <w:right w:val="none" w:sz="0" w:space="0" w:color="auto"/>
          </w:divBdr>
        </w:div>
      </w:divsChild>
    </w:div>
    <w:div w:id="2089186690">
      <w:bodyDiv w:val="1"/>
      <w:marLeft w:val="0"/>
      <w:marRight w:val="0"/>
      <w:marTop w:val="0"/>
      <w:marBottom w:val="0"/>
      <w:divBdr>
        <w:top w:val="none" w:sz="0" w:space="0" w:color="auto"/>
        <w:left w:val="none" w:sz="0" w:space="0" w:color="auto"/>
        <w:bottom w:val="none" w:sz="0" w:space="0" w:color="auto"/>
        <w:right w:val="none" w:sz="0" w:space="0" w:color="auto"/>
      </w:divBdr>
    </w:div>
    <w:div w:id="2111661448">
      <w:bodyDiv w:val="1"/>
      <w:marLeft w:val="0"/>
      <w:marRight w:val="0"/>
      <w:marTop w:val="0"/>
      <w:marBottom w:val="0"/>
      <w:divBdr>
        <w:top w:val="none" w:sz="0" w:space="0" w:color="auto"/>
        <w:left w:val="none" w:sz="0" w:space="0" w:color="auto"/>
        <w:bottom w:val="none" w:sz="0" w:space="0" w:color="auto"/>
        <w:right w:val="none" w:sz="0" w:space="0" w:color="auto"/>
      </w:divBdr>
    </w:div>
    <w:div w:id="212075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jpe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foodregulation.gov.au/internet/fr/publishing.nsf/Content/incident-response" TargetMode="External"/><Relationship Id="rId1" Type="http://schemas.openxmlformats.org/officeDocument/2006/relationships/hyperlink" Target="https://www.mpi.govt.nz/dmsdocument/41031/direct"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2020-10-02T00:00:00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C9A7F2DED5454297FE1BAF2195E9B8" ma:contentTypeVersion="6" ma:contentTypeDescription="Create a new document." ma:contentTypeScope="" ma:versionID="08b6fb41f8b7ba36af295b951d281b7d">
  <xsd:schema xmlns:xsd="http://www.w3.org/2001/XMLSchema" xmlns:xs="http://www.w3.org/2001/XMLSchema" xmlns:p="http://schemas.microsoft.com/office/2006/metadata/properties" xmlns:ns2="14f0af56-8366-4a9b-97cf-6f19e8e68c75" xmlns:ns3="b79107ef-62ae-416d-b3c7-a7530cf0a6c4" targetNamespace="http://schemas.microsoft.com/office/2006/metadata/properties" ma:root="true" ma:fieldsID="8b80646780bea8dd124e473c1cc26476" ns2:_="" ns3:_="">
    <xsd:import namespace="14f0af56-8366-4a9b-97cf-6f19e8e68c75"/>
    <xsd:import namespace="b79107ef-62ae-416d-b3c7-a7530cf0a6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0af56-8366-4a9b-97cf-6f19e8e68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107ef-62ae-416d-b3c7-a7530cf0a6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55502AF0-0624-48C8-99CC-6208953F3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0af56-8366-4a9b-97cf-6f19e8e68c75"/>
    <ds:schemaRef ds:uri="b79107ef-62ae-416d-b3c7-a7530cf0a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0396085-55AF-4380-A680-528C3D65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61</Pages>
  <Words>22775</Words>
  <Characters>129821</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Review of the Food Standards Australia New Zealand Act 1991</vt:lpstr>
    </vt:vector>
  </TitlesOfParts>
  <Company>Nous Group</Company>
  <LinksUpToDate>false</LinksUpToDate>
  <CharactersWithSpaces>152292</CharactersWithSpaces>
  <SharedDoc>false</SharedDoc>
  <HLinks>
    <vt:vector size="222" baseType="variant">
      <vt:variant>
        <vt:i4>1048632</vt:i4>
      </vt:variant>
      <vt:variant>
        <vt:i4>206</vt:i4>
      </vt:variant>
      <vt:variant>
        <vt:i4>0</vt:i4>
      </vt:variant>
      <vt:variant>
        <vt:i4>5</vt:i4>
      </vt:variant>
      <vt:variant>
        <vt:lpwstr/>
      </vt:variant>
      <vt:variant>
        <vt:lpwstr>_Toc52179153</vt:lpwstr>
      </vt:variant>
      <vt:variant>
        <vt:i4>1114168</vt:i4>
      </vt:variant>
      <vt:variant>
        <vt:i4>200</vt:i4>
      </vt:variant>
      <vt:variant>
        <vt:i4>0</vt:i4>
      </vt:variant>
      <vt:variant>
        <vt:i4>5</vt:i4>
      </vt:variant>
      <vt:variant>
        <vt:lpwstr/>
      </vt:variant>
      <vt:variant>
        <vt:lpwstr>_Toc52179152</vt:lpwstr>
      </vt:variant>
      <vt:variant>
        <vt:i4>1179704</vt:i4>
      </vt:variant>
      <vt:variant>
        <vt:i4>194</vt:i4>
      </vt:variant>
      <vt:variant>
        <vt:i4>0</vt:i4>
      </vt:variant>
      <vt:variant>
        <vt:i4>5</vt:i4>
      </vt:variant>
      <vt:variant>
        <vt:lpwstr/>
      </vt:variant>
      <vt:variant>
        <vt:lpwstr>_Toc52179151</vt:lpwstr>
      </vt:variant>
      <vt:variant>
        <vt:i4>1245240</vt:i4>
      </vt:variant>
      <vt:variant>
        <vt:i4>188</vt:i4>
      </vt:variant>
      <vt:variant>
        <vt:i4>0</vt:i4>
      </vt:variant>
      <vt:variant>
        <vt:i4>5</vt:i4>
      </vt:variant>
      <vt:variant>
        <vt:lpwstr/>
      </vt:variant>
      <vt:variant>
        <vt:lpwstr>_Toc52179150</vt:lpwstr>
      </vt:variant>
      <vt:variant>
        <vt:i4>1703993</vt:i4>
      </vt:variant>
      <vt:variant>
        <vt:i4>182</vt:i4>
      </vt:variant>
      <vt:variant>
        <vt:i4>0</vt:i4>
      </vt:variant>
      <vt:variant>
        <vt:i4>5</vt:i4>
      </vt:variant>
      <vt:variant>
        <vt:lpwstr/>
      </vt:variant>
      <vt:variant>
        <vt:lpwstr>_Toc52179149</vt:lpwstr>
      </vt:variant>
      <vt:variant>
        <vt:i4>1769529</vt:i4>
      </vt:variant>
      <vt:variant>
        <vt:i4>176</vt:i4>
      </vt:variant>
      <vt:variant>
        <vt:i4>0</vt:i4>
      </vt:variant>
      <vt:variant>
        <vt:i4>5</vt:i4>
      </vt:variant>
      <vt:variant>
        <vt:lpwstr/>
      </vt:variant>
      <vt:variant>
        <vt:lpwstr>_Toc52179148</vt:lpwstr>
      </vt:variant>
      <vt:variant>
        <vt:i4>1310777</vt:i4>
      </vt:variant>
      <vt:variant>
        <vt:i4>170</vt:i4>
      </vt:variant>
      <vt:variant>
        <vt:i4>0</vt:i4>
      </vt:variant>
      <vt:variant>
        <vt:i4>5</vt:i4>
      </vt:variant>
      <vt:variant>
        <vt:lpwstr/>
      </vt:variant>
      <vt:variant>
        <vt:lpwstr>_Toc52179147</vt:lpwstr>
      </vt:variant>
      <vt:variant>
        <vt:i4>1376313</vt:i4>
      </vt:variant>
      <vt:variant>
        <vt:i4>164</vt:i4>
      </vt:variant>
      <vt:variant>
        <vt:i4>0</vt:i4>
      </vt:variant>
      <vt:variant>
        <vt:i4>5</vt:i4>
      </vt:variant>
      <vt:variant>
        <vt:lpwstr/>
      </vt:variant>
      <vt:variant>
        <vt:lpwstr>_Toc52179146</vt:lpwstr>
      </vt:variant>
      <vt:variant>
        <vt:i4>1441849</vt:i4>
      </vt:variant>
      <vt:variant>
        <vt:i4>158</vt:i4>
      </vt:variant>
      <vt:variant>
        <vt:i4>0</vt:i4>
      </vt:variant>
      <vt:variant>
        <vt:i4>5</vt:i4>
      </vt:variant>
      <vt:variant>
        <vt:lpwstr/>
      </vt:variant>
      <vt:variant>
        <vt:lpwstr>_Toc52179145</vt:lpwstr>
      </vt:variant>
      <vt:variant>
        <vt:i4>1507385</vt:i4>
      </vt:variant>
      <vt:variant>
        <vt:i4>152</vt:i4>
      </vt:variant>
      <vt:variant>
        <vt:i4>0</vt:i4>
      </vt:variant>
      <vt:variant>
        <vt:i4>5</vt:i4>
      </vt:variant>
      <vt:variant>
        <vt:lpwstr/>
      </vt:variant>
      <vt:variant>
        <vt:lpwstr>_Toc52179144</vt:lpwstr>
      </vt:variant>
      <vt:variant>
        <vt:i4>1048633</vt:i4>
      </vt:variant>
      <vt:variant>
        <vt:i4>146</vt:i4>
      </vt:variant>
      <vt:variant>
        <vt:i4>0</vt:i4>
      </vt:variant>
      <vt:variant>
        <vt:i4>5</vt:i4>
      </vt:variant>
      <vt:variant>
        <vt:lpwstr/>
      </vt:variant>
      <vt:variant>
        <vt:lpwstr>_Toc52179143</vt:lpwstr>
      </vt:variant>
      <vt:variant>
        <vt:i4>1114169</vt:i4>
      </vt:variant>
      <vt:variant>
        <vt:i4>140</vt:i4>
      </vt:variant>
      <vt:variant>
        <vt:i4>0</vt:i4>
      </vt:variant>
      <vt:variant>
        <vt:i4>5</vt:i4>
      </vt:variant>
      <vt:variant>
        <vt:lpwstr/>
      </vt:variant>
      <vt:variant>
        <vt:lpwstr>_Toc52179142</vt:lpwstr>
      </vt:variant>
      <vt:variant>
        <vt:i4>1179705</vt:i4>
      </vt:variant>
      <vt:variant>
        <vt:i4>134</vt:i4>
      </vt:variant>
      <vt:variant>
        <vt:i4>0</vt:i4>
      </vt:variant>
      <vt:variant>
        <vt:i4>5</vt:i4>
      </vt:variant>
      <vt:variant>
        <vt:lpwstr/>
      </vt:variant>
      <vt:variant>
        <vt:lpwstr>_Toc52179141</vt:lpwstr>
      </vt:variant>
      <vt:variant>
        <vt:i4>1245241</vt:i4>
      </vt:variant>
      <vt:variant>
        <vt:i4>128</vt:i4>
      </vt:variant>
      <vt:variant>
        <vt:i4>0</vt:i4>
      </vt:variant>
      <vt:variant>
        <vt:i4>5</vt:i4>
      </vt:variant>
      <vt:variant>
        <vt:lpwstr/>
      </vt:variant>
      <vt:variant>
        <vt:lpwstr>_Toc52179140</vt:lpwstr>
      </vt:variant>
      <vt:variant>
        <vt:i4>1703998</vt:i4>
      </vt:variant>
      <vt:variant>
        <vt:i4>122</vt:i4>
      </vt:variant>
      <vt:variant>
        <vt:i4>0</vt:i4>
      </vt:variant>
      <vt:variant>
        <vt:i4>5</vt:i4>
      </vt:variant>
      <vt:variant>
        <vt:lpwstr/>
      </vt:variant>
      <vt:variant>
        <vt:lpwstr>_Toc52179139</vt:lpwstr>
      </vt:variant>
      <vt:variant>
        <vt:i4>1769534</vt:i4>
      </vt:variant>
      <vt:variant>
        <vt:i4>116</vt:i4>
      </vt:variant>
      <vt:variant>
        <vt:i4>0</vt:i4>
      </vt:variant>
      <vt:variant>
        <vt:i4>5</vt:i4>
      </vt:variant>
      <vt:variant>
        <vt:lpwstr/>
      </vt:variant>
      <vt:variant>
        <vt:lpwstr>_Toc52179138</vt:lpwstr>
      </vt:variant>
      <vt:variant>
        <vt:i4>1310782</vt:i4>
      </vt:variant>
      <vt:variant>
        <vt:i4>110</vt:i4>
      </vt:variant>
      <vt:variant>
        <vt:i4>0</vt:i4>
      </vt:variant>
      <vt:variant>
        <vt:i4>5</vt:i4>
      </vt:variant>
      <vt:variant>
        <vt:lpwstr/>
      </vt:variant>
      <vt:variant>
        <vt:lpwstr>_Toc52179137</vt:lpwstr>
      </vt:variant>
      <vt:variant>
        <vt:i4>1376318</vt:i4>
      </vt:variant>
      <vt:variant>
        <vt:i4>104</vt:i4>
      </vt:variant>
      <vt:variant>
        <vt:i4>0</vt:i4>
      </vt:variant>
      <vt:variant>
        <vt:i4>5</vt:i4>
      </vt:variant>
      <vt:variant>
        <vt:lpwstr/>
      </vt:variant>
      <vt:variant>
        <vt:lpwstr>_Toc52179136</vt:lpwstr>
      </vt:variant>
      <vt:variant>
        <vt:i4>1441854</vt:i4>
      </vt:variant>
      <vt:variant>
        <vt:i4>98</vt:i4>
      </vt:variant>
      <vt:variant>
        <vt:i4>0</vt:i4>
      </vt:variant>
      <vt:variant>
        <vt:i4>5</vt:i4>
      </vt:variant>
      <vt:variant>
        <vt:lpwstr/>
      </vt:variant>
      <vt:variant>
        <vt:lpwstr>_Toc52179135</vt:lpwstr>
      </vt:variant>
      <vt:variant>
        <vt:i4>1507390</vt:i4>
      </vt:variant>
      <vt:variant>
        <vt:i4>92</vt:i4>
      </vt:variant>
      <vt:variant>
        <vt:i4>0</vt:i4>
      </vt:variant>
      <vt:variant>
        <vt:i4>5</vt:i4>
      </vt:variant>
      <vt:variant>
        <vt:lpwstr/>
      </vt:variant>
      <vt:variant>
        <vt:lpwstr>_Toc52179134</vt:lpwstr>
      </vt:variant>
      <vt:variant>
        <vt:i4>1048638</vt:i4>
      </vt:variant>
      <vt:variant>
        <vt:i4>86</vt:i4>
      </vt:variant>
      <vt:variant>
        <vt:i4>0</vt:i4>
      </vt:variant>
      <vt:variant>
        <vt:i4>5</vt:i4>
      </vt:variant>
      <vt:variant>
        <vt:lpwstr/>
      </vt:variant>
      <vt:variant>
        <vt:lpwstr>_Toc52179133</vt:lpwstr>
      </vt:variant>
      <vt:variant>
        <vt:i4>1114174</vt:i4>
      </vt:variant>
      <vt:variant>
        <vt:i4>80</vt:i4>
      </vt:variant>
      <vt:variant>
        <vt:i4>0</vt:i4>
      </vt:variant>
      <vt:variant>
        <vt:i4>5</vt:i4>
      </vt:variant>
      <vt:variant>
        <vt:lpwstr/>
      </vt:variant>
      <vt:variant>
        <vt:lpwstr>_Toc52179132</vt:lpwstr>
      </vt:variant>
      <vt:variant>
        <vt:i4>1179710</vt:i4>
      </vt:variant>
      <vt:variant>
        <vt:i4>74</vt:i4>
      </vt:variant>
      <vt:variant>
        <vt:i4>0</vt:i4>
      </vt:variant>
      <vt:variant>
        <vt:i4>5</vt:i4>
      </vt:variant>
      <vt:variant>
        <vt:lpwstr/>
      </vt:variant>
      <vt:variant>
        <vt:lpwstr>_Toc52179131</vt:lpwstr>
      </vt:variant>
      <vt:variant>
        <vt:i4>1245246</vt:i4>
      </vt:variant>
      <vt:variant>
        <vt:i4>68</vt:i4>
      </vt:variant>
      <vt:variant>
        <vt:i4>0</vt:i4>
      </vt:variant>
      <vt:variant>
        <vt:i4>5</vt:i4>
      </vt:variant>
      <vt:variant>
        <vt:lpwstr/>
      </vt:variant>
      <vt:variant>
        <vt:lpwstr>_Toc52179130</vt:lpwstr>
      </vt:variant>
      <vt:variant>
        <vt:i4>1703999</vt:i4>
      </vt:variant>
      <vt:variant>
        <vt:i4>62</vt:i4>
      </vt:variant>
      <vt:variant>
        <vt:i4>0</vt:i4>
      </vt:variant>
      <vt:variant>
        <vt:i4>5</vt:i4>
      </vt:variant>
      <vt:variant>
        <vt:lpwstr/>
      </vt:variant>
      <vt:variant>
        <vt:lpwstr>_Toc52179129</vt:lpwstr>
      </vt:variant>
      <vt:variant>
        <vt:i4>1769535</vt:i4>
      </vt:variant>
      <vt:variant>
        <vt:i4>56</vt:i4>
      </vt:variant>
      <vt:variant>
        <vt:i4>0</vt:i4>
      </vt:variant>
      <vt:variant>
        <vt:i4>5</vt:i4>
      </vt:variant>
      <vt:variant>
        <vt:lpwstr/>
      </vt:variant>
      <vt:variant>
        <vt:lpwstr>_Toc52179128</vt:lpwstr>
      </vt:variant>
      <vt:variant>
        <vt:i4>1310783</vt:i4>
      </vt:variant>
      <vt:variant>
        <vt:i4>50</vt:i4>
      </vt:variant>
      <vt:variant>
        <vt:i4>0</vt:i4>
      </vt:variant>
      <vt:variant>
        <vt:i4>5</vt:i4>
      </vt:variant>
      <vt:variant>
        <vt:lpwstr/>
      </vt:variant>
      <vt:variant>
        <vt:lpwstr>_Toc52179127</vt:lpwstr>
      </vt:variant>
      <vt:variant>
        <vt:i4>1376319</vt:i4>
      </vt:variant>
      <vt:variant>
        <vt:i4>44</vt:i4>
      </vt:variant>
      <vt:variant>
        <vt:i4>0</vt:i4>
      </vt:variant>
      <vt:variant>
        <vt:i4>5</vt:i4>
      </vt:variant>
      <vt:variant>
        <vt:lpwstr/>
      </vt:variant>
      <vt:variant>
        <vt:lpwstr>_Toc52179126</vt:lpwstr>
      </vt:variant>
      <vt:variant>
        <vt:i4>1441855</vt:i4>
      </vt:variant>
      <vt:variant>
        <vt:i4>38</vt:i4>
      </vt:variant>
      <vt:variant>
        <vt:i4>0</vt:i4>
      </vt:variant>
      <vt:variant>
        <vt:i4>5</vt:i4>
      </vt:variant>
      <vt:variant>
        <vt:lpwstr/>
      </vt:variant>
      <vt:variant>
        <vt:lpwstr>_Toc52179125</vt:lpwstr>
      </vt:variant>
      <vt:variant>
        <vt:i4>1507391</vt:i4>
      </vt:variant>
      <vt:variant>
        <vt:i4>32</vt:i4>
      </vt:variant>
      <vt:variant>
        <vt:i4>0</vt:i4>
      </vt:variant>
      <vt:variant>
        <vt:i4>5</vt:i4>
      </vt:variant>
      <vt:variant>
        <vt:lpwstr/>
      </vt:variant>
      <vt:variant>
        <vt:lpwstr>_Toc52179124</vt:lpwstr>
      </vt:variant>
      <vt:variant>
        <vt:i4>1048639</vt:i4>
      </vt:variant>
      <vt:variant>
        <vt:i4>26</vt:i4>
      </vt:variant>
      <vt:variant>
        <vt:i4>0</vt:i4>
      </vt:variant>
      <vt:variant>
        <vt:i4>5</vt:i4>
      </vt:variant>
      <vt:variant>
        <vt:lpwstr/>
      </vt:variant>
      <vt:variant>
        <vt:lpwstr>_Toc52179123</vt:lpwstr>
      </vt:variant>
      <vt:variant>
        <vt:i4>1114175</vt:i4>
      </vt:variant>
      <vt:variant>
        <vt:i4>20</vt:i4>
      </vt:variant>
      <vt:variant>
        <vt:i4>0</vt:i4>
      </vt:variant>
      <vt:variant>
        <vt:i4>5</vt:i4>
      </vt:variant>
      <vt:variant>
        <vt:lpwstr/>
      </vt:variant>
      <vt:variant>
        <vt:lpwstr>_Toc52179122</vt:lpwstr>
      </vt:variant>
      <vt:variant>
        <vt:i4>1179711</vt:i4>
      </vt:variant>
      <vt:variant>
        <vt:i4>14</vt:i4>
      </vt:variant>
      <vt:variant>
        <vt:i4>0</vt:i4>
      </vt:variant>
      <vt:variant>
        <vt:i4>5</vt:i4>
      </vt:variant>
      <vt:variant>
        <vt:lpwstr/>
      </vt:variant>
      <vt:variant>
        <vt:lpwstr>_Toc52179121</vt:lpwstr>
      </vt:variant>
      <vt:variant>
        <vt:i4>1245247</vt:i4>
      </vt:variant>
      <vt:variant>
        <vt:i4>8</vt:i4>
      </vt:variant>
      <vt:variant>
        <vt:i4>0</vt:i4>
      </vt:variant>
      <vt:variant>
        <vt:i4>5</vt:i4>
      </vt:variant>
      <vt:variant>
        <vt:lpwstr/>
      </vt:variant>
      <vt:variant>
        <vt:lpwstr>_Toc52179120</vt:lpwstr>
      </vt:variant>
      <vt:variant>
        <vt:i4>1703996</vt:i4>
      </vt:variant>
      <vt:variant>
        <vt:i4>2</vt:i4>
      </vt:variant>
      <vt:variant>
        <vt:i4>0</vt:i4>
      </vt:variant>
      <vt:variant>
        <vt:i4>5</vt:i4>
      </vt:variant>
      <vt:variant>
        <vt:lpwstr/>
      </vt:variant>
      <vt:variant>
        <vt:lpwstr>_Toc52179119</vt:lpwstr>
      </vt:variant>
      <vt:variant>
        <vt:i4>7929953</vt:i4>
      </vt:variant>
      <vt:variant>
        <vt:i4>3</vt:i4>
      </vt:variant>
      <vt:variant>
        <vt:i4>0</vt:i4>
      </vt:variant>
      <vt:variant>
        <vt:i4>5</vt:i4>
      </vt:variant>
      <vt:variant>
        <vt:lpwstr>https://foodregulation.gov.au/internet/fr/publishing.nsf/Content/incident-response</vt:lpwstr>
      </vt:variant>
      <vt:variant>
        <vt:lpwstr>:~:text=They%20conduct%20epidemiological%20investigations%20to,is%20the%20source%20of%20illness.&amp;text=FSANZ%20provides%20the%20secretariat%20for,activities%2C%20collate%20and%20share%20information.</vt:lpwstr>
      </vt:variant>
      <vt:variant>
        <vt:i4>6226013</vt:i4>
      </vt:variant>
      <vt:variant>
        <vt:i4>0</vt:i4>
      </vt:variant>
      <vt:variant>
        <vt:i4>0</vt:i4>
      </vt:variant>
      <vt:variant>
        <vt:i4>5</vt:i4>
      </vt:variant>
      <vt:variant>
        <vt:lpwstr>https://www.mpi.govt.nz/dmsdocument/41031/direct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Food Standards Australia New Zealand Act 1991</dc:title>
  <dc:subject>Scoping paper for public consultation</dc:subject>
  <dc:creator>Lauren Ware Morand</dc:creator>
  <cp:keywords/>
  <dc:description/>
  <cp:lastModifiedBy>Ned Lis-Clarke</cp:lastModifiedBy>
  <cp:revision>7</cp:revision>
  <cp:lastPrinted>2020-10-01T21:13:00Z</cp:lastPrinted>
  <dcterms:created xsi:type="dcterms:W3CDTF">2020-10-01T21:19:00Z</dcterms:created>
  <dcterms:modified xsi:type="dcterms:W3CDTF">2020-10-02T02:36:00Z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0x01010070C9A7F2DED5454297FE1BAF2195E9B8</vt:lpwstr>
  </property>
</Properties>
</file>