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681B1" w14:textId="2131B4A7" w:rsidR="009C323E" w:rsidRPr="005C724E" w:rsidRDefault="00C803CD" w:rsidP="00B77339">
      <w:pPr>
        <w:pStyle w:val="Covertitle"/>
        <w:rPr>
          <w:rFonts w:cs="Segoe UI"/>
          <w:b/>
          <w:color w:val="00264D"/>
          <w:sz w:val="64"/>
          <w:szCs w:val="64"/>
        </w:rPr>
      </w:pPr>
      <w:bookmarkStart w:id="0" w:name="_Toc55908921"/>
      <w:r w:rsidRPr="00ED0134">
        <w:rPr>
          <w:noProof/>
        </w:rPr>
        <w:drawing>
          <wp:anchor distT="0" distB="0" distL="114300" distR="114300" simplePos="0" relativeHeight="251658241" behindDoc="1" locked="0" layoutInCell="1" allowOverlap="1" wp14:anchorId="57892A4E" wp14:editId="6D80EFC9">
            <wp:simplePos x="0" y="0"/>
            <wp:positionH relativeFrom="page">
              <wp:posOffset>12700</wp:posOffset>
            </wp:positionH>
            <wp:positionV relativeFrom="page">
              <wp:posOffset>-668184</wp:posOffset>
            </wp:positionV>
            <wp:extent cx="7559998" cy="10693741"/>
            <wp:effectExtent l="0" t="0" r="3175" b="0"/>
            <wp:wrapNone/>
            <wp:docPr id="27870" name="Picture 27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0" name="Picture 2787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bCs/>
            <w:color w:val="FFFFFF" w:themeColor="background1"/>
            <w:sz w:val="64"/>
            <w:szCs w:val="64"/>
          </w:rPr>
          <w:id w:val="803730555"/>
          <w:placeholder>
            <w:docPart w:val="4D1713CF619B4984A02EF6290868C64D"/>
          </w:placeholder>
          <w:docPartObj>
            <w:docPartGallery w:val="Cover Pages"/>
            <w:docPartUnique/>
          </w:docPartObj>
        </w:sdtPr>
        <w:sdtEndPr>
          <w:rPr>
            <w:color w:val="00264D"/>
            <w:sz w:val="36"/>
            <w:szCs w:val="36"/>
          </w:rPr>
        </w:sdtEndPr>
        <w:sdtContent>
          <w:sdt>
            <w:sdtPr>
              <w:rPr>
                <w:rFonts w:cs="Segoe UI"/>
                <w:b/>
                <w:bCs/>
                <w:color w:val="FFFFFF" w:themeColor="background1"/>
                <w:sz w:val="54"/>
                <w:szCs w:val="54"/>
              </w:rPr>
              <w:alias w:val="Title"/>
              <w:tag w:val=""/>
              <w:id w:val="-1850469689"/>
              <w:placeholder>
                <w:docPart w:val="4D1713CF619B4984A02EF6290868C64D"/>
              </w:placeholder>
              <w:dataBinding w:prefixMappings="xmlns:ns0='http://purl.org/dc/elements/1.1/' xmlns:ns1='http://schemas.openxmlformats.org/package/2006/metadata/core-properties' " w:xpath="/ns1:coreProperties[1]/ns0:title[1]" w:storeItemID="{6C3C8BC8-F283-45AE-878A-BAB7291924A1}"/>
              <w:text/>
            </w:sdtPr>
            <w:sdtContent>
              <w:r w:rsidR="009C323E" w:rsidRPr="00B77339">
                <w:rPr>
                  <w:rFonts w:cs="Segoe UI"/>
                  <w:b/>
                  <w:bCs/>
                  <w:color w:val="FFFFFF" w:themeColor="background1"/>
                  <w:sz w:val="54"/>
                  <w:szCs w:val="54"/>
                </w:rPr>
                <w:t xml:space="preserve">Modernising the </w:t>
              </w:r>
              <w:r w:rsidR="00285F99" w:rsidRPr="00B77339">
                <w:rPr>
                  <w:rFonts w:cs="Segoe UI"/>
                  <w:b/>
                  <w:bCs/>
                  <w:color w:val="FFFFFF" w:themeColor="background1"/>
                  <w:sz w:val="54"/>
                  <w:szCs w:val="54"/>
                </w:rPr>
                <w:t>Food Standards Australia New Zealand Act 1991</w:t>
              </w:r>
            </w:sdtContent>
          </w:sdt>
        </w:sdtContent>
      </w:sdt>
    </w:p>
    <w:p w14:paraId="057323A5" w14:textId="71AB1BBC" w:rsidR="00083C44" w:rsidRPr="00F75386" w:rsidRDefault="00000000" w:rsidP="00B77339">
      <w:pPr>
        <w:pStyle w:val="CoverPage-Client"/>
        <w:spacing w:before="360"/>
        <w:rPr>
          <w:rFonts w:cs="Segoe UI"/>
          <w:color w:val="F8981D" w:themeColor="accent3"/>
        </w:rPr>
      </w:pPr>
      <w:sdt>
        <w:sdtPr>
          <w:rPr>
            <w:rStyle w:val="CoverPage-ClientChar"/>
            <w:rFonts w:cs="Segoe UI"/>
            <w:color w:val="F8981D" w:themeColor="accent3"/>
          </w:r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Content>
          <w:r w:rsidR="002F5D8A">
            <w:rPr>
              <w:rStyle w:val="CoverPage-ClientChar"/>
              <w:rFonts w:cs="Segoe UI"/>
              <w:color w:val="F8981D" w:themeColor="accent3"/>
            </w:rPr>
            <w:t>Impact Analysis</w:t>
          </w:r>
        </w:sdtContent>
      </w:sdt>
      <w:bookmarkStart w:id="1" w:name="_Ref63769096"/>
      <w:bookmarkEnd w:id="1"/>
    </w:p>
    <w:p w14:paraId="2D2B1462" w14:textId="109C2D6C" w:rsidR="00083C44" w:rsidRPr="00D13828" w:rsidRDefault="00000000" w:rsidP="00083C44">
      <w:pPr>
        <w:pStyle w:val="CoverPage-Date"/>
        <w:spacing w:before="240"/>
        <w:rPr>
          <w:color w:val="FFFFFF" w:themeColor="background1"/>
        </w:rPr>
      </w:pPr>
      <w:sdt>
        <w:sdtPr>
          <w:rPr>
            <w:rStyle w:val="CoverPage-DateChar"/>
            <w:rFonts w:cs="Segoe UI"/>
            <w:color w:val="FFFFFF" w:themeColor="background1"/>
            <w:sz w:val="20"/>
            <w:szCs w:val="20"/>
          </w:rPr>
          <w:alias w:val="Publish Date"/>
          <w:tag w:val=""/>
          <w:id w:val="442437230"/>
          <w:dataBinding w:prefixMappings="xmlns:ns0='http://schemas.microsoft.com/office/2006/coverPageProps' " w:xpath="/ns0:CoverPageProperties[1]/ns0:PublishDate[1]" w:storeItemID="{55AF091B-3C7A-41E3-B477-F2FDAA23CFDA}"/>
          <w:date w:fullDate="2024-01-25T00:00:00Z">
            <w:dateFormat w:val="d MMMM yyyy"/>
            <w:lid w:val="en-AU"/>
            <w:storeMappedDataAs w:val="dateTime"/>
            <w:calendar w:val="gregorian"/>
          </w:date>
        </w:sdtPr>
        <w:sdtEndPr>
          <w:rPr>
            <w:rStyle w:val="DefaultParagraphFont"/>
            <w:rFonts w:cs="Times New Roman"/>
            <w:sz w:val="24"/>
            <w:szCs w:val="19"/>
          </w:rPr>
        </w:sdtEndPr>
        <w:sdtContent>
          <w:r w:rsidR="00E17EE3">
            <w:rPr>
              <w:rStyle w:val="CoverPage-DateChar"/>
              <w:rFonts w:cs="Segoe UI"/>
              <w:color w:val="FFFFFF" w:themeColor="background1"/>
              <w:sz w:val="20"/>
              <w:szCs w:val="20"/>
            </w:rPr>
            <w:t>25 January 2024</w:t>
          </w:r>
        </w:sdtContent>
      </w:sdt>
    </w:p>
    <w:p w14:paraId="1CA1B0DD" w14:textId="77777777" w:rsidR="00083C44" w:rsidRDefault="00083C44" w:rsidP="00083C44">
      <w:pPr>
        <w:suppressAutoHyphens/>
        <w:spacing w:after="0" w:line="680" w:lineRule="exact"/>
      </w:pPr>
    </w:p>
    <w:p w14:paraId="4B8FD307" w14:textId="77777777" w:rsidR="00B109F7" w:rsidRDefault="00B109F7" w:rsidP="00083C44">
      <w:pPr>
        <w:suppressAutoHyphens/>
        <w:spacing w:after="0" w:line="680" w:lineRule="exact"/>
        <w:sectPr w:rsidR="00B109F7" w:rsidSect="00B77339">
          <w:headerReference w:type="even" r:id="rId13"/>
          <w:footerReference w:type="default" r:id="rId14"/>
          <w:headerReference w:type="first" r:id="rId15"/>
          <w:footerReference w:type="first" r:id="rId16"/>
          <w:pgSz w:w="11907" w:h="16839" w:code="9"/>
          <w:pgMar w:top="11340" w:right="1418" w:bottom="1701" w:left="1559" w:header="737" w:footer="567" w:gutter="0"/>
          <w:pgNumType w:start="0"/>
          <w:cols w:space="720"/>
          <w:titlePg/>
          <w:docGrid w:linePitch="360"/>
        </w:sectPr>
      </w:pPr>
    </w:p>
    <w:p w14:paraId="7A4F8AAB" w14:textId="05D21BDA" w:rsidR="00D76202" w:rsidRDefault="008B149E" w:rsidP="00F1206B">
      <w:pPr>
        <w:spacing w:before="4200"/>
        <w:rPr>
          <w:rFonts w:asciiTheme="minorHAnsi" w:hAnsiTheme="minorHAnsi" w:cstheme="minorHAnsi"/>
          <w:sz w:val="23"/>
          <w:szCs w:val="23"/>
        </w:rPr>
      </w:pPr>
      <w:r>
        <w:rPr>
          <w:rFonts w:cs="Segoe UI Semibold"/>
          <w:i/>
          <w:noProof/>
          <w:sz w:val="16"/>
          <w:szCs w:val="16"/>
        </w:rPr>
        <w:lastRenderedPageBreak/>
        <w:drawing>
          <wp:anchor distT="0" distB="0" distL="114300" distR="114300" simplePos="0" relativeHeight="251658242" behindDoc="1" locked="0" layoutInCell="1" allowOverlap="1" wp14:anchorId="31CCBDA0" wp14:editId="067BD78D">
            <wp:simplePos x="0" y="0"/>
            <wp:positionH relativeFrom="page">
              <wp:posOffset>-9525</wp:posOffset>
            </wp:positionH>
            <wp:positionV relativeFrom="page">
              <wp:posOffset>-28575</wp:posOffset>
            </wp:positionV>
            <wp:extent cx="7559675" cy="9772650"/>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9772650"/>
                    </a:xfrm>
                    <a:prstGeom prst="rect">
                      <a:avLst/>
                    </a:prstGeom>
                  </pic:spPr>
                </pic:pic>
              </a:graphicData>
            </a:graphic>
            <wp14:sizeRelH relativeFrom="margin">
              <wp14:pctWidth>0</wp14:pctWidth>
            </wp14:sizeRelH>
            <wp14:sizeRelV relativeFrom="margin">
              <wp14:pctHeight>0</wp14:pctHeight>
            </wp14:sizeRelV>
          </wp:anchor>
        </w:drawing>
      </w:r>
      <w:r w:rsidR="00D76202" w:rsidRPr="00236C84">
        <w:rPr>
          <w:rFonts w:asciiTheme="minorHAnsi" w:hAnsiTheme="minorHAnsi" w:cstheme="minorHAnsi"/>
          <w:b/>
          <w:bCs/>
          <w:sz w:val="23"/>
          <w:szCs w:val="23"/>
        </w:rPr>
        <w:t>Nous Group</w:t>
      </w:r>
      <w:r w:rsidR="00D76202" w:rsidRPr="00236C84">
        <w:rPr>
          <w:sz w:val="23"/>
          <w:szCs w:val="23"/>
        </w:rPr>
        <w:t xml:space="preserve"> </w:t>
      </w:r>
      <w:r w:rsidR="00D76202" w:rsidRPr="00236C84">
        <w:rPr>
          <w:rFonts w:asciiTheme="minorHAnsi" w:hAnsiTheme="minorHAnsi" w:cstheme="minorHAnsi"/>
          <w:sz w:val="23"/>
          <w:szCs w:val="23"/>
        </w:rPr>
        <w:t xml:space="preserve">acknowledges Aboriginal and Torres Strait Islander </w:t>
      </w:r>
      <w:r w:rsidR="008117F8">
        <w:rPr>
          <w:rFonts w:asciiTheme="minorHAnsi" w:hAnsiTheme="minorHAnsi" w:cstheme="minorHAnsi"/>
          <w:sz w:val="23"/>
          <w:szCs w:val="23"/>
        </w:rPr>
        <w:t>Peoples</w:t>
      </w:r>
      <w:r w:rsidR="00D76202" w:rsidRPr="00236C84">
        <w:rPr>
          <w:rFonts w:asciiTheme="minorHAnsi" w:hAnsiTheme="minorHAnsi" w:cstheme="minorHAnsi"/>
          <w:sz w:val="23"/>
          <w:szCs w:val="23"/>
        </w:rPr>
        <w:t xml:space="preserve"> as the First Australians and the Traditional Custodians of country throughout Australia. We pay our respect to Elders past, present and emerging, who maintain their culture, country and spiritual connection to the land, </w:t>
      </w:r>
      <w:proofErr w:type="gramStart"/>
      <w:r w:rsidR="00D76202" w:rsidRPr="00236C84">
        <w:rPr>
          <w:rFonts w:asciiTheme="minorHAnsi" w:hAnsiTheme="minorHAnsi" w:cstheme="minorHAnsi"/>
          <w:sz w:val="23"/>
          <w:szCs w:val="23"/>
        </w:rPr>
        <w:t>sea</w:t>
      </w:r>
      <w:proofErr w:type="gramEnd"/>
      <w:r w:rsidR="00D76202" w:rsidRPr="00236C84">
        <w:rPr>
          <w:rFonts w:asciiTheme="minorHAnsi" w:hAnsiTheme="minorHAnsi" w:cstheme="minorHAnsi"/>
          <w:sz w:val="23"/>
          <w:szCs w:val="23"/>
        </w:rPr>
        <w:t xml:space="preserve"> and community.</w:t>
      </w:r>
    </w:p>
    <w:p w14:paraId="46EDEDFE" w14:textId="77777777" w:rsidR="002D7C81" w:rsidRDefault="00D76202" w:rsidP="000543AB">
      <w:pPr>
        <w:pBdr>
          <w:bottom w:val="single" w:sz="12" w:space="1" w:color="auto"/>
        </w:pBdr>
        <w:spacing w:before="480"/>
        <w:ind w:right="2267"/>
        <w:rPr>
          <w:sz w:val="18"/>
          <w:szCs w:val="18"/>
          <w:lang w:eastAsia="en-AU"/>
        </w:rPr>
      </w:pPr>
      <w:r w:rsidRPr="00E66F00">
        <w:rPr>
          <w:sz w:val="18"/>
          <w:szCs w:val="18"/>
          <w:lang w:eastAsia="en-AU"/>
        </w:rPr>
        <w:t xml:space="preserve">This artwork was developed by Marcus Lee Design to reflect Nous Group’s Reconciliation Action Plan and our aspirations for respectful and productive engagement with Aboriginal and Torres Strait Islander </w:t>
      </w:r>
      <w:r w:rsidR="008117F8">
        <w:rPr>
          <w:sz w:val="18"/>
          <w:szCs w:val="18"/>
          <w:lang w:eastAsia="en-AU"/>
        </w:rPr>
        <w:t>Peoples</w:t>
      </w:r>
      <w:r w:rsidRPr="00E66F00">
        <w:rPr>
          <w:sz w:val="18"/>
          <w:szCs w:val="18"/>
          <w:lang w:eastAsia="en-AU"/>
        </w:rPr>
        <w:t xml:space="preserve"> and communities.</w:t>
      </w:r>
      <w:r>
        <w:rPr>
          <w:sz w:val="18"/>
          <w:szCs w:val="18"/>
          <w:lang w:eastAsia="en-AU"/>
        </w:rPr>
        <w:br/>
      </w:r>
    </w:p>
    <w:p w14:paraId="68905A6B" w14:textId="1C997A1A" w:rsidR="00D76202" w:rsidRPr="00D76202" w:rsidRDefault="00D76202" w:rsidP="000543AB">
      <w:pPr>
        <w:pBdr>
          <w:bottom w:val="single" w:sz="12" w:space="1" w:color="auto"/>
        </w:pBdr>
        <w:spacing w:before="480"/>
        <w:ind w:right="2267"/>
        <w:rPr>
          <w:sz w:val="18"/>
          <w:szCs w:val="18"/>
          <w:lang w:eastAsia="en-AU"/>
        </w:rPr>
      </w:pPr>
      <w:r>
        <w:rPr>
          <w:sz w:val="18"/>
          <w:szCs w:val="18"/>
          <w:lang w:eastAsia="en-AU"/>
        </w:rPr>
        <w:br/>
      </w:r>
      <w:r w:rsidRPr="006C6932">
        <w:rPr>
          <w:rFonts w:ascii="Segoe UI Semibold" w:hAnsi="Segoe UI Semibold" w:cs="Segoe UI Semibold"/>
          <w:i/>
          <w:sz w:val="16"/>
          <w:szCs w:val="16"/>
        </w:rPr>
        <w:t>Disclaimer:</w:t>
      </w:r>
    </w:p>
    <w:p w14:paraId="04E9A8B8" w14:textId="7DEDA95B" w:rsidR="00D76202" w:rsidRPr="00130FFF" w:rsidRDefault="00D76202" w:rsidP="00D76202">
      <w:pPr>
        <w:spacing w:after="0" w:line="240" w:lineRule="auto"/>
        <w:ind w:right="-1"/>
        <w:rPr>
          <w:i/>
          <w:sz w:val="16"/>
          <w:szCs w:val="16"/>
        </w:rPr>
      </w:pPr>
      <w:r w:rsidRPr="00130FFF">
        <w:rPr>
          <w:i/>
          <w:sz w:val="16"/>
          <w:szCs w:val="16"/>
        </w:rPr>
        <w:t>Nous Group (</w:t>
      </w:r>
      <w:r w:rsidRPr="00130FFF">
        <w:rPr>
          <w:b/>
          <w:i/>
          <w:sz w:val="16"/>
          <w:szCs w:val="16"/>
        </w:rPr>
        <w:t>Nous</w:t>
      </w:r>
      <w:r w:rsidRPr="00130FFF">
        <w:rPr>
          <w:i/>
          <w:sz w:val="16"/>
          <w:szCs w:val="16"/>
        </w:rPr>
        <w:t xml:space="preserve">) has prepared this report for the benefit of </w:t>
      </w:r>
      <w:r w:rsidR="00835AF5">
        <w:rPr>
          <w:i/>
          <w:sz w:val="16"/>
          <w:szCs w:val="16"/>
        </w:rPr>
        <w:t>The Department</w:t>
      </w:r>
      <w:r>
        <w:rPr>
          <w:i/>
          <w:sz w:val="16"/>
          <w:szCs w:val="16"/>
        </w:rPr>
        <w:t xml:space="preserve"> of </w:t>
      </w:r>
      <w:r w:rsidR="00835AF5">
        <w:rPr>
          <w:i/>
          <w:sz w:val="16"/>
          <w:szCs w:val="16"/>
        </w:rPr>
        <w:t xml:space="preserve">Health and </w:t>
      </w:r>
      <w:r w:rsidR="00DC2C9F">
        <w:rPr>
          <w:i/>
          <w:sz w:val="16"/>
          <w:szCs w:val="16"/>
        </w:rPr>
        <w:t>Aged Care</w:t>
      </w:r>
      <w:r w:rsidRPr="00130FFF">
        <w:rPr>
          <w:i/>
          <w:sz w:val="16"/>
          <w:szCs w:val="16"/>
        </w:rPr>
        <w:t xml:space="preserve"> (the </w:t>
      </w:r>
      <w:r w:rsidRPr="00130FFF">
        <w:rPr>
          <w:b/>
          <w:i/>
          <w:sz w:val="16"/>
          <w:szCs w:val="16"/>
        </w:rPr>
        <w:t>Client</w:t>
      </w:r>
      <w:r w:rsidRPr="00130FFF">
        <w:rPr>
          <w:i/>
          <w:sz w:val="16"/>
          <w:szCs w:val="16"/>
        </w:rPr>
        <w:t>).</w:t>
      </w:r>
    </w:p>
    <w:p w14:paraId="12FA5943" w14:textId="77777777" w:rsidR="00D76202" w:rsidRPr="000970F6" w:rsidRDefault="00D76202" w:rsidP="00D76202">
      <w:pPr>
        <w:spacing w:after="0" w:line="240" w:lineRule="auto"/>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37A1FC2C" w14:textId="41C1F5E7" w:rsidR="009634F9" w:rsidRDefault="00D76202" w:rsidP="00F97529">
      <w:pPr>
        <w:suppressAutoHyphens/>
        <w:spacing w:after="0" w:line="240" w:lineRule="auto"/>
        <w:rPr>
          <w:i/>
          <w:sz w:val="16"/>
          <w:szCs w:val="16"/>
        </w:rPr>
      </w:pPr>
      <w:r w:rsidRPr="00130FFF">
        <w:rPr>
          <w:noProof/>
          <w:sz w:val="16"/>
          <w:szCs w:val="16"/>
          <w:lang w:eastAsia="en-AU"/>
        </w:rPr>
        <mc:AlternateContent>
          <mc:Choice Requires="wps">
            <w:drawing>
              <wp:anchor distT="0" distB="0" distL="114300" distR="114300" simplePos="0" relativeHeight="251658240" behindDoc="0" locked="0" layoutInCell="0" allowOverlap="1" wp14:anchorId="7584F94A" wp14:editId="33FDC4E0">
                <wp:simplePos x="0" y="0"/>
                <wp:positionH relativeFrom="margin">
                  <wp:align>left</wp:align>
                </wp:positionH>
                <wp:positionV relativeFrom="bottomMargin">
                  <wp:posOffset>-426361</wp:posOffset>
                </wp:positionV>
                <wp:extent cx="1720800" cy="313200"/>
                <wp:effectExtent l="0" t="0" r="0" b="0"/>
                <wp:wrapNone/>
                <wp:docPr id="805" name="Text Box 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3524303" w14:textId="77777777" w:rsidR="00DF3601" w:rsidRPr="00B8014F" w:rsidRDefault="00DF3601" w:rsidP="00D76202">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4F94A" id="_x0000_t202" coordsize="21600,21600" o:spt="202" path="m,l,21600r21600,l21600,xe">
                <v:stroke joinstyle="miter"/>
                <v:path gradientshapeok="t" o:connecttype="rect"/>
              </v:shapetype>
              <v:shape id="Text Box 805" o:spid="_x0000_s1026" type="#_x0000_t202" alt="&quot;&quot;" style="position:absolute;margin-left:0;margin-top:-33.55pt;width:135.5pt;height:24.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" o:allowincell="f" filled="f" strokeweight=".5pt">
                <v:stroke opacity="0" joinstyle="round"/>
                <v:textbox inset="0">
                  <w:txbxContent>
                    <w:p w14:paraId="43524303" w14:textId="77777777" w:rsidR="00DF3601" w:rsidRPr="00B8014F" w:rsidRDefault="00DF3601" w:rsidP="00D76202">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w:t>
      </w:r>
      <w:r w:rsidR="00F97529">
        <w:rPr>
          <w:i/>
          <w:sz w:val="16"/>
          <w:szCs w:val="16"/>
        </w:rPr>
        <w:t xml:space="preserve"> </w:t>
      </w:r>
      <w:r w:rsidR="00F97529" w:rsidRPr="00F97529">
        <w:rPr>
          <w:i/>
          <w:sz w:val="16"/>
          <w:szCs w:val="16"/>
        </w:rPr>
        <w:t>independently verified or audited that information</w:t>
      </w:r>
      <w:r w:rsidR="00902CBE">
        <w:rPr>
          <w:i/>
          <w:sz w:val="16"/>
          <w:szCs w:val="16"/>
        </w:rPr>
        <w:t>.</w:t>
      </w:r>
    </w:p>
    <w:p w14:paraId="2B6A045A" w14:textId="63E30C4C" w:rsidR="00A53069" w:rsidRDefault="00A53069">
      <w:pPr>
        <w:spacing w:after="165"/>
        <w:rPr>
          <w:i/>
          <w:sz w:val="16"/>
          <w:szCs w:val="16"/>
        </w:rPr>
      </w:pPr>
      <w:r>
        <w:rPr>
          <w:i/>
          <w:sz w:val="16"/>
          <w:szCs w:val="16"/>
        </w:rPr>
        <w:br w:type="page"/>
      </w:r>
    </w:p>
    <w:bookmarkEnd w:id="0" w:displacedByCustomXml="next"/>
    <w:sdt>
      <w:sdtPr>
        <w:rPr>
          <w:rFonts w:ascii="Segoe UI" w:eastAsiaTheme="minorHAnsi" w:hAnsi="Segoe UI" w:cstheme="minorBidi"/>
          <w:color w:val="auto"/>
          <w:sz w:val="19"/>
          <w:szCs w:val="22"/>
          <w:lang w:val="en-AU"/>
        </w:rPr>
        <w:id w:val="-1477749716"/>
        <w:docPartObj>
          <w:docPartGallery w:val="Table of Contents"/>
          <w:docPartUnique/>
        </w:docPartObj>
      </w:sdtPr>
      <w:sdtEndPr>
        <w:rPr>
          <w:b/>
          <w:bCs/>
          <w:noProof/>
        </w:rPr>
      </w:sdtEndPr>
      <w:sdtContent>
        <w:p w14:paraId="761B4470" w14:textId="08DFF093" w:rsidR="00923BE4" w:rsidRPr="00206ACA" w:rsidRDefault="00923BE4" w:rsidP="005A1E3F">
          <w:pPr>
            <w:pStyle w:val="TOCHeading"/>
            <w:rPr>
              <w:color w:val="00264D" w:themeColor="background2"/>
              <w:lang w:val="en-AU"/>
            </w:rPr>
          </w:pPr>
          <w:r w:rsidRPr="00206ACA">
            <w:rPr>
              <w:color w:val="00264D" w:themeColor="background2"/>
              <w:lang w:val="en-AU"/>
            </w:rPr>
            <w:t>Contents</w:t>
          </w:r>
        </w:p>
        <w:p w14:paraId="114AD806" w14:textId="1F6D7C6A" w:rsidR="00945E86" w:rsidRDefault="005A1E3F">
          <w:pPr>
            <w:pStyle w:val="TOC1"/>
            <w:rPr>
              <w:rFonts w:asciiTheme="minorHAnsi" w:eastAsiaTheme="minorEastAsia" w:hAnsiTheme="minorHAnsi"/>
              <w:kern w:val="2"/>
              <w:sz w:val="22"/>
              <w:lang w:val="en-AU" w:eastAsia="en-AU"/>
              <w14:ligatures w14:val="standardContextual"/>
            </w:rPr>
          </w:pPr>
          <w:r w:rsidRPr="00206ACA">
            <w:rPr>
              <w:b/>
              <w:bCs/>
              <w:lang w:val="en-AU"/>
            </w:rPr>
            <w:fldChar w:fldCharType="begin"/>
          </w:r>
          <w:r w:rsidRPr="00206ACA">
            <w:rPr>
              <w:b/>
              <w:bCs/>
              <w:lang w:val="en-AU"/>
            </w:rPr>
            <w:instrText xml:space="preserve"> TOC \o "1-2" \h \z \u </w:instrText>
          </w:r>
          <w:r w:rsidRPr="00206ACA">
            <w:rPr>
              <w:b/>
              <w:bCs/>
              <w:lang w:val="en-AU"/>
            </w:rPr>
            <w:fldChar w:fldCharType="separate"/>
          </w:r>
          <w:hyperlink w:anchor="_Toc157599119" w:history="1">
            <w:r w:rsidR="00945E86" w:rsidRPr="00826E02">
              <w:rPr>
                <w:rStyle w:val="Hyperlink"/>
              </w:rPr>
              <w:t>1</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Executive summary</w:t>
            </w:r>
            <w:r w:rsidR="00945E86">
              <w:rPr>
                <w:webHidden/>
              </w:rPr>
              <w:tab/>
            </w:r>
            <w:r w:rsidR="00945E86">
              <w:rPr>
                <w:webHidden/>
              </w:rPr>
              <w:fldChar w:fldCharType="begin"/>
            </w:r>
            <w:r w:rsidR="00945E86">
              <w:rPr>
                <w:webHidden/>
              </w:rPr>
              <w:instrText xml:space="preserve"> PAGEREF _Toc157599119 \h </w:instrText>
            </w:r>
            <w:r w:rsidR="00945E86">
              <w:rPr>
                <w:webHidden/>
              </w:rPr>
            </w:r>
            <w:r w:rsidR="00945E86">
              <w:rPr>
                <w:webHidden/>
              </w:rPr>
              <w:fldChar w:fldCharType="separate"/>
            </w:r>
            <w:r w:rsidR="003F7B92">
              <w:rPr>
                <w:webHidden/>
              </w:rPr>
              <w:t>4</w:t>
            </w:r>
            <w:r w:rsidR="00945E86">
              <w:rPr>
                <w:webHidden/>
              </w:rPr>
              <w:fldChar w:fldCharType="end"/>
            </w:r>
          </w:hyperlink>
        </w:p>
        <w:p w14:paraId="7F4E2BCD" w14:textId="046F7075" w:rsidR="00945E86" w:rsidRDefault="00000000">
          <w:pPr>
            <w:pStyle w:val="TOC1"/>
            <w:rPr>
              <w:rFonts w:asciiTheme="minorHAnsi" w:eastAsiaTheme="minorEastAsia" w:hAnsiTheme="minorHAnsi"/>
              <w:kern w:val="2"/>
              <w:sz w:val="22"/>
              <w:lang w:val="en-AU" w:eastAsia="en-AU"/>
              <w14:ligatures w14:val="standardContextual"/>
            </w:rPr>
          </w:pPr>
          <w:hyperlink w:anchor="_Toc157599120" w:history="1">
            <w:r w:rsidR="00945E86" w:rsidRPr="00826E02">
              <w:rPr>
                <w:rStyle w:val="Hyperlink"/>
              </w:rPr>
              <w:t>2</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Background and context</w:t>
            </w:r>
            <w:r w:rsidR="00945E86">
              <w:rPr>
                <w:webHidden/>
              </w:rPr>
              <w:tab/>
            </w:r>
            <w:r w:rsidR="00945E86">
              <w:rPr>
                <w:webHidden/>
              </w:rPr>
              <w:fldChar w:fldCharType="begin"/>
            </w:r>
            <w:r w:rsidR="00945E86">
              <w:rPr>
                <w:webHidden/>
              </w:rPr>
              <w:instrText xml:space="preserve"> PAGEREF _Toc157599120 \h </w:instrText>
            </w:r>
            <w:r w:rsidR="00945E86">
              <w:rPr>
                <w:webHidden/>
              </w:rPr>
            </w:r>
            <w:r w:rsidR="00945E86">
              <w:rPr>
                <w:webHidden/>
              </w:rPr>
              <w:fldChar w:fldCharType="separate"/>
            </w:r>
            <w:r w:rsidR="003F7B92">
              <w:rPr>
                <w:webHidden/>
              </w:rPr>
              <w:t>12</w:t>
            </w:r>
            <w:r w:rsidR="00945E86">
              <w:rPr>
                <w:webHidden/>
              </w:rPr>
              <w:fldChar w:fldCharType="end"/>
            </w:r>
          </w:hyperlink>
        </w:p>
        <w:p w14:paraId="74F35E91" w14:textId="42B472A4"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21" w:history="1">
            <w:r w:rsidR="00945E86" w:rsidRPr="00826E02">
              <w:rPr>
                <w:rStyle w:val="Hyperlink"/>
              </w:rPr>
              <w:t>2.1</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The Act is only one element of the complex food regulatory system</w:t>
            </w:r>
            <w:r w:rsidR="00945E86">
              <w:rPr>
                <w:webHidden/>
              </w:rPr>
              <w:tab/>
            </w:r>
            <w:r w:rsidR="00945E86">
              <w:rPr>
                <w:webHidden/>
              </w:rPr>
              <w:fldChar w:fldCharType="begin"/>
            </w:r>
            <w:r w:rsidR="00945E86">
              <w:rPr>
                <w:webHidden/>
              </w:rPr>
              <w:instrText xml:space="preserve"> PAGEREF _Toc157599121 \h </w:instrText>
            </w:r>
            <w:r w:rsidR="00945E86">
              <w:rPr>
                <w:webHidden/>
              </w:rPr>
            </w:r>
            <w:r w:rsidR="00945E86">
              <w:rPr>
                <w:webHidden/>
              </w:rPr>
              <w:fldChar w:fldCharType="separate"/>
            </w:r>
            <w:r w:rsidR="003F7B92">
              <w:rPr>
                <w:webHidden/>
              </w:rPr>
              <w:t>12</w:t>
            </w:r>
            <w:r w:rsidR="00945E86">
              <w:rPr>
                <w:webHidden/>
              </w:rPr>
              <w:fldChar w:fldCharType="end"/>
            </w:r>
          </w:hyperlink>
        </w:p>
        <w:p w14:paraId="377FCDB3" w14:textId="2B845800"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22" w:history="1">
            <w:r w:rsidR="00945E86" w:rsidRPr="00826E02">
              <w:rPr>
                <w:rStyle w:val="Hyperlink"/>
              </w:rPr>
              <w:t>2.2</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This review is an exciting opportunity for modernisation</w:t>
            </w:r>
            <w:r w:rsidR="00945E86">
              <w:rPr>
                <w:webHidden/>
              </w:rPr>
              <w:tab/>
            </w:r>
            <w:r w:rsidR="00945E86">
              <w:rPr>
                <w:webHidden/>
              </w:rPr>
              <w:fldChar w:fldCharType="begin"/>
            </w:r>
            <w:r w:rsidR="00945E86">
              <w:rPr>
                <w:webHidden/>
              </w:rPr>
              <w:instrText xml:space="preserve"> PAGEREF _Toc157599122 \h </w:instrText>
            </w:r>
            <w:r w:rsidR="00945E86">
              <w:rPr>
                <w:webHidden/>
              </w:rPr>
            </w:r>
            <w:r w:rsidR="00945E86">
              <w:rPr>
                <w:webHidden/>
              </w:rPr>
              <w:fldChar w:fldCharType="separate"/>
            </w:r>
            <w:r w:rsidR="003F7B92">
              <w:rPr>
                <w:webHidden/>
              </w:rPr>
              <w:t>19</w:t>
            </w:r>
            <w:r w:rsidR="00945E86">
              <w:rPr>
                <w:webHidden/>
              </w:rPr>
              <w:fldChar w:fldCharType="end"/>
            </w:r>
          </w:hyperlink>
        </w:p>
        <w:p w14:paraId="3D030A98" w14:textId="5F1A14D6" w:rsidR="00945E86" w:rsidRDefault="00000000">
          <w:pPr>
            <w:pStyle w:val="TOC1"/>
            <w:rPr>
              <w:rFonts w:asciiTheme="minorHAnsi" w:eastAsiaTheme="minorEastAsia" w:hAnsiTheme="minorHAnsi"/>
              <w:kern w:val="2"/>
              <w:sz w:val="22"/>
              <w:lang w:val="en-AU" w:eastAsia="en-AU"/>
              <w14:ligatures w14:val="standardContextual"/>
            </w:rPr>
          </w:pPr>
          <w:hyperlink w:anchor="_Toc157599123" w:history="1">
            <w:r w:rsidR="00945E86" w:rsidRPr="00826E02">
              <w:rPr>
                <w:rStyle w:val="Hyperlink"/>
              </w:rPr>
              <w:t>3</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The problems to solve</w:t>
            </w:r>
            <w:r w:rsidR="00945E86">
              <w:rPr>
                <w:webHidden/>
              </w:rPr>
              <w:tab/>
            </w:r>
            <w:r w:rsidR="00945E86">
              <w:rPr>
                <w:webHidden/>
              </w:rPr>
              <w:fldChar w:fldCharType="begin"/>
            </w:r>
            <w:r w:rsidR="00945E86">
              <w:rPr>
                <w:webHidden/>
              </w:rPr>
              <w:instrText xml:space="preserve"> PAGEREF _Toc157599123 \h </w:instrText>
            </w:r>
            <w:r w:rsidR="00945E86">
              <w:rPr>
                <w:webHidden/>
              </w:rPr>
            </w:r>
            <w:r w:rsidR="00945E86">
              <w:rPr>
                <w:webHidden/>
              </w:rPr>
              <w:fldChar w:fldCharType="separate"/>
            </w:r>
            <w:r w:rsidR="003F7B92">
              <w:rPr>
                <w:webHidden/>
              </w:rPr>
              <w:t>20</w:t>
            </w:r>
            <w:r w:rsidR="00945E86">
              <w:rPr>
                <w:webHidden/>
              </w:rPr>
              <w:fldChar w:fldCharType="end"/>
            </w:r>
          </w:hyperlink>
        </w:p>
        <w:p w14:paraId="38BA3665" w14:textId="7FBEFFD6"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24" w:history="1">
            <w:r w:rsidR="00945E86" w:rsidRPr="00826E02">
              <w:rPr>
                <w:rStyle w:val="Hyperlink"/>
              </w:rPr>
              <w:t>3.1</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The Terms of Reference have called for a focus on inconsistencies with ‘best practice’</w:t>
            </w:r>
            <w:r w:rsidR="00945E86">
              <w:rPr>
                <w:webHidden/>
              </w:rPr>
              <w:tab/>
            </w:r>
            <w:r w:rsidR="00945E86">
              <w:rPr>
                <w:webHidden/>
              </w:rPr>
              <w:fldChar w:fldCharType="begin"/>
            </w:r>
            <w:r w:rsidR="00945E86">
              <w:rPr>
                <w:webHidden/>
              </w:rPr>
              <w:instrText xml:space="preserve"> PAGEREF _Toc157599124 \h </w:instrText>
            </w:r>
            <w:r w:rsidR="00945E86">
              <w:rPr>
                <w:webHidden/>
              </w:rPr>
            </w:r>
            <w:r w:rsidR="00945E86">
              <w:rPr>
                <w:webHidden/>
              </w:rPr>
              <w:fldChar w:fldCharType="separate"/>
            </w:r>
            <w:r w:rsidR="003F7B92">
              <w:rPr>
                <w:webHidden/>
              </w:rPr>
              <w:t>20</w:t>
            </w:r>
            <w:r w:rsidR="00945E86">
              <w:rPr>
                <w:webHidden/>
              </w:rPr>
              <w:fldChar w:fldCharType="end"/>
            </w:r>
          </w:hyperlink>
        </w:p>
        <w:p w14:paraId="5AC59DFA" w14:textId="3CC808CB" w:rsidR="00945E86" w:rsidRDefault="00000000">
          <w:pPr>
            <w:pStyle w:val="TOC1"/>
            <w:rPr>
              <w:rFonts w:asciiTheme="minorHAnsi" w:eastAsiaTheme="minorEastAsia" w:hAnsiTheme="minorHAnsi"/>
              <w:kern w:val="2"/>
              <w:sz w:val="22"/>
              <w:lang w:val="en-AU" w:eastAsia="en-AU"/>
              <w14:ligatures w14:val="standardContextual"/>
            </w:rPr>
          </w:pPr>
          <w:hyperlink w:anchor="_Toc157599125" w:history="1">
            <w:r w:rsidR="00945E86" w:rsidRPr="00826E02">
              <w:rPr>
                <w:rStyle w:val="Hyperlink"/>
              </w:rPr>
              <w:t>4</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Rationale for government action</w:t>
            </w:r>
            <w:r w:rsidR="00945E86">
              <w:rPr>
                <w:webHidden/>
              </w:rPr>
              <w:tab/>
            </w:r>
            <w:r w:rsidR="00945E86">
              <w:rPr>
                <w:webHidden/>
              </w:rPr>
              <w:fldChar w:fldCharType="begin"/>
            </w:r>
            <w:r w:rsidR="00945E86">
              <w:rPr>
                <w:webHidden/>
              </w:rPr>
              <w:instrText xml:space="preserve"> PAGEREF _Toc157599125 \h </w:instrText>
            </w:r>
            <w:r w:rsidR="00945E86">
              <w:rPr>
                <w:webHidden/>
              </w:rPr>
            </w:r>
            <w:r w:rsidR="00945E86">
              <w:rPr>
                <w:webHidden/>
              </w:rPr>
              <w:fldChar w:fldCharType="separate"/>
            </w:r>
            <w:r w:rsidR="003F7B92">
              <w:rPr>
                <w:webHidden/>
              </w:rPr>
              <w:t>41</w:t>
            </w:r>
            <w:r w:rsidR="00945E86">
              <w:rPr>
                <w:webHidden/>
              </w:rPr>
              <w:fldChar w:fldCharType="end"/>
            </w:r>
          </w:hyperlink>
        </w:p>
        <w:p w14:paraId="6A4A5F20" w14:textId="46AAB2AC" w:rsidR="00945E86" w:rsidRDefault="00000000">
          <w:pPr>
            <w:pStyle w:val="TOC1"/>
            <w:rPr>
              <w:rFonts w:asciiTheme="minorHAnsi" w:eastAsiaTheme="minorEastAsia" w:hAnsiTheme="minorHAnsi"/>
              <w:kern w:val="2"/>
              <w:sz w:val="22"/>
              <w:lang w:val="en-AU" w:eastAsia="en-AU"/>
              <w14:ligatures w14:val="standardContextual"/>
            </w:rPr>
          </w:pPr>
          <w:hyperlink w:anchor="_Toc157599126" w:history="1">
            <w:r w:rsidR="00945E86" w:rsidRPr="00826E02">
              <w:rPr>
                <w:rStyle w:val="Hyperlink"/>
              </w:rPr>
              <w:t>5</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Options for reform</w:t>
            </w:r>
            <w:r w:rsidR="00945E86">
              <w:rPr>
                <w:webHidden/>
              </w:rPr>
              <w:tab/>
            </w:r>
            <w:r w:rsidR="00945E86">
              <w:rPr>
                <w:webHidden/>
              </w:rPr>
              <w:fldChar w:fldCharType="begin"/>
            </w:r>
            <w:r w:rsidR="00945E86">
              <w:rPr>
                <w:webHidden/>
              </w:rPr>
              <w:instrText xml:space="preserve"> PAGEREF _Toc157599126 \h </w:instrText>
            </w:r>
            <w:r w:rsidR="00945E86">
              <w:rPr>
                <w:webHidden/>
              </w:rPr>
            </w:r>
            <w:r w:rsidR="00945E86">
              <w:rPr>
                <w:webHidden/>
              </w:rPr>
              <w:fldChar w:fldCharType="separate"/>
            </w:r>
            <w:r w:rsidR="003F7B92">
              <w:rPr>
                <w:webHidden/>
              </w:rPr>
              <w:t>44</w:t>
            </w:r>
            <w:r w:rsidR="00945E86">
              <w:rPr>
                <w:webHidden/>
              </w:rPr>
              <w:fldChar w:fldCharType="end"/>
            </w:r>
          </w:hyperlink>
        </w:p>
        <w:p w14:paraId="423050A0" w14:textId="012C1C88"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27" w:history="1">
            <w:r w:rsidR="00945E86" w:rsidRPr="00826E02">
              <w:rPr>
                <w:rStyle w:val="Hyperlink"/>
              </w:rPr>
              <w:t>5.1</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Option 1 | Retain the status quo</w:t>
            </w:r>
            <w:r w:rsidR="00945E86">
              <w:rPr>
                <w:webHidden/>
              </w:rPr>
              <w:tab/>
            </w:r>
            <w:r w:rsidR="00945E86">
              <w:rPr>
                <w:webHidden/>
              </w:rPr>
              <w:fldChar w:fldCharType="begin"/>
            </w:r>
            <w:r w:rsidR="00945E86">
              <w:rPr>
                <w:webHidden/>
              </w:rPr>
              <w:instrText xml:space="preserve"> PAGEREF _Toc157599127 \h </w:instrText>
            </w:r>
            <w:r w:rsidR="00945E86">
              <w:rPr>
                <w:webHidden/>
              </w:rPr>
            </w:r>
            <w:r w:rsidR="00945E86">
              <w:rPr>
                <w:webHidden/>
              </w:rPr>
              <w:fldChar w:fldCharType="separate"/>
            </w:r>
            <w:r w:rsidR="003F7B92">
              <w:rPr>
                <w:webHidden/>
              </w:rPr>
              <w:t>46</w:t>
            </w:r>
            <w:r w:rsidR="00945E86">
              <w:rPr>
                <w:webHidden/>
              </w:rPr>
              <w:fldChar w:fldCharType="end"/>
            </w:r>
          </w:hyperlink>
        </w:p>
        <w:p w14:paraId="5291E995" w14:textId="3CA1B07F"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28" w:history="1">
            <w:r w:rsidR="00945E86" w:rsidRPr="00826E02">
              <w:rPr>
                <w:rStyle w:val="Hyperlink"/>
              </w:rPr>
              <w:t>5.2</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Option 2 | Modernise regulatory settings</w:t>
            </w:r>
            <w:r w:rsidR="00945E86">
              <w:rPr>
                <w:webHidden/>
              </w:rPr>
              <w:tab/>
            </w:r>
            <w:r w:rsidR="00945E86">
              <w:rPr>
                <w:webHidden/>
              </w:rPr>
              <w:fldChar w:fldCharType="begin"/>
            </w:r>
            <w:r w:rsidR="00945E86">
              <w:rPr>
                <w:webHidden/>
              </w:rPr>
              <w:instrText xml:space="preserve"> PAGEREF _Toc157599128 \h </w:instrText>
            </w:r>
            <w:r w:rsidR="00945E86">
              <w:rPr>
                <w:webHidden/>
              </w:rPr>
            </w:r>
            <w:r w:rsidR="00945E86">
              <w:rPr>
                <w:webHidden/>
              </w:rPr>
              <w:fldChar w:fldCharType="separate"/>
            </w:r>
            <w:r w:rsidR="003F7B92">
              <w:rPr>
                <w:webHidden/>
              </w:rPr>
              <w:t>47</w:t>
            </w:r>
            <w:r w:rsidR="00945E86">
              <w:rPr>
                <w:webHidden/>
              </w:rPr>
              <w:fldChar w:fldCharType="end"/>
            </w:r>
          </w:hyperlink>
        </w:p>
        <w:p w14:paraId="42BAE2B4" w14:textId="77FE08D2" w:rsidR="00945E86" w:rsidRDefault="00000000">
          <w:pPr>
            <w:pStyle w:val="TOC1"/>
            <w:rPr>
              <w:rFonts w:asciiTheme="minorHAnsi" w:eastAsiaTheme="minorEastAsia" w:hAnsiTheme="minorHAnsi"/>
              <w:kern w:val="2"/>
              <w:sz w:val="22"/>
              <w:lang w:val="en-AU" w:eastAsia="en-AU"/>
              <w14:ligatures w14:val="standardContextual"/>
            </w:rPr>
          </w:pPr>
          <w:hyperlink w:anchor="_Toc157599129" w:history="1">
            <w:r w:rsidR="00945E86" w:rsidRPr="00826E02">
              <w:rPr>
                <w:rStyle w:val="Hyperlink"/>
                <w:rFonts w:cstheme="minorHAnsi"/>
              </w:rPr>
              <w:t>6</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 xml:space="preserve">Net </w:t>
            </w:r>
            <w:r w:rsidR="00945E86" w:rsidRPr="00826E02">
              <w:rPr>
                <w:rStyle w:val="Hyperlink"/>
                <w:rFonts w:cstheme="minorHAnsi"/>
              </w:rPr>
              <w:t>Benefit</w:t>
            </w:r>
            <w:r w:rsidR="00945E86">
              <w:rPr>
                <w:webHidden/>
              </w:rPr>
              <w:tab/>
            </w:r>
            <w:r w:rsidR="00945E86">
              <w:rPr>
                <w:webHidden/>
              </w:rPr>
              <w:fldChar w:fldCharType="begin"/>
            </w:r>
            <w:r w:rsidR="00945E86">
              <w:rPr>
                <w:webHidden/>
              </w:rPr>
              <w:instrText xml:space="preserve"> PAGEREF _Toc157599129 \h </w:instrText>
            </w:r>
            <w:r w:rsidR="00945E86">
              <w:rPr>
                <w:webHidden/>
              </w:rPr>
            </w:r>
            <w:r w:rsidR="00945E86">
              <w:rPr>
                <w:webHidden/>
              </w:rPr>
              <w:fldChar w:fldCharType="separate"/>
            </w:r>
            <w:r w:rsidR="003F7B92">
              <w:rPr>
                <w:webHidden/>
              </w:rPr>
              <w:t>68</w:t>
            </w:r>
            <w:r w:rsidR="00945E86">
              <w:rPr>
                <w:webHidden/>
              </w:rPr>
              <w:fldChar w:fldCharType="end"/>
            </w:r>
          </w:hyperlink>
        </w:p>
        <w:p w14:paraId="1697EA9C" w14:textId="500BC128"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30" w:history="1">
            <w:r w:rsidR="00945E86" w:rsidRPr="00826E02">
              <w:rPr>
                <w:rStyle w:val="Hyperlink"/>
              </w:rPr>
              <w:t>Option 1 | Retain the status quo</w:t>
            </w:r>
            <w:r w:rsidR="00945E86">
              <w:rPr>
                <w:webHidden/>
              </w:rPr>
              <w:tab/>
            </w:r>
            <w:r w:rsidR="00945E86">
              <w:rPr>
                <w:webHidden/>
              </w:rPr>
              <w:fldChar w:fldCharType="begin"/>
            </w:r>
            <w:r w:rsidR="00945E86">
              <w:rPr>
                <w:webHidden/>
              </w:rPr>
              <w:instrText xml:space="preserve"> PAGEREF _Toc157599130 \h </w:instrText>
            </w:r>
            <w:r w:rsidR="00945E86">
              <w:rPr>
                <w:webHidden/>
              </w:rPr>
            </w:r>
            <w:r w:rsidR="00945E86">
              <w:rPr>
                <w:webHidden/>
              </w:rPr>
              <w:fldChar w:fldCharType="separate"/>
            </w:r>
            <w:r w:rsidR="003F7B92">
              <w:rPr>
                <w:webHidden/>
              </w:rPr>
              <w:t>69</w:t>
            </w:r>
            <w:r w:rsidR="00945E86">
              <w:rPr>
                <w:webHidden/>
              </w:rPr>
              <w:fldChar w:fldCharType="end"/>
            </w:r>
          </w:hyperlink>
        </w:p>
        <w:p w14:paraId="5D1026A1" w14:textId="423F74BF"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31" w:history="1">
            <w:r w:rsidR="00945E86" w:rsidRPr="00826E02">
              <w:rPr>
                <w:rStyle w:val="Hyperlink"/>
              </w:rPr>
              <w:t>Option 2 | Modernise regulatory settings</w:t>
            </w:r>
            <w:r w:rsidR="00945E86">
              <w:rPr>
                <w:webHidden/>
              </w:rPr>
              <w:tab/>
            </w:r>
            <w:r w:rsidR="00945E86">
              <w:rPr>
                <w:webHidden/>
              </w:rPr>
              <w:fldChar w:fldCharType="begin"/>
            </w:r>
            <w:r w:rsidR="00945E86">
              <w:rPr>
                <w:webHidden/>
              </w:rPr>
              <w:instrText xml:space="preserve"> PAGEREF _Toc157599131 \h </w:instrText>
            </w:r>
            <w:r w:rsidR="00945E86">
              <w:rPr>
                <w:webHidden/>
              </w:rPr>
            </w:r>
            <w:r w:rsidR="00945E86">
              <w:rPr>
                <w:webHidden/>
              </w:rPr>
              <w:fldChar w:fldCharType="separate"/>
            </w:r>
            <w:r w:rsidR="003F7B92">
              <w:rPr>
                <w:webHidden/>
              </w:rPr>
              <w:t>72</w:t>
            </w:r>
            <w:r w:rsidR="00945E86">
              <w:rPr>
                <w:webHidden/>
              </w:rPr>
              <w:fldChar w:fldCharType="end"/>
            </w:r>
          </w:hyperlink>
        </w:p>
        <w:p w14:paraId="4FA6E506" w14:textId="0753A59C"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32" w:history="1">
            <w:r w:rsidR="00945E86" w:rsidRPr="00826E02">
              <w:rPr>
                <w:rStyle w:val="Hyperlink"/>
              </w:rPr>
              <w:t>6.1</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Sensitivity analysis</w:t>
            </w:r>
            <w:r w:rsidR="00945E86">
              <w:rPr>
                <w:webHidden/>
              </w:rPr>
              <w:tab/>
            </w:r>
            <w:r w:rsidR="00945E86">
              <w:rPr>
                <w:webHidden/>
              </w:rPr>
              <w:fldChar w:fldCharType="begin"/>
            </w:r>
            <w:r w:rsidR="00945E86">
              <w:rPr>
                <w:webHidden/>
              </w:rPr>
              <w:instrText xml:space="preserve"> PAGEREF _Toc157599132 \h </w:instrText>
            </w:r>
            <w:r w:rsidR="00945E86">
              <w:rPr>
                <w:webHidden/>
              </w:rPr>
            </w:r>
            <w:r w:rsidR="00945E86">
              <w:rPr>
                <w:webHidden/>
              </w:rPr>
              <w:fldChar w:fldCharType="separate"/>
            </w:r>
            <w:r w:rsidR="003F7B92">
              <w:rPr>
                <w:webHidden/>
              </w:rPr>
              <w:t>78</w:t>
            </w:r>
            <w:r w:rsidR="00945E86">
              <w:rPr>
                <w:webHidden/>
              </w:rPr>
              <w:fldChar w:fldCharType="end"/>
            </w:r>
          </w:hyperlink>
        </w:p>
        <w:p w14:paraId="50ACFEA8" w14:textId="715AF52D" w:rsidR="00945E86" w:rsidRDefault="00000000">
          <w:pPr>
            <w:pStyle w:val="TOC1"/>
            <w:rPr>
              <w:rFonts w:asciiTheme="minorHAnsi" w:eastAsiaTheme="minorEastAsia" w:hAnsiTheme="minorHAnsi"/>
              <w:kern w:val="2"/>
              <w:sz w:val="22"/>
              <w:lang w:val="en-AU" w:eastAsia="en-AU"/>
              <w14:ligatures w14:val="standardContextual"/>
            </w:rPr>
          </w:pPr>
          <w:hyperlink w:anchor="_Toc157599133" w:history="1">
            <w:r w:rsidR="00945E86" w:rsidRPr="00826E02">
              <w:rPr>
                <w:rStyle w:val="Hyperlink"/>
              </w:rPr>
              <w:t>7</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Summary of stakeholder feedback</w:t>
            </w:r>
            <w:r w:rsidR="00945E86">
              <w:rPr>
                <w:webHidden/>
              </w:rPr>
              <w:tab/>
            </w:r>
            <w:r w:rsidR="00945E86">
              <w:rPr>
                <w:webHidden/>
              </w:rPr>
              <w:fldChar w:fldCharType="begin"/>
            </w:r>
            <w:r w:rsidR="00945E86">
              <w:rPr>
                <w:webHidden/>
              </w:rPr>
              <w:instrText xml:space="preserve"> PAGEREF _Toc157599133 \h </w:instrText>
            </w:r>
            <w:r w:rsidR="00945E86">
              <w:rPr>
                <w:webHidden/>
              </w:rPr>
            </w:r>
            <w:r w:rsidR="00945E86">
              <w:rPr>
                <w:webHidden/>
              </w:rPr>
              <w:fldChar w:fldCharType="separate"/>
            </w:r>
            <w:r w:rsidR="003F7B92">
              <w:rPr>
                <w:webHidden/>
              </w:rPr>
              <w:t>81</w:t>
            </w:r>
            <w:r w:rsidR="00945E86">
              <w:rPr>
                <w:webHidden/>
              </w:rPr>
              <w:fldChar w:fldCharType="end"/>
            </w:r>
          </w:hyperlink>
        </w:p>
        <w:p w14:paraId="17B246F4" w14:textId="51C1D67C"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35" w:history="1">
            <w:r w:rsidR="00945E86" w:rsidRPr="00826E02">
              <w:rPr>
                <w:rStyle w:val="Hyperlink"/>
              </w:rPr>
              <w:t>7.2</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Reforming standard-setting</w:t>
            </w:r>
            <w:r w:rsidR="00945E86">
              <w:rPr>
                <w:webHidden/>
              </w:rPr>
              <w:tab/>
            </w:r>
            <w:r w:rsidR="00945E86">
              <w:rPr>
                <w:webHidden/>
              </w:rPr>
              <w:fldChar w:fldCharType="begin"/>
            </w:r>
            <w:r w:rsidR="00945E86">
              <w:rPr>
                <w:webHidden/>
              </w:rPr>
              <w:instrText xml:space="preserve"> PAGEREF _Toc157599135 \h </w:instrText>
            </w:r>
            <w:r w:rsidR="00945E86">
              <w:rPr>
                <w:webHidden/>
              </w:rPr>
            </w:r>
            <w:r w:rsidR="00945E86">
              <w:rPr>
                <w:webHidden/>
              </w:rPr>
              <w:fldChar w:fldCharType="separate"/>
            </w:r>
            <w:r w:rsidR="003F7B92">
              <w:rPr>
                <w:webHidden/>
              </w:rPr>
              <w:t>83</w:t>
            </w:r>
            <w:r w:rsidR="00945E86">
              <w:rPr>
                <w:webHidden/>
              </w:rPr>
              <w:fldChar w:fldCharType="end"/>
            </w:r>
          </w:hyperlink>
        </w:p>
        <w:p w14:paraId="2D58C2E7" w14:textId="198F4A70"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36" w:history="1">
            <w:r w:rsidR="00945E86" w:rsidRPr="00826E02">
              <w:rPr>
                <w:rStyle w:val="Hyperlink"/>
              </w:rPr>
              <w:t>7.3</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Efficient and effective operations</w:t>
            </w:r>
            <w:r w:rsidR="00945E86">
              <w:rPr>
                <w:webHidden/>
              </w:rPr>
              <w:tab/>
            </w:r>
            <w:r w:rsidR="00945E86">
              <w:rPr>
                <w:webHidden/>
              </w:rPr>
              <w:fldChar w:fldCharType="begin"/>
            </w:r>
            <w:r w:rsidR="00945E86">
              <w:rPr>
                <w:webHidden/>
              </w:rPr>
              <w:instrText xml:space="preserve"> PAGEREF _Toc157599136 \h </w:instrText>
            </w:r>
            <w:r w:rsidR="00945E86">
              <w:rPr>
                <w:webHidden/>
              </w:rPr>
            </w:r>
            <w:r w:rsidR="00945E86">
              <w:rPr>
                <w:webHidden/>
              </w:rPr>
              <w:fldChar w:fldCharType="separate"/>
            </w:r>
            <w:r w:rsidR="003F7B92">
              <w:rPr>
                <w:webHidden/>
              </w:rPr>
              <w:t>84</w:t>
            </w:r>
            <w:r w:rsidR="00945E86">
              <w:rPr>
                <w:webHidden/>
              </w:rPr>
              <w:fldChar w:fldCharType="end"/>
            </w:r>
          </w:hyperlink>
        </w:p>
        <w:p w14:paraId="4139DD9A" w14:textId="6662A248"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37" w:history="1">
            <w:r w:rsidR="00945E86" w:rsidRPr="00826E02">
              <w:rPr>
                <w:rStyle w:val="Hyperlink"/>
              </w:rPr>
              <w:t>7.4</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Improving system agility</w:t>
            </w:r>
            <w:r w:rsidR="00945E86">
              <w:rPr>
                <w:webHidden/>
              </w:rPr>
              <w:tab/>
            </w:r>
            <w:r w:rsidR="00945E86">
              <w:rPr>
                <w:webHidden/>
              </w:rPr>
              <w:fldChar w:fldCharType="begin"/>
            </w:r>
            <w:r w:rsidR="00945E86">
              <w:rPr>
                <w:webHidden/>
              </w:rPr>
              <w:instrText xml:space="preserve"> PAGEREF _Toc157599137 \h </w:instrText>
            </w:r>
            <w:r w:rsidR="00945E86">
              <w:rPr>
                <w:webHidden/>
              </w:rPr>
            </w:r>
            <w:r w:rsidR="00945E86">
              <w:rPr>
                <w:webHidden/>
              </w:rPr>
              <w:fldChar w:fldCharType="separate"/>
            </w:r>
            <w:r w:rsidR="003F7B92">
              <w:rPr>
                <w:webHidden/>
              </w:rPr>
              <w:t>85</w:t>
            </w:r>
            <w:r w:rsidR="00945E86">
              <w:rPr>
                <w:webHidden/>
              </w:rPr>
              <w:fldChar w:fldCharType="end"/>
            </w:r>
          </w:hyperlink>
        </w:p>
        <w:p w14:paraId="63F733EF" w14:textId="0A9E7370"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38" w:history="1">
            <w:r w:rsidR="00945E86" w:rsidRPr="00826E02">
              <w:rPr>
                <w:rStyle w:val="Hyperlink"/>
              </w:rPr>
              <w:t>7.5</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Planned consultation activities</w:t>
            </w:r>
            <w:r w:rsidR="00945E86">
              <w:rPr>
                <w:webHidden/>
              </w:rPr>
              <w:tab/>
            </w:r>
            <w:r w:rsidR="00945E86">
              <w:rPr>
                <w:webHidden/>
              </w:rPr>
              <w:fldChar w:fldCharType="begin"/>
            </w:r>
            <w:r w:rsidR="00945E86">
              <w:rPr>
                <w:webHidden/>
              </w:rPr>
              <w:instrText xml:space="preserve"> PAGEREF _Toc157599138 \h </w:instrText>
            </w:r>
            <w:r w:rsidR="00945E86">
              <w:rPr>
                <w:webHidden/>
              </w:rPr>
            </w:r>
            <w:r w:rsidR="00945E86">
              <w:rPr>
                <w:webHidden/>
              </w:rPr>
              <w:fldChar w:fldCharType="separate"/>
            </w:r>
            <w:r w:rsidR="003F7B92">
              <w:rPr>
                <w:webHidden/>
              </w:rPr>
              <w:t>86</w:t>
            </w:r>
            <w:r w:rsidR="00945E86">
              <w:rPr>
                <w:webHidden/>
              </w:rPr>
              <w:fldChar w:fldCharType="end"/>
            </w:r>
          </w:hyperlink>
        </w:p>
        <w:p w14:paraId="1D90539C" w14:textId="7483284A" w:rsidR="00945E86" w:rsidRDefault="00000000">
          <w:pPr>
            <w:pStyle w:val="TOC1"/>
            <w:rPr>
              <w:rFonts w:asciiTheme="minorHAnsi" w:eastAsiaTheme="minorEastAsia" w:hAnsiTheme="minorHAnsi"/>
              <w:kern w:val="2"/>
              <w:sz w:val="22"/>
              <w:lang w:val="en-AU" w:eastAsia="en-AU"/>
              <w14:ligatures w14:val="standardContextual"/>
            </w:rPr>
          </w:pPr>
          <w:hyperlink w:anchor="_Toc157599139" w:history="1">
            <w:r w:rsidR="00945E86" w:rsidRPr="00826E02">
              <w:rPr>
                <w:rStyle w:val="Hyperlink"/>
              </w:rPr>
              <w:t>8</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Best option and implementation</w:t>
            </w:r>
            <w:r w:rsidR="00945E86">
              <w:rPr>
                <w:webHidden/>
              </w:rPr>
              <w:tab/>
            </w:r>
            <w:r w:rsidR="00945E86">
              <w:rPr>
                <w:webHidden/>
              </w:rPr>
              <w:fldChar w:fldCharType="begin"/>
            </w:r>
            <w:r w:rsidR="00945E86">
              <w:rPr>
                <w:webHidden/>
              </w:rPr>
              <w:instrText xml:space="preserve"> PAGEREF _Toc157599139 \h </w:instrText>
            </w:r>
            <w:r w:rsidR="00945E86">
              <w:rPr>
                <w:webHidden/>
              </w:rPr>
            </w:r>
            <w:r w:rsidR="00945E86">
              <w:rPr>
                <w:webHidden/>
              </w:rPr>
              <w:fldChar w:fldCharType="separate"/>
            </w:r>
            <w:r w:rsidR="003F7B92">
              <w:rPr>
                <w:webHidden/>
              </w:rPr>
              <w:t>87</w:t>
            </w:r>
            <w:r w:rsidR="00945E86">
              <w:rPr>
                <w:webHidden/>
              </w:rPr>
              <w:fldChar w:fldCharType="end"/>
            </w:r>
          </w:hyperlink>
        </w:p>
        <w:p w14:paraId="44E43DD8" w14:textId="29D48DBF"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40" w:history="1">
            <w:r w:rsidR="00945E86" w:rsidRPr="00826E02">
              <w:rPr>
                <w:rStyle w:val="Hyperlink"/>
              </w:rPr>
              <w:t>8.1</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Extent to which options solves the policy problems</w:t>
            </w:r>
            <w:r w:rsidR="00945E86">
              <w:rPr>
                <w:webHidden/>
              </w:rPr>
              <w:tab/>
            </w:r>
            <w:r w:rsidR="00945E86">
              <w:rPr>
                <w:webHidden/>
              </w:rPr>
              <w:fldChar w:fldCharType="begin"/>
            </w:r>
            <w:r w:rsidR="00945E86">
              <w:rPr>
                <w:webHidden/>
              </w:rPr>
              <w:instrText xml:space="preserve"> PAGEREF _Toc157599140 \h </w:instrText>
            </w:r>
            <w:r w:rsidR="00945E86">
              <w:rPr>
                <w:webHidden/>
              </w:rPr>
            </w:r>
            <w:r w:rsidR="00945E86">
              <w:rPr>
                <w:webHidden/>
              </w:rPr>
              <w:fldChar w:fldCharType="separate"/>
            </w:r>
            <w:r w:rsidR="003F7B92">
              <w:rPr>
                <w:webHidden/>
              </w:rPr>
              <w:t>89</w:t>
            </w:r>
            <w:r w:rsidR="00945E86">
              <w:rPr>
                <w:webHidden/>
              </w:rPr>
              <w:fldChar w:fldCharType="end"/>
            </w:r>
          </w:hyperlink>
        </w:p>
        <w:p w14:paraId="03256DD3" w14:textId="1585EA5C"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41" w:history="1">
            <w:r w:rsidR="00945E86" w:rsidRPr="00826E02">
              <w:rPr>
                <w:rStyle w:val="Hyperlink"/>
              </w:rPr>
              <w:t>8.2</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Delivery risks</w:t>
            </w:r>
            <w:r w:rsidR="00945E86">
              <w:rPr>
                <w:webHidden/>
              </w:rPr>
              <w:tab/>
            </w:r>
            <w:r w:rsidR="00945E86">
              <w:rPr>
                <w:webHidden/>
              </w:rPr>
              <w:fldChar w:fldCharType="begin"/>
            </w:r>
            <w:r w:rsidR="00945E86">
              <w:rPr>
                <w:webHidden/>
              </w:rPr>
              <w:instrText xml:space="preserve"> PAGEREF _Toc157599141 \h </w:instrText>
            </w:r>
            <w:r w:rsidR="00945E86">
              <w:rPr>
                <w:webHidden/>
              </w:rPr>
            </w:r>
            <w:r w:rsidR="00945E86">
              <w:rPr>
                <w:webHidden/>
              </w:rPr>
              <w:fldChar w:fldCharType="separate"/>
            </w:r>
            <w:r w:rsidR="003F7B92">
              <w:rPr>
                <w:webHidden/>
              </w:rPr>
              <w:t>94</w:t>
            </w:r>
            <w:r w:rsidR="00945E86">
              <w:rPr>
                <w:webHidden/>
              </w:rPr>
              <w:fldChar w:fldCharType="end"/>
            </w:r>
          </w:hyperlink>
        </w:p>
        <w:p w14:paraId="4DF2EFC6" w14:textId="3F7E484D"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42" w:history="1">
            <w:r w:rsidR="00945E86" w:rsidRPr="00826E02">
              <w:rPr>
                <w:rStyle w:val="Hyperlink"/>
              </w:rPr>
              <w:t>8.3</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Costs and benefits</w:t>
            </w:r>
            <w:r w:rsidR="00945E86">
              <w:rPr>
                <w:webHidden/>
              </w:rPr>
              <w:tab/>
            </w:r>
            <w:r w:rsidR="00945E86">
              <w:rPr>
                <w:webHidden/>
              </w:rPr>
              <w:fldChar w:fldCharType="begin"/>
            </w:r>
            <w:r w:rsidR="00945E86">
              <w:rPr>
                <w:webHidden/>
              </w:rPr>
              <w:instrText xml:space="preserve"> PAGEREF _Toc157599142 \h </w:instrText>
            </w:r>
            <w:r w:rsidR="00945E86">
              <w:rPr>
                <w:webHidden/>
              </w:rPr>
            </w:r>
            <w:r w:rsidR="00945E86">
              <w:rPr>
                <w:webHidden/>
              </w:rPr>
              <w:fldChar w:fldCharType="separate"/>
            </w:r>
            <w:r w:rsidR="003F7B92">
              <w:rPr>
                <w:webHidden/>
              </w:rPr>
              <w:t>103</w:t>
            </w:r>
            <w:r w:rsidR="00945E86">
              <w:rPr>
                <w:webHidden/>
              </w:rPr>
              <w:fldChar w:fldCharType="end"/>
            </w:r>
          </w:hyperlink>
        </w:p>
        <w:p w14:paraId="7BE55AA4" w14:textId="5D0BB320" w:rsidR="00945E86" w:rsidRDefault="00000000">
          <w:pPr>
            <w:pStyle w:val="TOC1"/>
            <w:rPr>
              <w:rFonts w:asciiTheme="minorHAnsi" w:eastAsiaTheme="minorEastAsia" w:hAnsiTheme="minorHAnsi"/>
              <w:kern w:val="2"/>
              <w:sz w:val="22"/>
              <w:lang w:val="en-AU" w:eastAsia="en-AU"/>
              <w14:ligatures w14:val="standardContextual"/>
            </w:rPr>
          </w:pPr>
          <w:hyperlink w:anchor="_Toc157599143" w:history="1">
            <w:r w:rsidR="00945E86" w:rsidRPr="00826E02">
              <w:rPr>
                <w:rStyle w:val="Hyperlink"/>
              </w:rPr>
              <w:t>9</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Evaluation of the preferred option</w:t>
            </w:r>
            <w:r w:rsidR="00945E86">
              <w:rPr>
                <w:webHidden/>
              </w:rPr>
              <w:tab/>
            </w:r>
            <w:r w:rsidR="00945E86">
              <w:rPr>
                <w:webHidden/>
              </w:rPr>
              <w:fldChar w:fldCharType="begin"/>
            </w:r>
            <w:r w:rsidR="00945E86">
              <w:rPr>
                <w:webHidden/>
              </w:rPr>
              <w:instrText xml:space="preserve"> PAGEREF _Toc157599143 \h </w:instrText>
            </w:r>
            <w:r w:rsidR="00945E86">
              <w:rPr>
                <w:webHidden/>
              </w:rPr>
            </w:r>
            <w:r w:rsidR="00945E86">
              <w:rPr>
                <w:webHidden/>
              </w:rPr>
              <w:fldChar w:fldCharType="separate"/>
            </w:r>
            <w:r w:rsidR="003F7B92">
              <w:rPr>
                <w:webHidden/>
              </w:rPr>
              <w:t>104</w:t>
            </w:r>
            <w:r w:rsidR="00945E86">
              <w:rPr>
                <w:webHidden/>
              </w:rPr>
              <w:fldChar w:fldCharType="end"/>
            </w:r>
          </w:hyperlink>
        </w:p>
        <w:p w14:paraId="28D34303" w14:textId="4D5F02C6"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44" w:history="1">
            <w:r w:rsidR="00945E86" w:rsidRPr="00826E02">
              <w:rPr>
                <w:rStyle w:val="Hyperlink"/>
              </w:rPr>
              <w:t>9.1</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Purpose and scope of evaluation</w:t>
            </w:r>
            <w:r w:rsidR="00945E86">
              <w:rPr>
                <w:webHidden/>
              </w:rPr>
              <w:tab/>
            </w:r>
            <w:r w:rsidR="00945E86">
              <w:rPr>
                <w:webHidden/>
              </w:rPr>
              <w:fldChar w:fldCharType="begin"/>
            </w:r>
            <w:r w:rsidR="00945E86">
              <w:rPr>
                <w:webHidden/>
              </w:rPr>
              <w:instrText xml:space="preserve"> PAGEREF _Toc157599144 \h </w:instrText>
            </w:r>
            <w:r w:rsidR="00945E86">
              <w:rPr>
                <w:webHidden/>
              </w:rPr>
            </w:r>
            <w:r w:rsidR="00945E86">
              <w:rPr>
                <w:webHidden/>
              </w:rPr>
              <w:fldChar w:fldCharType="separate"/>
            </w:r>
            <w:r w:rsidR="003F7B92">
              <w:rPr>
                <w:webHidden/>
              </w:rPr>
              <w:t>104</w:t>
            </w:r>
            <w:r w:rsidR="00945E86">
              <w:rPr>
                <w:webHidden/>
              </w:rPr>
              <w:fldChar w:fldCharType="end"/>
            </w:r>
          </w:hyperlink>
        </w:p>
        <w:p w14:paraId="4BBE8043" w14:textId="2ABDE221" w:rsidR="00945E86" w:rsidRDefault="00000000">
          <w:pPr>
            <w:pStyle w:val="TOC2"/>
            <w:rPr>
              <w:rFonts w:asciiTheme="minorHAnsi" w:eastAsiaTheme="minorEastAsia" w:hAnsiTheme="minorHAnsi" w:cstheme="minorBidi"/>
              <w:kern w:val="2"/>
              <w:sz w:val="22"/>
              <w:lang w:val="en-AU" w:eastAsia="en-AU"/>
              <w14:ligatures w14:val="standardContextual"/>
            </w:rPr>
          </w:pPr>
          <w:hyperlink w:anchor="_Toc157599145" w:history="1">
            <w:r w:rsidR="00945E86" w:rsidRPr="00826E02">
              <w:rPr>
                <w:rStyle w:val="Hyperlink"/>
              </w:rPr>
              <w:t>9.2</w:t>
            </w:r>
            <w:r w:rsidR="00945E86">
              <w:rPr>
                <w:rFonts w:asciiTheme="minorHAnsi" w:eastAsiaTheme="minorEastAsia" w:hAnsiTheme="minorHAnsi" w:cstheme="minorBidi"/>
                <w:kern w:val="2"/>
                <w:sz w:val="22"/>
                <w:lang w:val="en-AU" w:eastAsia="en-AU"/>
                <w14:ligatures w14:val="standardContextual"/>
              </w:rPr>
              <w:tab/>
            </w:r>
            <w:r w:rsidR="00945E86" w:rsidRPr="00826E02">
              <w:rPr>
                <w:rStyle w:val="Hyperlink"/>
              </w:rPr>
              <w:t>Data collection</w:t>
            </w:r>
            <w:r w:rsidR="00945E86">
              <w:rPr>
                <w:webHidden/>
              </w:rPr>
              <w:tab/>
            </w:r>
            <w:r w:rsidR="00945E86">
              <w:rPr>
                <w:webHidden/>
              </w:rPr>
              <w:fldChar w:fldCharType="begin"/>
            </w:r>
            <w:r w:rsidR="00945E86">
              <w:rPr>
                <w:webHidden/>
              </w:rPr>
              <w:instrText xml:space="preserve"> PAGEREF _Toc157599145 \h </w:instrText>
            </w:r>
            <w:r w:rsidR="00945E86">
              <w:rPr>
                <w:webHidden/>
              </w:rPr>
            </w:r>
            <w:r w:rsidR="00945E86">
              <w:rPr>
                <w:webHidden/>
              </w:rPr>
              <w:fldChar w:fldCharType="separate"/>
            </w:r>
            <w:r w:rsidR="003F7B92">
              <w:rPr>
                <w:webHidden/>
              </w:rPr>
              <w:t>106</w:t>
            </w:r>
            <w:r w:rsidR="00945E86">
              <w:rPr>
                <w:webHidden/>
              </w:rPr>
              <w:fldChar w:fldCharType="end"/>
            </w:r>
          </w:hyperlink>
        </w:p>
        <w:p w14:paraId="664B70B1" w14:textId="6F124614" w:rsidR="00945E86" w:rsidRDefault="00000000">
          <w:pPr>
            <w:pStyle w:val="TOC1"/>
            <w:rPr>
              <w:rFonts w:asciiTheme="minorHAnsi" w:eastAsiaTheme="minorEastAsia" w:hAnsiTheme="minorHAnsi"/>
              <w:kern w:val="2"/>
              <w:sz w:val="22"/>
              <w:lang w:val="en-AU" w:eastAsia="en-AU"/>
              <w14:ligatures w14:val="standardContextual"/>
            </w:rPr>
          </w:pPr>
          <w:hyperlink w:anchor="_Toc157599146" w:history="1">
            <w:r w:rsidR="00945E86" w:rsidRPr="00826E02">
              <w:rPr>
                <w:rStyle w:val="Hyperlink"/>
              </w:rPr>
              <w:t>10</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Next steps</w:t>
            </w:r>
            <w:r w:rsidR="00945E86">
              <w:rPr>
                <w:webHidden/>
              </w:rPr>
              <w:tab/>
            </w:r>
            <w:r w:rsidR="00945E86">
              <w:rPr>
                <w:webHidden/>
              </w:rPr>
              <w:fldChar w:fldCharType="begin"/>
            </w:r>
            <w:r w:rsidR="00945E86">
              <w:rPr>
                <w:webHidden/>
              </w:rPr>
              <w:instrText xml:space="preserve"> PAGEREF _Toc157599146 \h </w:instrText>
            </w:r>
            <w:r w:rsidR="00945E86">
              <w:rPr>
                <w:webHidden/>
              </w:rPr>
            </w:r>
            <w:r w:rsidR="00945E86">
              <w:rPr>
                <w:webHidden/>
              </w:rPr>
              <w:fldChar w:fldCharType="separate"/>
            </w:r>
            <w:r w:rsidR="003F7B92">
              <w:rPr>
                <w:webHidden/>
              </w:rPr>
              <w:t>110</w:t>
            </w:r>
            <w:r w:rsidR="00945E86">
              <w:rPr>
                <w:webHidden/>
              </w:rPr>
              <w:fldChar w:fldCharType="end"/>
            </w:r>
          </w:hyperlink>
        </w:p>
        <w:p w14:paraId="772F14C8" w14:textId="3865B93E" w:rsidR="00945E86" w:rsidRDefault="00000000">
          <w:pPr>
            <w:pStyle w:val="TOC1"/>
            <w:rPr>
              <w:rFonts w:asciiTheme="minorHAnsi" w:eastAsiaTheme="minorEastAsia" w:hAnsiTheme="minorHAnsi"/>
              <w:kern w:val="2"/>
              <w:sz w:val="22"/>
              <w:lang w:val="en-AU" w:eastAsia="en-AU"/>
              <w14:ligatures w14:val="standardContextual"/>
            </w:rPr>
          </w:pPr>
          <w:hyperlink w:anchor="_Toc157599147" w:history="1">
            <w:r w:rsidR="00945E86" w:rsidRPr="00826E02">
              <w:rPr>
                <w:rStyle w:val="Hyperlink"/>
              </w:rPr>
              <w:t>Appendix A</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Terms of Reference</w:t>
            </w:r>
            <w:r w:rsidR="00945E86">
              <w:rPr>
                <w:webHidden/>
              </w:rPr>
              <w:tab/>
            </w:r>
            <w:r w:rsidR="00945E86">
              <w:rPr>
                <w:webHidden/>
              </w:rPr>
              <w:fldChar w:fldCharType="begin"/>
            </w:r>
            <w:r w:rsidR="00945E86">
              <w:rPr>
                <w:webHidden/>
              </w:rPr>
              <w:instrText xml:space="preserve"> PAGEREF _Toc157599147 \h </w:instrText>
            </w:r>
            <w:r w:rsidR="00945E86">
              <w:rPr>
                <w:webHidden/>
              </w:rPr>
            </w:r>
            <w:r w:rsidR="00945E86">
              <w:rPr>
                <w:webHidden/>
              </w:rPr>
              <w:fldChar w:fldCharType="separate"/>
            </w:r>
            <w:r w:rsidR="003F7B92">
              <w:rPr>
                <w:webHidden/>
              </w:rPr>
              <w:t>111</w:t>
            </w:r>
            <w:r w:rsidR="00945E86">
              <w:rPr>
                <w:webHidden/>
              </w:rPr>
              <w:fldChar w:fldCharType="end"/>
            </w:r>
          </w:hyperlink>
        </w:p>
        <w:p w14:paraId="643D3EBB" w14:textId="2175D30A" w:rsidR="00945E86" w:rsidRDefault="00000000">
          <w:pPr>
            <w:pStyle w:val="TOC1"/>
            <w:rPr>
              <w:rFonts w:asciiTheme="minorHAnsi" w:eastAsiaTheme="minorEastAsia" w:hAnsiTheme="minorHAnsi"/>
              <w:kern w:val="2"/>
              <w:sz w:val="22"/>
              <w:lang w:val="en-AU" w:eastAsia="en-AU"/>
              <w14:ligatures w14:val="standardContextual"/>
            </w:rPr>
          </w:pPr>
          <w:hyperlink w:anchor="_Toc157599148" w:history="1">
            <w:r w:rsidR="00945E86" w:rsidRPr="00826E02">
              <w:rPr>
                <w:rStyle w:val="Hyperlink"/>
              </w:rPr>
              <w:t>Appendix B</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The Act Review Steering Committee members</w:t>
            </w:r>
            <w:r w:rsidR="00945E86">
              <w:rPr>
                <w:webHidden/>
              </w:rPr>
              <w:tab/>
            </w:r>
            <w:r w:rsidR="00945E86">
              <w:rPr>
                <w:webHidden/>
              </w:rPr>
              <w:fldChar w:fldCharType="begin"/>
            </w:r>
            <w:r w:rsidR="00945E86">
              <w:rPr>
                <w:webHidden/>
              </w:rPr>
              <w:instrText xml:space="preserve"> PAGEREF _Toc157599148 \h </w:instrText>
            </w:r>
            <w:r w:rsidR="00945E86">
              <w:rPr>
                <w:webHidden/>
              </w:rPr>
            </w:r>
            <w:r w:rsidR="00945E86">
              <w:rPr>
                <w:webHidden/>
              </w:rPr>
              <w:fldChar w:fldCharType="separate"/>
            </w:r>
            <w:r w:rsidR="003F7B92">
              <w:rPr>
                <w:webHidden/>
              </w:rPr>
              <w:t>114</w:t>
            </w:r>
            <w:r w:rsidR="00945E86">
              <w:rPr>
                <w:webHidden/>
              </w:rPr>
              <w:fldChar w:fldCharType="end"/>
            </w:r>
          </w:hyperlink>
        </w:p>
        <w:p w14:paraId="1C9C725D" w14:textId="3E45659B" w:rsidR="00945E86" w:rsidRDefault="00000000">
          <w:pPr>
            <w:pStyle w:val="TOC1"/>
            <w:rPr>
              <w:rFonts w:asciiTheme="minorHAnsi" w:eastAsiaTheme="minorEastAsia" w:hAnsiTheme="minorHAnsi"/>
              <w:kern w:val="2"/>
              <w:sz w:val="22"/>
              <w:lang w:val="en-AU" w:eastAsia="en-AU"/>
              <w14:ligatures w14:val="standardContextual"/>
            </w:rPr>
          </w:pPr>
          <w:hyperlink w:anchor="_Toc157599149" w:history="1">
            <w:r w:rsidR="00945E86" w:rsidRPr="00826E02">
              <w:rPr>
                <w:rStyle w:val="Hyperlink"/>
              </w:rPr>
              <w:t>Appendix C</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Net benefit assumptions and calculation</w:t>
            </w:r>
            <w:r w:rsidR="00945E86">
              <w:rPr>
                <w:webHidden/>
              </w:rPr>
              <w:tab/>
            </w:r>
            <w:r w:rsidR="00945E86">
              <w:rPr>
                <w:webHidden/>
              </w:rPr>
              <w:fldChar w:fldCharType="begin"/>
            </w:r>
            <w:r w:rsidR="00945E86">
              <w:rPr>
                <w:webHidden/>
              </w:rPr>
              <w:instrText xml:space="preserve"> PAGEREF _Toc157599149 \h </w:instrText>
            </w:r>
            <w:r w:rsidR="00945E86">
              <w:rPr>
                <w:webHidden/>
              </w:rPr>
            </w:r>
            <w:r w:rsidR="00945E86">
              <w:rPr>
                <w:webHidden/>
              </w:rPr>
              <w:fldChar w:fldCharType="separate"/>
            </w:r>
            <w:r w:rsidR="003F7B92">
              <w:rPr>
                <w:webHidden/>
              </w:rPr>
              <w:t>115</w:t>
            </w:r>
            <w:r w:rsidR="00945E86">
              <w:rPr>
                <w:webHidden/>
              </w:rPr>
              <w:fldChar w:fldCharType="end"/>
            </w:r>
          </w:hyperlink>
        </w:p>
        <w:p w14:paraId="38DC18E0" w14:textId="4CBD39C7" w:rsidR="00945E86" w:rsidRDefault="00000000">
          <w:pPr>
            <w:pStyle w:val="TOC1"/>
            <w:rPr>
              <w:rFonts w:asciiTheme="minorHAnsi" w:eastAsiaTheme="minorEastAsia" w:hAnsiTheme="minorHAnsi"/>
              <w:kern w:val="2"/>
              <w:sz w:val="22"/>
              <w:lang w:val="en-AU" w:eastAsia="en-AU"/>
              <w14:ligatures w14:val="standardContextual"/>
            </w:rPr>
          </w:pPr>
          <w:hyperlink w:anchor="_Toc157599150" w:history="1">
            <w:r w:rsidR="00945E86" w:rsidRPr="00826E02">
              <w:rPr>
                <w:rStyle w:val="Hyperlink"/>
              </w:rPr>
              <w:t>Appendix D</w:t>
            </w:r>
            <w:r w:rsidR="00945E86">
              <w:rPr>
                <w:rFonts w:asciiTheme="minorHAnsi" w:eastAsiaTheme="minorEastAsia" w:hAnsiTheme="minorHAnsi"/>
                <w:kern w:val="2"/>
                <w:sz w:val="22"/>
                <w:lang w:val="en-AU" w:eastAsia="en-AU"/>
                <w14:ligatures w14:val="standardContextual"/>
              </w:rPr>
              <w:tab/>
            </w:r>
            <w:r w:rsidR="00945E86" w:rsidRPr="00826E02">
              <w:rPr>
                <w:rStyle w:val="Hyperlink"/>
              </w:rPr>
              <w:t>Application of proposed risk framework</w:t>
            </w:r>
            <w:r w:rsidR="00945E86">
              <w:rPr>
                <w:webHidden/>
              </w:rPr>
              <w:tab/>
            </w:r>
            <w:r w:rsidR="00945E86">
              <w:rPr>
                <w:webHidden/>
              </w:rPr>
              <w:fldChar w:fldCharType="begin"/>
            </w:r>
            <w:r w:rsidR="00945E86">
              <w:rPr>
                <w:webHidden/>
              </w:rPr>
              <w:instrText xml:space="preserve"> PAGEREF _Toc157599150 \h </w:instrText>
            </w:r>
            <w:r w:rsidR="00945E86">
              <w:rPr>
                <w:webHidden/>
              </w:rPr>
            </w:r>
            <w:r w:rsidR="00945E86">
              <w:rPr>
                <w:webHidden/>
              </w:rPr>
              <w:fldChar w:fldCharType="separate"/>
            </w:r>
            <w:r w:rsidR="003F7B92">
              <w:rPr>
                <w:webHidden/>
              </w:rPr>
              <w:t>118</w:t>
            </w:r>
            <w:r w:rsidR="00945E86">
              <w:rPr>
                <w:webHidden/>
              </w:rPr>
              <w:fldChar w:fldCharType="end"/>
            </w:r>
          </w:hyperlink>
        </w:p>
        <w:p w14:paraId="0C988437" w14:textId="77777777" w:rsidR="00DC3341" w:rsidRDefault="005A1E3F" w:rsidP="00DC3341">
          <w:pPr>
            <w:rPr>
              <w:b/>
              <w:bCs/>
              <w:noProof/>
            </w:rPr>
          </w:pPr>
          <w:r w:rsidRPr="00206ACA">
            <w:rPr>
              <w:b/>
              <w:bCs/>
              <w:noProof/>
            </w:rPr>
            <w:fldChar w:fldCharType="end"/>
          </w:r>
        </w:p>
      </w:sdtContent>
    </w:sdt>
    <w:p w14:paraId="53381446" w14:textId="0B37AF23" w:rsidR="004F3100" w:rsidRPr="00E35C2C" w:rsidRDefault="003E57AA" w:rsidP="00923BE4">
      <w:pPr>
        <w:rPr>
          <w:b/>
          <w:bCs/>
          <w:noProof/>
        </w:rPr>
      </w:pPr>
      <w:r>
        <w:rPr>
          <w:b/>
          <w:bCs/>
          <w:noProof/>
        </w:rPr>
        <w:br w:type="page"/>
      </w:r>
    </w:p>
    <w:tbl>
      <w:tblPr>
        <w:tblStyle w:val="TableGrid"/>
        <w:tblW w:w="0" w:type="auto"/>
        <w:tblInd w:w="-85" w:type="dxa"/>
        <w:tblLook w:val="04A0" w:firstRow="1" w:lastRow="0" w:firstColumn="1" w:lastColumn="0" w:noHBand="0" w:noVBand="1"/>
      </w:tblPr>
      <w:tblGrid>
        <w:gridCol w:w="947"/>
        <w:gridCol w:w="7993"/>
        <w:gridCol w:w="75"/>
      </w:tblGrid>
      <w:tr w:rsidR="008472F5" w:rsidRPr="00206ACA" w14:paraId="5ED2DC1A" w14:textId="77777777" w:rsidTr="002D0B25">
        <w:trPr>
          <w:gridAfter w:val="1"/>
          <w:cnfStyle w:val="100000000000" w:firstRow="1" w:lastRow="0" w:firstColumn="0" w:lastColumn="0" w:oddVBand="0" w:evenVBand="0" w:oddHBand="0" w:evenHBand="0" w:firstRowFirstColumn="0" w:firstRowLastColumn="0" w:lastRowFirstColumn="0" w:lastRowLastColumn="0"/>
          <w:wAfter w:w="84" w:type="dxa"/>
        </w:trPr>
        <w:tc>
          <w:tcPr>
            <w:tcW w:w="8931" w:type="dxa"/>
            <w:gridSpan w:val="2"/>
          </w:tcPr>
          <w:p w14:paraId="5523F09F" w14:textId="353BAFB9" w:rsidR="00425AB7" w:rsidRPr="00206ACA" w:rsidRDefault="00425AB7" w:rsidP="00BB1DAF">
            <w:pPr>
              <w:rPr>
                <w:rFonts w:asciiTheme="majorHAnsi" w:hAnsiTheme="majorHAnsi" w:cstheme="majorHAnsi"/>
              </w:rPr>
            </w:pPr>
            <w:r w:rsidRPr="00206ACA">
              <w:rPr>
                <w:rFonts w:asciiTheme="majorHAnsi" w:hAnsiTheme="majorHAnsi" w:cstheme="majorHAnsi"/>
              </w:rPr>
              <w:lastRenderedPageBreak/>
              <w:t>List of acronyms used in this report</w:t>
            </w:r>
          </w:p>
        </w:tc>
      </w:tr>
      <w:tr w:rsidR="00425AB7" w:rsidRPr="00206ACA" w14:paraId="09639B8E" w14:textId="77777777" w:rsidTr="00B718C5">
        <w:trPr>
          <w:cnfStyle w:val="000000100000" w:firstRow="0" w:lastRow="0" w:firstColumn="0" w:lastColumn="0" w:oddVBand="0" w:evenVBand="0" w:oddHBand="1" w:evenHBand="0" w:firstRowFirstColumn="0" w:firstRowLastColumn="0" w:lastRowFirstColumn="0" w:lastRowLastColumn="0"/>
          <w:trHeight w:val="365"/>
        </w:trPr>
        <w:tc>
          <w:tcPr>
            <w:tcW w:w="0" w:type="dxa"/>
          </w:tcPr>
          <w:p w14:paraId="5A52B134" w14:textId="0BF639CC" w:rsidR="00425AB7" w:rsidRPr="00206ACA" w:rsidRDefault="009F6853" w:rsidP="00BB1DAF">
            <w:pPr>
              <w:spacing w:after="0"/>
            </w:pPr>
            <w:r>
              <w:t>A</w:t>
            </w:r>
            <w:r w:rsidR="00841280">
              <w:t>BCB</w:t>
            </w:r>
          </w:p>
        </w:tc>
        <w:tc>
          <w:tcPr>
            <w:tcW w:w="0" w:type="dxa"/>
            <w:gridSpan w:val="2"/>
          </w:tcPr>
          <w:p w14:paraId="3164F6FA" w14:textId="11253E69" w:rsidR="00425AB7" w:rsidRPr="00206ACA" w:rsidRDefault="00841280" w:rsidP="00BB1DAF">
            <w:pPr>
              <w:spacing w:after="0"/>
            </w:pPr>
            <w:r w:rsidRPr="00841280">
              <w:t>Australian Building Codes Board</w:t>
            </w:r>
          </w:p>
        </w:tc>
      </w:tr>
      <w:tr w:rsidR="00B75FB6" w:rsidRPr="00206ACA" w14:paraId="004658E7" w14:textId="77777777" w:rsidTr="00B718C5">
        <w:trPr>
          <w:cnfStyle w:val="000000010000" w:firstRow="0" w:lastRow="0" w:firstColumn="0" w:lastColumn="0" w:oddVBand="0" w:evenVBand="0" w:oddHBand="0" w:evenHBand="1" w:firstRowFirstColumn="0" w:firstRowLastColumn="0" w:lastRowFirstColumn="0" w:lastRowLastColumn="0"/>
          <w:trHeight w:val="365"/>
        </w:trPr>
        <w:tc>
          <w:tcPr>
            <w:tcW w:w="0" w:type="dxa"/>
          </w:tcPr>
          <w:p w14:paraId="5FDEC8BA" w14:textId="2CAF9E9A" w:rsidR="00B75FB6" w:rsidRPr="001746D0" w:rsidRDefault="00B75FB6" w:rsidP="009F6853">
            <w:pPr>
              <w:spacing w:after="0"/>
            </w:pPr>
            <w:r w:rsidRPr="001746D0">
              <w:t>APVMA</w:t>
            </w:r>
          </w:p>
        </w:tc>
        <w:tc>
          <w:tcPr>
            <w:tcW w:w="0" w:type="dxa"/>
            <w:gridSpan w:val="2"/>
          </w:tcPr>
          <w:p w14:paraId="00C77E56" w14:textId="47229C21" w:rsidR="00B75FB6" w:rsidRPr="001746D0" w:rsidRDefault="00B75FB6" w:rsidP="009F6853">
            <w:pPr>
              <w:spacing w:after="0"/>
            </w:pPr>
            <w:r w:rsidRPr="001746D0">
              <w:t>Australian Pesticides and Veterinary Medicines Authority</w:t>
            </w:r>
          </w:p>
        </w:tc>
      </w:tr>
      <w:tr w:rsidR="009F6853" w:rsidRPr="00206ACA" w14:paraId="7A0BA2B1" w14:textId="77777777" w:rsidTr="00B718C5">
        <w:trPr>
          <w:cnfStyle w:val="000000100000" w:firstRow="0" w:lastRow="0" w:firstColumn="0" w:lastColumn="0" w:oddVBand="0" w:evenVBand="0" w:oddHBand="1" w:evenHBand="0" w:firstRowFirstColumn="0" w:firstRowLastColumn="0" w:lastRowFirstColumn="0" w:lastRowLastColumn="0"/>
          <w:trHeight w:val="365"/>
        </w:trPr>
        <w:tc>
          <w:tcPr>
            <w:tcW w:w="0" w:type="dxa"/>
          </w:tcPr>
          <w:p w14:paraId="7DEDB3D1" w14:textId="75B377D3" w:rsidR="009F6853" w:rsidRPr="001746D0" w:rsidRDefault="009F6853" w:rsidP="009F6853">
            <w:pPr>
              <w:spacing w:after="0"/>
            </w:pPr>
            <w:r w:rsidRPr="001746D0">
              <w:t>AUD</w:t>
            </w:r>
          </w:p>
        </w:tc>
        <w:tc>
          <w:tcPr>
            <w:tcW w:w="0" w:type="dxa"/>
            <w:gridSpan w:val="2"/>
          </w:tcPr>
          <w:p w14:paraId="231865F1" w14:textId="0108D9AB" w:rsidR="009F6853" w:rsidRPr="001746D0" w:rsidRDefault="009F6853" w:rsidP="009F6853">
            <w:pPr>
              <w:spacing w:after="0"/>
            </w:pPr>
            <w:r w:rsidRPr="001746D0">
              <w:t xml:space="preserve">Australian Dollar </w:t>
            </w:r>
          </w:p>
        </w:tc>
      </w:tr>
      <w:tr w:rsidR="009F6853" w:rsidRPr="00206ACA" w14:paraId="7DDAC931"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4D535C0B" w14:textId="0A7174D2" w:rsidR="009F6853" w:rsidRPr="001746D0" w:rsidRDefault="009F6853" w:rsidP="009F6853">
            <w:pPr>
              <w:spacing w:after="0"/>
            </w:pPr>
            <w:r w:rsidRPr="001746D0">
              <w:t>BCR</w:t>
            </w:r>
          </w:p>
        </w:tc>
        <w:tc>
          <w:tcPr>
            <w:tcW w:w="0" w:type="dxa"/>
            <w:gridSpan w:val="2"/>
          </w:tcPr>
          <w:p w14:paraId="11FEFA73" w14:textId="3D9B529D" w:rsidR="009F6853" w:rsidRPr="001746D0" w:rsidRDefault="009F6853" w:rsidP="009F6853">
            <w:pPr>
              <w:spacing w:after="0"/>
            </w:pPr>
            <w:r w:rsidRPr="001746D0">
              <w:t>Benefits Cost Ratio</w:t>
            </w:r>
          </w:p>
        </w:tc>
      </w:tr>
      <w:tr w:rsidR="009F6853" w:rsidRPr="00206ACA" w14:paraId="6499FF5C" w14:textId="77777777" w:rsidTr="00B718C5">
        <w:trPr>
          <w:cnfStyle w:val="000000100000" w:firstRow="0" w:lastRow="0" w:firstColumn="0" w:lastColumn="0" w:oddVBand="0" w:evenVBand="0" w:oddHBand="1" w:evenHBand="0" w:firstRowFirstColumn="0" w:firstRowLastColumn="0" w:lastRowFirstColumn="0" w:lastRowLastColumn="0"/>
        </w:trPr>
        <w:tc>
          <w:tcPr>
            <w:tcW w:w="0" w:type="dxa"/>
          </w:tcPr>
          <w:p w14:paraId="4D655E93" w14:textId="0ABD1EF7" w:rsidR="009F6853" w:rsidRPr="001746D0" w:rsidRDefault="009F6853" w:rsidP="009F6853">
            <w:pPr>
              <w:spacing w:after="0"/>
            </w:pPr>
            <w:r w:rsidRPr="001746D0">
              <w:t>COAG</w:t>
            </w:r>
          </w:p>
        </w:tc>
        <w:tc>
          <w:tcPr>
            <w:tcW w:w="0" w:type="dxa"/>
            <w:gridSpan w:val="2"/>
          </w:tcPr>
          <w:p w14:paraId="44EA1E52" w14:textId="1459999D" w:rsidR="009F6853" w:rsidRPr="001746D0" w:rsidRDefault="009F6853" w:rsidP="009F6853">
            <w:pPr>
              <w:spacing w:after="0"/>
            </w:pPr>
            <w:r w:rsidRPr="001746D0">
              <w:t>Council of Australian Governments</w:t>
            </w:r>
          </w:p>
        </w:tc>
      </w:tr>
      <w:tr w:rsidR="009F6853" w:rsidRPr="00206ACA" w14:paraId="5C9147F7"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02E668E2" w14:textId="4C66D222" w:rsidR="009F6853" w:rsidRPr="001746D0" w:rsidRDefault="009F6853" w:rsidP="009F6853">
            <w:pPr>
              <w:spacing w:after="0"/>
            </w:pPr>
            <w:r w:rsidRPr="001746D0">
              <w:t>DAFF</w:t>
            </w:r>
          </w:p>
        </w:tc>
        <w:tc>
          <w:tcPr>
            <w:tcW w:w="0" w:type="dxa"/>
            <w:gridSpan w:val="2"/>
          </w:tcPr>
          <w:p w14:paraId="5C524E43" w14:textId="1F9841BD" w:rsidR="009F6853" w:rsidRPr="001746D0" w:rsidRDefault="009F6853" w:rsidP="009F6853">
            <w:pPr>
              <w:spacing w:after="0"/>
            </w:pPr>
            <w:r w:rsidRPr="001746D0">
              <w:t>Department of Agriculture Fisheries and Forestry</w:t>
            </w:r>
          </w:p>
        </w:tc>
      </w:tr>
      <w:tr w:rsidR="009F6853" w:rsidRPr="00206ACA" w14:paraId="53ABF03E" w14:textId="77777777" w:rsidTr="00B718C5">
        <w:trPr>
          <w:cnfStyle w:val="000000100000" w:firstRow="0" w:lastRow="0" w:firstColumn="0" w:lastColumn="0" w:oddVBand="0" w:evenVBand="0" w:oddHBand="1" w:evenHBand="0" w:firstRowFirstColumn="0" w:firstRowLastColumn="0" w:lastRowFirstColumn="0" w:lastRowLastColumn="0"/>
        </w:trPr>
        <w:tc>
          <w:tcPr>
            <w:tcW w:w="0" w:type="dxa"/>
          </w:tcPr>
          <w:p w14:paraId="4C82C797" w14:textId="0D1F7B8B" w:rsidR="009F6853" w:rsidRPr="001746D0" w:rsidRDefault="009F6853" w:rsidP="009F6853">
            <w:pPr>
              <w:spacing w:after="0"/>
            </w:pPr>
            <w:r w:rsidRPr="001746D0">
              <w:t>DHAC</w:t>
            </w:r>
          </w:p>
        </w:tc>
        <w:tc>
          <w:tcPr>
            <w:tcW w:w="0" w:type="dxa"/>
            <w:gridSpan w:val="2"/>
          </w:tcPr>
          <w:p w14:paraId="502FC52B" w14:textId="2C2C7A10" w:rsidR="009F6853" w:rsidRPr="001746D0" w:rsidRDefault="009F6853" w:rsidP="009F6853">
            <w:pPr>
              <w:spacing w:after="0"/>
            </w:pPr>
            <w:r w:rsidRPr="001746D0">
              <w:t>Department of Health and Aged Care</w:t>
            </w:r>
          </w:p>
        </w:tc>
      </w:tr>
      <w:tr w:rsidR="009F6853" w:rsidRPr="00206ACA" w14:paraId="00E05AC1"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77BB1031" w14:textId="427C4D82" w:rsidR="009F6853" w:rsidRPr="001746D0" w:rsidRDefault="009F6853" w:rsidP="009F6853">
            <w:pPr>
              <w:spacing w:after="0"/>
            </w:pPr>
            <w:r w:rsidRPr="001746D0">
              <w:t>EFSA</w:t>
            </w:r>
          </w:p>
        </w:tc>
        <w:tc>
          <w:tcPr>
            <w:tcW w:w="0" w:type="dxa"/>
            <w:gridSpan w:val="2"/>
          </w:tcPr>
          <w:p w14:paraId="5E691891" w14:textId="2B9ECDB7" w:rsidR="009F6853" w:rsidRPr="001746D0" w:rsidRDefault="009F6853" w:rsidP="009F6853">
            <w:pPr>
              <w:spacing w:after="0"/>
            </w:pPr>
            <w:r w:rsidRPr="001746D0">
              <w:t>European Food Safety Authority</w:t>
            </w:r>
          </w:p>
        </w:tc>
      </w:tr>
      <w:tr w:rsidR="009F6853" w:rsidRPr="00206ACA" w14:paraId="27E693E3" w14:textId="77777777" w:rsidTr="00B718C5">
        <w:trPr>
          <w:cnfStyle w:val="000000100000" w:firstRow="0" w:lastRow="0" w:firstColumn="0" w:lastColumn="0" w:oddVBand="0" w:evenVBand="0" w:oddHBand="1" w:evenHBand="0" w:firstRowFirstColumn="0" w:firstRowLastColumn="0" w:lastRowFirstColumn="0" w:lastRowLastColumn="0"/>
        </w:trPr>
        <w:tc>
          <w:tcPr>
            <w:tcW w:w="0" w:type="dxa"/>
          </w:tcPr>
          <w:p w14:paraId="493C00C9" w14:textId="79E58694" w:rsidR="009F6853" w:rsidRPr="001746D0" w:rsidRDefault="009F6853" w:rsidP="009F6853">
            <w:pPr>
              <w:spacing w:after="0"/>
            </w:pPr>
            <w:r w:rsidRPr="001746D0">
              <w:t>FMM</w:t>
            </w:r>
          </w:p>
        </w:tc>
        <w:tc>
          <w:tcPr>
            <w:tcW w:w="0" w:type="dxa"/>
            <w:gridSpan w:val="2"/>
          </w:tcPr>
          <w:p w14:paraId="1DF700CE" w14:textId="7568DA2B" w:rsidR="009F6853" w:rsidRPr="001746D0" w:rsidRDefault="009F6853" w:rsidP="009F6853">
            <w:pPr>
              <w:spacing w:after="0"/>
            </w:pPr>
            <w:r w:rsidRPr="001746D0">
              <w:t>Food Ministers’ Meeting</w:t>
            </w:r>
          </w:p>
        </w:tc>
      </w:tr>
      <w:tr w:rsidR="009F6853" w:rsidRPr="00206ACA" w14:paraId="5D2F2B6B"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53C43605" w14:textId="72490CF3" w:rsidR="009F6853" w:rsidRPr="001746D0" w:rsidRDefault="009F6853" w:rsidP="009F6853">
            <w:pPr>
              <w:spacing w:after="0"/>
            </w:pPr>
            <w:r w:rsidRPr="001746D0">
              <w:t>Food Treaty</w:t>
            </w:r>
          </w:p>
        </w:tc>
        <w:tc>
          <w:tcPr>
            <w:tcW w:w="0" w:type="dxa"/>
            <w:gridSpan w:val="2"/>
          </w:tcPr>
          <w:p w14:paraId="7782B28C" w14:textId="77777777" w:rsidR="009F6853" w:rsidRPr="001746D0" w:rsidRDefault="009F6853" w:rsidP="009F6853">
            <w:pPr>
              <w:spacing w:after="0"/>
            </w:pPr>
            <w:r w:rsidRPr="001746D0">
              <w:t>Agreement between the Government of Australia and the Government of New Zealand concerning a Joint Food Standards System</w:t>
            </w:r>
          </w:p>
          <w:p w14:paraId="29592D64" w14:textId="6C0890D4" w:rsidR="009F6853" w:rsidRPr="001746D0" w:rsidRDefault="009F6853" w:rsidP="009F6853">
            <w:pPr>
              <w:spacing w:after="0"/>
            </w:pPr>
            <w:r w:rsidRPr="001746D0">
              <w:rPr>
                <w:b/>
                <w:bCs/>
                <w:i/>
                <w:iCs/>
              </w:rPr>
              <w:t>Note:</w:t>
            </w:r>
            <w:r w:rsidRPr="001746D0">
              <w:rPr>
                <w:i/>
                <w:iCs/>
              </w:rPr>
              <w:t xml:space="preserve"> Also shortened to ‘Australia-New Zealand Joint Food Treaty’ or the ‘Joint Food Treaty’</w:t>
            </w:r>
          </w:p>
        </w:tc>
      </w:tr>
      <w:tr w:rsidR="009F6853" w:rsidRPr="00206ACA" w14:paraId="447C1560" w14:textId="77777777" w:rsidTr="00B718C5">
        <w:trPr>
          <w:cnfStyle w:val="000000100000" w:firstRow="0" w:lastRow="0" w:firstColumn="0" w:lastColumn="0" w:oddVBand="0" w:evenVBand="0" w:oddHBand="1" w:evenHBand="0" w:firstRowFirstColumn="0" w:firstRowLastColumn="0" w:lastRowFirstColumn="0" w:lastRowLastColumn="0"/>
        </w:trPr>
        <w:tc>
          <w:tcPr>
            <w:tcW w:w="0" w:type="dxa"/>
          </w:tcPr>
          <w:p w14:paraId="75A19CC2" w14:textId="77777777" w:rsidR="009F6853" w:rsidRPr="001746D0" w:rsidRDefault="009F6853" w:rsidP="009F6853">
            <w:pPr>
              <w:spacing w:after="0"/>
            </w:pPr>
            <w:r w:rsidRPr="001746D0">
              <w:t>FRA</w:t>
            </w:r>
          </w:p>
        </w:tc>
        <w:tc>
          <w:tcPr>
            <w:tcW w:w="0" w:type="dxa"/>
            <w:gridSpan w:val="2"/>
          </w:tcPr>
          <w:p w14:paraId="5407A61A" w14:textId="77777777" w:rsidR="009F6853" w:rsidRPr="001746D0" w:rsidRDefault="009F6853" w:rsidP="009F6853">
            <w:pPr>
              <w:spacing w:after="0"/>
            </w:pPr>
            <w:r w:rsidRPr="001746D0">
              <w:t>The Food Regulation Agreement</w:t>
            </w:r>
          </w:p>
        </w:tc>
      </w:tr>
      <w:tr w:rsidR="009F6853" w:rsidRPr="00206ACA" w14:paraId="5A575BEC"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674CED39" w14:textId="77777777" w:rsidR="009F6853" w:rsidRPr="001746D0" w:rsidRDefault="009F6853" w:rsidP="009F6853">
            <w:pPr>
              <w:spacing w:after="0"/>
            </w:pPr>
            <w:r w:rsidRPr="001746D0">
              <w:t>FRSC</w:t>
            </w:r>
          </w:p>
        </w:tc>
        <w:tc>
          <w:tcPr>
            <w:tcW w:w="0" w:type="dxa"/>
            <w:gridSpan w:val="2"/>
          </w:tcPr>
          <w:p w14:paraId="0D358C63" w14:textId="77777777" w:rsidR="009F6853" w:rsidRPr="001746D0" w:rsidRDefault="009F6853" w:rsidP="009F6853">
            <w:pPr>
              <w:spacing w:after="0"/>
            </w:pPr>
            <w:r w:rsidRPr="001746D0">
              <w:t>Food Regulation Sub-Committee</w:t>
            </w:r>
          </w:p>
        </w:tc>
      </w:tr>
      <w:tr w:rsidR="009F6853" w:rsidRPr="00206ACA" w14:paraId="2669B50F" w14:textId="77777777" w:rsidTr="00B718C5">
        <w:trPr>
          <w:cnfStyle w:val="000000100000" w:firstRow="0" w:lastRow="0" w:firstColumn="0" w:lastColumn="0" w:oddVBand="0" w:evenVBand="0" w:oddHBand="1" w:evenHBand="0" w:firstRowFirstColumn="0" w:firstRowLastColumn="0" w:lastRowFirstColumn="0" w:lastRowLastColumn="0"/>
        </w:trPr>
        <w:tc>
          <w:tcPr>
            <w:tcW w:w="0" w:type="dxa"/>
          </w:tcPr>
          <w:p w14:paraId="646E6225" w14:textId="77777777" w:rsidR="009F6853" w:rsidRPr="001746D0" w:rsidRDefault="009F6853" w:rsidP="009F6853">
            <w:pPr>
              <w:spacing w:after="0"/>
            </w:pPr>
            <w:r w:rsidRPr="001746D0">
              <w:t>FSANZ</w:t>
            </w:r>
          </w:p>
        </w:tc>
        <w:tc>
          <w:tcPr>
            <w:tcW w:w="0" w:type="dxa"/>
            <w:gridSpan w:val="2"/>
          </w:tcPr>
          <w:p w14:paraId="79B8177B" w14:textId="77777777" w:rsidR="009F6853" w:rsidRPr="001746D0" w:rsidRDefault="009F6853" w:rsidP="009F6853">
            <w:pPr>
              <w:spacing w:after="0"/>
            </w:pPr>
            <w:r w:rsidRPr="001746D0">
              <w:t>Food Standards Australia New Zealand</w:t>
            </w:r>
          </w:p>
        </w:tc>
      </w:tr>
      <w:tr w:rsidR="009F6853" w:rsidRPr="00206ACA" w14:paraId="46FCC761"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536EE5A5" w14:textId="365193A4" w:rsidR="009F6853" w:rsidRPr="001746D0" w:rsidRDefault="009F6853" w:rsidP="009F6853">
            <w:pPr>
              <w:spacing w:after="0"/>
            </w:pPr>
            <w:r w:rsidRPr="001746D0">
              <w:t>IA</w:t>
            </w:r>
          </w:p>
        </w:tc>
        <w:tc>
          <w:tcPr>
            <w:tcW w:w="0" w:type="dxa"/>
            <w:gridSpan w:val="2"/>
          </w:tcPr>
          <w:p w14:paraId="606CBF89" w14:textId="7299DC35" w:rsidR="009F6853" w:rsidRPr="001746D0" w:rsidRDefault="009F6853" w:rsidP="009F6853">
            <w:pPr>
              <w:spacing w:after="0"/>
            </w:pPr>
            <w:r w:rsidRPr="001746D0">
              <w:t>Impact Analysis</w:t>
            </w:r>
          </w:p>
        </w:tc>
      </w:tr>
      <w:tr w:rsidR="009F6853" w:rsidRPr="00206ACA" w14:paraId="09528A27" w14:textId="77777777" w:rsidTr="00B718C5">
        <w:trPr>
          <w:cnfStyle w:val="000000100000" w:firstRow="0" w:lastRow="0" w:firstColumn="0" w:lastColumn="0" w:oddVBand="0" w:evenVBand="0" w:oddHBand="1" w:evenHBand="0" w:firstRowFirstColumn="0" w:firstRowLastColumn="0" w:lastRowFirstColumn="0" w:lastRowLastColumn="0"/>
        </w:trPr>
        <w:tc>
          <w:tcPr>
            <w:tcW w:w="0" w:type="dxa"/>
          </w:tcPr>
          <w:p w14:paraId="6A79C18E" w14:textId="13A1D119" w:rsidR="009F6853" w:rsidRPr="001746D0" w:rsidRDefault="009F6853" w:rsidP="009F6853">
            <w:pPr>
              <w:spacing w:after="0"/>
            </w:pPr>
            <w:r w:rsidRPr="001746D0">
              <w:t>ISFR</w:t>
            </w:r>
          </w:p>
        </w:tc>
        <w:tc>
          <w:tcPr>
            <w:tcW w:w="0" w:type="dxa"/>
            <w:gridSpan w:val="2"/>
          </w:tcPr>
          <w:p w14:paraId="5C036550" w14:textId="58822315" w:rsidR="009F6853" w:rsidRPr="001746D0" w:rsidRDefault="009F6853" w:rsidP="009F6853">
            <w:pPr>
              <w:spacing w:after="0"/>
            </w:pPr>
            <w:r w:rsidRPr="001746D0">
              <w:t>Implementation Sub</w:t>
            </w:r>
            <w:r w:rsidR="00F95513">
              <w:t>-C</w:t>
            </w:r>
            <w:r w:rsidRPr="001746D0">
              <w:t>ommittee for Food Regulation</w:t>
            </w:r>
          </w:p>
        </w:tc>
      </w:tr>
      <w:tr w:rsidR="009F6853" w:rsidRPr="00206ACA" w14:paraId="394CC132"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3E8AB6B6" w14:textId="30594E85" w:rsidR="009F6853" w:rsidRPr="001746D0" w:rsidRDefault="009F6853" w:rsidP="009F6853">
            <w:pPr>
              <w:spacing w:after="0"/>
            </w:pPr>
            <w:r w:rsidRPr="001746D0">
              <w:t>JIFSAN</w:t>
            </w:r>
          </w:p>
        </w:tc>
        <w:tc>
          <w:tcPr>
            <w:tcW w:w="0" w:type="dxa"/>
            <w:gridSpan w:val="2"/>
          </w:tcPr>
          <w:p w14:paraId="6A9034F6" w14:textId="6D261935" w:rsidR="009F6853" w:rsidRPr="001746D0" w:rsidRDefault="009F6853" w:rsidP="009F6853">
            <w:pPr>
              <w:spacing w:after="0"/>
            </w:pPr>
            <w:r w:rsidRPr="001746D0">
              <w:t>Joint Institute for Food Safety and Applied Nutrition</w:t>
            </w:r>
          </w:p>
        </w:tc>
      </w:tr>
      <w:tr w:rsidR="009F6853" w:rsidRPr="00206ACA" w14:paraId="3EBF8270" w14:textId="77777777" w:rsidTr="00B718C5">
        <w:trPr>
          <w:cnfStyle w:val="000000100000" w:firstRow="0" w:lastRow="0" w:firstColumn="0" w:lastColumn="0" w:oddVBand="0" w:evenVBand="0" w:oddHBand="1" w:evenHBand="0" w:firstRowFirstColumn="0" w:firstRowLastColumn="0" w:lastRowFirstColumn="0" w:lastRowLastColumn="0"/>
        </w:trPr>
        <w:tc>
          <w:tcPr>
            <w:tcW w:w="0" w:type="dxa"/>
          </w:tcPr>
          <w:p w14:paraId="509C705B" w14:textId="477818EF" w:rsidR="009F6853" w:rsidRPr="001746D0" w:rsidRDefault="009F6853" w:rsidP="009F6853">
            <w:pPr>
              <w:spacing w:after="0"/>
            </w:pPr>
            <w:r w:rsidRPr="001746D0">
              <w:t>MPI</w:t>
            </w:r>
          </w:p>
        </w:tc>
        <w:tc>
          <w:tcPr>
            <w:tcW w:w="0" w:type="dxa"/>
            <w:gridSpan w:val="2"/>
          </w:tcPr>
          <w:p w14:paraId="1C8F410E" w14:textId="65617159" w:rsidR="009F6853" w:rsidRPr="001746D0" w:rsidRDefault="009F6853" w:rsidP="009F6853">
            <w:pPr>
              <w:spacing w:after="0"/>
            </w:pPr>
            <w:r w:rsidRPr="001746D0">
              <w:t>New Zealand Ministry for Primary Industries</w:t>
            </w:r>
          </w:p>
        </w:tc>
      </w:tr>
      <w:tr w:rsidR="009F6853" w:rsidRPr="00206ACA" w14:paraId="230ACEBC"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53FBE00C" w14:textId="600E0CF2" w:rsidR="009F6853" w:rsidRPr="001746D0" w:rsidRDefault="009F6853" w:rsidP="009F6853">
            <w:pPr>
              <w:spacing w:after="0"/>
            </w:pPr>
            <w:r w:rsidRPr="001746D0">
              <w:t>NCC</w:t>
            </w:r>
          </w:p>
        </w:tc>
        <w:tc>
          <w:tcPr>
            <w:tcW w:w="0" w:type="dxa"/>
            <w:gridSpan w:val="2"/>
          </w:tcPr>
          <w:p w14:paraId="00CF12A4" w14:textId="7A2851A4" w:rsidR="009F6853" w:rsidRPr="001746D0" w:rsidRDefault="009F6853" w:rsidP="009F6853">
            <w:pPr>
              <w:spacing w:after="0"/>
            </w:pPr>
            <w:r w:rsidRPr="001746D0">
              <w:t>National Construction Code</w:t>
            </w:r>
          </w:p>
        </w:tc>
      </w:tr>
      <w:tr w:rsidR="009F6853" w:rsidRPr="00206ACA" w14:paraId="0ABBC6C7" w14:textId="77777777" w:rsidTr="00B718C5">
        <w:trPr>
          <w:cnfStyle w:val="000000100000" w:firstRow="0" w:lastRow="0" w:firstColumn="0" w:lastColumn="0" w:oddVBand="0" w:evenVBand="0" w:oddHBand="1" w:evenHBand="0" w:firstRowFirstColumn="0" w:firstRowLastColumn="0" w:lastRowFirstColumn="0" w:lastRowLastColumn="0"/>
          <w:trHeight w:val="238"/>
        </w:trPr>
        <w:tc>
          <w:tcPr>
            <w:tcW w:w="0" w:type="dxa"/>
          </w:tcPr>
          <w:p w14:paraId="70A9BBC4" w14:textId="20C66500" w:rsidR="009F6853" w:rsidRPr="001746D0" w:rsidRDefault="009F6853" w:rsidP="009F6853">
            <w:pPr>
              <w:spacing w:after="0"/>
            </w:pPr>
            <w:r w:rsidRPr="001746D0">
              <w:t>NZD</w:t>
            </w:r>
          </w:p>
        </w:tc>
        <w:tc>
          <w:tcPr>
            <w:tcW w:w="0" w:type="dxa"/>
            <w:gridSpan w:val="2"/>
          </w:tcPr>
          <w:p w14:paraId="3A953FC2" w14:textId="761D7EFF" w:rsidR="009F6853" w:rsidRPr="001746D0" w:rsidRDefault="009F6853" w:rsidP="009F6853">
            <w:pPr>
              <w:spacing w:after="0"/>
            </w:pPr>
            <w:r w:rsidRPr="001746D0">
              <w:t>New Zealand Dollar</w:t>
            </w:r>
          </w:p>
        </w:tc>
      </w:tr>
      <w:tr w:rsidR="009F6853" w:rsidRPr="00206ACA" w14:paraId="7996D910"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60C576D7" w14:textId="649E0035" w:rsidR="009F6853" w:rsidRPr="001746D0" w:rsidRDefault="009F6853" w:rsidP="009F6853">
            <w:pPr>
              <w:spacing w:after="0"/>
            </w:pPr>
            <w:r w:rsidRPr="001746D0">
              <w:t>NZFSSRC</w:t>
            </w:r>
          </w:p>
        </w:tc>
        <w:tc>
          <w:tcPr>
            <w:tcW w:w="0" w:type="dxa"/>
            <w:gridSpan w:val="2"/>
          </w:tcPr>
          <w:p w14:paraId="126CF8F0" w14:textId="1C7AEFF6" w:rsidR="009F6853" w:rsidRPr="001746D0" w:rsidRDefault="009F6853" w:rsidP="009F6853">
            <w:pPr>
              <w:spacing w:after="0"/>
            </w:pPr>
            <w:r w:rsidRPr="001746D0">
              <w:t>New Zealand Food Safety Science and Research Centre</w:t>
            </w:r>
          </w:p>
        </w:tc>
      </w:tr>
      <w:tr w:rsidR="009F6853" w:rsidRPr="00206ACA" w14:paraId="4276656B" w14:textId="77777777" w:rsidTr="00B718C5">
        <w:trPr>
          <w:cnfStyle w:val="000000100000" w:firstRow="0" w:lastRow="0" w:firstColumn="0" w:lastColumn="0" w:oddVBand="0" w:evenVBand="0" w:oddHBand="1" w:evenHBand="0" w:firstRowFirstColumn="0" w:firstRowLastColumn="0" w:lastRowFirstColumn="0" w:lastRowLastColumn="0"/>
        </w:trPr>
        <w:tc>
          <w:tcPr>
            <w:tcW w:w="0" w:type="dxa"/>
          </w:tcPr>
          <w:p w14:paraId="2B123EC3" w14:textId="07AF0754" w:rsidR="009F6853" w:rsidRPr="001746D0" w:rsidRDefault="009F6853" w:rsidP="009F6853">
            <w:pPr>
              <w:spacing w:after="0"/>
            </w:pPr>
            <w:r w:rsidRPr="001746D0">
              <w:t>OIA</w:t>
            </w:r>
          </w:p>
        </w:tc>
        <w:tc>
          <w:tcPr>
            <w:tcW w:w="0" w:type="dxa"/>
            <w:gridSpan w:val="2"/>
          </w:tcPr>
          <w:p w14:paraId="75FE93BB" w14:textId="3C279084" w:rsidR="009F6853" w:rsidRPr="001746D0" w:rsidRDefault="009F6853" w:rsidP="009F6853">
            <w:pPr>
              <w:rPr>
                <w:rFonts w:ascii="Arial" w:hAnsi="Arial" w:cs="Arial"/>
                <w:sz w:val="20"/>
                <w:szCs w:val="20"/>
              </w:rPr>
            </w:pPr>
            <w:r w:rsidRPr="001746D0">
              <w:t>Office of Impact Analysis</w:t>
            </w:r>
          </w:p>
        </w:tc>
      </w:tr>
      <w:tr w:rsidR="009F6853" w:rsidRPr="00206ACA" w14:paraId="73E5D0C0"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5C15D644" w14:textId="4CE42F27" w:rsidR="009F6853" w:rsidRPr="001746D0" w:rsidRDefault="009F6853" w:rsidP="009F6853">
            <w:pPr>
              <w:spacing w:after="0"/>
            </w:pPr>
            <w:r w:rsidRPr="001746D0">
              <w:t>RIS</w:t>
            </w:r>
          </w:p>
        </w:tc>
        <w:tc>
          <w:tcPr>
            <w:tcW w:w="0" w:type="dxa"/>
            <w:gridSpan w:val="2"/>
          </w:tcPr>
          <w:p w14:paraId="4CC9C70B" w14:textId="438F83B0" w:rsidR="009F6853" w:rsidRPr="001746D0" w:rsidRDefault="009F6853" w:rsidP="009F6853">
            <w:pPr>
              <w:spacing w:after="0"/>
            </w:pPr>
            <w:r w:rsidRPr="001746D0">
              <w:t>Regulatory Impact Statement</w:t>
            </w:r>
          </w:p>
        </w:tc>
      </w:tr>
      <w:tr w:rsidR="009F6853" w:rsidRPr="00206ACA" w14:paraId="0333E174" w14:textId="77777777" w:rsidTr="00B718C5">
        <w:trPr>
          <w:cnfStyle w:val="000000100000" w:firstRow="0" w:lastRow="0" w:firstColumn="0" w:lastColumn="0" w:oddVBand="0" w:evenVBand="0" w:oddHBand="1" w:evenHBand="0" w:firstRowFirstColumn="0" w:firstRowLastColumn="0" w:lastRowFirstColumn="0" w:lastRowLastColumn="0"/>
        </w:trPr>
        <w:tc>
          <w:tcPr>
            <w:tcW w:w="0" w:type="dxa"/>
          </w:tcPr>
          <w:p w14:paraId="52865B32" w14:textId="5B08D1DB" w:rsidR="009F6853" w:rsidRPr="001746D0" w:rsidRDefault="00841280" w:rsidP="009F6853">
            <w:pPr>
              <w:spacing w:after="0"/>
            </w:pPr>
            <w:r w:rsidRPr="001746D0">
              <w:t>TGA</w:t>
            </w:r>
          </w:p>
        </w:tc>
        <w:tc>
          <w:tcPr>
            <w:tcW w:w="0" w:type="dxa"/>
            <w:gridSpan w:val="2"/>
          </w:tcPr>
          <w:p w14:paraId="5B1301AB" w14:textId="2FF86534" w:rsidR="009F6853" w:rsidRPr="001746D0" w:rsidRDefault="00841280" w:rsidP="009F6853">
            <w:pPr>
              <w:spacing w:after="0"/>
            </w:pPr>
            <w:r w:rsidRPr="001746D0">
              <w:t>Therapeutic Goods Administration</w:t>
            </w:r>
          </w:p>
        </w:tc>
      </w:tr>
      <w:tr w:rsidR="009F6853" w:rsidRPr="00206ACA" w14:paraId="689E91CB"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785CDAEE" w14:textId="77777777" w:rsidR="009F6853" w:rsidRPr="001746D0" w:rsidRDefault="009F6853" w:rsidP="009F6853">
            <w:pPr>
              <w:spacing w:after="0"/>
            </w:pPr>
            <w:proofErr w:type="spellStart"/>
            <w:r w:rsidRPr="001746D0">
              <w:t>ToR</w:t>
            </w:r>
            <w:proofErr w:type="spellEnd"/>
          </w:p>
        </w:tc>
        <w:tc>
          <w:tcPr>
            <w:tcW w:w="0" w:type="dxa"/>
            <w:gridSpan w:val="2"/>
          </w:tcPr>
          <w:p w14:paraId="1D47DAB8" w14:textId="77777777" w:rsidR="009F6853" w:rsidRPr="001746D0" w:rsidRDefault="009F6853" w:rsidP="009F6853">
            <w:pPr>
              <w:spacing w:after="0"/>
            </w:pPr>
            <w:r w:rsidRPr="001746D0">
              <w:t xml:space="preserve">Terms of Reference </w:t>
            </w:r>
          </w:p>
        </w:tc>
      </w:tr>
      <w:tr w:rsidR="009F6853" w:rsidRPr="00206ACA" w14:paraId="14362A25" w14:textId="77777777" w:rsidTr="00B718C5">
        <w:trPr>
          <w:cnfStyle w:val="000000100000" w:firstRow="0" w:lastRow="0" w:firstColumn="0" w:lastColumn="0" w:oddVBand="0" w:evenVBand="0" w:oddHBand="1" w:evenHBand="0" w:firstRowFirstColumn="0" w:firstRowLastColumn="0" w:lastRowFirstColumn="0" w:lastRowLastColumn="0"/>
        </w:trPr>
        <w:tc>
          <w:tcPr>
            <w:tcW w:w="0" w:type="dxa"/>
          </w:tcPr>
          <w:p w14:paraId="264C077E" w14:textId="77777777" w:rsidR="009F6853" w:rsidRPr="004F3100" w:rsidRDefault="009F6853" w:rsidP="009F6853">
            <w:pPr>
              <w:spacing w:after="0"/>
            </w:pPr>
            <w:r w:rsidRPr="004F3100">
              <w:t>TTMRA</w:t>
            </w:r>
          </w:p>
        </w:tc>
        <w:tc>
          <w:tcPr>
            <w:tcW w:w="0" w:type="dxa"/>
            <w:gridSpan w:val="2"/>
          </w:tcPr>
          <w:p w14:paraId="4DC83215" w14:textId="773D1A13" w:rsidR="009F6853" w:rsidRPr="004F3100" w:rsidRDefault="004F3100" w:rsidP="009F6853">
            <w:pPr>
              <w:spacing w:after="0"/>
            </w:pPr>
            <w:r w:rsidRPr="004F3100">
              <w:t>Trans-Tasman</w:t>
            </w:r>
            <w:r w:rsidR="009F6853" w:rsidRPr="004F3100">
              <w:t xml:space="preserve"> Mutual Recognition Arrangement</w:t>
            </w:r>
          </w:p>
        </w:tc>
      </w:tr>
      <w:tr w:rsidR="009F6853" w:rsidRPr="00206ACA" w14:paraId="2C7FB681" w14:textId="77777777" w:rsidTr="00B718C5">
        <w:trPr>
          <w:cnfStyle w:val="000000010000" w:firstRow="0" w:lastRow="0" w:firstColumn="0" w:lastColumn="0" w:oddVBand="0" w:evenVBand="0" w:oddHBand="0" w:evenHBand="1" w:firstRowFirstColumn="0" w:firstRowLastColumn="0" w:lastRowFirstColumn="0" w:lastRowLastColumn="0"/>
        </w:trPr>
        <w:tc>
          <w:tcPr>
            <w:tcW w:w="0" w:type="dxa"/>
          </w:tcPr>
          <w:p w14:paraId="51E8C3BA" w14:textId="77777777" w:rsidR="009F6853" w:rsidRPr="00206ACA" w:rsidRDefault="009F6853" w:rsidP="009F6853">
            <w:pPr>
              <w:spacing w:after="0"/>
            </w:pPr>
            <w:r w:rsidRPr="00206ACA">
              <w:t>US</w:t>
            </w:r>
          </w:p>
        </w:tc>
        <w:tc>
          <w:tcPr>
            <w:tcW w:w="0" w:type="dxa"/>
            <w:gridSpan w:val="2"/>
          </w:tcPr>
          <w:p w14:paraId="69A9A72F" w14:textId="77777777" w:rsidR="009F6853" w:rsidRPr="00206ACA" w:rsidRDefault="009F6853" w:rsidP="009F6853">
            <w:pPr>
              <w:spacing w:after="0"/>
            </w:pPr>
            <w:r w:rsidRPr="00206ACA">
              <w:t>The United States of America</w:t>
            </w:r>
          </w:p>
        </w:tc>
      </w:tr>
    </w:tbl>
    <w:p w14:paraId="5BEF34C8" w14:textId="14E1BB65" w:rsidR="00923BE4" w:rsidRPr="00C06FD0" w:rsidRDefault="00C06FD0" w:rsidP="00923BE4">
      <w:pPr>
        <w:pStyle w:val="Heading1"/>
        <w:ind w:left="357" w:hanging="357"/>
        <w:rPr>
          <w:color w:val="FFFFFF" w:themeColor="background1"/>
        </w:rPr>
      </w:pPr>
      <w:bookmarkStart w:id="2" w:name="_Ref142402220"/>
      <w:bookmarkStart w:id="3" w:name="_Toc157599119"/>
      <w:bookmarkStart w:id="4" w:name="_Ref141718599"/>
      <w:r w:rsidRPr="00C06FD0">
        <w:rPr>
          <w:noProof/>
          <w:color w:val="FFFFFF" w:themeColor="background1"/>
        </w:rPr>
        <w:lastRenderedPageBreak/>
        <w:drawing>
          <wp:anchor distT="0" distB="0" distL="114300" distR="114300" simplePos="0" relativeHeight="251658243" behindDoc="1" locked="0" layoutInCell="1" allowOverlap="1" wp14:anchorId="4A2B8D97" wp14:editId="297695ED">
            <wp:simplePos x="0" y="0"/>
            <wp:positionH relativeFrom="page">
              <wp:posOffset>0</wp:posOffset>
            </wp:positionH>
            <wp:positionV relativeFrom="paragraph">
              <wp:posOffset>-883119</wp:posOffset>
            </wp:positionV>
            <wp:extent cx="7581900" cy="129540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b="32669"/>
                    <a:stretch/>
                  </pic:blipFill>
                  <pic:spPr bwMode="auto">
                    <a:xfrm>
                      <a:off x="0" y="0"/>
                      <a:ext cx="75819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BE4" w:rsidRPr="00C06FD0">
        <w:rPr>
          <w:color w:val="FFFFFF" w:themeColor="background1"/>
        </w:rPr>
        <w:t xml:space="preserve">Executive </w:t>
      </w:r>
      <w:r w:rsidR="004F3100">
        <w:rPr>
          <w:color w:val="FFFFFF" w:themeColor="background1"/>
        </w:rPr>
        <w:t>s</w:t>
      </w:r>
      <w:r w:rsidR="00923BE4" w:rsidRPr="00C06FD0">
        <w:rPr>
          <w:color w:val="FFFFFF" w:themeColor="background1"/>
        </w:rPr>
        <w:t>ummary</w:t>
      </w:r>
      <w:bookmarkEnd w:id="2"/>
      <w:bookmarkEnd w:id="3"/>
    </w:p>
    <w:p w14:paraId="02C8D332" w14:textId="3FCCBEC2" w:rsidR="00923BE4" w:rsidRPr="00E60AD2" w:rsidRDefault="00923BE4" w:rsidP="00923BE4">
      <w:pPr>
        <w:rPr>
          <w:szCs w:val="19"/>
        </w:rPr>
      </w:pPr>
      <w:r w:rsidRPr="00E60AD2">
        <w:rPr>
          <w:szCs w:val="19"/>
        </w:rPr>
        <w:t>Access to adequate food is a basic human right</w:t>
      </w:r>
      <w:r>
        <w:rPr>
          <w:szCs w:val="19"/>
        </w:rPr>
        <w:t>.</w:t>
      </w:r>
      <w:r w:rsidR="00235A9D">
        <w:rPr>
          <w:rFonts w:ascii="ZWAdobeF" w:hAnsi="ZWAdobeF" w:cs="ZWAdobeF"/>
          <w:sz w:val="2"/>
          <w:szCs w:val="2"/>
        </w:rPr>
        <w:t>0F</w:t>
      </w:r>
      <w:r>
        <w:rPr>
          <w:rStyle w:val="FootnoteReference"/>
          <w:szCs w:val="19"/>
        </w:rPr>
        <w:footnoteReference w:id="2"/>
      </w:r>
    </w:p>
    <w:p w14:paraId="6D5AE646" w14:textId="77777777" w:rsidR="00923BE4" w:rsidRPr="00E60AD2" w:rsidRDefault="00923BE4" w:rsidP="00923BE4">
      <w:pPr>
        <w:rPr>
          <w:szCs w:val="19"/>
        </w:rPr>
      </w:pPr>
      <w:r w:rsidRPr="00E60AD2">
        <w:rPr>
          <w:szCs w:val="19"/>
        </w:rPr>
        <w:t xml:space="preserve">While ensuring a safe food supply is a significant challenge in some parts of the world, people living in Australia and New Zealand </w:t>
      </w:r>
      <w:r>
        <w:rPr>
          <w:szCs w:val="19"/>
        </w:rPr>
        <w:t>can be</w:t>
      </w:r>
      <w:r w:rsidRPr="00E60AD2">
        <w:rPr>
          <w:szCs w:val="19"/>
        </w:rPr>
        <w:t xml:space="preserve"> confident in the quality and safety of the food they eat</w:t>
      </w:r>
      <w:r>
        <w:rPr>
          <w:szCs w:val="19"/>
        </w:rPr>
        <w:t xml:space="preserve"> – even if they</w:t>
      </w:r>
      <w:r w:rsidRPr="00E60AD2">
        <w:rPr>
          <w:szCs w:val="19"/>
        </w:rPr>
        <w:t xml:space="preserve"> are unaware of the significant regulatory efforts </w:t>
      </w:r>
      <w:r>
        <w:rPr>
          <w:szCs w:val="19"/>
        </w:rPr>
        <w:t>exerted</w:t>
      </w:r>
      <w:r w:rsidRPr="00E60AD2">
        <w:rPr>
          <w:szCs w:val="19"/>
        </w:rPr>
        <w:t xml:space="preserve"> to achieve this. </w:t>
      </w:r>
    </w:p>
    <w:p w14:paraId="534105B7" w14:textId="3199FF2C" w:rsidR="00923BE4" w:rsidRPr="00E60AD2" w:rsidRDefault="00923BE4" w:rsidP="00923BE4">
      <w:pPr>
        <w:pStyle w:val="CommentText"/>
        <w:rPr>
          <w:rFonts w:asciiTheme="minorHAnsi" w:eastAsia="Times New Roman" w:hAnsiTheme="minorHAnsi" w:cstheme="minorHAnsi"/>
          <w:sz w:val="19"/>
          <w:szCs w:val="19"/>
        </w:rPr>
      </w:pPr>
      <w:r w:rsidRPr="00E60AD2">
        <w:rPr>
          <w:sz w:val="19"/>
          <w:szCs w:val="19"/>
        </w:rPr>
        <w:t xml:space="preserve">The joint Australia-New Zealand food </w:t>
      </w:r>
      <w:r>
        <w:rPr>
          <w:sz w:val="19"/>
          <w:szCs w:val="19"/>
        </w:rPr>
        <w:t xml:space="preserve">standards </w:t>
      </w:r>
      <w:r w:rsidRPr="00E60AD2">
        <w:rPr>
          <w:sz w:val="19"/>
          <w:szCs w:val="19"/>
        </w:rPr>
        <w:t xml:space="preserve">system has an excellent reputation </w:t>
      </w:r>
      <w:r>
        <w:rPr>
          <w:sz w:val="19"/>
          <w:szCs w:val="19"/>
        </w:rPr>
        <w:t>for safety, w</w:t>
      </w:r>
      <w:r w:rsidRPr="00E60AD2">
        <w:rPr>
          <w:sz w:val="19"/>
          <w:szCs w:val="19"/>
        </w:rPr>
        <w:t>hich</w:t>
      </w:r>
      <w:r>
        <w:rPr>
          <w:sz w:val="19"/>
          <w:szCs w:val="19"/>
        </w:rPr>
        <w:t xml:space="preserve"> also</w:t>
      </w:r>
      <w:r w:rsidRPr="00E60AD2">
        <w:rPr>
          <w:sz w:val="19"/>
          <w:szCs w:val="19"/>
        </w:rPr>
        <w:t xml:space="preserve"> underpins the industry’s economic prosperity. The </w:t>
      </w:r>
      <w:r w:rsidR="0075041E">
        <w:rPr>
          <w:sz w:val="19"/>
          <w:szCs w:val="19"/>
        </w:rPr>
        <w:t>202</w:t>
      </w:r>
      <w:r w:rsidR="00BF1EEF">
        <w:rPr>
          <w:sz w:val="19"/>
          <w:szCs w:val="19"/>
        </w:rPr>
        <w:t>2</w:t>
      </w:r>
      <w:r w:rsidRPr="00E60AD2">
        <w:rPr>
          <w:sz w:val="19"/>
          <w:szCs w:val="19"/>
        </w:rPr>
        <w:t xml:space="preserve"> </w:t>
      </w:r>
      <w:r w:rsidRPr="00E60AD2">
        <w:rPr>
          <w:rFonts w:asciiTheme="minorHAnsi" w:eastAsia="Times New Roman" w:hAnsiTheme="minorHAnsi" w:cstheme="minorHAnsi"/>
          <w:i/>
          <w:sz w:val="19"/>
          <w:szCs w:val="19"/>
        </w:rPr>
        <w:t>State of the Industry Report</w:t>
      </w:r>
      <w:r w:rsidRPr="00E60AD2">
        <w:rPr>
          <w:rFonts w:asciiTheme="minorHAnsi" w:eastAsia="Times New Roman" w:hAnsiTheme="minorHAnsi" w:cstheme="minorHAnsi"/>
          <w:sz w:val="19"/>
          <w:szCs w:val="19"/>
        </w:rPr>
        <w:t xml:space="preserve"> published by the Australian Food and Grocery Council found that the food and grocery sector (alone) injected </w:t>
      </w:r>
      <w:r>
        <w:rPr>
          <w:rFonts w:asciiTheme="minorHAnsi" w:eastAsia="Times New Roman" w:hAnsiTheme="minorHAnsi" w:cstheme="minorHAnsi"/>
          <w:sz w:val="19"/>
          <w:szCs w:val="19"/>
        </w:rPr>
        <w:t xml:space="preserve">AUD </w:t>
      </w:r>
      <w:r w:rsidRPr="00E60AD2">
        <w:rPr>
          <w:rFonts w:asciiTheme="minorHAnsi" w:eastAsia="Times New Roman" w:hAnsiTheme="minorHAnsi" w:cstheme="minorHAnsi"/>
          <w:sz w:val="19"/>
          <w:szCs w:val="19"/>
        </w:rPr>
        <w:t>$</w:t>
      </w:r>
      <w:r w:rsidR="00212F92">
        <w:rPr>
          <w:rFonts w:asciiTheme="minorHAnsi" w:eastAsia="Times New Roman" w:hAnsiTheme="minorHAnsi" w:cstheme="minorHAnsi"/>
          <w:sz w:val="19"/>
          <w:szCs w:val="19"/>
        </w:rPr>
        <w:t xml:space="preserve">133.6 </w:t>
      </w:r>
      <w:r w:rsidRPr="00E60AD2">
        <w:rPr>
          <w:rFonts w:asciiTheme="minorHAnsi" w:eastAsia="Times New Roman" w:hAnsiTheme="minorHAnsi" w:cstheme="minorHAnsi"/>
          <w:sz w:val="19"/>
          <w:szCs w:val="19"/>
        </w:rPr>
        <w:t xml:space="preserve">billion into the economy in </w:t>
      </w:r>
      <w:r w:rsidR="0018218D">
        <w:rPr>
          <w:rFonts w:asciiTheme="minorHAnsi" w:eastAsia="Times New Roman" w:hAnsiTheme="minorHAnsi" w:cstheme="minorHAnsi"/>
          <w:sz w:val="19"/>
          <w:szCs w:val="19"/>
        </w:rPr>
        <w:t>2020-21</w:t>
      </w:r>
      <w:r w:rsidR="009F7EA5">
        <w:rPr>
          <w:rFonts w:asciiTheme="minorHAnsi" w:eastAsia="Times New Roman" w:hAnsiTheme="minorHAnsi" w:cstheme="minorHAnsi"/>
          <w:sz w:val="19"/>
          <w:szCs w:val="19"/>
        </w:rPr>
        <w:t xml:space="preserve"> </w:t>
      </w:r>
      <w:r w:rsidR="009F05DC">
        <w:rPr>
          <w:rFonts w:asciiTheme="minorHAnsi" w:eastAsia="Times New Roman" w:hAnsiTheme="minorHAnsi" w:cstheme="minorHAnsi"/>
          <w:sz w:val="19"/>
          <w:szCs w:val="19"/>
        </w:rPr>
        <w:t>(</w:t>
      </w:r>
      <w:r w:rsidR="009F7EA5">
        <w:rPr>
          <w:rFonts w:asciiTheme="minorHAnsi" w:eastAsia="Times New Roman" w:hAnsiTheme="minorHAnsi" w:cstheme="minorHAnsi"/>
          <w:sz w:val="19"/>
          <w:szCs w:val="19"/>
        </w:rPr>
        <w:t xml:space="preserve">despite </w:t>
      </w:r>
      <w:r w:rsidR="00A93F19">
        <w:rPr>
          <w:rFonts w:asciiTheme="minorHAnsi" w:eastAsia="Times New Roman" w:hAnsiTheme="minorHAnsi" w:cstheme="minorHAnsi"/>
          <w:sz w:val="19"/>
          <w:szCs w:val="19"/>
        </w:rPr>
        <w:t>COVID-19</w:t>
      </w:r>
      <w:r w:rsidR="009F7EA5">
        <w:rPr>
          <w:rFonts w:asciiTheme="minorHAnsi" w:eastAsia="Times New Roman" w:hAnsiTheme="minorHAnsi" w:cstheme="minorHAnsi"/>
          <w:sz w:val="19"/>
          <w:szCs w:val="19"/>
        </w:rPr>
        <w:t xml:space="preserve"> pandemic disruptions</w:t>
      </w:r>
      <w:r w:rsidR="009F05DC">
        <w:rPr>
          <w:rFonts w:asciiTheme="minorHAnsi" w:eastAsia="Times New Roman" w:hAnsiTheme="minorHAnsi" w:cstheme="minorHAnsi"/>
          <w:sz w:val="19"/>
          <w:szCs w:val="19"/>
        </w:rPr>
        <w:t>)</w:t>
      </w:r>
      <w:r w:rsidRPr="00E60AD2">
        <w:rPr>
          <w:rFonts w:asciiTheme="minorHAnsi" w:eastAsia="Times New Roman" w:hAnsiTheme="minorHAnsi" w:cstheme="minorHAnsi"/>
          <w:sz w:val="19"/>
          <w:szCs w:val="19"/>
        </w:rPr>
        <w:t xml:space="preserve"> and represent</w:t>
      </w:r>
      <w:r w:rsidR="004307AB">
        <w:rPr>
          <w:rFonts w:asciiTheme="minorHAnsi" w:eastAsia="Times New Roman" w:hAnsiTheme="minorHAnsi" w:cstheme="minorHAnsi"/>
          <w:sz w:val="19"/>
          <w:szCs w:val="19"/>
        </w:rPr>
        <w:t>ed</w:t>
      </w:r>
      <w:r w:rsidRPr="00E60AD2">
        <w:rPr>
          <w:rFonts w:asciiTheme="minorHAnsi" w:eastAsia="Times New Roman" w:hAnsiTheme="minorHAnsi" w:cstheme="minorHAnsi"/>
          <w:sz w:val="19"/>
          <w:szCs w:val="19"/>
        </w:rPr>
        <w:t xml:space="preserve"> 32% of all manufacturing jobs</w:t>
      </w:r>
      <w:r>
        <w:rPr>
          <w:rFonts w:asciiTheme="minorHAnsi" w:eastAsia="Times New Roman" w:hAnsiTheme="minorHAnsi" w:cstheme="minorHAnsi"/>
          <w:sz w:val="19"/>
          <w:szCs w:val="19"/>
        </w:rPr>
        <w:t>.</w:t>
      </w:r>
      <w:r w:rsidR="00235A9D">
        <w:rPr>
          <w:rFonts w:ascii="ZWAdobeF" w:eastAsia="Times New Roman" w:hAnsi="ZWAdobeF" w:cs="ZWAdobeF"/>
          <w:sz w:val="2"/>
          <w:szCs w:val="2"/>
        </w:rPr>
        <w:t>1F</w:t>
      </w:r>
      <w:r w:rsidRPr="00E60AD2">
        <w:rPr>
          <w:rStyle w:val="FootnoteReference"/>
          <w:rFonts w:asciiTheme="minorHAnsi" w:eastAsia="Times New Roman" w:hAnsiTheme="minorHAnsi" w:cstheme="minorHAnsi"/>
          <w:sz w:val="19"/>
          <w:szCs w:val="19"/>
        </w:rPr>
        <w:footnoteReference w:id="3"/>
      </w:r>
      <w:r w:rsidRPr="00E60AD2">
        <w:rPr>
          <w:rFonts w:asciiTheme="minorHAnsi" w:eastAsia="Times New Roman" w:hAnsiTheme="minorHAnsi" w:cstheme="minorHAnsi"/>
          <w:sz w:val="19"/>
          <w:szCs w:val="19"/>
        </w:rPr>
        <w:t xml:space="preserve"> Likewise, New Zealand’s position is strong, with food and beverage exports in 2018 valued at </w:t>
      </w:r>
      <w:r>
        <w:rPr>
          <w:rFonts w:asciiTheme="minorHAnsi" w:eastAsia="Times New Roman" w:hAnsiTheme="minorHAnsi" w:cstheme="minorHAnsi"/>
          <w:sz w:val="19"/>
          <w:szCs w:val="19"/>
        </w:rPr>
        <w:t xml:space="preserve">NZD </w:t>
      </w:r>
      <w:r w:rsidRPr="00E60AD2">
        <w:rPr>
          <w:rFonts w:asciiTheme="minorHAnsi" w:eastAsia="Times New Roman" w:hAnsiTheme="minorHAnsi" w:cstheme="minorHAnsi"/>
          <w:sz w:val="19"/>
          <w:szCs w:val="19"/>
        </w:rPr>
        <w:t>$29</w:t>
      </w:r>
      <w:r>
        <w:rPr>
          <w:rFonts w:asciiTheme="minorHAnsi" w:eastAsia="Times New Roman" w:hAnsiTheme="minorHAnsi" w:cstheme="minorHAnsi"/>
          <w:sz w:val="19"/>
          <w:szCs w:val="19"/>
        </w:rPr>
        <w:t xml:space="preserve"> </w:t>
      </w:r>
      <w:r w:rsidRPr="00E60AD2">
        <w:rPr>
          <w:rFonts w:asciiTheme="minorHAnsi" w:eastAsia="Times New Roman" w:hAnsiTheme="minorHAnsi" w:cstheme="minorHAnsi"/>
          <w:sz w:val="19"/>
          <w:szCs w:val="19"/>
        </w:rPr>
        <w:t>billion, accounting for 43% of New</w:t>
      </w:r>
      <w:r>
        <w:rPr>
          <w:rFonts w:asciiTheme="minorHAnsi" w:eastAsia="Times New Roman" w:hAnsiTheme="minorHAnsi" w:cstheme="minorHAnsi"/>
          <w:sz w:val="19"/>
          <w:szCs w:val="19"/>
        </w:rPr>
        <w:t> </w:t>
      </w:r>
      <w:r w:rsidRPr="00E60AD2">
        <w:rPr>
          <w:rFonts w:asciiTheme="minorHAnsi" w:eastAsia="Times New Roman" w:hAnsiTheme="minorHAnsi" w:cstheme="minorHAnsi"/>
          <w:sz w:val="19"/>
          <w:szCs w:val="19"/>
        </w:rPr>
        <w:t>Zealand’s total exports.</w:t>
      </w:r>
      <w:r w:rsidR="00235A9D">
        <w:rPr>
          <w:rFonts w:ascii="ZWAdobeF" w:eastAsia="Times New Roman" w:hAnsi="ZWAdobeF" w:cs="ZWAdobeF"/>
          <w:sz w:val="2"/>
          <w:szCs w:val="2"/>
        </w:rPr>
        <w:t>2F</w:t>
      </w:r>
      <w:r w:rsidRPr="00E60AD2">
        <w:rPr>
          <w:rStyle w:val="FootnoteReference"/>
          <w:rFonts w:asciiTheme="minorHAnsi" w:eastAsia="Times New Roman" w:hAnsiTheme="minorHAnsi" w:cstheme="minorHAnsi"/>
          <w:sz w:val="19"/>
          <w:szCs w:val="19"/>
        </w:rPr>
        <w:footnoteReference w:id="4"/>
      </w:r>
    </w:p>
    <w:p w14:paraId="008518D2" w14:textId="214A85A8" w:rsidR="00923BE4" w:rsidRPr="00E60AD2" w:rsidRDefault="00923BE4" w:rsidP="00923BE4">
      <w:pPr>
        <w:rPr>
          <w:szCs w:val="19"/>
        </w:rPr>
      </w:pPr>
      <w:r w:rsidRPr="00E60AD2">
        <w:rPr>
          <w:szCs w:val="19"/>
        </w:rPr>
        <w:t xml:space="preserve">The </w:t>
      </w:r>
      <w:r w:rsidRPr="00E60AD2">
        <w:rPr>
          <w:i/>
          <w:szCs w:val="19"/>
        </w:rPr>
        <w:t>Food Standards Australia New Zealand Act 1991</w:t>
      </w:r>
      <w:r w:rsidRPr="00E60AD2">
        <w:rPr>
          <w:szCs w:val="19"/>
        </w:rPr>
        <w:t xml:space="preserve"> (the Act) is one of several foundational instruments that make up the </w:t>
      </w:r>
      <w:r>
        <w:rPr>
          <w:lang w:eastAsia="en-AU"/>
        </w:rPr>
        <w:t xml:space="preserve">joint food </w:t>
      </w:r>
      <w:r w:rsidR="00F521B6">
        <w:rPr>
          <w:lang w:eastAsia="en-AU"/>
        </w:rPr>
        <w:t>regulatory</w:t>
      </w:r>
      <w:r>
        <w:rPr>
          <w:lang w:eastAsia="en-AU"/>
        </w:rPr>
        <w:t xml:space="preserve"> system</w:t>
      </w:r>
      <w:r w:rsidRPr="00E60AD2">
        <w:rPr>
          <w:szCs w:val="19"/>
        </w:rPr>
        <w:t xml:space="preserve">. By empowering Food Standards Australia New Zealand (FSANZ) to set and amend food standards and undertake other core functions, the Act underpins the safety of our food supply and provides a regulatory framework for foods </w:t>
      </w:r>
      <w:r w:rsidR="00F521B6">
        <w:rPr>
          <w:szCs w:val="19"/>
        </w:rPr>
        <w:t xml:space="preserve">to </w:t>
      </w:r>
      <w:r w:rsidRPr="00E60AD2">
        <w:rPr>
          <w:szCs w:val="19"/>
        </w:rPr>
        <w:t>enter the market in Australia and New Zealand.</w:t>
      </w:r>
    </w:p>
    <w:p w14:paraId="1E39AC13" w14:textId="0F32ED58" w:rsidR="00923BE4" w:rsidRPr="00E60AD2" w:rsidRDefault="00923BE4" w:rsidP="001E1591">
      <w:pPr>
        <w:rPr>
          <w:szCs w:val="19"/>
        </w:rPr>
      </w:pPr>
      <w:r w:rsidRPr="00E60AD2">
        <w:rPr>
          <w:szCs w:val="19"/>
        </w:rPr>
        <w:t>The Act has been in</w:t>
      </w:r>
      <w:r w:rsidR="000C2AC6" w:rsidRPr="00E60AD2">
        <w:rPr>
          <w:szCs w:val="19"/>
        </w:rPr>
        <w:t xml:space="preserve"> </w:t>
      </w:r>
      <w:r w:rsidRPr="00E60AD2">
        <w:rPr>
          <w:szCs w:val="19"/>
        </w:rPr>
        <w:t xml:space="preserve">place for </w:t>
      </w:r>
      <w:r>
        <w:rPr>
          <w:szCs w:val="19"/>
        </w:rPr>
        <w:t>over</w:t>
      </w:r>
      <w:r w:rsidRPr="00E60AD2">
        <w:rPr>
          <w:szCs w:val="19"/>
        </w:rPr>
        <w:t xml:space="preserve"> 30 years, with</w:t>
      </w:r>
      <w:r w:rsidR="00D41316">
        <w:rPr>
          <w:szCs w:val="19"/>
        </w:rPr>
        <w:t xml:space="preserve"> relatively</w:t>
      </w:r>
      <w:r w:rsidRPr="00E60AD2">
        <w:rPr>
          <w:szCs w:val="19"/>
        </w:rPr>
        <w:t xml:space="preserve"> few amendments</w:t>
      </w:r>
      <w:r w:rsidR="00F521B6">
        <w:rPr>
          <w:szCs w:val="19"/>
        </w:rPr>
        <w:t xml:space="preserve"> in</w:t>
      </w:r>
      <w:r w:rsidRPr="00E60AD2">
        <w:rPr>
          <w:szCs w:val="19"/>
        </w:rPr>
        <w:t xml:space="preserve"> that time. </w:t>
      </w:r>
      <w:r w:rsidR="00842FD2">
        <w:rPr>
          <w:szCs w:val="19"/>
        </w:rPr>
        <w:t xml:space="preserve">Food Ministers have recognised the importance of the </w:t>
      </w:r>
      <w:r w:rsidR="00B62D06">
        <w:rPr>
          <w:szCs w:val="19"/>
        </w:rPr>
        <w:t xml:space="preserve">Act in </w:t>
      </w:r>
      <w:r w:rsidR="006B78A2">
        <w:rPr>
          <w:szCs w:val="19"/>
        </w:rPr>
        <w:t>within</w:t>
      </w:r>
      <w:r w:rsidR="00842FD2">
        <w:rPr>
          <w:szCs w:val="19"/>
        </w:rPr>
        <w:t xml:space="preserve"> the</w:t>
      </w:r>
      <w:r w:rsidR="00F30CC6">
        <w:rPr>
          <w:szCs w:val="19"/>
        </w:rPr>
        <w:t xml:space="preserve"> food </w:t>
      </w:r>
      <w:r w:rsidR="00B62D06">
        <w:rPr>
          <w:szCs w:val="19"/>
        </w:rPr>
        <w:t>regulatory</w:t>
      </w:r>
      <w:r w:rsidR="00F30CC6">
        <w:rPr>
          <w:szCs w:val="19"/>
        </w:rPr>
        <w:t xml:space="preserve"> system and</w:t>
      </w:r>
      <w:r w:rsidR="00EE77D9">
        <w:rPr>
          <w:szCs w:val="19"/>
        </w:rPr>
        <w:t xml:space="preserve"> given the amount of change that the system has faced since the Act was developed, </w:t>
      </w:r>
      <w:r w:rsidR="00B8608C">
        <w:rPr>
          <w:szCs w:val="19"/>
        </w:rPr>
        <w:t xml:space="preserve">they have </w:t>
      </w:r>
      <w:r w:rsidR="00F30CC6">
        <w:rPr>
          <w:szCs w:val="19"/>
        </w:rPr>
        <w:t xml:space="preserve">endorsed a holistic </w:t>
      </w:r>
      <w:r w:rsidR="001E1591">
        <w:rPr>
          <w:szCs w:val="19"/>
        </w:rPr>
        <w:t>review to be undertaken</w:t>
      </w:r>
      <w:r w:rsidR="00C62E91">
        <w:rPr>
          <w:szCs w:val="19"/>
        </w:rPr>
        <w:t>,</w:t>
      </w:r>
      <w:r w:rsidR="001E1591">
        <w:rPr>
          <w:szCs w:val="19"/>
        </w:rPr>
        <w:t xml:space="preserve"> in line with a Terms of Reference (</w:t>
      </w:r>
      <w:r w:rsidR="000B5138" w:rsidRPr="000B5138">
        <w:rPr>
          <w:szCs w:val="19"/>
        </w:rPr>
        <w:t>see A</w:t>
      </w:r>
      <w:r w:rsidR="001E1591">
        <w:rPr>
          <w:szCs w:val="19"/>
        </w:rPr>
        <w:t>p</w:t>
      </w:r>
      <w:r w:rsidR="000B5138" w:rsidRPr="000B5138">
        <w:rPr>
          <w:szCs w:val="19"/>
        </w:rPr>
        <w:t>pendix A)</w:t>
      </w:r>
      <w:r w:rsidR="001E1591">
        <w:rPr>
          <w:szCs w:val="19"/>
        </w:rPr>
        <w:t>.</w:t>
      </w:r>
    </w:p>
    <w:p w14:paraId="258B0FC3" w14:textId="05F8F1AA" w:rsidR="00186F87" w:rsidRDefault="00923BE4" w:rsidP="00186F87">
      <w:pPr>
        <w:rPr>
          <w:szCs w:val="19"/>
        </w:rPr>
      </w:pPr>
      <w:r w:rsidRPr="00E60AD2">
        <w:rPr>
          <w:szCs w:val="19"/>
        </w:rPr>
        <w:t>The Australian Government Department of Health</w:t>
      </w:r>
      <w:r>
        <w:rPr>
          <w:szCs w:val="19"/>
        </w:rPr>
        <w:t xml:space="preserve"> and Aged Care</w:t>
      </w:r>
      <w:r w:rsidRPr="00E60AD2">
        <w:rPr>
          <w:szCs w:val="19"/>
        </w:rPr>
        <w:t xml:space="preserve"> (</w:t>
      </w:r>
      <w:r w:rsidR="00AC48DD">
        <w:rPr>
          <w:szCs w:val="19"/>
        </w:rPr>
        <w:t>DHAC</w:t>
      </w:r>
      <w:r w:rsidRPr="00E60AD2">
        <w:rPr>
          <w:szCs w:val="19"/>
        </w:rPr>
        <w:t xml:space="preserve">) is leading </w:t>
      </w:r>
      <w:r w:rsidR="00DE65C9">
        <w:rPr>
          <w:szCs w:val="19"/>
        </w:rPr>
        <w:t>the</w:t>
      </w:r>
      <w:r w:rsidRPr="00E60AD2">
        <w:rPr>
          <w:szCs w:val="19"/>
        </w:rPr>
        <w:t xml:space="preserve"> Review in partnership</w:t>
      </w:r>
      <w:r>
        <w:rPr>
          <w:szCs w:val="19"/>
        </w:rPr>
        <w:t xml:space="preserve"> with the</w:t>
      </w:r>
      <w:r w:rsidRPr="00E60AD2">
        <w:rPr>
          <w:szCs w:val="19"/>
        </w:rPr>
        <w:t xml:space="preserve"> New Zealand Ministry for Primary Industries (MPI)</w:t>
      </w:r>
      <w:r w:rsidR="003648AE">
        <w:rPr>
          <w:szCs w:val="19"/>
        </w:rPr>
        <w:t xml:space="preserve"> and </w:t>
      </w:r>
      <w:r w:rsidR="00894965" w:rsidRPr="00894965">
        <w:rPr>
          <w:szCs w:val="19"/>
        </w:rPr>
        <w:t>Department of Agriculture, Fisheries and Forestry (DAFF</w:t>
      </w:r>
      <w:r w:rsidRPr="00E60AD2">
        <w:rPr>
          <w:szCs w:val="19"/>
        </w:rPr>
        <w:t>)</w:t>
      </w:r>
      <w:r>
        <w:rPr>
          <w:szCs w:val="19"/>
        </w:rPr>
        <w:t xml:space="preserve">, with input from </w:t>
      </w:r>
      <w:r w:rsidRPr="00E60AD2">
        <w:rPr>
          <w:szCs w:val="19"/>
        </w:rPr>
        <w:t xml:space="preserve">the Act Review Steering Committee (members at </w:t>
      </w:r>
      <w:r w:rsidR="003D1936">
        <w:rPr>
          <w:szCs w:val="19"/>
        </w:rPr>
        <w:fldChar w:fldCharType="begin"/>
      </w:r>
      <w:r w:rsidR="003D1936">
        <w:rPr>
          <w:szCs w:val="19"/>
        </w:rPr>
        <w:instrText xml:space="preserve"> REF _Ref144891710 \r \h </w:instrText>
      </w:r>
      <w:r w:rsidR="003D1936">
        <w:rPr>
          <w:szCs w:val="19"/>
        </w:rPr>
      </w:r>
      <w:r w:rsidR="003D1936">
        <w:rPr>
          <w:szCs w:val="19"/>
        </w:rPr>
        <w:fldChar w:fldCharType="separate"/>
      </w:r>
      <w:r w:rsidR="003F7B92">
        <w:rPr>
          <w:szCs w:val="19"/>
        </w:rPr>
        <w:t>Appendix B</w:t>
      </w:r>
      <w:r w:rsidR="003D1936">
        <w:rPr>
          <w:szCs w:val="19"/>
        </w:rPr>
        <w:fldChar w:fldCharType="end"/>
      </w:r>
      <w:r w:rsidRPr="00E60AD2">
        <w:rPr>
          <w:szCs w:val="19"/>
        </w:rPr>
        <w:t xml:space="preserve">). Nous Group (Nous) </w:t>
      </w:r>
      <w:r>
        <w:rPr>
          <w:szCs w:val="19"/>
        </w:rPr>
        <w:t xml:space="preserve">has been commissioned </w:t>
      </w:r>
      <w:r w:rsidRPr="00E60AD2">
        <w:rPr>
          <w:szCs w:val="19"/>
        </w:rPr>
        <w:t xml:space="preserve">to </w:t>
      </w:r>
      <w:r>
        <w:rPr>
          <w:szCs w:val="19"/>
        </w:rPr>
        <w:t>develop a</w:t>
      </w:r>
      <w:r w:rsidR="00C04B14">
        <w:rPr>
          <w:szCs w:val="19"/>
        </w:rPr>
        <w:t>n</w:t>
      </w:r>
      <w:r>
        <w:rPr>
          <w:szCs w:val="19"/>
        </w:rPr>
        <w:t xml:space="preserve"> Impact </w:t>
      </w:r>
      <w:r w:rsidR="006B4606">
        <w:rPr>
          <w:szCs w:val="19"/>
        </w:rPr>
        <w:t>Analysis</w:t>
      </w:r>
      <w:r>
        <w:rPr>
          <w:szCs w:val="19"/>
        </w:rPr>
        <w:t xml:space="preserve"> (IA) to support this work.</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186F87" w14:paraId="0D7070D6" w14:textId="77777777" w:rsidTr="00C87D1A">
        <w:tc>
          <w:tcPr>
            <w:tcW w:w="7285" w:type="dxa"/>
          </w:tcPr>
          <w:p w14:paraId="62E8662B" w14:textId="5CA016E2" w:rsidR="00186F87" w:rsidRPr="001A4D05" w:rsidRDefault="00186F87" w:rsidP="00C87D1A">
            <w:pPr>
              <w:pStyle w:val="longformcalloutnumber"/>
              <w:numPr>
                <w:ilvl w:val="0"/>
                <w:numId w:val="0"/>
              </w:numPr>
              <w:spacing w:before="0"/>
              <w:rPr>
                <w:bCs/>
              </w:rPr>
            </w:pPr>
            <w:r w:rsidRPr="001A4D05">
              <w:rPr>
                <w:bCs/>
              </w:rPr>
              <w:t xml:space="preserve">This </w:t>
            </w:r>
            <w:r>
              <w:rPr>
                <w:bCs/>
              </w:rPr>
              <w:t>R</w:t>
            </w:r>
            <w:r w:rsidRPr="001A4D05">
              <w:rPr>
                <w:bCs/>
              </w:rPr>
              <w:t>eview has been ongoing since 2020</w:t>
            </w:r>
            <w:r w:rsidR="000D7ABE">
              <w:rPr>
                <w:bCs/>
              </w:rPr>
              <w:t>. It</w:t>
            </w:r>
            <w:r w:rsidRPr="001A4D05">
              <w:rPr>
                <w:bCs/>
              </w:rPr>
              <w:t xml:space="preserve"> has involved significant consultation to unpack the issues in the system, identify opportunities and increasingly refine a reform package that will lead to more efficient and effective regulatory outcomes. This includes</w:t>
            </w:r>
            <w:r w:rsidR="007168FE">
              <w:rPr>
                <w:bCs/>
              </w:rPr>
              <w:t xml:space="preserve"> public consultation on a scoping paper</w:t>
            </w:r>
            <w:r w:rsidR="008117F8">
              <w:rPr>
                <w:bCs/>
              </w:rPr>
              <w:t xml:space="preserve"> in 2020</w:t>
            </w:r>
            <w:r w:rsidR="007168FE">
              <w:rPr>
                <w:bCs/>
              </w:rPr>
              <w:t xml:space="preserve"> and </w:t>
            </w:r>
            <w:r w:rsidRPr="001A4D05">
              <w:rPr>
                <w:bCs/>
              </w:rPr>
              <w:t>a draft Regulatory Impact Statement</w:t>
            </w:r>
            <w:r w:rsidR="00DC56B2">
              <w:rPr>
                <w:bCs/>
              </w:rPr>
              <w:t xml:space="preserve"> (RIS)</w:t>
            </w:r>
            <w:r w:rsidRPr="001A4D05">
              <w:rPr>
                <w:bCs/>
              </w:rPr>
              <w:t xml:space="preserve"> in 202</w:t>
            </w:r>
            <w:r>
              <w:rPr>
                <w:bCs/>
              </w:rPr>
              <w:t>1.</w:t>
            </w:r>
            <w:r w:rsidRPr="001A4D05">
              <w:rPr>
                <w:bCs/>
              </w:rPr>
              <w:t xml:space="preserve"> Significant analysis of stakeholder views has been completed, along with modelling of the costs and benefits of possible amendments. </w:t>
            </w:r>
          </w:p>
          <w:p w14:paraId="2F1F7CF9" w14:textId="6B588884" w:rsidR="00186F87" w:rsidRPr="001A4D05" w:rsidRDefault="00186F87" w:rsidP="00C87D1A">
            <w:pPr>
              <w:pStyle w:val="longformcalloutnumber"/>
              <w:numPr>
                <w:ilvl w:val="0"/>
                <w:numId w:val="0"/>
              </w:numPr>
              <w:rPr>
                <w:bCs/>
              </w:rPr>
            </w:pPr>
            <w:r w:rsidRPr="001A4D05">
              <w:rPr>
                <w:bCs/>
              </w:rPr>
              <w:t xml:space="preserve">In November 2022, Food Ministers, who set the policy direction for food regulation across Australia and New Zealand, considered a series of reform concepts and endorsed some for further consideration. Other concepts </w:t>
            </w:r>
            <w:r w:rsidR="00BE5668">
              <w:rPr>
                <w:bCs/>
              </w:rPr>
              <w:t>were</w:t>
            </w:r>
            <w:r w:rsidRPr="001A4D05">
              <w:rPr>
                <w:bCs/>
              </w:rPr>
              <w:t xml:space="preserve"> specifically </w:t>
            </w:r>
            <w:r>
              <w:rPr>
                <w:bCs/>
              </w:rPr>
              <w:t>excluded from</w:t>
            </w:r>
            <w:r w:rsidRPr="001A4D05">
              <w:rPr>
                <w:bCs/>
              </w:rPr>
              <w:t xml:space="preserve"> further</w:t>
            </w:r>
            <w:r>
              <w:rPr>
                <w:bCs/>
              </w:rPr>
              <w:t xml:space="preserve"> </w:t>
            </w:r>
            <w:r w:rsidR="00DA1FF0">
              <w:rPr>
                <w:bCs/>
              </w:rPr>
              <w:t>analysis.</w:t>
            </w:r>
            <w:r>
              <w:rPr>
                <w:bCs/>
              </w:rPr>
              <w:t xml:space="preserve"> </w:t>
            </w:r>
            <w:r w:rsidR="008117F8">
              <w:rPr>
                <w:bCs/>
              </w:rPr>
              <w:t xml:space="preserve">In April 2023, Food Ministers agreed to the </w:t>
            </w:r>
            <w:r w:rsidR="00452747">
              <w:rPr>
                <w:bCs/>
              </w:rPr>
              <w:t xml:space="preserve">addition of </w:t>
            </w:r>
            <w:r w:rsidR="001B6BC4">
              <w:rPr>
                <w:bCs/>
              </w:rPr>
              <w:t xml:space="preserve">six </w:t>
            </w:r>
            <w:r w:rsidR="00452747">
              <w:rPr>
                <w:bCs/>
              </w:rPr>
              <w:t>concepts for consideration relating to Indigenous culture and expertise.</w:t>
            </w:r>
          </w:p>
          <w:p w14:paraId="7C8A49A3" w14:textId="77777777" w:rsidR="006D4F82" w:rsidRDefault="00DA08AF" w:rsidP="00C87D1A">
            <w:pPr>
              <w:pStyle w:val="longformcalloutnumber"/>
              <w:numPr>
                <w:ilvl w:val="0"/>
                <w:numId w:val="0"/>
              </w:numPr>
              <w:rPr>
                <w:bCs/>
              </w:rPr>
            </w:pPr>
            <w:r>
              <w:rPr>
                <w:bCs/>
              </w:rPr>
              <w:t xml:space="preserve">For brevity, this IA does not present a ‘null hypothesis’ option which proposes a scenario where FSANZ and a joint food standards regulatory system does not exist. This </w:t>
            </w:r>
            <w:r w:rsidR="0067274E">
              <w:rPr>
                <w:bCs/>
              </w:rPr>
              <w:t xml:space="preserve">option was canvassed in earlier consultations and ruled fundamentally unviable. </w:t>
            </w:r>
            <w:r w:rsidR="00D11B4C">
              <w:rPr>
                <w:bCs/>
              </w:rPr>
              <w:t xml:space="preserve"> </w:t>
            </w:r>
          </w:p>
          <w:p w14:paraId="305D7C25" w14:textId="5AAE513E" w:rsidR="00186F87" w:rsidRPr="000F3859" w:rsidRDefault="00DC728F" w:rsidP="00C87D1A">
            <w:pPr>
              <w:pStyle w:val="longformcalloutnumber"/>
              <w:numPr>
                <w:ilvl w:val="0"/>
                <w:numId w:val="0"/>
              </w:numPr>
              <w:rPr>
                <w:bCs/>
              </w:rPr>
            </w:pPr>
            <w:r>
              <w:rPr>
                <w:bCs/>
              </w:rPr>
              <w:lastRenderedPageBreak/>
              <w:t>Feedback from consultation will be incorporated into a</w:t>
            </w:r>
            <w:r w:rsidR="00186F87">
              <w:rPr>
                <w:bCs/>
              </w:rPr>
              <w:t xml:space="preserve"> final version of the IA</w:t>
            </w:r>
            <w:r>
              <w:rPr>
                <w:bCs/>
              </w:rPr>
              <w:t>, which</w:t>
            </w:r>
            <w:r w:rsidR="00186F87">
              <w:rPr>
                <w:bCs/>
              </w:rPr>
              <w:t xml:space="preserve"> will set up Ministers across Australia and New Zealand to make decisions about the most appropriate course of action to modernise the Act and FSANZ’</w:t>
            </w:r>
            <w:r w:rsidR="00BD02D8">
              <w:rPr>
                <w:bCs/>
              </w:rPr>
              <w:t>s</w:t>
            </w:r>
            <w:r w:rsidR="00186F87">
              <w:rPr>
                <w:bCs/>
              </w:rPr>
              <w:t xml:space="preserve"> operations. </w:t>
            </w:r>
          </w:p>
        </w:tc>
      </w:tr>
    </w:tbl>
    <w:p w14:paraId="2DA5699B" w14:textId="77777777" w:rsidR="00186F87" w:rsidRDefault="00186F87" w:rsidP="00186F87">
      <w:pPr>
        <w:rPr>
          <w:szCs w:val="19"/>
        </w:rPr>
      </w:pPr>
    </w:p>
    <w:p w14:paraId="0DB07E71" w14:textId="10C2F169" w:rsidR="00186F87" w:rsidRDefault="00186F87" w:rsidP="00186F87">
      <w:pPr>
        <w:rPr>
          <w:szCs w:val="19"/>
        </w:rPr>
      </w:pPr>
      <w:r>
        <w:rPr>
          <w:szCs w:val="19"/>
        </w:rPr>
        <w:t xml:space="preserve">This IA is structured to answer the seven guiding questions of </w:t>
      </w:r>
      <w:r w:rsidR="00ED2CEE">
        <w:rPr>
          <w:szCs w:val="19"/>
        </w:rPr>
        <w:t>i</w:t>
      </w:r>
      <w:r w:rsidR="00423A46">
        <w:rPr>
          <w:szCs w:val="19"/>
        </w:rPr>
        <w:t xml:space="preserve">mpact </w:t>
      </w:r>
      <w:r w:rsidR="00ED2CEE">
        <w:rPr>
          <w:szCs w:val="19"/>
        </w:rPr>
        <w:t>a</w:t>
      </w:r>
      <w:r w:rsidR="00423A46">
        <w:rPr>
          <w:szCs w:val="19"/>
        </w:rPr>
        <w:t>nalysis</w:t>
      </w:r>
      <w:r>
        <w:rPr>
          <w:szCs w:val="19"/>
        </w:rPr>
        <w:t>, described by the Office of Impact Analysis (</w:t>
      </w:r>
      <w:r w:rsidR="00216EA8">
        <w:rPr>
          <w:szCs w:val="19"/>
        </w:rPr>
        <w:t>OIA;</w:t>
      </w:r>
      <w:r w:rsidR="001654C1">
        <w:rPr>
          <w:szCs w:val="19"/>
        </w:rPr>
        <w:t xml:space="preserve"> </w:t>
      </w:r>
      <w:r w:rsidR="001654C1">
        <w:rPr>
          <w:szCs w:val="19"/>
        </w:rPr>
        <w:fldChar w:fldCharType="begin"/>
      </w:r>
      <w:r w:rsidR="001654C1">
        <w:rPr>
          <w:szCs w:val="19"/>
        </w:rPr>
        <w:instrText xml:space="preserve"> REF _Ref150424740 \h </w:instrText>
      </w:r>
      <w:r w:rsidR="001654C1">
        <w:rPr>
          <w:szCs w:val="19"/>
        </w:rPr>
      </w:r>
      <w:r w:rsidR="001654C1">
        <w:rPr>
          <w:szCs w:val="19"/>
        </w:rPr>
        <w:fldChar w:fldCharType="separate"/>
      </w:r>
      <w:r w:rsidR="003F7B92">
        <w:t xml:space="preserve">Figure </w:t>
      </w:r>
      <w:r w:rsidR="003F7B92">
        <w:rPr>
          <w:noProof/>
        </w:rPr>
        <w:t>1</w:t>
      </w:r>
      <w:r w:rsidR="001654C1">
        <w:rPr>
          <w:szCs w:val="19"/>
        </w:rPr>
        <w:fldChar w:fldCharType="end"/>
      </w:r>
      <w:r>
        <w:rPr>
          <w:szCs w:val="19"/>
        </w:rPr>
        <w:t>)</w:t>
      </w:r>
      <w:r w:rsidR="001165F9">
        <w:rPr>
          <w:szCs w:val="19"/>
        </w:rPr>
        <w:t xml:space="preserve">, and each question is answered in detail in the body of this report. </w:t>
      </w:r>
    </w:p>
    <w:p w14:paraId="3DD12B10" w14:textId="437DEC31" w:rsidR="00186F87" w:rsidRPr="00E60AD2" w:rsidRDefault="00186F87" w:rsidP="00186F87">
      <w:pPr>
        <w:pStyle w:val="Caption"/>
        <w:rPr>
          <w:szCs w:val="19"/>
        </w:rPr>
      </w:pPr>
      <w:bookmarkStart w:id="5" w:name="_Ref150424740"/>
      <w:r>
        <w:t xml:space="preserve">Figure </w:t>
      </w:r>
      <w:r>
        <w:fldChar w:fldCharType="begin"/>
      </w:r>
      <w:r>
        <w:instrText xml:space="preserve"> SEQ Figure \* ARABIC </w:instrText>
      </w:r>
      <w:r>
        <w:fldChar w:fldCharType="separate"/>
      </w:r>
      <w:r w:rsidR="003F7B92">
        <w:rPr>
          <w:noProof/>
        </w:rPr>
        <w:t>1</w:t>
      </w:r>
      <w:r>
        <w:fldChar w:fldCharType="end"/>
      </w:r>
      <w:bookmarkEnd w:id="5"/>
      <w:r>
        <w:t xml:space="preserve"> | The seven guiding questions of </w:t>
      </w:r>
      <w:r w:rsidR="00E45DEB">
        <w:t>i</w:t>
      </w:r>
      <w:r w:rsidR="00B92F1C">
        <w:t xml:space="preserve">mpact </w:t>
      </w:r>
      <w:r w:rsidR="00E45DEB">
        <w:t>a</w:t>
      </w:r>
      <w:r w:rsidR="00BE4EC1">
        <w:t>nalysis</w:t>
      </w:r>
      <w:r w:rsidR="00556CA9">
        <w:rPr>
          <w:noProof/>
          <w:lang w:eastAsia="en-AU"/>
        </w:rPr>
        <w:drawing>
          <wp:inline distT="0" distB="0" distL="0" distR="0" wp14:anchorId="66F2D1B4" wp14:editId="26104369">
            <wp:extent cx="5670000" cy="2383084"/>
            <wp:effectExtent l="0" t="0" r="6985" b="0"/>
            <wp:docPr id="1077209137" name="Picture 1077209137" descr="P1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09137" name="Picture 1077209137" descr="P183#yI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0000" cy="2383084"/>
                    </a:xfrm>
                    <a:prstGeom prst="rect">
                      <a:avLst/>
                    </a:prstGeom>
                    <a:noFill/>
                  </pic:spPr>
                </pic:pic>
              </a:graphicData>
            </a:graphic>
          </wp:inline>
        </w:drawing>
      </w:r>
    </w:p>
    <w:p w14:paraId="3E3DDF4E" w14:textId="3111773B" w:rsidR="00186F87" w:rsidRPr="00E60AD2" w:rsidRDefault="00186F87" w:rsidP="00186F87">
      <w:pPr>
        <w:pStyle w:val="Heading4"/>
      </w:pPr>
      <w:r>
        <w:t xml:space="preserve">The problems to </w:t>
      </w:r>
      <w:proofErr w:type="gramStart"/>
      <w:r>
        <w:t>solve</w:t>
      </w:r>
      <w:proofErr w:type="gramEnd"/>
    </w:p>
    <w:p w14:paraId="76302338" w14:textId="694E4559" w:rsidR="00186F87" w:rsidRDefault="00794979" w:rsidP="00186F87">
      <w:pPr>
        <w:rPr>
          <w:szCs w:val="19"/>
        </w:rPr>
      </w:pPr>
      <w:r>
        <w:rPr>
          <w:szCs w:val="19"/>
        </w:rPr>
        <w:t xml:space="preserve">The </w:t>
      </w:r>
      <w:r w:rsidR="00F74604">
        <w:rPr>
          <w:szCs w:val="19"/>
        </w:rPr>
        <w:t xml:space="preserve">food standards system </w:t>
      </w:r>
      <w:r w:rsidR="00651A98">
        <w:rPr>
          <w:szCs w:val="19"/>
        </w:rPr>
        <w:t xml:space="preserve">safeguards the safety, </w:t>
      </w:r>
      <w:proofErr w:type="gramStart"/>
      <w:r w:rsidR="00651A98">
        <w:rPr>
          <w:szCs w:val="19"/>
        </w:rPr>
        <w:t>quality</w:t>
      </w:r>
      <w:proofErr w:type="gramEnd"/>
      <w:r w:rsidR="00651A98">
        <w:rPr>
          <w:szCs w:val="19"/>
        </w:rPr>
        <w:t xml:space="preserve"> and reputation of Australian and New Zealand foods, </w:t>
      </w:r>
      <w:r w:rsidR="00CF0FF2">
        <w:rPr>
          <w:szCs w:val="19"/>
        </w:rPr>
        <w:t xml:space="preserve">generating significant benefits for consumers and industry. </w:t>
      </w:r>
      <w:r w:rsidR="00D822E9">
        <w:rPr>
          <w:szCs w:val="19"/>
        </w:rPr>
        <w:t xml:space="preserve">Stakeholders have been anxious to emphasise the that current </w:t>
      </w:r>
      <w:r w:rsidR="00944911">
        <w:rPr>
          <w:szCs w:val="19"/>
        </w:rPr>
        <w:t>regulatory</w:t>
      </w:r>
      <w:r w:rsidR="00D822E9">
        <w:rPr>
          <w:szCs w:val="19"/>
        </w:rPr>
        <w:t xml:space="preserve"> system is not broken, but it could be improved</w:t>
      </w:r>
      <w:r w:rsidR="00944911">
        <w:rPr>
          <w:szCs w:val="19"/>
        </w:rPr>
        <w:t xml:space="preserve"> </w:t>
      </w:r>
      <w:r w:rsidR="00186F87">
        <w:rPr>
          <w:szCs w:val="19"/>
        </w:rPr>
        <w:t xml:space="preserve">Following a review of best practice, four core policy problems have been identified: </w:t>
      </w:r>
    </w:p>
    <w:p w14:paraId="2FC4175A" w14:textId="4EA7D9E7" w:rsidR="00186F87" w:rsidRDefault="00186F87" w:rsidP="00186F87">
      <w:pPr>
        <w:pStyle w:val="Bullet"/>
      </w:pPr>
      <w:r w:rsidRPr="002300EA">
        <w:rPr>
          <w:rFonts w:asciiTheme="majorHAnsi" w:hAnsiTheme="majorHAnsi" w:cstheme="majorHAnsi"/>
        </w:rPr>
        <w:t xml:space="preserve">Policy Problem 1 | </w:t>
      </w:r>
      <w:r w:rsidR="00B75591">
        <w:rPr>
          <w:rFonts w:asciiTheme="majorHAnsi" w:hAnsiTheme="majorHAnsi" w:cstheme="majorHAnsi"/>
        </w:rPr>
        <w:t>The purpose and objectives of FSANZ are not clear</w:t>
      </w:r>
      <w:r w:rsidRPr="002300EA">
        <w:rPr>
          <w:rFonts w:asciiTheme="majorHAnsi" w:hAnsiTheme="majorHAnsi" w:cstheme="majorHAnsi"/>
        </w:rPr>
        <w:t>.</w:t>
      </w:r>
      <w:r>
        <w:t xml:space="preserve"> Inconsistencies in how key terms are defined in the Act contribute to uncertainty about the purpose of standard</w:t>
      </w:r>
      <w:r w:rsidR="00A26ADB">
        <w:t>-</w:t>
      </w:r>
      <w:r>
        <w:t xml:space="preserve">setting and how regulatory measures </w:t>
      </w:r>
      <w:r w:rsidR="00AD591F">
        <w:t>can</w:t>
      </w:r>
      <w:r>
        <w:t xml:space="preserve"> </w:t>
      </w:r>
      <w:r w:rsidR="000F3329">
        <w:t>be used to manage short- and long-term health risks</w:t>
      </w:r>
      <w:r>
        <w:t xml:space="preserve">. </w:t>
      </w:r>
      <w:r w:rsidR="006B5D3A">
        <w:t xml:space="preserve">Unlike other contemporary pieces of legislation, the Act is also silent on the </w:t>
      </w:r>
      <w:proofErr w:type="gramStart"/>
      <w:r w:rsidR="006B5D3A">
        <w:t>particular needs</w:t>
      </w:r>
      <w:proofErr w:type="gramEnd"/>
      <w:r w:rsidR="006B5D3A">
        <w:t xml:space="preserve"> and commitments</w:t>
      </w:r>
      <w:r w:rsidR="007E22D2">
        <w:t xml:space="preserve"> of government</w:t>
      </w:r>
      <w:r w:rsidR="006B5D3A">
        <w:t xml:space="preserve"> to</w:t>
      </w:r>
      <w:r w:rsidR="009F70B8">
        <w:t xml:space="preserve"> First Nations and </w:t>
      </w:r>
      <w:r w:rsidR="002769CE">
        <w:t>Māori</w:t>
      </w:r>
      <w:r w:rsidR="009F70B8">
        <w:t xml:space="preserve"> </w:t>
      </w:r>
      <w:r w:rsidR="000F1825">
        <w:t>P</w:t>
      </w:r>
      <w:r w:rsidR="009F70B8">
        <w:t>eople</w:t>
      </w:r>
      <w:r w:rsidR="00220168">
        <w:t>s</w:t>
      </w:r>
      <w:r w:rsidR="002769CE">
        <w:t xml:space="preserve">, </w:t>
      </w:r>
      <w:r>
        <w:t>which does not align with either community expectations, or requirements under commitments such as the Treaty of Waitangi.</w:t>
      </w:r>
      <w:r w:rsidR="00444DA8">
        <w:t xml:space="preserve"> </w:t>
      </w:r>
    </w:p>
    <w:p w14:paraId="10C0A2DA" w14:textId="58E0AB48" w:rsidR="00186F87" w:rsidRDefault="00186F87" w:rsidP="00186F87">
      <w:pPr>
        <w:pStyle w:val="Bullet"/>
      </w:pPr>
      <w:r w:rsidRPr="002300EA">
        <w:rPr>
          <w:rFonts w:asciiTheme="majorHAnsi" w:hAnsiTheme="majorHAnsi" w:cstheme="majorHAnsi"/>
        </w:rPr>
        <w:t xml:space="preserve">Policy Problem 2 | </w:t>
      </w:r>
      <w:r w:rsidR="00E036C3" w:rsidRPr="00E036C3">
        <w:rPr>
          <w:rFonts w:asciiTheme="majorHAnsi" w:hAnsiTheme="majorHAnsi" w:cstheme="majorHAnsi"/>
        </w:rPr>
        <w:t>Legislated processes and decision-making arrangements for food standards are cumbersome and inflexible</w:t>
      </w:r>
      <w:r w:rsidR="00BC2302">
        <w:rPr>
          <w:rFonts w:asciiTheme="majorHAnsi" w:hAnsiTheme="majorHAnsi" w:cstheme="majorHAnsi"/>
        </w:rPr>
        <w:t>.</w:t>
      </w:r>
      <w:r>
        <w:t xml:space="preserve"> The Act is highly prescriptive around how variations to food standards can be made, which can contribute to unnecessary time and cost burdens and prevent some foods from being efficiently brought to market. </w:t>
      </w:r>
      <w:r w:rsidR="003127C6">
        <w:t xml:space="preserve">This approach also ties up resources </w:t>
      </w:r>
      <w:r w:rsidR="000368E3">
        <w:t xml:space="preserve">and creates the environment in which FSANZ </w:t>
      </w:r>
      <w:r w:rsidR="001602C8">
        <w:t xml:space="preserve">is forced to prioritise </w:t>
      </w:r>
      <w:r w:rsidR="000C28DF">
        <w:t xml:space="preserve">applications (which are subject to legislated timeframes) over proposals or other work. </w:t>
      </w:r>
    </w:p>
    <w:p w14:paraId="49343FCA" w14:textId="4A70077E" w:rsidR="00186F87" w:rsidRDefault="00186F87" w:rsidP="00082A66">
      <w:pPr>
        <w:pStyle w:val="Bullet"/>
        <w:spacing w:line="240" w:lineRule="auto"/>
      </w:pPr>
      <w:r w:rsidRPr="002300EA">
        <w:rPr>
          <w:rFonts w:asciiTheme="majorHAnsi" w:hAnsiTheme="majorHAnsi" w:cstheme="majorHAnsi"/>
        </w:rPr>
        <w:t xml:space="preserve">Policy Problem 3 | Elements of operations </w:t>
      </w:r>
      <w:r w:rsidR="00D12B79">
        <w:rPr>
          <w:rFonts w:asciiTheme="majorHAnsi" w:hAnsiTheme="majorHAnsi" w:cstheme="majorHAnsi"/>
        </w:rPr>
        <w:t xml:space="preserve">outlined in the FSANZ Act </w:t>
      </w:r>
      <w:r w:rsidRPr="002300EA">
        <w:rPr>
          <w:rFonts w:asciiTheme="majorHAnsi" w:hAnsiTheme="majorHAnsi" w:cstheme="majorHAnsi"/>
        </w:rPr>
        <w:t>are inefficient.</w:t>
      </w:r>
      <w:r>
        <w:t xml:space="preserve"> The Act sets statutory parameters around </w:t>
      </w:r>
      <w:r w:rsidR="004E4D63">
        <w:t>FSANZ’</w:t>
      </w:r>
      <w:r w:rsidR="00AD2E2A">
        <w:t>s</w:t>
      </w:r>
      <w:r>
        <w:t xml:space="preserve"> board composition and nomination processes that do not reflect contemporary best practice. The organisation is also facing sustained resourcing pressures that mean some</w:t>
      </w:r>
      <w:r w:rsidR="00F50E57">
        <w:t xml:space="preserve"> of FSANZ’</w:t>
      </w:r>
      <w:r w:rsidR="00BD02D8">
        <w:t>s</w:t>
      </w:r>
      <w:r w:rsidR="00F50E57">
        <w:t xml:space="preserve"> statutory functions are</w:t>
      </w:r>
      <w:r>
        <w:t xml:space="preserve"> delayed, or not done at all. </w:t>
      </w:r>
    </w:p>
    <w:p w14:paraId="1C01CC0C" w14:textId="77777777" w:rsidR="00340A09" w:rsidRDefault="00186F87" w:rsidP="009D7061">
      <w:pPr>
        <w:pStyle w:val="Bullet"/>
      </w:pPr>
      <w:r w:rsidRPr="00E61910">
        <w:rPr>
          <w:rFonts w:asciiTheme="majorHAnsi" w:hAnsiTheme="majorHAnsi" w:cstheme="majorHAnsi"/>
        </w:rPr>
        <w:t>Policy Problem 4 | Gaps and duplication of efforts challenge system agility.</w:t>
      </w:r>
      <w:r>
        <w:t xml:space="preserve"> While FSANZ is constituted as an independent authority, it must collaborate and coordinate with other actors across </w:t>
      </w:r>
      <w:r>
        <w:lastRenderedPageBreak/>
        <w:t xml:space="preserve">the system. </w:t>
      </w:r>
      <w:r w:rsidR="00786A65">
        <w:t>M</w:t>
      </w:r>
      <w:r>
        <w:t xml:space="preserve">issed opportunities to deliver joined-up, high-impact policy and regulatory work </w:t>
      </w:r>
      <w:r w:rsidR="00786A65">
        <w:t xml:space="preserve">create gaps and duplications </w:t>
      </w:r>
      <w:r w:rsidR="00ED5247">
        <w:t xml:space="preserve">in effort </w:t>
      </w:r>
      <w:r w:rsidR="00E61910">
        <w:t xml:space="preserve">and undermine the overall effectiveness of the regulatory system. </w:t>
      </w:r>
    </w:p>
    <w:p w14:paraId="56BB6756" w14:textId="4219AA66" w:rsidR="00186F87" w:rsidRPr="005C7A84" w:rsidRDefault="00186F87" w:rsidP="00340A09">
      <w:pPr>
        <w:pStyle w:val="Bullet"/>
        <w:numPr>
          <w:ilvl w:val="0"/>
          <w:numId w:val="0"/>
        </w:numPr>
      </w:pPr>
      <w:r>
        <w:t xml:space="preserve">For each of the problems (and the sub-problems within them), an ‘impact rating’ </w:t>
      </w:r>
      <w:r w:rsidR="002C6864">
        <w:t xml:space="preserve">has been </w:t>
      </w:r>
      <w:r>
        <w:t xml:space="preserve">calculated to highlight which issues were most detrimental and therefore of highest priority to solve. </w:t>
      </w:r>
    </w:p>
    <w:p w14:paraId="67F3B33F" w14:textId="77777777" w:rsidR="00186F87" w:rsidRDefault="00186F87" w:rsidP="00186F87">
      <w:pPr>
        <w:pStyle w:val="Heading4"/>
      </w:pPr>
      <w:r>
        <w:t>Options for reform</w:t>
      </w:r>
    </w:p>
    <w:p w14:paraId="3EE5C1B8" w14:textId="62ED4B75" w:rsidR="001044BB" w:rsidRDefault="00186F87" w:rsidP="004F184A">
      <w:pPr>
        <w:rPr>
          <w:lang w:eastAsia="en-AU"/>
        </w:rPr>
      </w:pPr>
      <w:r>
        <w:rPr>
          <w:lang w:eastAsia="en-AU"/>
        </w:rPr>
        <w:t xml:space="preserve">Two options have been presented in this IA, as summarised in </w:t>
      </w:r>
      <w:r w:rsidR="00DE4596">
        <w:rPr>
          <w:highlight w:val="yellow"/>
          <w:lang w:eastAsia="en-AU"/>
        </w:rPr>
        <w:fldChar w:fldCharType="begin"/>
      </w:r>
      <w:r w:rsidR="00DE4596">
        <w:rPr>
          <w:lang w:eastAsia="en-AU"/>
        </w:rPr>
        <w:instrText xml:space="preserve"> REF _Ref149568044 \h </w:instrText>
      </w:r>
      <w:r w:rsidR="00DE4596">
        <w:rPr>
          <w:highlight w:val="yellow"/>
          <w:lang w:eastAsia="en-AU"/>
        </w:rPr>
      </w:r>
      <w:r w:rsidR="00DE4596">
        <w:rPr>
          <w:highlight w:val="yellow"/>
          <w:lang w:eastAsia="en-AU"/>
        </w:rPr>
        <w:fldChar w:fldCharType="separate"/>
      </w:r>
      <w:r w:rsidR="003F7B92">
        <w:t xml:space="preserve">Table </w:t>
      </w:r>
      <w:r w:rsidR="003F7B92">
        <w:rPr>
          <w:noProof/>
        </w:rPr>
        <w:t>1</w:t>
      </w:r>
      <w:r w:rsidR="00DE4596">
        <w:rPr>
          <w:highlight w:val="yellow"/>
          <w:lang w:eastAsia="en-AU"/>
        </w:rPr>
        <w:fldChar w:fldCharType="end"/>
      </w:r>
      <w:r>
        <w:rPr>
          <w:lang w:eastAsia="en-AU"/>
        </w:rPr>
        <w:t>.</w:t>
      </w:r>
      <w:r w:rsidR="00393826">
        <w:rPr>
          <w:lang w:eastAsia="en-AU"/>
        </w:rPr>
        <w:t xml:space="preserve"> </w:t>
      </w:r>
    </w:p>
    <w:p w14:paraId="38D3636A" w14:textId="310C45FD" w:rsidR="00186F87" w:rsidRDefault="00393826" w:rsidP="004F184A">
      <w:pPr>
        <w:rPr>
          <w:lang w:eastAsia="en-AU"/>
        </w:rPr>
        <w:sectPr w:rsidR="00186F87" w:rsidSect="00DF2269">
          <w:headerReference w:type="first" r:id="rId20"/>
          <w:pgSz w:w="11907" w:h="16839" w:code="9"/>
          <w:pgMar w:top="1418" w:right="1418" w:bottom="1701" w:left="1559" w:header="720" w:footer="720" w:gutter="0"/>
          <w:cols w:space="720"/>
          <w:titlePg/>
          <w:docGrid w:linePitch="360"/>
        </w:sectPr>
      </w:pPr>
      <w:r>
        <w:rPr>
          <w:lang w:eastAsia="en-AU"/>
        </w:rPr>
        <w:t xml:space="preserve">For some of the sub-components within Option 2, there are </w:t>
      </w:r>
      <w:proofErr w:type="gramStart"/>
      <w:r>
        <w:rPr>
          <w:lang w:eastAsia="en-AU"/>
        </w:rPr>
        <w:t>a number of</w:t>
      </w:r>
      <w:proofErr w:type="gramEnd"/>
      <w:r>
        <w:rPr>
          <w:lang w:eastAsia="en-AU"/>
        </w:rPr>
        <w:t xml:space="preserve"> ideas presented, each of which </w:t>
      </w:r>
      <w:r w:rsidR="00024D8C">
        <w:rPr>
          <w:lang w:eastAsia="en-AU"/>
        </w:rPr>
        <w:t xml:space="preserve">is being openly scrutinised through the consultation process. </w:t>
      </w:r>
      <w:r w:rsidR="00186F87">
        <w:rPr>
          <w:lang w:eastAsia="en-AU"/>
        </w:rPr>
        <w:t xml:space="preserve">The ‘nature of change’ column recognises whether an option is legislative (L) and/or operational (O) in nature. </w:t>
      </w:r>
      <w:r w:rsidR="004F184A">
        <w:rPr>
          <w:lang w:eastAsia="en-AU"/>
        </w:rPr>
        <w:t xml:space="preserve">A small number of initiatives would only have effect in Australia. </w:t>
      </w:r>
    </w:p>
    <w:p w14:paraId="2099A6C3" w14:textId="3350817D" w:rsidR="00186F87" w:rsidRDefault="00186F87" w:rsidP="00186F87">
      <w:pPr>
        <w:pStyle w:val="Caption"/>
        <w:rPr>
          <w:lang w:eastAsia="en-AU"/>
        </w:rPr>
      </w:pPr>
      <w:bookmarkStart w:id="6" w:name="_Ref149568044"/>
      <w:r>
        <w:lastRenderedPageBreak/>
        <w:t xml:space="preserve">Table </w:t>
      </w:r>
      <w:r>
        <w:fldChar w:fldCharType="begin"/>
      </w:r>
      <w:r>
        <w:instrText xml:space="preserve"> SEQ Table \* ARABIC </w:instrText>
      </w:r>
      <w:r>
        <w:fldChar w:fldCharType="separate"/>
      </w:r>
      <w:r w:rsidR="003F7B92">
        <w:rPr>
          <w:noProof/>
        </w:rPr>
        <w:t>1</w:t>
      </w:r>
      <w:r>
        <w:fldChar w:fldCharType="end"/>
      </w:r>
      <w:bookmarkEnd w:id="6"/>
      <w:r>
        <w:t xml:space="preserve"> | Overview of the two options for reform</w:t>
      </w:r>
    </w:p>
    <w:tbl>
      <w:tblPr>
        <w:tblStyle w:val="TableGrid"/>
        <w:tblW w:w="4962" w:type="pct"/>
        <w:tblCellMar>
          <w:top w:w="0" w:type="dxa"/>
          <w:left w:w="57" w:type="dxa"/>
          <w:bottom w:w="0" w:type="dxa"/>
          <w:right w:w="57" w:type="dxa"/>
        </w:tblCellMar>
        <w:tblLook w:val="0600" w:firstRow="0" w:lastRow="0" w:firstColumn="0" w:lastColumn="0" w:noHBand="1" w:noVBand="1"/>
      </w:tblPr>
      <w:tblGrid>
        <w:gridCol w:w="2386"/>
        <w:gridCol w:w="2314"/>
        <w:gridCol w:w="7675"/>
        <w:gridCol w:w="2085"/>
      </w:tblGrid>
      <w:tr w:rsidR="009B3A21" w14:paraId="3691C3DF" w14:textId="77777777" w:rsidTr="009B3A21">
        <w:trPr>
          <w:trHeight w:val="491"/>
          <w:tblHeader/>
        </w:trPr>
        <w:tc>
          <w:tcPr>
            <w:tcW w:w="825" w:type="pct"/>
            <w:shd w:val="clear" w:color="auto" w:fill="00264D" w:themeFill="background2"/>
            <w:vAlign w:val="top"/>
          </w:tcPr>
          <w:p w14:paraId="07E41C8F" w14:textId="77777777" w:rsidR="00186F87" w:rsidRDefault="00186F87" w:rsidP="00C87D1A">
            <w:pPr>
              <w:rPr>
                <w:lang w:eastAsia="en-AU"/>
              </w:rPr>
            </w:pPr>
            <w:r>
              <w:rPr>
                <w:lang w:eastAsia="en-AU"/>
              </w:rPr>
              <w:t>Theme</w:t>
            </w:r>
          </w:p>
        </w:tc>
        <w:tc>
          <w:tcPr>
            <w:tcW w:w="800" w:type="pct"/>
            <w:shd w:val="clear" w:color="auto" w:fill="00264D" w:themeFill="background2"/>
            <w:vAlign w:val="top"/>
          </w:tcPr>
          <w:p w14:paraId="55284675" w14:textId="0C7F3F8B" w:rsidR="00186F87" w:rsidRDefault="00186F87" w:rsidP="00C87D1A">
            <w:pPr>
              <w:rPr>
                <w:lang w:eastAsia="en-AU"/>
              </w:rPr>
            </w:pPr>
            <w:r w:rsidRPr="00723A63">
              <w:rPr>
                <w:rFonts w:asciiTheme="majorHAnsi" w:hAnsiTheme="majorHAnsi" w:cstheme="majorHAnsi"/>
                <w:color w:val="F25E21" w:themeColor="accent2"/>
                <w:lang w:eastAsia="en-AU"/>
              </w:rPr>
              <w:t>OPTION 1</w:t>
            </w:r>
            <w:r w:rsidRPr="009F23A2">
              <w:rPr>
                <w:color w:val="F25E21" w:themeColor="accent2"/>
                <w:lang w:eastAsia="en-AU"/>
              </w:rPr>
              <w:t xml:space="preserve"> </w:t>
            </w:r>
            <w:r>
              <w:rPr>
                <w:lang w:eastAsia="en-AU"/>
              </w:rPr>
              <w:t>| Retain the status quo</w:t>
            </w:r>
          </w:p>
        </w:tc>
        <w:tc>
          <w:tcPr>
            <w:tcW w:w="2654" w:type="pct"/>
            <w:shd w:val="clear" w:color="auto" w:fill="00264D" w:themeFill="background2"/>
            <w:vAlign w:val="top"/>
          </w:tcPr>
          <w:p w14:paraId="0523CC4D" w14:textId="77777777" w:rsidR="00186F87" w:rsidRDefault="00186F87" w:rsidP="00C87D1A">
            <w:pPr>
              <w:rPr>
                <w:lang w:eastAsia="en-AU"/>
              </w:rPr>
            </w:pPr>
            <w:r w:rsidRPr="00723A63">
              <w:rPr>
                <w:rFonts w:asciiTheme="majorHAnsi" w:hAnsiTheme="majorHAnsi" w:cstheme="majorHAnsi"/>
                <w:color w:val="F8981D" w:themeColor="accent3"/>
                <w:lang w:eastAsia="en-AU"/>
              </w:rPr>
              <w:t>OPTION 2</w:t>
            </w:r>
            <w:r w:rsidRPr="00723A63">
              <w:rPr>
                <w:color w:val="F8981D" w:themeColor="accent3"/>
                <w:lang w:eastAsia="en-AU"/>
              </w:rPr>
              <w:t xml:space="preserve"> </w:t>
            </w:r>
            <w:r>
              <w:rPr>
                <w:lang w:eastAsia="en-AU"/>
              </w:rPr>
              <w:t>| Modernise regulatory settings</w:t>
            </w:r>
          </w:p>
        </w:tc>
        <w:tc>
          <w:tcPr>
            <w:tcW w:w="721" w:type="pct"/>
            <w:tcBorders>
              <w:bottom w:val="single" w:sz="8" w:space="0" w:color="E6E6E1" w:themeColor="accent5"/>
            </w:tcBorders>
            <w:shd w:val="clear" w:color="auto" w:fill="00264D" w:themeFill="background2"/>
            <w:vAlign w:val="top"/>
          </w:tcPr>
          <w:p w14:paraId="496158A0" w14:textId="77777777" w:rsidR="00186F87" w:rsidRDefault="00186F87" w:rsidP="00C87D1A">
            <w:pPr>
              <w:rPr>
                <w:lang w:eastAsia="en-AU"/>
              </w:rPr>
            </w:pPr>
            <w:r>
              <w:rPr>
                <w:lang w:eastAsia="en-AU"/>
              </w:rPr>
              <w:t>Nature of change</w:t>
            </w:r>
          </w:p>
        </w:tc>
      </w:tr>
      <w:tr w:rsidR="00186F87" w14:paraId="2E2853A0" w14:textId="77777777" w:rsidTr="009B3A21">
        <w:trPr>
          <w:trHeight w:val="1877"/>
        </w:trPr>
        <w:tc>
          <w:tcPr>
            <w:tcW w:w="825" w:type="pct"/>
            <w:vMerge w:val="restart"/>
            <w:vAlign w:val="top"/>
          </w:tcPr>
          <w:p w14:paraId="31BA2DF9" w14:textId="501AA870" w:rsidR="00186F87" w:rsidRPr="00C43D26" w:rsidRDefault="00186F87" w:rsidP="00C87D1A">
            <w:pPr>
              <w:rPr>
                <w:rFonts w:asciiTheme="majorHAnsi" w:hAnsiTheme="majorHAnsi" w:cstheme="majorHAnsi"/>
                <w:sz w:val="17"/>
                <w:szCs w:val="17"/>
                <w:lang w:eastAsia="en-AU"/>
              </w:rPr>
            </w:pPr>
            <w:r w:rsidRPr="00C43D26">
              <w:rPr>
                <w:rFonts w:asciiTheme="majorHAnsi" w:hAnsiTheme="majorHAnsi" w:cstheme="majorHAnsi"/>
                <w:sz w:val="17"/>
                <w:szCs w:val="17"/>
                <w:lang w:eastAsia="en-AU"/>
              </w:rPr>
              <w:t>Component 1 | Purpose and objectives of FSANZ</w:t>
            </w:r>
          </w:p>
        </w:tc>
        <w:tc>
          <w:tcPr>
            <w:tcW w:w="800" w:type="pct"/>
            <w:vMerge w:val="restart"/>
            <w:vAlign w:val="top"/>
          </w:tcPr>
          <w:p w14:paraId="4E828099" w14:textId="06E07B2C" w:rsidR="00186F87" w:rsidRPr="00C43D26" w:rsidRDefault="00186F87" w:rsidP="00C87D1A">
            <w:pPr>
              <w:rPr>
                <w:sz w:val="17"/>
                <w:szCs w:val="17"/>
                <w:lang w:eastAsia="en-AU"/>
              </w:rPr>
            </w:pPr>
            <w:r w:rsidRPr="00C43D26">
              <w:rPr>
                <w:sz w:val="17"/>
                <w:szCs w:val="17"/>
                <w:lang w:eastAsia="en-AU"/>
              </w:rPr>
              <w:t>This option assumes no changes to the Act or FSANZ</w:t>
            </w:r>
            <w:r w:rsidR="007F6E33">
              <w:rPr>
                <w:sz w:val="17"/>
                <w:szCs w:val="17"/>
                <w:lang w:eastAsia="en-AU"/>
              </w:rPr>
              <w:t>s</w:t>
            </w:r>
            <w:r w:rsidR="006A4AB0" w:rsidRPr="00C43D26">
              <w:rPr>
                <w:sz w:val="17"/>
                <w:szCs w:val="17"/>
                <w:lang w:eastAsia="en-AU"/>
              </w:rPr>
              <w:t xml:space="preserve"> </w:t>
            </w:r>
            <w:r w:rsidRPr="00C43D26">
              <w:rPr>
                <w:sz w:val="17"/>
                <w:szCs w:val="17"/>
                <w:lang w:eastAsia="en-AU"/>
              </w:rPr>
              <w:t xml:space="preserve">operations. </w:t>
            </w:r>
          </w:p>
        </w:tc>
        <w:tc>
          <w:tcPr>
            <w:tcW w:w="2654" w:type="pct"/>
            <w:shd w:val="clear" w:color="auto" w:fill="F2F2F2" w:themeFill="background1" w:themeFillShade="F2"/>
            <w:vAlign w:val="top"/>
          </w:tcPr>
          <w:p w14:paraId="6B08007B" w14:textId="77777777" w:rsidR="00186F87" w:rsidRPr="00C43D26" w:rsidRDefault="00186F87" w:rsidP="00C87D1A">
            <w:pPr>
              <w:rPr>
                <w:rFonts w:asciiTheme="majorHAnsi" w:hAnsiTheme="majorHAnsi" w:cstheme="majorHAnsi"/>
                <w:sz w:val="17"/>
                <w:szCs w:val="17"/>
              </w:rPr>
            </w:pPr>
            <w:r w:rsidRPr="00C43D26">
              <w:rPr>
                <w:rFonts w:asciiTheme="majorHAnsi" w:hAnsiTheme="majorHAnsi" w:cstheme="majorHAnsi"/>
                <w:sz w:val="17"/>
                <w:szCs w:val="17"/>
              </w:rPr>
              <w:t>The definition of ‘protection of public health and safety’ within the Act could be clarified to be in line with the current policy guidance.</w:t>
            </w:r>
          </w:p>
          <w:p w14:paraId="2D074FB8" w14:textId="77777777" w:rsidR="008B7F2B" w:rsidRPr="00F80D5E" w:rsidRDefault="008B7F2B" w:rsidP="00865504">
            <w:pPr>
              <w:pStyle w:val="ListParagraph"/>
              <w:numPr>
                <w:ilvl w:val="0"/>
                <w:numId w:val="39"/>
              </w:numPr>
              <w:rPr>
                <w:rFonts w:eastAsia="Times New Roman" w:cs="Times New Roman"/>
                <w:sz w:val="17"/>
                <w:szCs w:val="17"/>
                <w:lang w:eastAsia="en-AU"/>
              </w:rPr>
            </w:pPr>
            <w:r w:rsidRPr="00F80D5E">
              <w:rPr>
                <w:rFonts w:eastAsia="Times New Roman" w:cs="Times New Roman"/>
                <w:sz w:val="17"/>
                <w:szCs w:val="17"/>
                <w:lang w:eastAsia="en-AU"/>
              </w:rPr>
              <w:t>Sections 3 and 18 of the Act could be amended and aligned to give a definition of 'protecting public health and safety' that encapsulates both acute and long-term health elements.</w:t>
            </w:r>
          </w:p>
          <w:p w14:paraId="2635E4DD" w14:textId="6F8F9FBA" w:rsidR="00186F87" w:rsidRPr="00C43D26" w:rsidRDefault="00186F87" w:rsidP="00865504">
            <w:pPr>
              <w:pStyle w:val="Bullet"/>
              <w:rPr>
                <w:sz w:val="17"/>
                <w:szCs w:val="17"/>
              </w:rPr>
            </w:pPr>
            <w:r w:rsidRPr="00C43D26">
              <w:rPr>
                <w:sz w:val="17"/>
                <w:szCs w:val="17"/>
              </w:rPr>
              <w:t>The Act could be further clarified by making language in the legislation consistent across all documents of the bi-national food regulation system.</w:t>
            </w:r>
          </w:p>
        </w:tc>
        <w:tc>
          <w:tcPr>
            <w:tcW w:w="721" w:type="pct"/>
            <w:tcBorders>
              <w:right w:val="single" w:sz="8" w:space="0" w:color="E6E6E1" w:themeColor="accent5"/>
            </w:tcBorders>
            <w:vAlign w:val="top"/>
          </w:tcPr>
          <w:p w14:paraId="7C99AA54" w14:textId="77777777" w:rsidR="00186F87" w:rsidRPr="00C43D26" w:rsidRDefault="00186F87" w:rsidP="00C87D1A">
            <w:pPr>
              <w:jc w:val="center"/>
              <w:rPr>
                <w:sz w:val="17"/>
                <w:szCs w:val="17"/>
              </w:rPr>
            </w:pPr>
            <w:r w:rsidRPr="00C43D26">
              <w:rPr>
                <w:sz w:val="17"/>
                <w:szCs w:val="17"/>
              </w:rPr>
              <w:t>L</w:t>
            </w:r>
          </w:p>
        </w:tc>
      </w:tr>
      <w:tr w:rsidR="00186F87" w14:paraId="0A644915" w14:textId="77777777" w:rsidTr="009B3A21">
        <w:trPr>
          <w:trHeight w:val="141"/>
        </w:trPr>
        <w:tc>
          <w:tcPr>
            <w:tcW w:w="825" w:type="pct"/>
            <w:vMerge/>
            <w:vAlign w:val="top"/>
          </w:tcPr>
          <w:p w14:paraId="5C1CE562" w14:textId="77777777" w:rsidR="00186F87" w:rsidRPr="00C43D26" w:rsidRDefault="00186F87" w:rsidP="00C87D1A">
            <w:pPr>
              <w:rPr>
                <w:sz w:val="17"/>
                <w:szCs w:val="17"/>
                <w:lang w:eastAsia="en-AU"/>
              </w:rPr>
            </w:pPr>
          </w:p>
        </w:tc>
        <w:tc>
          <w:tcPr>
            <w:tcW w:w="800" w:type="pct"/>
            <w:vMerge/>
            <w:vAlign w:val="top"/>
          </w:tcPr>
          <w:p w14:paraId="5B98CCA6" w14:textId="77777777" w:rsidR="00186F87" w:rsidRPr="00C43D26" w:rsidRDefault="00186F87" w:rsidP="00C87D1A">
            <w:pPr>
              <w:rPr>
                <w:sz w:val="17"/>
                <w:szCs w:val="17"/>
                <w:lang w:eastAsia="en-AU"/>
              </w:rPr>
            </w:pPr>
          </w:p>
        </w:tc>
        <w:tc>
          <w:tcPr>
            <w:tcW w:w="2654" w:type="pct"/>
            <w:shd w:val="clear" w:color="auto" w:fill="F2F2F2" w:themeFill="background1" w:themeFillShade="F2"/>
            <w:vAlign w:val="top"/>
          </w:tcPr>
          <w:p w14:paraId="0FEFD34D" w14:textId="4F6A1241" w:rsidR="00186F87" w:rsidRPr="00C43D26" w:rsidRDefault="00186F87" w:rsidP="00C87D1A">
            <w:pPr>
              <w:rPr>
                <w:rFonts w:asciiTheme="majorHAnsi" w:hAnsiTheme="majorHAnsi" w:cstheme="majorHAnsi"/>
                <w:sz w:val="17"/>
                <w:szCs w:val="17"/>
              </w:rPr>
            </w:pPr>
            <w:r w:rsidRPr="00C43D26">
              <w:rPr>
                <w:rFonts w:asciiTheme="majorHAnsi" w:hAnsiTheme="majorHAnsi" w:cstheme="majorHAnsi"/>
                <w:sz w:val="17"/>
                <w:szCs w:val="17"/>
              </w:rPr>
              <w:t>There could be greater clarity around how ministerial policy guidance is reflected in the development of food standards</w:t>
            </w:r>
            <w:r w:rsidR="000C7CA4" w:rsidRPr="00C43D26">
              <w:rPr>
                <w:rFonts w:asciiTheme="majorHAnsi" w:hAnsiTheme="majorHAnsi" w:cstheme="majorHAnsi"/>
                <w:sz w:val="17"/>
                <w:szCs w:val="17"/>
              </w:rPr>
              <w:t>.</w:t>
            </w:r>
          </w:p>
        </w:tc>
        <w:tc>
          <w:tcPr>
            <w:tcW w:w="721" w:type="pct"/>
            <w:tcBorders>
              <w:right w:val="single" w:sz="8" w:space="0" w:color="E6E6E1" w:themeColor="accent5"/>
            </w:tcBorders>
            <w:vAlign w:val="top"/>
          </w:tcPr>
          <w:p w14:paraId="7E89E006" w14:textId="77777777" w:rsidR="00186F87" w:rsidRPr="00C43D26" w:rsidRDefault="00186F87" w:rsidP="00C87D1A">
            <w:pPr>
              <w:jc w:val="center"/>
              <w:rPr>
                <w:sz w:val="17"/>
                <w:szCs w:val="17"/>
              </w:rPr>
            </w:pPr>
            <w:r w:rsidRPr="00C43D26">
              <w:rPr>
                <w:sz w:val="17"/>
                <w:szCs w:val="17"/>
              </w:rPr>
              <w:t>O</w:t>
            </w:r>
          </w:p>
        </w:tc>
      </w:tr>
      <w:tr w:rsidR="00186F87" w14:paraId="48EC3FE2" w14:textId="77777777" w:rsidTr="009B3A21">
        <w:trPr>
          <w:trHeight w:val="346"/>
        </w:trPr>
        <w:tc>
          <w:tcPr>
            <w:tcW w:w="825" w:type="pct"/>
            <w:vMerge/>
            <w:tcBorders>
              <w:bottom w:val="single" w:sz="8" w:space="0" w:color="00264D" w:themeColor="background2"/>
            </w:tcBorders>
            <w:vAlign w:val="top"/>
          </w:tcPr>
          <w:p w14:paraId="574F3A2C" w14:textId="77777777" w:rsidR="00186F87" w:rsidRPr="00C43D26" w:rsidRDefault="00186F87" w:rsidP="00C87D1A">
            <w:pPr>
              <w:rPr>
                <w:sz w:val="17"/>
                <w:szCs w:val="17"/>
                <w:lang w:eastAsia="en-AU"/>
              </w:rPr>
            </w:pPr>
          </w:p>
        </w:tc>
        <w:tc>
          <w:tcPr>
            <w:tcW w:w="800" w:type="pct"/>
            <w:vMerge/>
            <w:vAlign w:val="top"/>
          </w:tcPr>
          <w:p w14:paraId="15779309" w14:textId="77777777" w:rsidR="00186F87" w:rsidRPr="00C43D26" w:rsidRDefault="00186F87" w:rsidP="00C87D1A">
            <w:pPr>
              <w:rPr>
                <w:sz w:val="17"/>
                <w:szCs w:val="17"/>
                <w:lang w:eastAsia="en-AU"/>
              </w:rPr>
            </w:pPr>
          </w:p>
        </w:tc>
        <w:tc>
          <w:tcPr>
            <w:tcW w:w="2654" w:type="pct"/>
            <w:tcBorders>
              <w:bottom w:val="single" w:sz="8" w:space="0" w:color="00264D" w:themeColor="background2"/>
            </w:tcBorders>
            <w:shd w:val="clear" w:color="auto" w:fill="F2F2F2" w:themeFill="background1" w:themeFillShade="F2"/>
            <w:vAlign w:val="top"/>
          </w:tcPr>
          <w:p w14:paraId="27508D13" w14:textId="3910949B" w:rsidR="00186F87" w:rsidRPr="00C43D26" w:rsidRDefault="008B7C2B" w:rsidP="00C87D1A">
            <w:pPr>
              <w:rPr>
                <w:sz w:val="17"/>
                <w:szCs w:val="17"/>
              </w:rPr>
            </w:pPr>
            <w:r w:rsidRPr="00C43D26">
              <w:rPr>
                <w:rFonts w:asciiTheme="majorHAnsi" w:hAnsiTheme="majorHAnsi" w:cstheme="majorHAnsi"/>
                <w:sz w:val="17"/>
                <w:szCs w:val="17"/>
              </w:rPr>
              <w:t>Language within the Act could be updated to be more culturally inclusive.</w:t>
            </w:r>
          </w:p>
        </w:tc>
        <w:tc>
          <w:tcPr>
            <w:tcW w:w="721" w:type="pct"/>
            <w:tcBorders>
              <w:bottom w:val="single" w:sz="8" w:space="0" w:color="00264D" w:themeColor="background2"/>
              <w:right w:val="single" w:sz="8" w:space="0" w:color="E6E6E1" w:themeColor="accent5"/>
            </w:tcBorders>
            <w:vAlign w:val="top"/>
          </w:tcPr>
          <w:p w14:paraId="5840CC58" w14:textId="116B1618" w:rsidR="00186F87" w:rsidRPr="00C43D26" w:rsidRDefault="008B7C2B" w:rsidP="00C87D1A">
            <w:pPr>
              <w:jc w:val="center"/>
              <w:rPr>
                <w:sz w:val="17"/>
                <w:szCs w:val="17"/>
              </w:rPr>
            </w:pPr>
            <w:r>
              <w:rPr>
                <w:sz w:val="17"/>
                <w:szCs w:val="17"/>
              </w:rPr>
              <w:t>L</w:t>
            </w:r>
          </w:p>
        </w:tc>
      </w:tr>
      <w:tr w:rsidR="00AD0B82" w14:paraId="7873ED14" w14:textId="77777777" w:rsidTr="009B3A21">
        <w:trPr>
          <w:trHeight w:val="401"/>
        </w:trPr>
        <w:tc>
          <w:tcPr>
            <w:tcW w:w="825" w:type="pct"/>
            <w:vMerge w:val="restart"/>
            <w:tcBorders>
              <w:top w:val="single" w:sz="8" w:space="0" w:color="00264D" w:themeColor="background2"/>
            </w:tcBorders>
            <w:vAlign w:val="top"/>
          </w:tcPr>
          <w:p w14:paraId="2A5B9ADE" w14:textId="77777777" w:rsidR="00AD0B82" w:rsidRPr="00C43D26" w:rsidRDefault="00AD0B82" w:rsidP="00C87D1A">
            <w:pPr>
              <w:rPr>
                <w:rFonts w:asciiTheme="majorHAnsi" w:hAnsiTheme="majorHAnsi" w:cstheme="majorHAnsi"/>
                <w:sz w:val="17"/>
                <w:szCs w:val="17"/>
                <w:lang w:eastAsia="en-AU"/>
              </w:rPr>
            </w:pPr>
            <w:r w:rsidRPr="00C43D26">
              <w:rPr>
                <w:rFonts w:asciiTheme="majorHAnsi" w:hAnsiTheme="majorHAnsi" w:cstheme="majorHAnsi"/>
                <w:sz w:val="17"/>
                <w:szCs w:val="17"/>
                <w:lang w:eastAsia="en-AU"/>
              </w:rPr>
              <w:t xml:space="preserve">Component 2 | </w:t>
            </w:r>
            <w:r w:rsidRPr="00C43D26">
              <w:rPr>
                <w:rFonts w:ascii="Segoe UI Semibold" w:hAnsi="Segoe UI Semibold" w:cs="Segoe UI Semibold"/>
                <w:sz w:val="17"/>
                <w:szCs w:val="17"/>
                <w:lang w:eastAsia="en-AU"/>
              </w:rPr>
              <w:t>Reforming standard-setting</w:t>
            </w:r>
          </w:p>
        </w:tc>
        <w:tc>
          <w:tcPr>
            <w:tcW w:w="800" w:type="pct"/>
            <w:vMerge/>
            <w:vAlign w:val="top"/>
          </w:tcPr>
          <w:p w14:paraId="1751015B" w14:textId="77777777" w:rsidR="00AD0B82" w:rsidRPr="00C43D26" w:rsidRDefault="00AD0B82" w:rsidP="00C87D1A">
            <w:pPr>
              <w:rPr>
                <w:sz w:val="17"/>
                <w:szCs w:val="17"/>
                <w:lang w:eastAsia="en-AU"/>
              </w:rPr>
            </w:pPr>
          </w:p>
        </w:tc>
        <w:tc>
          <w:tcPr>
            <w:tcW w:w="2654" w:type="pct"/>
            <w:tcBorders>
              <w:top w:val="single" w:sz="8" w:space="0" w:color="00264D" w:themeColor="background2"/>
            </w:tcBorders>
            <w:shd w:val="clear" w:color="auto" w:fill="F2F2F2" w:themeFill="background1" w:themeFillShade="F2"/>
            <w:vAlign w:val="top"/>
          </w:tcPr>
          <w:p w14:paraId="19ADB735" w14:textId="3AAB8421" w:rsidR="00AD0B82" w:rsidRPr="00C43D26" w:rsidRDefault="00AD0B82" w:rsidP="00C87D1A">
            <w:pPr>
              <w:rPr>
                <w:rFonts w:asciiTheme="majorHAnsi" w:hAnsiTheme="majorHAnsi" w:cstheme="majorHAnsi"/>
                <w:sz w:val="17"/>
                <w:szCs w:val="17"/>
              </w:rPr>
            </w:pPr>
            <w:r w:rsidRPr="00C43D26">
              <w:rPr>
                <w:rFonts w:asciiTheme="majorHAnsi" w:hAnsiTheme="majorHAnsi" w:cstheme="majorHAnsi"/>
                <w:sz w:val="17"/>
                <w:szCs w:val="17"/>
              </w:rPr>
              <w:t>A risk-based framework and approach could be introduced to guide the development of food regulatory measures.</w:t>
            </w:r>
          </w:p>
        </w:tc>
        <w:tc>
          <w:tcPr>
            <w:tcW w:w="721" w:type="pct"/>
            <w:tcBorders>
              <w:top w:val="single" w:sz="8" w:space="0" w:color="00264D" w:themeColor="background2"/>
              <w:right w:val="single" w:sz="8" w:space="0" w:color="E6E6E1" w:themeColor="accent5"/>
            </w:tcBorders>
            <w:vAlign w:val="top"/>
          </w:tcPr>
          <w:p w14:paraId="385A3A1B" w14:textId="77777777" w:rsidR="00AD0B82" w:rsidRPr="00C43D26" w:rsidRDefault="00AD0B82" w:rsidP="00C87D1A">
            <w:pPr>
              <w:jc w:val="center"/>
              <w:rPr>
                <w:sz w:val="17"/>
                <w:szCs w:val="17"/>
              </w:rPr>
            </w:pPr>
            <w:r w:rsidRPr="00C43D26">
              <w:rPr>
                <w:sz w:val="17"/>
                <w:szCs w:val="17"/>
              </w:rPr>
              <w:t>O</w:t>
            </w:r>
          </w:p>
        </w:tc>
      </w:tr>
      <w:tr w:rsidR="00AD0B82" w14:paraId="3B6ADE9F" w14:textId="77777777" w:rsidTr="009B3A21">
        <w:trPr>
          <w:trHeight w:val="141"/>
        </w:trPr>
        <w:tc>
          <w:tcPr>
            <w:tcW w:w="825" w:type="pct"/>
            <w:vMerge/>
            <w:vAlign w:val="top"/>
          </w:tcPr>
          <w:p w14:paraId="125B1F37" w14:textId="77777777" w:rsidR="00AD0B82" w:rsidRPr="00C43D26" w:rsidRDefault="00AD0B82" w:rsidP="00C87D1A">
            <w:pPr>
              <w:rPr>
                <w:rFonts w:asciiTheme="majorHAnsi" w:hAnsiTheme="majorHAnsi" w:cstheme="majorHAnsi"/>
                <w:sz w:val="17"/>
                <w:szCs w:val="17"/>
                <w:lang w:eastAsia="en-AU"/>
              </w:rPr>
            </w:pPr>
          </w:p>
        </w:tc>
        <w:tc>
          <w:tcPr>
            <w:tcW w:w="800" w:type="pct"/>
            <w:vMerge/>
            <w:vAlign w:val="top"/>
          </w:tcPr>
          <w:p w14:paraId="4CC939B3" w14:textId="77777777" w:rsidR="00AD0B82" w:rsidRPr="00C43D26" w:rsidRDefault="00AD0B82" w:rsidP="00C87D1A">
            <w:pPr>
              <w:rPr>
                <w:sz w:val="17"/>
                <w:szCs w:val="17"/>
                <w:lang w:eastAsia="en-AU"/>
              </w:rPr>
            </w:pPr>
          </w:p>
        </w:tc>
        <w:tc>
          <w:tcPr>
            <w:tcW w:w="2654" w:type="pct"/>
            <w:shd w:val="clear" w:color="auto" w:fill="F2F2F2" w:themeFill="background1" w:themeFillShade="F2"/>
            <w:vAlign w:val="top"/>
          </w:tcPr>
          <w:p w14:paraId="4870FAEB" w14:textId="77777777" w:rsidR="00AD0B82" w:rsidRPr="00C43D26" w:rsidRDefault="00AD0B82" w:rsidP="00C87D1A">
            <w:pPr>
              <w:rPr>
                <w:rFonts w:asciiTheme="majorHAnsi" w:hAnsiTheme="majorHAnsi" w:cstheme="majorHAnsi"/>
                <w:sz w:val="17"/>
                <w:szCs w:val="17"/>
              </w:rPr>
            </w:pPr>
            <w:r w:rsidRPr="00C43D26">
              <w:rPr>
                <w:rFonts w:asciiTheme="majorHAnsi" w:hAnsiTheme="majorHAnsi" w:cstheme="majorHAnsi"/>
                <w:sz w:val="17"/>
                <w:szCs w:val="17"/>
              </w:rPr>
              <w:t>New pathways to amend food standards could be introduced.</w:t>
            </w:r>
          </w:p>
          <w:p w14:paraId="3156EF46" w14:textId="77777777" w:rsidR="00AD0B82" w:rsidRPr="00452BDE" w:rsidRDefault="00AD0B82" w:rsidP="00865504">
            <w:pPr>
              <w:pStyle w:val="ListParagraph"/>
              <w:numPr>
                <w:ilvl w:val="0"/>
                <w:numId w:val="40"/>
              </w:numPr>
              <w:suppressAutoHyphens/>
              <w:rPr>
                <w:rFonts w:eastAsia="Times New Roman" w:cs="Times New Roman"/>
                <w:sz w:val="17"/>
                <w:szCs w:val="17"/>
                <w:lang w:eastAsia="en-AU"/>
              </w:rPr>
            </w:pPr>
            <w:r w:rsidRPr="00452BDE">
              <w:rPr>
                <w:rFonts w:eastAsia="Times New Roman" w:cs="Times New Roman"/>
                <w:sz w:val="17"/>
                <w:szCs w:val="17"/>
                <w:lang w:eastAsia="en-AU"/>
              </w:rPr>
              <w:t>The Act could provide for FSANZ to accept risk assessments from overseas jurisdictions.</w:t>
            </w:r>
          </w:p>
          <w:p w14:paraId="6F262B77" w14:textId="77777777" w:rsidR="00AD0B82" w:rsidRPr="00452BDE" w:rsidRDefault="00AD0B82" w:rsidP="00865504">
            <w:pPr>
              <w:pStyle w:val="ListParagraph"/>
              <w:numPr>
                <w:ilvl w:val="0"/>
                <w:numId w:val="40"/>
              </w:numPr>
              <w:suppressAutoHyphens/>
              <w:rPr>
                <w:rFonts w:eastAsia="Times New Roman" w:cs="Times New Roman"/>
                <w:sz w:val="17"/>
                <w:szCs w:val="17"/>
                <w:lang w:eastAsia="en-AU"/>
              </w:rPr>
            </w:pPr>
            <w:r w:rsidRPr="00452BDE">
              <w:rPr>
                <w:rFonts w:eastAsia="Times New Roman" w:cs="Times New Roman"/>
                <w:sz w:val="17"/>
                <w:szCs w:val="17"/>
                <w:lang w:eastAsia="en-AU"/>
              </w:rPr>
              <w:t xml:space="preserve">Select international standards </w:t>
            </w:r>
            <w:r w:rsidRPr="00465CC5">
              <w:rPr>
                <w:rFonts w:eastAsia="Times New Roman" w:cs="Times New Roman"/>
                <w:i/>
                <w:sz w:val="17"/>
                <w:szCs w:val="17"/>
                <w:lang w:eastAsia="en-AU"/>
              </w:rPr>
              <w:t>could</w:t>
            </w:r>
            <w:r w:rsidRPr="00452BDE">
              <w:rPr>
                <w:rFonts w:eastAsia="Times New Roman" w:cs="Times New Roman"/>
                <w:sz w:val="17"/>
                <w:szCs w:val="17"/>
                <w:lang w:eastAsia="en-AU"/>
              </w:rPr>
              <w:t xml:space="preserve"> be automatically recognised.</w:t>
            </w:r>
          </w:p>
          <w:p w14:paraId="369507E6" w14:textId="19C7A5F6" w:rsidR="00AD0B82" w:rsidRPr="00EB1797" w:rsidRDefault="00AD0B82" w:rsidP="00865504">
            <w:pPr>
              <w:pStyle w:val="ListParagraph"/>
              <w:numPr>
                <w:ilvl w:val="0"/>
                <w:numId w:val="40"/>
              </w:numPr>
              <w:suppressAutoHyphens/>
              <w:rPr>
                <w:rFonts w:eastAsia="Times New Roman" w:cs="Times New Roman"/>
                <w:sz w:val="17"/>
                <w:szCs w:val="17"/>
                <w:lang w:eastAsia="en-AU"/>
              </w:rPr>
            </w:pPr>
            <w:r w:rsidRPr="00452BDE">
              <w:rPr>
                <w:rFonts w:eastAsia="Times New Roman" w:cs="Times New Roman"/>
                <w:sz w:val="17"/>
                <w:szCs w:val="17"/>
                <w:lang w:eastAsia="en-AU"/>
              </w:rPr>
              <w:t>An additional pathway to bring very low risk products to market could support greater economic opportunities for food businesses.</w:t>
            </w:r>
          </w:p>
          <w:p w14:paraId="5EA3BCC5" w14:textId="54CC242F" w:rsidR="00AD0B82" w:rsidRPr="00EB1797" w:rsidRDefault="00AD0B82" w:rsidP="00EB1797">
            <w:pPr>
              <w:pStyle w:val="ListParagraph"/>
              <w:numPr>
                <w:ilvl w:val="0"/>
                <w:numId w:val="40"/>
              </w:numPr>
              <w:suppressAutoHyphens/>
              <w:rPr>
                <w:rFonts w:eastAsia="Times New Roman" w:cs="Times New Roman"/>
                <w:sz w:val="17"/>
                <w:szCs w:val="17"/>
                <w:lang w:eastAsia="en-AU"/>
              </w:rPr>
            </w:pPr>
            <w:r w:rsidRPr="00EB1797">
              <w:rPr>
                <w:sz w:val="17"/>
                <w:szCs w:val="17"/>
              </w:rPr>
              <w:t>Principles could be embedded in legislation to allow FSANZ to create other pathways to amend food standards.</w:t>
            </w:r>
          </w:p>
        </w:tc>
        <w:tc>
          <w:tcPr>
            <w:tcW w:w="721" w:type="pct"/>
            <w:tcBorders>
              <w:right w:val="single" w:sz="8" w:space="0" w:color="E6E6E1" w:themeColor="accent5"/>
            </w:tcBorders>
            <w:vAlign w:val="top"/>
          </w:tcPr>
          <w:p w14:paraId="4A8DC27C" w14:textId="77777777" w:rsidR="00AD0B82" w:rsidRPr="00C43D26" w:rsidRDefault="00AD0B82" w:rsidP="00C87D1A">
            <w:pPr>
              <w:jc w:val="center"/>
              <w:rPr>
                <w:sz w:val="17"/>
                <w:szCs w:val="17"/>
              </w:rPr>
            </w:pPr>
            <w:r w:rsidRPr="00C43D26">
              <w:rPr>
                <w:sz w:val="17"/>
                <w:szCs w:val="17"/>
              </w:rPr>
              <w:t>L</w:t>
            </w:r>
          </w:p>
        </w:tc>
      </w:tr>
      <w:tr w:rsidR="00AD0B82" w14:paraId="58B2AA6E" w14:textId="77777777" w:rsidTr="009B3A21">
        <w:trPr>
          <w:trHeight w:val="141"/>
        </w:trPr>
        <w:tc>
          <w:tcPr>
            <w:tcW w:w="825" w:type="pct"/>
            <w:vMerge/>
            <w:vAlign w:val="top"/>
          </w:tcPr>
          <w:p w14:paraId="0DEB4FDC" w14:textId="77777777" w:rsidR="00AD0B82" w:rsidRPr="00C43D26" w:rsidRDefault="00AD0B82" w:rsidP="00C87D1A">
            <w:pPr>
              <w:rPr>
                <w:rFonts w:asciiTheme="majorHAnsi" w:hAnsiTheme="majorHAnsi" w:cstheme="majorHAnsi"/>
                <w:sz w:val="17"/>
                <w:szCs w:val="17"/>
                <w:lang w:eastAsia="en-AU"/>
              </w:rPr>
            </w:pPr>
          </w:p>
        </w:tc>
        <w:tc>
          <w:tcPr>
            <w:tcW w:w="800" w:type="pct"/>
            <w:vMerge/>
            <w:vAlign w:val="top"/>
          </w:tcPr>
          <w:p w14:paraId="17635316" w14:textId="77777777" w:rsidR="00AD0B82" w:rsidRPr="00C43D26" w:rsidRDefault="00AD0B82" w:rsidP="00C87D1A">
            <w:pPr>
              <w:rPr>
                <w:sz w:val="17"/>
                <w:szCs w:val="17"/>
                <w:lang w:eastAsia="en-AU"/>
              </w:rPr>
            </w:pPr>
          </w:p>
        </w:tc>
        <w:tc>
          <w:tcPr>
            <w:tcW w:w="2654" w:type="pct"/>
            <w:shd w:val="clear" w:color="auto" w:fill="F2F2F2" w:themeFill="background1" w:themeFillShade="F2"/>
            <w:vAlign w:val="top"/>
          </w:tcPr>
          <w:p w14:paraId="7A086C59" w14:textId="77777777" w:rsidR="00AD0B82" w:rsidRPr="00C43D26" w:rsidRDefault="00AD0B82" w:rsidP="00C87D1A">
            <w:pPr>
              <w:rPr>
                <w:rFonts w:asciiTheme="majorHAnsi" w:hAnsiTheme="majorHAnsi" w:cstheme="majorHAnsi"/>
                <w:sz w:val="17"/>
                <w:szCs w:val="17"/>
              </w:rPr>
            </w:pPr>
            <w:r w:rsidRPr="00C43D26">
              <w:rPr>
                <w:rFonts w:asciiTheme="majorHAnsi" w:hAnsiTheme="majorHAnsi" w:cstheme="majorHAnsi"/>
                <w:sz w:val="17"/>
                <w:szCs w:val="17"/>
              </w:rPr>
              <w:t>Decision-making arrangements could be streamlined.</w:t>
            </w:r>
          </w:p>
          <w:p w14:paraId="30318799" w14:textId="77777777" w:rsidR="00AD0B82" w:rsidRPr="00452BDE" w:rsidRDefault="00AD0B82" w:rsidP="00B60934">
            <w:pPr>
              <w:pStyle w:val="ListParagraph"/>
              <w:numPr>
                <w:ilvl w:val="0"/>
                <w:numId w:val="41"/>
              </w:numPr>
              <w:suppressAutoHyphens/>
              <w:rPr>
                <w:rFonts w:eastAsia="Times New Roman" w:cs="Times New Roman"/>
                <w:sz w:val="17"/>
                <w:szCs w:val="17"/>
                <w:lang w:eastAsia="en-AU"/>
              </w:rPr>
            </w:pPr>
            <w:r w:rsidRPr="00452BDE">
              <w:rPr>
                <w:rFonts w:eastAsia="Times New Roman" w:cs="Times New Roman"/>
                <w:sz w:val="17"/>
                <w:szCs w:val="17"/>
                <w:lang w:eastAsia="en-AU"/>
              </w:rPr>
              <w:t>The FSANZ Board’s non-delegable duties (set out in Section 150) could be removed or revised.</w:t>
            </w:r>
          </w:p>
          <w:p w14:paraId="10EC74FA" w14:textId="692ECCBE" w:rsidR="00AD0B82" w:rsidRPr="00C43D26" w:rsidRDefault="00AD0B82" w:rsidP="00C87D1A">
            <w:pPr>
              <w:pStyle w:val="Bullet"/>
              <w:rPr>
                <w:sz w:val="17"/>
                <w:szCs w:val="17"/>
              </w:rPr>
            </w:pPr>
            <w:r w:rsidRPr="00C43D26">
              <w:rPr>
                <w:sz w:val="17"/>
                <w:szCs w:val="17"/>
              </w:rPr>
              <w:t xml:space="preserve">Members of the FMM could be given the explicit ability to delegate decision-making to ratify changes to food standards to </w:t>
            </w:r>
            <w:proofErr w:type="gramStart"/>
            <w:r w:rsidRPr="00C43D26">
              <w:rPr>
                <w:sz w:val="17"/>
                <w:szCs w:val="17"/>
              </w:rPr>
              <w:t>particular departmental</w:t>
            </w:r>
            <w:proofErr w:type="gramEnd"/>
            <w:r w:rsidRPr="00C43D26">
              <w:rPr>
                <w:sz w:val="17"/>
                <w:szCs w:val="17"/>
              </w:rPr>
              <w:t xml:space="preserve"> officials.</w:t>
            </w:r>
          </w:p>
        </w:tc>
        <w:tc>
          <w:tcPr>
            <w:tcW w:w="721" w:type="pct"/>
            <w:tcBorders>
              <w:right w:val="single" w:sz="8" w:space="0" w:color="E6E6E1" w:themeColor="accent5"/>
            </w:tcBorders>
            <w:vAlign w:val="top"/>
          </w:tcPr>
          <w:p w14:paraId="5A506154" w14:textId="5E7FFC01" w:rsidR="00AD0B82" w:rsidRPr="00C43D26" w:rsidRDefault="00AD0B82" w:rsidP="00C87D1A">
            <w:pPr>
              <w:jc w:val="center"/>
              <w:rPr>
                <w:sz w:val="17"/>
                <w:szCs w:val="17"/>
              </w:rPr>
            </w:pPr>
            <w:r w:rsidRPr="00C43D26">
              <w:rPr>
                <w:sz w:val="17"/>
                <w:szCs w:val="17"/>
              </w:rPr>
              <w:t>L</w:t>
            </w:r>
          </w:p>
        </w:tc>
      </w:tr>
      <w:tr w:rsidR="00AD0B82" w14:paraId="7B490531" w14:textId="77777777" w:rsidTr="009B3A21">
        <w:trPr>
          <w:trHeight w:val="141"/>
        </w:trPr>
        <w:tc>
          <w:tcPr>
            <w:tcW w:w="825" w:type="pct"/>
            <w:vMerge/>
            <w:vAlign w:val="top"/>
          </w:tcPr>
          <w:p w14:paraId="563DA01C" w14:textId="77777777" w:rsidR="00AD0B82" w:rsidRPr="00C43D26" w:rsidRDefault="00AD0B82" w:rsidP="00C87D1A">
            <w:pPr>
              <w:rPr>
                <w:rFonts w:asciiTheme="majorHAnsi" w:hAnsiTheme="majorHAnsi" w:cstheme="majorHAnsi"/>
                <w:sz w:val="17"/>
                <w:szCs w:val="17"/>
                <w:lang w:eastAsia="en-AU"/>
              </w:rPr>
            </w:pPr>
          </w:p>
        </w:tc>
        <w:tc>
          <w:tcPr>
            <w:tcW w:w="800" w:type="pct"/>
            <w:vMerge/>
            <w:vAlign w:val="top"/>
          </w:tcPr>
          <w:p w14:paraId="153422DF" w14:textId="77777777" w:rsidR="00AD0B82" w:rsidRPr="00C43D26" w:rsidRDefault="00AD0B82" w:rsidP="00C87D1A">
            <w:pPr>
              <w:rPr>
                <w:sz w:val="17"/>
                <w:szCs w:val="17"/>
                <w:lang w:eastAsia="en-AU"/>
              </w:rPr>
            </w:pPr>
          </w:p>
        </w:tc>
        <w:tc>
          <w:tcPr>
            <w:tcW w:w="2654" w:type="pct"/>
            <w:shd w:val="clear" w:color="auto" w:fill="F2F2F2" w:themeFill="background1" w:themeFillShade="F2"/>
            <w:vAlign w:val="top"/>
          </w:tcPr>
          <w:p w14:paraId="26DD40DB" w14:textId="77777777" w:rsidR="00AD0B82" w:rsidRPr="00452BDE" w:rsidRDefault="00AD0B82" w:rsidP="00B60934">
            <w:pPr>
              <w:rPr>
                <w:rFonts w:asciiTheme="majorHAnsi" w:hAnsiTheme="majorHAnsi" w:cstheme="majorHAnsi"/>
                <w:sz w:val="17"/>
                <w:szCs w:val="17"/>
              </w:rPr>
            </w:pPr>
            <w:r w:rsidRPr="00452BDE">
              <w:rPr>
                <w:rFonts w:asciiTheme="majorHAnsi" w:hAnsiTheme="majorHAnsi" w:cstheme="majorHAnsi"/>
                <w:sz w:val="17"/>
                <w:szCs w:val="17"/>
              </w:rPr>
              <w:t>Legislative change and greater guidance material could support bringing more traditional foods to market.</w:t>
            </w:r>
          </w:p>
          <w:p w14:paraId="110DC94F" w14:textId="77777777" w:rsidR="00AD0B82" w:rsidRPr="00465CC5" w:rsidRDefault="00AD0B82" w:rsidP="003D7D1B">
            <w:pPr>
              <w:pStyle w:val="ListParagraph"/>
              <w:numPr>
                <w:ilvl w:val="0"/>
                <w:numId w:val="61"/>
              </w:numPr>
              <w:suppressAutoHyphens/>
              <w:rPr>
                <w:rFonts w:eastAsia="Times New Roman" w:cs="Times New Roman"/>
                <w:sz w:val="17"/>
                <w:szCs w:val="17"/>
                <w:lang w:eastAsia="en-AU"/>
              </w:rPr>
            </w:pPr>
            <w:r w:rsidRPr="00465CC5">
              <w:rPr>
                <w:rFonts w:eastAsia="Times New Roman" w:cs="Times New Roman"/>
                <w:sz w:val="17"/>
                <w:szCs w:val="17"/>
                <w:lang w:eastAsia="en-AU"/>
              </w:rPr>
              <w:t>A one-off investment of time and resources could be made to develop and publish a list of traditional foods or ingredients that have undergone safety assessments.</w:t>
            </w:r>
          </w:p>
          <w:p w14:paraId="5AAF36EC" w14:textId="559186C0" w:rsidR="00AD0B82" w:rsidRPr="00C43D26" w:rsidRDefault="00AD0B82" w:rsidP="00C87D1A">
            <w:pPr>
              <w:pStyle w:val="Bullet"/>
              <w:rPr>
                <w:sz w:val="17"/>
                <w:szCs w:val="17"/>
              </w:rPr>
            </w:pPr>
            <w:r w:rsidRPr="00C43D26">
              <w:rPr>
                <w:sz w:val="17"/>
                <w:szCs w:val="17"/>
              </w:rPr>
              <w:lastRenderedPageBreak/>
              <w:t>Further guidance material on how traditional foods can be assessed for safety could be developed.</w:t>
            </w:r>
          </w:p>
        </w:tc>
        <w:tc>
          <w:tcPr>
            <w:tcW w:w="721" w:type="pct"/>
            <w:tcBorders>
              <w:right w:val="single" w:sz="8" w:space="0" w:color="E6E6E1" w:themeColor="accent5"/>
            </w:tcBorders>
            <w:vAlign w:val="top"/>
          </w:tcPr>
          <w:p w14:paraId="0EDACF22" w14:textId="4F07A9F4" w:rsidR="00AD0B82" w:rsidRPr="00C43D26" w:rsidRDefault="00AD0B82" w:rsidP="00C87D1A">
            <w:pPr>
              <w:jc w:val="center"/>
              <w:rPr>
                <w:sz w:val="17"/>
                <w:szCs w:val="17"/>
              </w:rPr>
            </w:pPr>
            <w:r w:rsidRPr="00C43D26">
              <w:rPr>
                <w:sz w:val="17"/>
                <w:szCs w:val="17"/>
              </w:rPr>
              <w:lastRenderedPageBreak/>
              <w:t>O</w:t>
            </w:r>
          </w:p>
        </w:tc>
      </w:tr>
      <w:tr w:rsidR="00C15995" w14:paraId="61F41B60" w14:textId="77777777" w:rsidTr="009B3A21">
        <w:trPr>
          <w:trHeight w:val="141"/>
        </w:trPr>
        <w:tc>
          <w:tcPr>
            <w:tcW w:w="825" w:type="pct"/>
            <w:vMerge/>
            <w:vAlign w:val="top"/>
          </w:tcPr>
          <w:p w14:paraId="049CF863" w14:textId="77777777" w:rsidR="00C15995" w:rsidRPr="00C43D26" w:rsidRDefault="00C15995" w:rsidP="00C15995">
            <w:pPr>
              <w:rPr>
                <w:rFonts w:asciiTheme="majorHAnsi" w:hAnsiTheme="majorHAnsi" w:cstheme="majorHAnsi"/>
                <w:sz w:val="17"/>
                <w:szCs w:val="17"/>
                <w:lang w:eastAsia="en-AU"/>
              </w:rPr>
            </w:pPr>
          </w:p>
        </w:tc>
        <w:tc>
          <w:tcPr>
            <w:tcW w:w="800" w:type="pct"/>
            <w:vMerge/>
            <w:vAlign w:val="top"/>
          </w:tcPr>
          <w:p w14:paraId="14F195D4" w14:textId="77777777" w:rsidR="00C15995" w:rsidRPr="00C43D26" w:rsidRDefault="00C15995" w:rsidP="00C15995">
            <w:pPr>
              <w:rPr>
                <w:sz w:val="17"/>
                <w:szCs w:val="17"/>
                <w:lang w:eastAsia="en-AU"/>
              </w:rPr>
            </w:pPr>
          </w:p>
        </w:tc>
        <w:tc>
          <w:tcPr>
            <w:tcW w:w="2654" w:type="pct"/>
            <w:shd w:val="clear" w:color="auto" w:fill="F2F2F2" w:themeFill="background1" w:themeFillShade="F2"/>
            <w:vAlign w:val="top"/>
          </w:tcPr>
          <w:p w14:paraId="130DB1C5" w14:textId="1BFC11FC" w:rsidR="00C15995" w:rsidRPr="00452BDE" w:rsidRDefault="00C15995" w:rsidP="00C15995">
            <w:pPr>
              <w:rPr>
                <w:rFonts w:asciiTheme="majorHAnsi" w:hAnsiTheme="majorHAnsi" w:cstheme="majorHAnsi"/>
                <w:sz w:val="17"/>
                <w:szCs w:val="17"/>
              </w:rPr>
            </w:pPr>
            <w:r w:rsidRPr="00C43D26">
              <w:rPr>
                <w:rFonts w:asciiTheme="majorHAnsi" w:hAnsiTheme="majorHAnsi" w:cstheme="majorHAnsi"/>
                <w:sz w:val="17"/>
                <w:szCs w:val="17"/>
              </w:rPr>
              <w:t xml:space="preserve">FSANZ could be resourced to undertake more timely, </w:t>
            </w:r>
            <w:proofErr w:type="gramStart"/>
            <w:r w:rsidRPr="00C43D26">
              <w:rPr>
                <w:rFonts w:asciiTheme="majorHAnsi" w:hAnsiTheme="majorHAnsi" w:cstheme="majorHAnsi"/>
                <w:sz w:val="17"/>
                <w:szCs w:val="17"/>
              </w:rPr>
              <w:t>holistic</w:t>
            </w:r>
            <w:proofErr w:type="gramEnd"/>
            <w:r w:rsidRPr="00C43D26">
              <w:rPr>
                <w:rFonts w:asciiTheme="majorHAnsi" w:hAnsiTheme="majorHAnsi" w:cstheme="majorHAnsi"/>
                <w:sz w:val="17"/>
                <w:szCs w:val="17"/>
              </w:rPr>
              <w:t xml:space="preserve"> and regular standard reviews.</w:t>
            </w:r>
          </w:p>
        </w:tc>
        <w:tc>
          <w:tcPr>
            <w:tcW w:w="721" w:type="pct"/>
            <w:tcBorders>
              <w:right w:val="single" w:sz="8" w:space="0" w:color="E6E6E1" w:themeColor="accent5"/>
            </w:tcBorders>
            <w:vAlign w:val="top"/>
          </w:tcPr>
          <w:p w14:paraId="0F699E8C" w14:textId="304AB449" w:rsidR="00C15995" w:rsidRPr="00C43D26" w:rsidRDefault="00C15995" w:rsidP="00C15995">
            <w:pPr>
              <w:jc w:val="center"/>
              <w:rPr>
                <w:sz w:val="17"/>
                <w:szCs w:val="17"/>
              </w:rPr>
            </w:pPr>
            <w:r w:rsidRPr="00C43D26">
              <w:rPr>
                <w:sz w:val="17"/>
                <w:szCs w:val="17"/>
              </w:rPr>
              <w:t>O</w:t>
            </w:r>
          </w:p>
        </w:tc>
      </w:tr>
      <w:tr w:rsidR="00C15995" w14:paraId="306C1686" w14:textId="77777777" w:rsidTr="009B3A21">
        <w:trPr>
          <w:trHeight w:val="141"/>
        </w:trPr>
        <w:tc>
          <w:tcPr>
            <w:tcW w:w="825" w:type="pct"/>
            <w:vMerge/>
            <w:vAlign w:val="top"/>
          </w:tcPr>
          <w:p w14:paraId="3B5931B2" w14:textId="77777777" w:rsidR="00C15995" w:rsidRPr="00C43D26" w:rsidRDefault="00C15995" w:rsidP="00C15995">
            <w:pPr>
              <w:rPr>
                <w:rFonts w:asciiTheme="majorHAnsi" w:hAnsiTheme="majorHAnsi" w:cstheme="majorHAnsi"/>
                <w:sz w:val="17"/>
                <w:szCs w:val="17"/>
                <w:lang w:eastAsia="en-AU"/>
              </w:rPr>
            </w:pPr>
          </w:p>
        </w:tc>
        <w:tc>
          <w:tcPr>
            <w:tcW w:w="800" w:type="pct"/>
            <w:vMerge/>
            <w:vAlign w:val="top"/>
          </w:tcPr>
          <w:p w14:paraId="67D44E1B" w14:textId="77777777" w:rsidR="00C15995" w:rsidRPr="00C43D26" w:rsidRDefault="00C15995" w:rsidP="00C15995">
            <w:pPr>
              <w:rPr>
                <w:sz w:val="17"/>
                <w:szCs w:val="17"/>
                <w:lang w:eastAsia="en-AU"/>
              </w:rPr>
            </w:pPr>
          </w:p>
        </w:tc>
        <w:tc>
          <w:tcPr>
            <w:tcW w:w="2654" w:type="pct"/>
            <w:tcBorders>
              <w:bottom w:val="single" w:sz="8" w:space="0" w:color="00264D" w:themeColor="background2"/>
            </w:tcBorders>
            <w:shd w:val="clear" w:color="auto" w:fill="F2F2F2" w:themeFill="background1" w:themeFillShade="F2"/>
            <w:vAlign w:val="top"/>
          </w:tcPr>
          <w:p w14:paraId="56C556D8" w14:textId="1B3685BE" w:rsidR="00C15995" w:rsidRPr="00C43D26" w:rsidRDefault="00C15995" w:rsidP="00C15995">
            <w:pPr>
              <w:rPr>
                <w:rFonts w:asciiTheme="majorHAnsi" w:hAnsiTheme="majorHAnsi" w:cstheme="majorHAnsi"/>
                <w:sz w:val="17"/>
                <w:szCs w:val="17"/>
              </w:rPr>
            </w:pPr>
            <w:r>
              <w:rPr>
                <w:rFonts w:asciiTheme="majorHAnsi" w:hAnsiTheme="majorHAnsi" w:cstheme="majorHAnsi"/>
                <w:sz w:val="17"/>
                <w:szCs w:val="17"/>
              </w:rPr>
              <w:t>Codes of Practice</w:t>
            </w:r>
            <w:r w:rsidRPr="00452BDE">
              <w:rPr>
                <w:rFonts w:asciiTheme="majorHAnsi" w:hAnsiTheme="majorHAnsi" w:cstheme="majorHAnsi"/>
                <w:sz w:val="17"/>
                <w:szCs w:val="17"/>
              </w:rPr>
              <w:t xml:space="preserve"> and guidelines could be increasingly used to complement food standards.</w:t>
            </w:r>
          </w:p>
        </w:tc>
        <w:tc>
          <w:tcPr>
            <w:tcW w:w="721" w:type="pct"/>
            <w:tcBorders>
              <w:bottom w:val="single" w:sz="8" w:space="0" w:color="00264D" w:themeColor="background2"/>
              <w:right w:val="single" w:sz="8" w:space="0" w:color="E6E6E1" w:themeColor="accent5"/>
            </w:tcBorders>
            <w:vAlign w:val="top"/>
          </w:tcPr>
          <w:p w14:paraId="6BA19207" w14:textId="15B5866B" w:rsidR="00C15995" w:rsidRPr="00C43D26" w:rsidRDefault="00C15995" w:rsidP="00C15995">
            <w:pPr>
              <w:jc w:val="center"/>
              <w:rPr>
                <w:sz w:val="17"/>
                <w:szCs w:val="17"/>
              </w:rPr>
            </w:pPr>
            <w:r w:rsidRPr="00C43D26">
              <w:rPr>
                <w:sz w:val="17"/>
                <w:szCs w:val="17"/>
              </w:rPr>
              <w:t>O</w:t>
            </w:r>
          </w:p>
        </w:tc>
      </w:tr>
      <w:tr w:rsidR="00C15995" w14:paraId="4323F54E" w14:textId="77777777" w:rsidTr="009B3A21">
        <w:trPr>
          <w:trHeight w:val="141"/>
        </w:trPr>
        <w:tc>
          <w:tcPr>
            <w:tcW w:w="825" w:type="pct"/>
            <w:vMerge w:val="restart"/>
            <w:tcBorders>
              <w:top w:val="single" w:sz="8" w:space="0" w:color="00264D" w:themeColor="background2"/>
            </w:tcBorders>
            <w:vAlign w:val="top"/>
          </w:tcPr>
          <w:p w14:paraId="3DA8CF72" w14:textId="2B0CA586" w:rsidR="00C15995" w:rsidRPr="00C43D26" w:rsidRDefault="00C15995" w:rsidP="00C15995">
            <w:pPr>
              <w:rPr>
                <w:rFonts w:asciiTheme="majorHAnsi" w:hAnsiTheme="majorHAnsi" w:cstheme="majorHAnsi"/>
                <w:sz w:val="17"/>
                <w:szCs w:val="17"/>
                <w:lang w:eastAsia="en-AU"/>
              </w:rPr>
            </w:pPr>
            <w:r w:rsidRPr="00C43D26">
              <w:rPr>
                <w:rFonts w:asciiTheme="majorHAnsi" w:hAnsiTheme="majorHAnsi" w:cstheme="majorHAnsi"/>
                <w:sz w:val="17"/>
                <w:szCs w:val="17"/>
                <w:lang w:eastAsia="en-AU"/>
              </w:rPr>
              <w:t xml:space="preserve">Component 3 | </w:t>
            </w:r>
            <w:r w:rsidRPr="00C43D26">
              <w:rPr>
                <w:rFonts w:ascii="Segoe UI Semibold" w:hAnsi="Segoe UI Semibold" w:cs="Segoe UI Semibold"/>
                <w:sz w:val="17"/>
                <w:szCs w:val="17"/>
                <w:lang w:eastAsia="en-AU"/>
              </w:rPr>
              <w:t xml:space="preserve">Efficient and effective </w:t>
            </w:r>
            <w:r w:rsidR="00D15D87">
              <w:rPr>
                <w:rFonts w:ascii="Segoe UI Semibold" w:hAnsi="Segoe UI Semibold" w:cs="Segoe UI Semibold"/>
                <w:sz w:val="17"/>
                <w:szCs w:val="17"/>
                <w:lang w:eastAsia="en-AU"/>
              </w:rPr>
              <w:t>operations</w:t>
            </w:r>
          </w:p>
        </w:tc>
        <w:tc>
          <w:tcPr>
            <w:tcW w:w="800" w:type="pct"/>
            <w:vMerge/>
            <w:vAlign w:val="top"/>
          </w:tcPr>
          <w:p w14:paraId="102B2E2C" w14:textId="77777777" w:rsidR="00C15995" w:rsidRPr="00C43D26" w:rsidRDefault="00C15995" w:rsidP="00C15995">
            <w:pPr>
              <w:rPr>
                <w:sz w:val="17"/>
                <w:szCs w:val="17"/>
                <w:lang w:eastAsia="en-AU"/>
              </w:rPr>
            </w:pPr>
          </w:p>
        </w:tc>
        <w:tc>
          <w:tcPr>
            <w:tcW w:w="2654" w:type="pct"/>
            <w:tcBorders>
              <w:top w:val="single" w:sz="8" w:space="0" w:color="00264D" w:themeColor="background2"/>
              <w:bottom w:val="single" w:sz="4" w:space="0" w:color="D9D9D9" w:themeColor="background1" w:themeShade="D9"/>
            </w:tcBorders>
            <w:shd w:val="clear" w:color="auto" w:fill="F2F2F2" w:themeFill="background1" w:themeFillShade="F2"/>
            <w:vAlign w:val="top"/>
          </w:tcPr>
          <w:p w14:paraId="0518103A" w14:textId="77777777" w:rsidR="00C15995" w:rsidRPr="00C43D26" w:rsidRDefault="00C15995" w:rsidP="00C15995">
            <w:pPr>
              <w:rPr>
                <w:rFonts w:asciiTheme="majorHAnsi" w:hAnsiTheme="majorHAnsi" w:cstheme="majorHAnsi"/>
                <w:sz w:val="17"/>
                <w:szCs w:val="17"/>
              </w:rPr>
            </w:pPr>
            <w:r w:rsidRPr="00C43D26">
              <w:rPr>
                <w:rFonts w:asciiTheme="majorHAnsi" w:hAnsiTheme="majorHAnsi" w:cstheme="majorHAnsi"/>
                <w:sz w:val="17"/>
                <w:szCs w:val="17"/>
              </w:rPr>
              <w:t xml:space="preserve">Outstanding recommendations from the 2014 review of the FSANZ Board could be implemented. </w:t>
            </w:r>
          </w:p>
          <w:p w14:paraId="073344E2" w14:textId="77777777" w:rsidR="00C15995" w:rsidRPr="00452BDE" w:rsidRDefault="00C15995" w:rsidP="00C15995">
            <w:pPr>
              <w:pStyle w:val="ListParagraph"/>
              <w:numPr>
                <w:ilvl w:val="0"/>
                <w:numId w:val="42"/>
              </w:numPr>
              <w:suppressAutoHyphens/>
              <w:rPr>
                <w:rFonts w:eastAsia="Times New Roman" w:cs="Times New Roman"/>
                <w:sz w:val="17"/>
                <w:szCs w:val="17"/>
                <w:lang w:eastAsia="en-AU"/>
              </w:rPr>
            </w:pPr>
            <w:r w:rsidRPr="00452BDE">
              <w:rPr>
                <w:rFonts w:eastAsia="Times New Roman" w:cs="Times New Roman"/>
                <w:sz w:val="17"/>
                <w:szCs w:val="17"/>
                <w:lang w:eastAsia="en-AU"/>
              </w:rPr>
              <w:t>Compositional requirements of the FSANZ Board could be amended to address the need for flexibility to accommodate future work requirements.</w:t>
            </w:r>
          </w:p>
          <w:p w14:paraId="2DC07F1C" w14:textId="14C0AC26" w:rsidR="00C15995" w:rsidRPr="00C43D26" w:rsidRDefault="00C15995" w:rsidP="00C15995">
            <w:pPr>
              <w:pStyle w:val="Bullet"/>
              <w:rPr>
                <w:sz w:val="17"/>
                <w:szCs w:val="17"/>
              </w:rPr>
            </w:pPr>
            <w:r w:rsidRPr="00C43D26">
              <w:rPr>
                <w:sz w:val="17"/>
                <w:szCs w:val="17"/>
              </w:rPr>
              <w:t>The nomination process could be changed to be an open market process by advertising for upcoming vacancies externally, as well as seeking nominations from identified organisation.</w:t>
            </w:r>
          </w:p>
        </w:tc>
        <w:tc>
          <w:tcPr>
            <w:tcW w:w="721" w:type="pct"/>
            <w:tcBorders>
              <w:top w:val="single" w:sz="8" w:space="0" w:color="00264D" w:themeColor="background2"/>
              <w:bottom w:val="single" w:sz="4" w:space="0" w:color="D9D9D9" w:themeColor="background1" w:themeShade="D9"/>
              <w:right w:val="single" w:sz="8" w:space="0" w:color="E6E6E1" w:themeColor="accent5"/>
            </w:tcBorders>
            <w:vAlign w:val="top"/>
          </w:tcPr>
          <w:p w14:paraId="4CD9306F" w14:textId="77777777" w:rsidR="00C15995" w:rsidRPr="00C43D26" w:rsidRDefault="00C15995" w:rsidP="00C15995">
            <w:pPr>
              <w:jc w:val="center"/>
              <w:rPr>
                <w:sz w:val="17"/>
                <w:szCs w:val="17"/>
              </w:rPr>
            </w:pPr>
            <w:r w:rsidRPr="00C43D26">
              <w:rPr>
                <w:sz w:val="17"/>
                <w:szCs w:val="17"/>
              </w:rPr>
              <w:t>L</w:t>
            </w:r>
          </w:p>
        </w:tc>
      </w:tr>
      <w:tr w:rsidR="00C15995" w14:paraId="1654527A" w14:textId="77777777" w:rsidTr="009B3A21">
        <w:trPr>
          <w:trHeight w:val="495"/>
        </w:trPr>
        <w:tc>
          <w:tcPr>
            <w:tcW w:w="825" w:type="pct"/>
            <w:vMerge/>
            <w:vAlign w:val="top"/>
          </w:tcPr>
          <w:p w14:paraId="55868927" w14:textId="77777777" w:rsidR="00C15995" w:rsidRPr="00C43D26" w:rsidRDefault="00C15995" w:rsidP="00C15995">
            <w:pPr>
              <w:rPr>
                <w:rFonts w:asciiTheme="majorHAnsi" w:hAnsiTheme="majorHAnsi" w:cstheme="majorHAnsi"/>
                <w:sz w:val="17"/>
                <w:szCs w:val="17"/>
                <w:lang w:eastAsia="en-AU"/>
              </w:rPr>
            </w:pPr>
          </w:p>
        </w:tc>
        <w:tc>
          <w:tcPr>
            <w:tcW w:w="800" w:type="pct"/>
            <w:vMerge/>
            <w:vAlign w:val="top"/>
          </w:tcPr>
          <w:p w14:paraId="25487283" w14:textId="77777777" w:rsidR="00C15995" w:rsidRPr="00C43D26" w:rsidRDefault="00C15995" w:rsidP="00C15995">
            <w:pPr>
              <w:rPr>
                <w:sz w:val="17"/>
                <w:szCs w:val="17"/>
                <w:lang w:eastAsia="en-AU"/>
              </w:rPr>
            </w:pPr>
          </w:p>
        </w:tc>
        <w:tc>
          <w:tcPr>
            <w:tcW w:w="2654" w:type="pct"/>
            <w:tcBorders>
              <w:top w:val="single" w:sz="4" w:space="0" w:color="D9D9D9" w:themeColor="background1" w:themeShade="D9"/>
            </w:tcBorders>
            <w:shd w:val="clear" w:color="auto" w:fill="F2F2F2" w:themeFill="background1" w:themeFillShade="F2"/>
            <w:vAlign w:val="top"/>
          </w:tcPr>
          <w:p w14:paraId="675DE128" w14:textId="33173BC1" w:rsidR="00C15995" w:rsidRPr="00C43D26" w:rsidRDefault="00C15995" w:rsidP="00C15995">
            <w:pPr>
              <w:rPr>
                <w:rFonts w:asciiTheme="majorHAnsi" w:hAnsiTheme="majorHAnsi" w:cstheme="majorHAnsi"/>
                <w:sz w:val="17"/>
                <w:szCs w:val="17"/>
                <w:lang w:eastAsia="en-AU"/>
              </w:rPr>
            </w:pPr>
            <w:r w:rsidRPr="00C43D26">
              <w:rPr>
                <w:rFonts w:asciiTheme="majorHAnsi" w:hAnsiTheme="majorHAnsi" w:cstheme="majorHAnsi"/>
                <w:sz w:val="17"/>
                <w:szCs w:val="17"/>
              </w:rPr>
              <w:t xml:space="preserve">The expedited approvals pathway could be removed to address workload prioritisation. </w:t>
            </w:r>
          </w:p>
        </w:tc>
        <w:tc>
          <w:tcPr>
            <w:tcW w:w="721" w:type="pct"/>
            <w:tcBorders>
              <w:top w:val="single" w:sz="4" w:space="0" w:color="D9D9D9" w:themeColor="background1" w:themeShade="D9"/>
              <w:right w:val="single" w:sz="8" w:space="0" w:color="E6E6E1" w:themeColor="accent5"/>
            </w:tcBorders>
            <w:vAlign w:val="top"/>
          </w:tcPr>
          <w:p w14:paraId="1793A602" w14:textId="77777777" w:rsidR="00C15995" w:rsidRPr="00C43D26" w:rsidRDefault="00C15995" w:rsidP="00C15995">
            <w:pPr>
              <w:jc w:val="center"/>
              <w:rPr>
                <w:sz w:val="17"/>
                <w:szCs w:val="17"/>
              </w:rPr>
            </w:pPr>
            <w:r w:rsidRPr="00C43D26">
              <w:rPr>
                <w:sz w:val="17"/>
                <w:szCs w:val="17"/>
              </w:rPr>
              <w:t>L</w:t>
            </w:r>
          </w:p>
        </w:tc>
      </w:tr>
      <w:tr w:rsidR="00C15995" w14:paraId="0589A9B1" w14:textId="77777777" w:rsidTr="009B3A21">
        <w:trPr>
          <w:trHeight w:val="141"/>
        </w:trPr>
        <w:tc>
          <w:tcPr>
            <w:tcW w:w="825" w:type="pct"/>
            <w:vMerge/>
            <w:vAlign w:val="top"/>
          </w:tcPr>
          <w:p w14:paraId="3BECCB31" w14:textId="77777777" w:rsidR="00C15995" w:rsidRPr="00C43D26" w:rsidRDefault="00C15995" w:rsidP="00C15995">
            <w:pPr>
              <w:rPr>
                <w:rFonts w:asciiTheme="majorHAnsi" w:hAnsiTheme="majorHAnsi" w:cstheme="majorHAnsi"/>
                <w:sz w:val="17"/>
                <w:szCs w:val="17"/>
                <w:lang w:eastAsia="en-AU"/>
              </w:rPr>
            </w:pPr>
          </w:p>
        </w:tc>
        <w:tc>
          <w:tcPr>
            <w:tcW w:w="800" w:type="pct"/>
            <w:vMerge/>
            <w:vAlign w:val="top"/>
          </w:tcPr>
          <w:p w14:paraId="063BEB79" w14:textId="77777777" w:rsidR="00C15995" w:rsidRPr="00C43D26" w:rsidRDefault="00C15995" w:rsidP="00C15995">
            <w:pPr>
              <w:rPr>
                <w:sz w:val="17"/>
                <w:szCs w:val="17"/>
                <w:lang w:eastAsia="en-AU"/>
              </w:rPr>
            </w:pPr>
          </w:p>
        </w:tc>
        <w:tc>
          <w:tcPr>
            <w:tcW w:w="2654" w:type="pct"/>
            <w:tcBorders>
              <w:top w:val="single" w:sz="4" w:space="0" w:color="D9D9D9" w:themeColor="background1" w:themeShade="D9"/>
            </w:tcBorders>
            <w:shd w:val="clear" w:color="auto" w:fill="F2F2F2" w:themeFill="background1" w:themeFillShade="F2"/>
            <w:vAlign w:val="top"/>
          </w:tcPr>
          <w:p w14:paraId="46FF511D" w14:textId="77777777" w:rsidR="00C15995" w:rsidRPr="00452BDE" w:rsidRDefault="00C15995" w:rsidP="00C15995">
            <w:pPr>
              <w:rPr>
                <w:rFonts w:asciiTheme="majorHAnsi" w:hAnsiTheme="majorHAnsi" w:cstheme="majorHAnsi"/>
                <w:sz w:val="17"/>
                <w:szCs w:val="17"/>
              </w:rPr>
            </w:pPr>
            <w:r w:rsidRPr="00452BDE">
              <w:rPr>
                <w:rFonts w:asciiTheme="majorHAnsi" w:hAnsiTheme="majorHAnsi" w:cstheme="majorHAnsi"/>
                <w:sz w:val="17"/>
                <w:szCs w:val="17"/>
              </w:rPr>
              <w:t>To generate more sustainable revenue, cost recovery could be expanded for work that benefits industry.</w:t>
            </w:r>
          </w:p>
          <w:p w14:paraId="4BD7A4EB" w14:textId="77777777" w:rsidR="00C15995" w:rsidRPr="00452BDE" w:rsidRDefault="00C15995" w:rsidP="00C15995">
            <w:pPr>
              <w:pStyle w:val="ListParagraph"/>
              <w:numPr>
                <w:ilvl w:val="0"/>
                <w:numId w:val="43"/>
              </w:numPr>
              <w:suppressAutoHyphens/>
              <w:rPr>
                <w:rFonts w:eastAsia="Times New Roman" w:cs="Times New Roman"/>
                <w:sz w:val="17"/>
                <w:szCs w:val="17"/>
                <w:lang w:eastAsia="en-AU"/>
              </w:rPr>
            </w:pPr>
            <w:r w:rsidRPr="00452BDE">
              <w:rPr>
                <w:rFonts w:eastAsia="Times New Roman" w:cs="Times New Roman"/>
                <w:sz w:val="17"/>
                <w:szCs w:val="17"/>
                <w:lang w:eastAsia="en-AU"/>
              </w:rPr>
              <w:t>An industry-wide levy could be introduced.</w:t>
            </w:r>
          </w:p>
          <w:p w14:paraId="2ADEADFA" w14:textId="77777777" w:rsidR="00C15995" w:rsidRPr="00452BDE" w:rsidRDefault="00C15995" w:rsidP="00C15995">
            <w:pPr>
              <w:pStyle w:val="ListParagraph"/>
              <w:numPr>
                <w:ilvl w:val="0"/>
                <w:numId w:val="43"/>
              </w:numPr>
              <w:suppressAutoHyphens/>
              <w:rPr>
                <w:rFonts w:eastAsia="Times New Roman" w:cs="Times New Roman"/>
                <w:sz w:val="17"/>
                <w:szCs w:val="17"/>
                <w:lang w:eastAsia="en-AU"/>
              </w:rPr>
            </w:pPr>
            <w:r w:rsidRPr="00452BDE">
              <w:rPr>
                <w:rFonts w:eastAsia="Times New Roman" w:cs="Times New Roman"/>
                <w:sz w:val="17"/>
                <w:szCs w:val="17"/>
                <w:lang w:eastAsia="en-AU"/>
              </w:rPr>
              <w:t>Compulsory fees could be implemented for all applications.</w:t>
            </w:r>
          </w:p>
          <w:p w14:paraId="523BB421" w14:textId="4CE48C75" w:rsidR="00C15995" w:rsidRPr="00C43D26" w:rsidRDefault="00C15995" w:rsidP="00C15995">
            <w:pPr>
              <w:pStyle w:val="Bullet"/>
              <w:rPr>
                <w:sz w:val="17"/>
                <w:szCs w:val="17"/>
              </w:rPr>
            </w:pPr>
            <w:r w:rsidRPr="00C43D26">
              <w:rPr>
                <w:sz w:val="17"/>
                <w:szCs w:val="17"/>
              </w:rPr>
              <w:t>FSANZ could carry out other entrepreneurial activities.</w:t>
            </w:r>
          </w:p>
        </w:tc>
        <w:tc>
          <w:tcPr>
            <w:tcW w:w="721" w:type="pct"/>
            <w:tcBorders>
              <w:top w:val="single" w:sz="4" w:space="0" w:color="D9D9D9" w:themeColor="background1" w:themeShade="D9"/>
              <w:right w:val="single" w:sz="8" w:space="0" w:color="E6E6E1" w:themeColor="accent5"/>
            </w:tcBorders>
            <w:vAlign w:val="top"/>
          </w:tcPr>
          <w:p w14:paraId="577A2FD4" w14:textId="7F15B1B5" w:rsidR="00C15995" w:rsidRPr="00C43D26" w:rsidRDefault="00C15995" w:rsidP="00C15995">
            <w:pPr>
              <w:jc w:val="center"/>
              <w:rPr>
                <w:sz w:val="17"/>
                <w:szCs w:val="17"/>
              </w:rPr>
            </w:pPr>
            <w:r w:rsidRPr="00C43D26">
              <w:rPr>
                <w:sz w:val="17"/>
                <w:szCs w:val="17"/>
              </w:rPr>
              <w:t>L/O</w:t>
            </w:r>
          </w:p>
        </w:tc>
      </w:tr>
      <w:tr w:rsidR="00C15995" w14:paraId="337E8C89" w14:textId="77777777" w:rsidTr="009B3A21">
        <w:trPr>
          <w:trHeight w:val="141"/>
        </w:trPr>
        <w:tc>
          <w:tcPr>
            <w:tcW w:w="825" w:type="pct"/>
            <w:vMerge/>
            <w:vAlign w:val="top"/>
          </w:tcPr>
          <w:p w14:paraId="0D3F9E55" w14:textId="77777777" w:rsidR="00C15995" w:rsidRPr="00C43D26" w:rsidRDefault="00C15995" w:rsidP="00C15995">
            <w:pPr>
              <w:rPr>
                <w:rFonts w:asciiTheme="majorHAnsi" w:hAnsiTheme="majorHAnsi" w:cstheme="majorHAnsi"/>
                <w:sz w:val="17"/>
                <w:szCs w:val="17"/>
                <w:lang w:eastAsia="en-AU"/>
              </w:rPr>
            </w:pPr>
          </w:p>
        </w:tc>
        <w:tc>
          <w:tcPr>
            <w:tcW w:w="800" w:type="pct"/>
            <w:vMerge/>
            <w:vAlign w:val="top"/>
          </w:tcPr>
          <w:p w14:paraId="5CA9CABD" w14:textId="77777777" w:rsidR="00C15995" w:rsidRPr="00C43D26" w:rsidRDefault="00C15995" w:rsidP="00C15995">
            <w:pPr>
              <w:rPr>
                <w:sz w:val="17"/>
                <w:szCs w:val="17"/>
                <w:lang w:eastAsia="en-AU"/>
              </w:rPr>
            </w:pPr>
          </w:p>
        </w:tc>
        <w:tc>
          <w:tcPr>
            <w:tcW w:w="2654" w:type="pct"/>
            <w:shd w:val="clear" w:color="auto" w:fill="F2F2F2" w:themeFill="background1" w:themeFillShade="F2"/>
            <w:vAlign w:val="top"/>
          </w:tcPr>
          <w:p w14:paraId="654EFDB4" w14:textId="77777777" w:rsidR="00C15995" w:rsidRPr="00C43D26" w:rsidRDefault="00C15995" w:rsidP="00C15995">
            <w:pPr>
              <w:rPr>
                <w:rFonts w:asciiTheme="majorHAnsi" w:hAnsiTheme="majorHAnsi" w:cstheme="majorHAnsi"/>
                <w:sz w:val="17"/>
                <w:szCs w:val="17"/>
              </w:rPr>
            </w:pPr>
            <w:r w:rsidRPr="00C43D26">
              <w:rPr>
                <w:rFonts w:asciiTheme="majorHAnsi" w:hAnsiTheme="majorHAnsi" w:cstheme="majorHAnsi"/>
                <w:sz w:val="17"/>
                <w:szCs w:val="17"/>
              </w:rPr>
              <w:t>Some services could also be cost recovered from government agencies.</w:t>
            </w:r>
          </w:p>
          <w:p w14:paraId="2267C047" w14:textId="77777777" w:rsidR="00C15995" w:rsidRPr="00452BDE" w:rsidRDefault="00C15995" w:rsidP="00C15995">
            <w:pPr>
              <w:pStyle w:val="ListParagraph"/>
              <w:numPr>
                <w:ilvl w:val="0"/>
                <w:numId w:val="44"/>
              </w:numPr>
              <w:suppressAutoHyphens/>
              <w:rPr>
                <w:rFonts w:eastAsia="Times New Roman" w:cs="Times New Roman"/>
                <w:sz w:val="17"/>
                <w:szCs w:val="17"/>
                <w:lang w:eastAsia="en-AU"/>
              </w:rPr>
            </w:pPr>
            <w:r w:rsidRPr="00452BDE">
              <w:rPr>
                <w:rFonts w:eastAsia="Times New Roman" w:cs="Times New Roman"/>
                <w:sz w:val="17"/>
                <w:szCs w:val="17"/>
                <w:lang w:eastAsia="en-AU"/>
              </w:rPr>
              <w:t>A food recall coordination levy could be imposed (</w:t>
            </w:r>
            <w:r w:rsidRPr="00452BDE">
              <w:rPr>
                <w:rFonts w:eastAsia="Times New Roman" w:cs="Times New Roman"/>
                <w:i/>
                <w:sz w:val="17"/>
                <w:szCs w:val="17"/>
                <w:lang w:eastAsia="en-AU"/>
              </w:rPr>
              <w:t>Australia only</w:t>
            </w:r>
            <w:r w:rsidRPr="00452BDE">
              <w:rPr>
                <w:rFonts w:eastAsia="Times New Roman" w:cs="Times New Roman"/>
                <w:sz w:val="17"/>
                <w:szCs w:val="17"/>
                <w:lang w:eastAsia="en-AU"/>
              </w:rPr>
              <w:t>).</w:t>
            </w:r>
          </w:p>
          <w:p w14:paraId="46C1F419" w14:textId="122D371C" w:rsidR="00C15995" w:rsidRPr="00C43D26" w:rsidRDefault="00C15995" w:rsidP="00C15995">
            <w:pPr>
              <w:pStyle w:val="Bullet"/>
              <w:rPr>
                <w:sz w:val="17"/>
                <w:szCs w:val="17"/>
              </w:rPr>
            </w:pPr>
            <w:r w:rsidRPr="00C43D26">
              <w:rPr>
                <w:sz w:val="17"/>
                <w:szCs w:val="17"/>
              </w:rPr>
              <w:t>Jurisdictions could be charged a fee to add additional proposal work to FSANZ’</w:t>
            </w:r>
            <w:r w:rsidR="007F6E33">
              <w:rPr>
                <w:sz w:val="17"/>
                <w:szCs w:val="17"/>
              </w:rPr>
              <w:t>s</w:t>
            </w:r>
            <w:r w:rsidRPr="00C43D26">
              <w:rPr>
                <w:sz w:val="17"/>
                <w:szCs w:val="17"/>
              </w:rPr>
              <w:t xml:space="preserve"> workplan.</w:t>
            </w:r>
          </w:p>
        </w:tc>
        <w:tc>
          <w:tcPr>
            <w:tcW w:w="721" w:type="pct"/>
            <w:tcBorders>
              <w:right w:val="single" w:sz="8" w:space="0" w:color="E6E6E1" w:themeColor="accent5"/>
            </w:tcBorders>
            <w:vAlign w:val="top"/>
          </w:tcPr>
          <w:p w14:paraId="19BE458A" w14:textId="77777777" w:rsidR="00C15995" w:rsidRPr="00C43D26" w:rsidRDefault="00C15995" w:rsidP="00C15995">
            <w:pPr>
              <w:jc w:val="center"/>
              <w:rPr>
                <w:sz w:val="17"/>
                <w:szCs w:val="17"/>
              </w:rPr>
            </w:pPr>
            <w:r w:rsidRPr="00C43D26">
              <w:rPr>
                <w:sz w:val="17"/>
                <w:szCs w:val="17"/>
              </w:rPr>
              <w:t>L</w:t>
            </w:r>
          </w:p>
        </w:tc>
      </w:tr>
      <w:tr w:rsidR="00C15995" w14:paraId="41D50D0E" w14:textId="77777777" w:rsidTr="009B3A21">
        <w:trPr>
          <w:trHeight w:val="39"/>
        </w:trPr>
        <w:tc>
          <w:tcPr>
            <w:tcW w:w="825" w:type="pct"/>
            <w:vMerge w:val="restart"/>
            <w:tcBorders>
              <w:top w:val="single" w:sz="8" w:space="0" w:color="00264D" w:themeColor="background2"/>
            </w:tcBorders>
            <w:vAlign w:val="top"/>
          </w:tcPr>
          <w:p w14:paraId="18E22F9A" w14:textId="634B0557" w:rsidR="00C15995" w:rsidRPr="00C43D26" w:rsidRDefault="00C15995" w:rsidP="00C15995">
            <w:pPr>
              <w:rPr>
                <w:rFonts w:asciiTheme="majorHAnsi" w:hAnsiTheme="majorHAnsi" w:cstheme="majorHAnsi"/>
                <w:sz w:val="17"/>
                <w:szCs w:val="17"/>
                <w:lang w:eastAsia="en-AU"/>
              </w:rPr>
            </w:pPr>
            <w:r>
              <w:rPr>
                <w:rFonts w:asciiTheme="majorHAnsi" w:hAnsiTheme="majorHAnsi" w:cstheme="majorHAnsi"/>
                <w:sz w:val="17"/>
                <w:szCs w:val="17"/>
                <w:lang w:eastAsia="en-AU"/>
              </w:rPr>
              <w:t>Co</w:t>
            </w:r>
            <w:r w:rsidRPr="00C43D26">
              <w:rPr>
                <w:rFonts w:asciiTheme="majorHAnsi" w:hAnsiTheme="majorHAnsi" w:cstheme="majorHAnsi"/>
                <w:sz w:val="17"/>
                <w:szCs w:val="17"/>
                <w:lang w:eastAsia="en-AU"/>
              </w:rPr>
              <w:t xml:space="preserve">mponent 4 | </w:t>
            </w:r>
            <w:r w:rsidRPr="007123A4">
              <w:rPr>
                <w:rFonts w:ascii="Segoe UI Semibold" w:hAnsi="Segoe UI Semibold" w:cs="Segoe UI Semibold"/>
                <w:sz w:val="17"/>
                <w:szCs w:val="17"/>
                <w:lang w:eastAsia="en-AU"/>
              </w:rPr>
              <w:t>Improving system agility</w:t>
            </w:r>
          </w:p>
        </w:tc>
        <w:tc>
          <w:tcPr>
            <w:tcW w:w="800" w:type="pct"/>
            <w:vMerge/>
            <w:vAlign w:val="top"/>
          </w:tcPr>
          <w:p w14:paraId="3848D387" w14:textId="77777777" w:rsidR="00C15995" w:rsidRPr="00C43D26" w:rsidRDefault="00C15995" w:rsidP="00C15995">
            <w:pPr>
              <w:rPr>
                <w:sz w:val="17"/>
                <w:szCs w:val="17"/>
                <w:lang w:eastAsia="en-AU"/>
              </w:rPr>
            </w:pPr>
          </w:p>
        </w:tc>
        <w:tc>
          <w:tcPr>
            <w:tcW w:w="2654" w:type="pct"/>
            <w:tcBorders>
              <w:top w:val="single" w:sz="8" w:space="0" w:color="00264D" w:themeColor="background2"/>
            </w:tcBorders>
            <w:shd w:val="clear" w:color="auto" w:fill="F2F2F2" w:themeFill="background1" w:themeFillShade="F2"/>
            <w:vAlign w:val="top"/>
          </w:tcPr>
          <w:p w14:paraId="5CE7BECE" w14:textId="6A9A3D34" w:rsidR="00C15995" w:rsidRPr="00C43D26" w:rsidRDefault="00C15995" w:rsidP="00C15995">
            <w:pPr>
              <w:rPr>
                <w:rFonts w:asciiTheme="majorHAnsi" w:hAnsiTheme="majorHAnsi" w:cstheme="majorHAnsi"/>
                <w:sz w:val="17"/>
                <w:szCs w:val="17"/>
              </w:rPr>
            </w:pPr>
            <w:r w:rsidRPr="00C43D26">
              <w:rPr>
                <w:rFonts w:asciiTheme="majorHAnsi" w:hAnsiTheme="majorHAnsi" w:cstheme="majorHAnsi"/>
                <w:sz w:val="17"/>
                <w:szCs w:val="17"/>
              </w:rPr>
              <w:t>Mechanisms to enable FSANZ and FMM to undertake periodic joint agenda-setting could be implemented.</w:t>
            </w:r>
          </w:p>
        </w:tc>
        <w:tc>
          <w:tcPr>
            <w:tcW w:w="721" w:type="pct"/>
            <w:tcBorders>
              <w:top w:val="single" w:sz="8" w:space="0" w:color="00264D" w:themeColor="background2"/>
              <w:right w:val="single" w:sz="8" w:space="0" w:color="E6E6E1" w:themeColor="accent5"/>
            </w:tcBorders>
            <w:vAlign w:val="top"/>
          </w:tcPr>
          <w:p w14:paraId="418FB9BB" w14:textId="77777777" w:rsidR="00C15995" w:rsidRPr="00C43D26" w:rsidRDefault="00C15995" w:rsidP="00C15995">
            <w:pPr>
              <w:jc w:val="center"/>
              <w:rPr>
                <w:sz w:val="17"/>
                <w:szCs w:val="17"/>
              </w:rPr>
            </w:pPr>
            <w:r w:rsidRPr="00C43D26">
              <w:rPr>
                <w:sz w:val="17"/>
                <w:szCs w:val="17"/>
              </w:rPr>
              <w:t>O</w:t>
            </w:r>
          </w:p>
        </w:tc>
      </w:tr>
      <w:tr w:rsidR="00C15995" w14:paraId="0E50ACF3" w14:textId="77777777" w:rsidTr="009B3A21">
        <w:trPr>
          <w:trHeight w:val="141"/>
        </w:trPr>
        <w:tc>
          <w:tcPr>
            <w:tcW w:w="825" w:type="pct"/>
            <w:vMerge/>
            <w:vAlign w:val="top"/>
          </w:tcPr>
          <w:p w14:paraId="2562AEED" w14:textId="77777777" w:rsidR="00C15995" w:rsidRPr="00C43D26" w:rsidRDefault="00C15995" w:rsidP="00C15995">
            <w:pPr>
              <w:rPr>
                <w:rFonts w:asciiTheme="majorHAnsi" w:hAnsiTheme="majorHAnsi" w:cstheme="majorHAnsi"/>
                <w:sz w:val="17"/>
                <w:szCs w:val="17"/>
                <w:lang w:eastAsia="en-AU"/>
              </w:rPr>
            </w:pPr>
          </w:p>
        </w:tc>
        <w:tc>
          <w:tcPr>
            <w:tcW w:w="800" w:type="pct"/>
            <w:vMerge/>
            <w:vAlign w:val="top"/>
          </w:tcPr>
          <w:p w14:paraId="55DD6F98" w14:textId="77777777" w:rsidR="00C15995" w:rsidRPr="00C43D26" w:rsidRDefault="00C15995" w:rsidP="00C15995">
            <w:pPr>
              <w:rPr>
                <w:sz w:val="17"/>
                <w:szCs w:val="17"/>
                <w:lang w:eastAsia="en-AU"/>
              </w:rPr>
            </w:pPr>
          </w:p>
        </w:tc>
        <w:tc>
          <w:tcPr>
            <w:tcW w:w="2654" w:type="pct"/>
            <w:shd w:val="clear" w:color="auto" w:fill="F2F2F2" w:themeFill="background1" w:themeFillShade="F2"/>
            <w:vAlign w:val="top"/>
          </w:tcPr>
          <w:p w14:paraId="2B0F0E96" w14:textId="7346767F" w:rsidR="00C15995" w:rsidRPr="00C43D26" w:rsidRDefault="00C15995" w:rsidP="00C15995">
            <w:pPr>
              <w:rPr>
                <w:rFonts w:asciiTheme="majorHAnsi" w:hAnsiTheme="majorHAnsi" w:cstheme="majorHAnsi"/>
                <w:sz w:val="17"/>
                <w:szCs w:val="17"/>
              </w:rPr>
            </w:pPr>
            <w:r w:rsidRPr="00C43D26">
              <w:rPr>
                <w:rFonts w:asciiTheme="majorHAnsi" w:hAnsiTheme="majorHAnsi" w:cstheme="majorHAnsi"/>
                <w:sz w:val="17"/>
                <w:szCs w:val="17"/>
              </w:rPr>
              <w:t>FSANZ could engage earlier and more systematically with the Food Regulation Standing Committee (FRSC) and jurisdictions in the development of food standards.</w:t>
            </w:r>
          </w:p>
        </w:tc>
        <w:tc>
          <w:tcPr>
            <w:tcW w:w="721" w:type="pct"/>
            <w:tcBorders>
              <w:right w:val="single" w:sz="8" w:space="0" w:color="E6E6E1" w:themeColor="accent5"/>
            </w:tcBorders>
            <w:vAlign w:val="top"/>
          </w:tcPr>
          <w:p w14:paraId="7BAF4756" w14:textId="77777777" w:rsidR="00C15995" w:rsidRPr="00C43D26" w:rsidRDefault="00C15995" w:rsidP="00C15995">
            <w:pPr>
              <w:jc w:val="center"/>
              <w:rPr>
                <w:sz w:val="17"/>
                <w:szCs w:val="17"/>
              </w:rPr>
            </w:pPr>
            <w:r w:rsidRPr="00C43D26">
              <w:rPr>
                <w:sz w:val="17"/>
                <w:szCs w:val="17"/>
              </w:rPr>
              <w:t>O</w:t>
            </w:r>
          </w:p>
        </w:tc>
      </w:tr>
      <w:tr w:rsidR="00C15995" w14:paraId="4048C9C9" w14:textId="77777777" w:rsidTr="009B3A21">
        <w:trPr>
          <w:trHeight w:val="141"/>
        </w:trPr>
        <w:tc>
          <w:tcPr>
            <w:tcW w:w="825" w:type="pct"/>
            <w:vMerge/>
            <w:vAlign w:val="top"/>
          </w:tcPr>
          <w:p w14:paraId="48079FBF" w14:textId="77777777" w:rsidR="00C15995" w:rsidRPr="00C43D26" w:rsidRDefault="00C15995" w:rsidP="00C15995">
            <w:pPr>
              <w:rPr>
                <w:rFonts w:asciiTheme="majorHAnsi" w:hAnsiTheme="majorHAnsi" w:cstheme="majorHAnsi"/>
                <w:sz w:val="17"/>
                <w:szCs w:val="17"/>
                <w:lang w:eastAsia="en-AU"/>
              </w:rPr>
            </w:pPr>
          </w:p>
        </w:tc>
        <w:tc>
          <w:tcPr>
            <w:tcW w:w="800" w:type="pct"/>
            <w:vMerge/>
            <w:vAlign w:val="top"/>
          </w:tcPr>
          <w:p w14:paraId="67884870" w14:textId="77777777" w:rsidR="00C15995" w:rsidRPr="00C43D26" w:rsidRDefault="00C15995" w:rsidP="00C15995">
            <w:pPr>
              <w:rPr>
                <w:sz w:val="17"/>
                <w:szCs w:val="17"/>
                <w:lang w:eastAsia="en-AU"/>
              </w:rPr>
            </w:pPr>
          </w:p>
        </w:tc>
        <w:tc>
          <w:tcPr>
            <w:tcW w:w="2654" w:type="pct"/>
            <w:shd w:val="clear" w:color="auto" w:fill="F2F2F2" w:themeFill="background1" w:themeFillShade="F2"/>
            <w:vAlign w:val="top"/>
          </w:tcPr>
          <w:p w14:paraId="724FD9A9" w14:textId="2804EF0B" w:rsidR="00C15995" w:rsidRPr="00C43D26" w:rsidRDefault="00C15995" w:rsidP="00C15995">
            <w:pPr>
              <w:rPr>
                <w:rFonts w:asciiTheme="majorHAnsi" w:hAnsiTheme="majorHAnsi" w:cstheme="majorHAnsi"/>
                <w:sz w:val="17"/>
                <w:szCs w:val="17"/>
              </w:rPr>
            </w:pPr>
            <w:r w:rsidRPr="00C43D26">
              <w:rPr>
                <w:rFonts w:asciiTheme="majorHAnsi" w:hAnsiTheme="majorHAnsi" w:cstheme="majorHAnsi"/>
                <w:sz w:val="17"/>
                <w:szCs w:val="17"/>
              </w:rPr>
              <w:t>FSANZ could take guardianship over key food safety databases (</w:t>
            </w:r>
            <w:r w:rsidRPr="00C43D26">
              <w:rPr>
                <w:rFonts w:asciiTheme="majorHAnsi" w:hAnsiTheme="majorHAnsi" w:cstheme="majorHAnsi"/>
                <w:i/>
                <w:iCs/>
                <w:sz w:val="17"/>
                <w:szCs w:val="17"/>
              </w:rPr>
              <w:t>Australia only</w:t>
            </w:r>
            <w:r w:rsidRPr="00C43D26">
              <w:rPr>
                <w:rFonts w:asciiTheme="majorHAnsi" w:hAnsiTheme="majorHAnsi" w:cstheme="majorHAnsi"/>
                <w:sz w:val="17"/>
                <w:szCs w:val="17"/>
              </w:rPr>
              <w:t>)</w:t>
            </w:r>
            <w:r>
              <w:rPr>
                <w:rFonts w:asciiTheme="majorHAnsi" w:hAnsiTheme="majorHAnsi" w:cstheme="majorHAnsi"/>
                <w:sz w:val="17"/>
                <w:szCs w:val="17"/>
              </w:rPr>
              <w:t>.</w:t>
            </w:r>
          </w:p>
        </w:tc>
        <w:tc>
          <w:tcPr>
            <w:tcW w:w="721" w:type="pct"/>
            <w:tcBorders>
              <w:right w:val="single" w:sz="8" w:space="0" w:color="E6E6E1" w:themeColor="accent5"/>
            </w:tcBorders>
            <w:vAlign w:val="top"/>
          </w:tcPr>
          <w:p w14:paraId="7C5E1496" w14:textId="77777777" w:rsidR="00C15995" w:rsidRPr="00C43D26" w:rsidRDefault="00C15995" w:rsidP="00C15995">
            <w:pPr>
              <w:jc w:val="center"/>
              <w:rPr>
                <w:sz w:val="17"/>
                <w:szCs w:val="17"/>
              </w:rPr>
            </w:pPr>
            <w:r w:rsidRPr="00C43D26">
              <w:rPr>
                <w:sz w:val="17"/>
                <w:szCs w:val="17"/>
              </w:rPr>
              <w:t>O</w:t>
            </w:r>
          </w:p>
        </w:tc>
      </w:tr>
      <w:tr w:rsidR="00C15995" w14:paraId="7D7ABD50" w14:textId="77777777" w:rsidTr="009B3A21">
        <w:trPr>
          <w:trHeight w:val="141"/>
        </w:trPr>
        <w:tc>
          <w:tcPr>
            <w:tcW w:w="825" w:type="pct"/>
            <w:vMerge/>
            <w:vAlign w:val="top"/>
          </w:tcPr>
          <w:p w14:paraId="4371F145" w14:textId="77777777" w:rsidR="00C15995" w:rsidRPr="00C43D26" w:rsidRDefault="00C15995" w:rsidP="00C15995">
            <w:pPr>
              <w:rPr>
                <w:rFonts w:asciiTheme="majorHAnsi" w:hAnsiTheme="majorHAnsi" w:cstheme="majorHAnsi"/>
                <w:sz w:val="17"/>
                <w:szCs w:val="17"/>
                <w:lang w:eastAsia="en-AU"/>
              </w:rPr>
            </w:pPr>
          </w:p>
        </w:tc>
        <w:tc>
          <w:tcPr>
            <w:tcW w:w="800" w:type="pct"/>
            <w:vMerge/>
            <w:vAlign w:val="top"/>
          </w:tcPr>
          <w:p w14:paraId="0541C853" w14:textId="77777777" w:rsidR="00C15995" w:rsidRPr="00C43D26" w:rsidRDefault="00C15995" w:rsidP="00C15995">
            <w:pPr>
              <w:rPr>
                <w:sz w:val="17"/>
                <w:szCs w:val="17"/>
                <w:lang w:eastAsia="en-AU"/>
              </w:rPr>
            </w:pPr>
          </w:p>
        </w:tc>
        <w:tc>
          <w:tcPr>
            <w:tcW w:w="2654" w:type="pct"/>
            <w:shd w:val="clear" w:color="auto" w:fill="F2F2F2" w:themeFill="background1" w:themeFillShade="F2"/>
            <w:vAlign w:val="top"/>
          </w:tcPr>
          <w:p w14:paraId="47AECCFA" w14:textId="11A6C25A" w:rsidR="00C15995" w:rsidRPr="00C43D26" w:rsidRDefault="00C15995" w:rsidP="00C15995">
            <w:pPr>
              <w:rPr>
                <w:rFonts w:asciiTheme="majorHAnsi" w:hAnsiTheme="majorHAnsi" w:cstheme="majorHAnsi"/>
                <w:sz w:val="17"/>
                <w:szCs w:val="17"/>
              </w:rPr>
            </w:pPr>
            <w:r w:rsidRPr="00C43D26">
              <w:rPr>
                <w:rFonts w:asciiTheme="majorHAnsi" w:hAnsiTheme="majorHAnsi" w:cstheme="majorHAnsi"/>
                <w:sz w:val="17"/>
                <w:szCs w:val="17"/>
              </w:rPr>
              <w:t>Further work could be done to establish information sharing arrangements with international partners.</w:t>
            </w:r>
          </w:p>
        </w:tc>
        <w:tc>
          <w:tcPr>
            <w:tcW w:w="721" w:type="pct"/>
            <w:tcBorders>
              <w:right w:val="single" w:sz="8" w:space="0" w:color="E6E6E1" w:themeColor="accent5"/>
            </w:tcBorders>
            <w:vAlign w:val="top"/>
          </w:tcPr>
          <w:p w14:paraId="17FA6ED6" w14:textId="77777777" w:rsidR="00C15995" w:rsidRPr="00C43D26" w:rsidRDefault="00C15995" w:rsidP="00C15995">
            <w:pPr>
              <w:jc w:val="center"/>
              <w:rPr>
                <w:sz w:val="17"/>
                <w:szCs w:val="17"/>
              </w:rPr>
            </w:pPr>
            <w:r w:rsidRPr="00C43D26">
              <w:rPr>
                <w:sz w:val="17"/>
                <w:szCs w:val="17"/>
              </w:rPr>
              <w:t>O</w:t>
            </w:r>
          </w:p>
        </w:tc>
      </w:tr>
      <w:tr w:rsidR="00C15995" w14:paraId="135059B6" w14:textId="77777777" w:rsidTr="009B3A21">
        <w:trPr>
          <w:trHeight w:val="141"/>
        </w:trPr>
        <w:tc>
          <w:tcPr>
            <w:tcW w:w="825" w:type="pct"/>
            <w:vMerge/>
            <w:vAlign w:val="top"/>
          </w:tcPr>
          <w:p w14:paraId="68BDA164" w14:textId="77777777" w:rsidR="00C15995" w:rsidRPr="00C43D26" w:rsidRDefault="00C15995" w:rsidP="00C15995">
            <w:pPr>
              <w:rPr>
                <w:rFonts w:asciiTheme="majorHAnsi" w:hAnsiTheme="majorHAnsi" w:cstheme="majorHAnsi"/>
                <w:sz w:val="17"/>
                <w:szCs w:val="17"/>
                <w:lang w:eastAsia="en-AU"/>
              </w:rPr>
            </w:pPr>
          </w:p>
        </w:tc>
        <w:tc>
          <w:tcPr>
            <w:tcW w:w="800" w:type="pct"/>
            <w:vMerge/>
            <w:vAlign w:val="top"/>
          </w:tcPr>
          <w:p w14:paraId="4DE578EE" w14:textId="77777777" w:rsidR="00C15995" w:rsidRPr="00C43D26" w:rsidRDefault="00C15995" w:rsidP="00C15995">
            <w:pPr>
              <w:rPr>
                <w:sz w:val="17"/>
                <w:szCs w:val="17"/>
                <w:lang w:eastAsia="en-AU"/>
              </w:rPr>
            </w:pPr>
          </w:p>
        </w:tc>
        <w:tc>
          <w:tcPr>
            <w:tcW w:w="2654" w:type="pct"/>
            <w:shd w:val="clear" w:color="auto" w:fill="F2F2F2" w:themeFill="background1" w:themeFillShade="F2"/>
            <w:vAlign w:val="top"/>
          </w:tcPr>
          <w:p w14:paraId="775D291C" w14:textId="199C7696" w:rsidR="00C15995" w:rsidRPr="00C43D26" w:rsidRDefault="00C15995" w:rsidP="00C15995">
            <w:pPr>
              <w:rPr>
                <w:rFonts w:asciiTheme="majorHAnsi" w:hAnsiTheme="majorHAnsi" w:cstheme="majorHAnsi"/>
                <w:sz w:val="17"/>
                <w:szCs w:val="17"/>
              </w:rPr>
            </w:pPr>
            <w:r w:rsidRPr="00C43D26" w:rsidDel="008117F8">
              <w:rPr>
                <w:rFonts w:asciiTheme="majorHAnsi" w:hAnsiTheme="majorHAnsi" w:cstheme="majorHAnsi"/>
                <w:sz w:val="17"/>
                <w:szCs w:val="17"/>
              </w:rPr>
              <w:t xml:space="preserve">Statements of </w:t>
            </w:r>
            <w:r>
              <w:rPr>
                <w:rFonts w:asciiTheme="majorHAnsi" w:hAnsiTheme="majorHAnsi" w:cstheme="majorHAnsi"/>
                <w:sz w:val="17"/>
                <w:szCs w:val="17"/>
              </w:rPr>
              <w:t>Intent</w:t>
            </w:r>
            <w:r w:rsidRPr="00C43D26">
              <w:rPr>
                <w:rFonts w:asciiTheme="majorHAnsi" w:hAnsiTheme="majorHAnsi" w:cstheme="majorHAnsi"/>
                <w:sz w:val="17"/>
                <w:szCs w:val="17"/>
              </w:rPr>
              <w:t xml:space="preserve"> could be introduced into the Food </w:t>
            </w:r>
            <w:r>
              <w:rPr>
                <w:rFonts w:asciiTheme="majorHAnsi" w:hAnsiTheme="majorHAnsi" w:cstheme="majorHAnsi"/>
                <w:sz w:val="17"/>
                <w:szCs w:val="17"/>
              </w:rPr>
              <w:t xml:space="preserve">Standards </w:t>
            </w:r>
            <w:r w:rsidRPr="00C43D26">
              <w:rPr>
                <w:rFonts w:asciiTheme="majorHAnsi" w:hAnsiTheme="majorHAnsi" w:cstheme="majorHAnsi"/>
                <w:sz w:val="17"/>
                <w:szCs w:val="17"/>
              </w:rPr>
              <w:t>Code to assist with interpretation and enforcement.</w:t>
            </w:r>
          </w:p>
        </w:tc>
        <w:tc>
          <w:tcPr>
            <w:tcW w:w="721" w:type="pct"/>
            <w:tcBorders>
              <w:right w:val="single" w:sz="8" w:space="0" w:color="E6E6E1" w:themeColor="accent5"/>
            </w:tcBorders>
            <w:vAlign w:val="top"/>
          </w:tcPr>
          <w:p w14:paraId="4BFF1188" w14:textId="77777777" w:rsidR="00C15995" w:rsidRPr="00C43D26" w:rsidRDefault="00C15995" w:rsidP="00C15995">
            <w:pPr>
              <w:jc w:val="center"/>
              <w:rPr>
                <w:sz w:val="17"/>
                <w:szCs w:val="17"/>
              </w:rPr>
            </w:pPr>
            <w:r w:rsidRPr="00C43D26">
              <w:rPr>
                <w:sz w:val="17"/>
                <w:szCs w:val="17"/>
              </w:rPr>
              <w:t>O</w:t>
            </w:r>
          </w:p>
        </w:tc>
      </w:tr>
      <w:tr w:rsidR="00C15995" w14:paraId="1453207F" w14:textId="77777777" w:rsidTr="009B3A21">
        <w:trPr>
          <w:trHeight w:val="141"/>
        </w:trPr>
        <w:tc>
          <w:tcPr>
            <w:tcW w:w="825" w:type="pct"/>
            <w:vMerge/>
            <w:vAlign w:val="top"/>
          </w:tcPr>
          <w:p w14:paraId="0C8E63A7" w14:textId="77777777" w:rsidR="00C15995" w:rsidRPr="00C43D26" w:rsidRDefault="00C15995" w:rsidP="00C15995">
            <w:pPr>
              <w:rPr>
                <w:rFonts w:asciiTheme="majorHAnsi" w:hAnsiTheme="majorHAnsi" w:cstheme="majorHAnsi"/>
                <w:sz w:val="17"/>
                <w:szCs w:val="17"/>
                <w:lang w:eastAsia="en-AU"/>
              </w:rPr>
            </w:pPr>
          </w:p>
        </w:tc>
        <w:tc>
          <w:tcPr>
            <w:tcW w:w="800" w:type="pct"/>
            <w:vMerge/>
            <w:vAlign w:val="top"/>
          </w:tcPr>
          <w:p w14:paraId="4D91AA8D" w14:textId="77777777" w:rsidR="00C15995" w:rsidRPr="00C43D26" w:rsidRDefault="00C15995" w:rsidP="00C15995">
            <w:pPr>
              <w:rPr>
                <w:sz w:val="17"/>
                <w:szCs w:val="17"/>
                <w:lang w:eastAsia="en-AU"/>
              </w:rPr>
            </w:pPr>
          </w:p>
        </w:tc>
        <w:tc>
          <w:tcPr>
            <w:tcW w:w="2654" w:type="pct"/>
            <w:shd w:val="clear" w:color="auto" w:fill="F2F2F2" w:themeFill="background1" w:themeFillShade="F2"/>
            <w:vAlign w:val="top"/>
          </w:tcPr>
          <w:p w14:paraId="2F6C7322" w14:textId="77777777" w:rsidR="00C15995" w:rsidRPr="00452BDE" w:rsidRDefault="00C15995" w:rsidP="00C15995">
            <w:pPr>
              <w:rPr>
                <w:rFonts w:asciiTheme="majorHAnsi" w:hAnsiTheme="majorHAnsi" w:cstheme="majorHAnsi"/>
                <w:sz w:val="17"/>
                <w:szCs w:val="17"/>
              </w:rPr>
            </w:pPr>
            <w:r w:rsidRPr="00452BDE">
              <w:rPr>
                <w:rFonts w:asciiTheme="majorHAnsi" w:hAnsiTheme="majorHAnsi" w:cstheme="majorHAnsi"/>
                <w:sz w:val="17"/>
                <w:szCs w:val="17"/>
              </w:rPr>
              <w:t xml:space="preserve">FSANZ could be resourced to develop, </w:t>
            </w:r>
            <w:proofErr w:type="gramStart"/>
            <w:r w:rsidRPr="00452BDE">
              <w:rPr>
                <w:rFonts w:asciiTheme="majorHAnsi" w:hAnsiTheme="majorHAnsi" w:cstheme="majorHAnsi"/>
                <w:sz w:val="17"/>
                <w:szCs w:val="17"/>
              </w:rPr>
              <w:t>update</w:t>
            </w:r>
            <w:proofErr w:type="gramEnd"/>
            <w:r w:rsidRPr="00452BDE">
              <w:rPr>
                <w:rFonts w:asciiTheme="majorHAnsi" w:hAnsiTheme="majorHAnsi" w:cstheme="majorHAnsi"/>
                <w:sz w:val="17"/>
                <w:szCs w:val="17"/>
              </w:rPr>
              <w:t xml:space="preserve"> and maintain industry guidelines to guide interpretation of food standards.</w:t>
            </w:r>
          </w:p>
          <w:p w14:paraId="6E89AFBF" w14:textId="77777777" w:rsidR="00C15995" w:rsidRPr="00452BDE" w:rsidRDefault="00C15995" w:rsidP="00C15995">
            <w:pPr>
              <w:pStyle w:val="ListParagraph"/>
              <w:numPr>
                <w:ilvl w:val="0"/>
                <w:numId w:val="45"/>
              </w:numPr>
              <w:suppressAutoHyphens/>
              <w:rPr>
                <w:rFonts w:eastAsia="Times New Roman" w:cs="Times New Roman"/>
                <w:sz w:val="17"/>
                <w:szCs w:val="17"/>
                <w:lang w:eastAsia="en-AU"/>
              </w:rPr>
            </w:pPr>
            <w:r w:rsidRPr="00452BDE">
              <w:rPr>
                <w:rFonts w:eastAsia="Times New Roman" w:cs="Times New Roman"/>
                <w:sz w:val="17"/>
                <w:szCs w:val="17"/>
                <w:lang w:eastAsia="en-AU"/>
              </w:rPr>
              <w:t xml:space="preserve">FSANZ could update and maintain industry guidelines which provide advice on how industry can comply with food standards. </w:t>
            </w:r>
          </w:p>
          <w:p w14:paraId="47AE077B" w14:textId="33470E58" w:rsidR="00C15995" w:rsidRPr="00C43D26" w:rsidRDefault="00C15995" w:rsidP="00C15995">
            <w:pPr>
              <w:pStyle w:val="Bullet"/>
              <w:spacing w:line="259" w:lineRule="auto"/>
              <w:rPr>
                <w:sz w:val="17"/>
                <w:szCs w:val="17"/>
              </w:rPr>
            </w:pPr>
            <w:r w:rsidRPr="00C43D26">
              <w:rPr>
                <w:sz w:val="17"/>
                <w:szCs w:val="17"/>
              </w:rPr>
              <w:t xml:space="preserve">Options to better account for the needs of First Nations and Māori Peoples could also be explored. </w:t>
            </w:r>
          </w:p>
        </w:tc>
        <w:tc>
          <w:tcPr>
            <w:tcW w:w="721" w:type="pct"/>
            <w:tcBorders>
              <w:right w:val="single" w:sz="8" w:space="0" w:color="E6E6E1" w:themeColor="accent5"/>
            </w:tcBorders>
            <w:vAlign w:val="top"/>
          </w:tcPr>
          <w:p w14:paraId="7A61C86E" w14:textId="77777777" w:rsidR="00C15995" w:rsidRPr="00C43D26" w:rsidRDefault="00C15995" w:rsidP="00C15995">
            <w:pPr>
              <w:jc w:val="center"/>
              <w:rPr>
                <w:sz w:val="17"/>
                <w:szCs w:val="17"/>
              </w:rPr>
            </w:pPr>
            <w:r w:rsidRPr="00C43D26">
              <w:rPr>
                <w:sz w:val="17"/>
                <w:szCs w:val="17"/>
              </w:rPr>
              <w:t>O</w:t>
            </w:r>
          </w:p>
        </w:tc>
      </w:tr>
      <w:tr w:rsidR="00C15995" w14:paraId="471238DD" w14:textId="77777777" w:rsidTr="009B3A21">
        <w:trPr>
          <w:trHeight w:val="367"/>
        </w:trPr>
        <w:tc>
          <w:tcPr>
            <w:tcW w:w="825" w:type="pct"/>
            <w:vMerge/>
            <w:vAlign w:val="top"/>
          </w:tcPr>
          <w:p w14:paraId="78F96EAA" w14:textId="77777777" w:rsidR="00C15995" w:rsidRPr="00C43D26" w:rsidRDefault="00C15995" w:rsidP="00C15995">
            <w:pPr>
              <w:rPr>
                <w:rFonts w:asciiTheme="majorHAnsi" w:hAnsiTheme="majorHAnsi" w:cstheme="majorHAnsi"/>
                <w:sz w:val="17"/>
                <w:szCs w:val="17"/>
                <w:lang w:eastAsia="en-AU"/>
              </w:rPr>
            </w:pPr>
          </w:p>
        </w:tc>
        <w:tc>
          <w:tcPr>
            <w:tcW w:w="800" w:type="pct"/>
            <w:vMerge/>
            <w:vAlign w:val="top"/>
          </w:tcPr>
          <w:p w14:paraId="141761CD" w14:textId="77777777" w:rsidR="00C15995" w:rsidRPr="00C43D26" w:rsidRDefault="00C15995" w:rsidP="00C15995">
            <w:pPr>
              <w:rPr>
                <w:sz w:val="17"/>
                <w:szCs w:val="17"/>
                <w:lang w:eastAsia="en-AU"/>
              </w:rPr>
            </w:pPr>
          </w:p>
        </w:tc>
        <w:tc>
          <w:tcPr>
            <w:tcW w:w="2654" w:type="pct"/>
            <w:vMerge w:val="restart"/>
            <w:shd w:val="clear" w:color="auto" w:fill="F2F2F2" w:themeFill="background1" w:themeFillShade="F2"/>
            <w:vAlign w:val="top"/>
          </w:tcPr>
          <w:p w14:paraId="600FBAA1" w14:textId="5C0AEED7" w:rsidR="00C15995" w:rsidRPr="00EE18F8" w:rsidRDefault="00C15995" w:rsidP="00C15995">
            <w:pPr>
              <w:rPr>
                <w:rFonts w:asciiTheme="majorHAnsi" w:hAnsiTheme="majorHAnsi" w:cstheme="majorHAnsi"/>
                <w:sz w:val="17"/>
                <w:szCs w:val="17"/>
              </w:rPr>
            </w:pPr>
            <w:r w:rsidRPr="00C43D26">
              <w:rPr>
                <w:rFonts w:asciiTheme="majorHAnsi" w:hAnsiTheme="majorHAnsi" w:cstheme="majorHAnsi"/>
                <w:sz w:val="17"/>
                <w:szCs w:val="17"/>
              </w:rPr>
              <w:t>FSANZ could collaborate more regularly with jurisdiction enforcement agencies.</w:t>
            </w:r>
          </w:p>
        </w:tc>
        <w:tc>
          <w:tcPr>
            <w:tcW w:w="721" w:type="pct"/>
            <w:vMerge w:val="restart"/>
            <w:tcBorders>
              <w:right w:val="single" w:sz="8" w:space="0" w:color="E6E6E1" w:themeColor="accent5"/>
            </w:tcBorders>
            <w:vAlign w:val="top"/>
          </w:tcPr>
          <w:p w14:paraId="5677A56D" w14:textId="77777777" w:rsidR="00C15995" w:rsidRPr="00C43D26" w:rsidRDefault="00C15995" w:rsidP="00C15995">
            <w:pPr>
              <w:jc w:val="center"/>
              <w:rPr>
                <w:sz w:val="17"/>
                <w:szCs w:val="17"/>
              </w:rPr>
            </w:pPr>
            <w:r w:rsidRPr="00C43D26">
              <w:rPr>
                <w:sz w:val="17"/>
                <w:szCs w:val="17"/>
              </w:rPr>
              <w:t>O</w:t>
            </w:r>
          </w:p>
        </w:tc>
      </w:tr>
      <w:tr w:rsidR="00C15995" w14:paraId="274F7032" w14:textId="77777777" w:rsidTr="009B3A21">
        <w:trPr>
          <w:trHeight w:val="373"/>
        </w:trPr>
        <w:tc>
          <w:tcPr>
            <w:tcW w:w="825" w:type="pct"/>
            <w:vMerge/>
            <w:vAlign w:val="top"/>
          </w:tcPr>
          <w:p w14:paraId="211C5034" w14:textId="77777777" w:rsidR="00C15995" w:rsidRDefault="00C15995" w:rsidP="00C15995">
            <w:pPr>
              <w:rPr>
                <w:rFonts w:asciiTheme="majorHAnsi" w:hAnsiTheme="majorHAnsi" w:cstheme="majorHAnsi"/>
                <w:lang w:eastAsia="en-AU"/>
              </w:rPr>
            </w:pPr>
          </w:p>
        </w:tc>
        <w:tc>
          <w:tcPr>
            <w:tcW w:w="800" w:type="pct"/>
            <w:vMerge/>
            <w:vAlign w:val="top"/>
          </w:tcPr>
          <w:p w14:paraId="563D8D2B" w14:textId="77777777" w:rsidR="00C15995" w:rsidRDefault="00C15995" w:rsidP="00C15995">
            <w:pPr>
              <w:rPr>
                <w:lang w:eastAsia="en-AU"/>
              </w:rPr>
            </w:pPr>
          </w:p>
        </w:tc>
        <w:tc>
          <w:tcPr>
            <w:tcW w:w="2654" w:type="pct"/>
            <w:vMerge/>
            <w:shd w:val="clear" w:color="auto" w:fill="F2F2F2" w:themeFill="background1" w:themeFillShade="F2"/>
            <w:vAlign w:val="top"/>
          </w:tcPr>
          <w:p w14:paraId="125D7FE5" w14:textId="77777777" w:rsidR="00C15995" w:rsidRPr="009F2E2D" w:rsidRDefault="00C15995" w:rsidP="00C15995"/>
        </w:tc>
        <w:tc>
          <w:tcPr>
            <w:tcW w:w="721" w:type="pct"/>
            <w:vMerge/>
            <w:tcBorders>
              <w:right w:val="single" w:sz="8" w:space="0" w:color="E6E6E1" w:themeColor="accent5"/>
            </w:tcBorders>
            <w:vAlign w:val="top"/>
          </w:tcPr>
          <w:p w14:paraId="28001C6E" w14:textId="77777777" w:rsidR="00C15995" w:rsidRDefault="00C15995" w:rsidP="00C15995">
            <w:pPr>
              <w:jc w:val="center"/>
            </w:pPr>
          </w:p>
        </w:tc>
      </w:tr>
    </w:tbl>
    <w:p w14:paraId="16031AFD" w14:textId="77777777" w:rsidR="004243A9" w:rsidRDefault="004243A9" w:rsidP="004243A9">
      <w:pPr>
        <w:rPr>
          <w:lang w:eastAsia="en-AU"/>
        </w:rPr>
      </w:pPr>
    </w:p>
    <w:p w14:paraId="678E7CD5" w14:textId="77777777" w:rsidR="004243A9" w:rsidRPr="004243A9" w:rsidRDefault="004243A9" w:rsidP="004243A9">
      <w:pPr>
        <w:rPr>
          <w:lang w:eastAsia="en-AU"/>
        </w:rPr>
        <w:sectPr w:rsidR="004243A9" w:rsidRPr="004243A9" w:rsidSect="00C06FD0">
          <w:pgSz w:w="16839" w:h="11907" w:orient="landscape" w:code="9"/>
          <w:pgMar w:top="1134" w:right="1134" w:bottom="1134" w:left="1134" w:header="720" w:footer="720" w:gutter="0"/>
          <w:cols w:space="720"/>
          <w:titlePg/>
          <w:docGrid w:linePitch="360"/>
        </w:sectPr>
      </w:pPr>
    </w:p>
    <w:p w14:paraId="6057EA51" w14:textId="4FCF6EB3" w:rsidR="00186F87" w:rsidRDefault="00186F87" w:rsidP="00186F87">
      <w:pPr>
        <w:pStyle w:val="Heading4"/>
      </w:pPr>
      <w:r>
        <w:lastRenderedPageBreak/>
        <w:t xml:space="preserve">Analysis </w:t>
      </w:r>
      <w:r w:rsidR="00234F0A">
        <w:t xml:space="preserve">to date </w:t>
      </w:r>
      <w:r>
        <w:t xml:space="preserve">has been informed by extensive </w:t>
      </w:r>
      <w:proofErr w:type="gramStart"/>
      <w:r>
        <w:t>consultation</w:t>
      </w:r>
      <w:proofErr w:type="gramEnd"/>
    </w:p>
    <w:p w14:paraId="355173B7" w14:textId="7DA96ED0" w:rsidR="00EA2257" w:rsidRDefault="00186F87" w:rsidP="00EA2257">
      <w:r>
        <w:rPr>
          <w:lang w:eastAsia="en-AU"/>
        </w:rPr>
        <w:t>To date, there have been three rounds of engagement through which more than 1</w:t>
      </w:r>
      <w:r w:rsidR="0092370D">
        <w:rPr>
          <w:lang w:eastAsia="en-AU"/>
        </w:rPr>
        <w:t>9</w:t>
      </w:r>
      <w:r>
        <w:rPr>
          <w:lang w:eastAsia="en-AU"/>
        </w:rPr>
        <w:t xml:space="preserve">0 </w:t>
      </w:r>
      <w:r w:rsidR="00F7319F" w:rsidRPr="00F7319F">
        <w:rPr>
          <w:lang w:eastAsia="en-AU"/>
        </w:rPr>
        <w:t>individuals and organisations</w:t>
      </w:r>
      <w:r>
        <w:rPr>
          <w:lang w:eastAsia="en-AU"/>
        </w:rPr>
        <w:t xml:space="preserve"> have provided input. </w:t>
      </w:r>
      <w:r w:rsidR="00234F0A">
        <w:t xml:space="preserve">This </w:t>
      </w:r>
      <w:r w:rsidR="000E38AF">
        <w:t xml:space="preserve">input has </w:t>
      </w:r>
      <w:r w:rsidR="002C6864">
        <w:t>informed assessment of</w:t>
      </w:r>
      <w:r w:rsidR="000E38AF">
        <w:t xml:space="preserve"> the options against three evaluation criteria</w:t>
      </w:r>
      <w:r w:rsidR="00F47B55">
        <w:t>.</w:t>
      </w:r>
    </w:p>
    <w:p w14:paraId="10D0FF50" w14:textId="77777777" w:rsidR="00EA2257" w:rsidRDefault="00EA2257" w:rsidP="00EA2257">
      <w:pPr>
        <w:pStyle w:val="Heading5"/>
      </w:pPr>
      <w:r>
        <w:t xml:space="preserve">Criterion 1 | The extent to which the option solves policy </w:t>
      </w:r>
      <w:proofErr w:type="gramStart"/>
      <w:r>
        <w:t>problems</w:t>
      </w:r>
      <w:proofErr w:type="gramEnd"/>
      <w:r>
        <w:t xml:space="preserve"> </w:t>
      </w:r>
    </w:p>
    <w:p w14:paraId="3CDF4CA5" w14:textId="77777777" w:rsidR="00EA2257" w:rsidRDefault="00EA2257" w:rsidP="00EA2257">
      <w:pPr>
        <w:rPr>
          <w:lang w:eastAsia="en-AU"/>
        </w:rPr>
      </w:pPr>
      <w:r>
        <w:rPr>
          <w:lang w:eastAsia="en-AU"/>
        </w:rPr>
        <w:t xml:space="preserve">While Option 1 continues to provide significant value to the Australian and New Zealand community and successfully manages the market failures it was originally designed to address, the policy problems identified in this document are inherent to Option 1.  </w:t>
      </w:r>
    </w:p>
    <w:p w14:paraId="5D8C32B3" w14:textId="77777777" w:rsidR="00EA2257" w:rsidRPr="00A231AE" w:rsidRDefault="00EA2257" w:rsidP="00EA2257">
      <w:pPr>
        <w:rPr>
          <w:rFonts w:ascii="Arial" w:hAnsi="Arial" w:cs="Arial"/>
          <w:szCs w:val="19"/>
        </w:rPr>
      </w:pPr>
      <w:r w:rsidRPr="00A231AE">
        <w:rPr>
          <w:szCs w:val="19"/>
        </w:rPr>
        <w:t xml:space="preserve">Option 2 </w:t>
      </w:r>
      <w:r>
        <w:rPr>
          <w:szCs w:val="19"/>
        </w:rPr>
        <w:t>represents a departure from</w:t>
      </w:r>
      <w:r w:rsidRPr="00A231AE">
        <w:rPr>
          <w:szCs w:val="19"/>
        </w:rPr>
        <w:t xml:space="preserve"> the </w:t>
      </w:r>
      <w:r>
        <w:rPr>
          <w:szCs w:val="19"/>
        </w:rPr>
        <w:t>status quo</w:t>
      </w:r>
      <w:r w:rsidRPr="00A231AE">
        <w:rPr>
          <w:szCs w:val="19"/>
        </w:rPr>
        <w:t xml:space="preserve"> and would result in clearer objectives and purpose for FSANZ and for the use of food regulatory measures; more risk-based and proportionate handling of applications and proposal</w:t>
      </w:r>
      <w:r>
        <w:rPr>
          <w:szCs w:val="19"/>
        </w:rPr>
        <w:t>s</w:t>
      </w:r>
      <w:r w:rsidRPr="00A231AE">
        <w:rPr>
          <w:szCs w:val="19"/>
        </w:rPr>
        <w:t xml:space="preserve"> </w:t>
      </w:r>
      <w:r w:rsidRPr="00A231AE">
        <w:rPr>
          <w:rStyle w:val="cf01"/>
          <w:sz w:val="19"/>
          <w:szCs w:val="19"/>
        </w:rPr>
        <w:t>while aligning more closely with international standards-setting counterpart</w:t>
      </w:r>
      <w:r w:rsidRPr="00A231AE">
        <w:rPr>
          <w:szCs w:val="19"/>
        </w:rPr>
        <w:t xml:space="preserve">s; greater operational efficiency and effectiveness within FSANZ; and stronger system agility, with better consultation and cooperation between FSANZ and other system actors. </w:t>
      </w:r>
    </w:p>
    <w:p w14:paraId="6681F848" w14:textId="77777777" w:rsidR="00EA2257" w:rsidRDefault="00EA2257" w:rsidP="00EA2257">
      <w:pPr>
        <w:pStyle w:val="Heading5"/>
      </w:pPr>
      <w:r>
        <w:t>Criterion 2 | Delivery risks</w:t>
      </w:r>
    </w:p>
    <w:p w14:paraId="231EDAA5" w14:textId="77777777" w:rsidR="00EA2257" w:rsidRDefault="00EA2257" w:rsidP="00EA2257">
      <w:pPr>
        <w:rPr>
          <w:lang w:eastAsia="en-AU"/>
        </w:rPr>
      </w:pPr>
      <w:r>
        <w:rPr>
          <w:lang w:eastAsia="en-AU"/>
        </w:rPr>
        <w:t xml:space="preserve">Option 1 was deemed on average to be riskier than Option 2, and large part because it would perpetuate or exacerbate tensions and problems that are already being observed. </w:t>
      </w:r>
    </w:p>
    <w:p w14:paraId="71B6A269" w14:textId="77777777" w:rsidR="00EA2257" w:rsidRDefault="00EA2257" w:rsidP="00EA2257">
      <w:pPr>
        <w:pStyle w:val="Heading5"/>
      </w:pPr>
      <w:r>
        <w:t>Criterion 3 | Cost and benefits</w:t>
      </w:r>
    </w:p>
    <w:p w14:paraId="71165ADC" w14:textId="77777777" w:rsidR="000E38AF" w:rsidRDefault="000E38AF" w:rsidP="000E38AF">
      <w:pPr>
        <w:rPr>
          <w:lang w:eastAsia="en-AU"/>
        </w:rPr>
      </w:pPr>
      <w:r>
        <w:rPr>
          <w:lang w:eastAsia="en-AU"/>
        </w:rPr>
        <w:t xml:space="preserve">Costs and benefits have been described qualitatively and quantitatively for key stakeholder groups: industry, consumers, government (Australian and New Zealand Governments and state and territory governments) and FSANZ. </w:t>
      </w:r>
    </w:p>
    <w:p w14:paraId="01A8AB54" w14:textId="77777777" w:rsidR="000E38AF" w:rsidRDefault="000E38AF" w:rsidP="000E38AF">
      <w:pPr>
        <w:rPr>
          <w:lang w:eastAsia="en-AU"/>
        </w:rPr>
      </w:pPr>
      <w:r>
        <w:rPr>
          <w:lang w:eastAsia="en-AU"/>
        </w:rPr>
        <w:t xml:space="preserve">Current legislative and operational arrangements deliver many benefits to stakeholders compared to a scenario where FSANZ and the joint food standards system did not exist. These include better health outcomes for consumers, reduced barriers to market entry for industry and economic opportunities that are borne from the reputation and trust put into Australian and New Zealand regulatory system. </w:t>
      </w:r>
    </w:p>
    <w:p w14:paraId="3EC15D4E" w14:textId="77777777" w:rsidR="000E38AF" w:rsidRDefault="000E38AF" w:rsidP="000E38AF">
      <w:pPr>
        <w:rPr>
          <w:lang w:eastAsia="en-AU"/>
        </w:rPr>
      </w:pPr>
      <w:r>
        <w:rPr>
          <w:lang w:eastAsia="en-AU"/>
        </w:rPr>
        <w:t xml:space="preserve">There are also significant costs involved however, including delay costs for industry trying to navigate regulatory processes, and for governments who are funding FSANZ. </w:t>
      </w:r>
    </w:p>
    <w:p w14:paraId="1B253E20" w14:textId="77777777" w:rsidR="000E38AF" w:rsidRDefault="000E38AF" w:rsidP="000E38AF">
      <w:pPr>
        <w:rPr>
          <w:rStyle w:val="cf01"/>
          <w:sz w:val="19"/>
          <w:szCs w:val="19"/>
        </w:rPr>
      </w:pPr>
      <w:r w:rsidRPr="00A61254">
        <w:rPr>
          <w:szCs w:val="19"/>
          <w:lang w:eastAsia="en-AU"/>
        </w:rPr>
        <w:t xml:space="preserve">Importantly, </w:t>
      </w:r>
      <w:r>
        <w:rPr>
          <w:szCs w:val="19"/>
          <w:lang w:eastAsia="en-AU"/>
        </w:rPr>
        <w:t xml:space="preserve">while the net present value for Option 1 assumes no change in existing legislative or operational settings (including funding), it has been well recognised that FSANZ is insufficiently resourced. For FSANZ to be able to deliver its full gamut of regulatory functions - even in the absence of any other changes - it would require </w:t>
      </w:r>
      <w:r>
        <w:rPr>
          <w:rStyle w:val="cf01"/>
          <w:sz w:val="19"/>
          <w:szCs w:val="19"/>
        </w:rPr>
        <w:t>an</w:t>
      </w:r>
      <w:r w:rsidRPr="00A61254">
        <w:rPr>
          <w:rStyle w:val="cf01"/>
          <w:sz w:val="19"/>
          <w:szCs w:val="19"/>
        </w:rPr>
        <w:t xml:space="preserve"> adjustment </w:t>
      </w:r>
      <w:r>
        <w:rPr>
          <w:rStyle w:val="cf01"/>
          <w:sz w:val="19"/>
          <w:szCs w:val="19"/>
        </w:rPr>
        <w:t>in its substantive funding, equating</w:t>
      </w:r>
      <w:r w:rsidRPr="00A61254">
        <w:rPr>
          <w:rStyle w:val="cf01"/>
          <w:sz w:val="19"/>
          <w:szCs w:val="19"/>
        </w:rPr>
        <w:t xml:space="preserve"> to $26 million in appropriations from the Australian and New Zealand Government with an addition of $900,000 from industry cost recovered fees for applications. </w:t>
      </w:r>
      <w:r>
        <w:rPr>
          <w:rStyle w:val="cf01"/>
          <w:sz w:val="19"/>
          <w:szCs w:val="19"/>
        </w:rPr>
        <w:t xml:space="preserve">This represents an additional $6.5 million relative to FSANZ’s current appropriations of $19.5 million. </w:t>
      </w:r>
    </w:p>
    <w:p w14:paraId="7ECD06D2" w14:textId="33EC6D8E" w:rsidR="000E38AF" w:rsidRPr="005201F1" w:rsidRDefault="000E38AF" w:rsidP="000E38AF">
      <w:pPr>
        <w:rPr>
          <w:rFonts w:ascii="Arial" w:hAnsi="Arial" w:cs="Arial"/>
          <w:szCs w:val="19"/>
        </w:rPr>
      </w:pPr>
      <w:r w:rsidRPr="00A61254">
        <w:rPr>
          <w:szCs w:val="19"/>
          <w:lang w:eastAsia="en-AU"/>
        </w:rPr>
        <w:t xml:space="preserve">The net </w:t>
      </w:r>
      <w:r>
        <w:rPr>
          <w:szCs w:val="19"/>
          <w:lang w:eastAsia="en-AU"/>
        </w:rPr>
        <w:t>present value</w:t>
      </w:r>
      <w:r w:rsidRPr="00A61254">
        <w:rPr>
          <w:szCs w:val="19"/>
          <w:lang w:eastAsia="en-AU"/>
        </w:rPr>
        <w:t xml:space="preserve"> and Benefits Costs Ratio (BCR) for Option 1 is shown in </w:t>
      </w:r>
      <w:r w:rsidRPr="00A61254">
        <w:rPr>
          <w:szCs w:val="19"/>
          <w:lang w:eastAsia="en-AU"/>
        </w:rPr>
        <w:fldChar w:fldCharType="begin"/>
      </w:r>
      <w:r w:rsidRPr="00A61254">
        <w:rPr>
          <w:szCs w:val="19"/>
          <w:lang w:eastAsia="en-AU"/>
        </w:rPr>
        <w:instrText xml:space="preserve"> REF _Ref149489005 \h  \* MERGEFORMAT </w:instrText>
      </w:r>
      <w:r w:rsidRPr="00A61254">
        <w:rPr>
          <w:szCs w:val="19"/>
          <w:lang w:eastAsia="en-AU"/>
        </w:rPr>
      </w:r>
      <w:r w:rsidRPr="00A61254">
        <w:rPr>
          <w:szCs w:val="19"/>
          <w:lang w:eastAsia="en-AU"/>
        </w:rPr>
        <w:fldChar w:fldCharType="separate"/>
      </w:r>
      <w:r w:rsidR="003F7B92" w:rsidRPr="003F7B92">
        <w:rPr>
          <w:szCs w:val="19"/>
        </w:rPr>
        <w:t xml:space="preserve">Table </w:t>
      </w:r>
      <w:r w:rsidR="003F7B92" w:rsidRPr="003F7B92">
        <w:rPr>
          <w:noProof/>
          <w:szCs w:val="19"/>
        </w:rPr>
        <w:t>2</w:t>
      </w:r>
      <w:r w:rsidRPr="00A61254">
        <w:rPr>
          <w:szCs w:val="19"/>
          <w:lang w:eastAsia="en-AU"/>
        </w:rPr>
        <w:fldChar w:fldCharType="end"/>
      </w:r>
      <w:r w:rsidRPr="00A61254">
        <w:rPr>
          <w:szCs w:val="19"/>
          <w:lang w:eastAsia="en-AU"/>
        </w:rPr>
        <w:t>.</w:t>
      </w:r>
    </w:p>
    <w:p w14:paraId="1A8BA525" w14:textId="0015329E" w:rsidR="000E38AF" w:rsidRDefault="000E38AF" w:rsidP="000E38AF">
      <w:pPr>
        <w:pStyle w:val="Caption"/>
        <w:rPr>
          <w:lang w:eastAsia="en-AU"/>
        </w:rPr>
      </w:pPr>
      <w:bookmarkStart w:id="7" w:name="_Ref149489005"/>
      <w:bookmarkStart w:id="8" w:name="_Ref149489434"/>
      <w:r>
        <w:t xml:space="preserve">Table </w:t>
      </w:r>
      <w:r>
        <w:fldChar w:fldCharType="begin"/>
      </w:r>
      <w:r>
        <w:instrText xml:space="preserve"> SEQ Table \* ARABIC </w:instrText>
      </w:r>
      <w:r>
        <w:fldChar w:fldCharType="separate"/>
      </w:r>
      <w:r w:rsidR="003F7B92">
        <w:rPr>
          <w:noProof/>
        </w:rPr>
        <w:t>2</w:t>
      </w:r>
      <w:r>
        <w:fldChar w:fldCharType="end"/>
      </w:r>
      <w:bookmarkEnd w:id="7"/>
      <w:r>
        <w:t xml:space="preserve"> | Distribution</w:t>
      </w:r>
      <w:r w:rsidRPr="006041F2">
        <w:t xml:space="preserve"> of </w:t>
      </w:r>
      <w:r>
        <w:t xml:space="preserve">present value </w:t>
      </w:r>
      <w:r w:rsidRPr="006041F2">
        <w:t>costs and benefits for Option 1 (</w:t>
      </w:r>
      <w:r>
        <w:t xml:space="preserve">AUD </w:t>
      </w:r>
      <w:r w:rsidRPr="006041F2">
        <w:t xml:space="preserve">$m) over </w:t>
      </w:r>
      <w:r>
        <w:t>ten</w:t>
      </w:r>
      <w:r w:rsidRPr="006041F2">
        <w:t xml:space="preserve"> years</w:t>
      </w:r>
      <w:bookmarkEnd w:id="8"/>
    </w:p>
    <w:tbl>
      <w:tblPr>
        <w:tblStyle w:val="TableGrid"/>
        <w:tblW w:w="8930" w:type="dxa"/>
        <w:tblLook w:val="04A0" w:firstRow="1" w:lastRow="0" w:firstColumn="1" w:lastColumn="0" w:noHBand="0" w:noVBand="1"/>
      </w:tblPr>
      <w:tblGrid>
        <w:gridCol w:w="1954"/>
        <w:gridCol w:w="1462"/>
        <w:gridCol w:w="1575"/>
        <w:gridCol w:w="1277"/>
        <w:gridCol w:w="1446"/>
        <w:gridCol w:w="1216"/>
      </w:tblGrid>
      <w:tr w:rsidR="000E38AF" w14:paraId="40C04F48" w14:textId="77777777">
        <w:trPr>
          <w:cnfStyle w:val="100000000000" w:firstRow="1" w:lastRow="0" w:firstColumn="0" w:lastColumn="0" w:oddVBand="0" w:evenVBand="0" w:oddHBand="0" w:evenHBand="0" w:firstRowFirstColumn="0" w:firstRowLastColumn="0" w:lastRowFirstColumn="0" w:lastRowLastColumn="0"/>
        </w:trPr>
        <w:tc>
          <w:tcPr>
            <w:tcW w:w="1954" w:type="dxa"/>
          </w:tcPr>
          <w:p w14:paraId="7A4B43D8" w14:textId="77777777" w:rsidR="000E38AF" w:rsidRDefault="000E38AF" w:rsidP="0005068C">
            <w:pPr>
              <w:pStyle w:val="TableNheader"/>
            </w:pPr>
          </w:p>
        </w:tc>
        <w:tc>
          <w:tcPr>
            <w:tcW w:w="1462" w:type="dxa"/>
          </w:tcPr>
          <w:p w14:paraId="3476B9A5" w14:textId="77777777" w:rsidR="000E38AF" w:rsidRPr="00277CAF" w:rsidRDefault="000E38AF" w:rsidP="0005068C">
            <w:pPr>
              <w:pStyle w:val="TableNheader"/>
              <w:rPr>
                <w:rFonts w:asciiTheme="majorHAnsi" w:hAnsiTheme="majorHAnsi" w:cstheme="majorHAnsi"/>
              </w:rPr>
            </w:pPr>
            <w:r w:rsidRPr="00277CAF">
              <w:rPr>
                <w:rFonts w:asciiTheme="majorHAnsi" w:hAnsiTheme="majorHAnsi" w:cstheme="majorHAnsi"/>
              </w:rPr>
              <w:t>FSANZ</w:t>
            </w:r>
          </w:p>
        </w:tc>
        <w:tc>
          <w:tcPr>
            <w:tcW w:w="1575" w:type="dxa"/>
          </w:tcPr>
          <w:p w14:paraId="49BCB24D" w14:textId="77777777" w:rsidR="000E38AF" w:rsidRPr="00277CAF" w:rsidRDefault="000E38AF" w:rsidP="0005068C">
            <w:pPr>
              <w:pStyle w:val="TableNheader"/>
              <w:rPr>
                <w:rFonts w:asciiTheme="majorHAnsi" w:hAnsiTheme="majorHAnsi" w:cstheme="majorHAnsi"/>
              </w:rPr>
            </w:pPr>
            <w:r w:rsidRPr="00277CAF">
              <w:rPr>
                <w:rFonts w:asciiTheme="majorHAnsi" w:hAnsiTheme="majorHAnsi" w:cstheme="majorHAnsi"/>
              </w:rPr>
              <w:t>Other government entities</w:t>
            </w:r>
          </w:p>
        </w:tc>
        <w:tc>
          <w:tcPr>
            <w:tcW w:w="1277" w:type="dxa"/>
          </w:tcPr>
          <w:p w14:paraId="67111920" w14:textId="77777777" w:rsidR="000E38AF" w:rsidRPr="00277CAF" w:rsidRDefault="000E38AF" w:rsidP="0005068C">
            <w:pPr>
              <w:pStyle w:val="TableNheader"/>
              <w:rPr>
                <w:rFonts w:asciiTheme="majorHAnsi" w:hAnsiTheme="majorHAnsi" w:cstheme="majorHAnsi"/>
              </w:rPr>
            </w:pPr>
            <w:r w:rsidRPr="00277CAF">
              <w:rPr>
                <w:rFonts w:asciiTheme="majorHAnsi" w:hAnsiTheme="majorHAnsi" w:cstheme="majorHAnsi"/>
              </w:rPr>
              <w:t>Industry</w:t>
            </w:r>
          </w:p>
        </w:tc>
        <w:tc>
          <w:tcPr>
            <w:tcW w:w="1446" w:type="dxa"/>
          </w:tcPr>
          <w:p w14:paraId="15FDC2B6" w14:textId="77777777" w:rsidR="000E38AF" w:rsidRPr="00277CAF" w:rsidRDefault="000E38AF" w:rsidP="0005068C">
            <w:pPr>
              <w:pStyle w:val="TableNheader"/>
              <w:rPr>
                <w:rFonts w:asciiTheme="majorHAnsi" w:hAnsiTheme="majorHAnsi" w:cstheme="majorHAnsi"/>
              </w:rPr>
            </w:pPr>
            <w:r w:rsidRPr="00277CAF">
              <w:rPr>
                <w:rFonts w:asciiTheme="majorHAnsi" w:hAnsiTheme="majorHAnsi" w:cstheme="majorHAnsi"/>
              </w:rPr>
              <w:t>Consumers</w:t>
            </w:r>
          </w:p>
        </w:tc>
        <w:tc>
          <w:tcPr>
            <w:tcW w:w="1216" w:type="dxa"/>
          </w:tcPr>
          <w:p w14:paraId="43236AAD" w14:textId="77777777" w:rsidR="000E38AF" w:rsidRPr="00277CAF" w:rsidRDefault="000E38AF" w:rsidP="0005068C">
            <w:pPr>
              <w:pStyle w:val="TableNheader"/>
              <w:rPr>
                <w:rFonts w:asciiTheme="majorHAnsi" w:hAnsiTheme="majorHAnsi" w:cstheme="majorHAnsi"/>
              </w:rPr>
            </w:pPr>
            <w:r w:rsidRPr="00277CAF">
              <w:rPr>
                <w:rFonts w:asciiTheme="majorHAnsi" w:hAnsiTheme="majorHAnsi" w:cstheme="majorHAnsi"/>
              </w:rPr>
              <w:t>Total</w:t>
            </w:r>
          </w:p>
        </w:tc>
      </w:tr>
      <w:tr w:rsidR="000E38AF" w14:paraId="5587E526" w14:textId="77777777" w:rsidTr="0005068C">
        <w:trPr>
          <w:cnfStyle w:val="000000100000" w:firstRow="0" w:lastRow="0" w:firstColumn="0" w:lastColumn="0" w:oddVBand="0" w:evenVBand="0" w:oddHBand="1" w:evenHBand="0" w:firstRowFirstColumn="0" w:firstRowLastColumn="0" w:lastRowFirstColumn="0" w:lastRowLastColumn="0"/>
        </w:trPr>
        <w:tc>
          <w:tcPr>
            <w:tcW w:w="1954" w:type="dxa"/>
          </w:tcPr>
          <w:p w14:paraId="2CAE4E3B" w14:textId="77777777" w:rsidR="000E38AF" w:rsidRPr="00F35393" w:rsidRDefault="000E38AF" w:rsidP="0005068C">
            <w:pPr>
              <w:pStyle w:val="TableNText"/>
              <w:rPr>
                <w:sz w:val="19"/>
                <w:szCs w:val="19"/>
              </w:rPr>
            </w:pPr>
            <w:r w:rsidRPr="00F35393">
              <w:rPr>
                <w:sz w:val="19"/>
                <w:szCs w:val="19"/>
              </w:rPr>
              <w:t>Costs</w:t>
            </w:r>
          </w:p>
        </w:tc>
        <w:tc>
          <w:tcPr>
            <w:tcW w:w="1462" w:type="dxa"/>
          </w:tcPr>
          <w:p w14:paraId="35FBF571" w14:textId="77777777" w:rsidR="000E38AF" w:rsidRPr="00F35393" w:rsidRDefault="000E38AF" w:rsidP="0005068C">
            <w:pPr>
              <w:pStyle w:val="TableNText"/>
              <w:rPr>
                <w:sz w:val="19"/>
                <w:szCs w:val="19"/>
              </w:rPr>
            </w:pPr>
            <w:r>
              <w:rPr>
                <w:sz w:val="19"/>
                <w:szCs w:val="19"/>
              </w:rPr>
              <w:t>131.5</w:t>
            </w:r>
          </w:p>
        </w:tc>
        <w:tc>
          <w:tcPr>
            <w:tcW w:w="1575" w:type="dxa"/>
          </w:tcPr>
          <w:p w14:paraId="1E03B8E2" w14:textId="77777777" w:rsidR="000E38AF" w:rsidRPr="00F35393" w:rsidRDefault="000E38AF" w:rsidP="0005068C">
            <w:pPr>
              <w:pStyle w:val="TableNText"/>
              <w:rPr>
                <w:sz w:val="19"/>
                <w:szCs w:val="19"/>
              </w:rPr>
            </w:pPr>
            <w:r>
              <w:rPr>
                <w:sz w:val="19"/>
                <w:szCs w:val="19"/>
              </w:rPr>
              <w:t>15.0</w:t>
            </w:r>
          </w:p>
        </w:tc>
        <w:tc>
          <w:tcPr>
            <w:tcW w:w="1277" w:type="dxa"/>
          </w:tcPr>
          <w:p w14:paraId="0FD87EDC" w14:textId="77777777" w:rsidR="000E38AF" w:rsidRPr="00F35393" w:rsidRDefault="000E38AF" w:rsidP="0005068C">
            <w:pPr>
              <w:pStyle w:val="TableNText"/>
              <w:rPr>
                <w:sz w:val="19"/>
                <w:szCs w:val="19"/>
              </w:rPr>
            </w:pPr>
            <w:r>
              <w:rPr>
                <w:sz w:val="19"/>
                <w:szCs w:val="19"/>
              </w:rPr>
              <w:t>64.0</w:t>
            </w:r>
          </w:p>
        </w:tc>
        <w:tc>
          <w:tcPr>
            <w:tcW w:w="1446" w:type="dxa"/>
          </w:tcPr>
          <w:p w14:paraId="7F877FB5" w14:textId="77777777" w:rsidR="000E38AF" w:rsidRPr="00F35393" w:rsidRDefault="000E38AF" w:rsidP="0005068C">
            <w:pPr>
              <w:pStyle w:val="TableNText"/>
              <w:rPr>
                <w:sz w:val="19"/>
                <w:szCs w:val="19"/>
              </w:rPr>
            </w:pPr>
            <w:r>
              <w:rPr>
                <w:sz w:val="19"/>
                <w:szCs w:val="19"/>
              </w:rPr>
              <w:t>7.2</w:t>
            </w:r>
          </w:p>
        </w:tc>
        <w:tc>
          <w:tcPr>
            <w:tcW w:w="1216" w:type="dxa"/>
          </w:tcPr>
          <w:p w14:paraId="0C3B2F07" w14:textId="77777777" w:rsidR="000E38AF" w:rsidRPr="00F35393" w:rsidRDefault="000E38AF" w:rsidP="0005068C">
            <w:pPr>
              <w:pStyle w:val="TableNText"/>
              <w:rPr>
                <w:sz w:val="19"/>
                <w:szCs w:val="19"/>
              </w:rPr>
            </w:pPr>
            <w:r>
              <w:rPr>
                <w:sz w:val="19"/>
                <w:szCs w:val="19"/>
              </w:rPr>
              <w:t>217.7</w:t>
            </w:r>
          </w:p>
        </w:tc>
      </w:tr>
      <w:tr w:rsidR="000E38AF" w14:paraId="0C847F49" w14:textId="77777777" w:rsidTr="0005068C">
        <w:trPr>
          <w:cnfStyle w:val="000000010000" w:firstRow="0" w:lastRow="0" w:firstColumn="0" w:lastColumn="0" w:oddVBand="0" w:evenVBand="0" w:oddHBand="0" w:evenHBand="1" w:firstRowFirstColumn="0" w:firstRowLastColumn="0" w:lastRowFirstColumn="0" w:lastRowLastColumn="0"/>
        </w:trPr>
        <w:tc>
          <w:tcPr>
            <w:tcW w:w="1954" w:type="dxa"/>
          </w:tcPr>
          <w:p w14:paraId="596ED931" w14:textId="77777777" w:rsidR="000E38AF" w:rsidRPr="00F35393" w:rsidRDefault="000E38AF" w:rsidP="0005068C">
            <w:pPr>
              <w:pStyle w:val="TableNText"/>
              <w:rPr>
                <w:sz w:val="19"/>
                <w:szCs w:val="19"/>
              </w:rPr>
            </w:pPr>
            <w:r w:rsidRPr="00F35393">
              <w:rPr>
                <w:sz w:val="19"/>
                <w:szCs w:val="19"/>
              </w:rPr>
              <w:lastRenderedPageBreak/>
              <w:t>Benefits</w:t>
            </w:r>
          </w:p>
        </w:tc>
        <w:tc>
          <w:tcPr>
            <w:tcW w:w="1462" w:type="dxa"/>
          </w:tcPr>
          <w:p w14:paraId="0C8F0658" w14:textId="77777777" w:rsidR="000E38AF" w:rsidRPr="00F35393" w:rsidRDefault="000E38AF" w:rsidP="0005068C">
            <w:pPr>
              <w:pStyle w:val="TableNText"/>
              <w:rPr>
                <w:sz w:val="19"/>
                <w:szCs w:val="19"/>
              </w:rPr>
            </w:pPr>
            <w:r>
              <w:rPr>
                <w:sz w:val="19"/>
                <w:szCs w:val="19"/>
              </w:rPr>
              <w:t>22.2</w:t>
            </w:r>
          </w:p>
        </w:tc>
        <w:tc>
          <w:tcPr>
            <w:tcW w:w="1575" w:type="dxa"/>
          </w:tcPr>
          <w:p w14:paraId="65F313C4" w14:textId="77777777" w:rsidR="000E38AF" w:rsidRPr="00F35393" w:rsidRDefault="000E38AF" w:rsidP="0005068C">
            <w:pPr>
              <w:pStyle w:val="TableNText"/>
              <w:rPr>
                <w:sz w:val="19"/>
                <w:szCs w:val="19"/>
              </w:rPr>
            </w:pPr>
            <w:r w:rsidRPr="00F35393">
              <w:rPr>
                <w:sz w:val="19"/>
                <w:szCs w:val="19"/>
              </w:rPr>
              <w:t>-</w:t>
            </w:r>
          </w:p>
        </w:tc>
        <w:tc>
          <w:tcPr>
            <w:tcW w:w="1277" w:type="dxa"/>
          </w:tcPr>
          <w:p w14:paraId="394A3014" w14:textId="77777777" w:rsidR="000E38AF" w:rsidRPr="00F35393" w:rsidRDefault="000E38AF" w:rsidP="0005068C">
            <w:pPr>
              <w:pStyle w:val="TableNText"/>
              <w:rPr>
                <w:sz w:val="19"/>
                <w:szCs w:val="19"/>
              </w:rPr>
            </w:pPr>
            <w:r w:rsidRPr="00F35393">
              <w:rPr>
                <w:sz w:val="19"/>
                <w:szCs w:val="19"/>
              </w:rPr>
              <w:t>-</w:t>
            </w:r>
          </w:p>
        </w:tc>
        <w:tc>
          <w:tcPr>
            <w:tcW w:w="1446" w:type="dxa"/>
          </w:tcPr>
          <w:p w14:paraId="6E233BFD" w14:textId="77777777" w:rsidR="000E38AF" w:rsidRPr="00F35393" w:rsidRDefault="000E38AF" w:rsidP="0005068C">
            <w:pPr>
              <w:pStyle w:val="TableNText"/>
              <w:rPr>
                <w:sz w:val="19"/>
                <w:szCs w:val="19"/>
              </w:rPr>
            </w:pPr>
            <w:r>
              <w:rPr>
                <w:sz w:val="19"/>
                <w:szCs w:val="19"/>
              </w:rPr>
              <w:t>206.2</w:t>
            </w:r>
          </w:p>
        </w:tc>
        <w:tc>
          <w:tcPr>
            <w:tcW w:w="1216" w:type="dxa"/>
          </w:tcPr>
          <w:p w14:paraId="58C1591C" w14:textId="77777777" w:rsidR="000E38AF" w:rsidRPr="00F35393" w:rsidRDefault="000E38AF" w:rsidP="0005068C">
            <w:pPr>
              <w:pStyle w:val="TableNText"/>
              <w:rPr>
                <w:sz w:val="19"/>
                <w:szCs w:val="19"/>
              </w:rPr>
            </w:pPr>
            <w:r>
              <w:rPr>
                <w:sz w:val="19"/>
                <w:szCs w:val="19"/>
              </w:rPr>
              <w:t>228.4</w:t>
            </w:r>
          </w:p>
        </w:tc>
      </w:tr>
      <w:tr w:rsidR="000E38AF" w14:paraId="2BFEB454" w14:textId="77777777" w:rsidTr="0005068C">
        <w:trPr>
          <w:cnfStyle w:val="000000100000" w:firstRow="0" w:lastRow="0" w:firstColumn="0" w:lastColumn="0" w:oddVBand="0" w:evenVBand="0" w:oddHBand="1" w:evenHBand="0" w:firstRowFirstColumn="0" w:firstRowLastColumn="0" w:lastRowFirstColumn="0" w:lastRowLastColumn="0"/>
        </w:trPr>
        <w:tc>
          <w:tcPr>
            <w:tcW w:w="1954" w:type="dxa"/>
          </w:tcPr>
          <w:p w14:paraId="5213CD83" w14:textId="77777777" w:rsidR="000E38AF" w:rsidRPr="00F35393" w:rsidRDefault="000E38AF" w:rsidP="0005068C">
            <w:pPr>
              <w:pStyle w:val="TableNText"/>
              <w:rPr>
                <w:rFonts w:asciiTheme="majorHAnsi" w:hAnsiTheme="majorHAnsi" w:cstheme="majorHAnsi"/>
                <w:i/>
                <w:iCs/>
                <w:sz w:val="19"/>
                <w:szCs w:val="19"/>
              </w:rPr>
            </w:pPr>
            <w:r w:rsidRPr="00F35393">
              <w:rPr>
                <w:rFonts w:asciiTheme="majorHAnsi" w:hAnsiTheme="majorHAnsi" w:cstheme="majorHAnsi"/>
                <w:sz w:val="19"/>
                <w:szCs w:val="19"/>
              </w:rPr>
              <w:t>Net benefits</w:t>
            </w:r>
          </w:p>
        </w:tc>
        <w:tc>
          <w:tcPr>
            <w:tcW w:w="1462" w:type="dxa"/>
          </w:tcPr>
          <w:p w14:paraId="5CC00B0E" w14:textId="77777777" w:rsidR="000E38AF" w:rsidRPr="00F35393" w:rsidRDefault="000E38AF" w:rsidP="0005068C">
            <w:pPr>
              <w:pStyle w:val="TableNText"/>
              <w:rPr>
                <w:sz w:val="19"/>
                <w:szCs w:val="19"/>
              </w:rPr>
            </w:pPr>
          </w:p>
        </w:tc>
        <w:tc>
          <w:tcPr>
            <w:tcW w:w="1575" w:type="dxa"/>
          </w:tcPr>
          <w:p w14:paraId="4E750A93" w14:textId="77777777" w:rsidR="000E38AF" w:rsidRPr="00F35393" w:rsidRDefault="000E38AF" w:rsidP="0005068C">
            <w:pPr>
              <w:pStyle w:val="TableNText"/>
              <w:rPr>
                <w:sz w:val="19"/>
                <w:szCs w:val="19"/>
              </w:rPr>
            </w:pPr>
          </w:p>
        </w:tc>
        <w:tc>
          <w:tcPr>
            <w:tcW w:w="1277" w:type="dxa"/>
          </w:tcPr>
          <w:p w14:paraId="7B239838" w14:textId="77777777" w:rsidR="000E38AF" w:rsidRPr="00F35393" w:rsidRDefault="000E38AF" w:rsidP="0005068C">
            <w:pPr>
              <w:pStyle w:val="TableNText"/>
              <w:rPr>
                <w:sz w:val="19"/>
                <w:szCs w:val="19"/>
              </w:rPr>
            </w:pPr>
          </w:p>
        </w:tc>
        <w:tc>
          <w:tcPr>
            <w:tcW w:w="1446" w:type="dxa"/>
          </w:tcPr>
          <w:p w14:paraId="1F938EFD" w14:textId="77777777" w:rsidR="000E38AF" w:rsidRPr="00F35393" w:rsidRDefault="000E38AF" w:rsidP="0005068C">
            <w:pPr>
              <w:pStyle w:val="TableNText"/>
              <w:rPr>
                <w:sz w:val="19"/>
                <w:szCs w:val="19"/>
              </w:rPr>
            </w:pPr>
          </w:p>
        </w:tc>
        <w:tc>
          <w:tcPr>
            <w:tcW w:w="1216" w:type="dxa"/>
          </w:tcPr>
          <w:p w14:paraId="7AE13016" w14:textId="77777777" w:rsidR="000E38AF" w:rsidRPr="00F35393" w:rsidRDefault="000E38AF" w:rsidP="0005068C">
            <w:pPr>
              <w:pStyle w:val="TableNText"/>
              <w:rPr>
                <w:sz w:val="19"/>
                <w:szCs w:val="19"/>
              </w:rPr>
            </w:pPr>
            <w:r>
              <w:rPr>
                <w:sz w:val="19"/>
                <w:szCs w:val="19"/>
              </w:rPr>
              <w:t>10.7</w:t>
            </w:r>
          </w:p>
        </w:tc>
      </w:tr>
      <w:tr w:rsidR="000E38AF" w14:paraId="59A49EE4" w14:textId="77777777" w:rsidTr="0005068C">
        <w:trPr>
          <w:cnfStyle w:val="000000010000" w:firstRow="0" w:lastRow="0" w:firstColumn="0" w:lastColumn="0" w:oddVBand="0" w:evenVBand="0" w:oddHBand="0" w:evenHBand="1" w:firstRowFirstColumn="0" w:firstRowLastColumn="0" w:lastRowFirstColumn="0" w:lastRowLastColumn="0"/>
        </w:trPr>
        <w:tc>
          <w:tcPr>
            <w:tcW w:w="1954" w:type="dxa"/>
          </w:tcPr>
          <w:p w14:paraId="6558C990" w14:textId="77777777" w:rsidR="000E38AF" w:rsidRPr="00F35393" w:rsidRDefault="000E38AF" w:rsidP="0005068C">
            <w:pPr>
              <w:pStyle w:val="TableNText"/>
              <w:rPr>
                <w:rFonts w:asciiTheme="majorHAnsi" w:hAnsiTheme="majorHAnsi" w:cstheme="majorHAnsi"/>
                <w:sz w:val="19"/>
                <w:szCs w:val="19"/>
              </w:rPr>
            </w:pPr>
            <w:r w:rsidRPr="00F35393">
              <w:rPr>
                <w:rFonts w:asciiTheme="majorHAnsi" w:hAnsiTheme="majorHAnsi" w:cstheme="majorHAnsi"/>
                <w:sz w:val="19"/>
                <w:szCs w:val="19"/>
              </w:rPr>
              <w:t>Benefits Cost Ratio (BCR)</w:t>
            </w:r>
          </w:p>
        </w:tc>
        <w:tc>
          <w:tcPr>
            <w:tcW w:w="1462" w:type="dxa"/>
          </w:tcPr>
          <w:p w14:paraId="1A398B5B" w14:textId="77777777" w:rsidR="000E38AF" w:rsidRPr="00F35393" w:rsidRDefault="000E38AF" w:rsidP="0005068C">
            <w:pPr>
              <w:pStyle w:val="TableNText"/>
              <w:rPr>
                <w:sz w:val="19"/>
                <w:szCs w:val="19"/>
              </w:rPr>
            </w:pPr>
          </w:p>
        </w:tc>
        <w:tc>
          <w:tcPr>
            <w:tcW w:w="1575" w:type="dxa"/>
          </w:tcPr>
          <w:p w14:paraId="2CA3E712" w14:textId="77777777" w:rsidR="000E38AF" w:rsidRPr="00F35393" w:rsidRDefault="000E38AF" w:rsidP="0005068C">
            <w:pPr>
              <w:pStyle w:val="TableNText"/>
              <w:rPr>
                <w:sz w:val="19"/>
                <w:szCs w:val="19"/>
              </w:rPr>
            </w:pPr>
          </w:p>
        </w:tc>
        <w:tc>
          <w:tcPr>
            <w:tcW w:w="1277" w:type="dxa"/>
          </w:tcPr>
          <w:p w14:paraId="26E45C2E" w14:textId="77777777" w:rsidR="000E38AF" w:rsidRPr="00F35393" w:rsidRDefault="000E38AF" w:rsidP="0005068C">
            <w:pPr>
              <w:pStyle w:val="TableNText"/>
              <w:rPr>
                <w:sz w:val="19"/>
                <w:szCs w:val="19"/>
              </w:rPr>
            </w:pPr>
          </w:p>
        </w:tc>
        <w:tc>
          <w:tcPr>
            <w:tcW w:w="1446" w:type="dxa"/>
          </w:tcPr>
          <w:p w14:paraId="21B124DC" w14:textId="77777777" w:rsidR="000E38AF" w:rsidRPr="00F35393" w:rsidRDefault="000E38AF" w:rsidP="0005068C">
            <w:pPr>
              <w:pStyle w:val="TableNText"/>
              <w:rPr>
                <w:sz w:val="19"/>
                <w:szCs w:val="19"/>
              </w:rPr>
            </w:pPr>
          </w:p>
        </w:tc>
        <w:tc>
          <w:tcPr>
            <w:tcW w:w="1216" w:type="dxa"/>
          </w:tcPr>
          <w:p w14:paraId="23DFBEBA" w14:textId="77777777" w:rsidR="000E38AF" w:rsidRPr="00F35393" w:rsidRDefault="000E38AF" w:rsidP="0005068C">
            <w:pPr>
              <w:pStyle w:val="TableNText"/>
              <w:rPr>
                <w:b/>
                <w:bCs/>
                <w:sz w:val="19"/>
                <w:szCs w:val="19"/>
              </w:rPr>
            </w:pPr>
            <w:r w:rsidRPr="00F35393">
              <w:rPr>
                <w:b/>
                <w:bCs/>
                <w:sz w:val="19"/>
                <w:szCs w:val="19"/>
              </w:rPr>
              <w:t>1.0</w:t>
            </w:r>
            <w:r>
              <w:rPr>
                <w:b/>
                <w:bCs/>
                <w:sz w:val="19"/>
                <w:szCs w:val="19"/>
              </w:rPr>
              <w:t>5</w:t>
            </w:r>
          </w:p>
        </w:tc>
      </w:tr>
    </w:tbl>
    <w:p w14:paraId="1B7068F2" w14:textId="77777777" w:rsidR="000E38AF" w:rsidRPr="007F7BD5" w:rsidRDefault="000E38AF" w:rsidP="000E38AF">
      <w:pPr>
        <w:rPr>
          <w:lang w:eastAsia="en-AU"/>
        </w:rPr>
      </w:pPr>
    </w:p>
    <w:p w14:paraId="4276D6C5" w14:textId="32B6AF8B" w:rsidR="000E38AF" w:rsidRDefault="000E38AF" w:rsidP="000E38AF">
      <w:pPr>
        <w:rPr>
          <w:lang w:eastAsia="en-AU"/>
        </w:rPr>
      </w:pPr>
      <w:r>
        <w:rPr>
          <w:lang w:eastAsia="en-AU"/>
        </w:rPr>
        <w:t xml:space="preserve">The same information for Option 2 is shown in </w:t>
      </w:r>
      <w:r>
        <w:rPr>
          <w:lang w:eastAsia="en-AU"/>
        </w:rPr>
        <w:fldChar w:fldCharType="begin"/>
      </w:r>
      <w:r>
        <w:rPr>
          <w:lang w:eastAsia="en-AU"/>
        </w:rPr>
        <w:instrText xml:space="preserve"> REF _Ref149489039 \h </w:instrText>
      </w:r>
      <w:r>
        <w:rPr>
          <w:lang w:eastAsia="en-AU"/>
        </w:rPr>
      </w:r>
      <w:r>
        <w:rPr>
          <w:lang w:eastAsia="en-AU"/>
        </w:rPr>
        <w:fldChar w:fldCharType="separate"/>
      </w:r>
      <w:r w:rsidR="003F7B92">
        <w:t xml:space="preserve">Table </w:t>
      </w:r>
      <w:r w:rsidR="003F7B92">
        <w:rPr>
          <w:noProof/>
        </w:rPr>
        <w:t>3</w:t>
      </w:r>
      <w:r>
        <w:rPr>
          <w:lang w:eastAsia="en-AU"/>
        </w:rPr>
        <w:fldChar w:fldCharType="end"/>
      </w:r>
      <w:r>
        <w:rPr>
          <w:lang w:eastAsia="en-AU"/>
        </w:rPr>
        <w:t xml:space="preserve">. The distribution of the costs and benefits for Option 2 reflects a greater share of food regulation costs across the system, a greater level of resourcing for FSANZ, resulting in lower industry costs and higher public health benefits. Compared to Option 1, Option 2 delivers higher net present value </w:t>
      </w:r>
      <w:r>
        <w:rPr>
          <w:rFonts w:ascii="Arial" w:hAnsi="Arial" w:cs="Arial"/>
          <w:color w:val="202124"/>
          <w:sz w:val="21"/>
          <w:szCs w:val="21"/>
          <w:shd w:val="clear" w:color="auto" w:fill="FFFFFF"/>
        </w:rPr>
        <w:t>—</w:t>
      </w:r>
      <w:r>
        <w:rPr>
          <w:lang w:eastAsia="en-AU"/>
        </w:rPr>
        <w:t xml:space="preserve"> $208.6 million compared to $10.7 million with a BCR of 1.63. This suggests that Option 2 is more effective than Option 1 in delivering public health benefits. Of note, there are many costs and benefits in this model that can further qualified but cannot be reliably quantified. </w:t>
      </w:r>
    </w:p>
    <w:p w14:paraId="641A08A6" w14:textId="2AC29E54" w:rsidR="000E38AF" w:rsidRDefault="000E38AF" w:rsidP="000E38AF">
      <w:pPr>
        <w:pStyle w:val="Caption"/>
      </w:pPr>
      <w:bookmarkStart w:id="9" w:name="_Ref149489039"/>
      <w:bookmarkStart w:id="10" w:name="_Ref153434435"/>
      <w:bookmarkStart w:id="11" w:name="_Ref150509853"/>
      <w:r>
        <w:t xml:space="preserve">Table </w:t>
      </w:r>
      <w:r>
        <w:fldChar w:fldCharType="begin"/>
      </w:r>
      <w:r>
        <w:instrText xml:space="preserve"> SEQ Table \* ARABIC </w:instrText>
      </w:r>
      <w:r>
        <w:fldChar w:fldCharType="separate"/>
      </w:r>
      <w:r w:rsidR="003F7B92">
        <w:rPr>
          <w:noProof/>
        </w:rPr>
        <w:t>3</w:t>
      </w:r>
      <w:r>
        <w:fldChar w:fldCharType="end"/>
      </w:r>
      <w:bookmarkEnd w:id="9"/>
      <w:r>
        <w:t xml:space="preserve"> | </w:t>
      </w:r>
      <w:r w:rsidRPr="00816FB1">
        <w:t xml:space="preserve">Distribution of </w:t>
      </w:r>
      <w:r>
        <w:t xml:space="preserve">present value </w:t>
      </w:r>
      <w:r w:rsidRPr="00816FB1">
        <w:t>costs and benefits for Option 2 (</w:t>
      </w:r>
      <w:r>
        <w:t xml:space="preserve">AUD </w:t>
      </w:r>
      <w:r w:rsidRPr="00816FB1">
        <w:t>$m)</w:t>
      </w:r>
      <w:r>
        <w:t xml:space="preserve"> </w:t>
      </w:r>
      <w:r w:rsidRPr="00816FB1">
        <w:t xml:space="preserve">over </w:t>
      </w:r>
      <w:r>
        <w:t>ten</w:t>
      </w:r>
      <w:r w:rsidRPr="00816FB1">
        <w:t xml:space="preserve"> years</w:t>
      </w:r>
      <w:bookmarkEnd w:id="10"/>
      <w:r w:rsidRPr="00816FB1">
        <w:t xml:space="preserve"> </w:t>
      </w:r>
    </w:p>
    <w:bookmarkEnd w:id="11"/>
    <w:tbl>
      <w:tblPr>
        <w:tblStyle w:val="TableGrid"/>
        <w:tblW w:w="8930" w:type="dxa"/>
        <w:tblLook w:val="04A0" w:firstRow="1" w:lastRow="0" w:firstColumn="1" w:lastColumn="0" w:noHBand="0" w:noVBand="1"/>
      </w:tblPr>
      <w:tblGrid>
        <w:gridCol w:w="1864"/>
        <w:gridCol w:w="1387"/>
        <w:gridCol w:w="1560"/>
        <w:gridCol w:w="1553"/>
        <w:gridCol w:w="1387"/>
        <w:gridCol w:w="1179"/>
      </w:tblGrid>
      <w:tr w:rsidR="000E38AF" w14:paraId="4331933D" w14:textId="77777777">
        <w:trPr>
          <w:cnfStyle w:val="100000000000" w:firstRow="1" w:lastRow="0" w:firstColumn="0" w:lastColumn="0" w:oddVBand="0" w:evenVBand="0" w:oddHBand="0" w:evenHBand="0" w:firstRowFirstColumn="0" w:firstRowLastColumn="0" w:lastRowFirstColumn="0" w:lastRowLastColumn="0"/>
        </w:trPr>
        <w:tc>
          <w:tcPr>
            <w:tcW w:w="1864" w:type="dxa"/>
          </w:tcPr>
          <w:p w14:paraId="55CAB446" w14:textId="77777777" w:rsidR="000E38AF" w:rsidRDefault="000E38AF" w:rsidP="0005068C">
            <w:pPr>
              <w:pStyle w:val="TableNheader"/>
            </w:pPr>
          </w:p>
        </w:tc>
        <w:tc>
          <w:tcPr>
            <w:tcW w:w="1387" w:type="dxa"/>
          </w:tcPr>
          <w:p w14:paraId="5C72D7D1" w14:textId="77777777" w:rsidR="000E38AF" w:rsidRPr="00277CAF" w:rsidRDefault="000E38AF" w:rsidP="0005068C">
            <w:pPr>
              <w:pStyle w:val="TableNheader"/>
              <w:rPr>
                <w:rFonts w:asciiTheme="majorHAnsi" w:hAnsiTheme="majorHAnsi" w:cstheme="majorHAnsi"/>
              </w:rPr>
            </w:pPr>
            <w:r w:rsidRPr="00277CAF">
              <w:rPr>
                <w:rFonts w:asciiTheme="majorHAnsi" w:hAnsiTheme="majorHAnsi" w:cstheme="majorHAnsi"/>
              </w:rPr>
              <w:t>FSANZ</w:t>
            </w:r>
          </w:p>
        </w:tc>
        <w:tc>
          <w:tcPr>
            <w:tcW w:w="1560" w:type="dxa"/>
          </w:tcPr>
          <w:p w14:paraId="3CCE4677" w14:textId="77777777" w:rsidR="000E38AF" w:rsidRPr="00277CAF" w:rsidRDefault="000E38AF" w:rsidP="0005068C">
            <w:pPr>
              <w:pStyle w:val="TableNheader"/>
              <w:rPr>
                <w:rFonts w:asciiTheme="majorHAnsi" w:hAnsiTheme="majorHAnsi" w:cstheme="majorHAnsi"/>
              </w:rPr>
            </w:pPr>
            <w:r w:rsidRPr="00277CAF">
              <w:rPr>
                <w:rFonts w:asciiTheme="majorHAnsi" w:hAnsiTheme="majorHAnsi" w:cstheme="majorHAnsi"/>
              </w:rPr>
              <w:t>Other government entities</w:t>
            </w:r>
          </w:p>
        </w:tc>
        <w:tc>
          <w:tcPr>
            <w:tcW w:w="1553" w:type="dxa"/>
          </w:tcPr>
          <w:p w14:paraId="50721F64" w14:textId="77777777" w:rsidR="000E38AF" w:rsidRPr="00277CAF" w:rsidRDefault="000E38AF" w:rsidP="0005068C">
            <w:pPr>
              <w:pStyle w:val="TableNheader"/>
              <w:rPr>
                <w:rFonts w:asciiTheme="majorHAnsi" w:hAnsiTheme="majorHAnsi" w:cstheme="majorHAnsi"/>
              </w:rPr>
            </w:pPr>
            <w:r w:rsidRPr="00277CAF">
              <w:rPr>
                <w:rFonts w:asciiTheme="majorHAnsi" w:hAnsiTheme="majorHAnsi" w:cstheme="majorHAnsi"/>
              </w:rPr>
              <w:t>Industry</w:t>
            </w:r>
          </w:p>
        </w:tc>
        <w:tc>
          <w:tcPr>
            <w:tcW w:w="1387" w:type="dxa"/>
          </w:tcPr>
          <w:p w14:paraId="452B2934" w14:textId="77777777" w:rsidR="000E38AF" w:rsidRPr="00277CAF" w:rsidRDefault="000E38AF" w:rsidP="0005068C">
            <w:pPr>
              <w:pStyle w:val="TableNheader"/>
              <w:rPr>
                <w:rFonts w:asciiTheme="majorHAnsi" w:hAnsiTheme="majorHAnsi" w:cstheme="majorHAnsi"/>
              </w:rPr>
            </w:pPr>
            <w:r w:rsidRPr="00277CAF">
              <w:rPr>
                <w:rFonts w:asciiTheme="majorHAnsi" w:hAnsiTheme="majorHAnsi" w:cstheme="majorHAnsi"/>
              </w:rPr>
              <w:t>Consumers</w:t>
            </w:r>
          </w:p>
        </w:tc>
        <w:tc>
          <w:tcPr>
            <w:tcW w:w="1179" w:type="dxa"/>
          </w:tcPr>
          <w:p w14:paraId="23D87C9F" w14:textId="77777777" w:rsidR="000E38AF" w:rsidRPr="00277CAF" w:rsidRDefault="000E38AF" w:rsidP="0005068C">
            <w:pPr>
              <w:pStyle w:val="TableNheader"/>
              <w:rPr>
                <w:rFonts w:asciiTheme="majorHAnsi" w:hAnsiTheme="majorHAnsi" w:cstheme="majorHAnsi"/>
              </w:rPr>
            </w:pPr>
            <w:r w:rsidRPr="00277CAF">
              <w:rPr>
                <w:rFonts w:asciiTheme="majorHAnsi" w:hAnsiTheme="majorHAnsi" w:cstheme="majorHAnsi"/>
              </w:rPr>
              <w:t>Total</w:t>
            </w:r>
          </w:p>
        </w:tc>
      </w:tr>
      <w:tr w:rsidR="000E38AF" w14:paraId="0CF1146A" w14:textId="77777777" w:rsidTr="0005068C">
        <w:trPr>
          <w:cnfStyle w:val="000000100000" w:firstRow="0" w:lastRow="0" w:firstColumn="0" w:lastColumn="0" w:oddVBand="0" w:evenVBand="0" w:oddHBand="1" w:evenHBand="0" w:firstRowFirstColumn="0" w:firstRowLastColumn="0" w:lastRowFirstColumn="0" w:lastRowLastColumn="0"/>
        </w:trPr>
        <w:tc>
          <w:tcPr>
            <w:tcW w:w="1864" w:type="dxa"/>
          </w:tcPr>
          <w:p w14:paraId="5FEA5CD5" w14:textId="77777777" w:rsidR="000E38AF" w:rsidRPr="00F35393" w:rsidRDefault="000E38AF" w:rsidP="0005068C">
            <w:pPr>
              <w:pStyle w:val="TableNText"/>
              <w:rPr>
                <w:sz w:val="19"/>
                <w:szCs w:val="19"/>
              </w:rPr>
            </w:pPr>
            <w:r w:rsidRPr="00F35393">
              <w:rPr>
                <w:sz w:val="19"/>
                <w:szCs w:val="19"/>
              </w:rPr>
              <w:t>Costs</w:t>
            </w:r>
          </w:p>
        </w:tc>
        <w:tc>
          <w:tcPr>
            <w:tcW w:w="1387" w:type="dxa"/>
          </w:tcPr>
          <w:p w14:paraId="3CF830C5" w14:textId="77777777" w:rsidR="000E38AF" w:rsidRPr="00F35393" w:rsidRDefault="000E38AF" w:rsidP="0005068C">
            <w:pPr>
              <w:pStyle w:val="TableNText"/>
              <w:rPr>
                <w:sz w:val="19"/>
                <w:szCs w:val="19"/>
              </w:rPr>
            </w:pPr>
            <w:r>
              <w:rPr>
                <w:sz w:val="19"/>
                <w:szCs w:val="19"/>
              </w:rPr>
              <w:t>166.8</w:t>
            </w:r>
          </w:p>
        </w:tc>
        <w:tc>
          <w:tcPr>
            <w:tcW w:w="1560" w:type="dxa"/>
          </w:tcPr>
          <w:p w14:paraId="1873C3CB" w14:textId="77777777" w:rsidR="000E38AF" w:rsidRPr="00F35393" w:rsidRDefault="000E38AF" w:rsidP="0005068C">
            <w:pPr>
              <w:pStyle w:val="TableNText"/>
              <w:rPr>
                <w:sz w:val="19"/>
                <w:szCs w:val="19"/>
              </w:rPr>
            </w:pPr>
            <w:r>
              <w:rPr>
                <w:sz w:val="19"/>
                <w:szCs w:val="19"/>
              </w:rPr>
              <w:t>58.6</w:t>
            </w:r>
          </w:p>
        </w:tc>
        <w:tc>
          <w:tcPr>
            <w:tcW w:w="1553" w:type="dxa"/>
          </w:tcPr>
          <w:p w14:paraId="2C2B0E80" w14:textId="77777777" w:rsidR="000E38AF" w:rsidRPr="00F35393" w:rsidRDefault="000E38AF" w:rsidP="0005068C">
            <w:pPr>
              <w:pStyle w:val="TableNText"/>
              <w:rPr>
                <w:sz w:val="19"/>
                <w:szCs w:val="19"/>
              </w:rPr>
            </w:pPr>
            <w:r>
              <w:rPr>
                <w:sz w:val="19"/>
                <w:szCs w:val="19"/>
              </w:rPr>
              <w:t>29.2</w:t>
            </w:r>
          </w:p>
        </w:tc>
        <w:tc>
          <w:tcPr>
            <w:tcW w:w="1387" w:type="dxa"/>
          </w:tcPr>
          <w:p w14:paraId="0AD8107B" w14:textId="77777777" w:rsidR="000E38AF" w:rsidRPr="00F35393" w:rsidRDefault="000E38AF" w:rsidP="0005068C">
            <w:pPr>
              <w:pStyle w:val="TableNText"/>
              <w:rPr>
                <w:sz w:val="19"/>
                <w:szCs w:val="19"/>
              </w:rPr>
            </w:pPr>
            <w:r>
              <w:rPr>
                <w:sz w:val="19"/>
                <w:szCs w:val="19"/>
              </w:rPr>
              <w:t>75.2</w:t>
            </w:r>
          </w:p>
        </w:tc>
        <w:tc>
          <w:tcPr>
            <w:tcW w:w="1179" w:type="dxa"/>
          </w:tcPr>
          <w:p w14:paraId="1DFCF934" w14:textId="77777777" w:rsidR="000E38AF" w:rsidRPr="00F35393" w:rsidRDefault="000E38AF" w:rsidP="0005068C">
            <w:pPr>
              <w:pStyle w:val="TableNText"/>
              <w:rPr>
                <w:sz w:val="19"/>
                <w:szCs w:val="19"/>
              </w:rPr>
            </w:pPr>
            <w:r>
              <w:rPr>
                <w:sz w:val="19"/>
                <w:szCs w:val="19"/>
              </w:rPr>
              <w:t>329.8</w:t>
            </w:r>
          </w:p>
        </w:tc>
      </w:tr>
      <w:tr w:rsidR="000E38AF" w14:paraId="53418180" w14:textId="77777777" w:rsidTr="0005068C">
        <w:trPr>
          <w:cnfStyle w:val="000000010000" w:firstRow="0" w:lastRow="0" w:firstColumn="0" w:lastColumn="0" w:oddVBand="0" w:evenVBand="0" w:oddHBand="0" w:evenHBand="1" w:firstRowFirstColumn="0" w:firstRowLastColumn="0" w:lastRowFirstColumn="0" w:lastRowLastColumn="0"/>
        </w:trPr>
        <w:tc>
          <w:tcPr>
            <w:tcW w:w="1864" w:type="dxa"/>
          </w:tcPr>
          <w:p w14:paraId="17A8D5CA" w14:textId="77777777" w:rsidR="000E38AF" w:rsidRPr="00F35393" w:rsidRDefault="000E38AF" w:rsidP="0005068C">
            <w:pPr>
              <w:pStyle w:val="TableNText"/>
              <w:rPr>
                <w:sz w:val="19"/>
                <w:szCs w:val="19"/>
              </w:rPr>
            </w:pPr>
            <w:r w:rsidRPr="00F35393">
              <w:rPr>
                <w:sz w:val="19"/>
                <w:szCs w:val="19"/>
              </w:rPr>
              <w:t>Benefits</w:t>
            </w:r>
          </w:p>
        </w:tc>
        <w:tc>
          <w:tcPr>
            <w:tcW w:w="1387" w:type="dxa"/>
          </w:tcPr>
          <w:p w14:paraId="431E7176" w14:textId="77777777" w:rsidR="000E38AF" w:rsidRPr="00F35393" w:rsidRDefault="000E38AF" w:rsidP="0005068C">
            <w:pPr>
              <w:pStyle w:val="TableNText"/>
              <w:rPr>
                <w:sz w:val="19"/>
                <w:szCs w:val="19"/>
              </w:rPr>
            </w:pPr>
            <w:r>
              <w:rPr>
                <w:sz w:val="19"/>
                <w:szCs w:val="19"/>
              </w:rPr>
              <w:t>133.8</w:t>
            </w:r>
          </w:p>
        </w:tc>
        <w:tc>
          <w:tcPr>
            <w:tcW w:w="1560" w:type="dxa"/>
          </w:tcPr>
          <w:p w14:paraId="01F395DC" w14:textId="77777777" w:rsidR="000E38AF" w:rsidRPr="00F35393" w:rsidRDefault="000E38AF" w:rsidP="0005068C">
            <w:pPr>
              <w:pStyle w:val="TableNText"/>
              <w:rPr>
                <w:sz w:val="19"/>
                <w:szCs w:val="19"/>
              </w:rPr>
            </w:pPr>
            <w:r w:rsidRPr="00F35393">
              <w:rPr>
                <w:sz w:val="19"/>
                <w:szCs w:val="19"/>
              </w:rPr>
              <w:t>-</w:t>
            </w:r>
          </w:p>
        </w:tc>
        <w:tc>
          <w:tcPr>
            <w:tcW w:w="1553" w:type="dxa"/>
          </w:tcPr>
          <w:p w14:paraId="78C8D22A" w14:textId="77777777" w:rsidR="000E38AF" w:rsidRPr="00F35393" w:rsidRDefault="000E38AF" w:rsidP="0005068C">
            <w:pPr>
              <w:pStyle w:val="TableNText"/>
              <w:rPr>
                <w:sz w:val="19"/>
                <w:szCs w:val="19"/>
              </w:rPr>
            </w:pPr>
            <w:r>
              <w:rPr>
                <w:sz w:val="19"/>
                <w:szCs w:val="19"/>
              </w:rPr>
              <w:t>115.9</w:t>
            </w:r>
          </w:p>
        </w:tc>
        <w:tc>
          <w:tcPr>
            <w:tcW w:w="1387" w:type="dxa"/>
          </w:tcPr>
          <w:p w14:paraId="4B338CC5" w14:textId="77777777" w:rsidR="000E38AF" w:rsidRPr="00F35393" w:rsidRDefault="000E38AF" w:rsidP="0005068C">
            <w:pPr>
              <w:pStyle w:val="TableNText"/>
              <w:rPr>
                <w:sz w:val="19"/>
                <w:szCs w:val="19"/>
              </w:rPr>
            </w:pPr>
            <w:r>
              <w:rPr>
                <w:sz w:val="19"/>
                <w:szCs w:val="19"/>
              </w:rPr>
              <w:t>288.7</w:t>
            </w:r>
          </w:p>
        </w:tc>
        <w:tc>
          <w:tcPr>
            <w:tcW w:w="1179" w:type="dxa"/>
          </w:tcPr>
          <w:p w14:paraId="13AC478C" w14:textId="77777777" w:rsidR="000E38AF" w:rsidRPr="00F35393" w:rsidRDefault="000E38AF" w:rsidP="0005068C">
            <w:pPr>
              <w:pStyle w:val="TableNText"/>
              <w:rPr>
                <w:sz w:val="19"/>
                <w:szCs w:val="19"/>
              </w:rPr>
            </w:pPr>
            <w:r>
              <w:rPr>
                <w:sz w:val="19"/>
                <w:szCs w:val="19"/>
              </w:rPr>
              <w:t>538.3</w:t>
            </w:r>
          </w:p>
        </w:tc>
      </w:tr>
      <w:tr w:rsidR="000E38AF" w14:paraId="496D4C14" w14:textId="77777777" w:rsidTr="0005068C">
        <w:trPr>
          <w:cnfStyle w:val="000000100000" w:firstRow="0" w:lastRow="0" w:firstColumn="0" w:lastColumn="0" w:oddVBand="0" w:evenVBand="0" w:oddHBand="1" w:evenHBand="0" w:firstRowFirstColumn="0" w:firstRowLastColumn="0" w:lastRowFirstColumn="0" w:lastRowLastColumn="0"/>
        </w:trPr>
        <w:tc>
          <w:tcPr>
            <w:tcW w:w="1864" w:type="dxa"/>
          </w:tcPr>
          <w:p w14:paraId="1311FBD2" w14:textId="77777777" w:rsidR="000E38AF" w:rsidRPr="00F35393" w:rsidRDefault="000E38AF" w:rsidP="0005068C">
            <w:pPr>
              <w:pStyle w:val="TableNText"/>
              <w:rPr>
                <w:rFonts w:asciiTheme="majorHAnsi" w:hAnsiTheme="majorHAnsi" w:cstheme="majorHAnsi"/>
                <w:i/>
                <w:iCs/>
                <w:sz w:val="19"/>
                <w:szCs w:val="19"/>
              </w:rPr>
            </w:pPr>
            <w:r w:rsidRPr="00F35393">
              <w:rPr>
                <w:rFonts w:asciiTheme="majorHAnsi" w:hAnsiTheme="majorHAnsi" w:cstheme="majorHAnsi"/>
                <w:sz w:val="19"/>
                <w:szCs w:val="19"/>
              </w:rPr>
              <w:t>Net benefits</w:t>
            </w:r>
          </w:p>
        </w:tc>
        <w:tc>
          <w:tcPr>
            <w:tcW w:w="1387" w:type="dxa"/>
          </w:tcPr>
          <w:p w14:paraId="33F6657B" w14:textId="77777777" w:rsidR="000E38AF" w:rsidRPr="00F35393" w:rsidRDefault="000E38AF" w:rsidP="0005068C">
            <w:pPr>
              <w:pStyle w:val="TableNText"/>
              <w:rPr>
                <w:sz w:val="19"/>
                <w:szCs w:val="19"/>
              </w:rPr>
            </w:pPr>
          </w:p>
        </w:tc>
        <w:tc>
          <w:tcPr>
            <w:tcW w:w="1560" w:type="dxa"/>
          </w:tcPr>
          <w:p w14:paraId="0E9FF062" w14:textId="77777777" w:rsidR="000E38AF" w:rsidRPr="00F35393" w:rsidRDefault="000E38AF" w:rsidP="0005068C">
            <w:pPr>
              <w:pStyle w:val="TableNText"/>
              <w:rPr>
                <w:sz w:val="19"/>
                <w:szCs w:val="19"/>
              </w:rPr>
            </w:pPr>
          </w:p>
        </w:tc>
        <w:tc>
          <w:tcPr>
            <w:tcW w:w="1553" w:type="dxa"/>
          </w:tcPr>
          <w:p w14:paraId="28D5AB22" w14:textId="77777777" w:rsidR="000E38AF" w:rsidRPr="00F35393" w:rsidRDefault="000E38AF" w:rsidP="0005068C">
            <w:pPr>
              <w:pStyle w:val="TableNText"/>
              <w:rPr>
                <w:sz w:val="19"/>
                <w:szCs w:val="19"/>
              </w:rPr>
            </w:pPr>
          </w:p>
        </w:tc>
        <w:tc>
          <w:tcPr>
            <w:tcW w:w="1387" w:type="dxa"/>
          </w:tcPr>
          <w:p w14:paraId="2812EE6D" w14:textId="77777777" w:rsidR="000E38AF" w:rsidRPr="00F35393" w:rsidRDefault="000E38AF" w:rsidP="0005068C">
            <w:pPr>
              <w:pStyle w:val="TableNText"/>
              <w:rPr>
                <w:sz w:val="19"/>
                <w:szCs w:val="19"/>
              </w:rPr>
            </w:pPr>
          </w:p>
        </w:tc>
        <w:tc>
          <w:tcPr>
            <w:tcW w:w="1179" w:type="dxa"/>
          </w:tcPr>
          <w:p w14:paraId="7951927A" w14:textId="77777777" w:rsidR="000E38AF" w:rsidRPr="00F35393" w:rsidRDefault="000E38AF" w:rsidP="0005068C">
            <w:pPr>
              <w:pStyle w:val="TableNText"/>
              <w:rPr>
                <w:rFonts w:asciiTheme="majorHAnsi" w:hAnsiTheme="majorHAnsi" w:cstheme="majorHAnsi"/>
                <w:sz w:val="19"/>
                <w:szCs w:val="19"/>
              </w:rPr>
            </w:pPr>
            <w:r>
              <w:rPr>
                <w:rFonts w:asciiTheme="majorHAnsi" w:hAnsiTheme="majorHAnsi" w:cstheme="majorHAnsi"/>
                <w:sz w:val="19"/>
                <w:szCs w:val="19"/>
              </w:rPr>
              <w:t>208.6</w:t>
            </w:r>
          </w:p>
        </w:tc>
      </w:tr>
      <w:tr w:rsidR="000E38AF" w14:paraId="11D1A402" w14:textId="77777777" w:rsidTr="0005068C">
        <w:trPr>
          <w:cnfStyle w:val="000000010000" w:firstRow="0" w:lastRow="0" w:firstColumn="0" w:lastColumn="0" w:oddVBand="0" w:evenVBand="0" w:oddHBand="0" w:evenHBand="1" w:firstRowFirstColumn="0" w:firstRowLastColumn="0" w:lastRowFirstColumn="0" w:lastRowLastColumn="0"/>
        </w:trPr>
        <w:tc>
          <w:tcPr>
            <w:tcW w:w="1864" w:type="dxa"/>
          </w:tcPr>
          <w:p w14:paraId="010C7B8D" w14:textId="77777777" w:rsidR="000E38AF" w:rsidRPr="00F35393" w:rsidRDefault="000E38AF" w:rsidP="0005068C">
            <w:pPr>
              <w:pStyle w:val="TableNText"/>
              <w:rPr>
                <w:rFonts w:asciiTheme="majorHAnsi" w:hAnsiTheme="majorHAnsi" w:cstheme="majorHAnsi"/>
                <w:sz w:val="19"/>
                <w:szCs w:val="19"/>
              </w:rPr>
            </w:pPr>
            <w:r w:rsidRPr="00F35393">
              <w:rPr>
                <w:rFonts w:asciiTheme="majorHAnsi" w:hAnsiTheme="majorHAnsi" w:cstheme="majorHAnsi"/>
                <w:sz w:val="19"/>
                <w:szCs w:val="19"/>
              </w:rPr>
              <w:t>Benefits Cost Ratio (BCR)</w:t>
            </w:r>
          </w:p>
        </w:tc>
        <w:tc>
          <w:tcPr>
            <w:tcW w:w="1387" w:type="dxa"/>
          </w:tcPr>
          <w:p w14:paraId="56EC935B" w14:textId="77777777" w:rsidR="000E38AF" w:rsidRPr="00F35393" w:rsidRDefault="000E38AF" w:rsidP="0005068C">
            <w:pPr>
              <w:pStyle w:val="TableNText"/>
              <w:rPr>
                <w:sz w:val="19"/>
                <w:szCs w:val="19"/>
              </w:rPr>
            </w:pPr>
          </w:p>
        </w:tc>
        <w:tc>
          <w:tcPr>
            <w:tcW w:w="1560" w:type="dxa"/>
          </w:tcPr>
          <w:p w14:paraId="4CDE00AC" w14:textId="77777777" w:rsidR="000E38AF" w:rsidRPr="00F35393" w:rsidRDefault="000E38AF" w:rsidP="0005068C">
            <w:pPr>
              <w:pStyle w:val="TableNText"/>
              <w:rPr>
                <w:sz w:val="19"/>
                <w:szCs w:val="19"/>
              </w:rPr>
            </w:pPr>
          </w:p>
        </w:tc>
        <w:tc>
          <w:tcPr>
            <w:tcW w:w="1553" w:type="dxa"/>
          </w:tcPr>
          <w:p w14:paraId="7BCC9A07" w14:textId="77777777" w:rsidR="000E38AF" w:rsidRPr="00F35393" w:rsidRDefault="000E38AF" w:rsidP="0005068C">
            <w:pPr>
              <w:pStyle w:val="TableNText"/>
              <w:rPr>
                <w:sz w:val="19"/>
                <w:szCs w:val="19"/>
              </w:rPr>
            </w:pPr>
          </w:p>
        </w:tc>
        <w:tc>
          <w:tcPr>
            <w:tcW w:w="1387" w:type="dxa"/>
          </w:tcPr>
          <w:p w14:paraId="733DECAF" w14:textId="77777777" w:rsidR="000E38AF" w:rsidRPr="00F35393" w:rsidRDefault="000E38AF" w:rsidP="0005068C">
            <w:pPr>
              <w:pStyle w:val="TableNText"/>
              <w:rPr>
                <w:sz w:val="19"/>
                <w:szCs w:val="19"/>
              </w:rPr>
            </w:pPr>
          </w:p>
        </w:tc>
        <w:tc>
          <w:tcPr>
            <w:tcW w:w="1179" w:type="dxa"/>
          </w:tcPr>
          <w:p w14:paraId="29ADF661" w14:textId="77777777" w:rsidR="000E38AF" w:rsidRPr="00F35393" w:rsidRDefault="000E38AF" w:rsidP="0005068C">
            <w:pPr>
              <w:pStyle w:val="TableNText"/>
              <w:rPr>
                <w:rFonts w:asciiTheme="minorHAnsi" w:hAnsiTheme="minorHAnsi"/>
                <w:sz w:val="19"/>
                <w:szCs w:val="19"/>
                <w:lang w:val="en-US"/>
              </w:rPr>
            </w:pPr>
            <w:r>
              <w:rPr>
                <w:rFonts w:asciiTheme="majorHAnsi" w:hAnsiTheme="majorHAnsi" w:cstheme="majorHAnsi"/>
                <w:sz w:val="19"/>
                <w:szCs w:val="19"/>
              </w:rPr>
              <w:t>1.63</w:t>
            </w:r>
          </w:p>
        </w:tc>
      </w:tr>
    </w:tbl>
    <w:p w14:paraId="502F20E4" w14:textId="3FF4E24D" w:rsidR="00EA2257" w:rsidRDefault="00EA2257" w:rsidP="00186F87">
      <w:pPr>
        <w:rPr>
          <w:lang w:eastAsia="en-AU"/>
        </w:rPr>
      </w:pPr>
    </w:p>
    <w:p w14:paraId="54D90C90" w14:textId="67A292F7" w:rsidR="00186F87" w:rsidRDefault="00186F87" w:rsidP="00186F87">
      <w:pPr>
        <w:pStyle w:val="Heading4"/>
      </w:pPr>
      <w:r>
        <w:t>Option 2</w:t>
      </w:r>
      <w:r w:rsidR="00C4264F">
        <w:t xml:space="preserve"> is currently the preferred option – but </w:t>
      </w:r>
      <w:r w:rsidR="007C78E2">
        <w:t>this round of consultation</w:t>
      </w:r>
      <w:r w:rsidR="002A45BF">
        <w:t xml:space="preserve"> will be </w:t>
      </w:r>
      <w:r w:rsidR="007C78E2">
        <w:t>critical</w:t>
      </w:r>
      <w:r w:rsidR="002A45BF">
        <w:t xml:space="preserve"> to </w:t>
      </w:r>
      <w:r w:rsidR="007C78E2">
        <w:t>getting</w:t>
      </w:r>
      <w:r w:rsidR="002A45BF">
        <w:t xml:space="preserve"> the detail </w:t>
      </w:r>
      <w:proofErr w:type="gramStart"/>
      <w:r w:rsidR="002A45BF">
        <w:t>right</w:t>
      </w:r>
      <w:proofErr w:type="gramEnd"/>
    </w:p>
    <w:p w14:paraId="1C245BF3" w14:textId="5E58B6F5" w:rsidR="00186F87" w:rsidRDefault="00186F87" w:rsidP="00186F87">
      <w:pPr>
        <w:rPr>
          <w:lang w:eastAsia="en-AU"/>
        </w:rPr>
      </w:pPr>
      <w:r>
        <w:rPr>
          <w:lang w:eastAsia="en-AU"/>
        </w:rPr>
        <w:t xml:space="preserve">Several consultation questions have been posed through this document, focused on unpacking the strengths, limitations and opportunities </w:t>
      </w:r>
      <w:r w:rsidR="00F768B0">
        <w:rPr>
          <w:lang w:eastAsia="en-AU"/>
        </w:rPr>
        <w:t>associated with options to reform the Act and FSANZ’</w:t>
      </w:r>
      <w:r w:rsidR="000C58D7">
        <w:rPr>
          <w:lang w:eastAsia="en-AU"/>
        </w:rPr>
        <w:t>s</w:t>
      </w:r>
      <w:r w:rsidR="00F768B0">
        <w:rPr>
          <w:lang w:eastAsia="en-AU"/>
        </w:rPr>
        <w:t xml:space="preserve"> operations</w:t>
      </w:r>
      <w:r>
        <w:rPr>
          <w:lang w:eastAsia="en-AU"/>
        </w:rPr>
        <w:t xml:space="preserve">. </w:t>
      </w:r>
    </w:p>
    <w:p w14:paraId="39E84B40" w14:textId="3470D330" w:rsidR="00186F87" w:rsidRPr="0006140F" w:rsidRDefault="00ED7B50" w:rsidP="00186F87">
      <w:pPr>
        <w:rPr>
          <w:lang w:eastAsia="en-AU"/>
        </w:rPr>
      </w:pPr>
      <w:r>
        <w:rPr>
          <w:lang w:eastAsia="en-AU"/>
        </w:rPr>
        <w:t>Feedback to this IA will be received via a public consultation process, hosted on the</w:t>
      </w:r>
      <w:r>
        <w:t xml:space="preserve"> </w:t>
      </w:r>
      <w:r>
        <w:rPr>
          <w:lang w:eastAsia="en-AU"/>
        </w:rPr>
        <w:t>DHAC Consultation Hub and i</w:t>
      </w:r>
      <w:r w:rsidR="00186F87">
        <w:rPr>
          <w:lang w:eastAsia="en-AU"/>
        </w:rPr>
        <w:t xml:space="preserve">nput will be incorporated into a final version of the IA, which will ultimately be considered by Cabinet in Australia and in partnership with the New Zealand Government and course a pathway to reform. </w:t>
      </w:r>
    </w:p>
    <w:p w14:paraId="4F596F18" w14:textId="77777777" w:rsidR="00186F87" w:rsidRPr="00A959B9" w:rsidRDefault="00186F87" w:rsidP="00186F87">
      <w:pPr>
        <w:rPr>
          <w:lang w:eastAsia="en-AU"/>
        </w:rPr>
      </w:pPr>
    </w:p>
    <w:p w14:paraId="5B9F4FCF" w14:textId="77777777" w:rsidR="00C06FD0" w:rsidRDefault="00C06FD0" w:rsidP="00923BE4">
      <w:pPr>
        <w:sectPr w:rsidR="00C06FD0" w:rsidSect="00AE1109">
          <w:headerReference w:type="even" r:id="rId21"/>
          <w:footerReference w:type="default" r:id="rId22"/>
          <w:headerReference w:type="first" r:id="rId23"/>
          <w:footerReference w:type="first" r:id="rId24"/>
          <w:pgSz w:w="11907" w:h="16839" w:code="9"/>
          <w:pgMar w:top="1418" w:right="1418" w:bottom="1701" w:left="1559" w:header="720" w:footer="720" w:gutter="0"/>
          <w:cols w:space="720"/>
          <w:titlePg/>
          <w:docGrid w:linePitch="360"/>
        </w:sectPr>
      </w:pPr>
    </w:p>
    <w:p w14:paraId="081365E6" w14:textId="164B5B84" w:rsidR="00923BE4" w:rsidRPr="000E721F" w:rsidRDefault="000E721F" w:rsidP="00923BE4">
      <w:pPr>
        <w:pStyle w:val="Heading1"/>
        <w:rPr>
          <w:color w:val="FFFFFF" w:themeColor="background1"/>
        </w:rPr>
      </w:pPr>
      <w:bookmarkStart w:id="12" w:name="_Toc157599120"/>
      <w:r w:rsidRPr="000E721F">
        <w:rPr>
          <w:noProof/>
          <w:color w:val="FFFFFF" w:themeColor="background1"/>
        </w:rPr>
        <w:lastRenderedPageBreak/>
        <w:drawing>
          <wp:anchor distT="0" distB="0" distL="114300" distR="114300" simplePos="0" relativeHeight="251658244" behindDoc="1" locked="0" layoutInCell="1" allowOverlap="1" wp14:anchorId="6E38BE4A" wp14:editId="456262B0">
            <wp:simplePos x="0" y="0"/>
            <wp:positionH relativeFrom="margin">
              <wp:posOffset>-984250</wp:posOffset>
            </wp:positionH>
            <wp:positionV relativeFrom="paragraph">
              <wp:posOffset>-904875</wp:posOffset>
            </wp:positionV>
            <wp:extent cx="7581900" cy="129540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b="32669"/>
                    <a:stretch/>
                  </pic:blipFill>
                  <pic:spPr bwMode="auto">
                    <a:xfrm>
                      <a:off x="0" y="0"/>
                      <a:ext cx="75819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BE4" w:rsidRPr="000E721F">
        <w:rPr>
          <w:color w:val="FFFFFF" w:themeColor="background1"/>
        </w:rPr>
        <w:t>Background and context</w:t>
      </w:r>
      <w:bookmarkEnd w:id="12"/>
      <w:r w:rsidR="00923BE4" w:rsidRPr="000E721F">
        <w:rPr>
          <w:color w:val="FFFFFF" w:themeColor="background1"/>
        </w:rPr>
        <w:t xml:space="preserve"> </w:t>
      </w:r>
      <w:bookmarkEnd w:id="4"/>
    </w:p>
    <w:p w14:paraId="6B38E671" w14:textId="77777777" w:rsidR="00923BE4" w:rsidRDefault="00923BE4" w:rsidP="00923BE4">
      <w:r w:rsidRPr="009A77DA">
        <w:t>Food impacts every person every day of their lives.</w:t>
      </w:r>
    </w:p>
    <w:p w14:paraId="00ED7E9B" w14:textId="77777777" w:rsidR="00923BE4" w:rsidRPr="000E6841" w:rsidRDefault="00923BE4" w:rsidP="00923BE4">
      <w:pPr>
        <w:pStyle w:val="CommentText"/>
        <w:rPr>
          <w:sz w:val="19"/>
          <w:szCs w:val="19"/>
        </w:rPr>
      </w:pPr>
      <w:r w:rsidRPr="000E6841">
        <w:rPr>
          <w:sz w:val="19"/>
          <w:szCs w:val="19"/>
        </w:rPr>
        <w:t xml:space="preserve">Across Australia and New Zealand, tens of thousands of businesses create the supply chain of processors, manufacturers, distributors, and vendors, feeding a bi-national population of more than 30 million people (as well as a much broader export market). </w:t>
      </w:r>
    </w:p>
    <w:p w14:paraId="321EB609" w14:textId="1A80BB84" w:rsidR="00923BE4" w:rsidRDefault="00923BE4" w:rsidP="00923BE4">
      <w:r>
        <w:t xml:space="preserve">The most recent data from </w:t>
      </w:r>
      <w:r w:rsidRPr="009700DA">
        <w:t>20</w:t>
      </w:r>
      <w:r w:rsidR="00EB0B0F">
        <w:t xml:space="preserve">19 indicates than 276,000 people </w:t>
      </w:r>
      <w:r w:rsidR="00755F04">
        <w:t>work in the</w:t>
      </w:r>
      <w:r>
        <w:t xml:space="preserve"> </w:t>
      </w:r>
      <w:r w:rsidR="001947F4">
        <w:t xml:space="preserve">food and </w:t>
      </w:r>
      <w:r w:rsidR="00681874">
        <w:t>g</w:t>
      </w:r>
      <w:r w:rsidR="001947F4">
        <w:t>rocery manufacturing sector</w:t>
      </w:r>
      <w:r w:rsidR="00235A9D">
        <w:rPr>
          <w:rFonts w:ascii="ZWAdobeF" w:hAnsi="ZWAdobeF" w:cs="ZWAdobeF"/>
          <w:sz w:val="2"/>
          <w:szCs w:val="2"/>
        </w:rPr>
        <w:t>3F</w:t>
      </w:r>
      <w:r w:rsidR="00A4086E">
        <w:rPr>
          <w:rStyle w:val="FootnoteReference"/>
        </w:rPr>
        <w:footnoteReference w:id="5"/>
      </w:r>
      <w:r>
        <w:t xml:space="preserve"> and countless more work in the supply, and sale of food and food-related products. Food production is particularly important in regional areas, where </w:t>
      </w:r>
      <w:r w:rsidR="00463B29">
        <w:t>40</w:t>
      </w:r>
      <w:r>
        <w:t>% of the food production workforce is located. In New Zealand, the food and beverage sector accounted for 46% of all goods and services exports, making it by far the most important part of the country’s trade economy</w:t>
      </w:r>
      <w:r w:rsidR="0010772F">
        <w:t>.</w:t>
      </w:r>
      <w:r>
        <w:rPr>
          <w:rStyle w:val="FootnoteReference"/>
        </w:rPr>
        <w:footnoteReference w:id="6"/>
      </w:r>
    </w:p>
    <w:p w14:paraId="5F3A33D0" w14:textId="77777777" w:rsidR="00923BE4" w:rsidRDefault="00923BE4" w:rsidP="00923BE4">
      <w:r>
        <w:t>The availability of quality, safe food is something that most Australians and New Zealanders take for granted, yet it is a highly sophisticated regulatory system that creates this sense of security.</w:t>
      </w:r>
    </w:p>
    <w:p w14:paraId="56E28EE9" w14:textId="6E2A1E66" w:rsidR="00923BE4" w:rsidRDefault="00923BE4" w:rsidP="00923BE4">
      <w:pPr>
        <w:rPr>
          <w:szCs w:val="19"/>
        </w:rPr>
      </w:pPr>
      <w:r>
        <w:rPr>
          <w:szCs w:val="19"/>
        </w:rPr>
        <w:t>In November 2019, the Food Ministers Meeting</w:t>
      </w:r>
      <w:r w:rsidRPr="006D2E5A">
        <w:rPr>
          <w:szCs w:val="19"/>
        </w:rPr>
        <w:t xml:space="preserve"> </w:t>
      </w:r>
      <w:r>
        <w:rPr>
          <w:szCs w:val="19"/>
        </w:rPr>
        <w:t>(</w:t>
      </w:r>
      <w:r w:rsidR="002C4546">
        <w:rPr>
          <w:szCs w:val="19"/>
        </w:rPr>
        <w:t xml:space="preserve">FMM; </w:t>
      </w:r>
      <w:r w:rsidR="000F1825">
        <w:rPr>
          <w:szCs w:val="19"/>
        </w:rPr>
        <w:t xml:space="preserve">previously </w:t>
      </w:r>
      <w:r>
        <w:rPr>
          <w:szCs w:val="19"/>
        </w:rPr>
        <w:t xml:space="preserve">the Forum) agreed on an ambitious plan to reform the regulatory system to ensure it remains strong, </w:t>
      </w:r>
      <w:proofErr w:type="gramStart"/>
      <w:r>
        <w:rPr>
          <w:szCs w:val="19"/>
        </w:rPr>
        <w:t>robust</w:t>
      </w:r>
      <w:proofErr w:type="gramEnd"/>
      <w:r>
        <w:rPr>
          <w:szCs w:val="19"/>
        </w:rPr>
        <w:t xml:space="preserve"> and agile into the future. </w:t>
      </w:r>
    </w:p>
    <w:p w14:paraId="4C9168CB" w14:textId="5BB93C98" w:rsidR="00923BE4" w:rsidRDefault="00B330A5" w:rsidP="00923BE4">
      <w:r>
        <w:t xml:space="preserve">As part of this, </w:t>
      </w:r>
      <w:r w:rsidR="00DF45E2">
        <w:t xml:space="preserve">the Department of Health and Aged Care (DHAC) </w:t>
      </w:r>
      <w:r w:rsidR="00923BE4">
        <w:t xml:space="preserve">in partnership with the Ministry for Primary Industries (MPI) </w:t>
      </w:r>
      <w:r w:rsidR="00E60188">
        <w:t xml:space="preserve">and </w:t>
      </w:r>
      <w:r w:rsidR="00DF45E2">
        <w:t xml:space="preserve">the Department of </w:t>
      </w:r>
      <w:r w:rsidR="00704BFB">
        <w:t>the Department of Agriculture, Fisheries and Forestry (</w:t>
      </w:r>
      <w:r w:rsidR="00E60188" w:rsidRPr="00E60188">
        <w:t>DAFF</w:t>
      </w:r>
      <w:r w:rsidR="00704BFB">
        <w:t>)</w:t>
      </w:r>
      <w:r w:rsidR="00E60188">
        <w:t xml:space="preserve"> </w:t>
      </w:r>
      <w:r w:rsidR="00923BE4">
        <w:t xml:space="preserve">has been charged with reviewing the </w:t>
      </w:r>
      <w:r w:rsidR="00923BE4" w:rsidRPr="007959DE">
        <w:rPr>
          <w:i/>
        </w:rPr>
        <w:t>Food Standards Australia New Zealand</w:t>
      </w:r>
      <w:r w:rsidR="00923BE4">
        <w:rPr>
          <w:i/>
        </w:rPr>
        <w:t xml:space="preserve"> </w:t>
      </w:r>
      <w:r w:rsidR="00923BE4">
        <w:rPr>
          <w:i/>
          <w:iCs/>
        </w:rPr>
        <w:t>(FSANZ)</w:t>
      </w:r>
      <w:r w:rsidR="00923BE4" w:rsidRPr="007959DE">
        <w:rPr>
          <w:i/>
          <w:iCs/>
        </w:rPr>
        <w:t xml:space="preserve"> Act </w:t>
      </w:r>
      <w:r w:rsidR="00923BE4" w:rsidRPr="00656FD4">
        <w:t>1991</w:t>
      </w:r>
      <w:r w:rsidR="00923BE4">
        <w:t xml:space="preserve"> </w:t>
      </w:r>
      <w:r w:rsidR="00923BE4" w:rsidRPr="00656FD4">
        <w:t xml:space="preserve">(the Act) </w:t>
      </w:r>
      <w:r w:rsidR="00923BE4">
        <w:t>and the operations of FSANZ (</w:t>
      </w:r>
      <w:r w:rsidR="00DE65C9">
        <w:t>the</w:t>
      </w:r>
      <w:r w:rsidR="00923BE4">
        <w:t xml:space="preserve"> Review), in line with a Terms of Reference (see </w:t>
      </w:r>
      <w:r w:rsidR="00923BE4" w:rsidRPr="00656FD4">
        <w:fldChar w:fldCharType="begin"/>
      </w:r>
      <w:r w:rsidR="00923BE4" w:rsidRPr="00656FD4">
        <w:instrText xml:space="preserve"> REF _Ref57881062 \n \h </w:instrText>
      </w:r>
      <w:r w:rsidR="00923BE4">
        <w:instrText xml:space="preserve"> \* MERGEFORMAT </w:instrText>
      </w:r>
      <w:r w:rsidR="00923BE4" w:rsidRPr="00656FD4">
        <w:fldChar w:fldCharType="separate"/>
      </w:r>
      <w:r w:rsidR="003F7B92">
        <w:t>Appendix A</w:t>
      </w:r>
      <w:r w:rsidR="00923BE4" w:rsidRPr="00656FD4">
        <w:fldChar w:fldCharType="end"/>
      </w:r>
      <w:r w:rsidR="00923BE4">
        <w:t>).</w:t>
      </w:r>
    </w:p>
    <w:p w14:paraId="016E2006" w14:textId="253669D0" w:rsidR="00923BE4" w:rsidRDefault="007F137B" w:rsidP="00923BE4">
      <w:r>
        <w:t>Changes to r</w:t>
      </w:r>
      <w:r w:rsidR="00923BE4">
        <w:t xml:space="preserve">egulatory requirements are subject to </w:t>
      </w:r>
      <w:r w:rsidR="008A2E67">
        <w:t>I</w:t>
      </w:r>
      <w:r w:rsidR="00923BE4">
        <w:t xml:space="preserve">mpact </w:t>
      </w:r>
      <w:r w:rsidR="008A2E67">
        <w:t>A</w:t>
      </w:r>
      <w:r w:rsidR="00923BE4">
        <w:t>nalysis</w:t>
      </w:r>
      <w:r w:rsidR="008A2E67">
        <w:t xml:space="preserve"> (IA)</w:t>
      </w:r>
      <w:r>
        <w:t>,</w:t>
      </w:r>
      <w:r w:rsidR="00923BE4">
        <w:t xml:space="preserve"> to ensure that any proposed </w:t>
      </w:r>
      <w:r>
        <w:t>amendments</w:t>
      </w:r>
      <w:r w:rsidR="00923BE4">
        <w:t xml:space="preserve"> achieve better outcomes and minimise the burden experienced across stakeholder groups. </w:t>
      </w:r>
    </w:p>
    <w:p w14:paraId="41C71CCE" w14:textId="1E8B5920" w:rsidR="0012356F" w:rsidRDefault="00923BE4" w:rsidP="00923BE4">
      <w:r>
        <w:t>This document constitutes the draft IA</w:t>
      </w:r>
      <w:r w:rsidR="00656576">
        <w:t>.</w:t>
      </w:r>
      <w:r w:rsidR="00AD3643">
        <w:t xml:space="preserve"> </w:t>
      </w:r>
      <w:r w:rsidR="00D53C07">
        <w:t>It presents</w:t>
      </w:r>
      <w:r w:rsidR="00944BCD">
        <w:t xml:space="preserve"> </w:t>
      </w:r>
      <w:r w:rsidR="00B3796E">
        <w:t xml:space="preserve">four components </w:t>
      </w:r>
      <w:r w:rsidR="00AD29CE">
        <w:t xml:space="preserve">of change </w:t>
      </w:r>
      <w:r w:rsidR="003A0C3D">
        <w:t xml:space="preserve">within </w:t>
      </w:r>
      <w:r w:rsidR="00CD1D19">
        <w:t>Option 2</w:t>
      </w:r>
      <w:r w:rsidR="003A0C3D">
        <w:t xml:space="preserve"> and provides comparisons</w:t>
      </w:r>
      <w:r w:rsidR="00CD1D19">
        <w:t xml:space="preserve"> </w:t>
      </w:r>
      <w:r w:rsidR="00B10C6B">
        <w:t xml:space="preserve">of each </w:t>
      </w:r>
      <w:r w:rsidR="00CD1D19">
        <w:t>against the status quo (Option 1).</w:t>
      </w:r>
      <w:r w:rsidR="00783105">
        <w:t xml:space="preserve"> </w:t>
      </w:r>
      <w:r w:rsidR="00C3734D">
        <w:t>F</w:t>
      </w:r>
      <w:r w:rsidR="0012356F">
        <w:t xml:space="preserve">urther refinements will need to be made to ensure that the initiative described within each of the four components represent the best combination of amendments. </w:t>
      </w:r>
    </w:p>
    <w:p w14:paraId="3DD8B6C1" w14:textId="2A9C5ED3" w:rsidR="00923BE4" w:rsidRDefault="00923BE4" w:rsidP="00B441E0">
      <w:pPr>
        <w:pStyle w:val="Heading2"/>
        <w:ind w:left="426" w:hanging="426"/>
      </w:pPr>
      <w:bookmarkStart w:id="13" w:name="_Toc157599121"/>
      <w:r>
        <w:t xml:space="preserve">The Act is only one element of the complex food regulatory </w:t>
      </w:r>
      <w:proofErr w:type="gramStart"/>
      <w:r>
        <w:t>system</w:t>
      </w:r>
      <w:bookmarkEnd w:id="13"/>
      <w:proofErr w:type="gramEnd"/>
    </w:p>
    <w:p w14:paraId="3DE7CD06" w14:textId="77777777" w:rsidR="00923BE4" w:rsidRDefault="00923BE4" w:rsidP="00923BE4">
      <w:pPr>
        <w:rPr>
          <w:szCs w:val="19"/>
        </w:rPr>
      </w:pPr>
      <w:r>
        <w:rPr>
          <w:szCs w:val="19"/>
        </w:rPr>
        <w:t>There have been huge changes in the food industry over the past decades.</w:t>
      </w:r>
      <w:r w:rsidRPr="00382E91">
        <w:rPr>
          <w:szCs w:val="19"/>
        </w:rPr>
        <w:t xml:space="preserve"> </w:t>
      </w:r>
      <w:r>
        <w:rPr>
          <w:szCs w:val="19"/>
        </w:rPr>
        <w:t xml:space="preserve">In the early 1990s when the Act was first passed, supply chains were far less globalised, and there were fewer large, national, or multi-national companies with sophisticated food safety processes in place. In this context, robust pre-market approvals helped to ensure that the food sold in Australia and New Zealand was safe to eat. </w:t>
      </w:r>
    </w:p>
    <w:p w14:paraId="661526E1" w14:textId="1B43D300" w:rsidR="00654AF8" w:rsidRDefault="00654AF8" w:rsidP="00654AF8">
      <w:pPr>
        <w:rPr>
          <w:lang w:eastAsia="en-AU"/>
        </w:rPr>
      </w:pPr>
      <w:r>
        <w:rPr>
          <w:szCs w:val="19"/>
        </w:rPr>
        <w:t>Yet, since that time, c</w:t>
      </w:r>
      <w:r>
        <w:rPr>
          <w:lang w:eastAsia="en-AU"/>
        </w:rPr>
        <w:t xml:space="preserve">onsumer preferences, patterns, and expectations in relation to food have changed drastically. </w:t>
      </w:r>
      <w:r w:rsidRPr="007F7CAD">
        <w:rPr>
          <w:lang w:eastAsia="en-AU"/>
        </w:rPr>
        <w:t>The modern consumer</w:t>
      </w:r>
      <w:r>
        <w:rPr>
          <w:lang w:eastAsia="en-AU"/>
        </w:rPr>
        <w:t xml:space="preserve">, for example, </w:t>
      </w:r>
      <w:r w:rsidRPr="007F7CAD">
        <w:rPr>
          <w:lang w:eastAsia="en-AU"/>
        </w:rPr>
        <w:t>seeks more diverse and convenient food options, often driven by busier lifestyles.</w:t>
      </w:r>
      <w:r>
        <w:rPr>
          <w:lang w:eastAsia="en-AU"/>
        </w:rPr>
        <w:t xml:space="preserve"> This means that </w:t>
      </w:r>
      <w:r w:rsidR="00597055">
        <w:rPr>
          <w:lang w:eastAsia="en-AU"/>
        </w:rPr>
        <w:t xml:space="preserve">individuals </w:t>
      </w:r>
      <w:r>
        <w:rPr>
          <w:lang w:eastAsia="en-AU"/>
        </w:rPr>
        <w:t>can be exposed to higher volumes of food additives and other ingredients compared to in the past, which can have a compounding effect on safety and long-term health outcomes.</w:t>
      </w:r>
      <w:r w:rsidRPr="007F7CAD">
        <w:rPr>
          <w:lang w:eastAsia="en-AU"/>
        </w:rPr>
        <w:t xml:space="preserve"> </w:t>
      </w:r>
    </w:p>
    <w:p w14:paraId="66D8488C" w14:textId="54A3B817" w:rsidR="00597055" w:rsidRDefault="005078C5" w:rsidP="000045D9">
      <w:r>
        <w:rPr>
          <w:szCs w:val="19"/>
        </w:rPr>
        <w:t xml:space="preserve">Adding to that, </w:t>
      </w:r>
      <w:r w:rsidR="007F2EF4">
        <w:rPr>
          <w:szCs w:val="19"/>
        </w:rPr>
        <w:t>the last 30 years has seen the</w:t>
      </w:r>
      <w:r w:rsidR="000742A0">
        <w:rPr>
          <w:szCs w:val="19"/>
        </w:rPr>
        <w:t xml:space="preserve"> </w:t>
      </w:r>
      <w:r w:rsidR="0077514A">
        <w:rPr>
          <w:szCs w:val="19"/>
        </w:rPr>
        <w:t xml:space="preserve">establishment of international food conglomerates and </w:t>
      </w:r>
      <w:r w:rsidR="009B4B8E">
        <w:rPr>
          <w:szCs w:val="19"/>
        </w:rPr>
        <w:t xml:space="preserve">greater </w:t>
      </w:r>
      <w:r w:rsidR="00393609">
        <w:rPr>
          <w:szCs w:val="19"/>
        </w:rPr>
        <w:t xml:space="preserve">food safety maturity within such organisations, borne in part from an understanding </w:t>
      </w:r>
      <w:r w:rsidR="007B2328">
        <w:rPr>
          <w:szCs w:val="19"/>
        </w:rPr>
        <w:t xml:space="preserve">that </w:t>
      </w:r>
      <w:r w:rsidR="006E1A6A">
        <w:rPr>
          <w:szCs w:val="19"/>
        </w:rPr>
        <w:t xml:space="preserve">a </w:t>
      </w:r>
      <w:r w:rsidR="006E1A6A">
        <w:rPr>
          <w:szCs w:val="19"/>
        </w:rPr>
        <w:lastRenderedPageBreak/>
        <w:t xml:space="preserve">reputation for </w:t>
      </w:r>
      <w:r w:rsidR="007B2328">
        <w:rPr>
          <w:szCs w:val="19"/>
        </w:rPr>
        <w:t>safety</w:t>
      </w:r>
      <w:r w:rsidR="00C56382">
        <w:rPr>
          <w:szCs w:val="19"/>
        </w:rPr>
        <w:t xml:space="preserve"> and quality</w:t>
      </w:r>
      <w:r w:rsidR="007B2328">
        <w:rPr>
          <w:szCs w:val="19"/>
        </w:rPr>
        <w:t xml:space="preserve"> is a competitive edge. </w:t>
      </w:r>
      <w:r w:rsidR="00193D87">
        <w:rPr>
          <w:szCs w:val="19"/>
        </w:rPr>
        <w:t>Yet, m</w:t>
      </w:r>
      <w:r w:rsidR="00B23F27">
        <w:rPr>
          <w:szCs w:val="19"/>
        </w:rPr>
        <w:t>ore recently, t</w:t>
      </w:r>
      <w:r w:rsidR="00C56382">
        <w:t xml:space="preserve">he COVID-19 pandemic and </w:t>
      </w:r>
      <w:r w:rsidR="00B23F27">
        <w:t>other</w:t>
      </w:r>
      <w:r w:rsidR="00C56382">
        <w:t xml:space="preserve"> geopolitical uncertainties have disrupted food supply chains, requiring more agility from food businesses to carry out their operations. </w:t>
      </w:r>
    </w:p>
    <w:p w14:paraId="5A6E6ED1" w14:textId="5F9DB63D" w:rsidR="00361D54" w:rsidRDefault="000045D9" w:rsidP="00923BE4">
      <w:r w:rsidRPr="007F7CAD">
        <w:rPr>
          <w:lang w:eastAsia="en-AU"/>
        </w:rPr>
        <w:t>Government</w:t>
      </w:r>
      <w:r w:rsidR="00B15734">
        <w:rPr>
          <w:lang w:eastAsia="en-AU"/>
        </w:rPr>
        <w:t>s have scrambled to adapt to these evolving</w:t>
      </w:r>
      <w:r w:rsidRPr="007F7CAD">
        <w:rPr>
          <w:lang w:eastAsia="en-AU"/>
        </w:rPr>
        <w:t xml:space="preserve"> challenges, including</w:t>
      </w:r>
      <w:r w:rsidR="00B25DC6">
        <w:rPr>
          <w:lang w:eastAsia="en-AU"/>
        </w:rPr>
        <w:t xml:space="preserve"> to support growth and prosperity in regional and rural areas</w:t>
      </w:r>
      <w:r w:rsidR="00234DB6">
        <w:rPr>
          <w:lang w:eastAsia="en-AU"/>
        </w:rPr>
        <w:t xml:space="preserve"> </w:t>
      </w:r>
      <w:r w:rsidR="00B25DC6">
        <w:rPr>
          <w:lang w:eastAsia="en-AU"/>
        </w:rPr>
        <w:t xml:space="preserve">while also building </w:t>
      </w:r>
      <w:r>
        <w:rPr>
          <w:lang w:eastAsia="en-AU"/>
        </w:rPr>
        <w:t>stronger international trade relations</w:t>
      </w:r>
      <w:r w:rsidR="00B25DC6">
        <w:rPr>
          <w:lang w:eastAsia="en-AU"/>
        </w:rPr>
        <w:t>; and</w:t>
      </w:r>
      <w:r w:rsidR="00787689">
        <w:rPr>
          <w:lang w:eastAsia="en-AU"/>
        </w:rPr>
        <w:t xml:space="preserve"> managing the rates of </w:t>
      </w:r>
      <w:r w:rsidR="00713245">
        <w:rPr>
          <w:lang w:eastAsia="en-AU"/>
        </w:rPr>
        <w:t xml:space="preserve">illness and chronic disease our health systems must </w:t>
      </w:r>
      <w:r w:rsidR="001B09A8">
        <w:rPr>
          <w:lang w:eastAsia="en-AU"/>
        </w:rPr>
        <w:t>support</w:t>
      </w:r>
      <w:r w:rsidR="00B25DC6">
        <w:rPr>
          <w:lang w:eastAsia="en-AU"/>
        </w:rPr>
        <w:t xml:space="preserve"> without stymying innovation and consumer choice. </w:t>
      </w:r>
      <w:r w:rsidR="00923BE4">
        <w:t xml:space="preserve">These changes have created the impetus to review regulatory settings. </w:t>
      </w:r>
    </w:p>
    <w:p w14:paraId="639B317D" w14:textId="0571C0CD" w:rsidR="00923BE4" w:rsidRPr="0072656D" w:rsidRDefault="00923BE4" w:rsidP="00923BE4">
      <w:r>
        <w:rPr>
          <w:lang w:eastAsia="en-AU"/>
        </w:rPr>
        <w:t xml:space="preserve">It is important to note from the outset however, that food is regulated through an intricate web of legislative and institutional arrangements </w:t>
      </w:r>
      <w:r w:rsidR="000C2AC6">
        <w:rPr>
          <w:lang w:eastAsia="en-AU"/>
        </w:rPr>
        <w:t>–</w:t>
      </w:r>
      <w:r>
        <w:rPr>
          <w:lang w:eastAsia="en-AU"/>
        </w:rPr>
        <w:t xml:space="preserve"> a snapshot of which is provided at </w:t>
      </w:r>
      <w:r>
        <w:rPr>
          <w:lang w:eastAsia="en-AU"/>
        </w:rPr>
        <w:fldChar w:fldCharType="begin"/>
      </w:r>
      <w:r>
        <w:rPr>
          <w:lang w:eastAsia="en-AU"/>
        </w:rPr>
        <w:instrText xml:space="preserve"> REF _Ref141171827 \h </w:instrText>
      </w:r>
      <w:r>
        <w:rPr>
          <w:lang w:eastAsia="en-AU"/>
        </w:rPr>
      </w:r>
      <w:r>
        <w:rPr>
          <w:lang w:eastAsia="en-AU"/>
        </w:rPr>
        <w:fldChar w:fldCharType="separate"/>
      </w:r>
      <w:r w:rsidR="003F7B92">
        <w:t xml:space="preserve">Figure </w:t>
      </w:r>
      <w:r w:rsidR="003F7B92">
        <w:rPr>
          <w:noProof/>
        </w:rPr>
        <w:t>2</w:t>
      </w:r>
      <w:r>
        <w:rPr>
          <w:lang w:eastAsia="en-AU"/>
        </w:rPr>
        <w:fldChar w:fldCharType="end"/>
      </w:r>
      <w:r>
        <w:rPr>
          <w:lang w:eastAsia="en-AU"/>
        </w:rPr>
        <w:t>.</w:t>
      </w:r>
      <w:r>
        <w:t xml:space="preserve"> To understand the opportunities to modernise food regulation via the Act, </w:t>
      </w:r>
      <w:r>
        <w:rPr>
          <w:lang w:eastAsia="en-AU"/>
        </w:rPr>
        <w:t xml:space="preserve">it is helpful to distinguish its scope and remit from other key documents: the Food Regulation Agreement (FRA), the </w:t>
      </w:r>
      <w:r w:rsidR="000C2AC6">
        <w:rPr>
          <w:lang w:eastAsia="en-AU"/>
        </w:rPr>
        <w:t xml:space="preserve">Agreement between the Government of </w:t>
      </w:r>
      <w:r>
        <w:rPr>
          <w:lang w:eastAsia="en-AU"/>
        </w:rPr>
        <w:t>Australia</w:t>
      </w:r>
      <w:r w:rsidR="000C2AC6">
        <w:rPr>
          <w:lang w:eastAsia="en-AU"/>
        </w:rPr>
        <w:t xml:space="preserve"> and the</w:t>
      </w:r>
      <w:r w:rsidR="00D702B3">
        <w:rPr>
          <w:lang w:eastAsia="en-AU"/>
        </w:rPr>
        <w:t xml:space="preserve"> </w:t>
      </w:r>
      <w:r w:rsidR="000C2AC6">
        <w:rPr>
          <w:lang w:eastAsia="en-AU"/>
        </w:rPr>
        <w:t xml:space="preserve">Government of </w:t>
      </w:r>
      <w:r>
        <w:rPr>
          <w:lang w:eastAsia="en-AU"/>
        </w:rPr>
        <w:t xml:space="preserve">New Zealand </w:t>
      </w:r>
      <w:r w:rsidR="000C2AC6">
        <w:rPr>
          <w:lang w:eastAsia="en-AU"/>
        </w:rPr>
        <w:t xml:space="preserve">concerning a </w:t>
      </w:r>
      <w:r>
        <w:rPr>
          <w:lang w:eastAsia="en-AU"/>
        </w:rPr>
        <w:t>Joint Food</w:t>
      </w:r>
      <w:r w:rsidR="000C2AC6">
        <w:rPr>
          <w:lang w:eastAsia="en-AU"/>
        </w:rPr>
        <w:t xml:space="preserve"> Standards System (also known as the ‘Australia-New Zealand Joint Food </w:t>
      </w:r>
      <w:r>
        <w:rPr>
          <w:lang w:eastAsia="en-AU"/>
        </w:rPr>
        <w:t>Treaty</w:t>
      </w:r>
      <w:r w:rsidR="000C2AC6">
        <w:rPr>
          <w:lang w:eastAsia="en-AU"/>
        </w:rPr>
        <w:t>’ or the ‘Food Treaty’, in short)</w:t>
      </w:r>
      <w:r>
        <w:rPr>
          <w:lang w:eastAsia="en-AU"/>
        </w:rPr>
        <w:t>, the Food Standards Code</w:t>
      </w:r>
      <w:r w:rsidR="00DB14BB">
        <w:rPr>
          <w:lang w:eastAsia="en-AU"/>
        </w:rPr>
        <w:t xml:space="preserve"> and jurisdictional Food Acts</w:t>
      </w:r>
      <w:r>
        <w:rPr>
          <w:lang w:eastAsia="en-AU"/>
        </w:rPr>
        <w:t>.</w:t>
      </w:r>
      <w:r w:rsidR="004710E4">
        <w:rPr>
          <w:lang w:eastAsia="en-AU"/>
        </w:rPr>
        <w:t xml:space="preserve"> </w:t>
      </w:r>
    </w:p>
    <w:p w14:paraId="6D18E54E" w14:textId="443F4EC6" w:rsidR="0065475E" w:rsidRPr="0065475E" w:rsidRDefault="00FD2B9D" w:rsidP="006D0259">
      <w:pPr>
        <w:pStyle w:val="Caption"/>
        <w:keepNext w:val="0"/>
      </w:pPr>
      <w:bookmarkStart w:id="14" w:name="_Ref141171827"/>
      <w:r>
        <w:rPr>
          <w:noProof/>
          <w:lang w:eastAsia="en-AU"/>
        </w:rPr>
        <w:drawing>
          <wp:anchor distT="0" distB="0" distL="114300" distR="114300" simplePos="0" relativeHeight="251658262" behindDoc="0" locked="0" layoutInCell="1" allowOverlap="1" wp14:anchorId="4FA2E4FA" wp14:editId="47BB3844">
            <wp:simplePos x="0" y="0"/>
            <wp:positionH relativeFrom="page">
              <wp:posOffset>1056640</wp:posOffset>
            </wp:positionH>
            <wp:positionV relativeFrom="page">
              <wp:posOffset>3931920</wp:posOffset>
            </wp:positionV>
            <wp:extent cx="5254625" cy="5648325"/>
            <wp:effectExtent l="0" t="0" r="3175" b="9525"/>
            <wp:wrapSquare wrapText="bothSides"/>
            <wp:docPr id="38379828" name="Picture 38379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9828" name="Picture 3837982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4625" cy="5648325"/>
                    </a:xfrm>
                    <a:prstGeom prst="rect">
                      <a:avLst/>
                    </a:prstGeom>
                  </pic:spPr>
                </pic:pic>
              </a:graphicData>
            </a:graphic>
            <wp14:sizeRelH relativeFrom="margin">
              <wp14:pctWidth>0</wp14:pctWidth>
            </wp14:sizeRelH>
            <wp14:sizeRelV relativeFrom="margin">
              <wp14:pctHeight>0</wp14:pctHeight>
            </wp14:sizeRelV>
          </wp:anchor>
        </w:drawing>
      </w:r>
      <w:r w:rsidR="00923BE4">
        <w:t xml:space="preserve">Figure </w:t>
      </w:r>
      <w:r w:rsidR="00923BE4">
        <w:fldChar w:fldCharType="begin"/>
      </w:r>
      <w:r w:rsidR="00923BE4">
        <w:instrText xml:space="preserve"> SEQ Figure \* ARABIC </w:instrText>
      </w:r>
      <w:r w:rsidR="00923BE4">
        <w:fldChar w:fldCharType="separate"/>
      </w:r>
      <w:r w:rsidR="003F7B92">
        <w:rPr>
          <w:noProof/>
        </w:rPr>
        <w:t>2</w:t>
      </w:r>
      <w:r w:rsidR="00923BE4">
        <w:fldChar w:fldCharType="end"/>
      </w:r>
      <w:bookmarkEnd w:id="14"/>
      <w:r w:rsidR="00923BE4">
        <w:t xml:space="preserve"> | Snapshot of the food regulatory system</w:t>
      </w:r>
      <w:r w:rsidR="006D0259" w:rsidRPr="006D0259">
        <w:rPr>
          <w:noProof/>
        </w:rPr>
        <w:t xml:space="preserve"> </w:t>
      </w:r>
    </w:p>
    <w:p w14:paraId="744E4102" w14:textId="202BA306" w:rsidR="00923BE4" w:rsidRDefault="00923BE4" w:rsidP="00923BE4">
      <w:pPr>
        <w:pStyle w:val="Heading3"/>
      </w:pPr>
      <w:r w:rsidRPr="009521BF">
        <w:lastRenderedPageBreak/>
        <w:t>The Food Regulation Agreement</w:t>
      </w:r>
      <w:r w:rsidR="001B64B3">
        <w:t xml:space="preserve"> </w:t>
      </w:r>
    </w:p>
    <w:p w14:paraId="7920EF3F" w14:textId="0D0079A6" w:rsidR="00923BE4" w:rsidRDefault="00923BE4" w:rsidP="00923BE4">
      <w:pPr>
        <w:pStyle w:val="Heading4"/>
      </w:pPr>
      <w:r w:rsidRPr="00D00492">
        <w:t xml:space="preserve">The </w:t>
      </w:r>
      <w:r w:rsidR="001B64B3" w:rsidRPr="009521BF">
        <w:t>Food Regulation Agreement</w:t>
      </w:r>
      <w:r w:rsidR="001B64B3">
        <w:t xml:space="preserve"> (</w:t>
      </w:r>
      <w:r w:rsidR="000C2AC6">
        <w:t>FRA</w:t>
      </w:r>
      <w:r w:rsidR="001B64B3">
        <w:t>)</w:t>
      </w:r>
      <w:r w:rsidRPr="00D00492">
        <w:t xml:space="preserve"> is designed to promote a nationally consistent approach to food regulation within </w:t>
      </w:r>
      <w:proofErr w:type="gramStart"/>
      <w:r w:rsidRPr="00D00492">
        <w:t>Australia</w:t>
      </w:r>
      <w:proofErr w:type="gramEnd"/>
    </w:p>
    <w:p w14:paraId="7F873819" w14:textId="08266516" w:rsidR="00923BE4" w:rsidRPr="008F4161" w:rsidRDefault="00923BE4" w:rsidP="00923BE4">
      <w:pPr>
        <w:rPr>
          <w:lang w:eastAsia="en-AU"/>
        </w:rPr>
      </w:pPr>
      <w:r w:rsidRPr="4D666914">
        <w:rPr>
          <w:lang w:eastAsia="en-AU"/>
        </w:rPr>
        <w:t xml:space="preserve">The FRA is an intergovernmental agreement that was </w:t>
      </w:r>
      <w:r>
        <w:rPr>
          <w:lang w:eastAsia="en-AU"/>
        </w:rPr>
        <w:t xml:space="preserve">initially </w:t>
      </w:r>
      <w:r w:rsidRPr="4D666914">
        <w:rPr>
          <w:lang w:eastAsia="en-AU"/>
        </w:rPr>
        <w:t>signed by all Australian governments in November 2000</w:t>
      </w:r>
      <w:r>
        <w:rPr>
          <w:lang w:eastAsia="en-AU"/>
        </w:rPr>
        <w:t>.</w:t>
      </w:r>
      <w:r w:rsidRPr="4D666914">
        <w:rPr>
          <w:lang w:eastAsia="en-AU"/>
        </w:rPr>
        <w:t xml:space="preserve"> </w:t>
      </w:r>
      <w:r>
        <w:rPr>
          <w:lang w:eastAsia="en-AU"/>
        </w:rPr>
        <w:t xml:space="preserve">It was </w:t>
      </w:r>
      <w:r w:rsidRPr="4D666914">
        <w:rPr>
          <w:lang w:eastAsia="en-AU"/>
        </w:rPr>
        <w:t xml:space="preserve">last endorsed by the Council of Australian Governments (COAG) in July 2010. </w:t>
      </w:r>
    </w:p>
    <w:p w14:paraId="01800CCC" w14:textId="77777777" w:rsidR="00923BE4" w:rsidRPr="007153A1" w:rsidRDefault="00923BE4" w:rsidP="00923BE4">
      <w:pPr>
        <w:rPr>
          <w:lang w:eastAsia="en-AU"/>
        </w:rPr>
      </w:pPr>
      <w:r w:rsidRPr="007153A1">
        <w:rPr>
          <w:lang w:eastAsia="en-AU"/>
        </w:rPr>
        <w:t>The FRA sets out:</w:t>
      </w:r>
    </w:p>
    <w:p w14:paraId="2877AF60" w14:textId="04BF8C9C" w:rsidR="00923BE4" w:rsidRPr="007153A1" w:rsidRDefault="00923BE4" w:rsidP="00923BE4">
      <w:pPr>
        <w:pStyle w:val="Bullet"/>
        <w:spacing w:line="240" w:lineRule="auto"/>
      </w:pPr>
      <w:r>
        <w:t>o</w:t>
      </w:r>
      <w:r w:rsidRPr="007153A1">
        <w:t>bjectives for the food regulatory system</w:t>
      </w:r>
    </w:p>
    <w:p w14:paraId="128FB15F" w14:textId="271AD5E5" w:rsidR="00923BE4" w:rsidRPr="007153A1" w:rsidRDefault="00923BE4" w:rsidP="00923BE4">
      <w:pPr>
        <w:pStyle w:val="Bullet"/>
        <w:spacing w:line="240" w:lineRule="auto"/>
      </w:pPr>
      <w:r>
        <w:t>t</w:t>
      </w:r>
      <w:r w:rsidRPr="007153A1">
        <w:t xml:space="preserve">he remit and powers of a ministerial council </w:t>
      </w:r>
    </w:p>
    <w:p w14:paraId="273EA510" w14:textId="09566BEE" w:rsidR="0094480D" w:rsidRPr="007153A1" w:rsidRDefault="0094480D" w:rsidP="00923BE4">
      <w:pPr>
        <w:pStyle w:val="Bullet"/>
        <w:spacing w:line="240" w:lineRule="auto"/>
      </w:pPr>
      <w:r>
        <w:t>FSANZ’</w:t>
      </w:r>
      <w:r w:rsidR="000C58D7">
        <w:t>s</w:t>
      </w:r>
      <w:r>
        <w:t xml:space="preserve"> </w:t>
      </w:r>
      <w:r w:rsidR="00540885">
        <w:t xml:space="preserve">role within the food regulatory system </w:t>
      </w:r>
    </w:p>
    <w:p w14:paraId="2D945108" w14:textId="5C89C21C" w:rsidR="00923BE4" w:rsidRPr="007153A1" w:rsidRDefault="00923BE4" w:rsidP="00923BE4">
      <w:pPr>
        <w:pStyle w:val="Bullet"/>
        <w:spacing w:line="240" w:lineRule="auto"/>
      </w:pPr>
      <w:r>
        <w:t>g</w:t>
      </w:r>
      <w:r w:rsidRPr="007153A1">
        <w:t>overnance arrangements relating to food standards, including working arrangements with FSANZ and the legislated role of the</w:t>
      </w:r>
      <w:r w:rsidR="00B63307">
        <w:t xml:space="preserve"> </w:t>
      </w:r>
      <w:r w:rsidR="00832CFA">
        <w:t>FMM</w:t>
      </w:r>
      <w:r w:rsidRPr="007153A1">
        <w:t xml:space="preserve"> to ratify </w:t>
      </w:r>
      <w:proofErr w:type="gramStart"/>
      <w:r w:rsidRPr="007153A1">
        <w:t>amendments</w:t>
      </w:r>
      <w:proofErr w:type="gramEnd"/>
    </w:p>
    <w:p w14:paraId="2DF574FD" w14:textId="60FCF091" w:rsidR="00923BE4" w:rsidRPr="007153A1" w:rsidRDefault="00923BE4" w:rsidP="00923BE4">
      <w:pPr>
        <w:pStyle w:val="Bullet"/>
        <w:spacing w:line="240" w:lineRule="auto"/>
      </w:pPr>
      <w:r>
        <w:t>v</w:t>
      </w:r>
      <w:r w:rsidRPr="007153A1">
        <w:t xml:space="preserve">oting arrangements for </w:t>
      </w:r>
      <w:r w:rsidR="00832CFA">
        <w:t>FMM</w:t>
      </w:r>
      <w:r w:rsidRPr="007153A1">
        <w:t xml:space="preserve"> decisions</w:t>
      </w:r>
    </w:p>
    <w:p w14:paraId="3C95DE45" w14:textId="5FC5F744" w:rsidR="00923BE4" w:rsidRPr="007153A1" w:rsidRDefault="00923BE4" w:rsidP="00923BE4">
      <w:pPr>
        <w:pStyle w:val="Bullet"/>
        <w:spacing w:line="240" w:lineRule="auto"/>
      </w:pPr>
      <w:r>
        <w:t>r</w:t>
      </w:r>
      <w:r w:rsidRPr="007153A1">
        <w:t xml:space="preserve">oles and responsibilities of </w:t>
      </w:r>
      <w:r>
        <w:t>Food Regulation Standing Committee (</w:t>
      </w:r>
      <w:r w:rsidRPr="007153A1">
        <w:t>FRSC</w:t>
      </w:r>
      <w:r>
        <w:t>)</w:t>
      </w:r>
    </w:p>
    <w:p w14:paraId="5C7CE2C8" w14:textId="185593CC" w:rsidR="00923BE4" w:rsidRPr="007153A1" w:rsidRDefault="0080581C" w:rsidP="00923BE4">
      <w:pPr>
        <w:pStyle w:val="Bullet"/>
        <w:spacing w:line="240" w:lineRule="auto"/>
      </w:pPr>
      <w:r>
        <w:t>m</w:t>
      </w:r>
      <w:r w:rsidR="00923BE4" w:rsidRPr="007153A1">
        <w:t>odel law provisions divided into two annexes.</w:t>
      </w:r>
    </w:p>
    <w:p w14:paraId="3E14EF6B" w14:textId="12E8DDDB" w:rsidR="00923BE4" w:rsidRPr="000E7ED2" w:rsidRDefault="00923BE4" w:rsidP="00923BE4">
      <w:pPr>
        <w:pStyle w:val="Bullet"/>
        <w:numPr>
          <w:ilvl w:val="0"/>
          <w:numId w:val="0"/>
        </w:numPr>
      </w:pPr>
      <w:r w:rsidRPr="000E7ED2">
        <w:t>While food regulation is a constitutional responsibility of states and territories</w:t>
      </w:r>
      <w:r w:rsidR="00FB46B3">
        <w:t xml:space="preserve"> (see Section </w:t>
      </w:r>
      <w:r w:rsidR="00FB46B3">
        <w:fldChar w:fldCharType="begin"/>
      </w:r>
      <w:r w:rsidR="00FB46B3">
        <w:instrText xml:space="preserve"> REF _Ref153435291 \n \h </w:instrText>
      </w:r>
      <w:r w:rsidR="00FB46B3">
        <w:fldChar w:fldCharType="separate"/>
      </w:r>
      <w:r w:rsidR="003F7B92">
        <w:t>2.1.5</w:t>
      </w:r>
      <w:r w:rsidR="00FB46B3">
        <w:fldChar w:fldCharType="end"/>
      </w:r>
      <w:r w:rsidR="00FB46B3">
        <w:t>)</w:t>
      </w:r>
      <w:r w:rsidRPr="000E7ED2">
        <w:t xml:space="preserve">, the FRA </w:t>
      </w:r>
      <w:r w:rsidR="005806C6">
        <w:t>through the establishment of governance and process</w:t>
      </w:r>
      <w:r w:rsidRPr="000E7ED2">
        <w:t xml:space="preserve"> </w:t>
      </w:r>
      <w:r w:rsidR="00D15C85">
        <w:t>underpins</w:t>
      </w:r>
      <w:r w:rsidRPr="000E7ED2">
        <w:t xml:space="preserve"> a nationally consistent regulatory approach, which protects the safety and quality of all Australian foods</w:t>
      </w:r>
      <w:r w:rsidR="005806C6">
        <w:t xml:space="preserve"> and minimises</w:t>
      </w:r>
      <w:r w:rsidR="00114692">
        <w:t xml:space="preserve"> </w:t>
      </w:r>
      <w:r w:rsidRPr="000E7ED2">
        <w:t xml:space="preserve">regulatory burden for industry. </w:t>
      </w:r>
    </w:p>
    <w:p w14:paraId="4431B0C4" w14:textId="77777777" w:rsidR="00923BE4" w:rsidRPr="000E7ED2" w:rsidRDefault="00923BE4" w:rsidP="00923BE4">
      <w:pPr>
        <w:pStyle w:val="Heading4"/>
      </w:pPr>
      <w:r w:rsidRPr="000E7ED2">
        <w:t xml:space="preserve">The FRA establishes </w:t>
      </w:r>
      <w:r>
        <w:t>a ministerial forum</w:t>
      </w:r>
      <w:r w:rsidRPr="000E7ED2">
        <w:t xml:space="preserve"> and provides a strong authorising environment for decisions about food </w:t>
      </w:r>
      <w:proofErr w:type="gramStart"/>
      <w:r w:rsidRPr="000E7ED2">
        <w:t>policy</w:t>
      </w:r>
      <w:proofErr w:type="gramEnd"/>
    </w:p>
    <w:p w14:paraId="41572153" w14:textId="429CA595" w:rsidR="00923BE4" w:rsidRPr="000E7ED2" w:rsidRDefault="00923BE4" w:rsidP="00923BE4">
      <w:r>
        <w:t>The ministerial forum for food policy issues has gone through several name changes. Listed as Australia and New Zealand Food Regulation Ministerial Council in the FRA, i</w:t>
      </w:r>
      <w:r w:rsidRPr="000E7ED2">
        <w:t xml:space="preserve">n 2011 the Ministerial Council was renamed as the Legislative and Governance Forum of Food Regulation. The name was further amended in 2015 to the Australia and New Zealand Ministerial Forum on Food Regulation (the Forum), and finally updated to the </w:t>
      </w:r>
      <w:r>
        <w:t>FMM</w:t>
      </w:r>
      <w:r w:rsidRPr="000E7ED2">
        <w:t xml:space="preserve"> in 2021. </w:t>
      </w:r>
    </w:p>
    <w:p w14:paraId="46A649FD" w14:textId="713B5FEA" w:rsidR="00923BE4" w:rsidRDefault="00923BE4" w:rsidP="00923BE4">
      <w:r w:rsidRPr="000E7ED2">
        <w:t xml:space="preserve">The functions and powers of the </w:t>
      </w:r>
      <w:r>
        <w:t>FMM</w:t>
      </w:r>
      <w:r w:rsidRPr="000E7ED2">
        <w:t xml:space="preserve"> are set out in the FRA and provide Food Ministers (a mix of Health and Agriculture Ministers) a unique authorising environment in which to progress food policy decisions </w:t>
      </w:r>
      <w:r w:rsidR="000C2AC6">
        <w:t>–</w:t>
      </w:r>
      <w:r w:rsidRPr="000E7ED2">
        <w:t xml:space="preserve"> including the ability to ratify amendments to the Food Standards Code</w:t>
      </w:r>
      <w:r w:rsidR="008140E9">
        <w:t>.</w:t>
      </w:r>
    </w:p>
    <w:p w14:paraId="74714AC5" w14:textId="1A861652" w:rsidR="00923BE4" w:rsidRDefault="00923BE4" w:rsidP="00923BE4">
      <w:r>
        <w:t>FSANZ is independent of the FMM, but it must have regard to the policy guidelines developed by the Food Ministers when setting food standards. The FMM can also ask FSANZ to review its decision to approve a standard or variation to a standard.</w:t>
      </w:r>
      <w:r w:rsidR="00235A9D">
        <w:rPr>
          <w:rFonts w:ascii="ZWAdobeF" w:hAnsi="ZWAdobeF" w:cs="ZWAdobeF"/>
          <w:sz w:val="2"/>
          <w:szCs w:val="2"/>
        </w:rPr>
        <w:t>5F</w:t>
      </w:r>
      <w:r>
        <w:rPr>
          <w:rStyle w:val="FootnoteReference"/>
        </w:rPr>
        <w:footnoteReference w:id="7"/>
      </w:r>
    </w:p>
    <w:p w14:paraId="394E5BEE" w14:textId="572749F8" w:rsidR="00923BE4" w:rsidRPr="0057269D" w:rsidRDefault="00923BE4" w:rsidP="00923BE4">
      <w:r>
        <w:t xml:space="preserve">The FRA also establishes the </w:t>
      </w:r>
      <w:r w:rsidR="00CF7DAB">
        <w:t>Food Regulation Sub-Committee (</w:t>
      </w:r>
      <w:r>
        <w:t>FRSC</w:t>
      </w:r>
      <w:r w:rsidR="00CF7DAB">
        <w:t>)</w:t>
      </w:r>
      <w:r>
        <w:t xml:space="preserve"> to coordinate policy advice to the FMM. The Implementation Sub-Committee for Food Regulation (ISFR) was then established by FRSC to ensure that F</w:t>
      </w:r>
      <w:r w:rsidRPr="4D666914">
        <w:t xml:space="preserve">ood </w:t>
      </w:r>
      <w:r>
        <w:t>S</w:t>
      </w:r>
      <w:r w:rsidRPr="4D666914">
        <w:t xml:space="preserve">tandards are implemented and enforced consistently. </w:t>
      </w:r>
    </w:p>
    <w:p w14:paraId="7984779F" w14:textId="7F5A7DE8" w:rsidR="00923BE4" w:rsidRDefault="00923BE4" w:rsidP="00923BE4">
      <w:pPr>
        <w:pStyle w:val="Heading3"/>
      </w:pPr>
      <w:r w:rsidRPr="00A525DE">
        <w:lastRenderedPageBreak/>
        <w:t>The Australia</w:t>
      </w:r>
      <w:r w:rsidR="000C2AC6">
        <w:t>–</w:t>
      </w:r>
      <w:r w:rsidRPr="00A525DE">
        <w:t>New Zealand Joint Food Treaty</w:t>
      </w:r>
    </w:p>
    <w:p w14:paraId="69EE06DF" w14:textId="77777777" w:rsidR="00923BE4" w:rsidRDefault="00923BE4" w:rsidP="00923BE4">
      <w:pPr>
        <w:pStyle w:val="Heading4"/>
      </w:pPr>
      <w:r w:rsidRPr="00327886">
        <w:t xml:space="preserve">The Food Treaty establishes the bi-national food </w:t>
      </w:r>
      <w:proofErr w:type="gramStart"/>
      <w:r w:rsidRPr="00327886">
        <w:t>system</w:t>
      </w:r>
      <w:proofErr w:type="gramEnd"/>
    </w:p>
    <w:p w14:paraId="6B8A7971" w14:textId="10ABDD0E" w:rsidR="00923BE4" w:rsidRPr="00A872A0" w:rsidRDefault="00923BE4" w:rsidP="00923BE4">
      <w:pPr>
        <w:rPr>
          <w:rFonts w:cs="Segoe UI"/>
          <w:lang w:eastAsia="en-AU"/>
        </w:rPr>
      </w:pPr>
      <w:r w:rsidRPr="00A872A0">
        <w:rPr>
          <w:rFonts w:cs="Segoe UI"/>
          <w:lang w:eastAsia="en-AU"/>
        </w:rPr>
        <w:t xml:space="preserve">The </w:t>
      </w:r>
      <w:r w:rsidR="0023595B" w:rsidRPr="0023595B">
        <w:rPr>
          <w:rFonts w:cs="Segoe UI"/>
          <w:lang w:eastAsia="en-AU"/>
        </w:rPr>
        <w:t>Australia</w:t>
      </w:r>
      <w:r w:rsidR="000C2AC6">
        <w:rPr>
          <w:rFonts w:cs="Segoe UI"/>
          <w:lang w:eastAsia="en-AU"/>
        </w:rPr>
        <w:t>–</w:t>
      </w:r>
      <w:r w:rsidR="0023595B" w:rsidRPr="0023595B">
        <w:rPr>
          <w:rFonts w:cs="Segoe UI"/>
          <w:lang w:eastAsia="en-AU"/>
        </w:rPr>
        <w:t xml:space="preserve">New Zealand Joint </w:t>
      </w:r>
      <w:r w:rsidRPr="00A872A0">
        <w:rPr>
          <w:rFonts w:cs="Segoe UI"/>
          <w:lang w:eastAsia="en-AU"/>
        </w:rPr>
        <w:t xml:space="preserve">Food Treaty </w:t>
      </w:r>
      <w:r w:rsidR="000C2AC6">
        <w:rPr>
          <w:rFonts w:cs="Segoe UI"/>
          <w:lang w:eastAsia="en-AU"/>
        </w:rPr>
        <w:t xml:space="preserve">(the </w:t>
      </w:r>
      <w:r w:rsidR="0089022C">
        <w:rPr>
          <w:rFonts w:cs="Segoe UI"/>
          <w:lang w:eastAsia="en-AU"/>
        </w:rPr>
        <w:t xml:space="preserve">Food </w:t>
      </w:r>
      <w:r w:rsidR="000C2AC6">
        <w:rPr>
          <w:rFonts w:cs="Segoe UI"/>
          <w:lang w:eastAsia="en-AU"/>
        </w:rPr>
        <w:t xml:space="preserve">Treaty) </w:t>
      </w:r>
      <w:r w:rsidRPr="00A872A0">
        <w:rPr>
          <w:rFonts w:cs="Segoe UI"/>
          <w:lang w:eastAsia="en-AU"/>
        </w:rPr>
        <w:t xml:space="preserve">was first executed in 1995 and commits Australia and New Zealand to adopt and apply a shared set of Food Standards set in the Food Standards Code. </w:t>
      </w:r>
    </w:p>
    <w:p w14:paraId="3A61DB7D" w14:textId="77777777" w:rsidR="00923BE4" w:rsidRPr="00A872A0" w:rsidRDefault="00923BE4" w:rsidP="00923BE4">
      <w:pPr>
        <w:pStyle w:val="Bullet"/>
        <w:numPr>
          <w:ilvl w:val="0"/>
          <w:numId w:val="0"/>
        </w:numPr>
        <w:ind w:left="340" w:hanging="340"/>
      </w:pPr>
      <w:r w:rsidRPr="00A872A0">
        <w:t>It includes information about:</w:t>
      </w:r>
    </w:p>
    <w:p w14:paraId="572E1291" w14:textId="77777777" w:rsidR="00923BE4" w:rsidRPr="00A872A0" w:rsidRDefault="00923BE4" w:rsidP="00923BE4">
      <w:pPr>
        <w:pStyle w:val="Bullet"/>
        <w:spacing w:line="240" w:lineRule="auto"/>
      </w:pPr>
      <w:r>
        <w:t>t</w:t>
      </w:r>
      <w:r w:rsidRPr="00A872A0">
        <w:t>he objectives of the bi-national system</w:t>
      </w:r>
    </w:p>
    <w:p w14:paraId="1D8B1B72" w14:textId="77777777" w:rsidR="00923BE4" w:rsidRPr="00A872A0" w:rsidRDefault="00923BE4" w:rsidP="00923BE4">
      <w:pPr>
        <w:pStyle w:val="Bullet"/>
        <w:spacing w:line="240" w:lineRule="auto"/>
      </w:pPr>
      <w:r>
        <w:t>t</w:t>
      </w:r>
      <w:r w:rsidRPr="00A872A0">
        <w:t xml:space="preserve">he agreement between Australia and New Zealand regarding introducing or amending food </w:t>
      </w:r>
      <w:proofErr w:type="gramStart"/>
      <w:r w:rsidRPr="00A872A0">
        <w:t>legislation</w:t>
      </w:r>
      <w:proofErr w:type="gramEnd"/>
    </w:p>
    <w:p w14:paraId="7CA8A4ED" w14:textId="77777777" w:rsidR="00923BE4" w:rsidRPr="00A872A0" w:rsidRDefault="00923BE4" w:rsidP="00923BE4">
      <w:pPr>
        <w:pStyle w:val="Bullet"/>
        <w:spacing w:line="240" w:lineRule="auto"/>
      </w:pPr>
      <w:r>
        <w:t>p</w:t>
      </w:r>
      <w:r w:rsidRPr="00A872A0">
        <w:t xml:space="preserve">rinciples underpinning the food standards </w:t>
      </w:r>
      <w:proofErr w:type="gramStart"/>
      <w:r w:rsidRPr="00A872A0">
        <w:t>system</w:t>
      </w:r>
      <w:proofErr w:type="gramEnd"/>
    </w:p>
    <w:p w14:paraId="6CCC00FF" w14:textId="77777777" w:rsidR="00923BE4" w:rsidRPr="00A872A0" w:rsidRDefault="00923BE4" w:rsidP="00923BE4">
      <w:pPr>
        <w:pStyle w:val="Bullet"/>
        <w:spacing w:line="240" w:lineRule="auto"/>
      </w:pPr>
      <w:r>
        <w:t>j</w:t>
      </w:r>
      <w:r w:rsidRPr="00A872A0">
        <w:t>oint adoption of the food standards set in the Food Standards Code</w:t>
      </w:r>
    </w:p>
    <w:p w14:paraId="694F1BDD" w14:textId="77777777" w:rsidR="00923BE4" w:rsidRPr="00A872A0" w:rsidRDefault="00923BE4" w:rsidP="00923BE4">
      <w:pPr>
        <w:pStyle w:val="Bullet"/>
        <w:spacing w:line="240" w:lineRule="auto"/>
      </w:pPr>
      <w:r>
        <w:t>f</w:t>
      </w:r>
      <w:r w:rsidRPr="00A872A0">
        <w:t>unding arrangements for the food standards system</w:t>
      </w:r>
    </w:p>
    <w:p w14:paraId="1AECD66A" w14:textId="77777777" w:rsidR="00923BE4" w:rsidRPr="00A872A0" w:rsidRDefault="00923BE4" w:rsidP="00923BE4">
      <w:pPr>
        <w:pStyle w:val="Bullet"/>
        <w:spacing w:line="240" w:lineRule="auto"/>
      </w:pPr>
      <w:r>
        <w:t>t</w:t>
      </w:r>
      <w:r w:rsidRPr="00A872A0">
        <w:t xml:space="preserve">he grounds on which New Zealand can opt out of a food standard. </w:t>
      </w:r>
    </w:p>
    <w:p w14:paraId="0AEA4DEB" w14:textId="21F7BB43" w:rsidR="00923BE4" w:rsidRPr="00E42F84" w:rsidRDefault="00923BE4" w:rsidP="00923BE4">
      <w:pPr>
        <w:rPr>
          <w:rFonts w:cs="Segoe UI"/>
          <w:lang w:eastAsia="en-AU"/>
        </w:rPr>
      </w:pPr>
      <w:r w:rsidRPr="00E42F84">
        <w:rPr>
          <w:rFonts w:cs="Segoe UI"/>
          <w:lang w:eastAsia="en-AU"/>
        </w:rPr>
        <w:t xml:space="preserve">Unlike the FRA, the </w:t>
      </w:r>
      <w:r w:rsidR="0089022C">
        <w:rPr>
          <w:rFonts w:cs="Segoe UI"/>
          <w:lang w:eastAsia="en-AU"/>
        </w:rPr>
        <w:t xml:space="preserve">Food </w:t>
      </w:r>
      <w:r w:rsidRPr="00E42F84">
        <w:rPr>
          <w:rFonts w:cs="Segoe UI"/>
          <w:lang w:eastAsia="en-AU"/>
        </w:rPr>
        <w:t>Treaty does not attempt to align the regulatory approaches of the two countries and there are no model law provisions included.</w:t>
      </w:r>
    </w:p>
    <w:p w14:paraId="59BBE6B1" w14:textId="275D2FB1" w:rsidR="00923BE4" w:rsidRPr="00E42F84" w:rsidRDefault="00923BE4" w:rsidP="00923BE4">
      <w:pPr>
        <w:rPr>
          <w:rFonts w:cs="Segoe UI"/>
          <w:lang w:eastAsia="en-AU"/>
        </w:rPr>
      </w:pPr>
      <w:r w:rsidRPr="00E42F84">
        <w:rPr>
          <w:rFonts w:cs="Segoe UI"/>
          <w:lang w:eastAsia="en-AU"/>
        </w:rPr>
        <w:t xml:space="preserve">The Food Treaty is underpinned by the </w:t>
      </w:r>
      <w:r w:rsidRPr="00E42F84">
        <w:rPr>
          <w:rFonts w:cs="Segoe UI"/>
          <w:i/>
          <w:iCs/>
          <w:lang w:eastAsia="en-AU"/>
        </w:rPr>
        <w:t>Trans-Tasman Mutual Recognition Arrangement (TTMRA)</w:t>
      </w:r>
      <w:r w:rsidR="00D06350">
        <w:rPr>
          <w:rFonts w:cs="Segoe UI"/>
          <w:i/>
          <w:iCs/>
          <w:lang w:eastAsia="en-AU"/>
        </w:rPr>
        <w:t xml:space="preserve"> </w:t>
      </w:r>
      <w:r w:rsidR="00D06350">
        <w:rPr>
          <w:rFonts w:cs="Segoe UI"/>
          <w:lang w:eastAsia="en-AU"/>
        </w:rPr>
        <w:t xml:space="preserve">and the </w:t>
      </w:r>
      <w:r w:rsidR="001473DA" w:rsidRPr="001473DA">
        <w:rPr>
          <w:rFonts w:cs="Segoe UI"/>
          <w:i/>
          <w:iCs/>
          <w:lang w:eastAsia="en-AU"/>
        </w:rPr>
        <w:t>Australia-</w:t>
      </w:r>
      <w:r w:rsidR="00D06350" w:rsidRPr="00D06350">
        <w:rPr>
          <w:rFonts w:cs="Segoe UI"/>
          <w:i/>
          <w:iCs/>
          <w:lang w:eastAsia="en-AU"/>
        </w:rPr>
        <w:t>New Zealand</w:t>
      </w:r>
      <w:r w:rsidR="001473DA" w:rsidRPr="001473DA">
        <w:rPr>
          <w:rFonts w:cs="Segoe UI"/>
          <w:i/>
          <w:iCs/>
          <w:lang w:eastAsia="en-AU"/>
        </w:rPr>
        <w:t xml:space="preserve"> Closer Economic Relations</w:t>
      </w:r>
      <w:r w:rsidR="00D06350" w:rsidRPr="00D06350">
        <w:rPr>
          <w:rFonts w:cs="Segoe UI"/>
          <w:i/>
          <w:iCs/>
          <w:lang w:eastAsia="en-AU"/>
        </w:rPr>
        <w:t xml:space="preserve"> Trade Agreement</w:t>
      </w:r>
      <w:r w:rsidR="00F84DE4">
        <w:rPr>
          <w:rFonts w:cs="Segoe UI"/>
          <w:i/>
          <w:iCs/>
          <w:lang w:eastAsia="en-AU"/>
        </w:rPr>
        <w:t xml:space="preserve"> (ANZCERTA)</w:t>
      </w:r>
      <w:r w:rsidR="001473DA" w:rsidRPr="001473DA">
        <w:rPr>
          <w:rFonts w:cs="Segoe UI"/>
          <w:i/>
          <w:iCs/>
          <w:lang w:eastAsia="en-AU"/>
        </w:rPr>
        <w:t>.</w:t>
      </w:r>
      <w:r w:rsidRPr="00E42F84">
        <w:rPr>
          <w:rFonts w:cs="Segoe UI"/>
          <w:lang w:eastAsia="en-AU"/>
        </w:rPr>
        <w:t xml:space="preserve"> The TTMRA is an agreement between the Australian Government, State and Territory Governments, and the Government of New Zealand which provides that, with a few exceptions, a good (including food products) that may be legally sold in Australia may be sold in New Zealand and vi</w:t>
      </w:r>
      <w:r w:rsidR="00B01271">
        <w:rPr>
          <w:rFonts w:cs="Segoe UI"/>
          <w:lang w:eastAsia="en-AU"/>
        </w:rPr>
        <w:t>ce</w:t>
      </w:r>
      <w:r w:rsidRPr="00E42F84">
        <w:rPr>
          <w:rFonts w:cs="Segoe UI"/>
          <w:lang w:eastAsia="en-AU"/>
        </w:rPr>
        <w:t xml:space="preserve"> versa.</w:t>
      </w:r>
      <w:r w:rsidR="00F84DE4">
        <w:rPr>
          <w:rFonts w:cs="Segoe UI"/>
          <w:lang w:eastAsia="en-AU"/>
        </w:rPr>
        <w:t xml:space="preserve"> </w:t>
      </w:r>
      <w:r w:rsidR="00854EA5">
        <w:rPr>
          <w:rFonts w:cs="Segoe UI"/>
          <w:color w:val="313131"/>
          <w:shd w:val="clear" w:color="auto" w:fill="FFFFFF"/>
        </w:rPr>
        <w:t>The ANZCERTA is one of the most comprehensive bilateral free trade agreements in existence. It covers substantially all trans-Tasman trade in goods, including agricultural products, and was the first to include free trade in services.</w:t>
      </w:r>
    </w:p>
    <w:p w14:paraId="188E0898" w14:textId="77777777" w:rsidR="00923BE4" w:rsidRDefault="00923BE4" w:rsidP="00923BE4">
      <w:pPr>
        <w:pStyle w:val="Heading3"/>
      </w:pPr>
      <w:r w:rsidRPr="008437EE">
        <w:t>The FSANZ Act 1991</w:t>
      </w:r>
    </w:p>
    <w:p w14:paraId="1BEC5F1A" w14:textId="0B4FA518" w:rsidR="00923BE4" w:rsidRPr="00CB1EBE" w:rsidRDefault="00923BE4" w:rsidP="00923BE4">
      <w:pPr>
        <w:rPr>
          <w:lang w:eastAsia="en-AU"/>
        </w:rPr>
      </w:pPr>
      <w:r w:rsidRPr="00CB1EBE">
        <w:rPr>
          <w:lang w:eastAsia="en-AU"/>
        </w:rPr>
        <w:t xml:space="preserve">The </w:t>
      </w:r>
      <w:r w:rsidRPr="00AA7B2E">
        <w:rPr>
          <w:i/>
          <w:iCs/>
          <w:lang w:eastAsia="en-AU"/>
        </w:rPr>
        <w:t>FSANZ Act 1991</w:t>
      </w:r>
      <w:r w:rsidRPr="00CB1EBE">
        <w:rPr>
          <w:lang w:eastAsia="en-AU"/>
        </w:rPr>
        <w:t xml:space="preserve"> establishes FSANZ as a statutory body. It sets out the functions of FSANZ as well as prescriptive processes required to create and amend </w:t>
      </w:r>
      <w:r w:rsidR="00640F2C">
        <w:rPr>
          <w:lang w:eastAsia="en-AU"/>
        </w:rPr>
        <w:t>food regulatory measures</w:t>
      </w:r>
      <w:r w:rsidR="00152627">
        <w:rPr>
          <w:lang w:eastAsia="en-AU"/>
        </w:rPr>
        <w:t>, primarily food standards</w:t>
      </w:r>
      <w:r w:rsidR="00640F2C">
        <w:rPr>
          <w:lang w:eastAsia="en-AU"/>
        </w:rPr>
        <w:t>.</w:t>
      </w:r>
      <w:r w:rsidRPr="00CB1EBE">
        <w:rPr>
          <w:lang w:eastAsia="en-AU"/>
        </w:rPr>
        <w:t xml:space="preserve"> </w:t>
      </w:r>
    </w:p>
    <w:p w14:paraId="56091E8B" w14:textId="663FF04C" w:rsidR="00923BE4" w:rsidRPr="00CB1EBE" w:rsidRDefault="00923BE4" w:rsidP="00923BE4">
      <w:pPr>
        <w:rPr>
          <w:lang w:eastAsia="en-AU"/>
        </w:rPr>
      </w:pPr>
      <w:r w:rsidRPr="00CB1EBE">
        <w:rPr>
          <w:lang w:eastAsia="en-AU"/>
        </w:rPr>
        <w:t>FSANZ develops the food standards in the Food Standards Code</w:t>
      </w:r>
      <w:r w:rsidR="00640F2C">
        <w:rPr>
          <w:lang w:eastAsia="en-AU"/>
        </w:rPr>
        <w:t>,</w:t>
      </w:r>
      <w:r w:rsidRPr="00CB1EBE">
        <w:rPr>
          <w:lang w:eastAsia="en-AU"/>
        </w:rPr>
        <w:t xml:space="preserve"> with advice from other government agencies and input from stakeholders. </w:t>
      </w:r>
    </w:p>
    <w:p w14:paraId="36E599E1" w14:textId="3F380195" w:rsidR="00923BE4" w:rsidRDefault="00923BE4" w:rsidP="00923BE4">
      <w:pPr>
        <w:rPr>
          <w:lang w:eastAsia="en-AU"/>
        </w:rPr>
      </w:pPr>
      <w:r w:rsidRPr="00CB1EBE">
        <w:rPr>
          <w:lang w:eastAsia="en-AU"/>
        </w:rPr>
        <w:t xml:space="preserve">FSANZ also undertakes extensive surveillance activities to monitor food supply to ensure it is safe. It provides a critical coordination function to respond to a food incident, such as a foodborne illness outbreak or product recall. It works in close partnership with </w:t>
      </w:r>
      <w:r w:rsidR="000C2AC6">
        <w:rPr>
          <w:lang w:eastAsia="en-AU"/>
        </w:rPr>
        <w:t xml:space="preserve">the </w:t>
      </w:r>
      <w:r w:rsidR="0081659D">
        <w:rPr>
          <w:lang w:eastAsia="en-AU"/>
        </w:rPr>
        <w:t>DHAC</w:t>
      </w:r>
      <w:r w:rsidR="000C2AC6">
        <w:rPr>
          <w:lang w:eastAsia="en-AU"/>
        </w:rPr>
        <w:t>,</w:t>
      </w:r>
      <w:r w:rsidRPr="00CB1EBE">
        <w:rPr>
          <w:lang w:eastAsia="en-AU"/>
        </w:rPr>
        <w:t xml:space="preserve"> </w:t>
      </w:r>
      <w:r w:rsidR="000C2AC6">
        <w:rPr>
          <w:lang w:eastAsia="en-AU"/>
        </w:rPr>
        <w:t>DAFF</w:t>
      </w:r>
      <w:r w:rsidRPr="00CB1EBE">
        <w:rPr>
          <w:lang w:eastAsia="en-AU"/>
        </w:rPr>
        <w:t xml:space="preserve">, </w:t>
      </w:r>
      <w:r w:rsidR="000C2AC6">
        <w:rPr>
          <w:lang w:eastAsia="en-AU"/>
        </w:rPr>
        <w:t>MPI</w:t>
      </w:r>
      <w:r w:rsidR="0090429E">
        <w:rPr>
          <w:lang w:eastAsia="en-AU"/>
        </w:rPr>
        <w:t>, jurisdictional food regulators</w:t>
      </w:r>
      <w:r w:rsidRPr="00CB1EBE">
        <w:rPr>
          <w:lang w:eastAsia="en-AU"/>
        </w:rPr>
        <w:t xml:space="preserve"> and food businesses to carry out this work.</w:t>
      </w:r>
    </w:p>
    <w:p w14:paraId="1DFE1E0C" w14:textId="33271335" w:rsidR="006161C2" w:rsidRDefault="006161C2" w:rsidP="006161C2">
      <w:pPr>
        <w:rPr>
          <w:szCs w:val="19"/>
        </w:rPr>
      </w:pPr>
      <w:r>
        <w:rPr>
          <w:szCs w:val="19"/>
        </w:rPr>
        <w:t>The FSANZ Act has undergone a series of only minor amendments since it came into effect in 1991</w:t>
      </w:r>
      <w:r w:rsidR="00165135">
        <w:rPr>
          <w:szCs w:val="19"/>
        </w:rPr>
        <w:t>.</w:t>
      </w:r>
      <w:r>
        <w:rPr>
          <w:szCs w:val="19"/>
        </w:rPr>
        <w:t xml:space="preserve"> </w:t>
      </w:r>
    </w:p>
    <w:p w14:paraId="23329AAE" w14:textId="60E1A6D8" w:rsidR="006161C2" w:rsidRDefault="006161C2" w:rsidP="006161C2">
      <w:pPr>
        <w:pStyle w:val="Caption"/>
      </w:pPr>
      <w:bookmarkStart w:id="15" w:name="_Ref157066348"/>
      <w:r>
        <w:t xml:space="preserve">Table </w:t>
      </w:r>
      <w:r>
        <w:fldChar w:fldCharType="begin"/>
      </w:r>
      <w:r>
        <w:instrText xml:space="preserve"> SEQ Table \* ARABIC </w:instrText>
      </w:r>
      <w:r>
        <w:fldChar w:fldCharType="separate"/>
      </w:r>
      <w:r w:rsidR="003F7B92">
        <w:rPr>
          <w:noProof/>
        </w:rPr>
        <w:t>4</w:t>
      </w:r>
      <w:r>
        <w:fldChar w:fldCharType="end"/>
      </w:r>
      <w:bookmarkEnd w:id="15"/>
      <w:r>
        <w:t xml:space="preserve"> | </w:t>
      </w:r>
      <w:r w:rsidRPr="00422625">
        <w:t>Overview of legislative changes to the FSANZ Act</w:t>
      </w:r>
    </w:p>
    <w:tbl>
      <w:tblPr>
        <w:tblStyle w:val="TableGrid"/>
        <w:tblW w:w="0" w:type="auto"/>
        <w:tblLook w:val="04A0" w:firstRow="1" w:lastRow="0" w:firstColumn="1" w:lastColumn="0" w:noHBand="0" w:noVBand="1"/>
      </w:tblPr>
      <w:tblGrid>
        <w:gridCol w:w="8364"/>
        <w:gridCol w:w="566"/>
      </w:tblGrid>
      <w:tr w:rsidR="00563AB0" w14:paraId="6FAAF6D6" w14:textId="77777777" w:rsidTr="00BB1DAF">
        <w:trPr>
          <w:cnfStyle w:val="100000000000" w:firstRow="1" w:lastRow="0" w:firstColumn="0" w:lastColumn="0" w:oddVBand="0" w:evenVBand="0" w:oddHBand="0" w:evenHBand="0" w:firstRowFirstColumn="0" w:firstRowLastColumn="0" w:lastRowFirstColumn="0" w:lastRowLastColumn="0"/>
        </w:trPr>
        <w:tc>
          <w:tcPr>
            <w:tcW w:w="8364" w:type="dxa"/>
          </w:tcPr>
          <w:p w14:paraId="6764D023" w14:textId="77777777" w:rsidR="006161C2" w:rsidRDefault="006161C2" w:rsidP="00BB1DAF">
            <w:pPr>
              <w:pStyle w:val="TableNheader"/>
            </w:pPr>
            <w:r>
              <w:t>Bill</w:t>
            </w:r>
          </w:p>
        </w:tc>
        <w:tc>
          <w:tcPr>
            <w:tcW w:w="566" w:type="dxa"/>
          </w:tcPr>
          <w:p w14:paraId="2191C122" w14:textId="77777777" w:rsidR="006161C2" w:rsidRDefault="006161C2" w:rsidP="00BB1DAF">
            <w:pPr>
              <w:pStyle w:val="TableNheader"/>
              <w:jc w:val="center"/>
            </w:pPr>
            <w:r>
              <w:t>Year</w:t>
            </w:r>
          </w:p>
        </w:tc>
      </w:tr>
      <w:tr w:rsidR="006161C2" w14:paraId="49E6DD87" w14:textId="77777777" w:rsidTr="00BB1DAF">
        <w:trPr>
          <w:cnfStyle w:val="000000100000" w:firstRow="0" w:lastRow="0" w:firstColumn="0" w:lastColumn="0" w:oddVBand="0" w:evenVBand="0" w:oddHBand="1" w:evenHBand="0" w:firstRowFirstColumn="0" w:firstRowLastColumn="0" w:lastRowFirstColumn="0" w:lastRowLastColumn="0"/>
        </w:trPr>
        <w:tc>
          <w:tcPr>
            <w:tcW w:w="8364" w:type="dxa"/>
          </w:tcPr>
          <w:p w14:paraId="0CCC6682" w14:textId="77777777" w:rsidR="006161C2" w:rsidRDefault="006161C2" w:rsidP="00BB1DAF">
            <w:pPr>
              <w:pStyle w:val="TableNBullet"/>
            </w:pPr>
            <w:r w:rsidRPr="00D03BEE">
              <w:t>Statute Update (Autumn 2018) Bill 2018</w:t>
            </w:r>
          </w:p>
        </w:tc>
        <w:tc>
          <w:tcPr>
            <w:tcW w:w="566" w:type="dxa"/>
            <w:shd w:val="clear" w:color="auto" w:fill="F2F2F2" w:themeFill="background1" w:themeFillShade="F2"/>
          </w:tcPr>
          <w:p w14:paraId="188538F5" w14:textId="77777777" w:rsidR="006161C2" w:rsidRPr="00111117" w:rsidRDefault="006161C2" w:rsidP="00BB1DAF">
            <w:pPr>
              <w:pStyle w:val="TableNText"/>
              <w:jc w:val="center"/>
              <w:rPr>
                <w:color w:val="00264D" w:themeColor="background2"/>
              </w:rPr>
            </w:pPr>
            <w:r w:rsidRPr="00111117">
              <w:rPr>
                <w:color w:val="00264D" w:themeColor="background2"/>
              </w:rPr>
              <w:t>2018</w:t>
            </w:r>
          </w:p>
        </w:tc>
      </w:tr>
      <w:tr w:rsidR="006161C2" w14:paraId="419EAE1A" w14:textId="77777777" w:rsidTr="00BB1DAF">
        <w:trPr>
          <w:cnfStyle w:val="000000010000" w:firstRow="0" w:lastRow="0" w:firstColumn="0" w:lastColumn="0" w:oddVBand="0" w:evenVBand="0" w:oddHBand="0" w:evenHBand="1" w:firstRowFirstColumn="0" w:firstRowLastColumn="0" w:lastRowFirstColumn="0" w:lastRowLastColumn="0"/>
        </w:trPr>
        <w:tc>
          <w:tcPr>
            <w:tcW w:w="8364" w:type="dxa"/>
          </w:tcPr>
          <w:p w14:paraId="38CD6BAB" w14:textId="77777777" w:rsidR="006161C2" w:rsidRDefault="006161C2" w:rsidP="00BB1DAF">
            <w:pPr>
              <w:pStyle w:val="TableNBullet"/>
            </w:pPr>
            <w:r w:rsidRPr="00D03BEE">
              <w:t>Food Standards Australia New Zealand Amendment (Forum on Food Regulation and Other Measures) Bill 2015</w:t>
            </w:r>
          </w:p>
          <w:p w14:paraId="3BA860FA" w14:textId="77777777" w:rsidR="006161C2" w:rsidRDefault="006161C2" w:rsidP="00BB1DAF">
            <w:pPr>
              <w:pStyle w:val="TableNBullet"/>
            </w:pPr>
            <w:r w:rsidRPr="00D03BEE">
              <w:t>Food Standards Amendment (Fish Labelling) Bill 2015</w:t>
            </w:r>
          </w:p>
          <w:p w14:paraId="459D3933" w14:textId="77777777" w:rsidR="006161C2" w:rsidRDefault="006161C2" w:rsidP="00BB1DAF">
            <w:pPr>
              <w:pStyle w:val="TableNBullet"/>
            </w:pPr>
            <w:r w:rsidRPr="00D03BEE">
              <w:lastRenderedPageBreak/>
              <w:t>Food Standards Australia New Zealand Amendment Bill 2015</w:t>
            </w:r>
          </w:p>
        </w:tc>
        <w:tc>
          <w:tcPr>
            <w:tcW w:w="566" w:type="dxa"/>
            <w:shd w:val="clear" w:color="auto" w:fill="F2F2F2" w:themeFill="background1" w:themeFillShade="F2"/>
          </w:tcPr>
          <w:p w14:paraId="3BA84653" w14:textId="77777777" w:rsidR="006161C2" w:rsidRPr="00111117" w:rsidRDefault="006161C2" w:rsidP="00BB1DAF">
            <w:pPr>
              <w:pStyle w:val="TableNText"/>
              <w:jc w:val="center"/>
              <w:rPr>
                <w:color w:val="00264D" w:themeColor="background2"/>
              </w:rPr>
            </w:pPr>
            <w:r w:rsidRPr="00111117">
              <w:rPr>
                <w:color w:val="00264D" w:themeColor="background2"/>
              </w:rPr>
              <w:lastRenderedPageBreak/>
              <w:t>2015</w:t>
            </w:r>
          </w:p>
        </w:tc>
      </w:tr>
      <w:tr w:rsidR="006161C2" w14:paraId="72C38A3A" w14:textId="77777777" w:rsidTr="00BB1DAF">
        <w:trPr>
          <w:cnfStyle w:val="000000100000" w:firstRow="0" w:lastRow="0" w:firstColumn="0" w:lastColumn="0" w:oddVBand="0" w:evenVBand="0" w:oddHBand="1" w:evenHBand="0" w:firstRowFirstColumn="0" w:firstRowLastColumn="0" w:lastRowFirstColumn="0" w:lastRowLastColumn="0"/>
        </w:trPr>
        <w:tc>
          <w:tcPr>
            <w:tcW w:w="8364" w:type="dxa"/>
          </w:tcPr>
          <w:p w14:paraId="7F89EE03" w14:textId="77777777" w:rsidR="006161C2" w:rsidRDefault="006161C2" w:rsidP="00BB1DAF">
            <w:pPr>
              <w:pStyle w:val="TableNBullet"/>
            </w:pPr>
            <w:r w:rsidRPr="00D03BEE">
              <w:t>Public Governance, Performance and Accountability (Consequential and Transitional Provisions) Bill 2014</w:t>
            </w:r>
          </w:p>
          <w:p w14:paraId="2883943B" w14:textId="77777777" w:rsidR="00D83E24" w:rsidRDefault="006161C2" w:rsidP="00BB1DAF">
            <w:pPr>
              <w:pStyle w:val="TableNBullet"/>
            </w:pPr>
            <w:r w:rsidRPr="00D03BEE">
              <w:t xml:space="preserve">Agricultural and Veterinary Chemicals Legislation Amendment (Removing Re-approval and </w:t>
            </w:r>
          </w:p>
          <w:p w14:paraId="697CEFBC" w14:textId="3BCFA898" w:rsidR="006161C2" w:rsidRDefault="006161C2" w:rsidP="00D83E24">
            <w:pPr>
              <w:pStyle w:val="TableNBullet"/>
              <w:numPr>
                <w:ilvl w:val="0"/>
                <w:numId w:val="0"/>
              </w:numPr>
              <w:ind w:left="227"/>
            </w:pPr>
            <w:r w:rsidRPr="00D03BEE">
              <w:t>Re</w:t>
            </w:r>
            <w:r w:rsidR="00D83E24">
              <w:t>-</w:t>
            </w:r>
            <w:r w:rsidRPr="00D03BEE">
              <w:t>registration) Bill 2014</w:t>
            </w:r>
          </w:p>
        </w:tc>
        <w:tc>
          <w:tcPr>
            <w:tcW w:w="566" w:type="dxa"/>
            <w:shd w:val="clear" w:color="auto" w:fill="F2F2F2" w:themeFill="background1" w:themeFillShade="F2"/>
          </w:tcPr>
          <w:p w14:paraId="7905E8DE" w14:textId="77777777" w:rsidR="006161C2" w:rsidRPr="00111117" w:rsidRDefault="006161C2" w:rsidP="00BB1DAF">
            <w:pPr>
              <w:pStyle w:val="TableNText"/>
              <w:jc w:val="center"/>
              <w:rPr>
                <w:color w:val="00264D" w:themeColor="background2"/>
              </w:rPr>
            </w:pPr>
            <w:r w:rsidRPr="00111117">
              <w:rPr>
                <w:color w:val="00264D" w:themeColor="background2"/>
              </w:rPr>
              <w:t>2014</w:t>
            </w:r>
          </w:p>
        </w:tc>
      </w:tr>
      <w:tr w:rsidR="006161C2" w14:paraId="7E2EFAA6" w14:textId="77777777" w:rsidTr="00BB1DAF">
        <w:trPr>
          <w:cnfStyle w:val="000000010000" w:firstRow="0" w:lastRow="0" w:firstColumn="0" w:lastColumn="0" w:oddVBand="0" w:evenVBand="0" w:oddHBand="0" w:evenHBand="1" w:firstRowFirstColumn="0" w:firstRowLastColumn="0" w:lastRowFirstColumn="0" w:lastRowLastColumn="0"/>
        </w:trPr>
        <w:tc>
          <w:tcPr>
            <w:tcW w:w="8364" w:type="dxa"/>
          </w:tcPr>
          <w:p w14:paraId="529ABD65" w14:textId="77777777" w:rsidR="006161C2" w:rsidRDefault="006161C2" w:rsidP="00BB1DAF">
            <w:pPr>
              <w:pStyle w:val="TableNBullet"/>
            </w:pPr>
            <w:r w:rsidRPr="00D03BEE">
              <w:t>Health and Other Legislation Amendment Bill 2012</w:t>
            </w:r>
          </w:p>
          <w:p w14:paraId="15609BF1" w14:textId="77777777" w:rsidR="006161C2" w:rsidRDefault="006161C2" w:rsidP="00BB1DAF">
            <w:pPr>
              <w:pStyle w:val="TableNBullet"/>
            </w:pPr>
            <w:r w:rsidRPr="00D03BEE">
              <w:t>Statute Law Revision Bill 2012</w:t>
            </w:r>
          </w:p>
        </w:tc>
        <w:tc>
          <w:tcPr>
            <w:tcW w:w="566" w:type="dxa"/>
            <w:shd w:val="clear" w:color="auto" w:fill="F2F2F2" w:themeFill="background1" w:themeFillShade="F2"/>
          </w:tcPr>
          <w:p w14:paraId="364B34A2" w14:textId="77777777" w:rsidR="006161C2" w:rsidRPr="00111117" w:rsidRDefault="006161C2" w:rsidP="00BB1DAF">
            <w:pPr>
              <w:pStyle w:val="TableNText"/>
              <w:jc w:val="center"/>
              <w:rPr>
                <w:color w:val="00264D" w:themeColor="background2"/>
              </w:rPr>
            </w:pPr>
            <w:r w:rsidRPr="00111117">
              <w:rPr>
                <w:color w:val="00264D" w:themeColor="background2"/>
              </w:rPr>
              <w:t>2012</w:t>
            </w:r>
          </w:p>
        </w:tc>
      </w:tr>
      <w:tr w:rsidR="006161C2" w14:paraId="78B39FF5" w14:textId="77777777" w:rsidTr="00BB1DAF">
        <w:trPr>
          <w:cnfStyle w:val="000000100000" w:firstRow="0" w:lastRow="0" w:firstColumn="0" w:lastColumn="0" w:oddVBand="0" w:evenVBand="0" w:oddHBand="1" w:evenHBand="0" w:firstRowFirstColumn="0" w:firstRowLastColumn="0" w:lastRowFirstColumn="0" w:lastRowLastColumn="0"/>
        </w:trPr>
        <w:tc>
          <w:tcPr>
            <w:tcW w:w="8364" w:type="dxa"/>
          </w:tcPr>
          <w:p w14:paraId="6B529D4D" w14:textId="77777777" w:rsidR="006161C2" w:rsidRDefault="006161C2" w:rsidP="00BB1DAF">
            <w:pPr>
              <w:pStyle w:val="TableNBullet"/>
            </w:pPr>
            <w:r w:rsidRPr="00D03BEE">
              <w:t>Acts Interpretation Amendment Bill 2011</w:t>
            </w:r>
          </w:p>
        </w:tc>
        <w:tc>
          <w:tcPr>
            <w:tcW w:w="566" w:type="dxa"/>
            <w:shd w:val="clear" w:color="auto" w:fill="F2F2F2" w:themeFill="background1" w:themeFillShade="F2"/>
          </w:tcPr>
          <w:p w14:paraId="5B697B7F" w14:textId="77777777" w:rsidR="006161C2" w:rsidRPr="00111117" w:rsidRDefault="006161C2" w:rsidP="00BB1DAF">
            <w:pPr>
              <w:pStyle w:val="TableNText"/>
              <w:jc w:val="center"/>
              <w:rPr>
                <w:color w:val="00264D" w:themeColor="background2"/>
              </w:rPr>
            </w:pPr>
            <w:r w:rsidRPr="00111117">
              <w:rPr>
                <w:color w:val="00264D" w:themeColor="background2"/>
              </w:rPr>
              <w:t>2011</w:t>
            </w:r>
          </w:p>
        </w:tc>
      </w:tr>
      <w:tr w:rsidR="006161C2" w14:paraId="06AC25AE" w14:textId="77777777" w:rsidTr="00BB1DAF">
        <w:trPr>
          <w:cnfStyle w:val="000000010000" w:firstRow="0" w:lastRow="0" w:firstColumn="0" w:lastColumn="0" w:oddVBand="0" w:evenVBand="0" w:oddHBand="0" w:evenHBand="1" w:firstRowFirstColumn="0" w:firstRowLastColumn="0" w:lastRowFirstColumn="0" w:lastRowLastColumn="0"/>
        </w:trPr>
        <w:tc>
          <w:tcPr>
            <w:tcW w:w="8364" w:type="dxa"/>
          </w:tcPr>
          <w:p w14:paraId="1E0C7EA1" w14:textId="77777777" w:rsidR="006161C2" w:rsidRDefault="006161C2" w:rsidP="00BB1DAF">
            <w:pPr>
              <w:pStyle w:val="TableNBullet"/>
            </w:pPr>
            <w:r w:rsidRPr="00D03BEE">
              <w:t>Food Standards Amendment (Truth in Labelling—Genetically Modified Material) Bill 2010</w:t>
            </w:r>
          </w:p>
          <w:p w14:paraId="6062AD72" w14:textId="77777777" w:rsidR="006161C2" w:rsidRDefault="006161C2" w:rsidP="00BB1DAF">
            <w:pPr>
              <w:pStyle w:val="TableNBullet"/>
            </w:pPr>
            <w:r w:rsidRPr="00D03BEE">
              <w:t>Food Standards Australia New Zealand Amendment Bill 2010</w:t>
            </w:r>
          </w:p>
          <w:p w14:paraId="44A4C8C7" w14:textId="77777777" w:rsidR="006161C2" w:rsidRDefault="006161C2" w:rsidP="00BB1DAF">
            <w:pPr>
              <w:pStyle w:val="TableNBullet"/>
            </w:pPr>
            <w:r w:rsidRPr="00D03BEE">
              <w:t>Alcohol Toll Reduction Bill 2010</w:t>
            </w:r>
          </w:p>
          <w:p w14:paraId="00B75662" w14:textId="77777777" w:rsidR="006161C2" w:rsidRDefault="006161C2" w:rsidP="00BB1DAF">
            <w:pPr>
              <w:pStyle w:val="TableNBullet"/>
            </w:pPr>
            <w:r w:rsidRPr="00D03BEE">
              <w:t>Food Standards Amendment (Truth in Labelling—Palm Oil) Bill 2010</w:t>
            </w:r>
          </w:p>
          <w:p w14:paraId="1479AA26" w14:textId="77777777" w:rsidR="006161C2" w:rsidRDefault="006161C2" w:rsidP="00BB1DAF">
            <w:pPr>
              <w:pStyle w:val="TableNBullet"/>
            </w:pPr>
            <w:r w:rsidRPr="00D03BEE">
              <w:t>Food Standards Australia New Zealand Amendment Bill 2010</w:t>
            </w:r>
          </w:p>
          <w:p w14:paraId="1A811E4B" w14:textId="77777777" w:rsidR="006161C2" w:rsidRDefault="006161C2" w:rsidP="00BB1DAF">
            <w:pPr>
              <w:pStyle w:val="TableNBullet"/>
            </w:pPr>
            <w:r w:rsidRPr="00D03BEE">
              <w:t>Trade Practices Amendment (Australian Consumer Law) Bill (No. 2) 2010</w:t>
            </w:r>
          </w:p>
        </w:tc>
        <w:tc>
          <w:tcPr>
            <w:tcW w:w="566" w:type="dxa"/>
            <w:shd w:val="clear" w:color="auto" w:fill="F2F2F2" w:themeFill="background1" w:themeFillShade="F2"/>
          </w:tcPr>
          <w:p w14:paraId="6673E1D9" w14:textId="77777777" w:rsidR="006161C2" w:rsidRPr="00111117" w:rsidRDefault="006161C2" w:rsidP="00BB1DAF">
            <w:pPr>
              <w:pStyle w:val="TableNText"/>
              <w:jc w:val="center"/>
              <w:rPr>
                <w:color w:val="00264D" w:themeColor="background2"/>
              </w:rPr>
            </w:pPr>
            <w:r w:rsidRPr="00111117">
              <w:rPr>
                <w:color w:val="00264D" w:themeColor="background2"/>
              </w:rPr>
              <w:t>2010</w:t>
            </w:r>
          </w:p>
        </w:tc>
      </w:tr>
      <w:tr w:rsidR="006161C2" w14:paraId="2E903302" w14:textId="77777777" w:rsidTr="00BB1DAF">
        <w:trPr>
          <w:cnfStyle w:val="000000100000" w:firstRow="0" w:lastRow="0" w:firstColumn="0" w:lastColumn="0" w:oddVBand="0" w:evenVBand="0" w:oddHBand="1" w:evenHBand="0" w:firstRowFirstColumn="0" w:firstRowLastColumn="0" w:lastRowFirstColumn="0" w:lastRowLastColumn="0"/>
        </w:trPr>
        <w:tc>
          <w:tcPr>
            <w:tcW w:w="8364" w:type="dxa"/>
          </w:tcPr>
          <w:p w14:paraId="152E25EE" w14:textId="77777777" w:rsidR="006161C2" w:rsidRDefault="006161C2" w:rsidP="00BB1DAF">
            <w:pPr>
              <w:pStyle w:val="TableNBullet"/>
            </w:pPr>
            <w:r w:rsidRPr="00D03BEE">
              <w:t>Food Standards Amendment (Truth in Labelling - Palm Oil) Bill 2009</w:t>
            </w:r>
          </w:p>
          <w:p w14:paraId="2671EB43" w14:textId="77777777" w:rsidR="006161C2" w:rsidRDefault="006161C2" w:rsidP="00BB1DAF">
            <w:pPr>
              <w:pStyle w:val="TableNBullet"/>
            </w:pPr>
            <w:r w:rsidRPr="00D03BEE">
              <w:t>Statute Law Revision Bill 2009</w:t>
            </w:r>
          </w:p>
          <w:p w14:paraId="7B5B2DF9" w14:textId="77777777" w:rsidR="006161C2" w:rsidRDefault="006161C2" w:rsidP="00BB1DAF">
            <w:pPr>
              <w:pStyle w:val="TableNBullet"/>
            </w:pPr>
            <w:r w:rsidRPr="00D03BEE">
              <w:t>Food Standards Amendment (Truth in Labelling Laws) Bill 2009</w:t>
            </w:r>
          </w:p>
        </w:tc>
        <w:tc>
          <w:tcPr>
            <w:tcW w:w="566" w:type="dxa"/>
            <w:shd w:val="clear" w:color="auto" w:fill="F2F2F2" w:themeFill="background1" w:themeFillShade="F2"/>
          </w:tcPr>
          <w:p w14:paraId="73FF91FB" w14:textId="77777777" w:rsidR="006161C2" w:rsidRPr="00111117" w:rsidRDefault="006161C2" w:rsidP="00BB1DAF">
            <w:pPr>
              <w:pStyle w:val="TableNText"/>
              <w:jc w:val="center"/>
              <w:rPr>
                <w:color w:val="00264D" w:themeColor="background2"/>
              </w:rPr>
            </w:pPr>
            <w:r w:rsidRPr="00111117">
              <w:rPr>
                <w:color w:val="00264D" w:themeColor="background2"/>
              </w:rPr>
              <w:t>2009</w:t>
            </w:r>
          </w:p>
        </w:tc>
      </w:tr>
      <w:tr w:rsidR="006161C2" w14:paraId="673A736A" w14:textId="77777777" w:rsidTr="00BB1DAF">
        <w:trPr>
          <w:cnfStyle w:val="000000010000" w:firstRow="0" w:lastRow="0" w:firstColumn="0" w:lastColumn="0" w:oddVBand="0" w:evenVBand="0" w:oddHBand="0" w:evenHBand="1" w:firstRowFirstColumn="0" w:firstRowLastColumn="0" w:lastRowFirstColumn="0" w:lastRowLastColumn="0"/>
        </w:trPr>
        <w:tc>
          <w:tcPr>
            <w:tcW w:w="8364" w:type="dxa"/>
          </w:tcPr>
          <w:p w14:paraId="6D01B20F" w14:textId="77777777" w:rsidR="006161C2" w:rsidRDefault="006161C2" w:rsidP="00BB1DAF">
            <w:pPr>
              <w:pStyle w:val="TableNBullet"/>
            </w:pPr>
            <w:r w:rsidRPr="00D03BEE">
              <w:t>Alcohol Toll Reduction Bill 2007</w:t>
            </w:r>
          </w:p>
          <w:p w14:paraId="7518DD96" w14:textId="77777777" w:rsidR="006161C2" w:rsidRDefault="006161C2" w:rsidP="00BB1DAF">
            <w:pPr>
              <w:pStyle w:val="TableNBullet"/>
            </w:pPr>
            <w:r w:rsidRPr="00D03BEE">
              <w:t>Food Standards Australia New Zealand Amendment Bill 2007</w:t>
            </w:r>
          </w:p>
        </w:tc>
        <w:tc>
          <w:tcPr>
            <w:tcW w:w="566" w:type="dxa"/>
            <w:shd w:val="clear" w:color="auto" w:fill="F2F2F2" w:themeFill="background1" w:themeFillShade="F2"/>
          </w:tcPr>
          <w:p w14:paraId="55F9B24F" w14:textId="77777777" w:rsidR="006161C2" w:rsidRPr="00111117" w:rsidRDefault="006161C2" w:rsidP="00BB1DAF">
            <w:pPr>
              <w:pStyle w:val="TableNText"/>
              <w:jc w:val="center"/>
              <w:rPr>
                <w:color w:val="00264D" w:themeColor="background2"/>
              </w:rPr>
            </w:pPr>
            <w:r w:rsidRPr="00111117">
              <w:rPr>
                <w:color w:val="00264D" w:themeColor="background2"/>
              </w:rPr>
              <w:t>2007</w:t>
            </w:r>
          </w:p>
        </w:tc>
      </w:tr>
      <w:tr w:rsidR="006161C2" w14:paraId="003D0DDF" w14:textId="77777777" w:rsidTr="00BB1DAF">
        <w:trPr>
          <w:cnfStyle w:val="000000100000" w:firstRow="0" w:lastRow="0" w:firstColumn="0" w:lastColumn="0" w:oddVBand="0" w:evenVBand="0" w:oddHBand="1" w:evenHBand="0" w:firstRowFirstColumn="0" w:firstRowLastColumn="0" w:lastRowFirstColumn="0" w:lastRowLastColumn="0"/>
          <w:trHeight w:val="27"/>
        </w:trPr>
        <w:tc>
          <w:tcPr>
            <w:tcW w:w="8364" w:type="dxa"/>
          </w:tcPr>
          <w:p w14:paraId="486A86DE" w14:textId="77777777" w:rsidR="006161C2" w:rsidRDefault="006161C2" w:rsidP="00BB1DAF">
            <w:pPr>
              <w:pStyle w:val="TableNBullet"/>
            </w:pPr>
            <w:r w:rsidRPr="00D03BEE">
              <w:t>Statute Law Revision Bill (No. 2) 2006</w:t>
            </w:r>
          </w:p>
          <w:p w14:paraId="39C4D8ED" w14:textId="77777777" w:rsidR="006161C2" w:rsidRDefault="006161C2" w:rsidP="00BB1DAF">
            <w:pPr>
              <w:pStyle w:val="TableNBullet"/>
            </w:pPr>
            <w:r w:rsidRPr="00D03BEE">
              <w:t>National Health and Medical Research Council Amendment Bill 2006</w:t>
            </w:r>
          </w:p>
        </w:tc>
        <w:tc>
          <w:tcPr>
            <w:tcW w:w="566" w:type="dxa"/>
            <w:shd w:val="clear" w:color="auto" w:fill="F2F2F2" w:themeFill="background1" w:themeFillShade="F2"/>
          </w:tcPr>
          <w:p w14:paraId="4FC2D39D" w14:textId="77777777" w:rsidR="006161C2" w:rsidRPr="00111117" w:rsidRDefault="006161C2" w:rsidP="00BB1DAF">
            <w:pPr>
              <w:pStyle w:val="TableNText"/>
              <w:jc w:val="center"/>
              <w:rPr>
                <w:color w:val="00264D" w:themeColor="background2"/>
              </w:rPr>
            </w:pPr>
            <w:r w:rsidRPr="00111117">
              <w:rPr>
                <w:color w:val="00264D" w:themeColor="background2"/>
              </w:rPr>
              <w:t>2006</w:t>
            </w:r>
          </w:p>
        </w:tc>
      </w:tr>
      <w:tr w:rsidR="006161C2" w14:paraId="60BE1143" w14:textId="77777777" w:rsidTr="00BB1DAF">
        <w:trPr>
          <w:cnfStyle w:val="000000010000" w:firstRow="0" w:lastRow="0" w:firstColumn="0" w:lastColumn="0" w:oddVBand="0" w:evenVBand="0" w:oddHBand="0" w:evenHBand="1" w:firstRowFirstColumn="0" w:firstRowLastColumn="0" w:lastRowFirstColumn="0" w:lastRowLastColumn="0"/>
          <w:trHeight w:val="27"/>
        </w:trPr>
        <w:tc>
          <w:tcPr>
            <w:tcW w:w="8364" w:type="dxa"/>
          </w:tcPr>
          <w:p w14:paraId="4149E3B3" w14:textId="77777777" w:rsidR="006161C2" w:rsidRDefault="006161C2" w:rsidP="00BB1DAF">
            <w:pPr>
              <w:pStyle w:val="TableNBullet"/>
            </w:pPr>
            <w:r w:rsidRPr="00D03BEE">
              <w:t>Health and Aged Care Legislation Amendment (Application of Criminal Code) Bill 2001</w:t>
            </w:r>
          </w:p>
          <w:p w14:paraId="4AB13301" w14:textId="77777777" w:rsidR="006161C2" w:rsidRDefault="006161C2" w:rsidP="00BB1DAF">
            <w:pPr>
              <w:pStyle w:val="TableNBullet"/>
            </w:pPr>
            <w:r w:rsidRPr="00D03BEE">
              <w:t>Australia New Zealand Food Authority Amendment Bill 2001</w:t>
            </w:r>
          </w:p>
        </w:tc>
        <w:tc>
          <w:tcPr>
            <w:tcW w:w="566" w:type="dxa"/>
            <w:shd w:val="clear" w:color="auto" w:fill="F2F2F2" w:themeFill="background1" w:themeFillShade="F2"/>
          </w:tcPr>
          <w:p w14:paraId="0AFE8196" w14:textId="77777777" w:rsidR="006161C2" w:rsidRPr="00111117" w:rsidRDefault="006161C2" w:rsidP="00BB1DAF">
            <w:pPr>
              <w:pStyle w:val="TableNText"/>
              <w:jc w:val="center"/>
              <w:rPr>
                <w:color w:val="00264D" w:themeColor="background2"/>
              </w:rPr>
            </w:pPr>
            <w:r w:rsidRPr="00111117">
              <w:rPr>
                <w:color w:val="00264D" w:themeColor="background2"/>
              </w:rPr>
              <w:t>2001</w:t>
            </w:r>
          </w:p>
        </w:tc>
      </w:tr>
      <w:tr w:rsidR="006161C2" w14:paraId="59AE9608" w14:textId="77777777" w:rsidTr="00BB1DAF">
        <w:trPr>
          <w:cnfStyle w:val="000000100000" w:firstRow="0" w:lastRow="0" w:firstColumn="0" w:lastColumn="0" w:oddVBand="0" w:evenVBand="0" w:oddHBand="1" w:evenHBand="0" w:firstRowFirstColumn="0" w:firstRowLastColumn="0" w:lastRowFirstColumn="0" w:lastRowLastColumn="0"/>
          <w:trHeight w:val="27"/>
        </w:trPr>
        <w:tc>
          <w:tcPr>
            <w:tcW w:w="8364" w:type="dxa"/>
          </w:tcPr>
          <w:p w14:paraId="76A912E6" w14:textId="77777777" w:rsidR="006161C2" w:rsidRDefault="006161C2" w:rsidP="00BB1DAF">
            <w:pPr>
              <w:pStyle w:val="TableNBullet"/>
            </w:pPr>
            <w:r w:rsidRPr="00D03BEE">
              <w:t>Administrative Review Tribunal (Consequential and Transitional Provisions) Bill 2000</w:t>
            </w:r>
          </w:p>
          <w:p w14:paraId="4F470068" w14:textId="77777777" w:rsidR="006161C2" w:rsidRDefault="006161C2" w:rsidP="00BB1DAF">
            <w:pPr>
              <w:pStyle w:val="TableNBullet"/>
            </w:pPr>
            <w:r w:rsidRPr="00D03BEE">
              <w:t>Gene Technology (Consequential Amendments) Bill 2000</w:t>
            </w:r>
          </w:p>
        </w:tc>
        <w:tc>
          <w:tcPr>
            <w:tcW w:w="566" w:type="dxa"/>
            <w:shd w:val="clear" w:color="auto" w:fill="F2F2F2" w:themeFill="background1" w:themeFillShade="F2"/>
          </w:tcPr>
          <w:p w14:paraId="71E7838C" w14:textId="77777777" w:rsidR="006161C2" w:rsidRPr="00111117" w:rsidRDefault="006161C2" w:rsidP="00BB1DAF">
            <w:pPr>
              <w:pStyle w:val="TableNText"/>
              <w:jc w:val="center"/>
              <w:rPr>
                <w:color w:val="00264D" w:themeColor="background2"/>
              </w:rPr>
            </w:pPr>
            <w:r w:rsidRPr="00111117">
              <w:rPr>
                <w:color w:val="00264D" w:themeColor="background2"/>
              </w:rPr>
              <w:t>2000</w:t>
            </w:r>
          </w:p>
        </w:tc>
      </w:tr>
      <w:tr w:rsidR="006161C2" w14:paraId="4AAF30A9" w14:textId="77777777" w:rsidTr="00BB1DAF">
        <w:trPr>
          <w:cnfStyle w:val="000000010000" w:firstRow="0" w:lastRow="0" w:firstColumn="0" w:lastColumn="0" w:oddVBand="0" w:evenVBand="0" w:oddHBand="0" w:evenHBand="1" w:firstRowFirstColumn="0" w:firstRowLastColumn="0" w:lastRowFirstColumn="0" w:lastRowLastColumn="0"/>
          <w:trHeight w:val="27"/>
        </w:trPr>
        <w:tc>
          <w:tcPr>
            <w:tcW w:w="8364" w:type="dxa"/>
          </w:tcPr>
          <w:p w14:paraId="19BE9AA2" w14:textId="77777777" w:rsidR="006161C2" w:rsidRDefault="006161C2" w:rsidP="00BB1DAF">
            <w:pPr>
              <w:pStyle w:val="TableNBullet"/>
            </w:pPr>
            <w:r w:rsidRPr="00D03BEE">
              <w:t>Australia New Zealand Food Authority Amendment Bill 1999</w:t>
            </w:r>
          </w:p>
        </w:tc>
        <w:tc>
          <w:tcPr>
            <w:tcW w:w="566" w:type="dxa"/>
            <w:shd w:val="clear" w:color="auto" w:fill="F2F2F2" w:themeFill="background1" w:themeFillShade="F2"/>
          </w:tcPr>
          <w:p w14:paraId="403EF7A4" w14:textId="77777777" w:rsidR="006161C2" w:rsidRPr="00111117" w:rsidRDefault="006161C2" w:rsidP="00BB1DAF">
            <w:pPr>
              <w:pStyle w:val="TableNText"/>
              <w:jc w:val="center"/>
              <w:rPr>
                <w:color w:val="00264D" w:themeColor="background2"/>
              </w:rPr>
            </w:pPr>
            <w:r w:rsidRPr="00111117">
              <w:rPr>
                <w:color w:val="00264D" w:themeColor="background2"/>
              </w:rPr>
              <w:t>1999</w:t>
            </w:r>
          </w:p>
        </w:tc>
      </w:tr>
      <w:tr w:rsidR="006161C2" w14:paraId="622813FE" w14:textId="77777777" w:rsidTr="00BB1DAF">
        <w:trPr>
          <w:cnfStyle w:val="000000100000" w:firstRow="0" w:lastRow="0" w:firstColumn="0" w:lastColumn="0" w:oddVBand="0" w:evenVBand="0" w:oddHBand="1" w:evenHBand="0" w:firstRowFirstColumn="0" w:firstRowLastColumn="0" w:lastRowFirstColumn="0" w:lastRowLastColumn="0"/>
          <w:trHeight w:val="27"/>
        </w:trPr>
        <w:tc>
          <w:tcPr>
            <w:tcW w:w="8364" w:type="dxa"/>
          </w:tcPr>
          <w:p w14:paraId="3DEA9451" w14:textId="77777777" w:rsidR="006161C2" w:rsidRDefault="006161C2" w:rsidP="00BB1DAF">
            <w:pPr>
              <w:pStyle w:val="TableNBullet"/>
            </w:pPr>
            <w:r w:rsidRPr="00D03BEE">
              <w:t>Australia New Zealand Food Authority Amendment Bill (No. 2) 1997</w:t>
            </w:r>
          </w:p>
        </w:tc>
        <w:tc>
          <w:tcPr>
            <w:tcW w:w="566" w:type="dxa"/>
            <w:shd w:val="clear" w:color="auto" w:fill="F2F2F2" w:themeFill="background1" w:themeFillShade="F2"/>
          </w:tcPr>
          <w:p w14:paraId="6B48C7DB" w14:textId="77777777" w:rsidR="006161C2" w:rsidRPr="00111117" w:rsidRDefault="006161C2" w:rsidP="00BB1DAF">
            <w:pPr>
              <w:pStyle w:val="TableNText"/>
              <w:jc w:val="center"/>
              <w:rPr>
                <w:color w:val="00264D" w:themeColor="background2"/>
              </w:rPr>
            </w:pPr>
            <w:r w:rsidRPr="00111117">
              <w:rPr>
                <w:color w:val="00264D" w:themeColor="background2"/>
              </w:rPr>
              <w:t>1997</w:t>
            </w:r>
          </w:p>
        </w:tc>
      </w:tr>
      <w:tr w:rsidR="006161C2" w14:paraId="279C7122" w14:textId="77777777" w:rsidTr="00BB1DAF">
        <w:trPr>
          <w:cnfStyle w:val="000000010000" w:firstRow="0" w:lastRow="0" w:firstColumn="0" w:lastColumn="0" w:oddVBand="0" w:evenVBand="0" w:oddHBand="0" w:evenHBand="1" w:firstRowFirstColumn="0" w:firstRowLastColumn="0" w:lastRowFirstColumn="0" w:lastRowLastColumn="0"/>
          <w:trHeight w:val="27"/>
        </w:trPr>
        <w:tc>
          <w:tcPr>
            <w:tcW w:w="8364" w:type="dxa"/>
          </w:tcPr>
          <w:p w14:paraId="3693E5CB" w14:textId="77777777" w:rsidR="006161C2" w:rsidRDefault="006161C2" w:rsidP="00BB1DAF">
            <w:pPr>
              <w:pStyle w:val="TableNBullet"/>
            </w:pPr>
            <w:r w:rsidRPr="00D03BEE">
              <w:t>Audit (Transitional and Miscellaneous) Amendment Bill 1996</w:t>
            </w:r>
          </w:p>
          <w:p w14:paraId="62E37383" w14:textId="77777777" w:rsidR="006161C2" w:rsidRDefault="006161C2" w:rsidP="00BB1DAF">
            <w:pPr>
              <w:pStyle w:val="TableNBullet"/>
            </w:pPr>
            <w:r w:rsidRPr="00D03BEE">
              <w:t>Australia New Zealand Food Authority Amendment Bill 1996</w:t>
            </w:r>
          </w:p>
        </w:tc>
        <w:tc>
          <w:tcPr>
            <w:tcW w:w="566" w:type="dxa"/>
            <w:shd w:val="clear" w:color="auto" w:fill="F2F2F2" w:themeFill="background1" w:themeFillShade="F2"/>
          </w:tcPr>
          <w:p w14:paraId="4AD34F77" w14:textId="77777777" w:rsidR="006161C2" w:rsidRPr="00111117" w:rsidRDefault="006161C2" w:rsidP="00BB1DAF">
            <w:pPr>
              <w:pStyle w:val="TableNText"/>
              <w:jc w:val="center"/>
              <w:rPr>
                <w:color w:val="00264D" w:themeColor="background2"/>
              </w:rPr>
            </w:pPr>
            <w:r w:rsidRPr="00111117">
              <w:rPr>
                <w:color w:val="00264D" w:themeColor="background2"/>
              </w:rPr>
              <w:t>1996</w:t>
            </w:r>
          </w:p>
        </w:tc>
      </w:tr>
    </w:tbl>
    <w:p w14:paraId="31C59E83" w14:textId="723CC2B4" w:rsidR="006161C2" w:rsidRPr="006161C2" w:rsidRDefault="006161C2" w:rsidP="00923BE4">
      <w:pPr>
        <w:rPr>
          <w:szCs w:val="19"/>
        </w:rPr>
      </w:pPr>
      <w:r>
        <w:t xml:space="preserve"> </w:t>
      </w:r>
    </w:p>
    <w:p w14:paraId="214D2F59" w14:textId="3AAF963A" w:rsidR="002D3537" w:rsidRDefault="00923BE4" w:rsidP="00923BE4">
      <w:pPr>
        <w:rPr>
          <w:lang w:eastAsia="en-AU"/>
        </w:rPr>
      </w:pPr>
      <w:r w:rsidRPr="00CB1EBE">
        <w:rPr>
          <w:lang w:eastAsia="en-AU"/>
        </w:rPr>
        <w:t xml:space="preserve">This </w:t>
      </w:r>
      <w:r>
        <w:rPr>
          <w:lang w:eastAsia="en-AU"/>
        </w:rPr>
        <w:t>IA</w:t>
      </w:r>
      <w:r w:rsidRPr="00CB1EBE">
        <w:rPr>
          <w:lang w:eastAsia="en-AU"/>
        </w:rPr>
        <w:t xml:space="preserve"> focuses on the Act</w:t>
      </w:r>
      <w:r w:rsidR="00991B58">
        <w:rPr>
          <w:lang w:eastAsia="en-AU"/>
        </w:rPr>
        <w:t xml:space="preserve"> and </w:t>
      </w:r>
      <w:r w:rsidR="00B63384">
        <w:rPr>
          <w:lang w:eastAsia="en-AU"/>
        </w:rPr>
        <w:t>FSANZ’</w:t>
      </w:r>
      <w:r w:rsidR="00760EFA">
        <w:rPr>
          <w:lang w:eastAsia="en-AU"/>
        </w:rPr>
        <w:t>s</w:t>
      </w:r>
      <w:r w:rsidR="00D76AAC">
        <w:rPr>
          <w:lang w:eastAsia="en-AU"/>
        </w:rPr>
        <w:t xml:space="preserve"> operations</w:t>
      </w:r>
      <w:r w:rsidR="006970B4">
        <w:rPr>
          <w:lang w:eastAsia="en-AU"/>
        </w:rPr>
        <w:t>,</w:t>
      </w:r>
      <w:r w:rsidR="006C5380">
        <w:rPr>
          <w:lang w:eastAsia="en-AU"/>
        </w:rPr>
        <w:t xml:space="preserve"> with the FRA</w:t>
      </w:r>
      <w:r w:rsidR="004A1446">
        <w:rPr>
          <w:lang w:eastAsia="en-AU"/>
        </w:rPr>
        <w:t>,</w:t>
      </w:r>
      <w:r w:rsidR="006C5380">
        <w:rPr>
          <w:lang w:eastAsia="en-AU"/>
        </w:rPr>
        <w:t xml:space="preserve"> </w:t>
      </w:r>
      <w:r w:rsidR="0089022C">
        <w:rPr>
          <w:lang w:eastAsia="en-AU"/>
        </w:rPr>
        <w:t xml:space="preserve">Food </w:t>
      </w:r>
      <w:r w:rsidR="00483A3A">
        <w:rPr>
          <w:lang w:eastAsia="en-AU"/>
        </w:rPr>
        <w:t>Tr</w:t>
      </w:r>
      <w:r w:rsidR="006C5380">
        <w:rPr>
          <w:lang w:eastAsia="en-AU"/>
        </w:rPr>
        <w:t xml:space="preserve">eaty </w:t>
      </w:r>
      <w:r w:rsidR="004A1446">
        <w:rPr>
          <w:lang w:eastAsia="en-AU"/>
        </w:rPr>
        <w:t xml:space="preserve">and Food Standards Code (below) </w:t>
      </w:r>
      <w:r w:rsidR="006C5380">
        <w:rPr>
          <w:lang w:eastAsia="en-AU"/>
        </w:rPr>
        <w:t>excluded by the Ter</w:t>
      </w:r>
      <w:r w:rsidR="001D4F24">
        <w:rPr>
          <w:lang w:eastAsia="en-AU"/>
        </w:rPr>
        <w:t>ms of Reference</w:t>
      </w:r>
      <w:r w:rsidRPr="00CB1EBE">
        <w:rPr>
          <w:lang w:eastAsia="en-AU"/>
        </w:rPr>
        <w:t>.</w:t>
      </w:r>
    </w:p>
    <w:p w14:paraId="7D22F1FA" w14:textId="77777777" w:rsidR="002D3537" w:rsidRDefault="002D3537">
      <w:pPr>
        <w:spacing w:after="165"/>
        <w:rPr>
          <w:lang w:eastAsia="en-AU"/>
        </w:rPr>
      </w:pPr>
      <w:r>
        <w:rPr>
          <w:lang w:eastAsia="en-AU"/>
        </w:rPr>
        <w:br w:type="page"/>
      </w:r>
    </w:p>
    <w:p w14:paraId="291E1E4F" w14:textId="77777777" w:rsidR="00923BE4" w:rsidRPr="00A0458C" w:rsidRDefault="00923BE4" w:rsidP="00923BE4">
      <w:pPr>
        <w:pStyle w:val="Heading3"/>
      </w:pPr>
      <w:r w:rsidRPr="00A0458C">
        <w:lastRenderedPageBreak/>
        <w:t>The Food Standards Code</w:t>
      </w:r>
    </w:p>
    <w:p w14:paraId="037D804A" w14:textId="77777777" w:rsidR="00923BE4" w:rsidRPr="00A0458C" w:rsidRDefault="00923BE4" w:rsidP="00923BE4">
      <w:pPr>
        <w:rPr>
          <w:lang w:eastAsia="en-AU"/>
        </w:rPr>
      </w:pPr>
      <w:r w:rsidRPr="00A0458C">
        <w:rPr>
          <w:lang w:eastAsia="en-AU"/>
        </w:rPr>
        <w:t xml:space="preserve">The Food Standards Code brings together Food Standards, which are legislative instruments under the </w:t>
      </w:r>
      <w:r w:rsidRPr="007C55D8">
        <w:rPr>
          <w:i/>
          <w:iCs/>
          <w:lang w:eastAsia="en-AU"/>
        </w:rPr>
        <w:t>Legislation Act 2003.</w:t>
      </w:r>
    </w:p>
    <w:p w14:paraId="00AF4438" w14:textId="77777777" w:rsidR="00923BE4" w:rsidRPr="00A0458C" w:rsidRDefault="00923BE4" w:rsidP="00923BE4">
      <w:pPr>
        <w:pStyle w:val="Heading4"/>
      </w:pPr>
      <w:r w:rsidRPr="00A0458C">
        <w:t xml:space="preserve">The Food Standards Code is a critical instrument for food </w:t>
      </w:r>
      <w:proofErr w:type="gramStart"/>
      <w:r w:rsidRPr="00A0458C">
        <w:t>regulation</w:t>
      </w:r>
      <w:proofErr w:type="gramEnd"/>
    </w:p>
    <w:p w14:paraId="5ED8C7B2" w14:textId="77777777" w:rsidR="00923BE4" w:rsidRPr="00A0458C" w:rsidRDefault="00923BE4" w:rsidP="00923BE4">
      <w:pPr>
        <w:rPr>
          <w:rFonts w:cs="Segoe UI"/>
          <w:lang w:eastAsia="en-AU"/>
        </w:rPr>
      </w:pPr>
      <w:r w:rsidRPr="00A0458C">
        <w:rPr>
          <w:rFonts w:cs="Segoe UI"/>
          <w:lang w:eastAsia="en-AU"/>
        </w:rPr>
        <w:t xml:space="preserve">The Food Standards Code is adopted by reference in state and territory Food Acts. It provides largely outcome-based standards that cover the entire supply chain from ‘paddock to plate’. </w:t>
      </w:r>
    </w:p>
    <w:p w14:paraId="3D71F013" w14:textId="7A3B1A9D" w:rsidR="00923BE4" w:rsidRPr="00A0458C" w:rsidRDefault="00923BE4" w:rsidP="00923BE4">
      <w:pPr>
        <w:rPr>
          <w:noProof/>
        </w:rPr>
      </w:pPr>
      <w:r w:rsidRPr="00A0458C">
        <w:rPr>
          <w:noProof/>
        </w:rPr>
        <w:t>New Zealand has the power to opt out of individual Food Standards in certain circumstances</w:t>
      </w:r>
      <w:r w:rsidR="00572C40">
        <w:rPr>
          <w:noProof/>
        </w:rPr>
        <w:t xml:space="preserve">, as granted under the </w:t>
      </w:r>
      <w:r w:rsidR="00A6439F">
        <w:rPr>
          <w:noProof/>
        </w:rPr>
        <w:t>Joint Food Standards Treaty</w:t>
      </w:r>
      <w:r w:rsidRPr="00A0458C">
        <w:rPr>
          <w:noProof/>
        </w:rPr>
        <w:t>. It currently does not adopt:</w:t>
      </w:r>
    </w:p>
    <w:p w14:paraId="5713EA3C" w14:textId="77777777" w:rsidR="00923BE4" w:rsidRPr="00A0458C" w:rsidRDefault="00923BE4" w:rsidP="00923BE4">
      <w:pPr>
        <w:pStyle w:val="Bullet"/>
        <w:spacing w:line="240" w:lineRule="auto"/>
        <w:rPr>
          <w:noProof/>
        </w:rPr>
      </w:pPr>
      <w:r w:rsidRPr="00A0458C">
        <w:rPr>
          <w:noProof/>
        </w:rPr>
        <w:t>Standard 1.4.2 Maximum Residue Limits</w:t>
      </w:r>
    </w:p>
    <w:p w14:paraId="320DD7C4" w14:textId="77777777" w:rsidR="00923BE4" w:rsidRPr="00A0458C" w:rsidRDefault="00923BE4" w:rsidP="00923BE4">
      <w:pPr>
        <w:pStyle w:val="Bullet"/>
        <w:spacing w:line="240" w:lineRule="auto"/>
        <w:rPr>
          <w:noProof/>
        </w:rPr>
      </w:pPr>
      <w:r w:rsidRPr="00A0458C">
        <w:rPr>
          <w:noProof/>
        </w:rPr>
        <w:t>Standard 1.6.2 Processing Requirements</w:t>
      </w:r>
    </w:p>
    <w:p w14:paraId="581B371E" w14:textId="77777777" w:rsidR="00923BE4" w:rsidRPr="00A0458C" w:rsidRDefault="00923BE4" w:rsidP="00923BE4">
      <w:pPr>
        <w:pStyle w:val="Bullet"/>
        <w:spacing w:line="240" w:lineRule="auto"/>
        <w:rPr>
          <w:noProof/>
        </w:rPr>
      </w:pPr>
      <w:r w:rsidRPr="00A0458C">
        <w:rPr>
          <w:noProof/>
        </w:rPr>
        <w:t>Standard 2.1.1 (4)(2) Thiamine in Bread</w:t>
      </w:r>
    </w:p>
    <w:p w14:paraId="271E6D97" w14:textId="77777777" w:rsidR="00923BE4" w:rsidRPr="00A0458C" w:rsidRDefault="00923BE4" w:rsidP="00923BE4">
      <w:pPr>
        <w:pStyle w:val="Bullet"/>
        <w:spacing w:line="240" w:lineRule="auto"/>
        <w:rPr>
          <w:noProof/>
        </w:rPr>
      </w:pPr>
      <w:r w:rsidRPr="00A0458C">
        <w:rPr>
          <w:noProof/>
        </w:rPr>
        <w:t>Standard 2.4.2 (2)(3) Vitamin D in Margarine</w:t>
      </w:r>
    </w:p>
    <w:p w14:paraId="3E3F3DD6" w14:textId="22199E52" w:rsidR="00111A61" w:rsidRPr="00A0458C" w:rsidRDefault="00111A61" w:rsidP="00923BE4">
      <w:pPr>
        <w:pStyle w:val="Bullet"/>
        <w:spacing w:line="240" w:lineRule="auto"/>
        <w:rPr>
          <w:noProof/>
        </w:rPr>
      </w:pPr>
      <w:r w:rsidRPr="00111A61">
        <w:rPr>
          <w:noProof/>
        </w:rPr>
        <w:t>​Standard 2.6.3</w:t>
      </w:r>
      <w:r w:rsidR="00024F84">
        <w:rPr>
          <w:noProof/>
        </w:rPr>
        <w:t xml:space="preserve"> K</w:t>
      </w:r>
      <w:r w:rsidR="00024F84" w:rsidRPr="00024F84">
        <w:rPr>
          <w:noProof/>
        </w:rPr>
        <w:t>ava standard</w:t>
      </w:r>
    </w:p>
    <w:p w14:paraId="555EFEB7" w14:textId="77777777" w:rsidR="00923BE4" w:rsidRPr="00A0458C" w:rsidRDefault="00923BE4" w:rsidP="00923BE4">
      <w:pPr>
        <w:pStyle w:val="Bullet"/>
        <w:spacing w:line="240" w:lineRule="auto"/>
      </w:pPr>
      <w:r w:rsidRPr="00A0458C">
        <w:t>Chapter 3 Food Safety Requirements</w:t>
      </w:r>
    </w:p>
    <w:p w14:paraId="385E898C" w14:textId="34D7F26D" w:rsidR="00923BE4" w:rsidRPr="00A0458C" w:rsidRDefault="00923BE4" w:rsidP="00923BE4">
      <w:pPr>
        <w:pStyle w:val="Bullet"/>
        <w:spacing w:line="240" w:lineRule="auto"/>
      </w:pPr>
      <w:r w:rsidRPr="00A0458C">
        <w:t>Chapter 4 Primary Production Standards.</w:t>
      </w:r>
    </w:p>
    <w:p w14:paraId="1DCF9C40" w14:textId="38451C61" w:rsidR="00923BE4" w:rsidRDefault="00923BE4" w:rsidP="00923BE4">
      <w:pPr>
        <w:rPr>
          <w:noProof/>
        </w:rPr>
      </w:pPr>
      <w:r w:rsidRPr="00A0458C">
        <w:rPr>
          <w:noProof/>
        </w:rPr>
        <w:t xml:space="preserve">In New Zealand food businesses must comply with New Zealand’s </w:t>
      </w:r>
      <w:r w:rsidRPr="00A0458C">
        <w:rPr>
          <w:i/>
          <w:noProof/>
        </w:rPr>
        <w:t xml:space="preserve">Food Act 2014 </w:t>
      </w:r>
      <w:r w:rsidRPr="00A0458C">
        <w:rPr>
          <w:noProof/>
        </w:rPr>
        <w:t xml:space="preserve">for any and all standards that are not adopted from the Food Standards Code. Where New Zealand exercises its right to opt out of a </w:t>
      </w:r>
      <w:r w:rsidR="00C2487B">
        <w:rPr>
          <w:noProof/>
        </w:rPr>
        <w:t>F</w:t>
      </w:r>
      <w:r w:rsidR="00EA58B4" w:rsidRPr="00A0458C">
        <w:rPr>
          <w:noProof/>
        </w:rPr>
        <w:t xml:space="preserve">ood </w:t>
      </w:r>
      <w:r w:rsidR="00C2487B">
        <w:rPr>
          <w:noProof/>
        </w:rPr>
        <w:t>S</w:t>
      </w:r>
      <w:r w:rsidR="00EA58B4" w:rsidRPr="00A0458C">
        <w:rPr>
          <w:noProof/>
        </w:rPr>
        <w:t>tandard</w:t>
      </w:r>
      <w:r w:rsidRPr="00A0458C">
        <w:rPr>
          <w:noProof/>
        </w:rPr>
        <w:t xml:space="preserve">, the </w:t>
      </w:r>
      <w:r w:rsidRPr="00A0458C">
        <w:rPr>
          <w:i/>
          <w:noProof/>
        </w:rPr>
        <w:t>Food Act 2014</w:t>
      </w:r>
      <w:r w:rsidRPr="00A0458C">
        <w:rPr>
          <w:noProof/>
        </w:rPr>
        <w:t xml:space="preserve"> provides for the relevant Minister to issue a domestic food standard that achieves a similar outcome, but works better within New Zealand’s legislative framework.</w:t>
      </w:r>
      <w:r>
        <w:rPr>
          <w:noProof/>
        </w:rPr>
        <w:t xml:space="preserve"> </w:t>
      </w:r>
    </w:p>
    <w:p w14:paraId="40A9F54D" w14:textId="12158139" w:rsidR="00923BE4" w:rsidRPr="00301321" w:rsidRDefault="00923BE4" w:rsidP="00923BE4">
      <w:pPr>
        <w:pStyle w:val="Caption"/>
        <w:rPr>
          <w:noProof/>
        </w:rPr>
      </w:pPr>
      <w:r>
        <w:t xml:space="preserve">Figure </w:t>
      </w:r>
      <w:r>
        <w:fldChar w:fldCharType="begin"/>
      </w:r>
      <w:r>
        <w:instrText xml:space="preserve"> SEQ Figure \* ARABIC </w:instrText>
      </w:r>
      <w:r>
        <w:fldChar w:fldCharType="separate"/>
      </w:r>
      <w:r w:rsidR="003F7B92">
        <w:rPr>
          <w:noProof/>
        </w:rPr>
        <w:t>3</w:t>
      </w:r>
      <w:r>
        <w:fldChar w:fldCharType="end"/>
      </w:r>
      <w:r>
        <w:t xml:space="preserve"> | </w:t>
      </w:r>
      <w:r w:rsidRPr="0067709C">
        <w:t>The four chapters of the Food Standards Code</w:t>
      </w:r>
    </w:p>
    <w:p w14:paraId="2FDDDAFF" w14:textId="12B09324" w:rsidR="00923BE4" w:rsidRDefault="00923BE4" w:rsidP="00923BE4">
      <w:pPr>
        <w:rPr>
          <w:rFonts w:cs="Segoe UI"/>
          <w:lang w:eastAsia="en-AU"/>
        </w:rPr>
      </w:pPr>
      <w:r>
        <w:rPr>
          <w:rFonts w:cs="Segoe UI"/>
          <w:noProof/>
          <w:lang w:eastAsia="en-AU"/>
        </w:rPr>
        <w:drawing>
          <wp:inline distT="0" distB="0" distL="0" distR="0" wp14:anchorId="70AD902D" wp14:editId="1D5A237D">
            <wp:extent cx="5494020" cy="3555711"/>
            <wp:effectExtent l="0" t="0" r="0" b="6985"/>
            <wp:docPr id="16" name="Picture 16" descr="P6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615#yI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8714" cy="3565221"/>
                    </a:xfrm>
                    <a:prstGeom prst="rect">
                      <a:avLst/>
                    </a:prstGeom>
                    <a:noFill/>
                  </pic:spPr>
                </pic:pic>
              </a:graphicData>
            </a:graphic>
          </wp:inline>
        </w:drawing>
      </w:r>
    </w:p>
    <w:p w14:paraId="013BAC94" w14:textId="40ABD74E" w:rsidR="00F82396" w:rsidRDefault="00F82396" w:rsidP="00F82396">
      <w:pPr>
        <w:pStyle w:val="Heading3"/>
      </w:pPr>
      <w:bookmarkStart w:id="16" w:name="_Ref153435291"/>
      <w:r>
        <w:lastRenderedPageBreak/>
        <w:t>Jurisdictional Food Acts</w:t>
      </w:r>
      <w:bookmarkEnd w:id="16"/>
    </w:p>
    <w:p w14:paraId="132FCA08" w14:textId="02FB8BE3" w:rsidR="00F82396" w:rsidRPr="0088193F" w:rsidRDefault="00F82396" w:rsidP="0088193F">
      <w:pPr>
        <w:rPr>
          <w:lang w:eastAsia="en-AU"/>
        </w:rPr>
      </w:pPr>
      <w:r>
        <w:rPr>
          <w:lang w:eastAsia="en-AU"/>
        </w:rPr>
        <w:t xml:space="preserve">Each state, territory and New Zealand have their own food acts that govern regulation of food. </w:t>
      </w:r>
    </w:p>
    <w:p w14:paraId="47D3C604" w14:textId="60859F43" w:rsidR="00DB14BB" w:rsidRPr="00C21E59" w:rsidRDefault="00DB14BB" w:rsidP="00DB14BB">
      <w:pPr>
        <w:pStyle w:val="Heading4"/>
      </w:pPr>
      <w:r w:rsidRPr="00C21E59">
        <w:t xml:space="preserve">Signatories to the FRA commit to adopting </w:t>
      </w:r>
      <w:r>
        <w:t>F</w:t>
      </w:r>
      <w:r w:rsidRPr="00C21E59">
        <w:t xml:space="preserve">ood </w:t>
      </w:r>
      <w:r>
        <w:t>S</w:t>
      </w:r>
      <w:r w:rsidRPr="00C21E59">
        <w:t xml:space="preserve">tandards in their own </w:t>
      </w:r>
      <w:r>
        <w:t>f</w:t>
      </w:r>
      <w:r w:rsidRPr="00C21E59">
        <w:t xml:space="preserve">ood </w:t>
      </w:r>
      <w:r>
        <w:t>a</w:t>
      </w:r>
      <w:r w:rsidRPr="00C21E59">
        <w:t xml:space="preserve">cts, and implementing other regulatory measures set out in model </w:t>
      </w:r>
      <w:proofErr w:type="gramStart"/>
      <w:r w:rsidRPr="00C21E59">
        <w:t>law</w:t>
      </w:r>
      <w:proofErr w:type="gramEnd"/>
    </w:p>
    <w:p w14:paraId="22606E55" w14:textId="48ED0FE2" w:rsidR="00DB14BB" w:rsidRDefault="00DB14BB" w:rsidP="00DB14BB">
      <w:pPr>
        <w:rPr>
          <w:rFonts w:eastAsia="Segoe UI"/>
        </w:rPr>
      </w:pPr>
      <w:r w:rsidRPr="4D666914">
        <w:rPr>
          <w:rFonts w:eastAsia="Segoe UI"/>
        </w:rPr>
        <w:t>In line with the terms of the FRA, states and territories have implemented model law provisions into their own food legislation (</w:t>
      </w:r>
      <w:r>
        <w:rPr>
          <w:rFonts w:eastAsia="Segoe UI"/>
        </w:rPr>
        <w:t>shown</w:t>
      </w:r>
      <w:r w:rsidRPr="4D666914">
        <w:rPr>
          <w:rFonts w:eastAsia="Segoe UI"/>
        </w:rPr>
        <w:t xml:space="preserve"> at</w:t>
      </w:r>
      <w:r>
        <w:rPr>
          <w:rFonts w:eastAsia="Segoe UI"/>
        </w:rPr>
        <w:t xml:space="preserve"> </w:t>
      </w:r>
      <w:r>
        <w:rPr>
          <w:rFonts w:eastAsia="Segoe UI"/>
        </w:rPr>
        <w:fldChar w:fldCharType="begin"/>
      </w:r>
      <w:r>
        <w:rPr>
          <w:rFonts w:eastAsia="Segoe UI"/>
        </w:rPr>
        <w:instrText xml:space="preserve"> REF _Ref20391357 \h </w:instrText>
      </w:r>
      <w:r>
        <w:rPr>
          <w:rFonts w:eastAsia="Segoe UI"/>
        </w:rPr>
      </w:r>
      <w:r>
        <w:rPr>
          <w:rFonts w:eastAsia="Segoe UI"/>
        </w:rPr>
        <w:fldChar w:fldCharType="separate"/>
      </w:r>
      <w:r w:rsidR="003F7B92">
        <w:t xml:space="preserve">Figure </w:t>
      </w:r>
      <w:r w:rsidR="003F7B92">
        <w:rPr>
          <w:noProof/>
        </w:rPr>
        <w:t>4</w:t>
      </w:r>
      <w:r>
        <w:rPr>
          <w:rFonts w:eastAsia="Segoe UI"/>
        </w:rPr>
        <w:fldChar w:fldCharType="end"/>
      </w:r>
      <w:r w:rsidRPr="4D666914">
        <w:rPr>
          <w:rFonts w:eastAsia="Segoe UI"/>
        </w:rPr>
        <w:t>). Importantly, the FRA does not stipulate that model law should be carried through jurisdictions’ agricultur</w:t>
      </w:r>
      <w:r>
        <w:rPr>
          <w:rFonts w:eastAsia="Segoe UI"/>
        </w:rPr>
        <w:t>e-related</w:t>
      </w:r>
      <w:r w:rsidRPr="4D666914">
        <w:rPr>
          <w:rFonts w:eastAsia="Segoe UI"/>
        </w:rPr>
        <w:t xml:space="preserve"> </w:t>
      </w:r>
      <w:r>
        <w:rPr>
          <w:rFonts w:eastAsia="Segoe UI"/>
        </w:rPr>
        <w:t>legislation</w:t>
      </w:r>
      <w:r w:rsidRPr="4D666914">
        <w:rPr>
          <w:rFonts w:eastAsia="Segoe UI"/>
        </w:rPr>
        <w:t xml:space="preserve">, which means that primary production is not </w:t>
      </w:r>
      <w:r>
        <w:rPr>
          <w:rFonts w:eastAsia="Segoe UI"/>
        </w:rPr>
        <w:t xml:space="preserve">explicitly </w:t>
      </w:r>
      <w:r w:rsidRPr="4D666914">
        <w:rPr>
          <w:rFonts w:eastAsia="Segoe UI"/>
        </w:rPr>
        <w:t>recognised</w:t>
      </w:r>
      <w:r>
        <w:rPr>
          <w:rFonts w:eastAsia="Segoe UI"/>
        </w:rPr>
        <w:t xml:space="preserve"> within the FRA</w:t>
      </w:r>
      <w:r w:rsidRPr="4D666914">
        <w:rPr>
          <w:rFonts w:eastAsia="Segoe UI"/>
        </w:rPr>
        <w:t xml:space="preserve"> as a link in the food chain. </w:t>
      </w:r>
    </w:p>
    <w:p w14:paraId="6875756A" w14:textId="77777777" w:rsidR="00DB14BB" w:rsidRDefault="00DB14BB" w:rsidP="00DB14BB">
      <w:r w:rsidRPr="00CF484D">
        <w:t xml:space="preserve">Enforcement of food standards is carried out by jurisdictions. In Australia, this includes a mix of state and local governments, statutory </w:t>
      </w:r>
      <w:proofErr w:type="gramStart"/>
      <w:r w:rsidRPr="00CF484D">
        <w:t>regulators</w:t>
      </w:r>
      <w:proofErr w:type="gramEnd"/>
      <w:r w:rsidRPr="00CF484D">
        <w:t xml:space="preserve"> and private auditors, as well as </w:t>
      </w:r>
      <w:r>
        <w:t>DAFF</w:t>
      </w:r>
      <w:r w:rsidRPr="00CF484D">
        <w:t xml:space="preserve"> for imported foods. In New Zealand, this is conducted by the MPI.</w:t>
      </w:r>
    </w:p>
    <w:p w14:paraId="7D2648BC" w14:textId="7457C9BC" w:rsidR="00DB14BB" w:rsidRDefault="00DB14BB" w:rsidP="00DB14BB">
      <w:pPr>
        <w:rPr>
          <w:lang w:eastAsia="en-AU"/>
        </w:rPr>
      </w:pPr>
      <w:r>
        <w:rPr>
          <w:rFonts w:eastAsia="Segoe UI"/>
        </w:rPr>
        <w:fldChar w:fldCharType="begin"/>
      </w:r>
      <w:r>
        <w:rPr>
          <w:rFonts w:eastAsia="Segoe UI"/>
        </w:rPr>
        <w:instrText xml:space="preserve"> REF _Ref20391357 \h </w:instrText>
      </w:r>
      <w:r>
        <w:rPr>
          <w:rFonts w:eastAsia="Segoe UI"/>
        </w:rPr>
      </w:r>
      <w:r>
        <w:rPr>
          <w:rFonts w:eastAsia="Segoe UI"/>
        </w:rPr>
        <w:fldChar w:fldCharType="separate"/>
      </w:r>
      <w:r w:rsidR="003F7B92">
        <w:t xml:space="preserve">Figure </w:t>
      </w:r>
      <w:r w:rsidR="003F7B92">
        <w:rPr>
          <w:noProof/>
        </w:rPr>
        <w:t>4</w:t>
      </w:r>
      <w:r>
        <w:rPr>
          <w:rFonts w:eastAsia="Segoe UI"/>
        </w:rPr>
        <w:fldChar w:fldCharType="end"/>
      </w:r>
      <w:r>
        <w:rPr>
          <w:rFonts w:eastAsia="Segoe UI"/>
        </w:rPr>
        <w:t xml:space="preserve"> </w:t>
      </w:r>
      <w:r w:rsidRPr="004E10C4">
        <w:rPr>
          <w:lang w:eastAsia="en-AU"/>
        </w:rPr>
        <w:t>also shows the institutional arrangements in place to monitor and enforce food legislation</w:t>
      </w:r>
      <w:r>
        <w:rPr>
          <w:lang w:eastAsia="en-AU"/>
        </w:rPr>
        <w:t xml:space="preserve"> that</w:t>
      </w:r>
      <w:r w:rsidRPr="004E10C4">
        <w:rPr>
          <w:lang w:eastAsia="en-AU"/>
        </w:rPr>
        <w:t xml:space="preserve"> are different across the country</w:t>
      </w:r>
      <w:r w:rsidRPr="4D666914">
        <w:rPr>
          <w:lang w:eastAsia="en-AU"/>
        </w:rPr>
        <w:t xml:space="preserve">. </w:t>
      </w:r>
    </w:p>
    <w:p w14:paraId="40C13D59" w14:textId="21AA36A3" w:rsidR="00DB14BB" w:rsidRDefault="00DB14BB" w:rsidP="00DB14BB">
      <w:pPr>
        <w:pStyle w:val="Caption"/>
      </w:pPr>
      <w:bookmarkStart w:id="17" w:name="_Ref20391357"/>
      <w:bookmarkStart w:id="18" w:name="_Ref142226689"/>
      <w:r>
        <w:t xml:space="preserve">Figure </w:t>
      </w:r>
      <w:r>
        <w:rPr>
          <w:bCs w:val="0"/>
        </w:rPr>
        <w:fldChar w:fldCharType="begin"/>
      </w:r>
      <w:r>
        <w:instrText xml:space="preserve"> SEQ Figure \* ARABIC </w:instrText>
      </w:r>
      <w:r>
        <w:rPr>
          <w:bCs w:val="0"/>
        </w:rPr>
        <w:fldChar w:fldCharType="separate"/>
      </w:r>
      <w:r w:rsidR="003F7B92">
        <w:rPr>
          <w:noProof/>
        </w:rPr>
        <w:t>4</w:t>
      </w:r>
      <w:r>
        <w:rPr>
          <w:bCs w:val="0"/>
        </w:rPr>
        <w:fldChar w:fldCharType="end"/>
      </w:r>
      <w:bookmarkEnd w:id="17"/>
      <w:r>
        <w:t xml:space="preserve"> | </w:t>
      </w:r>
      <w:r w:rsidRPr="00C57107">
        <w:t>Relevant food related legislation in each Australia jurisdiction</w:t>
      </w:r>
      <w:bookmarkEnd w:id="18"/>
      <w:r w:rsidRPr="00E02BC1">
        <w:t xml:space="preserve"> </w:t>
      </w:r>
    </w:p>
    <w:p w14:paraId="505B4C48" w14:textId="77777777" w:rsidR="00DB14BB" w:rsidRDefault="00DB14BB" w:rsidP="00DB14BB">
      <w:pPr>
        <w:pStyle w:val="Caption"/>
      </w:pPr>
      <w:r>
        <w:rPr>
          <w:noProof/>
        </w:rPr>
        <w:drawing>
          <wp:inline distT="0" distB="0" distL="0" distR="0" wp14:anchorId="7A9CDED4" wp14:editId="3CF85177">
            <wp:extent cx="5670000" cy="4991309"/>
            <wp:effectExtent l="0" t="0" r="0" b="0"/>
            <wp:docPr id="1359593559" name="Picture 1359593559" descr="P5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2620" name="Picture 57272620" descr="P514#yI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0000" cy="4991309"/>
                    </a:xfrm>
                    <a:prstGeom prst="rect">
                      <a:avLst/>
                    </a:prstGeom>
                    <a:noFill/>
                  </pic:spPr>
                </pic:pic>
              </a:graphicData>
            </a:graphic>
          </wp:inline>
        </w:drawing>
      </w:r>
    </w:p>
    <w:p w14:paraId="598A54E6" w14:textId="473630F8" w:rsidR="00DB14BB" w:rsidRDefault="00DB14BB" w:rsidP="00DB14BB">
      <w:pPr>
        <w:rPr>
          <w:rFonts w:cs="Segoe UI"/>
          <w:lang w:eastAsia="en-AU"/>
        </w:rPr>
      </w:pPr>
      <w:r>
        <w:rPr>
          <w:rFonts w:cs="Segoe UI"/>
          <w:lang w:eastAsia="en-AU"/>
        </w:rPr>
        <w:t xml:space="preserve">As shown in </w:t>
      </w:r>
      <w:r>
        <w:rPr>
          <w:rFonts w:cs="Segoe UI"/>
          <w:lang w:eastAsia="en-AU"/>
        </w:rPr>
        <w:fldChar w:fldCharType="begin"/>
      </w:r>
      <w:r>
        <w:rPr>
          <w:rFonts w:cs="Segoe UI"/>
          <w:lang w:eastAsia="en-AU"/>
        </w:rPr>
        <w:instrText xml:space="preserve"> REF _Ref142406272 \h </w:instrText>
      </w:r>
      <w:r>
        <w:rPr>
          <w:rFonts w:cs="Segoe UI"/>
          <w:lang w:eastAsia="en-AU"/>
        </w:rPr>
      </w:r>
      <w:r>
        <w:rPr>
          <w:rFonts w:cs="Segoe UI"/>
          <w:lang w:eastAsia="en-AU"/>
        </w:rPr>
        <w:fldChar w:fldCharType="separate"/>
      </w:r>
      <w:r w:rsidR="003F7B92" w:rsidRPr="00E42F84">
        <w:t xml:space="preserve">Figure </w:t>
      </w:r>
      <w:r w:rsidR="003F7B92">
        <w:rPr>
          <w:noProof/>
        </w:rPr>
        <w:t>5</w:t>
      </w:r>
      <w:r>
        <w:rPr>
          <w:rFonts w:cs="Segoe UI"/>
          <w:lang w:eastAsia="en-AU"/>
        </w:rPr>
        <w:fldChar w:fldCharType="end"/>
      </w:r>
      <w:r>
        <w:rPr>
          <w:rFonts w:cs="Segoe UI"/>
          <w:lang w:eastAsia="en-AU"/>
        </w:rPr>
        <w:t xml:space="preserve">, New Zealand applies the Food Standards to four Acts and the regulatory scheme is administered by MPI. </w:t>
      </w:r>
    </w:p>
    <w:p w14:paraId="2AE7E73A" w14:textId="55C2F802" w:rsidR="00DB14BB" w:rsidRDefault="00DB14BB" w:rsidP="00DB14BB">
      <w:pPr>
        <w:pStyle w:val="Caption"/>
        <w:rPr>
          <w:rFonts w:cs="Segoe UI"/>
          <w:lang w:eastAsia="en-AU"/>
        </w:rPr>
      </w:pPr>
      <w:bookmarkStart w:id="19" w:name="_Ref142406272"/>
      <w:r w:rsidRPr="00E42F84">
        <w:lastRenderedPageBreak/>
        <w:t xml:space="preserve">Figure </w:t>
      </w:r>
      <w:r w:rsidRPr="00E42F84">
        <w:fldChar w:fldCharType="begin"/>
      </w:r>
      <w:r w:rsidRPr="00E42F84">
        <w:instrText xml:space="preserve"> SEQ Figure \* ARABIC </w:instrText>
      </w:r>
      <w:r w:rsidRPr="00E42F84">
        <w:fldChar w:fldCharType="separate"/>
      </w:r>
      <w:r w:rsidR="003F7B92">
        <w:rPr>
          <w:noProof/>
        </w:rPr>
        <w:t>5</w:t>
      </w:r>
      <w:r w:rsidRPr="00E42F84">
        <w:fldChar w:fldCharType="end"/>
      </w:r>
      <w:bookmarkEnd w:id="19"/>
      <w:r w:rsidRPr="00E42F84">
        <w:t xml:space="preserve"> | New Zealand Acts and institutional arrangements</w:t>
      </w:r>
    </w:p>
    <w:p w14:paraId="69BC9676" w14:textId="33D9C73E" w:rsidR="00DB14BB" w:rsidRPr="00DA408F" w:rsidRDefault="00DB14BB" w:rsidP="00923BE4">
      <w:pPr>
        <w:rPr>
          <w:rFonts w:cs="Segoe UI"/>
          <w:lang w:eastAsia="en-AU"/>
        </w:rPr>
      </w:pPr>
      <w:r>
        <w:rPr>
          <w:rFonts w:cs="Segoe UI"/>
          <w:noProof/>
          <w:lang w:eastAsia="en-AU"/>
        </w:rPr>
        <w:drawing>
          <wp:inline distT="0" distB="0" distL="0" distR="0" wp14:anchorId="556AE351" wp14:editId="009F73D2">
            <wp:extent cx="5670000" cy="1927241"/>
            <wp:effectExtent l="0" t="0" r="6985" b="0"/>
            <wp:docPr id="1224566588" name="Picture 1224566588" descr="P5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517#yIS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670000" cy="1927241"/>
                    </a:xfrm>
                    <a:prstGeom prst="rect">
                      <a:avLst/>
                    </a:prstGeom>
                    <a:noFill/>
                  </pic:spPr>
                </pic:pic>
              </a:graphicData>
            </a:graphic>
          </wp:inline>
        </w:drawing>
      </w:r>
    </w:p>
    <w:p w14:paraId="6D273B21" w14:textId="13B93AA0" w:rsidR="00923BE4" w:rsidRPr="00CF52DC" w:rsidRDefault="00923BE4" w:rsidP="007A6BB4">
      <w:pPr>
        <w:pStyle w:val="Heading2"/>
        <w:ind w:left="567" w:hanging="567"/>
      </w:pPr>
      <w:bookmarkStart w:id="20" w:name="_Toc157599122"/>
      <w:r>
        <w:t xml:space="preserve">This review is an exciting opportunity for </w:t>
      </w:r>
      <w:proofErr w:type="gramStart"/>
      <w:r>
        <w:t>modernisation</w:t>
      </w:r>
      <w:bookmarkEnd w:id="20"/>
      <w:proofErr w:type="gramEnd"/>
    </w:p>
    <w:p w14:paraId="50B95BF5" w14:textId="6F2DCFE2" w:rsidR="00DA408F" w:rsidRDefault="00DA408F" w:rsidP="00923BE4">
      <w:pPr>
        <w:rPr>
          <w:szCs w:val="19"/>
        </w:rPr>
      </w:pPr>
      <w:r>
        <w:rPr>
          <w:szCs w:val="19"/>
        </w:rPr>
        <w:t xml:space="preserve">Recognising that much has changed in the last 30 years, Food Ministers have now agreed to a holistic, first principles review of the Act. </w:t>
      </w:r>
      <w:r w:rsidRPr="002E1827">
        <w:rPr>
          <w:szCs w:val="19"/>
        </w:rPr>
        <w:t xml:space="preserve">This is an opportunity to consider how </w:t>
      </w:r>
      <w:r>
        <w:rPr>
          <w:szCs w:val="19"/>
        </w:rPr>
        <w:t>it</w:t>
      </w:r>
      <w:r w:rsidRPr="002E1827">
        <w:rPr>
          <w:szCs w:val="19"/>
        </w:rPr>
        <w:t xml:space="preserve"> can be modernised to work most effectively within a more mature and integrated </w:t>
      </w:r>
      <w:r>
        <w:rPr>
          <w:lang w:eastAsia="en-AU"/>
        </w:rPr>
        <w:t>joint food standards system</w:t>
      </w:r>
      <w:r>
        <w:rPr>
          <w:szCs w:val="19"/>
        </w:rPr>
        <w:t xml:space="preserve">. This includes exploring a transition to outcomes-based legislation, </w:t>
      </w:r>
      <w:r w:rsidRPr="002E1827">
        <w:rPr>
          <w:szCs w:val="19"/>
        </w:rPr>
        <w:t>administered in a</w:t>
      </w:r>
      <w:r>
        <w:rPr>
          <w:szCs w:val="19"/>
        </w:rPr>
        <w:t xml:space="preserve"> ris</w:t>
      </w:r>
      <w:r w:rsidRPr="002E1827">
        <w:rPr>
          <w:szCs w:val="19"/>
        </w:rPr>
        <w:t>k-based and proportionate manner</w:t>
      </w:r>
      <w:r>
        <w:rPr>
          <w:szCs w:val="19"/>
        </w:rPr>
        <w:t>.</w:t>
      </w:r>
    </w:p>
    <w:p w14:paraId="705BF3BA" w14:textId="18682D15" w:rsidR="00923BE4" w:rsidRPr="001F70D8" w:rsidRDefault="001F70D8" w:rsidP="00923BE4">
      <w:pPr>
        <w:pStyle w:val="Heading1"/>
        <w:rPr>
          <w:color w:val="FFFFFF" w:themeColor="background1"/>
        </w:rPr>
      </w:pPr>
      <w:bookmarkStart w:id="21" w:name="_Ref57911144"/>
      <w:bookmarkStart w:id="22" w:name="_Toc157599123"/>
      <w:bookmarkStart w:id="23" w:name="_Ref141863714"/>
      <w:bookmarkStart w:id="24" w:name="_Ref141976360"/>
      <w:bookmarkStart w:id="25" w:name="_Ref141976741"/>
      <w:r w:rsidRPr="001F70D8">
        <w:rPr>
          <w:noProof/>
          <w:color w:val="FFFFFF" w:themeColor="background1"/>
        </w:rPr>
        <w:lastRenderedPageBreak/>
        <w:drawing>
          <wp:anchor distT="0" distB="0" distL="114300" distR="114300" simplePos="0" relativeHeight="251658245" behindDoc="1" locked="0" layoutInCell="1" allowOverlap="1" wp14:anchorId="71038354" wp14:editId="0FB8FE65">
            <wp:simplePos x="0" y="0"/>
            <wp:positionH relativeFrom="margin">
              <wp:posOffset>-984250</wp:posOffset>
            </wp:positionH>
            <wp:positionV relativeFrom="paragraph">
              <wp:posOffset>-885825</wp:posOffset>
            </wp:positionV>
            <wp:extent cx="7581900" cy="129540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b="32669"/>
                    <a:stretch/>
                  </pic:blipFill>
                  <pic:spPr bwMode="auto">
                    <a:xfrm>
                      <a:off x="0" y="0"/>
                      <a:ext cx="75819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BE4" w:rsidRPr="001F70D8">
        <w:rPr>
          <w:color w:val="FFFFFF" w:themeColor="background1"/>
        </w:rPr>
        <w:t xml:space="preserve">The problems to </w:t>
      </w:r>
      <w:proofErr w:type="gramStart"/>
      <w:r w:rsidR="00923BE4" w:rsidRPr="001F70D8">
        <w:rPr>
          <w:color w:val="FFFFFF" w:themeColor="background1"/>
        </w:rPr>
        <w:t>solve</w:t>
      </w:r>
      <w:bookmarkEnd w:id="21"/>
      <w:bookmarkEnd w:id="22"/>
      <w:proofErr w:type="gramEnd"/>
      <w:r w:rsidR="00923BE4" w:rsidRPr="001F70D8">
        <w:rPr>
          <w:color w:val="FFFFFF" w:themeColor="background1"/>
        </w:rPr>
        <w:t xml:space="preserve">  </w:t>
      </w:r>
      <w:bookmarkEnd w:id="23"/>
      <w:bookmarkEnd w:id="24"/>
      <w:bookmarkEnd w:id="25"/>
    </w:p>
    <w:tbl>
      <w:tblPr>
        <w:tblStyle w:val="NousLongformcallout"/>
        <w:tblW w:w="4950" w:type="pct"/>
        <w:tblCellMar>
          <w:top w:w="170" w:type="dxa"/>
          <w:bottom w:w="170" w:type="dxa"/>
        </w:tblCellMar>
        <w:tblLook w:val="04A0" w:firstRow="1" w:lastRow="0" w:firstColumn="1" w:lastColumn="0" w:noHBand="0" w:noVBand="1"/>
      </w:tblPr>
      <w:tblGrid>
        <w:gridCol w:w="8818"/>
      </w:tblGrid>
      <w:tr w:rsidR="00D868C3" w14:paraId="17C5C148" w14:textId="77777777" w:rsidTr="00F67706">
        <w:tc>
          <w:tcPr>
            <w:tcW w:w="8818" w:type="dxa"/>
          </w:tcPr>
          <w:p w14:paraId="3FC2A14A" w14:textId="728CBF68" w:rsidR="004B08A2" w:rsidRDefault="00D868C3" w:rsidP="00423231">
            <w:pPr>
              <w:pStyle w:val="longformcalloutnumber"/>
              <w:numPr>
                <w:ilvl w:val="0"/>
                <w:numId w:val="0"/>
              </w:numPr>
              <w:rPr>
                <w:bCs/>
              </w:rPr>
            </w:pPr>
            <w:r w:rsidRPr="00673746">
              <w:rPr>
                <w:bCs/>
              </w:rPr>
              <w:t>The review of the FSANZ Act and FSANZ operations has been guided by a Terms of Reference (</w:t>
            </w:r>
            <w:r w:rsidR="00635459">
              <w:rPr>
                <w:bCs/>
              </w:rPr>
              <w:fldChar w:fldCharType="begin"/>
            </w:r>
            <w:r w:rsidR="00635459">
              <w:rPr>
                <w:bCs/>
              </w:rPr>
              <w:instrText xml:space="preserve"> REF _Ref57881062 \r \h </w:instrText>
            </w:r>
            <w:r w:rsidR="00635459">
              <w:rPr>
                <w:bCs/>
              </w:rPr>
            </w:r>
            <w:r w:rsidR="00635459">
              <w:rPr>
                <w:bCs/>
              </w:rPr>
              <w:fldChar w:fldCharType="separate"/>
            </w:r>
            <w:r w:rsidR="003F7B92">
              <w:rPr>
                <w:bCs/>
              </w:rPr>
              <w:t>Appendix A</w:t>
            </w:r>
            <w:r w:rsidR="00635459">
              <w:rPr>
                <w:bCs/>
              </w:rPr>
              <w:fldChar w:fldCharType="end"/>
            </w:r>
            <w:r w:rsidRPr="00673746">
              <w:rPr>
                <w:bCs/>
              </w:rPr>
              <w:t xml:space="preserve">). </w:t>
            </w:r>
          </w:p>
          <w:p w14:paraId="1252744B" w14:textId="77777777" w:rsidR="00EB3065" w:rsidRDefault="00D868C3" w:rsidP="00423231">
            <w:pPr>
              <w:pStyle w:val="longformcalloutnumber"/>
              <w:numPr>
                <w:ilvl w:val="0"/>
                <w:numId w:val="0"/>
              </w:numPr>
              <w:rPr>
                <w:bCs/>
              </w:rPr>
            </w:pPr>
            <w:r w:rsidRPr="00673746">
              <w:rPr>
                <w:bCs/>
              </w:rPr>
              <w:t xml:space="preserve">The full scope of issues and opportunities within the Terms of Reference have been explored through the course of the </w:t>
            </w:r>
            <w:r w:rsidR="00544472">
              <w:rPr>
                <w:bCs/>
              </w:rPr>
              <w:t>R</w:t>
            </w:r>
            <w:r w:rsidRPr="00673746">
              <w:rPr>
                <w:bCs/>
              </w:rPr>
              <w:t xml:space="preserve">eview, and stakeholders have been extensively consulted to develop, </w:t>
            </w:r>
            <w:proofErr w:type="gramStart"/>
            <w:r w:rsidRPr="00673746">
              <w:rPr>
                <w:bCs/>
              </w:rPr>
              <w:t>test</w:t>
            </w:r>
            <w:proofErr w:type="gramEnd"/>
            <w:r w:rsidRPr="00673746">
              <w:rPr>
                <w:bCs/>
              </w:rPr>
              <w:t xml:space="preserve"> and refine problem statements and associated options for reform. </w:t>
            </w:r>
          </w:p>
          <w:p w14:paraId="5661ABFF" w14:textId="1E79096C" w:rsidR="00D868C3" w:rsidRDefault="00807A95" w:rsidP="00423231">
            <w:pPr>
              <w:pStyle w:val="longformcalloutnumber"/>
              <w:numPr>
                <w:ilvl w:val="0"/>
                <w:numId w:val="0"/>
              </w:numPr>
              <w:rPr>
                <w:bCs/>
              </w:rPr>
            </w:pPr>
            <w:r>
              <w:rPr>
                <w:bCs/>
              </w:rPr>
              <w:t xml:space="preserve">This version of the IA </w:t>
            </w:r>
            <w:r w:rsidR="00981E5C">
              <w:rPr>
                <w:bCs/>
              </w:rPr>
              <w:t xml:space="preserve">focuses on issues and opportunities that have </w:t>
            </w:r>
            <w:r w:rsidR="00AF5B3B">
              <w:rPr>
                <w:bCs/>
              </w:rPr>
              <w:t>been endorsed for further consideration by the FMM</w:t>
            </w:r>
            <w:r w:rsidR="0000300B">
              <w:rPr>
                <w:bCs/>
              </w:rPr>
              <w:t>.</w:t>
            </w:r>
            <w:r w:rsidR="00D868C3">
              <w:rPr>
                <w:bCs/>
              </w:rPr>
              <w:t xml:space="preserve"> To this end,</w:t>
            </w:r>
            <w:r w:rsidR="00D868C3" w:rsidRPr="00673746">
              <w:rPr>
                <w:bCs/>
              </w:rPr>
              <w:t xml:space="preserve"> it does not cover the full gamut of topics called out in the Terms of Reference. </w:t>
            </w:r>
          </w:p>
          <w:p w14:paraId="7C1048CC" w14:textId="0DE70555" w:rsidR="00D868C3" w:rsidRPr="002B7A6E" w:rsidRDefault="00D868C3" w:rsidP="00423231">
            <w:pPr>
              <w:pStyle w:val="longformcalloutnumber"/>
              <w:numPr>
                <w:ilvl w:val="0"/>
                <w:numId w:val="0"/>
              </w:numPr>
              <w:rPr>
                <w:b/>
              </w:rPr>
            </w:pPr>
            <w:r w:rsidRPr="00673746">
              <w:rPr>
                <w:bCs/>
              </w:rPr>
              <w:t xml:space="preserve">Section </w:t>
            </w:r>
            <w:bookmarkStart w:id="26" w:name="_Hlt149659828"/>
            <w:r w:rsidR="005C06D8">
              <w:rPr>
                <w:bCs/>
              </w:rPr>
              <w:fldChar w:fldCharType="begin"/>
            </w:r>
            <w:r w:rsidR="005C06D8">
              <w:rPr>
                <w:bCs/>
              </w:rPr>
              <w:instrText xml:space="preserve"> REF _Ref149659824 \r \h </w:instrText>
            </w:r>
            <w:r w:rsidR="005C06D8">
              <w:rPr>
                <w:bCs/>
              </w:rPr>
            </w:r>
            <w:r w:rsidR="005C06D8">
              <w:rPr>
                <w:bCs/>
              </w:rPr>
              <w:fldChar w:fldCharType="separate"/>
            </w:r>
            <w:r w:rsidR="003F7B92">
              <w:rPr>
                <w:bCs/>
              </w:rPr>
              <w:t>7</w:t>
            </w:r>
            <w:r w:rsidR="005C06D8">
              <w:rPr>
                <w:bCs/>
              </w:rPr>
              <w:fldChar w:fldCharType="end"/>
            </w:r>
            <w:bookmarkEnd w:id="26"/>
            <w:r w:rsidRPr="00673746">
              <w:rPr>
                <w:bCs/>
              </w:rPr>
              <w:t xml:space="preserve"> does however discuss the evolution of the IA, and how changes had been made over time to respond to narrow the focus of reform options by leveraging stakeholder input.</w:t>
            </w:r>
            <w:r>
              <w:rPr>
                <w:b/>
              </w:rPr>
              <w:t xml:space="preserve">   </w:t>
            </w:r>
          </w:p>
        </w:tc>
      </w:tr>
    </w:tbl>
    <w:p w14:paraId="2172EACD" w14:textId="77777777" w:rsidR="00D868C3" w:rsidRDefault="00D868C3" w:rsidP="00923BE4">
      <w:pPr>
        <w:rPr>
          <w:lang w:eastAsia="en-AU"/>
        </w:rPr>
      </w:pPr>
    </w:p>
    <w:p w14:paraId="333EC6BE" w14:textId="44BD7189" w:rsidR="00923BE4" w:rsidRDefault="00923BE4" w:rsidP="00923BE4">
      <w:pPr>
        <w:rPr>
          <w:lang w:eastAsia="en-AU"/>
        </w:rPr>
      </w:pPr>
      <w:r>
        <w:rPr>
          <w:lang w:eastAsia="en-AU"/>
        </w:rPr>
        <w:t xml:space="preserve">Government has a long-standing and widely accepted role in setting, monitoring, and enforcing standards for food. They do this to ensure that consumers can have a high degree of confidence in the </w:t>
      </w:r>
      <w:r w:rsidR="00872D04">
        <w:rPr>
          <w:lang w:eastAsia="en-AU"/>
        </w:rPr>
        <w:t xml:space="preserve">integrity </w:t>
      </w:r>
      <w:r>
        <w:rPr>
          <w:lang w:eastAsia="en-AU"/>
        </w:rPr>
        <w:t xml:space="preserve">and safety of food produced, processed, sold, or exported from Australia or New Zealand. The Act supports these objectives by establishing FSANZ and providing for processes to set and amend food standards, as well as undertake a range of other functions. Using the language of regulation, the Act is designed to: </w:t>
      </w:r>
    </w:p>
    <w:p w14:paraId="0A5B3BB2" w14:textId="15A90E80" w:rsidR="00923BE4" w:rsidRDefault="008D26E0" w:rsidP="00923BE4">
      <w:pPr>
        <w:pStyle w:val="Bullet"/>
      </w:pPr>
      <w:r>
        <w:t>p</w:t>
      </w:r>
      <w:r w:rsidR="00923BE4">
        <w:t>rotect the public good by reducing foodborne illness</w:t>
      </w:r>
      <w:r w:rsidR="0032594B">
        <w:t xml:space="preserve"> and promoting population </w:t>
      </w:r>
      <w:proofErr w:type="gramStart"/>
      <w:r w:rsidR="0032594B">
        <w:t>health</w:t>
      </w:r>
      <w:proofErr w:type="gramEnd"/>
      <w:r w:rsidR="00923BE4">
        <w:t xml:space="preserve"> </w:t>
      </w:r>
    </w:p>
    <w:p w14:paraId="7445A490" w14:textId="0192706C" w:rsidR="000421F6" w:rsidRDefault="00F560A5" w:rsidP="00923BE4">
      <w:pPr>
        <w:pStyle w:val="Bullet"/>
      </w:pPr>
      <w:r>
        <w:t>address negative externalities, such as where the actions of some stakeholder groups create costs or harm for other people</w:t>
      </w:r>
      <w:r w:rsidR="004076DF">
        <w:t xml:space="preserve">, within these costs being paid for by the responsible </w:t>
      </w:r>
      <w:proofErr w:type="gramStart"/>
      <w:r w:rsidR="004076DF">
        <w:t>parties</w:t>
      </w:r>
      <w:proofErr w:type="gramEnd"/>
    </w:p>
    <w:p w14:paraId="534618F0" w14:textId="60B606D3" w:rsidR="00923BE4" w:rsidRDefault="008D26E0" w:rsidP="00923BE4">
      <w:pPr>
        <w:pStyle w:val="Bullet"/>
      </w:pPr>
      <w:r>
        <w:t>a</w:t>
      </w:r>
      <w:r w:rsidR="00923BE4">
        <w:t>ddress information asymmetries</w:t>
      </w:r>
      <w:r w:rsidR="00923BE4" w:rsidRPr="000476BA">
        <w:t xml:space="preserve"> </w:t>
      </w:r>
      <w:r w:rsidR="00923BE4">
        <w:t xml:space="preserve">by ensuring that consumers have adequate information and consequently </w:t>
      </w:r>
      <w:proofErr w:type="gramStart"/>
      <w:r w:rsidR="00923BE4">
        <w:t>are able to</w:t>
      </w:r>
      <w:proofErr w:type="gramEnd"/>
      <w:r w:rsidR="00923BE4">
        <w:t xml:space="preserve"> make informed choices which promotes high quality production.</w:t>
      </w:r>
    </w:p>
    <w:p w14:paraId="3366EF8A" w14:textId="5344ACAE" w:rsidR="00D22FBC" w:rsidRDefault="00D22FBC" w:rsidP="00923BE4">
      <w:r>
        <w:rPr>
          <w:noProof/>
        </w:rPr>
        <mc:AlternateContent>
          <mc:Choice Requires="wps">
            <w:drawing>
              <wp:anchor distT="0" distB="0" distL="114300" distR="114300" simplePos="0" relativeHeight="251658261" behindDoc="0" locked="0" layoutInCell="1" allowOverlap="1" wp14:anchorId="6F4C9DCC" wp14:editId="470431BF">
                <wp:simplePos x="0" y="0"/>
                <wp:positionH relativeFrom="margin">
                  <wp:align>left</wp:align>
                </wp:positionH>
                <wp:positionV relativeFrom="paragraph">
                  <wp:posOffset>19355</wp:posOffset>
                </wp:positionV>
                <wp:extent cx="1038225" cy="1477645"/>
                <wp:effectExtent l="0" t="0" r="9525" b="8255"/>
                <wp:wrapSquare wrapText="bothSides"/>
                <wp:docPr id="507" name="Text Box 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38225" cy="1477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93CC7" w14:textId="55C9ACAF" w:rsidR="00D22FBC" w:rsidRDefault="00D22FBC" w:rsidP="00D22FBC">
                            <w:pPr>
                              <w:pStyle w:val="Callout"/>
                              <w:rPr>
                                <w:color w:val="F25E21" w:themeColor="accent2"/>
                              </w:rPr>
                            </w:pPr>
                            <w:proofErr w:type="gramStart"/>
                            <w:r>
                              <w:rPr>
                                <w:color w:val="F25E21" w:themeColor="accent2"/>
                              </w:rPr>
                              <w:t>”The</w:t>
                            </w:r>
                            <w:proofErr w:type="gramEnd"/>
                            <w:r>
                              <w:rPr>
                                <w:color w:val="F25E21" w:themeColor="accent2"/>
                              </w:rPr>
                              <w:t xml:space="preserve"> system can be improved – but it is not broken.” </w:t>
                            </w:r>
                          </w:p>
                          <w:p w14:paraId="062D675A" w14:textId="45D7CEE9" w:rsidR="00D22FBC" w:rsidRDefault="00D22FBC" w:rsidP="00D22FBC">
                            <w:pPr>
                              <w:pStyle w:val="Callout"/>
                              <w:rPr>
                                <w:color w:val="F25E21" w:themeColor="accent2"/>
                              </w:rPr>
                            </w:pPr>
                            <w:r>
                              <w:rPr>
                                <w:color w:val="F25E21" w:themeColor="accent2"/>
                              </w:rPr>
                              <w:t>~ Stakeholder</w:t>
                            </w:r>
                          </w:p>
                          <w:p w14:paraId="16E29EFF" w14:textId="77777777" w:rsidR="00D22FBC" w:rsidRDefault="00D22FBC" w:rsidP="00D22FBC">
                            <w:pPr>
                              <w:pStyle w:val="Callout"/>
                              <w:rPr>
                                <w:color w:val="F25E21" w:themeColor="accent2"/>
                              </w:rPr>
                            </w:pPr>
                          </w:p>
                          <w:p w14:paraId="0EFA5210" w14:textId="77777777" w:rsidR="00D22FBC" w:rsidRPr="00885462" w:rsidRDefault="00D22FBC" w:rsidP="00D22FBC">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4C9DCC" id="Text Box 507" o:spid="_x0000_s1027" type="#_x0000_t202" alt="&quot;&quot;" style="position:absolute;margin-left:0;margin-top:1.5pt;width:81.75pt;height:116.35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" fillcolor="white [3201]" stroked="f" strokeweight=".5pt">
                <v:textbox inset="0,,1mm">
                  <w:txbxContent>
                    <w:p w14:paraId="1FC93CC7" w14:textId="55C9ACAF" w:rsidR="00D22FBC" w:rsidRDefault="00D22FBC" w:rsidP="00D22FBC">
                      <w:pPr>
                        <w:pStyle w:val="Callout"/>
                        <w:rPr>
                          <w:color w:val="F25E21" w:themeColor="accent2"/>
                        </w:rPr>
                      </w:pPr>
                      <w:proofErr w:type="gramStart"/>
                      <w:r>
                        <w:rPr>
                          <w:color w:val="F25E21" w:themeColor="accent2"/>
                        </w:rPr>
                        <w:t>”The</w:t>
                      </w:r>
                      <w:proofErr w:type="gramEnd"/>
                      <w:r>
                        <w:rPr>
                          <w:color w:val="F25E21" w:themeColor="accent2"/>
                        </w:rPr>
                        <w:t xml:space="preserve"> system can be improved – but it is not broken.” </w:t>
                      </w:r>
                    </w:p>
                    <w:p w14:paraId="062D675A" w14:textId="45D7CEE9" w:rsidR="00D22FBC" w:rsidRDefault="00D22FBC" w:rsidP="00D22FBC">
                      <w:pPr>
                        <w:pStyle w:val="Callout"/>
                        <w:rPr>
                          <w:color w:val="F25E21" w:themeColor="accent2"/>
                        </w:rPr>
                      </w:pPr>
                      <w:r>
                        <w:rPr>
                          <w:color w:val="F25E21" w:themeColor="accent2"/>
                        </w:rPr>
                        <w:t>~ Stakeholder</w:t>
                      </w:r>
                    </w:p>
                    <w:p w14:paraId="16E29EFF" w14:textId="77777777" w:rsidR="00D22FBC" w:rsidRDefault="00D22FBC" w:rsidP="00D22FBC">
                      <w:pPr>
                        <w:pStyle w:val="Callout"/>
                        <w:rPr>
                          <w:color w:val="F25E21" w:themeColor="accent2"/>
                        </w:rPr>
                      </w:pPr>
                    </w:p>
                    <w:p w14:paraId="0EFA5210" w14:textId="77777777" w:rsidR="00D22FBC" w:rsidRPr="00885462" w:rsidRDefault="00D22FBC" w:rsidP="00D22FBC">
                      <w:pPr>
                        <w:pStyle w:val="Callout"/>
                        <w:rPr>
                          <w:color w:val="F25E21" w:themeColor="accent2"/>
                        </w:rPr>
                      </w:pPr>
                    </w:p>
                  </w:txbxContent>
                </v:textbox>
                <w10:wrap type="square" anchorx="margin"/>
              </v:shape>
            </w:pict>
          </mc:Fallback>
        </mc:AlternateContent>
      </w:r>
      <w:r w:rsidR="00923BE4" w:rsidRPr="000A2D8E">
        <w:rPr>
          <w:rFonts w:cs="Segoe UI"/>
          <w:color w:val="000000"/>
        </w:rPr>
        <w:t xml:space="preserve">Stakeholders consulted to date </w:t>
      </w:r>
      <w:r w:rsidR="00923BE4">
        <w:rPr>
          <w:rFonts w:cs="Segoe UI"/>
          <w:color w:val="000000"/>
        </w:rPr>
        <w:t>have spoken extensively about</w:t>
      </w:r>
      <w:r w:rsidR="00923BE4" w:rsidRPr="000A2D8E">
        <w:rPr>
          <w:rFonts w:cs="Segoe UI"/>
          <w:color w:val="000000"/>
        </w:rPr>
        <w:t xml:space="preserve"> the value of FSANZ</w:t>
      </w:r>
      <w:r w:rsidR="00923BE4">
        <w:rPr>
          <w:rFonts w:cs="Segoe UI"/>
          <w:color w:val="000000"/>
        </w:rPr>
        <w:t>,</w:t>
      </w:r>
      <w:r w:rsidR="00923BE4" w:rsidRPr="000A2D8E">
        <w:rPr>
          <w:rFonts w:cs="Segoe UI"/>
          <w:color w:val="000000"/>
        </w:rPr>
        <w:t xml:space="preserve"> </w:t>
      </w:r>
      <w:r w:rsidR="00923BE4">
        <w:rPr>
          <w:rFonts w:cs="Segoe UI"/>
          <w:color w:val="000000"/>
        </w:rPr>
        <w:t>and its contribution to</w:t>
      </w:r>
      <w:r w:rsidR="00923BE4" w:rsidRPr="000A2D8E">
        <w:rPr>
          <w:rFonts w:cs="Segoe UI"/>
          <w:color w:val="000000"/>
        </w:rPr>
        <w:t xml:space="preserve"> ensuring food safety</w:t>
      </w:r>
      <w:r w:rsidR="00923BE4">
        <w:rPr>
          <w:rFonts w:cs="Segoe UI"/>
          <w:color w:val="000000"/>
        </w:rPr>
        <w:t xml:space="preserve"> as part of its broader role in</w:t>
      </w:r>
      <w:r w:rsidR="00923BE4" w:rsidRPr="000A2D8E">
        <w:rPr>
          <w:rFonts w:cs="Segoe UI"/>
          <w:color w:val="000000"/>
        </w:rPr>
        <w:t xml:space="preserve"> supporting </w:t>
      </w:r>
      <w:r w:rsidR="00923BE4">
        <w:rPr>
          <w:rFonts w:cs="Segoe UI"/>
          <w:color w:val="000000"/>
        </w:rPr>
        <w:t>population</w:t>
      </w:r>
      <w:r w:rsidR="00923BE4" w:rsidRPr="000A2D8E">
        <w:rPr>
          <w:rFonts w:cs="Segoe UI"/>
          <w:color w:val="000000"/>
        </w:rPr>
        <w:t xml:space="preserve"> health</w:t>
      </w:r>
      <w:r w:rsidR="00923BE4">
        <w:rPr>
          <w:rFonts w:cs="Segoe UI"/>
          <w:color w:val="000000"/>
        </w:rPr>
        <w:t xml:space="preserve"> and </w:t>
      </w:r>
      <w:r w:rsidR="00923BE4" w:rsidRPr="000A2D8E">
        <w:rPr>
          <w:rFonts w:cs="Segoe UI"/>
          <w:color w:val="000000"/>
        </w:rPr>
        <w:t>creating a strong reputation for Australia and New Zealand</w:t>
      </w:r>
      <w:r w:rsidR="00923BE4">
        <w:rPr>
          <w:rFonts w:cs="Segoe UI"/>
          <w:color w:val="000000"/>
        </w:rPr>
        <w:t>’s</w:t>
      </w:r>
      <w:r w:rsidR="00923BE4" w:rsidRPr="000A2D8E">
        <w:rPr>
          <w:rFonts w:cs="Segoe UI"/>
          <w:color w:val="000000"/>
        </w:rPr>
        <w:t xml:space="preserve"> food.</w:t>
      </w:r>
      <w:r w:rsidR="00923BE4">
        <w:rPr>
          <w:rFonts w:cs="Segoe UI"/>
          <w:color w:val="000000"/>
        </w:rPr>
        <w:t xml:space="preserve"> </w:t>
      </w:r>
      <w:r w:rsidR="00923BE4">
        <w:t>Successive reviews of different aspects of the system have found that it generally functions well,</w:t>
      </w:r>
      <w:r w:rsidR="00235A9D">
        <w:rPr>
          <w:rFonts w:ascii="ZWAdobeF" w:hAnsi="ZWAdobeF" w:cs="ZWAdobeF"/>
          <w:sz w:val="2"/>
          <w:szCs w:val="2"/>
        </w:rPr>
        <w:t>6F</w:t>
      </w:r>
      <w:r w:rsidR="00923BE4">
        <w:rPr>
          <w:rStyle w:val="FootnoteReference"/>
        </w:rPr>
        <w:footnoteReference w:id="8"/>
      </w:r>
      <w:r w:rsidR="00923BE4" w:rsidRPr="000A2D8E">
        <w:t xml:space="preserve"> though there are opportunities for improvement, particularly in relation to responsiveness, flexibility</w:t>
      </w:r>
      <w:r w:rsidR="00923BE4">
        <w:t>,</w:t>
      </w:r>
      <w:r w:rsidR="00923BE4" w:rsidRPr="000A2D8E">
        <w:t xml:space="preserve"> and </w:t>
      </w:r>
      <w:r w:rsidR="00923BE4">
        <w:t>efficacy</w:t>
      </w:r>
      <w:r w:rsidR="00923BE4" w:rsidRPr="000A2D8E">
        <w:t xml:space="preserve">. </w:t>
      </w:r>
    </w:p>
    <w:p w14:paraId="44B321AA" w14:textId="77777777" w:rsidR="00923BE4" w:rsidRPr="00395A80" w:rsidRDefault="00923BE4" w:rsidP="00514AA6">
      <w:pPr>
        <w:pStyle w:val="Heading2"/>
        <w:ind w:left="567" w:hanging="567"/>
      </w:pPr>
      <w:bookmarkStart w:id="27" w:name="_Ref63420030"/>
      <w:bookmarkStart w:id="28" w:name="_Toc157599124"/>
      <w:r>
        <w:t xml:space="preserve">The Terms of Reference have called for a focus on inconsistencies with ‘best </w:t>
      </w:r>
      <w:bookmarkEnd w:id="27"/>
      <w:proofErr w:type="gramStart"/>
      <w:r>
        <w:t>practice’</w:t>
      </w:r>
      <w:bookmarkEnd w:id="28"/>
      <w:proofErr w:type="gramEnd"/>
    </w:p>
    <w:p w14:paraId="271F450F" w14:textId="21E5223A" w:rsidR="00923BE4" w:rsidRDefault="00923BE4" w:rsidP="00923BE4">
      <w:pPr>
        <w:rPr>
          <w:lang w:eastAsia="en-AU"/>
        </w:rPr>
      </w:pPr>
      <w:r>
        <w:rPr>
          <w:lang w:eastAsia="en-AU"/>
        </w:rPr>
        <w:t xml:space="preserve">The Terms of Reference for </w:t>
      </w:r>
      <w:r w:rsidR="00DE65C9">
        <w:rPr>
          <w:lang w:eastAsia="en-AU"/>
        </w:rPr>
        <w:t>the</w:t>
      </w:r>
      <w:r>
        <w:rPr>
          <w:lang w:eastAsia="en-AU"/>
        </w:rPr>
        <w:t xml:space="preserve"> Review called for a focus on areas identified as ‘being inconsistent with best practice regulation and </w:t>
      </w:r>
      <w:proofErr w:type="gramStart"/>
      <w:r>
        <w:rPr>
          <w:lang w:eastAsia="en-AU"/>
        </w:rPr>
        <w:t>standard</w:t>
      </w:r>
      <w:r w:rsidR="002B532E">
        <w:rPr>
          <w:lang w:eastAsia="en-AU"/>
        </w:rPr>
        <w:t>-</w:t>
      </w:r>
      <w:r>
        <w:rPr>
          <w:lang w:eastAsia="en-AU"/>
        </w:rPr>
        <w:t>setting</w:t>
      </w:r>
      <w:proofErr w:type="gramEnd"/>
      <w:r>
        <w:rPr>
          <w:lang w:eastAsia="en-AU"/>
        </w:rPr>
        <w:t xml:space="preserve">’. Nous considered </w:t>
      </w:r>
      <w:proofErr w:type="gramStart"/>
      <w:r>
        <w:rPr>
          <w:lang w:eastAsia="en-AU"/>
        </w:rPr>
        <w:t>a number of</w:t>
      </w:r>
      <w:proofErr w:type="gramEnd"/>
      <w:r>
        <w:rPr>
          <w:lang w:eastAsia="en-AU"/>
        </w:rPr>
        <w:t xml:space="preserve"> comparable regulatory systems</w:t>
      </w:r>
      <w:r w:rsidR="00AD525D">
        <w:rPr>
          <w:lang w:eastAsia="en-AU"/>
        </w:rPr>
        <w:t xml:space="preserve"> and </w:t>
      </w:r>
      <w:r w:rsidR="006E5C23">
        <w:rPr>
          <w:lang w:eastAsia="en-AU"/>
        </w:rPr>
        <w:t>identified indicators of good practice</w:t>
      </w:r>
      <w:r w:rsidR="00C51180">
        <w:rPr>
          <w:lang w:eastAsia="en-AU"/>
        </w:rPr>
        <w:t xml:space="preserve">, structured </w:t>
      </w:r>
      <w:r w:rsidR="003934ED">
        <w:rPr>
          <w:lang w:eastAsia="en-AU"/>
        </w:rPr>
        <w:t xml:space="preserve">under four key themes. </w:t>
      </w:r>
      <w:r>
        <w:rPr>
          <w:lang w:eastAsia="en-AU"/>
        </w:rPr>
        <w:t xml:space="preserve">These elements are detailed below. </w:t>
      </w:r>
    </w:p>
    <w:p w14:paraId="75A9232B" w14:textId="09E1CB2A" w:rsidR="00923BE4" w:rsidRDefault="00583D43" w:rsidP="00923BE4">
      <w:r>
        <w:rPr>
          <w:noProof/>
          <w:lang w:eastAsia="en-AU"/>
        </w:rPr>
        <w:lastRenderedPageBreak/>
        <w:drawing>
          <wp:inline distT="0" distB="0" distL="0" distR="0" wp14:anchorId="45BA0768" wp14:editId="52525E4B">
            <wp:extent cx="5670000" cy="1214830"/>
            <wp:effectExtent l="0" t="0" r="6985" b="4445"/>
            <wp:docPr id="589384339" name="Picture 589384339" descr="P6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84339" name="Picture 589384339" descr="P633#yIS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0000" cy="1214830"/>
                    </a:xfrm>
                    <a:prstGeom prst="rect">
                      <a:avLst/>
                    </a:prstGeom>
                    <a:noFill/>
                  </pic:spPr>
                </pic:pic>
              </a:graphicData>
            </a:graphic>
          </wp:inline>
        </w:drawing>
      </w:r>
    </w:p>
    <w:p w14:paraId="2EF41770" w14:textId="007EAB5E" w:rsidR="00923BE4" w:rsidRDefault="00923BE4" w:rsidP="00923BE4">
      <w:pPr>
        <w:pStyle w:val="Heading3"/>
      </w:pPr>
      <w:bookmarkStart w:id="29" w:name="_Ref142481223"/>
      <w:r w:rsidRPr="001F0779">
        <w:rPr>
          <w:color w:val="2E368F" w:themeColor="text2"/>
        </w:rPr>
        <w:t xml:space="preserve">Best Practice Element 1 </w:t>
      </w:r>
      <w:r w:rsidRPr="00907B9A">
        <w:t xml:space="preserve">| The regulator or </w:t>
      </w:r>
      <w:proofErr w:type="gramStart"/>
      <w:r w:rsidRPr="00907B9A">
        <w:t>standard</w:t>
      </w:r>
      <w:r>
        <w:t>-</w:t>
      </w:r>
      <w:r w:rsidRPr="00907B9A">
        <w:t>setter</w:t>
      </w:r>
      <w:proofErr w:type="gramEnd"/>
      <w:r w:rsidRPr="00907B9A">
        <w:t xml:space="preserve"> has </w:t>
      </w:r>
      <w:r w:rsidR="00A77516">
        <w:t xml:space="preserve">a </w:t>
      </w:r>
      <w:r w:rsidRPr="00907B9A">
        <w:t>clear purpose</w:t>
      </w:r>
      <w:r w:rsidR="000B0122">
        <w:t xml:space="preserve"> and</w:t>
      </w:r>
      <w:r w:rsidR="000B0122" w:rsidRPr="00907B9A">
        <w:t xml:space="preserve"> </w:t>
      </w:r>
      <w:r w:rsidRPr="00907B9A">
        <w:t xml:space="preserve">objectives </w:t>
      </w:r>
      <w:bookmarkEnd w:id="29"/>
    </w:p>
    <w:p w14:paraId="6FFD127A" w14:textId="10AB20E2" w:rsidR="00C74134" w:rsidRPr="0097288B" w:rsidRDefault="0097288B" w:rsidP="00923BE4">
      <w:pPr>
        <w:pStyle w:val="Bullet"/>
        <w:numPr>
          <w:ilvl w:val="0"/>
          <w:numId w:val="0"/>
        </w:numPr>
        <w:rPr>
          <w:rStyle w:val="Heading4Char"/>
          <w:rFonts w:eastAsiaTheme="minorHAnsi"/>
          <w:sz w:val="22"/>
          <w:szCs w:val="22"/>
        </w:rPr>
      </w:pPr>
      <w:r>
        <w:rPr>
          <w:rStyle w:val="Heading4Char"/>
          <w:rFonts w:eastAsiaTheme="minorHAnsi"/>
          <w:sz w:val="22"/>
          <w:szCs w:val="22"/>
        </w:rPr>
        <w:t xml:space="preserve">Objectives are clear and consistent, and factors considered by standard-setters support </w:t>
      </w:r>
      <w:r w:rsidR="00EA6399">
        <w:rPr>
          <w:rStyle w:val="Heading4Char"/>
          <w:rFonts w:eastAsiaTheme="minorHAnsi"/>
          <w:sz w:val="22"/>
          <w:szCs w:val="22"/>
        </w:rPr>
        <w:t xml:space="preserve">such </w:t>
      </w:r>
      <w:proofErr w:type="gramStart"/>
      <w:r>
        <w:rPr>
          <w:rStyle w:val="Heading4Char"/>
          <w:rFonts w:eastAsiaTheme="minorHAnsi"/>
          <w:sz w:val="22"/>
          <w:szCs w:val="22"/>
        </w:rPr>
        <w:t>objectives</w:t>
      </w:r>
      <w:proofErr w:type="gramEnd"/>
    </w:p>
    <w:p w14:paraId="0BD8893C" w14:textId="63555BD9" w:rsidR="00923BE4" w:rsidRDefault="00EA6399" w:rsidP="007F7722">
      <w:r>
        <w:t>I</w:t>
      </w:r>
      <w:r w:rsidR="00923BE4">
        <w:t>nternational food</w:t>
      </w:r>
      <w:r w:rsidR="00923BE4" w:rsidRPr="000928C5">
        <w:t xml:space="preserve"> systems </w:t>
      </w:r>
      <w:r>
        <w:t xml:space="preserve">generally </w:t>
      </w:r>
      <w:r w:rsidR="00923BE4" w:rsidRPr="000928C5">
        <w:t xml:space="preserve">have food safety </w:t>
      </w:r>
      <w:r>
        <w:t xml:space="preserve">positioned </w:t>
      </w:r>
      <w:r w:rsidR="00923BE4" w:rsidRPr="000928C5">
        <w:t>as the unequivocal priority of regulation</w:t>
      </w:r>
      <w:r w:rsidR="00923BE4">
        <w:t>. However,</w:t>
      </w:r>
      <w:r w:rsidR="00923BE4" w:rsidRPr="000928C5">
        <w:t xml:space="preserve"> there is </w:t>
      </w:r>
      <w:r w:rsidR="00923BE4">
        <w:t>less consistency around</w:t>
      </w:r>
      <w:r w:rsidR="00923BE4" w:rsidRPr="000928C5">
        <w:t xml:space="preserve"> how </w:t>
      </w:r>
      <w:r w:rsidR="00923BE4">
        <w:t>legislation picks up and balances</w:t>
      </w:r>
      <w:r w:rsidR="00923BE4" w:rsidRPr="000928C5">
        <w:t xml:space="preserve"> other objectives</w:t>
      </w:r>
      <w:r w:rsidR="00923BE4">
        <w:t>, such as trade, consumer choice</w:t>
      </w:r>
      <w:r w:rsidR="00FF42DA">
        <w:t xml:space="preserve"> and</w:t>
      </w:r>
      <w:r w:rsidR="00923BE4">
        <w:t xml:space="preserve"> public health.</w:t>
      </w:r>
      <w:r w:rsidR="00923BE4" w:rsidRPr="000928C5">
        <w:t xml:space="preserve"> For example, </w:t>
      </w:r>
      <w:r w:rsidR="00275011">
        <w:t xml:space="preserve">the </w:t>
      </w:r>
      <w:r w:rsidR="00275011" w:rsidRPr="007F7722">
        <w:rPr>
          <w:i/>
          <w:iCs/>
        </w:rPr>
        <w:t>Fo</w:t>
      </w:r>
      <w:r w:rsidR="000B77AC" w:rsidRPr="007F7722">
        <w:rPr>
          <w:i/>
          <w:iCs/>
        </w:rPr>
        <w:t>od</w:t>
      </w:r>
      <w:r w:rsidR="00275011" w:rsidRPr="007F7722">
        <w:rPr>
          <w:i/>
          <w:iCs/>
        </w:rPr>
        <w:t xml:space="preserve"> Safety Authority of Ireland Act 1998</w:t>
      </w:r>
      <w:r w:rsidR="00275011">
        <w:t xml:space="preserve"> </w:t>
      </w:r>
      <w:r w:rsidR="00FB6596">
        <w:t>prescribes the princip</w:t>
      </w:r>
      <w:r w:rsidR="000B77AC">
        <w:t>al</w:t>
      </w:r>
      <w:r w:rsidR="00FB6596">
        <w:t xml:space="preserve"> function of the Authority as </w:t>
      </w:r>
      <w:r w:rsidR="00D44663">
        <w:t>‘</w:t>
      </w:r>
      <w:r w:rsidR="00FB6596">
        <w:t>ensuring that food produced or distributed meets the highest standards of food safety and h</w:t>
      </w:r>
      <w:r w:rsidR="000B77AC">
        <w:t>ygiene reasonably available</w:t>
      </w:r>
      <w:r w:rsidR="00D44663">
        <w:t>’</w:t>
      </w:r>
      <w:r w:rsidR="00235A9D">
        <w:rPr>
          <w:rFonts w:ascii="ZWAdobeF" w:hAnsi="ZWAdobeF" w:cs="ZWAdobeF"/>
          <w:sz w:val="2"/>
          <w:szCs w:val="2"/>
        </w:rPr>
        <w:t>7F</w:t>
      </w:r>
      <w:r w:rsidR="000B77AC">
        <w:rPr>
          <w:rStyle w:val="FootnoteReference"/>
        </w:rPr>
        <w:footnoteReference w:id="9"/>
      </w:r>
      <w:r w:rsidR="00D85BCB">
        <w:t>.</w:t>
      </w:r>
    </w:p>
    <w:p w14:paraId="0D1576BA" w14:textId="0157DF80" w:rsidR="00923BE4" w:rsidRPr="000928C5" w:rsidRDefault="00923BE4" w:rsidP="00923BE4">
      <w:r w:rsidRPr="000928C5">
        <w:t xml:space="preserve">Conversely, the general objectives of food </w:t>
      </w:r>
      <w:r>
        <w:t>r</w:t>
      </w:r>
      <w:r w:rsidRPr="000928C5">
        <w:t xml:space="preserve">egulation in the </w:t>
      </w:r>
      <w:r w:rsidR="00E357A1">
        <w:t xml:space="preserve">European Union </w:t>
      </w:r>
      <w:r w:rsidRPr="000928C5">
        <w:t>are to</w:t>
      </w:r>
      <w:r>
        <w:t>:</w:t>
      </w:r>
      <w:r w:rsidR="00235A9D">
        <w:rPr>
          <w:rFonts w:ascii="ZWAdobeF" w:hAnsi="ZWAdobeF" w:cs="ZWAdobeF"/>
          <w:sz w:val="2"/>
          <w:szCs w:val="2"/>
        </w:rPr>
        <w:t>8F</w:t>
      </w:r>
      <w:r>
        <w:rPr>
          <w:rStyle w:val="FootnoteReference"/>
        </w:rPr>
        <w:footnoteReference w:id="10"/>
      </w:r>
    </w:p>
    <w:p w14:paraId="375881EC" w14:textId="77777777" w:rsidR="00B93501" w:rsidRDefault="00923BE4" w:rsidP="00923BE4">
      <w:pPr>
        <w:pStyle w:val="Bullet"/>
        <w:rPr>
          <w:rFonts w:eastAsiaTheme="minorHAnsi"/>
        </w:rPr>
      </w:pPr>
      <w:r w:rsidRPr="000928C5">
        <w:rPr>
          <w:rFonts w:eastAsiaTheme="minorHAnsi"/>
        </w:rPr>
        <w:t xml:space="preserve">Guarantee a high level of protection of human life and health and the protection of consumers’ interests. </w:t>
      </w:r>
    </w:p>
    <w:p w14:paraId="0B786C54" w14:textId="25F73DD3" w:rsidR="00923BE4" w:rsidRPr="000928C5" w:rsidRDefault="00B93501" w:rsidP="00923BE4">
      <w:pPr>
        <w:pStyle w:val="Bullet"/>
        <w:rPr>
          <w:rFonts w:eastAsiaTheme="minorHAnsi"/>
        </w:rPr>
      </w:pPr>
      <w:r>
        <w:rPr>
          <w:rFonts w:eastAsiaTheme="minorHAnsi"/>
        </w:rPr>
        <w:t>G</w:t>
      </w:r>
      <w:r w:rsidR="00923BE4" w:rsidRPr="000928C5">
        <w:rPr>
          <w:rFonts w:eastAsiaTheme="minorHAnsi"/>
        </w:rPr>
        <w:t xml:space="preserve">uarantee fair practices in food trade, </w:t>
      </w:r>
      <w:proofErr w:type="gramStart"/>
      <w:r w:rsidR="00923BE4" w:rsidRPr="000928C5">
        <w:rPr>
          <w:rFonts w:eastAsiaTheme="minorHAnsi"/>
        </w:rPr>
        <w:t>taking into account</w:t>
      </w:r>
      <w:proofErr w:type="gramEnd"/>
      <w:r w:rsidR="00923BE4" w:rsidRPr="000928C5">
        <w:rPr>
          <w:rFonts w:eastAsiaTheme="minorHAnsi"/>
        </w:rPr>
        <w:t xml:space="preserve"> animal health and welfare, plant health and the environment</w:t>
      </w:r>
      <w:r w:rsidR="00923BE4">
        <w:rPr>
          <w:rFonts w:eastAsiaTheme="minorHAnsi"/>
        </w:rPr>
        <w:t>.</w:t>
      </w:r>
    </w:p>
    <w:p w14:paraId="25E0932E" w14:textId="77777777" w:rsidR="00923BE4" w:rsidRPr="000928C5" w:rsidRDefault="00923BE4" w:rsidP="00923BE4">
      <w:pPr>
        <w:pStyle w:val="Bullet"/>
        <w:rPr>
          <w:rFonts w:eastAsiaTheme="minorHAnsi"/>
        </w:rPr>
      </w:pPr>
      <w:r w:rsidRPr="000928C5">
        <w:rPr>
          <w:rFonts w:eastAsiaTheme="minorHAnsi"/>
        </w:rPr>
        <w:t>Ensure free movement of food and feed manufactured and marketed in the Union, in accordance with the General Food Law Regulation</w:t>
      </w:r>
      <w:r>
        <w:rPr>
          <w:rFonts w:eastAsiaTheme="minorHAnsi"/>
        </w:rPr>
        <w:t>.</w:t>
      </w:r>
    </w:p>
    <w:p w14:paraId="337B1C2F" w14:textId="77777777" w:rsidR="00923BE4" w:rsidRDefault="00923BE4" w:rsidP="00923BE4">
      <w:pPr>
        <w:pStyle w:val="Bullet"/>
        <w:rPr>
          <w:rFonts w:eastAsiaTheme="minorHAnsi"/>
        </w:rPr>
      </w:pPr>
      <w:r w:rsidRPr="000928C5">
        <w:rPr>
          <w:rFonts w:eastAsiaTheme="minorHAnsi"/>
        </w:rPr>
        <w:t xml:space="preserve">Facilitate global trade of safe feed and safe, wholesome food by </w:t>
      </w:r>
      <w:proofErr w:type="gramStart"/>
      <w:r w:rsidRPr="000928C5">
        <w:rPr>
          <w:rFonts w:eastAsiaTheme="minorHAnsi"/>
        </w:rPr>
        <w:t>taking into account</w:t>
      </w:r>
      <w:proofErr w:type="gramEnd"/>
      <w:r w:rsidRPr="000928C5">
        <w:rPr>
          <w:rFonts w:eastAsiaTheme="minorHAnsi"/>
        </w:rPr>
        <w:t xml:space="preserve"> international standards and agreements when developing Union legislation, except where this might undermine the high level of consumer protection pursued by the Union.</w:t>
      </w:r>
    </w:p>
    <w:p w14:paraId="45575366" w14:textId="21BFE382" w:rsidR="00B63566" w:rsidRPr="00A22E81" w:rsidRDefault="00156E1D" w:rsidP="00A22E81">
      <w:pPr>
        <w:pStyle w:val="Bullet"/>
        <w:numPr>
          <w:ilvl w:val="0"/>
          <w:numId w:val="0"/>
        </w:numPr>
        <w:rPr>
          <w:rFonts w:eastAsiaTheme="minorHAnsi"/>
        </w:rPr>
      </w:pPr>
      <w:r>
        <w:rPr>
          <w:rFonts w:eastAsiaTheme="minorHAnsi"/>
        </w:rPr>
        <w:t xml:space="preserve">Some jurisdictions </w:t>
      </w:r>
      <w:r w:rsidR="001228F9">
        <w:rPr>
          <w:rFonts w:eastAsiaTheme="minorHAnsi"/>
        </w:rPr>
        <w:t xml:space="preserve">also </w:t>
      </w:r>
      <w:r>
        <w:rPr>
          <w:rFonts w:eastAsiaTheme="minorHAnsi"/>
        </w:rPr>
        <w:t xml:space="preserve">tactfully employ food standards as a vehicle to drive public health outcomes, such as prevention of obesity and chronic disease. </w:t>
      </w:r>
      <w:r w:rsidRPr="00A22E81">
        <w:rPr>
          <w:rFonts w:eastAsiaTheme="minorHAnsi"/>
        </w:rPr>
        <w:t>For example</w:t>
      </w:r>
      <w:r w:rsidR="00125E8E" w:rsidRPr="00A22E81">
        <w:rPr>
          <w:rFonts w:eastAsiaTheme="minorHAnsi"/>
        </w:rPr>
        <w:t>, the Codex Alimentarius</w:t>
      </w:r>
      <w:r w:rsidR="00125E8E">
        <w:rPr>
          <w:rFonts w:eastAsiaTheme="minorHAnsi"/>
        </w:rPr>
        <w:t xml:space="preserve"> </w:t>
      </w:r>
      <w:r w:rsidR="008F0F5E">
        <w:rPr>
          <w:rFonts w:eastAsiaTheme="minorHAnsi"/>
        </w:rPr>
        <w:t>is a collection of internationally adopted food standards</w:t>
      </w:r>
      <w:r w:rsidR="00715F77">
        <w:rPr>
          <w:rFonts w:eastAsiaTheme="minorHAnsi"/>
        </w:rPr>
        <w:t xml:space="preserve"> that are designed to protect consumers’ health</w:t>
      </w:r>
      <w:r w:rsidR="00F41870">
        <w:rPr>
          <w:rFonts w:eastAsiaTheme="minorHAnsi"/>
        </w:rPr>
        <w:t xml:space="preserve"> (as well as </w:t>
      </w:r>
      <w:r w:rsidR="00A22E81">
        <w:rPr>
          <w:rFonts w:eastAsiaTheme="minorHAnsi"/>
        </w:rPr>
        <w:t>ensuring</w:t>
      </w:r>
      <w:r w:rsidR="00E04FFA">
        <w:rPr>
          <w:rFonts w:eastAsiaTheme="minorHAnsi"/>
        </w:rPr>
        <w:t xml:space="preserve"> fair practices in the food trade</w:t>
      </w:r>
      <w:r w:rsidR="006D6EC5">
        <w:rPr>
          <w:rFonts w:eastAsiaTheme="minorHAnsi"/>
        </w:rPr>
        <w:t>)</w:t>
      </w:r>
      <w:r w:rsidR="007D4021">
        <w:rPr>
          <w:rFonts w:eastAsiaTheme="minorHAnsi"/>
        </w:rPr>
        <w:t xml:space="preserve"> and </w:t>
      </w:r>
      <w:r w:rsidR="00A660E9">
        <w:rPr>
          <w:rFonts w:eastAsiaTheme="minorHAnsi"/>
        </w:rPr>
        <w:t>‘</w:t>
      </w:r>
      <w:r w:rsidR="007D4021">
        <w:rPr>
          <w:rFonts w:eastAsiaTheme="minorHAnsi"/>
        </w:rPr>
        <w:t xml:space="preserve">set requirements for food aimed at ensuring </w:t>
      </w:r>
      <w:r w:rsidR="00207FF1">
        <w:rPr>
          <w:rFonts w:eastAsiaTheme="minorHAnsi"/>
        </w:rPr>
        <w:t xml:space="preserve">food products </w:t>
      </w:r>
      <w:r w:rsidR="007D4021">
        <w:rPr>
          <w:rFonts w:eastAsiaTheme="minorHAnsi"/>
        </w:rPr>
        <w:t>for consumer</w:t>
      </w:r>
      <w:r w:rsidR="00207FF1">
        <w:rPr>
          <w:rFonts w:eastAsiaTheme="minorHAnsi"/>
        </w:rPr>
        <w:t>s</w:t>
      </w:r>
      <w:r w:rsidR="007D4021">
        <w:rPr>
          <w:rFonts w:eastAsiaTheme="minorHAnsi"/>
        </w:rPr>
        <w:t xml:space="preserve"> a</w:t>
      </w:r>
      <w:r w:rsidR="00207FF1">
        <w:rPr>
          <w:rFonts w:eastAsiaTheme="minorHAnsi"/>
        </w:rPr>
        <w:t>re</w:t>
      </w:r>
      <w:r w:rsidR="007D4021">
        <w:rPr>
          <w:rFonts w:eastAsiaTheme="minorHAnsi"/>
        </w:rPr>
        <w:t xml:space="preserve"> safe, wholesome</w:t>
      </w:r>
      <w:r w:rsidR="00B76D72">
        <w:rPr>
          <w:rFonts w:eastAsiaTheme="minorHAnsi"/>
        </w:rPr>
        <w:t xml:space="preserve">, </w:t>
      </w:r>
      <w:r w:rsidR="007D4021">
        <w:rPr>
          <w:rFonts w:eastAsiaTheme="minorHAnsi"/>
        </w:rPr>
        <w:t>free from adulteration, correctly labelled and presented</w:t>
      </w:r>
      <w:r w:rsidR="00A660E9">
        <w:rPr>
          <w:rFonts w:eastAsiaTheme="minorHAnsi"/>
        </w:rPr>
        <w:t>’</w:t>
      </w:r>
      <w:r w:rsidR="007D4021">
        <w:rPr>
          <w:rFonts w:eastAsiaTheme="minorHAnsi"/>
        </w:rPr>
        <w:t>.</w:t>
      </w:r>
      <w:r w:rsidR="00235A9D">
        <w:rPr>
          <w:rFonts w:ascii="ZWAdobeF" w:eastAsiaTheme="minorHAnsi" w:hAnsi="ZWAdobeF" w:cs="ZWAdobeF"/>
          <w:sz w:val="2"/>
          <w:szCs w:val="2"/>
        </w:rPr>
        <w:t>9F</w:t>
      </w:r>
      <w:r w:rsidR="00A22E81">
        <w:rPr>
          <w:rStyle w:val="FootnoteReference"/>
          <w:rFonts w:eastAsiaTheme="minorHAnsi"/>
        </w:rPr>
        <w:footnoteReference w:id="11"/>
      </w:r>
      <w:r w:rsidR="007D4021">
        <w:rPr>
          <w:rFonts w:eastAsiaTheme="minorHAnsi"/>
        </w:rPr>
        <w:t xml:space="preserve"> </w:t>
      </w:r>
    </w:p>
    <w:p w14:paraId="121074FF" w14:textId="0CD3F81D" w:rsidR="00367C64" w:rsidRDefault="00923BE4">
      <w:pPr>
        <w:pStyle w:val="Bullet"/>
        <w:numPr>
          <w:ilvl w:val="0"/>
          <w:numId w:val="0"/>
        </w:numPr>
        <w:rPr>
          <w:rFonts w:eastAsiaTheme="minorHAnsi" w:cstheme="minorBidi"/>
          <w:szCs w:val="22"/>
          <w:lang w:eastAsia="en-US"/>
        </w:rPr>
      </w:pPr>
      <w:r>
        <w:rPr>
          <w:rFonts w:eastAsiaTheme="minorHAnsi" w:cstheme="minorBidi"/>
          <w:szCs w:val="22"/>
          <w:lang w:eastAsia="en-US"/>
        </w:rPr>
        <w:t>Regardless of the</w:t>
      </w:r>
      <w:r w:rsidR="007A7733">
        <w:rPr>
          <w:rFonts w:eastAsiaTheme="minorHAnsi" w:cstheme="minorBidi"/>
          <w:szCs w:val="22"/>
          <w:lang w:eastAsia="en-US"/>
        </w:rPr>
        <w:t xml:space="preserve"> purposes</w:t>
      </w:r>
      <w:r>
        <w:rPr>
          <w:rFonts w:eastAsiaTheme="minorHAnsi" w:cstheme="minorBidi"/>
          <w:szCs w:val="22"/>
          <w:lang w:eastAsia="en-US"/>
        </w:rPr>
        <w:t xml:space="preserve"> stated, there is evidence that </w:t>
      </w:r>
      <w:r w:rsidR="00996602">
        <w:rPr>
          <w:rFonts w:eastAsiaTheme="minorHAnsi" w:cstheme="minorBidi"/>
          <w:szCs w:val="22"/>
          <w:lang w:eastAsia="en-US"/>
        </w:rPr>
        <w:t xml:space="preserve">effective standard-setting schemes </w:t>
      </w:r>
      <w:r w:rsidR="00367C64">
        <w:rPr>
          <w:rFonts w:eastAsiaTheme="minorHAnsi" w:cstheme="minorBidi"/>
          <w:szCs w:val="22"/>
          <w:lang w:eastAsia="en-US"/>
        </w:rPr>
        <w:t xml:space="preserve">have clear scope and objectives and the factors that they consider in making food regulatory measures reinforce these. </w:t>
      </w:r>
    </w:p>
    <w:p w14:paraId="70D1029A" w14:textId="70A2B6A1" w:rsidR="008C5758" w:rsidRDefault="008C5758" w:rsidP="009E2BFE">
      <w:pPr>
        <w:pStyle w:val="Heading4"/>
      </w:pPr>
      <w:r>
        <w:t xml:space="preserve">There </w:t>
      </w:r>
      <w:r w:rsidR="00A660E9">
        <w:t xml:space="preserve">is a clear </w:t>
      </w:r>
      <w:r w:rsidR="001800E0">
        <w:t xml:space="preserve">recognition and </w:t>
      </w:r>
      <w:r w:rsidR="00A660E9">
        <w:t xml:space="preserve">commitment </w:t>
      </w:r>
      <w:r w:rsidR="00C00D5E">
        <w:t>by government to Indigenous people</w:t>
      </w:r>
      <w:r w:rsidR="00DF15FE">
        <w:t xml:space="preserve">, </w:t>
      </w:r>
      <w:r w:rsidR="00F02293">
        <w:t>and</w:t>
      </w:r>
      <w:r w:rsidR="00DF15FE">
        <w:t xml:space="preserve"> legislation is geared to </w:t>
      </w:r>
      <w:r w:rsidR="00C00D5E">
        <w:t xml:space="preserve">support </w:t>
      </w:r>
      <w:r w:rsidR="00E10FBD">
        <w:t>Indigenous</w:t>
      </w:r>
      <w:r w:rsidR="00E402AD">
        <w:t xml:space="preserve"> </w:t>
      </w:r>
      <w:proofErr w:type="gramStart"/>
      <w:r w:rsidR="00E402AD">
        <w:t>outcomes</w:t>
      </w:r>
      <w:proofErr w:type="gramEnd"/>
      <w:r w:rsidR="00E402AD">
        <w:t xml:space="preserve"> </w:t>
      </w:r>
    </w:p>
    <w:p w14:paraId="413027EE" w14:textId="5987A853" w:rsidR="00943BA8" w:rsidRDefault="00943BA8" w:rsidP="00943BA8">
      <w:pPr>
        <w:rPr>
          <w:lang w:eastAsia="en-AU"/>
        </w:rPr>
      </w:pPr>
      <w:r w:rsidRPr="008F7497">
        <w:rPr>
          <w:lang w:eastAsia="en-AU"/>
        </w:rPr>
        <w:t>The New Zealand Government has a constitutional requirement to respect its obligations to Māori under the</w:t>
      </w:r>
      <w:r>
        <w:rPr>
          <w:lang w:eastAsia="en-AU"/>
        </w:rPr>
        <w:t xml:space="preserve"> </w:t>
      </w:r>
      <w:proofErr w:type="spellStart"/>
      <w:r w:rsidRPr="00F01829">
        <w:t>Te</w:t>
      </w:r>
      <w:proofErr w:type="spellEnd"/>
      <w:r w:rsidRPr="00F01829">
        <w:t xml:space="preserve"> </w:t>
      </w:r>
      <w:proofErr w:type="spellStart"/>
      <w:r w:rsidRPr="00F01829">
        <w:t>Tiriti</w:t>
      </w:r>
      <w:proofErr w:type="spellEnd"/>
      <w:r w:rsidRPr="00F01829">
        <w:t xml:space="preserve"> o</w:t>
      </w:r>
      <w:r>
        <w:t xml:space="preserve"> Waitangi</w:t>
      </w:r>
      <w:r w:rsidRPr="008F7497">
        <w:rPr>
          <w:lang w:eastAsia="en-AU"/>
        </w:rPr>
        <w:t xml:space="preserve"> </w:t>
      </w:r>
      <w:r>
        <w:rPr>
          <w:lang w:eastAsia="en-AU"/>
        </w:rPr>
        <w:t>(</w:t>
      </w:r>
      <w:r w:rsidRPr="008F7497">
        <w:rPr>
          <w:lang w:eastAsia="en-AU"/>
        </w:rPr>
        <w:t>Treaty of Waitangi</w:t>
      </w:r>
      <w:r>
        <w:rPr>
          <w:lang w:eastAsia="en-AU"/>
        </w:rPr>
        <w:t>)</w:t>
      </w:r>
      <w:r w:rsidRPr="008F7497">
        <w:rPr>
          <w:lang w:eastAsia="en-AU"/>
        </w:rPr>
        <w:t xml:space="preserve"> and to deliver policy in a way that enhances Crown/Māori </w:t>
      </w:r>
      <w:r w:rsidRPr="008F7497">
        <w:rPr>
          <w:lang w:eastAsia="en-AU"/>
        </w:rPr>
        <w:lastRenderedPageBreak/>
        <w:t>relations. However, celebrating and fostering Indigenous culture is a live priority for the Australian and state and territory governments as well. Our governments are joint signatories to the 2020 Indigenous Collaboration Arrangement between Australia and New Zealand.</w:t>
      </w:r>
      <w:r w:rsidR="00235A9D">
        <w:rPr>
          <w:rFonts w:ascii="ZWAdobeF" w:hAnsi="ZWAdobeF" w:cs="ZWAdobeF"/>
          <w:sz w:val="2"/>
          <w:szCs w:val="2"/>
          <w:lang w:eastAsia="en-AU"/>
        </w:rPr>
        <w:t>10F</w:t>
      </w:r>
      <w:r w:rsidRPr="008F7497">
        <w:rPr>
          <w:rStyle w:val="FootnoteReference"/>
          <w:lang w:eastAsia="en-AU"/>
        </w:rPr>
        <w:footnoteReference w:id="12"/>
      </w:r>
      <w:r w:rsidRPr="008F7497">
        <w:rPr>
          <w:lang w:eastAsia="en-AU"/>
        </w:rPr>
        <w:t xml:space="preserve"> </w:t>
      </w:r>
    </w:p>
    <w:p w14:paraId="3EE7DE62" w14:textId="27469F4C" w:rsidR="00776E8B" w:rsidRDefault="00776E8B" w:rsidP="00FA793B">
      <w:pPr>
        <w:rPr>
          <w:lang w:eastAsia="en-AU"/>
        </w:rPr>
      </w:pPr>
      <w:r>
        <w:rPr>
          <w:lang w:eastAsia="en-AU"/>
        </w:rPr>
        <w:t>S</w:t>
      </w:r>
      <w:r w:rsidR="008C5758">
        <w:rPr>
          <w:lang w:eastAsia="en-AU"/>
        </w:rPr>
        <w:t>everal regulatory systems have</w:t>
      </w:r>
      <w:r w:rsidR="00411EBD">
        <w:rPr>
          <w:lang w:eastAsia="en-AU"/>
        </w:rPr>
        <w:t xml:space="preserve"> tailored their </w:t>
      </w:r>
      <w:r w:rsidR="002E75C3">
        <w:rPr>
          <w:lang w:eastAsia="en-AU"/>
        </w:rPr>
        <w:t xml:space="preserve">language </w:t>
      </w:r>
      <w:r w:rsidR="008C5758">
        <w:rPr>
          <w:lang w:eastAsia="en-AU"/>
        </w:rPr>
        <w:t xml:space="preserve">to recognise Indigenous history and expertise. For example, </w:t>
      </w:r>
      <w:r w:rsidR="00306A49">
        <w:rPr>
          <w:lang w:eastAsia="en-AU"/>
        </w:rPr>
        <w:t xml:space="preserve">in New Zealand, the </w:t>
      </w:r>
      <w:r w:rsidR="00ED64B2" w:rsidRPr="007F7722">
        <w:rPr>
          <w:i/>
          <w:iCs/>
          <w:lang w:eastAsia="en-AU"/>
        </w:rPr>
        <w:t>Māori</w:t>
      </w:r>
      <w:r w:rsidR="00306A49" w:rsidRPr="007F7722">
        <w:rPr>
          <w:i/>
          <w:iCs/>
          <w:lang w:eastAsia="en-AU"/>
        </w:rPr>
        <w:t xml:space="preserve"> Fisheries Act 2004</w:t>
      </w:r>
      <w:r w:rsidR="00306A49">
        <w:rPr>
          <w:lang w:eastAsia="en-AU"/>
        </w:rPr>
        <w:t xml:space="preserve"> reflects </w:t>
      </w:r>
      <w:r w:rsidR="00ED64B2">
        <w:rPr>
          <w:lang w:eastAsia="en-AU"/>
        </w:rPr>
        <w:t>Māori</w:t>
      </w:r>
      <w:r w:rsidR="00306A49">
        <w:rPr>
          <w:lang w:eastAsia="en-AU"/>
        </w:rPr>
        <w:t xml:space="preserve"> cultural and historical connections to fisheries</w:t>
      </w:r>
      <w:r w:rsidR="009E590B">
        <w:rPr>
          <w:lang w:eastAsia="en-AU"/>
        </w:rPr>
        <w:t xml:space="preserve"> and their ongoing interests in the seafood industry. </w:t>
      </w:r>
      <w:r w:rsidR="00ED64B2">
        <w:rPr>
          <w:lang w:eastAsia="en-AU"/>
        </w:rPr>
        <w:t xml:space="preserve">Another example is the </w:t>
      </w:r>
      <w:r w:rsidR="009E590B" w:rsidRPr="007F7722">
        <w:rPr>
          <w:i/>
          <w:iCs/>
          <w:lang w:eastAsia="en-AU"/>
        </w:rPr>
        <w:t>Resources Management Act 1991</w:t>
      </w:r>
      <w:r w:rsidR="00ED64B2">
        <w:rPr>
          <w:lang w:eastAsia="en-AU"/>
        </w:rPr>
        <w:t xml:space="preserve">, which is not legislation specific to </w:t>
      </w:r>
      <w:r>
        <w:rPr>
          <w:lang w:eastAsia="en-AU"/>
        </w:rPr>
        <w:t>Māori</w:t>
      </w:r>
      <w:r w:rsidR="00ED64B2">
        <w:rPr>
          <w:lang w:eastAsia="en-AU"/>
        </w:rPr>
        <w:t xml:space="preserve"> culture but does pick up on </w:t>
      </w:r>
      <w:r w:rsidR="00167813">
        <w:rPr>
          <w:lang w:eastAsia="en-AU"/>
        </w:rPr>
        <w:t xml:space="preserve">the principal of ‘kaitiakitanga’, which is a </w:t>
      </w:r>
      <w:r>
        <w:rPr>
          <w:lang w:eastAsia="en-AU"/>
        </w:rPr>
        <w:t>Māori</w:t>
      </w:r>
      <w:r w:rsidR="00167813">
        <w:rPr>
          <w:lang w:eastAsia="en-AU"/>
        </w:rPr>
        <w:t xml:space="preserve"> concept relating to guardianship and </w:t>
      </w:r>
      <w:r>
        <w:rPr>
          <w:lang w:eastAsia="en-AU"/>
        </w:rPr>
        <w:t>sustainability</w:t>
      </w:r>
      <w:r w:rsidR="00167813">
        <w:rPr>
          <w:lang w:eastAsia="en-AU"/>
        </w:rPr>
        <w:t xml:space="preserve"> and the role of </w:t>
      </w:r>
      <w:r>
        <w:rPr>
          <w:lang w:eastAsia="en-AU"/>
        </w:rPr>
        <w:t xml:space="preserve">communities in protecting the environment. </w:t>
      </w:r>
    </w:p>
    <w:p w14:paraId="51CDE6F4" w14:textId="4DBCAB99" w:rsidR="00F02C97" w:rsidRDefault="00F02C97" w:rsidP="00FA793B">
      <w:pPr>
        <w:rPr>
          <w:lang w:eastAsia="en-AU"/>
        </w:rPr>
      </w:pPr>
      <w:r>
        <w:rPr>
          <w:lang w:eastAsia="en-AU"/>
        </w:rPr>
        <w:t xml:space="preserve">Other countries have taken steps to </w:t>
      </w:r>
      <w:r w:rsidR="00521E7F">
        <w:rPr>
          <w:lang w:eastAsia="en-AU"/>
        </w:rPr>
        <w:t>support traditional foods to enter the market</w:t>
      </w:r>
      <w:r w:rsidR="004A7AEF">
        <w:rPr>
          <w:lang w:eastAsia="en-AU"/>
        </w:rPr>
        <w:t>. Peru</w:t>
      </w:r>
      <w:r w:rsidR="00DE4FFF">
        <w:rPr>
          <w:lang w:eastAsia="en-AU"/>
        </w:rPr>
        <w:t>, for instance,</w:t>
      </w:r>
      <w:r w:rsidR="004A7AEF">
        <w:rPr>
          <w:lang w:eastAsia="en-AU"/>
        </w:rPr>
        <w:t xml:space="preserve"> has adopted a legal framework for traditional foods</w:t>
      </w:r>
      <w:r w:rsidR="00EC535B">
        <w:rPr>
          <w:lang w:eastAsia="en-AU"/>
        </w:rPr>
        <w:t xml:space="preserve"> designed to </w:t>
      </w:r>
      <w:r w:rsidR="00394095">
        <w:rPr>
          <w:lang w:eastAsia="en-AU"/>
        </w:rPr>
        <w:t>support cultural preservation.</w:t>
      </w:r>
      <w:r w:rsidR="00783105">
        <w:rPr>
          <w:lang w:eastAsia="en-AU"/>
        </w:rPr>
        <w:t xml:space="preserve"> </w:t>
      </w:r>
      <w:r w:rsidR="00F83E02">
        <w:rPr>
          <w:lang w:eastAsia="en-AU"/>
        </w:rPr>
        <w:t>While</w:t>
      </w:r>
      <w:r w:rsidR="00403FAE">
        <w:rPr>
          <w:lang w:eastAsia="en-AU"/>
        </w:rPr>
        <w:t xml:space="preserve"> such foods </w:t>
      </w:r>
      <w:r w:rsidR="00F83E02">
        <w:rPr>
          <w:lang w:eastAsia="en-AU"/>
        </w:rPr>
        <w:t xml:space="preserve">are required </w:t>
      </w:r>
      <w:r w:rsidR="00403FAE">
        <w:rPr>
          <w:lang w:eastAsia="en-AU"/>
        </w:rPr>
        <w:t xml:space="preserve">to reach the same thresholds of safety and quality, </w:t>
      </w:r>
      <w:r w:rsidR="00F83E02">
        <w:rPr>
          <w:lang w:eastAsia="en-AU"/>
        </w:rPr>
        <w:t>the framework provides</w:t>
      </w:r>
      <w:r w:rsidR="00403FAE">
        <w:rPr>
          <w:lang w:eastAsia="en-AU"/>
        </w:rPr>
        <w:t xml:space="preserve"> </w:t>
      </w:r>
      <w:r w:rsidR="00D60267">
        <w:rPr>
          <w:lang w:eastAsia="en-AU"/>
        </w:rPr>
        <w:t xml:space="preserve">more flexible processes for demonstrating this, including </w:t>
      </w:r>
      <w:r w:rsidR="00334F8A">
        <w:rPr>
          <w:lang w:eastAsia="en-AU"/>
        </w:rPr>
        <w:t>by recognising traditional methods of preparation</w:t>
      </w:r>
      <w:r w:rsidR="003A6505">
        <w:rPr>
          <w:lang w:eastAsia="en-AU"/>
        </w:rPr>
        <w:t xml:space="preserve">, allowing for regional variations in </w:t>
      </w:r>
      <w:r w:rsidR="00B75138">
        <w:rPr>
          <w:lang w:eastAsia="en-AU"/>
        </w:rPr>
        <w:t xml:space="preserve">traditional foods </w:t>
      </w:r>
      <w:r w:rsidR="00512A2F">
        <w:rPr>
          <w:lang w:eastAsia="en-AU"/>
        </w:rPr>
        <w:t>and providing for</w:t>
      </w:r>
      <w:r w:rsidR="00933D82">
        <w:rPr>
          <w:lang w:eastAsia="en-AU"/>
        </w:rPr>
        <w:t xml:space="preserve"> certification and labelling of traditional foods to help consumers make informed choices. </w:t>
      </w:r>
    </w:p>
    <w:p w14:paraId="0BCD815D" w14:textId="489F0D4E" w:rsidR="00F60E01" w:rsidRDefault="00F60E01" w:rsidP="00FA793B">
      <w:pPr>
        <w:rPr>
          <w:lang w:eastAsia="en-AU"/>
        </w:rPr>
      </w:pPr>
      <w:r>
        <w:rPr>
          <w:lang w:eastAsia="en-AU"/>
        </w:rPr>
        <w:t xml:space="preserve">Furthermore, </w:t>
      </w:r>
      <w:r w:rsidR="0060622A">
        <w:rPr>
          <w:lang w:eastAsia="en-AU"/>
        </w:rPr>
        <w:t>the Impact Assessment Agency of Canada has</w:t>
      </w:r>
      <w:r w:rsidR="008C5758">
        <w:rPr>
          <w:lang w:eastAsia="en-AU"/>
        </w:rPr>
        <w:t xml:space="preserve"> adopted specific guidelines for engaging with Indigenous communities. The </w:t>
      </w:r>
      <w:r w:rsidR="006D2D45">
        <w:rPr>
          <w:lang w:eastAsia="en-AU"/>
        </w:rPr>
        <w:t>supports</w:t>
      </w:r>
      <w:r w:rsidR="008C5758">
        <w:rPr>
          <w:lang w:eastAsia="en-AU"/>
        </w:rPr>
        <w:t xml:space="preserve"> meaningful consultation by adopting a flexible approach that allows Indigenous </w:t>
      </w:r>
      <w:r w:rsidR="000F1825">
        <w:rPr>
          <w:lang w:eastAsia="en-AU"/>
        </w:rPr>
        <w:t>P</w:t>
      </w:r>
      <w:r w:rsidR="008C5758">
        <w:rPr>
          <w:lang w:eastAsia="en-AU"/>
        </w:rPr>
        <w:t xml:space="preserve">eople to present evidence in culturally appropriate ways, </w:t>
      </w:r>
      <w:r w:rsidR="00E47A4D">
        <w:rPr>
          <w:lang w:eastAsia="en-AU"/>
        </w:rPr>
        <w:t>recognising</w:t>
      </w:r>
      <w:r w:rsidR="00011670">
        <w:rPr>
          <w:lang w:eastAsia="en-AU"/>
        </w:rPr>
        <w:t xml:space="preserve">, for example </w:t>
      </w:r>
      <w:r w:rsidR="006F5096">
        <w:rPr>
          <w:lang w:eastAsia="en-AU"/>
        </w:rPr>
        <w:t>oral</w:t>
      </w:r>
      <w:r w:rsidR="00011670">
        <w:rPr>
          <w:lang w:eastAsia="en-AU"/>
        </w:rPr>
        <w:t xml:space="preserve"> traditions</w:t>
      </w:r>
      <w:r w:rsidR="00DB0FC0">
        <w:rPr>
          <w:lang w:eastAsia="en-AU"/>
        </w:rPr>
        <w:t>.</w:t>
      </w:r>
      <w:r w:rsidR="006D2D45">
        <w:rPr>
          <w:rStyle w:val="FootnoteReference"/>
          <w:lang w:eastAsia="en-AU"/>
        </w:rPr>
        <w:footnoteReference w:id="13"/>
      </w:r>
    </w:p>
    <w:p w14:paraId="78E61285" w14:textId="1BADC6BD" w:rsidR="0034072E" w:rsidRPr="0034072E" w:rsidRDefault="008C5758" w:rsidP="0034072E">
      <w:pPr>
        <w:rPr>
          <w:lang w:eastAsia="en-AU"/>
        </w:rPr>
      </w:pPr>
      <w:r>
        <w:rPr>
          <w:lang w:eastAsia="en-AU"/>
        </w:rPr>
        <w:t xml:space="preserve">These initiatives emphasise inclusivity and respect for Indigenous perspectives while enriching the evidence base with valuable insights and contributing to a safer, more </w:t>
      </w:r>
      <w:proofErr w:type="gramStart"/>
      <w:r>
        <w:rPr>
          <w:lang w:eastAsia="en-AU"/>
        </w:rPr>
        <w:t>effective</w:t>
      </w:r>
      <w:proofErr w:type="gramEnd"/>
      <w:r>
        <w:rPr>
          <w:lang w:eastAsia="en-AU"/>
        </w:rPr>
        <w:t xml:space="preserve"> and culturally sensitive regulatory system.</w:t>
      </w:r>
      <w:r w:rsidR="0034072E" w:rsidRPr="0034072E">
        <w:t xml:space="preserve"> </w:t>
      </w:r>
    </w:p>
    <w:p w14:paraId="50695EDB" w14:textId="54D4D07D" w:rsidR="007407CB" w:rsidRPr="007407CB" w:rsidRDefault="00923BE4" w:rsidP="007407CB">
      <w:pPr>
        <w:pStyle w:val="Heading3"/>
      </w:pPr>
      <w:r w:rsidRPr="001F0779">
        <w:rPr>
          <w:color w:val="0070C0"/>
        </w:rPr>
        <w:t xml:space="preserve">Best Practice Element 2 </w:t>
      </w:r>
      <w:r w:rsidRPr="00A37343">
        <w:t>| Regulatory processes are contemporary and risk-</w:t>
      </w:r>
      <w:proofErr w:type="gramStart"/>
      <w:r w:rsidRPr="00A37343">
        <w:t>based</w:t>
      </w:r>
      <w:proofErr w:type="gramEnd"/>
    </w:p>
    <w:p w14:paraId="279088B0" w14:textId="3883E3B5" w:rsidR="00923BE4" w:rsidRDefault="0091086E" w:rsidP="00923BE4">
      <w:pPr>
        <w:pStyle w:val="Bullet"/>
        <w:numPr>
          <w:ilvl w:val="0"/>
          <w:numId w:val="0"/>
        </w:numPr>
        <w:rPr>
          <w:rStyle w:val="cf01"/>
        </w:rPr>
      </w:pPr>
      <w:r w:rsidRPr="0091086E">
        <w:rPr>
          <w:rStyle w:val="Heading4Char"/>
          <w:sz w:val="22"/>
          <w:szCs w:val="22"/>
        </w:rPr>
        <w:t>There is an emphasis on pre-market assessment</w:t>
      </w:r>
      <w:r w:rsidR="00923BE4">
        <w:rPr>
          <w:rFonts w:cs="Segoe UI"/>
          <w:sz w:val="18"/>
          <w:szCs w:val="18"/>
        </w:rPr>
        <w:br/>
      </w:r>
      <w:r w:rsidR="00923BE4" w:rsidRPr="009146A7">
        <w:rPr>
          <w:rStyle w:val="cf01"/>
          <w:sz w:val="19"/>
          <w:szCs w:val="19"/>
        </w:rPr>
        <w:t>All food regulation systems reviewed</w:t>
      </w:r>
      <w:r w:rsidR="006328DE">
        <w:rPr>
          <w:rStyle w:val="cf01"/>
          <w:sz w:val="19"/>
          <w:szCs w:val="19"/>
        </w:rPr>
        <w:t xml:space="preserve"> by Nous</w:t>
      </w:r>
      <w:r w:rsidR="00923BE4" w:rsidRPr="009146A7">
        <w:rPr>
          <w:rStyle w:val="cf01"/>
          <w:sz w:val="19"/>
          <w:szCs w:val="19"/>
        </w:rPr>
        <w:t xml:space="preserve"> </w:t>
      </w:r>
      <w:r w:rsidR="006328DE">
        <w:rPr>
          <w:rStyle w:val="cf01"/>
          <w:sz w:val="19"/>
          <w:szCs w:val="19"/>
        </w:rPr>
        <w:t xml:space="preserve">concentrate </w:t>
      </w:r>
      <w:r w:rsidR="00923BE4" w:rsidRPr="009146A7">
        <w:rPr>
          <w:rStyle w:val="cf01"/>
          <w:sz w:val="19"/>
          <w:szCs w:val="19"/>
        </w:rPr>
        <w:t xml:space="preserve">their regulatory attention at the pre-market entry point, assessing safety before foods can sold or shared. A similar approach is used in other regulatory schemes where the risk of harm involved can be high. Therapeutic goods and regulation of chemicals and pesticides </w:t>
      </w:r>
      <w:r w:rsidR="007D3A30">
        <w:rPr>
          <w:rStyle w:val="cf01"/>
          <w:sz w:val="19"/>
          <w:szCs w:val="19"/>
        </w:rPr>
        <w:t xml:space="preserve">in Australia and New Zealand, </w:t>
      </w:r>
      <w:r w:rsidR="00923BE4" w:rsidRPr="009146A7">
        <w:rPr>
          <w:rStyle w:val="cf01"/>
          <w:sz w:val="19"/>
          <w:szCs w:val="19"/>
        </w:rPr>
        <w:t>for example</w:t>
      </w:r>
      <w:r w:rsidR="007D3A30">
        <w:rPr>
          <w:rStyle w:val="cf01"/>
          <w:sz w:val="19"/>
          <w:szCs w:val="19"/>
        </w:rPr>
        <w:t>,</w:t>
      </w:r>
      <w:r w:rsidR="00923BE4" w:rsidRPr="009146A7">
        <w:rPr>
          <w:rStyle w:val="cf01"/>
          <w:sz w:val="19"/>
          <w:szCs w:val="19"/>
        </w:rPr>
        <w:t xml:space="preserve"> follow a similar approac</w:t>
      </w:r>
      <w:r w:rsidR="0094220C">
        <w:rPr>
          <w:rStyle w:val="cf01"/>
          <w:sz w:val="19"/>
          <w:szCs w:val="19"/>
        </w:rPr>
        <w:t>h.</w:t>
      </w:r>
      <w:r w:rsidR="00FC375E">
        <w:rPr>
          <w:rStyle w:val="FootnoteReference"/>
          <w:rFonts w:cs="Segoe UI"/>
        </w:rPr>
        <w:footnoteReference w:id="14"/>
      </w:r>
      <w:r w:rsidR="00923BE4" w:rsidRPr="009146A7">
        <w:rPr>
          <w:rStyle w:val="cf01"/>
          <w:sz w:val="19"/>
          <w:szCs w:val="19"/>
        </w:rPr>
        <w:t xml:space="preserve"> There is however a degree of risk-proportionality at play; some systems allow for less rigorous pre-market assessments for very low risk products, which helps drive innovation and economic opportunities where appropriate.</w:t>
      </w:r>
      <w:r w:rsidR="00923BE4">
        <w:rPr>
          <w:rStyle w:val="cf01"/>
        </w:rPr>
        <w:t xml:space="preserve"> </w:t>
      </w:r>
    </w:p>
    <w:p w14:paraId="4B91D915" w14:textId="21415EC4" w:rsidR="00C42538" w:rsidRPr="003F6D3C" w:rsidRDefault="00C42538" w:rsidP="003F6D3C">
      <w:pPr>
        <w:pStyle w:val="Heading4"/>
        <w:rPr>
          <w:rStyle w:val="cf01"/>
          <w:rFonts w:ascii="Segoe UI Semibold" w:hAnsi="Segoe UI Semibold" w:cs="Times New Roman"/>
          <w:sz w:val="22"/>
          <w:szCs w:val="19"/>
        </w:rPr>
      </w:pPr>
      <w:r w:rsidRPr="003F6D3C">
        <w:rPr>
          <w:rStyle w:val="cf01"/>
          <w:rFonts w:ascii="Segoe UI Semibold" w:hAnsi="Segoe UI Semibold" w:cs="Times New Roman"/>
          <w:sz w:val="22"/>
          <w:szCs w:val="19"/>
        </w:rPr>
        <w:t xml:space="preserve">Standards are tailored to recognise local population characteristics such as dietary </w:t>
      </w:r>
      <w:proofErr w:type="gramStart"/>
      <w:r w:rsidRPr="003F6D3C">
        <w:rPr>
          <w:rStyle w:val="cf01"/>
          <w:rFonts w:ascii="Segoe UI Semibold" w:hAnsi="Segoe UI Semibold" w:cs="Times New Roman"/>
          <w:sz w:val="22"/>
          <w:szCs w:val="19"/>
        </w:rPr>
        <w:t>trends</w:t>
      </w:r>
      <w:proofErr w:type="gramEnd"/>
    </w:p>
    <w:p w14:paraId="3CCDCF1A" w14:textId="19BC5FDB" w:rsidR="00C42538" w:rsidRPr="00B43E62" w:rsidRDefault="00B47203" w:rsidP="00923BE4">
      <w:pPr>
        <w:pStyle w:val="Bullet"/>
        <w:numPr>
          <w:ilvl w:val="0"/>
          <w:numId w:val="0"/>
        </w:numPr>
        <w:rPr>
          <w:rStyle w:val="cf01"/>
          <w:sz w:val="19"/>
          <w:szCs w:val="19"/>
        </w:rPr>
      </w:pPr>
      <w:r w:rsidRPr="00B43E62">
        <w:rPr>
          <w:rStyle w:val="cf01"/>
          <w:sz w:val="19"/>
          <w:szCs w:val="19"/>
        </w:rPr>
        <w:t xml:space="preserve">Standard setters </w:t>
      </w:r>
      <w:r w:rsidR="003F6C82" w:rsidRPr="00B43E62">
        <w:rPr>
          <w:rStyle w:val="cf01"/>
          <w:sz w:val="19"/>
          <w:szCs w:val="19"/>
        </w:rPr>
        <w:t xml:space="preserve">make decisions about </w:t>
      </w:r>
      <w:r w:rsidR="005031CA" w:rsidRPr="00B43E62">
        <w:rPr>
          <w:rStyle w:val="cf01"/>
          <w:sz w:val="19"/>
          <w:szCs w:val="19"/>
        </w:rPr>
        <w:t>approving substances based on an understanding</w:t>
      </w:r>
      <w:r w:rsidR="003F6C82" w:rsidRPr="00B43E62">
        <w:rPr>
          <w:rStyle w:val="cf01"/>
          <w:sz w:val="19"/>
          <w:szCs w:val="19"/>
        </w:rPr>
        <w:t xml:space="preserve"> of </w:t>
      </w:r>
      <w:r w:rsidR="005031CA" w:rsidRPr="00B43E62">
        <w:rPr>
          <w:rStyle w:val="cf01"/>
          <w:sz w:val="19"/>
          <w:szCs w:val="19"/>
        </w:rPr>
        <w:t xml:space="preserve">local conditions. For example, </w:t>
      </w:r>
      <w:r w:rsidR="003E04C8" w:rsidRPr="00B43E62">
        <w:rPr>
          <w:rStyle w:val="cf01"/>
          <w:sz w:val="19"/>
          <w:szCs w:val="19"/>
        </w:rPr>
        <w:t xml:space="preserve">most developed countries such as the United States, Japan, </w:t>
      </w:r>
      <w:r w:rsidR="00AA6E9D" w:rsidRPr="00B43E62">
        <w:rPr>
          <w:rStyle w:val="cf01"/>
          <w:sz w:val="19"/>
          <w:szCs w:val="19"/>
        </w:rPr>
        <w:t xml:space="preserve">and members of the European Union have their own food standard regime that is sensitive to local diets and consumption trends. These systems are not </w:t>
      </w:r>
      <w:r w:rsidR="006F3ABE" w:rsidRPr="00B43E62">
        <w:rPr>
          <w:rStyle w:val="cf01"/>
          <w:sz w:val="19"/>
          <w:szCs w:val="19"/>
        </w:rPr>
        <w:t>solely</w:t>
      </w:r>
      <w:r w:rsidR="00AA6E9D" w:rsidRPr="00B43E62">
        <w:rPr>
          <w:rStyle w:val="cf01"/>
          <w:sz w:val="19"/>
          <w:szCs w:val="19"/>
        </w:rPr>
        <w:t xml:space="preserve"> reliant on </w:t>
      </w:r>
      <w:r w:rsidR="00D734CB" w:rsidRPr="00B43E62">
        <w:rPr>
          <w:rStyle w:val="cf01"/>
          <w:sz w:val="19"/>
          <w:szCs w:val="19"/>
        </w:rPr>
        <w:t xml:space="preserve">adoption of other jurisdictions’ standards, such as those produced </w:t>
      </w:r>
      <w:r w:rsidR="006F3ABE" w:rsidRPr="00B43E62">
        <w:rPr>
          <w:rStyle w:val="cf01"/>
          <w:sz w:val="19"/>
          <w:szCs w:val="19"/>
        </w:rPr>
        <w:t xml:space="preserve">by the Codex Alimentarius Commission. </w:t>
      </w:r>
    </w:p>
    <w:p w14:paraId="4C149EA2" w14:textId="42F98B9A" w:rsidR="00795BA1" w:rsidRDefault="000E7F89" w:rsidP="00B05512">
      <w:pPr>
        <w:rPr>
          <w:rFonts w:ascii="Segoe UI Semibold" w:eastAsia="Times New Roman" w:hAnsi="Segoe UI Semibold" w:cs="Times New Roman"/>
          <w:color w:val="00264D" w:themeColor="background2"/>
          <w:sz w:val="22"/>
          <w:lang w:eastAsia="en-AU"/>
        </w:rPr>
      </w:pPr>
      <w:r>
        <w:rPr>
          <w:rFonts w:ascii="Segoe UI Semibold" w:eastAsia="Times New Roman" w:hAnsi="Segoe UI Semibold" w:cs="Times New Roman"/>
          <w:color w:val="00264D" w:themeColor="background2"/>
          <w:sz w:val="22"/>
          <w:lang w:eastAsia="en-AU"/>
        </w:rPr>
        <w:lastRenderedPageBreak/>
        <w:t>S</w:t>
      </w:r>
      <w:r w:rsidR="00795BA1" w:rsidRPr="00795BA1">
        <w:rPr>
          <w:rFonts w:ascii="Segoe UI Semibold" w:eastAsia="Times New Roman" w:hAnsi="Segoe UI Semibold" w:cs="Times New Roman"/>
          <w:color w:val="00264D" w:themeColor="background2"/>
          <w:sz w:val="22"/>
          <w:lang w:eastAsia="en-AU"/>
        </w:rPr>
        <w:t xml:space="preserve">tandards are regularly reviewed to consider the cumulative impact of regulatory </w:t>
      </w:r>
      <w:proofErr w:type="gramStart"/>
      <w:r w:rsidR="00795BA1" w:rsidRPr="00795BA1">
        <w:rPr>
          <w:rFonts w:ascii="Segoe UI Semibold" w:eastAsia="Times New Roman" w:hAnsi="Segoe UI Semibold" w:cs="Times New Roman"/>
          <w:color w:val="00264D" w:themeColor="background2"/>
          <w:sz w:val="22"/>
          <w:lang w:eastAsia="en-AU"/>
        </w:rPr>
        <w:t>measures</w:t>
      </w:r>
      <w:proofErr w:type="gramEnd"/>
    </w:p>
    <w:p w14:paraId="46E360F5" w14:textId="366D674A" w:rsidR="00B05512" w:rsidRDefault="00B05512" w:rsidP="00B05512">
      <w:r>
        <w:t xml:space="preserve">Effective </w:t>
      </w:r>
      <w:r w:rsidR="00970618">
        <w:t>schemes</w:t>
      </w:r>
      <w:r w:rsidR="007B0C9E">
        <w:t xml:space="preserve"> </w:t>
      </w:r>
      <w:r w:rsidR="00EE2A5B" w:rsidRPr="00EE2A5B">
        <w:t>have established systems for triggering routine, holistic reviews of standards</w:t>
      </w:r>
      <w:r w:rsidR="005A41D1">
        <w:t>. This means that the cumulative effect of exposure to different substances</w:t>
      </w:r>
      <w:r w:rsidR="00243173">
        <w:t xml:space="preserve"> is considered and used to revise regulatory settings. While legislative </w:t>
      </w:r>
      <w:r w:rsidR="00ED35CC">
        <w:t>‘</w:t>
      </w:r>
      <w:r w:rsidR="00243173">
        <w:t>sunset</w:t>
      </w:r>
      <w:r w:rsidR="00ED35CC">
        <w:t>’</w:t>
      </w:r>
      <w:r w:rsidR="00243173">
        <w:t xml:space="preserve"> provisions are not routinely used for food, medicines, chemicals or other similar standards</w:t>
      </w:r>
      <w:r w:rsidR="006C4250">
        <w:t xml:space="preserve">, </w:t>
      </w:r>
      <w:r w:rsidR="00A13181">
        <w:t>responsible agencies</w:t>
      </w:r>
      <w:r w:rsidR="006C4250">
        <w:t xml:space="preserve"> are resourced to carry out such reviews. </w:t>
      </w:r>
      <w:r w:rsidR="006B4209">
        <w:t xml:space="preserve">For example, the </w:t>
      </w:r>
      <w:r w:rsidR="00F06567">
        <w:t xml:space="preserve">US </w:t>
      </w:r>
      <w:r w:rsidR="006B4209">
        <w:t>Food and Drug Administration,</w:t>
      </w:r>
      <w:r w:rsidR="006B4209" w:rsidRPr="006B4209">
        <w:t xml:space="preserve"> Codex Alimentarius Commission and European Medicines Agency all conduct ongoing evaluations and revisions of existing standards to improve safety, </w:t>
      </w:r>
      <w:proofErr w:type="gramStart"/>
      <w:r w:rsidR="006B4209" w:rsidRPr="006B4209">
        <w:t>efficacy</w:t>
      </w:r>
      <w:proofErr w:type="gramEnd"/>
      <w:r w:rsidR="006B4209" w:rsidRPr="006B4209">
        <w:t xml:space="preserve"> and impact.</w:t>
      </w:r>
    </w:p>
    <w:p w14:paraId="6ED89962" w14:textId="1AB0E2B5" w:rsidR="00923BE4" w:rsidRPr="00F878B1" w:rsidRDefault="001B5448" w:rsidP="007F7722">
      <w:r>
        <w:rPr>
          <w:rStyle w:val="Heading4Char"/>
          <w:rFonts w:eastAsiaTheme="minorHAnsi"/>
          <w:sz w:val="22"/>
          <w:szCs w:val="22"/>
        </w:rPr>
        <w:t>S</w:t>
      </w:r>
      <w:r w:rsidR="00923BE4" w:rsidRPr="00F878B1">
        <w:rPr>
          <w:rStyle w:val="Heading4Char"/>
          <w:rFonts w:eastAsiaTheme="minorHAnsi"/>
          <w:sz w:val="22"/>
          <w:szCs w:val="22"/>
        </w:rPr>
        <w:t xml:space="preserve">tatutory processes and decision-making arrangements are principles-based and designed to enable </w:t>
      </w:r>
      <w:r w:rsidR="00923BE4">
        <w:rPr>
          <w:rStyle w:val="Heading4Char"/>
          <w:rFonts w:eastAsiaTheme="minorHAnsi"/>
          <w:sz w:val="22"/>
          <w:szCs w:val="22"/>
        </w:rPr>
        <w:t>risk</w:t>
      </w:r>
      <w:r w:rsidR="00923BE4" w:rsidRPr="00F878B1">
        <w:rPr>
          <w:rStyle w:val="Heading4Char"/>
          <w:rFonts w:eastAsiaTheme="minorHAnsi"/>
          <w:sz w:val="22"/>
          <w:szCs w:val="22"/>
        </w:rPr>
        <w:t xml:space="preserve"> to drive </w:t>
      </w:r>
      <w:proofErr w:type="gramStart"/>
      <w:r w:rsidR="00923BE4" w:rsidRPr="00F878B1">
        <w:rPr>
          <w:rStyle w:val="Heading4Char"/>
          <w:rFonts w:eastAsiaTheme="minorHAnsi"/>
          <w:sz w:val="22"/>
          <w:szCs w:val="22"/>
        </w:rPr>
        <w:t>process</w:t>
      </w:r>
      <w:proofErr w:type="gramEnd"/>
    </w:p>
    <w:p w14:paraId="06812F74" w14:textId="0155BDD1" w:rsidR="00923BE4" w:rsidRPr="00206ACA" w:rsidRDefault="00923BE4" w:rsidP="00923BE4">
      <w:r>
        <w:t>Modern regulatory schemes employ risk-</w:t>
      </w:r>
      <w:r w:rsidRPr="008F7F3C">
        <w:t>based</w:t>
      </w:r>
      <w:r>
        <w:t xml:space="preserve"> decision-making approaches to ensure that rules are </w:t>
      </w:r>
      <w:r w:rsidRPr="008F7F3C">
        <w:t>proportionate and minimally burdensome for all stakeholders</w:t>
      </w:r>
      <w:r>
        <w:t xml:space="preserve">. For example, </w:t>
      </w:r>
      <w:r w:rsidRPr="000F29AC">
        <w:rPr>
          <w:i/>
          <w:iCs/>
        </w:rPr>
        <w:t>the New Zealand Food Act 20</w:t>
      </w:r>
      <w:r>
        <w:rPr>
          <w:i/>
          <w:iCs/>
        </w:rPr>
        <w:t>1</w:t>
      </w:r>
      <w:r w:rsidRPr="000F29AC">
        <w:rPr>
          <w:i/>
          <w:iCs/>
        </w:rPr>
        <w:t>4</w:t>
      </w:r>
      <w:r>
        <w:t xml:space="preserve"> is explicitly risk-based </w:t>
      </w:r>
      <w:r w:rsidRPr="00206ACA">
        <w:t xml:space="preserve">and </w:t>
      </w:r>
      <w:r w:rsidRPr="00AD63B0">
        <w:t>categorise</w:t>
      </w:r>
      <w:r w:rsidR="00200B94">
        <w:t>s</w:t>
      </w:r>
      <w:r w:rsidRPr="00206ACA">
        <w:t xml:space="preserve"> food businesses by risk, where higher-risk businesses are subject to more stringent regulatory oversight. </w:t>
      </w:r>
    </w:p>
    <w:p w14:paraId="25062984" w14:textId="38C7F186" w:rsidR="00923BE4" w:rsidRDefault="00923BE4" w:rsidP="00923BE4">
      <w:r w:rsidRPr="00206ACA">
        <w:t>Modern standard-setting bodies increasingly do the same. For example, Health Canada (the body responsible for setting health and safety standards for food) employs a proactive decision-making framework for identifying, assessing, and managing health risks</w:t>
      </w:r>
      <w:r w:rsidR="00341BE6">
        <w:t>.</w:t>
      </w:r>
      <w:r w:rsidRPr="00206ACA">
        <w:rPr>
          <w:rStyle w:val="FootnoteReference"/>
        </w:rPr>
        <w:footnoteReference w:id="15"/>
      </w:r>
      <w:r w:rsidRPr="00206ACA">
        <w:t xml:space="preserve"> </w:t>
      </w:r>
    </w:p>
    <w:p w14:paraId="31B48002" w14:textId="380C9E04" w:rsidR="00F82AB5" w:rsidRDefault="00F82AB5" w:rsidP="00923BE4">
      <w:pPr>
        <w:rPr>
          <w:rFonts w:ascii="Segoe UI Semibold" w:eastAsia="Times New Roman" w:hAnsi="Segoe UI Semibold" w:cs="Times New Roman"/>
          <w:color w:val="00264D" w:themeColor="background2"/>
          <w:sz w:val="22"/>
          <w:lang w:eastAsia="en-AU"/>
        </w:rPr>
      </w:pPr>
      <w:r w:rsidRPr="007F7722">
        <w:rPr>
          <w:rFonts w:ascii="Segoe UI Semibold" w:eastAsia="Times New Roman" w:hAnsi="Segoe UI Semibold" w:cs="Times New Roman"/>
          <w:color w:val="00264D" w:themeColor="background2"/>
          <w:sz w:val="22"/>
          <w:lang w:eastAsia="en-AU"/>
        </w:rPr>
        <w:t>Regulatory instruments are used in</w:t>
      </w:r>
      <w:r w:rsidR="00EC6C5F">
        <w:rPr>
          <w:rFonts w:ascii="Segoe UI Semibold" w:eastAsia="Times New Roman" w:hAnsi="Segoe UI Semibold" w:cs="Times New Roman"/>
          <w:color w:val="00264D" w:themeColor="background2"/>
          <w:sz w:val="22"/>
          <w:lang w:eastAsia="en-AU"/>
        </w:rPr>
        <w:t xml:space="preserve"> a</w:t>
      </w:r>
      <w:r w:rsidRPr="007F7722">
        <w:rPr>
          <w:rFonts w:ascii="Segoe UI Semibold" w:eastAsia="Times New Roman" w:hAnsi="Segoe UI Semibold" w:cs="Times New Roman"/>
          <w:color w:val="00264D" w:themeColor="background2"/>
          <w:sz w:val="22"/>
          <w:lang w:eastAsia="en-AU"/>
        </w:rPr>
        <w:t xml:space="preserve"> </w:t>
      </w:r>
      <w:r w:rsidR="003C134C" w:rsidRPr="007F7722">
        <w:rPr>
          <w:rFonts w:ascii="Segoe UI Semibold" w:eastAsia="Times New Roman" w:hAnsi="Segoe UI Semibold" w:cs="Times New Roman"/>
          <w:color w:val="00264D" w:themeColor="background2"/>
          <w:sz w:val="22"/>
          <w:lang w:eastAsia="en-AU"/>
        </w:rPr>
        <w:t xml:space="preserve">risk-based </w:t>
      </w:r>
      <w:proofErr w:type="gramStart"/>
      <w:r w:rsidR="003C134C" w:rsidRPr="007F7722">
        <w:rPr>
          <w:rFonts w:ascii="Segoe UI Semibold" w:eastAsia="Times New Roman" w:hAnsi="Segoe UI Semibold" w:cs="Times New Roman"/>
          <w:color w:val="00264D" w:themeColor="background2"/>
          <w:sz w:val="22"/>
          <w:lang w:eastAsia="en-AU"/>
        </w:rPr>
        <w:t>way</w:t>
      </w:r>
      <w:proofErr w:type="gramEnd"/>
    </w:p>
    <w:p w14:paraId="28E648D9" w14:textId="3A2EF02B" w:rsidR="00721C4B" w:rsidRDefault="003276AC" w:rsidP="001E7F97">
      <w:r>
        <w:t xml:space="preserve">Standard-setting schemes are designed in a way that makes efficient and effective use of different legislative </w:t>
      </w:r>
      <w:r w:rsidR="00CE13D0">
        <w:t xml:space="preserve">tools, with standards used to </w:t>
      </w:r>
      <w:r w:rsidR="005F6ED0">
        <w:t>set clear,</w:t>
      </w:r>
      <w:r w:rsidR="0041619C">
        <w:t xml:space="preserve"> technical requirements </w:t>
      </w:r>
      <w:r w:rsidR="00BB62C8">
        <w:t xml:space="preserve">with which </w:t>
      </w:r>
      <w:r w:rsidR="001B7487">
        <w:t>entities must comply</w:t>
      </w:r>
      <w:r w:rsidR="000168DB">
        <w:t xml:space="preserve">; and other instruments such as </w:t>
      </w:r>
      <w:r w:rsidR="008117F8">
        <w:t>Codes of Practice</w:t>
      </w:r>
      <w:r w:rsidR="000168DB">
        <w:t xml:space="preserve"> or guidelines </w:t>
      </w:r>
      <w:r w:rsidR="00CA3205">
        <w:t xml:space="preserve">used </w:t>
      </w:r>
      <w:r w:rsidR="006409A2">
        <w:t xml:space="preserve">to provide </w:t>
      </w:r>
      <w:r w:rsidR="0053459E">
        <w:t xml:space="preserve">principles or other advice </w:t>
      </w:r>
      <w:r w:rsidR="004E3153">
        <w:t xml:space="preserve">(often non-binding) </w:t>
      </w:r>
      <w:r w:rsidR="0053459E">
        <w:t xml:space="preserve">that </w:t>
      </w:r>
      <w:r w:rsidR="00676002">
        <w:t>support achievement of those technical requirements</w:t>
      </w:r>
      <w:r w:rsidR="0053459E">
        <w:t xml:space="preserve">. </w:t>
      </w:r>
    </w:p>
    <w:p w14:paraId="12E46A88" w14:textId="16EC6504" w:rsidR="004B1BD5" w:rsidRDefault="00904017" w:rsidP="001E7F97">
      <w:r>
        <w:t xml:space="preserve">For example, </w:t>
      </w:r>
      <w:r w:rsidR="001E1A73">
        <w:t xml:space="preserve">most developed countries </w:t>
      </w:r>
      <w:r w:rsidR="001550B3">
        <w:t xml:space="preserve">including Australia and New Zealand have a food standard </w:t>
      </w:r>
      <w:r w:rsidR="00FB24A8">
        <w:t>for eggs and egg products</w:t>
      </w:r>
      <w:r w:rsidR="00420E5C">
        <w:t xml:space="preserve">. </w:t>
      </w:r>
      <w:r w:rsidR="00A21835">
        <w:t>The current Food Standard 2.</w:t>
      </w:r>
      <w:r w:rsidR="00563A4E">
        <w:t>2</w:t>
      </w:r>
      <w:r w:rsidR="00A21835">
        <w:t xml:space="preserve">.2 </w:t>
      </w:r>
      <w:r w:rsidR="0087413F">
        <w:t xml:space="preserve">(Australia only) </w:t>
      </w:r>
      <w:r w:rsidR="00A21835">
        <w:t xml:space="preserve">sets out a series of requirements relating to </w:t>
      </w:r>
      <w:r w:rsidR="003A11D6">
        <w:t xml:space="preserve">sale of unacceptable eggs and </w:t>
      </w:r>
      <w:r w:rsidR="00A21835">
        <w:t>traceability</w:t>
      </w:r>
      <w:r w:rsidR="00803A98">
        <w:t xml:space="preserve">. </w:t>
      </w:r>
      <w:r w:rsidR="00721C4B">
        <w:t>T</w:t>
      </w:r>
      <w:r w:rsidR="00803A98">
        <w:t xml:space="preserve">he </w:t>
      </w:r>
      <w:r w:rsidR="00420E5C">
        <w:t xml:space="preserve">Codex Alimentarius </w:t>
      </w:r>
      <w:r w:rsidR="00721C4B">
        <w:t xml:space="preserve">also </w:t>
      </w:r>
      <w:r w:rsidR="00803A98">
        <w:t xml:space="preserve">has a </w:t>
      </w:r>
      <w:r w:rsidR="00721C4B">
        <w:t>short</w:t>
      </w:r>
      <w:r w:rsidR="00803A98">
        <w:t xml:space="preserve"> standard for eggs and egg products</w:t>
      </w:r>
      <w:r w:rsidR="00235A9D">
        <w:rPr>
          <w:rFonts w:ascii="ZWAdobeF" w:hAnsi="ZWAdobeF" w:cs="ZWAdobeF"/>
          <w:sz w:val="2"/>
          <w:szCs w:val="2"/>
        </w:rPr>
        <w:t>14F</w:t>
      </w:r>
      <w:r w:rsidR="00B45527">
        <w:rPr>
          <w:rStyle w:val="FootnoteReference"/>
        </w:rPr>
        <w:footnoteReference w:id="16"/>
      </w:r>
      <w:r w:rsidR="00803A98">
        <w:t xml:space="preserve">, </w:t>
      </w:r>
      <w:r w:rsidR="00721C4B">
        <w:t xml:space="preserve">but supplements this </w:t>
      </w:r>
      <w:r w:rsidR="00803A98">
        <w:t xml:space="preserve">with more </w:t>
      </w:r>
      <w:r w:rsidR="00FB24A8">
        <w:t xml:space="preserve">detail about how to manage hygiene elements and ensure safety of such products in a </w:t>
      </w:r>
      <w:r w:rsidR="008117F8">
        <w:t>C</w:t>
      </w:r>
      <w:r w:rsidR="00FB24A8">
        <w:t xml:space="preserve">ode of </w:t>
      </w:r>
      <w:r w:rsidR="008117F8">
        <w:t>P</w:t>
      </w:r>
      <w:r w:rsidR="00FB24A8">
        <w:t>ractice</w:t>
      </w:r>
      <w:r w:rsidR="001226E0">
        <w:t>.</w:t>
      </w:r>
      <w:r w:rsidR="00986E99">
        <w:rPr>
          <w:rStyle w:val="FootnoteReference"/>
        </w:rPr>
        <w:footnoteReference w:id="17"/>
      </w:r>
      <w:r w:rsidR="00FB24A8">
        <w:t xml:space="preserve"> </w:t>
      </w:r>
    </w:p>
    <w:p w14:paraId="44A46ECD" w14:textId="26F52DFF" w:rsidR="004E3153" w:rsidRDefault="00191D75" w:rsidP="001E7F97">
      <w:r>
        <w:t>I</w:t>
      </w:r>
      <w:r w:rsidR="00194E6C">
        <w:t xml:space="preserve">nstruments lower on the regulatory hierarchy </w:t>
      </w:r>
      <w:r>
        <w:t xml:space="preserve">can generally be developed or amended more easily than food standards. When they are used appropriately therefore, they </w:t>
      </w:r>
      <w:r w:rsidR="00EC36A2">
        <w:t xml:space="preserve">can provide more agility to the system </w:t>
      </w:r>
      <w:r w:rsidR="00931C11">
        <w:t xml:space="preserve">and be more responsive to </w:t>
      </w:r>
      <w:r w:rsidR="00AA6615">
        <w:t xml:space="preserve">changing risks </w:t>
      </w:r>
      <w:r w:rsidR="0013286A">
        <w:t>or market forces.</w:t>
      </w:r>
      <w:r w:rsidR="00783105">
        <w:t xml:space="preserve"> </w:t>
      </w:r>
      <w:r w:rsidR="00D2323D">
        <w:t xml:space="preserve">They should not however be used </w:t>
      </w:r>
      <w:r w:rsidR="00105DA2">
        <w:t xml:space="preserve">to communicate </w:t>
      </w:r>
      <w:r w:rsidR="007F6D31">
        <w:t xml:space="preserve">requirements that </w:t>
      </w:r>
      <w:r w:rsidR="008E1D3B">
        <w:t>are essential to meet. For example,</w:t>
      </w:r>
      <w:r w:rsidR="00EE6E3D">
        <w:t xml:space="preserve"> </w:t>
      </w:r>
      <w:r w:rsidR="003E614B">
        <w:t xml:space="preserve">labelling requirements for allergenic information is generally prescribed in food standards and </w:t>
      </w:r>
      <w:r w:rsidR="0039671E">
        <w:t xml:space="preserve">are </w:t>
      </w:r>
      <w:r w:rsidR="003E614B">
        <w:t>binding</w:t>
      </w:r>
      <w:r w:rsidR="0039671E">
        <w:t xml:space="preserve">, </w:t>
      </w:r>
      <w:r w:rsidR="003E614B">
        <w:t xml:space="preserve">as are other requirements that safeguard against significant foodborne risks. </w:t>
      </w:r>
    </w:p>
    <w:p w14:paraId="0B62D686" w14:textId="77777777" w:rsidR="00923BE4" w:rsidRDefault="00923BE4" w:rsidP="00923BE4">
      <w:pPr>
        <w:pStyle w:val="Heading3"/>
      </w:pPr>
      <w:r w:rsidRPr="001F0779">
        <w:rPr>
          <w:color w:val="25B3E0" w:themeColor="accent6"/>
        </w:rPr>
        <w:lastRenderedPageBreak/>
        <w:t xml:space="preserve">Best Practice Element 3 </w:t>
      </w:r>
      <w:r w:rsidRPr="00887506">
        <w:t xml:space="preserve">| Operations of the regulator or </w:t>
      </w:r>
      <w:proofErr w:type="gramStart"/>
      <w:r w:rsidRPr="00887506">
        <w:t>standard</w:t>
      </w:r>
      <w:r>
        <w:t>-</w:t>
      </w:r>
      <w:r w:rsidRPr="00887506">
        <w:t>setter</w:t>
      </w:r>
      <w:proofErr w:type="gramEnd"/>
      <w:r w:rsidRPr="00887506">
        <w:t xml:space="preserve"> are efficient and effective </w:t>
      </w:r>
    </w:p>
    <w:p w14:paraId="69CC95F7" w14:textId="77777777" w:rsidR="00923BE4" w:rsidRPr="00F878B1" w:rsidRDefault="00923BE4" w:rsidP="00923BE4">
      <w:pPr>
        <w:pStyle w:val="Bullet"/>
        <w:numPr>
          <w:ilvl w:val="0"/>
          <w:numId w:val="0"/>
        </w:numPr>
        <w:ind w:left="340" w:hanging="340"/>
        <w:rPr>
          <w:rFonts w:asciiTheme="majorHAnsi" w:hAnsiTheme="majorHAnsi" w:cstheme="majorHAnsi"/>
        </w:rPr>
      </w:pPr>
      <w:r w:rsidRPr="00F878B1">
        <w:rPr>
          <w:rStyle w:val="Heading4Char"/>
          <w:sz w:val="22"/>
          <w:szCs w:val="22"/>
        </w:rPr>
        <w:t xml:space="preserve">Legislated governance arrangements support efficient and effective </w:t>
      </w:r>
      <w:proofErr w:type="gramStart"/>
      <w:r w:rsidRPr="00F878B1">
        <w:rPr>
          <w:rStyle w:val="Heading4Char"/>
          <w:sz w:val="22"/>
          <w:szCs w:val="22"/>
        </w:rPr>
        <w:t>decision-making</w:t>
      </w:r>
      <w:proofErr w:type="gramEnd"/>
      <w:r w:rsidRPr="00F878B1">
        <w:rPr>
          <w:rFonts w:asciiTheme="majorHAnsi" w:hAnsiTheme="majorHAnsi" w:cstheme="majorHAnsi"/>
        </w:rPr>
        <w:t xml:space="preserve"> </w:t>
      </w:r>
    </w:p>
    <w:p w14:paraId="036B1EF0" w14:textId="7F631060" w:rsidR="001A2B63" w:rsidRPr="001A2B63" w:rsidRDefault="007D2677" w:rsidP="001A2B63">
      <w:pPr>
        <w:pStyle w:val="Bullet"/>
        <w:numPr>
          <w:ilvl w:val="0"/>
          <w:numId w:val="0"/>
        </w:numPr>
        <w:ind w:left="340" w:hanging="340"/>
      </w:pPr>
      <w:r>
        <w:t>The current academic discussio</w:t>
      </w:r>
      <w:r w:rsidR="00763078">
        <w:t>n</w:t>
      </w:r>
      <w:r w:rsidR="0095331D">
        <w:rPr>
          <w:rStyle w:val="FootnoteReference"/>
        </w:rPr>
        <w:footnoteReference w:id="18"/>
      </w:r>
      <w:r>
        <w:t xml:space="preserve"> about best practice </w:t>
      </w:r>
      <w:r w:rsidR="0095331D">
        <w:t>governance</w:t>
      </w:r>
      <w:r>
        <w:t xml:space="preserve"> </w:t>
      </w:r>
      <w:r w:rsidR="0095331D">
        <w:t xml:space="preserve">emphasises: </w:t>
      </w:r>
    </w:p>
    <w:p w14:paraId="5AD9352A" w14:textId="3795A86D" w:rsidR="00923BE4" w:rsidRDefault="00923BE4" w:rsidP="00923BE4">
      <w:pPr>
        <w:pStyle w:val="Bullet"/>
      </w:pPr>
      <w:r>
        <w:rPr>
          <w:rFonts w:asciiTheme="majorHAnsi" w:hAnsiTheme="majorHAnsi" w:cstheme="majorHAnsi"/>
        </w:rPr>
        <w:t>Independent, s</w:t>
      </w:r>
      <w:r w:rsidRPr="004A3297">
        <w:rPr>
          <w:rFonts w:asciiTheme="majorHAnsi" w:hAnsiTheme="majorHAnsi" w:cstheme="majorHAnsi"/>
        </w:rPr>
        <w:t>kills-based boards</w:t>
      </w:r>
      <w:r>
        <w:t>. Independent, skills-based boards are best placed to make decisions that support the outcomes pursued by standard</w:t>
      </w:r>
      <w:r w:rsidR="002B532E">
        <w:t>-</w:t>
      </w:r>
      <w:r>
        <w:t xml:space="preserve">setting organisations. Independence, or at least a majority composition of independence, ensures that the board makes decisions in the best interests of the organisation and its objectives, rather than those of partisan groups. In support of this, skills-based boards ensure they have the capability to effectively deliver their responsibilities. </w:t>
      </w:r>
      <w:proofErr w:type="gramStart"/>
      <w:r>
        <w:t>In particular, this</w:t>
      </w:r>
      <w:proofErr w:type="gramEnd"/>
      <w:r>
        <w:t xml:space="preserve"> means possessing the subject-matter expertise to make decisions in a way that is cognisant of the reality of the organisation.</w:t>
      </w:r>
    </w:p>
    <w:p w14:paraId="59D97036" w14:textId="2892C1C9" w:rsidR="00923BE4" w:rsidRDefault="00923BE4" w:rsidP="00923BE4">
      <w:pPr>
        <w:pStyle w:val="Bullet"/>
      </w:pPr>
      <w:r>
        <w:rPr>
          <w:rFonts w:asciiTheme="majorHAnsi" w:hAnsiTheme="majorHAnsi" w:cstheme="majorHAnsi"/>
        </w:rPr>
        <w:t xml:space="preserve">Proactive </w:t>
      </w:r>
      <w:r w:rsidRPr="004A3297">
        <w:rPr>
          <w:rFonts w:asciiTheme="majorHAnsi" w:hAnsiTheme="majorHAnsi" w:cstheme="majorHAnsi"/>
        </w:rPr>
        <w:t>nomination and appointment processes</w:t>
      </w:r>
      <w:r>
        <w:t>. In keeping with</w:t>
      </w:r>
      <w:r w:rsidRPr="00CF1550">
        <w:t xml:space="preserve"> best practice, </w:t>
      </w:r>
      <w:r>
        <w:t xml:space="preserve">modern </w:t>
      </w:r>
      <w:r w:rsidRPr="00CF1550">
        <w:t xml:space="preserve">governance committees keep a pipeline of potential candidates to fill vacancies as required. </w:t>
      </w:r>
      <w:r>
        <w:t xml:space="preserve">By adopting this proactive approach, modern boards reduce decision paralysis brought about by long appointment periods and ensure the organisation remains effective amidst organisational </w:t>
      </w:r>
      <w:proofErr w:type="gramStart"/>
      <w:r>
        <w:t>turnover</w:t>
      </w:r>
      <w:proofErr w:type="gramEnd"/>
      <w:r>
        <w:t>.</w:t>
      </w:r>
    </w:p>
    <w:p w14:paraId="05B2AD4C" w14:textId="77777777" w:rsidR="00923BE4" w:rsidRDefault="00923BE4" w:rsidP="00923BE4">
      <w:pPr>
        <w:rPr>
          <w:rStyle w:val="Heading4Char"/>
          <w:rFonts w:eastAsiaTheme="minorHAnsi"/>
          <w:sz w:val="22"/>
          <w:szCs w:val="22"/>
        </w:rPr>
      </w:pPr>
      <w:r>
        <w:rPr>
          <w:rStyle w:val="Heading4Char"/>
          <w:rFonts w:eastAsiaTheme="minorHAnsi"/>
          <w:sz w:val="22"/>
          <w:szCs w:val="22"/>
        </w:rPr>
        <w:t xml:space="preserve">Regulators and </w:t>
      </w:r>
      <w:proofErr w:type="gramStart"/>
      <w:r>
        <w:rPr>
          <w:rStyle w:val="Heading4Char"/>
          <w:rFonts w:eastAsiaTheme="minorHAnsi"/>
          <w:sz w:val="22"/>
          <w:szCs w:val="22"/>
        </w:rPr>
        <w:t>standard-setters</w:t>
      </w:r>
      <w:proofErr w:type="gramEnd"/>
      <w:r>
        <w:rPr>
          <w:rStyle w:val="Heading4Char"/>
          <w:rFonts w:eastAsiaTheme="minorHAnsi"/>
          <w:sz w:val="22"/>
          <w:szCs w:val="22"/>
        </w:rPr>
        <w:t xml:space="preserve"> are adequately resourced to deliver their remit</w:t>
      </w:r>
    </w:p>
    <w:p w14:paraId="32AF02BE" w14:textId="47C8CF6F" w:rsidR="00923BE4" w:rsidRDefault="00923BE4" w:rsidP="009F06A6">
      <w:pPr>
        <w:spacing w:line="240" w:lineRule="auto"/>
      </w:pPr>
      <w:r>
        <w:t xml:space="preserve">Comparable international bodies invest significant resources to support the work of their standard-setting bodies. There is some variation in the investment made, with the per capita investment in the Canadian food standard-setting body being $1.31 per person, per year, increasing to $3.60 per person in England; $7.00 per person per year in Ireland; and $7.76 per person, per year in Scotland. By contrast, </w:t>
      </w:r>
      <w:r w:rsidR="004E4D63">
        <w:t>FSANZ’</w:t>
      </w:r>
      <w:r w:rsidR="008E77E8">
        <w:t>s</w:t>
      </w:r>
      <w:r>
        <w:t xml:space="preserve"> substantive funding equates to $</w:t>
      </w:r>
      <w:r w:rsidR="009F0B13">
        <w:t>0.</w:t>
      </w:r>
      <w:r w:rsidR="001D258C">
        <w:t>70</w:t>
      </w:r>
      <w:r>
        <w:t xml:space="preserve"> per person per year in Australia and $</w:t>
      </w:r>
      <w:r w:rsidR="002B532E">
        <w:t>0</w:t>
      </w:r>
      <w:r>
        <w:t>.</w:t>
      </w:r>
      <w:r w:rsidR="001D258C">
        <w:t>40</w:t>
      </w:r>
      <w:r>
        <w:t xml:space="preserve"> per person, per year in New Zealand</w:t>
      </w:r>
      <w:r w:rsidR="00FB2F14">
        <w:t>.</w:t>
      </w:r>
      <w:r>
        <w:rPr>
          <w:rStyle w:val="FootnoteReference"/>
        </w:rPr>
        <w:footnoteReference w:id="19"/>
      </w:r>
    </w:p>
    <w:p w14:paraId="7F090D75" w14:textId="126A38DE" w:rsidR="00923BE4" w:rsidRDefault="00923BE4" w:rsidP="009F06A6">
      <w:pPr>
        <w:spacing w:line="240" w:lineRule="auto"/>
      </w:pPr>
      <w:r>
        <w:t>Cost recovered services frequently represents a minority funding stream for standard-setters, but when they are used</w:t>
      </w:r>
      <w:r w:rsidR="00DD5FAB" w:rsidRPr="00206ACA">
        <w:t>,</w:t>
      </w:r>
      <w:r>
        <w:t xml:space="preserve"> they exploit the full technical capability and legislative remit of the organisation. </w:t>
      </w:r>
    </w:p>
    <w:p w14:paraId="73F66547" w14:textId="77777777" w:rsidR="00923BE4" w:rsidRPr="006F59BC" w:rsidRDefault="00923BE4" w:rsidP="00923BE4">
      <w:pPr>
        <w:pStyle w:val="Heading3"/>
      </w:pPr>
      <w:r w:rsidRPr="001F0779">
        <w:rPr>
          <w:color w:val="7F7F7F" w:themeColor="text1" w:themeTint="80"/>
        </w:rPr>
        <w:t xml:space="preserve">Best Practice Element </w:t>
      </w:r>
      <w:r w:rsidRPr="001F0779">
        <w:rPr>
          <w:rStyle w:val="cf01"/>
          <w:rFonts w:ascii="Segoe UI Semibold" w:hAnsi="Segoe UI Semibold" w:cs="Times New Roman"/>
          <w:color w:val="7F7F7F" w:themeColor="text1" w:themeTint="80"/>
          <w:sz w:val="26"/>
          <w:szCs w:val="19"/>
        </w:rPr>
        <w:t xml:space="preserve">4 </w:t>
      </w:r>
      <w:r w:rsidRPr="006F59BC">
        <w:rPr>
          <w:rStyle w:val="cf01"/>
          <w:rFonts w:ascii="Segoe UI Semibold" w:hAnsi="Segoe UI Semibold" w:cs="Times New Roman"/>
          <w:sz w:val="26"/>
          <w:szCs w:val="19"/>
        </w:rPr>
        <w:t xml:space="preserve">| Regulatory approaches and partnerships drive system </w:t>
      </w:r>
      <w:proofErr w:type="gramStart"/>
      <w:r w:rsidRPr="006F59BC">
        <w:rPr>
          <w:rStyle w:val="cf01"/>
          <w:rFonts w:ascii="Segoe UI Semibold" w:hAnsi="Segoe UI Semibold" w:cs="Times New Roman"/>
          <w:sz w:val="26"/>
          <w:szCs w:val="19"/>
        </w:rPr>
        <w:t>agility</w:t>
      </w:r>
      <w:proofErr w:type="gramEnd"/>
    </w:p>
    <w:p w14:paraId="4E9848DB" w14:textId="1F7BC7DF" w:rsidR="00923BE4" w:rsidRDefault="00923BE4" w:rsidP="007426FD">
      <w:pPr>
        <w:pStyle w:val="Heading4"/>
        <w:spacing w:before="0"/>
        <w:rPr>
          <w:szCs w:val="22"/>
        </w:rPr>
      </w:pPr>
      <w:r>
        <w:rPr>
          <w:szCs w:val="22"/>
        </w:rPr>
        <w:t>There is a focus on joined-up policy and regulat</w:t>
      </w:r>
      <w:r w:rsidR="000118D5">
        <w:rPr>
          <w:szCs w:val="22"/>
        </w:rPr>
        <w:t>ory</w:t>
      </w:r>
      <w:r>
        <w:rPr>
          <w:szCs w:val="22"/>
        </w:rPr>
        <w:t xml:space="preserve"> </w:t>
      </w:r>
      <w:proofErr w:type="gramStart"/>
      <w:r>
        <w:rPr>
          <w:szCs w:val="22"/>
        </w:rPr>
        <w:t>work</w:t>
      </w:r>
      <w:proofErr w:type="gramEnd"/>
      <w:r>
        <w:rPr>
          <w:szCs w:val="22"/>
        </w:rPr>
        <w:t xml:space="preserve"> </w:t>
      </w:r>
    </w:p>
    <w:p w14:paraId="71A0EC09" w14:textId="7CC2BEB9" w:rsidR="0073074F" w:rsidRDefault="000118D5" w:rsidP="00923BE4">
      <w:pPr>
        <w:rPr>
          <w:lang w:eastAsia="en-AU"/>
        </w:rPr>
      </w:pPr>
      <w:r>
        <w:rPr>
          <w:lang w:eastAsia="en-AU"/>
        </w:rPr>
        <w:t>In strong systems, there are</w:t>
      </w:r>
      <w:r w:rsidR="00923BE4" w:rsidRPr="000C4AB0">
        <w:rPr>
          <w:lang w:eastAsia="en-AU"/>
        </w:rPr>
        <w:t xml:space="preserve"> effective mechanisms </w:t>
      </w:r>
      <w:r>
        <w:rPr>
          <w:lang w:eastAsia="en-AU"/>
        </w:rPr>
        <w:t>in place to support</w:t>
      </w:r>
      <w:r w:rsidRPr="000C4AB0">
        <w:rPr>
          <w:lang w:eastAsia="en-AU"/>
        </w:rPr>
        <w:t xml:space="preserve"> </w:t>
      </w:r>
      <w:r w:rsidR="00923BE4" w:rsidRPr="000C4AB0">
        <w:rPr>
          <w:lang w:eastAsia="en-AU"/>
        </w:rPr>
        <w:t>the flow of information</w:t>
      </w:r>
      <w:r w:rsidR="009B6C22">
        <w:rPr>
          <w:lang w:eastAsia="en-AU"/>
        </w:rPr>
        <w:t xml:space="preserve">, </w:t>
      </w:r>
      <w:r w:rsidR="00923BE4" w:rsidRPr="000C4AB0">
        <w:rPr>
          <w:lang w:eastAsia="en-AU"/>
        </w:rPr>
        <w:t xml:space="preserve">enabling coordinated policy and regulatory decisions. </w:t>
      </w:r>
    </w:p>
    <w:p w14:paraId="06AC22B2" w14:textId="2FE63B95" w:rsidR="005B66BB" w:rsidRPr="000C4AB0" w:rsidRDefault="00301763" w:rsidP="00923BE4">
      <w:pPr>
        <w:rPr>
          <w:lang w:eastAsia="en-AU"/>
        </w:rPr>
      </w:pPr>
      <w:r>
        <w:rPr>
          <w:lang w:eastAsia="en-AU"/>
        </w:rPr>
        <w:t xml:space="preserve">For example, </w:t>
      </w:r>
      <w:r w:rsidR="002150B0">
        <w:rPr>
          <w:lang w:eastAsia="en-AU"/>
        </w:rPr>
        <w:t xml:space="preserve">there is strong collaboration between the </w:t>
      </w:r>
      <w:r w:rsidR="00B2448A">
        <w:rPr>
          <w:lang w:eastAsia="en-AU"/>
        </w:rPr>
        <w:t>DHAC</w:t>
      </w:r>
      <w:r w:rsidR="002150B0">
        <w:rPr>
          <w:lang w:eastAsia="en-AU"/>
        </w:rPr>
        <w:t xml:space="preserve">, the Australian </w:t>
      </w:r>
      <w:r w:rsidR="00286F29">
        <w:rPr>
          <w:lang w:eastAsia="en-AU"/>
        </w:rPr>
        <w:t>Health Practitioner Regulation Agency and National Boards</w:t>
      </w:r>
      <w:r w:rsidR="008031AC">
        <w:rPr>
          <w:rStyle w:val="FootnoteReference"/>
          <w:lang w:eastAsia="en-AU"/>
        </w:rPr>
        <w:footnoteReference w:id="20"/>
      </w:r>
      <w:r w:rsidR="00286F29">
        <w:rPr>
          <w:lang w:eastAsia="en-AU"/>
        </w:rPr>
        <w:t xml:space="preserve"> </w:t>
      </w:r>
      <w:r w:rsidR="00E8001E">
        <w:rPr>
          <w:lang w:eastAsia="en-AU"/>
        </w:rPr>
        <w:t xml:space="preserve">to consider </w:t>
      </w:r>
      <w:r w:rsidR="007242D0">
        <w:rPr>
          <w:lang w:eastAsia="en-AU"/>
        </w:rPr>
        <w:t xml:space="preserve">registration </w:t>
      </w:r>
      <w:r w:rsidR="00645DF0">
        <w:rPr>
          <w:lang w:eastAsia="en-AU"/>
        </w:rPr>
        <w:t xml:space="preserve">and other </w:t>
      </w:r>
      <w:r w:rsidR="007242D0">
        <w:rPr>
          <w:lang w:eastAsia="en-AU"/>
        </w:rPr>
        <w:t xml:space="preserve">requirements for </w:t>
      </w:r>
      <w:r w:rsidR="00E53AE6">
        <w:rPr>
          <w:lang w:eastAsia="en-AU"/>
        </w:rPr>
        <w:t xml:space="preserve">health care practitioners </w:t>
      </w:r>
      <w:r w:rsidR="00EF118F">
        <w:rPr>
          <w:lang w:eastAsia="en-AU"/>
        </w:rPr>
        <w:t>in a way that safeguards quality of car</w:t>
      </w:r>
      <w:r w:rsidR="005D23E6">
        <w:rPr>
          <w:lang w:eastAsia="en-AU"/>
        </w:rPr>
        <w:t xml:space="preserve">e, while being responsive to the need to build the health workforce and facilitate </w:t>
      </w:r>
      <w:r w:rsidR="00485DC1">
        <w:rPr>
          <w:lang w:eastAsia="en-AU"/>
        </w:rPr>
        <w:t xml:space="preserve">entry for internationally trained </w:t>
      </w:r>
      <w:r w:rsidR="00086E35">
        <w:rPr>
          <w:lang w:eastAsia="en-AU"/>
        </w:rPr>
        <w:t xml:space="preserve">clinicians. </w:t>
      </w:r>
    </w:p>
    <w:p w14:paraId="3BB6C5A0" w14:textId="033F5777" w:rsidR="00923BE4" w:rsidRDefault="001C277B" w:rsidP="0002470E">
      <w:r>
        <w:t xml:space="preserve">Some </w:t>
      </w:r>
      <w:r w:rsidR="00E501C5">
        <w:t xml:space="preserve">regulators and </w:t>
      </w:r>
      <w:proofErr w:type="gramStart"/>
      <w:r w:rsidR="00E501C5">
        <w:t>standard-setters</w:t>
      </w:r>
      <w:proofErr w:type="gramEnd"/>
      <w:r w:rsidR="00E501C5">
        <w:t xml:space="preserve"> also prioritise </w:t>
      </w:r>
      <w:r w:rsidR="00131A8E">
        <w:t xml:space="preserve">managing data and information and </w:t>
      </w:r>
      <w:r w:rsidR="00E501C5">
        <w:t xml:space="preserve">sharing </w:t>
      </w:r>
      <w:r w:rsidR="00131A8E">
        <w:t>this</w:t>
      </w:r>
      <w:r w:rsidR="00E501C5">
        <w:t xml:space="preserve"> with </w:t>
      </w:r>
      <w:r w:rsidR="00DA1CCE">
        <w:t xml:space="preserve">other parties, such as </w:t>
      </w:r>
      <w:r w:rsidR="0002470E">
        <w:t xml:space="preserve">with </w:t>
      </w:r>
      <w:r w:rsidR="00923BE4" w:rsidRPr="00A05105">
        <w:t xml:space="preserve">academic bodies and </w:t>
      </w:r>
      <w:r w:rsidR="0002470E">
        <w:t>enforcement agencies</w:t>
      </w:r>
      <w:r w:rsidR="00923BE4" w:rsidRPr="00A05105">
        <w:t xml:space="preserve">. </w:t>
      </w:r>
      <w:r w:rsidR="00131A8E">
        <w:t xml:space="preserve">For example, the </w:t>
      </w:r>
      <w:r w:rsidR="008F07C5">
        <w:t xml:space="preserve">Food and Drug Administration in the </w:t>
      </w:r>
      <w:r w:rsidR="00C43B77">
        <w:t>U</w:t>
      </w:r>
      <w:r w:rsidR="008F07C5">
        <w:t xml:space="preserve">nited </w:t>
      </w:r>
      <w:r w:rsidR="00C43B77">
        <w:t>S</w:t>
      </w:r>
      <w:r w:rsidR="008F07C5">
        <w:t xml:space="preserve">tates maintains an Adverse Event Reporting System </w:t>
      </w:r>
      <w:r w:rsidR="008045CC">
        <w:t>which</w:t>
      </w:r>
      <w:r w:rsidR="008F07C5">
        <w:t xml:space="preserve"> records </w:t>
      </w:r>
      <w:r w:rsidR="001A60DF">
        <w:t xml:space="preserve">details of </w:t>
      </w:r>
      <w:r w:rsidR="001A60DF">
        <w:lastRenderedPageBreak/>
        <w:t>food related incidents</w:t>
      </w:r>
      <w:r w:rsidR="003648FC">
        <w:t xml:space="preserve">, </w:t>
      </w:r>
      <w:r w:rsidR="0010664C">
        <w:t xml:space="preserve">which </w:t>
      </w:r>
      <w:r w:rsidR="003648FC">
        <w:t>is intended to ultimately be publicly accessible</w:t>
      </w:r>
      <w:r w:rsidR="001A60DF">
        <w:t>.</w:t>
      </w:r>
      <w:r w:rsidR="00235A9D">
        <w:rPr>
          <w:rFonts w:ascii="ZWAdobeF" w:hAnsi="ZWAdobeF" w:cs="ZWAdobeF"/>
          <w:sz w:val="2"/>
          <w:szCs w:val="2"/>
        </w:rPr>
        <w:t>18F</w:t>
      </w:r>
      <w:r w:rsidR="003648FC">
        <w:rPr>
          <w:rStyle w:val="FootnoteReference"/>
        </w:rPr>
        <w:footnoteReference w:id="21"/>
      </w:r>
      <w:r w:rsidR="001A60DF">
        <w:t xml:space="preserve"> </w:t>
      </w:r>
      <w:r w:rsidR="00ED6171">
        <w:t xml:space="preserve">The European Food Safety Authority also </w:t>
      </w:r>
      <w:r w:rsidR="008045CC">
        <w:t>maintains</w:t>
      </w:r>
      <w:r w:rsidR="00E40FF8">
        <w:t xml:space="preserve"> </w:t>
      </w:r>
      <w:r w:rsidR="00CB591C">
        <w:t>the Comprehensive European Food Consumption Database, which tracks food consumption patte</w:t>
      </w:r>
      <w:r w:rsidR="008045CC">
        <w:t xml:space="preserve">rns and </w:t>
      </w:r>
      <w:r w:rsidR="002201C6">
        <w:t>helps inform identification of hazards in foods based on exposure over time</w:t>
      </w:r>
      <w:r w:rsidR="00534394">
        <w:t>.</w:t>
      </w:r>
      <w:r w:rsidR="00C02103">
        <w:rPr>
          <w:rStyle w:val="FootnoteReference"/>
        </w:rPr>
        <w:footnoteReference w:id="22"/>
      </w:r>
      <w:r w:rsidR="008045CC">
        <w:t xml:space="preserve"> </w:t>
      </w:r>
    </w:p>
    <w:p w14:paraId="392840C2" w14:textId="66F21995" w:rsidR="00530862" w:rsidRPr="00F9716D" w:rsidRDefault="00923BE4" w:rsidP="007F7722">
      <w:pPr>
        <w:pStyle w:val="Heading3"/>
      </w:pPr>
      <w:bookmarkStart w:id="30" w:name="_Ref63761382"/>
      <w:r w:rsidRPr="003229F9">
        <w:t xml:space="preserve">The </w:t>
      </w:r>
      <w:r>
        <w:t>current Australia and New Zealand</w:t>
      </w:r>
      <w:r w:rsidRPr="003229F9">
        <w:t xml:space="preserve"> </w:t>
      </w:r>
      <w:r>
        <w:t xml:space="preserve">joint food standards system </w:t>
      </w:r>
      <w:r w:rsidRPr="003229F9">
        <w:t xml:space="preserve">embodies some – but not all – of these </w:t>
      </w:r>
      <w:r>
        <w:t xml:space="preserve">best </w:t>
      </w:r>
      <w:r w:rsidRPr="003229F9">
        <w:t xml:space="preserve">practice </w:t>
      </w:r>
      <w:bookmarkEnd w:id="30"/>
      <w:proofErr w:type="gramStart"/>
      <w:r w:rsidRPr="003229F9">
        <w:t>characte</w:t>
      </w:r>
      <w:r>
        <w:t>ri</w:t>
      </w:r>
      <w:r w:rsidRPr="003229F9">
        <w:t>stics</w:t>
      </w:r>
      <w:proofErr w:type="gramEnd"/>
      <w:r w:rsidRPr="003229F9">
        <w:t xml:space="preserve"> </w:t>
      </w:r>
    </w:p>
    <w:p w14:paraId="4E328546" w14:textId="071157B9" w:rsidR="00923BE4" w:rsidRDefault="00923BE4" w:rsidP="00923BE4">
      <w:r>
        <w:t xml:space="preserve">When compared to the elements of best practice identified in </w:t>
      </w:r>
      <w:r w:rsidR="00B62604">
        <w:t>Section</w:t>
      </w:r>
      <w:r>
        <w:t xml:space="preserve"> </w:t>
      </w:r>
      <w:r>
        <w:rPr>
          <w:highlight w:val="yellow"/>
        </w:rPr>
        <w:fldChar w:fldCharType="begin"/>
      </w:r>
      <w:r>
        <w:instrText xml:space="preserve"> REF _Ref63420030 \n \h </w:instrText>
      </w:r>
      <w:r>
        <w:rPr>
          <w:highlight w:val="yellow"/>
        </w:rPr>
      </w:r>
      <w:r>
        <w:rPr>
          <w:highlight w:val="yellow"/>
        </w:rPr>
        <w:fldChar w:fldCharType="separate"/>
      </w:r>
      <w:r w:rsidR="003F7B92">
        <w:t>3.1</w:t>
      </w:r>
      <w:r>
        <w:rPr>
          <w:highlight w:val="yellow"/>
        </w:rPr>
        <w:fldChar w:fldCharType="end"/>
      </w:r>
      <w:r>
        <w:t xml:space="preserve">, several strengths of the Australian-New Zealand </w:t>
      </w:r>
      <w:r w:rsidRPr="004D4A46">
        <w:t>joint food standards system</w:t>
      </w:r>
      <w:r w:rsidRPr="004D4A46" w:rsidDel="004D4A46">
        <w:t xml:space="preserve"> </w:t>
      </w:r>
      <w:r>
        <w:t xml:space="preserve">become apparent. </w:t>
      </w:r>
    </w:p>
    <w:p w14:paraId="7B353158" w14:textId="602593DA" w:rsidR="004A5F2C" w:rsidRPr="006D4275" w:rsidRDefault="004A5F2C" w:rsidP="004A5F2C">
      <w:pPr>
        <w:rPr>
          <w:rFonts w:ascii="Segoe UI Semibold" w:eastAsia="Times New Roman" w:hAnsi="Segoe UI Semibold" w:cs="Times New Roman"/>
          <w:color w:val="00264D" w:themeColor="background2"/>
          <w:sz w:val="22"/>
          <w:szCs w:val="19"/>
          <w:lang w:eastAsia="en-AU"/>
        </w:rPr>
      </w:pPr>
      <w:r>
        <w:rPr>
          <w:rFonts w:ascii="Segoe UI Semibold" w:eastAsia="Times New Roman" w:hAnsi="Segoe UI Semibold" w:cs="Times New Roman"/>
          <w:color w:val="00264D" w:themeColor="background2"/>
          <w:sz w:val="22"/>
          <w:szCs w:val="19"/>
          <w:lang w:eastAsia="en-AU"/>
        </w:rPr>
        <w:t xml:space="preserve">Aligning with Best Practice Element 1, there is a </w:t>
      </w:r>
      <w:r w:rsidRPr="006D4275">
        <w:rPr>
          <w:rFonts w:ascii="Segoe UI Semibold" w:eastAsia="Times New Roman" w:hAnsi="Segoe UI Semibold" w:cs="Times New Roman"/>
          <w:color w:val="00264D" w:themeColor="background2"/>
          <w:sz w:val="22"/>
          <w:szCs w:val="19"/>
          <w:lang w:eastAsia="en-AU"/>
        </w:rPr>
        <w:t xml:space="preserve">program of work </w:t>
      </w:r>
      <w:r>
        <w:rPr>
          <w:rFonts w:ascii="Segoe UI Semibold" w:eastAsia="Times New Roman" w:hAnsi="Segoe UI Semibold" w:cs="Times New Roman"/>
          <w:color w:val="00264D" w:themeColor="background2"/>
          <w:sz w:val="22"/>
          <w:szCs w:val="19"/>
          <w:lang w:eastAsia="en-AU"/>
        </w:rPr>
        <w:t>planned</w:t>
      </w:r>
      <w:r w:rsidRPr="006D4275">
        <w:rPr>
          <w:rFonts w:ascii="Segoe UI Semibold" w:eastAsia="Times New Roman" w:hAnsi="Segoe UI Semibold" w:cs="Times New Roman"/>
          <w:color w:val="00264D" w:themeColor="background2"/>
          <w:sz w:val="22"/>
          <w:szCs w:val="19"/>
          <w:lang w:eastAsia="en-AU"/>
        </w:rPr>
        <w:t xml:space="preserve"> to enhance the recognition of </w:t>
      </w:r>
      <w:r>
        <w:rPr>
          <w:rFonts w:ascii="Segoe UI Semibold" w:eastAsia="Times New Roman" w:hAnsi="Segoe UI Semibold" w:cs="Times New Roman"/>
          <w:color w:val="00264D" w:themeColor="background2"/>
          <w:sz w:val="22"/>
          <w:szCs w:val="19"/>
          <w:lang w:eastAsia="en-AU"/>
        </w:rPr>
        <w:t>I</w:t>
      </w:r>
      <w:r w:rsidRPr="006D4275">
        <w:rPr>
          <w:rFonts w:ascii="Segoe UI Semibold" w:eastAsia="Times New Roman" w:hAnsi="Segoe UI Semibold" w:cs="Times New Roman"/>
          <w:color w:val="00264D" w:themeColor="background2"/>
          <w:sz w:val="22"/>
          <w:szCs w:val="19"/>
          <w:lang w:eastAsia="en-AU"/>
        </w:rPr>
        <w:t xml:space="preserve">ndigenous culture and </w:t>
      </w:r>
      <w:proofErr w:type="gramStart"/>
      <w:r w:rsidRPr="006D4275">
        <w:rPr>
          <w:rFonts w:ascii="Segoe UI Semibold" w:eastAsia="Times New Roman" w:hAnsi="Segoe UI Semibold" w:cs="Times New Roman"/>
          <w:color w:val="00264D" w:themeColor="background2"/>
          <w:sz w:val="22"/>
          <w:szCs w:val="19"/>
          <w:lang w:eastAsia="en-AU"/>
        </w:rPr>
        <w:t>expertise</w:t>
      </w:r>
      <w:proofErr w:type="gramEnd"/>
      <w:r w:rsidRPr="006D4275">
        <w:rPr>
          <w:rFonts w:ascii="Segoe UI Semibold" w:eastAsia="Times New Roman" w:hAnsi="Segoe UI Semibold" w:cs="Times New Roman"/>
          <w:color w:val="00264D" w:themeColor="background2"/>
          <w:sz w:val="22"/>
          <w:szCs w:val="19"/>
          <w:lang w:eastAsia="en-AU"/>
        </w:rPr>
        <w:t xml:space="preserve"> </w:t>
      </w:r>
    </w:p>
    <w:p w14:paraId="42B2EE8F" w14:textId="00A3EFBB" w:rsidR="004A5F2C" w:rsidRDefault="0098070E" w:rsidP="004A5F2C">
      <w:r>
        <w:t>In 202</w:t>
      </w:r>
      <w:r w:rsidR="00617E50">
        <w:t>3</w:t>
      </w:r>
      <w:r>
        <w:t xml:space="preserve">, the FMM endorsed </w:t>
      </w:r>
      <w:r w:rsidR="00444CB8">
        <w:t xml:space="preserve">a three-tiered approach to </w:t>
      </w:r>
      <w:r w:rsidR="00A03011">
        <w:t>strengthen the food regulatory system to support and celebrate</w:t>
      </w:r>
      <w:r w:rsidR="00976523">
        <w:t xml:space="preserve"> the culture and expertise of </w:t>
      </w:r>
      <w:r w:rsidR="0078057F">
        <w:t>First Nations</w:t>
      </w:r>
      <w:r w:rsidR="00167D2C">
        <w:t xml:space="preserve"> and Māori</w:t>
      </w:r>
      <w:r w:rsidR="00976523">
        <w:t xml:space="preserve"> </w:t>
      </w:r>
      <w:r w:rsidR="000F1825">
        <w:t>P</w:t>
      </w:r>
      <w:r w:rsidR="00976523">
        <w:t xml:space="preserve">eople. The three tiers of work are shown </w:t>
      </w:r>
      <w:r w:rsidR="003245BA">
        <w:t>in</w:t>
      </w:r>
      <w:r w:rsidR="00A114D2">
        <w:t xml:space="preserve"> </w:t>
      </w:r>
      <w:r w:rsidR="00A114D2">
        <w:fldChar w:fldCharType="begin"/>
      </w:r>
      <w:r w:rsidR="00A114D2">
        <w:instrText xml:space="preserve"> REF _Ref149042839 \h </w:instrText>
      </w:r>
      <w:r w:rsidR="00A114D2">
        <w:fldChar w:fldCharType="separate"/>
      </w:r>
      <w:r w:rsidR="003F7B92">
        <w:t xml:space="preserve">Figure </w:t>
      </w:r>
      <w:r w:rsidR="003F7B92">
        <w:rPr>
          <w:noProof/>
        </w:rPr>
        <w:t>6</w:t>
      </w:r>
      <w:r w:rsidR="00A114D2">
        <w:fldChar w:fldCharType="end"/>
      </w:r>
      <w:r w:rsidR="00167D2C">
        <w:t xml:space="preserve">. Importantly, Tier 1 concepts are in scope for action as part of the review of the FSANZ Act, but Tier 2 and 3 concepts are contingent on further targeted and consultation with </w:t>
      </w:r>
      <w:r w:rsidR="00A114D2">
        <w:t xml:space="preserve">relevant stakeholders. </w:t>
      </w:r>
    </w:p>
    <w:p w14:paraId="678F4BA4" w14:textId="701BDB9E" w:rsidR="00A114D2" w:rsidRDefault="00A114D2" w:rsidP="007F7722">
      <w:pPr>
        <w:pStyle w:val="Caption"/>
      </w:pPr>
      <w:bookmarkStart w:id="31" w:name="_Ref149042839"/>
      <w:bookmarkStart w:id="32" w:name="_Ref149063966"/>
      <w:r>
        <w:lastRenderedPageBreak/>
        <w:t xml:space="preserve">Figure </w:t>
      </w:r>
      <w:r>
        <w:fldChar w:fldCharType="begin"/>
      </w:r>
      <w:r>
        <w:instrText xml:space="preserve"> SEQ Figure \* ARABIC </w:instrText>
      </w:r>
      <w:r>
        <w:fldChar w:fldCharType="separate"/>
      </w:r>
      <w:r w:rsidR="003F7B92">
        <w:rPr>
          <w:noProof/>
        </w:rPr>
        <w:t>6</w:t>
      </w:r>
      <w:r>
        <w:fldChar w:fldCharType="end"/>
      </w:r>
      <w:bookmarkEnd w:id="31"/>
      <w:r>
        <w:t xml:space="preserve"> | Program of work planned to recognise Indigenous culture and </w:t>
      </w:r>
      <w:proofErr w:type="gramStart"/>
      <w:r>
        <w:t>expertise</w:t>
      </w:r>
      <w:bookmarkEnd w:id="32"/>
      <w:proofErr w:type="gramEnd"/>
    </w:p>
    <w:p w14:paraId="3B9B39C6" w14:textId="4F2D50E6" w:rsidR="00816F35" w:rsidRDefault="00746C36" w:rsidP="004A5F2C">
      <w:r>
        <w:rPr>
          <w:noProof/>
          <w:lang w:eastAsia="en-AU"/>
        </w:rPr>
        <w:drawing>
          <wp:inline distT="0" distB="0" distL="0" distR="0" wp14:anchorId="188566F1" wp14:editId="1106B677">
            <wp:extent cx="5670550" cy="5263515"/>
            <wp:effectExtent l="0" t="0" r="6350" b="0"/>
            <wp:docPr id="260962151" name="Picture 260962151" descr="P6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62151" name="Picture 260962151" descr="P681#yI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70550" cy="5263515"/>
                    </a:xfrm>
                    <a:prstGeom prst="rect">
                      <a:avLst/>
                    </a:prstGeom>
                  </pic:spPr>
                </pic:pic>
              </a:graphicData>
            </a:graphic>
          </wp:inline>
        </w:drawing>
      </w:r>
    </w:p>
    <w:p w14:paraId="236C8AFA" w14:textId="77777777" w:rsidR="004A5F2C" w:rsidRPr="00C73C8B" w:rsidRDefault="004A5F2C" w:rsidP="001813D4"/>
    <w:p w14:paraId="16BE936B" w14:textId="77777777" w:rsidR="00923BE4" w:rsidRDefault="00923BE4" w:rsidP="00923BE4">
      <w:pPr>
        <w:pStyle w:val="Heading4"/>
      </w:pPr>
      <w:r w:rsidRPr="007D5697">
        <w:t xml:space="preserve">The Act aligns with </w:t>
      </w:r>
      <w:r w:rsidRPr="00F620F8">
        <w:rPr>
          <w:rStyle w:val="Heading4Char"/>
        </w:rPr>
        <w:t>Best Practice Element</w:t>
      </w:r>
      <w:r w:rsidRPr="00907B9A">
        <w:t xml:space="preserve"> </w:t>
      </w:r>
      <w:r w:rsidRPr="007D5697">
        <w:t>2</w:t>
      </w:r>
      <w:r>
        <w:t xml:space="preserve"> in its focus on pre-market </w:t>
      </w:r>
      <w:proofErr w:type="gramStart"/>
      <w:r>
        <w:t>assessment</w:t>
      </w:r>
      <w:proofErr w:type="gramEnd"/>
    </w:p>
    <w:p w14:paraId="282A3CD3" w14:textId="77777777" w:rsidR="00923BE4" w:rsidRDefault="00923BE4" w:rsidP="00923BE4">
      <w:r>
        <w:t>The regulatory scheme employs a rigorous pre-market assessment process where substances must be included in the Food Code before they can be shared and sold.</w:t>
      </w:r>
    </w:p>
    <w:p w14:paraId="19554AEE" w14:textId="6E6B5F50" w:rsidR="00911688" w:rsidRDefault="00923BE4" w:rsidP="00923BE4">
      <w:r>
        <w:t xml:space="preserve">The Act works in complement to jurisdiction-level </w:t>
      </w:r>
      <w:r w:rsidR="006B3A4F">
        <w:t>F</w:t>
      </w:r>
      <w:r>
        <w:t xml:space="preserve">ood Acts in driving a preventative focus in food safety. For example, in New Zealand, food businesses must follow a program setting out how they will meet their food safety responsibilities and demonstrate to independent verifiers they are following the plan. </w:t>
      </w:r>
    </w:p>
    <w:p w14:paraId="59A66825" w14:textId="3E972E0A" w:rsidR="006F3ABE" w:rsidRDefault="00B75823" w:rsidP="00B75823">
      <w:pPr>
        <w:pStyle w:val="Heading4"/>
      </w:pPr>
      <w:r>
        <w:t>Current arrangements support the existence of a food standards system focused on the needs of Australia and New Zealand</w:t>
      </w:r>
    </w:p>
    <w:p w14:paraId="25485A37" w14:textId="29BA9D19" w:rsidR="00B75823" w:rsidRDefault="00B75823" w:rsidP="00923BE4">
      <w:r>
        <w:t xml:space="preserve">FSANZ is specifically set up to consider the suitability of food products in the context of Australian and New Zealand diet and consumption trends. </w:t>
      </w:r>
    </w:p>
    <w:p w14:paraId="33E9507B" w14:textId="6579F31F" w:rsidR="00923BE4" w:rsidRDefault="00923BE4" w:rsidP="00923BE4">
      <w:pPr>
        <w:pStyle w:val="Heading3"/>
      </w:pPr>
      <w:r>
        <w:lastRenderedPageBreak/>
        <w:t xml:space="preserve">There are several opportunities to improve the </w:t>
      </w:r>
      <w:proofErr w:type="gramStart"/>
      <w:r>
        <w:t>Act</w:t>
      </w:r>
      <w:proofErr w:type="gramEnd"/>
      <w:r>
        <w:t xml:space="preserve"> </w:t>
      </w:r>
    </w:p>
    <w:p w14:paraId="18C150A8" w14:textId="6FB6DB70" w:rsidR="00923BE4" w:rsidRPr="006B4044" w:rsidRDefault="00923BE4" w:rsidP="00923BE4">
      <w:r>
        <w:t>The Act is not fundamentally flawed or ill-equipped to deal with the market failures it is designed to address. However, there is evidence the Act has aged, and the broad policy problems described below reflect an accumulation of small issues where the legislation or FSANZ’</w:t>
      </w:r>
      <w:r w:rsidR="00760EFA">
        <w:t>s</w:t>
      </w:r>
      <w:r>
        <w:t xml:space="preserve"> operations has not kept pace with changing industry practices and consumer expectations, or modern regulatory thinking. </w:t>
      </w:r>
    </w:p>
    <w:p w14:paraId="4B400BEE" w14:textId="22C4DEA0" w:rsidR="00923BE4" w:rsidRPr="00A43911" w:rsidRDefault="00923BE4" w:rsidP="00923BE4">
      <w:r>
        <w:t xml:space="preserve">Four key policies problems have been identified, summarised </w:t>
      </w:r>
      <w:r w:rsidRPr="002B0E72">
        <w:t xml:space="preserve">at </w:t>
      </w:r>
      <w:r w:rsidR="00FA7F6B">
        <w:fldChar w:fldCharType="begin"/>
      </w:r>
      <w:r w:rsidR="00FA7F6B">
        <w:instrText xml:space="preserve"> REF _Ref149572858 \h </w:instrText>
      </w:r>
      <w:r w:rsidR="00FA7F6B">
        <w:fldChar w:fldCharType="separate"/>
      </w:r>
      <w:r w:rsidR="003F7B92">
        <w:t xml:space="preserve">Figure </w:t>
      </w:r>
      <w:r w:rsidR="003F7B92">
        <w:rPr>
          <w:noProof/>
        </w:rPr>
        <w:t>7</w:t>
      </w:r>
      <w:r w:rsidR="00FA7F6B">
        <w:fldChar w:fldCharType="end"/>
      </w:r>
      <w:r w:rsidR="00FA7F6B">
        <w:t xml:space="preserve"> </w:t>
      </w:r>
      <w:r>
        <w:t xml:space="preserve">and explored in detail below.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2161D2" w14:paraId="7184DFC1" w14:textId="77777777" w:rsidTr="00A806ED">
        <w:tc>
          <w:tcPr>
            <w:tcW w:w="7285" w:type="dxa"/>
          </w:tcPr>
          <w:p w14:paraId="0EAA37B9" w14:textId="363A4255" w:rsidR="007774C0" w:rsidRPr="007F7722" w:rsidRDefault="00F72D53" w:rsidP="00F74CAD">
            <w:pPr>
              <w:pStyle w:val="longformcalloutnumber"/>
              <w:numPr>
                <w:ilvl w:val="0"/>
                <w:numId w:val="0"/>
              </w:numPr>
              <w:rPr>
                <w:rFonts w:asciiTheme="majorHAnsi" w:hAnsiTheme="majorHAnsi" w:cstheme="majorHAnsi"/>
                <w:bCs/>
              </w:rPr>
            </w:pPr>
            <w:r w:rsidRPr="007F7722">
              <w:rPr>
                <w:rFonts w:asciiTheme="majorHAnsi" w:hAnsiTheme="majorHAnsi" w:cstheme="majorHAnsi"/>
                <w:bCs/>
              </w:rPr>
              <w:t xml:space="preserve">This IA seeks to </w:t>
            </w:r>
            <w:r w:rsidR="00E37907" w:rsidRPr="007F7722">
              <w:rPr>
                <w:rFonts w:asciiTheme="majorHAnsi" w:hAnsiTheme="majorHAnsi" w:cstheme="majorHAnsi"/>
                <w:bCs/>
              </w:rPr>
              <w:t>characterise the</w:t>
            </w:r>
            <w:r w:rsidR="00281931" w:rsidRPr="007F7722">
              <w:rPr>
                <w:rFonts w:asciiTheme="majorHAnsi" w:hAnsiTheme="majorHAnsi" w:cstheme="majorHAnsi"/>
                <w:bCs/>
              </w:rPr>
              <w:t xml:space="preserve"> relative importance of problems to </w:t>
            </w:r>
            <w:proofErr w:type="gramStart"/>
            <w:r w:rsidR="00281931" w:rsidRPr="007F7722">
              <w:rPr>
                <w:rFonts w:asciiTheme="majorHAnsi" w:hAnsiTheme="majorHAnsi" w:cstheme="majorHAnsi"/>
                <w:bCs/>
              </w:rPr>
              <w:t>solve</w:t>
            </w:r>
            <w:proofErr w:type="gramEnd"/>
          </w:p>
          <w:p w14:paraId="46D5818E" w14:textId="31FC79FF" w:rsidR="009E7044" w:rsidRDefault="00B83EAC" w:rsidP="00325B58">
            <w:pPr>
              <w:pStyle w:val="longformcalloutnumber"/>
              <w:numPr>
                <w:ilvl w:val="0"/>
                <w:numId w:val="0"/>
              </w:numPr>
              <w:rPr>
                <w:bCs/>
              </w:rPr>
            </w:pPr>
            <w:r w:rsidRPr="007F7722">
              <w:rPr>
                <w:bCs/>
              </w:rPr>
              <w:t>To do this, a</w:t>
            </w:r>
            <w:r w:rsidR="00325B58" w:rsidRPr="007F7722">
              <w:rPr>
                <w:bCs/>
              </w:rPr>
              <w:t xml:space="preserve"> ‘negative impact’ rating has been calculated for each of the </w:t>
            </w:r>
            <w:r w:rsidR="00B822CA">
              <w:rPr>
                <w:bCs/>
              </w:rPr>
              <w:t>‘</w:t>
            </w:r>
            <w:r w:rsidR="00325B58" w:rsidRPr="007F7722">
              <w:rPr>
                <w:bCs/>
              </w:rPr>
              <w:t>sub-problems</w:t>
            </w:r>
            <w:r w:rsidR="00B822CA">
              <w:rPr>
                <w:bCs/>
              </w:rPr>
              <w:t>’</w:t>
            </w:r>
            <w:r w:rsidR="00325B58" w:rsidRPr="007F7722">
              <w:rPr>
                <w:bCs/>
              </w:rPr>
              <w:t xml:space="preserve"> within the four problems</w:t>
            </w:r>
            <w:r w:rsidR="0070250F">
              <w:rPr>
                <w:bCs/>
              </w:rPr>
              <w:t xml:space="preserve">, </w:t>
            </w:r>
            <w:r w:rsidR="00325B58" w:rsidRPr="007F7722">
              <w:rPr>
                <w:bCs/>
              </w:rPr>
              <w:t xml:space="preserve">which have then been aggregated up to provide a </w:t>
            </w:r>
            <w:r w:rsidR="00B822CA">
              <w:rPr>
                <w:bCs/>
              </w:rPr>
              <w:t>‘</w:t>
            </w:r>
            <w:r w:rsidR="00325B58" w:rsidRPr="007F7722">
              <w:rPr>
                <w:bCs/>
              </w:rPr>
              <w:t>problem-level</w:t>
            </w:r>
            <w:r w:rsidR="00B822CA">
              <w:rPr>
                <w:bCs/>
              </w:rPr>
              <w:t>’</w:t>
            </w:r>
            <w:r w:rsidR="00325B58" w:rsidRPr="007F7722">
              <w:rPr>
                <w:bCs/>
              </w:rPr>
              <w:t xml:space="preserve"> impact rating. </w:t>
            </w:r>
          </w:p>
          <w:p w14:paraId="6DB5DBA1" w14:textId="30D4B7C3" w:rsidR="00325B58" w:rsidRPr="007F7722" w:rsidRDefault="006410FB" w:rsidP="00325B58">
            <w:pPr>
              <w:pStyle w:val="longformcalloutnumber"/>
              <w:numPr>
                <w:ilvl w:val="0"/>
                <w:numId w:val="0"/>
              </w:numPr>
              <w:rPr>
                <w:bCs/>
              </w:rPr>
            </w:pPr>
            <w:r w:rsidRPr="007F7722">
              <w:rPr>
                <w:bCs/>
              </w:rPr>
              <w:t xml:space="preserve">The methodology for this exercise is described below. </w:t>
            </w:r>
          </w:p>
          <w:p w14:paraId="7D4363D4" w14:textId="37CED2A3" w:rsidR="006410FB" w:rsidRPr="007F7722" w:rsidRDefault="006410FB" w:rsidP="00325B58">
            <w:pPr>
              <w:pStyle w:val="longformcalloutnumber"/>
              <w:numPr>
                <w:ilvl w:val="0"/>
                <w:numId w:val="0"/>
              </w:numPr>
              <w:rPr>
                <w:bCs/>
              </w:rPr>
            </w:pPr>
            <w:r w:rsidRPr="00184AE9">
              <w:rPr>
                <w:rFonts w:asciiTheme="majorHAnsi" w:hAnsiTheme="majorHAnsi" w:cstheme="majorHAnsi"/>
                <w:bCs/>
              </w:rPr>
              <w:t>Note</w:t>
            </w:r>
            <w:r w:rsidR="009E7044" w:rsidRPr="00184AE9">
              <w:rPr>
                <w:bCs/>
              </w:rPr>
              <w:t>:</w:t>
            </w:r>
            <w:r w:rsidRPr="00184AE9">
              <w:rPr>
                <w:bCs/>
              </w:rPr>
              <w:t xml:space="preserve"> </w:t>
            </w:r>
            <w:r w:rsidR="00200AEC" w:rsidRPr="00184AE9">
              <w:rPr>
                <w:bCs/>
              </w:rPr>
              <w:t>ratings have been com</w:t>
            </w:r>
            <w:r w:rsidR="005E77A4" w:rsidRPr="00184AE9">
              <w:rPr>
                <w:bCs/>
              </w:rPr>
              <w:t xml:space="preserve">piled through </w:t>
            </w:r>
            <w:r w:rsidR="000B30D4" w:rsidRPr="00184AE9">
              <w:rPr>
                <w:bCs/>
              </w:rPr>
              <w:t>an assessment of research and stakeholder engagement</w:t>
            </w:r>
            <w:r w:rsidR="00C37C38" w:rsidRPr="00184AE9">
              <w:rPr>
                <w:bCs/>
              </w:rPr>
              <w:t xml:space="preserve">. They will be explicitly validated as part of the consultation process on the </w:t>
            </w:r>
            <w:r w:rsidR="007B0217" w:rsidRPr="00184AE9">
              <w:rPr>
                <w:bCs/>
              </w:rPr>
              <w:t>draft IA</w:t>
            </w:r>
            <w:r w:rsidR="00C37C38" w:rsidRPr="00184AE9">
              <w:rPr>
                <w:bCs/>
              </w:rPr>
              <w:t>.</w:t>
            </w:r>
            <w:r w:rsidR="00C37C38" w:rsidRPr="007F7722">
              <w:rPr>
                <w:bCs/>
              </w:rPr>
              <w:t xml:space="preserve"> </w:t>
            </w:r>
          </w:p>
          <w:p w14:paraId="482369AF" w14:textId="77777777" w:rsidR="00325B58" w:rsidRPr="007F7722" w:rsidRDefault="00F9747C" w:rsidP="00325B58">
            <w:pPr>
              <w:pStyle w:val="longformcalloutnumber"/>
              <w:numPr>
                <w:ilvl w:val="0"/>
                <w:numId w:val="0"/>
              </w:numPr>
              <w:rPr>
                <w:bCs/>
              </w:rPr>
            </w:pPr>
            <w:r w:rsidRPr="007F7722">
              <w:rPr>
                <w:bCs/>
              </w:rPr>
              <w:t>For each sub</w:t>
            </w:r>
            <w:r w:rsidR="00FE1AA8" w:rsidRPr="007F7722">
              <w:rPr>
                <w:bCs/>
              </w:rPr>
              <w:t>-problem, the level of impact was estimated, where</w:t>
            </w:r>
            <w:r w:rsidR="001B76D4" w:rsidRPr="007F7722">
              <w:rPr>
                <w:bCs/>
              </w:rPr>
              <w:t>:</w:t>
            </w:r>
          </w:p>
          <w:p w14:paraId="44A814DA" w14:textId="432DC160" w:rsidR="007263E6" w:rsidRPr="007F7722" w:rsidRDefault="007263E6" w:rsidP="00313A20">
            <w:pPr>
              <w:pStyle w:val="longformcalloutnumber"/>
              <w:numPr>
                <w:ilvl w:val="0"/>
                <w:numId w:val="22"/>
              </w:numPr>
              <w:rPr>
                <w:bCs/>
              </w:rPr>
            </w:pPr>
            <w:r w:rsidRPr="007F7722">
              <w:rPr>
                <w:bCs/>
              </w:rPr>
              <w:t>High impact (rating 3) = Aberration from best practice which has resulted in significant barriers to the achievement of efficient and effective regulation</w:t>
            </w:r>
            <w:r w:rsidR="001628D3">
              <w:rPr>
                <w:bCs/>
              </w:rPr>
              <w:t>.</w:t>
            </w:r>
          </w:p>
          <w:p w14:paraId="7F34B9E5" w14:textId="19A260D8" w:rsidR="007263E6" w:rsidRPr="007F7722" w:rsidRDefault="004E4D63" w:rsidP="00313A20">
            <w:pPr>
              <w:pStyle w:val="longformcalloutnumber"/>
              <w:numPr>
                <w:ilvl w:val="0"/>
                <w:numId w:val="22"/>
              </w:numPr>
              <w:rPr>
                <w:bCs/>
              </w:rPr>
            </w:pPr>
            <w:r>
              <w:rPr>
                <w:bCs/>
              </w:rPr>
              <w:t>Moderate</w:t>
            </w:r>
            <w:r w:rsidR="007263E6" w:rsidRPr="007F7722">
              <w:rPr>
                <w:bCs/>
              </w:rPr>
              <w:t xml:space="preserve"> impact (rating 2) = Aberration from best practice which has resulted in moderate barriers to the achievement of efficient and effective regulation.</w:t>
            </w:r>
          </w:p>
          <w:p w14:paraId="24CC8A11" w14:textId="77777777" w:rsidR="007263E6" w:rsidRPr="007F7722" w:rsidRDefault="007263E6" w:rsidP="00313A20">
            <w:pPr>
              <w:pStyle w:val="longformcalloutnumber"/>
              <w:numPr>
                <w:ilvl w:val="0"/>
                <w:numId w:val="22"/>
              </w:numPr>
              <w:rPr>
                <w:bCs/>
              </w:rPr>
            </w:pPr>
            <w:r w:rsidRPr="007F7722">
              <w:rPr>
                <w:bCs/>
              </w:rPr>
              <w:t xml:space="preserve">Low impact (rating 1) = Aberration from best practice which has created minor barriers to the achievement of efficient and effective regulation. </w:t>
            </w:r>
          </w:p>
          <w:p w14:paraId="3A653229" w14:textId="77777777" w:rsidR="001B76D4" w:rsidRPr="007F7722" w:rsidRDefault="001B76D4" w:rsidP="00325B58">
            <w:pPr>
              <w:pStyle w:val="longformcalloutnumber"/>
              <w:numPr>
                <w:ilvl w:val="0"/>
                <w:numId w:val="0"/>
              </w:numPr>
              <w:rPr>
                <w:bCs/>
              </w:rPr>
            </w:pPr>
          </w:p>
          <w:p w14:paraId="2A8FCC02" w14:textId="77777777" w:rsidR="000F1ED2" w:rsidRPr="007F7722" w:rsidRDefault="000F1ED2" w:rsidP="00325B58">
            <w:pPr>
              <w:pStyle w:val="longformcalloutnumber"/>
              <w:numPr>
                <w:ilvl w:val="0"/>
                <w:numId w:val="0"/>
              </w:numPr>
              <w:rPr>
                <w:bCs/>
              </w:rPr>
            </w:pPr>
            <w:r w:rsidRPr="007F7722">
              <w:rPr>
                <w:bCs/>
              </w:rPr>
              <w:t xml:space="preserve">This result was multiplied by the </w:t>
            </w:r>
            <w:r w:rsidR="00BF4081" w:rsidRPr="007F7722">
              <w:rPr>
                <w:bCs/>
              </w:rPr>
              <w:t>extent of impact each sub-problem had, where:</w:t>
            </w:r>
          </w:p>
          <w:p w14:paraId="46A48ECD" w14:textId="0DF7EF70" w:rsidR="00C17560" w:rsidRPr="007F7722" w:rsidRDefault="00C17560" w:rsidP="00313A20">
            <w:pPr>
              <w:pStyle w:val="longformcalloutnumber"/>
              <w:numPr>
                <w:ilvl w:val="0"/>
                <w:numId w:val="23"/>
              </w:numPr>
              <w:rPr>
                <w:bCs/>
              </w:rPr>
            </w:pPr>
            <w:r w:rsidRPr="007F7722">
              <w:rPr>
                <w:bCs/>
              </w:rPr>
              <w:t>Large extent (rating 3) = problem has significant negative implications for Australian and/or New Zealand populations</w:t>
            </w:r>
            <w:r w:rsidR="001628D3">
              <w:rPr>
                <w:bCs/>
              </w:rPr>
              <w:t>.</w:t>
            </w:r>
          </w:p>
          <w:p w14:paraId="32073653" w14:textId="7BA94E69" w:rsidR="00C17560" w:rsidRPr="007F7722" w:rsidRDefault="004E4D63" w:rsidP="00313A20">
            <w:pPr>
              <w:pStyle w:val="longformcalloutnumber"/>
              <w:numPr>
                <w:ilvl w:val="0"/>
                <w:numId w:val="23"/>
              </w:numPr>
              <w:rPr>
                <w:bCs/>
              </w:rPr>
            </w:pPr>
            <w:r>
              <w:rPr>
                <w:bCs/>
              </w:rPr>
              <w:t>Moderate</w:t>
            </w:r>
            <w:r w:rsidR="00C17560" w:rsidRPr="007F7722">
              <w:rPr>
                <w:bCs/>
              </w:rPr>
              <w:t xml:space="preserve"> extent (rating 2) = problem has significant negative implications for stakeholders that engage directly with FSANZ or are subject to food standards</w:t>
            </w:r>
            <w:r w:rsidR="001628D3">
              <w:rPr>
                <w:bCs/>
              </w:rPr>
              <w:t>.</w:t>
            </w:r>
          </w:p>
          <w:p w14:paraId="59BBDE8D" w14:textId="3D728294" w:rsidR="00C17560" w:rsidRPr="007F7722" w:rsidRDefault="00C17560" w:rsidP="00313A20">
            <w:pPr>
              <w:pStyle w:val="longformcalloutnumber"/>
              <w:numPr>
                <w:ilvl w:val="0"/>
                <w:numId w:val="23"/>
              </w:numPr>
              <w:rPr>
                <w:bCs/>
              </w:rPr>
            </w:pPr>
            <w:r w:rsidRPr="007F7722">
              <w:rPr>
                <w:bCs/>
              </w:rPr>
              <w:t>Limited extent (rating 1) = problem has significant negative implications for a small cohort of stakeholders, such as just FSANZ</w:t>
            </w:r>
            <w:r w:rsidR="00486BD6">
              <w:rPr>
                <w:bCs/>
              </w:rPr>
              <w:t>.</w:t>
            </w:r>
          </w:p>
          <w:p w14:paraId="11A4E84E" w14:textId="77777777" w:rsidR="00F4252E" w:rsidRPr="007F7722" w:rsidRDefault="00A108BE" w:rsidP="00325B58">
            <w:pPr>
              <w:pStyle w:val="longformcalloutnumber"/>
              <w:numPr>
                <w:ilvl w:val="0"/>
                <w:numId w:val="0"/>
              </w:numPr>
              <w:rPr>
                <w:bCs/>
              </w:rPr>
            </w:pPr>
            <w:r w:rsidRPr="007F7722">
              <w:rPr>
                <w:bCs/>
              </w:rPr>
              <w:t xml:space="preserve">The impact of sub-components was aggregated, </w:t>
            </w:r>
            <w:r w:rsidR="00EC53BC" w:rsidRPr="007F7722">
              <w:rPr>
                <w:bCs/>
              </w:rPr>
              <w:t xml:space="preserve">where: </w:t>
            </w:r>
          </w:p>
          <w:p w14:paraId="52200FDA" w14:textId="74C90509" w:rsidR="00C17560" w:rsidRDefault="00EC53BC" w:rsidP="00325B58">
            <w:pPr>
              <w:pStyle w:val="longformcalloutnumber"/>
              <w:numPr>
                <w:ilvl w:val="0"/>
                <w:numId w:val="0"/>
              </w:numPr>
              <w:rPr>
                <w:rFonts w:eastAsiaTheme="minorEastAsia"/>
                <w:bCs/>
              </w:rPr>
            </w:pPr>
            <w:r w:rsidRPr="007F7722">
              <w:rPr>
                <w:bCs/>
              </w:rPr>
              <w:t xml:space="preserve">Total </w:t>
            </w:r>
            <w:r w:rsidRPr="007F7722">
              <w:rPr>
                <w:rFonts w:asciiTheme="minorHAnsi" w:hAnsiTheme="minorHAnsi" w:cstheme="minorHAnsi"/>
                <w:bCs/>
              </w:rPr>
              <w:t xml:space="preserve">magnitude of the problem </w:t>
            </w:r>
            <w:r w:rsidR="007572B6">
              <w:rPr>
                <w:rFonts w:asciiTheme="minorHAnsi" w:hAnsiTheme="minorHAnsi" w:cstheme="minorHAnsi"/>
                <w:bCs/>
              </w:rPr>
              <w:t>(</w:t>
            </w:r>
            <w:r w:rsidR="007572B6">
              <w:rPr>
                <w:rFonts w:asciiTheme="minorHAnsi" w:hAnsiTheme="minorHAnsi" w:cstheme="minorHAnsi"/>
              </w:rPr>
              <w:t xml:space="preserve">for </w:t>
            </w:r>
            <m:oMath>
              <m:r>
                <w:rPr>
                  <w:rFonts w:ascii="Cambria Math" w:eastAsiaTheme="minorEastAsia" w:hAnsi="Cambria Math"/>
                </w:rPr>
                <m:t>n</m:t>
              </m:r>
            </m:oMath>
            <w:r w:rsidR="007572B6">
              <w:rPr>
                <w:rFonts w:asciiTheme="minorHAnsi" w:eastAsiaTheme="minorEastAsia" w:hAnsiTheme="minorHAnsi" w:cstheme="minorHAnsi"/>
                <w:bCs/>
              </w:rPr>
              <w:t xml:space="preserve"> number of sub-problems)</w:t>
            </w:r>
            <w:r w:rsidR="007572B6" w:rsidRPr="007F7722">
              <w:rPr>
                <w:rFonts w:asciiTheme="minorHAnsi" w:hAnsiTheme="minorHAnsi" w:cstheme="minorHAnsi"/>
                <w:bCs/>
              </w:rPr>
              <w:t xml:space="preserve"> </w:t>
            </w:r>
            <w:r w:rsidRPr="007F7722">
              <w:rPr>
                <w:rFonts w:asciiTheme="minorHAnsi" w:hAnsiTheme="minorHAnsi" w:cstheme="minorHAnsi"/>
                <w:bCs/>
              </w:rPr>
              <w:t xml:space="preserve">= </w:t>
            </w:r>
          </w:p>
          <w:p w14:paraId="6C05F5E3" w14:textId="7691D0EF" w:rsidR="007572B6" w:rsidRPr="00116C6A" w:rsidRDefault="00000000" w:rsidP="00107BBB">
            <w:pPr>
              <w:pStyle w:val="Listnumbered"/>
              <w:numPr>
                <w:ilvl w:val="0"/>
                <w:numId w:val="0"/>
              </w:numPr>
              <w:ind w:left="720"/>
              <w:rPr>
                <w:rFonts w:eastAsiaTheme="minorEastAsia"/>
              </w:rPr>
            </w:pPr>
            <m:oMathPara>
              <m:oMath>
                <m:f>
                  <m:fPr>
                    <m:ctrlPr>
                      <w:rPr>
                        <w:rFonts w:ascii="Cambria Math" w:eastAsiaTheme="minorEastAsia" w:hAnsi="Cambria Math"/>
                        <w:bCs/>
                        <w:i/>
                      </w:rPr>
                    </m:ctrlPr>
                  </m:fPr>
                  <m:num>
                    <m:nary>
                      <m:naryPr>
                        <m:chr m:val="∑"/>
                        <m:grow m:val="1"/>
                        <m:ctrlPr>
                          <w:rPr>
                            <w:rFonts w:ascii="Cambria Math" w:eastAsiaTheme="minorEastAsia" w:hAnsi="Cambria Math"/>
                            <w:bCs/>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bCs/>
                              </w:rPr>
                            </m:ctrlPr>
                          </m:dPr>
                          <m:e>
                            <m:r>
                              <w:rPr>
                                <w:rFonts w:ascii="Cambria Math" w:eastAsiaTheme="minorEastAsia" w:hAnsi="Cambria Math"/>
                              </w:rPr>
                              <m:t>extent of sub</m:t>
                            </m:r>
                            <m:sSub>
                              <m:sSubPr>
                                <m:ctrlPr>
                                  <w:rPr>
                                    <w:rFonts w:ascii="Cambria Math" w:eastAsiaTheme="minorEastAsia" w:hAnsi="Cambria Math"/>
                                    <w:bCs/>
                                    <w:i/>
                                  </w:rPr>
                                </m:ctrlPr>
                              </m:sSubPr>
                              <m:e>
                                <m:r>
                                  <w:rPr>
                                    <w:rFonts w:ascii="Cambria Math" w:eastAsiaTheme="minorEastAsia" w:hAnsi="Cambria Math"/>
                                  </w:rPr>
                                  <m:t>problem</m:t>
                                </m:r>
                              </m:e>
                              <m:sub>
                                <m:r>
                                  <w:rPr>
                                    <w:rFonts w:ascii="Cambria Math" w:eastAsiaTheme="minorEastAsia" w:hAnsi="Cambria Math"/>
                                  </w:rPr>
                                  <m:t>i</m:t>
                                </m:r>
                              </m:sub>
                            </m:sSub>
                            <m:r>
                              <w:rPr>
                                <w:rFonts w:ascii="Cambria Math" w:eastAsiaTheme="minorEastAsia" w:hAnsi="Cambria Math"/>
                              </w:rPr>
                              <m:t xml:space="preserve"> ×impact of </m:t>
                            </m:r>
                            <m:sSub>
                              <m:sSubPr>
                                <m:ctrlPr>
                                  <w:rPr>
                                    <w:rFonts w:ascii="Cambria Math" w:eastAsiaTheme="minorEastAsia" w:hAnsi="Cambria Math"/>
                                    <w:bCs/>
                                    <w:i/>
                                  </w:rPr>
                                </m:ctrlPr>
                              </m:sSubPr>
                              <m:e>
                                <m:r>
                                  <w:rPr>
                                    <w:rFonts w:ascii="Cambria Math" w:eastAsiaTheme="minorEastAsia" w:hAnsi="Cambria Math"/>
                                  </w:rPr>
                                  <m:t>subproblem</m:t>
                                </m:r>
                              </m:e>
                              <m:sub>
                                <m:r>
                                  <w:rPr>
                                    <w:rFonts w:ascii="Cambria Math" w:eastAsiaTheme="minorEastAsia" w:hAnsi="Cambria Math"/>
                                  </w:rPr>
                                  <m:t>i</m:t>
                                </m:r>
                              </m:sub>
                            </m:sSub>
                          </m:e>
                        </m:d>
                        <m:ctrlPr>
                          <w:rPr>
                            <w:rFonts w:ascii="Cambria Math" w:eastAsiaTheme="minorEastAsia" w:hAnsi="Cambria Math"/>
                          </w:rPr>
                        </m:ctrlPr>
                      </m:e>
                    </m:nary>
                  </m:num>
                  <m:den>
                    <m:r>
                      <w:rPr>
                        <w:rFonts w:ascii="Cambria Math" w:eastAsiaTheme="minorEastAsia" w:hAnsi="Cambria Math"/>
                      </w:rPr>
                      <m:t>9n</m:t>
                    </m:r>
                  </m:den>
                </m:f>
                <m:r>
                  <w:rPr>
                    <w:rFonts w:ascii="Cambria Math" w:eastAsiaTheme="minorEastAsia" w:hAnsi="Cambria Math"/>
                  </w:rPr>
                  <m:t>×100</m:t>
                </m:r>
              </m:oMath>
            </m:oMathPara>
          </w:p>
          <w:p w14:paraId="385A3B8E" w14:textId="37687471" w:rsidR="002E7305" w:rsidRPr="007F7722" w:rsidRDefault="003C73C5" w:rsidP="00325B58">
            <w:pPr>
              <w:pStyle w:val="longformcalloutnumber"/>
              <w:numPr>
                <w:ilvl w:val="0"/>
                <w:numId w:val="0"/>
              </w:numPr>
              <w:rPr>
                <w:rFonts w:eastAsiaTheme="minorEastAsia"/>
                <w:bCs/>
              </w:rPr>
            </w:pPr>
            <w:r w:rsidRPr="007F7722">
              <w:rPr>
                <w:rFonts w:eastAsiaTheme="minorEastAsia"/>
                <w:bCs/>
              </w:rPr>
              <w:t xml:space="preserve">Ratings </w:t>
            </w:r>
            <w:r w:rsidR="00887D5A" w:rsidRPr="007F7722">
              <w:rPr>
                <w:rFonts w:eastAsiaTheme="minorEastAsia"/>
                <w:bCs/>
              </w:rPr>
              <w:t>have then been converted to a 1-3 score, where</w:t>
            </w:r>
            <w:r w:rsidR="00D473AE">
              <w:rPr>
                <w:rFonts w:eastAsiaTheme="minorEastAsia"/>
                <w:bCs/>
              </w:rPr>
              <w:t>:</w:t>
            </w:r>
          </w:p>
          <w:p w14:paraId="4347E22B" w14:textId="54BF255C" w:rsidR="00285FE3" w:rsidRPr="007F7722" w:rsidRDefault="0084029A" w:rsidP="00313A20">
            <w:pPr>
              <w:pStyle w:val="longformcalloutnumber"/>
              <w:numPr>
                <w:ilvl w:val="0"/>
                <w:numId w:val="24"/>
              </w:numPr>
              <w:rPr>
                <w:bCs/>
              </w:rPr>
            </w:pPr>
            <w:r w:rsidRPr="007F7722">
              <w:rPr>
                <w:bCs/>
              </w:rPr>
              <w:t>Low magnitude (rating 1) = 0-33%</w:t>
            </w:r>
          </w:p>
          <w:p w14:paraId="37BC617D" w14:textId="77777777" w:rsidR="00285FE3" w:rsidRPr="007F7722" w:rsidRDefault="00285FE3" w:rsidP="00313A20">
            <w:pPr>
              <w:pStyle w:val="longformcalloutnumber"/>
              <w:numPr>
                <w:ilvl w:val="0"/>
                <w:numId w:val="24"/>
              </w:numPr>
              <w:rPr>
                <w:bCs/>
              </w:rPr>
            </w:pPr>
            <w:r w:rsidRPr="007F7722">
              <w:rPr>
                <w:bCs/>
              </w:rPr>
              <w:t>Moderate magnitude (rating 2) = 34-66%</w:t>
            </w:r>
          </w:p>
          <w:p w14:paraId="539AB7AA" w14:textId="3AAC7F71" w:rsidR="00285FE3" w:rsidRPr="007F7722" w:rsidRDefault="0084029A" w:rsidP="00313A20">
            <w:pPr>
              <w:pStyle w:val="longformcalloutnumber"/>
              <w:numPr>
                <w:ilvl w:val="0"/>
                <w:numId w:val="24"/>
              </w:numPr>
              <w:rPr>
                <w:bCs/>
              </w:rPr>
            </w:pPr>
            <w:r w:rsidRPr="007F7722">
              <w:rPr>
                <w:bCs/>
              </w:rPr>
              <w:t>High magnitude (rating 3) = 67-100%</w:t>
            </w:r>
          </w:p>
        </w:tc>
      </w:tr>
    </w:tbl>
    <w:p w14:paraId="0F11049A" w14:textId="77777777" w:rsidR="00437B61" w:rsidRPr="009C4246" w:rsidRDefault="00437B61" w:rsidP="009C4246"/>
    <w:p w14:paraId="4341C0ED" w14:textId="607FF563" w:rsidR="00923BE4" w:rsidRDefault="00FA7F6B" w:rsidP="00FA7F6B">
      <w:pPr>
        <w:pStyle w:val="Caption"/>
      </w:pPr>
      <w:bookmarkStart w:id="33" w:name="_Ref149572858"/>
      <w:r>
        <w:lastRenderedPageBreak/>
        <w:t xml:space="preserve">Figure </w:t>
      </w:r>
      <w:r>
        <w:fldChar w:fldCharType="begin"/>
      </w:r>
      <w:r>
        <w:instrText xml:space="preserve"> SEQ Figure \* ARABIC </w:instrText>
      </w:r>
      <w:r>
        <w:fldChar w:fldCharType="separate"/>
      </w:r>
      <w:r w:rsidR="003F7B92">
        <w:rPr>
          <w:noProof/>
        </w:rPr>
        <w:t>7</w:t>
      </w:r>
      <w:r>
        <w:fldChar w:fldCharType="end"/>
      </w:r>
      <w:bookmarkEnd w:id="33"/>
      <w:r>
        <w:t xml:space="preserve"> | The four broad Policy Problems to </w:t>
      </w:r>
      <w:proofErr w:type="gramStart"/>
      <w:r>
        <w:t>solve</w:t>
      </w:r>
      <w:proofErr w:type="gramEnd"/>
    </w:p>
    <w:p w14:paraId="4C93286D" w14:textId="03837A0E" w:rsidR="00923BE4" w:rsidRDefault="000E1E79" w:rsidP="00923BE4">
      <w:r>
        <w:rPr>
          <w:noProof/>
        </w:rPr>
        <w:drawing>
          <wp:inline distT="0" distB="0" distL="0" distR="0" wp14:anchorId="38A22698" wp14:editId="5153335A">
            <wp:extent cx="5636260" cy="5048014"/>
            <wp:effectExtent l="0" t="0" r="2540" b="635"/>
            <wp:docPr id="1452800028" name="Picture 1452800028" descr="P7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00028" name="Picture 1452800028" descr="P714#yI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4668" cy="5055545"/>
                    </a:xfrm>
                    <a:prstGeom prst="rect">
                      <a:avLst/>
                    </a:prstGeom>
                    <a:noFill/>
                  </pic:spPr>
                </pic:pic>
              </a:graphicData>
            </a:graphic>
          </wp:inline>
        </w:drawing>
      </w:r>
    </w:p>
    <w:p w14:paraId="040C073D" w14:textId="4634258B" w:rsidR="00A92DB5" w:rsidRDefault="00A92DB5" w:rsidP="00923BE4"/>
    <w:p w14:paraId="78F0E97E" w14:textId="599120D5" w:rsidR="00A92DB5" w:rsidRDefault="006714C3" w:rsidP="00923BE4">
      <w:r>
        <w:rPr>
          <w:noProof/>
          <w:color w:val="FFFFFF" w:themeColor="background1"/>
          <w:lang w:eastAsia="en-AU"/>
        </w:rPr>
        <w:drawing>
          <wp:anchor distT="0" distB="0" distL="114300" distR="114300" simplePos="0" relativeHeight="251658246" behindDoc="0" locked="0" layoutInCell="1" allowOverlap="1" wp14:anchorId="5FFD8D85" wp14:editId="06F54A0D">
            <wp:simplePos x="0" y="0"/>
            <wp:positionH relativeFrom="column">
              <wp:posOffset>-1047115</wp:posOffset>
            </wp:positionH>
            <wp:positionV relativeFrom="page">
              <wp:posOffset>6705600</wp:posOffset>
            </wp:positionV>
            <wp:extent cx="1548765" cy="304800"/>
            <wp:effectExtent l="0" t="0" r="0" b="0"/>
            <wp:wrapSquare wrapText="bothSides"/>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8765" cy="304800"/>
                    </a:xfrm>
                    <a:prstGeom prst="rect">
                      <a:avLst/>
                    </a:prstGeom>
                    <a:noFill/>
                  </pic:spPr>
                </pic:pic>
              </a:graphicData>
            </a:graphic>
          </wp:anchor>
        </w:drawing>
      </w:r>
    </w:p>
    <w:p w14:paraId="3A98FE5B" w14:textId="77777777" w:rsidR="006714C3" w:rsidRDefault="006714C3" w:rsidP="00923BE4"/>
    <w:p w14:paraId="4482BFC1" w14:textId="40B94EA0" w:rsidR="00923BE4" w:rsidRPr="00AE78C5" w:rsidRDefault="00010229" w:rsidP="00AE78C5">
      <w:pPr>
        <w:pStyle w:val="Heading3"/>
      </w:pPr>
      <w:bookmarkStart w:id="34" w:name="_Ref78805125"/>
      <w:bookmarkStart w:id="35" w:name="_Ref57909016"/>
      <w:r w:rsidRPr="00AE78C5">
        <w:t xml:space="preserve">Policy Problem 1 | The </w:t>
      </w:r>
      <w:r w:rsidR="0018380F" w:rsidRPr="00AE78C5">
        <w:t>purpose and objectives</w:t>
      </w:r>
      <w:r w:rsidRPr="00AE78C5">
        <w:t xml:space="preserve"> of FSANZ are not </w:t>
      </w:r>
      <w:proofErr w:type="gramStart"/>
      <w:r w:rsidRPr="00AE78C5">
        <w:t>clear</w:t>
      </w:r>
      <w:proofErr w:type="gramEnd"/>
    </w:p>
    <w:tbl>
      <w:tblPr>
        <w:tblStyle w:val="TableGrid"/>
        <w:tblW w:w="0" w:type="auto"/>
        <w:tblLook w:val="04A0" w:firstRow="1" w:lastRow="0" w:firstColumn="1" w:lastColumn="0" w:noHBand="0" w:noVBand="1"/>
      </w:tblPr>
      <w:tblGrid>
        <w:gridCol w:w="7371"/>
        <w:gridCol w:w="1559"/>
      </w:tblGrid>
      <w:tr w:rsidR="0028475D" w14:paraId="5A21D5C2" w14:textId="77777777" w:rsidTr="00730321">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00264D" w:themeFill="background2"/>
          </w:tcPr>
          <w:p w14:paraId="7206CAB0" w14:textId="47C05005" w:rsidR="005C62CC" w:rsidRDefault="005C62CC" w:rsidP="005C62CC">
            <w:pPr>
              <w:rPr>
                <w:lang w:eastAsia="en-AU"/>
              </w:rPr>
            </w:pPr>
            <w:bookmarkStart w:id="36" w:name="_Hlk149048343"/>
            <w:r w:rsidRPr="001813D4">
              <w:rPr>
                <w:color w:val="FFFFFF" w:themeColor="background1"/>
                <w:lang w:eastAsia="en-AU"/>
              </w:rPr>
              <w:t>Magnitude of problem</w:t>
            </w:r>
          </w:p>
        </w:tc>
        <w:tc>
          <w:tcPr>
            <w:tcW w:w="1559" w:type="dxa"/>
          </w:tcPr>
          <w:p w14:paraId="099AB9AD" w14:textId="6CD13377" w:rsidR="005C62CC" w:rsidRDefault="00524B35" w:rsidP="005C62CC">
            <w:pPr>
              <w:rPr>
                <w:lang w:eastAsia="en-AU"/>
              </w:rPr>
            </w:pPr>
            <w:r>
              <w:rPr>
                <w:lang w:eastAsia="en-AU"/>
              </w:rPr>
              <w:t>2 (moderate)</w:t>
            </w:r>
          </w:p>
        </w:tc>
      </w:tr>
      <w:bookmarkEnd w:id="36"/>
    </w:tbl>
    <w:p w14:paraId="2A7CFB9E" w14:textId="0FDBBE2C" w:rsidR="00010229" w:rsidRPr="00A42354" w:rsidRDefault="00010229" w:rsidP="001813D4"/>
    <w:p w14:paraId="6F889E49" w14:textId="4C9F9762" w:rsidR="00DD6908" w:rsidRDefault="00F276A6" w:rsidP="00BE7252">
      <w:pPr>
        <w:pStyle w:val="Heading4"/>
        <w:rPr>
          <w:rFonts w:eastAsia="Segoe UI"/>
        </w:rPr>
      </w:pPr>
      <w:r>
        <w:rPr>
          <w:rFonts w:eastAsia="Segoe UI"/>
        </w:rPr>
        <w:t xml:space="preserve">Sub-problem 1 | </w:t>
      </w:r>
      <w:r w:rsidR="00EF5DE9">
        <w:rPr>
          <w:rFonts w:eastAsia="Segoe UI"/>
        </w:rPr>
        <w:t>Unclear</w:t>
      </w:r>
      <w:r w:rsidR="00DD6908" w:rsidRPr="007F7722">
        <w:rPr>
          <w:rFonts w:eastAsia="Segoe UI"/>
        </w:rPr>
        <w:t xml:space="preserve"> definitions ha</w:t>
      </w:r>
      <w:r w:rsidR="007072C1">
        <w:rPr>
          <w:rFonts w:eastAsia="Segoe UI"/>
        </w:rPr>
        <w:t>ve</w:t>
      </w:r>
      <w:r w:rsidR="00DD6908" w:rsidRPr="007F7722">
        <w:rPr>
          <w:rFonts w:eastAsia="Segoe UI"/>
        </w:rPr>
        <w:t xml:space="preserve"> created confusion about </w:t>
      </w:r>
      <w:r w:rsidR="00277D10">
        <w:rPr>
          <w:rFonts w:eastAsia="Segoe UI"/>
        </w:rPr>
        <w:t>how FSANZ should consider</w:t>
      </w:r>
      <w:r w:rsidR="00B105BF" w:rsidRPr="007F7722">
        <w:rPr>
          <w:rFonts w:eastAsia="Segoe UI"/>
        </w:rPr>
        <w:t xml:space="preserve"> short-and long-term risks</w:t>
      </w:r>
      <w:r w:rsidR="002D3075">
        <w:rPr>
          <w:rFonts w:eastAsia="Segoe UI"/>
        </w:rPr>
        <w:t xml:space="preserve"> to health </w:t>
      </w:r>
      <w:r w:rsidR="00C060F9">
        <w:rPr>
          <w:rFonts w:eastAsia="Segoe UI"/>
        </w:rPr>
        <w:t xml:space="preserve">when </w:t>
      </w:r>
      <w:r w:rsidR="00AD2D03">
        <w:rPr>
          <w:rFonts w:eastAsia="Segoe UI"/>
        </w:rPr>
        <w:t xml:space="preserve">developing food </w:t>
      </w:r>
      <w:r w:rsidR="0041396C">
        <w:rPr>
          <w:rFonts w:eastAsia="Segoe UI"/>
        </w:rPr>
        <w:t xml:space="preserve">regulatory </w:t>
      </w:r>
      <w:proofErr w:type="gramStart"/>
      <w:r w:rsidR="0041396C">
        <w:rPr>
          <w:rFonts w:eastAsia="Segoe UI"/>
        </w:rPr>
        <w:t>measures</w:t>
      </w:r>
      <w:proofErr w:type="gramEnd"/>
    </w:p>
    <w:tbl>
      <w:tblPr>
        <w:tblStyle w:val="TableGrid"/>
        <w:tblW w:w="0" w:type="auto"/>
        <w:tblLook w:val="04A0" w:firstRow="1" w:lastRow="0" w:firstColumn="1" w:lastColumn="0" w:noHBand="0" w:noVBand="1"/>
      </w:tblPr>
      <w:tblGrid>
        <w:gridCol w:w="2977"/>
        <w:gridCol w:w="567"/>
        <w:gridCol w:w="1985"/>
        <w:gridCol w:w="567"/>
        <w:gridCol w:w="2268"/>
        <w:gridCol w:w="566"/>
      </w:tblGrid>
      <w:tr w:rsidR="00301A27" w14:paraId="4DE8F090" w14:textId="77777777" w:rsidTr="00FC0175">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370BF8FE" w14:textId="5331B0A2" w:rsidR="00B74324" w:rsidRPr="007F7722" w:rsidRDefault="00B74324">
            <w:pPr>
              <w:rPr>
                <w:rFonts w:asciiTheme="minorHAnsi" w:eastAsia="Segoe UI" w:hAnsiTheme="minorHAnsi" w:cstheme="minorHAnsi"/>
                <w:sz w:val="18"/>
                <w:szCs w:val="18"/>
                <w:lang w:eastAsia="en-AU"/>
              </w:rPr>
            </w:pPr>
            <w:bookmarkStart w:id="37" w:name="_Hlk149047896"/>
            <w:r w:rsidRPr="007F7722">
              <w:rPr>
                <w:rFonts w:asciiTheme="minorHAnsi" w:eastAsia="Segoe UI" w:hAnsiTheme="minorHAnsi" w:cstheme="minorHAnsi"/>
                <w:color w:val="FFFFFF" w:themeColor="background1"/>
                <w:sz w:val="18"/>
                <w:szCs w:val="18"/>
                <w:lang w:eastAsia="en-AU"/>
              </w:rPr>
              <w:t>Level of impact</w:t>
            </w:r>
          </w:p>
        </w:tc>
        <w:tc>
          <w:tcPr>
            <w:tcW w:w="567" w:type="dxa"/>
          </w:tcPr>
          <w:p w14:paraId="615BF320" w14:textId="6CA95B65" w:rsidR="00B74324" w:rsidRPr="007F7722" w:rsidRDefault="00B74324">
            <w:pPr>
              <w:rPr>
                <w:rFonts w:asciiTheme="minorHAnsi" w:eastAsia="Segoe UI" w:hAnsiTheme="minorHAnsi" w:cstheme="minorHAnsi"/>
                <w:sz w:val="18"/>
                <w:szCs w:val="18"/>
                <w:lang w:eastAsia="en-AU"/>
              </w:rPr>
            </w:pPr>
            <w:r w:rsidRPr="007F7722">
              <w:rPr>
                <w:rFonts w:asciiTheme="minorHAnsi" w:eastAsia="Segoe UI" w:hAnsiTheme="minorHAnsi" w:cstheme="minorHAnsi"/>
                <w:sz w:val="18"/>
                <w:szCs w:val="18"/>
                <w:lang w:eastAsia="en-AU"/>
              </w:rPr>
              <w:t>3</w:t>
            </w:r>
          </w:p>
        </w:tc>
        <w:tc>
          <w:tcPr>
            <w:tcW w:w="1985" w:type="dxa"/>
            <w:shd w:val="clear" w:color="auto" w:fill="00264D" w:themeFill="background2"/>
          </w:tcPr>
          <w:p w14:paraId="1F8AFE13" w14:textId="4A09BCD2" w:rsidR="00B74324" w:rsidRPr="007F7722" w:rsidRDefault="00B74324">
            <w:pPr>
              <w:rPr>
                <w:rFonts w:asciiTheme="minorHAnsi" w:eastAsia="Segoe UI" w:hAnsiTheme="minorHAnsi" w:cstheme="minorHAnsi"/>
                <w:color w:val="FFFFFF" w:themeColor="background1"/>
                <w:sz w:val="18"/>
                <w:szCs w:val="18"/>
                <w:lang w:eastAsia="en-AU"/>
              </w:rPr>
            </w:pPr>
            <w:r w:rsidRPr="007F7722">
              <w:rPr>
                <w:rFonts w:asciiTheme="minorHAnsi" w:eastAsia="Segoe UI" w:hAnsiTheme="minorHAnsi" w:cstheme="minorHAnsi"/>
                <w:color w:val="FFFFFF" w:themeColor="background1"/>
                <w:sz w:val="18"/>
                <w:szCs w:val="18"/>
                <w:lang w:eastAsia="en-AU"/>
              </w:rPr>
              <w:t>Extent of impact</w:t>
            </w:r>
          </w:p>
        </w:tc>
        <w:tc>
          <w:tcPr>
            <w:tcW w:w="567" w:type="dxa"/>
          </w:tcPr>
          <w:p w14:paraId="3241E483" w14:textId="6A45BBDE" w:rsidR="00B74324" w:rsidRPr="007F7722" w:rsidRDefault="00B74324">
            <w:pPr>
              <w:rPr>
                <w:rFonts w:asciiTheme="minorHAnsi" w:eastAsia="Segoe UI" w:hAnsiTheme="minorHAnsi" w:cstheme="minorHAnsi"/>
                <w:sz w:val="18"/>
                <w:szCs w:val="18"/>
                <w:lang w:eastAsia="en-AU"/>
              </w:rPr>
            </w:pPr>
            <w:r w:rsidRPr="007F7722">
              <w:rPr>
                <w:rFonts w:asciiTheme="minorHAnsi" w:eastAsia="Segoe UI" w:hAnsiTheme="minorHAnsi" w:cstheme="minorHAnsi"/>
                <w:sz w:val="18"/>
                <w:szCs w:val="18"/>
                <w:lang w:eastAsia="en-AU"/>
              </w:rPr>
              <w:t>3</w:t>
            </w:r>
          </w:p>
        </w:tc>
        <w:tc>
          <w:tcPr>
            <w:tcW w:w="2268" w:type="dxa"/>
            <w:shd w:val="clear" w:color="auto" w:fill="00264D" w:themeFill="background2"/>
          </w:tcPr>
          <w:p w14:paraId="24E8459E" w14:textId="0A53467A" w:rsidR="00B74324" w:rsidRPr="007F7722" w:rsidRDefault="00B74324">
            <w:pPr>
              <w:rPr>
                <w:rFonts w:asciiTheme="minorHAnsi" w:eastAsia="Segoe UI" w:hAnsiTheme="minorHAnsi" w:cstheme="minorHAnsi"/>
                <w:sz w:val="18"/>
                <w:szCs w:val="18"/>
                <w:lang w:eastAsia="en-AU"/>
              </w:rPr>
            </w:pPr>
            <w:r w:rsidRPr="007F7722">
              <w:rPr>
                <w:rFonts w:asciiTheme="minorHAnsi" w:eastAsia="Segoe UI" w:hAnsiTheme="minorHAnsi" w:cstheme="minorHAnsi"/>
                <w:color w:val="FFFFFF" w:themeColor="background1"/>
                <w:sz w:val="18"/>
                <w:szCs w:val="18"/>
                <w:lang w:eastAsia="en-AU"/>
              </w:rPr>
              <w:t>Sub-problem rating</w:t>
            </w:r>
          </w:p>
        </w:tc>
        <w:tc>
          <w:tcPr>
            <w:tcW w:w="566" w:type="dxa"/>
          </w:tcPr>
          <w:p w14:paraId="7DC37192" w14:textId="338A3F46" w:rsidR="00B74324" w:rsidRPr="007F7722" w:rsidRDefault="00B74324">
            <w:pPr>
              <w:rPr>
                <w:rFonts w:asciiTheme="minorHAnsi" w:eastAsia="Segoe UI" w:hAnsiTheme="minorHAnsi" w:cstheme="minorHAnsi"/>
                <w:sz w:val="18"/>
                <w:szCs w:val="18"/>
                <w:lang w:eastAsia="en-AU"/>
              </w:rPr>
            </w:pPr>
            <w:r w:rsidRPr="007F7722">
              <w:rPr>
                <w:rFonts w:asciiTheme="minorHAnsi" w:eastAsia="Segoe UI" w:hAnsiTheme="minorHAnsi" w:cstheme="minorHAnsi"/>
                <w:sz w:val="18"/>
                <w:szCs w:val="18"/>
                <w:lang w:eastAsia="en-AU"/>
              </w:rPr>
              <w:t>9</w:t>
            </w:r>
          </w:p>
        </w:tc>
      </w:tr>
      <w:bookmarkEnd w:id="37"/>
    </w:tbl>
    <w:p w14:paraId="560891DA" w14:textId="77777777" w:rsidR="00BF60D6" w:rsidRDefault="00BF60D6">
      <w:pPr>
        <w:rPr>
          <w:rFonts w:ascii="Segoe UI Semibold" w:eastAsia="Segoe UI" w:hAnsi="Segoe UI Semibold" w:cs="Times New Roman"/>
          <w:color w:val="00264D" w:themeColor="background2"/>
          <w:sz w:val="22"/>
          <w:szCs w:val="19"/>
          <w:lang w:eastAsia="en-AU"/>
        </w:rPr>
      </w:pPr>
    </w:p>
    <w:p w14:paraId="5A0A9257" w14:textId="250368C5" w:rsidR="00B2497C" w:rsidRDefault="00923BE4" w:rsidP="00923BE4">
      <w:pPr>
        <w:rPr>
          <w:szCs w:val="19"/>
        </w:rPr>
      </w:pPr>
      <w:r w:rsidRPr="001B4643">
        <w:rPr>
          <w:szCs w:val="19"/>
        </w:rPr>
        <w:t xml:space="preserve">The primary object of the Act in </w:t>
      </w:r>
      <w:r w:rsidR="00BD5E5A">
        <w:rPr>
          <w:szCs w:val="19"/>
        </w:rPr>
        <w:t>Section</w:t>
      </w:r>
      <w:r w:rsidRPr="001B4643">
        <w:rPr>
          <w:szCs w:val="19"/>
        </w:rPr>
        <w:t xml:space="preserve"> 3 is to </w:t>
      </w:r>
      <w:r w:rsidR="0064180D">
        <w:rPr>
          <w:szCs w:val="19"/>
        </w:rPr>
        <w:t>‘</w:t>
      </w:r>
      <w:r w:rsidRPr="001B4643">
        <w:rPr>
          <w:szCs w:val="19"/>
        </w:rPr>
        <w:t>ensure a high standard of public health protection throughout Australia and New Zealand by means of the establishment and operation of FSANZ</w:t>
      </w:r>
      <w:r w:rsidR="0064180D">
        <w:rPr>
          <w:szCs w:val="19"/>
        </w:rPr>
        <w:t>’</w:t>
      </w:r>
      <w:r w:rsidR="009F3151">
        <w:rPr>
          <w:szCs w:val="19"/>
        </w:rPr>
        <w:t>s</w:t>
      </w:r>
      <w:r w:rsidRPr="001B4643">
        <w:rPr>
          <w:szCs w:val="19"/>
        </w:rPr>
        <w:t xml:space="preserve">. </w:t>
      </w:r>
      <w:r w:rsidR="000B1183">
        <w:rPr>
          <w:szCs w:val="19"/>
        </w:rPr>
        <w:t xml:space="preserve">This is reinforced in Section 18 where the objectives </w:t>
      </w:r>
      <w:r w:rsidR="007723E2">
        <w:rPr>
          <w:szCs w:val="19"/>
        </w:rPr>
        <w:t xml:space="preserve">of the Authority (FSANZ) in developing or reviewing food </w:t>
      </w:r>
      <w:r w:rsidR="0062139F">
        <w:rPr>
          <w:szCs w:val="19"/>
        </w:rPr>
        <w:lastRenderedPageBreak/>
        <w:t>regulatory</w:t>
      </w:r>
      <w:r w:rsidR="007723E2">
        <w:rPr>
          <w:szCs w:val="19"/>
        </w:rPr>
        <w:t xml:space="preserve"> measures are described in </w:t>
      </w:r>
      <w:r w:rsidR="0062139F">
        <w:rPr>
          <w:szCs w:val="19"/>
        </w:rPr>
        <w:t>descending</w:t>
      </w:r>
      <w:r w:rsidR="00967891">
        <w:rPr>
          <w:szCs w:val="19"/>
        </w:rPr>
        <w:t xml:space="preserve"> order </w:t>
      </w:r>
      <w:r w:rsidR="007723E2">
        <w:rPr>
          <w:szCs w:val="19"/>
        </w:rPr>
        <w:t xml:space="preserve">as the </w:t>
      </w:r>
      <w:r w:rsidR="0064180D">
        <w:rPr>
          <w:szCs w:val="19"/>
        </w:rPr>
        <w:t>‘</w:t>
      </w:r>
      <w:r w:rsidR="007723E2">
        <w:rPr>
          <w:szCs w:val="19"/>
        </w:rPr>
        <w:t>protection of public health</w:t>
      </w:r>
      <w:r w:rsidR="00967891">
        <w:rPr>
          <w:szCs w:val="19"/>
        </w:rPr>
        <w:t xml:space="preserve"> and safety; the provision of adequate information relating to food to enable consumers to make informed choices; and the </w:t>
      </w:r>
      <w:r w:rsidR="0062139F">
        <w:rPr>
          <w:szCs w:val="19"/>
        </w:rPr>
        <w:t>prevention</w:t>
      </w:r>
      <w:r w:rsidR="00967891">
        <w:rPr>
          <w:szCs w:val="19"/>
        </w:rPr>
        <w:t xml:space="preserve"> of misleading or deceptive conduct</w:t>
      </w:r>
      <w:r w:rsidR="0064180D">
        <w:rPr>
          <w:szCs w:val="19"/>
        </w:rPr>
        <w:t>’</w:t>
      </w:r>
      <w:r w:rsidR="00967891">
        <w:rPr>
          <w:szCs w:val="19"/>
        </w:rPr>
        <w:t xml:space="preserve">. </w:t>
      </w:r>
      <w:r w:rsidR="007723E2">
        <w:rPr>
          <w:szCs w:val="19"/>
        </w:rPr>
        <w:t xml:space="preserve"> </w:t>
      </w:r>
    </w:p>
    <w:p w14:paraId="7960520A" w14:textId="2FADF89B" w:rsidR="00923BE4" w:rsidRDefault="00923BE4" w:rsidP="00471A25">
      <w:r w:rsidRPr="001B4643">
        <w:rPr>
          <w:szCs w:val="19"/>
        </w:rPr>
        <w:t xml:space="preserve">Many stakeholders </w:t>
      </w:r>
      <w:r w:rsidR="006C5273">
        <w:rPr>
          <w:szCs w:val="19"/>
        </w:rPr>
        <w:t>have indicated that the term</w:t>
      </w:r>
      <w:r w:rsidR="0064180D">
        <w:rPr>
          <w:szCs w:val="19"/>
        </w:rPr>
        <w:t>s</w:t>
      </w:r>
      <w:r w:rsidR="006C5273">
        <w:rPr>
          <w:szCs w:val="19"/>
        </w:rPr>
        <w:t xml:space="preserve"> </w:t>
      </w:r>
      <w:r w:rsidR="007C54DC">
        <w:rPr>
          <w:szCs w:val="19"/>
        </w:rPr>
        <w:t>‘public health</w:t>
      </w:r>
      <w:r w:rsidR="0064180D">
        <w:rPr>
          <w:szCs w:val="19"/>
        </w:rPr>
        <w:t xml:space="preserve"> protection</w:t>
      </w:r>
      <w:r w:rsidR="007C54DC">
        <w:rPr>
          <w:szCs w:val="19"/>
        </w:rPr>
        <w:t>’</w:t>
      </w:r>
      <w:r w:rsidR="0064180D">
        <w:rPr>
          <w:szCs w:val="19"/>
        </w:rPr>
        <w:t xml:space="preserve"> and ‘</w:t>
      </w:r>
      <w:r w:rsidR="00F3437C">
        <w:rPr>
          <w:szCs w:val="19"/>
        </w:rPr>
        <w:t>public health and safety’ are</w:t>
      </w:r>
      <w:r w:rsidR="007C54DC">
        <w:rPr>
          <w:szCs w:val="19"/>
        </w:rPr>
        <w:t xml:space="preserve"> poorly defined in the legislation</w:t>
      </w:r>
      <w:r w:rsidR="00066CC1">
        <w:rPr>
          <w:szCs w:val="19"/>
        </w:rPr>
        <w:t xml:space="preserve"> (and potentially incongruous</w:t>
      </w:r>
      <w:r w:rsidR="00B25D68">
        <w:rPr>
          <w:szCs w:val="19"/>
        </w:rPr>
        <w:t>),</w:t>
      </w:r>
      <w:r w:rsidR="007C54DC">
        <w:rPr>
          <w:szCs w:val="19"/>
        </w:rPr>
        <w:t xml:space="preserve"> and this creates ambiguity, where </w:t>
      </w:r>
      <w:r w:rsidR="00325519">
        <w:rPr>
          <w:szCs w:val="19"/>
        </w:rPr>
        <w:t>they</w:t>
      </w:r>
      <w:r w:rsidR="007C54DC">
        <w:rPr>
          <w:szCs w:val="19"/>
        </w:rPr>
        <w:t xml:space="preserve"> could variably re</w:t>
      </w:r>
      <w:r w:rsidR="00471A25">
        <w:rPr>
          <w:szCs w:val="19"/>
        </w:rPr>
        <w:t>fer</w:t>
      </w:r>
      <w:r w:rsidR="007C54DC">
        <w:rPr>
          <w:szCs w:val="19"/>
        </w:rPr>
        <w:t xml:space="preserve"> to</w:t>
      </w:r>
      <w:r w:rsidR="00471A25">
        <w:rPr>
          <w:szCs w:val="19"/>
        </w:rPr>
        <w:t xml:space="preserve"> </w:t>
      </w:r>
      <w:r>
        <w:t>p</w:t>
      </w:r>
      <w:r w:rsidRPr="001B4643">
        <w:t>reventing foodborne illness or injury, primarily in the acute, post-consumption period</w:t>
      </w:r>
      <w:r w:rsidR="00471A25">
        <w:t xml:space="preserve">; or </w:t>
      </w:r>
      <w:r w:rsidR="00220BBD">
        <w:t>long-term health</w:t>
      </w:r>
      <w:r w:rsidRPr="001B4643">
        <w:t xml:space="preserve">, including through the prevention of obesity-related chronic disease. </w:t>
      </w:r>
    </w:p>
    <w:p w14:paraId="2839CF7B" w14:textId="69602CC3" w:rsidR="00471A25" w:rsidRPr="001B4643" w:rsidRDefault="00471A25" w:rsidP="007F7722">
      <w:r>
        <w:t xml:space="preserve">This confusion </w:t>
      </w:r>
      <w:r w:rsidR="007B3019">
        <w:t xml:space="preserve">has </w:t>
      </w:r>
      <w:r w:rsidR="00631B08">
        <w:t>created</w:t>
      </w:r>
      <w:r w:rsidR="002F5BF1">
        <w:t xml:space="preserve"> some friction around the factors that FSANZ should be considering when developing or amending food standards</w:t>
      </w:r>
      <w:r w:rsidR="00F9454B">
        <w:t xml:space="preserve">, and the extent to which standards should be used to </w:t>
      </w:r>
      <w:r w:rsidR="00C5386B">
        <w:t xml:space="preserve">just </w:t>
      </w:r>
      <w:r w:rsidR="00013A1A">
        <w:t xml:space="preserve">establish a </w:t>
      </w:r>
      <w:r w:rsidR="00013A1A" w:rsidRPr="007F7722">
        <w:rPr>
          <w:i/>
          <w:iCs/>
        </w:rPr>
        <w:t>safe</w:t>
      </w:r>
      <w:r w:rsidR="00013A1A">
        <w:t xml:space="preserve"> food supply</w:t>
      </w:r>
      <w:r w:rsidR="00C5386B">
        <w:t xml:space="preserve">, </w:t>
      </w:r>
      <w:r w:rsidR="00922FE1">
        <w:t xml:space="preserve">vs underpinning </w:t>
      </w:r>
      <w:r w:rsidR="00C62BF2">
        <w:t>a food system that promotes a</w:t>
      </w:r>
      <w:r w:rsidR="00C92E7D">
        <w:t xml:space="preserve"> safe and</w:t>
      </w:r>
      <w:r w:rsidR="00C62BF2">
        <w:t xml:space="preserve"> </w:t>
      </w:r>
      <w:r w:rsidR="00C62BF2" w:rsidRPr="007F7722">
        <w:rPr>
          <w:i/>
          <w:iCs/>
        </w:rPr>
        <w:t xml:space="preserve">healthy </w:t>
      </w:r>
      <w:r w:rsidR="00603E24">
        <w:t xml:space="preserve">food supply. </w:t>
      </w:r>
    </w:p>
    <w:p w14:paraId="47F19E1C" w14:textId="36304D80" w:rsidR="00923BE4" w:rsidRPr="004E0B68" w:rsidRDefault="00923BE4" w:rsidP="00923BE4">
      <w:pPr>
        <w:rPr>
          <w:rFonts w:asciiTheme="minorHAnsi" w:hAnsiTheme="minorHAnsi"/>
          <w:iCs/>
          <w:szCs w:val="19"/>
        </w:rPr>
      </w:pPr>
      <w:r w:rsidRPr="001B4643">
        <w:rPr>
          <w:szCs w:val="19"/>
        </w:rPr>
        <w:t>In practice, food regulatory measures established by the Act are already being used to protect both short</w:t>
      </w:r>
      <w:r>
        <w:rPr>
          <w:szCs w:val="19"/>
        </w:rPr>
        <w:t>-</w:t>
      </w:r>
      <w:r w:rsidRPr="001B4643">
        <w:rPr>
          <w:szCs w:val="19"/>
        </w:rPr>
        <w:t xml:space="preserve"> and long</w:t>
      </w:r>
      <w:r>
        <w:rPr>
          <w:szCs w:val="19"/>
        </w:rPr>
        <w:t>-</w:t>
      </w:r>
      <w:r w:rsidRPr="001B4643">
        <w:rPr>
          <w:szCs w:val="19"/>
        </w:rPr>
        <w:t>term health</w:t>
      </w:r>
      <w:r>
        <w:rPr>
          <w:szCs w:val="19"/>
        </w:rPr>
        <w:t>; i</w:t>
      </w:r>
      <w:r w:rsidRPr="001B4643">
        <w:rPr>
          <w:szCs w:val="19"/>
        </w:rPr>
        <w:t xml:space="preserve">n 2013, the </w:t>
      </w:r>
      <w:r>
        <w:rPr>
          <w:szCs w:val="19"/>
        </w:rPr>
        <w:t>FMM</w:t>
      </w:r>
      <w:r w:rsidRPr="006D2E5A">
        <w:rPr>
          <w:szCs w:val="19"/>
        </w:rPr>
        <w:t xml:space="preserve"> </w:t>
      </w:r>
      <w:r>
        <w:rPr>
          <w:szCs w:val="19"/>
        </w:rPr>
        <w:t>(then the Forum)</w:t>
      </w:r>
      <w:r w:rsidRPr="006D2E5A">
        <w:rPr>
          <w:szCs w:val="19"/>
        </w:rPr>
        <w:t xml:space="preserve"> </w:t>
      </w:r>
      <w:r w:rsidRPr="001B4643">
        <w:rPr>
          <w:szCs w:val="19"/>
        </w:rPr>
        <w:t xml:space="preserve">issued a ministerial guideline which indicates that </w:t>
      </w:r>
      <w:r w:rsidR="00F6463A" w:rsidRPr="008564FB">
        <w:rPr>
          <w:iCs/>
          <w:szCs w:val="19"/>
        </w:rPr>
        <w:t>‘</w:t>
      </w:r>
      <w:r w:rsidRPr="008564FB">
        <w:rPr>
          <w:rFonts w:asciiTheme="minorHAnsi" w:hAnsiTheme="minorHAnsi"/>
          <w:iCs/>
          <w:szCs w:val="19"/>
        </w:rPr>
        <w:t>Public health and safety in relation to food refers to all those aspects of food consumption that could adversely affect the general population or a particular community’s health either in the short term or long term, including preventable diet-related disease, illness and disability as well as acute food safety concerns.</w:t>
      </w:r>
      <w:r w:rsidR="00B71F75" w:rsidRPr="008564FB">
        <w:rPr>
          <w:rFonts w:asciiTheme="minorHAnsi" w:hAnsiTheme="minorHAnsi"/>
          <w:iCs/>
          <w:szCs w:val="19"/>
        </w:rPr>
        <w:t>’</w:t>
      </w:r>
      <w:r w:rsidR="008B5563">
        <w:rPr>
          <w:szCs w:val="19"/>
        </w:rPr>
        <w:t xml:space="preserve"> </w:t>
      </w:r>
      <w:r>
        <w:rPr>
          <w:rFonts w:asciiTheme="minorHAnsi" w:hAnsiTheme="minorHAnsi"/>
          <w:iCs/>
          <w:szCs w:val="19"/>
        </w:rPr>
        <w:t>This definition was reaffirmed by the FMM in late 2022.</w:t>
      </w:r>
      <w:r w:rsidR="0085135D">
        <w:rPr>
          <w:rFonts w:asciiTheme="minorHAnsi" w:hAnsiTheme="minorHAnsi"/>
          <w:iCs/>
          <w:szCs w:val="19"/>
        </w:rPr>
        <w:t xml:space="preserve"> </w:t>
      </w:r>
    </w:p>
    <w:p w14:paraId="1B4B7F93" w14:textId="38F114F2" w:rsidR="00923BE4" w:rsidRPr="001B4643" w:rsidRDefault="00923BE4" w:rsidP="00923BE4">
      <w:pPr>
        <w:rPr>
          <w:rFonts w:asciiTheme="minorHAnsi" w:hAnsiTheme="minorHAnsi"/>
          <w:szCs w:val="19"/>
        </w:rPr>
      </w:pPr>
      <w:r>
        <w:rPr>
          <w:rFonts w:asciiTheme="minorHAnsi" w:hAnsiTheme="minorHAnsi"/>
          <w:szCs w:val="19"/>
        </w:rPr>
        <w:t>T</w:t>
      </w:r>
      <w:r w:rsidRPr="006D2E5A">
        <w:rPr>
          <w:rFonts w:asciiTheme="minorHAnsi" w:hAnsiTheme="minorHAnsi"/>
          <w:szCs w:val="19"/>
        </w:rPr>
        <w:t xml:space="preserve">he </w:t>
      </w:r>
      <w:r>
        <w:rPr>
          <w:rFonts w:asciiTheme="minorHAnsi" w:hAnsiTheme="minorHAnsi"/>
          <w:szCs w:val="19"/>
        </w:rPr>
        <w:t>FMM</w:t>
      </w:r>
      <w:r w:rsidRPr="006D2E5A">
        <w:rPr>
          <w:rFonts w:asciiTheme="minorHAnsi" w:hAnsiTheme="minorHAnsi"/>
          <w:szCs w:val="19"/>
        </w:rPr>
        <w:t xml:space="preserve"> </w:t>
      </w:r>
      <w:r w:rsidRPr="001B4643">
        <w:rPr>
          <w:rFonts w:asciiTheme="minorHAnsi" w:hAnsiTheme="minorHAnsi"/>
          <w:szCs w:val="19"/>
        </w:rPr>
        <w:t xml:space="preserve">has issued </w:t>
      </w:r>
      <w:r>
        <w:rPr>
          <w:rFonts w:asciiTheme="minorHAnsi" w:hAnsiTheme="minorHAnsi"/>
          <w:szCs w:val="19"/>
        </w:rPr>
        <w:t>several</w:t>
      </w:r>
      <w:r w:rsidRPr="001B4643">
        <w:rPr>
          <w:rFonts w:asciiTheme="minorHAnsi" w:hAnsiTheme="minorHAnsi"/>
          <w:szCs w:val="19"/>
        </w:rPr>
        <w:t xml:space="preserve"> policy guidelines relating to long-term public health, including those relating to </w:t>
      </w:r>
      <w:r>
        <w:rPr>
          <w:rFonts w:asciiTheme="minorHAnsi" w:hAnsiTheme="minorHAnsi"/>
          <w:szCs w:val="19"/>
        </w:rPr>
        <w:t>f</w:t>
      </w:r>
      <w:r w:rsidRPr="001B4643">
        <w:rPr>
          <w:rFonts w:asciiTheme="minorHAnsi" w:hAnsiTheme="minorHAnsi"/>
          <w:szCs w:val="19"/>
        </w:rPr>
        <w:t>ood labelling to support consumers make informed healthy choice</w:t>
      </w:r>
      <w:r>
        <w:rPr>
          <w:rFonts w:asciiTheme="minorHAnsi" w:hAnsiTheme="minorHAnsi"/>
          <w:szCs w:val="19"/>
        </w:rPr>
        <w:t>s; n</w:t>
      </w:r>
      <w:r w:rsidRPr="001B4643">
        <w:rPr>
          <w:rFonts w:asciiTheme="minorHAnsi" w:hAnsiTheme="minorHAnsi"/>
          <w:szCs w:val="19"/>
        </w:rPr>
        <w:t xml:space="preserve">utrition, </w:t>
      </w:r>
      <w:proofErr w:type="gramStart"/>
      <w:r w:rsidRPr="001B4643">
        <w:rPr>
          <w:rFonts w:asciiTheme="minorHAnsi" w:hAnsiTheme="minorHAnsi"/>
          <w:szCs w:val="19"/>
        </w:rPr>
        <w:t>health</w:t>
      </w:r>
      <w:proofErr w:type="gramEnd"/>
      <w:r w:rsidRPr="001B4643">
        <w:rPr>
          <w:rFonts w:asciiTheme="minorHAnsi" w:hAnsiTheme="minorHAnsi"/>
          <w:szCs w:val="19"/>
        </w:rPr>
        <w:t xml:space="preserve"> and related claims</w:t>
      </w:r>
      <w:r>
        <w:rPr>
          <w:rFonts w:asciiTheme="minorHAnsi" w:hAnsiTheme="minorHAnsi"/>
          <w:szCs w:val="19"/>
        </w:rPr>
        <w:t>; f</w:t>
      </w:r>
      <w:r w:rsidRPr="001B4643">
        <w:rPr>
          <w:rFonts w:asciiTheme="minorHAnsi" w:hAnsiTheme="minorHAnsi"/>
          <w:szCs w:val="19"/>
        </w:rPr>
        <w:t>ortification of foods with vitamins and mineral</w:t>
      </w:r>
      <w:r>
        <w:rPr>
          <w:rFonts w:asciiTheme="minorHAnsi" w:hAnsiTheme="minorHAnsi"/>
          <w:szCs w:val="19"/>
        </w:rPr>
        <w:t>s; and f</w:t>
      </w:r>
      <w:r w:rsidRPr="001B4643">
        <w:rPr>
          <w:rFonts w:asciiTheme="minorHAnsi" w:hAnsiTheme="minorHAnsi"/>
          <w:szCs w:val="19"/>
        </w:rPr>
        <w:t>ront of pack labelling</w:t>
      </w:r>
      <w:r>
        <w:rPr>
          <w:rFonts w:asciiTheme="minorHAnsi" w:hAnsiTheme="minorHAnsi"/>
          <w:szCs w:val="19"/>
        </w:rPr>
        <w:t>, a</w:t>
      </w:r>
      <w:r w:rsidRPr="001B4643">
        <w:rPr>
          <w:rFonts w:asciiTheme="minorHAnsi" w:hAnsiTheme="minorHAnsi"/>
          <w:szCs w:val="19"/>
        </w:rPr>
        <w:t xml:space="preserve">mong others. </w:t>
      </w:r>
    </w:p>
    <w:p w14:paraId="3A69F75B" w14:textId="77777777" w:rsidR="00923BE4" w:rsidRDefault="00923BE4" w:rsidP="00923BE4">
      <w:pPr>
        <w:rPr>
          <w:rFonts w:asciiTheme="minorHAnsi" w:hAnsiTheme="minorHAnsi"/>
          <w:szCs w:val="19"/>
        </w:rPr>
      </w:pPr>
      <w:r>
        <w:rPr>
          <w:rFonts w:asciiTheme="minorHAnsi" w:hAnsiTheme="minorHAnsi"/>
          <w:szCs w:val="19"/>
        </w:rPr>
        <w:t xml:space="preserve">FSANZ has also finalised </w:t>
      </w:r>
      <w:proofErr w:type="gramStart"/>
      <w:r>
        <w:rPr>
          <w:rFonts w:asciiTheme="minorHAnsi" w:hAnsiTheme="minorHAnsi"/>
          <w:szCs w:val="19"/>
        </w:rPr>
        <w:t>a number of</w:t>
      </w:r>
      <w:proofErr w:type="gramEnd"/>
      <w:r>
        <w:rPr>
          <w:rFonts w:asciiTheme="minorHAnsi" w:hAnsiTheme="minorHAnsi"/>
          <w:szCs w:val="19"/>
        </w:rPr>
        <w:t xml:space="preserve"> amendments to food standards over the years which relate to long-term public health, including the use of additives in highly processed products such as sugar sweetened beverages and appropriate information labelling.</w:t>
      </w:r>
    </w:p>
    <w:p w14:paraId="00A8C421" w14:textId="3D8A201D" w:rsidR="009460D8" w:rsidRPr="00E84117" w:rsidRDefault="00F40BF9" w:rsidP="00923BE4">
      <w:pPr>
        <w:rPr>
          <w:rFonts w:asciiTheme="minorHAnsi" w:hAnsiTheme="minorHAnsi"/>
          <w:szCs w:val="19"/>
        </w:rPr>
      </w:pPr>
      <w:r>
        <w:rPr>
          <w:rFonts w:asciiTheme="minorHAnsi" w:hAnsiTheme="minorHAnsi"/>
          <w:szCs w:val="19"/>
        </w:rPr>
        <w:t>Clarifying the</w:t>
      </w:r>
      <w:r w:rsidR="002D60B1">
        <w:rPr>
          <w:rFonts w:asciiTheme="minorHAnsi" w:hAnsiTheme="minorHAnsi"/>
          <w:szCs w:val="19"/>
        </w:rPr>
        <w:t xml:space="preserve"> definition of ‘public health </w:t>
      </w:r>
      <w:r w:rsidR="00C43E41">
        <w:rPr>
          <w:rFonts w:asciiTheme="minorHAnsi" w:hAnsiTheme="minorHAnsi"/>
          <w:szCs w:val="19"/>
        </w:rPr>
        <w:t xml:space="preserve">promotion and ‘public health </w:t>
      </w:r>
      <w:r w:rsidR="002D60B1">
        <w:rPr>
          <w:rFonts w:asciiTheme="minorHAnsi" w:hAnsiTheme="minorHAnsi"/>
          <w:szCs w:val="19"/>
        </w:rPr>
        <w:t xml:space="preserve">and safety’ </w:t>
      </w:r>
      <w:r>
        <w:rPr>
          <w:rFonts w:asciiTheme="minorHAnsi" w:hAnsiTheme="minorHAnsi"/>
          <w:szCs w:val="19"/>
        </w:rPr>
        <w:t>within the Act – and aligning this definition with other instruments such as the FRA</w:t>
      </w:r>
      <w:r w:rsidR="00235A9D">
        <w:rPr>
          <w:rFonts w:ascii="ZWAdobeF" w:hAnsi="ZWAdobeF" w:cs="ZWAdobeF"/>
          <w:sz w:val="2"/>
          <w:szCs w:val="2"/>
        </w:rPr>
        <w:t>20F</w:t>
      </w:r>
      <w:r w:rsidR="002F601B">
        <w:rPr>
          <w:rStyle w:val="FootnoteReference"/>
          <w:rFonts w:asciiTheme="minorHAnsi" w:hAnsiTheme="minorHAnsi"/>
          <w:szCs w:val="19"/>
        </w:rPr>
        <w:footnoteReference w:id="23"/>
      </w:r>
      <w:r>
        <w:rPr>
          <w:rFonts w:asciiTheme="minorHAnsi" w:hAnsiTheme="minorHAnsi"/>
          <w:szCs w:val="19"/>
        </w:rPr>
        <w:t xml:space="preserve"> </w:t>
      </w:r>
      <w:r w:rsidR="001632F8">
        <w:rPr>
          <w:rFonts w:asciiTheme="minorHAnsi" w:hAnsiTheme="minorHAnsi"/>
          <w:szCs w:val="19"/>
        </w:rPr>
        <w:t>–</w:t>
      </w:r>
      <w:r w:rsidR="00D14EFD">
        <w:rPr>
          <w:rFonts w:asciiTheme="minorHAnsi" w:hAnsiTheme="minorHAnsi"/>
          <w:szCs w:val="19"/>
        </w:rPr>
        <w:t xml:space="preserve"> </w:t>
      </w:r>
      <w:r w:rsidR="004F2E77">
        <w:rPr>
          <w:rFonts w:asciiTheme="minorHAnsi" w:hAnsiTheme="minorHAnsi"/>
          <w:szCs w:val="19"/>
        </w:rPr>
        <w:t>may enhance</w:t>
      </w:r>
      <w:r w:rsidR="001632F8">
        <w:rPr>
          <w:rFonts w:asciiTheme="minorHAnsi" w:hAnsiTheme="minorHAnsi"/>
          <w:szCs w:val="19"/>
        </w:rPr>
        <w:t xml:space="preserve"> c</w:t>
      </w:r>
      <w:r w:rsidR="008C7543">
        <w:rPr>
          <w:rFonts w:asciiTheme="minorHAnsi" w:hAnsiTheme="minorHAnsi"/>
          <w:szCs w:val="19"/>
        </w:rPr>
        <w:t xml:space="preserve">larity around the role of food standards in food regulation and policy. </w:t>
      </w:r>
      <w:r w:rsidR="0037221B">
        <w:rPr>
          <w:rFonts w:asciiTheme="minorHAnsi" w:hAnsiTheme="minorHAnsi"/>
          <w:szCs w:val="19"/>
        </w:rPr>
        <w:t xml:space="preserve">The factors stipulated for consideration when developing food regulatory measures (Section 18) also then need to be confirmed to ensure that they support </w:t>
      </w:r>
      <w:r w:rsidR="002C3D7A">
        <w:rPr>
          <w:rFonts w:asciiTheme="minorHAnsi" w:hAnsiTheme="minorHAnsi"/>
          <w:szCs w:val="19"/>
        </w:rPr>
        <w:t xml:space="preserve">FSANZ to develop measures that deliver to the objectives of the system. </w:t>
      </w:r>
    </w:p>
    <w:p w14:paraId="5FCC28C5" w14:textId="3AE80D90" w:rsidR="00FE584C" w:rsidRDefault="00FE584C" w:rsidP="00FE584C">
      <w:pPr>
        <w:pStyle w:val="Heading4"/>
      </w:pPr>
      <w:r>
        <w:t xml:space="preserve">Sub-problem 2 | </w:t>
      </w:r>
      <w:r w:rsidR="00CE7805">
        <w:t>Th</w:t>
      </w:r>
      <w:r w:rsidR="00D32A57">
        <w:t xml:space="preserve">ere remains some confusion about </w:t>
      </w:r>
      <w:r w:rsidR="0017465F">
        <w:t xml:space="preserve">the factors to which FSANZ has given regard in its decision-making, and how this aligns with the objectives of the </w:t>
      </w:r>
      <w:proofErr w:type="gramStart"/>
      <w:r w:rsidR="0017465F">
        <w:t>Act</w:t>
      </w:r>
      <w:proofErr w:type="gramEnd"/>
    </w:p>
    <w:tbl>
      <w:tblPr>
        <w:tblStyle w:val="TableGrid"/>
        <w:tblW w:w="0" w:type="auto"/>
        <w:tblLook w:val="04A0" w:firstRow="1" w:lastRow="0" w:firstColumn="1" w:lastColumn="0" w:noHBand="0" w:noVBand="1"/>
      </w:tblPr>
      <w:tblGrid>
        <w:gridCol w:w="2977"/>
        <w:gridCol w:w="567"/>
        <w:gridCol w:w="1985"/>
        <w:gridCol w:w="567"/>
        <w:gridCol w:w="2268"/>
        <w:gridCol w:w="566"/>
      </w:tblGrid>
      <w:tr w:rsidR="00301A27" w14:paraId="5178E5DB"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15D0C6FC" w14:textId="77777777" w:rsidR="00FE584C" w:rsidRPr="007F7722" w:rsidRDefault="00FE584C">
            <w:pPr>
              <w:rPr>
                <w:rFonts w:asciiTheme="minorHAnsi" w:eastAsia="Segoe UI" w:hAnsiTheme="minorHAnsi" w:cstheme="minorHAnsi"/>
                <w:sz w:val="18"/>
                <w:szCs w:val="18"/>
                <w:lang w:eastAsia="en-AU"/>
              </w:rPr>
            </w:pPr>
            <w:r w:rsidRPr="007F7722">
              <w:rPr>
                <w:rFonts w:asciiTheme="minorHAnsi" w:eastAsia="Segoe UI" w:hAnsiTheme="minorHAnsi" w:cstheme="minorHAnsi"/>
                <w:color w:val="FFFFFF" w:themeColor="background1"/>
                <w:sz w:val="18"/>
                <w:szCs w:val="18"/>
                <w:lang w:eastAsia="en-AU"/>
              </w:rPr>
              <w:t>Level of impact</w:t>
            </w:r>
          </w:p>
        </w:tc>
        <w:tc>
          <w:tcPr>
            <w:tcW w:w="567" w:type="dxa"/>
          </w:tcPr>
          <w:p w14:paraId="056E7A88" w14:textId="0ECD12B7" w:rsidR="00FE584C" w:rsidRPr="007F7722" w:rsidRDefault="00CA453E">
            <w:pPr>
              <w:rPr>
                <w:rFonts w:asciiTheme="minorHAnsi" w:eastAsia="Segoe UI" w:hAnsiTheme="minorHAnsi" w:cstheme="minorHAnsi"/>
                <w:sz w:val="18"/>
                <w:szCs w:val="18"/>
                <w:lang w:eastAsia="en-AU"/>
              </w:rPr>
            </w:pPr>
            <w:r w:rsidRPr="007F7722">
              <w:rPr>
                <w:rFonts w:asciiTheme="minorHAnsi" w:eastAsia="Segoe UI" w:hAnsiTheme="minorHAnsi" w:cstheme="minorHAnsi"/>
                <w:sz w:val="18"/>
                <w:szCs w:val="18"/>
                <w:lang w:eastAsia="en-AU"/>
              </w:rPr>
              <w:t>1</w:t>
            </w:r>
          </w:p>
        </w:tc>
        <w:tc>
          <w:tcPr>
            <w:tcW w:w="1985" w:type="dxa"/>
            <w:shd w:val="clear" w:color="auto" w:fill="00264D" w:themeFill="background2"/>
          </w:tcPr>
          <w:p w14:paraId="7A5F63BB" w14:textId="77777777" w:rsidR="00FE584C" w:rsidRPr="007F7722" w:rsidRDefault="00FE584C">
            <w:pPr>
              <w:rPr>
                <w:rFonts w:asciiTheme="minorHAnsi" w:eastAsia="Segoe UI" w:hAnsiTheme="minorHAnsi" w:cstheme="minorHAnsi"/>
                <w:color w:val="FFFFFF" w:themeColor="background1"/>
                <w:sz w:val="18"/>
                <w:szCs w:val="18"/>
                <w:lang w:eastAsia="en-AU"/>
              </w:rPr>
            </w:pPr>
            <w:r w:rsidRPr="007F7722">
              <w:rPr>
                <w:rFonts w:asciiTheme="minorHAnsi" w:eastAsia="Segoe UI" w:hAnsiTheme="minorHAnsi" w:cstheme="minorHAnsi"/>
                <w:color w:val="FFFFFF" w:themeColor="background1"/>
                <w:sz w:val="18"/>
                <w:szCs w:val="18"/>
                <w:lang w:eastAsia="en-AU"/>
              </w:rPr>
              <w:t>Extent of impact</w:t>
            </w:r>
          </w:p>
        </w:tc>
        <w:tc>
          <w:tcPr>
            <w:tcW w:w="567" w:type="dxa"/>
          </w:tcPr>
          <w:p w14:paraId="38820335" w14:textId="6A967FA4" w:rsidR="00FE584C" w:rsidRPr="007F7722" w:rsidRDefault="00CA453E">
            <w:pPr>
              <w:rPr>
                <w:rFonts w:asciiTheme="minorHAnsi" w:eastAsia="Segoe UI" w:hAnsiTheme="minorHAnsi" w:cstheme="minorHAnsi"/>
                <w:sz w:val="18"/>
                <w:szCs w:val="18"/>
                <w:lang w:eastAsia="en-AU"/>
              </w:rPr>
            </w:pPr>
            <w:r w:rsidRPr="007F7722">
              <w:rPr>
                <w:rFonts w:asciiTheme="minorHAnsi" w:eastAsia="Segoe UI" w:hAnsiTheme="minorHAnsi" w:cstheme="minorHAnsi"/>
                <w:sz w:val="18"/>
                <w:szCs w:val="18"/>
                <w:lang w:eastAsia="en-AU"/>
              </w:rPr>
              <w:t>2</w:t>
            </w:r>
          </w:p>
        </w:tc>
        <w:tc>
          <w:tcPr>
            <w:tcW w:w="2268" w:type="dxa"/>
            <w:shd w:val="clear" w:color="auto" w:fill="00264D" w:themeFill="background2"/>
          </w:tcPr>
          <w:p w14:paraId="6EC1CEE9" w14:textId="77777777" w:rsidR="00FE584C" w:rsidRPr="007F7722" w:rsidRDefault="00FE584C">
            <w:pPr>
              <w:rPr>
                <w:rFonts w:asciiTheme="minorHAnsi" w:eastAsia="Segoe UI" w:hAnsiTheme="minorHAnsi" w:cstheme="minorHAnsi"/>
                <w:sz w:val="18"/>
                <w:szCs w:val="18"/>
                <w:lang w:eastAsia="en-AU"/>
              </w:rPr>
            </w:pPr>
            <w:r w:rsidRPr="007F7722">
              <w:rPr>
                <w:rFonts w:asciiTheme="minorHAnsi" w:eastAsia="Segoe UI" w:hAnsiTheme="minorHAnsi" w:cstheme="minorHAnsi"/>
                <w:color w:val="FFFFFF" w:themeColor="background1"/>
                <w:sz w:val="18"/>
                <w:szCs w:val="18"/>
                <w:lang w:eastAsia="en-AU"/>
              </w:rPr>
              <w:t>Sub-problem rating</w:t>
            </w:r>
          </w:p>
        </w:tc>
        <w:tc>
          <w:tcPr>
            <w:tcW w:w="566" w:type="dxa"/>
          </w:tcPr>
          <w:p w14:paraId="1C2BA580" w14:textId="1CEA39E4" w:rsidR="00FE584C" w:rsidRPr="007F7722" w:rsidRDefault="00CA453E">
            <w:pPr>
              <w:rPr>
                <w:rFonts w:asciiTheme="minorHAnsi" w:eastAsia="Segoe UI" w:hAnsiTheme="minorHAnsi" w:cstheme="minorHAnsi"/>
                <w:sz w:val="18"/>
                <w:szCs w:val="18"/>
                <w:lang w:eastAsia="en-AU"/>
              </w:rPr>
            </w:pPr>
            <w:r w:rsidRPr="007F7722">
              <w:rPr>
                <w:rFonts w:asciiTheme="minorHAnsi" w:eastAsia="Segoe UI" w:hAnsiTheme="minorHAnsi" w:cstheme="minorHAnsi"/>
                <w:sz w:val="18"/>
                <w:szCs w:val="18"/>
                <w:lang w:eastAsia="en-AU"/>
              </w:rPr>
              <w:t>2</w:t>
            </w:r>
          </w:p>
        </w:tc>
      </w:tr>
    </w:tbl>
    <w:p w14:paraId="71260C15" w14:textId="77777777" w:rsidR="00FE584C" w:rsidRPr="007F7722" w:rsidRDefault="00FE584C" w:rsidP="00FE584C">
      <w:pPr>
        <w:rPr>
          <w:lang w:eastAsia="en-AU"/>
        </w:rPr>
      </w:pPr>
    </w:p>
    <w:p w14:paraId="0C1DD614" w14:textId="3FE40017" w:rsidR="00FE584C" w:rsidRDefault="00FE584C" w:rsidP="00FE584C">
      <w:r>
        <w:t>The legislation currently requires FSANZ to develop draft regulatory measures such as food standards where they align with the objectives set out in Section 18(1). As part of that process, they ‘must have regard’ to five key factors, including any written policy guidelines formulated by the FMM</w:t>
      </w:r>
      <w:r w:rsidRPr="006D2E5A">
        <w:t xml:space="preserve"> </w:t>
      </w:r>
      <w:r>
        <w:t xml:space="preserve">(Section 18(2)); see </w:t>
      </w:r>
      <w:r w:rsidR="00F769DE">
        <w:fldChar w:fldCharType="begin"/>
      </w:r>
      <w:r w:rsidR="00F769DE">
        <w:instrText xml:space="preserve"> REF _Ref149573096 \h </w:instrText>
      </w:r>
      <w:r w:rsidR="00F769DE">
        <w:fldChar w:fldCharType="separate"/>
      </w:r>
      <w:r w:rsidR="003F7B92">
        <w:t xml:space="preserve">Table </w:t>
      </w:r>
      <w:r w:rsidR="003F7B92">
        <w:rPr>
          <w:noProof/>
        </w:rPr>
        <w:t>5</w:t>
      </w:r>
      <w:r w:rsidR="00F769DE">
        <w:fldChar w:fldCharType="end"/>
      </w:r>
      <w:r>
        <w:rPr>
          <w:lang w:eastAsia="en-AU"/>
        </w:rPr>
        <w:t>.</w:t>
      </w:r>
      <w:r>
        <w:t xml:space="preserve"> Importantly, ministerial guidelines are not binding on FSANZ and each of the factors must be considered with equal weight. </w:t>
      </w:r>
    </w:p>
    <w:p w14:paraId="6FAA7097" w14:textId="470C643F" w:rsidR="00FE584C" w:rsidRDefault="00FE584C" w:rsidP="00FE584C">
      <w:pPr>
        <w:pStyle w:val="Caption"/>
      </w:pPr>
      <w:bookmarkStart w:id="38" w:name="_Ref149573096"/>
      <w:r>
        <w:t xml:space="preserve">Table </w:t>
      </w:r>
      <w:r>
        <w:fldChar w:fldCharType="begin"/>
      </w:r>
      <w:r>
        <w:instrText xml:space="preserve"> SEQ Table \* ARABIC </w:instrText>
      </w:r>
      <w:r>
        <w:fldChar w:fldCharType="separate"/>
      </w:r>
      <w:r w:rsidR="003F7B92">
        <w:rPr>
          <w:noProof/>
        </w:rPr>
        <w:t>5</w:t>
      </w:r>
      <w:r>
        <w:fldChar w:fldCharType="end"/>
      </w:r>
      <w:bookmarkEnd w:id="38"/>
      <w:r>
        <w:t xml:space="preserve"> | </w:t>
      </w:r>
      <w:r w:rsidRPr="00200D97">
        <w:t xml:space="preserve">Objectives of the Authority in developing, reviewing or varying food regulatory </w:t>
      </w:r>
      <w:proofErr w:type="gramStart"/>
      <w:r w:rsidRPr="00200D97">
        <w:t>measures</w:t>
      </w:r>
      <w:proofErr w:type="gramEnd"/>
    </w:p>
    <w:tbl>
      <w:tblPr>
        <w:tblStyle w:val="NousLongformcallout"/>
        <w:tblW w:w="0" w:type="auto"/>
        <w:tblLook w:val="04A0" w:firstRow="1" w:lastRow="0" w:firstColumn="1" w:lastColumn="0" w:noHBand="0" w:noVBand="1"/>
      </w:tblPr>
      <w:tblGrid>
        <w:gridCol w:w="8907"/>
      </w:tblGrid>
      <w:tr w:rsidR="00FE584C" w14:paraId="58F06FB9" w14:textId="77777777">
        <w:tc>
          <w:tcPr>
            <w:tcW w:w="8930" w:type="dxa"/>
          </w:tcPr>
          <w:p w14:paraId="78AE3AF3" w14:textId="77777777" w:rsidR="00FE584C" w:rsidRPr="00F9728D" w:rsidRDefault="00FE584C">
            <w:pPr>
              <w:pStyle w:val="Longformcallout"/>
              <w:rPr>
                <w:rFonts w:asciiTheme="majorHAnsi" w:hAnsiTheme="majorHAnsi" w:cstheme="majorHAnsi"/>
              </w:rPr>
            </w:pPr>
            <w:r>
              <w:rPr>
                <w:rFonts w:asciiTheme="majorHAnsi" w:hAnsiTheme="majorHAnsi" w:cstheme="majorHAnsi"/>
              </w:rPr>
              <w:t xml:space="preserve">Section </w:t>
            </w:r>
            <w:r w:rsidRPr="00F9728D">
              <w:rPr>
                <w:rFonts w:asciiTheme="majorHAnsi" w:hAnsiTheme="majorHAnsi" w:cstheme="majorHAnsi"/>
              </w:rPr>
              <w:t xml:space="preserve">18 | Objectives of the Authority in developing or reviewing food regulatory measures and variations of food regulatory </w:t>
            </w:r>
            <w:proofErr w:type="gramStart"/>
            <w:r w:rsidRPr="00F9728D">
              <w:rPr>
                <w:rFonts w:asciiTheme="majorHAnsi" w:hAnsiTheme="majorHAnsi" w:cstheme="majorHAnsi"/>
              </w:rPr>
              <w:t>measures</w:t>
            </w:r>
            <w:proofErr w:type="gramEnd"/>
            <w:r w:rsidRPr="00F9728D">
              <w:rPr>
                <w:rFonts w:asciiTheme="majorHAnsi" w:hAnsiTheme="majorHAnsi" w:cstheme="majorHAnsi"/>
              </w:rPr>
              <w:t xml:space="preserve"> </w:t>
            </w:r>
          </w:p>
          <w:p w14:paraId="4F188446" w14:textId="77777777" w:rsidR="00FE584C" w:rsidRPr="00F9728D" w:rsidRDefault="00FE584C" w:rsidP="00A40875">
            <w:pPr>
              <w:pStyle w:val="Longformcallout"/>
              <w:numPr>
                <w:ilvl w:val="0"/>
                <w:numId w:val="5"/>
              </w:numPr>
            </w:pPr>
            <w:r w:rsidRPr="00F9728D">
              <w:lastRenderedPageBreak/>
              <w:t xml:space="preserve">The objectives (in descending priority order) of the Authority in developing or reviewing food regulatory measures and variations of food regulatory measures are: </w:t>
            </w:r>
          </w:p>
          <w:p w14:paraId="7A973EFA" w14:textId="77777777" w:rsidR="00FE584C" w:rsidRPr="00F9728D" w:rsidRDefault="00FE584C" w:rsidP="00A40875">
            <w:pPr>
              <w:pStyle w:val="Longformcallout"/>
              <w:numPr>
                <w:ilvl w:val="0"/>
                <w:numId w:val="3"/>
              </w:numPr>
            </w:pPr>
            <w:r>
              <w:t>t</w:t>
            </w:r>
            <w:r w:rsidRPr="00F9728D">
              <w:t>he protection of public health and safety</w:t>
            </w:r>
          </w:p>
          <w:p w14:paraId="1757FCF3" w14:textId="77777777" w:rsidR="00FE584C" w:rsidRPr="00F9728D" w:rsidRDefault="00FE584C" w:rsidP="00A40875">
            <w:pPr>
              <w:pStyle w:val="Longformcallout"/>
              <w:numPr>
                <w:ilvl w:val="0"/>
                <w:numId w:val="3"/>
              </w:numPr>
            </w:pPr>
            <w:r>
              <w:t>t</w:t>
            </w:r>
            <w:r w:rsidRPr="00F9728D">
              <w:t xml:space="preserve">he provision of adequate information relating to food to enable consumers to make informed </w:t>
            </w:r>
            <w:proofErr w:type="gramStart"/>
            <w:r w:rsidRPr="00F9728D">
              <w:t>choices</w:t>
            </w:r>
            <w:proofErr w:type="gramEnd"/>
            <w:r w:rsidRPr="00F9728D">
              <w:t xml:space="preserve"> </w:t>
            </w:r>
          </w:p>
          <w:p w14:paraId="258FC122" w14:textId="77777777" w:rsidR="00FE584C" w:rsidRPr="00F9728D" w:rsidRDefault="00FE584C" w:rsidP="00A40875">
            <w:pPr>
              <w:pStyle w:val="Longformcallout"/>
              <w:numPr>
                <w:ilvl w:val="0"/>
                <w:numId w:val="3"/>
              </w:numPr>
            </w:pPr>
            <w:r>
              <w:t>t</w:t>
            </w:r>
            <w:r w:rsidRPr="00F9728D">
              <w:t xml:space="preserve">he prevention of misleading or deceptive conduct. </w:t>
            </w:r>
          </w:p>
          <w:p w14:paraId="16F0FA70" w14:textId="77777777" w:rsidR="00FE584C" w:rsidRPr="00F9728D" w:rsidRDefault="00FE584C" w:rsidP="00A40875">
            <w:pPr>
              <w:pStyle w:val="Longformcallout"/>
              <w:numPr>
                <w:ilvl w:val="0"/>
                <w:numId w:val="5"/>
              </w:numPr>
            </w:pPr>
            <w:r w:rsidRPr="00F9728D">
              <w:t xml:space="preserve">In developing or reviewing food regulatory measures and variations of food regulatory measures, the Authority must also have regard to the following: </w:t>
            </w:r>
          </w:p>
          <w:p w14:paraId="35C4604C" w14:textId="77777777" w:rsidR="00FE584C" w:rsidRPr="00F9728D" w:rsidRDefault="00FE584C" w:rsidP="00A40875">
            <w:pPr>
              <w:pStyle w:val="Longformcallout"/>
              <w:numPr>
                <w:ilvl w:val="0"/>
                <w:numId w:val="4"/>
              </w:numPr>
            </w:pPr>
            <w:r>
              <w:t>t</w:t>
            </w:r>
            <w:r w:rsidRPr="00F9728D">
              <w:t xml:space="preserve">he need for standards to be based on </w:t>
            </w:r>
            <w:r>
              <w:t>ris</w:t>
            </w:r>
            <w:r w:rsidRPr="00F9728D">
              <w:t xml:space="preserve">k analysis using the best available scientific </w:t>
            </w:r>
            <w:proofErr w:type="gramStart"/>
            <w:r w:rsidRPr="00F9728D">
              <w:t>evidence</w:t>
            </w:r>
            <w:proofErr w:type="gramEnd"/>
            <w:r w:rsidRPr="00F9728D">
              <w:t xml:space="preserve"> </w:t>
            </w:r>
          </w:p>
          <w:p w14:paraId="49AF13A2" w14:textId="77777777" w:rsidR="00FE584C" w:rsidRPr="00F9728D" w:rsidRDefault="00FE584C" w:rsidP="00A40875">
            <w:pPr>
              <w:pStyle w:val="Longformcallout"/>
              <w:numPr>
                <w:ilvl w:val="0"/>
                <w:numId w:val="4"/>
              </w:numPr>
            </w:pPr>
            <w:r>
              <w:t>t</w:t>
            </w:r>
            <w:r w:rsidRPr="00F9728D">
              <w:t>he promotion of consistency between domestic and international food standards</w:t>
            </w:r>
          </w:p>
          <w:p w14:paraId="5C910764" w14:textId="77777777" w:rsidR="00FE584C" w:rsidRPr="00F9728D" w:rsidRDefault="00FE584C" w:rsidP="00A40875">
            <w:pPr>
              <w:pStyle w:val="Longformcallout"/>
              <w:numPr>
                <w:ilvl w:val="0"/>
                <w:numId w:val="4"/>
              </w:numPr>
            </w:pPr>
            <w:r>
              <w:t>t</w:t>
            </w:r>
            <w:r w:rsidRPr="00F9728D">
              <w:t>he desirability of an efficient and internationally competitive food industry</w:t>
            </w:r>
          </w:p>
          <w:p w14:paraId="42D5637D" w14:textId="77777777" w:rsidR="00FE584C" w:rsidRDefault="00FE584C" w:rsidP="00A40875">
            <w:pPr>
              <w:pStyle w:val="Longformcallout"/>
              <w:numPr>
                <w:ilvl w:val="0"/>
                <w:numId w:val="4"/>
              </w:numPr>
            </w:pPr>
            <w:r>
              <w:t>t</w:t>
            </w:r>
            <w:r w:rsidRPr="00F9728D">
              <w:t>he promotion of fair trading in food</w:t>
            </w:r>
          </w:p>
          <w:p w14:paraId="08B66940" w14:textId="20E90D66" w:rsidR="00FE584C" w:rsidRPr="007F7722" w:rsidRDefault="00FE584C" w:rsidP="00A40875">
            <w:pPr>
              <w:pStyle w:val="Longformcallout"/>
              <w:numPr>
                <w:ilvl w:val="0"/>
                <w:numId w:val="4"/>
              </w:numPr>
            </w:pPr>
            <w:r>
              <w:t>a</w:t>
            </w:r>
            <w:r w:rsidRPr="00F9728D">
              <w:t>ny written policy guidelines formulated by the Forum on Food Regulation for the purposes of this paragraph and notified to the Authority.</w:t>
            </w:r>
          </w:p>
        </w:tc>
      </w:tr>
    </w:tbl>
    <w:p w14:paraId="2ADE97EA" w14:textId="77777777" w:rsidR="00FE584C" w:rsidRDefault="00FE584C" w:rsidP="00FE584C"/>
    <w:p w14:paraId="3876BA3C" w14:textId="01F3EE7B" w:rsidR="00FE584C" w:rsidRDefault="00FE584C" w:rsidP="00FE584C">
      <w:r>
        <w:t>Stakeholders have raised concerns th</w:t>
      </w:r>
      <w:r w:rsidR="00181359">
        <w:t>at</w:t>
      </w:r>
      <w:r>
        <w:t xml:space="preserve"> can create tensions when some of these factors may be in conflict; for example, a ministerial guideline may be at odds with the desirability of an efficient and internationally competitive food industry. </w:t>
      </w:r>
    </w:p>
    <w:p w14:paraId="3DD35B8D" w14:textId="77777777" w:rsidR="00FE584C" w:rsidRDefault="00FE584C" w:rsidP="00FE584C">
      <w:r>
        <w:t>Upon drafting a regulatory measure, FSANZ refers the matter to the FMM</w:t>
      </w:r>
      <w:r w:rsidRPr="006D2E5A">
        <w:t xml:space="preserve"> </w:t>
      </w:r>
      <w:r>
        <w:t xml:space="preserve">for ratification. Some stakeholders have reported there can then be challenges in progressing an amendment where there may be a political element to the change (for example, stakeholders indicated that anything to do with infant formula often generates debate about the use and promotion of formula as a substitute to human breast milk). </w:t>
      </w:r>
    </w:p>
    <w:p w14:paraId="706BFC33" w14:textId="6EAE7C1F" w:rsidR="00FE584C" w:rsidRPr="006D15F5" w:rsidRDefault="00FE584C" w:rsidP="00FE584C">
      <w:pPr>
        <w:rPr>
          <w:lang w:eastAsia="en-AU"/>
        </w:rPr>
      </w:pPr>
      <w:r>
        <w:t>Currently, the FMM</w:t>
      </w:r>
      <w:r w:rsidRPr="006D2E5A">
        <w:t xml:space="preserve"> </w:t>
      </w:r>
      <w:r w:rsidR="00FC1D43">
        <w:t>may request a review of a draft standard, noting an obligation to comply with any requirements set out in the FRA or Treaty (Section 84(</w:t>
      </w:r>
      <w:r w:rsidR="00564B1A">
        <w:t xml:space="preserve">2)). It must inform FSANZ of its concerns with the draft (Section 86). </w:t>
      </w:r>
      <w:r w:rsidR="00BB6FCB">
        <w:t>This might</w:t>
      </w:r>
      <w:r w:rsidR="00B2664D">
        <w:t xml:space="preserve"> include whether ministerial guidelines have been given adequate consideration. </w:t>
      </w:r>
    </w:p>
    <w:p w14:paraId="79B71168" w14:textId="5DC9A38B" w:rsidR="00FE584C" w:rsidRPr="00177F7F" w:rsidRDefault="00FE584C" w:rsidP="00FE584C">
      <w:pPr>
        <w:rPr>
          <w:rFonts w:ascii="Arial" w:hAnsi="Arial" w:cs="Arial"/>
          <w:szCs w:val="19"/>
        </w:rPr>
      </w:pPr>
      <w:r w:rsidRPr="00177F7F">
        <w:rPr>
          <w:szCs w:val="19"/>
        </w:rPr>
        <w:t xml:space="preserve">Of note, of the 101 standards submitted for endorsement by the Food Ministers between 2017 and 2022, only </w:t>
      </w:r>
      <w:r w:rsidRPr="00F00E90">
        <w:t xml:space="preserve">one has been referred back to FSANZ due to non-compliance with existing ministerial </w:t>
      </w:r>
      <w:r w:rsidR="00FB481F">
        <w:t>g</w:t>
      </w:r>
      <w:r w:rsidR="00B77EE8" w:rsidRPr="00F00E90">
        <w:t>uidance</w:t>
      </w:r>
      <w:r w:rsidR="00C47ED1">
        <w:t>.</w:t>
      </w:r>
      <w:r w:rsidR="00F00E90">
        <w:rPr>
          <w:rStyle w:val="FootnoteReference"/>
        </w:rPr>
        <w:footnoteReference w:id="24"/>
      </w:r>
      <w:r w:rsidR="00FC3C1B" w:rsidRPr="00225813">
        <w:t xml:space="preserve"> </w:t>
      </w:r>
      <w:r w:rsidR="00177F7F" w:rsidRPr="00225813">
        <w:t>FSANZ also consults publicly on all proposed amendments to the</w:t>
      </w:r>
      <w:r w:rsidR="00177F7F" w:rsidRPr="00177F7F">
        <w:rPr>
          <w:rStyle w:val="cf01"/>
          <w:sz w:val="19"/>
          <w:szCs w:val="19"/>
        </w:rPr>
        <w:t xml:space="preserve"> Code, publishing all risk-assessments</w:t>
      </w:r>
      <w:r w:rsidRPr="00177F7F">
        <w:rPr>
          <w:rStyle w:val="cf01"/>
          <w:sz w:val="19"/>
          <w:szCs w:val="19"/>
        </w:rPr>
        <w:t xml:space="preserve"> and </w:t>
      </w:r>
      <w:r w:rsidR="00177F7F" w:rsidRPr="00177F7F">
        <w:rPr>
          <w:rStyle w:val="cf01"/>
          <w:sz w:val="19"/>
          <w:szCs w:val="19"/>
        </w:rPr>
        <w:t>supporting documents that support</w:t>
      </w:r>
      <w:r w:rsidRPr="00177F7F">
        <w:rPr>
          <w:rStyle w:val="cf01"/>
          <w:sz w:val="19"/>
          <w:szCs w:val="19"/>
        </w:rPr>
        <w:t xml:space="preserve"> any decision to, or to not, amend food standards, </w:t>
      </w:r>
      <w:r w:rsidR="00177F7F" w:rsidRPr="00177F7F">
        <w:rPr>
          <w:rStyle w:val="cf01"/>
          <w:sz w:val="19"/>
          <w:szCs w:val="19"/>
        </w:rPr>
        <w:t>enabling</w:t>
      </w:r>
      <w:r w:rsidRPr="00177F7F">
        <w:rPr>
          <w:rStyle w:val="cf01"/>
          <w:sz w:val="19"/>
          <w:szCs w:val="19"/>
        </w:rPr>
        <w:t xml:space="preserve"> the public, industry, and food researchers to scrutinise these decisions. </w:t>
      </w:r>
    </w:p>
    <w:p w14:paraId="414628DC" w14:textId="566DA8F2" w:rsidR="00FE584C" w:rsidRPr="008578AB" w:rsidRDefault="00FE584C" w:rsidP="007F7722">
      <w:r>
        <w:t>The</w:t>
      </w:r>
      <w:r w:rsidR="000531AE">
        <w:t>s</w:t>
      </w:r>
      <w:r>
        <w:t xml:space="preserve">e </w:t>
      </w:r>
      <w:r w:rsidR="00793AF6">
        <w:t xml:space="preserve">resources, </w:t>
      </w:r>
      <w:r>
        <w:t>however</w:t>
      </w:r>
      <w:r w:rsidR="00793AF6">
        <w:t>,</w:t>
      </w:r>
      <w:r>
        <w:t xml:space="preserve"> are demonstrably either insufficient, or inaccessible</w:t>
      </w:r>
      <w:r w:rsidR="00793AF6">
        <w:t xml:space="preserve">. </w:t>
      </w:r>
      <w:r w:rsidR="000531AE">
        <w:t>Changes to the communication approach may therefore be warranted to facilitate greater</w:t>
      </w:r>
      <w:r>
        <w:t xml:space="preserve"> visibility around how FSANZ </w:t>
      </w:r>
      <w:r w:rsidR="000531AE">
        <w:t>h</w:t>
      </w:r>
      <w:r>
        <w:t xml:space="preserve">as balanced the different considerations and aligned with the objectives of the Act. </w:t>
      </w:r>
    </w:p>
    <w:p w14:paraId="414AFF00" w14:textId="4C0AB46C" w:rsidR="00915699" w:rsidRDefault="00CA453E" w:rsidP="009C7212">
      <w:pPr>
        <w:pStyle w:val="Heading4"/>
        <w:rPr>
          <w:rStyle w:val="CommentReference"/>
          <w:sz w:val="22"/>
          <w:szCs w:val="19"/>
        </w:rPr>
      </w:pPr>
      <w:r>
        <w:rPr>
          <w:rFonts w:eastAsia="Segoe UI"/>
        </w:rPr>
        <w:t xml:space="preserve">Sub-problem 3 | </w:t>
      </w:r>
      <w:bookmarkEnd w:id="34"/>
      <w:bookmarkEnd w:id="35"/>
      <w:r w:rsidR="00A1538B">
        <w:rPr>
          <w:rFonts w:eastAsia="Segoe UI"/>
        </w:rPr>
        <w:t xml:space="preserve">The Act is silent on the needs and commitments of government to First Nations and Māori </w:t>
      </w:r>
      <w:r w:rsidR="00587B8B">
        <w:rPr>
          <w:rFonts w:eastAsia="Segoe UI"/>
        </w:rPr>
        <w:t>P</w:t>
      </w:r>
      <w:r w:rsidR="00A1538B">
        <w:rPr>
          <w:rFonts w:eastAsia="Segoe UI"/>
        </w:rPr>
        <w:t>eople</w:t>
      </w:r>
      <w:r w:rsidR="00587B8B">
        <w:rPr>
          <w:rFonts w:eastAsia="Segoe UI"/>
        </w:rPr>
        <w:t>s</w:t>
      </w:r>
    </w:p>
    <w:tbl>
      <w:tblPr>
        <w:tblStyle w:val="TableGrid"/>
        <w:tblW w:w="0" w:type="auto"/>
        <w:tblLook w:val="04A0" w:firstRow="1" w:lastRow="0" w:firstColumn="1" w:lastColumn="0" w:noHBand="0" w:noVBand="1"/>
      </w:tblPr>
      <w:tblGrid>
        <w:gridCol w:w="2771"/>
        <w:gridCol w:w="540"/>
        <w:gridCol w:w="1869"/>
        <w:gridCol w:w="540"/>
        <w:gridCol w:w="2139"/>
        <w:gridCol w:w="539"/>
      </w:tblGrid>
      <w:tr w:rsidR="00301A27" w14:paraId="6BB4BE8D" w14:textId="77777777" w:rsidTr="00A1538B">
        <w:trPr>
          <w:cnfStyle w:val="100000000000" w:firstRow="1" w:lastRow="0" w:firstColumn="0" w:lastColumn="0" w:oddVBand="0" w:evenVBand="0" w:oddHBand="0" w:evenHBand="0" w:firstRowFirstColumn="0" w:firstRowLastColumn="0" w:lastRowFirstColumn="0" w:lastRowLastColumn="0"/>
        </w:trPr>
        <w:tc>
          <w:tcPr>
            <w:tcW w:w="2771" w:type="dxa"/>
            <w:shd w:val="clear" w:color="auto" w:fill="00264D" w:themeFill="background2"/>
          </w:tcPr>
          <w:p w14:paraId="194B5089" w14:textId="77777777" w:rsidR="00A1538B" w:rsidRPr="007F7722" w:rsidRDefault="00A1538B">
            <w:pPr>
              <w:rPr>
                <w:rFonts w:asciiTheme="minorHAnsi" w:eastAsia="Segoe UI" w:hAnsiTheme="minorHAnsi" w:cstheme="minorHAnsi"/>
                <w:sz w:val="18"/>
                <w:szCs w:val="18"/>
                <w:lang w:eastAsia="en-AU"/>
              </w:rPr>
            </w:pPr>
            <w:bookmarkStart w:id="39" w:name="_Hlk149048500"/>
            <w:r w:rsidRPr="007F7722">
              <w:rPr>
                <w:rFonts w:asciiTheme="minorHAnsi" w:eastAsia="Segoe UI" w:hAnsiTheme="minorHAnsi" w:cstheme="minorHAnsi"/>
                <w:color w:val="FFFFFF" w:themeColor="background1"/>
                <w:sz w:val="18"/>
                <w:szCs w:val="18"/>
                <w:lang w:eastAsia="en-AU"/>
              </w:rPr>
              <w:t>Level of impact</w:t>
            </w:r>
          </w:p>
        </w:tc>
        <w:tc>
          <w:tcPr>
            <w:tcW w:w="540" w:type="dxa"/>
          </w:tcPr>
          <w:p w14:paraId="795D5C7A" w14:textId="1A83C108" w:rsidR="00A1538B" w:rsidRPr="007F7722" w:rsidRDefault="00A1538B">
            <w:pPr>
              <w:rPr>
                <w:rFonts w:asciiTheme="minorHAnsi" w:eastAsia="Segoe UI" w:hAnsiTheme="minorHAnsi" w:cstheme="minorHAnsi"/>
                <w:sz w:val="18"/>
                <w:szCs w:val="18"/>
                <w:lang w:eastAsia="en-AU"/>
              </w:rPr>
            </w:pPr>
            <w:r w:rsidRPr="007F7722">
              <w:rPr>
                <w:rFonts w:asciiTheme="minorHAnsi" w:eastAsia="Segoe UI" w:hAnsiTheme="minorHAnsi" w:cstheme="minorHAnsi"/>
                <w:sz w:val="18"/>
                <w:szCs w:val="18"/>
                <w:lang w:eastAsia="en-AU"/>
              </w:rPr>
              <w:t>2</w:t>
            </w:r>
          </w:p>
        </w:tc>
        <w:tc>
          <w:tcPr>
            <w:tcW w:w="1869" w:type="dxa"/>
            <w:shd w:val="clear" w:color="auto" w:fill="00264D" w:themeFill="background2"/>
          </w:tcPr>
          <w:p w14:paraId="0DB1A3D1" w14:textId="77777777" w:rsidR="00A1538B" w:rsidRPr="007F7722" w:rsidRDefault="00A1538B">
            <w:pPr>
              <w:rPr>
                <w:rFonts w:asciiTheme="minorHAnsi" w:eastAsia="Segoe UI" w:hAnsiTheme="minorHAnsi" w:cstheme="minorHAnsi"/>
                <w:color w:val="FFFFFF" w:themeColor="background1"/>
                <w:sz w:val="18"/>
                <w:szCs w:val="18"/>
                <w:lang w:eastAsia="en-AU"/>
              </w:rPr>
            </w:pPr>
            <w:r w:rsidRPr="007F7722">
              <w:rPr>
                <w:rFonts w:asciiTheme="minorHAnsi" w:eastAsia="Segoe UI" w:hAnsiTheme="minorHAnsi" w:cstheme="minorHAnsi"/>
                <w:color w:val="FFFFFF" w:themeColor="background1"/>
                <w:sz w:val="18"/>
                <w:szCs w:val="18"/>
                <w:lang w:eastAsia="en-AU"/>
              </w:rPr>
              <w:t>Extent of impact</w:t>
            </w:r>
          </w:p>
        </w:tc>
        <w:tc>
          <w:tcPr>
            <w:tcW w:w="540" w:type="dxa"/>
          </w:tcPr>
          <w:p w14:paraId="72E64730" w14:textId="22FED207" w:rsidR="00A1538B" w:rsidRPr="007F7722" w:rsidRDefault="00A1538B">
            <w:pPr>
              <w:rPr>
                <w:rFonts w:asciiTheme="minorHAnsi" w:eastAsia="Segoe UI" w:hAnsiTheme="minorHAnsi" w:cstheme="minorHAnsi"/>
                <w:sz w:val="18"/>
                <w:szCs w:val="18"/>
                <w:lang w:eastAsia="en-AU"/>
              </w:rPr>
            </w:pPr>
            <w:r w:rsidRPr="007F7722">
              <w:rPr>
                <w:rFonts w:asciiTheme="minorHAnsi" w:eastAsia="Segoe UI" w:hAnsiTheme="minorHAnsi" w:cstheme="minorHAnsi"/>
                <w:sz w:val="18"/>
                <w:szCs w:val="18"/>
                <w:lang w:eastAsia="en-AU"/>
              </w:rPr>
              <w:t>2</w:t>
            </w:r>
          </w:p>
        </w:tc>
        <w:tc>
          <w:tcPr>
            <w:tcW w:w="2139" w:type="dxa"/>
            <w:shd w:val="clear" w:color="auto" w:fill="00264D" w:themeFill="background2"/>
          </w:tcPr>
          <w:p w14:paraId="0745FA78" w14:textId="77777777" w:rsidR="00A1538B" w:rsidRPr="007F7722" w:rsidRDefault="00A1538B">
            <w:pPr>
              <w:rPr>
                <w:rFonts w:asciiTheme="minorHAnsi" w:eastAsia="Segoe UI" w:hAnsiTheme="minorHAnsi" w:cstheme="minorHAnsi"/>
                <w:sz w:val="18"/>
                <w:szCs w:val="18"/>
                <w:lang w:eastAsia="en-AU"/>
              </w:rPr>
            </w:pPr>
            <w:r w:rsidRPr="007F7722">
              <w:rPr>
                <w:rFonts w:asciiTheme="minorHAnsi" w:eastAsia="Segoe UI" w:hAnsiTheme="minorHAnsi" w:cstheme="minorHAnsi"/>
                <w:color w:val="FFFFFF" w:themeColor="background1"/>
                <w:sz w:val="18"/>
                <w:szCs w:val="18"/>
                <w:lang w:eastAsia="en-AU"/>
              </w:rPr>
              <w:t>Sub-problem rating</w:t>
            </w:r>
          </w:p>
        </w:tc>
        <w:tc>
          <w:tcPr>
            <w:tcW w:w="539" w:type="dxa"/>
          </w:tcPr>
          <w:p w14:paraId="22A69527" w14:textId="428513AF" w:rsidR="00A1538B" w:rsidRPr="007F7722" w:rsidRDefault="00A1538B">
            <w:pPr>
              <w:rPr>
                <w:rFonts w:asciiTheme="minorHAnsi" w:eastAsia="Segoe UI" w:hAnsiTheme="minorHAnsi" w:cstheme="minorHAnsi"/>
                <w:sz w:val="18"/>
                <w:szCs w:val="18"/>
                <w:lang w:eastAsia="en-AU"/>
              </w:rPr>
            </w:pPr>
            <w:r w:rsidRPr="007F7722">
              <w:rPr>
                <w:rFonts w:asciiTheme="minorHAnsi" w:eastAsia="Segoe UI" w:hAnsiTheme="minorHAnsi" w:cstheme="minorHAnsi"/>
                <w:sz w:val="18"/>
                <w:szCs w:val="18"/>
                <w:lang w:eastAsia="en-AU"/>
              </w:rPr>
              <w:t>4</w:t>
            </w:r>
          </w:p>
        </w:tc>
      </w:tr>
    </w:tbl>
    <w:bookmarkEnd w:id="39"/>
    <w:p w14:paraId="3F0FAF8C" w14:textId="51B8734B" w:rsidR="00915699" w:rsidRDefault="00915699" w:rsidP="00915699">
      <w:pPr>
        <w:rPr>
          <w:lang w:eastAsia="en-AU"/>
        </w:rPr>
      </w:pPr>
      <w:r w:rsidRPr="008F7497">
        <w:rPr>
          <w:lang w:eastAsia="en-AU"/>
        </w:rPr>
        <w:lastRenderedPageBreak/>
        <w:t xml:space="preserve">In referring to </w:t>
      </w:r>
      <w:r>
        <w:rPr>
          <w:lang w:eastAsia="en-AU"/>
        </w:rPr>
        <w:t>I</w:t>
      </w:r>
      <w:r w:rsidRPr="008F7497">
        <w:rPr>
          <w:lang w:eastAsia="en-AU"/>
        </w:rPr>
        <w:t>ndigenous culture and food expertise in this document</w:t>
      </w:r>
      <w:r>
        <w:rPr>
          <w:lang w:eastAsia="en-AU"/>
        </w:rPr>
        <w:t>,</w:t>
      </w:r>
      <w:r w:rsidRPr="008F7497">
        <w:rPr>
          <w:lang w:eastAsia="en-AU"/>
        </w:rPr>
        <w:t xml:space="preserve"> the Australian and New Zealand Governments both acknowledge </w:t>
      </w:r>
      <w:r w:rsidR="00C13BE1">
        <w:rPr>
          <w:lang w:eastAsia="en-AU"/>
        </w:rPr>
        <w:t>First Nations</w:t>
      </w:r>
      <w:r w:rsidRPr="008F7497">
        <w:rPr>
          <w:lang w:eastAsia="en-AU"/>
        </w:rPr>
        <w:t xml:space="preserve"> </w:t>
      </w:r>
      <w:r w:rsidR="000F1825">
        <w:rPr>
          <w:lang w:eastAsia="en-AU"/>
        </w:rPr>
        <w:t>P</w:t>
      </w:r>
      <w:r w:rsidRPr="008F7497">
        <w:rPr>
          <w:lang w:eastAsia="en-AU"/>
        </w:rPr>
        <w:t>eople</w:t>
      </w:r>
      <w:r w:rsidR="000F1825">
        <w:rPr>
          <w:lang w:eastAsia="en-AU"/>
        </w:rPr>
        <w:t>s</w:t>
      </w:r>
      <w:r w:rsidRPr="008F7497">
        <w:rPr>
          <w:lang w:eastAsia="en-AU"/>
        </w:rPr>
        <w:t xml:space="preserve"> of Australia and Māori, </w:t>
      </w:r>
      <w:proofErr w:type="spellStart"/>
      <w:r w:rsidR="00086C89">
        <w:rPr>
          <w:lang w:eastAsia="en-AU"/>
        </w:rPr>
        <w:t>t</w:t>
      </w:r>
      <w:r w:rsidRPr="008F7497">
        <w:rPr>
          <w:lang w:eastAsia="en-AU"/>
        </w:rPr>
        <w:t>angata</w:t>
      </w:r>
      <w:proofErr w:type="spellEnd"/>
      <w:r w:rsidRPr="008F7497">
        <w:rPr>
          <w:lang w:eastAsia="en-AU"/>
        </w:rPr>
        <w:t xml:space="preserve"> whenua of New Zealand.</w:t>
      </w:r>
      <w:r w:rsidR="00B62D99">
        <w:rPr>
          <w:lang w:eastAsia="en-AU"/>
        </w:rPr>
        <w:t xml:space="preserve"> </w:t>
      </w:r>
    </w:p>
    <w:p w14:paraId="6FD906CC" w14:textId="2C2BD8D7" w:rsidR="00B262E8" w:rsidRDefault="007C74A5" w:rsidP="009C7212">
      <w:pPr>
        <w:rPr>
          <w:lang w:eastAsia="en-AU"/>
        </w:rPr>
      </w:pPr>
      <w:r>
        <w:rPr>
          <w:lang w:eastAsia="en-AU"/>
        </w:rPr>
        <w:t xml:space="preserve">Currently, there is no explicit recognition of </w:t>
      </w:r>
      <w:r w:rsidR="006E03E6">
        <w:rPr>
          <w:lang w:eastAsia="en-AU"/>
        </w:rPr>
        <w:t xml:space="preserve">First Nations or </w:t>
      </w:r>
      <w:r w:rsidR="006A4C82">
        <w:rPr>
          <w:lang w:eastAsia="en-AU"/>
        </w:rPr>
        <w:t>Māori</w:t>
      </w:r>
      <w:r w:rsidR="006E03E6">
        <w:rPr>
          <w:lang w:eastAsia="en-AU"/>
        </w:rPr>
        <w:t xml:space="preserve"> </w:t>
      </w:r>
      <w:r w:rsidR="000F1825">
        <w:rPr>
          <w:lang w:eastAsia="en-AU"/>
        </w:rPr>
        <w:t>P</w:t>
      </w:r>
      <w:r w:rsidR="006E03E6">
        <w:rPr>
          <w:lang w:eastAsia="en-AU"/>
        </w:rPr>
        <w:t>eople</w:t>
      </w:r>
      <w:r w:rsidR="000F1825">
        <w:rPr>
          <w:lang w:eastAsia="en-AU"/>
        </w:rPr>
        <w:t>s</w:t>
      </w:r>
      <w:r w:rsidR="006E03E6">
        <w:rPr>
          <w:lang w:eastAsia="en-AU"/>
        </w:rPr>
        <w:t xml:space="preserve"> or how </w:t>
      </w:r>
      <w:r>
        <w:rPr>
          <w:lang w:eastAsia="en-AU"/>
        </w:rPr>
        <w:t xml:space="preserve">Indigenous culture and expertise </w:t>
      </w:r>
      <w:r w:rsidR="006E03E6">
        <w:rPr>
          <w:lang w:eastAsia="en-AU"/>
        </w:rPr>
        <w:t xml:space="preserve">could be recognised </w:t>
      </w:r>
      <w:r w:rsidR="006A4C82">
        <w:rPr>
          <w:lang w:eastAsia="en-AU"/>
        </w:rPr>
        <w:t>for the purpose of</w:t>
      </w:r>
      <w:r>
        <w:rPr>
          <w:lang w:eastAsia="en-AU"/>
        </w:rPr>
        <w:t xml:space="preserve"> the Act</w:t>
      </w:r>
      <w:r w:rsidR="006A4C82">
        <w:rPr>
          <w:lang w:eastAsia="en-AU"/>
        </w:rPr>
        <w:t>. Furthermore, there are no</w:t>
      </w:r>
      <w:r w:rsidR="00FA07FF">
        <w:rPr>
          <w:lang w:eastAsia="en-AU"/>
        </w:rPr>
        <w:t xml:space="preserve"> </w:t>
      </w:r>
      <w:r w:rsidR="0085517D">
        <w:rPr>
          <w:lang w:eastAsia="en-AU"/>
        </w:rPr>
        <w:t xml:space="preserve">operational arrangements in place that would support this ongoing dialogue, such as </w:t>
      </w:r>
      <w:r w:rsidR="004E7AD4">
        <w:rPr>
          <w:lang w:eastAsia="en-AU"/>
        </w:rPr>
        <w:t xml:space="preserve">formal representation of </w:t>
      </w:r>
      <w:r w:rsidR="007D0C2D">
        <w:rPr>
          <w:lang w:eastAsia="en-AU"/>
        </w:rPr>
        <w:t>Indigenous culture</w:t>
      </w:r>
      <w:r w:rsidR="00FD131D">
        <w:rPr>
          <w:lang w:eastAsia="en-AU"/>
        </w:rPr>
        <w:t xml:space="preserve"> and expertise on the FSANZ Board. </w:t>
      </w:r>
    </w:p>
    <w:p w14:paraId="466EE039" w14:textId="77777777" w:rsidR="00D66EFB" w:rsidRDefault="00D66EFB" w:rsidP="009C7212">
      <w:pPr>
        <w:rPr>
          <w:lang w:eastAsia="en-AU"/>
        </w:rPr>
      </w:pPr>
    </w:p>
    <w:p w14:paraId="5B3D3019" w14:textId="32699E6C" w:rsidR="00CC0928" w:rsidRDefault="00CC0928" w:rsidP="009C7212">
      <w:pPr>
        <w:rPr>
          <w:lang w:eastAsia="en-AU"/>
        </w:rPr>
      </w:pPr>
      <w:r w:rsidRPr="00206ACA">
        <w:rPr>
          <w:noProof/>
        </w:rPr>
        <w:drawing>
          <wp:anchor distT="0" distB="0" distL="114300" distR="114300" simplePos="0" relativeHeight="251658247" behindDoc="0" locked="0" layoutInCell="1" allowOverlap="1" wp14:anchorId="18C9E449" wp14:editId="746A5906">
            <wp:simplePos x="0" y="0"/>
            <wp:positionH relativeFrom="page">
              <wp:posOffset>25400</wp:posOffset>
            </wp:positionH>
            <wp:positionV relativeFrom="paragraph">
              <wp:posOffset>67310</wp:posOffset>
            </wp:positionV>
            <wp:extent cx="1544396" cy="308540"/>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4396" cy="308540"/>
                    </a:xfrm>
                    <a:prstGeom prst="rect">
                      <a:avLst/>
                    </a:prstGeom>
                  </pic:spPr>
                </pic:pic>
              </a:graphicData>
            </a:graphic>
            <wp14:sizeRelH relativeFrom="page">
              <wp14:pctWidth>0</wp14:pctWidth>
            </wp14:sizeRelH>
            <wp14:sizeRelV relativeFrom="page">
              <wp14:pctHeight>0</wp14:pctHeight>
            </wp14:sizeRelV>
          </wp:anchor>
        </w:drawing>
      </w:r>
    </w:p>
    <w:p w14:paraId="6700B450" w14:textId="7305E7D9" w:rsidR="00923BE4" w:rsidRDefault="00923BE4" w:rsidP="006E5A6E">
      <w:pPr>
        <w:pStyle w:val="Heading3"/>
      </w:pPr>
      <w:r w:rsidRPr="006E5A6E">
        <w:t xml:space="preserve">Policy </w:t>
      </w:r>
      <w:r w:rsidR="00807D3A">
        <w:t>Problem</w:t>
      </w:r>
      <w:r w:rsidRPr="006E5A6E">
        <w:t xml:space="preserve"> 2 | Legislated processes and decision-making arrangements for food standards are cumbersome and </w:t>
      </w:r>
      <w:proofErr w:type="gramStart"/>
      <w:r w:rsidRPr="006E5A6E">
        <w:t>inflexible</w:t>
      </w:r>
      <w:proofErr w:type="gramEnd"/>
      <w:r w:rsidRPr="006E5A6E">
        <w:t xml:space="preserve"> </w:t>
      </w:r>
    </w:p>
    <w:tbl>
      <w:tblPr>
        <w:tblStyle w:val="TableGrid"/>
        <w:tblW w:w="0" w:type="auto"/>
        <w:tblLook w:val="04A0" w:firstRow="1" w:lastRow="0" w:firstColumn="1" w:lastColumn="0" w:noHBand="0" w:noVBand="1"/>
      </w:tblPr>
      <w:tblGrid>
        <w:gridCol w:w="7371"/>
        <w:gridCol w:w="1559"/>
      </w:tblGrid>
      <w:tr w:rsidR="0028475D" w14:paraId="25C62CFF" w14:textId="77777777">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00264D" w:themeFill="background2"/>
          </w:tcPr>
          <w:p w14:paraId="6FAFC54F" w14:textId="77777777" w:rsidR="009B4E1F" w:rsidRDefault="009B4E1F">
            <w:pPr>
              <w:rPr>
                <w:lang w:eastAsia="en-AU"/>
              </w:rPr>
            </w:pPr>
            <w:r w:rsidRPr="00441AC6">
              <w:rPr>
                <w:color w:val="FFFFFF" w:themeColor="background1"/>
                <w:lang w:eastAsia="en-AU"/>
              </w:rPr>
              <w:t>Magnitude of problem</w:t>
            </w:r>
          </w:p>
        </w:tc>
        <w:tc>
          <w:tcPr>
            <w:tcW w:w="1559" w:type="dxa"/>
          </w:tcPr>
          <w:p w14:paraId="453162BB" w14:textId="39335470" w:rsidR="009B4E1F" w:rsidRDefault="009B4E1F">
            <w:pPr>
              <w:rPr>
                <w:lang w:eastAsia="en-AU"/>
              </w:rPr>
            </w:pPr>
            <w:r>
              <w:rPr>
                <w:lang w:eastAsia="en-AU"/>
              </w:rPr>
              <w:t>3 (high)</w:t>
            </w:r>
          </w:p>
        </w:tc>
      </w:tr>
    </w:tbl>
    <w:p w14:paraId="6DC81640" w14:textId="77777777" w:rsidR="009B4E1F" w:rsidRPr="00A42354" w:rsidRDefault="009B4E1F" w:rsidP="009C7212"/>
    <w:p w14:paraId="5DD76100" w14:textId="2DEE188D" w:rsidR="009824FA" w:rsidRDefault="009824FA" w:rsidP="00BE7252">
      <w:pPr>
        <w:pStyle w:val="Heading4"/>
      </w:pPr>
      <w:r>
        <w:t>S</w:t>
      </w:r>
      <w:r w:rsidR="007B5654">
        <w:t>ub-problem 1 | S</w:t>
      </w:r>
      <w:r>
        <w:t xml:space="preserve">tatutory processes </w:t>
      </w:r>
      <w:r w:rsidR="00C12C5A">
        <w:t>are rules-based rather than outcomes-</w:t>
      </w:r>
      <w:proofErr w:type="gramStart"/>
      <w:r w:rsidR="00C12C5A">
        <w:t>base</w:t>
      </w:r>
      <w:r w:rsidR="009320EF">
        <w:t>d</w:t>
      </w:r>
      <w:proofErr w:type="gramEnd"/>
    </w:p>
    <w:tbl>
      <w:tblPr>
        <w:tblStyle w:val="TableGrid"/>
        <w:tblW w:w="0" w:type="auto"/>
        <w:tblLook w:val="04A0" w:firstRow="1" w:lastRow="0" w:firstColumn="1" w:lastColumn="0" w:noHBand="0" w:noVBand="1"/>
      </w:tblPr>
      <w:tblGrid>
        <w:gridCol w:w="2977"/>
        <w:gridCol w:w="567"/>
        <w:gridCol w:w="1985"/>
        <w:gridCol w:w="567"/>
        <w:gridCol w:w="2268"/>
        <w:gridCol w:w="566"/>
      </w:tblGrid>
      <w:tr w:rsidR="00301A27" w14:paraId="25D8F3F9"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443DEAD1" w14:textId="77777777" w:rsidR="00E60C53" w:rsidRPr="006C0D5F" w:rsidRDefault="00E60C53">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Level of impact</w:t>
            </w:r>
          </w:p>
        </w:tc>
        <w:tc>
          <w:tcPr>
            <w:tcW w:w="567" w:type="dxa"/>
          </w:tcPr>
          <w:p w14:paraId="166619FD" w14:textId="6C0A39F7" w:rsidR="00E60C53" w:rsidRPr="006C0D5F" w:rsidRDefault="00E60C53">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3</w:t>
            </w:r>
          </w:p>
        </w:tc>
        <w:tc>
          <w:tcPr>
            <w:tcW w:w="1985" w:type="dxa"/>
            <w:shd w:val="clear" w:color="auto" w:fill="00264D" w:themeFill="background2"/>
          </w:tcPr>
          <w:p w14:paraId="65FFAC04" w14:textId="77777777" w:rsidR="00E60C53" w:rsidRPr="006C0D5F" w:rsidRDefault="00E60C53">
            <w:pPr>
              <w:rPr>
                <w:rFonts w:asciiTheme="minorHAnsi" w:eastAsia="Segoe UI" w:hAnsiTheme="minorHAnsi" w:cstheme="minorHAnsi"/>
                <w:color w:val="FFFFFF" w:themeColor="background1"/>
                <w:sz w:val="18"/>
                <w:szCs w:val="18"/>
                <w:lang w:eastAsia="en-AU"/>
              </w:rPr>
            </w:pPr>
            <w:r w:rsidRPr="006C0D5F">
              <w:rPr>
                <w:rFonts w:asciiTheme="minorHAnsi" w:eastAsia="Segoe UI" w:hAnsiTheme="minorHAnsi" w:cstheme="minorHAnsi"/>
                <w:color w:val="FFFFFF" w:themeColor="background1"/>
                <w:sz w:val="18"/>
                <w:szCs w:val="18"/>
                <w:lang w:eastAsia="en-AU"/>
              </w:rPr>
              <w:t>Extent of impact</w:t>
            </w:r>
          </w:p>
        </w:tc>
        <w:tc>
          <w:tcPr>
            <w:tcW w:w="567" w:type="dxa"/>
          </w:tcPr>
          <w:p w14:paraId="1C76FCA2" w14:textId="4E0B88C4" w:rsidR="00E60C53" w:rsidRPr="006C0D5F" w:rsidRDefault="00E60C53">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2.5</w:t>
            </w:r>
          </w:p>
        </w:tc>
        <w:tc>
          <w:tcPr>
            <w:tcW w:w="2268" w:type="dxa"/>
            <w:shd w:val="clear" w:color="auto" w:fill="00264D" w:themeFill="background2"/>
          </w:tcPr>
          <w:p w14:paraId="1BC68AE7" w14:textId="77777777" w:rsidR="00E60C53" w:rsidRPr="006C0D5F" w:rsidRDefault="00E60C53">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Sub-problem rating</w:t>
            </w:r>
          </w:p>
        </w:tc>
        <w:tc>
          <w:tcPr>
            <w:tcW w:w="566" w:type="dxa"/>
          </w:tcPr>
          <w:p w14:paraId="2ACB6E4D" w14:textId="605DB2BD" w:rsidR="00E60C53" w:rsidRPr="006C0D5F" w:rsidRDefault="00E60C53">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7.5</w:t>
            </w:r>
          </w:p>
        </w:tc>
      </w:tr>
    </w:tbl>
    <w:p w14:paraId="0123B301" w14:textId="77777777" w:rsidR="00E60C53" w:rsidRPr="00C86AFD" w:rsidRDefault="00E60C53" w:rsidP="009824FA">
      <w:pPr>
        <w:rPr>
          <w:rFonts w:ascii="Segoe UI Semibold" w:eastAsia="Times New Roman" w:hAnsi="Segoe UI Semibold" w:cs="Times New Roman"/>
          <w:color w:val="00264D" w:themeColor="background2"/>
          <w:sz w:val="22"/>
          <w:szCs w:val="19"/>
          <w:lang w:eastAsia="en-AU"/>
        </w:rPr>
      </w:pPr>
    </w:p>
    <w:p w14:paraId="21388C42" w14:textId="606535CD" w:rsidR="00923BE4" w:rsidRPr="00554B84" w:rsidRDefault="00923BE4" w:rsidP="00923BE4">
      <w:r>
        <w:rPr>
          <w:rFonts w:cs="Segoe UI"/>
          <w:color w:val="000000"/>
          <w:szCs w:val="19"/>
        </w:rPr>
        <w:t xml:space="preserve">Current processes for changing or creating food standards present a range of issues. </w:t>
      </w:r>
      <w:r w:rsidRPr="00186902">
        <w:t>Approximately half of all proposals and applications made to FSANZ each year relate to minor processing aid amendments, including relating to substances that have been approved in other international food systems</w:t>
      </w:r>
      <w:r w:rsidR="00F13050">
        <w:t>.</w:t>
      </w:r>
      <w:r>
        <w:rPr>
          <w:rStyle w:val="FootnoteReference"/>
        </w:rPr>
        <w:footnoteReference w:id="25"/>
      </w:r>
      <w:r w:rsidRPr="00186902">
        <w:t xml:space="preserve"> </w:t>
      </w:r>
      <w:r w:rsidR="008003BD" w:rsidRPr="008003BD">
        <w:t>These processes and decision-making arrangements are enshrined in legislation and must be observed.</w:t>
      </w:r>
    </w:p>
    <w:p w14:paraId="11698F41" w14:textId="77777777" w:rsidR="00923BE4" w:rsidRPr="00186902" w:rsidRDefault="00923BE4" w:rsidP="00923BE4">
      <w:r w:rsidRPr="00186902">
        <w:t xml:space="preserve">Currently, FSANZ is required to follow a similarly rigid process for all applications and proposals, regardless of the level of </w:t>
      </w:r>
      <w:r>
        <w:t>ris</w:t>
      </w:r>
      <w:r w:rsidRPr="00186902">
        <w:t xml:space="preserve">k involved. </w:t>
      </w:r>
      <w:r>
        <w:t xml:space="preserve">For example, FSANZ must go through the same steps to approve low-risk food processing aids as it does to approve more complex changes, such as infant formula compositions. </w:t>
      </w:r>
      <w:r w:rsidRPr="00186902">
        <w:t xml:space="preserve">FSANZ also has limited ability to adjust its approach or change the procedure or timeframes after initial assessment if new information or data becomes available. </w:t>
      </w:r>
    </w:p>
    <w:p w14:paraId="19A96AD6" w14:textId="731477DA" w:rsidR="00923BE4" w:rsidRDefault="00923BE4" w:rsidP="00995AB5">
      <w:r w:rsidRPr="00186902">
        <w:t xml:space="preserve">This approach represents an inefficient use of </w:t>
      </w:r>
      <w:r w:rsidR="004E4D63">
        <w:t>FSANZ’</w:t>
      </w:r>
      <w:r w:rsidR="009F3151">
        <w:t>s</w:t>
      </w:r>
      <w:r w:rsidRPr="00186902">
        <w:t xml:space="preserve"> limited resources and contributes to the long timeframes in progressing some applications and proposals. </w:t>
      </w:r>
      <w:r>
        <w:t xml:space="preserve">It also represents considerable burden on industry due to the time and costs involved in preparing detailed applications, as well as opportunity costs associated with delays to bring products to market. This barrier is particularly pronounced for smaller businesses and First Nations and Māori food enterprises, where securing funding for scientific assessments and managing delayed market access are more likely to be barriers to commercial access and success. </w:t>
      </w:r>
    </w:p>
    <w:p w14:paraId="3EE57A05" w14:textId="65EDB653" w:rsidR="00F118BB" w:rsidRPr="00F118BB" w:rsidRDefault="00F118BB" w:rsidP="00F118BB">
      <w:pPr>
        <w:rPr>
          <w:rStyle w:val="cf01"/>
          <w:sz w:val="19"/>
          <w:szCs w:val="19"/>
        </w:rPr>
      </w:pPr>
      <w:r w:rsidRPr="00F118BB">
        <w:rPr>
          <w:rStyle w:val="cf01"/>
          <w:sz w:val="19"/>
          <w:szCs w:val="19"/>
        </w:rPr>
        <w:t xml:space="preserve">FSANZ completes </w:t>
      </w:r>
      <w:proofErr w:type="gramStart"/>
      <w:r w:rsidRPr="00F118BB">
        <w:rPr>
          <w:rStyle w:val="cf01"/>
          <w:sz w:val="19"/>
          <w:szCs w:val="19"/>
        </w:rPr>
        <w:t>the vast majority of</w:t>
      </w:r>
      <w:proofErr w:type="gramEnd"/>
      <w:r w:rsidRPr="00F118BB">
        <w:rPr>
          <w:rStyle w:val="cf01"/>
          <w:sz w:val="19"/>
          <w:szCs w:val="19"/>
        </w:rPr>
        <w:t xml:space="preserve"> its applications within the prescribed statutory timeframes. Extensive delays </w:t>
      </w:r>
      <w:proofErr w:type="gramStart"/>
      <w:r w:rsidRPr="00F118BB">
        <w:rPr>
          <w:rStyle w:val="cf01"/>
          <w:sz w:val="19"/>
          <w:szCs w:val="19"/>
        </w:rPr>
        <w:t>as a result of</w:t>
      </w:r>
      <w:proofErr w:type="gramEnd"/>
      <w:r w:rsidRPr="00F118BB">
        <w:rPr>
          <w:rStyle w:val="cf01"/>
          <w:sz w:val="19"/>
          <w:szCs w:val="19"/>
        </w:rPr>
        <w:t xml:space="preserve"> the intersection between the FSANZ Act requirements, Ministerial Policy guidelines, best available evidence complexities in assessment, accommodating submitter views and resources are rare for applications - for example, application A1155 was approved by the FSANZ Board, and concerned the addition of oligosaccharides from genetically modified bacteria to infant formula and formulated supplementary foods for young people. The </w:t>
      </w:r>
      <w:r w:rsidR="0030787E">
        <w:rPr>
          <w:rStyle w:val="cf01"/>
          <w:sz w:val="19"/>
          <w:szCs w:val="19"/>
        </w:rPr>
        <w:t>FMM</w:t>
      </w:r>
      <w:r w:rsidRPr="00F118BB">
        <w:rPr>
          <w:rStyle w:val="cf01"/>
          <w:sz w:val="19"/>
          <w:szCs w:val="19"/>
        </w:rPr>
        <w:t xml:space="preserve"> sought a review in February 2020, but was only accepted (with amendments) in late November 2020. This was despite the substances in question having already been fully approved in several comparable foreign jurisdictions. </w:t>
      </w:r>
    </w:p>
    <w:p w14:paraId="13744C64" w14:textId="3433B64D" w:rsidR="00923BE4" w:rsidRPr="00BE386A" w:rsidRDefault="00BE386A" w:rsidP="00923BE4">
      <w:r>
        <w:rPr>
          <w:szCs w:val="19"/>
        </w:rPr>
        <w:lastRenderedPageBreak/>
        <w:t>Separately, a tailored</w:t>
      </w:r>
      <w:r w:rsidR="009B7A02">
        <w:rPr>
          <w:szCs w:val="19"/>
        </w:rPr>
        <w:t xml:space="preserve"> pathway exists in the Act for introducing new high-level health claims on food labels. In recent years, this pathway has not been used at all, and stakeholders have suggested that </w:t>
      </w:r>
      <w:r>
        <w:rPr>
          <w:szCs w:val="19"/>
        </w:rPr>
        <w:t xml:space="preserve">these provisions simply add to the stock of regulations and </w:t>
      </w:r>
      <w:r w:rsidR="009B7A02">
        <w:rPr>
          <w:szCs w:val="19"/>
        </w:rPr>
        <w:t xml:space="preserve">such amendments could be made through other pathways, should </w:t>
      </w:r>
      <w:r>
        <w:rPr>
          <w:szCs w:val="19"/>
        </w:rPr>
        <w:t xml:space="preserve">they </w:t>
      </w:r>
      <w:r w:rsidR="009B7A02">
        <w:rPr>
          <w:szCs w:val="19"/>
        </w:rPr>
        <w:t xml:space="preserve">be sought in the future. </w:t>
      </w:r>
    </w:p>
    <w:p w14:paraId="1FA03875" w14:textId="7A35BD1A" w:rsidR="006070DA" w:rsidRPr="00521363" w:rsidRDefault="00923BE4" w:rsidP="006070DA">
      <w:r>
        <w:t xml:space="preserve">Under the current legislation, all draft standards or variations must be approved by the FSANZ Board before being ratified by the FMM. </w:t>
      </w:r>
      <w:r w:rsidR="00672BC7">
        <w:t xml:space="preserve">This responds to unusual arrangement where changes to the Food Code are automatically adopted into jurisdictions’ Food Acts by reference. This approach can ensure that standards ultimately represent the balanced interests of industry, </w:t>
      </w:r>
      <w:proofErr w:type="gramStart"/>
      <w:r w:rsidR="00672BC7">
        <w:t>consumers</w:t>
      </w:r>
      <w:proofErr w:type="gramEnd"/>
      <w:r w:rsidR="00672BC7">
        <w:t xml:space="preserve"> and other stakeholders,</w:t>
      </w:r>
      <w:r w:rsidR="000D25F0">
        <w:t xml:space="preserve"> however,</w:t>
      </w:r>
      <w:r w:rsidR="00672BC7">
        <w:t xml:space="preserve"> it doesn’t facilitate risk-based practices and necessarily make best use of such a high-profile and powerful forum. For example, Ministers themselves may have limited views on very minor or technical amendments to food standards (such as processing aids), although subject matter experts within their departments may be better </w:t>
      </w:r>
      <w:r w:rsidR="000D25F0">
        <w:t xml:space="preserve">placed to advise on </w:t>
      </w:r>
      <w:r w:rsidR="00CE2480">
        <w:t xml:space="preserve">relevant implications for their own </w:t>
      </w:r>
      <w:r w:rsidR="0057576C">
        <w:t>regulatory environments</w:t>
      </w:r>
      <w:r w:rsidR="00672BC7">
        <w:t xml:space="preserve">. </w:t>
      </w:r>
    </w:p>
    <w:p w14:paraId="451B2A5A" w14:textId="71F897D8" w:rsidR="009320EF" w:rsidRDefault="009320EF" w:rsidP="00BE7252">
      <w:pPr>
        <w:pStyle w:val="Heading4"/>
      </w:pPr>
      <w:r>
        <w:t xml:space="preserve">Sub-problem 2 | </w:t>
      </w:r>
      <w:r w:rsidR="0067727F">
        <w:t xml:space="preserve">Current requirements create barriers for Indigenous foods to be brought to </w:t>
      </w:r>
      <w:proofErr w:type="gramStart"/>
      <w:r w:rsidR="0067727F">
        <w:t>market</w:t>
      </w:r>
      <w:proofErr w:type="gramEnd"/>
    </w:p>
    <w:tbl>
      <w:tblPr>
        <w:tblStyle w:val="TableGrid"/>
        <w:tblW w:w="0" w:type="auto"/>
        <w:tblLook w:val="04A0" w:firstRow="1" w:lastRow="0" w:firstColumn="1" w:lastColumn="0" w:noHBand="0" w:noVBand="1"/>
      </w:tblPr>
      <w:tblGrid>
        <w:gridCol w:w="2977"/>
        <w:gridCol w:w="567"/>
        <w:gridCol w:w="1985"/>
        <w:gridCol w:w="567"/>
        <w:gridCol w:w="2268"/>
        <w:gridCol w:w="566"/>
      </w:tblGrid>
      <w:tr w:rsidR="00301A27" w14:paraId="2D2605C3" w14:textId="77777777" w:rsidTr="00BB1DAF">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28B8C09A" w14:textId="77777777" w:rsidR="0014730D" w:rsidRPr="006C0D5F" w:rsidRDefault="0014730D" w:rsidP="00BB1DAF">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Level of impact</w:t>
            </w:r>
          </w:p>
        </w:tc>
        <w:tc>
          <w:tcPr>
            <w:tcW w:w="567" w:type="dxa"/>
          </w:tcPr>
          <w:p w14:paraId="52C1A7A4" w14:textId="7ACEA15B" w:rsidR="0014730D" w:rsidRPr="006C0D5F" w:rsidRDefault="0014730D" w:rsidP="00BB1DAF">
            <w:pPr>
              <w:rPr>
                <w:rFonts w:asciiTheme="minorHAnsi" w:eastAsia="Segoe UI" w:hAnsiTheme="minorHAnsi" w:cstheme="minorHAnsi"/>
                <w:sz w:val="18"/>
                <w:szCs w:val="18"/>
                <w:lang w:eastAsia="en-AU"/>
              </w:rPr>
            </w:pPr>
            <w:r>
              <w:rPr>
                <w:rFonts w:asciiTheme="minorHAnsi" w:eastAsia="Segoe UI" w:hAnsiTheme="minorHAnsi" w:cstheme="minorHAnsi"/>
                <w:sz w:val="18"/>
                <w:szCs w:val="18"/>
                <w:lang w:eastAsia="en-AU"/>
              </w:rPr>
              <w:t>2</w:t>
            </w:r>
          </w:p>
        </w:tc>
        <w:tc>
          <w:tcPr>
            <w:tcW w:w="1985" w:type="dxa"/>
            <w:shd w:val="clear" w:color="auto" w:fill="00264D" w:themeFill="background2"/>
          </w:tcPr>
          <w:p w14:paraId="6A49144B" w14:textId="77777777" w:rsidR="0014730D" w:rsidRPr="006C0D5F" w:rsidRDefault="0014730D" w:rsidP="00BB1DAF">
            <w:pPr>
              <w:rPr>
                <w:rFonts w:asciiTheme="minorHAnsi" w:eastAsia="Segoe UI" w:hAnsiTheme="minorHAnsi" w:cstheme="minorHAnsi"/>
                <w:color w:val="FFFFFF" w:themeColor="background1"/>
                <w:sz w:val="18"/>
                <w:szCs w:val="18"/>
                <w:lang w:eastAsia="en-AU"/>
              </w:rPr>
            </w:pPr>
            <w:r w:rsidRPr="006C0D5F">
              <w:rPr>
                <w:rFonts w:asciiTheme="minorHAnsi" w:eastAsia="Segoe UI" w:hAnsiTheme="minorHAnsi" w:cstheme="minorHAnsi"/>
                <w:color w:val="FFFFFF" w:themeColor="background1"/>
                <w:sz w:val="18"/>
                <w:szCs w:val="18"/>
                <w:lang w:eastAsia="en-AU"/>
              </w:rPr>
              <w:t>Extent of impact</w:t>
            </w:r>
          </w:p>
        </w:tc>
        <w:tc>
          <w:tcPr>
            <w:tcW w:w="567" w:type="dxa"/>
          </w:tcPr>
          <w:p w14:paraId="109C79A9" w14:textId="0AFAC014" w:rsidR="0014730D" w:rsidRPr="006C0D5F" w:rsidRDefault="0014730D" w:rsidP="00BB1DAF">
            <w:pPr>
              <w:rPr>
                <w:rFonts w:asciiTheme="minorHAnsi" w:eastAsia="Segoe UI" w:hAnsiTheme="minorHAnsi" w:cstheme="minorHAnsi"/>
                <w:sz w:val="18"/>
                <w:szCs w:val="18"/>
                <w:lang w:eastAsia="en-AU"/>
              </w:rPr>
            </w:pPr>
            <w:r>
              <w:rPr>
                <w:rFonts w:asciiTheme="minorHAnsi" w:eastAsia="Segoe UI" w:hAnsiTheme="minorHAnsi" w:cstheme="minorHAnsi"/>
                <w:sz w:val="18"/>
                <w:szCs w:val="18"/>
                <w:lang w:eastAsia="en-AU"/>
              </w:rPr>
              <w:t>2</w:t>
            </w:r>
          </w:p>
        </w:tc>
        <w:tc>
          <w:tcPr>
            <w:tcW w:w="2268" w:type="dxa"/>
            <w:shd w:val="clear" w:color="auto" w:fill="00264D" w:themeFill="background2"/>
          </w:tcPr>
          <w:p w14:paraId="5DF3F7E6" w14:textId="77777777" w:rsidR="0014730D" w:rsidRPr="006C0D5F" w:rsidRDefault="0014730D" w:rsidP="00BB1DAF">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Sub-problem rating</w:t>
            </w:r>
          </w:p>
        </w:tc>
        <w:tc>
          <w:tcPr>
            <w:tcW w:w="566" w:type="dxa"/>
          </w:tcPr>
          <w:p w14:paraId="737A1289" w14:textId="4DD4F002" w:rsidR="0014730D" w:rsidRPr="006C0D5F" w:rsidRDefault="0014730D" w:rsidP="00BB1DAF">
            <w:pPr>
              <w:rPr>
                <w:rFonts w:asciiTheme="minorHAnsi" w:eastAsia="Segoe UI" w:hAnsiTheme="minorHAnsi" w:cstheme="minorHAnsi"/>
                <w:sz w:val="18"/>
                <w:szCs w:val="18"/>
                <w:lang w:eastAsia="en-AU"/>
              </w:rPr>
            </w:pPr>
            <w:r>
              <w:rPr>
                <w:rFonts w:asciiTheme="minorHAnsi" w:eastAsia="Segoe UI" w:hAnsiTheme="minorHAnsi" w:cstheme="minorHAnsi"/>
                <w:sz w:val="18"/>
                <w:szCs w:val="18"/>
                <w:lang w:eastAsia="en-AU"/>
              </w:rPr>
              <w:t>4</w:t>
            </w:r>
          </w:p>
        </w:tc>
      </w:tr>
    </w:tbl>
    <w:p w14:paraId="5DA1CA63" w14:textId="77777777" w:rsidR="0014730D" w:rsidRDefault="0014730D" w:rsidP="00923BE4">
      <w:pPr>
        <w:rPr>
          <w:rFonts w:ascii="Segoe UI Semibold" w:eastAsia="Times New Roman" w:hAnsi="Segoe UI Semibold" w:cs="Times New Roman"/>
          <w:color w:val="00264D" w:themeColor="background2"/>
          <w:sz w:val="22"/>
          <w:szCs w:val="19"/>
          <w:lang w:eastAsia="en-AU"/>
        </w:rPr>
      </w:pPr>
    </w:p>
    <w:p w14:paraId="3A310092" w14:textId="0E9D341B" w:rsidR="00223E6E" w:rsidRDefault="00223E6E" w:rsidP="00223E6E">
      <w:pPr>
        <w:rPr>
          <w:lang w:eastAsia="en-AU"/>
        </w:rPr>
      </w:pPr>
      <w:r>
        <w:rPr>
          <w:lang w:eastAsia="en-AU"/>
        </w:rPr>
        <w:t xml:space="preserve">Under current settings, particular diets and health needs of First Nations and Māori </w:t>
      </w:r>
      <w:r w:rsidR="000F1825">
        <w:rPr>
          <w:lang w:eastAsia="en-AU"/>
        </w:rPr>
        <w:t xml:space="preserve">Peoples </w:t>
      </w:r>
      <w:r>
        <w:rPr>
          <w:lang w:eastAsia="en-AU"/>
        </w:rPr>
        <w:t>are not explicitly accounted for. Indigenous businesses may also face barriers to bringing traditional foods to market, where Indigenous businesses may not have the information or resources to navigate the current application process.</w:t>
      </w:r>
    </w:p>
    <w:p w14:paraId="04EFB38A" w14:textId="77777777" w:rsidR="00223E6E" w:rsidRDefault="00223E6E" w:rsidP="00223E6E">
      <w:pPr>
        <w:rPr>
          <w:lang w:eastAsia="en-AU"/>
        </w:rPr>
      </w:pPr>
      <w:r>
        <w:rPr>
          <w:lang w:eastAsia="en-AU"/>
        </w:rPr>
        <w:t xml:space="preserve">To date, limited concerted effort has been made to proactively assess common traditional foods for their safety and confirm their suitability to be introduced to Australian and New Zealand markets. </w:t>
      </w:r>
    </w:p>
    <w:p w14:paraId="285945DB" w14:textId="0B6D6610" w:rsidR="0067727F" w:rsidRPr="0014730D" w:rsidRDefault="00223E6E" w:rsidP="00923BE4">
      <w:r>
        <w:rPr>
          <w:lang w:eastAsia="en-AU"/>
        </w:rPr>
        <w:t xml:space="preserve">This means that FSANZ can be poorly equipped to support Indigenous food businesses to be commercially successful, even when traditional foods have been deemed ‘safe’.  </w:t>
      </w:r>
    </w:p>
    <w:p w14:paraId="7D852C17" w14:textId="392098D9" w:rsidR="00EE62DF" w:rsidRDefault="007B5654" w:rsidP="00BE7252">
      <w:pPr>
        <w:pStyle w:val="Heading4"/>
      </w:pPr>
      <w:r>
        <w:t xml:space="preserve">Sub-problem </w:t>
      </w:r>
      <w:r w:rsidR="0014730D">
        <w:t>3</w:t>
      </w:r>
      <w:r>
        <w:t xml:space="preserve"> | </w:t>
      </w:r>
      <w:r w:rsidR="00945EE7">
        <w:t xml:space="preserve">Resourcing constraints </w:t>
      </w:r>
      <w:r w:rsidR="00A746A5">
        <w:t xml:space="preserve">have effectively </w:t>
      </w:r>
      <w:proofErr w:type="spellStart"/>
      <w:r w:rsidR="00A746A5">
        <w:t>preferenced</w:t>
      </w:r>
      <w:proofErr w:type="spellEnd"/>
      <w:r w:rsidR="00A746A5">
        <w:t xml:space="preserve"> p</w:t>
      </w:r>
      <w:r w:rsidR="00EE62DF" w:rsidRPr="00EE62DF">
        <w:t xml:space="preserve">iecemeal changes to food standards </w:t>
      </w:r>
      <w:r w:rsidR="00A746A5">
        <w:t xml:space="preserve">over holistic reviews </w:t>
      </w:r>
    </w:p>
    <w:tbl>
      <w:tblPr>
        <w:tblStyle w:val="TableGrid"/>
        <w:tblW w:w="0" w:type="auto"/>
        <w:tblLook w:val="04A0" w:firstRow="1" w:lastRow="0" w:firstColumn="1" w:lastColumn="0" w:noHBand="0" w:noVBand="1"/>
      </w:tblPr>
      <w:tblGrid>
        <w:gridCol w:w="2977"/>
        <w:gridCol w:w="567"/>
        <w:gridCol w:w="1985"/>
        <w:gridCol w:w="567"/>
        <w:gridCol w:w="2268"/>
        <w:gridCol w:w="566"/>
      </w:tblGrid>
      <w:tr w:rsidR="00301A27" w14:paraId="2ADB490A"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20C5FCE7" w14:textId="77777777" w:rsidR="00AD10DE" w:rsidRPr="006C0D5F" w:rsidRDefault="00AD10DE">
            <w:pPr>
              <w:rPr>
                <w:rFonts w:asciiTheme="minorHAnsi" w:eastAsia="Segoe UI" w:hAnsiTheme="minorHAnsi" w:cstheme="minorHAnsi"/>
                <w:sz w:val="18"/>
                <w:szCs w:val="18"/>
                <w:lang w:eastAsia="en-AU"/>
              </w:rPr>
            </w:pPr>
            <w:bookmarkStart w:id="40" w:name="_Hlk149494697"/>
            <w:r w:rsidRPr="006C0D5F">
              <w:rPr>
                <w:rFonts w:asciiTheme="minorHAnsi" w:eastAsia="Segoe UI" w:hAnsiTheme="minorHAnsi" w:cstheme="minorHAnsi"/>
                <w:color w:val="FFFFFF" w:themeColor="background1"/>
                <w:sz w:val="18"/>
                <w:szCs w:val="18"/>
                <w:lang w:eastAsia="en-AU"/>
              </w:rPr>
              <w:t>Level of impact</w:t>
            </w:r>
          </w:p>
        </w:tc>
        <w:tc>
          <w:tcPr>
            <w:tcW w:w="567" w:type="dxa"/>
          </w:tcPr>
          <w:p w14:paraId="6683EE8D" w14:textId="77777777" w:rsidR="00AD10DE" w:rsidRPr="006C0D5F" w:rsidRDefault="00AD10DE">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3</w:t>
            </w:r>
          </w:p>
        </w:tc>
        <w:tc>
          <w:tcPr>
            <w:tcW w:w="1985" w:type="dxa"/>
            <w:shd w:val="clear" w:color="auto" w:fill="00264D" w:themeFill="background2"/>
          </w:tcPr>
          <w:p w14:paraId="6E637FBF" w14:textId="77777777" w:rsidR="00AD10DE" w:rsidRPr="006C0D5F" w:rsidRDefault="00AD10DE">
            <w:pPr>
              <w:rPr>
                <w:rFonts w:asciiTheme="minorHAnsi" w:eastAsia="Segoe UI" w:hAnsiTheme="minorHAnsi" w:cstheme="minorHAnsi"/>
                <w:color w:val="FFFFFF" w:themeColor="background1"/>
                <w:sz w:val="18"/>
                <w:szCs w:val="18"/>
                <w:lang w:eastAsia="en-AU"/>
              </w:rPr>
            </w:pPr>
            <w:r w:rsidRPr="006C0D5F">
              <w:rPr>
                <w:rFonts w:asciiTheme="minorHAnsi" w:eastAsia="Segoe UI" w:hAnsiTheme="minorHAnsi" w:cstheme="minorHAnsi"/>
                <w:color w:val="FFFFFF" w:themeColor="background1"/>
                <w:sz w:val="18"/>
                <w:szCs w:val="18"/>
                <w:lang w:eastAsia="en-AU"/>
              </w:rPr>
              <w:t>Extent of impact</w:t>
            </w:r>
          </w:p>
        </w:tc>
        <w:tc>
          <w:tcPr>
            <w:tcW w:w="567" w:type="dxa"/>
          </w:tcPr>
          <w:p w14:paraId="7A28AB22" w14:textId="29B9C024" w:rsidR="00AD10DE" w:rsidRPr="006C0D5F" w:rsidRDefault="00AD10DE">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3</w:t>
            </w:r>
          </w:p>
        </w:tc>
        <w:tc>
          <w:tcPr>
            <w:tcW w:w="2268" w:type="dxa"/>
            <w:shd w:val="clear" w:color="auto" w:fill="00264D" w:themeFill="background2"/>
          </w:tcPr>
          <w:p w14:paraId="053A3529" w14:textId="77777777" w:rsidR="00AD10DE" w:rsidRPr="006C0D5F" w:rsidRDefault="00AD10DE">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Sub-problem rating</w:t>
            </w:r>
          </w:p>
        </w:tc>
        <w:tc>
          <w:tcPr>
            <w:tcW w:w="566" w:type="dxa"/>
          </w:tcPr>
          <w:p w14:paraId="25161879" w14:textId="2E83323A" w:rsidR="00AD10DE" w:rsidRPr="006C0D5F" w:rsidRDefault="00AD10DE">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9</w:t>
            </w:r>
          </w:p>
        </w:tc>
      </w:tr>
      <w:bookmarkEnd w:id="40"/>
    </w:tbl>
    <w:p w14:paraId="23FF9902" w14:textId="77777777" w:rsidR="00AD10DE" w:rsidRDefault="00AD10DE" w:rsidP="00923BE4">
      <w:pPr>
        <w:rPr>
          <w:rFonts w:ascii="Segoe UI Semibold" w:eastAsia="Times New Roman" w:hAnsi="Segoe UI Semibold" w:cs="Times New Roman"/>
          <w:color w:val="00264D" w:themeColor="background2"/>
          <w:sz w:val="22"/>
          <w:szCs w:val="19"/>
          <w:lang w:eastAsia="en-AU"/>
        </w:rPr>
      </w:pPr>
    </w:p>
    <w:p w14:paraId="4B922079" w14:textId="0828476A" w:rsidR="0001215F" w:rsidRDefault="00AC0C28" w:rsidP="00EE62DF">
      <w:pPr>
        <w:rPr>
          <w:lang w:eastAsia="en-AU"/>
        </w:rPr>
      </w:pPr>
      <w:r>
        <w:rPr>
          <w:lang w:eastAsia="en-AU"/>
        </w:rPr>
        <w:t xml:space="preserve">Section </w:t>
      </w:r>
      <w:r w:rsidR="00087981">
        <w:rPr>
          <w:lang w:eastAsia="en-AU"/>
        </w:rPr>
        <w:t>55</w:t>
      </w:r>
      <w:r>
        <w:rPr>
          <w:lang w:eastAsia="en-AU"/>
        </w:rPr>
        <w:t xml:space="preserve"> of the Act provides for FSANZ </w:t>
      </w:r>
      <w:r w:rsidR="003A4D9E">
        <w:rPr>
          <w:lang w:eastAsia="en-AU"/>
        </w:rPr>
        <w:t>to raise proposals to revise any or all parts of the Food Standards Code</w:t>
      </w:r>
      <w:r w:rsidR="004A0C07">
        <w:rPr>
          <w:lang w:eastAsia="en-AU"/>
        </w:rPr>
        <w:t xml:space="preserve">, including wholescale </w:t>
      </w:r>
      <w:r w:rsidR="009E4733">
        <w:rPr>
          <w:lang w:eastAsia="en-AU"/>
        </w:rPr>
        <w:t xml:space="preserve">updates to Food Standards. </w:t>
      </w:r>
      <w:r w:rsidR="008D7459">
        <w:rPr>
          <w:lang w:eastAsia="en-AU"/>
        </w:rPr>
        <w:t>Holistic reviews</w:t>
      </w:r>
      <w:r w:rsidR="0076562F">
        <w:rPr>
          <w:lang w:eastAsia="en-AU"/>
        </w:rPr>
        <w:t>,</w:t>
      </w:r>
      <w:r w:rsidR="008D7459">
        <w:rPr>
          <w:lang w:eastAsia="en-AU"/>
        </w:rPr>
        <w:t xml:space="preserve"> however, are relatively rare and often take significant periods of time to complete. </w:t>
      </w:r>
    </w:p>
    <w:p w14:paraId="423D9B05" w14:textId="6EABA4AC" w:rsidR="006A49AF" w:rsidRDefault="00536E4A" w:rsidP="00EE62DF">
      <w:pPr>
        <w:rPr>
          <w:lang w:eastAsia="en-AU"/>
        </w:rPr>
      </w:pPr>
      <w:r>
        <w:rPr>
          <w:lang w:eastAsia="en-AU"/>
        </w:rPr>
        <w:t>The barriers at hand are not legislative in nature, but rather reflect</w:t>
      </w:r>
      <w:r w:rsidR="00B44E5B">
        <w:rPr>
          <w:lang w:eastAsia="en-AU"/>
        </w:rPr>
        <w:t xml:space="preserve"> the fact</w:t>
      </w:r>
      <w:r>
        <w:rPr>
          <w:lang w:eastAsia="en-AU"/>
        </w:rPr>
        <w:t xml:space="preserve"> that FSANZ is operating in a resource constrained environment</w:t>
      </w:r>
      <w:r w:rsidR="00CE7DCC">
        <w:rPr>
          <w:lang w:eastAsia="en-AU"/>
        </w:rPr>
        <w:t xml:space="preserve"> and is not able to prioritise such proposals.</w:t>
      </w:r>
      <w:r w:rsidR="00783105">
        <w:rPr>
          <w:lang w:eastAsia="en-AU"/>
        </w:rPr>
        <w:t xml:space="preserve"> </w:t>
      </w:r>
      <w:r w:rsidR="00E803FF">
        <w:rPr>
          <w:lang w:eastAsia="en-AU"/>
        </w:rPr>
        <w:t>A consequence of this is that when a food product is assessed in isolation</w:t>
      </w:r>
      <w:r w:rsidR="007B1A90">
        <w:rPr>
          <w:lang w:eastAsia="en-AU"/>
        </w:rPr>
        <w:t xml:space="preserve"> </w:t>
      </w:r>
      <w:r w:rsidR="00C61DEA">
        <w:rPr>
          <w:lang w:eastAsia="en-AU"/>
        </w:rPr>
        <w:t>(</w:t>
      </w:r>
      <w:proofErr w:type="gramStart"/>
      <w:r w:rsidR="00783105">
        <w:rPr>
          <w:lang w:eastAsia="en-AU"/>
        </w:rPr>
        <w:t>e.g.</w:t>
      </w:r>
      <w:proofErr w:type="gramEnd"/>
      <w:r w:rsidR="007B1A90">
        <w:rPr>
          <w:lang w:eastAsia="en-AU"/>
        </w:rPr>
        <w:t xml:space="preserve"> pursuant to an application)</w:t>
      </w:r>
      <w:r w:rsidR="00E803FF">
        <w:rPr>
          <w:lang w:eastAsia="en-AU"/>
        </w:rPr>
        <w:t xml:space="preserve">, they may be deemed safe and suitable for the Australian and New Zealand markets. However, </w:t>
      </w:r>
      <w:r w:rsidR="005F1DAA">
        <w:rPr>
          <w:lang w:eastAsia="en-AU"/>
        </w:rPr>
        <w:t xml:space="preserve">individuals may consume such products in </w:t>
      </w:r>
      <w:r w:rsidR="00BD7985">
        <w:rPr>
          <w:lang w:eastAsia="en-AU"/>
        </w:rPr>
        <w:t xml:space="preserve">changing quantities over time, which means that an assessment made years ago may no longer be accurate. </w:t>
      </w:r>
      <w:r w:rsidR="00FD722E">
        <w:rPr>
          <w:lang w:eastAsia="en-AU"/>
        </w:rPr>
        <w:t xml:space="preserve">For example, </w:t>
      </w:r>
      <w:r w:rsidR="00286692">
        <w:rPr>
          <w:lang w:eastAsia="en-AU"/>
        </w:rPr>
        <w:t xml:space="preserve">various studies have linked increased exposure to food additives </w:t>
      </w:r>
      <w:r w:rsidR="00B5468C">
        <w:rPr>
          <w:lang w:eastAsia="en-AU"/>
        </w:rPr>
        <w:t xml:space="preserve">over </w:t>
      </w:r>
      <w:r w:rsidR="00B5468C">
        <w:rPr>
          <w:lang w:eastAsia="en-AU"/>
        </w:rPr>
        <w:lastRenderedPageBreak/>
        <w:t xml:space="preserve">time with health issues such as asthma, attention deficit hyperactivity disorder, heart difficulties, </w:t>
      </w:r>
      <w:proofErr w:type="gramStart"/>
      <w:r w:rsidR="00B5468C">
        <w:rPr>
          <w:lang w:eastAsia="en-AU"/>
        </w:rPr>
        <w:t>cancer</w:t>
      </w:r>
      <w:proofErr w:type="gramEnd"/>
      <w:r w:rsidR="00B5468C">
        <w:rPr>
          <w:lang w:eastAsia="en-AU"/>
        </w:rPr>
        <w:t xml:space="preserve"> and obesity.</w:t>
      </w:r>
      <w:r w:rsidR="00235A9D">
        <w:rPr>
          <w:rFonts w:ascii="ZWAdobeF" w:hAnsi="ZWAdobeF" w:cs="ZWAdobeF"/>
          <w:sz w:val="2"/>
          <w:szCs w:val="2"/>
          <w:lang w:eastAsia="en-AU"/>
        </w:rPr>
        <w:t>24F</w:t>
      </w:r>
      <w:r w:rsidR="00B5468C">
        <w:rPr>
          <w:rStyle w:val="FootnoteReference"/>
          <w:lang w:eastAsia="en-AU"/>
        </w:rPr>
        <w:footnoteReference w:id="26"/>
      </w:r>
      <w:r w:rsidR="00B5468C">
        <w:rPr>
          <w:lang w:eastAsia="en-AU"/>
        </w:rPr>
        <w:t xml:space="preserve"> </w:t>
      </w:r>
    </w:p>
    <w:p w14:paraId="11CAB4A2" w14:textId="7BEA6438" w:rsidR="00923BE4" w:rsidRDefault="007B5654" w:rsidP="00923BE4">
      <w:pPr>
        <w:pStyle w:val="Heading4"/>
      </w:pPr>
      <w:r>
        <w:t xml:space="preserve">Sub-problem </w:t>
      </w:r>
      <w:r w:rsidR="0014730D">
        <w:t>4</w:t>
      </w:r>
      <w:r>
        <w:t xml:space="preserve"> | </w:t>
      </w:r>
      <w:r w:rsidR="003D6F40">
        <w:t xml:space="preserve">FSANZ generally defaults to </w:t>
      </w:r>
      <w:r w:rsidR="00BA70FC">
        <w:t>developing</w:t>
      </w:r>
      <w:r w:rsidR="003D6F40">
        <w:t xml:space="preserve"> food standards,</w:t>
      </w:r>
      <w:r w:rsidR="00F81778">
        <w:t xml:space="preserve"> </w:t>
      </w:r>
      <w:r w:rsidR="00E0189A">
        <w:t xml:space="preserve">but other regulatory measures could be more efficient to </w:t>
      </w:r>
      <w:proofErr w:type="gramStart"/>
      <w:r w:rsidR="00BA70FC">
        <w:t>create</w:t>
      </w:r>
      <w:proofErr w:type="gramEnd"/>
    </w:p>
    <w:tbl>
      <w:tblPr>
        <w:tblStyle w:val="TableGrid"/>
        <w:tblW w:w="0" w:type="auto"/>
        <w:tblLook w:val="04A0" w:firstRow="1" w:lastRow="0" w:firstColumn="1" w:lastColumn="0" w:noHBand="0" w:noVBand="1"/>
      </w:tblPr>
      <w:tblGrid>
        <w:gridCol w:w="2977"/>
        <w:gridCol w:w="567"/>
        <w:gridCol w:w="1985"/>
        <w:gridCol w:w="567"/>
        <w:gridCol w:w="2268"/>
        <w:gridCol w:w="566"/>
      </w:tblGrid>
      <w:tr w:rsidR="00301A27" w14:paraId="5D3541EC"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7913CA86" w14:textId="77777777" w:rsidR="00E623A1" w:rsidRPr="006C0D5F" w:rsidRDefault="00E623A1">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Level of impact</w:t>
            </w:r>
          </w:p>
        </w:tc>
        <w:tc>
          <w:tcPr>
            <w:tcW w:w="567" w:type="dxa"/>
          </w:tcPr>
          <w:p w14:paraId="074D7550" w14:textId="54D1D489" w:rsidR="00E623A1" w:rsidRPr="006C0D5F" w:rsidRDefault="00274135">
            <w:pPr>
              <w:rPr>
                <w:rFonts w:asciiTheme="minorHAnsi" w:eastAsia="Segoe UI" w:hAnsiTheme="minorHAnsi" w:cstheme="minorHAnsi"/>
                <w:sz w:val="18"/>
                <w:szCs w:val="18"/>
                <w:lang w:eastAsia="en-AU"/>
              </w:rPr>
            </w:pPr>
            <w:r>
              <w:rPr>
                <w:rFonts w:asciiTheme="minorHAnsi" w:eastAsia="Segoe UI" w:hAnsiTheme="minorHAnsi" w:cstheme="minorHAnsi"/>
                <w:sz w:val="18"/>
                <w:szCs w:val="18"/>
                <w:lang w:eastAsia="en-AU"/>
              </w:rPr>
              <w:t>2</w:t>
            </w:r>
          </w:p>
        </w:tc>
        <w:tc>
          <w:tcPr>
            <w:tcW w:w="1985" w:type="dxa"/>
            <w:shd w:val="clear" w:color="auto" w:fill="00264D" w:themeFill="background2"/>
          </w:tcPr>
          <w:p w14:paraId="419A30A4" w14:textId="77777777" w:rsidR="00E623A1" w:rsidRPr="006C0D5F" w:rsidRDefault="00E623A1">
            <w:pPr>
              <w:rPr>
                <w:rFonts w:asciiTheme="minorHAnsi" w:eastAsia="Segoe UI" w:hAnsiTheme="minorHAnsi" w:cstheme="minorHAnsi"/>
                <w:color w:val="FFFFFF" w:themeColor="background1"/>
                <w:sz w:val="18"/>
                <w:szCs w:val="18"/>
                <w:lang w:eastAsia="en-AU"/>
              </w:rPr>
            </w:pPr>
            <w:r w:rsidRPr="006C0D5F">
              <w:rPr>
                <w:rFonts w:asciiTheme="minorHAnsi" w:eastAsia="Segoe UI" w:hAnsiTheme="minorHAnsi" w:cstheme="minorHAnsi"/>
                <w:color w:val="FFFFFF" w:themeColor="background1"/>
                <w:sz w:val="18"/>
                <w:szCs w:val="18"/>
                <w:lang w:eastAsia="en-AU"/>
              </w:rPr>
              <w:t>Extent of impact</w:t>
            </w:r>
          </w:p>
        </w:tc>
        <w:tc>
          <w:tcPr>
            <w:tcW w:w="567" w:type="dxa"/>
          </w:tcPr>
          <w:p w14:paraId="5348CE5B" w14:textId="2C3D8DDB" w:rsidR="00E623A1" w:rsidRPr="006C0D5F" w:rsidRDefault="00E623A1">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2</w:t>
            </w:r>
          </w:p>
        </w:tc>
        <w:tc>
          <w:tcPr>
            <w:tcW w:w="2268" w:type="dxa"/>
            <w:shd w:val="clear" w:color="auto" w:fill="00264D" w:themeFill="background2"/>
          </w:tcPr>
          <w:p w14:paraId="2B215D8A" w14:textId="77777777" w:rsidR="00E623A1" w:rsidRPr="006C0D5F" w:rsidRDefault="00E623A1">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Sub-problem rating</w:t>
            </w:r>
          </w:p>
        </w:tc>
        <w:tc>
          <w:tcPr>
            <w:tcW w:w="566" w:type="dxa"/>
          </w:tcPr>
          <w:p w14:paraId="3A0E40DD" w14:textId="1B9444D3" w:rsidR="00E623A1" w:rsidRPr="006C0D5F" w:rsidRDefault="00274135">
            <w:pPr>
              <w:rPr>
                <w:rFonts w:asciiTheme="minorHAnsi" w:eastAsia="Segoe UI" w:hAnsiTheme="minorHAnsi" w:cstheme="minorHAnsi"/>
                <w:sz w:val="18"/>
                <w:szCs w:val="18"/>
                <w:lang w:eastAsia="en-AU"/>
              </w:rPr>
            </w:pPr>
            <w:r>
              <w:rPr>
                <w:rFonts w:asciiTheme="minorHAnsi" w:eastAsia="Segoe UI" w:hAnsiTheme="minorHAnsi" w:cstheme="minorHAnsi"/>
                <w:sz w:val="18"/>
                <w:szCs w:val="18"/>
                <w:lang w:eastAsia="en-AU"/>
              </w:rPr>
              <w:t>4</w:t>
            </w:r>
          </w:p>
        </w:tc>
      </w:tr>
    </w:tbl>
    <w:p w14:paraId="572DFE4E" w14:textId="77777777" w:rsidR="00E623A1" w:rsidRPr="00A42354" w:rsidRDefault="00E623A1" w:rsidP="009C7212"/>
    <w:p w14:paraId="28805B55" w14:textId="74DB6402" w:rsidR="00923BE4" w:rsidRDefault="00923BE4" w:rsidP="00923BE4">
      <w:r>
        <w:t xml:space="preserve">FSANZ has several different regulatory instruments </w:t>
      </w:r>
      <w:r w:rsidR="00DD48D5">
        <w:t>at its dispos</w:t>
      </w:r>
      <w:r w:rsidR="007E5835">
        <w:t>al</w:t>
      </w:r>
      <w:r w:rsidR="00DD48D5">
        <w:t xml:space="preserve"> </w:t>
      </w:r>
      <w:r>
        <w:t xml:space="preserve">to achieve its objectives. The Act allows FSANZ to develop </w:t>
      </w:r>
      <w:r w:rsidRPr="001D7500">
        <w:rPr>
          <w:i/>
        </w:rPr>
        <w:t>food regulatory measures</w:t>
      </w:r>
      <w:r>
        <w:rPr>
          <w:i/>
        </w:rPr>
        <w:t xml:space="preserve"> </w:t>
      </w:r>
      <w:r>
        <w:t>which comprise f</w:t>
      </w:r>
      <w:r w:rsidRPr="00D25630">
        <w:t xml:space="preserve">ood </w:t>
      </w:r>
      <w:r>
        <w:t xml:space="preserve">standards and </w:t>
      </w:r>
      <w:r w:rsidR="008117F8">
        <w:t>Codes of Practice</w:t>
      </w:r>
      <w:r>
        <w:t>. FSANZ can also develop guidelines to assist interpretation of the F</w:t>
      </w:r>
      <w:r w:rsidRPr="00D25630">
        <w:t xml:space="preserve">ood </w:t>
      </w:r>
      <w:r>
        <w:t xml:space="preserve">Standards Code on its own initiative or in consultation with the Australian </w:t>
      </w:r>
      <w:r w:rsidR="0025127C">
        <w:t>s</w:t>
      </w:r>
      <w:r>
        <w:t>tates and territories and other bodies (</w:t>
      </w:r>
      <w:r w:rsidR="00E5028A">
        <w:t>Section</w:t>
      </w:r>
      <w:r>
        <w:t xml:space="preserve"> 13</w:t>
      </w:r>
      <w:r w:rsidR="000C2AC6">
        <w:t>I</w:t>
      </w:r>
      <w:r>
        <w:t xml:space="preserve">). </w:t>
      </w:r>
    </w:p>
    <w:p w14:paraId="2A8E51CD" w14:textId="05F6C255" w:rsidR="008B0BD1" w:rsidRDefault="00923BE4" w:rsidP="008B0BD1">
      <w:r>
        <w:t xml:space="preserve">Currently, FSANZ almost exclusively uses </w:t>
      </w:r>
      <w:r w:rsidR="00E91927">
        <w:t>f</w:t>
      </w:r>
      <w:r w:rsidRPr="00D25630">
        <w:t xml:space="preserve">ood </w:t>
      </w:r>
      <w:r w:rsidR="00E91927">
        <w:t>s</w:t>
      </w:r>
      <w:r>
        <w:t xml:space="preserve">tandards as a legislative instrument. It makes available an Application </w:t>
      </w:r>
      <w:r w:rsidR="008B0BD1">
        <w:t xml:space="preserve">Handbook which sets the mandatory requirements, including evidence, to support an application (authorised under Section 23) but does not develop Codes of Practice. FSANZ makes limited non-legally binding guidelines available on its website, including ‘User guides to the Food Standards Code’, though some stakeholders have noted this may represent a currently under-utilised resource. </w:t>
      </w:r>
    </w:p>
    <w:p w14:paraId="31EE1534" w14:textId="348B7A03" w:rsidR="00923BE4" w:rsidRDefault="00923BE4" w:rsidP="00923BE4">
      <w:r>
        <w:t xml:space="preserve">Guidelines and </w:t>
      </w:r>
      <w:r w:rsidR="008117F8">
        <w:t>Codes of Practice</w:t>
      </w:r>
      <w:r>
        <w:t xml:space="preserve"> </w:t>
      </w:r>
      <w:r w:rsidR="00E91927">
        <w:t>are alternative</w:t>
      </w:r>
      <w:r>
        <w:t xml:space="preserve"> regulatory instruments that could be used to address specific issues or challenges that do not warrant the time, resources and/or rigour of processes required to develop or vary a standard. Guidelines are non-binding instruments that provide advice on how industry and other groups can meet obligations created by FSANZ. </w:t>
      </w:r>
      <w:r w:rsidR="008117F8">
        <w:t>Codes of Practice</w:t>
      </w:r>
      <w:r>
        <w:t xml:space="preserve"> similarly provide guidance on how to comply with obligations created by FSANZ. </w:t>
      </w:r>
    </w:p>
    <w:p w14:paraId="15B02B22" w14:textId="0099F0FB" w:rsidR="00923BE4" w:rsidRDefault="00923BE4" w:rsidP="00923BE4">
      <w:r>
        <w:t xml:space="preserve">For example, the </w:t>
      </w:r>
      <w:r w:rsidRPr="005D7BA5">
        <w:rPr>
          <w:i/>
        </w:rPr>
        <w:t>Food Act 1984 (Vic</w:t>
      </w:r>
      <w:r>
        <w:t>), which adopts the food standards into law in Victoria, provides a defence of due diligence to industry (</w:t>
      </w:r>
      <w:r w:rsidR="00BD1739">
        <w:t>Section</w:t>
      </w:r>
      <w:r>
        <w:t xml:space="preserve"> 17E) for demonstrating </w:t>
      </w:r>
      <w:r w:rsidR="00CF3C34">
        <w:t>reasonable steps to comply</w:t>
      </w:r>
      <w:r w:rsidR="00376598">
        <w:t xml:space="preserve"> </w:t>
      </w:r>
      <w:r w:rsidR="00C61DEA">
        <w:t>(</w:t>
      </w:r>
      <w:proofErr w:type="gramStart"/>
      <w:r w:rsidR="00783105">
        <w:t>e.g.</w:t>
      </w:r>
      <w:proofErr w:type="gramEnd"/>
      <w:r w:rsidR="00CF3C34">
        <w:t xml:space="preserve"> through </w:t>
      </w:r>
      <w:r>
        <w:t xml:space="preserve">compliance </w:t>
      </w:r>
      <w:r w:rsidR="007E0D5A">
        <w:t xml:space="preserve">with </w:t>
      </w:r>
      <w:r w:rsidR="008117F8">
        <w:t>Codes of Practice</w:t>
      </w:r>
      <w:r w:rsidR="00376598">
        <w:t>)</w:t>
      </w:r>
      <w:r>
        <w:t xml:space="preserve">. Specifically, under this, industry can demonstrate compliance with the standards enforced by the Act in some circumstances if they </w:t>
      </w:r>
      <w:r w:rsidR="00231DEE">
        <w:t>‘</w:t>
      </w:r>
      <w:r>
        <w:t xml:space="preserve">complied with a scheme </w:t>
      </w:r>
      <w:r w:rsidR="00C61DEA">
        <w:t>(</w:t>
      </w:r>
      <w:proofErr w:type="gramStart"/>
      <w:r w:rsidR="00783105">
        <w:t>e.g.</w:t>
      </w:r>
      <w:proofErr w:type="gramEnd"/>
      <w:r w:rsidR="00376598">
        <w:t xml:space="preserve"> </w:t>
      </w:r>
      <w:r>
        <w:t xml:space="preserve">an industry </w:t>
      </w:r>
      <w:r w:rsidR="008117F8">
        <w:t>C</w:t>
      </w:r>
      <w:r>
        <w:t xml:space="preserve">ode of </w:t>
      </w:r>
      <w:r w:rsidR="008117F8">
        <w:t>P</w:t>
      </w:r>
      <w:r>
        <w:t>ractice) that was designed to manage food safety hazards and was based on Australian national or international standards.</w:t>
      </w:r>
      <w:r w:rsidR="00231DEE">
        <w:t>’</w:t>
      </w:r>
      <w:r>
        <w:t xml:space="preserve"> </w:t>
      </w:r>
    </w:p>
    <w:p w14:paraId="22737685" w14:textId="1353A915" w:rsidR="00923BE4" w:rsidRDefault="00923BE4" w:rsidP="00923BE4">
      <w:bookmarkStart w:id="41" w:name="_Ref142045742"/>
      <w:r w:rsidRPr="00AD3346">
        <w:t xml:space="preserve">The statutory process to develop or vary a </w:t>
      </w:r>
      <w:r w:rsidR="008117F8">
        <w:t>C</w:t>
      </w:r>
      <w:r w:rsidRPr="00AD3346">
        <w:t xml:space="preserve">ode of </w:t>
      </w:r>
      <w:r w:rsidR="008117F8">
        <w:t>P</w:t>
      </w:r>
      <w:r w:rsidRPr="00AD3346">
        <w:t xml:space="preserve">ractice is shown at </w:t>
      </w:r>
      <w:bookmarkEnd w:id="41"/>
      <w:r>
        <w:fldChar w:fldCharType="begin"/>
      </w:r>
      <w:r>
        <w:instrText xml:space="preserve"> REF _Ref142045766 \h  \* MERGEFORMAT </w:instrText>
      </w:r>
      <w:r>
        <w:fldChar w:fldCharType="separate"/>
      </w:r>
      <w:r w:rsidR="003F7B92">
        <w:t xml:space="preserve">Figure </w:t>
      </w:r>
      <w:r w:rsidR="003F7B92">
        <w:rPr>
          <w:noProof/>
        </w:rPr>
        <w:t>8</w:t>
      </w:r>
      <w:r>
        <w:fldChar w:fldCharType="end"/>
      </w:r>
      <w:r>
        <w:t>.</w:t>
      </w:r>
      <w:r w:rsidR="000C5921">
        <w:t xml:space="preserve"> </w:t>
      </w:r>
      <w:r w:rsidR="000C5921" w:rsidRPr="000C5921">
        <w:rPr>
          <w:rStyle w:val="cf01"/>
          <w:sz w:val="19"/>
          <w:szCs w:val="19"/>
        </w:rPr>
        <w:t>In developing a Code of Practice, the Act currently requires that FSANZ undertake all steps it would to assess an application or proposal, with the Board having final approval and notice, rather than ratification, to the FMM.</w:t>
      </w:r>
    </w:p>
    <w:p w14:paraId="42968483" w14:textId="10FC7DBF" w:rsidR="00923BE4" w:rsidRPr="00332C84" w:rsidRDefault="00923BE4" w:rsidP="00923BE4">
      <w:pPr>
        <w:pStyle w:val="Caption"/>
      </w:pPr>
      <w:bookmarkStart w:id="42" w:name="_Ref142045766"/>
      <w:r>
        <w:lastRenderedPageBreak/>
        <w:t xml:space="preserve">Figure </w:t>
      </w:r>
      <w:r>
        <w:fldChar w:fldCharType="begin"/>
      </w:r>
      <w:r>
        <w:instrText xml:space="preserve"> SEQ Figure \* ARABIC </w:instrText>
      </w:r>
      <w:r>
        <w:fldChar w:fldCharType="separate"/>
      </w:r>
      <w:r w:rsidR="003F7B92">
        <w:rPr>
          <w:noProof/>
        </w:rPr>
        <w:t>8</w:t>
      </w:r>
      <w:r>
        <w:fldChar w:fldCharType="end"/>
      </w:r>
      <w:bookmarkEnd w:id="42"/>
      <w:r>
        <w:t xml:space="preserve"> | </w:t>
      </w:r>
      <w:r w:rsidRPr="0011668E">
        <w:t xml:space="preserve">Process for variation to </w:t>
      </w:r>
      <w:r w:rsidR="008117F8">
        <w:t>C</w:t>
      </w:r>
      <w:r w:rsidRPr="0011668E">
        <w:t xml:space="preserve">odes of </w:t>
      </w:r>
      <w:r w:rsidR="008117F8">
        <w:t>P</w:t>
      </w:r>
      <w:r w:rsidRPr="0011668E">
        <w:t>ractices from an application or proposal</w:t>
      </w:r>
    </w:p>
    <w:p w14:paraId="23667846" w14:textId="0E92610B" w:rsidR="00923BE4" w:rsidRPr="00332C84" w:rsidRDefault="002F136F" w:rsidP="00923BE4">
      <w:r w:rsidRPr="002F136F">
        <w:rPr>
          <w:noProof/>
        </w:rPr>
        <w:drawing>
          <wp:inline distT="0" distB="0" distL="0" distR="0" wp14:anchorId="02255F9B" wp14:editId="1E86CB58">
            <wp:extent cx="5670550" cy="2400300"/>
            <wp:effectExtent l="0" t="0" r="6350" b="0"/>
            <wp:docPr id="2087250659" name="Picture 2087250659" descr="The object outlines the application and proposal process for FSANZ. It outlines a 5 step process: 1 - Approve or reject the draft variation. 2 - If another Code of practice would be superseded, revoke or vary the other code. 3 - give public notice of decision. 4 - specify date of effect and how to obtain more information. 5 - give written notice of decision to Food Ministers' Mee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50659" name="Picture 2087250659" descr="The object outlines the application and proposal process for FSANZ. It outlines a 5 step process: 1 - Approve or reject the draft variation. 2 - If another Code of practice would be superseded, revoke or vary the other code. 3 - give public notice of decision. 4 - specify date of effect and how to obtain more information. 5 - give written notice of decision to Food Ministers' Meeting.&#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0550" cy="2400300"/>
                    </a:xfrm>
                    <a:prstGeom prst="rect">
                      <a:avLst/>
                    </a:prstGeom>
                    <a:noFill/>
                    <a:ln>
                      <a:noFill/>
                    </a:ln>
                  </pic:spPr>
                </pic:pic>
              </a:graphicData>
            </a:graphic>
          </wp:inline>
        </w:drawing>
      </w:r>
      <w:r w:rsidRPr="002F136F" w:rsidDel="002F136F">
        <w:t xml:space="preserve"> </w:t>
      </w:r>
    </w:p>
    <w:p w14:paraId="13694945" w14:textId="77777777" w:rsidR="00DB15F9" w:rsidRDefault="00DB15F9" w:rsidP="00923BE4"/>
    <w:p w14:paraId="4FE73E02" w14:textId="77777777" w:rsidR="00DB15F9" w:rsidRDefault="00DB15F9" w:rsidP="00923BE4"/>
    <w:p w14:paraId="1C5B6BE6" w14:textId="0B240549" w:rsidR="000F17F5" w:rsidRDefault="000F17F5">
      <w:pPr>
        <w:spacing w:after="165"/>
      </w:pPr>
      <w:r>
        <w:br w:type="page"/>
      </w:r>
    </w:p>
    <w:p w14:paraId="2D20D160" w14:textId="2640BB02" w:rsidR="00923BE4" w:rsidRDefault="00DB15F9" w:rsidP="006E5A6E">
      <w:pPr>
        <w:pStyle w:val="Heading3"/>
      </w:pPr>
      <w:r>
        <w:rPr>
          <w:noProof/>
        </w:rPr>
        <w:lastRenderedPageBreak/>
        <w:drawing>
          <wp:anchor distT="0" distB="0" distL="114300" distR="114300" simplePos="0" relativeHeight="251658248" behindDoc="0" locked="0" layoutInCell="1" allowOverlap="1" wp14:anchorId="2E476CEC" wp14:editId="2EE63098">
            <wp:simplePos x="0" y="0"/>
            <wp:positionH relativeFrom="page">
              <wp:posOffset>26242</wp:posOffset>
            </wp:positionH>
            <wp:positionV relativeFrom="paragraph">
              <wp:posOffset>-355600</wp:posOffset>
            </wp:positionV>
            <wp:extent cx="1544396" cy="308539"/>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44396" cy="308539"/>
                    </a:xfrm>
                    <a:prstGeom prst="rect">
                      <a:avLst/>
                    </a:prstGeom>
                  </pic:spPr>
                </pic:pic>
              </a:graphicData>
            </a:graphic>
            <wp14:sizeRelH relativeFrom="page">
              <wp14:pctWidth>0</wp14:pctWidth>
            </wp14:sizeRelH>
            <wp14:sizeRelV relativeFrom="page">
              <wp14:pctHeight>0</wp14:pctHeight>
            </wp14:sizeRelV>
          </wp:anchor>
        </w:drawing>
      </w:r>
      <w:r w:rsidR="00923BE4" w:rsidRPr="006E5A6E">
        <w:t xml:space="preserve">Policy </w:t>
      </w:r>
      <w:r w:rsidR="00807D3A">
        <w:t>Problem</w:t>
      </w:r>
      <w:r w:rsidR="00923BE4" w:rsidRPr="006E5A6E">
        <w:t xml:space="preserve"> 3 | Elements of FSANZ</w:t>
      </w:r>
      <w:r w:rsidR="00DE4DD2">
        <w:t>’</w:t>
      </w:r>
      <w:r w:rsidR="008E77E8">
        <w:t>s</w:t>
      </w:r>
      <w:r w:rsidR="00923BE4" w:rsidRPr="006E5A6E">
        <w:t xml:space="preserve"> operations are </w:t>
      </w:r>
      <w:proofErr w:type="gramStart"/>
      <w:r w:rsidR="00923BE4" w:rsidRPr="006E5A6E">
        <w:t>inefficient</w:t>
      </w:r>
      <w:proofErr w:type="gramEnd"/>
    </w:p>
    <w:tbl>
      <w:tblPr>
        <w:tblStyle w:val="TableGrid"/>
        <w:tblW w:w="0" w:type="auto"/>
        <w:tblLook w:val="04A0" w:firstRow="1" w:lastRow="0" w:firstColumn="1" w:lastColumn="0" w:noHBand="0" w:noVBand="1"/>
      </w:tblPr>
      <w:tblGrid>
        <w:gridCol w:w="7371"/>
        <w:gridCol w:w="1559"/>
      </w:tblGrid>
      <w:tr w:rsidR="0028475D" w14:paraId="68C1A0D5" w14:textId="77777777">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00264D" w:themeFill="background2"/>
          </w:tcPr>
          <w:p w14:paraId="189FAC64" w14:textId="77777777" w:rsidR="009219F6" w:rsidRDefault="009219F6">
            <w:pPr>
              <w:rPr>
                <w:lang w:eastAsia="en-AU"/>
              </w:rPr>
            </w:pPr>
            <w:r w:rsidRPr="00441AC6">
              <w:rPr>
                <w:color w:val="FFFFFF" w:themeColor="background1"/>
                <w:lang w:eastAsia="en-AU"/>
              </w:rPr>
              <w:t>Magnitude of problem</w:t>
            </w:r>
          </w:p>
        </w:tc>
        <w:tc>
          <w:tcPr>
            <w:tcW w:w="1559" w:type="dxa"/>
          </w:tcPr>
          <w:p w14:paraId="40A5491A" w14:textId="224F2134" w:rsidR="009219F6" w:rsidRDefault="009219F6">
            <w:pPr>
              <w:rPr>
                <w:lang w:eastAsia="en-AU"/>
              </w:rPr>
            </w:pPr>
            <w:r>
              <w:rPr>
                <w:lang w:eastAsia="en-AU"/>
              </w:rPr>
              <w:t>2 (m</w:t>
            </w:r>
            <w:r w:rsidR="00E6408C">
              <w:rPr>
                <w:lang w:eastAsia="en-AU"/>
              </w:rPr>
              <w:t>oderate)</w:t>
            </w:r>
          </w:p>
        </w:tc>
      </w:tr>
    </w:tbl>
    <w:p w14:paraId="26B8EE15" w14:textId="782DC643" w:rsidR="009219F6" w:rsidRPr="00A42354" w:rsidRDefault="00926187" w:rsidP="00926187">
      <w:pPr>
        <w:pStyle w:val="Heading4"/>
      </w:pPr>
      <w:r>
        <w:t>Sub-problem 1 | C</w:t>
      </w:r>
      <w:r w:rsidRPr="00134CF7">
        <w:t>urrent legislative provisions prohibit nominations and appointment</w:t>
      </w:r>
      <w:r>
        <w:t xml:space="preserve"> processes for</w:t>
      </w:r>
      <w:r w:rsidRPr="00134CF7">
        <w:t xml:space="preserve"> the FSANZ Board from adopting best </w:t>
      </w:r>
      <w:proofErr w:type="gramStart"/>
      <w:r w:rsidRPr="00134CF7">
        <w:t>practice</w:t>
      </w:r>
      <w:proofErr w:type="gramEnd"/>
    </w:p>
    <w:tbl>
      <w:tblPr>
        <w:tblStyle w:val="TableGrid"/>
        <w:tblW w:w="0" w:type="auto"/>
        <w:tblLook w:val="04A0" w:firstRow="1" w:lastRow="0" w:firstColumn="1" w:lastColumn="0" w:noHBand="0" w:noVBand="1"/>
      </w:tblPr>
      <w:tblGrid>
        <w:gridCol w:w="2977"/>
        <w:gridCol w:w="567"/>
        <w:gridCol w:w="1985"/>
        <w:gridCol w:w="567"/>
        <w:gridCol w:w="2268"/>
        <w:gridCol w:w="566"/>
      </w:tblGrid>
      <w:tr w:rsidR="00301A27" w14:paraId="22A77F6E"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4A087F72" w14:textId="6BB41F9D" w:rsidR="00C70185" w:rsidRPr="006C0D5F" w:rsidRDefault="00C70185" w:rsidP="00C70185">
            <w:pPr>
              <w:pStyle w:val="Heading4"/>
              <w:rPr>
                <w:rFonts w:asciiTheme="minorHAnsi" w:eastAsia="Segoe UI" w:hAnsiTheme="minorHAnsi" w:cstheme="minorHAnsi"/>
                <w:sz w:val="18"/>
                <w:szCs w:val="18"/>
              </w:rPr>
            </w:pPr>
            <w:r w:rsidRPr="006C0D5F">
              <w:rPr>
                <w:rFonts w:asciiTheme="minorHAnsi" w:eastAsia="Segoe UI" w:hAnsiTheme="minorHAnsi" w:cstheme="minorHAnsi"/>
                <w:color w:val="FFFFFF" w:themeColor="background1"/>
                <w:sz w:val="18"/>
                <w:szCs w:val="18"/>
              </w:rPr>
              <w:t>Level of impact</w:t>
            </w:r>
          </w:p>
        </w:tc>
        <w:tc>
          <w:tcPr>
            <w:tcW w:w="567" w:type="dxa"/>
          </w:tcPr>
          <w:p w14:paraId="430E0ECE" w14:textId="77777777" w:rsidR="00C70185" w:rsidRPr="006C0D5F" w:rsidRDefault="00C70185">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1.5</w:t>
            </w:r>
          </w:p>
        </w:tc>
        <w:tc>
          <w:tcPr>
            <w:tcW w:w="1985" w:type="dxa"/>
            <w:shd w:val="clear" w:color="auto" w:fill="00264D" w:themeFill="background2"/>
          </w:tcPr>
          <w:p w14:paraId="0D5ADF3D" w14:textId="77777777" w:rsidR="00C70185" w:rsidRPr="006C0D5F" w:rsidRDefault="00C70185">
            <w:pPr>
              <w:rPr>
                <w:rFonts w:asciiTheme="minorHAnsi" w:eastAsia="Segoe UI" w:hAnsiTheme="minorHAnsi" w:cstheme="minorHAnsi"/>
                <w:color w:val="FFFFFF" w:themeColor="background1"/>
                <w:sz w:val="18"/>
                <w:szCs w:val="18"/>
                <w:lang w:eastAsia="en-AU"/>
              </w:rPr>
            </w:pPr>
            <w:r w:rsidRPr="006C0D5F">
              <w:rPr>
                <w:rFonts w:asciiTheme="minorHAnsi" w:eastAsia="Segoe UI" w:hAnsiTheme="minorHAnsi" w:cstheme="minorHAnsi"/>
                <w:color w:val="FFFFFF" w:themeColor="background1"/>
                <w:sz w:val="18"/>
                <w:szCs w:val="18"/>
                <w:lang w:eastAsia="en-AU"/>
              </w:rPr>
              <w:t>Extent of impact</w:t>
            </w:r>
          </w:p>
        </w:tc>
        <w:tc>
          <w:tcPr>
            <w:tcW w:w="567" w:type="dxa"/>
          </w:tcPr>
          <w:p w14:paraId="7232D7F0" w14:textId="77777777" w:rsidR="00C70185" w:rsidRPr="006C0D5F" w:rsidRDefault="00C70185">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2</w:t>
            </w:r>
          </w:p>
        </w:tc>
        <w:tc>
          <w:tcPr>
            <w:tcW w:w="2268" w:type="dxa"/>
            <w:shd w:val="clear" w:color="auto" w:fill="00264D" w:themeFill="background2"/>
          </w:tcPr>
          <w:p w14:paraId="2392F58B" w14:textId="77777777" w:rsidR="00C70185" w:rsidRPr="006C0D5F" w:rsidRDefault="00C70185">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Sub-problem rating</w:t>
            </w:r>
          </w:p>
        </w:tc>
        <w:tc>
          <w:tcPr>
            <w:tcW w:w="566" w:type="dxa"/>
          </w:tcPr>
          <w:p w14:paraId="57E2A9F0" w14:textId="77777777" w:rsidR="00C70185" w:rsidRPr="006C0D5F" w:rsidRDefault="00C70185">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3</w:t>
            </w:r>
          </w:p>
        </w:tc>
      </w:tr>
    </w:tbl>
    <w:p w14:paraId="0E46C69C" w14:textId="77777777" w:rsidR="002518AC" w:rsidRPr="00E23553" w:rsidRDefault="002518AC" w:rsidP="007F7722"/>
    <w:p w14:paraId="4BF3F85B" w14:textId="068ECEB6" w:rsidR="00923BE4" w:rsidRDefault="00AD1763" w:rsidP="00923BE4">
      <w:r>
        <w:t xml:space="preserve">The </w:t>
      </w:r>
      <w:r w:rsidR="00923BE4">
        <w:t>FSANZ Board comprises 12 members with a broad range of expertise</w:t>
      </w:r>
      <w:r w:rsidR="007620E7">
        <w:t>, as</w:t>
      </w:r>
      <w:r w:rsidR="00923BE4">
        <w:t xml:space="preserve"> required by the Act. Three members are nominated by the New Zealand lead minister, who sits on the FMM. Board members are appointed for a maximum of eight years, </w:t>
      </w:r>
      <w:r w:rsidR="00FB2358" w:rsidRPr="00FB2358">
        <w:t>comprised of two (up to) four-year terms</w:t>
      </w:r>
      <w:r w:rsidR="00923BE4">
        <w:t xml:space="preserve">. The Board has specific non-delegable duties in relation to decisions about draft standards or variations (set out in </w:t>
      </w:r>
      <w:r w:rsidR="0012567C">
        <w:t>Section</w:t>
      </w:r>
      <w:r w:rsidR="00923BE4">
        <w:t xml:space="preserve"> 150). </w:t>
      </w:r>
    </w:p>
    <w:p w14:paraId="698B94BF" w14:textId="7BAD8783" w:rsidR="00923BE4" w:rsidRDefault="00923BE4" w:rsidP="00923BE4">
      <w:pPr>
        <w:rPr>
          <w:rFonts w:cs="Segoe UI"/>
          <w:i/>
          <w:iCs/>
          <w:color w:val="000000"/>
        </w:rPr>
      </w:pPr>
      <w:r w:rsidRPr="0046290B">
        <w:rPr>
          <w:rFonts w:cs="Segoe UI"/>
          <w:color w:val="000000"/>
        </w:rPr>
        <w:t xml:space="preserve">The Board of FSANZ provides an independent collective decision-making forum for governing FSANZ and making decisions on draft standards. The FSANZ Board is </w:t>
      </w:r>
      <w:r w:rsidRPr="0046290B">
        <w:rPr>
          <w:rFonts w:cs="Segoe UI"/>
          <w:i/>
          <w:iCs/>
          <w:color w:val="000000"/>
        </w:rPr>
        <w:t xml:space="preserve">representative </w:t>
      </w:r>
      <w:r w:rsidRPr="0046290B">
        <w:rPr>
          <w:rFonts w:cs="Segoe UI"/>
          <w:color w:val="000000"/>
        </w:rPr>
        <w:t xml:space="preserve">in nature: more than half (7-out-of-12 members) are nominated by different organisations with specific expertise and role in the </w:t>
      </w:r>
      <w:r w:rsidRPr="004D4A46">
        <w:rPr>
          <w:rFonts w:cs="Segoe UI"/>
          <w:color w:val="000000"/>
        </w:rPr>
        <w:t>joint food standards system</w:t>
      </w:r>
      <w:r w:rsidRPr="0046290B">
        <w:rPr>
          <w:rFonts w:cs="Segoe UI"/>
          <w:color w:val="000000"/>
        </w:rPr>
        <w:t xml:space="preserve">, including industry, public </w:t>
      </w:r>
      <w:proofErr w:type="gramStart"/>
      <w:r w:rsidRPr="0046290B">
        <w:rPr>
          <w:rFonts w:cs="Segoe UI"/>
          <w:color w:val="000000"/>
        </w:rPr>
        <w:t>health</w:t>
      </w:r>
      <w:proofErr w:type="gramEnd"/>
      <w:r w:rsidRPr="0046290B">
        <w:rPr>
          <w:rFonts w:cs="Segoe UI"/>
          <w:color w:val="000000"/>
        </w:rPr>
        <w:t xml:space="preserve"> and consumer interests. The list of organisations that can provide nominations for different Board members is prescribed in the Regulations</w:t>
      </w:r>
      <w:r w:rsidRPr="0046290B">
        <w:rPr>
          <w:rFonts w:cs="Segoe UI"/>
          <w:i/>
          <w:iCs/>
          <w:color w:val="000000"/>
        </w:rPr>
        <w:t xml:space="preserve">. </w:t>
      </w:r>
    </w:p>
    <w:p w14:paraId="2AD64D7D" w14:textId="7D91CC65" w:rsidR="00923BE4" w:rsidRPr="00E64EC8" w:rsidRDefault="00923BE4" w:rsidP="00923BE4">
      <w:pPr>
        <w:rPr>
          <w:rFonts w:cs="Segoe UI"/>
          <w:color w:val="000000"/>
          <w:sz w:val="12"/>
          <w:szCs w:val="12"/>
        </w:rPr>
      </w:pPr>
      <w:r>
        <w:rPr>
          <w:rFonts w:cs="Segoe UI"/>
          <w:iCs/>
          <w:color w:val="000000"/>
        </w:rPr>
        <w:t xml:space="preserve">Current legislated arrangements for the FSANZ Board raise several issues: </w:t>
      </w:r>
    </w:p>
    <w:p w14:paraId="7A676FAD" w14:textId="2E00D728" w:rsidR="00923BE4" w:rsidRPr="00D615DB" w:rsidRDefault="00923BE4" w:rsidP="00D615DB">
      <w:pPr>
        <w:pStyle w:val="Bullet"/>
      </w:pPr>
      <w:r w:rsidRPr="00D615DB">
        <w:rPr>
          <w:rFonts w:asciiTheme="majorHAnsi" w:hAnsiTheme="majorHAnsi" w:cstheme="majorHAnsi"/>
        </w:rPr>
        <w:t>Nomination and appointment processes are cumbersome and not in line with best practice</w:t>
      </w:r>
      <w:r w:rsidRPr="00D615DB">
        <w:t>. The legislated requirement</w:t>
      </w:r>
      <w:r w:rsidR="00235A9D">
        <w:rPr>
          <w:rFonts w:ascii="ZWAdobeF" w:hAnsi="ZWAdobeF" w:cs="ZWAdobeF"/>
          <w:sz w:val="2"/>
          <w:szCs w:val="2"/>
        </w:rPr>
        <w:t>25F</w:t>
      </w:r>
      <w:r w:rsidRPr="00D615DB">
        <w:rPr>
          <w:rStyle w:val="FootnoteReference"/>
        </w:rPr>
        <w:footnoteReference w:id="27"/>
      </w:r>
      <w:r w:rsidRPr="00D615DB">
        <w:t xml:space="preserve"> to seek input from </w:t>
      </w:r>
      <w:proofErr w:type="gramStart"/>
      <w:r w:rsidRPr="00D615DB">
        <w:t>a large number of</w:t>
      </w:r>
      <w:proofErr w:type="gramEnd"/>
      <w:r w:rsidRPr="00D615DB">
        <w:t xml:space="preserve"> prescribed organisations, followed by approval from the </w:t>
      </w:r>
      <w:r w:rsidR="004E7D7B" w:rsidRPr="00D615DB">
        <w:t>FMM</w:t>
      </w:r>
      <w:r w:rsidRPr="00D615DB">
        <w:t>, can lead to lengthy nomination and appointment processes that are resource intensive without necessarily providing additional value to member selection. These reportedly can take up to 15-18 months. For best practice, governance committees should keep a pipeline of potential candidates to fill vacancies as required</w:t>
      </w:r>
      <w:r w:rsidR="005649DC">
        <w:t>.</w:t>
      </w:r>
      <w:r w:rsidR="00235A9D">
        <w:rPr>
          <w:rFonts w:ascii="ZWAdobeF" w:hAnsi="ZWAdobeF" w:cs="ZWAdobeF"/>
          <w:sz w:val="2"/>
          <w:szCs w:val="2"/>
        </w:rPr>
        <w:t>26F</w:t>
      </w:r>
      <w:r w:rsidRPr="00D615DB">
        <w:rPr>
          <w:rStyle w:val="FootnoteReference"/>
        </w:rPr>
        <w:footnoteReference w:id="28"/>
      </w:r>
      <w:r w:rsidRPr="00D615DB">
        <w:rPr>
          <w:vertAlign w:val="superscript"/>
        </w:rPr>
        <w:t xml:space="preserve"> </w:t>
      </w:r>
      <w:r w:rsidRPr="00D615DB">
        <w:t xml:space="preserve">Committees should also be majority comprised of independent candidates who can make decisions in the best interest of the organisation and its objectives, rather than on behalf of partisan groups. </w:t>
      </w:r>
      <w:r w:rsidR="00596FF5">
        <w:t>Board appointment</w:t>
      </w:r>
      <w:r w:rsidRPr="00D615DB">
        <w:t xml:space="preserve"> processes do not reflect either feature.</w:t>
      </w:r>
    </w:p>
    <w:p w14:paraId="6D3433AF" w14:textId="6A00EDDC" w:rsidR="00923BE4" w:rsidRPr="002B4708" w:rsidRDefault="00923BE4" w:rsidP="00923BE4">
      <w:pPr>
        <w:pStyle w:val="Bullet"/>
      </w:pPr>
      <w:r w:rsidRPr="00DA5473">
        <w:rPr>
          <w:rFonts w:ascii="Segoe UI Semibold" w:hAnsi="Segoe UI Semibold" w:cs="Segoe UI Semibold"/>
        </w:rPr>
        <w:t>Current arrangements may not lead to an optimal skill mix.</w:t>
      </w:r>
      <w:r w:rsidRPr="0046290B">
        <w:rPr>
          <w:b/>
          <w:bCs/>
        </w:rPr>
        <w:t xml:space="preserve"> </w:t>
      </w:r>
      <w:r w:rsidRPr="0046290B">
        <w:t xml:space="preserve">An intended strength of the FSANZ Board is breadth of expertise that spans many elements of the </w:t>
      </w:r>
      <w:r w:rsidRPr="004D4A46">
        <w:t>joint food standards system</w:t>
      </w:r>
      <w:r w:rsidRPr="0046290B">
        <w:t xml:space="preserve">. The Act sets out an </w:t>
      </w:r>
      <w:r w:rsidRPr="002B4708">
        <w:t xml:space="preserve">extensive list of skills that Board members </w:t>
      </w:r>
      <w:proofErr w:type="gramStart"/>
      <w:r w:rsidRPr="002B4708">
        <w:t>have to</w:t>
      </w:r>
      <w:proofErr w:type="gramEnd"/>
      <w:r w:rsidRPr="002B4708">
        <w:t xml:space="preserve"> demonstrate expertise </w:t>
      </w:r>
      <w:r w:rsidR="00B74049">
        <w:t>‘</w:t>
      </w:r>
      <w:r w:rsidRPr="002B4708">
        <w:t>in one or more of</w:t>
      </w:r>
      <w:r w:rsidR="00B74049">
        <w:t>’</w:t>
      </w:r>
      <w:r w:rsidRPr="002B4708">
        <w:t>.</w:t>
      </w:r>
      <w:r w:rsidR="00116BDF">
        <w:rPr>
          <w:sz w:val="12"/>
          <w:szCs w:val="12"/>
        </w:rPr>
        <w:t xml:space="preserve"> </w:t>
      </w:r>
      <w:r w:rsidRPr="002B4708">
        <w:t xml:space="preserve">However, the Act does not provide for ensuring breadth of expertise on the Board and neither the Chairperson nor the CEO currently has a formal input role to selection of new Board members. These arrangements make it difficult to address identified capability gaps in a strategic way or assemble a Board with an optimal set of capabilities. </w:t>
      </w:r>
    </w:p>
    <w:p w14:paraId="0BA04473" w14:textId="2613C875" w:rsidR="0070358D" w:rsidRDefault="00415526" w:rsidP="0070358D">
      <w:pPr>
        <w:pStyle w:val="Heading4"/>
      </w:pPr>
      <w:r>
        <w:rPr>
          <w:rFonts w:cs="Segoe UI Semibold"/>
        </w:rPr>
        <w:t xml:space="preserve">Sub-problem 2 | </w:t>
      </w:r>
      <w:r w:rsidR="000A03AF" w:rsidRPr="000A03AF">
        <w:t xml:space="preserve">Long-term decreases in funding has created significant resourcing pressure and is forcing FSANZ to focus on only a subset of its statutory </w:t>
      </w:r>
      <w:proofErr w:type="gramStart"/>
      <w:r w:rsidR="000A03AF" w:rsidRPr="000A03AF">
        <w:t>functions</w:t>
      </w:r>
      <w:proofErr w:type="gramEnd"/>
    </w:p>
    <w:tbl>
      <w:tblPr>
        <w:tblStyle w:val="TableGrid"/>
        <w:tblW w:w="0" w:type="auto"/>
        <w:tblLook w:val="04A0" w:firstRow="1" w:lastRow="0" w:firstColumn="1" w:lastColumn="0" w:noHBand="0" w:noVBand="1"/>
      </w:tblPr>
      <w:tblGrid>
        <w:gridCol w:w="2977"/>
        <w:gridCol w:w="567"/>
        <w:gridCol w:w="1985"/>
        <w:gridCol w:w="567"/>
        <w:gridCol w:w="2268"/>
        <w:gridCol w:w="566"/>
      </w:tblGrid>
      <w:tr w:rsidR="00301A27" w14:paraId="210F1004"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78EA5A6B" w14:textId="77777777" w:rsidR="0070358D" w:rsidRPr="006C0D5F" w:rsidRDefault="0070358D" w:rsidP="00C87D1A">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Level of impact</w:t>
            </w:r>
          </w:p>
        </w:tc>
        <w:tc>
          <w:tcPr>
            <w:tcW w:w="567" w:type="dxa"/>
          </w:tcPr>
          <w:p w14:paraId="519BBB5F" w14:textId="77777777" w:rsidR="0070358D" w:rsidRPr="006C0D5F" w:rsidRDefault="0070358D" w:rsidP="00C87D1A">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3</w:t>
            </w:r>
          </w:p>
        </w:tc>
        <w:tc>
          <w:tcPr>
            <w:tcW w:w="1985" w:type="dxa"/>
            <w:shd w:val="clear" w:color="auto" w:fill="00264D" w:themeFill="background2"/>
          </w:tcPr>
          <w:p w14:paraId="5E701921" w14:textId="77777777" w:rsidR="0070358D" w:rsidRPr="006C0D5F" w:rsidRDefault="0070358D" w:rsidP="00C87D1A">
            <w:pPr>
              <w:rPr>
                <w:rFonts w:asciiTheme="minorHAnsi" w:eastAsia="Segoe UI" w:hAnsiTheme="minorHAnsi" w:cstheme="minorHAnsi"/>
                <w:color w:val="FFFFFF" w:themeColor="background1"/>
                <w:sz w:val="18"/>
                <w:szCs w:val="18"/>
                <w:lang w:eastAsia="en-AU"/>
              </w:rPr>
            </w:pPr>
            <w:r w:rsidRPr="006C0D5F">
              <w:rPr>
                <w:rFonts w:asciiTheme="minorHAnsi" w:eastAsia="Segoe UI" w:hAnsiTheme="minorHAnsi" w:cstheme="minorHAnsi"/>
                <w:color w:val="FFFFFF" w:themeColor="background1"/>
                <w:sz w:val="18"/>
                <w:szCs w:val="18"/>
                <w:lang w:eastAsia="en-AU"/>
              </w:rPr>
              <w:t>Extent of impact</w:t>
            </w:r>
          </w:p>
        </w:tc>
        <w:tc>
          <w:tcPr>
            <w:tcW w:w="567" w:type="dxa"/>
          </w:tcPr>
          <w:p w14:paraId="0D80FD3B" w14:textId="77777777" w:rsidR="0070358D" w:rsidRPr="006C0D5F" w:rsidRDefault="0070358D" w:rsidP="00C87D1A">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2</w:t>
            </w:r>
          </w:p>
        </w:tc>
        <w:tc>
          <w:tcPr>
            <w:tcW w:w="2268" w:type="dxa"/>
            <w:shd w:val="clear" w:color="auto" w:fill="00264D" w:themeFill="background2"/>
          </w:tcPr>
          <w:p w14:paraId="287F65AD" w14:textId="77777777" w:rsidR="0070358D" w:rsidRPr="006C0D5F" w:rsidRDefault="0070358D" w:rsidP="00C87D1A">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Sub-problem rating</w:t>
            </w:r>
          </w:p>
        </w:tc>
        <w:tc>
          <w:tcPr>
            <w:tcW w:w="566" w:type="dxa"/>
          </w:tcPr>
          <w:p w14:paraId="3A6C5BE4" w14:textId="77777777" w:rsidR="0070358D" w:rsidRPr="006C0D5F" w:rsidRDefault="0070358D" w:rsidP="00C87D1A">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6</w:t>
            </w:r>
          </w:p>
        </w:tc>
      </w:tr>
    </w:tbl>
    <w:p w14:paraId="58EF8FCB" w14:textId="77777777" w:rsidR="002A0FAF" w:rsidRDefault="002A0FAF" w:rsidP="00FF4ABE"/>
    <w:p w14:paraId="6D53A60C" w14:textId="2D0317EA" w:rsidR="00923BE4" w:rsidRDefault="00923BE4" w:rsidP="00654C34">
      <w:r>
        <w:rPr>
          <w:lang w:eastAsia="en-AU"/>
        </w:rPr>
        <w:lastRenderedPageBreak/>
        <w:t>FSANZ is</w:t>
      </w:r>
      <w:r w:rsidR="00B97D00">
        <w:rPr>
          <w:lang w:eastAsia="en-AU"/>
        </w:rPr>
        <w:t xml:space="preserve"> jointly funded by the Australian and New Zealand Governments on a per capita cost share basis</w:t>
      </w:r>
      <w:r>
        <w:rPr>
          <w:lang w:eastAsia="en-AU"/>
        </w:rPr>
        <w:t xml:space="preserve"> and receives additional funding </w:t>
      </w:r>
      <w:r w:rsidR="000C2AC6">
        <w:rPr>
          <w:lang w:eastAsia="en-AU"/>
        </w:rPr>
        <w:t>for</w:t>
      </w:r>
      <w:r>
        <w:rPr>
          <w:lang w:eastAsia="en-AU"/>
        </w:rPr>
        <w:t xml:space="preserve"> special projects and through cost recovery. </w:t>
      </w:r>
      <w:r>
        <w:t xml:space="preserve">Australian states and territories do not directly contribute to </w:t>
      </w:r>
      <w:r w:rsidR="004E4D63">
        <w:t>FSANZ’</w:t>
      </w:r>
      <w:r w:rsidR="008E77E8">
        <w:t>s</w:t>
      </w:r>
      <w:r>
        <w:t xml:space="preserve"> revenue stream. </w:t>
      </w:r>
    </w:p>
    <w:p w14:paraId="3D160EB9" w14:textId="609548DF" w:rsidR="00923BE4" w:rsidRPr="00C207DC" w:rsidRDefault="00923BE4" w:rsidP="00AC3719">
      <w:pPr>
        <w:rPr>
          <w:rFonts w:asciiTheme="minorHAnsi" w:hAnsiTheme="minorHAnsi" w:cstheme="minorHAnsi"/>
        </w:rPr>
      </w:pPr>
      <w:r>
        <w:t xml:space="preserve">In recent years, </w:t>
      </w:r>
      <w:r w:rsidR="004E4D63">
        <w:t>FSANZ’</w:t>
      </w:r>
      <w:r w:rsidR="008E77E8">
        <w:t>s</w:t>
      </w:r>
      <w:r>
        <w:t xml:space="preserve"> operating budget has declined in real terms; total FSANZ resourcing has reduced from AUD $27 million in 2011-2012 to approximately AUD $22 million in 2021-2022. This is despite Health Portfolio Government Appropriations having almost doubled over the same period – moving from approximately $1 billion to approximately $2 billion per annum, </w:t>
      </w:r>
      <w:proofErr w:type="gramStart"/>
      <w:r>
        <w:t>and also</w:t>
      </w:r>
      <w:proofErr w:type="gramEnd"/>
      <w:r>
        <w:t xml:space="preserve"> the fact that the number of projects undertaken </w:t>
      </w:r>
      <w:r w:rsidRPr="00C207DC">
        <w:rPr>
          <w:rFonts w:asciiTheme="minorHAnsi" w:hAnsiTheme="minorHAnsi" w:cstheme="minorHAnsi"/>
        </w:rPr>
        <w:t>annually by FSANZ has increased by approximately 56% over the same period</w:t>
      </w:r>
      <w:r w:rsidR="00546F43" w:rsidRPr="00C207DC">
        <w:rPr>
          <w:rFonts w:asciiTheme="minorHAnsi" w:hAnsiTheme="minorHAnsi" w:cstheme="minorHAnsi"/>
        </w:rPr>
        <w:t>.</w:t>
      </w:r>
      <w:r w:rsidRPr="00C207DC">
        <w:rPr>
          <w:rStyle w:val="FootnoteReference"/>
          <w:rFonts w:asciiTheme="minorHAnsi" w:hAnsiTheme="minorHAnsi" w:cstheme="minorHAnsi"/>
        </w:rPr>
        <w:footnoteReference w:id="29"/>
      </w:r>
    </w:p>
    <w:p w14:paraId="542C3677" w14:textId="36895E36" w:rsidR="00886398" w:rsidRPr="00C207DC" w:rsidRDefault="00886398" w:rsidP="00AC3719">
      <w:pPr>
        <w:rPr>
          <w:rStyle w:val="cf01"/>
          <w:rFonts w:asciiTheme="minorHAnsi" w:hAnsiTheme="minorHAnsi" w:cstheme="minorHAnsi"/>
          <w:sz w:val="19"/>
          <w:szCs w:val="19"/>
        </w:rPr>
      </w:pPr>
      <w:r w:rsidRPr="00C207DC">
        <w:rPr>
          <w:rStyle w:val="cf01"/>
          <w:rFonts w:asciiTheme="minorHAnsi" w:hAnsiTheme="minorHAnsi" w:cstheme="minorHAnsi"/>
          <w:sz w:val="19"/>
          <w:szCs w:val="19"/>
        </w:rPr>
        <w:t xml:space="preserve">The allocation of resources continues to present a critical challenge for FSANZ in fulfilling its functions effectively. For example, FSANZ currently invests resources into the following: Coordinating food recalls, progressing proposals to support public health outcomes, and processing applications. Due to resource constraints FSANZ has had to consciously deprioritise activities on other functions, namely contributing to international forums and standard setting committees to benefit the Australian and New Zealand industry and promote science and risk-based decision making globally; promote harmonisation across the food regulation system; develop guidance material; undertake analytics around recalls; surveillance and monitoring of the system to identify and mitigate potential risks, </w:t>
      </w:r>
      <w:r w:rsidR="006E5584" w:rsidRPr="00C207DC">
        <w:rPr>
          <w:rStyle w:val="cf01"/>
          <w:rFonts w:asciiTheme="minorHAnsi" w:hAnsiTheme="minorHAnsi" w:cstheme="minorHAnsi"/>
          <w:sz w:val="19"/>
          <w:szCs w:val="19"/>
        </w:rPr>
        <w:t>and so on.</w:t>
      </w:r>
      <w:r w:rsidRPr="00C207DC">
        <w:rPr>
          <w:rStyle w:val="cf01"/>
          <w:rFonts w:asciiTheme="minorHAnsi" w:hAnsiTheme="minorHAnsi" w:cstheme="minorHAnsi"/>
          <w:sz w:val="19"/>
          <w:szCs w:val="19"/>
        </w:rPr>
        <w:t xml:space="preserve"> </w:t>
      </w:r>
    </w:p>
    <w:p w14:paraId="5DFC41EB" w14:textId="4560812F" w:rsidR="00AC3719" w:rsidRPr="00C207DC" w:rsidRDefault="002127BF" w:rsidP="00AC3719">
      <w:pPr>
        <w:rPr>
          <w:rFonts w:asciiTheme="minorHAnsi" w:hAnsiTheme="minorHAnsi" w:cstheme="minorHAnsi"/>
        </w:rPr>
      </w:pPr>
      <w:r w:rsidRPr="00C207DC">
        <w:rPr>
          <w:rFonts w:asciiTheme="minorHAnsi" w:hAnsiTheme="minorHAnsi" w:cstheme="minorHAnsi"/>
        </w:rPr>
        <w:t xml:space="preserve">The breakdown of FSANZ’s revenue sources in 2022-23 </w:t>
      </w:r>
      <w:r w:rsidR="000F796C">
        <w:rPr>
          <w:rFonts w:asciiTheme="minorHAnsi" w:hAnsiTheme="minorHAnsi" w:cstheme="minorHAnsi"/>
        </w:rPr>
        <w:t xml:space="preserve">is outlined in </w:t>
      </w:r>
      <w:r w:rsidR="000F796C">
        <w:rPr>
          <w:rFonts w:asciiTheme="minorHAnsi" w:hAnsiTheme="minorHAnsi" w:cstheme="minorHAnsi"/>
        </w:rPr>
        <w:fldChar w:fldCharType="begin"/>
      </w:r>
      <w:r w:rsidR="000F796C">
        <w:rPr>
          <w:rFonts w:asciiTheme="minorHAnsi" w:hAnsiTheme="minorHAnsi" w:cstheme="minorHAnsi"/>
        </w:rPr>
        <w:instrText xml:space="preserve"> REF _Ref149573096 \h </w:instrText>
      </w:r>
      <w:r w:rsidR="000F796C">
        <w:rPr>
          <w:rFonts w:asciiTheme="minorHAnsi" w:hAnsiTheme="minorHAnsi" w:cstheme="minorHAnsi"/>
        </w:rPr>
      </w:r>
      <w:r w:rsidR="000F796C">
        <w:rPr>
          <w:rFonts w:asciiTheme="minorHAnsi" w:hAnsiTheme="minorHAnsi" w:cstheme="minorHAnsi"/>
        </w:rPr>
        <w:fldChar w:fldCharType="separate"/>
      </w:r>
      <w:r w:rsidR="003F7B92">
        <w:t xml:space="preserve">Table </w:t>
      </w:r>
      <w:r w:rsidR="003F7B92">
        <w:rPr>
          <w:noProof/>
        </w:rPr>
        <w:t>5</w:t>
      </w:r>
      <w:r w:rsidR="000F796C">
        <w:rPr>
          <w:rFonts w:asciiTheme="minorHAnsi" w:hAnsiTheme="minorHAnsi" w:cstheme="minorHAnsi"/>
        </w:rPr>
        <w:fldChar w:fldCharType="end"/>
      </w:r>
      <w:r w:rsidR="004F0757">
        <w:rPr>
          <w:rFonts w:asciiTheme="minorHAnsi" w:hAnsiTheme="minorHAnsi" w:cstheme="minorHAnsi"/>
        </w:rPr>
        <w:t xml:space="preserve"> below</w:t>
      </w:r>
      <w:r w:rsidR="00AC3719" w:rsidRPr="00C207DC">
        <w:rPr>
          <w:rFonts w:asciiTheme="minorHAnsi" w:hAnsiTheme="minorHAnsi" w:cstheme="minorHAnsi"/>
        </w:rPr>
        <w:t>.</w:t>
      </w:r>
    </w:p>
    <w:p w14:paraId="6D22D7F2" w14:textId="4BBE2708" w:rsidR="000F796C" w:rsidRDefault="000F796C" w:rsidP="00C207DC">
      <w:pPr>
        <w:pStyle w:val="Caption"/>
      </w:pPr>
      <w:r>
        <w:t xml:space="preserve">Table </w:t>
      </w:r>
      <w:r>
        <w:fldChar w:fldCharType="begin"/>
      </w:r>
      <w:r>
        <w:instrText xml:space="preserve"> SEQ Table \* ARABIC </w:instrText>
      </w:r>
      <w:r>
        <w:fldChar w:fldCharType="separate"/>
      </w:r>
      <w:r w:rsidR="003F7B92">
        <w:rPr>
          <w:noProof/>
        </w:rPr>
        <w:t>6</w:t>
      </w:r>
      <w:r>
        <w:fldChar w:fldCharType="end"/>
      </w:r>
      <w:r>
        <w:t xml:space="preserve"> | Breakdown of FSANZ revenue sources in FY2022-23</w:t>
      </w:r>
      <w:r w:rsidR="00D834BC">
        <w:rPr>
          <w:rStyle w:val="FootnoteReference"/>
        </w:rPr>
        <w:footnoteReference w:id="30"/>
      </w:r>
      <w:r w:rsidR="00D834BC">
        <w:t xml:space="preserve"> </w:t>
      </w:r>
    </w:p>
    <w:tbl>
      <w:tblPr>
        <w:tblStyle w:val="TableGrid"/>
        <w:tblW w:w="5000" w:type="pct"/>
        <w:tblLook w:val="04A0" w:firstRow="1" w:lastRow="0" w:firstColumn="1" w:lastColumn="0" w:noHBand="0" w:noVBand="1"/>
      </w:tblPr>
      <w:tblGrid>
        <w:gridCol w:w="4558"/>
        <w:gridCol w:w="4372"/>
      </w:tblGrid>
      <w:tr w:rsidR="00EA4C5A" w14:paraId="7C8869D1" w14:textId="77777777" w:rsidTr="00EA4C5A">
        <w:trPr>
          <w:cnfStyle w:val="100000000000" w:firstRow="1" w:lastRow="0" w:firstColumn="0" w:lastColumn="0" w:oddVBand="0" w:evenVBand="0" w:oddHBand="0" w:evenHBand="0" w:firstRowFirstColumn="0" w:firstRowLastColumn="0" w:lastRowFirstColumn="0" w:lastRowLastColumn="0"/>
        </w:trPr>
        <w:tc>
          <w:tcPr>
            <w:tcW w:w="2552" w:type="pct"/>
          </w:tcPr>
          <w:p w14:paraId="3D084A6D" w14:textId="696AAA52" w:rsidR="000E43E9" w:rsidRDefault="000E43E9" w:rsidP="00C207DC">
            <w:pPr>
              <w:pStyle w:val="TableNheader"/>
            </w:pPr>
            <w:r>
              <w:t>Source</w:t>
            </w:r>
          </w:p>
        </w:tc>
        <w:tc>
          <w:tcPr>
            <w:tcW w:w="2448" w:type="pct"/>
          </w:tcPr>
          <w:p w14:paraId="021C0DB2" w14:textId="3368D2FD" w:rsidR="000E43E9" w:rsidRDefault="000E43E9" w:rsidP="00C207DC">
            <w:pPr>
              <w:pStyle w:val="TableNheader"/>
            </w:pPr>
            <w:r>
              <w:t>Proportion of total revenue</w:t>
            </w:r>
          </w:p>
        </w:tc>
      </w:tr>
      <w:tr w:rsidR="00EA4C5A" w14:paraId="424AA6F9" w14:textId="77777777" w:rsidTr="00EA4C5A">
        <w:trPr>
          <w:cnfStyle w:val="000000100000" w:firstRow="0" w:lastRow="0" w:firstColumn="0" w:lastColumn="0" w:oddVBand="0" w:evenVBand="0" w:oddHBand="1" w:evenHBand="0" w:firstRowFirstColumn="0" w:firstRowLastColumn="0" w:lastRowFirstColumn="0" w:lastRowLastColumn="0"/>
        </w:trPr>
        <w:tc>
          <w:tcPr>
            <w:tcW w:w="2552" w:type="pct"/>
          </w:tcPr>
          <w:p w14:paraId="5F8D3F47" w14:textId="3C61293E" w:rsidR="000E43E9" w:rsidRDefault="000E43E9" w:rsidP="00C207DC">
            <w:pPr>
              <w:pStyle w:val="TableNText"/>
            </w:pPr>
            <w:r>
              <w:t>Receipts from Australian Government</w:t>
            </w:r>
          </w:p>
        </w:tc>
        <w:tc>
          <w:tcPr>
            <w:tcW w:w="2448" w:type="pct"/>
          </w:tcPr>
          <w:p w14:paraId="48C17FA5" w14:textId="0B608883" w:rsidR="000E43E9" w:rsidRDefault="000E43E9" w:rsidP="00C207DC">
            <w:pPr>
              <w:pStyle w:val="TableNText"/>
            </w:pPr>
            <w:r>
              <w:t>75%</w:t>
            </w:r>
          </w:p>
        </w:tc>
      </w:tr>
      <w:tr w:rsidR="00EA4C5A" w14:paraId="4F60F2B9" w14:textId="77777777" w:rsidTr="00EA4C5A">
        <w:trPr>
          <w:cnfStyle w:val="000000010000" w:firstRow="0" w:lastRow="0" w:firstColumn="0" w:lastColumn="0" w:oddVBand="0" w:evenVBand="0" w:oddHBand="0" w:evenHBand="1" w:firstRowFirstColumn="0" w:firstRowLastColumn="0" w:lastRowFirstColumn="0" w:lastRowLastColumn="0"/>
        </w:trPr>
        <w:tc>
          <w:tcPr>
            <w:tcW w:w="2552" w:type="pct"/>
          </w:tcPr>
          <w:p w14:paraId="44F4639E" w14:textId="2B0713D5" w:rsidR="000E43E9" w:rsidRDefault="000E43E9" w:rsidP="00C207DC">
            <w:pPr>
              <w:pStyle w:val="TableNText"/>
            </w:pPr>
            <w:r>
              <w:t>Project revenue from Government</w:t>
            </w:r>
          </w:p>
        </w:tc>
        <w:tc>
          <w:tcPr>
            <w:tcW w:w="2448" w:type="pct"/>
          </w:tcPr>
          <w:p w14:paraId="6E9E70F9" w14:textId="32829791" w:rsidR="000E43E9" w:rsidRDefault="000E43E9" w:rsidP="00C207DC">
            <w:pPr>
              <w:pStyle w:val="TableNText"/>
            </w:pPr>
            <w:r>
              <w:t>10%</w:t>
            </w:r>
          </w:p>
        </w:tc>
      </w:tr>
      <w:tr w:rsidR="00EA4C5A" w14:paraId="2BB56B14" w14:textId="77777777" w:rsidTr="00EA4C5A">
        <w:trPr>
          <w:cnfStyle w:val="000000100000" w:firstRow="0" w:lastRow="0" w:firstColumn="0" w:lastColumn="0" w:oddVBand="0" w:evenVBand="0" w:oddHBand="1" w:evenHBand="0" w:firstRowFirstColumn="0" w:firstRowLastColumn="0" w:lastRowFirstColumn="0" w:lastRowLastColumn="0"/>
        </w:trPr>
        <w:tc>
          <w:tcPr>
            <w:tcW w:w="2552" w:type="pct"/>
          </w:tcPr>
          <w:p w14:paraId="554C7D32" w14:textId="4551A1FA" w:rsidR="000E43E9" w:rsidRDefault="000E43E9" w:rsidP="00C207DC">
            <w:pPr>
              <w:pStyle w:val="TableNText"/>
            </w:pPr>
            <w:r>
              <w:t>Receipts from New Zealand Government</w:t>
            </w:r>
          </w:p>
        </w:tc>
        <w:tc>
          <w:tcPr>
            <w:tcW w:w="2448" w:type="pct"/>
          </w:tcPr>
          <w:p w14:paraId="726BC6C5" w14:textId="0D3052BF" w:rsidR="000E43E9" w:rsidRDefault="000E43E9" w:rsidP="00C207DC">
            <w:pPr>
              <w:pStyle w:val="TableNText"/>
            </w:pPr>
            <w:r>
              <w:t>8%</w:t>
            </w:r>
          </w:p>
        </w:tc>
      </w:tr>
      <w:tr w:rsidR="00EA4C5A" w14:paraId="0A3B78D2" w14:textId="77777777" w:rsidTr="00EA4C5A">
        <w:trPr>
          <w:cnfStyle w:val="000000010000" w:firstRow="0" w:lastRow="0" w:firstColumn="0" w:lastColumn="0" w:oddVBand="0" w:evenVBand="0" w:oddHBand="0" w:evenHBand="1" w:firstRowFirstColumn="0" w:firstRowLastColumn="0" w:lastRowFirstColumn="0" w:lastRowLastColumn="0"/>
        </w:trPr>
        <w:tc>
          <w:tcPr>
            <w:tcW w:w="2552" w:type="pct"/>
          </w:tcPr>
          <w:p w14:paraId="69D9AD50" w14:textId="06A84926" w:rsidR="000E43E9" w:rsidRDefault="000E43E9" w:rsidP="00C207DC">
            <w:pPr>
              <w:pStyle w:val="TableNText"/>
            </w:pPr>
            <w:r>
              <w:t>Cost recovery</w:t>
            </w:r>
          </w:p>
        </w:tc>
        <w:tc>
          <w:tcPr>
            <w:tcW w:w="2448" w:type="pct"/>
          </w:tcPr>
          <w:p w14:paraId="5EDAC81A" w14:textId="3D2DBFFE" w:rsidR="000E43E9" w:rsidRDefault="001B5523" w:rsidP="00C207DC">
            <w:pPr>
              <w:pStyle w:val="TableNText"/>
            </w:pPr>
            <w:r>
              <w:t>4%</w:t>
            </w:r>
          </w:p>
        </w:tc>
      </w:tr>
      <w:tr w:rsidR="00EA4C5A" w14:paraId="02F3977A" w14:textId="77777777" w:rsidTr="00EA4C5A">
        <w:trPr>
          <w:cnfStyle w:val="000000100000" w:firstRow="0" w:lastRow="0" w:firstColumn="0" w:lastColumn="0" w:oddVBand="0" w:evenVBand="0" w:oddHBand="1" w:evenHBand="0" w:firstRowFirstColumn="0" w:firstRowLastColumn="0" w:lastRowFirstColumn="0" w:lastRowLastColumn="0"/>
        </w:trPr>
        <w:tc>
          <w:tcPr>
            <w:tcW w:w="2552" w:type="pct"/>
          </w:tcPr>
          <w:p w14:paraId="2696CEEE" w14:textId="2043CDA6" w:rsidR="000E43E9" w:rsidRDefault="000E43E9" w:rsidP="00C207DC">
            <w:pPr>
              <w:pStyle w:val="TableNText"/>
            </w:pPr>
            <w:r>
              <w:t>Other (</w:t>
            </w:r>
            <w:proofErr w:type="gramStart"/>
            <w:r>
              <w:t>e.g.</w:t>
            </w:r>
            <w:proofErr w:type="gramEnd"/>
            <w:r>
              <w:t xml:space="preserve"> interest, gains)</w:t>
            </w:r>
          </w:p>
        </w:tc>
        <w:tc>
          <w:tcPr>
            <w:tcW w:w="2448" w:type="pct"/>
          </w:tcPr>
          <w:p w14:paraId="028D549C" w14:textId="78A11C9F" w:rsidR="000E43E9" w:rsidRDefault="001B5523" w:rsidP="00C207DC">
            <w:pPr>
              <w:pStyle w:val="TableNText"/>
            </w:pPr>
            <w:r>
              <w:t>3%</w:t>
            </w:r>
          </w:p>
        </w:tc>
      </w:tr>
    </w:tbl>
    <w:p w14:paraId="09D089AD" w14:textId="77777777" w:rsidR="00AC3719" w:rsidRPr="00C207DC" w:rsidRDefault="00AC3719" w:rsidP="00AC3719">
      <w:pPr>
        <w:rPr>
          <w:rFonts w:asciiTheme="minorHAnsi" w:hAnsiTheme="minorHAnsi" w:cstheme="minorHAnsi"/>
        </w:rPr>
      </w:pPr>
    </w:p>
    <w:p w14:paraId="2FC93D15" w14:textId="5C72652C" w:rsidR="00923BE4" w:rsidRDefault="00D834BC" w:rsidP="00AC3719">
      <w:r>
        <w:rPr>
          <w:rStyle w:val="cf01"/>
          <w:rFonts w:asciiTheme="minorHAnsi" w:hAnsiTheme="minorHAnsi" w:cstheme="minorHAnsi"/>
          <w:sz w:val="19"/>
          <w:szCs w:val="19"/>
        </w:rPr>
        <w:t xml:space="preserve">As shown, only 4% of FSANZ’s revenue is generated through cost recovery. </w:t>
      </w:r>
      <w:r w:rsidR="00923BE4">
        <w:t xml:space="preserve">While some regulatory bodies, such as the </w:t>
      </w:r>
      <w:r w:rsidR="00923BE4" w:rsidRPr="00017F00">
        <w:t xml:space="preserve">Therapeutic Goods Administration </w:t>
      </w:r>
      <w:r w:rsidR="00923BE4">
        <w:t xml:space="preserve">(TGA) and </w:t>
      </w:r>
      <w:r w:rsidR="00923BE4" w:rsidRPr="00017F00">
        <w:t>Australian Pesticides and Veterinary Medicines Authority</w:t>
      </w:r>
      <w:r w:rsidR="00923BE4">
        <w:t xml:space="preserve"> (APVMA) </w:t>
      </w:r>
      <w:r w:rsidR="00F4695F">
        <w:t xml:space="preserve">extensively </w:t>
      </w:r>
      <w:r w:rsidR="00923BE4">
        <w:t xml:space="preserve">rely on cost recovery, it is worth noting that other regulatory and standard-setting bodies do not engage in extensive cost-recovery practices. </w:t>
      </w:r>
    </w:p>
    <w:p w14:paraId="56392A44" w14:textId="459E6E9C" w:rsidR="00923BE4" w:rsidRDefault="00923BE4" w:rsidP="00FF4ABE">
      <w:pPr>
        <w:rPr>
          <w:rFonts w:asciiTheme="majorHAnsi" w:hAnsiTheme="majorHAnsi" w:cstheme="majorHAnsi"/>
        </w:rPr>
      </w:pPr>
      <w:r w:rsidRPr="00532D46">
        <w:rPr>
          <w:rFonts w:asciiTheme="majorHAnsi" w:hAnsiTheme="majorHAnsi" w:cstheme="majorHAnsi"/>
        </w:rPr>
        <w:t xml:space="preserve">A more comprehensive review of </w:t>
      </w:r>
      <w:r w:rsidR="004E4D63" w:rsidRPr="00532D46">
        <w:rPr>
          <w:rFonts w:asciiTheme="majorHAnsi" w:hAnsiTheme="majorHAnsi" w:cstheme="majorHAnsi"/>
        </w:rPr>
        <w:t>FSANZ’</w:t>
      </w:r>
      <w:r w:rsidR="008E77E8">
        <w:rPr>
          <w:rFonts w:asciiTheme="majorHAnsi" w:hAnsiTheme="majorHAnsi" w:cstheme="majorHAnsi"/>
        </w:rPr>
        <w:t>s</w:t>
      </w:r>
      <w:r w:rsidRPr="00532D46">
        <w:rPr>
          <w:rFonts w:asciiTheme="majorHAnsi" w:hAnsiTheme="majorHAnsi" w:cstheme="majorHAnsi"/>
        </w:rPr>
        <w:t xml:space="preserve"> substantive funding arrangements </w:t>
      </w:r>
      <w:r w:rsidR="00BD4352" w:rsidRPr="00532D46">
        <w:rPr>
          <w:rFonts w:asciiTheme="majorHAnsi" w:hAnsiTheme="majorHAnsi" w:cstheme="majorHAnsi"/>
        </w:rPr>
        <w:t xml:space="preserve">(such as cost sharing arrangements between the Australian and New Zealand Government and potentially Australian </w:t>
      </w:r>
      <w:r w:rsidR="0025127C" w:rsidRPr="00532D46">
        <w:rPr>
          <w:rFonts w:asciiTheme="majorHAnsi" w:hAnsiTheme="majorHAnsi" w:cstheme="majorHAnsi"/>
        </w:rPr>
        <w:t>s</w:t>
      </w:r>
      <w:r w:rsidR="00BD4352" w:rsidRPr="00532D46">
        <w:rPr>
          <w:rFonts w:asciiTheme="majorHAnsi" w:hAnsiTheme="majorHAnsi" w:cstheme="majorHAnsi"/>
        </w:rPr>
        <w:t xml:space="preserve">tates and </w:t>
      </w:r>
      <w:r w:rsidR="0025127C" w:rsidRPr="00532D46">
        <w:rPr>
          <w:rFonts w:asciiTheme="majorHAnsi" w:hAnsiTheme="majorHAnsi" w:cstheme="majorHAnsi"/>
        </w:rPr>
        <w:t>t</w:t>
      </w:r>
      <w:r w:rsidR="00BD4352" w:rsidRPr="00532D46">
        <w:rPr>
          <w:rFonts w:asciiTheme="majorHAnsi" w:hAnsiTheme="majorHAnsi" w:cstheme="majorHAnsi"/>
        </w:rPr>
        <w:t>erritories)</w:t>
      </w:r>
      <w:r w:rsidRPr="00532D46">
        <w:rPr>
          <w:rFonts w:asciiTheme="majorHAnsi" w:hAnsiTheme="majorHAnsi" w:cstheme="majorHAnsi"/>
        </w:rPr>
        <w:t xml:space="preserve"> is outside the scope of this </w:t>
      </w:r>
      <w:r w:rsidR="00C57380">
        <w:rPr>
          <w:rFonts w:asciiTheme="majorHAnsi" w:hAnsiTheme="majorHAnsi" w:cstheme="majorHAnsi"/>
        </w:rPr>
        <w:t>R</w:t>
      </w:r>
      <w:r w:rsidRPr="00532D46">
        <w:rPr>
          <w:rFonts w:asciiTheme="majorHAnsi" w:hAnsiTheme="majorHAnsi" w:cstheme="majorHAnsi"/>
        </w:rPr>
        <w:t>eview</w:t>
      </w:r>
      <w:r w:rsidR="00532D46">
        <w:rPr>
          <w:rFonts w:asciiTheme="majorHAnsi" w:hAnsiTheme="majorHAnsi" w:cstheme="majorHAnsi"/>
        </w:rPr>
        <w:t>. It could however</w:t>
      </w:r>
      <w:r w:rsidRPr="00532D46">
        <w:rPr>
          <w:rFonts w:asciiTheme="majorHAnsi" w:hAnsiTheme="majorHAnsi" w:cstheme="majorHAnsi"/>
        </w:rPr>
        <w:t xml:space="preserve"> be picked up as part of the broader work underway in relation to </w:t>
      </w:r>
      <w:r w:rsidR="00511B34" w:rsidRPr="00532D46">
        <w:rPr>
          <w:rFonts w:asciiTheme="majorHAnsi" w:hAnsiTheme="majorHAnsi" w:cstheme="majorHAnsi"/>
        </w:rPr>
        <w:t>the</w:t>
      </w:r>
      <w:r w:rsidRPr="00532D46">
        <w:rPr>
          <w:rFonts w:asciiTheme="majorHAnsi" w:hAnsiTheme="majorHAnsi" w:cstheme="majorHAnsi"/>
        </w:rPr>
        <w:t xml:space="preserve"> </w:t>
      </w:r>
      <w:r w:rsidRPr="00532D46">
        <w:rPr>
          <w:rFonts w:asciiTheme="majorHAnsi" w:hAnsiTheme="majorHAnsi" w:cstheme="majorHAnsi"/>
          <w:lang w:eastAsia="en-AU"/>
        </w:rPr>
        <w:t>joint food standards system</w:t>
      </w:r>
      <w:r w:rsidRPr="00532D46">
        <w:rPr>
          <w:rFonts w:asciiTheme="majorHAnsi" w:hAnsiTheme="majorHAnsi" w:cstheme="majorHAnsi"/>
        </w:rPr>
        <w:t xml:space="preserve">. </w:t>
      </w:r>
    </w:p>
    <w:p w14:paraId="3DAAA8F9" w14:textId="77777777" w:rsidR="00A55AB9" w:rsidRDefault="00A55AB9">
      <w:pPr>
        <w:spacing w:after="165"/>
      </w:pPr>
      <w:r>
        <w:br w:type="page"/>
      </w:r>
    </w:p>
    <w:p w14:paraId="106AA769" w14:textId="4553DF4F" w:rsidR="00DC2FD2" w:rsidRDefault="00DC2FD2" w:rsidP="00FF4ABE">
      <w:r>
        <w:rPr>
          <w:noProof/>
          <w:lang w:eastAsia="en-AU"/>
        </w:rPr>
        <w:lastRenderedPageBreak/>
        <w:drawing>
          <wp:anchor distT="0" distB="0" distL="114300" distR="114300" simplePos="0" relativeHeight="251658249" behindDoc="0" locked="0" layoutInCell="1" allowOverlap="1" wp14:anchorId="2E2FB401" wp14:editId="4FE302F8">
            <wp:simplePos x="0" y="0"/>
            <wp:positionH relativeFrom="page">
              <wp:posOffset>0</wp:posOffset>
            </wp:positionH>
            <wp:positionV relativeFrom="paragraph">
              <wp:posOffset>119573</wp:posOffset>
            </wp:positionV>
            <wp:extent cx="1544396" cy="306844"/>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4396" cy="306844"/>
                    </a:xfrm>
                    <a:prstGeom prst="rect">
                      <a:avLst/>
                    </a:prstGeom>
                  </pic:spPr>
                </pic:pic>
              </a:graphicData>
            </a:graphic>
            <wp14:sizeRelH relativeFrom="page">
              <wp14:pctWidth>0</wp14:pctWidth>
            </wp14:sizeRelH>
            <wp14:sizeRelV relativeFrom="page">
              <wp14:pctHeight>0</wp14:pctHeight>
            </wp14:sizeRelV>
          </wp:anchor>
        </w:drawing>
      </w:r>
    </w:p>
    <w:p w14:paraId="76F84ACF" w14:textId="2633CCC8" w:rsidR="00923BE4" w:rsidRDefault="00923BE4" w:rsidP="002A1782">
      <w:pPr>
        <w:pStyle w:val="Heading3"/>
      </w:pPr>
      <w:r w:rsidRPr="002A1782">
        <w:t>Policy Problem 4 | Gaps and duplication of efforts challenge system agility</w:t>
      </w:r>
    </w:p>
    <w:tbl>
      <w:tblPr>
        <w:tblStyle w:val="TableGrid"/>
        <w:tblW w:w="0" w:type="auto"/>
        <w:tblLook w:val="04A0" w:firstRow="1" w:lastRow="0" w:firstColumn="1" w:lastColumn="0" w:noHBand="0" w:noVBand="1"/>
      </w:tblPr>
      <w:tblGrid>
        <w:gridCol w:w="7371"/>
        <w:gridCol w:w="1559"/>
      </w:tblGrid>
      <w:tr w:rsidR="0028475D" w14:paraId="4470CE72" w14:textId="77777777">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00264D" w:themeFill="background2"/>
          </w:tcPr>
          <w:p w14:paraId="1671FECC" w14:textId="77777777" w:rsidR="007238B6" w:rsidRDefault="007238B6">
            <w:pPr>
              <w:rPr>
                <w:lang w:eastAsia="en-AU"/>
              </w:rPr>
            </w:pPr>
            <w:r w:rsidRPr="00441AC6">
              <w:rPr>
                <w:color w:val="FFFFFF" w:themeColor="background1"/>
                <w:lang w:eastAsia="en-AU"/>
              </w:rPr>
              <w:t>Magnitude of problem</w:t>
            </w:r>
          </w:p>
        </w:tc>
        <w:tc>
          <w:tcPr>
            <w:tcW w:w="1559" w:type="dxa"/>
          </w:tcPr>
          <w:p w14:paraId="2E489A1F" w14:textId="77777777" w:rsidR="007238B6" w:rsidRDefault="007238B6">
            <w:pPr>
              <w:rPr>
                <w:lang w:eastAsia="en-AU"/>
              </w:rPr>
            </w:pPr>
            <w:r>
              <w:rPr>
                <w:lang w:eastAsia="en-AU"/>
              </w:rPr>
              <w:t>2 (moderate)</w:t>
            </w:r>
          </w:p>
        </w:tc>
      </w:tr>
    </w:tbl>
    <w:p w14:paraId="599D09BE" w14:textId="59C8293A" w:rsidR="009F74E1" w:rsidRDefault="007238B6" w:rsidP="009F74E1">
      <w:pPr>
        <w:pStyle w:val="Heading4"/>
      </w:pPr>
      <w:r>
        <w:t xml:space="preserve">Sub-problem 1 | </w:t>
      </w:r>
      <w:r w:rsidR="009F74E1" w:rsidRPr="009F74E1">
        <w:t xml:space="preserve">The lack of a shared vision of system priorities between FSANZ and the FMM limits the effectiveness of the broader food regulatory </w:t>
      </w:r>
      <w:proofErr w:type="gramStart"/>
      <w:r w:rsidR="009F74E1" w:rsidRPr="009F74E1">
        <w:t>system</w:t>
      </w:r>
      <w:proofErr w:type="gramEnd"/>
    </w:p>
    <w:tbl>
      <w:tblPr>
        <w:tblStyle w:val="TableGrid"/>
        <w:tblW w:w="0" w:type="auto"/>
        <w:tblLook w:val="04A0" w:firstRow="1" w:lastRow="0" w:firstColumn="1" w:lastColumn="0" w:noHBand="0" w:noVBand="1"/>
      </w:tblPr>
      <w:tblGrid>
        <w:gridCol w:w="2977"/>
        <w:gridCol w:w="567"/>
        <w:gridCol w:w="1985"/>
        <w:gridCol w:w="567"/>
        <w:gridCol w:w="2268"/>
        <w:gridCol w:w="566"/>
      </w:tblGrid>
      <w:tr w:rsidR="00301A27" w14:paraId="7DA779DE"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329F0C32" w14:textId="77777777" w:rsidR="007238B6" w:rsidRPr="006C0D5F" w:rsidRDefault="007238B6">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Level of impact</w:t>
            </w:r>
          </w:p>
        </w:tc>
        <w:tc>
          <w:tcPr>
            <w:tcW w:w="567" w:type="dxa"/>
          </w:tcPr>
          <w:p w14:paraId="1AA3B79A" w14:textId="6547A739" w:rsidR="007238B6" w:rsidRPr="006C0D5F" w:rsidRDefault="007238B6">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2</w:t>
            </w:r>
          </w:p>
        </w:tc>
        <w:tc>
          <w:tcPr>
            <w:tcW w:w="1985" w:type="dxa"/>
            <w:shd w:val="clear" w:color="auto" w:fill="00264D" w:themeFill="background2"/>
          </w:tcPr>
          <w:p w14:paraId="15C755D5" w14:textId="77777777" w:rsidR="007238B6" w:rsidRPr="006C0D5F" w:rsidRDefault="007238B6">
            <w:pPr>
              <w:rPr>
                <w:rFonts w:asciiTheme="minorHAnsi" w:eastAsia="Segoe UI" w:hAnsiTheme="minorHAnsi" w:cstheme="minorHAnsi"/>
                <w:color w:val="FFFFFF" w:themeColor="background1"/>
                <w:sz w:val="18"/>
                <w:szCs w:val="18"/>
                <w:lang w:eastAsia="en-AU"/>
              </w:rPr>
            </w:pPr>
            <w:r w:rsidRPr="006C0D5F">
              <w:rPr>
                <w:rFonts w:asciiTheme="minorHAnsi" w:eastAsia="Segoe UI" w:hAnsiTheme="minorHAnsi" w:cstheme="minorHAnsi"/>
                <w:color w:val="FFFFFF" w:themeColor="background1"/>
                <w:sz w:val="18"/>
                <w:szCs w:val="18"/>
                <w:lang w:eastAsia="en-AU"/>
              </w:rPr>
              <w:t>Extent of impact</w:t>
            </w:r>
          </w:p>
        </w:tc>
        <w:tc>
          <w:tcPr>
            <w:tcW w:w="567" w:type="dxa"/>
          </w:tcPr>
          <w:p w14:paraId="1B34796A" w14:textId="77777777" w:rsidR="007238B6" w:rsidRPr="006C0D5F" w:rsidRDefault="007238B6">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2</w:t>
            </w:r>
          </w:p>
        </w:tc>
        <w:tc>
          <w:tcPr>
            <w:tcW w:w="2268" w:type="dxa"/>
            <w:shd w:val="clear" w:color="auto" w:fill="00264D" w:themeFill="background2"/>
          </w:tcPr>
          <w:p w14:paraId="4722915A" w14:textId="77777777" w:rsidR="007238B6" w:rsidRPr="006C0D5F" w:rsidRDefault="007238B6">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Sub-problem rating</w:t>
            </w:r>
          </w:p>
        </w:tc>
        <w:tc>
          <w:tcPr>
            <w:tcW w:w="566" w:type="dxa"/>
          </w:tcPr>
          <w:p w14:paraId="142F0C3B" w14:textId="62CB0A93" w:rsidR="007238B6" w:rsidRPr="006C0D5F" w:rsidRDefault="007238B6">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4</w:t>
            </w:r>
          </w:p>
        </w:tc>
      </w:tr>
    </w:tbl>
    <w:p w14:paraId="45914AB0" w14:textId="77777777" w:rsidR="007238B6" w:rsidRDefault="007238B6" w:rsidP="007238B6">
      <w:pPr>
        <w:rPr>
          <w:lang w:eastAsia="en-AU"/>
        </w:rPr>
      </w:pPr>
    </w:p>
    <w:p w14:paraId="46FF2DFB" w14:textId="4181A3CE" w:rsidR="00923BE4" w:rsidRDefault="00923BE4" w:rsidP="00923BE4">
      <w:r>
        <w:t>In addition to its role as the decision-maker on all changes to food standards,</w:t>
      </w:r>
      <w:r w:rsidR="00376598">
        <w:t xml:space="preserve"> </w:t>
      </w:r>
      <w:r w:rsidR="008263F6">
        <w:t>t</w:t>
      </w:r>
      <w:r w:rsidR="003B489B" w:rsidRPr="003B489B">
        <w:t xml:space="preserve">he FMM </w:t>
      </w:r>
      <w:r w:rsidR="00627442">
        <w:t>often</w:t>
      </w:r>
      <w:r w:rsidR="00E61957">
        <w:t xml:space="preserve"> </w:t>
      </w:r>
      <w:r w:rsidR="00623DC3">
        <w:t>requests</w:t>
      </w:r>
      <w:r w:rsidR="003B489B" w:rsidRPr="003B489B">
        <w:t xml:space="preserve"> FSANZ </w:t>
      </w:r>
      <w:r w:rsidR="00623DC3">
        <w:t xml:space="preserve">to </w:t>
      </w:r>
      <w:r w:rsidR="001509F7">
        <w:t>raise</w:t>
      </w:r>
      <w:r w:rsidR="003B489B" w:rsidRPr="003B489B">
        <w:t xml:space="preserve"> proposals or reviews of draft standards or variations. </w:t>
      </w:r>
      <w:r>
        <w:t>The responsible Minister</w:t>
      </w:r>
      <w:r w:rsidR="00235A9D">
        <w:rPr>
          <w:rFonts w:ascii="ZWAdobeF" w:hAnsi="ZWAdobeF" w:cs="ZWAdobeF"/>
          <w:sz w:val="2"/>
          <w:szCs w:val="2"/>
        </w:rPr>
        <w:t>29F</w:t>
      </w:r>
      <w:r>
        <w:rPr>
          <w:rStyle w:val="FootnoteReference"/>
        </w:rPr>
        <w:footnoteReference w:id="31"/>
      </w:r>
      <w:r>
        <w:t xml:space="preserve"> can also request that FSANZ take on additional project work, such as its current work relating to Health Star Ratings. </w:t>
      </w:r>
      <w:r w:rsidR="005B3D30" w:rsidRPr="003B489B">
        <w:t>It</w:t>
      </w:r>
      <w:r w:rsidR="00376598">
        <w:t xml:space="preserve"> is</w:t>
      </w:r>
      <w:r w:rsidR="005B3D30" w:rsidRPr="003B489B">
        <w:t xml:space="preserve"> important to note that while this practice is common, </w:t>
      </w:r>
      <w:r w:rsidR="005B3D30">
        <w:t>FSANZ is not legally obligated to meet the FMM’s requests</w:t>
      </w:r>
      <w:r w:rsidR="005B3D30" w:rsidRPr="003B489B">
        <w:t>.</w:t>
      </w:r>
    </w:p>
    <w:p w14:paraId="4693C742" w14:textId="77777777" w:rsidR="00923BE4" w:rsidRDefault="00923BE4" w:rsidP="00923BE4">
      <w:r>
        <w:t xml:space="preserve">Earlier feedback from government stakeholders has suggested that Ministers are sometimes frustrated by the time it takes for proposals to be progressed and finalised. Similarly, FSANZ has reported challenges in taking on an increasing number of FMM-directed projects, with little discussion or agreement about items that can come off its workplan. </w:t>
      </w:r>
    </w:p>
    <w:p w14:paraId="595934E6" w14:textId="0410CD96" w:rsidR="00BE2934" w:rsidRPr="00B718C5" w:rsidRDefault="00923BE4" w:rsidP="00BE2934">
      <w:pPr>
        <w:rPr>
          <w:lang w:eastAsia="en-AU"/>
        </w:rPr>
      </w:pPr>
      <w:r>
        <w:t xml:space="preserve">While </w:t>
      </w:r>
      <w:r w:rsidRPr="006D2E5A">
        <w:t xml:space="preserve">the </w:t>
      </w:r>
      <w:r>
        <w:t xml:space="preserve">FMM and FSANZ have different roles, priorities, </w:t>
      </w:r>
      <w:proofErr w:type="gramStart"/>
      <w:r>
        <w:t>accountabilities</w:t>
      </w:r>
      <w:proofErr w:type="gramEnd"/>
      <w:r>
        <w:t xml:space="preserve"> and operations – which may mean a shared vision of system priorities is not feasible (or necessarily desirable) – tensions at the interface between policy development and standard-setting (including through requests of reviews) can exacerbate inefficiencies within the system and contribute to significant delays in progressing changes to food standards. </w:t>
      </w:r>
      <w:r w:rsidR="0004629B" w:rsidRPr="0004629B">
        <w:t>Furthermore, there can be a misalignment of priorities around proposals that should be progressed, as well as confusion around the intent of regulatory changes. This highlights the need for better communication between bodies so both can carry out their roles and functions appropriately and with a clear understanding of overarching priorities within the food regulatory landscape.</w:t>
      </w:r>
      <w:r w:rsidR="00AB2A61">
        <w:t xml:space="preserve"> </w:t>
      </w:r>
      <w:r w:rsidR="00023D1A">
        <w:t>Following on from this, t</w:t>
      </w:r>
      <w:r w:rsidR="00AB2A61">
        <w:t xml:space="preserve">here could be </w:t>
      </w:r>
      <w:r w:rsidR="008912D8">
        <w:t xml:space="preserve">more systematic </w:t>
      </w:r>
      <w:r w:rsidR="00E03C89">
        <w:t>prioritisation</w:t>
      </w:r>
      <w:r w:rsidR="006416F1">
        <w:t xml:space="preserve"> </w:t>
      </w:r>
      <w:r w:rsidR="00321F9B">
        <w:t xml:space="preserve">between FSANZ, and FRSC to ensure that </w:t>
      </w:r>
      <w:r w:rsidR="001A702C">
        <w:rPr>
          <w:rFonts w:cs="Segoe UI"/>
          <w:color w:val="374151"/>
        </w:rPr>
        <w:t xml:space="preserve">their efforts are </w:t>
      </w:r>
      <w:r w:rsidR="00E4736B">
        <w:rPr>
          <w:rFonts w:cs="Segoe UI"/>
          <w:color w:val="374151"/>
        </w:rPr>
        <w:t>strategically coordinated towards addressing key goals and challenges within the broader framework of food regulation.</w:t>
      </w:r>
    </w:p>
    <w:p w14:paraId="49311050" w14:textId="5FFE046C" w:rsidR="007518E1" w:rsidRDefault="00D94720" w:rsidP="007518E1">
      <w:pPr>
        <w:pStyle w:val="Heading4"/>
      </w:pPr>
      <w:r>
        <w:t xml:space="preserve">Sub-problem 2 | </w:t>
      </w:r>
      <w:r w:rsidR="007518E1" w:rsidRPr="007518E1">
        <w:t xml:space="preserve">Limited intelligence-sharing between stakeholders across the regulatory system is resulting in duplication of effort and missed opportunities to manage </w:t>
      </w:r>
      <w:proofErr w:type="gramStart"/>
      <w:r w:rsidR="007518E1" w:rsidRPr="007518E1">
        <w:t>risk</w:t>
      </w:r>
      <w:proofErr w:type="gramEnd"/>
    </w:p>
    <w:tbl>
      <w:tblPr>
        <w:tblStyle w:val="TableGrid"/>
        <w:tblW w:w="0" w:type="auto"/>
        <w:tblLook w:val="04A0" w:firstRow="1" w:lastRow="0" w:firstColumn="1" w:lastColumn="0" w:noHBand="0" w:noVBand="1"/>
      </w:tblPr>
      <w:tblGrid>
        <w:gridCol w:w="2977"/>
        <w:gridCol w:w="567"/>
        <w:gridCol w:w="1985"/>
        <w:gridCol w:w="567"/>
        <w:gridCol w:w="2268"/>
        <w:gridCol w:w="566"/>
      </w:tblGrid>
      <w:tr w:rsidR="00301A27" w14:paraId="7B8D3207"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3CCB4BFF" w14:textId="77777777" w:rsidR="00A72571" w:rsidRPr="006C0D5F" w:rsidRDefault="00A72571">
            <w:pPr>
              <w:rPr>
                <w:rFonts w:asciiTheme="minorHAnsi" w:eastAsia="Segoe UI" w:hAnsiTheme="minorHAnsi" w:cstheme="minorHAnsi"/>
                <w:sz w:val="18"/>
                <w:szCs w:val="18"/>
                <w:lang w:eastAsia="en-AU"/>
              </w:rPr>
            </w:pPr>
            <w:bookmarkStart w:id="43" w:name="_Hlk149052029"/>
            <w:r w:rsidRPr="006C0D5F">
              <w:rPr>
                <w:rFonts w:asciiTheme="minorHAnsi" w:eastAsia="Segoe UI" w:hAnsiTheme="minorHAnsi" w:cstheme="minorHAnsi"/>
                <w:color w:val="FFFFFF" w:themeColor="background1"/>
                <w:sz w:val="18"/>
                <w:szCs w:val="18"/>
                <w:lang w:eastAsia="en-AU"/>
              </w:rPr>
              <w:t>Level of impact</w:t>
            </w:r>
          </w:p>
        </w:tc>
        <w:tc>
          <w:tcPr>
            <w:tcW w:w="567" w:type="dxa"/>
          </w:tcPr>
          <w:p w14:paraId="5E2F45CF" w14:textId="77777777" w:rsidR="00A72571" w:rsidRPr="006C0D5F" w:rsidRDefault="00A72571">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2</w:t>
            </w:r>
          </w:p>
        </w:tc>
        <w:tc>
          <w:tcPr>
            <w:tcW w:w="1985" w:type="dxa"/>
            <w:shd w:val="clear" w:color="auto" w:fill="00264D" w:themeFill="background2"/>
          </w:tcPr>
          <w:p w14:paraId="5695FDAD" w14:textId="77777777" w:rsidR="00A72571" w:rsidRPr="006C0D5F" w:rsidRDefault="00A72571">
            <w:pPr>
              <w:rPr>
                <w:rFonts w:asciiTheme="minorHAnsi" w:eastAsia="Segoe UI" w:hAnsiTheme="minorHAnsi" w:cstheme="minorHAnsi"/>
                <w:color w:val="FFFFFF" w:themeColor="background1"/>
                <w:sz w:val="18"/>
                <w:szCs w:val="18"/>
                <w:lang w:eastAsia="en-AU"/>
              </w:rPr>
            </w:pPr>
            <w:r w:rsidRPr="006C0D5F">
              <w:rPr>
                <w:rFonts w:asciiTheme="minorHAnsi" w:eastAsia="Segoe UI" w:hAnsiTheme="minorHAnsi" w:cstheme="minorHAnsi"/>
                <w:color w:val="FFFFFF" w:themeColor="background1"/>
                <w:sz w:val="18"/>
                <w:szCs w:val="18"/>
                <w:lang w:eastAsia="en-AU"/>
              </w:rPr>
              <w:t>Extent of impact</w:t>
            </w:r>
          </w:p>
        </w:tc>
        <w:tc>
          <w:tcPr>
            <w:tcW w:w="567" w:type="dxa"/>
          </w:tcPr>
          <w:p w14:paraId="5331A9C4" w14:textId="77777777" w:rsidR="00A72571" w:rsidRPr="006C0D5F" w:rsidRDefault="00A72571">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2</w:t>
            </w:r>
          </w:p>
        </w:tc>
        <w:tc>
          <w:tcPr>
            <w:tcW w:w="2268" w:type="dxa"/>
            <w:shd w:val="clear" w:color="auto" w:fill="00264D" w:themeFill="background2"/>
          </w:tcPr>
          <w:p w14:paraId="334AAED4" w14:textId="77777777" w:rsidR="00A72571" w:rsidRPr="006C0D5F" w:rsidRDefault="00A72571">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Sub-problem rating</w:t>
            </w:r>
          </w:p>
        </w:tc>
        <w:tc>
          <w:tcPr>
            <w:tcW w:w="566" w:type="dxa"/>
          </w:tcPr>
          <w:p w14:paraId="5321C0B3" w14:textId="77777777" w:rsidR="00A72571" w:rsidRPr="006C0D5F" w:rsidRDefault="00A72571">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4</w:t>
            </w:r>
          </w:p>
        </w:tc>
      </w:tr>
      <w:bookmarkEnd w:id="43"/>
    </w:tbl>
    <w:p w14:paraId="478F668A" w14:textId="77777777" w:rsidR="00A72571" w:rsidRDefault="00A72571" w:rsidP="00A72571">
      <w:pPr>
        <w:rPr>
          <w:lang w:eastAsia="en-AU"/>
        </w:rPr>
      </w:pPr>
    </w:p>
    <w:p w14:paraId="6CA653FE" w14:textId="39907C85" w:rsidR="00923BE4" w:rsidRPr="00024B4D" w:rsidRDefault="00923BE4" w:rsidP="00923BE4">
      <w:r w:rsidRPr="00473ABE">
        <w:t>FSANZ currently has extensive professional relationships with agencies involved in food policy, regulation, and research</w:t>
      </w:r>
      <w:r w:rsidRPr="00024B4D">
        <w:t xml:space="preserve">, but </w:t>
      </w:r>
      <w:r w:rsidRPr="00473ABE">
        <w:t>has no</w:t>
      </w:r>
      <w:r w:rsidRPr="00024B4D">
        <w:t xml:space="preserve"> explicit</w:t>
      </w:r>
      <w:r w:rsidRPr="00473ABE">
        <w:t xml:space="preserve"> legislative remit to coordinate or consolidate insights a</w:t>
      </w:r>
      <w:r>
        <w:t>ris</w:t>
      </w:r>
      <w:r w:rsidRPr="00473ABE">
        <w:t>ing from this work.</w:t>
      </w:r>
      <w:r>
        <w:t xml:space="preserve"> It </w:t>
      </w:r>
      <w:r w:rsidRPr="00024B4D">
        <w:t>maintains</w:t>
      </w:r>
      <w:r w:rsidRPr="00024B4D" w:rsidDel="00A96062">
        <w:t xml:space="preserve"> </w:t>
      </w:r>
      <w:r w:rsidRPr="00024B4D">
        <w:t>M</w:t>
      </w:r>
      <w:r>
        <w:t>emorandums of Agreement</w:t>
      </w:r>
      <w:r w:rsidR="00447248">
        <w:t xml:space="preserve"> </w:t>
      </w:r>
      <w:r w:rsidRPr="00024B4D">
        <w:t xml:space="preserve">with certain bodies and participates in </w:t>
      </w:r>
      <w:r w:rsidRPr="00473ABE">
        <w:t>ad-hoc coordination efforts</w:t>
      </w:r>
      <w:r>
        <w:t>.</w:t>
      </w:r>
      <w:r w:rsidRPr="00024B4D">
        <w:t xml:space="preserve"> </w:t>
      </w:r>
      <w:r>
        <w:t>H</w:t>
      </w:r>
      <w:r w:rsidRPr="00024B4D">
        <w:t>owever</w:t>
      </w:r>
      <w:r>
        <w:t>,</w:t>
      </w:r>
      <w:r w:rsidRPr="00024B4D">
        <w:t xml:space="preserve"> </w:t>
      </w:r>
      <w:r w:rsidRPr="00473ABE">
        <w:t xml:space="preserve">resourcing constraints mean that limited effort is expended in establishing or administering such alliances. </w:t>
      </w:r>
    </w:p>
    <w:p w14:paraId="43F11F6D" w14:textId="77777777" w:rsidR="00923BE4" w:rsidRDefault="00923BE4" w:rsidP="00923BE4">
      <w:r w:rsidRPr="00024B4D">
        <w:lastRenderedPageBreak/>
        <w:t xml:space="preserve">As food supply chains and production methods become more complex, </w:t>
      </w:r>
      <w:r>
        <w:t>more data, information and</w:t>
      </w:r>
      <w:r w:rsidRPr="00024B4D">
        <w:t xml:space="preserve"> intelligence could be brought to bear to inform</w:t>
      </w:r>
      <w:r>
        <w:t xml:space="preserve"> sophisticated</w:t>
      </w:r>
      <w:r w:rsidRPr="00024B4D">
        <w:t xml:space="preserve"> regulatory responses</w:t>
      </w:r>
      <w:r>
        <w:t xml:space="preserve"> and design of regulatory systems</w:t>
      </w:r>
      <w:r w:rsidRPr="00024B4D">
        <w:t xml:space="preserve">. This includes </w:t>
      </w:r>
      <w:r>
        <w:t>by</w:t>
      </w:r>
      <w:r w:rsidRPr="00024B4D">
        <w:t xml:space="preserve"> better understanding consumer preferences and expectations, </w:t>
      </w:r>
      <w:r>
        <w:t>as well as improving</w:t>
      </w:r>
      <w:r w:rsidRPr="00024B4D">
        <w:t xml:space="preserve"> detection and mitigation of </w:t>
      </w:r>
      <w:r>
        <w:t>ris</w:t>
      </w:r>
      <w:r w:rsidRPr="00024B4D">
        <w:t xml:space="preserve">ks around food safety </w:t>
      </w:r>
      <w:r>
        <w:t xml:space="preserve">(for example, from understanding how non-compliance results in critical incidents; through to monitoring the behaviour of viruses in food). </w:t>
      </w:r>
    </w:p>
    <w:p w14:paraId="144F5EA9" w14:textId="4C1BA292" w:rsidR="00923BE4" w:rsidRDefault="00923BE4" w:rsidP="00923BE4">
      <w:r w:rsidRPr="00151F7D">
        <w:t xml:space="preserve">Increasingly, the joint </w:t>
      </w:r>
      <w:r>
        <w:t xml:space="preserve">food standards </w:t>
      </w:r>
      <w:r w:rsidRPr="00151F7D">
        <w:t xml:space="preserve">system </w:t>
      </w:r>
      <w:r>
        <w:t>lags</w:t>
      </w:r>
      <w:r w:rsidRPr="00151F7D">
        <w:t xml:space="preserve"> world leaders in</w:t>
      </w:r>
      <w:r>
        <w:t xml:space="preserve"> </w:t>
      </w:r>
      <w:r w:rsidRPr="00151F7D">
        <w:t xml:space="preserve">both coordination and application of intelligence relating to food safety and composition. </w:t>
      </w:r>
      <w:proofErr w:type="gramStart"/>
      <w:r>
        <w:t>A number of</w:t>
      </w:r>
      <w:proofErr w:type="gramEnd"/>
      <w:r>
        <w:t xml:space="preserve"> international jurisdictions have mature systems in place to coordinate, consolidate and communicate food safety and food composition data, and deliver value to different stakeholder groups. Examples are shown in </w:t>
      </w:r>
      <w:r w:rsidRPr="00F5513A">
        <w:fldChar w:fldCharType="begin"/>
      </w:r>
      <w:r w:rsidRPr="00F5513A">
        <w:instrText xml:space="preserve"> REF _Ref59041262 \h </w:instrText>
      </w:r>
      <w:r>
        <w:instrText xml:space="preserve"> \* MERGEFORMAT </w:instrText>
      </w:r>
      <w:r w:rsidRPr="00F5513A">
        <w:fldChar w:fldCharType="separate"/>
      </w:r>
      <w:r w:rsidR="003F7B92" w:rsidRPr="003F7B92">
        <w:t>Table 7</w:t>
      </w:r>
      <w:r w:rsidRPr="00F5513A">
        <w:fldChar w:fldCharType="end"/>
      </w:r>
      <w:r w:rsidRPr="00F5513A">
        <w:t xml:space="preserve"> below.</w:t>
      </w:r>
      <w:r>
        <w:t xml:space="preserve"> </w:t>
      </w:r>
    </w:p>
    <w:p w14:paraId="43EF2680" w14:textId="03F919C3" w:rsidR="00923BE4" w:rsidRPr="00A758B1" w:rsidRDefault="00923BE4" w:rsidP="00923BE4">
      <w:pPr>
        <w:keepNext/>
        <w:spacing w:before="240"/>
        <w:rPr>
          <w:rFonts w:ascii="Segoe UI Semibold" w:hAnsi="Segoe UI Semibold"/>
          <w:color w:val="00264D" w:themeColor="background2"/>
          <w:szCs w:val="18"/>
        </w:rPr>
      </w:pPr>
      <w:bookmarkStart w:id="44" w:name="_Ref59041262"/>
      <w:r w:rsidRPr="00A758B1">
        <w:rPr>
          <w:rFonts w:ascii="Segoe UI Semibold" w:hAnsi="Segoe UI Semibold"/>
          <w:color w:val="00264D" w:themeColor="background2"/>
          <w:szCs w:val="18"/>
        </w:rPr>
        <w:t xml:space="preserve">Table </w:t>
      </w:r>
      <w:r w:rsidRPr="00A758B1">
        <w:rPr>
          <w:rFonts w:ascii="Segoe UI Semibold" w:hAnsi="Segoe UI Semibold"/>
          <w:color w:val="00264D" w:themeColor="background2"/>
          <w:szCs w:val="18"/>
        </w:rPr>
        <w:fldChar w:fldCharType="begin"/>
      </w:r>
      <w:r w:rsidRPr="00A758B1">
        <w:rPr>
          <w:rFonts w:ascii="Segoe UI Semibold" w:hAnsi="Segoe UI Semibold"/>
          <w:color w:val="00264D" w:themeColor="background2"/>
          <w:szCs w:val="18"/>
        </w:rPr>
        <w:instrText xml:space="preserve"> SEQ Table \* ARABIC </w:instrText>
      </w:r>
      <w:r w:rsidRPr="00A758B1">
        <w:rPr>
          <w:rFonts w:ascii="Segoe UI Semibold" w:hAnsi="Segoe UI Semibold"/>
          <w:color w:val="00264D" w:themeColor="background2"/>
          <w:szCs w:val="18"/>
        </w:rPr>
        <w:fldChar w:fldCharType="separate"/>
      </w:r>
      <w:r w:rsidR="003F7B92">
        <w:rPr>
          <w:rFonts w:ascii="Segoe UI Semibold" w:hAnsi="Segoe UI Semibold"/>
          <w:noProof/>
          <w:color w:val="00264D" w:themeColor="background2"/>
          <w:szCs w:val="18"/>
        </w:rPr>
        <w:t>7</w:t>
      </w:r>
      <w:r w:rsidRPr="00A758B1">
        <w:rPr>
          <w:rFonts w:ascii="Segoe UI Semibold" w:hAnsi="Segoe UI Semibold"/>
          <w:color w:val="00264D" w:themeColor="background2"/>
          <w:szCs w:val="18"/>
        </w:rPr>
        <w:fldChar w:fldCharType="end"/>
      </w:r>
      <w:bookmarkEnd w:id="44"/>
      <w:r w:rsidRPr="00A758B1">
        <w:rPr>
          <w:rFonts w:ascii="Segoe UI Semibold" w:hAnsi="Segoe UI Semibold"/>
          <w:color w:val="00264D" w:themeColor="background2"/>
          <w:szCs w:val="18"/>
        </w:rPr>
        <w:t xml:space="preserve"> | Examples of regulatory systems to coordinate food safety data</w:t>
      </w:r>
      <w:r w:rsidR="00235A9D">
        <w:rPr>
          <w:rFonts w:ascii="ZWAdobeF" w:hAnsi="ZWAdobeF" w:cs="ZWAdobeF"/>
          <w:sz w:val="2"/>
          <w:szCs w:val="2"/>
        </w:rPr>
        <w:t>30F</w:t>
      </w:r>
      <w:r w:rsidRPr="00A758B1">
        <w:rPr>
          <w:rFonts w:ascii="Segoe UI Semibold" w:hAnsi="Segoe UI Semibold"/>
          <w:color w:val="00264D" w:themeColor="background2"/>
          <w:szCs w:val="18"/>
          <w:vertAlign w:val="superscript"/>
        </w:rPr>
        <w:footnoteReference w:id="32"/>
      </w:r>
    </w:p>
    <w:p w14:paraId="48A4E3AD" w14:textId="25C00083" w:rsidR="00923BE4" w:rsidRPr="00A758B1" w:rsidRDefault="00923BE4" w:rsidP="00923BE4">
      <w:pPr>
        <w:pBdr>
          <w:left w:val="single" w:sz="18" w:space="4" w:color="F8981D" w:themeColor="accent3"/>
        </w:pBdr>
        <w:shd w:val="clear" w:color="auto" w:fill="E6E6E1" w:themeFill="accent5"/>
        <w:spacing w:line="257" w:lineRule="auto"/>
        <w:ind w:left="170" w:right="170"/>
        <w:rPr>
          <w:rFonts w:asciiTheme="majorHAnsi" w:hAnsiTheme="majorHAnsi" w:cstheme="majorHAnsi"/>
          <w:color w:val="00264D" w:themeColor="background2"/>
          <w:szCs w:val="19"/>
          <w:lang w:eastAsia="en-AU"/>
        </w:rPr>
      </w:pPr>
      <w:r w:rsidRPr="00A758B1">
        <w:rPr>
          <w:rFonts w:asciiTheme="majorHAnsi" w:hAnsiTheme="majorHAnsi" w:cstheme="majorHAnsi"/>
          <w:color w:val="00264D" w:themeColor="background2"/>
          <w:szCs w:val="19"/>
          <w:lang w:eastAsia="en-AU"/>
        </w:rPr>
        <w:t>New Zealand Food Safety Science and Research Centre (NZFSSRC)</w:t>
      </w:r>
    </w:p>
    <w:p w14:paraId="78BF4241" w14:textId="797C579C" w:rsidR="00923BE4" w:rsidRPr="00A758B1" w:rsidRDefault="00923BE4" w:rsidP="00923BE4">
      <w:pPr>
        <w:pBdr>
          <w:left w:val="single" w:sz="18" w:space="4" w:color="F8981D" w:themeColor="accent3"/>
        </w:pBdr>
        <w:shd w:val="clear" w:color="auto" w:fill="E6E6E1" w:themeFill="accent5"/>
        <w:spacing w:line="257" w:lineRule="auto"/>
        <w:ind w:left="170" w:right="170"/>
        <w:rPr>
          <w:color w:val="00264D" w:themeColor="background2"/>
          <w:szCs w:val="19"/>
          <w:lang w:eastAsia="en-AU"/>
        </w:rPr>
      </w:pPr>
      <w:r w:rsidRPr="00A758B1">
        <w:rPr>
          <w:color w:val="00264D" w:themeColor="background2"/>
          <w:szCs w:val="19"/>
          <w:lang w:eastAsia="en-AU"/>
        </w:rPr>
        <w:t xml:space="preserve">The NZFSSRC, which was established following New Zealand’s Whey Protein Concentrate Inquiry, aims to promote, </w:t>
      </w:r>
      <w:proofErr w:type="gramStart"/>
      <w:r w:rsidRPr="00A758B1">
        <w:rPr>
          <w:color w:val="00264D" w:themeColor="background2"/>
          <w:szCs w:val="19"/>
          <w:lang w:eastAsia="en-AU"/>
        </w:rPr>
        <w:t>coordinate</w:t>
      </w:r>
      <w:proofErr w:type="gramEnd"/>
      <w:r w:rsidRPr="00A758B1">
        <w:rPr>
          <w:color w:val="00264D" w:themeColor="background2"/>
          <w:szCs w:val="19"/>
          <w:lang w:eastAsia="en-AU"/>
        </w:rPr>
        <w:t xml:space="preserve"> and deliver food safety science and help ensure New Zealand remains a world leader in food safety. Through a partnership between industry, </w:t>
      </w:r>
      <w:proofErr w:type="gramStart"/>
      <w:r w:rsidRPr="00A758B1">
        <w:rPr>
          <w:color w:val="00264D" w:themeColor="background2"/>
          <w:szCs w:val="19"/>
          <w:lang w:eastAsia="en-AU"/>
        </w:rPr>
        <w:t>government</w:t>
      </w:r>
      <w:proofErr w:type="gramEnd"/>
      <w:r w:rsidRPr="00A758B1">
        <w:rPr>
          <w:color w:val="00264D" w:themeColor="background2"/>
          <w:szCs w:val="19"/>
          <w:lang w:eastAsia="en-AU"/>
        </w:rPr>
        <w:t xml:space="preserve"> and research organisations, the NZFSSRC delivers high-quality science and research to assure the provision of safe food for domestic consumption and export. It also contributes to ensuring there is a strong science base for food safety decision-making. This is an effective system in New Zealand but does not extend to Australia; improved coordination and resourced collaboration between the two countries could further strengthen the joint food standards system.</w:t>
      </w:r>
    </w:p>
    <w:p w14:paraId="5C5DB2B8" w14:textId="7705C372" w:rsidR="00923BE4" w:rsidRPr="00A758B1" w:rsidRDefault="00923BE4" w:rsidP="00923BE4">
      <w:pPr>
        <w:pBdr>
          <w:left w:val="single" w:sz="18" w:space="4" w:color="F8981D" w:themeColor="accent3"/>
        </w:pBdr>
        <w:shd w:val="clear" w:color="auto" w:fill="E6E6E1" w:themeFill="accent5"/>
        <w:spacing w:line="257" w:lineRule="auto"/>
        <w:ind w:left="170" w:right="170"/>
        <w:rPr>
          <w:rFonts w:asciiTheme="majorHAnsi" w:hAnsiTheme="majorHAnsi" w:cstheme="majorHAnsi"/>
          <w:color w:val="00264D" w:themeColor="background2"/>
          <w:szCs w:val="19"/>
          <w:lang w:eastAsia="en-AU"/>
        </w:rPr>
      </w:pPr>
      <w:r w:rsidRPr="00A758B1">
        <w:rPr>
          <w:rFonts w:asciiTheme="majorHAnsi" w:hAnsiTheme="majorHAnsi" w:cstheme="majorHAnsi"/>
          <w:color w:val="00264D" w:themeColor="background2"/>
          <w:szCs w:val="19"/>
          <w:lang w:eastAsia="en-AU"/>
        </w:rPr>
        <w:t xml:space="preserve">Joint Institute for Food Safety and Applied Nutrition </w:t>
      </w:r>
    </w:p>
    <w:p w14:paraId="119E2778" w14:textId="3327D10B" w:rsidR="00923BE4" w:rsidRPr="00A758B1" w:rsidRDefault="00E1318D" w:rsidP="00923BE4">
      <w:pPr>
        <w:pBdr>
          <w:left w:val="single" w:sz="18" w:space="4" w:color="F8981D" w:themeColor="accent3"/>
        </w:pBdr>
        <w:shd w:val="clear" w:color="auto" w:fill="E6E6E1" w:themeFill="accent5"/>
        <w:spacing w:line="257" w:lineRule="auto"/>
        <w:ind w:left="170" w:right="170"/>
        <w:rPr>
          <w:color w:val="00264D" w:themeColor="background2"/>
          <w:szCs w:val="19"/>
          <w:lang w:eastAsia="en-AU"/>
        </w:rPr>
      </w:pPr>
      <w:r>
        <w:rPr>
          <w:color w:val="00264D" w:themeColor="background2"/>
          <w:szCs w:val="19"/>
          <w:lang w:eastAsia="en-AU"/>
        </w:rPr>
        <w:t xml:space="preserve">The </w:t>
      </w:r>
      <w:r w:rsidRPr="00E1318D">
        <w:rPr>
          <w:color w:val="00264D" w:themeColor="background2"/>
          <w:szCs w:val="19"/>
          <w:lang w:eastAsia="en-AU"/>
        </w:rPr>
        <w:t xml:space="preserve">Joint Institute for Food Safety and Applied Nutrition </w:t>
      </w:r>
      <w:r w:rsidR="00923BE4" w:rsidRPr="00A758B1">
        <w:rPr>
          <w:color w:val="00264D" w:themeColor="background2"/>
          <w:szCs w:val="19"/>
          <w:lang w:eastAsia="en-AU"/>
        </w:rPr>
        <w:t xml:space="preserve">is a collaboration established in 1996 that is jointly administered by the University of Maryland and the US Food and Drug Administration. It aims to provide a multi-disciplinary approach to addressing complex food safety issues by bringing together leaders in industry, </w:t>
      </w:r>
      <w:proofErr w:type="gramStart"/>
      <w:r w:rsidR="00923BE4" w:rsidRPr="00A758B1">
        <w:rPr>
          <w:color w:val="00264D" w:themeColor="background2"/>
          <w:szCs w:val="19"/>
          <w:lang w:eastAsia="en-AU"/>
        </w:rPr>
        <w:t>government</w:t>
      </w:r>
      <w:proofErr w:type="gramEnd"/>
      <w:r w:rsidR="00923BE4" w:rsidRPr="00A758B1">
        <w:rPr>
          <w:color w:val="00264D" w:themeColor="background2"/>
          <w:szCs w:val="19"/>
          <w:lang w:eastAsia="en-AU"/>
        </w:rPr>
        <w:t xml:space="preserve"> and academia to develop research, education and outreach programs. It is a significant funder of research projects, educator of university students and has trained thousands of food safety professionals from across the globe. </w:t>
      </w:r>
    </w:p>
    <w:p w14:paraId="7B5CEC46" w14:textId="77777777" w:rsidR="00923BE4" w:rsidRPr="00A758B1" w:rsidRDefault="00923BE4" w:rsidP="00923BE4">
      <w:pPr>
        <w:pBdr>
          <w:left w:val="single" w:sz="18" w:space="4" w:color="F8981D" w:themeColor="accent3"/>
        </w:pBdr>
        <w:shd w:val="clear" w:color="auto" w:fill="E6E6E1" w:themeFill="accent5"/>
        <w:spacing w:line="257" w:lineRule="auto"/>
        <w:ind w:left="170" w:right="170"/>
        <w:rPr>
          <w:rFonts w:asciiTheme="majorHAnsi" w:hAnsiTheme="majorHAnsi" w:cstheme="majorHAnsi"/>
          <w:color w:val="00264D" w:themeColor="background2"/>
          <w:szCs w:val="19"/>
          <w:lang w:eastAsia="en-AU"/>
        </w:rPr>
      </w:pPr>
      <w:r w:rsidRPr="00A758B1">
        <w:rPr>
          <w:rFonts w:asciiTheme="majorHAnsi" w:hAnsiTheme="majorHAnsi" w:cstheme="majorHAnsi"/>
          <w:color w:val="00264D" w:themeColor="background2"/>
          <w:szCs w:val="19"/>
          <w:lang w:eastAsia="en-AU"/>
        </w:rPr>
        <w:t xml:space="preserve">Campden BRI Company </w:t>
      </w:r>
    </w:p>
    <w:p w14:paraId="36E136C9" w14:textId="07B63E83" w:rsidR="00923BE4" w:rsidRPr="00A758B1" w:rsidRDefault="00923BE4" w:rsidP="00923BE4">
      <w:pPr>
        <w:pBdr>
          <w:left w:val="single" w:sz="18" w:space="4" w:color="F8981D" w:themeColor="accent3"/>
        </w:pBdr>
        <w:shd w:val="clear" w:color="auto" w:fill="E6E6E1" w:themeFill="accent5"/>
        <w:spacing w:line="257" w:lineRule="auto"/>
        <w:ind w:left="170" w:right="170"/>
        <w:rPr>
          <w:color w:val="00264D" w:themeColor="background2"/>
          <w:szCs w:val="19"/>
          <w:lang w:eastAsia="en-AU"/>
        </w:rPr>
      </w:pPr>
      <w:r w:rsidRPr="00A758B1">
        <w:rPr>
          <w:color w:val="00264D" w:themeColor="background2"/>
          <w:szCs w:val="19"/>
          <w:lang w:eastAsia="en-AU"/>
        </w:rPr>
        <w:t>Based in the UK, the Campden BRI company provides food and drink industry with practical scientific, technical</w:t>
      </w:r>
      <w:r w:rsidR="00AE7944" w:rsidRPr="00A758B1">
        <w:rPr>
          <w:color w:val="00264D" w:themeColor="background2"/>
          <w:szCs w:val="19"/>
          <w:lang w:eastAsia="en-AU"/>
        </w:rPr>
        <w:t>,</w:t>
      </w:r>
      <w:r w:rsidRPr="00A758B1">
        <w:rPr>
          <w:color w:val="00264D" w:themeColor="background2"/>
          <w:szCs w:val="19"/>
          <w:lang w:eastAsia="en-AU"/>
        </w:rPr>
        <w:t xml:space="preserve"> and advisory services to promote product safety and quality, process efficiency and product and process innovation. Services include analysis and testing, operational support, research and innovation support, and knowledge management. Projects are funded primarily by industry and, secondarily, through membership fees. All work has a commercial focus and clients include a broad range of food businesses from around the world, across the food supply chain.</w:t>
      </w:r>
    </w:p>
    <w:p w14:paraId="1E0D3C5D" w14:textId="6DA2BCA0" w:rsidR="00514025" w:rsidRPr="00F40B85" w:rsidRDefault="005C30AB" w:rsidP="00923BE4">
      <w:pPr>
        <w:pBdr>
          <w:left w:val="single" w:sz="18" w:space="4" w:color="F8981D" w:themeColor="accent3"/>
        </w:pBdr>
        <w:shd w:val="clear" w:color="auto" w:fill="E6E6E1" w:themeFill="accent5"/>
        <w:spacing w:line="257" w:lineRule="auto"/>
        <w:ind w:left="170" w:right="170"/>
        <w:rPr>
          <w:rFonts w:asciiTheme="majorHAnsi" w:hAnsiTheme="majorHAnsi" w:cstheme="majorHAnsi"/>
          <w:color w:val="00264D" w:themeColor="background2"/>
          <w:szCs w:val="19"/>
          <w:lang w:eastAsia="en-AU"/>
        </w:rPr>
      </w:pPr>
      <w:r w:rsidRPr="00F40B85">
        <w:rPr>
          <w:rFonts w:asciiTheme="majorHAnsi" w:hAnsiTheme="majorHAnsi" w:cstheme="majorHAnsi"/>
          <w:color w:val="00264D" w:themeColor="background2"/>
          <w:szCs w:val="19"/>
          <w:lang w:eastAsia="en-AU"/>
        </w:rPr>
        <w:t>Institute of Health Metrics and Evaluation (IHME)</w:t>
      </w:r>
    </w:p>
    <w:p w14:paraId="0C359187" w14:textId="66A44B1B" w:rsidR="00514025" w:rsidRDefault="009D5370" w:rsidP="00923BE4">
      <w:pPr>
        <w:pBdr>
          <w:left w:val="single" w:sz="18" w:space="4" w:color="F8981D" w:themeColor="accent3"/>
        </w:pBdr>
        <w:shd w:val="clear" w:color="auto" w:fill="E6E6E1" w:themeFill="accent5"/>
        <w:spacing w:line="257" w:lineRule="auto"/>
        <w:ind w:left="170" w:right="170"/>
        <w:rPr>
          <w:color w:val="00264D" w:themeColor="background2"/>
          <w:szCs w:val="19"/>
          <w:lang w:eastAsia="en-AU"/>
        </w:rPr>
      </w:pPr>
      <w:r>
        <w:rPr>
          <w:color w:val="00264D" w:themeColor="background2"/>
          <w:szCs w:val="19"/>
          <w:lang w:eastAsia="en-AU"/>
        </w:rPr>
        <w:t xml:space="preserve">Operating in the US, </w:t>
      </w:r>
      <w:r w:rsidR="005C30AB">
        <w:rPr>
          <w:color w:val="00264D" w:themeColor="background2"/>
          <w:szCs w:val="19"/>
          <w:lang w:eastAsia="en-AU"/>
        </w:rPr>
        <w:t xml:space="preserve">IHME </w:t>
      </w:r>
      <w:r w:rsidR="007C4834">
        <w:rPr>
          <w:color w:val="00264D" w:themeColor="background2"/>
          <w:szCs w:val="19"/>
          <w:lang w:eastAsia="en-AU"/>
        </w:rPr>
        <w:t>collect and analyse extensive health-related data, including nutrition and food-related metrics</w:t>
      </w:r>
      <w:r w:rsidR="000C5131">
        <w:rPr>
          <w:color w:val="00264D" w:themeColor="background2"/>
          <w:szCs w:val="19"/>
          <w:lang w:eastAsia="en-AU"/>
        </w:rPr>
        <w:t>.</w:t>
      </w:r>
      <w:r w:rsidR="007C4834">
        <w:rPr>
          <w:color w:val="00264D" w:themeColor="background2"/>
          <w:szCs w:val="19"/>
          <w:lang w:eastAsia="en-AU"/>
        </w:rPr>
        <w:t xml:space="preserve"> </w:t>
      </w:r>
      <w:r w:rsidR="008A3CDF">
        <w:rPr>
          <w:color w:val="00264D" w:themeColor="background2"/>
          <w:szCs w:val="19"/>
          <w:lang w:eastAsia="en-AU"/>
        </w:rPr>
        <w:t>By sharing their data, findings, and health metrics through accessible platforms and publications</w:t>
      </w:r>
      <w:r w:rsidR="000C5131">
        <w:rPr>
          <w:color w:val="00264D" w:themeColor="background2"/>
          <w:szCs w:val="19"/>
          <w:lang w:eastAsia="en-AU"/>
        </w:rPr>
        <w:t xml:space="preserve"> </w:t>
      </w:r>
      <w:r w:rsidR="00F51B28">
        <w:rPr>
          <w:color w:val="00264D" w:themeColor="background2"/>
          <w:szCs w:val="19"/>
          <w:lang w:eastAsia="en-AU"/>
        </w:rPr>
        <w:t>IHME</w:t>
      </w:r>
      <w:r w:rsidR="00F51B28" w:rsidRPr="00F51B28">
        <w:rPr>
          <w:color w:val="00264D" w:themeColor="background2"/>
          <w:szCs w:val="19"/>
          <w:lang w:eastAsia="en-AU"/>
        </w:rPr>
        <w:t xml:space="preserve"> empowers policymakers, governments, and healthcare professionals to make informed decisions. This, in turn, leads to evidence-based health policies</w:t>
      </w:r>
      <w:r w:rsidR="009C2BDA">
        <w:rPr>
          <w:color w:val="00264D" w:themeColor="background2"/>
          <w:szCs w:val="19"/>
          <w:lang w:eastAsia="en-AU"/>
        </w:rPr>
        <w:t xml:space="preserve"> </w:t>
      </w:r>
      <w:r w:rsidR="009C2BDA" w:rsidRPr="009C2BDA">
        <w:rPr>
          <w:color w:val="00264D" w:themeColor="background2"/>
          <w:szCs w:val="19"/>
          <w:lang w:eastAsia="en-AU"/>
        </w:rPr>
        <w:t>aimed at addressing nutrition and health disparities, improving public health outcomes</w:t>
      </w:r>
      <w:r w:rsidR="009C2BDA">
        <w:rPr>
          <w:color w:val="00264D" w:themeColor="background2"/>
          <w:szCs w:val="19"/>
          <w:lang w:eastAsia="en-AU"/>
        </w:rPr>
        <w:t>.</w:t>
      </w:r>
    </w:p>
    <w:p w14:paraId="4BCCAD25" w14:textId="30E9479F" w:rsidR="009D5370" w:rsidRPr="00F40B85" w:rsidRDefault="00F40B85" w:rsidP="00923BE4">
      <w:pPr>
        <w:pBdr>
          <w:left w:val="single" w:sz="18" w:space="4" w:color="F8981D" w:themeColor="accent3"/>
        </w:pBdr>
        <w:shd w:val="clear" w:color="auto" w:fill="E6E6E1" w:themeFill="accent5"/>
        <w:spacing w:line="257" w:lineRule="auto"/>
        <w:ind w:left="170" w:right="170"/>
        <w:rPr>
          <w:rFonts w:asciiTheme="majorHAnsi" w:hAnsiTheme="majorHAnsi" w:cstheme="majorHAnsi"/>
          <w:color w:val="00264D" w:themeColor="background2"/>
          <w:szCs w:val="19"/>
          <w:lang w:eastAsia="en-AU"/>
        </w:rPr>
      </w:pPr>
      <w:r w:rsidRPr="00F40B85">
        <w:rPr>
          <w:rFonts w:asciiTheme="majorHAnsi" w:hAnsiTheme="majorHAnsi" w:cstheme="majorHAnsi"/>
          <w:color w:val="00264D" w:themeColor="background2"/>
          <w:szCs w:val="19"/>
          <w:lang w:eastAsia="en-AU"/>
        </w:rPr>
        <w:t>Centres for Disease Control and Prevention (CDC)</w:t>
      </w:r>
    </w:p>
    <w:p w14:paraId="6047C9C6" w14:textId="79D1D67C" w:rsidR="009D5370" w:rsidRDefault="00F653C4" w:rsidP="00923BE4">
      <w:pPr>
        <w:pBdr>
          <w:left w:val="single" w:sz="18" w:space="4" w:color="F8981D" w:themeColor="accent3"/>
        </w:pBdr>
        <w:shd w:val="clear" w:color="auto" w:fill="E6E6E1" w:themeFill="accent5"/>
        <w:spacing w:line="257" w:lineRule="auto"/>
        <w:ind w:left="170" w:right="170"/>
        <w:rPr>
          <w:color w:val="00264D" w:themeColor="background2"/>
          <w:szCs w:val="19"/>
          <w:lang w:eastAsia="en-AU"/>
        </w:rPr>
      </w:pPr>
      <w:r w:rsidRPr="00F653C4">
        <w:rPr>
          <w:color w:val="00264D" w:themeColor="background2"/>
          <w:szCs w:val="19"/>
          <w:lang w:eastAsia="en-AU"/>
        </w:rPr>
        <w:t xml:space="preserve">Within the CDC, the Nutrition, Physical Activity, and Obesity Division plays a critical role in sharing data and driving improved public health outcomes related to nutrition and physical well-being. They collect and analyse data on nutritional status, physical activity, and obesity trends in the United States. The information is widely disseminated through publications, and online resources, enabling </w:t>
      </w:r>
      <w:r w:rsidRPr="00F653C4">
        <w:rPr>
          <w:color w:val="00264D" w:themeColor="background2"/>
          <w:szCs w:val="19"/>
          <w:lang w:eastAsia="en-AU"/>
        </w:rPr>
        <w:lastRenderedPageBreak/>
        <w:t>policymakers</w:t>
      </w:r>
      <w:r w:rsidR="004A173F">
        <w:rPr>
          <w:color w:val="00264D" w:themeColor="background2"/>
          <w:szCs w:val="19"/>
          <w:lang w:eastAsia="en-AU"/>
        </w:rPr>
        <w:t xml:space="preserve"> and</w:t>
      </w:r>
      <w:r w:rsidRPr="00F653C4">
        <w:rPr>
          <w:color w:val="00264D" w:themeColor="background2"/>
          <w:szCs w:val="19"/>
          <w:lang w:eastAsia="en-AU"/>
        </w:rPr>
        <w:t xml:space="preserve"> public health practitioners</w:t>
      </w:r>
      <w:r w:rsidR="004A173F">
        <w:rPr>
          <w:color w:val="00264D" w:themeColor="background2"/>
          <w:szCs w:val="19"/>
          <w:lang w:eastAsia="en-AU"/>
        </w:rPr>
        <w:t xml:space="preserve"> </w:t>
      </w:r>
      <w:r w:rsidRPr="00F653C4">
        <w:rPr>
          <w:color w:val="00264D" w:themeColor="background2"/>
          <w:szCs w:val="19"/>
          <w:lang w:eastAsia="en-AU"/>
        </w:rPr>
        <w:t>to design and implement interventions that address nutrition-related diseases, encourage physical activity, and reduce obesity rates. Through their data-sharing efforts, the CDC's Nutrition, Physical Activity, and Obesity Division contributes to healthier eating habits, increased physical fitness, and better public health outcomes</w:t>
      </w:r>
      <w:r w:rsidR="006B0F3E">
        <w:rPr>
          <w:color w:val="00264D" w:themeColor="background2"/>
          <w:szCs w:val="19"/>
          <w:lang w:eastAsia="en-AU"/>
        </w:rPr>
        <w:t>.</w:t>
      </w:r>
    </w:p>
    <w:p w14:paraId="6156D156" w14:textId="16DA927F" w:rsidR="007875EF" w:rsidRDefault="00923BE4" w:rsidP="007875EF">
      <w:r w:rsidRPr="00DC555C">
        <w:t>Currently, there are</w:t>
      </w:r>
      <w:r w:rsidRPr="00E034FE">
        <w:t xml:space="preserve"> </w:t>
      </w:r>
      <w:proofErr w:type="gramStart"/>
      <w:r w:rsidRPr="00E034FE">
        <w:t>a number of</w:t>
      </w:r>
      <w:proofErr w:type="gramEnd"/>
      <w:r w:rsidRPr="00E034FE">
        <w:t xml:space="preserve"> highly capable organisations involved in food safety</w:t>
      </w:r>
      <w:r>
        <w:t xml:space="preserve"> and food composition research</w:t>
      </w:r>
      <w:r w:rsidRPr="00E034FE">
        <w:t xml:space="preserve"> across Australia and New Zealand</w:t>
      </w:r>
      <w:r>
        <w:t xml:space="preserve">. </w:t>
      </w:r>
      <w:r w:rsidRPr="00E034FE">
        <w:t>While recognising the uniqueness of their own operating imperativ</w:t>
      </w:r>
      <w:r w:rsidR="0082334D">
        <w:t>e</w:t>
      </w:r>
      <w:r w:rsidRPr="00E034FE">
        <w:t xml:space="preserve">s </w:t>
      </w:r>
      <w:r w:rsidR="0089022C">
        <w:t>–</w:t>
      </w:r>
      <w:r w:rsidRPr="00E034FE">
        <w:t xml:space="preserve"> including the need to maintain independence or protect intellectual property – the duplication of effort across the system represents costs that are perhaps unnecessary. There may be economies of scale to better collaboration, combined with more strategic partnerships across the system to facilitate more data-driven, intelligence-led decision making. </w:t>
      </w:r>
      <w:bookmarkStart w:id="45" w:name="_Ref63675612"/>
    </w:p>
    <w:p w14:paraId="401606F3" w14:textId="4B746749" w:rsidR="00923BE4" w:rsidRPr="007875EF" w:rsidRDefault="004755E9" w:rsidP="00BE7252">
      <w:pPr>
        <w:pStyle w:val="Heading4"/>
      </w:pPr>
      <w:r>
        <w:t xml:space="preserve">Sub-problem 3 | </w:t>
      </w:r>
      <w:r w:rsidR="00923BE4" w:rsidRPr="00525B98">
        <w:t xml:space="preserve">Inconsistent interpretation and enforcement of food standards </w:t>
      </w:r>
      <w:bookmarkEnd w:id="45"/>
      <w:r w:rsidR="006C3369">
        <w:t>heightens costs for industry and enforcement agencies</w:t>
      </w:r>
      <w:r>
        <w:t>,</w:t>
      </w:r>
      <w:r w:rsidR="006C3369">
        <w:t xml:space="preserve"> </w:t>
      </w:r>
      <w:r w:rsidR="00647D14">
        <w:t>while</w:t>
      </w:r>
      <w:r w:rsidR="006C3369">
        <w:t xml:space="preserve"> potentially undermining management of foodborne risks</w:t>
      </w:r>
      <w:r w:rsidR="007F5CC0">
        <w:t xml:space="preserve"> (Australia only)</w:t>
      </w:r>
    </w:p>
    <w:tbl>
      <w:tblPr>
        <w:tblStyle w:val="TableGrid"/>
        <w:tblW w:w="0" w:type="auto"/>
        <w:tblLook w:val="04A0" w:firstRow="1" w:lastRow="0" w:firstColumn="1" w:lastColumn="0" w:noHBand="0" w:noVBand="1"/>
      </w:tblPr>
      <w:tblGrid>
        <w:gridCol w:w="2977"/>
        <w:gridCol w:w="567"/>
        <w:gridCol w:w="1985"/>
        <w:gridCol w:w="567"/>
        <w:gridCol w:w="2268"/>
        <w:gridCol w:w="566"/>
      </w:tblGrid>
      <w:tr w:rsidR="00301A27" w14:paraId="3A71ED72"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5DBEB9E1" w14:textId="77777777" w:rsidR="004755E9" w:rsidRPr="006C0D5F" w:rsidRDefault="004755E9">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Level of impact</w:t>
            </w:r>
          </w:p>
        </w:tc>
        <w:tc>
          <w:tcPr>
            <w:tcW w:w="567" w:type="dxa"/>
          </w:tcPr>
          <w:p w14:paraId="78EDC30D" w14:textId="6CBDA581" w:rsidR="004755E9" w:rsidRPr="006C0D5F" w:rsidRDefault="004755E9">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3</w:t>
            </w:r>
          </w:p>
        </w:tc>
        <w:tc>
          <w:tcPr>
            <w:tcW w:w="1985" w:type="dxa"/>
            <w:shd w:val="clear" w:color="auto" w:fill="00264D" w:themeFill="background2"/>
          </w:tcPr>
          <w:p w14:paraId="5460D384" w14:textId="77777777" w:rsidR="004755E9" w:rsidRPr="006C0D5F" w:rsidRDefault="004755E9">
            <w:pPr>
              <w:rPr>
                <w:rFonts w:asciiTheme="minorHAnsi" w:eastAsia="Segoe UI" w:hAnsiTheme="minorHAnsi" w:cstheme="minorHAnsi"/>
                <w:color w:val="FFFFFF" w:themeColor="background1"/>
                <w:sz w:val="18"/>
                <w:szCs w:val="18"/>
                <w:lang w:eastAsia="en-AU"/>
              </w:rPr>
            </w:pPr>
            <w:r w:rsidRPr="006C0D5F">
              <w:rPr>
                <w:rFonts w:asciiTheme="minorHAnsi" w:eastAsia="Segoe UI" w:hAnsiTheme="minorHAnsi" w:cstheme="minorHAnsi"/>
                <w:color w:val="FFFFFF" w:themeColor="background1"/>
                <w:sz w:val="18"/>
                <w:szCs w:val="18"/>
                <w:lang w:eastAsia="en-AU"/>
              </w:rPr>
              <w:t>Extent of impact</w:t>
            </w:r>
          </w:p>
        </w:tc>
        <w:tc>
          <w:tcPr>
            <w:tcW w:w="567" w:type="dxa"/>
          </w:tcPr>
          <w:p w14:paraId="219F4A4B" w14:textId="77777777" w:rsidR="004755E9" w:rsidRPr="006C0D5F" w:rsidRDefault="004755E9">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2</w:t>
            </w:r>
          </w:p>
        </w:tc>
        <w:tc>
          <w:tcPr>
            <w:tcW w:w="2268" w:type="dxa"/>
            <w:shd w:val="clear" w:color="auto" w:fill="00264D" w:themeFill="background2"/>
          </w:tcPr>
          <w:p w14:paraId="76F1E2D4" w14:textId="77777777" w:rsidR="004755E9" w:rsidRPr="006C0D5F" w:rsidRDefault="004755E9">
            <w:pPr>
              <w:rPr>
                <w:rFonts w:asciiTheme="minorHAnsi" w:eastAsia="Segoe UI" w:hAnsiTheme="minorHAnsi" w:cstheme="minorHAnsi"/>
                <w:sz w:val="18"/>
                <w:szCs w:val="18"/>
                <w:lang w:eastAsia="en-AU"/>
              </w:rPr>
            </w:pPr>
            <w:r w:rsidRPr="006C0D5F">
              <w:rPr>
                <w:rFonts w:asciiTheme="minorHAnsi" w:eastAsia="Segoe UI" w:hAnsiTheme="minorHAnsi" w:cstheme="minorHAnsi"/>
                <w:color w:val="FFFFFF" w:themeColor="background1"/>
                <w:sz w:val="18"/>
                <w:szCs w:val="18"/>
                <w:lang w:eastAsia="en-AU"/>
              </w:rPr>
              <w:t>Sub-problem rating</w:t>
            </w:r>
          </w:p>
        </w:tc>
        <w:tc>
          <w:tcPr>
            <w:tcW w:w="566" w:type="dxa"/>
          </w:tcPr>
          <w:p w14:paraId="3897D913" w14:textId="50BCBFF8" w:rsidR="004755E9" w:rsidRPr="006C0D5F" w:rsidRDefault="004755E9">
            <w:pPr>
              <w:rPr>
                <w:rFonts w:asciiTheme="minorHAnsi" w:eastAsia="Segoe UI" w:hAnsiTheme="minorHAnsi" w:cstheme="minorHAnsi"/>
                <w:sz w:val="18"/>
                <w:szCs w:val="18"/>
                <w:lang w:eastAsia="en-AU"/>
              </w:rPr>
            </w:pPr>
            <w:r w:rsidRPr="006C0D5F">
              <w:rPr>
                <w:rFonts w:asciiTheme="minorHAnsi" w:eastAsia="Segoe UI" w:hAnsiTheme="minorHAnsi" w:cstheme="minorHAnsi"/>
                <w:sz w:val="18"/>
                <w:szCs w:val="18"/>
                <w:lang w:eastAsia="en-AU"/>
              </w:rPr>
              <w:t>6</w:t>
            </w:r>
          </w:p>
        </w:tc>
      </w:tr>
    </w:tbl>
    <w:p w14:paraId="0D79FD0A" w14:textId="77777777" w:rsidR="007875EF" w:rsidRDefault="007875EF" w:rsidP="00923BE4">
      <w:pPr>
        <w:rPr>
          <w:szCs w:val="19"/>
        </w:rPr>
      </w:pPr>
    </w:p>
    <w:p w14:paraId="2815647B" w14:textId="0552A1A5" w:rsidR="00923BE4" w:rsidRPr="00206ACA" w:rsidRDefault="00923BE4" w:rsidP="00923BE4">
      <w:pPr>
        <w:rPr>
          <w:szCs w:val="19"/>
        </w:rPr>
      </w:pPr>
      <w:r w:rsidRPr="00206ACA">
        <w:rPr>
          <w:szCs w:val="19"/>
        </w:rPr>
        <w:t>Enforcement of food standards is performed through diverse institutional arrangements (</w:t>
      </w:r>
      <w:r w:rsidRPr="008B78BA">
        <w:t>see</w:t>
      </w:r>
      <w:r w:rsidR="00A43824">
        <w:t>n at</w:t>
      </w:r>
      <w:r w:rsidRPr="008B78BA">
        <w:t xml:space="preserve"> </w:t>
      </w:r>
      <w:r>
        <w:fldChar w:fldCharType="begin"/>
      </w:r>
      <w:r>
        <w:instrText xml:space="preserve"> REF _Ref20391357 \h </w:instrText>
      </w:r>
      <w:r>
        <w:fldChar w:fldCharType="separate"/>
      </w:r>
      <w:r w:rsidR="003F7B92">
        <w:t xml:space="preserve">Figure </w:t>
      </w:r>
      <w:r w:rsidR="003F7B92">
        <w:rPr>
          <w:noProof/>
        </w:rPr>
        <w:t>4</w:t>
      </w:r>
      <w:r>
        <w:fldChar w:fldCharType="end"/>
      </w:r>
      <w:r w:rsidR="00843716">
        <w:t xml:space="preserve"> on page </w:t>
      </w:r>
      <w:r w:rsidR="00843716">
        <w:fldChar w:fldCharType="begin"/>
      </w:r>
      <w:r w:rsidR="00843716">
        <w:instrText xml:space="preserve"> PAGEREF _Ref142226689 \h </w:instrText>
      </w:r>
      <w:r w:rsidR="00843716">
        <w:fldChar w:fldCharType="separate"/>
      </w:r>
      <w:r w:rsidR="003F7B92">
        <w:rPr>
          <w:noProof/>
        </w:rPr>
        <w:t>18</w:t>
      </w:r>
      <w:r w:rsidR="00843716">
        <w:fldChar w:fldCharType="end"/>
      </w:r>
      <w:r w:rsidR="00E677F1">
        <w:t>)</w:t>
      </w:r>
      <w:r w:rsidR="00A43824">
        <w:t xml:space="preserve"> </w:t>
      </w:r>
      <w:r w:rsidRPr="00206ACA">
        <w:rPr>
          <w:szCs w:val="19"/>
        </w:rPr>
        <w:t xml:space="preserve">that vary across the different jurisdictions. In Australia, these are loosely based on model law provisions set out in the </w:t>
      </w:r>
      <w:r w:rsidR="000C2AC6">
        <w:rPr>
          <w:szCs w:val="19"/>
        </w:rPr>
        <w:t>FRA</w:t>
      </w:r>
      <w:r w:rsidRPr="00206ACA">
        <w:rPr>
          <w:szCs w:val="19"/>
        </w:rPr>
        <w:t xml:space="preserve">. Meanwhile in New Zealand, they are in the </w:t>
      </w:r>
      <w:r w:rsidRPr="00206ACA">
        <w:rPr>
          <w:i/>
          <w:szCs w:val="19"/>
        </w:rPr>
        <w:t>Food Act 2014.</w:t>
      </w:r>
    </w:p>
    <w:p w14:paraId="57BC921B" w14:textId="3CC36F1D" w:rsidR="00923BE4" w:rsidRPr="00206ACA" w:rsidRDefault="00923BE4" w:rsidP="00923BE4">
      <w:pPr>
        <w:rPr>
          <w:szCs w:val="19"/>
        </w:rPr>
      </w:pPr>
      <w:r w:rsidRPr="00206ACA">
        <w:rPr>
          <w:szCs w:val="19"/>
        </w:rPr>
        <w:t xml:space="preserve">The ISFR which reports through to the FRSC and in turn the FMM, has an important role to facilitate common approaches to implementing food standards through the development of guidelines. The ISFR, along with jurisdictional regulators, are reported to have invested significant resources into creating education materials for food businesses, but interpretations of how the food standards apply are varied, leading to a lack of consistency and duplication of effort. As a result, many food businesses struggle to understand what they must to do to meet their regulatory requirements. This leads to unnecessary burden associated with: </w:t>
      </w:r>
    </w:p>
    <w:p w14:paraId="783E0453" w14:textId="1481A41E" w:rsidR="00923BE4" w:rsidRPr="00095D96" w:rsidRDefault="00923BE4" w:rsidP="00095D96">
      <w:pPr>
        <w:pStyle w:val="Bullet"/>
      </w:pPr>
      <w:r w:rsidRPr="00095D96">
        <w:t xml:space="preserve">discovery costs to understand appropriate interpretation of </w:t>
      </w:r>
      <w:proofErr w:type="gramStart"/>
      <w:r w:rsidRPr="00095D96">
        <w:t>standards</w:t>
      </w:r>
      <w:proofErr w:type="gramEnd"/>
    </w:p>
    <w:p w14:paraId="7E38E147" w14:textId="77777777" w:rsidR="00923BE4" w:rsidRPr="00095D96" w:rsidRDefault="00923BE4" w:rsidP="00095D96">
      <w:pPr>
        <w:pStyle w:val="Bullet"/>
      </w:pPr>
      <w:r w:rsidRPr="00095D96">
        <w:t xml:space="preserve">risk averse practices that can limit </w:t>
      </w:r>
      <w:proofErr w:type="gramStart"/>
      <w:r w:rsidRPr="00095D96">
        <w:t>innovation</w:t>
      </w:r>
      <w:proofErr w:type="gramEnd"/>
    </w:p>
    <w:p w14:paraId="67276E2E" w14:textId="77777777" w:rsidR="00923BE4" w:rsidRPr="00095D96" w:rsidRDefault="00923BE4" w:rsidP="00095D96">
      <w:pPr>
        <w:pStyle w:val="Bullet"/>
      </w:pPr>
      <w:r w:rsidRPr="00095D96">
        <w:t>compliance burdens to adjust practices to ensure compliance with different interpretations of standards.</w:t>
      </w:r>
    </w:p>
    <w:p w14:paraId="6EBAD19F" w14:textId="3C10DB3D" w:rsidR="00923BE4" w:rsidRPr="00206ACA" w:rsidRDefault="00923BE4" w:rsidP="00923BE4">
      <w:pPr>
        <w:suppressAutoHyphens/>
        <w:rPr>
          <w:rFonts w:eastAsia="Times New Roman" w:cs="Times New Roman"/>
          <w:szCs w:val="19"/>
          <w:lang w:eastAsia="en-AU"/>
        </w:rPr>
      </w:pPr>
      <w:r w:rsidRPr="00206ACA">
        <w:rPr>
          <w:rFonts w:eastAsia="Times New Roman" w:cs="Times New Roman"/>
          <w:szCs w:val="19"/>
          <w:lang w:eastAsia="en-AU"/>
        </w:rPr>
        <w:t>This is a pronounced issue for Australian food businesses</w:t>
      </w:r>
      <w:r w:rsidR="00A259B5">
        <w:rPr>
          <w:rFonts w:eastAsia="Times New Roman" w:cs="Times New Roman"/>
          <w:szCs w:val="19"/>
          <w:lang w:eastAsia="en-AU"/>
        </w:rPr>
        <w:t>,</w:t>
      </w:r>
      <w:r w:rsidRPr="00206ACA">
        <w:rPr>
          <w:rFonts w:eastAsia="Times New Roman" w:cs="Times New Roman"/>
          <w:szCs w:val="19"/>
          <w:vertAlign w:val="superscript"/>
          <w:lang w:eastAsia="en-AU"/>
        </w:rPr>
        <w:footnoteReference w:id="33"/>
      </w:r>
      <w:r w:rsidRPr="00206ACA">
        <w:rPr>
          <w:rFonts w:eastAsia="Times New Roman" w:cs="Times New Roman"/>
          <w:szCs w:val="19"/>
          <w:lang w:eastAsia="en-AU"/>
        </w:rPr>
        <w:t xml:space="preserve"> particularly those that trade across jurisdictional borders. These businesses can face additional costs in adapting their production and distribution chain to meet the most rigorous compliance requirements across the jurisdictions in which they operate. This challenge is demonstrated in the market entry requirements for egg producers</w:t>
      </w:r>
      <w:r w:rsidR="00C57380">
        <w:rPr>
          <w:rFonts w:eastAsia="Times New Roman" w:cs="Times New Roman"/>
          <w:szCs w:val="19"/>
          <w:lang w:eastAsia="en-AU"/>
        </w:rPr>
        <w:t xml:space="preserve"> (</w:t>
      </w:r>
      <w:r w:rsidR="00C57380">
        <w:rPr>
          <w:rFonts w:eastAsia="Times New Roman" w:cs="Times New Roman"/>
          <w:szCs w:val="19"/>
          <w:lang w:eastAsia="en-AU"/>
        </w:rPr>
        <w:fldChar w:fldCharType="begin"/>
      </w:r>
      <w:r w:rsidR="00C57380">
        <w:rPr>
          <w:rFonts w:eastAsia="Times New Roman" w:cs="Times New Roman"/>
          <w:szCs w:val="19"/>
          <w:lang w:eastAsia="en-AU"/>
        </w:rPr>
        <w:instrText xml:space="preserve"> REF _Ref150530781 \h </w:instrText>
      </w:r>
      <w:r w:rsidR="00C57380">
        <w:rPr>
          <w:rFonts w:eastAsia="Times New Roman" w:cs="Times New Roman"/>
          <w:szCs w:val="19"/>
          <w:lang w:eastAsia="en-AU"/>
        </w:rPr>
      </w:r>
      <w:r w:rsidR="00C57380">
        <w:rPr>
          <w:rFonts w:eastAsia="Times New Roman" w:cs="Times New Roman"/>
          <w:szCs w:val="19"/>
          <w:lang w:eastAsia="en-AU"/>
        </w:rPr>
        <w:fldChar w:fldCharType="separate"/>
      </w:r>
      <w:r w:rsidR="003F7B92">
        <w:t xml:space="preserve">Table </w:t>
      </w:r>
      <w:r w:rsidR="003F7B92">
        <w:rPr>
          <w:noProof/>
        </w:rPr>
        <w:t>8</w:t>
      </w:r>
      <w:r w:rsidR="00C57380">
        <w:rPr>
          <w:rFonts w:eastAsia="Times New Roman" w:cs="Times New Roman"/>
          <w:szCs w:val="19"/>
          <w:lang w:eastAsia="en-AU"/>
        </w:rPr>
        <w:fldChar w:fldCharType="end"/>
      </w:r>
      <w:r w:rsidR="00C57380">
        <w:rPr>
          <w:rFonts w:eastAsia="Times New Roman" w:cs="Times New Roman"/>
          <w:szCs w:val="19"/>
          <w:lang w:eastAsia="en-AU"/>
        </w:rPr>
        <w:t>)</w:t>
      </w:r>
      <w:r w:rsidRPr="00206ACA">
        <w:rPr>
          <w:rFonts w:eastAsia="Times New Roman" w:cs="Times New Roman"/>
          <w:szCs w:val="19"/>
          <w:lang w:eastAsia="en-AU"/>
        </w:rPr>
        <w:t xml:space="preserve">. </w:t>
      </w:r>
    </w:p>
    <w:p w14:paraId="56E84D80" w14:textId="03254F66" w:rsidR="00C57380" w:rsidRPr="00206ACA" w:rsidRDefault="00C57380" w:rsidP="00C57380">
      <w:pPr>
        <w:pStyle w:val="Caption"/>
        <w:rPr>
          <w:rFonts w:eastAsia="Times New Roman" w:cs="Times New Roman"/>
          <w:szCs w:val="19"/>
          <w:lang w:eastAsia="en-AU"/>
        </w:rPr>
      </w:pPr>
      <w:bookmarkStart w:id="46" w:name="_Ref150530781"/>
      <w:r>
        <w:t xml:space="preserve">Table </w:t>
      </w:r>
      <w:r>
        <w:fldChar w:fldCharType="begin"/>
      </w:r>
      <w:r>
        <w:instrText xml:space="preserve"> SEQ Table \* ARABIC </w:instrText>
      </w:r>
      <w:r>
        <w:fldChar w:fldCharType="separate"/>
      </w:r>
      <w:r w:rsidR="003F7B92">
        <w:rPr>
          <w:noProof/>
        </w:rPr>
        <w:t>8</w:t>
      </w:r>
      <w:r>
        <w:fldChar w:fldCharType="end"/>
      </w:r>
      <w:bookmarkEnd w:id="46"/>
      <w:r>
        <w:t xml:space="preserve"> | </w:t>
      </w:r>
      <w:r w:rsidRPr="00F34272">
        <w:t xml:space="preserve">Case study: Inconsistencies across jurisdictions for </w:t>
      </w:r>
      <w:r w:rsidR="009C03EC">
        <w:t>Food Safety Programs</w:t>
      </w:r>
      <w:r w:rsidR="00AB2AE1">
        <w:rPr>
          <w:rStyle w:val="FootnoteReference"/>
        </w:rPr>
        <w:footnoteReference w:id="34"/>
      </w:r>
      <w:r w:rsidR="009C03EC">
        <w:t xml:space="preserve"> </w:t>
      </w:r>
      <w:r w:rsidR="00610633">
        <w:t xml:space="preserve"> </w:t>
      </w:r>
    </w:p>
    <w:tbl>
      <w:tblPr>
        <w:tblStyle w:val="TableGrid"/>
        <w:tblW w:w="0" w:type="auto"/>
        <w:tblLook w:val="0680" w:firstRow="0" w:lastRow="0" w:firstColumn="1" w:lastColumn="0" w:noHBand="1" w:noVBand="1"/>
      </w:tblPr>
      <w:tblGrid>
        <w:gridCol w:w="8907"/>
      </w:tblGrid>
      <w:tr w:rsidR="00313CD7" w14:paraId="50094206" w14:textId="77777777" w:rsidTr="00313CD7">
        <w:tc>
          <w:tcPr>
            <w:tcW w:w="8930" w:type="dxa"/>
            <w:tcBorders>
              <w:left w:val="single" w:sz="18" w:space="0" w:color="F8981D" w:themeColor="accent3"/>
            </w:tcBorders>
            <w:shd w:val="clear" w:color="auto" w:fill="E6E6E1" w:themeFill="accent5"/>
          </w:tcPr>
          <w:p w14:paraId="0DF0409C" w14:textId="7444FADA" w:rsidR="000358DF" w:rsidRPr="00447DC1" w:rsidRDefault="00313CD7" w:rsidP="00771B63">
            <w:pPr>
              <w:rPr>
                <w:rFonts w:asciiTheme="minorHAnsi" w:hAnsiTheme="minorHAnsi"/>
                <w:sz w:val="24"/>
              </w:rPr>
            </w:pPr>
            <w:r w:rsidRPr="00206ACA">
              <w:rPr>
                <w:rFonts w:eastAsia="Times New Roman" w:cs="Times New Roman"/>
                <w:szCs w:val="19"/>
                <w:lang w:eastAsia="en-AU"/>
              </w:rPr>
              <w:t xml:space="preserve">Food Standard </w:t>
            </w:r>
            <w:r w:rsidR="00D52C0A">
              <w:rPr>
                <w:rFonts w:eastAsia="Times New Roman" w:cs="Times New Roman"/>
                <w:szCs w:val="19"/>
                <w:lang w:eastAsia="en-AU"/>
              </w:rPr>
              <w:t>3.2.1</w:t>
            </w:r>
            <w:r w:rsidRPr="00206ACA">
              <w:rPr>
                <w:rFonts w:eastAsia="Times New Roman" w:cs="Times New Roman"/>
                <w:szCs w:val="19"/>
                <w:lang w:eastAsia="en-AU"/>
              </w:rPr>
              <w:t xml:space="preserve"> </w:t>
            </w:r>
            <w:r w:rsidR="00E02D8E">
              <w:rPr>
                <w:rFonts w:eastAsia="Times New Roman" w:cs="Times New Roman"/>
                <w:szCs w:val="19"/>
                <w:lang w:eastAsia="en-AU"/>
              </w:rPr>
              <w:t xml:space="preserve">requires </w:t>
            </w:r>
            <w:r w:rsidR="002413B8">
              <w:t>certain high-risk businesses to maintain a Food Safety Program.</w:t>
            </w:r>
            <w:r w:rsidR="000358DF">
              <w:t xml:space="preserve"> A Food Safety Program is a written document indicating how a food business will control the food safety hazards associated with the food handling activities of the business. </w:t>
            </w:r>
            <w:r w:rsidR="00EE3F57">
              <w:t>However, j</w:t>
            </w:r>
            <w:r w:rsidR="000358DF">
              <w:t xml:space="preserve">urisdictions have varied </w:t>
            </w:r>
            <w:r w:rsidR="00E02D8E">
              <w:lastRenderedPageBreak/>
              <w:t xml:space="preserve">requirements as to the </w:t>
            </w:r>
            <w:r w:rsidR="00940133">
              <w:t xml:space="preserve">applicability </w:t>
            </w:r>
            <w:r w:rsidR="00E02D8E">
              <w:t xml:space="preserve">and contents of what must be in a Food Safety Program. In Victoria, </w:t>
            </w:r>
            <w:r w:rsidR="00C13A08" w:rsidRPr="00C13A08">
              <w:t xml:space="preserve">all class 1 and most class 2 food premises need a </w:t>
            </w:r>
            <w:r w:rsidR="00AB2AE1">
              <w:t>F</w:t>
            </w:r>
            <w:r w:rsidR="00C13A08" w:rsidRPr="00C13A08">
              <w:t xml:space="preserve">ood </w:t>
            </w:r>
            <w:r w:rsidR="00AB2AE1">
              <w:t>S</w:t>
            </w:r>
            <w:r w:rsidR="00C13A08" w:rsidRPr="00C13A08">
              <w:t xml:space="preserve">afety </w:t>
            </w:r>
            <w:r w:rsidR="00AB2AE1">
              <w:t>P</w:t>
            </w:r>
            <w:r w:rsidR="00C13A08" w:rsidRPr="00C13A08">
              <w:t>rogram</w:t>
            </w:r>
            <w:r w:rsidR="00C13A08">
              <w:t xml:space="preserve">, compared with Queensland, where </w:t>
            </w:r>
            <w:r w:rsidR="00317A3F">
              <w:t xml:space="preserve">only licensable food businesses serving vulnerable individuals or engaged in catering are required. </w:t>
            </w:r>
            <w:r w:rsidR="00771B63">
              <w:t xml:space="preserve">Each jurisdiction has its own unique template for a </w:t>
            </w:r>
            <w:r w:rsidR="00AB2AE1">
              <w:t>F</w:t>
            </w:r>
            <w:r w:rsidR="00771B63">
              <w:t xml:space="preserve">ood </w:t>
            </w:r>
            <w:r w:rsidR="00AB2AE1">
              <w:t>S</w:t>
            </w:r>
            <w:r w:rsidR="00771B63">
              <w:t xml:space="preserve">afety </w:t>
            </w:r>
            <w:r w:rsidR="00AB2AE1">
              <w:t>P</w:t>
            </w:r>
            <w:r w:rsidR="00771B63">
              <w:t xml:space="preserve">rogram, reflecting varied requirements and formats. These </w:t>
            </w:r>
            <w:r w:rsidR="00771B63" w:rsidRPr="00447DC1">
              <w:t>templates differ in the type and extent of information they request</w:t>
            </w:r>
            <w:r w:rsidR="000057F2" w:rsidRPr="00447DC1">
              <w:t>,</w:t>
            </w:r>
            <w:r w:rsidR="00771B63" w:rsidRPr="00447DC1">
              <w:t xml:space="preserve"> leading to distinct approaches in documenting and managing food safety across different regions.</w:t>
            </w:r>
          </w:p>
          <w:p w14:paraId="3E510776" w14:textId="19F68BFB" w:rsidR="00313CD7" w:rsidRPr="00206ACA" w:rsidRDefault="00313CD7" w:rsidP="00313CD7">
            <w:pPr>
              <w:suppressAutoHyphens/>
              <w:rPr>
                <w:rFonts w:eastAsia="Times New Roman" w:cs="Times New Roman"/>
                <w:szCs w:val="19"/>
                <w:lang w:eastAsia="en-AU"/>
              </w:rPr>
            </w:pPr>
            <w:r w:rsidRPr="00447DC1">
              <w:t xml:space="preserve"> </w:t>
            </w:r>
            <w:r w:rsidRPr="00206ACA">
              <w:rPr>
                <w:rFonts w:eastAsia="Times New Roman" w:cs="Times New Roman"/>
                <w:szCs w:val="19"/>
                <w:lang w:eastAsia="en-AU"/>
              </w:rPr>
              <w:t xml:space="preserve">These inconsistent </w:t>
            </w:r>
            <w:r w:rsidR="000D294E" w:rsidRPr="00447DC1">
              <w:rPr>
                <w:rFonts w:eastAsia="Times New Roman" w:cs="Times New Roman"/>
                <w:szCs w:val="19"/>
                <w:lang w:eastAsia="en-AU"/>
              </w:rPr>
              <w:t>compliance</w:t>
            </w:r>
            <w:r w:rsidRPr="00206ACA">
              <w:rPr>
                <w:rFonts w:eastAsia="Times New Roman" w:cs="Times New Roman"/>
                <w:szCs w:val="19"/>
                <w:lang w:eastAsia="en-AU"/>
              </w:rPr>
              <w:t xml:space="preserve"> requirements have resulted in three core issues: </w:t>
            </w:r>
          </w:p>
          <w:p w14:paraId="022962AD" w14:textId="7134630F" w:rsidR="008A1F8E" w:rsidRPr="00B718C5" w:rsidRDefault="008A1F8E" w:rsidP="00747FF7">
            <w:pPr>
              <w:pStyle w:val="Bullet"/>
              <w:rPr>
                <w:rFonts w:asciiTheme="minorHAnsi" w:hAnsiTheme="minorHAnsi" w:cstheme="minorHAnsi"/>
                <w:sz w:val="24"/>
              </w:rPr>
            </w:pPr>
            <w:r w:rsidRPr="00B718C5">
              <w:rPr>
                <w:rFonts w:cs="Segoe UI"/>
              </w:rPr>
              <w:t xml:space="preserve">For businesses with outlets across different jurisdictions, managing varying food safety requirements leads to confusion and duplication of efforts. They must customize their </w:t>
            </w:r>
            <w:r w:rsidR="00AB2AE1" w:rsidRPr="00B718C5">
              <w:rPr>
                <w:rFonts w:cs="Segoe UI"/>
              </w:rPr>
              <w:t>F</w:t>
            </w:r>
            <w:r w:rsidRPr="00B718C5">
              <w:rPr>
                <w:rFonts w:cs="Segoe UI"/>
              </w:rPr>
              <w:t xml:space="preserve">ood </w:t>
            </w:r>
            <w:r w:rsidR="00AB2AE1" w:rsidRPr="00B718C5">
              <w:rPr>
                <w:rFonts w:cs="Segoe UI"/>
              </w:rPr>
              <w:t>S</w:t>
            </w:r>
            <w:r w:rsidRPr="00B718C5">
              <w:rPr>
                <w:rFonts w:cs="Segoe UI"/>
              </w:rPr>
              <w:t xml:space="preserve">afety </w:t>
            </w:r>
            <w:r w:rsidR="00AB2AE1" w:rsidRPr="00B718C5">
              <w:rPr>
                <w:rFonts w:cs="Segoe UI"/>
              </w:rPr>
              <w:t>P</w:t>
            </w:r>
            <w:r w:rsidRPr="00B718C5">
              <w:rPr>
                <w:rFonts w:cs="Segoe UI"/>
              </w:rPr>
              <w:t>rograms to meet each jurisdiction's specific requirements and then submit these plans to multiple regulators for review, adding complexity and administrative workload.</w:t>
            </w:r>
          </w:p>
          <w:p w14:paraId="2EB3E013" w14:textId="49D26823" w:rsidR="00FE795C" w:rsidRPr="00B718C5" w:rsidRDefault="00CC3431" w:rsidP="00747FF7">
            <w:pPr>
              <w:pStyle w:val="Bullet"/>
              <w:rPr>
                <w:rFonts w:asciiTheme="minorHAnsi" w:hAnsiTheme="minorHAnsi" w:cstheme="minorHAnsi"/>
                <w:sz w:val="24"/>
              </w:rPr>
            </w:pPr>
            <w:r w:rsidRPr="00447DC1">
              <w:t xml:space="preserve">Businesses operating across multiple states encounter challenges due to varied interpretations of Food Standards in different jurisdictions, necessitating dedicated staff for state-specific </w:t>
            </w:r>
            <w:r w:rsidR="00AB2AE1" w:rsidRPr="00447DC1">
              <w:t>F</w:t>
            </w:r>
            <w:r w:rsidRPr="00447DC1">
              <w:t xml:space="preserve">ood </w:t>
            </w:r>
            <w:r w:rsidR="00AB2AE1" w:rsidRPr="00447DC1">
              <w:t>S</w:t>
            </w:r>
            <w:r w:rsidRPr="00447DC1">
              <w:t xml:space="preserve">afety </w:t>
            </w:r>
            <w:r w:rsidR="00AB2AE1" w:rsidRPr="00447DC1">
              <w:t>P</w:t>
            </w:r>
            <w:r w:rsidRPr="00447DC1">
              <w:t xml:space="preserve">rograms and reporting. </w:t>
            </w:r>
            <w:r w:rsidR="004206F9" w:rsidRPr="00447DC1">
              <w:t>I</w:t>
            </w:r>
            <w:r w:rsidR="00A971C6" w:rsidRPr="00447DC1">
              <w:rPr>
                <w:rFonts w:cstheme="minorHAnsi"/>
              </w:rPr>
              <w:t xml:space="preserve">f a single food safety plan was able to be implemented nationally, these staff could be redeployed to improving the </w:t>
            </w:r>
            <w:r w:rsidR="00A971C6" w:rsidRPr="00FE795C">
              <w:rPr>
                <w:rFonts w:cstheme="minorHAnsi"/>
              </w:rPr>
              <w:t>business’ food safety management.</w:t>
            </w:r>
          </w:p>
          <w:p w14:paraId="58A1BE2A" w14:textId="445E2625" w:rsidR="00313CD7" w:rsidRPr="00206ACA" w:rsidRDefault="00FE795C" w:rsidP="00683C93">
            <w:pPr>
              <w:pStyle w:val="Bullet"/>
            </w:pPr>
            <w:r>
              <w:rPr>
                <w:rFonts w:cstheme="minorHAnsi"/>
              </w:rPr>
              <w:t>T</w:t>
            </w:r>
            <w:r w:rsidRPr="00FE795C">
              <w:rPr>
                <w:rFonts w:cstheme="minorHAnsi"/>
              </w:rPr>
              <w:t xml:space="preserve">he inability to implement a national </w:t>
            </w:r>
            <w:r w:rsidR="00AB2AE1">
              <w:rPr>
                <w:rFonts w:cstheme="minorHAnsi"/>
              </w:rPr>
              <w:t>F</w:t>
            </w:r>
            <w:r w:rsidRPr="00FE795C">
              <w:rPr>
                <w:rFonts w:cstheme="minorHAnsi"/>
              </w:rPr>
              <w:t xml:space="preserve">ood </w:t>
            </w:r>
            <w:r w:rsidR="00AB2AE1">
              <w:rPr>
                <w:rFonts w:cstheme="minorHAnsi"/>
              </w:rPr>
              <w:t>S</w:t>
            </w:r>
            <w:r w:rsidRPr="00FE795C">
              <w:rPr>
                <w:rFonts w:cstheme="minorHAnsi"/>
              </w:rPr>
              <w:t xml:space="preserve">afety </w:t>
            </w:r>
            <w:r w:rsidR="00AB2AE1">
              <w:rPr>
                <w:rFonts w:cstheme="minorHAnsi"/>
              </w:rPr>
              <w:t>P</w:t>
            </w:r>
            <w:r w:rsidRPr="00FE795C">
              <w:rPr>
                <w:rFonts w:cstheme="minorHAnsi"/>
              </w:rPr>
              <w:t>rogram and different reporting requirements</w:t>
            </w:r>
            <w:r w:rsidR="0039564F">
              <w:rPr>
                <w:rFonts w:cstheme="minorHAnsi"/>
              </w:rPr>
              <w:t xml:space="preserve"> between jurisdictions</w:t>
            </w:r>
            <w:r w:rsidRPr="00FE795C">
              <w:rPr>
                <w:rFonts w:cstheme="minorHAnsi"/>
              </w:rPr>
              <w:t xml:space="preserve"> means that food safety management cannot be effectively compared between different operations, which limits business’ ability to identify areas for improvement in food safety management and adopt streamlined systems to manage food </w:t>
            </w:r>
            <w:r w:rsidR="007E6FAC">
              <w:rPr>
                <w:rFonts w:cstheme="minorHAnsi"/>
              </w:rPr>
              <w:t>safety.</w:t>
            </w:r>
          </w:p>
        </w:tc>
      </w:tr>
    </w:tbl>
    <w:p w14:paraId="05ECBFF5" w14:textId="77777777" w:rsidR="008055C7" w:rsidRDefault="008055C7" w:rsidP="00B82559"/>
    <w:p w14:paraId="7963B6FE" w14:textId="34BD3739" w:rsidR="00B71D03" w:rsidRDefault="009B742A" w:rsidP="00B82559">
      <w:r>
        <w:t xml:space="preserve">In an environment where the duties to develop food standards and enforce them </w:t>
      </w:r>
      <w:r w:rsidR="007E7441">
        <w:t xml:space="preserve">sit not only with different institutions but different levels of government, </w:t>
      </w:r>
      <w:r w:rsidR="004D79E1">
        <w:t xml:space="preserve">there is no </w:t>
      </w:r>
      <w:r w:rsidR="006B4E76">
        <w:t>foundation</w:t>
      </w:r>
      <w:r w:rsidR="004D79E1">
        <w:t xml:space="preserve"> for FSANZ to issue binding directions around the interpretation of food standards. There is</w:t>
      </w:r>
      <w:r w:rsidR="006B4E76">
        <w:t>,</w:t>
      </w:r>
      <w:r w:rsidR="004D79E1">
        <w:t xml:space="preserve"> however, </w:t>
      </w:r>
      <w:r w:rsidR="006B4E76">
        <w:t xml:space="preserve">an opportunity to enhance the advice and guidance FSANZ provides so shape that way that decisions are taken by both industry participants and enforcement agencies. </w:t>
      </w:r>
      <w:r w:rsidR="00923BE4">
        <w:t xml:space="preserve"> </w:t>
      </w:r>
    </w:p>
    <w:tbl>
      <w:tblPr>
        <w:tblStyle w:val="TableGrid"/>
        <w:tblW w:w="0" w:type="auto"/>
        <w:tblLook w:val="04A0" w:firstRow="1" w:lastRow="0" w:firstColumn="1" w:lastColumn="0" w:noHBand="0" w:noVBand="1"/>
      </w:tblPr>
      <w:tblGrid>
        <w:gridCol w:w="8930"/>
      </w:tblGrid>
      <w:tr w:rsidR="003D65AB" w14:paraId="73D90BBD" w14:textId="77777777" w:rsidTr="003D65AB">
        <w:trPr>
          <w:cnfStyle w:val="100000000000" w:firstRow="1" w:lastRow="0" w:firstColumn="0" w:lastColumn="0" w:oddVBand="0" w:evenVBand="0" w:oddHBand="0" w:evenHBand="0" w:firstRowFirstColumn="0" w:firstRowLastColumn="0" w:lastRowFirstColumn="0" w:lastRowLastColumn="0"/>
        </w:trPr>
        <w:tc>
          <w:tcPr>
            <w:tcW w:w="8930" w:type="dxa"/>
            <w:shd w:val="clear" w:color="auto" w:fill="00264D" w:themeFill="background2"/>
          </w:tcPr>
          <w:p w14:paraId="6626A6C7" w14:textId="6378FE9C" w:rsidR="003D65AB" w:rsidRPr="003D65AB" w:rsidRDefault="003D65AB" w:rsidP="00B82559">
            <w:pPr>
              <w:rPr>
                <w:rFonts w:asciiTheme="majorHAnsi" w:hAnsiTheme="majorHAnsi" w:cstheme="majorHAnsi"/>
              </w:rPr>
            </w:pPr>
            <w:r w:rsidRPr="003D65AB">
              <w:rPr>
                <w:rFonts w:asciiTheme="majorHAnsi" w:hAnsiTheme="majorHAnsi" w:cstheme="majorHAnsi"/>
                <w:color w:val="FFFFFF" w:themeColor="background1"/>
              </w:rPr>
              <w:t>Consultation questions</w:t>
            </w:r>
          </w:p>
        </w:tc>
      </w:tr>
      <w:tr w:rsidR="003D65AB" w14:paraId="65EB2DC8" w14:textId="77777777" w:rsidTr="003D65AB">
        <w:trPr>
          <w:cnfStyle w:val="000000100000" w:firstRow="0" w:lastRow="0" w:firstColumn="0" w:lastColumn="0" w:oddVBand="0" w:evenVBand="0" w:oddHBand="1" w:evenHBand="0" w:firstRowFirstColumn="0" w:firstRowLastColumn="0" w:lastRowFirstColumn="0" w:lastRowLastColumn="0"/>
        </w:trPr>
        <w:tc>
          <w:tcPr>
            <w:tcW w:w="8930" w:type="dxa"/>
            <w:shd w:val="clear" w:color="auto" w:fill="E6E6E1" w:themeFill="accent5"/>
          </w:tcPr>
          <w:p w14:paraId="2F9DDF12" w14:textId="1B3443E0" w:rsidR="003D65AB" w:rsidRPr="00356A4E" w:rsidRDefault="00356A4E" w:rsidP="00356A4E">
            <w:pPr>
              <w:pStyle w:val="longformcalloutnumber"/>
              <w:numPr>
                <w:ilvl w:val="0"/>
                <w:numId w:val="38"/>
              </w:numPr>
              <w:rPr>
                <w:rFonts w:eastAsia="Times New Roman" w:cs="Times New Roman"/>
              </w:rPr>
            </w:pPr>
            <w:r w:rsidRPr="005924E0">
              <w:rPr>
                <w:rFonts w:eastAsia="Times New Roman" w:cs="Times New Roman"/>
              </w:rPr>
              <w:t xml:space="preserve">Does the current method used to calculate the impact of a problem provide a robust approach to identifying priority issues? </w:t>
            </w:r>
          </w:p>
          <w:p w14:paraId="7FDD3FF2" w14:textId="5683753A" w:rsidR="003D65AB" w:rsidRDefault="003D65AB" w:rsidP="003D65AB">
            <w:pPr>
              <w:pStyle w:val="longformcalloutnumber"/>
              <w:numPr>
                <w:ilvl w:val="0"/>
                <w:numId w:val="38"/>
              </w:numPr>
            </w:pPr>
            <w:r w:rsidRPr="003E0996">
              <w:rPr>
                <w:rFonts w:eastAsia="Times New Roman" w:cs="Times New Roman"/>
              </w:rPr>
              <w:t>Are the ratings assigned to each of the sub-problems and ultimately the problem appropriate? If not, why?</w:t>
            </w:r>
          </w:p>
        </w:tc>
      </w:tr>
    </w:tbl>
    <w:p w14:paraId="34DF9D48" w14:textId="77777777" w:rsidR="003D65AB" w:rsidRDefault="003D65AB" w:rsidP="00B82559"/>
    <w:p w14:paraId="100543EF" w14:textId="3387C49E" w:rsidR="00923BE4" w:rsidRPr="002A1782" w:rsidRDefault="002A1782" w:rsidP="00923BE4">
      <w:pPr>
        <w:pStyle w:val="Heading1"/>
        <w:rPr>
          <w:color w:val="FFFFFF" w:themeColor="background1"/>
        </w:rPr>
      </w:pPr>
      <w:bookmarkStart w:id="47" w:name="_Toc157599125"/>
      <w:r w:rsidRPr="002A1782">
        <w:rPr>
          <w:noProof/>
          <w:color w:val="FFFFFF" w:themeColor="background1"/>
        </w:rPr>
        <w:lastRenderedPageBreak/>
        <w:drawing>
          <wp:anchor distT="0" distB="0" distL="114300" distR="114300" simplePos="0" relativeHeight="251658250" behindDoc="1" locked="0" layoutInCell="1" allowOverlap="1" wp14:anchorId="02F14854" wp14:editId="52F5D66F">
            <wp:simplePos x="0" y="0"/>
            <wp:positionH relativeFrom="margin">
              <wp:posOffset>-984250</wp:posOffset>
            </wp:positionH>
            <wp:positionV relativeFrom="paragraph">
              <wp:posOffset>-933450</wp:posOffset>
            </wp:positionV>
            <wp:extent cx="7581900" cy="129540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b="32669"/>
                    <a:stretch/>
                  </pic:blipFill>
                  <pic:spPr bwMode="auto">
                    <a:xfrm>
                      <a:off x="0" y="0"/>
                      <a:ext cx="75819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BE4" w:rsidRPr="002A1782">
        <w:rPr>
          <w:color w:val="FFFFFF" w:themeColor="background1"/>
        </w:rPr>
        <w:t>Rationale for government action</w:t>
      </w:r>
      <w:bookmarkEnd w:id="47"/>
    </w:p>
    <w:p w14:paraId="0DCA4006" w14:textId="77777777" w:rsidR="00923BE4" w:rsidRPr="007604A4" w:rsidRDefault="00923BE4" w:rsidP="00923BE4">
      <w:r>
        <w:rPr>
          <w:lang w:eastAsia="en-AU"/>
        </w:rPr>
        <w:t xml:space="preserve">Australian and New Zealand governments (at all levels) play a vital role in regulating food standards, including by providing a regulatory framework for how foods can enter the Australian and New Zealand markets. </w:t>
      </w:r>
    </w:p>
    <w:p w14:paraId="2306ED1A" w14:textId="7F53B55B" w:rsidR="00923BE4" w:rsidRDefault="00923BE4" w:rsidP="00923BE4">
      <w:pPr>
        <w:pStyle w:val="Heading4"/>
      </w:pPr>
      <w:bookmarkStart w:id="48" w:name="_Toc55908926"/>
      <w:r>
        <w:t xml:space="preserve">While markets have changed, there is an ongoing rationale for regulating food through a standard-setting </w:t>
      </w:r>
      <w:proofErr w:type="gramStart"/>
      <w:r>
        <w:t>body</w:t>
      </w:r>
      <w:bookmarkEnd w:id="48"/>
      <w:proofErr w:type="gramEnd"/>
      <w:r>
        <w:t xml:space="preserve"> </w:t>
      </w:r>
    </w:p>
    <w:p w14:paraId="5BC2C224" w14:textId="77777777" w:rsidR="00923BE4" w:rsidRPr="00191091" w:rsidRDefault="00923BE4" w:rsidP="00923BE4">
      <w:r>
        <w:t xml:space="preserve">By establishing a standard-setting body and processes for creating and changing food standards within a bi-national framework, the Act helps to safeguard the food that Australians and New Zealanders eat. A safe food supply is a broad social good with considerable social, </w:t>
      </w:r>
      <w:proofErr w:type="gramStart"/>
      <w:r>
        <w:t>economic</w:t>
      </w:r>
      <w:proofErr w:type="gramEnd"/>
      <w:r>
        <w:t xml:space="preserve"> and strategic benefits. While food producers and manufacturers have a vested interest in assuring food is safe to eat, there is a clear ongoing role for government in the regulation of food. This is for a range of reasons which can be interpreted through a ‘market failure’ framework:</w:t>
      </w:r>
    </w:p>
    <w:p w14:paraId="599ED068" w14:textId="0140DBE1" w:rsidR="00923BE4" w:rsidRDefault="00923BE4" w:rsidP="00923BE4">
      <w:pPr>
        <w:pStyle w:val="Bullet"/>
      </w:pPr>
      <w:r>
        <w:t>Food supply chains are highly complex and increasingly integrated. This creates the potential for wide-reaching, harmful spill-over effects if the food supply is compromised or contaminat</w:t>
      </w:r>
      <w:r w:rsidR="0082334D">
        <w:t>e</w:t>
      </w:r>
      <w:r>
        <w:t xml:space="preserve">d </w:t>
      </w:r>
      <w:r w:rsidR="0089022C">
        <w:t>–</w:t>
      </w:r>
      <w:r>
        <w:t xml:space="preserve"> both for consumers of food and businesses selling food products. These </w:t>
      </w:r>
      <w:r w:rsidRPr="00397DEB">
        <w:rPr>
          <w:rFonts w:ascii="Segoe UI Semibold" w:hAnsi="Segoe UI Semibold" w:cs="Segoe UI Semibold"/>
        </w:rPr>
        <w:t>negative externalities</w:t>
      </w:r>
      <w:r w:rsidRPr="00242FB6">
        <w:rPr>
          <w:rFonts w:asciiTheme="minorHAnsi" w:hAnsiTheme="minorHAnsi" w:cstheme="minorHAnsi"/>
        </w:rPr>
        <w:t>,</w:t>
      </w:r>
      <w:r>
        <w:t xml:space="preserve"> and the significant associated risks, may not be adequately insured against by individual actors in the market. </w:t>
      </w:r>
    </w:p>
    <w:p w14:paraId="3CAE088A" w14:textId="77777777" w:rsidR="00923BE4" w:rsidRDefault="00923BE4" w:rsidP="00923BE4">
      <w:pPr>
        <w:pStyle w:val="Bullet"/>
      </w:pPr>
      <w:r>
        <w:t xml:space="preserve">Conversely, sustained provision of a safe food supply has </w:t>
      </w:r>
      <w:r w:rsidRPr="00397DEB">
        <w:rPr>
          <w:rFonts w:asciiTheme="majorHAnsi" w:hAnsiTheme="majorHAnsi" w:cstheme="majorHAnsi"/>
        </w:rPr>
        <w:t>positive spill-over effects</w:t>
      </w:r>
      <w:r>
        <w:t xml:space="preserve"> for society and industry, for example for export businesses that can leverage the strong reputation that food from Australia and New Zealand has in regional and global markets. This competitive advantage is a collective good that depends on central government oversight. </w:t>
      </w:r>
    </w:p>
    <w:p w14:paraId="7B8A590A" w14:textId="4DD6F2F7" w:rsidR="00923BE4" w:rsidRDefault="00923BE4" w:rsidP="00923BE4">
      <w:pPr>
        <w:pStyle w:val="Bullet"/>
      </w:pPr>
      <w:r>
        <w:t>The ability for consumers to make informed decisions about the foods they eat, including avoiding certain allergens and making healthy eating decisions, is greatly supported by a common framework of standards, especially those related to information and labelling. The bi-national framework for standard</w:t>
      </w:r>
      <w:r w:rsidR="002B532E">
        <w:t>-</w:t>
      </w:r>
      <w:r>
        <w:t xml:space="preserve">setting and development established by the Act thereby helps to address </w:t>
      </w:r>
      <w:r w:rsidRPr="00397DEB">
        <w:rPr>
          <w:rFonts w:asciiTheme="majorHAnsi" w:hAnsiTheme="majorHAnsi" w:cstheme="majorHAnsi"/>
        </w:rPr>
        <w:t>informational asymmetries</w:t>
      </w:r>
      <w:r>
        <w:rPr>
          <w:i/>
        </w:rPr>
        <w:t xml:space="preserve"> </w:t>
      </w:r>
      <w:r>
        <w:t xml:space="preserve">that would likely exist in a private market. </w:t>
      </w:r>
    </w:p>
    <w:p w14:paraId="715AC8AF" w14:textId="06F2AE31" w:rsidR="0069178D" w:rsidRDefault="0069178D" w:rsidP="00923BE4">
      <w:pPr>
        <w:pStyle w:val="Bullet"/>
      </w:pPr>
      <w:r w:rsidRPr="0069178D">
        <w:t xml:space="preserve">Meeting community expectations </w:t>
      </w:r>
      <w:r w:rsidR="0025176C">
        <w:t>of</w:t>
      </w:r>
      <w:r w:rsidRPr="0069178D">
        <w:t xml:space="preserve"> a safe and well-regulated food supply </w:t>
      </w:r>
      <w:r w:rsidR="0025176C">
        <w:t xml:space="preserve">chain </w:t>
      </w:r>
      <w:r w:rsidRPr="0069178D">
        <w:t xml:space="preserve">boosts </w:t>
      </w:r>
      <w:r w:rsidRPr="00CE5D41">
        <w:rPr>
          <w:rFonts w:asciiTheme="majorHAnsi" w:hAnsiTheme="majorHAnsi" w:cstheme="majorHAnsi"/>
        </w:rPr>
        <w:t>consumer confidence</w:t>
      </w:r>
      <w:r w:rsidRPr="0069178D">
        <w:t xml:space="preserve">, </w:t>
      </w:r>
      <w:r w:rsidR="00F50938" w:rsidRPr="00F50938">
        <w:t xml:space="preserve">making it easier for consumers to trust </w:t>
      </w:r>
      <w:r w:rsidR="00850815">
        <w:t xml:space="preserve">in the </w:t>
      </w:r>
      <w:r w:rsidR="00F636BF">
        <w:t>safety of food products from both Australia and New Zealand</w:t>
      </w:r>
      <w:r w:rsidR="00F50938" w:rsidRPr="00F50938">
        <w:t xml:space="preserve">. This supports economic stability </w:t>
      </w:r>
      <w:r w:rsidR="00F636BF">
        <w:t xml:space="preserve">and growth </w:t>
      </w:r>
      <w:r w:rsidR="00F50938" w:rsidRPr="00F50938">
        <w:t xml:space="preserve">in the food sector </w:t>
      </w:r>
      <w:r w:rsidRPr="0069178D">
        <w:t>and related industries.</w:t>
      </w:r>
    </w:p>
    <w:p w14:paraId="0586DCB5" w14:textId="77777777" w:rsidR="00923BE4" w:rsidRDefault="00923BE4" w:rsidP="00923BE4">
      <w:pPr>
        <w:pStyle w:val="Bullet"/>
      </w:pPr>
      <w:r>
        <w:t xml:space="preserve">Food consumption patterns are an important driver of individual wellbeing and broader public and population health. Government regulation of food can take a longer-term perspective of health and wellbeing and consider how regulation of food can promote </w:t>
      </w:r>
      <w:r w:rsidRPr="00397DEB">
        <w:rPr>
          <w:rFonts w:asciiTheme="majorHAnsi" w:hAnsiTheme="majorHAnsi" w:cstheme="majorHAnsi"/>
        </w:rPr>
        <w:t>broader social objectives</w:t>
      </w:r>
      <w:r w:rsidRPr="00AB0E73">
        <w:rPr>
          <w:rFonts w:asciiTheme="minorHAnsi" w:hAnsiTheme="minorHAnsi" w:cstheme="minorHAnsi"/>
        </w:rPr>
        <w:t>,</w:t>
      </w:r>
      <w:r>
        <w:t xml:space="preserve"> such as reduction in non-communicable food-related illnesses. </w:t>
      </w:r>
    </w:p>
    <w:p w14:paraId="21CDB9D6" w14:textId="77777777" w:rsidR="00923BE4" w:rsidRDefault="00923BE4" w:rsidP="00923BE4">
      <w:pPr>
        <w:pStyle w:val="Heading4"/>
      </w:pPr>
      <w:r w:rsidRPr="0080146B">
        <w:t xml:space="preserve">Only government can update the regulatory </w:t>
      </w:r>
      <w:proofErr w:type="gramStart"/>
      <w:r w:rsidRPr="0080146B">
        <w:t>framework</w:t>
      </w:r>
      <w:proofErr w:type="gramEnd"/>
    </w:p>
    <w:p w14:paraId="6C5F156A" w14:textId="0C9CCB67" w:rsidR="00923BE4" w:rsidRDefault="00923BE4" w:rsidP="00923BE4">
      <w:r>
        <w:t xml:space="preserve">The Act is Commonwealth legislation, which falls within the remit of the Australian Government to reform. Importantly though, in accordance with Article 4(4) of the </w:t>
      </w:r>
      <w:r w:rsidR="0089022C">
        <w:t xml:space="preserve">Food </w:t>
      </w:r>
      <w:r>
        <w:t xml:space="preserve">Treaty, no amendments to the Act will be introduced without effective consultation with New Zealand. </w:t>
      </w:r>
    </w:p>
    <w:p w14:paraId="1D261915" w14:textId="14DCEDCA" w:rsidR="00887626" w:rsidRDefault="00510244" w:rsidP="00923BE4">
      <w:r>
        <w:t>The</w:t>
      </w:r>
      <w:r w:rsidR="00996D27">
        <w:t xml:space="preserve"> </w:t>
      </w:r>
      <w:r w:rsidR="00DB518A">
        <w:t>review</w:t>
      </w:r>
      <w:r w:rsidR="003B18F6">
        <w:t xml:space="preserve"> of the FSANZ Act</w:t>
      </w:r>
      <w:r w:rsidR="00DB518A">
        <w:t xml:space="preserve"> is happening as </w:t>
      </w:r>
      <w:r w:rsidR="00324903">
        <w:t xml:space="preserve">a part of the </w:t>
      </w:r>
      <w:r w:rsidR="00D05C70">
        <w:t>broader reform</w:t>
      </w:r>
      <w:r w:rsidR="00F239A9">
        <w:t xml:space="preserve"> of the bi-national </w:t>
      </w:r>
      <w:r w:rsidR="00F35B7E">
        <w:t xml:space="preserve">Food Regulation </w:t>
      </w:r>
      <w:r w:rsidR="00603544">
        <w:t>System</w:t>
      </w:r>
      <w:r w:rsidR="00954556">
        <w:t>,</w:t>
      </w:r>
      <w:r w:rsidR="00182EAD">
        <w:t xml:space="preserve"> which includes a review of</w:t>
      </w:r>
      <w:r w:rsidR="003B18F6">
        <w:t xml:space="preserve"> the </w:t>
      </w:r>
      <w:r w:rsidR="000C2AC6">
        <w:t>FRA</w:t>
      </w:r>
      <w:r w:rsidR="00182EAD">
        <w:t xml:space="preserve">. </w:t>
      </w:r>
      <w:r w:rsidR="000A70AC">
        <w:t xml:space="preserve">This is an opportune time </w:t>
      </w:r>
      <w:r w:rsidR="007022A5">
        <w:t xml:space="preserve">to carry out coordinated reforms across the </w:t>
      </w:r>
      <w:r w:rsidR="006878F1">
        <w:t>system</w:t>
      </w:r>
      <w:r w:rsidR="007022A5">
        <w:t xml:space="preserve"> to ensu</w:t>
      </w:r>
      <w:r w:rsidR="007259F3">
        <w:t>re it remains fit for purpo</w:t>
      </w:r>
      <w:r w:rsidR="0046298C">
        <w:t xml:space="preserve">se as </w:t>
      </w:r>
      <w:r w:rsidR="00F11804">
        <w:t xml:space="preserve">a cohesive and complementary </w:t>
      </w:r>
      <w:r w:rsidR="00625BB9">
        <w:t xml:space="preserve">framework. </w:t>
      </w:r>
    </w:p>
    <w:p w14:paraId="16C57913" w14:textId="30129C5F" w:rsidR="00923BE4" w:rsidRDefault="00923BE4" w:rsidP="00923BE4">
      <w:r w:rsidRPr="0080146B">
        <w:lastRenderedPageBreak/>
        <w:t xml:space="preserve">As described earlier in </w:t>
      </w:r>
      <w:r w:rsidR="00B62604">
        <w:t>Section</w:t>
      </w:r>
      <w:r w:rsidRPr="0080146B">
        <w:t xml:space="preserve"> </w:t>
      </w:r>
      <w:r w:rsidRPr="0080146B">
        <w:fldChar w:fldCharType="begin"/>
      </w:r>
      <w:r w:rsidRPr="0080146B">
        <w:instrText xml:space="preserve"> REF _Ref57911144 \r \h </w:instrText>
      </w:r>
      <w:r>
        <w:instrText xml:space="preserve"> \* MERGEFORMAT </w:instrText>
      </w:r>
      <w:r w:rsidRPr="0080146B">
        <w:fldChar w:fldCharType="separate"/>
      </w:r>
      <w:r w:rsidR="003F7B92">
        <w:t>3</w:t>
      </w:r>
      <w:r w:rsidRPr="0080146B">
        <w:fldChar w:fldCharType="end"/>
      </w:r>
      <w:r w:rsidRPr="0080146B">
        <w:t xml:space="preserve">, there are several limitations to the Act in its current form which hinder efficient and effective regulation, and government action is now required to effectively respond to </w:t>
      </w:r>
      <w:r w:rsidR="006919E9">
        <w:t>these challenges</w:t>
      </w:r>
      <w:r w:rsidRPr="0080146B" w:rsidDel="006919E9">
        <w:t>.</w:t>
      </w:r>
      <w:r w:rsidRPr="0080146B">
        <w:t xml:space="preserve"> </w:t>
      </w:r>
    </w:p>
    <w:p w14:paraId="30C2813B" w14:textId="2BA02945" w:rsidR="00923BE4" w:rsidRDefault="004B3ADD" w:rsidP="00923BE4">
      <w:pPr>
        <w:pStyle w:val="Heading4"/>
      </w:pPr>
      <w:r>
        <w:t xml:space="preserve">Effective regulation of food standards will contribute to positive social </w:t>
      </w:r>
      <w:proofErr w:type="gramStart"/>
      <w:r>
        <w:t>outcomes</w:t>
      </w:r>
      <w:proofErr w:type="gramEnd"/>
    </w:p>
    <w:p w14:paraId="30E4782C" w14:textId="4A09B4BE" w:rsidR="00923BE4" w:rsidRDefault="00923BE4" w:rsidP="00923BE4">
      <w:pPr>
        <w:rPr>
          <w:lang w:eastAsia="en-AU"/>
        </w:rPr>
      </w:pPr>
      <w:r>
        <w:rPr>
          <w:lang w:eastAsia="en-AU"/>
        </w:rPr>
        <w:t>The objective of the reform is to improve</w:t>
      </w:r>
      <w:r w:rsidRPr="00534045">
        <w:rPr>
          <w:lang w:eastAsia="en-AU"/>
        </w:rPr>
        <w:t xml:space="preserve"> the effectiveness of the</w:t>
      </w:r>
      <w:r>
        <w:rPr>
          <w:lang w:eastAsia="en-AU"/>
        </w:rPr>
        <w:t xml:space="preserve"> </w:t>
      </w:r>
      <w:r w:rsidRPr="00534045">
        <w:rPr>
          <w:lang w:eastAsia="en-AU"/>
        </w:rPr>
        <w:t>Act and the associated operations and responsibilities of FSANZ</w:t>
      </w:r>
      <w:r>
        <w:rPr>
          <w:lang w:eastAsia="en-AU"/>
        </w:rPr>
        <w:t>. A strong regulatory framework should contribute to:</w:t>
      </w:r>
    </w:p>
    <w:p w14:paraId="47E2EB41" w14:textId="3A5BFF34" w:rsidR="00923BE4" w:rsidRDefault="009E1935" w:rsidP="00C207DC">
      <w:pPr>
        <w:pStyle w:val="Listnumbered"/>
        <w:numPr>
          <w:ilvl w:val="0"/>
          <w:numId w:val="66"/>
        </w:numPr>
        <w:ind w:left="284" w:hanging="284"/>
      </w:pPr>
      <w:r w:rsidRPr="00C207DC">
        <w:rPr>
          <w:rFonts w:asciiTheme="majorHAnsi" w:hAnsiTheme="majorHAnsi" w:cstheme="majorHAnsi"/>
        </w:rPr>
        <w:t>T</w:t>
      </w:r>
      <w:r w:rsidR="00923BE4" w:rsidRPr="00C207DC">
        <w:rPr>
          <w:rFonts w:asciiTheme="majorHAnsi" w:hAnsiTheme="majorHAnsi" w:cstheme="majorHAnsi"/>
        </w:rPr>
        <w:t xml:space="preserve">he maintenance of quality and safety of food available in Australia and New Zealand, while stimulating economic growth, </w:t>
      </w:r>
      <w:proofErr w:type="gramStart"/>
      <w:r w:rsidR="00923BE4" w:rsidRPr="00C207DC">
        <w:rPr>
          <w:rFonts w:asciiTheme="majorHAnsi" w:hAnsiTheme="majorHAnsi" w:cstheme="majorHAnsi"/>
        </w:rPr>
        <w:t>innovation</w:t>
      </w:r>
      <w:proofErr w:type="gramEnd"/>
      <w:r w:rsidR="00923BE4" w:rsidRPr="00C207DC">
        <w:rPr>
          <w:rFonts w:asciiTheme="majorHAnsi" w:hAnsiTheme="majorHAnsi" w:cstheme="majorHAnsi"/>
        </w:rPr>
        <w:t xml:space="preserve"> and consumer choice</w:t>
      </w:r>
      <w:r>
        <w:t>, indicated by:</w:t>
      </w:r>
    </w:p>
    <w:p w14:paraId="29D52E95" w14:textId="5F4C3EFF" w:rsidR="00446315" w:rsidRDefault="00446315" w:rsidP="00AC4449">
      <w:pPr>
        <w:pStyle w:val="Bullet"/>
      </w:pPr>
      <w:r>
        <w:t>Stagnant or declining rates of foodborne illness</w:t>
      </w:r>
    </w:p>
    <w:p w14:paraId="3DFC8799" w14:textId="4674E847" w:rsidR="009E1935" w:rsidRPr="00A25785" w:rsidRDefault="00446315" w:rsidP="00AC4449">
      <w:pPr>
        <w:pStyle w:val="Bullet"/>
      </w:pPr>
      <w:r>
        <w:t>Increasing contribution of the food and grocery sector to the Australian and New Zealand economies</w:t>
      </w:r>
    </w:p>
    <w:p w14:paraId="6767EA16" w14:textId="765A3E23" w:rsidR="00923BE4" w:rsidRDefault="009E1935" w:rsidP="00C207DC">
      <w:pPr>
        <w:pStyle w:val="Listnumbered"/>
        <w:ind w:left="284" w:hanging="284"/>
      </w:pPr>
      <w:r w:rsidRPr="00C207DC">
        <w:rPr>
          <w:rFonts w:asciiTheme="majorHAnsi" w:hAnsiTheme="majorHAnsi" w:cstheme="majorHAnsi"/>
        </w:rPr>
        <w:t>B</w:t>
      </w:r>
      <w:r w:rsidR="00923BE4" w:rsidRPr="00C207DC">
        <w:rPr>
          <w:rFonts w:asciiTheme="majorHAnsi" w:hAnsiTheme="majorHAnsi" w:cstheme="majorHAnsi"/>
        </w:rPr>
        <w:t>est use of coordinated regulatory efforts across Australian and New Zealand jurisdictions</w:t>
      </w:r>
      <w:r w:rsidR="00446315">
        <w:t xml:space="preserve">, indicated by: </w:t>
      </w:r>
    </w:p>
    <w:p w14:paraId="5EAC1B9B" w14:textId="08DBF193" w:rsidR="009A6F9D" w:rsidRDefault="009A6F9D" w:rsidP="00C207DC">
      <w:pPr>
        <w:pStyle w:val="Bullet"/>
      </w:pPr>
      <w:r>
        <w:t>Reduced spending on interpretive advice services</w:t>
      </w:r>
    </w:p>
    <w:p w14:paraId="42C0011F" w14:textId="1DCA192D" w:rsidR="00446315" w:rsidRPr="00A25785" w:rsidRDefault="009A6F9D" w:rsidP="00AC4449">
      <w:pPr>
        <w:pStyle w:val="Bullet"/>
      </w:pPr>
      <w:r>
        <w:t xml:space="preserve">Reduced time and costs associated with standards setting </w:t>
      </w:r>
      <w:proofErr w:type="gramStart"/>
      <w:r>
        <w:t>processes</w:t>
      </w:r>
      <w:proofErr w:type="gramEnd"/>
    </w:p>
    <w:p w14:paraId="188C4727" w14:textId="6AF9601D" w:rsidR="00923BE4" w:rsidRDefault="009E1935" w:rsidP="00C207DC">
      <w:pPr>
        <w:pStyle w:val="Listnumbered"/>
        <w:ind w:left="284" w:hanging="284"/>
      </w:pPr>
      <w:r w:rsidRPr="00C207DC">
        <w:rPr>
          <w:rFonts w:asciiTheme="majorHAnsi" w:hAnsiTheme="majorHAnsi" w:cstheme="majorHAnsi"/>
        </w:rPr>
        <w:t>E</w:t>
      </w:r>
      <w:r w:rsidR="00923BE4" w:rsidRPr="00C207DC">
        <w:rPr>
          <w:rFonts w:asciiTheme="majorHAnsi" w:hAnsiTheme="majorHAnsi" w:cstheme="majorHAnsi"/>
        </w:rPr>
        <w:t>nhanced influence by Australia and Zealand on global food policy issues, among other positive outcomes</w:t>
      </w:r>
      <w:r w:rsidR="00AC4449">
        <w:t>, indicated by:</w:t>
      </w:r>
    </w:p>
    <w:p w14:paraId="50107760" w14:textId="3E877DFA" w:rsidR="00AC4449" w:rsidRDefault="00AC4449" w:rsidP="00AC4449">
      <w:pPr>
        <w:pStyle w:val="Bullet"/>
      </w:pPr>
      <w:r w:rsidRPr="00AC4449">
        <w:t>Greater alignment of international food standards systems with the Australian and New Zealand regulation.</w:t>
      </w:r>
    </w:p>
    <w:p w14:paraId="589271FE" w14:textId="7BE91FDC" w:rsidR="00923BE4" w:rsidRDefault="00AC4449" w:rsidP="00923BE4">
      <w:pPr>
        <w:pStyle w:val="Bullet"/>
        <w:numPr>
          <w:ilvl w:val="0"/>
          <w:numId w:val="0"/>
        </w:numPr>
      </w:pPr>
      <w:r>
        <w:t xml:space="preserve">These objectives </w:t>
      </w:r>
      <w:r w:rsidR="00923BE4">
        <w:t xml:space="preserve">can be achieved through a focus on: </w:t>
      </w:r>
    </w:p>
    <w:p w14:paraId="052BFA6A" w14:textId="77777777" w:rsidR="00923BE4" w:rsidRDefault="00923BE4" w:rsidP="00923BE4">
      <w:pPr>
        <w:pStyle w:val="Bullet"/>
      </w:pPr>
      <w:r>
        <w:t>clarifying the purpose and objectives of FSANZ</w:t>
      </w:r>
    </w:p>
    <w:p w14:paraId="03325F85" w14:textId="77777777" w:rsidR="00923BE4" w:rsidRDefault="00923BE4" w:rsidP="00923BE4">
      <w:pPr>
        <w:pStyle w:val="Bullet"/>
      </w:pPr>
      <w:r>
        <w:t>reforming standard-setting</w:t>
      </w:r>
    </w:p>
    <w:p w14:paraId="3E872ED5" w14:textId="77777777" w:rsidR="00923BE4" w:rsidRDefault="00923BE4" w:rsidP="00923BE4">
      <w:pPr>
        <w:pStyle w:val="Bullet"/>
      </w:pPr>
      <w:r>
        <w:t>improving organisational efficiency and effectiveness</w:t>
      </w:r>
    </w:p>
    <w:p w14:paraId="631C8017" w14:textId="77777777" w:rsidR="00923BE4" w:rsidRPr="00196E9D" w:rsidRDefault="00923BE4" w:rsidP="00923BE4">
      <w:pPr>
        <w:pStyle w:val="Bullet"/>
      </w:pPr>
      <w:r>
        <w:t xml:space="preserve">improving system agility. </w:t>
      </w:r>
    </w:p>
    <w:p w14:paraId="576AD39C" w14:textId="77777777" w:rsidR="00923BE4" w:rsidRDefault="00923BE4" w:rsidP="00923BE4">
      <w:pPr>
        <w:pStyle w:val="Heading4"/>
      </w:pPr>
      <w:r>
        <w:t xml:space="preserve">There are known risks or constraints to Government achieving these </w:t>
      </w:r>
      <w:proofErr w:type="gramStart"/>
      <w:r>
        <w:t>outcomes</w:t>
      </w:r>
      <w:proofErr w:type="gramEnd"/>
    </w:p>
    <w:p w14:paraId="3844FF09" w14:textId="7A82B92E" w:rsidR="00923BE4" w:rsidRDefault="00923BE4" w:rsidP="00923BE4">
      <w:r w:rsidRPr="00FF46D9">
        <w:t xml:space="preserve">Successful implementation of the preferred option will require agreement, collaboration, and adequate resourcing across the food system. Its success will be constrained if these conditions are not met. </w:t>
      </w:r>
    </w:p>
    <w:p w14:paraId="5A42A63A" w14:textId="5FB3271E" w:rsidR="003D2941" w:rsidRPr="00FF46D9" w:rsidRDefault="003D2941" w:rsidP="00923BE4">
      <w:r>
        <w:rPr>
          <w:noProof/>
          <w:lang w:eastAsia="en-AU"/>
        </w:rPr>
        <w:drawing>
          <wp:inline distT="0" distB="0" distL="0" distR="0" wp14:anchorId="76F09711" wp14:editId="42E0830C">
            <wp:extent cx="5493303" cy="1011390"/>
            <wp:effectExtent l="0" t="0" r="0" b="0"/>
            <wp:docPr id="48" name="Picture 48" descr="P9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979#yI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3303" cy="1011390"/>
                    </a:xfrm>
                    <a:prstGeom prst="rect">
                      <a:avLst/>
                    </a:prstGeom>
                  </pic:spPr>
                </pic:pic>
              </a:graphicData>
            </a:graphic>
          </wp:inline>
        </w:drawing>
      </w:r>
    </w:p>
    <w:p w14:paraId="49F8BD4F" w14:textId="77777777" w:rsidR="00923BE4" w:rsidRPr="00FF46D9" w:rsidRDefault="00923BE4" w:rsidP="00923BE4">
      <w:pPr>
        <w:pStyle w:val="Heading5"/>
        <w:rPr>
          <w:color w:val="auto"/>
        </w:rPr>
      </w:pPr>
      <w:r w:rsidRPr="00FF46D9">
        <w:rPr>
          <w:color w:val="auto"/>
        </w:rPr>
        <w:t>Lack of stakeholder support</w:t>
      </w:r>
    </w:p>
    <w:p w14:paraId="66834CA6" w14:textId="77777777" w:rsidR="00923BE4" w:rsidRPr="00FF46D9" w:rsidRDefault="00923BE4" w:rsidP="00923BE4">
      <w:pPr>
        <w:rPr>
          <w:lang w:eastAsia="en-AU"/>
        </w:rPr>
      </w:pPr>
      <w:r w:rsidRPr="00FF46D9">
        <w:rPr>
          <w:lang w:eastAsia="en-AU"/>
        </w:rPr>
        <w:t xml:space="preserve">The Australian-New Zealand food system is comprised of an integrated network across all levels of government and industry. Stakeholder support across the system will be critical to enable reform. </w:t>
      </w:r>
    </w:p>
    <w:p w14:paraId="56206B0C" w14:textId="1293E6E6" w:rsidR="00923BE4" w:rsidRPr="00FF46D9" w:rsidRDefault="00923BE4" w:rsidP="00FD5626">
      <w:pPr>
        <w:pStyle w:val="Bullet"/>
        <w:spacing w:line="240" w:lineRule="auto"/>
      </w:pPr>
      <w:r w:rsidRPr="00FF46D9">
        <w:rPr>
          <w:rFonts w:asciiTheme="majorHAnsi" w:hAnsiTheme="majorHAnsi" w:cstheme="majorHAnsi"/>
        </w:rPr>
        <w:t>The Australian Government</w:t>
      </w:r>
      <w:r w:rsidRPr="00FF46D9">
        <w:t xml:space="preserve"> will be responsible for implementing legislative amendments and expanding </w:t>
      </w:r>
      <w:r w:rsidR="004E4D63">
        <w:t>FSANZ’</w:t>
      </w:r>
      <w:r w:rsidR="00281F72">
        <w:t>s</w:t>
      </w:r>
      <w:r w:rsidRPr="00FF46D9">
        <w:t xml:space="preserve"> budget (in partnership with the NZ Government) to </w:t>
      </w:r>
      <w:r w:rsidR="00421317">
        <w:t>support implementation of</w:t>
      </w:r>
      <w:r w:rsidRPr="00FF46D9">
        <w:t xml:space="preserve"> the preferred option.</w:t>
      </w:r>
    </w:p>
    <w:p w14:paraId="34B79708" w14:textId="77777777" w:rsidR="00923BE4" w:rsidRPr="00FF46D9" w:rsidRDefault="00923BE4" w:rsidP="00923BE4">
      <w:pPr>
        <w:pStyle w:val="Bullet"/>
      </w:pPr>
      <w:r w:rsidRPr="00FF46D9">
        <w:rPr>
          <w:rFonts w:asciiTheme="majorHAnsi" w:hAnsiTheme="majorHAnsi" w:cstheme="majorHAnsi"/>
        </w:rPr>
        <w:lastRenderedPageBreak/>
        <w:t>Australian State and Territory and the New Zealand Governments</w:t>
      </w:r>
      <w:r w:rsidRPr="00FF46D9">
        <w:t xml:space="preserve"> will continue to be responsible for enforcement. Their active participation will also be required for components of the preferred option that facilitate greater collaboration in the food system to be a success. </w:t>
      </w:r>
    </w:p>
    <w:p w14:paraId="0229E86C" w14:textId="77777777" w:rsidR="00923BE4" w:rsidRPr="00FF46D9" w:rsidRDefault="00923BE4" w:rsidP="00923BE4">
      <w:pPr>
        <w:pStyle w:val="Bullet"/>
      </w:pPr>
      <w:r w:rsidRPr="00FF46D9">
        <w:rPr>
          <w:rFonts w:asciiTheme="majorHAnsi" w:hAnsiTheme="majorHAnsi" w:cstheme="majorHAnsi"/>
        </w:rPr>
        <w:t>FSANZ</w:t>
      </w:r>
      <w:r w:rsidRPr="00FF46D9">
        <w:t xml:space="preserve"> will be responsible for the day-to-day implementation of </w:t>
      </w:r>
      <w:proofErr w:type="gramStart"/>
      <w:r w:rsidRPr="00FF46D9">
        <w:t>the majority of</w:t>
      </w:r>
      <w:proofErr w:type="gramEnd"/>
      <w:r w:rsidRPr="00FF46D9">
        <w:t xml:space="preserve"> reform options included in the preferred option, including operational changes to the process of assessing applications, pursuing greater collaboration opportunities, and stewarding additional datasets. </w:t>
      </w:r>
    </w:p>
    <w:p w14:paraId="1CC63AE6" w14:textId="12B62A81" w:rsidR="00923BE4" w:rsidRPr="00057FBC" w:rsidRDefault="00923BE4" w:rsidP="00923BE4">
      <w:pPr>
        <w:pStyle w:val="Bullet"/>
      </w:pPr>
      <w:r w:rsidRPr="00057FBC">
        <w:rPr>
          <w:rFonts w:asciiTheme="majorHAnsi" w:hAnsiTheme="majorHAnsi" w:cstheme="majorHAnsi"/>
        </w:rPr>
        <w:t>Industry</w:t>
      </w:r>
      <w:r w:rsidRPr="00057FBC">
        <w:t xml:space="preserve"> will be required to comply with any new requirements introduced under the preferred option and could disrupt its implementation through lobbying and public criticism if not supportive of the reforms. </w:t>
      </w:r>
    </w:p>
    <w:p w14:paraId="7BCE3DDB" w14:textId="77777777" w:rsidR="00923BE4" w:rsidRDefault="00923BE4" w:rsidP="00923BE4">
      <w:pPr>
        <w:pStyle w:val="Heading5"/>
        <w:rPr>
          <w:color w:val="auto"/>
        </w:rPr>
      </w:pPr>
      <w:r>
        <w:rPr>
          <w:color w:val="auto"/>
        </w:rPr>
        <w:t xml:space="preserve">Requirement to undertake additional, detailed work to bring policy ideas to </w:t>
      </w:r>
      <w:proofErr w:type="gramStart"/>
      <w:r>
        <w:rPr>
          <w:color w:val="auto"/>
        </w:rPr>
        <w:t>life</w:t>
      </w:r>
      <w:proofErr w:type="gramEnd"/>
    </w:p>
    <w:p w14:paraId="3227E329" w14:textId="7E896570" w:rsidR="00923BE4" w:rsidRPr="00853A68" w:rsidRDefault="00923BE4" w:rsidP="00923BE4">
      <w:pPr>
        <w:rPr>
          <w:lang w:eastAsia="en-AU"/>
        </w:rPr>
      </w:pPr>
      <w:proofErr w:type="gramStart"/>
      <w:r>
        <w:rPr>
          <w:lang w:eastAsia="en-AU"/>
        </w:rPr>
        <w:t>A number of</w:t>
      </w:r>
      <w:proofErr w:type="gramEnd"/>
      <w:r>
        <w:rPr>
          <w:lang w:eastAsia="en-AU"/>
        </w:rPr>
        <w:t xml:space="preserve"> significant policy opportunities are proposed in this IA, such as the development of a risk-framework to drive processes and decision-making. </w:t>
      </w:r>
      <w:r w:rsidR="006D55F3">
        <w:rPr>
          <w:lang w:eastAsia="en-AU"/>
        </w:rPr>
        <w:t xml:space="preserve">The development of an IA can seek agreement around the principles of such changes, but there is a significant body of additional work that must be done to develop the detail around how these reforms would be operationalised. </w:t>
      </w:r>
      <w:r w:rsidR="008E38B7">
        <w:rPr>
          <w:lang w:eastAsia="en-AU"/>
        </w:rPr>
        <w:t>While implementation considerations have been flagged in this document, there must be real commitment by Government to undertake this work – and consult broadly on it – to ensure that the detail is right</w:t>
      </w:r>
      <w:r>
        <w:rPr>
          <w:lang w:eastAsia="en-AU"/>
        </w:rPr>
        <w:t xml:space="preserve">. </w:t>
      </w:r>
    </w:p>
    <w:p w14:paraId="3F426540" w14:textId="77777777" w:rsidR="00923BE4" w:rsidRPr="00FF46D9" w:rsidRDefault="00923BE4" w:rsidP="00923BE4">
      <w:pPr>
        <w:pStyle w:val="Heading5"/>
        <w:rPr>
          <w:color w:val="auto"/>
        </w:rPr>
      </w:pPr>
      <w:r w:rsidRPr="00FF46D9">
        <w:rPr>
          <w:color w:val="auto"/>
        </w:rPr>
        <w:t xml:space="preserve">Insufficient resources </w:t>
      </w:r>
    </w:p>
    <w:p w14:paraId="71331B6B" w14:textId="46FDB0A8" w:rsidR="00923BE4" w:rsidRPr="00FF46D9" w:rsidRDefault="00923BE4" w:rsidP="00923BE4">
      <w:pPr>
        <w:rPr>
          <w:lang w:eastAsia="en-AU"/>
        </w:rPr>
      </w:pPr>
      <w:r w:rsidRPr="00FF46D9">
        <w:rPr>
          <w:lang w:eastAsia="en-AU"/>
        </w:rPr>
        <w:t xml:space="preserve">FSANZ must be adequately resourced to deliver on its current legislated responsibilities, in addition to any new functions proposed in the preferred option, to achieve the intended impact of </w:t>
      </w:r>
      <w:r w:rsidR="00DE65C9">
        <w:rPr>
          <w:lang w:eastAsia="en-AU"/>
        </w:rPr>
        <w:t>the</w:t>
      </w:r>
      <w:r w:rsidR="00807D3A">
        <w:rPr>
          <w:lang w:eastAsia="en-AU"/>
        </w:rPr>
        <w:t xml:space="preserve"> Review</w:t>
      </w:r>
      <w:r w:rsidRPr="00FF46D9">
        <w:rPr>
          <w:lang w:eastAsia="en-AU"/>
        </w:rPr>
        <w:t xml:space="preserve">. This includes the total operating budget needed to meet operating costs, and the capabilities among staff to deliver these responsibilities effectively. </w:t>
      </w:r>
    </w:p>
    <w:p w14:paraId="50AFC989" w14:textId="6F504788" w:rsidR="00923BE4" w:rsidRPr="002A1782" w:rsidRDefault="002A1782" w:rsidP="00923BE4">
      <w:pPr>
        <w:pStyle w:val="Heading1"/>
        <w:rPr>
          <w:color w:val="FFFFFF" w:themeColor="background1"/>
        </w:rPr>
      </w:pPr>
      <w:bookmarkStart w:id="49" w:name="_Ref156924816"/>
      <w:bookmarkStart w:id="50" w:name="_Toc157599126"/>
      <w:r w:rsidRPr="002A1782">
        <w:rPr>
          <w:noProof/>
          <w:color w:val="FFFFFF" w:themeColor="background1"/>
        </w:rPr>
        <w:lastRenderedPageBreak/>
        <w:drawing>
          <wp:anchor distT="0" distB="0" distL="114300" distR="114300" simplePos="0" relativeHeight="251658251" behindDoc="1" locked="0" layoutInCell="1" allowOverlap="1" wp14:anchorId="4C6D37DD" wp14:editId="3C304135">
            <wp:simplePos x="0" y="0"/>
            <wp:positionH relativeFrom="page">
              <wp:posOffset>-20955</wp:posOffset>
            </wp:positionH>
            <wp:positionV relativeFrom="paragraph">
              <wp:posOffset>-885825</wp:posOffset>
            </wp:positionV>
            <wp:extent cx="7581900" cy="12954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b="32669"/>
                    <a:stretch/>
                  </pic:blipFill>
                  <pic:spPr bwMode="auto">
                    <a:xfrm>
                      <a:off x="0" y="0"/>
                      <a:ext cx="75819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BE4" w:rsidRPr="002A1782">
        <w:rPr>
          <w:color w:val="FFFFFF" w:themeColor="background1"/>
        </w:rPr>
        <w:t>Options for reform</w:t>
      </w:r>
      <w:bookmarkEnd w:id="49"/>
      <w:bookmarkEnd w:id="50"/>
      <w:r w:rsidR="00923BE4" w:rsidRPr="002A1782">
        <w:rPr>
          <w:color w:val="FFFFFF" w:themeColor="background1"/>
        </w:rPr>
        <w:t xml:space="preserve"> </w:t>
      </w:r>
    </w:p>
    <w:tbl>
      <w:tblPr>
        <w:tblStyle w:val="NousLongformcallout"/>
        <w:tblW w:w="4950" w:type="pct"/>
        <w:shd w:val="clear" w:color="auto" w:fill="E6E6E1" w:themeFill="accent5"/>
        <w:tblCellMar>
          <w:top w:w="170" w:type="dxa"/>
          <w:bottom w:w="170" w:type="dxa"/>
        </w:tblCellMar>
        <w:tblLook w:val="04A0" w:firstRow="1" w:lastRow="0" w:firstColumn="1" w:lastColumn="0" w:noHBand="0" w:noVBand="1"/>
      </w:tblPr>
      <w:tblGrid>
        <w:gridCol w:w="8818"/>
      </w:tblGrid>
      <w:tr w:rsidR="00923BE4" w14:paraId="063EDBE1" w14:textId="77777777" w:rsidTr="004534D0">
        <w:tc>
          <w:tcPr>
            <w:tcW w:w="7285" w:type="dxa"/>
          </w:tcPr>
          <w:p w14:paraId="7E1BE6A6" w14:textId="1F83515D" w:rsidR="00DE68DC" w:rsidRPr="004534D0" w:rsidRDefault="0052625B" w:rsidP="0038458C">
            <w:r w:rsidRPr="004534D0">
              <w:rPr>
                <w:rFonts w:asciiTheme="majorHAnsi" w:hAnsiTheme="majorHAnsi" w:cstheme="majorHAnsi"/>
              </w:rPr>
              <w:t>Note:</w:t>
            </w:r>
            <w:r w:rsidRPr="004534D0">
              <w:t xml:space="preserve"> </w:t>
            </w:r>
            <w:r w:rsidR="00AB3BD2" w:rsidRPr="004534D0">
              <w:t xml:space="preserve">Options have been developed and iterated over time to reflect significant stakeholder input. A draft </w:t>
            </w:r>
            <w:r w:rsidR="00761771">
              <w:t>RIS</w:t>
            </w:r>
            <w:r w:rsidR="00AB3BD2" w:rsidRPr="004534D0">
              <w:t xml:space="preserve"> was published in 2021 which proposed three options for consideration, with advice that the components presented within each of those options could be ‘mixed and matched’ as required. Feedback from this process was taken on board and in November 2022, the FMM endorsed 27 concepts for further consideration, while specifically excluding others.</w:t>
            </w:r>
          </w:p>
          <w:p w14:paraId="6697D03B" w14:textId="7771ABE6" w:rsidR="00DE68DC" w:rsidRPr="004534D0" w:rsidRDefault="00DE68DC" w:rsidP="00DE68DC">
            <w:r w:rsidRPr="004534D0">
              <w:t>Compared to the Draft RIS, Option 1 remains broadly the same (in that it represents a ‘no change’ option), but Option 2 is substantially different</w:t>
            </w:r>
            <w:r w:rsidR="00581FD4" w:rsidRPr="004534D0">
              <w:t>.</w:t>
            </w:r>
          </w:p>
          <w:p w14:paraId="19416B40" w14:textId="017A3D1C" w:rsidR="00BB36A6" w:rsidRPr="004534D0" w:rsidRDefault="00DE68DC" w:rsidP="00581FD4">
            <w:r w:rsidRPr="004534D0">
              <w:t xml:space="preserve">Given the volume of consultation and refinements completed to date, a third option has not been included in this IA.  </w:t>
            </w:r>
            <w:r w:rsidR="000979E5">
              <w:t xml:space="preserve">For example, </w:t>
            </w:r>
            <w:r w:rsidR="000979E5">
              <w:rPr>
                <w:bCs/>
              </w:rPr>
              <w:t xml:space="preserve">this IA does not present a ‘null hypothesis’ option which proposes a scenario where FSANZ and a joint food standards regulatory system does not exist, as it was canvassed in earlier consultations and ruled fundamentally unviable.  </w:t>
            </w:r>
          </w:p>
          <w:p w14:paraId="75F048EC" w14:textId="3FAD564A" w:rsidR="007D209B" w:rsidRDefault="008E1C95" w:rsidP="007D209B">
            <w:pPr>
              <w:pStyle w:val="longformcalloutnumber"/>
              <w:numPr>
                <w:ilvl w:val="0"/>
                <w:numId w:val="0"/>
              </w:numPr>
              <w:rPr>
                <w:bCs/>
              </w:rPr>
            </w:pPr>
            <w:r>
              <w:rPr>
                <w:bCs/>
              </w:rPr>
              <w:t>F</w:t>
            </w:r>
            <w:r w:rsidR="00CC6569">
              <w:rPr>
                <w:bCs/>
              </w:rPr>
              <w:t>our key components of the regulatory framework</w:t>
            </w:r>
            <w:r>
              <w:rPr>
                <w:bCs/>
              </w:rPr>
              <w:t xml:space="preserve"> have been examined</w:t>
            </w:r>
            <w:r w:rsidR="00CC6569">
              <w:rPr>
                <w:bCs/>
              </w:rPr>
              <w:t xml:space="preserve">: purpose and objectives, standard setting, efficient and effective operations, and system agility. </w:t>
            </w:r>
            <w:r w:rsidR="007D209B">
              <w:rPr>
                <w:bCs/>
              </w:rPr>
              <w:t xml:space="preserve">Within each component, a series of ideas have been presented almost like a ‘menu’, and the purpose of the IA is to elicit feedback from stakeholders about what combination of initiatives (if any) would best reform the Act and FSANZ’s operations and deliver good outcomes. </w:t>
            </w:r>
          </w:p>
          <w:p w14:paraId="02D37BBE" w14:textId="793BC845" w:rsidR="00923BE4" w:rsidRPr="004534D0" w:rsidRDefault="007D209B" w:rsidP="008B6782">
            <w:r>
              <w:rPr>
                <w:bCs/>
              </w:rPr>
              <w:t>Feedback from consultation will be incorporated into a final version of the IA, which will set up Ministers across Australia and New Zealand to make decisions about the most appropriate course of action to modernise the Act and FSANZ’</w:t>
            </w:r>
            <w:r w:rsidR="00855ACF">
              <w:rPr>
                <w:bCs/>
              </w:rPr>
              <w:t>s</w:t>
            </w:r>
            <w:r>
              <w:rPr>
                <w:bCs/>
              </w:rPr>
              <w:t xml:space="preserve"> operations.</w:t>
            </w:r>
          </w:p>
        </w:tc>
      </w:tr>
    </w:tbl>
    <w:p w14:paraId="3485EE87" w14:textId="77777777" w:rsidR="00923BE4" w:rsidRPr="00D55CEC" w:rsidRDefault="00923BE4" w:rsidP="00923BE4">
      <w:pPr>
        <w:rPr>
          <w:lang w:eastAsia="en-AU"/>
        </w:rPr>
      </w:pPr>
    </w:p>
    <w:p w14:paraId="5012EC58" w14:textId="66DC89C2" w:rsidR="000F75F3" w:rsidRPr="00101FD6" w:rsidRDefault="004517BC" w:rsidP="00ED66B7">
      <w:r>
        <w:t xml:space="preserve">Two </w:t>
      </w:r>
      <w:r w:rsidR="00923BE4" w:rsidRPr="00101FD6">
        <w:t>reform options have been identified and developed as part of this IA</w:t>
      </w:r>
      <w:r w:rsidR="004534D0">
        <w:t>:</w:t>
      </w:r>
      <w:r w:rsidR="00302BD1" w:rsidRPr="00302BD1">
        <w:rPr>
          <w:noProof/>
        </w:rPr>
        <w:t xml:space="preserve"> </w:t>
      </w:r>
      <w:r w:rsidR="00ED66B7">
        <w:rPr>
          <w:noProof/>
          <w:lang w:eastAsia="en-AU"/>
        </w:rPr>
        <w:drawing>
          <wp:inline distT="0" distB="0" distL="0" distR="0" wp14:anchorId="23385303" wp14:editId="55696CEF">
            <wp:extent cx="5670000" cy="879290"/>
            <wp:effectExtent l="0" t="0" r="0" b="0"/>
            <wp:docPr id="85301712" name="Picture 85301712" descr="P9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1712" name="Picture 85301712" descr="P999#yIS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000" cy="879290"/>
                    </a:xfrm>
                    <a:prstGeom prst="rect">
                      <a:avLst/>
                    </a:prstGeom>
                    <a:noFill/>
                  </pic:spPr>
                </pic:pic>
              </a:graphicData>
            </a:graphic>
          </wp:inline>
        </w:drawing>
      </w:r>
    </w:p>
    <w:p w14:paraId="17895376" w14:textId="020A48FD" w:rsidR="00923BE4" w:rsidRPr="00101FD6" w:rsidRDefault="000F75F3" w:rsidP="00923BE4">
      <w:pPr>
        <w:pStyle w:val="Bullet"/>
      </w:pPr>
      <w:r w:rsidRPr="000F75F3">
        <w:rPr>
          <w:rFonts w:asciiTheme="majorHAnsi" w:hAnsiTheme="majorHAnsi" w:cstheme="majorHAnsi"/>
          <w:color w:val="F25E21" w:themeColor="accent2"/>
        </w:rPr>
        <w:t>OPTION</w:t>
      </w:r>
      <w:r w:rsidR="00923BE4" w:rsidRPr="000F75F3">
        <w:rPr>
          <w:rFonts w:asciiTheme="majorHAnsi" w:hAnsiTheme="majorHAnsi" w:cstheme="majorHAnsi"/>
          <w:color w:val="F25E21" w:themeColor="accent2"/>
        </w:rPr>
        <w:t xml:space="preserve"> 1 </w:t>
      </w:r>
      <w:r w:rsidR="00923BE4">
        <w:t>|</w:t>
      </w:r>
      <w:r w:rsidR="00923BE4" w:rsidRPr="00101FD6">
        <w:t xml:space="preserve"> </w:t>
      </w:r>
      <w:r w:rsidR="00923BE4">
        <w:rPr>
          <w:rFonts w:asciiTheme="majorHAnsi" w:hAnsiTheme="majorHAnsi" w:cstheme="majorHAnsi"/>
        </w:rPr>
        <w:t>R</w:t>
      </w:r>
      <w:r w:rsidR="00923BE4" w:rsidRPr="00101FD6">
        <w:rPr>
          <w:rFonts w:asciiTheme="majorHAnsi" w:hAnsiTheme="majorHAnsi" w:cstheme="majorHAnsi"/>
        </w:rPr>
        <w:t>etain the status quo.</w:t>
      </w:r>
      <w:r w:rsidR="00923BE4" w:rsidRPr="00101FD6">
        <w:t xml:space="preserve"> It proposes</w:t>
      </w:r>
      <w:r w:rsidR="004B01BB">
        <w:t xml:space="preserve"> that all current regulatory, </w:t>
      </w:r>
      <w:proofErr w:type="gramStart"/>
      <w:r w:rsidR="004B01BB">
        <w:t>operational</w:t>
      </w:r>
      <w:proofErr w:type="gramEnd"/>
      <w:r w:rsidR="004B01BB">
        <w:t xml:space="preserve"> and funding settings remain the same</w:t>
      </w:r>
      <w:r w:rsidR="003224C3">
        <w:t xml:space="preserve">. </w:t>
      </w:r>
    </w:p>
    <w:p w14:paraId="44EACE0F" w14:textId="707EBDE7" w:rsidR="00923BE4" w:rsidRPr="00771286" w:rsidRDefault="000F75F3" w:rsidP="00AE0BD3">
      <w:pPr>
        <w:pStyle w:val="Bullet"/>
        <w:spacing w:line="240" w:lineRule="auto"/>
        <w:rPr>
          <w:i/>
          <w:iCs/>
        </w:rPr>
      </w:pPr>
      <w:r w:rsidRPr="000F75F3">
        <w:rPr>
          <w:rFonts w:asciiTheme="majorHAnsi" w:hAnsiTheme="majorHAnsi" w:cstheme="majorHAnsi"/>
          <w:color w:val="F8981D" w:themeColor="accent3"/>
        </w:rPr>
        <w:t>OPTION</w:t>
      </w:r>
      <w:r w:rsidR="00923BE4" w:rsidRPr="000F75F3">
        <w:rPr>
          <w:rFonts w:asciiTheme="majorHAnsi" w:hAnsiTheme="majorHAnsi" w:cstheme="majorHAnsi"/>
          <w:color w:val="F8981D" w:themeColor="accent3"/>
        </w:rPr>
        <w:t xml:space="preserve"> 2</w:t>
      </w:r>
      <w:r w:rsidR="00923BE4" w:rsidRPr="000F75F3">
        <w:rPr>
          <w:color w:val="F8981D" w:themeColor="accent3"/>
        </w:rPr>
        <w:t xml:space="preserve"> </w:t>
      </w:r>
      <w:r w:rsidR="00923BE4">
        <w:t>|</w:t>
      </w:r>
      <w:r w:rsidR="00923BE4" w:rsidRPr="00101FD6">
        <w:t xml:space="preserve"> </w:t>
      </w:r>
      <w:r w:rsidR="00923BE4">
        <w:rPr>
          <w:rFonts w:asciiTheme="majorHAnsi" w:hAnsiTheme="majorHAnsi" w:cstheme="majorHAnsi"/>
        </w:rPr>
        <w:t>M</w:t>
      </w:r>
      <w:r w:rsidR="00923BE4" w:rsidRPr="00101FD6">
        <w:rPr>
          <w:rFonts w:asciiTheme="majorHAnsi" w:hAnsiTheme="majorHAnsi" w:cstheme="majorHAnsi"/>
        </w:rPr>
        <w:t>odernise regulatory settings.</w:t>
      </w:r>
      <w:r w:rsidR="00923BE4" w:rsidRPr="00101FD6">
        <w:t xml:space="preserve"> This option seeks to modernise the Act to make it agile, resilient and fit-for-purpose. This includes a regulatory framework premised on risk-proportionality, a clarified purpose and scope for FSANZ, and </w:t>
      </w:r>
      <w:r w:rsidR="007B7B30">
        <w:t xml:space="preserve">enabling more inclusive approaches to be developed to </w:t>
      </w:r>
      <w:r w:rsidR="00900B7F">
        <w:t>assess</w:t>
      </w:r>
      <w:r w:rsidR="00923BE4" w:rsidRPr="00101FD6">
        <w:t xml:space="preserve"> traditional foods. It also seeks to enhance FSANZ’</w:t>
      </w:r>
      <w:r w:rsidR="00855ACF">
        <w:t>s</w:t>
      </w:r>
      <w:r w:rsidR="00923BE4" w:rsidRPr="00101FD6">
        <w:t xml:space="preserve"> role </w:t>
      </w:r>
      <w:r w:rsidR="00923BE4">
        <w:t xml:space="preserve">to serve </w:t>
      </w:r>
      <w:r w:rsidR="00923BE4" w:rsidRPr="00101FD6">
        <w:t xml:space="preserve">as a data and intelligence-led regulator that is fully integrated with food system stakeholders, including industry. </w:t>
      </w:r>
      <w:r w:rsidR="004E4D63">
        <w:t>FSANZ’</w:t>
      </w:r>
      <w:r w:rsidR="00855ACF">
        <w:t>s</w:t>
      </w:r>
      <w:r w:rsidR="00923BE4">
        <w:t xml:space="preserve"> work would be</w:t>
      </w:r>
      <w:r w:rsidR="00923BE4" w:rsidRPr="00101FD6">
        <w:t xml:space="preserve"> supported through expanded cost </w:t>
      </w:r>
      <w:r w:rsidR="00923BE4" w:rsidRPr="00E43294">
        <w:t xml:space="preserve">recovery activities </w:t>
      </w:r>
      <w:r w:rsidR="00923BE4">
        <w:t xml:space="preserve">that apply to </w:t>
      </w:r>
      <w:r w:rsidR="00923BE4" w:rsidRPr="00E43294">
        <w:t xml:space="preserve">both industry and </w:t>
      </w:r>
      <w:r w:rsidR="00923BE4">
        <w:t>governments.</w:t>
      </w:r>
      <w:r w:rsidR="00923BE4" w:rsidRPr="00E43294">
        <w:t xml:space="preserve"> </w:t>
      </w:r>
    </w:p>
    <w:p w14:paraId="739E2699" w14:textId="77777777" w:rsidR="008636B8" w:rsidRDefault="008636B8" w:rsidP="008636B8">
      <w:r>
        <w:t>A</w:t>
      </w:r>
      <w:r w:rsidRPr="001F1EED">
        <w:t xml:space="preserve">n option to repeal the Act has not been put forward for consideration as part of this draft IA. </w:t>
      </w:r>
    </w:p>
    <w:p w14:paraId="153BB378" w14:textId="77777777" w:rsidR="008636B8" w:rsidRPr="001F1EED" w:rsidRDefault="008636B8" w:rsidP="008636B8">
      <w:r w:rsidRPr="001F1EED">
        <w:t xml:space="preserve">In lieu of having Australia and New Zealand specific food standards (and a standard-setting body), the </w:t>
      </w:r>
      <w:r w:rsidRPr="001F1EED">
        <w:rPr>
          <w:lang w:eastAsia="en-AU"/>
        </w:rPr>
        <w:t>joint food standards system</w:t>
      </w:r>
      <w:r w:rsidRPr="001F1EED">
        <w:t xml:space="preserve"> </w:t>
      </w:r>
      <w:r w:rsidRPr="001F1EED">
        <w:rPr>
          <w:i/>
          <w:iCs/>
        </w:rPr>
        <w:t xml:space="preserve">could </w:t>
      </w:r>
      <w:r w:rsidRPr="001F1EED">
        <w:t xml:space="preserve">promote food safety outcomes (and public health and safety more broadly) by routinely and automatically adopting food standards from other jurisdictions (e.g. Codex or other countries); relying on post-hoc penalties and sanctions to deter food businesses from engaging in conduct that compromises the safety of the food supply and/or leveraging other regulatory schemes (such as consumer law) to achieve objectives of food regulation. This would, however, have significant adverse impacts. For example, this would: </w:t>
      </w:r>
    </w:p>
    <w:p w14:paraId="2E60CE0C" w14:textId="77777777" w:rsidR="008636B8" w:rsidRPr="001F1EED" w:rsidRDefault="008636B8" w:rsidP="008636B8">
      <w:pPr>
        <w:pStyle w:val="Bullet"/>
      </w:pPr>
      <w:r>
        <w:lastRenderedPageBreak/>
        <w:t>U</w:t>
      </w:r>
      <w:r w:rsidRPr="001F1EED">
        <w:t>ndermine the ability to tailor food standards and the assessment process to the Australian and New Zealand context, including dietary patterns and industry practices relevant to Trans-Tasman system</w:t>
      </w:r>
      <w:r>
        <w:t>.</w:t>
      </w:r>
    </w:p>
    <w:p w14:paraId="52CD78D3" w14:textId="77777777" w:rsidR="008636B8" w:rsidRPr="001F1EED" w:rsidRDefault="008636B8" w:rsidP="008636B8">
      <w:pPr>
        <w:pStyle w:val="Bullet"/>
      </w:pPr>
      <w:r>
        <w:t>C</w:t>
      </w:r>
      <w:r w:rsidRPr="001F1EED">
        <w:t>ompromise the competitive advantage currently enjoyed by Australian and New Zealand food businesses given reputation of the Trans-Tasman system in regional and global markets</w:t>
      </w:r>
      <w:r>
        <w:t>.</w:t>
      </w:r>
    </w:p>
    <w:p w14:paraId="2FA12805" w14:textId="77777777" w:rsidR="008636B8" w:rsidRDefault="008636B8" w:rsidP="008636B8">
      <w:pPr>
        <w:pStyle w:val="Bullet"/>
      </w:pPr>
      <w:r>
        <w:t>E</w:t>
      </w:r>
      <w:r w:rsidRPr="001F1EED">
        <w:t>xacerbate system delays and reduce national sovereignty by placing Australia and New Zealand at the whim of developments in Codex standards and/or other jurisdictions (which would make it more difficult to progress important issues for the Trans-Tasman system in a timely manner</w:t>
      </w:r>
      <w:r>
        <w:t>).</w:t>
      </w:r>
    </w:p>
    <w:p w14:paraId="54891AD6" w14:textId="77777777" w:rsidR="008636B8" w:rsidRPr="001F1EED" w:rsidRDefault="008636B8" w:rsidP="008636B8">
      <w:pPr>
        <w:pStyle w:val="Bullet"/>
      </w:pPr>
      <w:r>
        <w:t>R</w:t>
      </w:r>
      <w:r w:rsidRPr="001F1EED">
        <w:t xml:space="preserve">ely more heavily on deterrence mechanisms to promote food safety (that is, sanctions of food businesses after non-compliance </w:t>
      </w:r>
      <w:proofErr w:type="gramStart"/>
      <w:r w:rsidRPr="001F1EED">
        <w:t>has</w:t>
      </w:r>
      <w:proofErr w:type="gramEnd"/>
      <w:r w:rsidRPr="001F1EED">
        <w:t xml:space="preserve"> occurred) and thereby reduce the ability to prevent food safety harms from occurring in the first instance. </w:t>
      </w:r>
    </w:p>
    <w:p w14:paraId="1C61EBC2" w14:textId="2D756203" w:rsidR="008636B8" w:rsidRPr="008636B8" w:rsidRDefault="008636B8" w:rsidP="008636B8">
      <w:r w:rsidRPr="001F1EED">
        <w:t>For these reasons, repealing the Act (and FSANZ) is not a tenable reform option. This has been universally acknowledged by stakeholders consulted to</w:t>
      </w:r>
      <w:r>
        <w:t xml:space="preserve"> </w:t>
      </w:r>
      <w:r w:rsidRPr="001F1EED">
        <w:t>date as part of this review</w:t>
      </w:r>
      <w:r w:rsidR="003560CE">
        <w:t>.</w:t>
      </w:r>
      <w:r w:rsidRPr="001F1EED">
        <w:rPr>
          <w:rStyle w:val="FootnoteReference"/>
        </w:rPr>
        <w:footnoteReference w:id="35"/>
      </w:r>
    </w:p>
    <w:p w14:paraId="3AA86216" w14:textId="7C42988D" w:rsidR="00AE0BD3" w:rsidRDefault="00AE0BD3">
      <w:pPr>
        <w:spacing w:after="165"/>
        <w:rPr>
          <w:rFonts w:eastAsia="Times New Roman" w:cs="Times New Roman"/>
          <w:i/>
          <w:iCs/>
          <w:szCs w:val="19"/>
          <w:lang w:eastAsia="en-AU"/>
        </w:rPr>
      </w:pPr>
      <w:r>
        <w:rPr>
          <w:i/>
          <w:iCs/>
        </w:rPr>
        <w:br w:type="page"/>
      </w:r>
    </w:p>
    <w:p w14:paraId="26BF6A77" w14:textId="15483F0F" w:rsidR="00870504" w:rsidRDefault="00E05FA9" w:rsidP="00923BE4">
      <w:r>
        <w:rPr>
          <w:noProof/>
          <w:lang w:eastAsia="en-AU"/>
        </w:rPr>
        <w:lastRenderedPageBreak/>
        <w:drawing>
          <wp:inline distT="0" distB="0" distL="0" distR="0" wp14:anchorId="30D09893" wp14:editId="3E18D05C">
            <wp:extent cx="5670000" cy="582204"/>
            <wp:effectExtent l="0" t="0" r="0" b="8890"/>
            <wp:docPr id="297082543" name="Picture 297082543" descr="P10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82543" name="Picture 297082543" descr="P1012#yIS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0000" cy="582204"/>
                    </a:xfrm>
                    <a:prstGeom prst="rect">
                      <a:avLst/>
                    </a:prstGeom>
                    <a:noFill/>
                  </pic:spPr>
                </pic:pic>
              </a:graphicData>
            </a:graphic>
          </wp:inline>
        </w:drawing>
      </w:r>
    </w:p>
    <w:p w14:paraId="08301761" w14:textId="720648F2" w:rsidR="00923BE4" w:rsidRDefault="00DC5282" w:rsidP="008F37E9">
      <w:pPr>
        <w:pStyle w:val="Heading2"/>
        <w:ind w:left="709" w:hanging="709"/>
      </w:pPr>
      <w:bookmarkStart w:id="51" w:name="_Toc157599127"/>
      <w:r w:rsidRPr="00206ACA">
        <w:rPr>
          <w:color w:val="F25E21" w:themeColor="accent2"/>
        </w:rPr>
        <w:t>O</w:t>
      </w:r>
      <w:r w:rsidR="00EB6CAB">
        <w:rPr>
          <w:color w:val="F25E21" w:themeColor="accent2"/>
        </w:rPr>
        <w:t>ption</w:t>
      </w:r>
      <w:r w:rsidR="00923BE4" w:rsidRPr="00DC5282">
        <w:rPr>
          <w:color w:val="F25E21" w:themeColor="accent2"/>
        </w:rPr>
        <w:t xml:space="preserve"> 1 </w:t>
      </w:r>
      <w:r w:rsidR="00923BE4">
        <w:t xml:space="preserve">| Retain the </w:t>
      </w:r>
      <w:proofErr w:type="gramStart"/>
      <w:r w:rsidR="00923BE4">
        <w:t>status quo</w:t>
      </w:r>
      <w:bookmarkEnd w:id="51"/>
      <w:proofErr w:type="gramEnd"/>
    </w:p>
    <w:p w14:paraId="1918FA68" w14:textId="64F4404F" w:rsidR="00510746" w:rsidRDefault="00510746" w:rsidP="00510746">
      <w:pPr>
        <w:pStyle w:val="RISNormal"/>
        <w:rPr>
          <w:rFonts w:asciiTheme="minorHAnsi" w:hAnsiTheme="minorHAnsi" w:cstheme="minorHAnsi"/>
          <w:sz w:val="19"/>
          <w:szCs w:val="19"/>
        </w:rPr>
      </w:pPr>
      <w:r>
        <w:rPr>
          <w:rFonts w:asciiTheme="minorHAnsi" w:hAnsiTheme="minorHAnsi" w:cstheme="minorHAnsi"/>
          <w:sz w:val="19"/>
          <w:szCs w:val="19"/>
        </w:rPr>
        <w:t xml:space="preserve">Option 1 would maintain the Act in its current form, </w:t>
      </w:r>
      <w:r w:rsidR="006D646D">
        <w:rPr>
          <w:rFonts w:asciiTheme="minorHAnsi" w:hAnsiTheme="minorHAnsi" w:cstheme="minorHAnsi"/>
          <w:sz w:val="19"/>
          <w:szCs w:val="19"/>
        </w:rPr>
        <w:t xml:space="preserve">with no changes to either the legislation or the way that FSANZ administers it. </w:t>
      </w:r>
      <w:r w:rsidR="00A9642A">
        <w:rPr>
          <w:rFonts w:asciiTheme="minorHAnsi" w:hAnsiTheme="minorHAnsi" w:cstheme="minorHAnsi"/>
          <w:sz w:val="19"/>
          <w:szCs w:val="19"/>
        </w:rPr>
        <w:t>This means:</w:t>
      </w:r>
    </w:p>
    <w:p w14:paraId="59963167" w14:textId="3AA917AA" w:rsidR="00B47005" w:rsidRDefault="004466D0" w:rsidP="00A9642A">
      <w:pPr>
        <w:pStyle w:val="Bullet"/>
      </w:pPr>
      <w:r>
        <w:t>m</w:t>
      </w:r>
      <w:r w:rsidR="009E15A6">
        <w:t xml:space="preserve">aintaining </w:t>
      </w:r>
      <w:r w:rsidR="008249C9">
        <w:t>t</w:t>
      </w:r>
      <w:r w:rsidR="00F23C85">
        <w:t xml:space="preserve">he current high thresholds </w:t>
      </w:r>
      <w:r w:rsidR="008249C9">
        <w:t xml:space="preserve">that food products must meet before being available in the Australian and New Zealand </w:t>
      </w:r>
      <w:proofErr w:type="gramStart"/>
      <w:r w:rsidR="008249C9">
        <w:t>markets</w:t>
      </w:r>
      <w:proofErr w:type="gramEnd"/>
    </w:p>
    <w:p w14:paraId="59995A27" w14:textId="4F76DAD1" w:rsidR="00A9642A" w:rsidRDefault="008249C9" w:rsidP="00A9642A">
      <w:pPr>
        <w:pStyle w:val="Bullet"/>
      </w:pPr>
      <w:r>
        <w:t xml:space="preserve">leaving </w:t>
      </w:r>
      <w:r w:rsidR="009E15A6">
        <w:t>in</w:t>
      </w:r>
      <w:r>
        <w:t xml:space="preserve"> </w:t>
      </w:r>
      <w:r w:rsidR="00A9642A">
        <w:t>inconsistent language around objectives and purpose, as currently set out in Section 3 and 18 of the Act</w:t>
      </w:r>
    </w:p>
    <w:p w14:paraId="14A2F54A" w14:textId="44DAE53D" w:rsidR="00A9642A" w:rsidRPr="005B174F" w:rsidRDefault="009E15A6" w:rsidP="00A9642A">
      <w:pPr>
        <w:pStyle w:val="Bullet"/>
      </w:pPr>
      <w:r>
        <w:t xml:space="preserve">retaining </w:t>
      </w:r>
      <w:r w:rsidR="000534DE">
        <w:t xml:space="preserve">existing procedures to amend food regulatory measures using </w:t>
      </w:r>
      <w:r w:rsidR="007D6D34">
        <w:rPr>
          <w:rFonts w:asciiTheme="minorHAnsi" w:hAnsiTheme="minorHAnsi" w:cstheme="minorHAnsi"/>
          <w:i/>
        </w:rPr>
        <w:t xml:space="preserve">minor, general, major, urgent, </w:t>
      </w:r>
      <w:r w:rsidR="007D6D34">
        <w:rPr>
          <w:rFonts w:asciiTheme="minorHAnsi" w:hAnsiTheme="minorHAnsi" w:cstheme="minorHAnsi"/>
        </w:rPr>
        <w:t xml:space="preserve">and </w:t>
      </w:r>
      <w:r w:rsidR="007D6D34">
        <w:rPr>
          <w:rFonts w:asciiTheme="minorHAnsi" w:hAnsiTheme="minorHAnsi" w:cstheme="minorHAnsi"/>
          <w:i/>
        </w:rPr>
        <w:t xml:space="preserve">high-level health claim </w:t>
      </w:r>
      <w:r w:rsidR="007D6D34" w:rsidRPr="007D6D34">
        <w:rPr>
          <w:rFonts w:asciiTheme="minorHAnsi" w:hAnsiTheme="minorHAnsi" w:cstheme="minorHAnsi"/>
          <w:iCs/>
        </w:rPr>
        <w:t>pathways</w:t>
      </w:r>
      <w:r w:rsidR="007B7009">
        <w:rPr>
          <w:rFonts w:asciiTheme="minorHAnsi" w:hAnsiTheme="minorHAnsi" w:cstheme="minorHAnsi"/>
          <w:iCs/>
        </w:rPr>
        <w:t xml:space="preserve"> as set out in Part 3 of the Act</w:t>
      </w:r>
    </w:p>
    <w:p w14:paraId="3BBB59AF" w14:textId="02F9E2B2" w:rsidR="005B174F" w:rsidRPr="008F2B76" w:rsidRDefault="004466D0" w:rsidP="00A9642A">
      <w:pPr>
        <w:pStyle w:val="Bullet"/>
      </w:pPr>
      <w:r>
        <w:rPr>
          <w:rFonts w:asciiTheme="minorHAnsi" w:hAnsiTheme="minorHAnsi" w:cstheme="minorHAnsi"/>
          <w:iCs/>
        </w:rPr>
        <w:t>protecting the</w:t>
      </w:r>
      <w:r w:rsidR="005B174F">
        <w:rPr>
          <w:rFonts w:asciiTheme="minorHAnsi" w:hAnsiTheme="minorHAnsi" w:cstheme="minorHAnsi"/>
          <w:iCs/>
        </w:rPr>
        <w:t xml:space="preserve"> representative </w:t>
      </w:r>
      <w:r>
        <w:rPr>
          <w:rFonts w:asciiTheme="minorHAnsi" w:hAnsiTheme="minorHAnsi" w:cstheme="minorHAnsi"/>
          <w:iCs/>
        </w:rPr>
        <w:t xml:space="preserve">nature of the </w:t>
      </w:r>
      <w:r w:rsidR="005B174F">
        <w:rPr>
          <w:rFonts w:asciiTheme="minorHAnsi" w:hAnsiTheme="minorHAnsi" w:cstheme="minorHAnsi"/>
          <w:iCs/>
        </w:rPr>
        <w:t xml:space="preserve">board and current approaches to sources </w:t>
      </w:r>
      <w:r w:rsidR="001A214D">
        <w:rPr>
          <w:rFonts w:asciiTheme="minorHAnsi" w:hAnsiTheme="minorHAnsi" w:cstheme="minorHAnsi"/>
          <w:iCs/>
        </w:rPr>
        <w:t>nominations</w:t>
      </w:r>
      <w:r w:rsidR="005B174F">
        <w:rPr>
          <w:rFonts w:asciiTheme="minorHAnsi" w:hAnsiTheme="minorHAnsi" w:cstheme="minorHAnsi"/>
          <w:iCs/>
        </w:rPr>
        <w:t xml:space="preserve"> and appointments, as per </w:t>
      </w:r>
      <w:r w:rsidR="001A214D">
        <w:rPr>
          <w:rFonts w:asciiTheme="minorHAnsi" w:hAnsiTheme="minorHAnsi" w:cstheme="minorHAnsi"/>
          <w:iCs/>
        </w:rPr>
        <w:t>Division 1</w:t>
      </w:r>
    </w:p>
    <w:p w14:paraId="1A38FB67" w14:textId="6BC26CD3" w:rsidR="008F2B76" w:rsidRPr="008F2B76" w:rsidRDefault="004466D0" w:rsidP="00A9642A">
      <w:pPr>
        <w:pStyle w:val="Bullet"/>
      </w:pPr>
      <w:r>
        <w:rPr>
          <w:rFonts w:asciiTheme="minorHAnsi" w:hAnsiTheme="minorHAnsi" w:cstheme="minorHAnsi"/>
          <w:iCs/>
        </w:rPr>
        <w:t xml:space="preserve">leveraging existing </w:t>
      </w:r>
      <w:r w:rsidR="002E2BC5">
        <w:rPr>
          <w:rFonts w:asciiTheme="minorHAnsi" w:hAnsiTheme="minorHAnsi" w:cstheme="minorHAnsi"/>
          <w:iCs/>
        </w:rPr>
        <w:t>l</w:t>
      </w:r>
      <w:r w:rsidR="008F2B76">
        <w:rPr>
          <w:rFonts w:asciiTheme="minorHAnsi" w:hAnsiTheme="minorHAnsi" w:cstheme="minorHAnsi"/>
          <w:iCs/>
        </w:rPr>
        <w:t>imited cost recovery arrangements</w:t>
      </w:r>
    </w:p>
    <w:p w14:paraId="366FE742" w14:textId="706C1497" w:rsidR="00326332" w:rsidRPr="004466D0" w:rsidRDefault="004466D0" w:rsidP="00923BE4">
      <w:pPr>
        <w:pStyle w:val="Bullet"/>
      </w:pPr>
      <w:r>
        <w:rPr>
          <w:rFonts w:asciiTheme="minorHAnsi" w:hAnsiTheme="minorHAnsi" w:cstheme="minorHAnsi"/>
          <w:iCs/>
        </w:rPr>
        <w:t xml:space="preserve">perpetuating </w:t>
      </w:r>
      <w:r w:rsidR="00C676FC">
        <w:rPr>
          <w:rFonts w:asciiTheme="minorHAnsi" w:hAnsiTheme="minorHAnsi" w:cstheme="minorHAnsi"/>
          <w:iCs/>
        </w:rPr>
        <w:t>ongoing shortfalls in operational budgets</w:t>
      </w:r>
      <w:r>
        <w:rPr>
          <w:rFonts w:asciiTheme="minorHAnsi" w:hAnsiTheme="minorHAnsi" w:cstheme="minorHAnsi"/>
          <w:iCs/>
        </w:rPr>
        <w:t>.</w:t>
      </w:r>
    </w:p>
    <w:p w14:paraId="269892F8" w14:textId="77777777" w:rsidR="00716570" w:rsidRDefault="00716570" w:rsidP="00923BE4">
      <w:pPr>
        <w:pStyle w:val="RISNormal"/>
        <w:rPr>
          <w:rFonts w:asciiTheme="minorHAnsi" w:hAnsiTheme="minorHAnsi" w:cstheme="minorHAnsi"/>
          <w:sz w:val="19"/>
          <w:szCs w:val="19"/>
        </w:rPr>
      </w:pPr>
    </w:p>
    <w:p w14:paraId="494EE4BE" w14:textId="38E1DB55" w:rsidR="004B656D" w:rsidRDefault="004B656D" w:rsidP="00923BE4">
      <w:pPr>
        <w:pStyle w:val="RISNormal"/>
        <w:rPr>
          <w:rFonts w:asciiTheme="minorHAnsi" w:hAnsiTheme="minorHAnsi" w:cstheme="minorHAnsi"/>
          <w:sz w:val="19"/>
          <w:szCs w:val="19"/>
        </w:rPr>
        <w:sectPr w:rsidR="004B656D" w:rsidSect="008E5F5B">
          <w:pgSz w:w="11907" w:h="16839" w:code="9"/>
          <w:pgMar w:top="1418" w:right="1418" w:bottom="1418" w:left="1559" w:header="720" w:footer="720" w:gutter="0"/>
          <w:cols w:space="720"/>
          <w:titlePg/>
          <w:docGrid w:linePitch="360"/>
        </w:sectPr>
      </w:pPr>
    </w:p>
    <w:p w14:paraId="3DC62BC3" w14:textId="4BA80BCB" w:rsidR="00923BE4" w:rsidRPr="001240DD" w:rsidRDefault="00771286" w:rsidP="008F37E9">
      <w:pPr>
        <w:pStyle w:val="Heading2"/>
        <w:ind w:left="851" w:hanging="851"/>
      </w:pPr>
      <w:bookmarkStart w:id="52" w:name="_Toc157599128"/>
      <w:r>
        <w:rPr>
          <w:rFonts w:asciiTheme="minorHAnsi" w:hAnsiTheme="minorHAnsi" w:cstheme="minorHAnsi"/>
          <w:noProof/>
          <w:sz w:val="19"/>
        </w:rPr>
        <w:lastRenderedPageBreak/>
        <w:drawing>
          <wp:anchor distT="0" distB="0" distL="114300" distR="114300" simplePos="0" relativeHeight="251658252" behindDoc="1" locked="0" layoutInCell="1" allowOverlap="1" wp14:anchorId="2C9E2D3B" wp14:editId="67D41B92">
            <wp:simplePos x="0" y="0"/>
            <wp:positionH relativeFrom="column">
              <wp:posOffset>-635</wp:posOffset>
            </wp:positionH>
            <wp:positionV relativeFrom="paragraph">
              <wp:posOffset>-464835</wp:posOffset>
            </wp:positionV>
            <wp:extent cx="5670000" cy="583394"/>
            <wp:effectExtent l="0" t="0" r="0" b="7620"/>
            <wp:wrapNone/>
            <wp:docPr id="273864664" name="Picture 273864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64664" name="Picture 273864664">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0000" cy="583394"/>
                    </a:xfrm>
                    <a:prstGeom prst="rect">
                      <a:avLst/>
                    </a:prstGeom>
                    <a:noFill/>
                  </pic:spPr>
                </pic:pic>
              </a:graphicData>
            </a:graphic>
          </wp:anchor>
        </w:drawing>
      </w:r>
      <w:r w:rsidR="00DC5282" w:rsidRPr="00206ACA">
        <w:rPr>
          <w:color w:val="F8981D" w:themeColor="accent3"/>
        </w:rPr>
        <w:t>O</w:t>
      </w:r>
      <w:r w:rsidR="00EB6CAB">
        <w:rPr>
          <w:color w:val="F8981D" w:themeColor="accent3"/>
        </w:rPr>
        <w:t>ption</w:t>
      </w:r>
      <w:r w:rsidR="00923BE4" w:rsidRPr="00DC5282">
        <w:rPr>
          <w:color w:val="F8981D" w:themeColor="accent3"/>
        </w:rPr>
        <w:t xml:space="preserve"> 2 </w:t>
      </w:r>
      <w:r w:rsidR="00923BE4" w:rsidRPr="001240DD">
        <w:t xml:space="preserve">| Modernise regulatory </w:t>
      </w:r>
      <w:proofErr w:type="gramStart"/>
      <w:r w:rsidR="00923BE4" w:rsidRPr="001240DD">
        <w:t>settings</w:t>
      </w:r>
      <w:bookmarkEnd w:id="52"/>
      <w:proofErr w:type="gramEnd"/>
    </w:p>
    <w:p w14:paraId="24F12839" w14:textId="40637934" w:rsidR="0020231A" w:rsidRDefault="00923BE4" w:rsidP="0020231A">
      <w:r w:rsidRPr="001240DD">
        <w:rPr>
          <w:rFonts w:asciiTheme="minorHAnsi" w:hAnsiTheme="minorHAnsi" w:cstheme="minorHAnsi"/>
        </w:rPr>
        <w:t xml:space="preserve">This option seeks to modernise the Act to make it agile, resilient and fit-for-purpose. </w:t>
      </w:r>
      <w:r>
        <w:t xml:space="preserve">The components that comprise </w:t>
      </w:r>
      <w:r w:rsidR="0008457F">
        <w:t>O</w:t>
      </w:r>
      <w:r>
        <w:t xml:space="preserve">ption </w:t>
      </w:r>
      <w:r w:rsidR="00DE4239">
        <w:t>2</w:t>
      </w:r>
      <w:r>
        <w:t xml:space="preserve"> are outlined in brief in </w:t>
      </w:r>
      <w:r w:rsidRPr="00E6536D">
        <w:rPr>
          <w:rFonts w:asciiTheme="minorHAnsi" w:hAnsiTheme="minorHAnsi" w:cstheme="minorHAnsi"/>
        </w:rPr>
        <w:fldChar w:fldCharType="begin"/>
      </w:r>
      <w:r w:rsidRPr="00E6536D">
        <w:rPr>
          <w:rFonts w:asciiTheme="minorHAnsi" w:hAnsiTheme="minorHAnsi" w:cstheme="minorHAnsi"/>
        </w:rPr>
        <w:instrText xml:space="preserve"> REF _Ref139534938 \h </w:instrText>
      </w:r>
      <w:r w:rsidR="003A1CBE" w:rsidRPr="00E6536D">
        <w:rPr>
          <w:rFonts w:asciiTheme="minorHAnsi" w:hAnsiTheme="minorHAnsi" w:cstheme="minorHAnsi"/>
        </w:rPr>
        <w:instrText xml:space="preserve"> \* MERGEFORMAT </w:instrText>
      </w:r>
      <w:r w:rsidRPr="00E6536D">
        <w:rPr>
          <w:rFonts w:asciiTheme="minorHAnsi" w:hAnsiTheme="minorHAnsi" w:cstheme="minorHAnsi"/>
        </w:rPr>
      </w:r>
      <w:r w:rsidRPr="00E6536D">
        <w:rPr>
          <w:rFonts w:asciiTheme="minorHAnsi" w:hAnsiTheme="minorHAnsi" w:cstheme="minorHAnsi"/>
        </w:rPr>
        <w:fldChar w:fldCharType="separate"/>
      </w:r>
      <w:r w:rsidR="003F7B92" w:rsidRPr="003F7B92">
        <w:rPr>
          <w:rFonts w:asciiTheme="minorHAnsi" w:hAnsiTheme="minorHAnsi" w:cstheme="minorHAnsi"/>
        </w:rPr>
        <w:t xml:space="preserve">Table </w:t>
      </w:r>
      <w:r w:rsidR="003F7B92" w:rsidRPr="003F7B92">
        <w:rPr>
          <w:rFonts w:asciiTheme="minorHAnsi" w:hAnsiTheme="minorHAnsi" w:cstheme="minorHAnsi"/>
          <w:noProof/>
        </w:rPr>
        <w:t>9</w:t>
      </w:r>
      <w:r w:rsidRPr="00E6536D">
        <w:rPr>
          <w:rFonts w:asciiTheme="minorHAnsi" w:hAnsiTheme="minorHAnsi" w:cstheme="minorHAnsi"/>
        </w:rPr>
        <w:fldChar w:fldCharType="end"/>
      </w:r>
      <w:r w:rsidRPr="00E6536D">
        <w:rPr>
          <w:rFonts w:asciiTheme="minorHAnsi" w:hAnsiTheme="minorHAnsi" w:cstheme="minorHAnsi"/>
        </w:rPr>
        <w:t>.</w:t>
      </w:r>
      <w:r w:rsidR="0020231A">
        <w:t xml:space="preserve"> </w:t>
      </w:r>
      <w:proofErr w:type="gramStart"/>
      <w:r w:rsidR="008A5ED4">
        <w:t>For the purpose of</w:t>
      </w:r>
      <w:proofErr w:type="gramEnd"/>
      <w:r w:rsidR="008A5ED4">
        <w:t xml:space="preserve"> </w:t>
      </w:r>
      <w:r w:rsidR="00183E74">
        <w:t xml:space="preserve">undertaking an initial assessment of each option, an assumption has been made that all initiatives set out in components and subcomponents could be implemented in full. </w:t>
      </w:r>
      <w:r w:rsidR="00336B90">
        <w:t xml:space="preserve">However, </w:t>
      </w:r>
      <w:r w:rsidR="0020231A">
        <w:t xml:space="preserve">the </w:t>
      </w:r>
      <w:r w:rsidR="0020231A" w:rsidRPr="0020231A">
        <w:t xml:space="preserve">purpose of consultation is to tease out which ideas meaningfully contribute to desired outcomes, so this option can be further nuanced. </w:t>
      </w:r>
      <w:r w:rsidR="00D56154">
        <w:t xml:space="preserve">Detailed consultation questions are presented at the end of each component section. </w:t>
      </w:r>
    </w:p>
    <w:p w14:paraId="24E773B9" w14:textId="4DE27EF8" w:rsidR="00452BDE" w:rsidRPr="00452BDE" w:rsidRDefault="00923BE4" w:rsidP="00452BDE">
      <w:pPr>
        <w:rPr>
          <w:rFonts w:asciiTheme="majorHAnsi" w:hAnsiTheme="majorHAnsi" w:cstheme="majorHAnsi"/>
        </w:rPr>
      </w:pPr>
      <w:bookmarkStart w:id="53" w:name="_Ref139534938"/>
      <w:r w:rsidRPr="008F37E9">
        <w:rPr>
          <w:rFonts w:asciiTheme="majorHAnsi" w:hAnsiTheme="majorHAnsi" w:cstheme="majorHAnsi"/>
        </w:rPr>
        <w:t xml:space="preserve">Table </w:t>
      </w:r>
      <w:r w:rsidRPr="008F37E9">
        <w:rPr>
          <w:rFonts w:asciiTheme="majorHAnsi" w:hAnsiTheme="majorHAnsi" w:cstheme="majorHAnsi"/>
        </w:rPr>
        <w:fldChar w:fldCharType="begin"/>
      </w:r>
      <w:r w:rsidRPr="008F37E9">
        <w:rPr>
          <w:rFonts w:asciiTheme="majorHAnsi" w:hAnsiTheme="majorHAnsi" w:cstheme="majorHAnsi"/>
        </w:rPr>
        <w:instrText xml:space="preserve"> SEQ Table \* ARABIC </w:instrText>
      </w:r>
      <w:r w:rsidRPr="008F37E9">
        <w:rPr>
          <w:rFonts w:asciiTheme="majorHAnsi" w:hAnsiTheme="majorHAnsi" w:cstheme="majorHAnsi"/>
        </w:rPr>
        <w:fldChar w:fldCharType="separate"/>
      </w:r>
      <w:r w:rsidR="003F7B92">
        <w:rPr>
          <w:rFonts w:asciiTheme="majorHAnsi" w:hAnsiTheme="majorHAnsi" w:cstheme="majorHAnsi"/>
          <w:noProof/>
        </w:rPr>
        <w:t>9</w:t>
      </w:r>
      <w:r w:rsidRPr="008F37E9">
        <w:rPr>
          <w:rFonts w:asciiTheme="majorHAnsi" w:hAnsiTheme="majorHAnsi" w:cstheme="majorHAnsi"/>
        </w:rPr>
        <w:fldChar w:fldCharType="end"/>
      </w:r>
      <w:bookmarkEnd w:id="53"/>
      <w:r w:rsidRPr="008F37E9">
        <w:rPr>
          <w:rFonts w:asciiTheme="majorHAnsi" w:hAnsiTheme="majorHAnsi" w:cstheme="majorHAnsi"/>
        </w:rPr>
        <w:t xml:space="preserve"> | Components of Option 2</w:t>
      </w:r>
    </w:p>
    <w:tbl>
      <w:tblPr>
        <w:tblStyle w:val="NOUSSideHeader16"/>
        <w:tblW w:w="5000" w:type="pct"/>
        <w:tblCellMar>
          <w:top w:w="28" w:type="dxa"/>
          <w:left w:w="57" w:type="dxa"/>
          <w:bottom w:w="28" w:type="dxa"/>
          <w:right w:w="57" w:type="dxa"/>
        </w:tblCellMar>
        <w:tblLook w:val="0600" w:firstRow="0" w:lastRow="0" w:firstColumn="0" w:lastColumn="0" w:noHBand="1" w:noVBand="1"/>
      </w:tblPr>
      <w:tblGrid>
        <w:gridCol w:w="1172"/>
        <w:gridCol w:w="6931"/>
        <w:gridCol w:w="827"/>
      </w:tblGrid>
      <w:tr w:rsidR="00452BDE" w:rsidRPr="00452BDE" w14:paraId="5D038598" w14:textId="77777777" w:rsidTr="00452BDE">
        <w:trPr>
          <w:trHeight w:val="491"/>
          <w:tblHeader/>
        </w:trPr>
        <w:tc>
          <w:tcPr>
            <w:tcW w:w="656" w:type="pct"/>
            <w:shd w:val="clear" w:color="auto" w:fill="00264D" w:themeFill="background2"/>
            <w:vAlign w:val="top"/>
          </w:tcPr>
          <w:p w14:paraId="5E4F528D" w14:textId="77777777" w:rsidR="00452BDE" w:rsidRPr="00452BDE" w:rsidRDefault="00452BDE" w:rsidP="00452BDE">
            <w:pPr>
              <w:rPr>
                <w:lang w:eastAsia="en-AU"/>
              </w:rPr>
            </w:pPr>
            <w:r w:rsidRPr="00452BDE">
              <w:rPr>
                <w:lang w:eastAsia="en-AU"/>
              </w:rPr>
              <w:t>Theme</w:t>
            </w:r>
          </w:p>
        </w:tc>
        <w:tc>
          <w:tcPr>
            <w:tcW w:w="3881" w:type="pct"/>
            <w:shd w:val="clear" w:color="auto" w:fill="00264D" w:themeFill="background2"/>
            <w:vAlign w:val="top"/>
          </w:tcPr>
          <w:p w14:paraId="4F0FBF3B" w14:textId="77777777" w:rsidR="00452BDE" w:rsidRPr="00452BDE" w:rsidRDefault="00452BDE" w:rsidP="00452BDE">
            <w:pPr>
              <w:rPr>
                <w:lang w:eastAsia="en-AU"/>
              </w:rPr>
            </w:pPr>
            <w:r w:rsidRPr="00452BDE">
              <w:rPr>
                <w:rFonts w:asciiTheme="majorHAnsi" w:hAnsiTheme="majorHAnsi" w:cstheme="majorHAnsi"/>
                <w:color w:val="F8981D" w:themeColor="accent3"/>
                <w:lang w:eastAsia="en-AU"/>
              </w:rPr>
              <w:t>OPTION 2</w:t>
            </w:r>
            <w:r w:rsidRPr="00452BDE">
              <w:rPr>
                <w:color w:val="F8981D" w:themeColor="accent3"/>
                <w:lang w:eastAsia="en-AU"/>
              </w:rPr>
              <w:t xml:space="preserve"> </w:t>
            </w:r>
            <w:r w:rsidRPr="00452BDE">
              <w:rPr>
                <w:lang w:eastAsia="en-AU"/>
              </w:rPr>
              <w:t>| Modernise regulatory settings</w:t>
            </w:r>
          </w:p>
        </w:tc>
        <w:tc>
          <w:tcPr>
            <w:tcW w:w="463" w:type="pct"/>
            <w:tcBorders>
              <w:bottom w:val="single" w:sz="8" w:space="0" w:color="E6E6E1" w:themeColor="accent5"/>
            </w:tcBorders>
            <w:shd w:val="clear" w:color="auto" w:fill="00264D" w:themeFill="background2"/>
            <w:vAlign w:val="top"/>
          </w:tcPr>
          <w:p w14:paraId="2A28098F" w14:textId="77777777" w:rsidR="00452BDE" w:rsidRPr="00452BDE" w:rsidRDefault="00452BDE" w:rsidP="00452BDE">
            <w:pPr>
              <w:rPr>
                <w:lang w:eastAsia="en-AU"/>
              </w:rPr>
            </w:pPr>
            <w:r w:rsidRPr="00452BDE">
              <w:rPr>
                <w:lang w:eastAsia="en-AU"/>
              </w:rPr>
              <w:t>Nature of change</w:t>
            </w:r>
          </w:p>
        </w:tc>
      </w:tr>
      <w:tr w:rsidR="00452BDE" w:rsidRPr="00452BDE" w14:paraId="336FEE99" w14:textId="77777777" w:rsidTr="00452BDE">
        <w:trPr>
          <w:trHeight w:val="1587"/>
        </w:trPr>
        <w:tc>
          <w:tcPr>
            <w:tcW w:w="656" w:type="pct"/>
            <w:vMerge w:val="restart"/>
            <w:vAlign w:val="top"/>
          </w:tcPr>
          <w:p w14:paraId="6B28FF78" w14:textId="77777777" w:rsidR="00452BDE" w:rsidRPr="00452BDE" w:rsidRDefault="00452BDE" w:rsidP="00452BDE">
            <w:pPr>
              <w:rPr>
                <w:rFonts w:asciiTheme="majorHAnsi" w:hAnsiTheme="majorHAnsi" w:cstheme="majorHAnsi"/>
                <w:sz w:val="17"/>
                <w:szCs w:val="17"/>
                <w:lang w:eastAsia="en-AU"/>
              </w:rPr>
            </w:pPr>
            <w:r w:rsidRPr="00452BDE">
              <w:rPr>
                <w:rFonts w:asciiTheme="majorHAnsi" w:hAnsiTheme="majorHAnsi" w:cstheme="majorHAnsi"/>
                <w:sz w:val="17"/>
                <w:szCs w:val="17"/>
                <w:lang w:eastAsia="en-AU"/>
              </w:rPr>
              <w:t>Component 1 | Purpose and objectives of FSANZ</w:t>
            </w:r>
          </w:p>
        </w:tc>
        <w:tc>
          <w:tcPr>
            <w:tcW w:w="3881" w:type="pct"/>
            <w:shd w:val="clear" w:color="auto" w:fill="F2F2F2" w:themeFill="background1" w:themeFillShade="F2"/>
            <w:vAlign w:val="top"/>
          </w:tcPr>
          <w:p w14:paraId="331CB828"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The definition of ‘protection of public health and safety’ within the Act could be clarified to be in line with the current policy guidance.</w:t>
            </w:r>
          </w:p>
          <w:p w14:paraId="23CC69C1" w14:textId="77777777" w:rsidR="00F80D5E" w:rsidRPr="00F80D5E" w:rsidRDefault="00F80D5E" w:rsidP="00313A20">
            <w:pPr>
              <w:pStyle w:val="ListParagraph"/>
              <w:numPr>
                <w:ilvl w:val="0"/>
                <w:numId w:val="39"/>
              </w:numPr>
              <w:rPr>
                <w:rFonts w:eastAsia="Times New Roman" w:cs="Times New Roman"/>
                <w:sz w:val="17"/>
                <w:szCs w:val="17"/>
                <w:lang w:eastAsia="en-AU"/>
              </w:rPr>
            </w:pPr>
            <w:r w:rsidRPr="00F80D5E">
              <w:rPr>
                <w:rFonts w:eastAsia="Times New Roman" w:cs="Times New Roman"/>
                <w:sz w:val="17"/>
                <w:szCs w:val="17"/>
                <w:lang w:eastAsia="en-AU"/>
              </w:rPr>
              <w:t>Sections 3 and 18 of the Act could be amended and aligned to give a definition of 'protecting public health and safety' that encapsulates both acute and long-term health elements.</w:t>
            </w:r>
          </w:p>
          <w:p w14:paraId="5842F6E2" w14:textId="77777777" w:rsidR="00452BDE" w:rsidRPr="00452BDE" w:rsidRDefault="00452BDE" w:rsidP="00313A20">
            <w:pPr>
              <w:pStyle w:val="ListParagraph"/>
              <w:numPr>
                <w:ilvl w:val="0"/>
                <w:numId w:val="39"/>
              </w:numPr>
              <w:suppressAutoHyphens/>
              <w:rPr>
                <w:rFonts w:eastAsia="Times New Roman" w:cs="Times New Roman"/>
                <w:sz w:val="17"/>
                <w:szCs w:val="17"/>
                <w:lang w:eastAsia="en-AU"/>
              </w:rPr>
            </w:pPr>
            <w:r w:rsidRPr="00452BDE">
              <w:rPr>
                <w:rFonts w:eastAsia="Times New Roman" w:cs="Times New Roman"/>
                <w:sz w:val="17"/>
                <w:szCs w:val="17"/>
                <w:lang w:eastAsia="en-AU"/>
              </w:rPr>
              <w:t>The Act could be further clarified by making language in the legislation consistent across all documents of the bi-national food regulation system.</w:t>
            </w:r>
          </w:p>
        </w:tc>
        <w:tc>
          <w:tcPr>
            <w:tcW w:w="463" w:type="pct"/>
            <w:tcBorders>
              <w:right w:val="single" w:sz="8" w:space="0" w:color="E6E6E1" w:themeColor="accent5"/>
            </w:tcBorders>
            <w:vAlign w:val="top"/>
          </w:tcPr>
          <w:p w14:paraId="1C06296D" w14:textId="77777777" w:rsidR="00452BDE" w:rsidRPr="00452BDE" w:rsidRDefault="00452BDE" w:rsidP="00452BDE">
            <w:pPr>
              <w:jc w:val="center"/>
              <w:rPr>
                <w:sz w:val="17"/>
                <w:szCs w:val="17"/>
              </w:rPr>
            </w:pPr>
            <w:r w:rsidRPr="00452BDE">
              <w:rPr>
                <w:sz w:val="17"/>
                <w:szCs w:val="17"/>
              </w:rPr>
              <w:t>L</w:t>
            </w:r>
          </w:p>
        </w:tc>
      </w:tr>
      <w:tr w:rsidR="00452BDE" w:rsidRPr="00452BDE" w14:paraId="4D872517" w14:textId="77777777" w:rsidTr="00452BDE">
        <w:trPr>
          <w:trHeight w:val="141"/>
        </w:trPr>
        <w:tc>
          <w:tcPr>
            <w:tcW w:w="656" w:type="pct"/>
            <w:vMerge/>
            <w:vAlign w:val="top"/>
          </w:tcPr>
          <w:p w14:paraId="68213FAB" w14:textId="77777777" w:rsidR="00452BDE" w:rsidRPr="00452BDE" w:rsidRDefault="00452BDE" w:rsidP="00452BDE">
            <w:pPr>
              <w:rPr>
                <w:sz w:val="17"/>
                <w:szCs w:val="17"/>
                <w:lang w:eastAsia="en-AU"/>
              </w:rPr>
            </w:pPr>
          </w:p>
        </w:tc>
        <w:tc>
          <w:tcPr>
            <w:tcW w:w="3881" w:type="pct"/>
            <w:shd w:val="clear" w:color="auto" w:fill="F2F2F2" w:themeFill="background1" w:themeFillShade="F2"/>
            <w:vAlign w:val="top"/>
          </w:tcPr>
          <w:p w14:paraId="7E1AEB63"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There could be greater clarity around how ministerial policy guidance is reflected in the development of food standards.</w:t>
            </w:r>
          </w:p>
        </w:tc>
        <w:tc>
          <w:tcPr>
            <w:tcW w:w="463" w:type="pct"/>
            <w:tcBorders>
              <w:right w:val="single" w:sz="8" w:space="0" w:color="E6E6E1" w:themeColor="accent5"/>
            </w:tcBorders>
            <w:vAlign w:val="top"/>
          </w:tcPr>
          <w:p w14:paraId="69C534CA" w14:textId="77777777" w:rsidR="00452BDE" w:rsidRPr="00452BDE" w:rsidRDefault="00452BDE" w:rsidP="00452BDE">
            <w:pPr>
              <w:jc w:val="center"/>
              <w:rPr>
                <w:sz w:val="17"/>
                <w:szCs w:val="17"/>
              </w:rPr>
            </w:pPr>
            <w:r w:rsidRPr="00452BDE">
              <w:rPr>
                <w:sz w:val="17"/>
                <w:szCs w:val="17"/>
              </w:rPr>
              <w:t>O</w:t>
            </w:r>
          </w:p>
        </w:tc>
      </w:tr>
      <w:tr w:rsidR="00452BDE" w:rsidRPr="00452BDE" w14:paraId="4803EE8F" w14:textId="77777777" w:rsidTr="00452BDE">
        <w:trPr>
          <w:trHeight w:val="367"/>
        </w:trPr>
        <w:tc>
          <w:tcPr>
            <w:tcW w:w="656" w:type="pct"/>
            <w:vMerge/>
            <w:vAlign w:val="top"/>
          </w:tcPr>
          <w:p w14:paraId="54A6B8EC" w14:textId="77777777" w:rsidR="00452BDE" w:rsidRPr="00452BDE" w:rsidRDefault="00452BDE" w:rsidP="00452BDE">
            <w:pPr>
              <w:rPr>
                <w:sz w:val="17"/>
                <w:szCs w:val="17"/>
                <w:lang w:eastAsia="en-AU"/>
              </w:rPr>
            </w:pPr>
          </w:p>
        </w:tc>
        <w:tc>
          <w:tcPr>
            <w:tcW w:w="3881" w:type="pct"/>
            <w:shd w:val="clear" w:color="auto" w:fill="F2F2F2" w:themeFill="background1" w:themeFillShade="F2"/>
            <w:vAlign w:val="top"/>
          </w:tcPr>
          <w:p w14:paraId="7B0D6F5C"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Language within the Act could be updated to be more culturally inclusive.</w:t>
            </w:r>
          </w:p>
        </w:tc>
        <w:tc>
          <w:tcPr>
            <w:tcW w:w="463" w:type="pct"/>
            <w:tcBorders>
              <w:right w:val="single" w:sz="8" w:space="0" w:color="E6E6E1" w:themeColor="accent5"/>
            </w:tcBorders>
            <w:vAlign w:val="top"/>
          </w:tcPr>
          <w:p w14:paraId="4D762205" w14:textId="77777777" w:rsidR="00452BDE" w:rsidRPr="00452BDE" w:rsidRDefault="00452BDE" w:rsidP="00452BDE">
            <w:pPr>
              <w:jc w:val="center"/>
              <w:rPr>
                <w:sz w:val="17"/>
                <w:szCs w:val="17"/>
              </w:rPr>
            </w:pPr>
            <w:r w:rsidRPr="00452BDE">
              <w:rPr>
                <w:sz w:val="17"/>
                <w:szCs w:val="17"/>
              </w:rPr>
              <w:t>L</w:t>
            </w:r>
          </w:p>
        </w:tc>
      </w:tr>
      <w:tr w:rsidR="00452BDE" w:rsidRPr="00452BDE" w14:paraId="03F35E88" w14:textId="77777777" w:rsidTr="00452BDE">
        <w:trPr>
          <w:trHeight w:val="401"/>
        </w:trPr>
        <w:tc>
          <w:tcPr>
            <w:tcW w:w="656" w:type="pct"/>
            <w:vMerge w:val="restart"/>
            <w:tcBorders>
              <w:top w:val="single" w:sz="8" w:space="0" w:color="00264D" w:themeColor="background2"/>
            </w:tcBorders>
            <w:vAlign w:val="top"/>
          </w:tcPr>
          <w:p w14:paraId="2EF34926" w14:textId="77777777" w:rsidR="00452BDE" w:rsidRPr="00452BDE" w:rsidRDefault="00B52B1C" w:rsidP="00452BDE">
            <w:pPr>
              <w:rPr>
                <w:rFonts w:asciiTheme="majorHAnsi" w:hAnsiTheme="majorHAnsi" w:cstheme="majorHAnsi"/>
                <w:sz w:val="17"/>
                <w:szCs w:val="17"/>
                <w:lang w:eastAsia="en-AU"/>
              </w:rPr>
            </w:pPr>
            <w:r>
              <w:rPr>
                <w:rFonts w:asciiTheme="majorHAnsi" w:hAnsiTheme="majorHAnsi" w:cstheme="majorHAnsi"/>
                <w:sz w:val="17"/>
                <w:szCs w:val="17"/>
                <w:lang w:eastAsia="en-AU"/>
              </w:rPr>
              <w:t>C</w:t>
            </w:r>
            <w:r w:rsidR="00452BDE" w:rsidRPr="00452BDE">
              <w:rPr>
                <w:rFonts w:asciiTheme="majorHAnsi" w:hAnsiTheme="majorHAnsi" w:cstheme="majorHAnsi"/>
                <w:sz w:val="17"/>
                <w:szCs w:val="17"/>
                <w:lang w:eastAsia="en-AU"/>
              </w:rPr>
              <w:t xml:space="preserve">omponent 2 | </w:t>
            </w:r>
            <w:r w:rsidR="00452BDE" w:rsidRPr="00452BDE">
              <w:rPr>
                <w:rFonts w:ascii="Segoe UI Semibold" w:hAnsi="Segoe UI Semibold" w:cs="Segoe UI Semibold"/>
                <w:sz w:val="17"/>
                <w:szCs w:val="17"/>
                <w:lang w:eastAsia="en-AU"/>
              </w:rPr>
              <w:t>Reforming standard-setting</w:t>
            </w:r>
          </w:p>
        </w:tc>
        <w:tc>
          <w:tcPr>
            <w:tcW w:w="3881" w:type="pct"/>
            <w:tcBorders>
              <w:top w:val="single" w:sz="8" w:space="0" w:color="00264D" w:themeColor="background2"/>
            </w:tcBorders>
            <w:shd w:val="clear" w:color="auto" w:fill="F2F2F2" w:themeFill="background1" w:themeFillShade="F2"/>
            <w:vAlign w:val="top"/>
          </w:tcPr>
          <w:p w14:paraId="22DA96B3"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A risk-based framework and approach could be introduced to guide the development of food regulatory measures.</w:t>
            </w:r>
          </w:p>
        </w:tc>
        <w:tc>
          <w:tcPr>
            <w:tcW w:w="463" w:type="pct"/>
            <w:tcBorders>
              <w:top w:val="single" w:sz="8" w:space="0" w:color="00264D" w:themeColor="background2"/>
              <w:right w:val="single" w:sz="8" w:space="0" w:color="E6E6E1" w:themeColor="accent5"/>
            </w:tcBorders>
            <w:vAlign w:val="top"/>
          </w:tcPr>
          <w:p w14:paraId="36D42745" w14:textId="77777777" w:rsidR="00452BDE" w:rsidRPr="00452BDE" w:rsidRDefault="00452BDE" w:rsidP="00452BDE">
            <w:pPr>
              <w:jc w:val="center"/>
              <w:rPr>
                <w:sz w:val="17"/>
                <w:szCs w:val="17"/>
              </w:rPr>
            </w:pPr>
            <w:r w:rsidRPr="00452BDE">
              <w:rPr>
                <w:sz w:val="17"/>
                <w:szCs w:val="17"/>
              </w:rPr>
              <w:t>O</w:t>
            </w:r>
          </w:p>
        </w:tc>
      </w:tr>
      <w:tr w:rsidR="00452BDE" w:rsidRPr="00452BDE" w14:paraId="0DFB61E6" w14:textId="77777777" w:rsidTr="00452BDE">
        <w:trPr>
          <w:trHeight w:val="141"/>
        </w:trPr>
        <w:tc>
          <w:tcPr>
            <w:tcW w:w="656" w:type="pct"/>
            <w:vMerge/>
            <w:vAlign w:val="top"/>
          </w:tcPr>
          <w:p w14:paraId="2A7E406E" w14:textId="77777777" w:rsidR="00452BDE" w:rsidRPr="00452BDE" w:rsidRDefault="00452BDE" w:rsidP="00452BDE">
            <w:pPr>
              <w:rPr>
                <w:rFonts w:asciiTheme="majorHAnsi" w:hAnsiTheme="majorHAnsi" w:cstheme="majorHAnsi"/>
                <w:sz w:val="17"/>
                <w:szCs w:val="17"/>
                <w:lang w:eastAsia="en-AU"/>
              </w:rPr>
            </w:pPr>
          </w:p>
        </w:tc>
        <w:tc>
          <w:tcPr>
            <w:tcW w:w="3881" w:type="pct"/>
            <w:shd w:val="clear" w:color="auto" w:fill="F2F2F2" w:themeFill="background1" w:themeFillShade="F2"/>
            <w:vAlign w:val="top"/>
          </w:tcPr>
          <w:p w14:paraId="1D623E3B"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New pathways to amend food standards could be introduced.</w:t>
            </w:r>
          </w:p>
          <w:p w14:paraId="5CFA2104" w14:textId="77777777" w:rsidR="00452BDE" w:rsidRPr="00452BDE" w:rsidRDefault="00452BDE" w:rsidP="00313A20">
            <w:pPr>
              <w:pStyle w:val="ListParagraph"/>
              <w:numPr>
                <w:ilvl w:val="0"/>
                <w:numId w:val="40"/>
              </w:numPr>
              <w:suppressAutoHyphens/>
              <w:rPr>
                <w:rFonts w:eastAsia="Times New Roman" w:cs="Times New Roman"/>
                <w:sz w:val="17"/>
                <w:szCs w:val="17"/>
                <w:lang w:eastAsia="en-AU"/>
              </w:rPr>
            </w:pPr>
            <w:r w:rsidRPr="00452BDE">
              <w:rPr>
                <w:rFonts w:eastAsia="Times New Roman" w:cs="Times New Roman"/>
                <w:sz w:val="17"/>
                <w:szCs w:val="17"/>
                <w:lang w:eastAsia="en-AU"/>
              </w:rPr>
              <w:t>The Act could provide for FSANZ to accept risk assessments from overseas jurisdictions.</w:t>
            </w:r>
          </w:p>
          <w:p w14:paraId="02D19084" w14:textId="77777777" w:rsidR="00452BDE" w:rsidRPr="00452BDE" w:rsidRDefault="00452BDE" w:rsidP="00313A20">
            <w:pPr>
              <w:pStyle w:val="ListParagraph"/>
              <w:numPr>
                <w:ilvl w:val="0"/>
                <w:numId w:val="40"/>
              </w:numPr>
              <w:suppressAutoHyphens/>
              <w:rPr>
                <w:rFonts w:eastAsia="Times New Roman" w:cs="Times New Roman"/>
                <w:sz w:val="17"/>
                <w:szCs w:val="17"/>
                <w:lang w:eastAsia="en-AU"/>
              </w:rPr>
            </w:pPr>
            <w:r w:rsidRPr="00452BDE">
              <w:rPr>
                <w:rFonts w:eastAsia="Times New Roman" w:cs="Times New Roman"/>
                <w:sz w:val="17"/>
                <w:szCs w:val="17"/>
                <w:lang w:eastAsia="en-AU"/>
              </w:rPr>
              <w:t xml:space="preserve">Select international standards </w:t>
            </w:r>
            <w:r w:rsidRPr="00B718C5">
              <w:rPr>
                <w:rFonts w:eastAsia="Times New Roman" w:cs="Times New Roman"/>
                <w:i/>
                <w:sz w:val="17"/>
                <w:szCs w:val="17"/>
                <w:lang w:eastAsia="en-AU"/>
              </w:rPr>
              <w:t>could</w:t>
            </w:r>
            <w:r w:rsidRPr="00452BDE">
              <w:rPr>
                <w:rFonts w:eastAsia="Times New Roman" w:cs="Times New Roman"/>
                <w:sz w:val="17"/>
                <w:szCs w:val="17"/>
                <w:lang w:eastAsia="en-AU"/>
              </w:rPr>
              <w:t xml:space="preserve"> be automatically recognised.</w:t>
            </w:r>
          </w:p>
          <w:p w14:paraId="3CA1C74F" w14:textId="77777777" w:rsidR="00452BDE" w:rsidRPr="00452BDE" w:rsidRDefault="00452BDE" w:rsidP="00313A20">
            <w:pPr>
              <w:pStyle w:val="ListParagraph"/>
              <w:numPr>
                <w:ilvl w:val="0"/>
                <w:numId w:val="40"/>
              </w:numPr>
              <w:suppressAutoHyphens/>
              <w:rPr>
                <w:rFonts w:eastAsia="Times New Roman" w:cs="Times New Roman"/>
                <w:sz w:val="17"/>
                <w:szCs w:val="17"/>
                <w:lang w:eastAsia="en-AU"/>
              </w:rPr>
            </w:pPr>
            <w:r w:rsidRPr="00452BDE">
              <w:rPr>
                <w:rFonts w:eastAsia="Times New Roman" w:cs="Times New Roman"/>
                <w:sz w:val="17"/>
                <w:szCs w:val="17"/>
                <w:lang w:eastAsia="en-AU"/>
              </w:rPr>
              <w:t>An additional pathway to bring very low risk products to market could support greater economic opportunities for food businesses.</w:t>
            </w:r>
          </w:p>
          <w:p w14:paraId="2567F3C0" w14:textId="77777777" w:rsidR="00452BDE" w:rsidRPr="00452BDE" w:rsidRDefault="00452BDE" w:rsidP="00313A20">
            <w:pPr>
              <w:pStyle w:val="ListParagraph"/>
              <w:numPr>
                <w:ilvl w:val="0"/>
                <w:numId w:val="40"/>
              </w:numPr>
              <w:suppressAutoHyphens/>
              <w:rPr>
                <w:rFonts w:eastAsia="Times New Roman" w:cs="Times New Roman"/>
                <w:sz w:val="17"/>
                <w:szCs w:val="17"/>
                <w:lang w:eastAsia="en-AU"/>
              </w:rPr>
            </w:pPr>
            <w:r w:rsidRPr="00452BDE">
              <w:rPr>
                <w:rFonts w:eastAsia="Times New Roman" w:cs="Times New Roman"/>
                <w:sz w:val="17"/>
                <w:szCs w:val="17"/>
                <w:lang w:eastAsia="en-AU"/>
              </w:rPr>
              <w:t>Principles could be embedded in legislation to allow FSANZ to create other pathways to amend food standards.</w:t>
            </w:r>
          </w:p>
        </w:tc>
        <w:tc>
          <w:tcPr>
            <w:tcW w:w="463" w:type="pct"/>
            <w:tcBorders>
              <w:right w:val="single" w:sz="8" w:space="0" w:color="E6E6E1" w:themeColor="accent5"/>
            </w:tcBorders>
            <w:vAlign w:val="top"/>
          </w:tcPr>
          <w:p w14:paraId="1FFED343" w14:textId="77777777" w:rsidR="00452BDE" w:rsidRPr="00452BDE" w:rsidRDefault="00452BDE" w:rsidP="00452BDE">
            <w:pPr>
              <w:jc w:val="center"/>
              <w:rPr>
                <w:sz w:val="17"/>
                <w:szCs w:val="17"/>
              </w:rPr>
            </w:pPr>
            <w:r w:rsidRPr="00452BDE">
              <w:rPr>
                <w:sz w:val="17"/>
                <w:szCs w:val="17"/>
              </w:rPr>
              <w:t>L</w:t>
            </w:r>
          </w:p>
        </w:tc>
      </w:tr>
      <w:tr w:rsidR="00452BDE" w:rsidRPr="00452BDE" w14:paraId="130A484A" w14:textId="77777777" w:rsidTr="00452BDE">
        <w:trPr>
          <w:trHeight w:val="141"/>
        </w:trPr>
        <w:tc>
          <w:tcPr>
            <w:tcW w:w="656" w:type="pct"/>
            <w:vMerge/>
            <w:vAlign w:val="top"/>
          </w:tcPr>
          <w:p w14:paraId="7FE75CA3" w14:textId="77777777" w:rsidR="00452BDE" w:rsidRPr="00452BDE" w:rsidRDefault="00452BDE" w:rsidP="00452BDE">
            <w:pPr>
              <w:rPr>
                <w:rFonts w:asciiTheme="majorHAnsi" w:hAnsiTheme="majorHAnsi" w:cstheme="majorHAnsi"/>
                <w:sz w:val="17"/>
                <w:szCs w:val="17"/>
                <w:lang w:eastAsia="en-AU"/>
              </w:rPr>
            </w:pPr>
          </w:p>
        </w:tc>
        <w:tc>
          <w:tcPr>
            <w:tcW w:w="3881" w:type="pct"/>
            <w:shd w:val="clear" w:color="auto" w:fill="F2F2F2" w:themeFill="background1" w:themeFillShade="F2"/>
            <w:vAlign w:val="top"/>
          </w:tcPr>
          <w:p w14:paraId="667C43EC"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Decision-making arrangements could be streamlined.</w:t>
            </w:r>
          </w:p>
          <w:p w14:paraId="4846A4AD" w14:textId="77777777" w:rsidR="00452BDE" w:rsidRPr="00452BDE" w:rsidRDefault="00452BDE" w:rsidP="00313A20">
            <w:pPr>
              <w:pStyle w:val="ListParagraph"/>
              <w:numPr>
                <w:ilvl w:val="0"/>
                <w:numId w:val="41"/>
              </w:numPr>
              <w:suppressAutoHyphens/>
              <w:rPr>
                <w:rFonts w:eastAsia="Times New Roman" w:cs="Times New Roman"/>
                <w:sz w:val="17"/>
                <w:szCs w:val="17"/>
                <w:lang w:eastAsia="en-AU"/>
              </w:rPr>
            </w:pPr>
            <w:r w:rsidRPr="00452BDE">
              <w:rPr>
                <w:rFonts w:eastAsia="Times New Roman" w:cs="Times New Roman"/>
                <w:sz w:val="17"/>
                <w:szCs w:val="17"/>
                <w:lang w:eastAsia="en-AU"/>
              </w:rPr>
              <w:t>The FSANZ Board’s non-delegable duties (set out in Section 150) could be removed or revised.</w:t>
            </w:r>
          </w:p>
          <w:p w14:paraId="592868EC" w14:textId="77777777" w:rsidR="00452BDE" w:rsidRPr="00452BDE" w:rsidRDefault="00452BDE" w:rsidP="00313A20">
            <w:pPr>
              <w:pStyle w:val="ListParagraph"/>
              <w:numPr>
                <w:ilvl w:val="0"/>
                <w:numId w:val="41"/>
              </w:numPr>
              <w:suppressAutoHyphens/>
              <w:rPr>
                <w:rFonts w:eastAsia="Times New Roman" w:cs="Times New Roman"/>
                <w:sz w:val="17"/>
                <w:szCs w:val="17"/>
                <w:lang w:eastAsia="en-AU"/>
              </w:rPr>
            </w:pPr>
            <w:r w:rsidRPr="00452BDE">
              <w:rPr>
                <w:rFonts w:eastAsia="Times New Roman" w:cs="Times New Roman"/>
                <w:sz w:val="17"/>
                <w:szCs w:val="17"/>
                <w:lang w:eastAsia="en-AU"/>
              </w:rPr>
              <w:t xml:space="preserve">Members of the FMM could be given the explicit ability to delegate decision-making to ratify changes to food standards to </w:t>
            </w:r>
            <w:proofErr w:type="gramStart"/>
            <w:r w:rsidRPr="00452BDE">
              <w:rPr>
                <w:rFonts w:eastAsia="Times New Roman" w:cs="Times New Roman"/>
                <w:sz w:val="17"/>
                <w:szCs w:val="17"/>
                <w:lang w:eastAsia="en-AU"/>
              </w:rPr>
              <w:t>particular departmental</w:t>
            </w:r>
            <w:proofErr w:type="gramEnd"/>
            <w:r w:rsidRPr="00452BDE">
              <w:rPr>
                <w:rFonts w:eastAsia="Times New Roman" w:cs="Times New Roman"/>
                <w:sz w:val="17"/>
                <w:szCs w:val="17"/>
                <w:lang w:eastAsia="en-AU"/>
              </w:rPr>
              <w:t xml:space="preserve"> officials.</w:t>
            </w:r>
          </w:p>
        </w:tc>
        <w:tc>
          <w:tcPr>
            <w:tcW w:w="463" w:type="pct"/>
            <w:tcBorders>
              <w:right w:val="single" w:sz="8" w:space="0" w:color="E6E6E1" w:themeColor="accent5"/>
            </w:tcBorders>
            <w:vAlign w:val="top"/>
          </w:tcPr>
          <w:p w14:paraId="7E4E0B09" w14:textId="77777777" w:rsidR="00452BDE" w:rsidRPr="00452BDE" w:rsidRDefault="00452BDE" w:rsidP="00452BDE">
            <w:pPr>
              <w:jc w:val="center"/>
              <w:rPr>
                <w:sz w:val="17"/>
                <w:szCs w:val="17"/>
              </w:rPr>
            </w:pPr>
            <w:r w:rsidRPr="00452BDE">
              <w:rPr>
                <w:sz w:val="17"/>
                <w:szCs w:val="17"/>
              </w:rPr>
              <w:t>L</w:t>
            </w:r>
          </w:p>
        </w:tc>
      </w:tr>
      <w:tr w:rsidR="00452BDE" w:rsidRPr="00452BDE" w14:paraId="0C2924C1" w14:textId="77777777" w:rsidTr="00452BDE">
        <w:trPr>
          <w:trHeight w:val="141"/>
        </w:trPr>
        <w:tc>
          <w:tcPr>
            <w:tcW w:w="656" w:type="pct"/>
            <w:vMerge/>
            <w:vAlign w:val="top"/>
          </w:tcPr>
          <w:p w14:paraId="41791D9B" w14:textId="77777777" w:rsidR="00452BDE" w:rsidRPr="00452BDE" w:rsidRDefault="00452BDE" w:rsidP="00452BDE">
            <w:pPr>
              <w:rPr>
                <w:rFonts w:asciiTheme="majorHAnsi" w:hAnsiTheme="majorHAnsi" w:cstheme="majorHAnsi"/>
                <w:sz w:val="17"/>
                <w:szCs w:val="17"/>
                <w:lang w:eastAsia="en-AU"/>
              </w:rPr>
            </w:pPr>
          </w:p>
        </w:tc>
        <w:tc>
          <w:tcPr>
            <w:tcW w:w="3881" w:type="pct"/>
            <w:shd w:val="clear" w:color="auto" w:fill="F2F2F2" w:themeFill="background1" w:themeFillShade="F2"/>
            <w:vAlign w:val="top"/>
          </w:tcPr>
          <w:p w14:paraId="47F1491D" w14:textId="2A359CB1"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Legislative change and greater guidance material could support bringing more traditional foods to market.</w:t>
            </w:r>
          </w:p>
          <w:p w14:paraId="0E8EBEDF" w14:textId="77777777" w:rsidR="00452BDE" w:rsidRPr="006F6B52" w:rsidRDefault="00452BDE" w:rsidP="003D7D1B">
            <w:pPr>
              <w:pStyle w:val="ListParagraph"/>
              <w:numPr>
                <w:ilvl w:val="0"/>
                <w:numId w:val="61"/>
              </w:numPr>
              <w:suppressAutoHyphens/>
              <w:rPr>
                <w:rFonts w:eastAsia="Times New Roman" w:cs="Times New Roman"/>
                <w:sz w:val="17"/>
                <w:szCs w:val="17"/>
                <w:lang w:eastAsia="en-AU"/>
              </w:rPr>
            </w:pPr>
            <w:r w:rsidRPr="006F6B52">
              <w:rPr>
                <w:rFonts w:eastAsia="Times New Roman" w:cs="Times New Roman"/>
                <w:sz w:val="17"/>
                <w:szCs w:val="17"/>
                <w:lang w:eastAsia="en-AU"/>
              </w:rPr>
              <w:t>A one-off investment of time and resources could be made to develop and publish a list of traditional foods or ingredients that have undergone safety assessments.</w:t>
            </w:r>
          </w:p>
          <w:p w14:paraId="153D229E" w14:textId="77777777" w:rsidR="00452BDE" w:rsidRPr="006F6B52" w:rsidRDefault="00452BDE" w:rsidP="003D7D1B">
            <w:pPr>
              <w:pStyle w:val="ListParagraph"/>
              <w:numPr>
                <w:ilvl w:val="0"/>
                <w:numId w:val="61"/>
              </w:numPr>
              <w:suppressAutoHyphens/>
              <w:rPr>
                <w:rFonts w:eastAsia="Times New Roman" w:cs="Times New Roman"/>
                <w:sz w:val="17"/>
                <w:szCs w:val="17"/>
                <w:lang w:eastAsia="en-AU"/>
              </w:rPr>
            </w:pPr>
            <w:r w:rsidRPr="006F6B52">
              <w:rPr>
                <w:rFonts w:eastAsia="Times New Roman" w:cs="Times New Roman"/>
                <w:sz w:val="17"/>
                <w:szCs w:val="17"/>
                <w:lang w:eastAsia="en-AU"/>
              </w:rPr>
              <w:t>Further guidance material on how traditional foods can be assessed for safety could be developed.</w:t>
            </w:r>
          </w:p>
        </w:tc>
        <w:tc>
          <w:tcPr>
            <w:tcW w:w="463" w:type="pct"/>
            <w:tcBorders>
              <w:right w:val="single" w:sz="8" w:space="0" w:color="E6E6E1" w:themeColor="accent5"/>
            </w:tcBorders>
            <w:vAlign w:val="top"/>
          </w:tcPr>
          <w:p w14:paraId="6565C450" w14:textId="77777777" w:rsidR="00452BDE" w:rsidRPr="00452BDE" w:rsidRDefault="00452BDE" w:rsidP="00452BDE">
            <w:pPr>
              <w:jc w:val="center"/>
              <w:rPr>
                <w:sz w:val="17"/>
                <w:szCs w:val="17"/>
              </w:rPr>
            </w:pPr>
            <w:r w:rsidRPr="00452BDE">
              <w:rPr>
                <w:sz w:val="17"/>
                <w:szCs w:val="17"/>
              </w:rPr>
              <w:t>O</w:t>
            </w:r>
          </w:p>
        </w:tc>
      </w:tr>
      <w:tr w:rsidR="00452BDE" w:rsidRPr="00452BDE" w14:paraId="6531BB73" w14:textId="77777777" w:rsidTr="00452BDE">
        <w:trPr>
          <w:trHeight w:val="141"/>
        </w:trPr>
        <w:tc>
          <w:tcPr>
            <w:tcW w:w="656" w:type="pct"/>
            <w:vMerge/>
            <w:tcBorders>
              <w:bottom w:val="single" w:sz="8" w:space="0" w:color="00264D" w:themeColor="background2"/>
            </w:tcBorders>
            <w:vAlign w:val="top"/>
          </w:tcPr>
          <w:p w14:paraId="2173C4F9" w14:textId="77777777" w:rsidR="00452BDE" w:rsidRPr="00452BDE" w:rsidRDefault="00452BDE" w:rsidP="00452BDE">
            <w:pPr>
              <w:rPr>
                <w:rFonts w:asciiTheme="majorHAnsi" w:hAnsiTheme="majorHAnsi" w:cstheme="majorHAnsi"/>
                <w:sz w:val="17"/>
                <w:szCs w:val="17"/>
                <w:lang w:eastAsia="en-AU"/>
              </w:rPr>
            </w:pPr>
          </w:p>
        </w:tc>
        <w:tc>
          <w:tcPr>
            <w:tcW w:w="3881" w:type="pct"/>
            <w:tcBorders>
              <w:bottom w:val="single" w:sz="8" w:space="0" w:color="00264D" w:themeColor="background2"/>
            </w:tcBorders>
            <w:shd w:val="clear" w:color="auto" w:fill="F2F2F2" w:themeFill="background1" w:themeFillShade="F2"/>
            <w:vAlign w:val="top"/>
          </w:tcPr>
          <w:p w14:paraId="65BC0010" w14:textId="1ABB4BF2"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 xml:space="preserve">FSANZ could be resourced to undertake more timely, </w:t>
            </w:r>
            <w:proofErr w:type="gramStart"/>
            <w:r w:rsidRPr="00452BDE">
              <w:rPr>
                <w:rFonts w:asciiTheme="majorHAnsi" w:hAnsiTheme="majorHAnsi" w:cstheme="majorHAnsi"/>
                <w:sz w:val="17"/>
                <w:szCs w:val="17"/>
              </w:rPr>
              <w:t>holistic</w:t>
            </w:r>
            <w:proofErr w:type="gramEnd"/>
            <w:r w:rsidRPr="00452BDE">
              <w:rPr>
                <w:rFonts w:asciiTheme="majorHAnsi" w:hAnsiTheme="majorHAnsi" w:cstheme="majorHAnsi"/>
                <w:sz w:val="17"/>
                <w:szCs w:val="17"/>
              </w:rPr>
              <w:t xml:space="preserve"> and regular </w:t>
            </w:r>
            <w:r w:rsidR="00643C5E">
              <w:rPr>
                <w:rFonts w:asciiTheme="majorHAnsi" w:hAnsiTheme="majorHAnsi" w:cstheme="majorHAnsi"/>
                <w:sz w:val="17"/>
                <w:szCs w:val="17"/>
              </w:rPr>
              <w:t>reviews of standards</w:t>
            </w:r>
          </w:p>
        </w:tc>
        <w:tc>
          <w:tcPr>
            <w:tcW w:w="463" w:type="pct"/>
            <w:tcBorders>
              <w:bottom w:val="single" w:sz="8" w:space="0" w:color="00264D" w:themeColor="background2"/>
              <w:right w:val="single" w:sz="8" w:space="0" w:color="E6E6E1" w:themeColor="accent5"/>
            </w:tcBorders>
            <w:vAlign w:val="top"/>
          </w:tcPr>
          <w:p w14:paraId="785B64AA" w14:textId="77777777" w:rsidR="00452BDE" w:rsidRPr="00452BDE" w:rsidRDefault="00452BDE" w:rsidP="00452BDE">
            <w:pPr>
              <w:jc w:val="center"/>
              <w:rPr>
                <w:sz w:val="17"/>
                <w:szCs w:val="17"/>
              </w:rPr>
            </w:pPr>
            <w:r w:rsidRPr="00452BDE">
              <w:rPr>
                <w:sz w:val="17"/>
                <w:szCs w:val="17"/>
              </w:rPr>
              <w:t>O</w:t>
            </w:r>
          </w:p>
        </w:tc>
      </w:tr>
      <w:tr w:rsidR="00770A42" w:rsidRPr="00452BDE" w14:paraId="13CC1524" w14:textId="77777777" w:rsidTr="00452BDE">
        <w:trPr>
          <w:trHeight w:val="141"/>
        </w:trPr>
        <w:tc>
          <w:tcPr>
            <w:tcW w:w="656" w:type="pct"/>
            <w:tcBorders>
              <w:bottom w:val="single" w:sz="8" w:space="0" w:color="00264D" w:themeColor="background2"/>
            </w:tcBorders>
            <w:vAlign w:val="top"/>
          </w:tcPr>
          <w:p w14:paraId="52E36436" w14:textId="77777777" w:rsidR="00770A42" w:rsidRPr="00452BDE" w:rsidRDefault="00770A42" w:rsidP="00770A42">
            <w:pPr>
              <w:rPr>
                <w:rFonts w:asciiTheme="majorHAnsi" w:hAnsiTheme="majorHAnsi" w:cstheme="majorHAnsi"/>
                <w:sz w:val="17"/>
                <w:szCs w:val="17"/>
                <w:lang w:eastAsia="en-AU"/>
              </w:rPr>
            </w:pPr>
          </w:p>
        </w:tc>
        <w:tc>
          <w:tcPr>
            <w:tcW w:w="3881" w:type="pct"/>
            <w:tcBorders>
              <w:bottom w:val="single" w:sz="8" w:space="0" w:color="00264D" w:themeColor="background2"/>
            </w:tcBorders>
            <w:shd w:val="clear" w:color="auto" w:fill="F2F2F2" w:themeFill="background1" w:themeFillShade="F2"/>
            <w:vAlign w:val="top"/>
          </w:tcPr>
          <w:p w14:paraId="788846A7" w14:textId="2660095D" w:rsidR="00770A42" w:rsidRPr="00452BDE" w:rsidRDefault="00770A42" w:rsidP="00770A42">
            <w:pPr>
              <w:rPr>
                <w:rFonts w:asciiTheme="majorHAnsi" w:hAnsiTheme="majorHAnsi" w:cstheme="majorHAnsi"/>
                <w:sz w:val="17"/>
                <w:szCs w:val="17"/>
              </w:rPr>
            </w:pPr>
            <w:r>
              <w:rPr>
                <w:rFonts w:asciiTheme="majorHAnsi" w:hAnsiTheme="majorHAnsi" w:cstheme="majorHAnsi"/>
                <w:sz w:val="17"/>
                <w:szCs w:val="17"/>
              </w:rPr>
              <w:t>Codes of Practice</w:t>
            </w:r>
            <w:r w:rsidRPr="00452BDE">
              <w:rPr>
                <w:rFonts w:asciiTheme="majorHAnsi" w:hAnsiTheme="majorHAnsi" w:cstheme="majorHAnsi"/>
                <w:sz w:val="17"/>
                <w:szCs w:val="17"/>
              </w:rPr>
              <w:t xml:space="preserve"> and guidelines could be increasingly used to complement food standards.</w:t>
            </w:r>
          </w:p>
        </w:tc>
        <w:tc>
          <w:tcPr>
            <w:tcW w:w="463" w:type="pct"/>
            <w:tcBorders>
              <w:bottom w:val="single" w:sz="8" w:space="0" w:color="00264D" w:themeColor="background2"/>
              <w:right w:val="single" w:sz="8" w:space="0" w:color="E6E6E1" w:themeColor="accent5"/>
            </w:tcBorders>
            <w:vAlign w:val="top"/>
          </w:tcPr>
          <w:p w14:paraId="1F0B691C" w14:textId="4D53F1A0" w:rsidR="00770A42" w:rsidRPr="00452BDE" w:rsidRDefault="00770A42" w:rsidP="00770A42">
            <w:pPr>
              <w:jc w:val="center"/>
              <w:rPr>
                <w:sz w:val="17"/>
                <w:szCs w:val="17"/>
              </w:rPr>
            </w:pPr>
            <w:r w:rsidRPr="00452BDE">
              <w:rPr>
                <w:sz w:val="17"/>
                <w:szCs w:val="17"/>
              </w:rPr>
              <w:t>O</w:t>
            </w:r>
          </w:p>
        </w:tc>
      </w:tr>
      <w:tr w:rsidR="00452BDE" w:rsidRPr="00452BDE" w14:paraId="7A752493" w14:textId="77777777" w:rsidTr="00452BDE">
        <w:trPr>
          <w:trHeight w:val="141"/>
        </w:trPr>
        <w:tc>
          <w:tcPr>
            <w:tcW w:w="656" w:type="pct"/>
            <w:vMerge w:val="restart"/>
            <w:tcBorders>
              <w:top w:val="single" w:sz="8" w:space="0" w:color="00264D" w:themeColor="background2"/>
            </w:tcBorders>
            <w:vAlign w:val="top"/>
          </w:tcPr>
          <w:p w14:paraId="3FF127FC" w14:textId="70667B10" w:rsidR="00452BDE" w:rsidRPr="00452BDE" w:rsidRDefault="00452BDE" w:rsidP="00452BDE">
            <w:pPr>
              <w:rPr>
                <w:rFonts w:asciiTheme="majorHAnsi" w:hAnsiTheme="majorHAnsi" w:cstheme="majorHAnsi"/>
                <w:sz w:val="17"/>
                <w:szCs w:val="17"/>
                <w:lang w:eastAsia="en-AU"/>
              </w:rPr>
            </w:pPr>
            <w:r w:rsidRPr="00452BDE">
              <w:rPr>
                <w:rFonts w:asciiTheme="majorHAnsi" w:hAnsiTheme="majorHAnsi" w:cstheme="majorHAnsi"/>
                <w:sz w:val="17"/>
                <w:szCs w:val="17"/>
                <w:lang w:eastAsia="en-AU"/>
              </w:rPr>
              <w:t xml:space="preserve">Component 3 | </w:t>
            </w:r>
            <w:r w:rsidRPr="00452BDE">
              <w:rPr>
                <w:rFonts w:ascii="Segoe UI Semibold" w:hAnsi="Segoe UI Semibold" w:cs="Segoe UI Semibold"/>
                <w:sz w:val="17"/>
                <w:szCs w:val="17"/>
                <w:lang w:eastAsia="en-AU"/>
              </w:rPr>
              <w:t xml:space="preserve">Efficient and effective </w:t>
            </w:r>
            <w:r w:rsidR="00D15D87">
              <w:rPr>
                <w:rFonts w:ascii="Segoe UI Semibold" w:hAnsi="Segoe UI Semibold" w:cs="Segoe UI Semibold"/>
                <w:sz w:val="17"/>
                <w:szCs w:val="17"/>
                <w:lang w:eastAsia="en-AU"/>
              </w:rPr>
              <w:t>operations</w:t>
            </w:r>
          </w:p>
        </w:tc>
        <w:tc>
          <w:tcPr>
            <w:tcW w:w="3881" w:type="pct"/>
            <w:tcBorders>
              <w:top w:val="single" w:sz="8" w:space="0" w:color="00264D" w:themeColor="background2"/>
              <w:bottom w:val="single" w:sz="4" w:space="0" w:color="D9D9D9" w:themeColor="background1" w:themeShade="D9"/>
            </w:tcBorders>
            <w:shd w:val="clear" w:color="auto" w:fill="F2F2F2" w:themeFill="background1" w:themeFillShade="F2"/>
            <w:vAlign w:val="top"/>
          </w:tcPr>
          <w:p w14:paraId="542F0F52"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 xml:space="preserve">Outstanding recommendations from the 2014 review of the FSANZ Board could be implemented. </w:t>
            </w:r>
          </w:p>
          <w:p w14:paraId="2C6BA265" w14:textId="77777777" w:rsidR="00452BDE" w:rsidRPr="00452BDE" w:rsidRDefault="00452BDE" w:rsidP="00313A20">
            <w:pPr>
              <w:pStyle w:val="ListParagraph"/>
              <w:numPr>
                <w:ilvl w:val="0"/>
                <w:numId w:val="42"/>
              </w:numPr>
              <w:suppressAutoHyphens/>
              <w:rPr>
                <w:rFonts w:eastAsia="Times New Roman" w:cs="Times New Roman"/>
                <w:sz w:val="17"/>
                <w:szCs w:val="17"/>
                <w:lang w:eastAsia="en-AU"/>
              </w:rPr>
            </w:pPr>
            <w:r w:rsidRPr="00452BDE">
              <w:rPr>
                <w:rFonts w:eastAsia="Times New Roman" w:cs="Times New Roman"/>
                <w:sz w:val="17"/>
                <w:szCs w:val="17"/>
                <w:lang w:eastAsia="en-AU"/>
              </w:rPr>
              <w:t>Compositional requirements of the FSANZ Board could be amended to address the need for flexibility to accommodate future work requirements.</w:t>
            </w:r>
          </w:p>
          <w:p w14:paraId="3841BBDB" w14:textId="53A2AF78" w:rsidR="00452BDE" w:rsidRPr="00452BDE" w:rsidRDefault="00452BDE" w:rsidP="00313A20">
            <w:pPr>
              <w:pStyle w:val="ListParagraph"/>
              <w:numPr>
                <w:ilvl w:val="0"/>
                <w:numId w:val="42"/>
              </w:numPr>
              <w:suppressAutoHyphens/>
              <w:rPr>
                <w:rFonts w:eastAsia="Times New Roman" w:cs="Times New Roman"/>
                <w:sz w:val="17"/>
                <w:szCs w:val="17"/>
                <w:lang w:eastAsia="en-AU"/>
              </w:rPr>
            </w:pPr>
            <w:r w:rsidRPr="00452BDE">
              <w:rPr>
                <w:rFonts w:eastAsia="Times New Roman" w:cs="Times New Roman"/>
                <w:sz w:val="17"/>
                <w:szCs w:val="17"/>
                <w:lang w:eastAsia="en-AU"/>
              </w:rPr>
              <w:t>The nomination process could be changed to be an open market process by advertising for upcoming vacancies externally</w:t>
            </w:r>
            <w:r w:rsidR="00487D24">
              <w:rPr>
                <w:rFonts w:eastAsia="Times New Roman" w:cs="Times New Roman"/>
                <w:sz w:val="17"/>
                <w:szCs w:val="17"/>
                <w:lang w:eastAsia="en-AU"/>
              </w:rPr>
              <w:t>.</w:t>
            </w:r>
          </w:p>
        </w:tc>
        <w:tc>
          <w:tcPr>
            <w:tcW w:w="463" w:type="pct"/>
            <w:tcBorders>
              <w:top w:val="single" w:sz="8" w:space="0" w:color="00264D" w:themeColor="background2"/>
              <w:bottom w:val="single" w:sz="4" w:space="0" w:color="D9D9D9" w:themeColor="background1" w:themeShade="D9"/>
              <w:right w:val="single" w:sz="8" w:space="0" w:color="E6E6E1" w:themeColor="accent5"/>
            </w:tcBorders>
            <w:vAlign w:val="top"/>
          </w:tcPr>
          <w:p w14:paraId="4CD09F1E" w14:textId="77777777" w:rsidR="00452BDE" w:rsidRPr="00452BDE" w:rsidRDefault="00452BDE" w:rsidP="00452BDE">
            <w:pPr>
              <w:jc w:val="center"/>
              <w:rPr>
                <w:sz w:val="17"/>
                <w:szCs w:val="17"/>
              </w:rPr>
            </w:pPr>
            <w:r w:rsidRPr="00452BDE">
              <w:rPr>
                <w:sz w:val="17"/>
                <w:szCs w:val="17"/>
              </w:rPr>
              <w:t>L</w:t>
            </w:r>
          </w:p>
        </w:tc>
      </w:tr>
      <w:tr w:rsidR="00452BDE" w:rsidRPr="00452BDE" w14:paraId="6104AFFA" w14:textId="77777777" w:rsidTr="00452BDE">
        <w:trPr>
          <w:trHeight w:val="495"/>
        </w:trPr>
        <w:tc>
          <w:tcPr>
            <w:tcW w:w="656" w:type="pct"/>
            <w:vMerge/>
            <w:vAlign w:val="top"/>
          </w:tcPr>
          <w:p w14:paraId="7B092411" w14:textId="77777777" w:rsidR="00452BDE" w:rsidRPr="00452BDE" w:rsidRDefault="00452BDE" w:rsidP="00452BDE">
            <w:pPr>
              <w:rPr>
                <w:rFonts w:asciiTheme="majorHAnsi" w:hAnsiTheme="majorHAnsi" w:cstheme="majorHAnsi"/>
                <w:sz w:val="17"/>
                <w:szCs w:val="17"/>
                <w:lang w:eastAsia="en-AU"/>
              </w:rPr>
            </w:pPr>
          </w:p>
        </w:tc>
        <w:tc>
          <w:tcPr>
            <w:tcW w:w="3881" w:type="pct"/>
            <w:tcBorders>
              <w:top w:val="single" w:sz="4" w:space="0" w:color="D9D9D9" w:themeColor="background1" w:themeShade="D9"/>
            </w:tcBorders>
            <w:shd w:val="clear" w:color="auto" w:fill="F2F2F2" w:themeFill="background1" w:themeFillShade="F2"/>
            <w:vAlign w:val="top"/>
          </w:tcPr>
          <w:p w14:paraId="7616664A" w14:textId="77777777" w:rsidR="00452BDE" w:rsidRPr="00452BDE" w:rsidRDefault="00452BDE" w:rsidP="00452BDE">
            <w:pPr>
              <w:rPr>
                <w:rFonts w:asciiTheme="majorHAnsi" w:hAnsiTheme="majorHAnsi" w:cstheme="majorHAnsi"/>
                <w:sz w:val="17"/>
                <w:szCs w:val="17"/>
                <w:lang w:eastAsia="en-AU"/>
              </w:rPr>
            </w:pPr>
            <w:r w:rsidRPr="00452BDE">
              <w:rPr>
                <w:rFonts w:asciiTheme="majorHAnsi" w:hAnsiTheme="majorHAnsi" w:cstheme="majorHAnsi"/>
                <w:sz w:val="17"/>
                <w:szCs w:val="17"/>
              </w:rPr>
              <w:t xml:space="preserve">The expedited approvals pathway could be removed to address workload prioritisation. </w:t>
            </w:r>
          </w:p>
        </w:tc>
        <w:tc>
          <w:tcPr>
            <w:tcW w:w="463" w:type="pct"/>
            <w:tcBorders>
              <w:top w:val="single" w:sz="4" w:space="0" w:color="D9D9D9" w:themeColor="background1" w:themeShade="D9"/>
              <w:right w:val="single" w:sz="8" w:space="0" w:color="E6E6E1" w:themeColor="accent5"/>
            </w:tcBorders>
            <w:vAlign w:val="top"/>
          </w:tcPr>
          <w:p w14:paraId="545F2469" w14:textId="77777777" w:rsidR="00452BDE" w:rsidRPr="00452BDE" w:rsidRDefault="00452BDE" w:rsidP="00452BDE">
            <w:pPr>
              <w:jc w:val="center"/>
              <w:rPr>
                <w:sz w:val="17"/>
                <w:szCs w:val="17"/>
              </w:rPr>
            </w:pPr>
            <w:r w:rsidRPr="00452BDE">
              <w:rPr>
                <w:sz w:val="17"/>
                <w:szCs w:val="17"/>
              </w:rPr>
              <w:t>L</w:t>
            </w:r>
          </w:p>
        </w:tc>
      </w:tr>
      <w:tr w:rsidR="00452BDE" w:rsidRPr="00452BDE" w14:paraId="1B0A1BBD" w14:textId="77777777" w:rsidTr="00452BDE">
        <w:trPr>
          <w:trHeight w:val="141"/>
        </w:trPr>
        <w:tc>
          <w:tcPr>
            <w:tcW w:w="656" w:type="pct"/>
            <w:vMerge/>
            <w:vAlign w:val="top"/>
          </w:tcPr>
          <w:p w14:paraId="0BDFEFE0" w14:textId="77777777" w:rsidR="00452BDE" w:rsidRPr="00452BDE" w:rsidRDefault="00452BDE" w:rsidP="00452BDE">
            <w:pPr>
              <w:rPr>
                <w:rFonts w:asciiTheme="majorHAnsi" w:hAnsiTheme="majorHAnsi" w:cstheme="majorHAnsi"/>
                <w:sz w:val="17"/>
                <w:szCs w:val="17"/>
                <w:lang w:eastAsia="en-AU"/>
              </w:rPr>
            </w:pPr>
          </w:p>
        </w:tc>
        <w:tc>
          <w:tcPr>
            <w:tcW w:w="3881" w:type="pct"/>
            <w:tcBorders>
              <w:top w:val="single" w:sz="4" w:space="0" w:color="D9D9D9" w:themeColor="background1" w:themeShade="D9"/>
            </w:tcBorders>
            <w:shd w:val="clear" w:color="auto" w:fill="F2F2F2" w:themeFill="background1" w:themeFillShade="F2"/>
            <w:vAlign w:val="top"/>
          </w:tcPr>
          <w:p w14:paraId="529E7DBE"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To generate more sustainable revenue, cost recovery could be expanded for work that benefits industry.</w:t>
            </w:r>
          </w:p>
          <w:p w14:paraId="254AC6F4" w14:textId="77777777" w:rsidR="00452BDE" w:rsidRPr="00452BDE" w:rsidRDefault="00452BDE" w:rsidP="00313A20">
            <w:pPr>
              <w:pStyle w:val="ListParagraph"/>
              <w:numPr>
                <w:ilvl w:val="0"/>
                <w:numId w:val="43"/>
              </w:numPr>
              <w:suppressAutoHyphens/>
              <w:rPr>
                <w:rFonts w:eastAsia="Times New Roman" w:cs="Times New Roman"/>
                <w:sz w:val="17"/>
                <w:szCs w:val="17"/>
                <w:lang w:eastAsia="en-AU"/>
              </w:rPr>
            </w:pPr>
            <w:r w:rsidRPr="00452BDE">
              <w:rPr>
                <w:rFonts w:eastAsia="Times New Roman" w:cs="Times New Roman"/>
                <w:sz w:val="17"/>
                <w:szCs w:val="17"/>
                <w:lang w:eastAsia="en-AU"/>
              </w:rPr>
              <w:t>An industry-wide levy could be introduced.</w:t>
            </w:r>
          </w:p>
          <w:p w14:paraId="40BF4BD1" w14:textId="77777777" w:rsidR="00452BDE" w:rsidRPr="00452BDE" w:rsidRDefault="00452BDE" w:rsidP="00313A20">
            <w:pPr>
              <w:pStyle w:val="ListParagraph"/>
              <w:numPr>
                <w:ilvl w:val="0"/>
                <w:numId w:val="43"/>
              </w:numPr>
              <w:suppressAutoHyphens/>
              <w:rPr>
                <w:rFonts w:eastAsia="Times New Roman" w:cs="Times New Roman"/>
                <w:sz w:val="17"/>
                <w:szCs w:val="17"/>
                <w:lang w:eastAsia="en-AU"/>
              </w:rPr>
            </w:pPr>
            <w:r w:rsidRPr="00452BDE">
              <w:rPr>
                <w:rFonts w:eastAsia="Times New Roman" w:cs="Times New Roman"/>
                <w:sz w:val="17"/>
                <w:szCs w:val="17"/>
                <w:lang w:eastAsia="en-AU"/>
              </w:rPr>
              <w:t>Compulsory fees could be implemented for all applications.</w:t>
            </w:r>
          </w:p>
          <w:p w14:paraId="05CC6E37" w14:textId="77777777" w:rsidR="00452BDE" w:rsidRPr="00452BDE" w:rsidRDefault="00452BDE" w:rsidP="00313A20">
            <w:pPr>
              <w:pStyle w:val="ListParagraph"/>
              <w:numPr>
                <w:ilvl w:val="0"/>
                <w:numId w:val="43"/>
              </w:numPr>
              <w:suppressAutoHyphens/>
              <w:rPr>
                <w:rFonts w:eastAsia="Times New Roman" w:cs="Times New Roman"/>
                <w:sz w:val="17"/>
                <w:szCs w:val="17"/>
                <w:lang w:eastAsia="en-AU"/>
              </w:rPr>
            </w:pPr>
            <w:r w:rsidRPr="00452BDE">
              <w:rPr>
                <w:rFonts w:eastAsia="Times New Roman" w:cs="Times New Roman"/>
                <w:sz w:val="17"/>
                <w:szCs w:val="17"/>
                <w:lang w:eastAsia="en-AU"/>
              </w:rPr>
              <w:t>FSANZ could carry out other entrepreneurial activities.</w:t>
            </w:r>
          </w:p>
        </w:tc>
        <w:tc>
          <w:tcPr>
            <w:tcW w:w="463" w:type="pct"/>
            <w:tcBorders>
              <w:top w:val="single" w:sz="4" w:space="0" w:color="D9D9D9" w:themeColor="background1" w:themeShade="D9"/>
              <w:right w:val="single" w:sz="8" w:space="0" w:color="E6E6E1" w:themeColor="accent5"/>
            </w:tcBorders>
            <w:vAlign w:val="top"/>
          </w:tcPr>
          <w:p w14:paraId="0EACECEE" w14:textId="77777777" w:rsidR="00452BDE" w:rsidRPr="00452BDE" w:rsidRDefault="00452BDE" w:rsidP="00452BDE">
            <w:pPr>
              <w:jc w:val="center"/>
              <w:rPr>
                <w:sz w:val="17"/>
                <w:szCs w:val="17"/>
              </w:rPr>
            </w:pPr>
            <w:r w:rsidRPr="00452BDE">
              <w:rPr>
                <w:sz w:val="17"/>
                <w:szCs w:val="17"/>
              </w:rPr>
              <w:t>L/O</w:t>
            </w:r>
          </w:p>
        </w:tc>
      </w:tr>
      <w:tr w:rsidR="00452BDE" w:rsidRPr="00452BDE" w14:paraId="27DE6B9E" w14:textId="77777777" w:rsidTr="00452BDE">
        <w:trPr>
          <w:trHeight w:val="141"/>
        </w:trPr>
        <w:tc>
          <w:tcPr>
            <w:tcW w:w="656" w:type="pct"/>
            <w:vMerge/>
            <w:vAlign w:val="top"/>
          </w:tcPr>
          <w:p w14:paraId="6DD6DAC1" w14:textId="77777777" w:rsidR="00452BDE" w:rsidRPr="00452BDE" w:rsidRDefault="00452BDE" w:rsidP="00452BDE">
            <w:pPr>
              <w:rPr>
                <w:rFonts w:asciiTheme="majorHAnsi" w:hAnsiTheme="majorHAnsi" w:cstheme="majorHAnsi"/>
                <w:sz w:val="17"/>
                <w:szCs w:val="17"/>
                <w:lang w:eastAsia="en-AU"/>
              </w:rPr>
            </w:pPr>
          </w:p>
        </w:tc>
        <w:tc>
          <w:tcPr>
            <w:tcW w:w="3881" w:type="pct"/>
            <w:shd w:val="clear" w:color="auto" w:fill="F2F2F2" w:themeFill="background1" w:themeFillShade="F2"/>
            <w:vAlign w:val="top"/>
          </w:tcPr>
          <w:p w14:paraId="319AC23B"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Some services could also be cost recovered from government agencies.</w:t>
            </w:r>
          </w:p>
          <w:p w14:paraId="191A1C5D" w14:textId="77777777" w:rsidR="00452BDE" w:rsidRPr="00452BDE" w:rsidRDefault="00452BDE" w:rsidP="00313A20">
            <w:pPr>
              <w:pStyle w:val="ListParagraph"/>
              <w:numPr>
                <w:ilvl w:val="0"/>
                <w:numId w:val="44"/>
              </w:numPr>
              <w:suppressAutoHyphens/>
              <w:rPr>
                <w:rFonts w:eastAsia="Times New Roman" w:cs="Times New Roman"/>
                <w:sz w:val="17"/>
                <w:szCs w:val="17"/>
                <w:lang w:eastAsia="en-AU"/>
              </w:rPr>
            </w:pPr>
            <w:r w:rsidRPr="00452BDE">
              <w:rPr>
                <w:rFonts w:eastAsia="Times New Roman" w:cs="Times New Roman"/>
                <w:sz w:val="17"/>
                <w:szCs w:val="17"/>
                <w:lang w:eastAsia="en-AU"/>
              </w:rPr>
              <w:t>A food recall coordination levy could be imposed (</w:t>
            </w:r>
            <w:r w:rsidRPr="00452BDE">
              <w:rPr>
                <w:rFonts w:eastAsia="Times New Roman" w:cs="Times New Roman"/>
                <w:i/>
                <w:iCs/>
                <w:sz w:val="17"/>
                <w:szCs w:val="17"/>
                <w:lang w:eastAsia="en-AU"/>
              </w:rPr>
              <w:t>Australia only</w:t>
            </w:r>
            <w:r w:rsidRPr="00452BDE">
              <w:rPr>
                <w:rFonts w:eastAsia="Times New Roman" w:cs="Times New Roman"/>
                <w:sz w:val="17"/>
                <w:szCs w:val="17"/>
                <w:lang w:eastAsia="en-AU"/>
              </w:rPr>
              <w:t>).</w:t>
            </w:r>
          </w:p>
          <w:p w14:paraId="19BEE7D7" w14:textId="6512E256" w:rsidR="00452BDE" w:rsidRPr="00452BDE" w:rsidRDefault="00452BDE" w:rsidP="00313A20">
            <w:pPr>
              <w:pStyle w:val="ListParagraph"/>
              <w:numPr>
                <w:ilvl w:val="0"/>
                <w:numId w:val="44"/>
              </w:numPr>
              <w:suppressAutoHyphens/>
              <w:rPr>
                <w:rFonts w:eastAsia="Times New Roman" w:cs="Times New Roman"/>
                <w:sz w:val="17"/>
                <w:szCs w:val="17"/>
                <w:lang w:eastAsia="en-AU"/>
              </w:rPr>
            </w:pPr>
            <w:r w:rsidRPr="00452BDE">
              <w:rPr>
                <w:rFonts w:eastAsia="Times New Roman" w:cs="Times New Roman"/>
                <w:sz w:val="17"/>
                <w:szCs w:val="17"/>
                <w:lang w:eastAsia="en-AU"/>
              </w:rPr>
              <w:t>Jurisdictions could be charged a fee to add additional proposal work to FSANZ’</w:t>
            </w:r>
            <w:r w:rsidR="00855ACF">
              <w:rPr>
                <w:rFonts w:eastAsia="Times New Roman" w:cs="Times New Roman"/>
                <w:sz w:val="17"/>
                <w:szCs w:val="17"/>
                <w:lang w:eastAsia="en-AU"/>
              </w:rPr>
              <w:t>s</w:t>
            </w:r>
            <w:r w:rsidRPr="00452BDE">
              <w:rPr>
                <w:rFonts w:eastAsia="Times New Roman" w:cs="Times New Roman"/>
                <w:sz w:val="17"/>
                <w:szCs w:val="17"/>
                <w:lang w:eastAsia="en-AU"/>
              </w:rPr>
              <w:t xml:space="preserve"> workplan.</w:t>
            </w:r>
          </w:p>
        </w:tc>
        <w:tc>
          <w:tcPr>
            <w:tcW w:w="463" w:type="pct"/>
            <w:tcBorders>
              <w:right w:val="single" w:sz="8" w:space="0" w:color="E6E6E1" w:themeColor="accent5"/>
            </w:tcBorders>
            <w:vAlign w:val="top"/>
          </w:tcPr>
          <w:p w14:paraId="4BD0E498" w14:textId="77777777" w:rsidR="00452BDE" w:rsidRPr="00452BDE" w:rsidRDefault="00452BDE" w:rsidP="00452BDE">
            <w:pPr>
              <w:jc w:val="center"/>
              <w:rPr>
                <w:sz w:val="17"/>
                <w:szCs w:val="17"/>
              </w:rPr>
            </w:pPr>
            <w:r w:rsidRPr="00452BDE">
              <w:rPr>
                <w:sz w:val="17"/>
                <w:szCs w:val="17"/>
              </w:rPr>
              <w:t>L</w:t>
            </w:r>
          </w:p>
        </w:tc>
      </w:tr>
      <w:tr w:rsidR="00452BDE" w:rsidRPr="00452BDE" w14:paraId="612269C1" w14:textId="77777777" w:rsidTr="00452BDE">
        <w:trPr>
          <w:trHeight w:val="534"/>
        </w:trPr>
        <w:tc>
          <w:tcPr>
            <w:tcW w:w="656" w:type="pct"/>
            <w:vMerge w:val="restart"/>
            <w:tcBorders>
              <w:top w:val="single" w:sz="8" w:space="0" w:color="00264D" w:themeColor="background2"/>
            </w:tcBorders>
            <w:vAlign w:val="top"/>
          </w:tcPr>
          <w:p w14:paraId="1AD3626B" w14:textId="77777777" w:rsidR="00452BDE" w:rsidRPr="00452BDE" w:rsidRDefault="00452BDE" w:rsidP="00452BDE">
            <w:pPr>
              <w:rPr>
                <w:rFonts w:asciiTheme="majorHAnsi" w:hAnsiTheme="majorHAnsi" w:cstheme="majorHAnsi"/>
                <w:sz w:val="17"/>
                <w:szCs w:val="17"/>
                <w:lang w:eastAsia="en-AU"/>
              </w:rPr>
            </w:pPr>
            <w:r w:rsidRPr="00452BDE">
              <w:rPr>
                <w:rFonts w:asciiTheme="majorHAnsi" w:hAnsiTheme="majorHAnsi" w:cstheme="majorHAnsi"/>
                <w:sz w:val="17"/>
                <w:szCs w:val="17"/>
                <w:lang w:eastAsia="en-AU"/>
              </w:rPr>
              <w:t xml:space="preserve">Component 4 | </w:t>
            </w:r>
            <w:r w:rsidRPr="009D64D7">
              <w:rPr>
                <w:rFonts w:asciiTheme="majorHAnsi" w:hAnsiTheme="majorHAnsi" w:cstheme="majorHAnsi"/>
                <w:sz w:val="17"/>
                <w:szCs w:val="17"/>
                <w:lang w:eastAsia="en-AU"/>
              </w:rPr>
              <w:t>Improving system agility</w:t>
            </w:r>
          </w:p>
        </w:tc>
        <w:tc>
          <w:tcPr>
            <w:tcW w:w="3881" w:type="pct"/>
            <w:tcBorders>
              <w:top w:val="single" w:sz="8" w:space="0" w:color="00264D" w:themeColor="background2"/>
            </w:tcBorders>
            <w:shd w:val="clear" w:color="auto" w:fill="F2F2F2" w:themeFill="background1" w:themeFillShade="F2"/>
            <w:vAlign w:val="top"/>
          </w:tcPr>
          <w:p w14:paraId="78C6C357"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Mechanisms to enable FSANZ and FMM to undertake periodic joint agenda-setting could be implemented.</w:t>
            </w:r>
          </w:p>
        </w:tc>
        <w:tc>
          <w:tcPr>
            <w:tcW w:w="463" w:type="pct"/>
            <w:tcBorders>
              <w:top w:val="single" w:sz="8" w:space="0" w:color="00264D" w:themeColor="background2"/>
              <w:right w:val="single" w:sz="8" w:space="0" w:color="E6E6E1" w:themeColor="accent5"/>
            </w:tcBorders>
            <w:vAlign w:val="top"/>
          </w:tcPr>
          <w:p w14:paraId="7C40E872" w14:textId="77777777" w:rsidR="00452BDE" w:rsidRPr="00452BDE" w:rsidRDefault="00452BDE" w:rsidP="00452BDE">
            <w:pPr>
              <w:jc w:val="center"/>
              <w:rPr>
                <w:sz w:val="17"/>
                <w:szCs w:val="17"/>
              </w:rPr>
            </w:pPr>
            <w:r w:rsidRPr="00452BDE">
              <w:rPr>
                <w:sz w:val="17"/>
                <w:szCs w:val="17"/>
              </w:rPr>
              <w:t>O</w:t>
            </w:r>
          </w:p>
        </w:tc>
      </w:tr>
      <w:tr w:rsidR="00452BDE" w:rsidRPr="00452BDE" w14:paraId="1FCFBDAA" w14:textId="77777777" w:rsidTr="00452BDE">
        <w:trPr>
          <w:trHeight w:val="141"/>
        </w:trPr>
        <w:tc>
          <w:tcPr>
            <w:tcW w:w="656" w:type="pct"/>
            <w:vMerge/>
            <w:vAlign w:val="top"/>
          </w:tcPr>
          <w:p w14:paraId="003FF333" w14:textId="77777777" w:rsidR="00452BDE" w:rsidRPr="00452BDE" w:rsidRDefault="00452BDE" w:rsidP="00452BDE">
            <w:pPr>
              <w:rPr>
                <w:rFonts w:asciiTheme="majorHAnsi" w:hAnsiTheme="majorHAnsi" w:cstheme="majorHAnsi"/>
                <w:sz w:val="17"/>
                <w:szCs w:val="17"/>
                <w:lang w:eastAsia="en-AU"/>
              </w:rPr>
            </w:pPr>
          </w:p>
        </w:tc>
        <w:tc>
          <w:tcPr>
            <w:tcW w:w="3881" w:type="pct"/>
            <w:shd w:val="clear" w:color="auto" w:fill="F2F2F2" w:themeFill="background1" w:themeFillShade="F2"/>
            <w:vAlign w:val="top"/>
          </w:tcPr>
          <w:p w14:paraId="2AC7AA6E"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FSANZ could engage earlier and more systematically with the Food Regulation Standing Committee (FRSC) and jurisdictions in the development of food standards.</w:t>
            </w:r>
          </w:p>
        </w:tc>
        <w:tc>
          <w:tcPr>
            <w:tcW w:w="463" w:type="pct"/>
            <w:tcBorders>
              <w:right w:val="single" w:sz="8" w:space="0" w:color="E6E6E1" w:themeColor="accent5"/>
            </w:tcBorders>
            <w:vAlign w:val="top"/>
          </w:tcPr>
          <w:p w14:paraId="48E1F70E" w14:textId="77777777" w:rsidR="00452BDE" w:rsidRPr="00452BDE" w:rsidRDefault="00452BDE" w:rsidP="00452BDE">
            <w:pPr>
              <w:jc w:val="center"/>
              <w:rPr>
                <w:sz w:val="17"/>
                <w:szCs w:val="17"/>
              </w:rPr>
            </w:pPr>
            <w:r w:rsidRPr="00452BDE">
              <w:rPr>
                <w:sz w:val="17"/>
                <w:szCs w:val="17"/>
              </w:rPr>
              <w:t>O</w:t>
            </w:r>
          </w:p>
        </w:tc>
      </w:tr>
      <w:tr w:rsidR="00452BDE" w:rsidRPr="00452BDE" w14:paraId="0A9C3188" w14:textId="77777777" w:rsidTr="00452BDE">
        <w:trPr>
          <w:trHeight w:val="141"/>
        </w:trPr>
        <w:tc>
          <w:tcPr>
            <w:tcW w:w="656" w:type="pct"/>
            <w:vMerge/>
            <w:vAlign w:val="top"/>
          </w:tcPr>
          <w:p w14:paraId="7FABD39C" w14:textId="77777777" w:rsidR="00452BDE" w:rsidRPr="00452BDE" w:rsidRDefault="00452BDE" w:rsidP="00452BDE">
            <w:pPr>
              <w:rPr>
                <w:rFonts w:asciiTheme="majorHAnsi" w:hAnsiTheme="majorHAnsi" w:cstheme="majorHAnsi"/>
                <w:sz w:val="17"/>
                <w:szCs w:val="17"/>
                <w:lang w:eastAsia="en-AU"/>
              </w:rPr>
            </w:pPr>
          </w:p>
        </w:tc>
        <w:tc>
          <w:tcPr>
            <w:tcW w:w="3881" w:type="pct"/>
            <w:shd w:val="clear" w:color="auto" w:fill="F2F2F2" w:themeFill="background1" w:themeFillShade="F2"/>
            <w:vAlign w:val="top"/>
          </w:tcPr>
          <w:p w14:paraId="600D93E2" w14:textId="4D615E50"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FSANZ could take guardianship over key food safety databases (</w:t>
            </w:r>
            <w:r w:rsidRPr="00452BDE">
              <w:rPr>
                <w:rFonts w:asciiTheme="majorHAnsi" w:hAnsiTheme="majorHAnsi" w:cstheme="majorHAnsi"/>
                <w:i/>
                <w:iCs/>
                <w:sz w:val="17"/>
                <w:szCs w:val="17"/>
              </w:rPr>
              <w:t>Australia only</w:t>
            </w:r>
            <w:r w:rsidRPr="00452BDE">
              <w:rPr>
                <w:rFonts w:asciiTheme="majorHAnsi" w:hAnsiTheme="majorHAnsi" w:cstheme="majorHAnsi"/>
                <w:sz w:val="17"/>
                <w:szCs w:val="17"/>
              </w:rPr>
              <w:t>)</w:t>
            </w:r>
            <w:r w:rsidR="009D64D7">
              <w:rPr>
                <w:rFonts w:asciiTheme="majorHAnsi" w:hAnsiTheme="majorHAnsi" w:cstheme="majorHAnsi"/>
                <w:sz w:val="17"/>
                <w:szCs w:val="17"/>
              </w:rPr>
              <w:t>.</w:t>
            </w:r>
          </w:p>
        </w:tc>
        <w:tc>
          <w:tcPr>
            <w:tcW w:w="463" w:type="pct"/>
            <w:tcBorders>
              <w:right w:val="single" w:sz="8" w:space="0" w:color="E6E6E1" w:themeColor="accent5"/>
            </w:tcBorders>
            <w:vAlign w:val="top"/>
          </w:tcPr>
          <w:p w14:paraId="03EF33A0" w14:textId="77777777" w:rsidR="00452BDE" w:rsidRPr="00452BDE" w:rsidRDefault="00452BDE" w:rsidP="00452BDE">
            <w:pPr>
              <w:jc w:val="center"/>
              <w:rPr>
                <w:sz w:val="17"/>
                <w:szCs w:val="17"/>
              </w:rPr>
            </w:pPr>
            <w:r w:rsidRPr="00452BDE">
              <w:rPr>
                <w:sz w:val="17"/>
                <w:szCs w:val="17"/>
              </w:rPr>
              <w:t>O</w:t>
            </w:r>
          </w:p>
        </w:tc>
      </w:tr>
      <w:tr w:rsidR="00452BDE" w:rsidRPr="00452BDE" w14:paraId="28E5086A" w14:textId="77777777" w:rsidTr="00452BDE">
        <w:trPr>
          <w:trHeight w:val="141"/>
        </w:trPr>
        <w:tc>
          <w:tcPr>
            <w:tcW w:w="656" w:type="pct"/>
            <w:vMerge/>
            <w:vAlign w:val="top"/>
          </w:tcPr>
          <w:p w14:paraId="2524EEEC" w14:textId="77777777" w:rsidR="00452BDE" w:rsidRPr="00452BDE" w:rsidRDefault="00452BDE" w:rsidP="00452BDE">
            <w:pPr>
              <w:rPr>
                <w:rFonts w:asciiTheme="majorHAnsi" w:hAnsiTheme="majorHAnsi" w:cstheme="majorHAnsi"/>
                <w:sz w:val="17"/>
                <w:szCs w:val="17"/>
                <w:lang w:eastAsia="en-AU"/>
              </w:rPr>
            </w:pPr>
          </w:p>
        </w:tc>
        <w:tc>
          <w:tcPr>
            <w:tcW w:w="3881" w:type="pct"/>
            <w:shd w:val="clear" w:color="auto" w:fill="F2F2F2" w:themeFill="background1" w:themeFillShade="F2"/>
            <w:vAlign w:val="top"/>
          </w:tcPr>
          <w:p w14:paraId="2007BA4C"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Further work could be done to establish information sharing arrangements with international partners.</w:t>
            </w:r>
          </w:p>
        </w:tc>
        <w:tc>
          <w:tcPr>
            <w:tcW w:w="463" w:type="pct"/>
            <w:tcBorders>
              <w:right w:val="single" w:sz="8" w:space="0" w:color="E6E6E1" w:themeColor="accent5"/>
            </w:tcBorders>
            <w:vAlign w:val="top"/>
          </w:tcPr>
          <w:p w14:paraId="6382B84B" w14:textId="77777777" w:rsidR="00452BDE" w:rsidRPr="00452BDE" w:rsidRDefault="00452BDE" w:rsidP="00452BDE">
            <w:pPr>
              <w:jc w:val="center"/>
              <w:rPr>
                <w:sz w:val="17"/>
                <w:szCs w:val="17"/>
              </w:rPr>
            </w:pPr>
            <w:r w:rsidRPr="00452BDE">
              <w:rPr>
                <w:sz w:val="17"/>
                <w:szCs w:val="17"/>
              </w:rPr>
              <w:t>O</w:t>
            </w:r>
          </w:p>
        </w:tc>
      </w:tr>
      <w:tr w:rsidR="00452BDE" w:rsidRPr="00452BDE" w14:paraId="752034C9" w14:textId="77777777" w:rsidTr="00452BDE">
        <w:trPr>
          <w:trHeight w:val="141"/>
        </w:trPr>
        <w:tc>
          <w:tcPr>
            <w:tcW w:w="656" w:type="pct"/>
            <w:vMerge/>
            <w:vAlign w:val="top"/>
          </w:tcPr>
          <w:p w14:paraId="758084F3" w14:textId="77777777" w:rsidR="00452BDE" w:rsidRPr="00452BDE" w:rsidRDefault="00452BDE" w:rsidP="00452BDE">
            <w:pPr>
              <w:rPr>
                <w:rFonts w:asciiTheme="majorHAnsi" w:hAnsiTheme="majorHAnsi" w:cstheme="majorHAnsi"/>
                <w:sz w:val="17"/>
                <w:szCs w:val="17"/>
                <w:lang w:eastAsia="en-AU"/>
              </w:rPr>
            </w:pPr>
          </w:p>
        </w:tc>
        <w:tc>
          <w:tcPr>
            <w:tcW w:w="3881" w:type="pct"/>
            <w:shd w:val="clear" w:color="auto" w:fill="F2F2F2" w:themeFill="background1" w:themeFillShade="F2"/>
            <w:vAlign w:val="top"/>
          </w:tcPr>
          <w:p w14:paraId="6F52FBA3" w14:textId="516041C9" w:rsidR="00452BDE" w:rsidRPr="00452BDE" w:rsidRDefault="008117F8" w:rsidP="00452BDE">
            <w:pPr>
              <w:rPr>
                <w:rFonts w:asciiTheme="majorHAnsi" w:hAnsiTheme="majorHAnsi" w:cstheme="majorHAnsi"/>
                <w:sz w:val="17"/>
                <w:szCs w:val="17"/>
              </w:rPr>
            </w:pPr>
            <w:r>
              <w:rPr>
                <w:rFonts w:asciiTheme="majorHAnsi" w:hAnsiTheme="majorHAnsi" w:cstheme="majorHAnsi"/>
                <w:sz w:val="17"/>
                <w:szCs w:val="17"/>
              </w:rPr>
              <w:t>Statements of Intent</w:t>
            </w:r>
            <w:r w:rsidR="00452BDE" w:rsidRPr="00452BDE">
              <w:rPr>
                <w:rFonts w:asciiTheme="majorHAnsi" w:hAnsiTheme="majorHAnsi" w:cstheme="majorHAnsi"/>
                <w:sz w:val="17"/>
                <w:szCs w:val="17"/>
              </w:rPr>
              <w:t xml:space="preserve"> could be introduced into the Food </w:t>
            </w:r>
            <w:r w:rsidR="00BA38BE">
              <w:rPr>
                <w:rFonts w:asciiTheme="majorHAnsi" w:hAnsiTheme="majorHAnsi" w:cstheme="majorHAnsi"/>
                <w:sz w:val="17"/>
                <w:szCs w:val="17"/>
              </w:rPr>
              <w:t xml:space="preserve">Standards </w:t>
            </w:r>
            <w:r w:rsidR="00452BDE" w:rsidRPr="00452BDE">
              <w:rPr>
                <w:rFonts w:asciiTheme="majorHAnsi" w:hAnsiTheme="majorHAnsi" w:cstheme="majorHAnsi"/>
                <w:sz w:val="17"/>
                <w:szCs w:val="17"/>
              </w:rPr>
              <w:t>Code to assist with interpretation and enforcement.</w:t>
            </w:r>
          </w:p>
        </w:tc>
        <w:tc>
          <w:tcPr>
            <w:tcW w:w="463" w:type="pct"/>
            <w:tcBorders>
              <w:right w:val="single" w:sz="8" w:space="0" w:color="E6E6E1" w:themeColor="accent5"/>
            </w:tcBorders>
            <w:vAlign w:val="top"/>
          </w:tcPr>
          <w:p w14:paraId="5D8C9440" w14:textId="77777777" w:rsidR="00452BDE" w:rsidRPr="00452BDE" w:rsidRDefault="00452BDE" w:rsidP="00452BDE">
            <w:pPr>
              <w:jc w:val="center"/>
              <w:rPr>
                <w:sz w:val="17"/>
                <w:szCs w:val="17"/>
              </w:rPr>
            </w:pPr>
            <w:r w:rsidRPr="00452BDE">
              <w:rPr>
                <w:sz w:val="17"/>
                <w:szCs w:val="17"/>
              </w:rPr>
              <w:t>O</w:t>
            </w:r>
          </w:p>
        </w:tc>
      </w:tr>
      <w:tr w:rsidR="00452BDE" w:rsidRPr="00452BDE" w14:paraId="0BA54AC9" w14:textId="77777777" w:rsidTr="00452BDE">
        <w:trPr>
          <w:trHeight w:val="141"/>
        </w:trPr>
        <w:tc>
          <w:tcPr>
            <w:tcW w:w="656" w:type="pct"/>
            <w:vMerge/>
            <w:vAlign w:val="top"/>
          </w:tcPr>
          <w:p w14:paraId="6F96058B" w14:textId="77777777" w:rsidR="00452BDE" w:rsidRPr="00452BDE" w:rsidRDefault="00452BDE" w:rsidP="00452BDE">
            <w:pPr>
              <w:rPr>
                <w:rFonts w:asciiTheme="majorHAnsi" w:hAnsiTheme="majorHAnsi" w:cstheme="majorHAnsi"/>
                <w:sz w:val="17"/>
                <w:szCs w:val="17"/>
                <w:lang w:eastAsia="en-AU"/>
              </w:rPr>
            </w:pPr>
          </w:p>
        </w:tc>
        <w:tc>
          <w:tcPr>
            <w:tcW w:w="3881" w:type="pct"/>
            <w:shd w:val="clear" w:color="auto" w:fill="F2F2F2" w:themeFill="background1" w:themeFillShade="F2"/>
            <w:vAlign w:val="top"/>
          </w:tcPr>
          <w:p w14:paraId="1211BC0F"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 xml:space="preserve">FSANZ could be resourced to develop, </w:t>
            </w:r>
            <w:proofErr w:type="gramStart"/>
            <w:r w:rsidRPr="00452BDE">
              <w:rPr>
                <w:rFonts w:asciiTheme="majorHAnsi" w:hAnsiTheme="majorHAnsi" w:cstheme="majorHAnsi"/>
                <w:sz w:val="17"/>
                <w:szCs w:val="17"/>
              </w:rPr>
              <w:t>update</w:t>
            </w:r>
            <w:proofErr w:type="gramEnd"/>
            <w:r w:rsidRPr="00452BDE">
              <w:rPr>
                <w:rFonts w:asciiTheme="majorHAnsi" w:hAnsiTheme="majorHAnsi" w:cstheme="majorHAnsi"/>
                <w:sz w:val="17"/>
                <w:szCs w:val="17"/>
              </w:rPr>
              <w:t xml:space="preserve"> and maintain industry guidelines to guide interpretation of food standards.</w:t>
            </w:r>
          </w:p>
          <w:p w14:paraId="4D683DA7" w14:textId="77777777" w:rsidR="00452BDE" w:rsidRPr="00452BDE" w:rsidRDefault="00452BDE" w:rsidP="00313A20">
            <w:pPr>
              <w:pStyle w:val="ListParagraph"/>
              <w:numPr>
                <w:ilvl w:val="0"/>
                <w:numId w:val="45"/>
              </w:numPr>
              <w:suppressAutoHyphens/>
              <w:rPr>
                <w:rFonts w:eastAsia="Times New Roman" w:cs="Times New Roman"/>
                <w:sz w:val="17"/>
                <w:szCs w:val="17"/>
                <w:lang w:eastAsia="en-AU"/>
              </w:rPr>
            </w:pPr>
            <w:r w:rsidRPr="00452BDE">
              <w:rPr>
                <w:rFonts w:eastAsia="Times New Roman" w:cs="Times New Roman"/>
                <w:sz w:val="17"/>
                <w:szCs w:val="17"/>
                <w:lang w:eastAsia="en-AU"/>
              </w:rPr>
              <w:t xml:space="preserve">FSANZ could update and maintain industry guidelines which provide advice on how industry can comply with food standards. </w:t>
            </w:r>
          </w:p>
          <w:p w14:paraId="3311FDF8" w14:textId="77777777" w:rsidR="00452BDE" w:rsidRPr="00452BDE" w:rsidRDefault="00452BDE" w:rsidP="00313A20">
            <w:pPr>
              <w:pStyle w:val="ListParagraph"/>
              <w:numPr>
                <w:ilvl w:val="0"/>
                <w:numId w:val="45"/>
              </w:numPr>
              <w:suppressAutoHyphens/>
              <w:rPr>
                <w:rFonts w:eastAsia="Times New Roman" w:cs="Times New Roman"/>
                <w:sz w:val="17"/>
                <w:szCs w:val="17"/>
                <w:lang w:eastAsia="en-AU"/>
              </w:rPr>
            </w:pPr>
            <w:r w:rsidRPr="00452BDE">
              <w:rPr>
                <w:rFonts w:eastAsia="Times New Roman" w:cs="Times New Roman"/>
                <w:sz w:val="17"/>
                <w:szCs w:val="17"/>
                <w:lang w:eastAsia="en-AU"/>
              </w:rPr>
              <w:t xml:space="preserve">Options to better account for the needs of First Nations and Māori Peoples could also be explored. </w:t>
            </w:r>
          </w:p>
        </w:tc>
        <w:tc>
          <w:tcPr>
            <w:tcW w:w="463" w:type="pct"/>
            <w:tcBorders>
              <w:right w:val="single" w:sz="8" w:space="0" w:color="E6E6E1" w:themeColor="accent5"/>
            </w:tcBorders>
            <w:vAlign w:val="top"/>
          </w:tcPr>
          <w:p w14:paraId="5448E5D0" w14:textId="77777777" w:rsidR="00452BDE" w:rsidRPr="00452BDE" w:rsidRDefault="00452BDE" w:rsidP="00452BDE">
            <w:pPr>
              <w:jc w:val="center"/>
              <w:rPr>
                <w:sz w:val="17"/>
                <w:szCs w:val="17"/>
              </w:rPr>
            </w:pPr>
            <w:r w:rsidRPr="00452BDE">
              <w:rPr>
                <w:sz w:val="17"/>
                <w:szCs w:val="17"/>
              </w:rPr>
              <w:t>O</w:t>
            </w:r>
          </w:p>
        </w:tc>
      </w:tr>
      <w:tr w:rsidR="00452BDE" w:rsidRPr="00452BDE" w14:paraId="06EC0CEA" w14:textId="77777777" w:rsidTr="00452BDE">
        <w:trPr>
          <w:trHeight w:val="367"/>
        </w:trPr>
        <w:tc>
          <w:tcPr>
            <w:tcW w:w="656" w:type="pct"/>
            <w:vMerge/>
            <w:vAlign w:val="top"/>
          </w:tcPr>
          <w:p w14:paraId="5F32BBE9" w14:textId="77777777" w:rsidR="00452BDE" w:rsidRPr="00452BDE" w:rsidRDefault="00452BDE" w:rsidP="00452BDE">
            <w:pPr>
              <w:rPr>
                <w:rFonts w:asciiTheme="majorHAnsi" w:hAnsiTheme="majorHAnsi" w:cstheme="majorHAnsi"/>
                <w:sz w:val="17"/>
                <w:szCs w:val="17"/>
                <w:lang w:eastAsia="en-AU"/>
              </w:rPr>
            </w:pPr>
          </w:p>
        </w:tc>
        <w:tc>
          <w:tcPr>
            <w:tcW w:w="3881" w:type="pct"/>
            <w:shd w:val="clear" w:color="auto" w:fill="F2F2F2" w:themeFill="background1" w:themeFillShade="F2"/>
            <w:vAlign w:val="top"/>
          </w:tcPr>
          <w:p w14:paraId="4EE1FAC4" w14:textId="77777777" w:rsidR="00452BDE" w:rsidRPr="00452BDE" w:rsidRDefault="00452BDE" w:rsidP="00452BDE">
            <w:pPr>
              <w:rPr>
                <w:rFonts w:asciiTheme="majorHAnsi" w:hAnsiTheme="majorHAnsi" w:cstheme="majorHAnsi"/>
                <w:sz w:val="17"/>
                <w:szCs w:val="17"/>
              </w:rPr>
            </w:pPr>
            <w:r w:rsidRPr="00452BDE">
              <w:rPr>
                <w:rFonts w:asciiTheme="majorHAnsi" w:hAnsiTheme="majorHAnsi" w:cstheme="majorHAnsi"/>
                <w:sz w:val="17"/>
                <w:szCs w:val="17"/>
              </w:rPr>
              <w:t>FSANZ could collaborate more regularly with jurisdiction enforcement agencies.</w:t>
            </w:r>
          </w:p>
        </w:tc>
        <w:tc>
          <w:tcPr>
            <w:tcW w:w="463" w:type="pct"/>
            <w:tcBorders>
              <w:right w:val="single" w:sz="8" w:space="0" w:color="E6E6E1" w:themeColor="accent5"/>
            </w:tcBorders>
            <w:vAlign w:val="top"/>
          </w:tcPr>
          <w:p w14:paraId="4E5DFE27" w14:textId="77777777" w:rsidR="00452BDE" w:rsidRPr="00452BDE" w:rsidRDefault="00452BDE" w:rsidP="00452BDE">
            <w:pPr>
              <w:jc w:val="center"/>
              <w:rPr>
                <w:sz w:val="17"/>
                <w:szCs w:val="17"/>
              </w:rPr>
            </w:pPr>
            <w:r w:rsidRPr="00452BDE">
              <w:rPr>
                <w:sz w:val="17"/>
                <w:szCs w:val="17"/>
              </w:rPr>
              <w:t>O</w:t>
            </w:r>
          </w:p>
        </w:tc>
      </w:tr>
    </w:tbl>
    <w:p w14:paraId="1F4EB181" w14:textId="6098A4CF" w:rsidR="00943E13" w:rsidRDefault="00943E13" w:rsidP="00943E13"/>
    <w:p w14:paraId="6ACC33A0" w14:textId="2ED101AB" w:rsidR="00923BE4" w:rsidRDefault="00923BE4" w:rsidP="00923BE4">
      <w:pPr>
        <w:pStyle w:val="Heading3"/>
      </w:pPr>
      <w:r>
        <w:lastRenderedPageBreak/>
        <w:t>Component 2.1 | Purpose and objectives of FSANZ</w:t>
      </w:r>
    </w:p>
    <w:p w14:paraId="4F58B3A7" w14:textId="39A04E5B" w:rsidR="00923BE4" w:rsidRPr="003D2D0F" w:rsidRDefault="00472505" w:rsidP="003D2D0F">
      <w:pPr>
        <w:pStyle w:val="Heading4"/>
      </w:pPr>
      <w:r>
        <w:t xml:space="preserve">Component 2.1.1 | </w:t>
      </w:r>
      <w:r w:rsidR="00923BE4">
        <w:t>T</w:t>
      </w:r>
      <w:r w:rsidR="00923BE4" w:rsidRPr="00BF6550">
        <w:t xml:space="preserve">he definition of </w:t>
      </w:r>
      <w:r w:rsidR="00CE6829">
        <w:t>‘</w:t>
      </w:r>
      <w:r w:rsidR="00923BE4" w:rsidRPr="00BF6550">
        <w:t>protection of public health and safety</w:t>
      </w:r>
      <w:r w:rsidR="00CE6829">
        <w:t>’</w:t>
      </w:r>
      <w:r w:rsidR="00923BE4" w:rsidRPr="00BF6550">
        <w:t xml:space="preserve"> within the Act </w:t>
      </w:r>
      <w:r w:rsidR="00923BE4">
        <w:t xml:space="preserve">could be clarified </w:t>
      </w:r>
      <w:r w:rsidR="00923BE4" w:rsidRPr="00BF6550">
        <w:t xml:space="preserve">to be in line with the current policy </w:t>
      </w:r>
      <w:proofErr w:type="gramStart"/>
      <w:r w:rsidR="00923BE4" w:rsidRPr="00BF6550">
        <w:t>guidance</w:t>
      </w:r>
      <w:proofErr w:type="gramEnd"/>
    </w:p>
    <w:tbl>
      <w:tblPr>
        <w:tblStyle w:val="TableGrid"/>
        <w:tblW w:w="0" w:type="auto"/>
        <w:tblLook w:val="04A0" w:firstRow="1" w:lastRow="0" w:firstColumn="1" w:lastColumn="0" w:noHBand="0" w:noVBand="1"/>
      </w:tblPr>
      <w:tblGrid>
        <w:gridCol w:w="8930"/>
      </w:tblGrid>
      <w:tr w:rsidR="0089006F" w14:paraId="110DF087" w14:textId="77777777" w:rsidTr="00541BCE">
        <w:trPr>
          <w:cnfStyle w:val="100000000000" w:firstRow="1" w:lastRow="0" w:firstColumn="0" w:lastColumn="0" w:oddVBand="0" w:evenVBand="0" w:oddHBand="0" w:evenHBand="0" w:firstRowFirstColumn="0" w:firstRowLastColumn="0" w:lastRowFirstColumn="0" w:lastRowLastColumn="0"/>
        </w:trPr>
        <w:tc>
          <w:tcPr>
            <w:tcW w:w="8930" w:type="dxa"/>
          </w:tcPr>
          <w:p w14:paraId="394BAF48" w14:textId="0C2D4409" w:rsidR="00541BCE" w:rsidRPr="007F7722" w:rsidRDefault="008A4C6A" w:rsidP="00541BCE">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sidR="003B7A83">
              <w:rPr>
                <w:rFonts w:asciiTheme="majorHAnsi" w:hAnsiTheme="majorHAnsi" w:cstheme="majorHAnsi"/>
                <w:lang w:eastAsia="en-AU"/>
              </w:rPr>
              <w:t>component</w:t>
            </w:r>
            <w:r w:rsidR="000A2632" w:rsidRPr="007F7722">
              <w:rPr>
                <w:rFonts w:asciiTheme="majorHAnsi" w:hAnsiTheme="majorHAnsi" w:cstheme="majorHAnsi"/>
                <w:lang w:eastAsia="en-AU"/>
              </w:rPr>
              <w:t xml:space="preserve"> relates:</w:t>
            </w:r>
          </w:p>
          <w:p w14:paraId="4A613A57" w14:textId="23D70762" w:rsidR="000A2632" w:rsidRDefault="002D2BB7" w:rsidP="007F7722">
            <w:pPr>
              <w:pStyle w:val="Bullet"/>
            </w:pPr>
            <w:r>
              <w:t xml:space="preserve">Problem 1.1 | </w:t>
            </w:r>
            <w:r w:rsidRPr="002D2BB7">
              <w:t xml:space="preserve">Unclear definitions have created confusion about how FSANZ should consider short-and long-term risks to health when developing food </w:t>
            </w:r>
            <w:r w:rsidR="006D203C">
              <w:t>regulatory measures</w:t>
            </w:r>
          </w:p>
        </w:tc>
      </w:tr>
    </w:tbl>
    <w:p w14:paraId="18F0F5F9" w14:textId="23A33183" w:rsidR="00923BE4" w:rsidRDefault="00CE6829" w:rsidP="009B4BC5">
      <w:pPr>
        <w:pStyle w:val="Heading5"/>
        <w:numPr>
          <w:ilvl w:val="0"/>
          <w:numId w:val="0"/>
        </w:numPr>
      </w:pPr>
      <w:r>
        <w:t>Section</w:t>
      </w:r>
      <w:r w:rsidR="00923BE4" w:rsidRPr="00BA23A0">
        <w:t xml:space="preserve"> 3 of the Act </w:t>
      </w:r>
      <w:r w:rsidR="00C93F0E">
        <w:t>could be amended to include</w:t>
      </w:r>
      <w:r w:rsidR="00923BE4" w:rsidRPr="00BA23A0">
        <w:t xml:space="preserve"> a definition </w:t>
      </w:r>
      <w:r w:rsidR="0082334D">
        <w:t>o</w:t>
      </w:r>
      <w:r w:rsidR="00923BE4" w:rsidRPr="00BA23A0">
        <w:t xml:space="preserve">f </w:t>
      </w:r>
      <w:r w:rsidR="0089022C">
        <w:t>‘</w:t>
      </w:r>
      <w:r w:rsidR="00923BE4" w:rsidRPr="00BA23A0">
        <w:t xml:space="preserve">protecting public health and safety' that encapsulates both acute and long-term health </w:t>
      </w:r>
      <w:proofErr w:type="gramStart"/>
      <w:r w:rsidR="00271BF5" w:rsidRPr="00BA23A0">
        <w:t>elements</w:t>
      </w:r>
      <w:r w:rsidR="00271BF5">
        <w:t>.</w:t>
      </w:r>
      <w:r w:rsidR="00271BF5">
        <w:rPr>
          <w:rFonts w:ascii="ZWAdobeF" w:hAnsi="ZWAdobeF" w:cs="ZWAdobeF"/>
          <w:b w:val="0"/>
          <w:color w:val="auto"/>
          <w:sz w:val="2"/>
          <w:szCs w:val="2"/>
        </w:rPr>
        <w:t>.</w:t>
      </w:r>
      <w:proofErr w:type="gramEnd"/>
      <w:r w:rsidR="00923BE4" w:rsidRPr="00BA23A0">
        <w:rPr>
          <w:vertAlign w:val="superscript"/>
        </w:rPr>
        <w:footnoteReference w:id="36"/>
      </w:r>
      <w:r w:rsidR="00923BE4" w:rsidRPr="00BA23A0">
        <w:t xml:space="preserve"> </w:t>
      </w:r>
    </w:p>
    <w:p w14:paraId="6F18FEF0" w14:textId="084E5849" w:rsidR="00923BE4" w:rsidRPr="00BA23A0" w:rsidRDefault="00923BE4" w:rsidP="00923BE4">
      <w:r w:rsidRPr="00BA23A0">
        <w:t xml:space="preserve">The Ministerial Policy Statement on the Interpretation of Public Health and Safety in Developing, Reviewing and Varying Food Regulatory Measures provides one such definition of public health: </w:t>
      </w:r>
      <w:r w:rsidR="00CE6829">
        <w:rPr>
          <w:i/>
        </w:rPr>
        <w:t>‘</w:t>
      </w:r>
      <w:r w:rsidRPr="00BA23A0">
        <w:rPr>
          <w:i/>
        </w:rPr>
        <w:t>all those aspects of food consumption that could adversely affect the general population or a particular community’s health either in the short</w:t>
      </w:r>
      <w:r w:rsidR="00B45995">
        <w:rPr>
          <w:i/>
        </w:rPr>
        <w:t>-</w:t>
      </w:r>
      <w:r w:rsidRPr="00BA23A0">
        <w:rPr>
          <w:i/>
        </w:rPr>
        <w:t>term or long</w:t>
      </w:r>
      <w:r w:rsidR="00B45995">
        <w:rPr>
          <w:i/>
        </w:rPr>
        <w:t>-</w:t>
      </w:r>
      <w:r w:rsidRPr="00BA23A0">
        <w:rPr>
          <w:i/>
        </w:rPr>
        <w:t>term, including preventable diet-related disease, illness and disability as well as acute food safety concerns.</w:t>
      </w:r>
      <w:r w:rsidR="00CE6829">
        <w:rPr>
          <w:i/>
        </w:rPr>
        <w:t>’</w:t>
      </w:r>
      <w:r w:rsidRPr="00BA23A0">
        <w:t xml:space="preserve"> </w:t>
      </w:r>
    </w:p>
    <w:p w14:paraId="2CF920D8" w14:textId="4E5DA844" w:rsidR="00923BE4" w:rsidRDefault="00650152" w:rsidP="00923BE4">
      <w:r>
        <w:t>Section 18</w:t>
      </w:r>
      <w:r w:rsidR="000D2CAC">
        <w:t>(1)</w:t>
      </w:r>
      <w:r>
        <w:t xml:space="preserve"> could also be amended to align with such a definition </w:t>
      </w:r>
      <w:r w:rsidR="001C1176">
        <w:t>and</w:t>
      </w:r>
      <w:r w:rsidR="00DA44D8">
        <w:t xml:space="preserve"> make clear that </w:t>
      </w:r>
      <w:r w:rsidR="007A5A5C">
        <w:t xml:space="preserve">the objectives of developing </w:t>
      </w:r>
      <w:r w:rsidR="00DA44D8">
        <w:t xml:space="preserve">food regulatory measures </w:t>
      </w:r>
      <w:r w:rsidR="007A5A5C">
        <w:t>is to safeguard both short and long-term health.</w:t>
      </w:r>
    </w:p>
    <w:p w14:paraId="7A13CAA3" w14:textId="6AE86419" w:rsidR="00163C74" w:rsidRPr="00BA23A0" w:rsidRDefault="00163C74" w:rsidP="00923BE4">
      <w:pPr>
        <w:rPr>
          <w:rFonts w:ascii="Segoe UI Semibold" w:hAnsi="Segoe UI Semibold" w:cs="Segoe UI Semibold"/>
        </w:rPr>
      </w:pPr>
      <w:r>
        <w:t xml:space="preserve">This change aligns with a clarification provided by the FSANZ Board of its Section 18 objects. The objectives statement acknowledges the role of food standards in making a </w:t>
      </w:r>
      <w:r w:rsidR="00B91D27" w:rsidRPr="00B718C5">
        <w:rPr>
          <w:i/>
          <w:iCs/>
        </w:rPr>
        <w:t>‘positive contribution to longer term public health objectives, especially when part of a coordinated set of strategies aimed at improving diet-related contributions to public health’</w:t>
      </w:r>
      <w:r w:rsidR="00B91D27">
        <w:t>.</w:t>
      </w:r>
    </w:p>
    <w:p w14:paraId="75A01A16" w14:textId="77777777" w:rsidR="009A71B6" w:rsidRDefault="00923BE4" w:rsidP="00923BE4">
      <w:pPr>
        <w:rPr>
          <w:lang w:eastAsia="en-AU"/>
        </w:rPr>
      </w:pPr>
      <w:r w:rsidRPr="009A71B6">
        <w:rPr>
          <w:rStyle w:val="Heading5Char"/>
          <w:rFonts w:eastAsiaTheme="minorHAnsi"/>
        </w:rPr>
        <w:t xml:space="preserve">The Act could be further clarified by making language in the legislation consistent across all documents of the </w:t>
      </w:r>
      <w:r w:rsidR="00E548E3" w:rsidRPr="009A71B6">
        <w:rPr>
          <w:rStyle w:val="Heading5Char"/>
          <w:rFonts w:eastAsiaTheme="minorHAnsi"/>
        </w:rPr>
        <w:t>bi</w:t>
      </w:r>
      <w:r w:rsidRPr="009A71B6">
        <w:rPr>
          <w:rStyle w:val="Heading5Char"/>
          <w:rFonts w:eastAsiaTheme="minorHAnsi"/>
        </w:rPr>
        <w:t>-national food regulation system</w:t>
      </w:r>
      <w:r>
        <w:rPr>
          <w:lang w:eastAsia="en-AU"/>
        </w:rPr>
        <w:t xml:space="preserve">. </w:t>
      </w:r>
    </w:p>
    <w:p w14:paraId="6C6DC86C" w14:textId="1FFAFE59" w:rsidR="00923BE4" w:rsidRDefault="00923BE4" w:rsidP="00923BE4">
      <w:pPr>
        <w:rPr>
          <w:lang w:eastAsia="en-AU"/>
        </w:rPr>
      </w:pPr>
      <w:r>
        <w:rPr>
          <w:lang w:eastAsia="en-AU"/>
        </w:rPr>
        <w:t xml:space="preserve">As outlined in </w:t>
      </w:r>
      <w:r w:rsidR="00B62604">
        <w:rPr>
          <w:lang w:eastAsia="en-AU"/>
        </w:rPr>
        <w:t>Section</w:t>
      </w:r>
      <w:r>
        <w:rPr>
          <w:lang w:eastAsia="en-AU"/>
        </w:rPr>
        <w:t xml:space="preserve"> </w:t>
      </w:r>
      <w:r>
        <w:rPr>
          <w:lang w:eastAsia="en-AU"/>
        </w:rPr>
        <w:fldChar w:fldCharType="begin"/>
      </w:r>
      <w:r>
        <w:rPr>
          <w:lang w:eastAsia="en-AU"/>
        </w:rPr>
        <w:instrText xml:space="preserve"> REF _Ref141718599 \r \h </w:instrText>
      </w:r>
      <w:r>
        <w:rPr>
          <w:lang w:eastAsia="en-AU"/>
        </w:rPr>
      </w:r>
      <w:r>
        <w:rPr>
          <w:lang w:eastAsia="en-AU"/>
        </w:rPr>
        <w:fldChar w:fldCharType="separate"/>
      </w:r>
      <w:r w:rsidR="003F7B92">
        <w:rPr>
          <w:lang w:eastAsia="en-AU"/>
        </w:rPr>
        <w:t>1</w:t>
      </w:r>
      <w:r>
        <w:rPr>
          <w:lang w:eastAsia="en-AU"/>
        </w:rPr>
        <w:fldChar w:fldCharType="end"/>
      </w:r>
      <w:r>
        <w:rPr>
          <w:lang w:eastAsia="en-AU"/>
        </w:rPr>
        <w:t xml:space="preserve"> this includes:</w:t>
      </w:r>
    </w:p>
    <w:p w14:paraId="4AAEBBCA" w14:textId="64DBA448" w:rsidR="00923BE4" w:rsidRDefault="00923BE4" w:rsidP="00923BE4">
      <w:pPr>
        <w:pStyle w:val="Bullet"/>
      </w:pPr>
      <w:r>
        <w:t>t</w:t>
      </w:r>
      <w:r w:rsidRPr="00035BFA">
        <w:t>he FRA</w:t>
      </w:r>
    </w:p>
    <w:p w14:paraId="2C67053B" w14:textId="78385E94" w:rsidR="00923BE4" w:rsidRPr="00035BFA" w:rsidRDefault="00923BE4" w:rsidP="00923BE4">
      <w:pPr>
        <w:pStyle w:val="Bullet"/>
      </w:pPr>
      <w:r>
        <w:t>t</w:t>
      </w:r>
      <w:r w:rsidRPr="00035BFA">
        <w:t xml:space="preserve">he </w:t>
      </w:r>
      <w:r w:rsidR="0089022C">
        <w:t xml:space="preserve">Food </w:t>
      </w:r>
      <w:r w:rsidRPr="00035BFA">
        <w:t xml:space="preserve">Treaty. </w:t>
      </w:r>
    </w:p>
    <w:p w14:paraId="074081E7" w14:textId="77777777" w:rsidR="00923BE4" w:rsidRDefault="00923BE4" w:rsidP="00923BE4">
      <w:pPr>
        <w:rPr>
          <w:lang w:eastAsia="en-AU"/>
        </w:rPr>
      </w:pPr>
      <w:r>
        <w:rPr>
          <w:lang w:eastAsia="en-AU"/>
        </w:rPr>
        <w:t xml:space="preserve">This would support a clear, common understanding across the joint food standards system of the strategic direction and functions of FSANZ. </w:t>
      </w:r>
    </w:p>
    <w:p w14:paraId="11467145" w14:textId="6FCBDFBD" w:rsidR="008F1604" w:rsidRDefault="00902895" w:rsidP="009C7212">
      <w:pPr>
        <w:pStyle w:val="Heading4"/>
      </w:pPr>
      <w:r>
        <w:t xml:space="preserve">Component 2.1.2 | </w:t>
      </w:r>
      <w:r w:rsidR="008F1604">
        <w:t>There could be greater clarity around how</w:t>
      </w:r>
      <w:r w:rsidR="008F1604" w:rsidRPr="00186D11">
        <w:t xml:space="preserve"> ministerial policy guidance </w:t>
      </w:r>
      <w:r w:rsidR="008F1604">
        <w:t>is</w:t>
      </w:r>
      <w:r w:rsidR="008F1604" w:rsidRPr="00186D11">
        <w:t xml:space="preserve"> reflected in the development of </w:t>
      </w:r>
      <w:r w:rsidR="008F1604">
        <w:t>f</w:t>
      </w:r>
      <w:r w:rsidR="008F1604" w:rsidRPr="00186D11">
        <w:t xml:space="preserve">ood </w:t>
      </w:r>
      <w:proofErr w:type="gramStart"/>
      <w:r w:rsidR="008F1604">
        <w:t>st</w:t>
      </w:r>
      <w:r w:rsidR="008F1604" w:rsidRPr="00186D11">
        <w:t>andard</w:t>
      </w:r>
      <w:r w:rsidR="008F1604">
        <w:t>s</w:t>
      </w:r>
      <w:proofErr w:type="gramEnd"/>
      <w:r w:rsidR="00B06FDD" w:rsidRPr="00B06FDD" w:rsidDel="00B06FDD">
        <w:t xml:space="preserve"> </w:t>
      </w:r>
    </w:p>
    <w:tbl>
      <w:tblPr>
        <w:tblStyle w:val="TableGrid"/>
        <w:tblW w:w="0" w:type="auto"/>
        <w:tblLook w:val="04A0" w:firstRow="1" w:lastRow="0" w:firstColumn="1" w:lastColumn="0" w:noHBand="0" w:noVBand="1"/>
      </w:tblPr>
      <w:tblGrid>
        <w:gridCol w:w="8930"/>
      </w:tblGrid>
      <w:tr w:rsidR="0089006F" w14:paraId="7059E6EB"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211828AD" w14:textId="77777777" w:rsidR="00C75E2C" w:rsidRPr="007F7722" w:rsidRDefault="00C75E2C" w:rsidP="00C75E2C">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6EC23DDE" w14:textId="09BEB29F" w:rsidR="009C3640" w:rsidRDefault="009C3640">
            <w:pPr>
              <w:pStyle w:val="Bullet"/>
            </w:pPr>
            <w:r>
              <w:t>Problem 1.</w:t>
            </w:r>
            <w:r w:rsidR="00917AC5">
              <w:t>2</w:t>
            </w:r>
            <w:r>
              <w:t xml:space="preserve"> | </w:t>
            </w:r>
            <w:r w:rsidR="003A51CA" w:rsidRPr="003A51CA">
              <w:t>There remains some confusion about the factors to which FSANZ has given regard in its decision-making, and how this aligns with the objectives of the Act</w:t>
            </w:r>
          </w:p>
        </w:tc>
      </w:tr>
    </w:tbl>
    <w:p w14:paraId="1E33F11A" w14:textId="77777777" w:rsidR="00DB0143" w:rsidRDefault="00DB0143" w:rsidP="007F7722"/>
    <w:p w14:paraId="2772679E" w14:textId="18AF754E" w:rsidR="009172B3" w:rsidRDefault="00D51FA4" w:rsidP="007F7722">
      <w:r>
        <w:t>Given the ongoing confusion about how FSANZ has arrived at a draft regulatory measure, FSANZ could refresh its current communication strategies to better articulate how different factors have been considered to inform a position, with a particular focus on demonstrating how ministerial guidelines have been appraised</w:t>
      </w:r>
      <w:r w:rsidR="0058610B">
        <w:t>. F</w:t>
      </w:r>
      <w:r w:rsidR="002A55AD" w:rsidRPr="002A55AD">
        <w:t>or example, reports could categorically explain what factors have been considered, and comment on the impacts that are anticipated by endorsing a standard, such as public health impacts</w:t>
      </w:r>
      <w:r w:rsidR="002A55AD">
        <w:t>.</w:t>
      </w:r>
    </w:p>
    <w:p w14:paraId="50C429BF" w14:textId="7A6E1507" w:rsidR="00923BE4" w:rsidRDefault="00534E92" w:rsidP="00923BE4">
      <w:pPr>
        <w:pStyle w:val="Heading4"/>
      </w:pPr>
      <w:r>
        <w:lastRenderedPageBreak/>
        <w:t xml:space="preserve">Component 2.1.3 | </w:t>
      </w:r>
      <w:r w:rsidR="00923BE4">
        <w:t>L</w:t>
      </w:r>
      <w:r w:rsidR="00923BE4" w:rsidRPr="00BF6550">
        <w:t xml:space="preserve">anguage within the Act </w:t>
      </w:r>
      <w:r w:rsidR="00923BE4">
        <w:t xml:space="preserve">could be updated </w:t>
      </w:r>
      <w:r w:rsidR="00923BE4" w:rsidRPr="00BF6550">
        <w:t xml:space="preserve">to be </w:t>
      </w:r>
      <w:r w:rsidR="00923BE4">
        <w:t xml:space="preserve">more culturally </w:t>
      </w:r>
      <w:proofErr w:type="gramStart"/>
      <w:r w:rsidR="00923BE4">
        <w:t>inclusive</w:t>
      </w:r>
      <w:proofErr w:type="gramEnd"/>
      <w:r w:rsidR="004B0EEB" w:rsidRPr="004B0EEB" w:rsidDel="004B0EEB">
        <w:t xml:space="preserve"> </w:t>
      </w:r>
    </w:p>
    <w:tbl>
      <w:tblPr>
        <w:tblStyle w:val="TableGrid"/>
        <w:tblW w:w="0" w:type="auto"/>
        <w:tblLook w:val="04A0" w:firstRow="1" w:lastRow="0" w:firstColumn="1" w:lastColumn="0" w:noHBand="0" w:noVBand="1"/>
      </w:tblPr>
      <w:tblGrid>
        <w:gridCol w:w="8930"/>
      </w:tblGrid>
      <w:tr w:rsidR="0089006F" w14:paraId="5A988FAF" w14:textId="77777777" w:rsidTr="007A5A5C">
        <w:trPr>
          <w:cnfStyle w:val="100000000000" w:firstRow="1" w:lastRow="0" w:firstColumn="0" w:lastColumn="0" w:oddVBand="0" w:evenVBand="0" w:oddHBand="0" w:evenHBand="0" w:firstRowFirstColumn="0" w:firstRowLastColumn="0" w:lastRowFirstColumn="0" w:lastRowLastColumn="0"/>
        </w:trPr>
        <w:tc>
          <w:tcPr>
            <w:tcW w:w="8930" w:type="dxa"/>
          </w:tcPr>
          <w:p w14:paraId="22069120" w14:textId="77777777" w:rsidR="00C75E2C" w:rsidRPr="007F7722" w:rsidRDefault="00C75E2C" w:rsidP="00C75E2C">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4F4B9074" w14:textId="7A0D14A3" w:rsidR="007A5A5C" w:rsidRDefault="002662BE" w:rsidP="007F7722">
            <w:pPr>
              <w:pStyle w:val="Bullet"/>
            </w:pPr>
            <w:r>
              <w:t xml:space="preserve">Problem 1.3 | </w:t>
            </w:r>
            <w:r w:rsidR="00C41AF4" w:rsidRPr="00C41AF4">
              <w:t xml:space="preserve">The Act is silent on the needs and commitments of government to First Nations and Māori </w:t>
            </w:r>
            <w:r w:rsidR="000F1825">
              <w:t>Peoples</w:t>
            </w:r>
          </w:p>
        </w:tc>
      </w:tr>
    </w:tbl>
    <w:p w14:paraId="49FE21AC" w14:textId="77777777" w:rsidR="007A5A5C" w:rsidRPr="00A323F6" w:rsidRDefault="007A5A5C" w:rsidP="007F7722"/>
    <w:p w14:paraId="57A27FB9" w14:textId="4B3703DC" w:rsidR="00923BE4" w:rsidRDefault="00923BE4" w:rsidP="00923BE4">
      <w:r>
        <w:t xml:space="preserve">A general review of the language throughout the Act may provide opportunity to ensure the language is modern, consistent, </w:t>
      </w:r>
      <w:proofErr w:type="gramStart"/>
      <w:r>
        <w:t>appropriate</w:t>
      </w:r>
      <w:proofErr w:type="gramEnd"/>
      <w:r>
        <w:t xml:space="preserve"> and inclusive.</w:t>
      </w:r>
    </w:p>
    <w:p w14:paraId="100ACF26" w14:textId="66A53969" w:rsidR="00923BE4" w:rsidRDefault="00923BE4" w:rsidP="00923BE4">
      <w:r>
        <w:t xml:space="preserve">In undertaking a review, consideration should be given to language in other legislation and international documentation which respectfully outlines the objectives for Indigenous and First Nations Peoples. Consideration should be given to language in the: </w:t>
      </w:r>
    </w:p>
    <w:p w14:paraId="09B9B0B6" w14:textId="5868351E" w:rsidR="00923BE4" w:rsidRPr="005E0C64" w:rsidRDefault="00923BE4" w:rsidP="00923BE4">
      <w:pPr>
        <w:pStyle w:val="Bullet"/>
        <w:rPr>
          <w:i/>
        </w:rPr>
      </w:pPr>
      <w:proofErr w:type="spellStart"/>
      <w:r w:rsidRPr="005E0C64">
        <w:rPr>
          <w:i/>
        </w:rPr>
        <w:t>Pae</w:t>
      </w:r>
      <w:proofErr w:type="spellEnd"/>
      <w:r w:rsidRPr="005E0C64">
        <w:rPr>
          <w:i/>
        </w:rPr>
        <w:t xml:space="preserve"> Ora (Healthy Futures) Act 2022</w:t>
      </w:r>
    </w:p>
    <w:p w14:paraId="33BCE9AB" w14:textId="1A1A387F" w:rsidR="00923BE4" w:rsidRDefault="00923BE4" w:rsidP="00923BE4">
      <w:pPr>
        <w:pStyle w:val="Bullet"/>
      </w:pPr>
      <w:r>
        <w:t xml:space="preserve">United Nations Declaration on the Rights of Indigenous Peoples in proposing more inclusive </w:t>
      </w:r>
      <w:proofErr w:type="gramStart"/>
      <w:r>
        <w:t>language</w:t>
      </w:r>
      <w:proofErr w:type="gramEnd"/>
    </w:p>
    <w:p w14:paraId="715D1DC2" w14:textId="4CE17A91" w:rsidR="000F17F5" w:rsidRDefault="00923BE4" w:rsidP="00923BE4">
      <w:pPr>
        <w:pStyle w:val="Bullet"/>
      </w:pPr>
      <w:r>
        <w:t>Australia and Aotearoa-New Zealand Indigenous Collaboration Arrangement.</w:t>
      </w:r>
    </w:p>
    <w:p w14:paraId="62835AAA" w14:textId="76A7D79D" w:rsidR="00D06E82" w:rsidRDefault="00A22838" w:rsidP="00D06E82">
      <w:pPr>
        <w:pStyle w:val="Bullet"/>
        <w:numPr>
          <w:ilvl w:val="0"/>
          <w:numId w:val="0"/>
        </w:numPr>
      </w:pPr>
      <w:r>
        <w:t xml:space="preserve">For example, </w:t>
      </w:r>
      <w:r w:rsidR="00C41AF4">
        <w:t xml:space="preserve">the </w:t>
      </w:r>
      <w:proofErr w:type="spellStart"/>
      <w:r>
        <w:t>Pae</w:t>
      </w:r>
      <w:proofErr w:type="spellEnd"/>
      <w:r>
        <w:t xml:space="preserve"> Ora (Healthy Futures) Act </w:t>
      </w:r>
      <w:r w:rsidR="008E1BA0">
        <w:t xml:space="preserve">specifically sets out in Section 6 how the Act is designed to give effect to </w:t>
      </w:r>
      <w:r w:rsidR="00C41AF4">
        <w:t>the Treaty of Waitangi</w:t>
      </w:r>
      <w:r w:rsidR="009D3220">
        <w:t xml:space="preserve">, beginning with an obligation on the Minister, the </w:t>
      </w:r>
      <w:proofErr w:type="gramStart"/>
      <w:r w:rsidR="009D3220">
        <w:t>Ministry</w:t>
      </w:r>
      <w:proofErr w:type="gramEnd"/>
      <w:r w:rsidR="009D3220">
        <w:t xml:space="preserve"> and </w:t>
      </w:r>
      <w:r w:rsidR="008171FF">
        <w:t xml:space="preserve">all health entities to be guided by the health sector principles, which among other things, are aimed at improving the health sector for </w:t>
      </w:r>
      <w:r w:rsidR="00FD3994">
        <w:t>Māori</w:t>
      </w:r>
      <w:r w:rsidR="008171FF">
        <w:t xml:space="preserve"> and improving </w:t>
      </w:r>
      <w:proofErr w:type="spellStart"/>
      <w:r w:rsidR="008171FF">
        <w:t>hauora</w:t>
      </w:r>
      <w:proofErr w:type="spellEnd"/>
      <w:r w:rsidR="008171FF">
        <w:t xml:space="preserve"> </w:t>
      </w:r>
      <w:r w:rsidR="00FD3994">
        <w:t>Māori</w:t>
      </w:r>
      <w:r w:rsidR="008171FF">
        <w:t xml:space="preserve"> outcomes. The health sector principles themselves (set out in Section 7 on the </w:t>
      </w:r>
      <w:r w:rsidR="00BF6985">
        <w:t>a</w:t>
      </w:r>
      <w:r w:rsidR="008171FF">
        <w:t>ct)</w:t>
      </w:r>
      <w:r>
        <w:t xml:space="preserve"> </w:t>
      </w:r>
      <w:r w:rsidR="00ED76A8">
        <w:t xml:space="preserve">commences with the premise that the health sector should be equitable, which includes ensuring </w:t>
      </w:r>
      <w:r w:rsidR="00056585">
        <w:t>Māori</w:t>
      </w:r>
      <w:r w:rsidR="00ED76A8">
        <w:t xml:space="preserve"> and other population groups have access to services in proportion to their health needs; receive equitable levels of service; and achieve equitable health </w:t>
      </w:r>
      <w:r w:rsidR="00056585">
        <w:t>outcomes</w:t>
      </w:r>
      <w:r w:rsidR="00ED76A8">
        <w:t xml:space="preserve">. </w:t>
      </w:r>
    </w:p>
    <w:tbl>
      <w:tblPr>
        <w:tblStyle w:val="TableGrid"/>
        <w:tblW w:w="0" w:type="auto"/>
        <w:tblLook w:val="04A0" w:firstRow="1" w:lastRow="0" w:firstColumn="1" w:lastColumn="0" w:noHBand="0" w:noVBand="1"/>
      </w:tblPr>
      <w:tblGrid>
        <w:gridCol w:w="8930"/>
      </w:tblGrid>
      <w:tr w:rsidR="00480111" w14:paraId="27602873" w14:textId="77777777" w:rsidTr="00B718C5">
        <w:trPr>
          <w:cnfStyle w:val="100000000000" w:firstRow="1" w:lastRow="0" w:firstColumn="0" w:lastColumn="0" w:oddVBand="0" w:evenVBand="0" w:oddHBand="0" w:evenHBand="0" w:firstRowFirstColumn="0" w:firstRowLastColumn="0" w:lastRowFirstColumn="0" w:lastRowLastColumn="0"/>
        </w:trPr>
        <w:tc>
          <w:tcPr>
            <w:tcW w:w="0" w:type="dxa"/>
            <w:shd w:val="clear" w:color="auto" w:fill="00264D" w:themeFill="background2"/>
          </w:tcPr>
          <w:p w14:paraId="784C6F8B" w14:textId="0DA5ECDC" w:rsidR="00480111" w:rsidRDefault="00480111" w:rsidP="00D06E82">
            <w:pPr>
              <w:pStyle w:val="Bullet"/>
              <w:numPr>
                <w:ilvl w:val="0"/>
                <w:numId w:val="0"/>
              </w:numPr>
            </w:pPr>
            <w:r w:rsidRPr="003D65AB">
              <w:rPr>
                <w:rFonts w:asciiTheme="majorHAnsi" w:hAnsiTheme="majorHAnsi" w:cstheme="majorHAnsi"/>
                <w:color w:val="FFFFFF" w:themeColor="background1"/>
              </w:rPr>
              <w:t>Consultation questions</w:t>
            </w:r>
          </w:p>
        </w:tc>
      </w:tr>
      <w:tr w:rsidR="00480111" w14:paraId="29F2E232" w14:textId="77777777" w:rsidTr="00480111">
        <w:trPr>
          <w:cnfStyle w:val="000000100000" w:firstRow="0" w:lastRow="0" w:firstColumn="0" w:lastColumn="0" w:oddVBand="0" w:evenVBand="0" w:oddHBand="1" w:evenHBand="0" w:firstRowFirstColumn="0" w:firstRowLastColumn="0" w:lastRowFirstColumn="0" w:lastRowLastColumn="0"/>
        </w:trPr>
        <w:tc>
          <w:tcPr>
            <w:tcW w:w="8930" w:type="dxa"/>
          </w:tcPr>
          <w:p w14:paraId="4F90343B" w14:textId="77777777" w:rsidR="00C441C1" w:rsidRPr="00743422" w:rsidRDefault="00480111" w:rsidP="00B718C5">
            <w:pPr>
              <w:pStyle w:val="pf0"/>
              <w:spacing w:before="0" w:beforeAutospacing="0" w:after="120" w:afterAutospacing="0"/>
              <w:rPr>
                <w:rStyle w:val="cf01"/>
                <w:rFonts w:asciiTheme="majorHAnsi" w:eastAsiaTheme="minorHAnsi" w:hAnsiTheme="majorHAnsi" w:cstheme="majorHAnsi"/>
                <w:color w:val="00264D" w:themeColor="background2"/>
                <w:lang w:eastAsia="en-US"/>
              </w:rPr>
            </w:pPr>
            <w:r w:rsidRPr="00743422">
              <w:rPr>
                <w:rStyle w:val="cf01"/>
                <w:rFonts w:asciiTheme="majorHAnsi" w:hAnsiTheme="majorHAnsi" w:cstheme="majorHAnsi"/>
                <w:color w:val="00264D" w:themeColor="background2"/>
              </w:rPr>
              <w:t>Component 2.1.1 | The definition of ‘protection of public health and safety’ within the Act could be clarif</w:t>
            </w:r>
            <w:r w:rsidR="00C441C1" w:rsidRPr="00743422">
              <w:rPr>
                <w:rStyle w:val="cf01"/>
                <w:rFonts w:asciiTheme="majorHAnsi" w:hAnsiTheme="majorHAnsi" w:cstheme="majorHAnsi"/>
                <w:color w:val="00264D" w:themeColor="background2"/>
              </w:rPr>
              <w:t xml:space="preserve">ied to be in line with the current policy </w:t>
            </w:r>
            <w:proofErr w:type="gramStart"/>
            <w:r w:rsidR="00C441C1" w:rsidRPr="00743422">
              <w:rPr>
                <w:rStyle w:val="cf01"/>
                <w:rFonts w:asciiTheme="majorHAnsi" w:hAnsiTheme="majorHAnsi" w:cstheme="majorHAnsi"/>
                <w:color w:val="00264D" w:themeColor="background2"/>
              </w:rPr>
              <w:t>guidance</w:t>
            </w:r>
            <w:proofErr w:type="gramEnd"/>
          </w:p>
          <w:p w14:paraId="5F4E56B4" w14:textId="0343E61E" w:rsidR="00C441C1" w:rsidRPr="00743422" w:rsidRDefault="00480111" w:rsidP="003D7D1B">
            <w:pPr>
              <w:pStyle w:val="pf0"/>
              <w:numPr>
                <w:ilvl w:val="0"/>
                <w:numId w:val="62"/>
              </w:numPr>
              <w:spacing w:before="0" w:beforeAutospacing="0" w:after="120" w:afterAutospacing="0"/>
              <w:rPr>
                <w:rStyle w:val="cf01"/>
                <w:rFonts w:asciiTheme="majorHAnsi" w:hAnsiTheme="majorHAnsi" w:cstheme="majorHAnsi"/>
                <w:color w:val="00264D" w:themeColor="background2"/>
              </w:rPr>
            </w:pPr>
            <w:r w:rsidRPr="00743422">
              <w:rPr>
                <w:rStyle w:val="cf01"/>
                <w:rFonts w:asciiTheme="minorHAnsi" w:hAnsiTheme="minorHAnsi" w:cstheme="minorHAnsi"/>
                <w:color w:val="00264D" w:themeColor="background2"/>
              </w:rPr>
              <w:t>Would amending Section 3 and 18 of the Act to include a definition of public health and safety reduce confusion about how FSANZ consider</w:t>
            </w:r>
            <w:r w:rsidR="009E6128">
              <w:rPr>
                <w:rStyle w:val="cf01"/>
                <w:rFonts w:asciiTheme="minorHAnsi" w:hAnsiTheme="minorHAnsi" w:cstheme="minorHAnsi"/>
                <w:color w:val="00264D" w:themeColor="background2"/>
              </w:rPr>
              <w:t>s</w:t>
            </w:r>
            <w:r w:rsidRPr="00743422">
              <w:rPr>
                <w:rStyle w:val="cf01"/>
                <w:rFonts w:asciiTheme="minorHAnsi" w:hAnsiTheme="minorHAnsi" w:cstheme="minorHAnsi"/>
                <w:color w:val="00264D" w:themeColor="background2"/>
              </w:rPr>
              <w:t xml:space="preserve"> short and long-term risks to health when developi</w:t>
            </w:r>
            <w:r w:rsidRPr="00743422">
              <w:rPr>
                <w:rStyle w:val="cf01"/>
                <w:rFonts w:cstheme="minorHAnsi"/>
                <w:color w:val="00264D" w:themeColor="background2"/>
              </w:rPr>
              <w:t>ng</w:t>
            </w:r>
            <w:r w:rsidRPr="00743422">
              <w:rPr>
                <w:rStyle w:val="cf01"/>
                <w:rFonts w:asciiTheme="minorHAnsi" w:hAnsiTheme="minorHAnsi" w:cstheme="minorHAnsi"/>
                <w:color w:val="00264D" w:themeColor="background2"/>
              </w:rPr>
              <w:t xml:space="preserve"> food standards? </w:t>
            </w:r>
          </w:p>
          <w:p w14:paraId="5AA153AC" w14:textId="6DF7613A" w:rsidR="00BE2887" w:rsidRDefault="00C31584" w:rsidP="003D7D1B">
            <w:pPr>
              <w:pStyle w:val="pf0"/>
              <w:numPr>
                <w:ilvl w:val="0"/>
                <w:numId w:val="62"/>
              </w:numPr>
              <w:spacing w:before="0" w:beforeAutospacing="0" w:after="120" w:afterAutospacing="0"/>
              <w:rPr>
                <w:rStyle w:val="cf01"/>
                <w:rFonts w:asciiTheme="minorHAnsi" w:hAnsiTheme="minorHAnsi" w:cstheme="minorHAnsi"/>
                <w:color w:val="00264D" w:themeColor="background2"/>
              </w:rPr>
            </w:pPr>
            <w:r w:rsidRPr="00743422">
              <w:rPr>
                <w:rStyle w:val="cf01"/>
                <w:rFonts w:asciiTheme="minorHAnsi" w:hAnsiTheme="minorHAnsi" w:cstheme="minorHAnsi"/>
                <w:color w:val="00264D" w:themeColor="background2"/>
              </w:rPr>
              <w:t xml:space="preserve">Do you anticipate that this clarification could materially impact the way that FSANZ approaches applications and proposals and the factors to which they give regard? </w:t>
            </w:r>
          </w:p>
          <w:p w14:paraId="1E2068B1" w14:textId="2369EE3E" w:rsidR="00CC5C56" w:rsidRPr="00D425E3" w:rsidRDefault="00D425E3" w:rsidP="003D7D1B">
            <w:pPr>
              <w:pStyle w:val="pf0"/>
              <w:numPr>
                <w:ilvl w:val="0"/>
                <w:numId w:val="62"/>
              </w:numPr>
              <w:spacing w:before="0" w:beforeAutospacing="0" w:after="120" w:afterAutospacing="0"/>
              <w:rPr>
                <w:rStyle w:val="cf01"/>
                <w:rFonts w:asciiTheme="minorHAnsi" w:hAnsiTheme="minorHAnsi" w:cstheme="minorHAnsi"/>
                <w:color w:val="00264D" w:themeColor="background2"/>
              </w:rPr>
            </w:pPr>
            <w:r w:rsidRPr="00A86E09">
              <w:rPr>
                <w:rStyle w:val="cf01"/>
                <w:rFonts w:asciiTheme="minorHAnsi" w:hAnsiTheme="minorHAnsi" w:cstheme="minorHAnsi"/>
                <w:color w:val="00264D" w:themeColor="background2"/>
              </w:rPr>
              <w:t>What would be the impact of clarifying the definition of ‘protection of public health and safety’ within the Act?</w:t>
            </w:r>
          </w:p>
          <w:p w14:paraId="63096192" w14:textId="5596109F" w:rsidR="00480111" w:rsidRPr="00743422" w:rsidRDefault="00C441C1" w:rsidP="00B718C5">
            <w:pPr>
              <w:pStyle w:val="pf0"/>
              <w:spacing w:before="0" w:beforeAutospacing="0" w:after="120" w:afterAutospacing="0"/>
              <w:rPr>
                <w:rStyle w:val="cf01"/>
                <w:rFonts w:asciiTheme="majorHAnsi" w:hAnsiTheme="majorHAnsi" w:cstheme="majorHAnsi"/>
                <w:color w:val="00264D" w:themeColor="background2"/>
              </w:rPr>
            </w:pPr>
            <w:r w:rsidRPr="00743422">
              <w:rPr>
                <w:rStyle w:val="cf01"/>
                <w:rFonts w:asciiTheme="majorHAnsi" w:hAnsiTheme="majorHAnsi" w:cstheme="majorHAnsi"/>
                <w:color w:val="00264D" w:themeColor="background2"/>
              </w:rPr>
              <w:t xml:space="preserve">Component 2.1.2 | There could be greater clarity around how ministerial policy guidance is reflected in the development of food </w:t>
            </w:r>
            <w:proofErr w:type="gramStart"/>
            <w:r w:rsidRPr="00743422">
              <w:rPr>
                <w:rStyle w:val="cf01"/>
                <w:rFonts w:asciiTheme="majorHAnsi" w:hAnsiTheme="majorHAnsi" w:cstheme="majorHAnsi"/>
                <w:color w:val="00264D" w:themeColor="background2"/>
              </w:rPr>
              <w:t>standards</w:t>
            </w:r>
            <w:proofErr w:type="gramEnd"/>
            <w:r w:rsidR="00480111" w:rsidRPr="00743422">
              <w:rPr>
                <w:rStyle w:val="cf01"/>
                <w:rFonts w:asciiTheme="minorHAnsi" w:hAnsiTheme="minorHAnsi" w:cstheme="minorHAnsi"/>
                <w:color w:val="00264D" w:themeColor="background2"/>
              </w:rPr>
              <w:t xml:space="preserve"> </w:t>
            </w:r>
          </w:p>
          <w:p w14:paraId="1CC34130" w14:textId="77777777" w:rsidR="00743422" w:rsidRPr="00743422" w:rsidRDefault="00743422" w:rsidP="003D7D1B">
            <w:pPr>
              <w:pStyle w:val="Bullet"/>
              <w:numPr>
                <w:ilvl w:val="0"/>
                <w:numId w:val="62"/>
              </w:numPr>
              <w:rPr>
                <w:color w:val="00264D" w:themeColor="background2"/>
                <w:sz w:val="18"/>
                <w:szCs w:val="18"/>
              </w:rPr>
            </w:pPr>
            <w:r w:rsidRPr="00743422">
              <w:rPr>
                <w:color w:val="00264D" w:themeColor="background2"/>
                <w:sz w:val="18"/>
                <w:szCs w:val="18"/>
              </w:rPr>
              <w:t>Would revising the way FSANZ communicates its consideration of Ministerial Policy Guidance in developing food regulatory measures support greater transparency in the development of food regulatory measures?</w:t>
            </w:r>
          </w:p>
          <w:p w14:paraId="763EB1BC" w14:textId="63ED46E0" w:rsidR="00480111" w:rsidRPr="005924E0" w:rsidRDefault="0056079C" w:rsidP="003D7D1B">
            <w:pPr>
              <w:pStyle w:val="Bullet"/>
              <w:numPr>
                <w:ilvl w:val="0"/>
                <w:numId w:val="62"/>
              </w:numPr>
              <w:rPr>
                <w:color w:val="00264D" w:themeColor="background2"/>
              </w:rPr>
            </w:pPr>
            <w:r w:rsidRPr="005924E0">
              <w:rPr>
                <w:color w:val="00264D" w:themeColor="background2"/>
                <w:sz w:val="18"/>
                <w:szCs w:val="18"/>
              </w:rPr>
              <w:t>How could the consideration of Ministerial Policy Guidance in the development of food regulatory measures be effectively communicated</w:t>
            </w:r>
            <w:r w:rsidR="00C441C1" w:rsidRPr="005D0718">
              <w:t>?</w:t>
            </w:r>
          </w:p>
          <w:p w14:paraId="0FBD7BCE" w14:textId="77777777" w:rsidR="00791461" w:rsidRPr="005D0718" w:rsidRDefault="00791461" w:rsidP="005924E0">
            <w:pPr>
              <w:pStyle w:val="Bullet"/>
              <w:numPr>
                <w:ilvl w:val="0"/>
                <w:numId w:val="0"/>
              </w:numPr>
              <w:ind w:left="720"/>
              <w:rPr>
                <w:color w:val="00264D" w:themeColor="background2"/>
              </w:rPr>
            </w:pPr>
          </w:p>
          <w:p w14:paraId="044FC036" w14:textId="77777777" w:rsidR="00C441C1" w:rsidRPr="00743422" w:rsidRDefault="00C441C1" w:rsidP="00C441C1">
            <w:pPr>
              <w:pStyle w:val="Bullet"/>
              <w:numPr>
                <w:ilvl w:val="0"/>
                <w:numId w:val="0"/>
              </w:numPr>
              <w:ind w:left="340" w:hanging="340"/>
              <w:rPr>
                <w:rStyle w:val="cf01"/>
                <w:rFonts w:asciiTheme="majorHAnsi" w:hAnsiTheme="majorHAnsi" w:cstheme="majorHAnsi"/>
                <w:color w:val="00264D" w:themeColor="background2"/>
              </w:rPr>
            </w:pPr>
            <w:r w:rsidRPr="00743422">
              <w:rPr>
                <w:rStyle w:val="cf01"/>
                <w:rFonts w:asciiTheme="majorHAnsi" w:hAnsiTheme="majorHAnsi" w:cstheme="majorHAnsi"/>
                <w:color w:val="00264D" w:themeColor="background2"/>
              </w:rPr>
              <w:t xml:space="preserve">Component 2.1.3 | Language within the Act could be updated to be more culturally </w:t>
            </w:r>
            <w:proofErr w:type="gramStart"/>
            <w:r w:rsidRPr="00743422">
              <w:rPr>
                <w:rStyle w:val="cf01"/>
                <w:rFonts w:asciiTheme="majorHAnsi" w:hAnsiTheme="majorHAnsi" w:cstheme="majorHAnsi"/>
                <w:color w:val="00264D" w:themeColor="background2"/>
              </w:rPr>
              <w:t>inclusive</w:t>
            </w:r>
            <w:proofErr w:type="gramEnd"/>
          </w:p>
          <w:p w14:paraId="08F42777" w14:textId="77777777" w:rsidR="00E34F2D" w:rsidRPr="005924E0" w:rsidRDefault="00E34F2D" w:rsidP="003D7D1B">
            <w:pPr>
              <w:pStyle w:val="pf0"/>
              <w:numPr>
                <w:ilvl w:val="0"/>
                <w:numId w:val="62"/>
              </w:numPr>
              <w:spacing w:before="0" w:beforeAutospacing="0" w:after="120" w:afterAutospacing="0"/>
              <w:rPr>
                <w:rStyle w:val="cf01"/>
                <w:rFonts w:asciiTheme="minorHAnsi" w:hAnsiTheme="minorHAnsi" w:cstheme="minorHAnsi"/>
                <w:color w:val="00264D" w:themeColor="background2"/>
              </w:rPr>
            </w:pPr>
            <w:r w:rsidRPr="005924E0">
              <w:rPr>
                <w:rStyle w:val="cf01"/>
                <w:rFonts w:asciiTheme="minorHAnsi" w:hAnsiTheme="minorHAnsi" w:cstheme="minorHAnsi"/>
                <w:color w:val="00264D" w:themeColor="background2"/>
              </w:rPr>
              <w:lastRenderedPageBreak/>
              <w:t xml:space="preserve">Would new provisions and/or language changes in the Act better support FSANZ to recognise Indigenous culture and expertise? </w:t>
            </w:r>
          </w:p>
          <w:p w14:paraId="2EFC8E7B" w14:textId="6DA35140" w:rsidR="00C441C1" w:rsidRPr="00791461" w:rsidRDefault="00C441C1" w:rsidP="003D7D1B">
            <w:pPr>
              <w:pStyle w:val="pf0"/>
              <w:numPr>
                <w:ilvl w:val="0"/>
                <w:numId w:val="62"/>
              </w:numPr>
              <w:spacing w:before="0" w:beforeAutospacing="0" w:after="120" w:afterAutospacing="0"/>
              <w:rPr>
                <w:rFonts w:asciiTheme="minorHAnsi" w:hAnsiTheme="minorHAnsi" w:cstheme="minorHAnsi"/>
                <w:color w:val="00264D" w:themeColor="background2"/>
              </w:rPr>
            </w:pPr>
            <w:r w:rsidRPr="00791461">
              <w:rPr>
                <w:rStyle w:val="cf01"/>
                <w:rFonts w:asciiTheme="minorHAnsi" w:hAnsiTheme="minorHAnsi" w:cstheme="minorHAnsi"/>
                <w:color w:val="00264D" w:themeColor="background2"/>
              </w:rPr>
              <w:t>What provisions or language changes could be included in the act to promote recognition of Indigenous culture and expertise?</w:t>
            </w:r>
          </w:p>
        </w:tc>
      </w:tr>
    </w:tbl>
    <w:p w14:paraId="73B0F3B6" w14:textId="77777777" w:rsidR="00DE75C3" w:rsidRDefault="00DE75C3" w:rsidP="00DE75C3">
      <w:pPr>
        <w:pStyle w:val="Bullet"/>
        <w:numPr>
          <w:ilvl w:val="0"/>
          <w:numId w:val="0"/>
        </w:numPr>
      </w:pPr>
    </w:p>
    <w:p w14:paraId="3CA5E5DD" w14:textId="40E7879F" w:rsidR="00923BE4" w:rsidRPr="002A1782" w:rsidRDefault="00923BE4" w:rsidP="002A1782">
      <w:pPr>
        <w:pStyle w:val="Heading3"/>
      </w:pPr>
      <w:r w:rsidRPr="002A1782">
        <w:t>Component 2.2 | Reform standard-setting</w:t>
      </w:r>
    </w:p>
    <w:p w14:paraId="43703137" w14:textId="6E84CFC1" w:rsidR="00923BE4" w:rsidRDefault="00923BE4" w:rsidP="00923BE4">
      <w:pPr>
        <w:rPr>
          <w:lang w:eastAsia="en-AU"/>
        </w:rPr>
      </w:pPr>
      <w:r>
        <w:rPr>
          <w:lang w:eastAsia="en-AU"/>
        </w:rPr>
        <w:t xml:space="preserve">Amendments to the legislation could support more efficient and effective processes to develop food regulatory measures, with risk being the key driver of process. </w:t>
      </w:r>
    </w:p>
    <w:p w14:paraId="421CF454" w14:textId="20073C5F" w:rsidR="00923BE4" w:rsidRDefault="00290CA8" w:rsidP="00923BE4">
      <w:pPr>
        <w:pStyle w:val="Heading4"/>
      </w:pPr>
      <w:r>
        <w:t xml:space="preserve">Component 2.2.1 | </w:t>
      </w:r>
      <w:r w:rsidR="00923BE4">
        <w:t>A</w:t>
      </w:r>
      <w:r w:rsidR="00923BE4" w:rsidRPr="00186D11">
        <w:t xml:space="preserve"> risk-based </w:t>
      </w:r>
      <w:r w:rsidR="00923BE4">
        <w:t xml:space="preserve">framework and approach could be introduced to guide the development of food regulatory </w:t>
      </w:r>
      <w:proofErr w:type="gramStart"/>
      <w:r w:rsidR="00923BE4">
        <w:t>measures</w:t>
      </w:r>
      <w:proofErr w:type="gramEnd"/>
    </w:p>
    <w:tbl>
      <w:tblPr>
        <w:tblStyle w:val="TableGrid"/>
        <w:tblW w:w="0" w:type="auto"/>
        <w:tblLook w:val="04A0" w:firstRow="1" w:lastRow="0" w:firstColumn="1" w:lastColumn="0" w:noHBand="0" w:noVBand="1"/>
      </w:tblPr>
      <w:tblGrid>
        <w:gridCol w:w="8930"/>
      </w:tblGrid>
      <w:tr w:rsidR="0089006F" w14:paraId="26A5059A"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0D0B6090" w14:textId="77777777" w:rsidR="00A614AB" w:rsidRPr="007F7722" w:rsidRDefault="00A614AB" w:rsidP="00A614AB">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125DA0D1" w14:textId="714608EF" w:rsidR="00791A1D" w:rsidRDefault="00791A1D">
            <w:pPr>
              <w:pStyle w:val="Bullet"/>
            </w:pPr>
            <w:r>
              <w:t xml:space="preserve">Problem </w:t>
            </w:r>
            <w:r w:rsidR="009F6B64">
              <w:t xml:space="preserve">2.1 | </w:t>
            </w:r>
            <w:r w:rsidR="00931C02" w:rsidRPr="00931C02">
              <w:t>Statutory processes are rules-based rather than outcomes-based</w:t>
            </w:r>
          </w:p>
        </w:tc>
      </w:tr>
    </w:tbl>
    <w:p w14:paraId="1E337A30" w14:textId="77777777" w:rsidR="00791A1D" w:rsidRPr="00A323F6" w:rsidRDefault="00791A1D" w:rsidP="00923BE4"/>
    <w:p w14:paraId="6BD62330" w14:textId="48F5F136" w:rsidR="00923BE4" w:rsidRPr="00511E42" w:rsidRDefault="00923BE4" w:rsidP="00923BE4">
      <w:pPr>
        <w:rPr>
          <w:rFonts w:asciiTheme="majorHAnsi" w:hAnsiTheme="majorHAnsi"/>
        </w:rPr>
      </w:pPr>
      <w:r>
        <w:t>S</w:t>
      </w:r>
      <w:r w:rsidRPr="00511E42">
        <w:t xml:space="preserve">tatutory processes relevant to applications and proposals could be amended to support a level of consultation and assessment commensurate with the risk involved. It could also provide sufficient flexibility to adjust the approach or procedure based on new information. </w:t>
      </w:r>
    </w:p>
    <w:p w14:paraId="1110DF21" w14:textId="23EF6A22" w:rsidR="00923BE4" w:rsidRPr="00511E42" w:rsidRDefault="00923BE4" w:rsidP="00923BE4">
      <w:pPr>
        <w:suppressAutoHyphens/>
        <w:rPr>
          <w:rFonts w:eastAsia="Times New Roman" w:cs="Times New Roman"/>
          <w:szCs w:val="19"/>
          <w:lang w:eastAsia="en-AU"/>
        </w:rPr>
      </w:pPr>
      <w:r w:rsidRPr="00511E42">
        <w:rPr>
          <w:rFonts w:eastAsia="Times New Roman" w:cs="Times New Roman"/>
          <w:szCs w:val="19"/>
          <w:lang w:eastAsia="en-AU"/>
        </w:rPr>
        <w:t xml:space="preserve">‘Risk’ might be determined through a non-legislated framework and reflect criteria such as those shown in </w:t>
      </w:r>
      <w:r>
        <w:rPr>
          <w:rFonts w:eastAsia="Times New Roman" w:cs="Times New Roman"/>
          <w:szCs w:val="19"/>
          <w:lang w:eastAsia="en-AU"/>
        </w:rPr>
        <w:fldChar w:fldCharType="begin"/>
      </w:r>
      <w:r>
        <w:rPr>
          <w:rFonts w:eastAsia="Times New Roman" w:cs="Times New Roman"/>
          <w:szCs w:val="19"/>
          <w:lang w:eastAsia="en-AU"/>
        </w:rPr>
        <w:instrText xml:space="preserve"> REF _Ref141861004 \h </w:instrText>
      </w:r>
      <w:r>
        <w:rPr>
          <w:rFonts w:eastAsia="Times New Roman" w:cs="Times New Roman"/>
          <w:szCs w:val="19"/>
          <w:lang w:eastAsia="en-AU"/>
        </w:rPr>
      </w:r>
      <w:r>
        <w:rPr>
          <w:rFonts w:eastAsia="Times New Roman" w:cs="Times New Roman"/>
          <w:szCs w:val="19"/>
          <w:lang w:eastAsia="en-AU"/>
        </w:rPr>
        <w:fldChar w:fldCharType="separate"/>
      </w:r>
      <w:r w:rsidR="003F7B92">
        <w:t xml:space="preserve">Table </w:t>
      </w:r>
      <w:r w:rsidR="003F7B92">
        <w:rPr>
          <w:noProof/>
        </w:rPr>
        <w:t>10</w:t>
      </w:r>
      <w:r>
        <w:rPr>
          <w:rFonts w:eastAsia="Times New Roman" w:cs="Times New Roman"/>
          <w:szCs w:val="19"/>
          <w:lang w:eastAsia="en-AU"/>
        </w:rPr>
        <w:fldChar w:fldCharType="end"/>
      </w:r>
      <w:r>
        <w:rPr>
          <w:rFonts w:eastAsia="Times New Roman" w:cs="Times New Roman"/>
          <w:szCs w:val="19"/>
          <w:lang w:eastAsia="en-AU"/>
        </w:rPr>
        <w:t>.</w:t>
      </w:r>
      <w:r w:rsidRPr="00511E42">
        <w:rPr>
          <w:rFonts w:eastAsia="Times New Roman" w:cs="Times New Roman"/>
          <w:szCs w:val="19"/>
          <w:lang w:eastAsia="en-AU"/>
        </w:rPr>
        <w:t xml:space="preserve"> The framework would need to consider the shared risk appetite and preferences of New Zealand and Australian </w:t>
      </w:r>
      <w:r w:rsidR="00314424">
        <w:rPr>
          <w:rFonts w:eastAsia="Times New Roman" w:cs="Times New Roman"/>
          <w:szCs w:val="19"/>
          <w:lang w:eastAsia="en-AU"/>
        </w:rPr>
        <w:t>s</w:t>
      </w:r>
      <w:r w:rsidRPr="00511E42">
        <w:rPr>
          <w:rFonts w:eastAsia="Times New Roman" w:cs="Times New Roman"/>
          <w:szCs w:val="19"/>
          <w:lang w:eastAsia="en-AU"/>
        </w:rPr>
        <w:t>tate</w:t>
      </w:r>
      <w:r w:rsidR="00FE0AFB">
        <w:rPr>
          <w:rFonts w:eastAsia="Times New Roman" w:cs="Times New Roman"/>
          <w:szCs w:val="19"/>
          <w:lang w:eastAsia="en-AU"/>
        </w:rPr>
        <w:t>s</w:t>
      </w:r>
      <w:r w:rsidRPr="00511E42">
        <w:rPr>
          <w:rFonts w:eastAsia="Times New Roman" w:cs="Times New Roman"/>
          <w:szCs w:val="19"/>
          <w:lang w:eastAsia="en-AU"/>
        </w:rPr>
        <w:t xml:space="preserve"> and </w:t>
      </w:r>
      <w:r w:rsidR="00314424">
        <w:rPr>
          <w:rFonts w:eastAsia="Times New Roman" w:cs="Times New Roman"/>
          <w:szCs w:val="19"/>
          <w:lang w:eastAsia="en-AU"/>
        </w:rPr>
        <w:t>t</w:t>
      </w:r>
      <w:r w:rsidRPr="00511E42">
        <w:rPr>
          <w:rFonts w:eastAsia="Times New Roman" w:cs="Times New Roman"/>
          <w:szCs w:val="19"/>
          <w:lang w:eastAsia="en-AU"/>
        </w:rPr>
        <w:t xml:space="preserve">erritories. </w:t>
      </w:r>
      <w:r w:rsidR="00D55415">
        <w:rPr>
          <w:rFonts w:eastAsia="Times New Roman" w:cs="Times New Roman"/>
          <w:szCs w:val="19"/>
          <w:lang w:eastAsia="en-AU"/>
        </w:rPr>
        <w:t xml:space="preserve">It would need to </w:t>
      </w:r>
      <w:r w:rsidR="00FE0AFB">
        <w:rPr>
          <w:rFonts w:eastAsia="Times New Roman" w:cs="Times New Roman"/>
          <w:szCs w:val="19"/>
          <w:lang w:eastAsia="en-AU"/>
        </w:rPr>
        <w:t xml:space="preserve">be </w:t>
      </w:r>
      <w:r w:rsidR="00D55415">
        <w:rPr>
          <w:rFonts w:eastAsia="Times New Roman" w:cs="Times New Roman"/>
          <w:szCs w:val="19"/>
          <w:lang w:eastAsia="en-AU"/>
        </w:rPr>
        <w:t>developed further through a consultative process with government stakeholders, industry, and public health representatives</w:t>
      </w:r>
      <w:r w:rsidR="0006222E">
        <w:rPr>
          <w:rFonts w:eastAsia="Times New Roman" w:cs="Times New Roman"/>
          <w:szCs w:val="19"/>
          <w:lang w:eastAsia="en-AU"/>
        </w:rPr>
        <w:t xml:space="preserve"> before being endorsed by the </w:t>
      </w:r>
      <w:r w:rsidR="0099625E">
        <w:rPr>
          <w:rFonts w:eastAsia="Times New Roman" w:cs="Times New Roman"/>
          <w:szCs w:val="19"/>
          <w:lang w:eastAsia="en-AU"/>
        </w:rPr>
        <w:t xml:space="preserve">FMM. </w:t>
      </w:r>
    </w:p>
    <w:p w14:paraId="4F4C9DAC" w14:textId="249C9D32" w:rsidR="00923BE4" w:rsidRPr="00511E42" w:rsidRDefault="00923BE4" w:rsidP="00923BE4">
      <w:pPr>
        <w:suppressAutoHyphens/>
        <w:rPr>
          <w:rFonts w:eastAsia="Times New Roman" w:cs="Times New Roman"/>
          <w:szCs w:val="19"/>
          <w:lang w:eastAsia="en-AU"/>
        </w:rPr>
      </w:pPr>
      <w:r w:rsidRPr="00620680">
        <w:rPr>
          <w:rFonts w:eastAsia="Times New Roman" w:cs="Times New Roman"/>
          <w:szCs w:val="19"/>
          <w:lang w:eastAsia="en-AU"/>
        </w:rPr>
        <w:t xml:space="preserve">Worked examples of how this </w:t>
      </w:r>
      <w:r w:rsidRPr="001418AF">
        <w:rPr>
          <w:rFonts w:eastAsia="Times New Roman" w:cs="Times New Roman"/>
          <w:szCs w:val="19"/>
          <w:lang w:eastAsia="en-AU"/>
        </w:rPr>
        <w:t xml:space="preserve">framework may be applied are included in </w:t>
      </w:r>
      <w:r w:rsidR="00CE6829" w:rsidRPr="001418AF">
        <w:rPr>
          <w:rFonts w:eastAsia="Times New Roman" w:cs="Times New Roman"/>
          <w:szCs w:val="19"/>
          <w:lang w:eastAsia="en-AU"/>
        </w:rPr>
        <w:fldChar w:fldCharType="begin"/>
      </w:r>
      <w:r w:rsidR="00CE6829" w:rsidRPr="001418AF">
        <w:rPr>
          <w:rFonts w:eastAsia="Times New Roman" w:cs="Times New Roman"/>
          <w:szCs w:val="19"/>
          <w:lang w:eastAsia="en-AU"/>
        </w:rPr>
        <w:instrText xml:space="preserve"> REF _Ref142419066 \r \h </w:instrText>
      </w:r>
      <w:r w:rsidR="00D55415" w:rsidRPr="001418AF">
        <w:rPr>
          <w:rFonts w:eastAsia="Times New Roman" w:cs="Times New Roman"/>
          <w:szCs w:val="19"/>
          <w:lang w:eastAsia="en-AU"/>
        </w:rPr>
        <w:instrText xml:space="preserve"> \* MERGEFORMAT </w:instrText>
      </w:r>
      <w:r w:rsidR="00CE6829" w:rsidRPr="001418AF">
        <w:rPr>
          <w:rFonts w:eastAsia="Times New Roman" w:cs="Times New Roman"/>
          <w:szCs w:val="19"/>
          <w:lang w:eastAsia="en-AU"/>
        </w:rPr>
      </w:r>
      <w:r w:rsidR="00CE6829" w:rsidRPr="001418AF">
        <w:rPr>
          <w:rFonts w:eastAsia="Times New Roman" w:cs="Times New Roman"/>
          <w:szCs w:val="19"/>
          <w:lang w:eastAsia="en-AU"/>
        </w:rPr>
        <w:fldChar w:fldCharType="separate"/>
      </w:r>
      <w:r w:rsidR="003F7B92">
        <w:rPr>
          <w:rFonts w:eastAsia="Times New Roman" w:cs="Times New Roman"/>
          <w:szCs w:val="19"/>
          <w:lang w:eastAsia="en-AU"/>
        </w:rPr>
        <w:t>Appendix D</w:t>
      </w:r>
      <w:r w:rsidR="00CE6829" w:rsidRPr="001418AF">
        <w:rPr>
          <w:rFonts w:eastAsia="Times New Roman" w:cs="Times New Roman"/>
          <w:szCs w:val="19"/>
          <w:lang w:eastAsia="en-AU"/>
        </w:rPr>
        <w:fldChar w:fldCharType="end"/>
      </w:r>
      <w:r w:rsidRPr="001418AF">
        <w:rPr>
          <w:rFonts w:eastAsia="Times New Roman" w:cs="Times New Roman"/>
          <w:szCs w:val="19"/>
          <w:lang w:eastAsia="en-AU"/>
        </w:rPr>
        <w:t>.</w:t>
      </w:r>
      <w:r>
        <w:rPr>
          <w:rFonts w:eastAsia="Times New Roman" w:cs="Times New Roman"/>
          <w:szCs w:val="19"/>
          <w:lang w:eastAsia="en-AU"/>
        </w:rPr>
        <w:t xml:space="preserve"> </w:t>
      </w:r>
    </w:p>
    <w:p w14:paraId="4949C186" w14:textId="37F9E836" w:rsidR="00923BE4" w:rsidRDefault="00923BE4" w:rsidP="00923BE4">
      <w:pPr>
        <w:pStyle w:val="Caption"/>
      </w:pPr>
      <w:bookmarkStart w:id="54" w:name="_Ref141861004"/>
      <w:bookmarkStart w:id="55" w:name="_Ref142228183"/>
      <w:r>
        <w:t xml:space="preserve">Table </w:t>
      </w:r>
      <w:r>
        <w:fldChar w:fldCharType="begin"/>
      </w:r>
      <w:r>
        <w:instrText xml:space="preserve"> SEQ Table \* ARABIC </w:instrText>
      </w:r>
      <w:r>
        <w:fldChar w:fldCharType="separate"/>
      </w:r>
      <w:r w:rsidR="003F7B92">
        <w:rPr>
          <w:noProof/>
        </w:rPr>
        <w:t>10</w:t>
      </w:r>
      <w:r>
        <w:fldChar w:fldCharType="end"/>
      </w:r>
      <w:bookmarkEnd w:id="54"/>
      <w:r>
        <w:t xml:space="preserve"> | </w:t>
      </w:r>
      <w:r w:rsidRPr="00067DD3">
        <w:t>Indicative risk framework</w:t>
      </w:r>
      <w:bookmarkEnd w:id="55"/>
    </w:p>
    <w:tbl>
      <w:tblPr>
        <w:tblStyle w:val="NOUSSideHeader2"/>
        <w:tblW w:w="5000" w:type="pct"/>
        <w:tblLook w:val="04A0" w:firstRow="1" w:lastRow="0" w:firstColumn="1" w:lastColumn="0" w:noHBand="0" w:noVBand="1"/>
        <w:tblCaption w:val="Indicative risk framework"/>
        <w:tblDescription w:val="Table showing 5 potential criterion to guide a risk framework including 1. Alignmnet with strategic priorities 2. Subject matter / expertise 3. Extent of risk 4. Scope of impact 5. Existing evdience. "/>
      </w:tblPr>
      <w:tblGrid>
        <w:gridCol w:w="550"/>
        <w:gridCol w:w="3052"/>
        <w:gridCol w:w="5328"/>
      </w:tblGrid>
      <w:tr w:rsidR="00703246" w:rsidRPr="00511E42" w14:paraId="1167ACA6" w14:textId="77777777">
        <w:trPr>
          <w:cnfStyle w:val="100000000000" w:firstRow="1" w:lastRow="0" w:firstColumn="0" w:lastColumn="0" w:oddVBand="0" w:evenVBand="0" w:oddHBand="0" w:evenHBand="0" w:firstRowFirstColumn="0" w:firstRowLastColumn="0" w:lastRowFirstColumn="0" w:lastRowLastColumn="0"/>
        </w:trPr>
        <w:tc>
          <w:tcPr>
            <w:tcW w:w="308" w:type="pct"/>
          </w:tcPr>
          <w:p w14:paraId="2D921D0E" w14:textId="77777777" w:rsidR="00923BE4" w:rsidRPr="00EA18AD" w:rsidRDefault="00923BE4" w:rsidP="00134136">
            <w:pPr>
              <w:rPr>
                <w:szCs w:val="19"/>
                <w:lang w:eastAsia="en-AU"/>
              </w:rPr>
            </w:pPr>
            <w:r w:rsidRPr="00EA18AD">
              <w:rPr>
                <w:szCs w:val="19"/>
                <w:lang w:eastAsia="en-AU"/>
              </w:rPr>
              <w:t>#</w:t>
            </w:r>
          </w:p>
        </w:tc>
        <w:tc>
          <w:tcPr>
            <w:tcW w:w="1709" w:type="pct"/>
          </w:tcPr>
          <w:p w14:paraId="597160BA" w14:textId="77777777" w:rsidR="00923BE4" w:rsidRPr="00EA18AD" w:rsidRDefault="00923BE4" w:rsidP="00134136">
            <w:pPr>
              <w:rPr>
                <w:szCs w:val="19"/>
                <w:lang w:eastAsia="en-AU"/>
              </w:rPr>
            </w:pPr>
            <w:r w:rsidRPr="00EA18AD">
              <w:rPr>
                <w:rFonts w:ascii="Segoe UI Semibold" w:eastAsia="Segoe UI" w:hAnsi="Segoe UI Semibold" w:cs="Segoe UI"/>
                <w:kern w:val="24"/>
                <w:szCs w:val="19"/>
              </w:rPr>
              <w:t>Criterion</w:t>
            </w:r>
          </w:p>
        </w:tc>
        <w:tc>
          <w:tcPr>
            <w:tcW w:w="2983" w:type="pct"/>
          </w:tcPr>
          <w:p w14:paraId="6D9893B6" w14:textId="77777777" w:rsidR="00923BE4" w:rsidRPr="00EA18AD" w:rsidRDefault="00923BE4" w:rsidP="00134136">
            <w:pPr>
              <w:rPr>
                <w:szCs w:val="19"/>
                <w:lang w:eastAsia="en-AU"/>
              </w:rPr>
            </w:pPr>
            <w:r w:rsidRPr="00EA18AD">
              <w:rPr>
                <w:rFonts w:ascii="Segoe UI Semibold" w:eastAsia="Segoe UI" w:hAnsi="Segoe UI Semibold" w:cs="Segoe UI"/>
                <w:kern w:val="24"/>
                <w:szCs w:val="19"/>
              </w:rPr>
              <w:t xml:space="preserve">Key question </w:t>
            </w:r>
          </w:p>
        </w:tc>
      </w:tr>
      <w:tr w:rsidR="00923BE4" w:rsidRPr="00511E42" w14:paraId="5AE5DABA" w14:textId="77777777" w:rsidTr="00134136">
        <w:trPr>
          <w:cnfStyle w:val="000000100000" w:firstRow="0" w:lastRow="0" w:firstColumn="0" w:lastColumn="0" w:oddVBand="0" w:evenVBand="0" w:oddHBand="1" w:evenHBand="0" w:firstRowFirstColumn="0" w:firstRowLastColumn="0" w:lastRowFirstColumn="0" w:lastRowLastColumn="0"/>
          <w:cantSplit/>
        </w:trPr>
        <w:tc>
          <w:tcPr>
            <w:tcW w:w="308" w:type="pct"/>
          </w:tcPr>
          <w:p w14:paraId="515715C6" w14:textId="77777777" w:rsidR="00923BE4" w:rsidRPr="00EA18AD" w:rsidRDefault="00923BE4" w:rsidP="00134136">
            <w:pPr>
              <w:rPr>
                <w:color w:val="000000" w:themeColor="text1"/>
                <w:szCs w:val="19"/>
                <w:lang w:eastAsia="en-AU"/>
              </w:rPr>
            </w:pPr>
            <w:r w:rsidRPr="00EA18AD">
              <w:rPr>
                <w:rFonts w:ascii="Segoe UI Semibold" w:eastAsia="Segoe UI" w:hAnsi="Segoe UI Semibold" w:cs="Segoe UI"/>
                <w:color w:val="000000" w:themeColor="text1"/>
                <w:kern w:val="24"/>
                <w:szCs w:val="19"/>
              </w:rPr>
              <w:t>1</w:t>
            </w:r>
          </w:p>
        </w:tc>
        <w:tc>
          <w:tcPr>
            <w:tcW w:w="1709" w:type="pct"/>
          </w:tcPr>
          <w:p w14:paraId="14EB32FC" w14:textId="77777777" w:rsidR="00923BE4" w:rsidRPr="00EA18AD" w:rsidRDefault="00923BE4" w:rsidP="00134136">
            <w:pPr>
              <w:rPr>
                <w:color w:val="000000" w:themeColor="text1"/>
                <w:szCs w:val="19"/>
                <w:lang w:eastAsia="en-AU"/>
              </w:rPr>
            </w:pPr>
            <w:r w:rsidRPr="00EA18AD">
              <w:rPr>
                <w:rFonts w:eastAsia="Segoe UI Semilight" w:cs="Segoe UI Semilight"/>
                <w:color w:val="000000" w:themeColor="text1"/>
                <w:kern w:val="24"/>
                <w:szCs w:val="19"/>
              </w:rPr>
              <w:t>Alignment with strategic priorities</w:t>
            </w:r>
          </w:p>
        </w:tc>
        <w:tc>
          <w:tcPr>
            <w:tcW w:w="2983" w:type="pct"/>
          </w:tcPr>
          <w:p w14:paraId="1E0FB029" w14:textId="2B39AAE1" w:rsidR="00923BE4" w:rsidRPr="00EA18AD" w:rsidRDefault="00923BE4" w:rsidP="00134136">
            <w:pPr>
              <w:rPr>
                <w:color w:val="000000" w:themeColor="text1"/>
                <w:szCs w:val="19"/>
                <w:lang w:eastAsia="en-AU"/>
              </w:rPr>
            </w:pPr>
            <w:r w:rsidRPr="00EA18AD">
              <w:rPr>
                <w:rFonts w:eastAsiaTheme="minorEastAsia"/>
                <w:i/>
                <w:color w:val="000000" w:themeColor="text1"/>
                <w:kern w:val="24"/>
                <w:szCs w:val="19"/>
              </w:rPr>
              <w:t xml:space="preserve">1. Is the application/proposal a </w:t>
            </w:r>
            <w:r w:rsidRPr="00033393">
              <w:rPr>
                <w:rFonts w:asciiTheme="majorHAnsi" w:eastAsiaTheme="minorEastAsia" w:hAnsiTheme="majorHAnsi" w:cstheme="majorHAnsi"/>
                <w:bCs/>
                <w:i/>
                <w:color w:val="000000" w:themeColor="text1"/>
                <w:kern w:val="24"/>
                <w:szCs w:val="19"/>
              </w:rPr>
              <w:t>strategic priority</w:t>
            </w:r>
            <w:r w:rsidRPr="00EA18AD">
              <w:rPr>
                <w:rFonts w:eastAsiaTheme="minorEastAsia"/>
                <w:b/>
                <w:i/>
                <w:color w:val="000000" w:themeColor="text1"/>
                <w:kern w:val="24"/>
                <w:szCs w:val="19"/>
              </w:rPr>
              <w:t xml:space="preserve"> </w:t>
            </w:r>
            <w:r w:rsidR="00C61DEA">
              <w:rPr>
                <w:rFonts w:eastAsiaTheme="minorEastAsia"/>
                <w:i/>
                <w:color w:val="000000" w:themeColor="text1"/>
                <w:kern w:val="24"/>
                <w:szCs w:val="19"/>
              </w:rPr>
              <w:t>(</w:t>
            </w:r>
            <w:proofErr w:type="gramStart"/>
            <w:r w:rsidR="00783105">
              <w:rPr>
                <w:rFonts w:eastAsiaTheme="minorEastAsia"/>
                <w:i/>
                <w:color w:val="000000" w:themeColor="text1"/>
                <w:kern w:val="24"/>
                <w:szCs w:val="19"/>
              </w:rPr>
              <w:t>e.g.</w:t>
            </w:r>
            <w:proofErr w:type="gramEnd"/>
            <w:r w:rsidRPr="00EA18AD">
              <w:rPr>
                <w:rFonts w:eastAsiaTheme="minorEastAsia"/>
                <w:i/>
                <w:color w:val="000000" w:themeColor="text1"/>
                <w:kern w:val="24"/>
                <w:szCs w:val="19"/>
              </w:rPr>
              <w:t xml:space="preserve"> for innovation, safety, health) as determined by </w:t>
            </w:r>
            <w:r w:rsidR="004E7D7B" w:rsidRPr="00EA18AD">
              <w:rPr>
                <w:rFonts w:eastAsiaTheme="minorEastAsia"/>
                <w:i/>
                <w:color w:val="000000" w:themeColor="text1"/>
                <w:kern w:val="24"/>
                <w:szCs w:val="19"/>
              </w:rPr>
              <w:t>FMM</w:t>
            </w:r>
            <w:r w:rsidRPr="00EA18AD">
              <w:rPr>
                <w:rFonts w:eastAsiaTheme="minorEastAsia"/>
                <w:i/>
                <w:color w:val="000000" w:themeColor="text1"/>
                <w:kern w:val="24"/>
                <w:szCs w:val="19"/>
              </w:rPr>
              <w:t>?</w:t>
            </w:r>
          </w:p>
        </w:tc>
      </w:tr>
      <w:tr w:rsidR="00923BE4" w:rsidRPr="00511E42" w14:paraId="44D93AA9" w14:textId="77777777" w:rsidTr="00134136">
        <w:trPr>
          <w:cnfStyle w:val="000000010000" w:firstRow="0" w:lastRow="0" w:firstColumn="0" w:lastColumn="0" w:oddVBand="0" w:evenVBand="0" w:oddHBand="0" w:evenHBand="1" w:firstRowFirstColumn="0" w:firstRowLastColumn="0" w:lastRowFirstColumn="0" w:lastRowLastColumn="0"/>
          <w:cantSplit/>
        </w:trPr>
        <w:tc>
          <w:tcPr>
            <w:tcW w:w="308" w:type="pct"/>
          </w:tcPr>
          <w:p w14:paraId="3F04F680" w14:textId="77777777" w:rsidR="00923BE4" w:rsidRPr="00EA18AD" w:rsidRDefault="00923BE4" w:rsidP="00134136">
            <w:pPr>
              <w:rPr>
                <w:color w:val="000000" w:themeColor="text1"/>
                <w:szCs w:val="19"/>
                <w:lang w:eastAsia="en-AU"/>
              </w:rPr>
            </w:pPr>
            <w:r w:rsidRPr="00EA18AD">
              <w:rPr>
                <w:rFonts w:ascii="Segoe UI Semibold" w:eastAsia="Segoe UI" w:hAnsi="Segoe UI Semibold" w:cs="Segoe UI"/>
                <w:color w:val="000000" w:themeColor="text1"/>
                <w:kern w:val="24"/>
                <w:szCs w:val="19"/>
              </w:rPr>
              <w:t>2</w:t>
            </w:r>
          </w:p>
        </w:tc>
        <w:tc>
          <w:tcPr>
            <w:tcW w:w="1709" w:type="pct"/>
          </w:tcPr>
          <w:p w14:paraId="3C7159AD" w14:textId="0B2E07A8" w:rsidR="00923BE4" w:rsidRPr="00EA18AD" w:rsidRDefault="00923BE4" w:rsidP="00134136">
            <w:pPr>
              <w:rPr>
                <w:color w:val="000000" w:themeColor="text1"/>
                <w:szCs w:val="19"/>
                <w:lang w:eastAsia="en-AU"/>
              </w:rPr>
            </w:pPr>
            <w:r w:rsidRPr="00EA18AD">
              <w:rPr>
                <w:rFonts w:eastAsia="Segoe UI Semilight" w:cs="Segoe UI Semilight"/>
                <w:color w:val="000000" w:themeColor="text1"/>
                <w:kern w:val="24"/>
                <w:szCs w:val="19"/>
              </w:rPr>
              <w:t>Subject matter/</w:t>
            </w:r>
            <w:r w:rsidR="00033393">
              <w:rPr>
                <w:rFonts w:eastAsia="Segoe UI Semilight" w:cs="Segoe UI Semilight"/>
                <w:color w:val="000000" w:themeColor="text1"/>
                <w:kern w:val="24"/>
                <w:szCs w:val="19"/>
              </w:rPr>
              <w:t>e</w:t>
            </w:r>
            <w:r w:rsidRPr="00EA18AD">
              <w:rPr>
                <w:rFonts w:eastAsia="Segoe UI Semilight" w:cs="Segoe UI Semilight"/>
                <w:color w:val="000000" w:themeColor="text1"/>
                <w:kern w:val="24"/>
                <w:szCs w:val="19"/>
              </w:rPr>
              <w:t>xpertise</w:t>
            </w:r>
          </w:p>
        </w:tc>
        <w:tc>
          <w:tcPr>
            <w:tcW w:w="2983" w:type="pct"/>
          </w:tcPr>
          <w:p w14:paraId="638A1F22" w14:textId="38F55922" w:rsidR="00923BE4" w:rsidRPr="00EA18AD" w:rsidRDefault="00923BE4" w:rsidP="00134136">
            <w:pPr>
              <w:rPr>
                <w:color w:val="000000" w:themeColor="text1"/>
                <w:szCs w:val="19"/>
                <w:lang w:eastAsia="en-AU"/>
              </w:rPr>
            </w:pPr>
            <w:r w:rsidRPr="00EA18AD">
              <w:rPr>
                <w:rFonts w:eastAsiaTheme="minorEastAsia"/>
                <w:i/>
                <w:color w:val="000000" w:themeColor="text1"/>
                <w:kern w:val="24"/>
                <w:szCs w:val="19"/>
              </w:rPr>
              <w:t xml:space="preserve">2. What </w:t>
            </w:r>
            <w:r w:rsidRPr="00033393">
              <w:rPr>
                <w:rFonts w:asciiTheme="majorHAnsi" w:eastAsiaTheme="minorEastAsia" w:hAnsiTheme="majorHAnsi" w:cstheme="majorHAnsi"/>
                <w:bCs/>
                <w:i/>
                <w:color w:val="000000" w:themeColor="text1"/>
                <w:kern w:val="24"/>
                <w:szCs w:val="19"/>
              </w:rPr>
              <w:t>expertise</w:t>
            </w:r>
            <w:r w:rsidRPr="00EA18AD">
              <w:rPr>
                <w:rFonts w:eastAsiaTheme="minorEastAsia"/>
                <w:b/>
                <w:i/>
                <w:color w:val="000000" w:themeColor="text1"/>
                <w:kern w:val="24"/>
                <w:szCs w:val="19"/>
              </w:rPr>
              <w:t xml:space="preserve"> </w:t>
            </w:r>
            <w:r w:rsidRPr="00EA18AD">
              <w:rPr>
                <w:rFonts w:eastAsiaTheme="minorEastAsia"/>
                <w:i/>
                <w:color w:val="000000" w:themeColor="text1"/>
                <w:kern w:val="24"/>
                <w:szCs w:val="19"/>
              </w:rPr>
              <w:t xml:space="preserve">is required to make decisions? </w:t>
            </w:r>
            <w:r w:rsidR="00C61DEA">
              <w:rPr>
                <w:rFonts w:eastAsiaTheme="minorEastAsia"/>
                <w:i/>
                <w:color w:val="000000" w:themeColor="text1"/>
                <w:kern w:val="24"/>
                <w:szCs w:val="19"/>
              </w:rPr>
              <w:t>(</w:t>
            </w:r>
            <w:proofErr w:type="gramStart"/>
            <w:r w:rsidR="00783105">
              <w:rPr>
                <w:rFonts w:eastAsiaTheme="minorEastAsia"/>
                <w:i/>
                <w:color w:val="000000" w:themeColor="text1"/>
                <w:kern w:val="24"/>
                <w:szCs w:val="19"/>
              </w:rPr>
              <w:t>e.g.</w:t>
            </w:r>
            <w:proofErr w:type="gramEnd"/>
            <w:r w:rsidRPr="00EA18AD">
              <w:rPr>
                <w:rFonts w:eastAsiaTheme="minorEastAsia"/>
                <w:i/>
                <w:color w:val="000000" w:themeColor="text1"/>
                <w:kern w:val="24"/>
                <w:szCs w:val="19"/>
              </w:rPr>
              <w:t xml:space="preserve"> technical scientific capability or broader policy issue) </w:t>
            </w:r>
          </w:p>
        </w:tc>
      </w:tr>
      <w:tr w:rsidR="00923BE4" w:rsidRPr="00511E42" w14:paraId="748CDCA3" w14:textId="77777777" w:rsidTr="00134136">
        <w:trPr>
          <w:cnfStyle w:val="000000100000" w:firstRow="0" w:lastRow="0" w:firstColumn="0" w:lastColumn="0" w:oddVBand="0" w:evenVBand="0" w:oddHBand="1" w:evenHBand="0" w:firstRowFirstColumn="0" w:firstRowLastColumn="0" w:lastRowFirstColumn="0" w:lastRowLastColumn="0"/>
          <w:cantSplit/>
        </w:trPr>
        <w:tc>
          <w:tcPr>
            <w:tcW w:w="308" w:type="pct"/>
          </w:tcPr>
          <w:p w14:paraId="5CAC4108" w14:textId="77777777" w:rsidR="00923BE4" w:rsidRPr="00EA18AD" w:rsidRDefault="00923BE4" w:rsidP="00134136">
            <w:pPr>
              <w:rPr>
                <w:color w:val="000000" w:themeColor="text1"/>
                <w:szCs w:val="19"/>
                <w:lang w:eastAsia="en-AU"/>
              </w:rPr>
            </w:pPr>
            <w:r w:rsidRPr="00EA18AD">
              <w:rPr>
                <w:rFonts w:ascii="Segoe UI Semibold" w:eastAsia="Segoe UI" w:hAnsi="Segoe UI Semibold" w:cs="Segoe UI"/>
                <w:color w:val="000000" w:themeColor="text1"/>
                <w:kern w:val="24"/>
                <w:szCs w:val="19"/>
              </w:rPr>
              <w:t>3</w:t>
            </w:r>
          </w:p>
        </w:tc>
        <w:tc>
          <w:tcPr>
            <w:tcW w:w="1709" w:type="pct"/>
          </w:tcPr>
          <w:p w14:paraId="5747AF5D" w14:textId="77777777" w:rsidR="00923BE4" w:rsidRPr="00EA18AD" w:rsidRDefault="00923BE4" w:rsidP="00134136">
            <w:pPr>
              <w:rPr>
                <w:color w:val="000000" w:themeColor="text1"/>
                <w:szCs w:val="19"/>
                <w:lang w:eastAsia="en-AU"/>
              </w:rPr>
            </w:pPr>
            <w:r w:rsidRPr="00EA18AD">
              <w:rPr>
                <w:rFonts w:eastAsia="Segoe UI Semilight" w:cs="Segoe UI Semilight"/>
                <w:color w:val="000000" w:themeColor="text1"/>
                <w:kern w:val="24"/>
                <w:szCs w:val="19"/>
              </w:rPr>
              <w:t xml:space="preserve">Extent of risk </w:t>
            </w:r>
          </w:p>
        </w:tc>
        <w:tc>
          <w:tcPr>
            <w:tcW w:w="2983" w:type="pct"/>
          </w:tcPr>
          <w:p w14:paraId="741F6C5B" w14:textId="62E5C345" w:rsidR="00923BE4" w:rsidRPr="00EA18AD" w:rsidRDefault="00923BE4" w:rsidP="00134136">
            <w:pPr>
              <w:rPr>
                <w:color w:val="000000" w:themeColor="text1"/>
                <w:szCs w:val="19"/>
                <w:lang w:eastAsia="en-AU"/>
              </w:rPr>
            </w:pPr>
            <w:r w:rsidRPr="00EA18AD">
              <w:rPr>
                <w:rFonts w:eastAsiaTheme="minorEastAsia"/>
                <w:i/>
                <w:color w:val="000000" w:themeColor="text1"/>
                <w:kern w:val="24"/>
                <w:szCs w:val="19"/>
              </w:rPr>
              <w:t xml:space="preserve">3. How significant is </w:t>
            </w:r>
            <w:r w:rsidRPr="00033393">
              <w:rPr>
                <w:rFonts w:asciiTheme="majorHAnsi" w:eastAsiaTheme="minorEastAsia" w:hAnsiTheme="majorHAnsi" w:cstheme="majorHAnsi"/>
                <w:bCs/>
                <w:i/>
                <w:color w:val="000000" w:themeColor="text1"/>
                <w:kern w:val="24"/>
                <w:szCs w:val="19"/>
              </w:rPr>
              <w:t>risk to public health or safety</w:t>
            </w:r>
            <w:r w:rsidRPr="00033393">
              <w:rPr>
                <w:rFonts w:eastAsiaTheme="minorEastAsia"/>
                <w:bCs/>
                <w:i/>
                <w:color w:val="000000" w:themeColor="text1"/>
                <w:kern w:val="24"/>
                <w:szCs w:val="19"/>
              </w:rPr>
              <w:t>/</w:t>
            </w:r>
            <w:r w:rsidRPr="00EA18AD">
              <w:rPr>
                <w:rFonts w:eastAsiaTheme="minorEastAsia"/>
                <w:i/>
                <w:color w:val="000000" w:themeColor="text1"/>
                <w:kern w:val="24"/>
                <w:szCs w:val="19"/>
              </w:rPr>
              <w:t xml:space="preserve">how </w:t>
            </w:r>
            <w:r w:rsidRPr="00033393">
              <w:rPr>
                <w:rFonts w:asciiTheme="majorHAnsi" w:eastAsiaTheme="minorEastAsia" w:hAnsiTheme="majorHAnsi" w:cstheme="majorHAnsi"/>
                <w:bCs/>
                <w:i/>
                <w:color w:val="000000" w:themeColor="text1"/>
                <w:kern w:val="24"/>
                <w:szCs w:val="19"/>
              </w:rPr>
              <w:t>complex</w:t>
            </w:r>
            <w:r w:rsidRPr="00EA18AD">
              <w:rPr>
                <w:rFonts w:eastAsiaTheme="minorEastAsia"/>
                <w:i/>
                <w:color w:val="000000" w:themeColor="text1"/>
                <w:kern w:val="24"/>
                <w:szCs w:val="19"/>
              </w:rPr>
              <w:t xml:space="preserve"> is the risk assessment? </w:t>
            </w:r>
          </w:p>
        </w:tc>
      </w:tr>
      <w:tr w:rsidR="00923BE4" w:rsidRPr="00511E42" w14:paraId="4D53815F" w14:textId="77777777" w:rsidTr="00134136">
        <w:trPr>
          <w:cnfStyle w:val="000000010000" w:firstRow="0" w:lastRow="0" w:firstColumn="0" w:lastColumn="0" w:oddVBand="0" w:evenVBand="0" w:oddHBand="0" w:evenHBand="1" w:firstRowFirstColumn="0" w:firstRowLastColumn="0" w:lastRowFirstColumn="0" w:lastRowLastColumn="0"/>
          <w:cantSplit/>
        </w:trPr>
        <w:tc>
          <w:tcPr>
            <w:tcW w:w="308" w:type="pct"/>
          </w:tcPr>
          <w:p w14:paraId="5AF94389" w14:textId="77777777" w:rsidR="00923BE4" w:rsidRPr="00EA18AD" w:rsidRDefault="00923BE4" w:rsidP="00134136">
            <w:pPr>
              <w:rPr>
                <w:color w:val="000000" w:themeColor="text1"/>
                <w:szCs w:val="19"/>
                <w:lang w:eastAsia="en-AU"/>
              </w:rPr>
            </w:pPr>
            <w:r w:rsidRPr="00EA18AD">
              <w:rPr>
                <w:rFonts w:ascii="Segoe UI Semibold" w:eastAsia="Segoe UI" w:hAnsi="Segoe UI Semibold" w:cs="Segoe UI"/>
                <w:color w:val="000000" w:themeColor="text1"/>
                <w:kern w:val="24"/>
                <w:szCs w:val="19"/>
              </w:rPr>
              <w:t>4</w:t>
            </w:r>
          </w:p>
        </w:tc>
        <w:tc>
          <w:tcPr>
            <w:tcW w:w="1709" w:type="pct"/>
          </w:tcPr>
          <w:p w14:paraId="27A0D562" w14:textId="77777777" w:rsidR="00923BE4" w:rsidRPr="00EA18AD" w:rsidRDefault="00923BE4" w:rsidP="00134136">
            <w:pPr>
              <w:rPr>
                <w:color w:val="000000" w:themeColor="text1"/>
                <w:szCs w:val="19"/>
                <w:lang w:eastAsia="en-AU"/>
              </w:rPr>
            </w:pPr>
            <w:r w:rsidRPr="00EA18AD">
              <w:rPr>
                <w:rFonts w:eastAsia="Segoe UI Semilight" w:cs="Segoe UI Semilight"/>
                <w:color w:val="000000" w:themeColor="text1"/>
                <w:kern w:val="24"/>
                <w:szCs w:val="19"/>
              </w:rPr>
              <w:t xml:space="preserve">Scope of impact </w:t>
            </w:r>
          </w:p>
        </w:tc>
        <w:tc>
          <w:tcPr>
            <w:tcW w:w="2983" w:type="pct"/>
          </w:tcPr>
          <w:p w14:paraId="6026D8AE" w14:textId="569AD5F2" w:rsidR="00923BE4" w:rsidRPr="00EA18AD" w:rsidRDefault="00923BE4" w:rsidP="00134136">
            <w:pPr>
              <w:rPr>
                <w:color w:val="000000" w:themeColor="text1"/>
                <w:szCs w:val="19"/>
                <w:lang w:eastAsia="en-AU"/>
              </w:rPr>
            </w:pPr>
            <w:r w:rsidRPr="00EA18AD">
              <w:rPr>
                <w:rFonts w:eastAsiaTheme="minorEastAsia"/>
                <w:i/>
                <w:color w:val="000000" w:themeColor="text1"/>
                <w:kern w:val="24"/>
                <w:szCs w:val="19"/>
              </w:rPr>
              <w:t xml:space="preserve">4. How </w:t>
            </w:r>
            <w:r w:rsidRPr="00033393">
              <w:rPr>
                <w:rFonts w:asciiTheme="majorHAnsi" w:eastAsiaTheme="minorEastAsia" w:hAnsiTheme="majorHAnsi" w:cstheme="majorHAnsi"/>
                <w:bCs/>
                <w:i/>
                <w:color w:val="000000" w:themeColor="text1"/>
                <w:kern w:val="24"/>
                <w:szCs w:val="19"/>
              </w:rPr>
              <w:t>broad reaching and immediate</w:t>
            </w:r>
            <w:r w:rsidRPr="00EA18AD">
              <w:rPr>
                <w:rFonts w:eastAsiaTheme="minorEastAsia"/>
                <w:b/>
                <w:i/>
                <w:color w:val="000000" w:themeColor="text1"/>
                <w:kern w:val="24"/>
                <w:szCs w:val="19"/>
              </w:rPr>
              <w:t xml:space="preserve"> </w:t>
            </w:r>
            <w:r w:rsidRPr="00EA18AD">
              <w:rPr>
                <w:rFonts w:eastAsiaTheme="minorEastAsia"/>
                <w:i/>
                <w:color w:val="000000" w:themeColor="text1"/>
                <w:kern w:val="24"/>
                <w:szCs w:val="19"/>
              </w:rPr>
              <w:t xml:space="preserve">are social, economic and health </w:t>
            </w:r>
            <w:r w:rsidRPr="00033393">
              <w:rPr>
                <w:rFonts w:asciiTheme="majorHAnsi" w:eastAsiaTheme="minorEastAsia" w:hAnsiTheme="majorHAnsi" w:cstheme="majorHAnsi"/>
                <w:bCs/>
                <w:i/>
                <w:color w:val="000000" w:themeColor="text1"/>
                <w:kern w:val="24"/>
                <w:szCs w:val="19"/>
              </w:rPr>
              <w:t>impacts</w:t>
            </w:r>
            <w:r w:rsidR="00B47F35" w:rsidRPr="00033393">
              <w:rPr>
                <w:rFonts w:asciiTheme="majorHAnsi" w:eastAsiaTheme="minorEastAsia" w:hAnsiTheme="majorHAnsi" w:cstheme="majorHAnsi"/>
                <w:bCs/>
                <w:i/>
                <w:color w:val="000000" w:themeColor="text1"/>
                <w:kern w:val="24"/>
                <w:szCs w:val="19"/>
              </w:rPr>
              <w:t>, and are these impacts short- or</w:t>
            </w:r>
            <w:r w:rsidR="00033393">
              <w:rPr>
                <w:rFonts w:asciiTheme="majorHAnsi" w:eastAsiaTheme="minorEastAsia" w:hAnsiTheme="majorHAnsi" w:cstheme="majorHAnsi"/>
                <w:bCs/>
                <w:i/>
                <w:color w:val="000000" w:themeColor="text1"/>
                <w:kern w:val="24"/>
                <w:szCs w:val="19"/>
              </w:rPr>
              <w:t> </w:t>
            </w:r>
            <w:r w:rsidR="00B47F35" w:rsidRPr="00033393">
              <w:rPr>
                <w:rFonts w:asciiTheme="majorHAnsi" w:eastAsiaTheme="minorEastAsia" w:hAnsiTheme="majorHAnsi" w:cstheme="majorHAnsi"/>
                <w:bCs/>
                <w:i/>
                <w:color w:val="000000" w:themeColor="text1"/>
                <w:kern w:val="24"/>
                <w:szCs w:val="19"/>
              </w:rPr>
              <w:t>long</w:t>
            </w:r>
            <w:r w:rsidR="00033393">
              <w:rPr>
                <w:rFonts w:asciiTheme="majorHAnsi" w:eastAsiaTheme="minorEastAsia" w:hAnsiTheme="majorHAnsi" w:cstheme="majorHAnsi"/>
                <w:bCs/>
                <w:i/>
                <w:color w:val="000000" w:themeColor="text1"/>
                <w:kern w:val="24"/>
                <w:szCs w:val="19"/>
              </w:rPr>
              <w:t>-</w:t>
            </w:r>
            <w:r w:rsidR="00B47F35" w:rsidRPr="00033393">
              <w:rPr>
                <w:rFonts w:asciiTheme="majorHAnsi" w:eastAsiaTheme="minorEastAsia" w:hAnsiTheme="majorHAnsi" w:cstheme="majorHAnsi"/>
                <w:bCs/>
                <w:i/>
                <w:color w:val="000000" w:themeColor="text1"/>
                <w:kern w:val="24"/>
                <w:szCs w:val="19"/>
              </w:rPr>
              <w:t>term</w:t>
            </w:r>
            <w:r w:rsidRPr="00033393">
              <w:rPr>
                <w:rFonts w:asciiTheme="majorHAnsi" w:eastAsiaTheme="minorEastAsia" w:hAnsiTheme="majorHAnsi" w:cstheme="majorHAnsi"/>
                <w:bCs/>
                <w:i/>
                <w:color w:val="000000" w:themeColor="text1"/>
                <w:kern w:val="24"/>
                <w:szCs w:val="19"/>
              </w:rPr>
              <w:t xml:space="preserve">? </w:t>
            </w:r>
          </w:p>
        </w:tc>
      </w:tr>
      <w:tr w:rsidR="00923BE4" w:rsidRPr="00511E42" w14:paraId="78B00ACA" w14:textId="77777777" w:rsidTr="00134136">
        <w:trPr>
          <w:cnfStyle w:val="000000100000" w:firstRow="0" w:lastRow="0" w:firstColumn="0" w:lastColumn="0" w:oddVBand="0" w:evenVBand="0" w:oddHBand="1" w:evenHBand="0" w:firstRowFirstColumn="0" w:firstRowLastColumn="0" w:lastRowFirstColumn="0" w:lastRowLastColumn="0"/>
          <w:cantSplit/>
        </w:trPr>
        <w:tc>
          <w:tcPr>
            <w:tcW w:w="308" w:type="pct"/>
          </w:tcPr>
          <w:p w14:paraId="17970483" w14:textId="77777777" w:rsidR="00923BE4" w:rsidRPr="00EA18AD" w:rsidRDefault="00923BE4" w:rsidP="00134136">
            <w:pPr>
              <w:rPr>
                <w:color w:val="000000" w:themeColor="text1"/>
                <w:szCs w:val="19"/>
                <w:lang w:eastAsia="en-AU"/>
              </w:rPr>
            </w:pPr>
            <w:r w:rsidRPr="00EA18AD">
              <w:rPr>
                <w:rFonts w:ascii="Segoe UI Semibold" w:eastAsia="Segoe UI" w:hAnsi="Segoe UI Semibold" w:cs="Segoe UI"/>
                <w:color w:val="000000" w:themeColor="text1"/>
                <w:kern w:val="24"/>
                <w:szCs w:val="19"/>
              </w:rPr>
              <w:t>5</w:t>
            </w:r>
          </w:p>
        </w:tc>
        <w:tc>
          <w:tcPr>
            <w:tcW w:w="1709" w:type="pct"/>
          </w:tcPr>
          <w:p w14:paraId="1794D7C1" w14:textId="77777777" w:rsidR="00923BE4" w:rsidRPr="00EA18AD" w:rsidRDefault="00923BE4" w:rsidP="00134136">
            <w:pPr>
              <w:rPr>
                <w:color w:val="000000" w:themeColor="text1"/>
                <w:szCs w:val="19"/>
                <w:lang w:eastAsia="en-AU"/>
              </w:rPr>
            </w:pPr>
            <w:r w:rsidRPr="00EA18AD">
              <w:rPr>
                <w:rFonts w:eastAsia="Segoe UI Semilight" w:cs="Segoe UI Semilight"/>
                <w:color w:val="000000" w:themeColor="text1"/>
                <w:kern w:val="24"/>
                <w:szCs w:val="19"/>
              </w:rPr>
              <w:t xml:space="preserve">Existing evidence </w:t>
            </w:r>
          </w:p>
        </w:tc>
        <w:tc>
          <w:tcPr>
            <w:tcW w:w="2983" w:type="pct"/>
          </w:tcPr>
          <w:p w14:paraId="4425C980" w14:textId="77777777" w:rsidR="00923BE4" w:rsidRPr="00EA18AD" w:rsidRDefault="00923BE4" w:rsidP="00134136">
            <w:pPr>
              <w:rPr>
                <w:color w:val="000000" w:themeColor="text1"/>
                <w:szCs w:val="19"/>
                <w:lang w:eastAsia="en-AU"/>
              </w:rPr>
            </w:pPr>
            <w:r w:rsidRPr="00EA18AD">
              <w:rPr>
                <w:rFonts w:eastAsia="Segoe UI Semilight" w:cs="Segoe UI Semilight"/>
                <w:color w:val="000000" w:themeColor="text1"/>
                <w:kern w:val="24"/>
                <w:szCs w:val="19"/>
              </w:rPr>
              <w:t xml:space="preserve">5. </w:t>
            </w:r>
            <w:r w:rsidRPr="00EA18AD">
              <w:rPr>
                <w:rFonts w:eastAsia="Segoe UI Semilight" w:cs="Segoe UI Semilight"/>
                <w:i/>
                <w:color w:val="000000" w:themeColor="text1"/>
                <w:kern w:val="24"/>
                <w:szCs w:val="19"/>
              </w:rPr>
              <w:t xml:space="preserve">Is there a strong and relevant </w:t>
            </w:r>
            <w:r w:rsidRPr="00033393">
              <w:rPr>
                <w:rFonts w:asciiTheme="majorHAnsi" w:eastAsiaTheme="minorEastAsia" w:hAnsiTheme="majorHAnsi" w:cstheme="majorHAnsi"/>
                <w:bCs/>
                <w:i/>
                <w:color w:val="000000" w:themeColor="text1"/>
                <w:kern w:val="24"/>
                <w:szCs w:val="19"/>
              </w:rPr>
              <w:t>evidence-base</w:t>
            </w:r>
            <w:r w:rsidRPr="00EA18AD">
              <w:rPr>
                <w:rFonts w:eastAsia="Segoe UI Semilight" w:cs="Segoe UI Semilight"/>
                <w:i/>
                <w:color w:val="000000" w:themeColor="text1"/>
                <w:kern w:val="24"/>
                <w:szCs w:val="19"/>
              </w:rPr>
              <w:t xml:space="preserve"> in existence? </w:t>
            </w:r>
          </w:p>
        </w:tc>
      </w:tr>
    </w:tbl>
    <w:p w14:paraId="38A04ECF" w14:textId="77777777" w:rsidR="005015FC" w:rsidRDefault="005015FC" w:rsidP="00923BE4"/>
    <w:p w14:paraId="407C9EDC" w14:textId="78FC27EC" w:rsidR="00923BE4" w:rsidRPr="00511E42" w:rsidRDefault="00641C64" w:rsidP="00923BE4">
      <w:pPr>
        <w:rPr>
          <w:lang w:eastAsia="en-AU"/>
        </w:rPr>
      </w:pPr>
      <w:r>
        <w:lastRenderedPageBreak/>
        <w:t xml:space="preserve">The assessment of the extent of risk will consider the potential public health impact of the regulatory measure, with measures that may contribute to adverse health outcomes being classified as ‘high risk’. This is in line with Component 2.1.1 of Option 2, with proposes that Section 18(1) could be amended to safeguard both short and long-term health. </w:t>
      </w:r>
      <w:r w:rsidR="00923BE4" w:rsidRPr="00511E42">
        <w:rPr>
          <w:lang w:eastAsia="en-AU"/>
        </w:rPr>
        <w:t>Once criteria and thresholds for risk are agreed, processes and decision-making arrangements could be aligned to the risk level (including the level of public consultation involved). For instance:</w:t>
      </w:r>
    </w:p>
    <w:p w14:paraId="07E7319F" w14:textId="5D6CAE01" w:rsidR="00923BE4" w:rsidRPr="00511E42" w:rsidRDefault="00923BE4" w:rsidP="00EA3C9C">
      <w:pPr>
        <w:numPr>
          <w:ilvl w:val="0"/>
          <w:numId w:val="2"/>
        </w:numPr>
        <w:suppressAutoHyphens/>
        <w:rPr>
          <w:rFonts w:eastAsia="Times New Roman" w:cs="Times New Roman"/>
          <w:szCs w:val="19"/>
          <w:lang w:eastAsia="en-AU"/>
        </w:rPr>
      </w:pPr>
      <w:r w:rsidRPr="00511E42">
        <w:rPr>
          <w:rFonts w:eastAsia="Times New Roman" w:cs="Times New Roman"/>
          <w:szCs w:val="19"/>
          <w:lang w:eastAsia="en-AU"/>
        </w:rPr>
        <w:t xml:space="preserve">Amendments that are considered ‘low risk’ might follow a process </w:t>
      </w:r>
      <w:proofErr w:type="gramStart"/>
      <w:r w:rsidRPr="00511E42">
        <w:rPr>
          <w:rFonts w:eastAsia="Times New Roman" w:cs="Times New Roman"/>
          <w:szCs w:val="19"/>
          <w:lang w:eastAsia="en-AU"/>
        </w:rPr>
        <w:t>similar to</w:t>
      </w:r>
      <w:proofErr w:type="gramEnd"/>
      <w:r w:rsidRPr="00511E42">
        <w:rPr>
          <w:rFonts w:eastAsia="Times New Roman" w:cs="Times New Roman"/>
          <w:szCs w:val="19"/>
          <w:lang w:eastAsia="en-AU"/>
        </w:rPr>
        <w:t xml:space="preserve"> that currently set out for minor variations</w:t>
      </w:r>
      <w:r>
        <w:rPr>
          <w:rFonts w:eastAsia="Times New Roman" w:cs="Times New Roman"/>
          <w:szCs w:val="19"/>
          <w:lang w:eastAsia="en-AU"/>
        </w:rPr>
        <w:t>.</w:t>
      </w:r>
      <w:r w:rsidR="00C2428E">
        <w:rPr>
          <w:rFonts w:eastAsia="Times New Roman" w:cs="Times New Roman"/>
          <w:szCs w:val="19"/>
          <w:lang w:eastAsia="en-AU"/>
        </w:rPr>
        <w:t xml:space="preserve"> </w:t>
      </w:r>
      <w:r w:rsidR="005F02EF" w:rsidRPr="001127A2">
        <w:rPr>
          <w:rFonts w:eastAsia="Times New Roman" w:cs="Times New Roman"/>
          <w:szCs w:val="19"/>
          <w:lang w:eastAsia="en-AU"/>
        </w:rPr>
        <w:t xml:space="preserve">They could be subject to shorter statutory processing times </w:t>
      </w:r>
      <w:r w:rsidR="00C61DEA">
        <w:rPr>
          <w:rFonts w:eastAsia="Times New Roman" w:cs="Times New Roman"/>
          <w:szCs w:val="19"/>
          <w:lang w:eastAsia="en-AU"/>
        </w:rPr>
        <w:t>(</w:t>
      </w:r>
      <w:proofErr w:type="gramStart"/>
      <w:r w:rsidR="00783105">
        <w:rPr>
          <w:rFonts w:eastAsia="Times New Roman" w:cs="Times New Roman"/>
          <w:szCs w:val="19"/>
          <w:lang w:eastAsia="en-AU"/>
        </w:rPr>
        <w:t>e.g.</w:t>
      </w:r>
      <w:proofErr w:type="gramEnd"/>
      <w:r w:rsidR="005F02EF" w:rsidRPr="001127A2">
        <w:rPr>
          <w:rFonts w:eastAsia="Times New Roman" w:cs="Times New Roman"/>
          <w:szCs w:val="19"/>
          <w:lang w:eastAsia="en-AU"/>
        </w:rPr>
        <w:t xml:space="preserve"> 30 days instead of the current 60</w:t>
      </w:r>
      <w:r w:rsidR="005F02EF">
        <w:rPr>
          <w:rFonts w:eastAsia="Times New Roman" w:cs="Times New Roman"/>
          <w:szCs w:val="19"/>
          <w:lang w:eastAsia="en-AU"/>
        </w:rPr>
        <w:t xml:space="preserve"> days</w:t>
      </w:r>
      <w:r w:rsidR="005F02EF" w:rsidRPr="001127A2">
        <w:rPr>
          <w:rFonts w:eastAsia="Times New Roman" w:cs="Times New Roman"/>
          <w:szCs w:val="19"/>
          <w:lang w:eastAsia="en-AU"/>
        </w:rPr>
        <w:t>)</w:t>
      </w:r>
      <w:r w:rsidR="004A47F8">
        <w:rPr>
          <w:rFonts w:eastAsia="Times New Roman" w:cs="Times New Roman"/>
          <w:szCs w:val="19"/>
          <w:lang w:eastAsia="en-AU"/>
        </w:rPr>
        <w:t>.</w:t>
      </w:r>
    </w:p>
    <w:p w14:paraId="4B67501E" w14:textId="3235B709" w:rsidR="00923BE4" w:rsidRPr="00511E42" w:rsidRDefault="004E4D63" w:rsidP="004E4D63">
      <w:pPr>
        <w:numPr>
          <w:ilvl w:val="0"/>
          <w:numId w:val="2"/>
        </w:numPr>
        <w:suppressAutoHyphens/>
        <w:spacing w:line="360" w:lineRule="auto"/>
        <w:rPr>
          <w:rFonts w:eastAsia="Times New Roman" w:cs="Times New Roman"/>
          <w:szCs w:val="19"/>
          <w:lang w:eastAsia="en-AU"/>
        </w:rPr>
      </w:pPr>
      <w:r>
        <w:rPr>
          <w:rFonts w:eastAsia="Times New Roman" w:cs="Times New Roman"/>
          <w:szCs w:val="19"/>
          <w:lang w:eastAsia="en-AU"/>
        </w:rPr>
        <w:t>Moderate</w:t>
      </w:r>
      <w:r w:rsidR="00923BE4" w:rsidRPr="00511E42">
        <w:rPr>
          <w:rFonts w:eastAsia="Times New Roman" w:cs="Times New Roman"/>
          <w:szCs w:val="19"/>
          <w:lang w:eastAsia="en-AU"/>
        </w:rPr>
        <w:t xml:space="preserve"> risk amendments might follow a process </w:t>
      </w:r>
      <w:proofErr w:type="gramStart"/>
      <w:r w:rsidR="00923BE4" w:rsidRPr="00511E42">
        <w:rPr>
          <w:rFonts w:eastAsia="Times New Roman" w:cs="Times New Roman"/>
          <w:szCs w:val="19"/>
          <w:lang w:eastAsia="en-AU"/>
        </w:rPr>
        <w:t>similar to</w:t>
      </w:r>
      <w:proofErr w:type="gramEnd"/>
      <w:r w:rsidR="00923BE4" w:rsidRPr="00511E42">
        <w:rPr>
          <w:rFonts w:eastAsia="Times New Roman" w:cs="Times New Roman"/>
          <w:szCs w:val="19"/>
          <w:lang w:eastAsia="en-AU"/>
        </w:rPr>
        <w:t xml:space="preserve"> that set out for </w:t>
      </w:r>
      <w:r w:rsidR="008117F8">
        <w:rPr>
          <w:rFonts w:eastAsia="Times New Roman" w:cs="Times New Roman"/>
          <w:szCs w:val="19"/>
          <w:lang w:eastAsia="en-AU"/>
        </w:rPr>
        <w:t>Codes of Practice</w:t>
      </w:r>
      <w:r w:rsidR="00923BE4">
        <w:rPr>
          <w:rFonts w:eastAsia="Times New Roman" w:cs="Times New Roman"/>
          <w:szCs w:val="19"/>
          <w:lang w:eastAsia="en-AU"/>
        </w:rPr>
        <w:t>.</w:t>
      </w:r>
    </w:p>
    <w:p w14:paraId="557960F2" w14:textId="77777777" w:rsidR="00923BE4" w:rsidRPr="00511E42" w:rsidRDefault="00923BE4" w:rsidP="00EA3C9C">
      <w:pPr>
        <w:numPr>
          <w:ilvl w:val="0"/>
          <w:numId w:val="2"/>
        </w:numPr>
        <w:suppressAutoHyphens/>
        <w:rPr>
          <w:rFonts w:eastAsia="Times New Roman" w:cs="Times New Roman"/>
          <w:szCs w:val="19"/>
          <w:lang w:eastAsia="en-AU"/>
        </w:rPr>
      </w:pPr>
      <w:r w:rsidRPr="00511E42">
        <w:rPr>
          <w:rFonts w:eastAsia="Times New Roman" w:cs="Times New Roman"/>
          <w:szCs w:val="19"/>
          <w:lang w:eastAsia="en-AU"/>
        </w:rPr>
        <w:t xml:space="preserve">High risk applications might follow a process </w:t>
      </w:r>
      <w:proofErr w:type="gramStart"/>
      <w:r w:rsidRPr="00511E42">
        <w:rPr>
          <w:rFonts w:eastAsia="Times New Roman" w:cs="Times New Roman"/>
          <w:szCs w:val="19"/>
          <w:lang w:eastAsia="en-AU"/>
        </w:rPr>
        <w:t>similar to</w:t>
      </w:r>
      <w:proofErr w:type="gramEnd"/>
      <w:r w:rsidRPr="00511E42">
        <w:rPr>
          <w:rFonts w:eastAsia="Times New Roman" w:cs="Times New Roman"/>
          <w:szCs w:val="19"/>
          <w:lang w:eastAsia="en-AU"/>
        </w:rPr>
        <w:t xml:space="preserve"> major variation</w:t>
      </w:r>
      <w:r>
        <w:rPr>
          <w:rFonts w:eastAsia="Times New Roman" w:cs="Times New Roman"/>
          <w:szCs w:val="19"/>
          <w:lang w:eastAsia="en-AU"/>
        </w:rPr>
        <w:t>s.</w:t>
      </w:r>
    </w:p>
    <w:p w14:paraId="2C88F9C9" w14:textId="77777777" w:rsidR="00923BE4" w:rsidRPr="00511E42" w:rsidRDefault="00923BE4" w:rsidP="00EA3C9C">
      <w:pPr>
        <w:numPr>
          <w:ilvl w:val="0"/>
          <w:numId w:val="2"/>
        </w:numPr>
        <w:suppressAutoHyphens/>
        <w:rPr>
          <w:rFonts w:eastAsia="Times New Roman" w:cs="Times New Roman"/>
          <w:szCs w:val="19"/>
          <w:lang w:eastAsia="en-AU"/>
        </w:rPr>
      </w:pPr>
      <w:r w:rsidRPr="00511E42">
        <w:rPr>
          <w:rFonts w:eastAsia="Times New Roman" w:cs="Times New Roman"/>
          <w:szCs w:val="19"/>
          <w:lang w:eastAsia="en-AU"/>
        </w:rPr>
        <w:t>The pathway specific to high-level health claims would be abolished</w:t>
      </w:r>
      <w:r>
        <w:rPr>
          <w:rFonts w:eastAsia="Times New Roman" w:cs="Times New Roman"/>
          <w:szCs w:val="19"/>
          <w:lang w:eastAsia="en-AU"/>
        </w:rPr>
        <w:t>.</w:t>
      </w:r>
    </w:p>
    <w:p w14:paraId="1DE34DA4" w14:textId="77777777" w:rsidR="00923BE4" w:rsidRPr="00511E42" w:rsidRDefault="00923BE4" w:rsidP="00EA3C9C">
      <w:pPr>
        <w:numPr>
          <w:ilvl w:val="0"/>
          <w:numId w:val="2"/>
        </w:numPr>
        <w:suppressAutoHyphens/>
        <w:rPr>
          <w:rFonts w:eastAsia="Times New Roman" w:cs="Times New Roman"/>
          <w:szCs w:val="19"/>
          <w:lang w:eastAsia="en-AU"/>
        </w:rPr>
      </w:pPr>
      <w:r w:rsidRPr="00511E42">
        <w:rPr>
          <w:rFonts w:eastAsia="Times New Roman" w:cs="Times New Roman"/>
          <w:szCs w:val="19"/>
          <w:lang w:eastAsia="en-AU"/>
        </w:rPr>
        <w:t>Provision for urgent amendments could be retained but modified to adopt some of the risk proportionality of a non-urgent amendment.</w:t>
      </w:r>
    </w:p>
    <w:p w14:paraId="55CBCF7C" w14:textId="2B482ABB" w:rsidR="00923BE4" w:rsidRPr="00511E42" w:rsidRDefault="00923BE4" w:rsidP="00923BE4">
      <w:pPr>
        <w:rPr>
          <w:lang w:eastAsia="en-AU"/>
        </w:rPr>
      </w:pPr>
      <w:r w:rsidRPr="00511E42">
        <w:rPr>
          <w:lang w:eastAsia="en-AU"/>
        </w:rPr>
        <w:t>Should a risk framework be agreed, separate work would be required to determine the decision-making arrangements for triaging applications and proposals and deciding an overall risk profile. This may need to be regularly reviewed to ensure that it remains up-to-date and fit-for-purpose, particularly as successive governments and FSANZ leadership may have different approaches or appetites to risk management.</w:t>
      </w:r>
    </w:p>
    <w:p w14:paraId="4212C1E2" w14:textId="4F9C2F32" w:rsidR="00923BE4" w:rsidRDefault="00EA1F80" w:rsidP="00923BE4">
      <w:pPr>
        <w:pStyle w:val="Heading4"/>
      </w:pPr>
      <w:r>
        <w:t xml:space="preserve">Component 2.2.2 | </w:t>
      </w:r>
      <w:r w:rsidR="00923BE4">
        <w:t xml:space="preserve">New pathways to amend food standards could be </w:t>
      </w:r>
      <w:proofErr w:type="gramStart"/>
      <w:r w:rsidR="00923BE4">
        <w:t>introduced</w:t>
      </w:r>
      <w:proofErr w:type="gramEnd"/>
      <w:r w:rsidR="00085CAC" w:rsidRPr="00085CAC" w:rsidDel="00085CAC">
        <w:t xml:space="preserve"> </w:t>
      </w:r>
    </w:p>
    <w:tbl>
      <w:tblPr>
        <w:tblStyle w:val="TableGrid"/>
        <w:tblW w:w="0" w:type="auto"/>
        <w:tblLook w:val="04A0" w:firstRow="1" w:lastRow="0" w:firstColumn="1" w:lastColumn="0" w:noHBand="0" w:noVBand="1"/>
      </w:tblPr>
      <w:tblGrid>
        <w:gridCol w:w="8930"/>
      </w:tblGrid>
      <w:tr w:rsidR="0089006F" w14:paraId="62219430"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1A2F068E" w14:textId="77777777" w:rsidR="006F0345" w:rsidRPr="007F7722" w:rsidRDefault="006F0345" w:rsidP="006F0345">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306FA722" w14:textId="69A926CD" w:rsidR="00337819" w:rsidRPr="00B954D0" w:rsidRDefault="00337819" w:rsidP="00B954D0">
            <w:pPr>
              <w:pStyle w:val="Bullet"/>
              <w:spacing w:line="259" w:lineRule="auto"/>
            </w:pPr>
            <w:r>
              <w:t xml:space="preserve">Problem 2.1 | </w:t>
            </w:r>
            <w:r w:rsidR="007D56FC" w:rsidRPr="00B954D0">
              <w:t>Statutory processes are rules-based rather than outcomes-based</w:t>
            </w:r>
          </w:p>
        </w:tc>
      </w:tr>
    </w:tbl>
    <w:p w14:paraId="25E363C7" w14:textId="77777777" w:rsidR="00337819" w:rsidRPr="00A323F6" w:rsidRDefault="00337819" w:rsidP="007F7722"/>
    <w:p w14:paraId="64A4D683" w14:textId="65F34331" w:rsidR="00923BE4" w:rsidRPr="0084417A" w:rsidRDefault="00923BE4" w:rsidP="00923BE4">
      <w:pPr>
        <w:rPr>
          <w:rFonts w:cs="Times New Roman"/>
          <w:color w:val="000000" w:themeColor="text1"/>
          <w:szCs w:val="19"/>
          <w:lang w:eastAsia="en-AU"/>
        </w:rPr>
      </w:pPr>
      <w:r w:rsidRPr="0084417A">
        <w:t>The creation of new pathways could expedite low-risk amendments to food standards</w:t>
      </w:r>
      <w:r>
        <w:t xml:space="preserve">. </w:t>
      </w:r>
      <w:r w:rsidRPr="0084417A">
        <w:rPr>
          <w:rFonts w:cs="Times New Roman"/>
          <w:color w:val="000000" w:themeColor="text1"/>
          <w:szCs w:val="19"/>
          <w:lang w:eastAsia="en-AU"/>
        </w:rPr>
        <w:t xml:space="preserve">Currently regulatory measures can be developed or varied </w:t>
      </w:r>
      <w:proofErr w:type="gramStart"/>
      <w:r w:rsidRPr="0084417A">
        <w:rPr>
          <w:rFonts w:cs="Times New Roman"/>
          <w:color w:val="000000" w:themeColor="text1"/>
          <w:szCs w:val="19"/>
          <w:lang w:eastAsia="en-AU"/>
        </w:rPr>
        <w:t>subsequent to</w:t>
      </w:r>
      <w:proofErr w:type="gramEnd"/>
      <w:r w:rsidRPr="0084417A">
        <w:rPr>
          <w:rFonts w:cs="Times New Roman"/>
          <w:color w:val="000000" w:themeColor="text1"/>
          <w:szCs w:val="19"/>
          <w:lang w:eastAsia="en-AU"/>
        </w:rPr>
        <w:t xml:space="preserve"> an application or a proposal only. This approach is insensitive to the relatively minimal risk posed by substances that have been approved by comparable international regulators. </w:t>
      </w:r>
    </w:p>
    <w:p w14:paraId="22C65082" w14:textId="3816A176" w:rsidR="00923BE4" w:rsidRPr="00511E42" w:rsidRDefault="00923BE4" w:rsidP="00923BE4">
      <w:pPr>
        <w:pStyle w:val="Heading5"/>
      </w:pPr>
      <w:r w:rsidRPr="00511E42">
        <w:t xml:space="preserve">The Act could provide for FSANZ to accept risk assessments from overseas </w:t>
      </w:r>
      <w:proofErr w:type="gramStart"/>
      <w:r w:rsidRPr="00511E42">
        <w:t>jurisdictions</w:t>
      </w:r>
      <w:proofErr w:type="gramEnd"/>
    </w:p>
    <w:p w14:paraId="50DCCEA8" w14:textId="77777777" w:rsidR="00923BE4" w:rsidRDefault="00923BE4" w:rsidP="00923BE4">
      <w:pPr>
        <w:suppressAutoHyphens/>
        <w:rPr>
          <w:rFonts w:eastAsia="Times New Roman" w:cs="Times New Roman"/>
          <w:szCs w:val="19"/>
          <w:lang w:eastAsia="en-AU"/>
        </w:rPr>
      </w:pPr>
      <w:r w:rsidRPr="00511E42">
        <w:rPr>
          <w:rFonts w:eastAsia="Times New Roman" w:cs="Times New Roman"/>
          <w:szCs w:val="19"/>
          <w:lang w:eastAsia="en-AU"/>
        </w:rPr>
        <w:t xml:space="preserve">In consultations to date, industry stakeholders spoke about the administrative burden associated compiling the required evidence base to support a comprehensive risk assessment by FSANZ. </w:t>
      </w:r>
    </w:p>
    <w:p w14:paraId="41F0E410" w14:textId="77777777" w:rsidR="00923BE4" w:rsidRPr="00511E42" w:rsidRDefault="00923BE4" w:rsidP="00923BE4">
      <w:pPr>
        <w:suppressAutoHyphens/>
        <w:rPr>
          <w:rFonts w:eastAsia="Times New Roman" w:cs="Times New Roman"/>
          <w:szCs w:val="19"/>
          <w:lang w:eastAsia="en-AU"/>
        </w:rPr>
      </w:pPr>
      <w:r w:rsidRPr="00511E42">
        <w:rPr>
          <w:rFonts w:eastAsia="Times New Roman" w:cs="Times New Roman"/>
          <w:szCs w:val="19"/>
          <w:lang w:eastAsia="en-AU"/>
        </w:rPr>
        <w:t xml:space="preserve">FSANZ can currently </w:t>
      </w:r>
      <w:r w:rsidRPr="00795084">
        <w:rPr>
          <w:rFonts w:eastAsia="Times New Roman" w:cs="Times New Roman"/>
          <w:i/>
          <w:szCs w:val="19"/>
          <w:lang w:eastAsia="en-AU"/>
        </w:rPr>
        <w:t>consider</w:t>
      </w:r>
      <w:r>
        <w:rPr>
          <w:rFonts w:eastAsia="Times New Roman" w:cs="Times New Roman"/>
          <w:szCs w:val="19"/>
          <w:lang w:eastAsia="en-AU"/>
        </w:rPr>
        <w:t xml:space="preserve"> international risk assessments that already exist but cannot </w:t>
      </w:r>
      <w:r w:rsidRPr="00795084">
        <w:rPr>
          <w:rFonts w:eastAsia="Times New Roman" w:cs="Times New Roman"/>
          <w:i/>
          <w:szCs w:val="19"/>
          <w:lang w:eastAsia="en-AU"/>
        </w:rPr>
        <w:t xml:space="preserve">adopt </w:t>
      </w:r>
      <w:r>
        <w:rPr>
          <w:rFonts w:eastAsia="Times New Roman" w:cs="Times New Roman"/>
          <w:szCs w:val="19"/>
          <w:lang w:eastAsia="en-AU"/>
        </w:rPr>
        <w:t xml:space="preserve">these assessments for </w:t>
      </w:r>
      <w:r w:rsidRPr="00511E42">
        <w:rPr>
          <w:rFonts w:eastAsia="Times New Roman" w:cs="Times New Roman"/>
          <w:szCs w:val="19"/>
          <w:lang w:eastAsia="en-AU"/>
        </w:rPr>
        <w:t xml:space="preserve">the </w:t>
      </w:r>
      <w:r>
        <w:rPr>
          <w:rFonts w:eastAsia="Times New Roman" w:cs="Times New Roman"/>
          <w:szCs w:val="19"/>
          <w:lang w:eastAsia="en-AU"/>
        </w:rPr>
        <w:t>purposes of their review</w:t>
      </w:r>
      <w:r w:rsidRPr="00511E42">
        <w:rPr>
          <w:rFonts w:eastAsia="Times New Roman" w:cs="Times New Roman"/>
          <w:szCs w:val="19"/>
          <w:lang w:eastAsia="en-AU"/>
        </w:rPr>
        <w:t xml:space="preserve">. </w:t>
      </w:r>
    </w:p>
    <w:p w14:paraId="516A1C44" w14:textId="77777777" w:rsidR="00923BE4" w:rsidRPr="00511E42" w:rsidRDefault="00923BE4" w:rsidP="00923BE4">
      <w:pPr>
        <w:suppressAutoHyphens/>
        <w:rPr>
          <w:rFonts w:eastAsia="Times New Roman" w:cs="Times New Roman"/>
          <w:szCs w:val="19"/>
          <w:lang w:eastAsia="en-AU"/>
        </w:rPr>
      </w:pPr>
      <w:r w:rsidRPr="00511E42">
        <w:rPr>
          <w:rFonts w:eastAsia="Times New Roman" w:cs="Times New Roman"/>
          <w:szCs w:val="19"/>
          <w:lang w:eastAsia="en-AU"/>
        </w:rPr>
        <w:t>The Act could be amended to enable FSANZ to formally recognise and adopt the assessment and determinations of ‘overseas bodies’ (with appropriate statutory controls). This could be limited to specific international bodies (such as Codex), specific assessments (such as chemical risks assessments undertaken by the Joint Food and Agricultural Organi</w:t>
      </w:r>
      <w:r w:rsidR="00B62604">
        <w:rPr>
          <w:rFonts w:eastAsia="Times New Roman" w:cs="Times New Roman"/>
          <w:szCs w:val="19"/>
          <w:lang w:eastAsia="en-AU"/>
        </w:rPr>
        <w:t>s</w:t>
      </w:r>
      <w:r w:rsidRPr="00511E42">
        <w:rPr>
          <w:rFonts w:eastAsia="Times New Roman" w:cs="Times New Roman"/>
          <w:szCs w:val="19"/>
          <w:lang w:eastAsia="en-AU"/>
        </w:rPr>
        <w:t>ation of the United Nations/World Health Organi</w:t>
      </w:r>
      <w:r w:rsidR="00B62604">
        <w:rPr>
          <w:rFonts w:eastAsia="Times New Roman" w:cs="Times New Roman"/>
          <w:szCs w:val="19"/>
          <w:lang w:eastAsia="en-AU"/>
        </w:rPr>
        <w:t>s</w:t>
      </w:r>
      <w:r w:rsidRPr="00511E42">
        <w:rPr>
          <w:rFonts w:eastAsia="Times New Roman" w:cs="Times New Roman"/>
          <w:szCs w:val="19"/>
          <w:lang w:eastAsia="en-AU"/>
        </w:rPr>
        <w:t xml:space="preserve">ation Expert Committee on Food Additives) or could be a more general power. </w:t>
      </w:r>
    </w:p>
    <w:p w14:paraId="6ECB5077" w14:textId="784D53EE" w:rsidR="00923BE4" w:rsidRDefault="00923BE4" w:rsidP="00923BE4">
      <w:pPr>
        <w:suppressAutoHyphens/>
        <w:rPr>
          <w:rFonts w:eastAsia="Times New Roman" w:cs="Times New Roman"/>
          <w:szCs w:val="19"/>
          <w:lang w:eastAsia="en-AU"/>
        </w:rPr>
      </w:pPr>
      <w:r>
        <w:rPr>
          <w:rFonts w:eastAsia="Times New Roman" w:cs="Times New Roman"/>
          <w:szCs w:val="19"/>
          <w:lang w:eastAsia="en-AU"/>
        </w:rPr>
        <w:t>Of note, t</w:t>
      </w:r>
      <w:r w:rsidRPr="00511E42">
        <w:rPr>
          <w:rFonts w:eastAsia="Times New Roman" w:cs="Times New Roman"/>
          <w:szCs w:val="19"/>
          <w:lang w:eastAsia="en-AU"/>
        </w:rPr>
        <w:t xml:space="preserve">his change would bring FSANZ into alignment with provisions in place in other regulatory areas (such as the </w:t>
      </w:r>
      <w:r w:rsidR="00702D46">
        <w:rPr>
          <w:rFonts w:eastAsia="Times New Roman" w:cs="Times New Roman"/>
          <w:szCs w:val="19"/>
          <w:lang w:eastAsia="en-AU"/>
        </w:rPr>
        <w:t>TGA</w:t>
      </w:r>
      <w:r w:rsidRPr="00511E42">
        <w:rPr>
          <w:rFonts w:eastAsia="Times New Roman" w:cs="Times New Roman"/>
          <w:szCs w:val="19"/>
          <w:lang w:eastAsia="en-AU"/>
        </w:rPr>
        <w:t xml:space="preserve">), which would in turn simplify the regulatory experience for businesses. </w:t>
      </w:r>
    </w:p>
    <w:p w14:paraId="08DAD76D" w14:textId="2CD0073B" w:rsidR="0061537C" w:rsidRPr="00D61500" w:rsidRDefault="0061537C" w:rsidP="0061537C">
      <w:pPr>
        <w:suppressAutoHyphens/>
        <w:rPr>
          <w:rFonts w:eastAsia="Times New Roman" w:cs="Times New Roman"/>
          <w:szCs w:val="19"/>
          <w:lang w:eastAsia="en-AU"/>
        </w:rPr>
      </w:pPr>
      <w:r>
        <w:rPr>
          <w:rFonts w:eastAsia="Times New Roman" w:cs="Times New Roman"/>
          <w:szCs w:val="19"/>
          <w:lang w:eastAsia="en-AU"/>
        </w:rPr>
        <w:lastRenderedPageBreak/>
        <w:t>It is also consistent with the ‘Industry Innovation and Competitiveness Agenda: An Action Plan for a Stronger Australia’</w:t>
      </w:r>
      <w:r w:rsidR="00235A9D">
        <w:rPr>
          <w:rFonts w:ascii="ZWAdobeF" w:eastAsia="Times New Roman" w:hAnsi="ZWAdobeF" w:cs="ZWAdobeF"/>
          <w:sz w:val="2"/>
          <w:szCs w:val="2"/>
          <w:lang w:eastAsia="en-AU"/>
        </w:rPr>
        <w:t>3</w:t>
      </w:r>
      <w:r>
        <w:rPr>
          <w:rStyle w:val="FootnoteReference"/>
          <w:rFonts w:eastAsia="Times New Roman" w:cs="Times New Roman"/>
          <w:szCs w:val="19"/>
          <w:lang w:eastAsia="en-AU"/>
        </w:rPr>
        <w:footnoteReference w:id="37"/>
      </w:r>
      <w:r>
        <w:rPr>
          <w:rFonts w:eastAsia="Times New Roman" w:cs="Times New Roman"/>
          <w:szCs w:val="19"/>
          <w:lang w:eastAsia="en-AU"/>
        </w:rPr>
        <w:t>, where the Australian Government proposed: “</w:t>
      </w:r>
      <w:r w:rsidRPr="007C0982">
        <w:rPr>
          <w:rFonts w:eastAsia="Times New Roman" w:cs="Times New Roman"/>
          <w:szCs w:val="19"/>
          <w:lang w:eastAsia="en-AU"/>
        </w:rPr>
        <w:t>To reduce duplicative domestic regulation, the Government will adopt the principle that if a system, service or product has been approved under a trusted international standard or risk assessment, then Australian regulators should not impose any additional requirements, unless there is a good and demonstrable reason to do so.</w:t>
      </w:r>
      <w:r>
        <w:rPr>
          <w:rFonts w:eastAsia="Times New Roman" w:cs="Times New Roman"/>
          <w:szCs w:val="19"/>
          <w:lang w:eastAsia="en-AU"/>
        </w:rPr>
        <w:t>” This commitment informs several of the regulatory requirements set by the Australian Government Treasury.</w:t>
      </w:r>
      <w:r>
        <w:rPr>
          <w:rStyle w:val="FootnoteReference"/>
          <w:rFonts w:eastAsia="Times New Roman" w:cs="Times New Roman"/>
          <w:szCs w:val="19"/>
          <w:lang w:eastAsia="en-AU"/>
        </w:rPr>
        <w:footnoteReference w:id="38"/>
      </w:r>
    </w:p>
    <w:p w14:paraId="32D86707" w14:textId="4201CD48" w:rsidR="00923BE4" w:rsidRDefault="00923BE4" w:rsidP="00CE5D41">
      <w:pPr>
        <w:pStyle w:val="Heading5"/>
        <w:numPr>
          <w:ilvl w:val="0"/>
          <w:numId w:val="0"/>
        </w:numPr>
      </w:pPr>
      <w:r>
        <w:t xml:space="preserve">Select international standards </w:t>
      </w:r>
      <w:r w:rsidRPr="007F7722">
        <w:rPr>
          <w:i/>
          <w:iCs/>
        </w:rPr>
        <w:t>could</w:t>
      </w:r>
      <w:r>
        <w:t xml:space="preserve"> be automatically </w:t>
      </w:r>
      <w:proofErr w:type="gramStart"/>
      <w:r>
        <w:t>recognised</w:t>
      </w:r>
      <w:proofErr w:type="gramEnd"/>
      <w:r>
        <w:t xml:space="preserve"> </w:t>
      </w:r>
    </w:p>
    <w:p w14:paraId="32F533B6" w14:textId="6F382C73" w:rsidR="00923BE4" w:rsidRPr="0084417A" w:rsidRDefault="00923BE4" w:rsidP="009574D9">
      <w:pPr>
        <w:spacing w:line="240" w:lineRule="auto"/>
      </w:pPr>
      <w:r w:rsidRPr="0084417A">
        <w:t>FSANZ could undertake an annual harmonisation process</w:t>
      </w:r>
      <w:r w:rsidR="000A46D5">
        <w:t xml:space="preserve"> -</w:t>
      </w:r>
      <w:r w:rsidR="000A46D5" w:rsidRPr="0084417A">
        <w:t xml:space="preserve"> </w:t>
      </w:r>
      <w:r w:rsidRPr="0084417A">
        <w:t>when deemed appropriate</w:t>
      </w:r>
      <w:r w:rsidR="000A46D5">
        <w:t xml:space="preserve"> -</w:t>
      </w:r>
      <w:r w:rsidR="000A46D5" w:rsidRPr="0084417A">
        <w:t xml:space="preserve"> </w:t>
      </w:r>
      <w:r w:rsidRPr="0084417A">
        <w:t xml:space="preserve">to adopt new standards into the Food Standard Code. For example, this could </w:t>
      </w:r>
      <w:r w:rsidR="000A46D5">
        <w:t>allow for the</w:t>
      </w:r>
      <w:r w:rsidRPr="0084417A">
        <w:t xml:space="preserve"> automatic adoption of new standards created for the Codex Alimentarius.</w:t>
      </w:r>
      <w:r w:rsidR="000A46D5">
        <w:t xml:space="preserve"> </w:t>
      </w:r>
      <w:r w:rsidR="0013510D">
        <w:t xml:space="preserve">Importantly, the Act could </w:t>
      </w:r>
      <w:r w:rsidR="0013510D" w:rsidRPr="00B718C5">
        <w:rPr>
          <w:i/>
          <w:iCs/>
        </w:rPr>
        <w:t>allow</w:t>
      </w:r>
      <w:r w:rsidR="0013510D">
        <w:t xml:space="preserve"> for automatic adoption, but not </w:t>
      </w:r>
      <w:r w:rsidR="0013510D" w:rsidRPr="00B718C5">
        <w:rPr>
          <w:i/>
          <w:iCs/>
        </w:rPr>
        <w:t xml:space="preserve">compel </w:t>
      </w:r>
      <w:r w:rsidR="0013510D">
        <w:t>it. Discretion to maintain the current processe</w:t>
      </w:r>
      <w:r w:rsidR="009C0EFA">
        <w:t>s</w:t>
      </w:r>
      <w:r w:rsidR="0013510D">
        <w:t xml:space="preserve"> of assessment </w:t>
      </w:r>
      <w:r w:rsidR="009C0EFA">
        <w:t xml:space="preserve">will be an important safeguard, particularly given that </w:t>
      </w:r>
      <w:r w:rsidR="004E4D63">
        <w:t>FSANZ’</w:t>
      </w:r>
      <w:r w:rsidR="00855ACF">
        <w:t>s</w:t>
      </w:r>
      <w:r w:rsidR="009C0EFA">
        <w:t xml:space="preserve"> advice to Codex is sometimes not taken on board, and therefore standards may not be suitable for Australia and New Zealand. </w:t>
      </w:r>
      <w:r w:rsidR="009574D9">
        <w:t>F</w:t>
      </w:r>
      <w:r w:rsidR="009574D9" w:rsidRPr="009574D9">
        <w:t>eedback i</w:t>
      </w:r>
      <w:r w:rsidR="009574D9">
        <w:t>s</w:t>
      </w:r>
      <w:r w:rsidR="009574D9" w:rsidRPr="009574D9">
        <w:t xml:space="preserve"> sought as to whether the FMM should have a role in approving any standards adopted via this pathway</w:t>
      </w:r>
      <w:r w:rsidR="00E95AA8">
        <w:t>.</w:t>
      </w:r>
    </w:p>
    <w:p w14:paraId="03CDA17E" w14:textId="77777777" w:rsidR="00923BE4" w:rsidRDefault="00923BE4" w:rsidP="00923BE4">
      <w:pPr>
        <w:pStyle w:val="Heading5"/>
      </w:pPr>
      <w:r>
        <w:t xml:space="preserve">An additional pathway to bring very low risk products to market could support greater economic opportunities for food </w:t>
      </w:r>
      <w:proofErr w:type="gramStart"/>
      <w:r>
        <w:t>businesses</w:t>
      </w:r>
      <w:proofErr w:type="gramEnd"/>
    </w:p>
    <w:p w14:paraId="35A4F623" w14:textId="43B22785" w:rsidR="00923BE4" w:rsidRPr="00DC0698" w:rsidRDefault="00923BE4" w:rsidP="00923BE4">
      <w:pPr>
        <w:rPr>
          <w:sz w:val="20"/>
          <w:szCs w:val="24"/>
        </w:rPr>
      </w:pPr>
      <w:r>
        <w:t xml:space="preserve">A minimal check pathway could also be introduced. </w:t>
      </w:r>
      <w:r w:rsidRPr="0084417A">
        <w:t xml:space="preserve">This option would provide FSANZ a </w:t>
      </w:r>
      <w:r w:rsidR="005345EA" w:rsidRPr="0084417A">
        <w:t>p</w:t>
      </w:r>
      <w:r w:rsidR="005345EA">
        <w:t>rocess</w:t>
      </w:r>
      <w:r w:rsidR="005345EA" w:rsidRPr="0084417A">
        <w:t xml:space="preserve"> </w:t>
      </w:r>
      <w:r w:rsidRPr="0084417A">
        <w:t xml:space="preserve">to expedite consideration of </w:t>
      </w:r>
      <w:r w:rsidR="009D39BD">
        <w:t>products</w:t>
      </w:r>
      <w:r w:rsidR="009D39BD" w:rsidRPr="0084417A">
        <w:t xml:space="preserve"> </w:t>
      </w:r>
      <w:r w:rsidRPr="0084417A">
        <w:t xml:space="preserve">that have been approved by a comparable overseas regulator (for example, the Food and Drugs </w:t>
      </w:r>
      <w:r w:rsidR="00E357A1">
        <w:t>Administration</w:t>
      </w:r>
      <w:r w:rsidR="00E357A1" w:rsidRPr="0084417A">
        <w:t xml:space="preserve"> </w:t>
      </w:r>
      <w:r w:rsidRPr="0084417A">
        <w:t>in the United States, Food Standards Agency in the United Kingdom, Health Canada or the European Commission</w:t>
      </w:r>
      <w:r w:rsidRPr="00DC0698">
        <w:rPr>
          <w:rFonts w:asciiTheme="minorHAnsi" w:hAnsiTheme="minorHAnsi" w:cstheme="minorHAnsi"/>
        </w:rPr>
        <w:t>).</w:t>
      </w:r>
      <w:r w:rsidR="00235A9D">
        <w:rPr>
          <w:rFonts w:ascii="ZWAdobeF" w:hAnsi="ZWAdobeF" w:cs="ZWAdobeF"/>
          <w:sz w:val="2"/>
          <w:szCs w:val="2"/>
        </w:rPr>
        <w:t>36F</w:t>
      </w:r>
      <w:r w:rsidRPr="0084417A">
        <w:rPr>
          <w:rFonts w:asciiTheme="minorHAnsi" w:hAnsiTheme="minorHAnsi" w:cstheme="minorHAnsi"/>
          <w:vertAlign w:val="superscript"/>
        </w:rPr>
        <w:footnoteReference w:id="39"/>
      </w:r>
      <w:r w:rsidRPr="00DC0698">
        <w:rPr>
          <w:rFonts w:asciiTheme="minorHAnsi" w:hAnsiTheme="minorHAnsi" w:cstheme="minorHAnsi"/>
        </w:rPr>
        <w:t xml:space="preserve"> </w:t>
      </w:r>
      <w:r w:rsidRPr="0084417A">
        <w:t xml:space="preserve">FSANZ may undertake minimal assessments of the suitability of the standards within the Australian-New Zealand context of dietary and consumption trends and/or to consider different outcomes of assessments from such regulators. </w:t>
      </w:r>
    </w:p>
    <w:p w14:paraId="5B4A3959" w14:textId="0D4727B0" w:rsidR="00300381" w:rsidRDefault="00923BE4" w:rsidP="00C259F5">
      <w:r w:rsidRPr="0084417A">
        <w:t>T</w:t>
      </w:r>
      <w:r w:rsidR="0082334D">
        <w:t>he four pat</w:t>
      </w:r>
      <w:r w:rsidRPr="0084417A">
        <w:t xml:space="preserve">hways to amend food regulatory measures are shown </w:t>
      </w:r>
      <w:r w:rsidRPr="00295B49">
        <w:t xml:space="preserve">visually at </w:t>
      </w:r>
      <w:r w:rsidR="008D0769">
        <w:fldChar w:fldCharType="begin"/>
      </w:r>
      <w:r w:rsidR="008D0769">
        <w:instrText xml:space="preserve"> REF _Ref142419377 \h  \* MERGEFORMAT </w:instrText>
      </w:r>
      <w:r w:rsidR="008D0769">
        <w:fldChar w:fldCharType="separate"/>
      </w:r>
      <w:r w:rsidR="003F7B92" w:rsidRPr="003F7B92">
        <w:t>Figure 9</w:t>
      </w:r>
      <w:r w:rsidR="008D0769">
        <w:fldChar w:fldCharType="end"/>
      </w:r>
      <w:r w:rsidRPr="00295B49">
        <w:t>.</w:t>
      </w:r>
      <w:bookmarkStart w:id="56" w:name="_Ref141863522"/>
    </w:p>
    <w:p w14:paraId="2D252AEA" w14:textId="1140FCBD" w:rsidR="005015FC" w:rsidRDefault="00923BE4" w:rsidP="005015FC">
      <w:pPr>
        <w:rPr>
          <w:lang w:eastAsia="en-AU"/>
        </w:rPr>
      </w:pPr>
      <w:bookmarkStart w:id="57" w:name="_Ref142419377"/>
      <w:r w:rsidRPr="0084417A">
        <w:rPr>
          <w:rFonts w:ascii="Segoe UI Semibold" w:hAnsi="Segoe UI Semibold"/>
          <w:bCs/>
          <w:color w:val="00264D" w:themeColor="background2"/>
          <w:szCs w:val="18"/>
        </w:rPr>
        <w:lastRenderedPageBreak/>
        <w:t xml:space="preserve">Figure </w:t>
      </w:r>
      <w:r w:rsidRPr="0084417A">
        <w:rPr>
          <w:rFonts w:ascii="Segoe UI Semibold" w:hAnsi="Segoe UI Semibold"/>
          <w:bCs/>
          <w:color w:val="00264D" w:themeColor="background2"/>
          <w:szCs w:val="18"/>
        </w:rPr>
        <w:fldChar w:fldCharType="begin"/>
      </w:r>
      <w:r w:rsidRPr="0084417A">
        <w:rPr>
          <w:rFonts w:ascii="Segoe UI Semibold" w:hAnsi="Segoe UI Semibold"/>
          <w:bCs/>
          <w:color w:val="00264D" w:themeColor="background2"/>
          <w:szCs w:val="18"/>
        </w:rPr>
        <w:instrText xml:space="preserve"> SEQ Figure \* ARABIC </w:instrText>
      </w:r>
      <w:r w:rsidRPr="0084417A">
        <w:rPr>
          <w:rFonts w:ascii="Segoe UI Semibold" w:hAnsi="Segoe UI Semibold"/>
          <w:bCs/>
          <w:color w:val="00264D" w:themeColor="background2"/>
          <w:szCs w:val="18"/>
        </w:rPr>
        <w:fldChar w:fldCharType="separate"/>
      </w:r>
      <w:r w:rsidR="003F7B92">
        <w:rPr>
          <w:rFonts w:ascii="Segoe UI Semibold" w:hAnsi="Segoe UI Semibold"/>
          <w:bCs/>
          <w:noProof/>
          <w:color w:val="00264D" w:themeColor="background2"/>
          <w:szCs w:val="18"/>
        </w:rPr>
        <w:t>9</w:t>
      </w:r>
      <w:r w:rsidRPr="0084417A">
        <w:rPr>
          <w:rFonts w:ascii="Segoe UI Semibold" w:hAnsi="Segoe UI Semibold"/>
          <w:bCs/>
          <w:color w:val="00264D" w:themeColor="background2"/>
          <w:szCs w:val="18"/>
        </w:rPr>
        <w:fldChar w:fldCharType="end"/>
      </w:r>
      <w:bookmarkEnd w:id="56"/>
      <w:bookmarkEnd w:id="57"/>
      <w:r w:rsidRPr="0084417A">
        <w:rPr>
          <w:rFonts w:ascii="Segoe UI Semibold" w:hAnsi="Segoe UI Semibold"/>
          <w:bCs/>
          <w:color w:val="00264D" w:themeColor="background2"/>
          <w:szCs w:val="18"/>
        </w:rPr>
        <w:t xml:space="preserve"> | Proposed pathways to amend food regulatory measures</w:t>
      </w:r>
      <w:r w:rsidR="00F20AA9">
        <w:rPr>
          <w:noProof/>
          <w:lang w:eastAsia="en-AU"/>
        </w:rPr>
        <w:drawing>
          <wp:inline distT="0" distB="0" distL="0" distR="0" wp14:anchorId="5C0479C8" wp14:editId="2722A43A">
            <wp:extent cx="5370830" cy="3456940"/>
            <wp:effectExtent l="0" t="0" r="1270" b="0"/>
            <wp:docPr id="1878053979" name="Picture 1878053979" descr="Provides graphical representation of the four proposed pathways to amend food regulatory measures: applications, proposals, automatic adoption and minimal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53979" name="Picture 1878053979" descr="Provides graphical representation of the four proposed pathways to amend food regulatory measures: applications, proposals, automatic adoption and minimal check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0830" cy="3456940"/>
                    </a:xfrm>
                    <a:prstGeom prst="rect">
                      <a:avLst/>
                    </a:prstGeom>
                    <a:noFill/>
                  </pic:spPr>
                </pic:pic>
              </a:graphicData>
            </a:graphic>
          </wp:inline>
        </w:drawing>
      </w:r>
    </w:p>
    <w:p w14:paraId="107F053A" w14:textId="4A476D81" w:rsidR="00AC66A5" w:rsidRDefault="00AC66A5" w:rsidP="00AC66A5">
      <w:pPr>
        <w:pStyle w:val="Heading5"/>
      </w:pPr>
      <w:r>
        <w:t xml:space="preserve">Principles could be embedded in legislation to allow FSANZ to create other pathways to amend food </w:t>
      </w:r>
      <w:proofErr w:type="gramStart"/>
      <w:r>
        <w:t>standards</w:t>
      </w:r>
      <w:proofErr w:type="gramEnd"/>
    </w:p>
    <w:p w14:paraId="73F82B34" w14:textId="43FCF145" w:rsidR="00AC66A5" w:rsidRDefault="00AC66A5" w:rsidP="00AC66A5">
      <w:pPr>
        <w:rPr>
          <w:lang w:eastAsia="en-AU"/>
        </w:rPr>
      </w:pPr>
      <w:r>
        <w:rPr>
          <w:lang w:eastAsia="en-AU"/>
        </w:rPr>
        <w:t xml:space="preserve">Additions could be made to the Act to provide for new pathways to set or amend food standards to be established in the regulations. Legislated principles could stipulate that alternative pathways could be made available and subject to risk-proportionate requirements and decision-making arrangements. </w:t>
      </w:r>
    </w:p>
    <w:p w14:paraId="20DEF574" w14:textId="20B79FFB" w:rsidR="00DB5500" w:rsidRDefault="00AC66A5" w:rsidP="00AC66A5">
      <w:pPr>
        <w:rPr>
          <w:lang w:eastAsia="en-AU"/>
        </w:rPr>
      </w:pPr>
      <w:r>
        <w:rPr>
          <w:lang w:eastAsia="en-AU"/>
        </w:rPr>
        <w:t xml:space="preserve">Of note, should these provisions be exercised, work would be completed as part of amending regulations to agree exactly what these pathways would look like and how approval decisions would be made. </w:t>
      </w:r>
    </w:p>
    <w:p w14:paraId="772AD5F2" w14:textId="29733BC6" w:rsidR="00923BE4" w:rsidRDefault="00715550" w:rsidP="00923BE4">
      <w:pPr>
        <w:pStyle w:val="Heading4"/>
      </w:pPr>
      <w:r>
        <w:t xml:space="preserve">Component 2.2.3 | </w:t>
      </w:r>
      <w:r w:rsidR="00923BE4">
        <w:t xml:space="preserve">Decision-making arrangements could be </w:t>
      </w:r>
      <w:proofErr w:type="gramStart"/>
      <w:r w:rsidR="00923BE4">
        <w:t>streamlined</w:t>
      </w:r>
      <w:proofErr w:type="gramEnd"/>
      <w:r w:rsidR="009262C7" w:rsidRPr="009262C7" w:rsidDel="009262C7">
        <w:t xml:space="preserve"> </w:t>
      </w:r>
    </w:p>
    <w:tbl>
      <w:tblPr>
        <w:tblStyle w:val="TableGrid"/>
        <w:tblW w:w="0" w:type="auto"/>
        <w:tblLook w:val="04A0" w:firstRow="1" w:lastRow="0" w:firstColumn="1" w:lastColumn="0" w:noHBand="0" w:noVBand="1"/>
      </w:tblPr>
      <w:tblGrid>
        <w:gridCol w:w="8930"/>
      </w:tblGrid>
      <w:tr w:rsidR="0089006F" w14:paraId="256A6030"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2B131EC5" w14:textId="77777777" w:rsidR="005123C8" w:rsidRPr="007F7722" w:rsidRDefault="005123C8" w:rsidP="005123C8">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0044994D" w14:textId="0E9F48AC" w:rsidR="00EB1911" w:rsidRPr="00395D5E" w:rsidRDefault="00EB1911" w:rsidP="00395D5E">
            <w:pPr>
              <w:pStyle w:val="Bullet"/>
              <w:spacing w:line="259" w:lineRule="auto"/>
            </w:pPr>
            <w:r>
              <w:t>Problem 2.1 |</w:t>
            </w:r>
            <w:r w:rsidR="00395D5E">
              <w:t xml:space="preserve"> </w:t>
            </w:r>
            <w:r w:rsidR="00395D5E" w:rsidRPr="00395D5E">
              <w:t>Statutory processes are rules-based rather than outcomes-based</w:t>
            </w:r>
            <w:r w:rsidRPr="00395D5E">
              <w:t xml:space="preserve"> </w:t>
            </w:r>
          </w:p>
        </w:tc>
      </w:tr>
    </w:tbl>
    <w:p w14:paraId="08597A30" w14:textId="77777777" w:rsidR="00EB1911" w:rsidRPr="00A323F6" w:rsidRDefault="00EB1911" w:rsidP="007F7722"/>
    <w:p w14:paraId="6D0A984C" w14:textId="79EB9BFA" w:rsidR="00F005F5" w:rsidRDefault="00923BE4" w:rsidP="00923BE4">
      <w:r w:rsidRPr="00511E42">
        <w:t>In addition to more flexible, risk-based statutory processes, decision-making arrangements for applications and proposals could be streamlined by removing current barriers to delegation</w:t>
      </w:r>
      <w:r w:rsidR="00395D5E">
        <w:t>.</w:t>
      </w:r>
    </w:p>
    <w:p w14:paraId="0E010B34" w14:textId="2474D7EE" w:rsidR="00F005F5" w:rsidRPr="000B6E12" w:rsidRDefault="00923BE4" w:rsidP="000B6E12">
      <w:pPr>
        <w:pStyle w:val="Heading5"/>
      </w:pPr>
      <w:r w:rsidRPr="000B6E12">
        <w:t xml:space="preserve">The FSANZ Board’s non-delegable duties (set out in </w:t>
      </w:r>
      <w:r w:rsidR="007F2BB7" w:rsidRPr="000B6E12">
        <w:t>Section</w:t>
      </w:r>
      <w:r w:rsidRPr="000B6E12">
        <w:t xml:space="preserve"> 150) could be removed or revised to enable the Board to delegate decision-making responsibilities for draft standards or variations to the </w:t>
      </w:r>
      <w:proofErr w:type="gramStart"/>
      <w:r w:rsidRPr="000B6E12">
        <w:t>CEO</w:t>
      </w:r>
      <w:proofErr w:type="gramEnd"/>
    </w:p>
    <w:p w14:paraId="0DD41B6C" w14:textId="2B3E3EEE" w:rsidR="00923BE4" w:rsidRPr="00511E42" w:rsidRDefault="00923BE4" w:rsidP="00F005F5">
      <w:pPr>
        <w:pStyle w:val="Bullet"/>
        <w:numPr>
          <w:ilvl w:val="0"/>
          <w:numId w:val="0"/>
        </w:numPr>
      </w:pPr>
      <w:r w:rsidRPr="00511E42">
        <w:t>In the interests of transparency, if this change is adopted, internal business processes will need to ensure that the Board retains oversight over emerging risks or trends through appropriate reporting arrangements.</w:t>
      </w:r>
    </w:p>
    <w:p w14:paraId="75383EC3" w14:textId="40DA855C" w:rsidR="00B76FA8" w:rsidRDefault="00923BE4" w:rsidP="00B76FA8">
      <w:pPr>
        <w:pStyle w:val="Heading5"/>
      </w:pPr>
      <w:r w:rsidRPr="00581418">
        <w:lastRenderedPageBreak/>
        <w:t xml:space="preserve">Members of the FMM could be given the explicit ability to delegate decision-making to ratify changes to food standards to particular </w:t>
      </w:r>
      <w:r w:rsidR="000C2AC6" w:rsidRPr="00581418">
        <w:t>d</w:t>
      </w:r>
      <w:r w:rsidRPr="00581418">
        <w:t>epartment</w:t>
      </w:r>
      <w:r w:rsidR="000C2AC6" w:rsidRPr="00581418">
        <w:t>al</w:t>
      </w:r>
      <w:r w:rsidRPr="00581418">
        <w:t xml:space="preserve"> </w:t>
      </w:r>
      <w:proofErr w:type="gramStart"/>
      <w:r w:rsidRPr="00581418">
        <w:t>officials</w:t>
      </w:r>
      <w:proofErr w:type="gramEnd"/>
      <w:r w:rsidRPr="00511E42">
        <w:t xml:space="preserve"> </w:t>
      </w:r>
    </w:p>
    <w:p w14:paraId="1D2CA9C5" w14:textId="0256A05D" w:rsidR="00923BE4" w:rsidRPr="00511E42" w:rsidRDefault="00B76FA8" w:rsidP="00F005F5">
      <w:pPr>
        <w:pStyle w:val="Bullet"/>
        <w:numPr>
          <w:ilvl w:val="0"/>
          <w:numId w:val="0"/>
        </w:numPr>
      </w:pPr>
      <w:r>
        <w:t>This would preserve</w:t>
      </w:r>
      <w:r w:rsidR="00923BE4" w:rsidRPr="00511E42">
        <w:t xml:space="preserve"> each jurisdiction’s role in having a ‘final say’ about new or amended food standards, while recognising that </w:t>
      </w:r>
      <w:proofErr w:type="gramStart"/>
      <w:r w:rsidR="00923BE4" w:rsidRPr="00511E42">
        <w:t>particular Ministers</w:t>
      </w:r>
      <w:proofErr w:type="gramEnd"/>
      <w:r w:rsidR="00923BE4" w:rsidRPr="00511E42">
        <w:t xml:space="preserve"> may not feel </w:t>
      </w:r>
      <w:r w:rsidR="002723C1">
        <w:t xml:space="preserve">it </w:t>
      </w:r>
      <w:r w:rsidR="00923BE4" w:rsidRPr="00511E42">
        <w:t>necessary to have oversight and decision-making authority on all changes to the standards.</w:t>
      </w:r>
      <w:r w:rsidR="00235A9D">
        <w:rPr>
          <w:rFonts w:ascii="ZWAdobeF" w:hAnsi="ZWAdobeF" w:cs="ZWAdobeF"/>
          <w:sz w:val="2"/>
          <w:szCs w:val="2"/>
        </w:rPr>
        <w:t>37F</w:t>
      </w:r>
      <w:r w:rsidR="00923BE4" w:rsidRPr="00511E42">
        <w:rPr>
          <w:vertAlign w:val="superscript"/>
        </w:rPr>
        <w:footnoteReference w:id="40"/>
      </w:r>
      <w:r w:rsidR="00923BE4" w:rsidRPr="00511E42">
        <w:t xml:space="preserve"> </w:t>
      </w:r>
    </w:p>
    <w:p w14:paraId="176D1023" w14:textId="54F7EE02" w:rsidR="00CE592C" w:rsidRPr="00511E42" w:rsidRDefault="00E90EB0" w:rsidP="00F005F5">
      <w:pPr>
        <w:pStyle w:val="Bullet"/>
        <w:numPr>
          <w:ilvl w:val="0"/>
          <w:numId w:val="0"/>
        </w:numPr>
      </w:pPr>
      <w:r>
        <w:t xml:space="preserve">This </w:t>
      </w:r>
      <w:r w:rsidR="0029105C">
        <w:t xml:space="preserve">change should be </w:t>
      </w:r>
      <w:r w:rsidR="00977CAF">
        <w:t xml:space="preserve">accompanied by a clear and transparent decision-making process, decision tree, and evidentiary requirements. </w:t>
      </w:r>
      <w:r w:rsidR="00D567A7">
        <w:t xml:space="preserve">This should include seniority requirements for delegating different kinds of decisions. </w:t>
      </w:r>
    </w:p>
    <w:p w14:paraId="395B26B4" w14:textId="4019F13D" w:rsidR="007F4F9F" w:rsidRDefault="007F4F9F" w:rsidP="00D43A16">
      <w:pPr>
        <w:pStyle w:val="Bullet"/>
        <w:numPr>
          <w:ilvl w:val="0"/>
          <w:numId w:val="0"/>
        </w:numPr>
      </w:pPr>
      <w:r w:rsidRPr="00511E42">
        <w:t xml:space="preserve">Note that for existing application and proposal pathways, </w:t>
      </w:r>
      <w:r>
        <w:t>this would mean</w:t>
      </w:r>
      <w:r w:rsidR="004F6EEA">
        <w:t xml:space="preserve"> </w:t>
      </w:r>
      <w:r>
        <w:t>the</w:t>
      </w:r>
      <w:r w:rsidRPr="00511E42">
        <w:t xml:space="preserve"> </w:t>
      </w:r>
      <w:r>
        <w:t xml:space="preserve">current </w:t>
      </w:r>
      <w:r w:rsidRPr="00511E42">
        <w:t xml:space="preserve">two-step decision-making arrangements </w:t>
      </w:r>
      <w:r>
        <w:t xml:space="preserve">were preserved. Specifically, draft standards would be developed and approved by FSANZ, </w:t>
      </w:r>
      <w:r w:rsidRPr="00511E42">
        <w:t xml:space="preserve">before being considered and ratified by the jurisdictions. Furthermore, it is important to </w:t>
      </w:r>
      <w:r>
        <w:t>emphasise</w:t>
      </w:r>
      <w:r w:rsidRPr="00511E42">
        <w:t xml:space="preserve"> these proposed changes would not take away the oversight and decision-making authority of ministers or remove their ability to personally review and make final decisions</w:t>
      </w:r>
      <w:r>
        <w:t>.</w:t>
      </w:r>
    </w:p>
    <w:p w14:paraId="7689DE9F" w14:textId="3FECD9AD" w:rsidR="00E77DBB" w:rsidRDefault="00E77DBB" w:rsidP="00E77DBB">
      <w:pPr>
        <w:pStyle w:val="Heading4"/>
      </w:pPr>
      <w:r>
        <w:t>Component 2.2.</w:t>
      </w:r>
      <w:r w:rsidR="00715550">
        <w:t>4</w:t>
      </w:r>
      <w:r>
        <w:t xml:space="preserve"> | </w:t>
      </w:r>
      <w:r w:rsidRPr="00206ACA">
        <w:t xml:space="preserve">Legislative </w:t>
      </w:r>
      <w:r w:rsidR="00C7056B" w:rsidRPr="00C7056B">
        <w:t>change and greater guidance material</w:t>
      </w:r>
      <w:r w:rsidRPr="00206ACA">
        <w:t xml:space="preserve"> could support bringing more traditional foods to </w:t>
      </w:r>
      <w:proofErr w:type="gramStart"/>
      <w:r w:rsidRPr="00206ACA">
        <w:t>market</w:t>
      </w:r>
      <w:proofErr w:type="gramEnd"/>
    </w:p>
    <w:tbl>
      <w:tblPr>
        <w:tblStyle w:val="TableGrid"/>
        <w:tblW w:w="0" w:type="auto"/>
        <w:tblLook w:val="04A0" w:firstRow="1" w:lastRow="0" w:firstColumn="1" w:lastColumn="0" w:noHBand="0" w:noVBand="1"/>
      </w:tblPr>
      <w:tblGrid>
        <w:gridCol w:w="8930"/>
      </w:tblGrid>
      <w:tr w:rsidR="00E77DBB" w14:paraId="7A72F5CA" w14:textId="77777777" w:rsidTr="00BB1DAF">
        <w:trPr>
          <w:cnfStyle w:val="100000000000" w:firstRow="1" w:lastRow="0" w:firstColumn="0" w:lastColumn="0" w:oddVBand="0" w:evenVBand="0" w:oddHBand="0" w:evenHBand="0" w:firstRowFirstColumn="0" w:firstRowLastColumn="0" w:lastRowFirstColumn="0" w:lastRowLastColumn="0"/>
        </w:trPr>
        <w:tc>
          <w:tcPr>
            <w:tcW w:w="8930" w:type="dxa"/>
          </w:tcPr>
          <w:p w14:paraId="222E6762" w14:textId="77777777" w:rsidR="00E77DBB" w:rsidRPr="007F7722" w:rsidRDefault="00E77DBB" w:rsidP="00BB1DAF">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6940EA8C" w14:textId="435CC55A" w:rsidR="00E77DBB" w:rsidRDefault="00E77DBB" w:rsidP="00BB1DAF">
            <w:pPr>
              <w:pStyle w:val="Bullet"/>
            </w:pPr>
            <w:r>
              <w:t xml:space="preserve">Problem </w:t>
            </w:r>
            <w:r w:rsidR="00C33630">
              <w:t>2.2</w:t>
            </w:r>
            <w:r>
              <w:t xml:space="preserve"> | </w:t>
            </w:r>
            <w:r w:rsidR="00C33630" w:rsidRPr="00C33630">
              <w:t>Current requirements create barriers for Indigenous foods to be brought to market</w:t>
            </w:r>
          </w:p>
        </w:tc>
      </w:tr>
    </w:tbl>
    <w:p w14:paraId="274C4D08" w14:textId="77777777" w:rsidR="00E77DBB" w:rsidRPr="00A323F6" w:rsidRDefault="00E77DBB" w:rsidP="00E77DBB"/>
    <w:p w14:paraId="3533EF1E" w14:textId="77777777" w:rsidR="00E77DBB" w:rsidRDefault="00E77DBB" w:rsidP="00E77DBB">
      <w:pPr>
        <w:rPr>
          <w:lang w:eastAsia="en-AU"/>
        </w:rPr>
      </w:pPr>
      <w:r>
        <w:rPr>
          <w:lang w:eastAsia="en-AU"/>
        </w:rPr>
        <w:t>The burden of having traditional foods listed in the Food Code could be reduced.</w:t>
      </w:r>
    </w:p>
    <w:p w14:paraId="2469291E" w14:textId="63A170DD" w:rsidR="00E77DBB" w:rsidRPr="00B718C5" w:rsidRDefault="00E77DBB" w:rsidP="00E77DBB">
      <w:pPr>
        <w:pStyle w:val="Heading5"/>
        <w:rPr>
          <w:rFonts w:asciiTheme="minorHAnsi" w:hAnsiTheme="minorHAnsi" w:cstheme="minorHAnsi"/>
        </w:rPr>
      </w:pPr>
      <w:r w:rsidRPr="00B718C5">
        <w:rPr>
          <w:rFonts w:asciiTheme="minorHAnsi" w:hAnsiTheme="minorHAnsi" w:cstheme="minorHAnsi"/>
        </w:rPr>
        <w:t xml:space="preserve">A one-off investment of time and resources to develop and publish a list of traditional foods or ingredients that have undergone safety </w:t>
      </w:r>
      <w:proofErr w:type="gramStart"/>
      <w:r w:rsidRPr="00B718C5">
        <w:rPr>
          <w:rFonts w:asciiTheme="minorHAnsi" w:hAnsiTheme="minorHAnsi" w:cstheme="minorHAnsi"/>
        </w:rPr>
        <w:t>assessments</w:t>
      </w:r>
      <w:proofErr w:type="gramEnd"/>
    </w:p>
    <w:p w14:paraId="715B27DB" w14:textId="2874E7FD" w:rsidR="00E77DBB" w:rsidRDefault="00E77DBB" w:rsidP="00E77DBB">
      <w:pPr>
        <w:pStyle w:val="Bullet"/>
        <w:numPr>
          <w:ilvl w:val="0"/>
          <w:numId w:val="0"/>
        </w:numPr>
      </w:pPr>
      <w:r>
        <w:t xml:space="preserve">This would support more businesses to bring traditional foods to market.  </w:t>
      </w:r>
    </w:p>
    <w:p w14:paraId="5114F318" w14:textId="4373A953" w:rsidR="00E77DBB" w:rsidRPr="0012574B" w:rsidRDefault="00E77DBB" w:rsidP="00E77DBB">
      <w:pPr>
        <w:pStyle w:val="Heading5"/>
        <w:rPr>
          <w:rStyle w:val="cf01"/>
          <w:rFonts w:cs="Times New Roman"/>
          <w:sz w:val="20"/>
          <w:szCs w:val="24"/>
        </w:rPr>
      </w:pPr>
      <w:r w:rsidRPr="0012574B">
        <w:rPr>
          <w:rStyle w:val="cf01"/>
          <w:rFonts w:cs="Times New Roman"/>
          <w:sz w:val="20"/>
          <w:szCs w:val="24"/>
        </w:rPr>
        <w:t xml:space="preserve">Further guidance material could be developed on how traditional foods can be assessed for </w:t>
      </w:r>
      <w:proofErr w:type="gramStart"/>
      <w:r w:rsidRPr="0012574B">
        <w:rPr>
          <w:rStyle w:val="cf01"/>
          <w:rFonts w:cs="Times New Roman"/>
          <w:sz w:val="20"/>
          <w:szCs w:val="24"/>
        </w:rPr>
        <w:t>safety</w:t>
      </w:r>
      <w:proofErr w:type="gramEnd"/>
    </w:p>
    <w:p w14:paraId="195382AF" w14:textId="238CB53A" w:rsidR="00494BBE" w:rsidRDefault="00E77DBB" w:rsidP="00D07889">
      <w:pPr>
        <w:rPr>
          <w:rStyle w:val="cf01"/>
          <w:rFonts w:cs="Times New Roman"/>
          <w:sz w:val="19"/>
          <w:szCs w:val="19"/>
        </w:rPr>
      </w:pPr>
      <w:r>
        <w:rPr>
          <w:rStyle w:val="cf01"/>
          <w:rFonts w:cs="Times New Roman"/>
          <w:sz w:val="19"/>
          <w:szCs w:val="19"/>
        </w:rPr>
        <w:t>This could</w:t>
      </w:r>
      <w:r w:rsidRPr="005B49EA">
        <w:rPr>
          <w:rStyle w:val="cf01"/>
          <w:rFonts w:cs="Times New Roman"/>
          <w:sz w:val="19"/>
          <w:szCs w:val="19"/>
        </w:rPr>
        <w:t xml:space="preserve"> includ</w:t>
      </w:r>
      <w:r>
        <w:rPr>
          <w:rStyle w:val="cf01"/>
          <w:rFonts w:cs="Times New Roman"/>
          <w:sz w:val="19"/>
          <w:szCs w:val="19"/>
        </w:rPr>
        <w:t>e</w:t>
      </w:r>
      <w:r w:rsidRPr="005B49EA">
        <w:rPr>
          <w:rStyle w:val="cf01"/>
          <w:rFonts w:cs="Times New Roman"/>
          <w:sz w:val="19"/>
          <w:szCs w:val="19"/>
        </w:rPr>
        <w:t xml:space="preserve"> clarification on when a traditional food would need to go through an alternative food process, for example a traditional food used in a non-traditional way.</w:t>
      </w:r>
      <w:r>
        <w:rPr>
          <w:rStyle w:val="cf01"/>
          <w:rFonts w:cs="Times New Roman"/>
          <w:sz w:val="19"/>
          <w:szCs w:val="19"/>
        </w:rPr>
        <w:t xml:space="preserve"> This would not impact the standard of safety </w:t>
      </w:r>
      <w:r w:rsidR="00D07889">
        <w:rPr>
          <w:rStyle w:val="cf01"/>
          <w:rFonts w:cs="Times New Roman"/>
          <w:sz w:val="19"/>
          <w:szCs w:val="19"/>
        </w:rPr>
        <w:t xml:space="preserve">to which </w:t>
      </w:r>
      <w:r>
        <w:rPr>
          <w:rStyle w:val="cf01"/>
          <w:rFonts w:cs="Times New Roman"/>
          <w:sz w:val="19"/>
          <w:szCs w:val="19"/>
        </w:rPr>
        <w:t>foods are held.</w:t>
      </w:r>
    </w:p>
    <w:p w14:paraId="796B9B45" w14:textId="1E66364B" w:rsidR="00D07889" w:rsidRPr="00D07889" w:rsidRDefault="00D07889" w:rsidP="00D07889">
      <w:r w:rsidRPr="007F7722">
        <w:rPr>
          <w:rFonts w:asciiTheme="majorHAnsi" w:hAnsiTheme="majorHAnsi" w:cstheme="majorHAnsi"/>
        </w:rPr>
        <w:t>Note</w:t>
      </w:r>
      <w:r>
        <w:t xml:space="preserve">: Other changes such as updates to engagement obligations with Aboriginal, Torres Strait Islander and Māori </w:t>
      </w:r>
      <w:r w:rsidR="000F1825">
        <w:rPr>
          <w:lang w:eastAsia="en-AU"/>
        </w:rPr>
        <w:t xml:space="preserve">Peoples </w:t>
      </w:r>
      <w:r>
        <w:t xml:space="preserve">and the potential development of a traditional foods pathway are flagged as ‘Tier 2’ concepts (see </w:t>
      </w:r>
      <w:r>
        <w:fldChar w:fldCharType="begin"/>
      </w:r>
      <w:r>
        <w:instrText xml:space="preserve"> REF _Ref149042839 \h </w:instrText>
      </w:r>
      <w:r>
        <w:fldChar w:fldCharType="separate"/>
      </w:r>
      <w:r w:rsidR="003F7B92">
        <w:t xml:space="preserve">Figure </w:t>
      </w:r>
      <w:r w:rsidR="003F7B92">
        <w:rPr>
          <w:noProof/>
        </w:rPr>
        <w:t>6</w:t>
      </w:r>
      <w:r>
        <w:fldChar w:fldCharType="end"/>
      </w:r>
      <w:r>
        <w:t xml:space="preserve"> on page </w:t>
      </w:r>
      <w:r>
        <w:fldChar w:fldCharType="begin"/>
      </w:r>
      <w:r>
        <w:instrText xml:space="preserve"> PAGEREF _Ref149063966 \h </w:instrText>
      </w:r>
      <w:r>
        <w:fldChar w:fldCharType="separate"/>
      </w:r>
      <w:r w:rsidR="003F7B92">
        <w:rPr>
          <w:noProof/>
        </w:rPr>
        <w:t>26</w:t>
      </w:r>
      <w:r>
        <w:fldChar w:fldCharType="end"/>
      </w:r>
      <w:r>
        <w:t xml:space="preserve">), and are out of scope for this review. </w:t>
      </w:r>
      <w:r w:rsidRPr="002A6B1F">
        <w:t xml:space="preserve"> </w:t>
      </w:r>
    </w:p>
    <w:p w14:paraId="3EA5F727" w14:textId="07DC3B95" w:rsidR="00542F71" w:rsidRDefault="00EA1F80" w:rsidP="000B6E12">
      <w:pPr>
        <w:pStyle w:val="Heading4"/>
      </w:pPr>
      <w:r>
        <w:t>Component 2.2.</w:t>
      </w:r>
      <w:r w:rsidR="00715550">
        <w:t>5</w:t>
      </w:r>
      <w:r>
        <w:t xml:space="preserve"> | </w:t>
      </w:r>
      <w:r w:rsidR="00542F71" w:rsidRPr="00491242">
        <w:t xml:space="preserve">FSANZ </w:t>
      </w:r>
      <w:r w:rsidR="00542F71">
        <w:t xml:space="preserve">can be resourced </w:t>
      </w:r>
      <w:r w:rsidR="00542F71" w:rsidRPr="00491242">
        <w:t xml:space="preserve">to undertake more timely, holistic and regular </w:t>
      </w:r>
      <w:r w:rsidR="00542F71">
        <w:t xml:space="preserve">reviews of </w:t>
      </w:r>
      <w:proofErr w:type="gramStart"/>
      <w:r w:rsidR="00542F71">
        <w:t>standards</w:t>
      </w:r>
      <w:proofErr w:type="gramEnd"/>
    </w:p>
    <w:tbl>
      <w:tblPr>
        <w:tblStyle w:val="TableGrid"/>
        <w:tblW w:w="0" w:type="auto"/>
        <w:tblLook w:val="04A0" w:firstRow="1" w:lastRow="0" w:firstColumn="1" w:lastColumn="0" w:noHBand="0" w:noVBand="1"/>
      </w:tblPr>
      <w:tblGrid>
        <w:gridCol w:w="8930"/>
      </w:tblGrid>
      <w:tr w:rsidR="0089006F" w14:paraId="528BAF6F"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4489E6CB" w14:textId="77777777" w:rsidR="005123C8" w:rsidRPr="007F7722" w:rsidRDefault="005123C8" w:rsidP="005123C8">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35CA6CDC" w14:textId="682A654E" w:rsidR="00542F71" w:rsidRDefault="00542F71">
            <w:pPr>
              <w:pStyle w:val="Bullet"/>
            </w:pPr>
            <w:r>
              <w:t>Problem 2</w:t>
            </w:r>
            <w:r w:rsidR="00331B39">
              <w:t>.</w:t>
            </w:r>
            <w:r w:rsidR="00C33630">
              <w:t>3</w:t>
            </w:r>
            <w:r w:rsidR="00331B39">
              <w:t xml:space="preserve"> | </w:t>
            </w:r>
            <w:r w:rsidR="00331B39" w:rsidRPr="00331B39">
              <w:t xml:space="preserve">Resourcing constraints have effectively </w:t>
            </w:r>
            <w:proofErr w:type="spellStart"/>
            <w:r w:rsidR="00331B39" w:rsidRPr="00331B39">
              <w:t>preferenced</w:t>
            </w:r>
            <w:proofErr w:type="spellEnd"/>
            <w:r w:rsidR="00331B39" w:rsidRPr="00331B39">
              <w:t xml:space="preserve"> piecemeal changes to food standards over holistic reviews</w:t>
            </w:r>
          </w:p>
        </w:tc>
      </w:tr>
    </w:tbl>
    <w:p w14:paraId="19D79A1D" w14:textId="77777777" w:rsidR="00542F71" w:rsidRPr="00A323F6" w:rsidRDefault="00542F71" w:rsidP="007F7722"/>
    <w:p w14:paraId="00077328" w14:textId="77777777" w:rsidR="00542F71" w:rsidRPr="00326F01" w:rsidRDefault="00542F71" w:rsidP="00542F71">
      <w:pPr>
        <w:rPr>
          <w:rFonts w:asciiTheme="majorHAnsi" w:hAnsiTheme="majorHAnsi" w:cstheme="majorHAnsi"/>
        </w:rPr>
      </w:pPr>
      <w:r>
        <w:t xml:space="preserve">Informed by ongoing environmental scans, </w:t>
      </w:r>
      <w:proofErr w:type="gramStart"/>
      <w:r>
        <w:t>consultation</w:t>
      </w:r>
      <w:proofErr w:type="gramEnd"/>
      <w:r>
        <w:t xml:space="preserve"> and data analysis, FSANZ could identify standards that require revision and dedicate resources to undertake this work in a timely way. </w:t>
      </w:r>
    </w:p>
    <w:p w14:paraId="38D96CCB" w14:textId="30F7F8B9" w:rsidR="00542F71" w:rsidRDefault="00542F71" w:rsidP="00F42969">
      <w:pPr>
        <w:spacing w:line="240" w:lineRule="auto"/>
      </w:pPr>
      <w:r>
        <w:lastRenderedPageBreak/>
        <w:t>This reform idea could help to ensure ongoing relevance of standards, i</w:t>
      </w:r>
      <w:r w:rsidRPr="007A6547">
        <w:t>ncluding considering the cumulative impact on health, safety</w:t>
      </w:r>
      <w:r>
        <w:t>,</w:t>
      </w:r>
      <w:r w:rsidRPr="007A6547">
        <w:t xml:space="preserve"> and regulatory burden</w:t>
      </w:r>
      <w:r>
        <w:t xml:space="preserve">s, and provide for a more systematic and strategic approach to reviewing them. This idea would leverage </w:t>
      </w:r>
      <w:r w:rsidR="004E4D63">
        <w:t>FSANZ’</w:t>
      </w:r>
      <w:r w:rsidR="00855ACF">
        <w:t>s</w:t>
      </w:r>
      <w:r>
        <w:t xml:space="preserve"> existing coordination roles and expertise. </w:t>
      </w:r>
    </w:p>
    <w:p w14:paraId="16A78F58" w14:textId="32EAEC7B" w:rsidR="00401995" w:rsidRPr="00401995" w:rsidRDefault="00401995" w:rsidP="00401995">
      <w:pPr>
        <w:rPr>
          <w:color w:val="000000"/>
          <w:lang w:val="en-NZ"/>
        </w:rPr>
      </w:pPr>
      <w:r>
        <w:rPr>
          <w:color w:val="000000"/>
          <w:lang w:val="en-NZ"/>
        </w:rPr>
        <w:t xml:space="preserve">Reviewing the Processing Aid Standard and associated Enzymes schedule would complement a risk-proportionate approach to low-risk applications. Investigating mechanisms used by international counterparts where assessment is made on the safety of a technological function, but not restricting the foods in which it can be used, would allow industry to determine whether labelling is required via guidance in a risk proportionate way, reducing compliance burden for regulators. </w:t>
      </w:r>
    </w:p>
    <w:p w14:paraId="5078712B" w14:textId="26E67E66" w:rsidR="00923BE4" w:rsidRDefault="00EA1F80" w:rsidP="00923BE4">
      <w:pPr>
        <w:pStyle w:val="Heading4"/>
      </w:pPr>
      <w:r>
        <w:t>Component 2.2.</w:t>
      </w:r>
      <w:r w:rsidR="00715550">
        <w:t>6</w:t>
      </w:r>
      <w:r>
        <w:t xml:space="preserve"> | </w:t>
      </w:r>
      <w:r w:rsidR="008117F8">
        <w:t>Codes of Practice</w:t>
      </w:r>
      <w:r w:rsidR="00923BE4" w:rsidRPr="00186D11">
        <w:t xml:space="preserve"> and </w:t>
      </w:r>
      <w:r w:rsidR="00923BE4">
        <w:t>g</w:t>
      </w:r>
      <w:r w:rsidR="00923BE4" w:rsidRPr="00186D11">
        <w:t>uidelines</w:t>
      </w:r>
      <w:r w:rsidR="00923BE4">
        <w:t xml:space="preserve"> could be increasingly used </w:t>
      </w:r>
      <w:r w:rsidR="00FE4463">
        <w:t>to complement</w:t>
      </w:r>
      <w:r w:rsidR="00923BE4">
        <w:t xml:space="preserve"> food </w:t>
      </w:r>
      <w:proofErr w:type="gramStart"/>
      <w:r w:rsidR="00923BE4">
        <w:t>standards</w:t>
      </w:r>
      <w:proofErr w:type="gramEnd"/>
    </w:p>
    <w:tbl>
      <w:tblPr>
        <w:tblStyle w:val="TableGrid"/>
        <w:tblW w:w="0" w:type="auto"/>
        <w:tblLook w:val="04A0" w:firstRow="1" w:lastRow="0" w:firstColumn="1" w:lastColumn="0" w:noHBand="0" w:noVBand="1"/>
      </w:tblPr>
      <w:tblGrid>
        <w:gridCol w:w="8930"/>
      </w:tblGrid>
      <w:tr w:rsidR="0089006F" w14:paraId="4511FCEF"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53C41AF6" w14:textId="77777777" w:rsidR="005123C8" w:rsidRPr="007F7722" w:rsidRDefault="005123C8" w:rsidP="005123C8">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1E0E4578" w14:textId="051AE15B" w:rsidR="00A61FE1" w:rsidRDefault="00A61FE1">
            <w:pPr>
              <w:pStyle w:val="Bullet"/>
            </w:pPr>
            <w:r>
              <w:t>Problem 2.</w:t>
            </w:r>
            <w:r w:rsidR="00C33630">
              <w:t>4</w:t>
            </w:r>
            <w:r>
              <w:t xml:space="preserve"> | </w:t>
            </w:r>
            <w:r w:rsidR="00785136" w:rsidRPr="00785136">
              <w:t>FSANZ generally defaults to developing food standards, but other regulatory measures could be more efficient to create</w:t>
            </w:r>
          </w:p>
        </w:tc>
      </w:tr>
    </w:tbl>
    <w:p w14:paraId="3F042397" w14:textId="77777777" w:rsidR="00A61FE1" w:rsidRPr="00A323F6" w:rsidRDefault="00A61FE1" w:rsidP="007F7722"/>
    <w:p w14:paraId="379A6E7D" w14:textId="5F6625EF" w:rsidR="00923BE4" w:rsidRDefault="00923BE4" w:rsidP="00923BE4">
      <w:r w:rsidRPr="00511E42">
        <w:t xml:space="preserve">Implementing a decision-making tool may result in greater uptake of </w:t>
      </w:r>
      <w:r w:rsidR="008117F8">
        <w:t>Codes of Practice</w:t>
      </w:r>
      <w:r w:rsidRPr="00511E42">
        <w:t xml:space="preserve"> and guidelines, which can be created and amended in more agile and responsive ways. This resource could draw on the risk framework outlined in </w:t>
      </w:r>
      <w:r>
        <w:fldChar w:fldCharType="begin"/>
      </w:r>
      <w:r>
        <w:instrText xml:space="preserve"> REF _Ref141861004 \h </w:instrText>
      </w:r>
      <w:r>
        <w:fldChar w:fldCharType="separate"/>
      </w:r>
      <w:r w:rsidR="003F7B92">
        <w:t xml:space="preserve">Table </w:t>
      </w:r>
      <w:r w:rsidR="003F7B92">
        <w:rPr>
          <w:noProof/>
        </w:rPr>
        <w:t>10</w:t>
      </w:r>
      <w:r>
        <w:fldChar w:fldCharType="end"/>
      </w:r>
      <w:r w:rsidR="00205CDD">
        <w:t xml:space="preserve"> on page </w:t>
      </w:r>
      <w:r>
        <w:fldChar w:fldCharType="begin"/>
      </w:r>
      <w:r>
        <w:instrText xml:space="preserve"> PAGEREF _Ref142228183 \h </w:instrText>
      </w:r>
      <w:r>
        <w:fldChar w:fldCharType="separate"/>
      </w:r>
      <w:r w:rsidR="003F7B92">
        <w:rPr>
          <w:noProof/>
        </w:rPr>
        <w:t>51</w:t>
      </w:r>
      <w:r>
        <w:fldChar w:fldCharType="end"/>
      </w:r>
      <w:r w:rsidRPr="00206ACA">
        <w:t>.</w:t>
      </w:r>
      <w:r>
        <w:t xml:space="preserve"> </w:t>
      </w:r>
    </w:p>
    <w:p w14:paraId="3A8D9285" w14:textId="4BB85EB9" w:rsidR="00923BE4" w:rsidRDefault="00905E03" w:rsidP="00923BE4">
      <w:r>
        <w:t>E</w:t>
      </w:r>
      <w:r w:rsidR="00923BE4" w:rsidRPr="00511E42">
        <w:t>xample</w:t>
      </w:r>
      <w:r>
        <w:t>s</w:t>
      </w:r>
      <w:r w:rsidR="00923BE4" w:rsidRPr="00511E42">
        <w:t xml:space="preserve"> of low-risk issue that may be better dealt with in </w:t>
      </w:r>
      <w:r w:rsidR="008117F8">
        <w:t>Codes of Practice</w:t>
      </w:r>
      <w:r w:rsidR="00923BE4" w:rsidRPr="00511E42">
        <w:t xml:space="preserve"> might relate to sustainable packaging </w:t>
      </w:r>
      <w:r w:rsidR="00C61DEA">
        <w:t>(</w:t>
      </w:r>
      <w:proofErr w:type="gramStart"/>
      <w:r w:rsidR="00783105">
        <w:t>e.g.</w:t>
      </w:r>
      <w:proofErr w:type="gramEnd"/>
      <w:r w:rsidR="00923BE4" w:rsidRPr="00511E42">
        <w:t xml:space="preserve"> encouraging industry to reduce the amount of plastic wrapping)</w:t>
      </w:r>
      <w:r w:rsidR="00A03054">
        <w:t>, nationally consistent school canteen options and placement and promotion of foods in grocery stores</w:t>
      </w:r>
      <w:r w:rsidR="00923BE4" w:rsidRPr="00511E42" w:rsidDel="00A03054">
        <w:t>.</w:t>
      </w:r>
      <w:r w:rsidR="00923BE4" w:rsidRPr="00511E42">
        <w:t xml:space="preserve"> On the other hand, high-risk matters, such as disclosures of allergenic information, would only be appropriate to regulate through food standards. </w:t>
      </w:r>
    </w:p>
    <w:p w14:paraId="276D40B4" w14:textId="20BA4D77" w:rsidR="00A323F6" w:rsidRDefault="008117F8" w:rsidP="004E4D63">
      <w:pPr>
        <w:spacing w:line="360" w:lineRule="auto"/>
      </w:pPr>
      <w:r>
        <w:t>Codes of Practice</w:t>
      </w:r>
      <w:r w:rsidR="00A323F6">
        <w:t xml:space="preserve"> could be developed by FSANZ, or by industry, with </w:t>
      </w:r>
      <w:r w:rsidR="004E4D63">
        <w:t>FSANZ’</w:t>
      </w:r>
      <w:r w:rsidR="00855ACF">
        <w:t>s</w:t>
      </w:r>
      <w:r w:rsidR="00A323F6">
        <w:t xml:space="preserve"> oversight. </w:t>
      </w:r>
    </w:p>
    <w:tbl>
      <w:tblPr>
        <w:tblStyle w:val="TableGrid"/>
        <w:tblW w:w="0" w:type="auto"/>
        <w:tblLook w:val="04A0" w:firstRow="1" w:lastRow="0" w:firstColumn="1" w:lastColumn="0" w:noHBand="0" w:noVBand="1"/>
      </w:tblPr>
      <w:tblGrid>
        <w:gridCol w:w="8930"/>
      </w:tblGrid>
      <w:tr w:rsidR="00F6332D" w14:paraId="2D78899E" w14:textId="77777777" w:rsidTr="001408CD">
        <w:trPr>
          <w:cnfStyle w:val="100000000000" w:firstRow="1" w:lastRow="0" w:firstColumn="0" w:lastColumn="0" w:oddVBand="0" w:evenVBand="0" w:oddHBand="0" w:evenHBand="0" w:firstRowFirstColumn="0" w:firstRowLastColumn="0" w:lastRowFirstColumn="0" w:lastRowLastColumn="0"/>
        </w:trPr>
        <w:tc>
          <w:tcPr>
            <w:tcW w:w="8930" w:type="dxa"/>
            <w:shd w:val="clear" w:color="auto" w:fill="00264D" w:themeFill="background2"/>
          </w:tcPr>
          <w:p w14:paraId="01943316" w14:textId="0E1F1367" w:rsidR="00F6332D" w:rsidRDefault="00F6332D" w:rsidP="004E4D63">
            <w:pPr>
              <w:spacing w:line="360" w:lineRule="auto"/>
            </w:pPr>
            <w:r w:rsidRPr="003D65AB">
              <w:rPr>
                <w:rFonts w:asciiTheme="majorHAnsi" w:hAnsiTheme="majorHAnsi" w:cstheme="majorHAnsi"/>
                <w:color w:val="FFFFFF" w:themeColor="background1"/>
              </w:rPr>
              <w:t>Consultation questions</w:t>
            </w:r>
          </w:p>
        </w:tc>
      </w:tr>
      <w:tr w:rsidR="00F6332D" w14:paraId="47D22400" w14:textId="77777777" w:rsidTr="00F6332D">
        <w:trPr>
          <w:cnfStyle w:val="000000100000" w:firstRow="0" w:lastRow="0" w:firstColumn="0" w:lastColumn="0" w:oddVBand="0" w:evenVBand="0" w:oddHBand="1" w:evenHBand="0" w:firstRowFirstColumn="0" w:firstRowLastColumn="0" w:lastRowFirstColumn="0" w:lastRowLastColumn="0"/>
        </w:trPr>
        <w:tc>
          <w:tcPr>
            <w:tcW w:w="8930" w:type="dxa"/>
          </w:tcPr>
          <w:p w14:paraId="22319C9C" w14:textId="77777777" w:rsidR="00F6332D" w:rsidRPr="000033D7" w:rsidRDefault="00F6332D" w:rsidP="004E4D63">
            <w:pPr>
              <w:spacing w:line="360" w:lineRule="auto"/>
              <w:rPr>
                <w:rStyle w:val="cf01"/>
                <w:rFonts w:asciiTheme="majorHAnsi" w:hAnsiTheme="majorHAnsi" w:cstheme="majorHAnsi"/>
                <w:color w:val="00264D" w:themeColor="background2"/>
              </w:rPr>
            </w:pPr>
            <w:r w:rsidRPr="000033D7">
              <w:rPr>
                <w:rStyle w:val="cf01"/>
                <w:rFonts w:asciiTheme="majorHAnsi" w:hAnsiTheme="majorHAnsi" w:cstheme="majorHAnsi"/>
                <w:color w:val="00264D" w:themeColor="background2"/>
              </w:rPr>
              <w:t xml:space="preserve">Component 2.2.1 | A risk-based framework and approach could be introduced to guide the development of food regulatory </w:t>
            </w:r>
            <w:proofErr w:type="gramStart"/>
            <w:r w:rsidRPr="000033D7">
              <w:rPr>
                <w:rStyle w:val="cf01"/>
                <w:rFonts w:asciiTheme="majorHAnsi" w:hAnsiTheme="majorHAnsi" w:cstheme="majorHAnsi"/>
                <w:color w:val="00264D" w:themeColor="background2"/>
              </w:rPr>
              <w:t>measures</w:t>
            </w:r>
            <w:proofErr w:type="gramEnd"/>
          </w:p>
          <w:p w14:paraId="2A73ED4D" w14:textId="77777777" w:rsidR="0020037E" w:rsidRPr="005924E0" w:rsidRDefault="0020037E" w:rsidP="005D0718">
            <w:pPr>
              <w:pStyle w:val="pf0"/>
              <w:numPr>
                <w:ilvl w:val="0"/>
                <w:numId w:val="38"/>
              </w:numPr>
              <w:spacing w:before="0" w:beforeAutospacing="0" w:after="0" w:afterAutospacing="0"/>
              <w:rPr>
                <w:rStyle w:val="cf01"/>
                <w:color w:val="00264D" w:themeColor="background2"/>
              </w:rPr>
            </w:pPr>
            <w:r w:rsidRPr="005924E0">
              <w:rPr>
                <w:rStyle w:val="cf01"/>
                <w:color w:val="00264D" w:themeColor="background2"/>
              </w:rPr>
              <w:t xml:space="preserve">Would the introduction of a risk-based framework support FSANZ to be flexible and proportionate in handling of changes to the Food Standards Code? </w:t>
            </w:r>
          </w:p>
          <w:p w14:paraId="7C3E42C1" w14:textId="6E1629B2" w:rsidR="00F6332D" w:rsidRDefault="009479A3" w:rsidP="00F26461">
            <w:pPr>
              <w:pStyle w:val="pf0"/>
              <w:numPr>
                <w:ilvl w:val="0"/>
                <w:numId w:val="38"/>
              </w:numPr>
              <w:spacing w:before="0" w:beforeAutospacing="0" w:after="0" w:afterAutospacing="0"/>
              <w:rPr>
                <w:rStyle w:val="cf01"/>
              </w:rPr>
            </w:pPr>
            <w:r w:rsidRPr="005924E0">
              <w:rPr>
                <w:rStyle w:val="cf01"/>
                <w:color w:val="00264D" w:themeColor="background2"/>
              </w:rPr>
              <w:t>What criterion and/or evidence should be used to form the basis of a risk framework</w:t>
            </w:r>
            <w:r w:rsidR="00F6332D" w:rsidRPr="005D0718">
              <w:rPr>
                <w:rStyle w:val="cf01"/>
              </w:rPr>
              <w:t>?</w:t>
            </w:r>
          </w:p>
          <w:p w14:paraId="6B308548" w14:textId="5FD9C97E" w:rsidR="0070740A" w:rsidRPr="005D0718" w:rsidRDefault="0070740A" w:rsidP="00F26461">
            <w:pPr>
              <w:pStyle w:val="pf0"/>
              <w:numPr>
                <w:ilvl w:val="0"/>
                <w:numId w:val="38"/>
              </w:numPr>
              <w:spacing w:before="0" w:beforeAutospacing="0" w:after="0" w:afterAutospacing="0"/>
              <w:rPr>
                <w:rStyle w:val="cf01"/>
                <w:color w:val="00264D" w:themeColor="background2"/>
              </w:rPr>
            </w:pPr>
            <w:r w:rsidRPr="005D0718">
              <w:rPr>
                <w:rStyle w:val="cf01"/>
                <w:color w:val="00264D" w:themeColor="background2"/>
              </w:rPr>
              <w:t>What would be the impact of introducing a risk-based framework to guide development of food regulatory measures for you?</w:t>
            </w:r>
          </w:p>
          <w:p w14:paraId="1B473FDD" w14:textId="77777777" w:rsidR="00F6332D" w:rsidRPr="000033D7" w:rsidRDefault="00F6332D" w:rsidP="00E827DE">
            <w:pPr>
              <w:pStyle w:val="pf0"/>
              <w:spacing w:before="120" w:beforeAutospacing="0" w:after="120" w:afterAutospacing="0"/>
              <w:rPr>
                <w:rStyle w:val="cf01"/>
                <w:rFonts w:asciiTheme="majorHAnsi" w:hAnsiTheme="majorHAnsi" w:cstheme="majorHAnsi"/>
                <w:color w:val="00264D" w:themeColor="background2"/>
              </w:rPr>
            </w:pPr>
            <w:r w:rsidRPr="000033D7">
              <w:rPr>
                <w:rStyle w:val="cf01"/>
                <w:rFonts w:asciiTheme="majorHAnsi" w:hAnsiTheme="majorHAnsi" w:cstheme="majorHAnsi"/>
                <w:color w:val="00264D" w:themeColor="background2"/>
              </w:rPr>
              <w:t xml:space="preserve">Component 2.2.2 | New pathways to amend food standards could be </w:t>
            </w:r>
            <w:proofErr w:type="gramStart"/>
            <w:r w:rsidRPr="000033D7">
              <w:rPr>
                <w:rStyle w:val="cf01"/>
                <w:rFonts w:asciiTheme="majorHAnsi" w:hAnsiTheme="majorHAnsi" w:cstheme="majorHAnsi"/>
                <w:color w:val="00264D" w:themeColor="background2"/>
              </w:rPr>
              <w:t>introduced</w:t>
            </w:r>
            <w:proofErr w:type="gramEnd"/>
          </w:p>
          <w:p w14:paraId="6E942C55" w14:textId="6DAAB881" w:rsidR="00F6332D" w:rsidRPr="000033D7" w:rsidRDefault="00F6332D" w:rsidP="00F26461">
            <w:pPr>
              <w:pStyle w:val="pf0"/>
              <w:numPr>
                <w:ilvl w:val="0"/>
                <w:numId w:val="38"/>
              </w:numPr>
              <w:spacing w:before="0" w:beforeAutospacing="0" w:after="0" w:afterAutospacing="0"/>
              <w:rPr>
                <w:rStyle w:val="cf01"/>
                <w:color w:val="00264D" w:themeColor="background2"/>
              </w:rPr>
            </w:pPr>
            <w:r w:rsidRPr="000033D7">
              <w:rPr>
                <w:rStyle w:val="cf01"/>
                <w:color w:val="00264D" w:themeColor="background2"/>
              </w:rPr>
              <w:t xml:space="preserve">Would enabling FSANZ to accept risk assessments from </w:t>
            </w:r>
            <w:r w:rsidR="001A1335">
              <w:rPr>
                <w:rStyle w:val="cf01"/>
                <w:color w:val="00264D" w:themeColor="background2"/>
              </w:rPr>
              <w:t>international</w:t>
            </w:r>
            <w:r w:rsidR="001A1335" w:rsidRPr="000033D7">
              <w:rPr>
                <w:rStyle w:val="cf01"/>
                <w:color w:val="00264D" w:themeColor="background2"/>
              </w:rPr>
              <w:t xml:space="preserve"> </w:t>
            </w:r>
            <w:r w:rsidRPr="000033D7">
              <w:rPr>
                <w:rStyle w:val="cf01"/>
                <w:color w:val="00264D" w:themeColor="background2"/>
              </w:rPr>
              <w:t>jurisdictions support FSANZ to exercise risk-based and proportionate handling of applications and proposals? How so?</w:t>
            </w:r>
          </w:p>
          <w:p w14:paraId="4575AA65" w14:textId="368B7B65" w:rsidR="00F6332D" w:rsidRPr="000033D7" w:rsidRDefault="00F6332D" w:rsidP="00F26461">
            <w:pPr>
              <w:pStyle w:val="pf0"/>
              <w:numPr>
                <w:ilvl w:val="0"/>
                <w:numId w:val="38"/>
              </w:numPr>
              <w:spacing w:before="0" w:beforeAutospacing="0" w:after="0" w:afterAutospacing="0"/>
              <w:rPr>
                <w:rStyle w:val="cf01"/>
                <w:color w:val="00264D" w:themeColor="background2"/>
              </w:rPr>
            </w:pPr>
            <w:r w:rsidRPr="000033D7">
              <w:rPr>
                <w:rStyle w:val="cf01"/>
                <w:color w:val="00264D" w:themeColor="background2"/>
              </w:rPr>
              <w:t>Would enabling (but not compelling) FSANZ to automatically recognise</w:t>
            </w:r>
            <w:r w:rsidR="00544CA6">
              <w:rPr>
                <w:rStyle w:val="cf01"/>
                <w:color w:val="00264D" w:themeColor="background2"/>
              </w:rPr>
              <w:t xml:space="preserve"> appropriate</w:t>
            </w:r>
            <w:r w:rsidRPr="000033D7">
              <w:rPr>
                <w:rStyle w:val="cf01"/>
                <w:color w:val="00264D" w:themeColor="background2"/>
              </w:rPr>
              <w:t xml:space="preserve"> international standards support more risk-based and proportionate handling of applications and proposals</w:t>
            </w:r>
            <w:r w:rsidR="00FE7FB7">
              <w:rPr>
                <w:rStyle w:val="cf01"/>
                <w:color w:val="00264D" w:themeColor="background2"/>
              </w:rPr>
              <w:t xml:space="preserve"> and improve efficiency and </w:t>
            </w:r>
            <w:r w:rsidR="004B1676">
              <w:rPr>
                <w:rStyle w:val="cf01"/>
                <w:color w:val="00264D" w:themeColor="background2"/>
              </w:rPr>
              <w:t>effectiveness</w:t>
            </w:r>
            <w:r w:rsidRPr="000033D7">
              <w:rPr>
                <w:rStyle w:val="cf01"/>
                <w:color w:val="00264D" w:themeColor="background2"/>
              </w:rPr>
              <w:t>? How so?</w:t>
            </w:r>
          </w:p>
          <w:p w14:paraId="5814B657" w14:textId="77777777" w:rsidR="004B1676" w:rsidRPr="005924E0" w:rsidRDefault="004B1676" w:rsidP="005D0718">
            <w:pPr>
              <w:pStyle w:val="pf0"/>
              <w:numPr>
                <w:ilvl w:val="0"/>
                <w:numId w:val="38"/>
              </w:numPr>
              <w:spacing w:before="0" w:beforeAutospacing="0" w:after="0" w:afterAutospacing="0"/>
              <w:rPr>
                <w:rStyle w:val="cf01"/>
                <w:color w:val="00264D" w:themeColor="background2"/>
              </w:rPr>
            </w:pPr>
            <w:r w:rsidRPr="005924E0">
              <w:rPr>
                <w:rStyle w:val="cf01"/>
                <w:color w:val="00264D" w:themeColor="background2"/>
              </w:rPr>
              <w:t>Would introducing a minimal check pathway for very low risk products help FSANZ exercise risk-based and proportionate handling of applications and proposals and improve efficiency and effectiveness?</w:t>
            </w:r>
          </w:p>
          <w:p w14:paraId="7DCB30A4" w14:textId="60469A8C" w:rsidR="00953F2B" w:rsidRPr="005D0718" w:rsidRDefault="00953F2B" w:rsidP="00F26461">
            <w:pPr>
              <w:pStyle w:val="pf0"/>
              <w:numPr>
                <w:ilvl w:val="0"/>
                <w:numId w:val="38"/>
              </w:numPr>
              <w:spacing w:before="0" w:beforeAutospacing="0" w:after="0" w:afterAutospacing="0"/>
              <w:rPr>
                <w:rStyle w:val="cf01"/>
                <w:rFonts w:asciiTheme="minorHAnsi" w:hAnsiTheme="minorHAnsi" w:cstheme="minorHAnsi"/>
                <w:color w:val="00264D" w:themeColor="background2"/>
              </w:rPr>
            </w:pPr>
            <w:r w:rsidRPr="005924E0">
              <w:rPr>
                <w:rStyle w:val="cf01"/>
                <w:color w:val="00264D" w:themeColor="background2"/>
              </w:rPr>
              <w:t>Would introducing principles in legislation to allow FSANZ to create other pathways to amend food standards help FSANZ exercise risk-based and proportionate handling of applications and proposals</w:t>
            </w:r>
            <w:r>
              <w:rPr>
                <w:rStyle w:val="cf01"/>
                <w:color w:val="00264D" w:themeColor="background2"/>
              </w:rPr>
              <w:t>?</w:t>
            </w:r>
          </w:p>
          <w:p w14:paraId="6FC274B7" w14:textId="24A27EDA" w:rsidR="00556CFC" w:rsidRPr="005D0718" w:rsidRDefault="00906594" w:rsidP="00F26461">
            <w:pPr>
              <w:pStyle w:val="pf0"/>
              <w:numPr>
                <w:ilvl w:val="0"/>
                <w:numId w:val="38"/>
              </w:numPr>
              <w:spacing w:before="0" w:beforeAutospacing="0" w:after="0" w:afterAutospacing="0"/>
              <w:rPr>
                <w:rStyle w:val="cf01"/>
                <w:rFonts w:asciiTheme="minorHAnsi" w:hAnsiTheme="minorHAnsi" w:cstheme="minorHAnsi"/>
                <w:color w:val="00264D" w:themeColor="background2"/>
              </w:rPr>
            </w:pPr>
            <w:r w:rsidRPr="005924E0">
              <w:rPr>
                <w:rStyle w:val="cf01"/>
                <w:rFonts w:asciiTheme="minorHAnsi" w:hAnsiTheme="minorHAnsi" w:cstheme="minorHAnsi"/>
                <w:color w:val="00264D" w:themeColor="background2"/>
              </w:rPr>
              <w:t>What would be the impact of introducing new pathways to amend food standards for you?</w:t>
            </w:r>
          </w:p>
          <w:p w14:paraId="58847EE3" w14:textId="77777777" w:rsidR="00F6332D" w:rsidRPr="000033D7" w:rsidRDefault="00F6332D" w:rsidP="00F26461">
            <w:pPr>
              <w:pStyle w:val="pf0"/>
              <w:numPr>
                <w:ilvl w:val="0"/>
                <w:numId w:val="38"/>
              </w:numPr>
              <w:spacing w:before="0" w:beforeAutospacing="0" w:after="0" w:afterAutospacing="0"/>
              <w:rPr>
                <w:rStyle w:val="cf01"/>
                <w:rFonts w:ascii="Arial" w:hAnsi="Arial" w:cs="Arial"/>
                <w:color w:val="00264D" w:themeColor="background2"/>
              </w:rPr>
            </w:pPr>
            <w:r w:rsidRPr="000033D7">
              <w:rPr>
                <w:rStyle w:val="cf01"/>
                <w:rFonts w:asciiTheme="minorHAnsi" w:hAnsiTheme="minorHAnsi" w:cstheme="minorHAnsi"/>
                <w:color w:val="00264D" w:themeColor="background2"/>
              </w:rPr>
              <w:lastRenderedPageBreak/>
              <w:t>Are there other opportunities relating to new pathways to amend food standards that should be considered?</w:t>
            </w:r>
          </w:p>
          <w:p w14:paraId="76E174F6" w14:textId="77777777" w:rsidR="002D79A5" w:rsidRPr="000033D7" w:rsidRDefault="002D79A5" w:rsidP="00E827DE">
            <w:pPr>
              <w:pStyle w:val="pf0"/>
              <w:spacing w:before="120" w:beforeAutospacing="0" w:after="120" w:afterAutospacing="0"/>
              <w:rPr>
                <w:rStyle w:val="cf01"/>
                <w:rFonts w:asciiTheme="majorHAnsi" w:hAnsiTheme="majorHAnsi" w:cstheme="majorHAnsi"/>
                <w:color w:val="00264D" w:themeColor="background2"/>
              </w:rPr>
            </w:pPr>
            <w:r w:rsidRPr="000033D7">
              <w:rPr>
                <w:rStyle w:val="cf01"/>
                <w:rFonts w:asciiTheme="majorHAnsi" w:hAnsiTheme="majorHAnsi" w:cstheme="majorHAnsi"/>
                <w:color w:val="00264D" w:themeColor="background2"/>
              </w:rPr>
              <w:t xml:space="preserve">Component 2.2.3 | Decision-making arrangements could be </w:t>
            </w:r>
            <w:proofErr w:type="gramStart"/>
            <w:r w:rsidRPr="000033D7">
              <w:rPr>
                <w:rStyle w:val="cf01"/>
                <w:rFonts w:asciiTheme="majorHAnsi" w:hAnsiTheme="majorHAnsi" w:cstheme="majorHAnsi"/>
                <w:color w:val="00264D" w:themeColor="background2"/>
              </w:rPr>
              <w:t>streamlined</w:t>
            </w:r>
            <w:proofErr w:type="gramEnd"/>
          </w:p>
          <w:p w14:paraId="7DF4A56E" w14:textId="6759DB11" w:rsidR="002D79A5" w:rsidRPr="000033D7" w:rsidRDefault="002D79A5" w:rsidP="00F26461">
            <w:pPr>
              <w:pStyle w:val="pf0"/>
              <w:numPr>
                <w:ilvl w:val="0"/>
                <w:numId w:val="38"/>
              </w:numPr>
              <w:spacing w:before="0" w:beforeAutospacing="0" w:after="0" w:afterAutospacing="0"/>
              <w:rPr>
                <w:rStyle w:val="cf01"/>
                <w:color w:val="00264D" w:themeColor="background2"/>
              </w:rPr>
            </w:pPr>
            <w:r w:rsidRPr="000033D7">
              <w:rPr>
                <w:rStyle w:val="cf01"/>
                <w:color w:val="00264D" w:themeColor="background2"/>
              </w:rPr>
              <w:t xml:space="preserve">Would increasing opportunities for decision </w:t>
            </w:r>
            <w:proofErr w:type="gramStart"/>
            <w:r w:rsidRPr="000033D7">
              <w:rPr>
                <w:rStyle w:val="cf01"/>
                <w:color w:val="00264D" w:themeColor="background2"/>
              </w:rPr>
              <w:t>making arrangements</w:t>
            </w:r>
            <w:proofErr w:type="gramEnd"/>
            <w:r w:rsidRPr="000033D7">
              <w:rPr>
                <w:rStyle w:val="cf01"/>
                <w:color w:val="00264D" w:themeColor="background2"/>
              </w:rPr>
              <w:t xml:space="preserve"> to be delegated support FSANZ to be more flexible and efficient? </w:t>
            </w:r>
            <w:r w:rsidR="00562A46">
              <w:rPr>
                <w:rStyle w:val="cf01"/>
                <w:color w:val="00264D" w:themeColor="background2"/>
              </w:rPr>
              <w:t>How so?</w:t>
            </w:r>
          </w:p>
          <w:p w14:paraId="07C223EC" w14:textId="77777777" w:rsidR="002D79A5" w:rsidRDefault="002D79A5" w:rsidP="00F26461">
            <w:pPr>
              <w:pStyle w:val="pf0"/>
              <w:numPr>
                <w:ilvl w:val="1"/>
                <w:numId w:val="38"/>
              </w:numPr>
              <w:spacing w:before="0" w:beforeAutospacing="0" w:after="0" w:afterAutospacing="0"/>
              <w:rPr>
                <w:rStyle w:val="cf01"/>
                <w:color w:val="00264D" w:themeColor="background2"/>
              </w:rPr>
            </w:pPr>
            <w:r w:rsidRPr="000033D7">
              <w:rPr>
                <w:rStyle w:val="cf01"/>
                <w:color w:val="00264D" w:themeColor="background2"/>
              </w:rPr>
              <w:t xml:space="preserve">What factors should be considered when determining the level of risk for decision-making arrangements? </w:t>
            </w:r>
          </w:p>
          <w:p w14:paraId="0E73666F" w14:textId="7D283BFE" w:rsidR="00640975" w:rsidRDefault="00640975" w:rsidP="00F26461">
            <w:pPr>
              <w:pStyle w:val="pf0"/>
              <w:numPr>
                <w:ilvl w:val="0"/>
                <w:numId w:val="38"/>
              </w:numPr>
              <w:spacing w:before="0" w:beforeAutospacing="0" w:after="0" w:afterAutospacing="0"/>
              <w:rPr>
                <w:rStyle w:val="cf01"/>
                <w:rFonts w:asciiTheme="minorHAnsi" w:hAnsiTheme="minorHAnsi" w:cstheme="minorHAnsi"/>
                <w:color w:val="00264D" w:themeColor="background2"/>
              </w:rPr>
            </w:pPr>
            <w:r w:rsidRPr="005D0718">
              <w:rPr>
                <w:rStyle w:val="cf01"/>
                <w:rFonts w:asciiTheme="minorHAnsi" w:hAnsiTheme="minorHAnsi" w:cstheme="minorHAnsi"/>
                <w:color w:val="00264D" w:themeColor="background2"/>
              </w:rPr>
              <w:t>What would be the impact of streamlining decision-making arrangements for you?</w:t>
            </w:r>
          </w:p>
          <w:p w14:paraId="600008A3" w14:textId="49922C2B" w:rsidR="00945B0D" w:rsidRPr="00945B0D" w:rsidRDefault="00945B0D" w:rsidP="005D0718">
            <w:pPr>
              <w:pStyle w:val="pf0"/>
              <w:numPr>
                <w:ilvl w:val="0"/>
                <w:numId w:val="38"/>
              </w:numPr>
              <w:spacing w:before="0" w:beforeAutospacing="0" w:after="0" w:afterAutospacing="0"/>
              <w:rPr>
                <w:rStyle w:val="cf01"/>
                <w:color w:val="00264D" w:themeColor="background2"/>
              </w:rPr>
            </w:pPr>
            <w:r w:rsidRPr="005D0718">
              <w:rPr>
                <w:rStyle w:val="cf01"/>
                <w:color w:val="00264D" w:themeColor="background2"/>
              </w:rPr>
              <w:t>What expertise should be considered when determining the delegation of decisions to an alternative person</w:t>
            </w:r>
            <w:r>
              <w:rPr>
                <w:rStyle w:val="cf01"/>
                <w:color w:val="00264D" w:themeColor="background2"/>
              </w:rPr>
              <w:t>?</w:t>
            </w:r>
          </w:p>
          <w:p w14:paraId="4F7005CC" w14:textId="77777777" w:rsidR="002D79A5" w:rsidRPr="000033D7" w:rsidRDefault="002D79A5" w:rsidP="00E827DE">
            <w:pPr>
              <w:pStyle w:val="pf0"/>
              <w:spacing w:before="120" w:beforeAutospacing="0" w:after="120" w:afterAutospacing="0"/>
              <w:rPr>
                <w:rStyle w:val="cf01"/>
                <w:rFonts w:asciiTheme="majorHAnsi" w:hAnsiTheme="majorHAnsi" w:cstheme="majorHAnsi"/>
                <w:color w:val="00264D" w:themeColor="background2"/>
              </w:rPr>
            </w:pPr>
            <w:r w:rsidRPr="000033D7">
              <w:rPr>
                <w:rStyle w:val="cf01"/>
                <w:rFonts w:asciiTheme="majorHAnsi" w:hAnsiTheme="majorHAnsi" w:cstheme="majorHAnsi"/>
                <w:color w:val="00264D" w:themeColor="background2"/>
              </w:rPr>
              <w:t xml:space="preserve">Component 2.2.4 | Legislative change and greater guidance material could support bringing more traditional foods to </w:t>
            </w:r>
            <w:proofErr w:type="gramStart"/>
            <w:r w:rsidRPr="000033D7">
              <w:rPr>
                <w:rStyle w:val="cf01"/>
                <w:rFonts w:asciiTheme="majorHAnsi" w:hAnsiTheme="majorHAnsi" w:cstheme="majorHAnsi"/>
                <w:color w:val="00264D" w:themeColor="background2"/>
              </w:rPr>
              <w:t>market</w:t>
            </w:r>
            <w:proofErr w:type="gramEnd"/>
          </w:p>
          <w:p w14:paraId="368FD2E5" w14:textId="77777777" w:rsidR="00A94E7D" w:rsidRPr="005924E0" w:rsidRDefault="00A94E7D" w:rsidP="005D0718">
            <w:pPr>
              <w:pStyle w:val="pf0"/>
              <w:numPr>
                <w:ilvl w:val="0"/>
                <w:numId w:val="38"/>
              </w:numPr>
              <w:spacing w:before="0" w:beforeAutospacing="0" w:after="0" w:afterAutospacing="0"/>
              <w:rPr>
                <w:rStyle w:val="cf01"/>
                <w:color w:val="00264D" w:themeColor="background2"/>
              </w:rPr>
            </w:pPr>
            <w:r w:rsidRPr="005924E0">
              <w:rPr>
                <w:rStyle w:val="cf01"/>
                <w:color w:val="00264D" w:themeColor="background2"/>
              </w:rPr>
              <w:t xml:space="preserve">Would a one-off investment of time and resources to develop and publish a list of traditional foods or ingredients that have undergone nutritional and compositional assessments facilitate entry of traditional foods to market? </w:t>
            </w:r>
          </w:p>
          <w:p w14:paraId="7E4E20A0" w14:textId="77777777" w:rsidR="002D79A5" w:rsidRDefault="002D79A5" w:rsidP="00F26461">
            <w:pPr>
              <w:pStyle w:val="pf0"/>
              <w:numPr>
                <w:ilvl w:val="0"/>
                <w:numId w:val="38"/>
              </w:numPr>
              <w:spacing w:before="0" w:beforeAutospacing="0" w:after="0" w:afterAutospacing="0"/>
              <w:rPr>
                <w:rStyle w:val="cf01"/>
                <w:color w:val="00264D" w:themeColor="background2"/>
              </w:rPr>
            </w:pPr>
            <w:r w:rsidRPr="000033D7">
              <w:rPr>
                <w:rStyle w:val="cf01"/>
                <w:color w:val="00264D" w:themeColor="background2"/>
              </w:rPr>
              <w:t>Would the development of further guidance materials on how traditional foods can be assessed for safety facilitate entry of traditional foods to market? How so?</w:t>
            </w:r>
          </w:p>
          <w:p w14:paraId="0545F5E6" w14:textId="77777777" w:rsidR="002D79A5" w:rsidRPr="000033D7" w:rsidRDefault="002D79A5" w:rsidP="00E827DE">
            <w:pPr>
              <w:pStyle w:val="pf0"/>
              <w:spacing w:before="120" w:beforeAutospacing="0" w:after="120" w:afterAutospacing="0"/>
              <w:rPr>
                <w:rFonts w:asciiTheme="majorHAnsi" w:hAnsiTheme="majorHAnsi" w:cstheme="majorHAnsi"/>
                <w:color w:val="00264D" w:themeColor="background2"/>
                <w:sz w:val="18"/>
                <w:szCs w:val="18"/>
              </w:rPr>
            </w:pPr>
            <w:r w:rsidRPr="000033D7">
              <w:rPr>
                <w:rFonts w:asciiTheme="majorHAnsi" w:hAnsiTheme="majorHAnsi" w:cstheme="majorHAnsi"/>
                <w:color w:val="00264D" w:themeColor="background2"/>
                <w:sz w:val="18"/>
                <w:szCs w:val="18"/>
              </w:rPr>
              <w:t xml:space="preserve">Component 2.2.5 | FSANZ can be resourced to undertake more timely, holistic and regular reviews of </w:t>
            </w:r>
            <w:proofErr w:type="gramStart"/>
            <w:r w:rsidRPr="000033D7">
              <w:rPr>
                <w:rFonts w:asciiTheme="majorHAnsi" w:hAnsiTheme="majorHAnsi" w:cstheme="majorHAnsi"/>
                <w:color w:val="00264D" w:themeColor="background2"/>
                <w:sz w:val="18"/>
                <w:szCs w:val="18"/>
              </w:rPr>
              <w:t>standards</w:t>
            </w:r>
            <w:proofErr w:type="gramEnd"/>
          </w:p>
          <w:p w14:paraId="7F7D704A" w14:textId="77777777" w:rsidR="00F26461" w:rsidRPr="005924E0" w:rsidRDefault="00F26461" w:rsidP="005D0718">
            <w:pPr>
              <w:pStyle w:val="pf0"/>
              <w:numPr>
                <w:ilvl w:val="0"/>
                <w:numId w:val="38"/>
              </w:numPr>
              <w:spacing w:before="0" w:beforeAutospacing="0" w:after="0" w:afterAutospacing="0"/>
              <w:rPr>
                <w:rStyle w:val="cf01"/>
                <w:color w:val="00264D" w:themeColor="background2"/>
              </w:rPr>
            </w:pPr>
            <w:r w:rsidRPr="005924E0">
              <w:rPr>
                <w:rStyle w:val="cf01"/>
                <w:color w:val="00264D" w:themeColor="background2"/>
              </w:rPr>
              <w:t xml:space="preserve">Would resourcing FSANZ to undertake more timely, </w:t>
            </w:r>
            <w:proofErr w:type="gramStart"/>
            <w:r w:rsidRPr="005924E0">
              <w:rPr>
                <w:rStyle w:val="cf01"/>
                <w:color w:val="00264D" w:themeColor="background2"/>
              </w:rPr>
              <w:t>holistic</w:t>
            </w:r>
            <w:proofErr w:type="gramEnd"/>
            <w:r w:rsidRPr="005924E0">
              <w:rPr>
                <w:rStyle w:val="cf01"/>
                <w:color w:val="00264D" w:themeColor="background2"/>
              </w:rPr>
              <w:t xml:space="preserve"> and regular reviews of standards allow FSANZ to be more strategic and consistent in changes to food standards? </w:t>
            </w:r>
          </w:p>
          <w:p w14:paraId="78D24834" w14:textId="77777777" w:rsidR="002D79A5" w:rsidRPr="000033D7" w:rsidRDefault="002D79A5" w:rsidP="00F26461">
            <w:pPr>
              <w:pStyle w:val="pf0"/>
              <w:numPr>
                <w:ilvl w:val="0"/>
                <w:numId w:val="38"/>
              </w:numPr>
              <w:spacing w:before="0" w:beforeAutospacing="0" w:after="0" w:afterAutospacing="0"/>
              <w:rPr>
                <w:rStyle w:val="cf01"/>
                <w:color w:val="00264D" w:themeColor="background2"/>
              </w:rPr>
            </w:pPr>
            <w:r w:rsidRPr="000033D7">
              <w:rPr>
                <w:rStyle w:val="cf01"/>
                <w:color w:val="00264D" w:themeColor="background2"/>
              </w:rPr>
              <w:t>Are there other initiatives that should be considered to drive more holistic consideration of food standards?</w:t>
            </w:r>
          </w:p>
          <w:p w14:paraId="642EC440" w14:textId="77777777" w:rsidR="002D79A5" w:rsidRPr="000033D7" w:rsidRDefault="002D79A5" w:rsidP="00E827DE">
            <w:pPr>
              <w:pStyle w:val="pf0"/>
              <w:spacing w:before="120" w:beforeAutospacing="0" w:after="120" w:afterAutospacing="0"/>
              <w:rPr>
                <w:rFonts w:asciiTheme="majorHAnsi" w:hAnsiTheme="majorHAnsi" w:cstheme="majorHAnsi"/>
                <w:color w:val="00264D" w:themeColor="background2"/>
                <w:sz w:val="18"/>
                <w:szCs w:val="18"/>
              </w:rPr>
            </w:pPr>
            <w:r w:rsidRPr="000033D7">
              <w:rPr>
                <w:rFonts w:asciiTheme="majorHAnsi" w:hAnsiTheme="majorHAnsi" w:cstheme="majorHAnsi"/>
                <w:color w:val="00264D" w:themeColor="background2"/>
                <w:sz w:val="18"/>
                <w:szCs w:val="18"/>
              </w:rPr>
              <w:t xml:space="preserve">Component 2.2.6 | Codes of Practice and guidelines could be increasingly used to complement food </w:t>
            </w:r>
            <w:proofErr w:type="gramStart"/>
            <w:r w:rsidRPr="000033D7">
              <w:rPr>
                <w:rFonts w:asciiTheme="majorHAnsi" w:hAnsiTheme="majorHAnsi" w:cstheme="majorHAnsi"/>
                <w:color w:val="00264D" w:themeColor="background2"/>
                <w:sz w:val="18"/>
                <w:szCs w:val="18"/>
              </w:rPr>
              <w:t>standards</w:t>
            </w:r>
            <w:proofErr w:type="gramEnd"/>
          </w:p>
          <w:p w14:paraId="6B181939" w14:textId="636E46BA" w:rsidR="001665F6" w:rsidRPr="00B02E09" w:rsidRDefault="001665F6" w:rsidP="00B02E09">
            <w:pPr>
              <w:pStyle w:val="pf0"/>
              <w:numPr>
                <w:ilvl w:val="0"/>
                <w:numId w:val="38"/>
              </w:numPr>
              <w:spacing w:before="0" w:beforeAutospacing="0" w:after="0" w:afterAutospacing="0"/>
              <w:rPr>
                <w:rFonts w:asciiTheme="minorHAnsi" w:hAnsiTheme="minorHAnsi" w:cstheme="minorHAnsi"/>
                <w:color w:val="00264D" w:themeColor="background2"/>
                <w:sz w:val="18"/>
                <w:szCs w:val="18"/>
              </w:rPr>
            </w:pPr>
            <w:r w:rsidRPr="00B02E09">
              <w:rPr>
                <w:rFonts w:asciiTheme="minorHAnsi" w:hAnsiTheme="minorHAnsi" w:cstheme="minorHAnsi"/>
                <w:color w:val="00264D" w:themeColor="background2"/>
                <w:sz w:val="18"/>
                <w:szCs w:val="18"/>
              </w:rPr>
              <w:t xml:space="preserve">Would the use of Codes of Practice and guidelines to better support the implementation of the Food Standards Code and help to address issues that do not warrant the time and resources required to develop or vary a standard? </w:t>
            </w:r>
          </w:p>
          <w:p w14:paraId="3B5D9D63" w14:textId="388CEF87" w:rsidR="001665F6" w:rsidRPr="00B02E09" w:rsidRDefault="001665F6" w:rsidP="00B02E09">
            <w:pPr>
              <w:pStyle w:val="pf0"/>
              <w:numPr>
                <w:ilvl w:val="1"/>
                <w:numId w:val="38"/>
              </w:numPr>
              <w:spacing w:before="0" w:beforeAutospacing="0" w:after="0" w:afterAutospacing="0"/>
              <w:rPr>
                <w:rFonts w:asciiTheme="minorHAnsi" w:hAnsiTheme="minorHAnsi" w:cstheme="minorHAnsi"/>
                <w:color w:val="00264D" w:themeColor="background2"/>
                <w:sz w:val="18"/>
                <w:szCs w:val="18"/>
              </w:rPr>
            </w:pPr>
            <w:r w:rsidRPr="00B02E09">
              <w:rPr>
                <w:rFonts w:asciiTheme="minorHAnsi" w:hAnsiTheme="minorHAnsi" w:cstheme="minorHAnsi"/>
                <w:color w:val="00264D" w:themeColor="background2"/>
                <w:sz w:val="18"/>
                <w:szCs w:val="18"/>
              </w:rPr>
              <w:t xml:space="preserve">Can you provide an example of an issue that would have been/be better solved by a Code </w:t>
            </w:r>
            <w:r w:rsidR="00892C58">
              <w:rPr>
                <w:rFonts w:asciiTheme="minorHAnsi" w:hAnsiTheme="minorHAnsi" w:cstheme="minorHAnsi"/>
                <w:color w:val="00264D" w:themeColor="background2"/>
                <w:sz w:val="18"/>
                <w:szCs w:val="18"/>
              </w:rPr>
              <w:t>o</w:t>
            </w:r>
            <w:r w:rsidRPr="00B02E09">
              <w:rPr>
                <w:rFonts w:asciiTheme="minorHAnsi" w:hAnsiTheme="minorHAnsi" w:cstheme="minorHAnsi"/>
                <w:color w:val="00264D" w:themeColor="background2"/>
                <w:sz w:val="18"/>
                <w:szCs w:val="18"/>
              </w:rPr>
              <w:t>f Practice or guideline? (Free text)</w:t>
            </w:r>
          </w:p>
          <w:p w14:paraId="116BA0FB" w14:textId="77777777" w:rsidR="001665F6" w:rsidRPr="00B02E09" w:rsidRDefault="001665F6" w:rsidP="00B02E09">
            <w:pPr>
              <w:pStyle w:val="pf0"/>
              <w:numPr>
                <w:ilvl w:val="1"/>
                <w:numId w:val="38"/>
              </w:numPr>
              <w:spacing w:before="0" w:beforeAutospacing="0" w:after="0" w:afterAutospacing="0"/>
              <w:rPr>
                <w:rFonts w:asciiTheme="minorHAnsi" w:hAnsiTheme="minorHAnsi" w:cstheme="minorHAnsi"/>
                <w:color w:val="00264D" w:themeColor="background2"/>
                <w:sz w:val="18"/>
                <w:szCs w:val="18"/>
              </w:rPr>
            </w:pPr>
            <w:r w:rsidRPr="00B02E09">
              <w:rPr>
                <w:rFonts w:asciiTheme="minorHAnsi" w:hAnsiTheme="minorHAnsi" w:cstheme="minorHAnsi"/>
                <w:color w:val="00264D" w:themeColor="background2"/>
                <w:sz w:val="18"/>
                <w:szCs w:val="18"/>
              </w:rPr>
              <w:t>How could the decision pathway for the development of a Code of Practice of guideline be incorporated into the risk framework outlined in Component 2.2.1?</w:t>
            </w:r>
          </w:p>
          <w:p w14:paraId="690B71A2" w14:textId="77777777" w:rsidR="001665F6" w:rsidRPr="00B02E09" w:rsidRDefault="001665F6" w:rsidP="00B02E09">
            <w:pPr>
              <w:pStyle w:val="pf0"/>
              <w:numPr>
                <w:ilvl w:val="0"/>
                <w:numId w:val="38"/>
              </w:numPr>
              <w:spacing w:before="0" w:beforeAutospacing="0" w:after="0" w:afterAutospacing="0"/>
              <w:rPr>
                <w:rFonts w:asciiTheme="minorHAnsi" w:hAnsiTheme="minorHAnsi" w:cstheme="minorHAnsi"/>
                <w:color w:val="00264D" w:themeColor="background2"/>
                <w:sz w:val="18"/>
                <w:szCs w:val="18"/>
              </w:rPr>
            </w:pPr>
            <w:r w:rsidRPr="00B02E09">
              <w:rPr>
                <w:rFonts w:asciiTheme="minorHAnsi" w:hAnsiTheme="minorHAnsi" w:cstheme="minorHAnsi"/>
                <w:color w:val="00264D" w:themeColor="background2"/>
                <w:sz w:val="18"/>
                <w:szCs w:val="18"/>
              </w:rPr>
              <w:t>What would be the expected impact if Codes of Practice and guidelines were developed for industry, by industry?</w:t>
            </w:r>
          </w:p>
          <w:p w14:paraId="1A9AB3F4" w14:textId="77777777" w:rsidR="001665F6" w:rsidRDefault="001665F6" w:rsidP="00B02E09">
            <w:pPr>
              <w:pStyle w:val="pf0"/>
              <w:spacing w:before="0" w:beforeAutospacing="0" w:after="0" w:afterAutospacing="0"/>
              <w:rPr>
                <w:rFonts w:asciiTheme="minorHAnsi" w:hAnsiTheme="minorHAnsi" w:cstheme="minorHAnsi"/>
                <w:color w:val="00264D" w:themeColor="background2"/>
                <w:sz w:val="18"/>
                <w:szCs w:val="18"/>
              </w:rPr>
            </w:pPr>
          </w:p>
          <w:p w14:paraId="63867A16" w14:textId="5618716D" w:rsidR="002C71F4" w:rsidRPr="002C71F4" w:rsidRDefault="002C71F4" w:rsidP="002C71F4">
            <w:pPr>
              <w:pStyle w:val="pf0"/>
              <w:spacing w:before="0" w:beforeAutospacing="0" w:after="0" w:afterAutospacing="0"/>
              <w:rPr>
                <w:rFonts w:asciiTheme="majorHAnsi" w:hAnsiTheme="majorHAnsi" w:cstheme="majorHAnsi"/>
                <w:color w:val="00264D" w:themeColor="background2"/>
                <w:sz w:val="18"/>
                <w:szCs w:val="18"/>
              </w:rPr>
            </w:pPr>
            <w:r w:rsidRPr="002C71F4">
              <w:rPr>
                <w:rFonts w:asciiTheme="majorHAnsi" w:hAnsiTheme="majorHAnsi" w:cstheme="majorHAnsi"/>
                <w:color w:val="00264D" w:themeColor="background2"/>
                <w:sz w:val="18"/>
                <w:szCs w:val="18"/>
              </w:rPr>
              <w:t>Other</w:t>
            </w:r>
          </w:p>
          <w:p w14:paraId="044435D7" w14:textId="3F334F4E" w:rsidR="002D79A5" w:rsidRPr="000033D7" w:rsidRDefault="002D79A5" w:rsidP="00F26461">
            <w:pPr>
              <w:pStyle w:val="pf0"/>
              <w:numPr>
                <w:ilvl w:val="0"/>
                <w:numId w:val="38"/>
              </w:numPr>
              <w:spacing w:before="0" w:beforeAutospacing="0" w:after="0" w:afterAutospacing="0"/>
              <w:rPr>
                <w:rFonts w:asciiTheme="minorHAnsi" w:hAnsiTheme="minorHAnsi" w:cstheme="minorHAnsi"/>
                <w:color w:val="00264D" w:themeColor="background2"/>
                <w:sz w:val="18"/>
                <w:szCs w:val="18"/>
              </w:rPr>
            </w:pPr>
            <w:r w:rsidRPr="000033D7">
              <w:rPr>
                <w:rStyle w:val="cf01"/>
                <w:rFonts w:asciiTheme="minorHAnsi" w:hAnsiTheme="minorHAnsi" w:cstheme="minorHAnsi"/>
                <w:color w:val="00264D" w:themeColor="background2"/>
              </w:rPr>
              <w:t>Are there other initiatives that should be considered in this component?</w:t>
            </w:r>
          </w:p>
        </w:tc>
      </w:tr>
    </w:tbl>
    <w:p w14:paraId="5A3D0765" w14:textId="175F794E" w:rsidR="00923BE4" w:rsidRPr="00B466CF" w:rsidRDefault="00923BE4" w:rsidP="00B466CF">
      <w:pPr>
        <w:pStyle w:val="Heading3"/>
      </w:pPr>
      <w:r w:rsidRPr="00B466CF">
        <w:lastRenderedPageBreak/>
        <w:t>Component 2.3 | Efficient and effective operations</w:t>
      </w:r>
    </w:p>
    <w:p w14:paraId="72519D55" w14:textId="2E556220" w:rsidR="00923BE4" w:rsidRDefault="00923BE4" w:rsidP="00CD1EBD">
      <w:pPr>
        <w:spacing w:line="240" w:lineRule="auto"/>
        <w:rPr>
          <w:lang w:eastAsia="en-AU"/>
        </w:rPr>
      </w:pPr>
      <w:r>
        <w:rPr>
          <w:lang w:eastAsia="en-AU"/>
        </w:rPr>
        <w:t xml:space="preserve">This component focuses on better use of </w:t>
      </w:r>
      <w:r w:rsidR="004E4D63">
        <w:rPr>
          <w:lang w:eastAsia="en-AU"/>
        </w:rPr>
        <w:t>FSANZ’</w:t>
      </w:r>
      <w:r w:rsidR="00855ACF">
        <w:rPr>
          <w:lang w:eastAsia="en-AU"/>
        </w:rPr>
        <w:t>s</w:t>
      </w:r>
      <w:r>
        <w:rPr>
          <w:lang w:eastAsia="en-AU"/>
        </w:rPr>
        <w:t xml:space="preserve"> limited resources through more effective governance, as well as achieving financial sustainability for the organisation. </w:t>
      </w:r>
    </w:p>
    <w:p w14:paraId="400DB872" w14:textId="0C049651" w:rsidR="00923BE4" w:rsidRDefault="00EA1F80" w:rsidP="00923BE4">
      <w:pPr>
        <w:pStyle w:val="Heading4"/>
      </w:pPr>
      <w:r>
        <w:lastRenderedPageBreak/>
        <w:t xml:space="preserve">Component 2.3.1 | </w:t>
      </w:r>
      <w:r w:rsidR="00923BE4">
        <w:t>Outstanding recommendations from the</w:t>
      </w:r>
      <w:r w:rsidR="00923BE4" w:rsidRPr="00871373">
        <w:t xml:space="preserve"> 2014 review of the FSANZ Board</w:t>
      </w:r>
      <w:r w:rsidR="00923BE4">
        <w:t xml:space="preserve"> could be </w:t>
      </w:r>
      <w:proofErr w:type="gramStart"/>
      <w:r w:rsidR="00923BE4">
        <w:t>implemented</w:t>
      </w:r>
      <w:proofErr w:type="gramEnd"/>
    </w:p>
    <w:tbl>
      <w:tblPr>
        <w:tblStyle w:val="TableGrid"/>
        <w:tblW w:w="0" w:type="auto"/>
        <w:tblLook w:val="04A0" w:firstRow="1" w:lastRow="0" w:firstColumn="1" w:lastColumn="0" w:noHBand="0" w:noVBand="1"/>
      </w:tblPr>
      <w:tblGrid>
        <w:gridCol w:w="8930"/>
      </w:tblGrid>
      <w:tr w:rsidR="0089006F" w14:paraId="0CD3E7CA"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60568630" w14:textId="77777777" w:rsidR="008868F9" w:rsidRPr="007F7722" w:rsidRDefault="008868F9" w:rsidP="008868F9">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447432C1" w14:textId="7E08A559" w:rsidR="00056D5E" w:rsidRPr="00F2374C" w:rsidRDefault="00056D5E" w:rsidP="007F7722">
            <w:pPr>
              <w:pStyle w:val="Bullet"/>
              <w:spacing w:line="259" w:lineRule="auto"/>
            </w:pPr>
            <w:r>
              <w:t xml:space="preserve">Problem </w:t>
            </w:r>
            <w:r w:rsidR="00F2374C">
              <w:t>3.1</w:t>
            </w:r>
            <w:r>
              <w:t xml:space="preserve"> |</w:t>
            </w:r>
            <w:r w:rsidR="00F2374C">
              <w:t xml:space="preserve"> </w:t>
            </w:r>
            <w:r w:rsidR="00F2374C" w:rsidRPr="00F2374C">
              <w:t xml:space="preserve">Current legislative provisions prohibit nominations and appointments to the FSANZ Board from adopting best practice </w:t>
            </w:r>
          </w:p>
        </w:tc>
      </w:tr>
    </w:tbl>
    <w:p w14:paraId="47699AE1" w14:textId="77777777" w:rsidR="00056D5E" w:rsidRPr="00D33D69" w:rsidRDefault="00056D5E" w:rsidP="007F7722"/>
    <w:p w14:paraId="4C4F51FF" w14:textId="0C3CC681" w:rsidR="00923BE4" w:rsidRDefault="00923BE4" w:rsidP="00923BE4">
      <w:r>
        <w:t xml:space="preserve">In 2014, the (then) Department of Health conducted a review of the FSANZ Board appointment </w:t>
      </w:r>
      <w:proofErr w:type="gramStart"/>
      <w:r w:rsidR="00770544">
        <w:t>processes</w:t>
      </w:r>
      <w:r w:rsidR="00770544">
        <w:rPr>
          <w:rFonts w:ascii="ZWAdobeF" w:hAnsi="ZWAdobeF" w:cs="ZWAdobeF"/>
          <w:sz w:val="2"/>
          <w:szCs w:val="2"/>
        </w:rPr>
        <w:t>.</w:t>
      </w:r>
      <w:r w:rsidR="00770544">
        <w:rPr>
          <w:rFonts w:asciiTheme="minorHAnsi" w:hAnsiTheme="minorHAnsi" w:cstheme="minorHAnsi"/>
          <w:szCs w:val="19"/>
        </w:rPr>
        <w:t>.</w:t>
      </w:r>
      <w:proofErr w:type="gramEnd"/>
      <w:r>
        <w:rPr>
          <w:rStyle w:val="FootnoteReference"/>
        </w:rPr>
        <w:footnoteReference w:id="41"/>
      </w:r>
      <w:r w:rsidR="00770544">
        <w:rPr>
          <w:rFonts w:asciiTheme="minorHAnsi" w:hAnsiTheme="minorHAnsi" w:cstheme="minorHAnsi"/>
          <w:szCs w:val="19"/>
        </w:rPr>
        <w:t xml:space="preserve"> </w:t>
      </w:r>
      <w:r>
        <w:t xml:space="preserve">The purpose of </w:t>
      </w:r>
      <w:r w:rsidR="00DE65C9">
        <w:t>the</w:t>
      </w:r>
      <w:r w:rsidR="00807D3A">
        <w:t xml:space="preserve"> </w:t>
      </w:r>
      <w:r w:rsidR="00770544">
        <w:t>r</w:t>
      </w:r>
      <w:r w:rsidR="00807D3A">
        <w:t>eview</w:t>
      </w:r>
      <w:r>
        <w:t xml:space="preserve"> was to provide recommendations to better align FSANZ with contemporary approaches to governance and merit-based selection of Board members. </w:t>
      </w:r>
    </w:p>
    <w:p w14:paraId="1A09833F" w14:textId="77777777" w:rsidR="00923BE4" w:rsidRDefault="00923BE4" w:rsidP="00923BE4">
      <w:r>
        <w:t>These recommendations were endorsed by the (then) Forum in 2015, noting that Recommendations 1 and 5 would require legislative amendment.</w:t>
      </w:r>
    </w:p>
    <w:p w14:paraId="79FCD908" w14:textId="47778670" w:rsidR="00923BE4" w:rsidRPr="00C95358" w:rsidRDefault="00923BE4" w:rsidP="00A0664B">
      <w:pPr>
        <w:pStyle w:val="Heading5"/>
      </w:pPr>
      <w:r w:rsidRPr="00C95358">
        <w:t xml:space="preserve">Recommendation 1 was to ‘Amend the compositional requirements of the FSANZ Board to address the need for flexibility to accommodate future work </w:t>
      </w:r>
      <w:proofErr w:type="gramStart"/>
      <w:r w:rsidRPr="00C95358">
        <w:t>requirements’</w:t>
      </w:r>
      <w:proofErr w:type="gramEnd"/>
    </w:p>
    <w:p w14:paraId="741EFD3E" w14:textId="7D2C2685" w:rsidR="00F955FC" w:rsidRDefault="00F955FC" w:rsidP="00F955FC">
      <w:r>
        <w:t>Section 116 (2B), (2c) and (3)(a) stipulate that the Minister may appoint a person as a member of the Board only if they are satisfied that the person is suitably qualified based on expertise in one or more of a prescribed list of skills. As per the recommendations of the 2014 review, this list could be broadened to include additional skills that would support good governance and oversight, namely:</w:t>
      </w:r>
    </w:p>
    <w:p w14:paraId="63E61EBE" w14:textId="0AFE23EF" w:rsidR="00F955FC" w:rsidRDefault="00BB07C4" w:rsidP="00313A20">
      <w:pPr>
        <w:pStyle w:val="ListParagraph"/>
        <w:numPr>
          <w:ilvl w:val="0"/>
          <w:numId w:val="21"/>
        </w:numPr>
      </w:pPr>
      <w:r>
        <w:t>sound judgement</w:t>
      </w:r>
    </w:p>
    <w:p w14:paraId="0E365C88" w14:textId="10BEA779" w:rsidR="00F955FC" w:rsidRDefault="00BB07C4" w:rsidP="00313A20">
      <w:pPr>
        <w:pStyle w:val="ListParagraph"/>
        <w:numPr>
          <w:ilvl w:val="0"/>
          <w:numId w:val="21"/>
        </w:numPr>
      </w:pPr>
      <w:r>
        <w:t>good strategic thinking</w:t>
      </w:r>
    </w:p>
    <w:p w14:paraId="56888A66" w14:textId="28FE410B" w:rsidR="00F955FC" w:rsidRDefault="00BB07C4" w:rsidP="00313A20">
      <w:pPr>
        <w:pStyle w:val="ListParagraph"/>
        <w:numPr>
          <w:ilvl w:val="0"/>
          <w:numId w:val="21"/>
        </w:numPr>
      </w:pPr>
      <w:r>
        <w:t xml:space="preserve">broad understanding of </w:t>
      </w:r>
      <w:r w:rsidR="00DD128F">
        <w:t>FSANZ</w:t>
      </w:r>
      <w:r>
        <w:t xml:space="preserve"> issues</w:t>
      </w:r>
    </w:p>
    <w:p w14:paraId="4F323F59" w14:textId="4EAD7DD7" w:rsidR="00F955FC" w:rsidRDefault="00BB07C4" w:rsidP="00313A20">
      <w:pPr>
        <w:pStyle w:val="ListParagraph"/>
        <w:numPr>
          <w:ilvl w:val="0"/>
          <w:numId w:val="21"/>
        </w:numPr>
      </w:pPr>
      <w:r>
        <w:t xml:space="preserve">ability to challenge </w:t>
      </w:r>
      <w:proofErr w:type="gramStart"/>
      <w:r>
        <w:t>thoughts</w:t>
      </w:r>
      <w:proofErr w:type="gramEnd"/>
    </w:p>
    <w:p w14:paraId="55B5206F" w14:textId="4C4288CE" w:rsidR="00F955FC" w:rsidRDefault="00BB07C4" w:rsidP="00313A20">
      <w:pPr>
        <w:pStyle w:val="ListParagraph"/>
        <w:numPr>
          <w:ilvl w:val="0"/>
          <w:numId w:val="21"/>
        </w:numPr>
      </w:pPr>
      <w:r>
        <w:t>personal drive and integrity</w:t>
      </w:r>
    </w:p>
    <w:p w14:paraId="20AA19C5" w14:textId="2852B2DA" w:rsidR="00F955FC" w:rsidRDefault="00BB07C4" w:rsidP="00313A20">
      <w:pPr>
        <w:pStyle w:val="ListParagraph"/>
        <w:numPr>
          <w:ilvl w:val="0"/>
          <w:numId w:val="21"/>
        </w:numPr>
      </w:pPr>
      <w:r>
        <w:t xml:space="preserve">ability to perform publicly and be vocal when </w:t>
      </w:r>
      <w:proofErr w:type="gramStart"/>
      <w:r>
        <w:t>required</w:t>
      </w:r>
      <w:proofErr w:type="gramEnd"/>
    </w:p>
    <w:p w14:paraId="38AB4D12" w14:textId="0DCF8428" w:rsidR="00F955FC" w:rsidRDefault="00BB07C4" w:rsidP="00313A20">
      <w:pPr>
        <w:pStyle w:val="ListParagraph"/>
        <w:numPr>
          <w:ilvl w:val="0"/>
          <w:numId w:val="21"/>
        </w:numPr>
      </w:pPr>
      <w:r>
        <w:t xml:space="preserve">ability to represent the board at different </w:t>
      </w:r>
      <w:proofErr w:type="gramStart"/>
      <w:r>
        <w:t>fora</w:t>
      </w:r>
      <w:proofErr w:type="gramEnd"/>
    </w:p>
    <w:p w14:paraId="1EB86F5A" w14:textId="5A75FD5B" w:rsidR="00F955FC" w:rsidRDefault="00BB07C4" w:rsidP="00313A20">
      <w:pPr>
        <w:pStyle w:val="ListParagraph"/>
        <w:numPr>
          <w:ilvl w:val="0"/>
          <w:numId w:val="21"/>
        </w:numPr>
      </w:pPr>
      <w:r>
        <w:t>finance and governance experience, and</w:t>
      </w:r>
    </w:p>
    <w:p w14:paraId="249491EF" w14:textId="493847FE" w:rsidR="00F955FC" w:rsidRDefault="00BB07C4" w:rsidP="00313A20">
      <w:pPr>
        <w:pStyle w:val="ListParagraph"/>
        <w:numPr>
          <w:ilvl w:val="0"/>
          <w:numId w:val="21"/>
        </w:numPr>
      </w:pPr>
      <w:r>
        <w:t xml:space="preserve">regulatory </w:t>
      </w:r>
      <w:r w:rsidR="00F955FC">
        <w:t xml:space="preserve">experience. </w:t>
      </w:r>
    </w:p>
    <w:p w14:paraId="72AF472D" w14:textId="0A3266F3" w:rsidR="00923BE4" w:rsidRPr="003D2F4D" w:rsidRDefault="00F955FC" w:rsidP="00923BE4">
      <w:r>
        <w:t xml:space="preserve">Expertise in First Nations </w:t>
      </w:r>
      <w:r w:rsidR="003B3099">
        <w:t>and Māori</w:t>
      </w:r>
      <w:r>
        <w:t xml:space="preserve"> food and culture could also be included.</w:t>
      </w:r>
      <w:r w:rsidR="00923BE4" w:rsidRPr="00C95358">
        <w:t xml:space="preserve"> </w:t>
      </w:r>
    </w:p>
    <w:p w14:paraId="494A82E2" w14:textId="04BFD363" w:rsidR="00923BE4" w:rsidRPr="00C95358" w:rsidRDefault="00923BE4" w:rsidP="00A0664B">
      <w:pPr>
        <w:pStyle w:val="Heading5"/>
      </w:pPr>
      <w:r w:rsidRPr="00C95358">
        <w:t xml:space="preserve">Recommendation 5 focused on ‘Amending the nomination process to be an open market process by advertising for upcoming vacancies </w:t>
      </w:r>
      <w:proofErr w:type="gramStart"/>
      <w:r w:rsidRPr="00C95358">
        <w:t>externally</w:t>
      </w:r>
      <w:r w:rsidR="00064D09">
        <w:t>’</w:t>
      </w:r>
      <w:proofErr w:type="gramEnd"/>
    </w:p>
    <w:p w14:paraId="4A8BE38E" w14:textId="4AC13A16" w:rsidR="00F955FC" w:rsidRDefault="00F955FC" w:rsidP="00F955FC">
      <w:r>
        <w:t xml:space="preserve">An open market process could be achieved by amending Section 116(3)(b) of the Act to remove the requirement for nominations to be sought from organisations that are prescribed in the regulations (of which there are 43). </w:t>
      </w:r>
    </w:p>
    <w:p w14:paraId="73A5950D" w14:textId="1214D839" w:rsidR="00F955FC" w:rsidRDefault="00F955FC" w:rsidP="00F955FC">
      <w:r>
        <w:t xml:space="preserve">A new provision could be added to Section 116 requiring the Minister to consider advice from the Board Chair about the current skill mix of the Board membership and any gaps to inform appointment decisions. </w:t>
      </w:r>
    </w:p>
    <w:p w14:paraId="7323CEDD" w14:textId="716D8ABB" w:rsidR="002F0317" w:rsidRDefault="00EA1F80" w:rsidP="002F0317">
      <w:pPr>
        <w:pStyle w:val="Heading4"/>
      </w:pPr>
      <w:r>
        <w:lastRenderedPageBreak/>
        <w:t xml:space="preserve">Component 2.3.2 | </w:t>
      </w:r>
      <w:r w:rsidR="0025008E" w:rsidRPr="0025008E">
        <w:t>The expedited approvals pathway</w:t>
      </w:r>
      <w:r w:rsidR="002F0317">
        <w:t xml:space="preserve"> could be removed to address workload prioritisation</w:t>
      </w:r>
      <w:r w:rsidR="0025008E" w:rsidRPr="0025008E">
        <w:t>.</w:t>
      </w:r>
      <w:r w:rsidR="00665101">
        <w:rPr>
          <w:rStyle w:val="FootnoteReference"/>
        </w:rPr>
        <w:footnoteReference w:id="42"/>
      </w:r>
    </w:p>
    <w:tbl>
      <w:tblPr>
        <w:tblStyle w:val="TableGrid"/>
        <w:tblW w:w="0" w:type="auto"/>
        <w:tblLook w:val="04A0" w:firstRow="1" w:lastRow="0" w:firstColumn="1" w:lastColumn="0" w:noHBand="0" w:noVBand="1"/>
      </w:tblPr>
      <w:tblGrid>
        <w:gridCol w:w="8930"/>
      </w:tblGrid>
      <w:tr w:rsidR="0089006F" w14:paraId="7FA7CEBD"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09B26A37" w14:textId="77777777" w:rsidR="007D2F4A" w:rsidRPr="007F7722" w:rsidRDefault="007D2F4A" w:rsidP="007D2F4A">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630A77D5" w14:textId="618B571D" w:rsidR="00A124A3" w:rsidRPr="00F2374C" w:rsidRDefault="00A124A3">
            <w:pPr>
              <w:pStyle w:val="Bullet"/>
              <w:spacing w:line="259" w:lineRule="auto"/>
            </w:pPr>
            <w:r>
              <w:t>Problem 3.</w:t>
            </w:r>
            <w:r w:rsidR="00D5503D">
              <w:t xml:space="preserve">2 | </w:t>
            </w:r>
            <w:r w:rsidR="00D5503D" w:rsidRPr="00D5503D">
              <w:t>Long-term decreases in funding in real terms has created significant resourcing pressure and is forcing FSANZ to focus on only a subset of its statutory functions</w:t>
            </w:r>
          </w:p>
        </w:tc>
      </w:tr>
    </w:tbl>
    <w:p w14:paraId="571E22AD" w14:textId="77777777" w:rsidR="00A124A3" w:rsidRPr="00D33D69" w:rsidRDefault="00A124A3" w:rsidP="007F7722"/>
    <w:p w14:paraId="3FC3E1FB" w14:textId="68769DE6" w:rsidR="002F0317" w:rsidRDefault="002F0317" w:rsidP="002F0317">
      <w:pPr>
        <w:rPr>
          <w:lang w:eastAsia="en-AU"/>
        </w:rPr>
      </w:pPr>
      <w:r>
        <w:rPr>
          <w:lang w:eastAsia="en-AU"/>
        </w:rPr>
        <w:t>Section 146(6)(b) could be removed to revoke the option for applications to be expedited (which is subject to a fee). While this means that FSANZ would in fact forego a source of revenue, it would mean it would not be bound to commence assessment of paid applications as quickly, noting that the Act requires applications to be assessed within 12 months for a major procedure (nine months for</w:t>
      </w:r>
      <w:r w:rsidR="00BD6E8D">
        <w:rPr>
          <w:lang w:eastAsia="en-AU"/>
        </w:rPr>
        <w:t xml:space="preserve"> a</w:t>
      </w:r>
      <w:r>
        <w:rPr>
          <w:lang w:eastAsia="en-AU"/>
        </w:rPr>
        <w:t xml:space="preserve"> general or high level health claim or three months for a minor procedure), and this timeframe commences at the time the fee is paid for paid applications. </w:t>
      </w:r>
      <w:r w:rsidR="00A43A3A">
        <w:rPr>
          <w:lang w:eastAsia="en-AU"/>
        </w:rPr>
        <w:t xml:space="preserve">This </w:t>
      </w:r>
      <w:r w:rsidR="00430FC1">
        <w:rPr>
          <w:lang w:eastAsia="en-AU"/>
        </w:rPr>
        <w:t xml:space="preserve">change </w:t>
      </w:r>
      <w:r w:rsidR="00A43A3A">
        <w:rPr>
          <w:lang w:eastAsia="en-AU"/>
        </w:rPr>
        <w:t>would remove an avenue by which businesses can currently gain greater certainty as to when they can launch products</w:t>
      </w:r>
      <w:r w:rsidR="00430FC1">
        <w:rPr>
          <w:lang w:eastAsia="en-AU"/>
        </w:rPr>
        <w:t xml:space="preserve"> and </w:t>
      </w:r>
      <w:proofErr w:type="gramStart"/>
      <w:r w:rsidR="00430FC1">
        <w:rPr>
          <w:lang w:eastAsia="en-AU"/>
        </w:rPr>
        <w:t>plan for the future</w:t>
      </w:r>
      <w:proofErr w:type="gramEnd"/>
      <w:r w:rsidR="00A43A3A">
        <w:rPr>
          <w:lang w:eastAsia="en-AU"/>
        </w:rPr>
        <w:t xml:space="preserve">. </w:t>
      </w:r>
      <w:r w:rsidR="00F069C0">
        <w:rPr>
          <w:lang w:eastAsia="en-AU"/>
        </w:rPr>
        <w:t xml:space="preserve">However, it would </w:t>
      </w:r>
      <w:r>
        <w:rPr>
          <w:lang w:eastAsia="en-AU"/>
        </w:rPr>
        <w:t xml:space="preserve">potentially release capacity for FSANZ to focus its resources on other initiatives, such as proposals and project work. </w:t>
      </w:r>
    </w:p>
    <w:p w14:paraId="11FA38B2" w14:textId="43EC5193" w:rsidR="00EE4632" w:rsidRPr="00DE4C61" w:rsidRDefault="00EE4632" w:rsidP="002F0317">
      <w:pPr>
        <w:rPr>
          <w:lang w:eastAsia="en-AU"/>
        </w:rPr>
      </w:pPr>
      <w:r>
        <w:rPr>
          <w:lang w:eastAsia="en-AU"/>
        </w:rPr>
        <w:t xml:space="preserve">Note: </w:t>
      </w:r>
      <w:r w:rsidR="00C12B62">
        <w:rPr>
          <w:lang w:eastAsia="en-AU"/>
        </w:rPr>
        <w:t xml:space="preserve">it may not be possible to implement this </w:t>
      </w:r>
      <w:proofErr w:type="gramStart"/>
      <w:r w:rsidR="00C12B62">
        <w:rPr>
          <w:lang w:eastAsia="en-AU"/>
        </w:rPr>
        <w:t>change, if</w:t>
      </w:r>
      <w:proofErr w:type="gramEnd"/>
      <w:r w:rsidR="00C12B62">
        <w:rPr>
          <w:lang w:eastAsia="en-AU"/>
        </w:rPr>
        <w:t xml:space="preserve"> other changes proposed in Component 2.3.3 are also </w:t>
      </w:r>
      <w:r w:rsidR="00344715">
        <w:rPr>
          <w:lang w:eastAsia="en-AU"/>
        </w:rPr>
        <w:t xml:space="preserve">supported. </w:t>
      </w:r>
    </w:p>
    <w:p w14:paraId="37275D5A" w14:textId="429EF221" w:rsidR="00923BE4" w:rsidRDefault="00EA1F80" w:rsidP="00923BE4">
      <w:pPr>
        <w:pStyle w:val="Heading4"/>
      </w:pPr>
      <w:r>
        <w:t xml:space="preserve">Component 2.3.3 | </w:t>
      </w:r>
      <w:r w:rsidR="00923BE4">
        <w:t>To generate more sustainable revenue, c</w:t>
      </w:r>
      <w:r w:rsidR="00923BE4" w:rsidRPr="008F321F">
        <w:t xml:space="preserve">ost recovery </w:t>
      </w:r>
      <w:r w:rsidR="00923BE4">
        <w:t>could be expanded for work that benefits industry</w:t>
      </w:r>
      <w:r w:rsidR="00733060">
        <w:rPr>
          <w:rStyle w:val="FootnoteReference"/>
        </w:rPr>
        <w:footnoteReference w:id="43"/>
      </w:r>
    </w:p>
    <w:tbl>
      <w:tblPr>
        <w:tblStyle w:val="TableGrid"/>
        <w:tblW w:w="0" w:type="auto"/>
        <w:tblLook w:val="04A0" w:firstRow="1" w:lastRow="0" w:firstColumn="1" w:lastColumn="0" w:noHBand="0" w:noVBand="1"/>
      </w:tblPr>
      <w:tblGrid>
        <w:gridCol w:w="8930"/>
      </w:tblGrid>
      <w:tr w:rsidR="0089006F" w14:paraId="28A6B120"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5EAB3B7B" w14:textId="77777777" w:rsidR="00851C70" w:rsidRPr="007F7722" w:rsidRDefault="00851C70" w:rsidP="00851C70">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4463E351" w14:textId="77777777" w:rsidR="009E6692" w:rsidRPr="00F2374C" w:rsidRDefault="009E6692">
            <w:pPr>
              <w:pStyle w:val="Bullet"/>
              <w:spacing w:line="259" w:lineRule="auto"/>
            </w:pPr>
            <w:r>
              <w:t xml:space="preserve">Problem 3.2 | </w:t>
            </w:r>
            <w:r w:rsidRPr="00D5503D">
              <w:t>Long-term decreases in funding in real terms has created significant resourcing pressure and is forcing FSANZ to focus on only a subset of its statutory functions</w:t>
            </w:r>
          </w:p>
        </w:tc>
      </w:tr>
    </w:tbl>
    <w:p w14:paraId="4347C118" w14:textId="77777777" w:rsidR="009E6692" w:rsidRPr="00D33D69" w:rsidRDefault="009E6692" w:rsidP="007F7722"/>
    <w:p w14:paraId="7C350C33" w14:textId="77777777" w:rsidR="00923BE4" w:rsidRDefault="00923BE4" w:rsidP="00923BE4">
      <w:pPr>
        <w:rPr>
          <w:lang w:eastAsia="en-AU"/>
        </w:rPr>
      </w:pPr>
      <w:r>
        <w:rPr>
          <w:lang w:eastAsia="en-AU"/>
        </w:rPr>
        <w:t xml:space="preserve">Changes to the Act could enable FSANZ to cost recover for a broader range of products and services that benefit industry. </w:t>
      </w:r>
    </w:p>
    <w:p w14:paraId="1A21FDCF" w14:textId="075776F5" w:rsidR="00923BE4" w:rsidRDefault="00B62604" w:rsidP="00923BE4">
      <w:pPr>
        <w:rPr>
          <w:lang w:eastAsia="en-AU"/>
        </w:rPr>
      </w:pPr>
      <w:r>
        <w:rPr>
          <w:lang w:eastAsia="en-AU"/>
        </w:rPr>
        <w:t>Section</w:t>
      </w:r>
      <w:r w:rsidR="00923BE4">
        <w:rPr>
          <w:lang w:eastAsia="en-AU"/>
        </w:rPr>
        <w:t xml:space="preserve"> 146 of the Act authorises FSANZ to fix charges for services and facilities that it provides. Of note, all cost recovery arrangements that charge specific individuals (cost recovery fees) or groups of individuals/industries (cost recovery levies) must comply with the Australian Government Cost Recovery </w:t>
      </w:r>
      <w:r w:rsidR="00C11394">
        <w:rPr>
          <w:lang w:eastAsia="en-AU"/>
        </w:rPr>
        <w:t>Policy</w:t>
      </w:r>
      <w:r w:rsidR="00923BE4">
        <w:rPr>
          <w:rStyle w:val="FootnoteReference"/>
          <w:lang w:eastAsia="en-AU"/>
        </w:rPr>
        <w:footnoteReference w:id="44"/>
      </w:r>
      <w:r w:rsidR="00923BE4">
        <w:rPr>
          <w:lang w:eastAsia="en-AU"/>
        </w:rPr>
        <w:t xml:space="preserve"> and the New Zealand Guidelines for Setting Charges in the Public Sector</w:t>
      </w:r>
      <w:r w:rsidR="00F0134F">
        <w:rPr>
          <w:lang w:eastAsia="en-AU"/>
        </w:rPr>
        <w:t xml:space="preserve">, which emphasise making decisions about when and to what degree it is appropriate to </w:t>
      </w:r>
      <w:r w:rsidR="00993DA6">
        <w:rPr>
          <w:lang w:eastAsia="en-AU"/>
        </w:rPr>
        <w:t>recover costs</w:t>
      </w:r>
      <w:r w:rsidR="00C11394">
        <w:rPr>
          <w:lang w:eastAsia="en-AU"/>
        </w:rPr>
        <w:t>.</w:t>
      </w:r>
      <w:r w:rsidR="00923BE4">
        <w:rPr>
          <w:rStyle w:val="FootnoteReference"/>
          <w:lang w:eastAsia="en-AU"/>
        </w:rPr>
        <w:footnoteReference w:id="45"/>
      </w:r>
      <w:r w:rsidR="00923BE4">
        <w:rPr>
          <w:lang w:eastAsia="en-AU"/>
        </w:rPr>
        <w:t xml:space="preserve">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737A48" w14:paraId="131DBE1D" w14:textId="77777777" w:rsidTr="00A806ED">
        <w:tc>
          <w:tcPr>
            <w:tcW w:w="7285" w:type="dxa"/>
          </w:tcPr>
          <w:p w14:paraId="70A3E045" w14:textId="5165455E" w:rsidR="00737A48" w:rsidRDefault="00737A48" w:rsidP="00737A48">
            <w:r>
              <w:t>There has been some literature around how cost recovery principles could be applied in the food system. For example, a review</w:t>
            </w:r>
            <w:r w:rsidR="000C3467">
              <w:rPr>
                <w:rStyle w:val="FootnoteReference"/>
              </w:rPr>
              <w:footnoteReference w:id="46"/>
            </w:r>
            <w:r>
              <w:t xml:space="preserve"> focused on the NSW system (which goes beyond food standards) suggested that activities that should be funded entirely by Government include: </w:t>
            </w:r>
          </w:p>
          <w:p w14:paraId="59DFBC5D" w14:textId="77777777" w:rsidR="00737A48" w:rsidRDefault="00737A48" w:rsidP="00737A48">
            <w:pPr>
              <w:pStyle w:val="Bullet"/>
              <w:spacing w:line="259" w:lineRule="auto"/>
            </w:pPr>
            <w:r>
              <w:lastRenderedPageBreak/>
              <w:t xml:space="preserve">Policy and Standard Setting </w:t>
            </w:r>
          </w:p>
          <w:p w14:paraId="774A1B04" w14:textId="77777777" w:rsidR="00737A48" w:rsidRDefault="00737A48" w:rsidP="00737A48">
            <w:pPr>
              <w:pStyle w:val="Bullet"/>
              <w:spacing w:line="259" w:lineRule="auto"/>
            </w:pPr>
            <w:r>
              <w:t xml:space="preserve">Enforcement </w:t>
            </w:r>
          </w:p>
          <w:p w14:paraId="70FB637C" w14:textId="77777777" w:rsidR="00737A48" w:rsidRDefault="00737A48" w:rsidP="00737A48">
            <w:pPr>
              <w:pStyle w:val="Bullet"/>
              <w:spacing w:line="259" w:lineRule="auto"/>
            </w:pPr>
            <w:r>
              <w:t>Consumer Information and Education</w:t>
            </w:r>
          </w:p>
          <w:p w14:paraId="77246FC6" w14:textId="77777777" w:rsidR="00737A48" w:rsidRDefault="00737A48" w:rsidP="00737A48">
            <w:pPr>
              <w:pStyle w:val="Bullet"/>
              <w:spacing w:line="259" w:lineRule="auto"/>
            </w:pPr>
            <w:r>
              <w:t>Government Requirements</w:t>
            </w:r>
          </w:p>
          <w:p w14:paraId="4BE0F624" w14:textId="77777777" w:rsidR="00737A48" w:rsidRDefault="00737A48" w:rsidP="00737A48">
            <w:pPr>
              <w:pStyle w:val="Bullet"/>
              <w:spacing w:line="259" w:lineRule="auto"/>
            </w:pPr>
            <w:r>
              <w:t>Emergency Management Plan</w:t>
            </w:r>
          </w:p>
          <w:p w14:paraId="104F9C9F" w14:textId="77777777" w:rsidR="00737A48" w:rsidRDefault="00737A48" w:rsidP="00737A48">
            <w:pPr>
              <w:pStyle w:val="Bullet"/>
              <w:spacing w:line="259" w:lineRule="auto"/>
            </w:pPr>
            <w:r>
              <w:t>Strategic Planning and Change Management</w:t>
            </w:r>
          </w:p>
          <w:p w14:paraId="5938358F" w14:textId="77777777" w:rsidR="00737A48" w:rsidRDefault="00737A48" w:rsidP="00737A48">
            <w:pPr>
              <w:pStyle w:val="Bullet"/>
              <w:spacing w:line="259" w:lineRule="auto"/>
            </w:pPr>
            <w:r>
              <w:t>Corporate Communications</w:t>
            </w:r>
          </w:p>
          <w:p w14:paraId="5C6B98D2" w14:textId="39782758" w:rsidR="00737A48" w:rsidRDefault="00737A48" w:rsidP="00737A48">
            <w:r>
              <w:t>Activities that could reasonably be funded entirely by industry (</w:t>
            </w:r>
            <w:proofErr w:type="gramStart"/>
            <w:r w:rsidR="002F4E8F">
              <w:t>i.e.</w:t>
            </w:r>
            <w:proofErr w:type="gramEnd"/>
            <w:r>
              <w:t xml:space="preserve"> subject to full cost recovery) include:</w:t>
            </w:r>
          </w:p>
          <w:p w14:paraId="26D2A361" w14:textId="77777777" w:rsidR="00737A48" w:rsidRDefault="00737A48" w:rsidP="00737A48">
            <w:pPr>
              <w:pStyle w:val="Bullet"/>
              <w:spacing w:line="259" w:lineRule="auto"/>
            </w:pPr>
            <w:r>
              <w:t>Certification</w:t>
            </w:r>
          </w:p>
          <w:p w14:paraId="79D29A13" w14:textId="54A5D224" w:rsidR="00737A48" w:rsidRDefault="00737A48" w:rsidP="00737A48">
            <w:pPr>
              <w:pStyle w:val="Bullet"/>
              <w:spacing w:line="259" w:lineRule="auto"/>
            </w:pPr>
            <w:r>
              <w:t>Environmental Monitoring (routine operational only</w:t>
            </w:r>
            <w:r w:rsidR="009276E3">
              <w:t>)</w:t>
            </w:r>
          </w:p>
          <w:p w14:paraId="1F6DC2F1" w14:textId="77777777" w:rsidR="00737A48" w:rsidRDefault="00737A48" w:rsidP="00737A48">
            <w:pPr>
              <w:pStyle w:val="Bullet"/>
              <w:spacing w:line="259" w:lineRule="auto"/>
            </w:pPr>
            <w:r>
              <w:t>System Testing</w:t>
            </w:r>
          </w:p>
          <w:p w14:paraId="50DC4ABA" w14:textId="77777777" w:rsidR="00737A48" w:rsidRDefault="00737A48" w:rsidP="00737A48">
            <w:pPr>
              <w:pStyle w:val="Bullet"/>
              <w:spacing w:line="259" w:lineRule="auto"/>
            </w:pPr>
            <w:r>
              <w:t>Licensing</w:t>
            </w:r>
          </w:p>
          <w:p w14:paraId="2E2B9DBC" w14:textId="77777777" w:rsidR="00737A48" w:rsidRDefault="00737A48" w:rsidP="00737A48">
            <w:pPr>
              <w:pStyle w:val="Bullet"/>
              <w:spacing w:line="259" w:lineRule="auto"/>
              <w:rPr>
                <w:color w:val="auto"/>
              </w:rPr>
            </w:pPr>
            <w:r>
              <w:t>Industry Advice and Training</w:t>
            </w:r>
          </w:p>
          <w:p w14:paraId="5A4EF8CE" w14:textId="518A2E83" w:rsidR="00737A48" w:rsidRDefault="00737A48" w:rsidP="009276E3">
            <w:pPr>
              <w:pStyle w:val="Bullet"/>
              <w:numPr>
                <w:ilvl w:val="0"/>
                <w:numId w:val="0"/>
              </w:numPr>
              <w:spacing w:line="259" w:lineRule="auto"/>
              <w:rPr>
                <w:color w:val="auto"/>
              </w:rPr>
            </w:pPr>
            <w:r>
              <w:t>Overhead costs that could be jointly funded government and industry (</w:t>
            </w:r>
            <w:proofErr w:type="gramStart"/>
            <w:r w:rsidR="002F4E8F">
              <w:t>e.g.</w:t>
            </w:r>
            <w:proofErr w:type="gramEnd"/>
            <w:r>
              <w:t xml:space="preserve"> through partial cost recovery) include </w:t>
            </w:r>
          </w:p>
          <w:p w14:paraId="22ABE9EE" w14:textId="77777777" w:rsidR="00737A48" w:rsidRDefault="00737A48" w:rsidP="00737A48">
            <w:pPr>
              <w:pStyle w:val="Bullet"/>
              <w:spacing w:line="259" w:lineRule="auto"/>
            </w:pPr>
            <w:r>
              <w:t>General Management</w:t>
            </w:r>
          </w:p>
          <w:p w14:paraId="383A02F0" w14:textId="77777777" w:rsidR="00737A48" w:rsidRDefault="00737A48" w:rsidP="00737A48">
            <w:pPr>
              <w:pStyle w:val="Bullet"/>
              <w:spacing w:line="259" w:lineRule="auto"/>
            </w:pPr>
            <w:r>
              <w:t>Corporate Services</w:t>
            </w:r>
          </w:p>
          <w:p w14:paraId="324B703E" w14:textId="6E5EE308" w:rsidR="00737A48" w:rsidRPr="00805DA8" w:rsidRDefault="00737A48" w:rsidP="00805DA8">
            <w:pPr>
              <w:pStyle w:val="Bullet"/>
              <w:spacing w:line="259" w:lineRule="auto"/>
            </w:pPr>
            <w:r>
              <w:t>Staff Training (both Professional Development and Operational Training and Accreditation).</w:t>
            </w:r>
          </w:p>
        </w:tc>
      </w:tr>
    </w:tbl>
    <w:p w14:paraId="7C7B73F6" w14:textId="77777777" w:rsidR="00737A48" w:rsidRDefault="00737A48" w:rsidP="00923BE4"/>
    <w:p w14:paraId="2512BCA7" w14:textId="77777777" w:rsidR="00923BE4" w:rsidRDefault="00923BE4" w:rsidP="00923BE4">
      <w:r>
        <w:t xml:space="preserve">Several options for cost recovery from industry are outlined below. </w:t>
      </w:r>
    </w:p>
    <w:p w14:paraId="5ADC0CF6" w14:textId="75D4DF99" w:rsidR="00923BE4" w:rsidRPr="00AA1479" w:rsidRDefault="00C55194" w:rsidP="00923BE4">
      <w:pPr>
        <w:pStyle w:val="Heading5"/>
      </w:pPr>
      <w:r>
        <w:t>An i</w:t>
      </w:r>
      <w:r w:rsidR="00923BE4" w:rsidRPr="00E77C5D">
        <w:t xml:space="preserve">ndustry-wide levy </w:t>
      </w:r>
      <w:r>
        <w:t xml:space="preserve">could be </w:t>
      </w:r>
      <w:proofErr w:type="gramStart"/>
      <w:r>
        <w:t>implemented</w:t>
      </w:r>
      <w:proofErr w:type="gramEnd"/>
    </w:p>
    <w:p w14:paraId="63C12E33" w14:textId="77777777" w:rsidR="00AF0632" w:rsidRPr="00AF0632" w:rsidRDefault="00AF0632" w:rsidP="00B718C5">
      <w:pPr>
        <w:rPr>
          <w:rFonts w:ascii="Arial" w:hAnsi="Arial" w:cs="Arial"/>
        </w:rPr>
      </w:pPr>
      <w:r w:rsidRPr="00AF0632">
        <w:rPr>
          <w:rStyle w:val="cf01"/>
          <w:sz w:val="19"/>
          <w:szCs w:val="19"/>
        </w:rPr>
        <w:t xml:space="preserve">A levy could be placed on select food businesses to support the ongoing work of FSANZ, such as the largest 5,000 food businesses in Australia (or those generating over a certain threshold of revenue per year). This could be appropriate as standard-setting and other activities contribute to maintaining high standards of food safety and quality, reputation of the Australian and New Zealand food system and marketability of food products through a combination of rigorous pre-approvals and post-market support such as surveillance and food recall coordination. </w:t>
      </w:r>
    </w:p>
    <w:p w14:paraId="0516351F" w14:textId="77777777" w:rsidR="00AF0632" w:rsidRPr="00AF0632" w:rsidRDefault="00AF0632" w:rsidP="00B718C5">
      <w:pPr>
        <w:rPr>
          <w:rFonts w:ascii="Arial" w:hAnsi="Arial" w:cs="Arial"/>
        </w:rPr>
      </w:pPr>
      <w:r w:rsidRPr="00AF0632">
        <w:rPr>
          <w:rStyle w:val="cf01"/>
          <w:sz w:val="19"/>
          <w:szCs w:val="19"/>
        </w:rPr>
        <w:t xml:space="preserve">Activities that an industry levy could support which would have direct industry-wide benefits include the production of guidance materials to assist with compliance, international harmonisation work to adopt and align with international standards expanding trade opportunities, contribute to supporting more timely consideration of standard reviews, enhanced monitoring of the food supply to identify trends and reporting on the state of the food supply. A levy could also support FSANZ to enhance and streamline its delivery of services to the industry, allowing it to undertake projects such as making the Food Standards Code more user friendly and accessible. </w:t>
      </w:r>
    </w:p>
    <w:p w14:paraId="40008A87" w14:textId="78BA8764" w:rsidR="00AF0632" w:rsidRDefault="00AF0632" w:rsidP="00B718C5">
      <w:pPr>
        <w:rPr>
          <w:rStyle w:val="cf01"/>
          <w:sz w:val="19"/>
          <w:szCs w:val="19"/>
        </w:rPr>
      </w:pPr>
      <w:r w:rsidRPr="00AF0632">
        <w:rPr>
          <w:rStyle w:val="cf01"/>
          <w:sz w:val="19"/>
          <w:szCs w:val="19"/>
        </w:rPr>
        <w:t xml:space="preserve">Should such a levy be implemented, </w:t>
      </w:r>
      <w:r w:rsidR="00B63384">
        <w:rPr>
          <w:rStyle w:val="cf01"/>
          <w:sz w:val="19"/>
          <w:szCs w:val="19"/>
        </w:rPr>
        <w:t>FSANZ’</w:t>
      </w:r>
      <w:r w:rsidR="00855ACF">
        <w:rPr>
          <w:rStyle w:val="cf01"/>
          <w:sz w:val="19"/>
          <w:szCs w:val="19"/>
        </w:rPr>
        <w:t>s</w:t>
      </w:r>
      <w:r w:rsidRPr="00AF0632">
        <w:rPr>
          <w:rStyle w:val="cf01"/>
          <w:sz w:val="19"/>
          <w:szCs w:val="19"/>
        </w:rPr>
        <w:t xml:space="preserve"> existing (and any additional industry cost recovery mechanisms proposed below) industry cost recovery mechanisms – namely, the cost to expedite applications or to capture an exclusive commercial benefit – could be discontinued.</w:t>
      </w:r>
    </w:p>
    <w:p w14:paraId="58421C88" w14:textId="0418A276" w:rsidR="00EF2917" w:rsidRPr="00AF0632" w:rsidRDefault="00EF2917" w:rsidP="00EF2917">
      <w:pPr>
        <w:pStyle w:val="Caption"/>
        <w:rPr>
          <w:rFonts w:ascii="Arial" w:hAnsi="Arial" w:cs="Arial"/>
          <w:szCs w:val="19"/>
        </w:rPr>
      </w:pPr>
      <w:bookmarkStart w:id="58" w:name="_Ref153301449"/>
      <w:r>
        <w:lastRenderedPageBreak/>
        <w:t xml:space="preserve">Table </w:t>
      </w:r>
      <w:r>
        <w:fldChar w:fldCharType="begin"/>
      </w:r>
      <w:r>
        <w:instrText xml:space="preserve"> SEQ Table \* ARABIC </w:instrText>
      </w:r>
      <w:r>
        <w:fldChar w:fldCharType="separate"/>
      </w:r>
      <w:r w:rsidR="003F7B92">
        <w:rPr>
          <w:noProof/>
        </w:rPr>
        <w:t>11</w:t>
      </w:r>
      <w:r>
        <w:fldChar w:fldCharType="end"/>
      </w:r>
      <w:bookmarkEnd w:id="58"/>
      <w:r>
        <w:t xml:space="preserve"> | </w:t>
      </w:r>
      <w:r w:rsidRPr="00D44FEB">
        <w:t>Case study: The Australian Grape and Wine Authority (AGWA) Wine Grapes Levy</w:t>
      </w:r>
    </w:p>
    <w:tbl>
      <w:tblPr>
        <w:tblStyle w:val="TableGrid"/>
        <w:tblW w:w="0" w:type="auto"/>
        <w:tblLook w:val="0680" w:firstRow="0" w:lastRow="0" w:firstColumn="1" w:lastColumn="0" w:noHBand="1" w:noVBand="1"/>
      </w:tblPr>
      <w:tblGrid>
        <w:gridCol w:w="8907"/>
      </w:tblGrid>
      <w:tr w:rsidR="001E629C" w14:paraId="5CEDB932" w14:textId="77777777">
        <w:tc>
          <w:tcPr>
            <w:tcW w:w="8930" w:type="dxa"/>
            <w:tcBorders>
              <w:left w:val="single" w:sz="18" w:space="0" w:color="F8981D" w:themeColor="accent3"/>
            </w:tcBorders>
            <w:shd w:val="clear" w:color="auto" w:fill="E6E6E1" w:themeFill="accent5"/>
          </w:tcPr>
          <w:p w14:paraId="41E3D84C" w14:textId="1E3816CF" w:rsidR="001E629C" w:rsidRPr="00206ACA" w:rsidRDefault="00A17CF5" w:rsidP="007F4F3B">
            <w:pPr>
              <w:pStyle w:val="Bullet"/>
              <w:numPr>
                <w:ilvl w:val="0"/>
                <w:numId w:val="0"/>
              </w:numPr>
            </w:pPr>
            <w:r w:rsidRPr="00A17CF5">
              <w:t xml:space="preserve">The Australian Grape and Wine Authority collects levies to support the wine grape industry in Australia. </w:t>
            </w:r>
            <w:r w:rsidR="00190C74" w:rsidRPr="00A17CF5">
              <w:t>The Australian Grape and Wine Authority</w:t>
            </w:r>
            <w:r w:rsidRPr="00A17CF5">
              <w:t xml:space="preserve"> levy is set at $5 per tonne of wine grapes harvested by </w:t>
            </w:r>
            <w:r w:rsidR="00790177">
              <w:t xml:space="preserve">all </w:t>
            </w:r>
            <w:r w:rsidRPr="00A17CF5">
              <w:t xml:space="preserve">eligible growers. The levy is charged at the point of sale of wine grapes, typically due annually. Funds collected through the AGWA levy support activities such as research, marketing, quality control, and initiatives aimed at improving the health and sustainability of the industry. This levy has had a positive impact on the wine grape industry, enabling the funding of research and marketing campaigns, resulting in improved grape quality, greater market access, and increased international competitiveness. </w:t>
            </w:r>
          </w:p>
        </w:tc>
      </w:tr>
    </w:tbl>
    <w:p w14:paraId="4CD7B134" w14:textId="77777777" w:rsidR="001E629C" w:rsidRDefault="001E629C" w:rsidP="00923BE4"/>
    <w:p w14:paraId="79E5C4C5" w14:textId="3A6D086C" w:rsidR="00923BE4" w:rsidRPr="00286BF1" w:rsidRDefault="00C55194" w:rsidP="00923BE4">
      <w:pPr>
        <w:pStyle w:val="Heading5"/>
      </w:pPr>
      <w:r>
        <w:t>C</w:t>
      </w:r>
      <w:r w:rsidR="00923BE4" w:rsidRPr="00E77C5D">
        <w:t xml:space="preserve">ompulsory </w:t>
      </w:r>
      <w:r w:rsidR="00923BE4">
        <w:t>f</w:t>
      </w:r>
      <w:r w:rsidR="00923BE4" w:rsidRPr="00E77C5D">
        <w:t xml:space="preserve">ees </w:t>
      </w:r>
      <w:r>
        <w:t>could apply to</w:t>
      </w:r>
      <w:r w:rsidR="00923BE4" w:rsidRPr="00E77C5D">
        <w:t xml:space="preserve"> all </w:t>
      </w:r>
      <w:proofErr w:type="gramStart"/>
      <w:r w:rsidR="00923BE4" w:rsidRPr="00E77C5D">
        <w:t>applications</w:t>
      </w:r>
      <w:proofErr w:type="gramEnd"/>
      <w:r w:rsidR="00923BE4" w:rsidRPr="00E77C5D">
        <w:t xml:space="preserve"> </w:t>
      </w:r>
    </w:p>
    <w:p w14:paraId="7EBAC47B" w14:textId="17AD7EB2" w:rsidR="00923BE4" w:rsidRDefault="00923BE4" w:rsidP="00923BE4">
      <w:pPr>
        <w:rPr>
          <w:lang w:eastAsia="en-AU"/>
        </w:rPr>
      </w:pPr>
      <w:r>
        <w:rPr>
          <w:lang w:eastAsia="en-AU"/>
        </w:rPr>
        <w:t xml:space="preserve">A change could be made to the Act to make all applications subject to cost-recovery. Currently, FSANZ accepts both unpaid and paid (expedited) applications from industry to make changes to the food standards. A change in this approach could provide for an increase in cost recovered revenue without necessitating significant operational changes for FSANZ. </w:t>
      </w:r>
      <w:r w:rsidRPr="003C6CAF">
        <w:rPr>
          <w:lang w:eastAsia="en-AU"/>
        </w:rPr>
        <w:t>Applicants</w:t>
      </w:r>
      <w:r w:rsidRPr="003C6CAF" w:rsidDel="006E5122">
        <w:rPr>
          <w:lang w:eastAsia="en-AU"/>
        </w:rPr>
        <w:t xml:space="preserve"> </w:t>
      </w:r>
      <w:r w:rsidR="006E5122">
        <w:rPr>
          <w:lang w:eastAsia="en-AU"/>
        </w:rPr>
        <w:t>could</w:t>
      </w:r>
      <w:r w:rsidR="006E5122" w:rsidRPr="003C6CAF">
        <w:rPr>
          <w:lang w:eastAsia="en-AU"/>
        </w:rPr>
        <w:t xml:space="preserve"> </w:t>
      </w:r>
      <w:r w:rsidRPr="003C6CAF">
        <w:rPr>
          <w:lang w:eastAsia="en-AU"/>
        </w:rPr>
        <w:t xml:space="preserve">still </w:t>
      </w:r>
      <w:proofErr w:type="gramStart"/>
      <w:r w:rsidRPr="003C6CAF">
        <w:rPr>
          <w:lang w:eastAsia="en-AU"/>
        </w:rPr>
        <w:t>have the opportunity to</w:t>
      </w:r>
      <w:proofErr w:type="gramEnd"/>
      <w:r w:rsidRPr="003C6CAF">
        <w:rPr>
          <w:lang w:eastAsia="en-AU"/>
        </w:rPr>
        <w:t xml:space="preserve"> pay for their applications to be expedited</w:t>
      </w:r>
      <w:r>
        <w:rPr>
          <w:lang w:eastAsia="en-AU"/>
        </w:rPr>
        <w:t>,</w:t>
      </w:r>
      <w:r w:rsidRPr="003C6CAF">
        <w:rPr>
          <w:lang w:eastAsia="en-AU"/>
        </w:rPr>
        <w:t xml:space="preserve"> in addition to the baseline fee.</w:t>
      </w:r>
      <w:r>
        <w:rPr>
          <w:lang w:eastAsia="en-AU"/>
        </w:rPr>
        <w:t xml:space="preserve"> </w:t>
      </w:r>
      <w:r w:rsidR="00490BAC">
        <w:rPr>
          <w:lang w:eastAsia="en-AU"/>
        </w:rPr>
        <w:t xml:space="preserve">This fee could </w:t>
      </w:r>
      <w:r w:rsidR="00403474">
        <w:rPr>
          <w:lang w:eastAsia="en-AU"/>
        </w:rPr>
        <w:t>be</w:t>
      </w:r>
      <w:r w:rsidR="00490BAC">
        <w:rPr>
          <w:lang w:eastAsia="en-AU"/>
        </w:rPr>
        <w:t xml:space="preserve"> scale</w:t>
      </w:r>
      <w:r w:rsidR="00F223B6">
        <w:rPr>
          <w:lang w:eastAsia="en-AU"/>
        </w:rPr>
        <w:t>d</w:t>
      </w:r>
      <w:r w:rsidR="00490BAC">
        <w:rPr>
          <w:lang w:eastAsia="en-AU"/>
        </w:rPr>
        <w:t xml:space="preserve"> based on the estimated labour required to assess proposals, using the scale included in Part 4 of the regulations. </w:t>
      </w:r>
    </w:p>
    <w:p w14:paraId="3628A91E" w14:textId="7A22295A" w:rsidR="00805BCC" w:rsidRDefault="0074743A" w:rsidP="00805BCC">
      <w:pPr>
        <w:spacing w:after="0"/>
        <w:rPr>
          <w:lang w:eastAsia="en-AU"/>
        </w:rPr>
      </w:pPr>
      <w:r w:rsidRPr="0074743A">
        <w:t>FSANZ could carry out other entrepreneurial activities.</w:t>
      </w:r>
      <w:r w:rsidR="00A57F65">
        <w:t xml:space="preserve"> </w:t>
      </w:r>
      <w:r w:rsidR="00805BCC">
        <w:rPr>
          <w:lang w:eastAsia="en-AU"/>
        </w:rPr>
        <w:t xml:space="preserve">Section 13(1)(o) provides for FSANZ to make available its knowledge, expertise, equipment, </w:t>
      </w:r>
      <w:proofErr w:type="gramStart"/>
      <w:r w:rsidR="00805BCC">
        <w:rPr>
          <w:lang w:eastAsia="en-AU"/>
        </w:rPr>
        <w:t>facilities</w:t>
      </w:r>
      <w:proofErr w:type="gramEnd"/>
      <w:r w:rsidR="00805BCC">
        <w:rPr>
          <w:lang w:eastAsia="en-AU"/>
        </w:rPr>
        <w:t xml:space="preserve"> and intellectual property to other persons on a commercial basis. FSANZ could expand its activities under this remit, for example, by providing user-pays training for industry stakeholders in Australia and New Zealand to navigate and comply with the Code (a service which industry stakeholders currently procure from consultants in some cases). </w:t>
      </w:r>
    </w:p>
    <w:p w14:paraId="6B86F856" w14:textId="77777777" w:rsidR="00173501" w:rsidRDefault="00173501" w:rsidP="00805BCC">
      <w:pPr>
        <w:spacing w:after="0"/>
        <w:rPr>
          <w:lang w:eastAsia="en-AU"/>
        </w:rPr>
      </w:pPr>
    </w:p>
    <w:p w14:paraId="3E844519" w14:textId="0FC41B9B" w:rsidR="00923BE4" w:rsidRDefault="00EA1F80" w:rsidP="00923BE4">
      <w:pPr>
        <w:pStyle w:val="Heading4"/>
      </w:pPr>
      <w:r>
        <w:t xml:space="preserve">Component 2.3.4 | </w:t>
      </w:r>
      <w:r w:rsidR="00923BE4">
        <w:t xml:space="preserve">Some services could also be cost recovered from government </w:t>
      </w:r>
      <w:proofErr w:type="gramStart"/>
      <w:r w:rsidR="00923BE4">
        <w:t>agencies</w:t>
      </w:r>
      <w:proofErr w:type="gramEnd"/>
    </w:p>
    <w:tbl>
      <w:tblPr>
        <w:tblStyle w:val="TableGrid"/>
        <w:tblW w:w="0" w:type="auto"/>
        <w:tblLook w:val="04A0" w:firstRow="1" w:lastRow="0" w:firstColumn="1" w:lastColumn="0" w:noHBand="0" w:noVBand="1"/>
      </w:tblPr>
      <w:tblGrid>
        <w:gridCol w:w="8930"/>
      </w:tblGrid>
      <w:tr w:rsidR="0089006F" w14:paraId="740979CF"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10FD6BFF" w14:textId="77777777" w:rsidR="002D223E" w:rsidRPr="007F7722" w:rsidRDefault="002D223E" w:rsidP="002D223E">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7C037375" w14:textId="48D80C06" w:rsidR="00291831" w:rsidRPr="00F2374C" w:rsidRDefault="00291831">
            <w:pPr>
              <w:pStyle w:val="Bullet"/>
              <w:spacing w:line="259" w:lineRule="auto"/>
            </w:pPr>
            <w:r>
              <w:t xml:space="preserve">Problem 3.2 | </w:t>
            </w:r>
            <w:r w:rsidRPr="00D5503D">
              <w:t>Long-term decreases in funding ha</w:t>
            </w:r>
            <w:r w:rsidR="009933EB">
              <w:t>ve</w:t>
            </w:r>
            <w:r w:rsidRPr="00D5503D">
              <w:t xml:space="preserve"> created significant resourcing pressure and is forcing FSANZ to focus on only a subset of its statutory functions</w:t>
            </w:r>
          </w:p>
        </w:tc>
      </w:tr>
    </w:tbl>
    <w:p w14:paraId="35087D74" w14:textId="7C97F9C7" w:rsidR="00291831" w:rsidRPr="00D33D69" w:rsidRDefault="00291831" w:rsidP="007F7722"/>
    <w:p w14:paraId="735B9397" w14:textId="2567FD3E" w:rsidR="00923BE4" w:rsidRPr="009A5EB6" w:rsidRDefault="00923BE4" w:rsidP="0025127C">
      <w:pPr>
        <w:spacing w:line="240" w:lineRule="auto"/>
        <w:rPr>
          <w:lang w:eastAsia="en-AU"/>
        </w:rPr>
      </w:pPr>
      <w:r>
        <w:rPr>
          <w:lang w:eastAsia="en-AU"/>
        </w:rPr>
        <w:t xml:space="preserve">Australian states and territories currently do not contribute to </w:t>
      </w:r>
      <w:r w:rsidR="004E4D63">
        <w:rPr>
          <w:lang w:eastAsia="en-AU"/>
        </w:rPr>
        <w:t>FSANZ’</w:t>
      </w:r>
      <w:r w:rsidR="00855ACF">
        <w:rPr>
          <w:lang w:eastAsia="en-AU"/>
        </w:rPr>
        <w:t>s</w:t>
      </w:r>
      <w:r>
        <w:rPr>
          <w:lang w:eastAsia="en-AU"/>
        </w:rPr>
        <w:t xml:space="preserve"> substantive funding. New cost recovery activities could see some fees charged to states and territories, as well as the Australian Government and New Zealand Government. </w:t>
      </w:r>
    </w:p>
    <w:p w14:paraId="1B39FAF3" w14:textId="6B485F04" w:rsidR="00923BE4" w:rsidRPr="0043509B" w:rsidRDefault="00C55194" w:rsidP="00923BE4">
      <w:pPr>
        <w:pStyle w:val="Heading5"/>
      </w:pPr>
      <w:r>
        <w:t xml:space="preserve">A </w:t>
      </w:r>
      <w:r w:rsidR="00923BE4" w:rsidRPr="0043509B">
        <w:t xml:space="preserve">Food Recall Coordination Levy </w:t>
      </w:r>
      <w:r>
        <w:t>could be imposed</w:t>
      </w:r>
      <w:r w:rsidR="0074743A">
        <w:t xml:space="preserve"> </w:t>
      </w:r>
      <w:r w:rsidR="0074743A" w:rsidRPr="00B718C5">
        <w:rPr>
          <w:i/>
          <w:iCs/>
        </w:rPr>
        <w:t>(Australia Only)</w:t>
      </w:r>
      <w:r w:rsidR="0074743A">
        <w:t xml:space="preserve"> </w:t>
      </w:r>
    </w:p>
    <w:p w14:paraId="1A5CEFC1" w14:textId="065DAF53" w:rsidR="00923BE4" w:rsidRDefault="00923BE4" w:rsidP="00923BE4">
      <w:pPr>
        <w:rPr>
          <w:lang w:eastAsia="en-AU"/>
        </w:rPr>
      </w:pPr>
      <w:r>
        <w:rPr>
          <w:lang w:eastAsia="en-AU"/>
        </w:rPr>
        <w:t xml:space="preserve">FSANZ currently works with the jurisdictional enforcement agencies </w:t>
      </w:r>
      <w:r w:rsidR="00830B08">
        <w:rPr>
          <w:lang w:eastAsia="en-AU"/>
        </w:rPr>
        <w:t xml:space="preserve">in Australia </w:t>
      </w:r>
      <w:r>
        <w:rPr>
          <w:lang w:eastAsia="en-AU"/>
        </w:rPr>
        <w:t xml:space="preserve">to coordinate an average of 90 recalls per year, primarily to address undeclared allergens and microbial contamination. This incurs an average annual cost to FSANZ of $1,190,000. </w:t>
      </w:r>
    </w:p>
    <w:p w14:paraId="060B67F2" w14:textId="4BD03063" w:rsidR="005C0551" w:rsidRDefault="00A60CF3" w:rsidP="00923BE4">
      <w:pPr>
        <w:rPr>
          <w:lang w:eastAsia="en-AU"/>
        </w:rPr>
      </w:pPr>
      <w:r>
        <w:rPr>
          <w:lang w:eastAsia="en-AU"/>
        </w:rPr>
        <w:t xml:space="preserve">FSANZ could charge Australian States and Territories a levy, based on the number of food businesses or the average number of food recalls that are required in that jurisdiction. </w:t>
      </w:r>
    </w:p>
    <w:p w14:paraId="7A6690C8" w14:textId="4E61A775" w:rsidR="00923BE4" w:rsidRDefault="00923BE4" w:rsidP="004E4D63">
      <w:pPr>
        <w:pStyle w:val="Heading5"/>
        <w:spacing w:line="360" w:lineRule="auto"/>
      </w:pPr>
      <w:r>
        <w:t>Jurisdictions could be charged a fee to add</w:t>
      </w:r>
      <w:r w:rsidRPr="0043509B">
        <w:t xml:space="preserve"> additional</w:t>
      </w:r>
      <w:r>
        <w:t xml:space="preserve"> proposal work to </w:t>
      </w:r>
      <w:r w:rsidR="004E4D63">
        <w:t>FSANZ’</w:t>
      </w:r>
      <w:r w:rsidR="00855ACF">
        <w:t>s</w:t>
      </w:r>
      <w:r>
        <w:t xml:space="preserve"> </w:t>
      </w:r>
      <w:proofErr w:type="gramStart"/>
      <w:r>
        <w:t>workplan</w:t>
      </w:r>
      <w:proofErr w:type="gramEnd"/>
      <w:r>
        <w:t xml:space="preserve"> </w:t>
      </w:r>
    </w:p>
    <w:p w14:paraId="4BCD4869" w14:textId="0AEE7C59" w:rsidR="00923BE4" w:rsidRDefault="00923BE4" w:rsidP="007E50C7">
      <w:pPr>
        <w:spacing w:line="240" w:lineRule="auto"/>
      </w:pPr>
      <w:r w:rsidRPr="00CD0638">
        <w:t xml:space="preserve">FSANZ </w:t>
      </w:r>
      <w:r>
        <w:t xml:space="preserve">could implement a </w:t>
      </w:r>
      <w:r w:rsidRPr="00CD0638">
        <w:t xml:space="preserve">cost recovery mechanism for </w:t>
      </w:r>
      <w:r>
        <w:t xml:space="preserve">the FMM to request additional proposals added to </w:t>
      </w:r>
      <w:r w:rsidR="004E4D63">
        <w:t>FSANZ’</w:t>
      </w:r>
      <w:r w:rsidR="00855ACF">
        <w:t>s</w:t>
      </w:r>
      <w:r>
        <w:t xml:space="preserve"> workplan, where these exceed the number that can be normally absorbed and agreed in the joint agenda-setting activities proposed in Component 2.4 in </w:t>
      </w:r>
      <w:r w:rsidR="00B62604">
        <w:t>Section</w:t>
      </w:r>
      <w:r>
        <w:t xml:space="preserve"> </w:t>
      </w:r>
      <w:r>
        <w:fldChar w:fldCharType="begin"/>
      </w:r>
      <w:r>
        <w:instrText xml:space="preserve"> REF _Ref142053418 \r \h </w:instrText>
      </w:r>
      <w:r w:rsidR="007E50C7">
        <w:instrText xml:space="preserve"> \* MERGEFORMAT </w:instrText>
      </w:r>
      <w:r>
        <w:fldChar w:fldCharType="separate"/>
      </w:r>
      <w:r w:rsidR="003F7B92">
        <w:t>5.2.4</w:t>
      </w:r>
      <w:r>
        <w:fldChar w:fldCharType="end"/>
      </w:r>
      <w:r>
        <w:t xml:space="preserve">.  </w:t>
      </w:r>
    </w:p>
    <w:p w14:paraId="43AB7B43" w14:textId="36CC7B73" w:rsidR="00C27BAC" w:rsidRDefault="00C27BAC" w:rsidP="00C27BAC">
      <w:r>
        <w:lastRenderedPageBreak/>
        <w:t xml:space="preserve">This can support FSANZ to dedicate resources to additional proposals without interrupting other initiatives on its workplan. </w:t>
      </w:r>
    </w:p>
    <w:tbl>
      <w:tblPr>
        <w:tblStyle w:val="TableGrid"/>
        <w:tblW w:w="0" w:type="auto"/>
        <w:tblLook w:val="04A0" w:firstRow="1" w:lastRow="0" w:firstColumn="1" w:lastColumn="0" w:noHBand="0" w:noVBand="1"/>
      </w:tblPr>
      <w:tblGrid>
        <w:gridCol w:w="8907"/>
        <w:gridCol w:w="23"/>
      </w:tblGrid>
      <w:tr w:rsidR="00DF280C" w14:paraId="0C1142A4" w14:textId="77777777" w:rsidTr="00DF280C">
        <w:trPr>
          <w:gridAfter w:val="1"/>
          <w:cnfStyle w:val="100000000000" w:firstRow="1" w:lastRow="0" w:firstColumn="0" w:lastColumn="0" w:oddVBand="0" w:evenVBand="0" w:oddHBand="0" w:evenHBand="0" w:firstRowFirstColumn="0" w:firstRowLastColumn="0" w:lastRowFirstColumn="0" w:lastRowLastColumn="0"/>
          <w:wAfter w:w="23" w:type="dxa"/>
        </w:trPr>
        <w:tc>
          <w:tcPr>
            <w:tcW w:w="8930" w:type="dxa"/>
            <w:shd w:val="clear" w:color="auto" w:fill="00264D" w:themeFill="background2"/>
          </w:tcPr>
          <w:p w14:paraId="6D9519F2" w14:textId="43C1C312" w:rsidR="00DF280C" w:rsidRDefault="00DF280C" w:rsidP="00C27BAC">
            <w:r w:rsidRPr="003D65AB">
              <w:rPr>
                <w:rFonts w:asciiTheme="majorHAnsi" w:hAnsiTheme="majorHAnsi" w:cstheme="majorHAnsi"/>
                <w:color w:val="FFFFFF" w:themeColor="background1"/>
              </w:rPr>
              <w:t>Consultation questions</w:t>
            </w:r>
          </w:p>
        </w:tc>
      </w:tr>
      <w:tr w:rsidR="00DF280C" w14:paraId="771F7419" w14:textId="77777777" w:rsidTr="00DF280C">
        <w:trPr>
          <w:cnfStyle w:val="000000100000" w:firstRow="0" w:lastRow="0" w:firstColumn="0" w:lastColumn="0" w:oddVBand="0" w:evenVBand="0" w:oddHBand="1" w:evenHBand="0" w:firstRowFirstColumn="0" w:firstRowLastColumn="0" w:lastRowFirstColumn="0" w:lastRowLastColumn="0"/>
        </w:trPr>
        <w:tc>
          <w:tcPr>
            <w:tcW w:w="8930" w:type="dxa"/>
            <w:gridSpan w:val="2"/>
          </w:tcPr>
          <w:p w14:paraId="0DA7E2FE" w14:textId="383CD092" w:rsidR="00DF280C" w:rsidRPr="00B466CF" w:rsidRDefault="00DF280C" w:rsidP="00BD2C72">
            <w:pPr>
              <w:pStyle w:val="pf0"/>
              <w:spacing w:before="120" w:beforeAutospacing="0" w:after="120" w:afterAutospacing="0"/>
              <w:rPr>
                <w:rStyle w:val="cf01"/>
                <w:rFonts w:asciiTheme="majorHAnsi" w:hAnsiTheme="majorHAnsi" w:cstheme="majorHAnsi"/>
                <w:color w:val="00264D" w:themeColor="background2"/>
              </w:rPr>
            </w:pPr>
            <w:r w:rsidRPr="00B466CF">
              <w:rPr>
                <w:rStyle w:val="cf01"/>
                <w:rFonts w:asciiTheme="majorHAnsi" w:hAnsiTheme="majorHAnsi" w:cstheme="majorHAnsi"/>
                <w:color w:val="00264D" w:themeColor="background2"/>
              </w:rPr>
              <w:t xml:space="preserve">Component 2.3.1 | Outstanding recommendations from the 2014 review of the FSANZ Board could be </w:t>
            </w:r>
            <w:proofErr w:type="gramStart"/>
            <w:r w:rsidRPr="00B466CF">
              <w:rPr>
                <w:rStyle w:val="cf01"/>
                <w:rFonts w:asciiTheme="majorHAnsi" w:hAnsiTheme="majorHAnsi" w:cstheme="majorHAnsi"/>
                <w:color w:val="00264D" w:themeColor="background2"/>
              </w:rPr>
              <w:t>implemented</w:t>
            </w:r>
            <w:proofErr w:type="gramEnd"/>
          </w:p>
          <w:p w14:paraId="3DBAE490" w14:textId="77777777" w:rsidR="00F663F9" w:rsidRPr="005924E0" w:rsidRDefault="00F663F9" w:rsidP="003D7D1B">
            <w:pPr>
              <w:pStyle w:val="Bullet"/>
              <w:numPr>
                <w:ilvl w:val="0"/>
                <w:numId w:val="63"/>
              </w:numPr>
              <w:rPr>
                <w:color w:val="00264D" w:themeColor="background2"/>
                <w:sz w:val="18"/>
                <w:szCs w:val="18"/>
              </w:rPr>
            </w:pPr>
            <w:r w:rsidRPr="005924E0">
              <w:rPr>
                <w:color w:val="00264D" w:themeColor="background2"/>
                <w:sz w:val="18"/>
                <w:szCs w:val="18"/>
              </w:rPr>
              <w:t xml:space="preserve">Would amending the compositional requirements of the FSANZ Board increase flexibility and reflect contemporary governance processes? </w:t>
            </w:r>
          </w:p>
          <w:p w14:paraId="3FE23BC7" w14:textId="1E125E7D" w:rsidR="00DF280C" w:rsidRPr="00B81618" w:rsidRDefault="00B81618" w:rsidP="003D7D1B">
            <w:pPr>
              <w:pStyle w:val="Bullet"/>
              <w:numPr>
                <w:ilvl w:val="0"/>
                <w:numId w:val="63"/>
              </w:numPr>
              <w:rPr>
                <w:rStyle w:val="cf01"/>
                <w:rFonts w:cs="Times New Roman"/>
                <w:color w:val="00264D" w:themeColor="background2"/>
              </w:rPr>
            </w:pPr>
            <w:r w:rsidRPr="00B81618">
              <w:rPr>
                <w:color w:val="00264D" w:themeColor="background2"/>
                <w:sz w:val="18"/>
                <w:szCs w:val="18"/>
              </w:rPr>
              <w:t xml:space="preserve">Would amending the nomination process for the FSANZ Board to be an open market process increase efficiency and support a better board skill mix? </w:t>
            </w:r>
          </w:p>
          <w:p w14:paraId="7B5DB404" w14:textId="28280D6D" w:rsidR="00DF280C" w:rsidRPr="00B466CF" w:rsidRDefault="00DF280C" w:rsidP="00BD2C72">
            <w:pPr>
              <w:pStyle w:val="pf0"/>
              <w:spacing w:before="120" w:beforeAutospacing="0" w:after="120" w:afterAutospacing="0"/>
              <w:rPr>
                <w:rStyle w:val="cf01"/>
                <w:rFonts w:asciiTheme="majorHAnsi" w:hAnsiTheme="majorHAnsi" w:cstheme="majorHAnsi"/>
                <w:color w:val="00264D" w:themeColor="background2"/>
              </w:rPr>
            </w:pPr>
            <w:r w:rsidRPr="00B466CF">
              <w:rPr>
                <w:rStyle w:val="cf01"/>
                <w:rFonts w:asciiTheme="majorHAnsi" w:hAnsiTheme="majorHAnsi" w:cstheme="majorHAnsi"/>
                <w:color w:val="00264D" w:themeColor="background2"/>
              </w:rPr>
              <w:t xml:space="preserve">Component 2.3.2 | The expedited approvals pathway could be removed to address workload </w:t>
            </w:r>
            <w:proofErr w:type="gramStart"/>
            <w:r w:rsidRPr="00B466CF">
              <w:rPr>
                <w:rStyle w:val="cf01"/>
                <w:rFonts w:asciiTheme="majorHAnsi" w:hAnsiTheme="majorHAnsi" w:cstheme="majorHAnsi"/>
                <w:color w:val="00264D" w:themeColor="background2"/>
              </w:rPr>
              <w:t>prioritisation</w:t>
            </w:r>
            <w:proofErr w:type="gramEnd"/>
          </w:p>
          <w:p w14:paraId="6CDB3440" w14:textId="1BC8A258" w:rsidR="00FE2510" w:rsidRPr="00B466CF" w:rsidRDefault="005F7BD6" w:rsidP="003D7D1B">
            <w:pPr>
              <w:pStyle w:val="pf0"/>
              <w:numPr>
                <w:ilvl w:val="0"/>
                <w:numId w:val="63"/>
              </w:numPr>
              <w:spacing w:before="0" w:beforeAutospacing="0" w:after="0" w:afterAutospacing="0"/>
              <w:rPr>
                <w:rStyle w:val="cf01"/>
                <w:rFonts w:asciiTheme="minorHAnsi" w:hAnsiTheme="minorHAnsi" w:cstheme="minorHAnsi"/>
                <w:color w:val="00264D" w:themeColor="background2"/>
              </w:rPr>
            </w:pPr>
            <w:r w:rsidRPr="00B02E09">
              <w:rPr>
                <w:rFonts w:ascii="Segoe UI" w:hAnsi="Segoe UI"/>
                <w:color w:val="00264D" w:themeColor="background2"/>
                <w:sz w:val="18"/>
                <w:szCs w:val="18"/>
              </w:rPr>
              <w:t xml:space="preserve">What would be expected impact of removing the option for applications to be expedited?   </w:t>
            </w:r>
          </w:p>
          <w:p w14:paraId="042CF962" w14:textId="2397CEAA" w:rsidR="00DF280C" w:rsidRPr="00B466CF" w:rsidRDefault="00DF280C" w:rsidP="00BD2C72">
            <w:pPr>
              <w:pStyle w:val="pf0"/>
              <w:spacing w:before="120" w:beforeAutospacing="0" w:after="120" w:afterAutospacing="0"/>
              <w:rPr>
                <w:rStyle w:val="cf01"/>
                <w:rFonts w:asciiTheme="majorHAnsi" w:hAnsiTheme="majorHAnsi" w:cstheme="majorHAnsi"/>
                <w:color w:val="00264D" w:themeColor="background2"/>
              </w:rPr>
            </w:pPr>
            <w:r w:rsidRPr="00B466CF">
              <w:rPr>
                <w:rStyle w:val="cf01"/>
                <w:rFonts w:asciiTheme="majorHAnsi" w:hAnsiTheme="majorHAnsi" w:cstheme="majorHAnsi"/>
                <w:color w:val="00264D" w:themeColor="background2"/>
              </w:rPr>
              <w:t xml:space="preserve">Component 2.3.3 | To generate more sustainable revenue, cost recovery could be expanded for work that benefits </w:t>
            </w:r>
            <w:proofErr w:type="gramStart"/>
            <w:r w:rsidRPr="00B466CF">
              <w:rPr>
                <w:rStyle w:val="cf01"/>
                <w:rFonts w:asciiTheme="majorHAnsi" w:hAnsiTheme="majorHAnsi" w:cstheme="majorHAnsi"/>
                <w:color w:val="00264D" w:themeColor="background2"/>
              </w:rPr>
              <w:t>industry</w:t>
            </w:r>
            <w:proofErr w:type="gramEnd"/>
          </w:p>
          <w:p w14:paraId="598FBEFB" w14:textId="5BEA9804" w:rsidR="00235BFF" w:rsidRPr="00B02E09" w:rsidRDefault="00235BFF" w:rsidP="003D7D1B">
            <w:pPr>
              <w:pStyle w:val="pf0"/>
              <w:numPr>
                <w:ilvl w:val="0"/>
                <w:numId w:val="63"/>
              </w:numPr>
              <w:spacing w:before="0" w:beforeAutospacing="0" w:after="0" w:afterAutospacing="0"/>
              <w:rPr>
                <w:rStyle w:val="cf01"/>
                <w:color w:val="00264D" w:themeColor="background2"/>
              </w:rPr>
            </w:pPr>
            <w:r w:rsidRPr="00B02E09">
              <w:rPr>
                <w:rStyle w:val="cf01"/>
                <w:color w:val="00264D" w:themeColor="background2"/>
              </w:rPr>
              <w:t>What would be</w:t>
            </w:r>
            <w:r w:rsidR="00512FDB">
              <w:rPr>
                <w:rStyle w:val="cf01"/>
                <w:color w:val="00264D" w:themeColor="background2"/>
              </w:rPr>
              <w:t xml:space="preserve"> the</w:t>
            </w:r>
            <w:r w:rsidRPr="00B02E09">
              <w:rPr>
                <w:rStyle w:val="cf01"/>
                <w:color w:val="00264D" w:themeColor="background2"/>
              </w:rPr>
              <w:t xml:space="preserve"> expected impact of the implementation of an industry-wide levy? </w:t>
            </w:r>
          </w:p>
          <w:p w14:paraId="30F4F566" w14:textId="62604BA1" w:rsidR="00235BFF" w:rsidRPr="00B02E09" w:rsidRDefault="00235BFF" w:rsidP="003D7D1B">
            <w:pPr>
              <w:pStyle w:val="pf0"/>
              <w:numPr>
                <w:ilvl w:val="1"/>
                <w:numId w:val="63"/>
              </w:numPr>
              <w:spacing w:before="0" w:beforeAutospacing="0" w:after="0" w:afterAutospacing="0"/>
              <w:rPr>
                <w:rStyle w:val="cf01"/>
                <w:color w:val="00264D" w:themeColor="background2"/>
              </w:rPr>
            </w:pPr>
            <w:r w:rsidRPr="00B02E09">
              <w:rPr>
                <w:rStyle w:val="cf01"/>
                <w:color w:val="00264D" w:themeColor="background2"/>
              </w:rPr>
              <w:t xml:space="preserve">How could eligibility criteria for a levy be set so that it is fair, </w:t>
            </w:r>
            <w:proofErr w:type="gramStart"/>
            <w:r w:rsidRPr="00B02E09">
              <w:rPr>
                <w:rStyle w:val="cf01"/>
                <w:color w:val="00264D" w:themeColor="background2"/>
              </w:rPr>
              <w:t>consistent</w:t>
            </w:r>
            <w:proofErr w:type="gramEnd"/>
            <w:r w:rsidRPr="00B02E09">
              <w:rPr>
                <w:rStyle w:val="cf01"/>
                <w:color w:val="00264D" w:themeColor="background2"/>
              </w:rPr>
              <w:t xml:space="preserve"> and feasible to administer?  </w:t>
            </w:r>
          </w:p>
          <w:p w14:paraId="40771FFF" w14:textId="488CE607" w:rsidR="00235BFF" w:rsidRPr="00B02E09" w:rsidRDefault="00235BFF" w:rsidP="003D7D1B">
            <w:pPr>
              <w:pStyle w:val="pf0"/>
              <w:numPr>
                <w:ilvl w:val="1"/>
                <w:numId w:val="63"/>
              </w:numPr>
              <w:spacing w:before="0" w:beforeAutospacing="0" w:after="0" w:afterAutospacing="0"/>
              <w:rPr>
                <w:rStyle w:val="cf01"/>
                <w:color w:val="00264D" w:themeColor="background2"/>
              </w:rPr>
            </w:pPr>
            <w:r w:rsidRPr="00B02E09">
              <w:rPr>
                <w:rStyle w:val="cf01"/>
                <w:color w:val="00264D" w:themeColor="background2"/>
              </w:rPr>
              <w:t xml:space="preserve">What do you think could be an acceptable range for a levy rate? Please provide your response in Australian Dollars.  </w:t>
            </w:r>
          </w:p>
          <w:p w14:paraId="35136097" w14:textId="77777777" w:rsidR="00235BFF" w:rsidRPr="00B02E09" w:rsidRDefault="00235BFF" w:rsidP="003D7D1B">
            <w:pPr>
              <w:pStyle w:val="pf0"/>
              <w:numPr>
                <w:ilvl w:val="0"/>
                <w:numId w:val="63"/>
              </w:numPr>
              <w:spacing w:before="0" w:beforeAutospacing="0" w:after="0" w:afterAutospacing="0"/>
              <w:rPr>
                <w:rStyle w:val="cf01"/>
                <w:color w:val="00264D" w:themeColor="background2"/>
              </w:rPr>
            </w:pPr>
            <w:r w:rsidRPr="00B02E09">
              <w:rPr>
                <w:rStyle w:val="cf01"/>
                <w:color w:val="00264D" w:themeColor="background2"/>
              </w:rPr>
              <w:t xml:space="preserve"> What would be the expected impact of compulsory fees for all applications? </w:t>
            </w:r>
          </w:p>
          <w:p w14:paraId="66619193" w14:textId="0CE03639" w:rsidR="00235BFF" w:rsidRPr="00B02E09" w:rsidRDefault="00235BFF" w:rsidP="003D7D1B">
            <w:pPr>
              <w:pStyle w:val="pf0"/>
              <w:numPr>
                <w:ilvl w:val="0"/>
                <w:numId w:val="63"/>
              </w:numPr>
              <w:spacing w:before="0" w:beforeAutospacing="0" w:after="0" w:afterAutospacing="0"/>
              <w:rPr>
                <w:rStyle w:val="cf01"/>
                <w:color w:val="00264D" w:themeColor="background2"/>
              </w:rPr>
            </w:pPr>
            <w:r w:rsidRPr="00B02E09">
              <w:rPr>
                <w:rStyle w:val="cf01"/>
                <w:color w:val="00264D" w:themeColor="background2"/>
              </w:rPr>
              <w:t xml:space="preserve">Are there specific entrepreneurial activities that FSANZ should be considering charging to build up a more sustainable funding base? </w:t>
            </w:r>
          </w:p>
          <w:p w14:paraId="279E139D" w14:textId="77777777" w:rsidR="00235BFF" w:rsidRPr="00B466CF" w:rsidRDefault="00235BFF" w:rsidP="00B02E09">
            <w:pPr>
              <w:pStyle w:val="pf0"/>
              <w:spacing w:before="0" w:beforeAutospacing="0" w:after="0" w:afterAutospacing="0"/>
              <w:rPr>
                <w:rStyle w:val="cf01"/>
                <w:color w:val="00264D" w:themeColor="background2"/>
              </w:rPr>
            </w:pPr>
          </w:p>
          <w:p w14:paraId="41ECD531" w14:textId="129862E0" w:rsidR="000E5CC8" w:rsidRPr="00B466CF" w:rsidRDefault="000E5CC8" w:rsidP="000F784E">
            <w:pPr>
              <w:pStyle w:val="pf0"/>
              <w:spacing w:before="120" w:beforeAutospacing="0" w:after="120" w:afterAutospacing="0"/>
              <w:rPr>
                <w:rStyle w:val="cf01"/>
                <w:rFonts w:asciiTheme="majorHAnsi" w:hAnsiTheme="majorHAnsi" w:cstheme="majorHAnsi"/>
                <w:color w:val="00264D" w:themeColor="background2"/>
              </w:rPr>
            </w:pPr>
            <w:r w:rsidRPr="00B466CF">
              <w:rPr>
                <w:rStyle w:val="cf01"/>
                <w:rFonts w:asciiTheme="majorHAnsi" w:hAnsiTheme="majorHAnsi" w:cstheme="majorHAnsi"/>
                <w:color w:val="00264D" w:themeColor="background2"/>
              </w:rPr>
              <w:t xml:space="preserve">Component 2.3.4 | Some services could also be cost recovered from government </w:t>
            </w:r>
            <w:proofErr w:type="gramStart"/>
            <w:r w:rsidRPr="00B466CF">
              <w:rPr>
                <w:rStyle w:val="cf01"/>
                <w:rFonts w:asciiTheme="majorHAnsi" w:hAnsiTheme="majorHAnsi" w:cstheme="majorHAnsi"/>
                <w:color w:val="00264D" w:themeColor="background2"/>
              </w:rPr>
              <w:t>agencies</w:t>
            </w:r>
            <w:proofErr w:type="gramEnd"/>
          </w:p>
          <w:p w14:paraId="24C5EDA1" w14:textId="77777777" w:rsidR="000F784E" w:rsidRDefault="000E5CC8" w:rsidP="003D7D1B">
            <w:pPr>
              <w:pStyle w:val="pf0"/>
              <w:numPr>
                <w:ilvl w:val="0"/>
                <w:numId w:val="63"/>
              </w:numPr>
              <w:spacing w:before="0" w:beforeAutospacing="0" w:after="0" w:afterAutospacing="0"/>
              <w:rPr>
                <w:rStyle w:val="cf01"/>
                <w:color w:val="00264D" w:themeColor="background2"/>
              </w:rPr>
            </w:pPr>
            <w:r w:rsidRPr="00B466CF">
              <w:rPr>
                <w:rStyle w:val="cf01"/>
                <w:color w:val="00264D" w:themeColor="background2"/>
              </w:rPr>
              <w:t>Would imposing a food recall coordination levy imposition contribute to a more sustainable funding base and support FSANZ to rebalance its workload priorities by addressing resourcing pressures? How so?</w:t>
            </w:r>
          </w:p>
          <w:p w14:paraId="17A7855A" w14:textId="050826D2" w:rsidR="000E5CC8" w:rsidRDefault="000E5CC8" w:rsidP="003D7D1B">
            <w:pPr>
              <w:pStyle w:val="pf0"/>
              <w:numPr>
                <w:ilvl w:val="1"/>
                <w:numId w:val="63"/>
              </w:numPr>
              <w:spacing w:before="0" w:beforeAutospacing="0" w:after="0" w:afterAutospacing="0"/>
              <w:rPr>
                <w:rStyle w:val="cf01"/>
                <w:color w:val="00264D" w:themeColor="background2"/>
              </w:rPr>
            </w:pPr>
            <w:r w:rsidRPr="000F784E">
              <w:rPr>
                <w:rStyle w:val="cf01"/>
                <w:color w:val="00264D" w:themeColor="background2"/>
              </w:rPr>
              <w:t xml:space="preserve">How could eligibility criteria for a levy be set so that it is fair, </w:t>
            </w:r>
            <w:proofErr w:type="gramStart"/>
            <w:r w:rsidRPr="000F784E">
              <w:rPr>
                <w:rStyle w:val="cf01"/>
                <w:color w:val="00264D" w:themeColor="background2"/>
              </w:rPr>
              <w:t>consistent</w:t>
            </w:r>
            <w:proofErr w:type="gramEnd"/>
            <w:r w:rsidRPr="000F784E">
              <w:rPr>
                <w:rStyle w:val="cf01"/>
                <w:color w:val="00264D" w:themeColor="background2"/>
              </w:rPr>
              <w:t xml:space="preserve"> and feasible to administer? </w:t>
            </w:r>
          </w:p>
          <w:p w14:paraId="3884E56A" w14:textId="41D268A1" w:rsidR="008B2705" w:rsidRPr="00B02E09" w:rsidRDefault="00286B44" w:rsidP="003D7D1B">
            <w:pPr>
              <w:pStyle w:val="pf0"/>
              <w:numPr>
                <w:ilvl w:val="0"/>
                <w:numId w:val="63"/>
              </w:numPr>
              <w:spacing w:before="120" w:beforeAutospacing="0" w:after="120" w:afterAutospacing="0"/>
              <w:rPr>
                <w:rStyle w:val="cf01"/>
                <w:rFonts w:asciiTheme="majorHAnsi" w:hAnsiTheme="majorHAnsi" w:cstheme="majorHAnsi"/>
                <w:color w:val="00264D" w:themeColor="background2"/>
              </w:rPr>
            </w:pPr>
            <w:r w:rsidRPr="008B2705">
              <w:rPr>
                <w:rStyle w:val="cf01"/>
                <w:color w:val="00264D" w:themeColor="background2"/>
              </w:rPr>
              <w:t>Would charging juris</w:t>
            </w:r>
            <w:r w:rsidR="00CD29E4" w:rsidRPr="008B2705">
              <w:rPr>
                <w:rStyle w:val="cf01"/>
                <w:color w:val="00264D" w:themeColor="background2"/>
              </w:rPr>
              <w:t>dictions to add additional proposal or project work to FSANZ’</w:t>
            </w:r>
            <w:r w:rsidR="00855ACF" w:rsidRPr="008B2705">
              <w:rPr>
                <w:rStyle w:val="cf01"/>
                <w:color w:val="00264D" w:themeColor="background2"/>
              </w:rPr>
              <w:t>s</w:t>
            </w:r>
            <w:r w:rsidR="00CD29E4" w:rsidRPr="008B2705">
              <w:rPr>
                <w:rStyle w:val="cf01"/>
                <w:color w:val="00264D" w:themeColor="background2"/>
              </w:rPr>
              <w:t xml:space="preserve"> workplan </w:t>
            </w:r>
            <w:r w:rsidR="00CD29E4" w:rsidRPr="008B2705">
              <w:rPr>
                <w:rFonts w:asciiTheme="minorHAnsi" w:hAnsiTheme="minorHAnsi" w:cstheme="minorHAnsi"/>
                <w:color w:val="00264D" w:themeColor="background2"/>
                <w:sz w:val="18"/>
                <w:szCs w:val="18"/>
              </w:rPr>
              <w:t xml:space="preserve">meaningfully support FSANZ to rebalance its workload priorities by addressing resourcing pressures? </w:t>
            </w:r>
            <w:r w:rsidR="00CD29E4" w:rsidRPr="008B2705">
              <w:rPr>
                <w:rStyle w:val="cf01"/>
                <w:rFonts w:asciiTheme="minorHAnsi" w:hAnsiTheme="minorHAnsi" w:cstheme="minorHAnsi"/>
                <w:color w:val="00264D" w:themeColor="background2"/>
              </w:rPr>
              <w:t>How so?</w:t>
            </w:r>
          </w:p>
          <w:p w14:paraId="06ED0CE0" w14:textId="4DA2C0A5" w:rsidR="008B2705" w:rsidRPr="00B02E09" w:rsidRDefault="008B2705" w:rsidP="003D7D1B">
            <w:pPr>
              <w:pStyle w:val="pf0"/>
              <w:numPr>
                <w:ilvl w:val="0"/>
                <w:numId w:val="63"/>
              </w:numPr>
              <w:spacing w:before="0" w:beforeAutospacing="0" w:after="0" w:afterAutospacing="0"/>
              <w:rPr>
                <w:rStyle w:val="cf01"/>
                <w:color w:val="00264D" w:themeColor="background2"/>
              </w:rPr>
            </w:pPr>
            <w:r w:rsidRPr="00B02E09">
              <w:rPr>
                <w:rStyle w:val="cf01"/>
                <w:color w:val="00264D" w:themeColor="background2"/>
              </w:rPr>
              <w:t>What would be the expected impact of imposing a food recall coordination levy on jurisdictions?</w:t>
            </w:r>
          </w:p>
          <w:p w14:paraId="3FE64A29" w14:textId="04CAAAA8" w:rsidR="008B2705" w:rsidRPr="00B02E09" w:rsidRDefault="008B2705" w:rsidP="003D7D1B">
            <w:pPr>
              <w:pStyle w:val="pf0"/>
              <w:numPr>
                <w:ilvl w:val="1"/>
                <w:numId w:val="63"/>
              </w:numPr>
              <w:spacing w:before="0" w:beforeAutospacing="0" w:after="0" w:afterAutospacing="0"/>
              <w:rPr>
                <w:rStyle w:val="cf01"/>
                <w:color w:val="00264D" w:themeColor="background2"/>
              </w:rPr>
            </w:pPr>
            <w:r w:rsidRPr="00B02E09">
              <w:rPr>
                <w:rStyle w:val="cf01"/>
                <w:color w:val="00264D" w:themeColor="background2"/>
              </w:rPr>
              <w:t>How would this need to be implemented to be successful?</w:t>
            </w:r>
          </w:p>
          <w:p w14:paraId="00B7EC20" w14:textId="488E043A" w:rsidR="008B2705" w:rsidRPr="00B02E09" w:rsidRDefault="008B2705" w:rsidP="003D7D1B">
            <w:pPr>
              <w:pStyle w:val="pf0"/>
              <w:numPr>
                <w:ilvl w:val="1"/>
                <w:numId w:val="63"/>
              </w:numPr>
              <w:spacing w:before="0" w:beforeAutospacing="0" w:after="0" w:afterAutospacing="0"/>
              <w:rPr>
                <w:rStyle w:val="cf01"/>
                <w:color w:val="00264D" w:themeColor="background2"/>
              </w:rPr>
            </w:pPr>
            <w:r w:rsidRPr="00B02E09">
              <w:rPr>
                <w:rStyle w:val="cf01"/>
                <w:color w:val="00264D" w:themeColor="background2"/>
              </w:rPr>
              <w:t xml:space="preserve">Would it be better to charge a levy per recall, or an annual levy? </w:t>
            </w:r>
          </w:p>
          <w:p w14:paraId="285ABAFC" w14:textId="77777777" w:rsidR="008B2705" w:rsidRPr="00B02E09" w:rsidRDefault="008B2705" w:rsidP="003D7D1B">
            <w:pPr>
              <w:pStyle w:val="pf0"/>
              <w:numPr>
                <w:ilvl w:val="0"/>
                <w:numId w:val="63"/>
              </w:numPr>
              <w:spacing w:before="0" w:beforeAutospacing="0" w:after="0" w:afterAutospacing="0"/>
              <w:rPr>
                <w:rStyle w:val="cf01"/>
                <w:color w:val="00264D" w:themeColor="background2"/>
              </w:rPr>
            </w:pPr>
            <w:r w:rsidRPr="00B02E09">
              <w:rPr>
                <w:rStyle w:val="cf01"/>
                <w:color w:val="00264D" w:themeColor="background2"/>
              </w:rPr>
              <w:t xml:space="preserve">What would be the expected impact of charging jurisdictions a fee to add additional proposal work to FSANZ’ workplan? </w:t>
            </w:r>
          </w:p>
          <w:p w14:paraId="0F6591D2" w14:textId="032293B5" w:rsidR="008B2705" w:rsidRPr="00B02E09" w:rsidRDefault="008B2705" w:rsidP="003D7D1B">
            <w:pPr>
              <w:pStyle w:val="pf0"/>
              <w:numPr>
                <w:ilvl w:val="1"/>
                <w:numId w:val="63"/>
              </w:numPr>
              <w:spacing w:before="0" w:beforeAutospacing="0" w:after="0" w:afterAutospacing="0"/>
              <w:rPr>
                <w:rStyle w:val="cf01"/>
                <w:color w:val="00264D" w:themeColor="background2"/>
              </w:rPr>
            </w:pPr>
            <w:r w:rsidRPr="00B02E09">
              <w:rPr>
                <w:rStyle w:val="cf01"/>
                <w:color w:val="00264D" w:themeColor="background2"/>
              </w:rPr>
              <w:t xml:space="preserve">How would this need to be implemented to be successful? </w:t>
            </w:r>
          </w:p>
          <w:p w14:paraId="31EEEE5F" w14:textId="5D61E39B" w:rsidR="000E5CC8" w:rsidRPr="008B2705" w:rsidRDefault="000E5CC8" w:rsidP="008B2705">
            <w:pPr>
              <w:pStyle w:val="pf0"/>
              <w:spacing w:before="120" w:beforeAutospacing="0" w:after="120" w:afterAutospacing="0"/>
              <w:rPr>
                <w:rStyle w:val="cf01"/>
                <w:rFonts w:asciiTheme="majorHAnsi" w:hAnsiTheme="majorHAnsi" w:cstheme="majorHAnsi"/>
                <w:color w:val="00264D" w:themeColor="background2"/>
              </w:rPr>
            </w:pPr>
            <w:r w:rsidRPr="008B2705">
              <w:rPr>
                <w:rStyle w:val="cf01"/>
                <w:rFonts w:asciiTheme="majorHAnsi" w:hAnsiTheme="majorHAnsi" w:cstheme="majorHAnsi"/>
                <w:color w:val="00264D" w:themeColor="background2"/>
              </w:rPr>
              <w:t>Other</w:t>
            </w:r>
          </w:p>
          <w:p w14:paraId="0D364C72" w14:textId="30D1860D" w:rsidR="00DF280C" w:rsidRDefault="000E5CC8" w:rsidP="003D7D1B">
            <w:pPr>
              <w:pStyle w:val="pf0"/>
              <w:numPr>
                <w:ilvl w:val="0"/>
                <w:numId w:val="63"/>
              </w:numPr>
              <w:spacing w:before="0" w:beforeAutospacing="0" w:after="0" w:afterAutospacing="0"/>
            </w:pPr>
            <w:r w:rsidRPr="00B466CF">
              <w:rPr>
                <w:rStyle w:val="cf01"/>
                <w:rFonts w:asciiTheme="minorHAnsi" w:hAnsiTheme="minorHAnsi" w:cstheme="minorHAnsi"/>
                <w:color w:val="00264D" w:themeColor="background2"/>
              </w:rPr>
              <w:t>Are there other initiatives that should be considered in this component?</w:t>
            </w:r>
          </w:p>
        </w:tc>
      </w:tr>
    </w:tbl>
    <w:p w14:paraId="7B4D9222" w14:textId="2889B197" w:rsidR="00923BE4" w:rsidRPr="000F784E" w:rsidRDefault="00923BE4" w:rsidP="000F784E">
      <w:pPr>
        <w:pStyle w:val="Heading3"/>
      </w:pPr>
      <w:bookmarkStart w:id="59" w:name="_Ref142053418"/>
      <w:r w:rsidRPr="000F784E">
        <w:t xml:space="preserve">Component 2.4 | Improving system </w:t>
      </w:r>
      <w:proofErr w:type="gramStart"/>
      <w:r w:rsidRPr="000F784E">
        <w:t>agility</w:t>
      </w:r>
      <w:bookmarkEnd w:id="59"/>
      <w:proofErr w:type="gramEnd"/>
    </w:p>
    <w:p w14:paraId="69EC1092" w14:textId="6B30938B" w:rsidR="00923BE4" w:rsidRDefault="00923BE4" w:rsidP="00923BE4">
      <w:pPr>
        <w:rPr>
          <w:lang w:eastAsia="en-AU"/>
        </w:rPr>
      </w:pPr>
      <w:r>
        <w:rPr>
          <w:lang w:eastAsia="en-AU"/>
        </w:rPr>
        <w:t xml:space="preserve">This component aims to make the food regulatory system better integrated, streamlined, and evidence informed. It achieves this through the creation of new collaboration mechanisms and greater data and intelligence analysis and sharing. </w:t>
      </w:r>
    </w:p>
    <w:p w14:paraId="20449260" w14:textId="55DB2DAA" w:rsidR="00923BE4" w:rsidRDefault="00923BE4" w:rsidP="00923BE4">
      <w:pPr>
        <w:rPr>
          <w:lang w:eastAsia="en-AU"/>
        </w:rPr>
      </w:pPr>
      <w:r>
        <w:rPr>
          <w:lang w:eastAsia="en-AU"/>
        </w:rPr>
        <w:lastRenderedPageBreak/>
        <w:t>Several concepts focus on improving the policy/food standard interface, with greater collaboration between FSANZ, the FMM, FRSC and academics that are expert</w:t>
      </w:r>
      <w:r w:rsidR="00003060">
        <w:rPr>
          <w:lang w:eastAsia="en-AU"/>
        </w:rPr>
        <w:t>s</w:t>
      </w:r>
      <w:r>
        <w:rPr>
          <w:lang w:eastAsia="en-AU"/>
        </w:rPr>
        <w:t xml:space="preserve"> in food safety data. These are detailed below. </w:t>
      </w:r>
    </w:p>
    <w:p w14:paraId="01B01E7B" w14:textId="4AB0DE94" w:rsidR="00923BE4" w:rsidRDefault="00EA1F80" w:rsidP="00923BE4">
      <w:pPr>
        <w:pStyle w:val="Heading4"/>
      </w:pPr>
      <w:r>
        <w:t xml:space="preserve">Component 2.4.1 | </w:t>
      </w:r>
      <w:r w:rsidR="00923BE4">
        <w:t>M</w:t>
      </w:r>
      <w:r w:rsidR="00923BE4" w:rsidRPr="00491242">
        <w:t>echanisms to enable FSANZ and FMM to undertake periodic joint agenda-setting</w:t>
      </w:r>
      <w:r w:rsidR="00923BE4">
        <w:t xml:space="preserve"> could be </w:t>
      </w:r>
      <w:proofErr w:type="gramStart"/>
      <w:r w:rsidR="00923BE4">
        <w:t>implemented</w:t>
      </w:r>
      <w:proofErr w:type="gramEnd"/>
    </w:p>
    <w:tbl>
      <w:tblPr>
        <w:tblStyle w:val="TableGrid"/>
        <w:tblW w:w="0" w:type="auto"/>
        <w:tblLook w:val="04A0" w:firstRow="1" w:lastRow="0" w:firstColumn="1" w:lastColumn="0" w:noHBand="0" w:noVBand="1"/>
      </w:tblPr>
      <w:tblGrid>
        <w:gridCol w:w="8930"/>
      </w:tblGrid>
      <w:tr w:rsidR="0089006F" w14:paraId="606F59EC"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4CEE9B1A" w14:textId="77777777" w:rsidR="002D223E" w:rsidRPr="007F7722" w:rsidRDefault="002D223E" w:rsidP="002D223E">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286D72A7" w14:textId="0894AADF" w:rsidR="003D091A" w:rsidRPr="00F2374C" w:rsidRDefault="003D091A">
            <w:pPr>
              <w:pStyle w:val="Bullet"/>
              <w:spacing w:line="259" w:lineRule="auto"/>
            </w:pPr>
            <w:r>
              <w:t xml:space="preserve">Problem </w:t>
            </w:r>
            <w:r w:rsidR="006B3FCC">
              <w:t xml:space="preserve">4.1 | </w:t>
            </w:r>
            <w:r w:rsidR="006B3FCC" w:rsidRPr="009F74E1">
              <w:t>The lack of a shared vision of system priorities between FSANZ and the FMM limits the effectiveness of the broader food regulatory system</w:t>
            </w:r>
          </w:p>
        </w:tc>
      </w:tr>
    </w:tbl>
    <w:p w14:paraId="1691E730" w14:textId="77777777" w:rsidR="003D091A" w:rsidRPr="00D33D69" w:rsidRDefault="003D091A" w:rsidP="007F7722"/>
    <w:p w14:paraId="778E9AAF" w14:textId="2BCF6601" w:rsidR="006F5AF1" w:rsidRDefault="00923BE4" w:rsidP="006F5AF1">
      <w:pPr>
        <w:pStyle w:val="Heading5"/>
      </w:pPr>
      <w:r w:rsidRPr="004E0A00">
        <w:t xml:space="preserve">FSANZ and </w:t>
      </w:r>
      <w:r w:rsidRPr="006D2E5A">
        <w:t xml:space="preserve">the </w:t>
      </w:r>
      <w:r>
        <w:t>FMM</w:t>
      </w:r>
      <w:r w:rsidRPr="004E0A00">
        <w:t xml:space="preserve"> could implement routine</w:t>
      </w:r>
      <w:r>
        <w:t>,</w:t>
      </w:r>
      <w:r w:rsidRPr="004E0A00">
        <w:t xml:space="preserve"> joint priority setting </w:t>
      </w:r>
      <w:proofErr w:type="gramStart"/>
      <w:r w:rsidRPr="004E0A00">
        <w:t>mechanisms</w:t>
      </w:r>
      <w:proofErr w:type="gramEnd"/>
    </w:p>
    <w:p w14:paraId="5C8E1199" w14:textId="048A7C24" w:rsidR="00923BE4" w:rsidRDefault="00923BE4" w:rsidP="0040593F">
      <w:pPr>
        <w:spacing w:line="240" w:lineRule="auto"/>
      </w:pPr>
      <w:r w:rsidRPr="004E0A00">
        <w:t xml:space="preserve">This could, for instance, consist of annual planning </w:t>
      </w:r>
      <w:r w:rsidR="00441D9F">
        <w:t xml:space="preserve">days </w:t>
      </w:r>
      <w:r w:rsidRPr="004E0A00">
        <w:t xml:space="preserve">where members of FSANZ and </w:t>
      </w:r>
      <w:r>
        <w:t>Food Ministers</w:t>
      </w:r>
      <w:r w:rsidRPr="006D2E5A">
        <w:t xml:space="preserve"> </w:t>
      </w:r>
      <w:r w:rsidRPr="004E0A00">
        <w:t xml:space="preserve">come together to agree </w:t>
      </w:r>
      <w:r>
        <w:t xml:space="preserve">on </w:t>
      </w:r>
      <w:r w:rsidRPr="004E0A00">
        <w:t xml:space="preserve">the proposals and other project work that will be progressed as part of </w:t>
      </w:r>
      <w:r w:rsidR="004E4D63">
        <w:t>FSANZ’</w:t>
      </w:r>
      <w:r w:rsidR="005D04DB">
        <w:t>s</w:t>
      </w:r>
      <w:r w:rsidRPr="004E0A00">
        <w:t xml:space="preserve"> workplan</w:t>
      </w:r>
      <w:r w:rsidR="001C7F3D">
        <w:t>,</w:t>
      </w:r>
      <w:r w:rsidRPr="004E0A00">
        <w:t xml:space="preserve"> with a view to removing or abandoning lower priority items.</w:t>
      </w:r>
      <w:r w:rsidR="00235A9D">
        <w:rPr>
          <w:rFonts w:ascii="ZWAdobeF" w:hAnsi="ZWAdobeF" w:cs="ZWAdobeF"/>
          <w:sz w:val="2"/>
          <w:szCs w:val="2"/>
        </w:rPr>
        <w:t>41F</w:t>
      </w:r>
      <w:r>
        <w:rPr>
          <w:rStyle w:val="FootnoteReference"/>
        </w:rPr>
        <w:footnoteReference w:id="47"/>
      </w:r>
      <w:r w:rsidRPr="004E0A00">
        <w:t xml:space="preserve"> </w:t>
      </w:r>
    </w:p>
    <w:p w14:paraId="51460E46" w14:textId="2D5B7E2A" w:rsidR="00923BE4" w:rsidRDefault="00923BE4" w:rsidP="0040593F">
      <w:pPr>
        <w:spacing w:line="240" w:lineRule="auto"/>
      </w:pPr>
      <w:r w:rsidRPr="004E0A00">
        <w:t xml:space="preserve">Joint priority setting </w:t>
      </w:r>
      <w:r>
        <w:t>could</w:t>
      </w:r>
      <w:r w:rsidRPr="004E0A00">
        <w:t xml:space="preserve"> focus </w:t>
      </w:r>
      <w:r w:rsidRPr="00870F5C">
        <w:rPr>
          <w:i/>
        </w:rPr>
        <w:t xml:space="preserve">solely </w:t>
      </w:r>
      <w:r w:rsidRPr="004E0A00">
        <w:t xml:space="preserve">on the component of </w:t>
      </w:r>
      <w:r w:rsidR="004E4D63">
        <w:t>FSANZ’</w:t>
      </w:r>
      <w:r w:rsidR="005D04DB">
        <w:t>s</w:t>
      </w:r>
      <w:r w:rsidRPr="004E0A00">
        <w:t xml:space="preserve"> workplan with capacity allocated to proposals and project work – it should not displace the progress of applications, which are subject to statutory timeframes. </w:t>
      </w:r>
    </w:p>
    <w:p w14:paraId="079E6F4C" w14:textId="1A31B94F" w:rsidR="00923BE4" w:rsidRDefault="00923BE4" w:rsidP="00923BE4">
      <w:pPr>
        <w:rPr>
          <w:lang w:eastAsia="en-AU"/>
        </w:rPr>
      </w:pPr>
      <w:r>
        <w:rPr>
          <w:lang w:eastAsia="en-AU"/>
        </w:rPr>
        <w:t>To assist with this, FSANZ and the FMM could establish a joint prioritisation matrix by which they could assess proposals for their relative importance and resourcing demands. Such a matrix could consider factors such as:</w:t>
      </w:r>
    </w:p>
    <w:p w14:paraId="64205E3F" w14:textId="7E81540D" w:rsidR="00923BE4" w:rsidRDefault="009450BF" w:rsidP="00923BE4">
      <w:pPr>
        <w:pStyle w:val="Bullet"/>
      </w:pPr>
      <w:r>
        <w:t>r</w:t>
      </w:r>
      <w:r w:rsidR="00923BE4">
        <w:t>elative impact on public health and safety</w:t>
      </w:r>
    </w:p>
    <w:p w14:paraId="48CC7419" w14:textId="155F8355" w:rsidR="00923BE4" w:rsidRDefault="009450BF" w:rsidP="00923BE4">
      <w:pPr>
        <w:pStyle w:val="Bullet"/>
      </w:pPr>
      <w:r>
        <w:t>t</w:t>
      </w:r>
      <w:r w:rsidR="00923BE4">
        <w:t>he current 3-year food strategic plan</w:t>
      </w:r>
    </w:p>
    <w:p w14:paraId="668EBB6C" w14:textId="5A193AEC" w:rsidR="00923BE4" w:rsidRDefault="009450BF" w:rsidP="00923BE4">
      <w:pPr>
        <w:pStyle w:val="Bullet"/>
      </w:pPr>
      <w:r>
        <w:t>b</w:t>
      </w:r>
      <w:r w:rsidR="00923BE4">
        <w:t>i-national issues</w:t>
      </w:r>
    </w:p>
    <w:p w14:paraId="0CB8FDFF" w14:textId="1A6C6371" w:rsidR="00923BE4" w:rsidRPr="00F57D1C" w:rsidRDefault="009450BF" w:rsidP="00923BE4">
      <w:pPr>
        <w:pStyle w:val="Bullet"/>
      </w:pPr>
      <w:r>
        <w:t>o</w:t>
      </w:r>
      <w:r w:rsidR="00923BE4">
        <w:t xml:space="preserve">ther national/international plans such as the </w:t>
      </w:r>
      <w:r w:rsidR="00923BE4">
        <w:rPr>
          <w:i/>
          <w:iCs/>
        </w:rPr>
        <w:t>National Preventative Health Plan 2021-2030</w:t>
      </w:r>
    </w:p>
    <w:p w14:paraId="2FF4D85C" w14:textId="4DB5AD91" w:rsidR="00923BE4" w:rsidRDefault="009450BF" w:rsidP="00923BE4">
      <w:pPr>
        <w:pStyle w:val="Bullet"/>
      </w:pPr>
      <w:r>
        <w:t>e</w:t>
      </w:r>
      <w:r w:rsidR="00923BE4">
        <w:t>merging trends in food</w:t>
      </w:r>
    </w:p>
    <w:p w14:paraId="5F1D0827" w14:textId="2C48AEBD" w:rsidR="00923BE4" w:rsidRDefault="00255DE3" w:rsidP="00923BE4">
      <w:pPr>
        <w:pStyle w:val="Bullet"/>
      </w:pPr>
      <w:r>
        <w:t>e</w:t>
      </w:r>
      <w:r w:rsidR="00923BE4">
        <w:t xml:space="preserve">xisting evidence base. </w:t>
      </w:r>
    </w:p>
    <w:p w14:paraId="2D120F8F" w14:textId="65B90A84" w:rsidR="001B0A8C" w:rsidRDefault="001B0A8C" w:rsidP="004D1CFE">
      <w:pPr>
        <w:pStyle w:val="Bullet"/>
        <w:numPr>
          <w:ilvl w:val="0"/>
          <w:numId w:val="0"/>
        </w:numPr>
        <w:ind w:left="340" w:hanging="340"/>
      </w:pPr>
      <w:r>
        <w:t xml:space="preserve">This would represent a joint agreement between FMM and FSANZ, not a direction from FMM to FSANZ. </w:t>
      </w:r>
    </w:p>
    <w:p w14:paraId="77CEABFD" w14:textId="2C84884F" w:rsidR="00923BE4" w:rsidRDefault="00EA1F80" w:rsidP="00923BE4">
      <w:pPr>
        <w:pStyle w:val="Heading4"/>
      </w:pPr>
      <w:r>
        <w:t xml:space="preserve">Component 2.4.2 | </w:t>
      </w:r>
      <w:r w:rsidR="00923BE4" w:rsidRPr="009F2E2D">
        <w:t>FSANZ c</w:t>
      </w:r>
      <w:r w:rsidR="00923BE4">
        <w:t>ould</w:t>
      </w:r>
      <w:r w:rsidR="00923BE4" w:rsidRPr="009F2E2D">
        <w:t xml:space="preserve"> engage earlier </w:t>
      </w:r>
      <w:r w:rsidR="00923BE4">
        <w:t>and more systematically</w:t>
      </w:r>
      <w:r w:rsidR="00923BE4" w:rsidRPr="009F2E2D">
        <w:t xml:space="preserve"> with FRSC and jurisdictions in the development of food </w:t>
      </w:r>
      <w:proofErr w:type="gramStart"/>
      <w:r w:rsidR="00923BE4" w:rsidRPr="009F2E2D">
        <w:t>standards</w:t>
      </w:r>
      <w:proofErr w:type="gramEnd"/>
    </w:p>
    <w:tbl>
      <w:tblPr>
        <w:tblStyle w:val="TableGrid"/>
        <w:tblW w:w="0" w:type="auto"/>
        <w:tblLook w:val="04A0" w:firstRow="1" w:lastRow="0" w:firstColumn="1" w:lastColumn="0" w:noHBand="0" w:noVBand="1"/>
      </w:tblPr>
      <w:tblGrid>
        <w:gridCol w:w="8930"/>
      </w:tblGrid>
      <w:tr w:rsidR="0089006F" w14:paraId="4BBF3807"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3373074A" w14:textId="77777777" w:rsidR="00E96CB9" w:rsidRPr="007F7722" w:rsidRDefault="00E96CB9" w:rsidP="00E96CB9">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3DF9FD20" w14:textId="2D90A409" w:rsidR="006F6C48" w:rsidRPr="00F2374C" w:rsidRDefault="006F6C48">
            <w:pPr>
              <w:pStyle w:val="Bullet"/>
              <w:spacing w:line="259" w:lineRule="auto"/>
            </w:pPr>
            <w:r>
              <w:t>Problem 4.</w:t>
            </w:r>
            <w:r w:rsidR="00303B16">
              <w:t>2</w:t>
            </w:r>
            <w:r>
              <w:t xml:space="preserve"> | </w:t>
            </w:r>
            <w:r w:rsidR="00303B16" w:rsidRPr="00303B16">
              <w:t>Limited intelligence-sharing between stakeholders across the regulatory system is resulting in duplication of effort and missed opportunities to manage risk</w:t>
            </w:r>
          </w:p>
        </w:tc>
      </w:tr>
    </w:tbl>
    <w:p w14:paraId="78BF242C" w14:textId="77777777" w:rsidR="006B3FCC" w:rsidRPr="00D33D69" w:rsidRDefault="006B3FCC" w:rsidP="007F7722"/>
    <w:p w14:paraId="4EA8F15C" w14:textId="779F75AB" w:rsidR="00923BE4" w:rsidRDefault="00923BE4" w:rsidP="00923BE4">
      <w:r w:rsidRPr="008E3EBD">
        <w:t xml:space="preserve">FSANZ could involve FRSC earlier to understand the potential food safety and regulatory impact of changes to food standards. </w:t>
      </w:r>
      <w:r>
        <w:t>Collaborations</w:t>
      </w:r>
      <w:r w:rsidRPr="008E3EBD">
        <w:t xml:space="preserve"> could </w:t>
      </w:r>
      <w:r>
        <w:t>focus on establishing</w:t>
      </w:r>
      <w:r w:rsidRPr="008E3EBD">
        <w:t xml:space="preserve"> a shared understanding of the safety and</w:t>
      </w:r>
      <w:r>
        <w:t xml:space="preserve"> regulatory impact measures that will feed into an assessment of a proposal, and the work that </w:t>
      </w:r>
      <w:r>
        <w:lastRenderedPageBreak/>
        <w:t xml:space="preserve">will be undertaken by each party at different stages of the process to identify opportunities to minimise duplication. </w:t>
      </w:r>
    </w:p>
    <w:p w14:paraId="7C321B2C" w14:textId="56350845" w:rsidR="008718EA" w:rsidRDefault="00B931A1" w:rsidP="00B718C5">
      <w:r>
        <w:t xml:space="preserve">In practice, </w:t>
      </w:r>
      <w:r w:rsidR="0076257F">
        <w:t xml:space="preserve">this component would focus on </w:t>
      </w:r>
      <w:r w:rsidR="00E2597C">
        <w:t xml:space="preserve">using existing FRSC processes to confirm the intent of </w:t>
      </w:r>
      <w:r w:rsidR="00046C73">
        <w:t>proposals</w:t>
      </w:r>
      <w:r w:rsidR="006230C3">
        <w:t xml:space="preserve">. </w:t>
      </w:r>
      <w:r w:rsidR="004E792A">
        <w:t>As</w:t>
      </w:r>
      <w:r w:rsidR="006230C3">
        <w:t xml:space="preserve"> that there currently </w:t>
      </w:r>
      <w:r w:rsidR="001C2648">
        <w:t xml:space="preserve">no formalised mechanism </w:t>
      </w:r>
      <w:r w:rsidR="00031A7C">
        <w:t xml:space="preserve">by which FRSC can engage with FSANZ on the development of food standards, </w:t>
      </w:r>
      <w:r w:rsidR="00353514">
        <w:t>there</w:t>
      </w:r>
      <w:r w:rsidR="00B33273">
        <w:t xml:space="preserve"> </w:t>
      </w:r>
      <w:r w:rsidR="004E792A">
        <w:t>is</w:t>
      </w:r>
      <w:r w:rsidR="00E472AA">
        <w:t xml:space="preserve"> scope to systematise early engagement between </w:t>
      </w:r>
      <w:r w:rsidR="00AF7DF5">
        <w:t>FSANZ</w:t>
      </w:r>
      <w:r w:rsidR="00E472AA">
        <w:t xml:space="preserve"> and FRSC </w:t>
      </w:r>
      <w:r w:rsidR="00A77CE4">
        <w:t>in</w:t>
      </w:r>
      <w:r w:rsidR="00E472AA">
        <w:t xml:space="preserve"> the process to ensure that </w:t>
      </w:r>
      <w:r w:rsidR="00640064">
        <w:t xml:space="preserve">the right officials and engaged at the right time. </w:t>
      </w:r>
      <w:r w:rsidR="001857C5">
        <w:t>This may also involve better use of the FMM agenda t</w:t>
      </w:r>
      <w:r w:rsidR="00451452">
        <w:t>o establish a shared understanding of objectives and limitation</w:t>
      </w:r>
      <w:r w:rsidR="00DD0686">
        <w:t>s</w:t>
      </w:r>
      <w:r w:rsidR="00451452">
        <w:t xml:space="preserve"> </w:t>
      </w:r>
      <w:proofErr w:type="gramStart"/>
      <w:r w:rsidR="00A71BAD">
        <w:t>with regard to</w:t>
      </w:r>
      <w:proofErr w:type="gramEnd"/>
      <w:r w:rsidR="00A71BAD">
        <w:t xml:space="preserve"> food standards in development. </w:t>
      </w:r>
    </w:p>
    <w:p w14:paraId="4240385A" w14:textId="3899B7EF" w:rsidR="00923BE4" w:rsidRDefault="00EA1F80" w:rsidP="00923BE4">
      <w:pPr>
        <w:pStyle w:val="Heading4"/>
      </w:pPr>
      <w:r>
        <w:t xml:space="preserve">Component 2.4.3 | </w:t>
      </w:r>
      <w:r w:rsidR="00923BE4" w:rsidRPr="009F2E2D">
        <w:t xml:space="preserve">FSANZ </w:t>
      </w:r>
      <w:r w:rsidR="00923BE4">
        <w:t>could take guardianship over</w:t>
      </w:r>
      <w:r w:rsidR="00923BE4" w:rsidRPr="009F2E2D">
        <w:t xml:space="preserve"> key food safety databases</w:t>
      </w:r>
      <w:r w:rsidR="00715550">
        <w:t xml:space="preserve"> (Australia only)</w:t>
      </w:r>
    </w:p>
    <w:tbl>
      <w:tblPr>
        <w:tblStyle w:val="TableGrid"/>
        <w:tblW w:w="0" w:type="auto"/>
        <w:tblLook w:val="04A0" w:firstRow="1" w:lastRow="0" w:firstColumn="1" w:lastColumn="0" w:noHBand="0" w:noVBand="1"/>
      </w:tblPr>
      <w:tblGrid>
        <w:gridCol w:w="8930"/>
      </w:tblGrid>
      <w:tr w:rsidR="0089006F" w14:paraId="32BEC62F"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4BB74A08" w14:textId="77777777" w:rsidR="002D568C" w:rsidRPr="007F7722" w:rsidRDefault="002D568C" w:rsidP="002D568C">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70FA9D01" w14:textId="77777777" w:rsidR="00303B16" w:rsidRPr="00F2374C" w:rsidRDefault="00303B16">
            <w:pPr>
              <w:pStyle w:val="Bullet"/>
              <w:spacing w:line="259" w:lineRule="auto"/>
            </w:pPr>
            <w:r>
              <w:t xml:space="preserve">Problem 4.2 | </w:t>
            </w:r>
            <w:r w:rsidRPr="00303B16">
              <w:t>Limited intelligence-sharing between stakeholders across the regulatory system is resulting in duplication of effort and missed opportunities to manage risk</w:t>
            </w:r>
          </w:p>
        </w:tc>
      </w:tr>
    </w:tbl>
    <w:p w14:paraId="5CB3963C" w14:textId="77777777" w:rsidR="00303B16" w:rsidRPr="00D33D69" w:rsidRDefault="00303B16" w:rsidP="007F7722"/>
    <w:p w14:paraId="52B25CD2" w14:textId="77777777" w:rsidR="00EC6224" w:rsidRDefault="00923BE4" w:rsidP="00923BE4">
      <w:pPr>
        <w:rPr>
          <w:lang w:eastAsia="en-AU"/>
        </w:rPr>
      </w:pPr>
      <w:r w:rsidRPr="00A12A52">
        <w:rPr>
          <w:lang w:eastAsia="en-AU"/>
        </w:rPr>
        <w:t>FSANZ could assume a role as the custodian of a composition/nutrition/food safety data base that is used for analysis of trends</w:t>
      </w:r>
      <w:r w:rsidRPr="00A12A52" w:rsidDel="00757779">
        <w:rPr>
          <w:lang w:eastAsia="en-AU"/>
        </w:rPr>
        <w:t xml:space="preserve"> </w:t>
      </w:r>
      <w:r>
        <w:rPr>
          <w:lang w:eastAsia="en-AU"/>
        </w:rPr>
        <w:t>and</w:t>
      </w:r>
      <w:r w:rsidRPr="00A12A52">
        <w:rPr>
          <w:lang w:eastAsia="en-AU"/>
        </w:rPr>
        <w:t xml:space="preserve"> emerging issues. This could build in </w:t>
      </w:r>
      <w:r w:rsidR="008C2A8A">
        <w:rPr>
          <w:lang w:eastAsia="en-AU"/>
        </w:rPr>
        <w:t xml:space="preserve">the </w:t>
      </w:r>
      <w:r w:rsidRPr="00A12A52">
        <w:rPr>
          <w:lang w:eastAsia="en-AU"/>
        </w:rPr>
        <w:t>first instance on the information already held by FSANZ in relation to</w:t>
      </w:r>
      <w:r w:rsidR="00EC6224">
        <w:rPr>
          <w:lang w:eastAsia="en-AU"/>
        </w:rPr>
        <w:t>:</w:t>
      </w:r>
    </w:p>
    <w:p w14:paraId="6FF532B2" w14:textId="1450D9F9" w:rsidR="00B621E9" w:rsidRDefault="00923BE4" w:rsidP="00B621E9">
      <w:pPr>
        <w:pStyle w:val="Bullet"/>
      </w:pPr>
      <w:r w:rsidRPr="00A12A52">
        <w:t>the Australia Total Diet Survey</w:t>
      </w:r>
    </w:p>
    <w:p w14:paraId="34BEBE0C" w14:textId="7CC6E358" w:rsidR="00923BE4" w:rsidRDefault="00923BE4" w:rsidP="00B621E9">
      <w:pPr>
        <w:pStyle w:val="Bullet"/>
      </w:pPr>
      <w:r w:rsidRPr="00A12A52">
        <w:t>branded food composition and modelling work for the Health Star Rating calculator</w:t>
      </w:r>
      <w:r w:rsidR="00CF1E96">
        <w:t>.</w:t>
      </w:r>
    </w:p>
    <w:p w14:paraId="148D94AD" w14:textId="4D4497B6" w:rsidR="00923BE4" w:rsidRPr="00CB1705" w:rsidRDefault="00923BE4" w:rsidP="00923BE4">
      <w:pPr>
        <w:rPr>
          <w:lang w:eastAsia="en-AU"/>
        </w:rPr>
      </w:pPr>
      <w:r>
        <w:rPr>
          <w:lang w:eastAsia="en-AU"/>
        </w:rPr>
        <w:t>Positioning FSANZ’</w:t>
      </w:r>
      <w:r w:rsidR="005D04DB">
        <w:rPr>
          <w:lang w:eastAsia="en-AU"/>
        </w:rPr>
        <w:t>s</w:t>
      </w:r>
      <w:r>
        <w:rPr>
          <w:lang w:eastAsia="en-AU"/>
        </w:rPr>
        <w:t xml:space="preserve"> databank to inform project work carried out by FSANZ at the request of jurisdictions would increase collaboration and contribute to greater intelligence-led decision making. FSANZ proposes that, for example, combining the branded food database with sales data could provide powerful insights into dietary management of acute and chronic population risks. This would support FSANZ to carry out project work which benefits the jurisdictions and their enforcement agencies. </w:t>
      </w:r>
    </w:p>
    <w:p w14:paraId="168D5ACF" w14:textId="4FD3F269" w:rsidR="00923BE4" w:rsidRDefault="00EA1F80" w:rsidP="00923BE4">
      <w:pPr>
        <w:pStyle w:val="Heading4"/>
      </w:pPr>
      <w:r>
        <w:t xml:space="preserve">Component 2.4.4 | </w:t>
      </w:r>
      <w:r w:rsidR="00923BE4">
        <w:t xml:space="preserve">Further work could be done to establish information sharing arrangements with international </w:t>
      </w:r>
      <w:proofErr w:type="gramStart"/>
      <w:r w:rsidR="00923BE4">
        <w:t>partners</w:t>
      </w:r>
      <w:proofErr w:type="gramEnd"/>
    </w:p>
    <w:tbl>
      <w:tblPr>
        <w:tblStyle w:val="TableGrid"/>
        <w:tblW w:w="0" w:type="auto"/>
        <w:tblLook w:val="04A0" w:firstRow="1" w:lastRow="0" w:firstColumn="1" w:lastColumn="0" w:noHBand="0" w:noVBand="1"/>
      </w:tblPr>
      <w:tblGrid>
        <w:gridCol w:w="8930"/>
      </w:tblGrid>
      <w:tr w:rsidR="0089006F" w14:paraId="1EF18C32"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4C554EB4" w14:textId="77777777" w:rsidR="002D568C" w:rsidRPr="007F7722" w:rsidRDefault="002D568C" w:rsidP="002D568C">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052D995D" w14:textId="77777777" w:rsidR="00303B16" w:rsidRPr="00F2374C" w:rsidRDefault="00303B16">
            <w:pPr>
              <w:pStyle w:val="Bullet"/>
              <w:spacing w:line="259" w:lineRule="auto"/>
            </w:pPr>
            <w:r>
              <w:t xml:space="preserve">Problem 4.2 | </w:t>
            </w:r>
            <w:r w:rsidRPr="00303B16">
              <w:t>Limited intelligence-sharing between stakeholders across the regulatory system is resulting in duplication of effort and missed opportunities to manage risk</w:t>
            </w:r>
          </w:p>
        </w:tc>
      </w:tr>
    </w:tbl>
    <w:p w14:paraId="1F660F4D" w14:textId="77777777" w:rsidR="00303B16" w:rsidRPr="00D33D69" w:rsidRDefault="00303B16" w:rsidP="007F7722"/>
    <w:p w14:paraId="47E18640" w14:textId="7F94043C" w:rsidR="00923BE4" w:rsidRDefault="00923BE4" w:rsidP="00BE4FDB">
      <w:pPr>
        <w:spacing w:line="240" w:lineRule="auto"/>
        <w:rPr>
          <w:lang w:eastAsia="en-AU"/>
        </w:rPr>
      </w:pPr>
      <w:r w:rsidRPr="00200C73">
        <w:rPr>
          <w:lang w:eastAsia="en-AU"/>
        </w:rPr>
        <w:t xml:space="preserve">Enhanced collaboration based around information sharing could also extend to international partnerships with overseas jurisdictions (including standard-setting bodies and other regulators). This could leverage </w:t>
      </w:r>
      <w:r w:rsidR="004E4D63">
        <w:rPr>
          <w:lang w:eastAsia="en-AU"/>
        </w:rPr>
        <w:t>FSANZ’</w:t>
      </w:r>
      <w:r w:rsidR="005D04DB">
        <w:rPr>
          <w:lang w:eastAsia="en-AU"/>
        </w:rPr>
        <w:t>s</w:t>
      </w:r>
      <w:r w:rsidRPr="00200C73">
        <w:rPr>
          <w:lang w:eastAsia="en-AU"/>
        </w:rPr>
        <w:t xml:space="preserve"> existing work, </w:t>
      </w:r>
      <w:proofErr w:type="gramStart"/>
      <w:r w:rsidRPr="00200C73">
        <w:rPr>
          <w:lang w:eastAsia="en-AU"/>
        </w:rPr>
        <w:t>relationships</w:t>
      </w:r>
      <w:proofErr w:type="gramEnd"/>
      <w:r w:rsidRPr="00200C73">
        <w:rPr>
          <w:lang w:eastAsia="en-AU"/>
        </w:rPr>
        <w:t xml:space="preserve"> and presence in regional and global forums. </w:t>
      </w:r>
    </w:p>
    <w:p w14:paraId="31E810EE" w14:textId="17036ADE" w:rsidR="00923BE4" w:rsidRDefault="00923BE4" w:rsidP="00923BE4">
      <w:pPr>
        <w:rPr>
          <w:lang w:eastAsia="en-AU"/>
        </w:rPr>
      </w:pPr>
      <w:r w:rsidRPr="00200C73">
        <w:rPr>
          <w:lang w:eastAsia="en-AU"/>
        </w:rPr>
        <w:t xml:space="preserve">There is some precedent for this; since 2013, FSANZ and Health Canada have been working together on the safety of genetically modified foods under a formal agreement to facilitate sharing of safety assessments of food derived from genetically modified organisms. This helps to reduce duplication and share scientific expertise between the jurisdictions. </w:t>
      </w:r>
    </w:p>
    <w:p w14:paraId="2EDE3F79" w14:textId="06AE6455" w:rsidR="00923BE4" w:rsidRDefault="00923BE4" w:rsidP="00923BE4">
      <w:pPr>
        <w:rPr>
          <w:lang w:eastAsia="en-AU"/>
        </w:rPr>
      </w:pPr>
      <w:r>
        <w:rPr>
          <w:lang w:eastAsia="en-AU"/>
        </w:rPr>
        <w:t>Other ideas focus on the food standards/enforcement interface, including collaborations with industry and jurisdictional enforcement agencies, as described below.</w:t>
      </w:r>
    </w:p>
    <w:p w14:paraId="0D383C22" w14:textId="5EBC46E6" w:rsidR="00923BE4" w:rsidRDefault="00EA1F80" w:rsidP="00923BE4">
      <w:pPr>
        <w:pStyle w:val="Heading4"/>
      </w:pPr>
      <w:r>
        <w:lastRenderedPageBreak/>
        <w:t xml:space="preserve">Component 2.4.5 | </w:t>
      </w:r>
      <w:r w:rsidR="00923BE4">
        <w:t>S</w:t>
      </w:r>
      <w:r w:rsidR="00923BE4" w:rsidRPr="00186D11">
        <w:t xml:space="preserve">tatements of intent </w:t>
      </w:r>
      <w:r w:rsidR="00923BE4">
        <w:t xml:space="preserve">could be introduced into the Food </w:t>
      </w:r>
      <w:r w:rsidR="00BA38BE">
        <w:t xml:space="preserve">Standards </w:t>
      </w:r>
      <w:r w:rsidR="00923BE4">
        <w:t xml:space="preserve">Code to assist with interpretation and </w:t>
      </w:r>
      <w:proofErr w:type="gramStart"/>
      <w:r w:rsidR="00923BE4">
        <w:t>enforcement</w:t>
      </w:r>
      <w:proofErr w:type="gramEnd"/>
      <w:r w:rsidR="00923BE4">
        <w:t xml:space="preserve"> </w:t>
      </w:r>
    </w:p>
    <w:tbl>
      <w:tblPr>
        <w:tblStyle w:val="TableGrid"/>
        <w:tblW w:w="0" w:type="auto"/>
        <w:tblLook w:val="04A0" w:firstRow="1" w:lastRow="0" w:firstColumn="1" w:lastColumn="0" w:noHBand="0" w:noVBand="1"/>
      </w:tblPr>
      <w:tblGrid>
        <w:gridCol w:w="8930"/>
      </w:tblGrid>
      <w:tr w:rsidR="0089006F" w14:paraId="7D0B487C"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3A5B5CFE" w14:textId="77777777" w:rsidR="002D568C" w:rsidRPr="007F7722" w:rsidRDefault="002D568C" w:rsidP="002D568C">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262121F1" w14:textId="319BA1BA" w:rsidR="005E759F" w:rsidRPr="00F2374C" w:rsidRDefault="005E759F">
            <w:pPr>
              <w:pStyle w:val="Bullet"/>
              <w:spacing w:line="259" w:lineRule="auto"/>
            </w:pPr>
            <w:r>
              <w:t>Problem 4.</w:t>
            </w:r>
            <w:r w:rsidR="009F6342">
              <w:t xml:space="preserve">3 | </w:t>
            </w:r>
            <w:r w:rsidR="009F6342" w:rsidRPr="009F6342">
              <w:t>Inconsistent interpretation and enforcement of food standards heightens costs for industry and enforcement agencies, while potentially undermining management of foodborne risks (Australia only)</w:t>
            </w:r>
          </w:p>
        </w:tc>
      </w:tr>
    </w:tbl>
    <w:p w14:paraId="469A0293" w14:textId="77777777" w:rsidR="005E759F" w:rsidRPr="00D33D69" w:rsidRDefault="005E759F" w:rsidP="007F7722"/>
    <w:p w14:paraId="4167A41E" w14:textId="4B8B12D6" w:rsidR="00923BE4" w:rsidRDefault="00923BE4" w:rsidP="00923BE4">
      <w:r>
        <w:t>FSANZ could reduce interpretive uncertainty through the provision of greater guidance on food standards.</w:t>
      </w:r>
      <w:r w:rsidRPr="0075370A">
        <w:t xml:space="preserve"> This</w:t>
      </w:r>
      <w:r w:rsidRPr="0075370A" w:rsidDel="00281A04">
        <w:t xml:space="preserve"> </w:t>
      </w:r>
      <w:r w:rsidRPr="0075370A">
        <w:t xml:space="preserve">could involve including a </w:t>
      </w:r>
      <w:r w:rsidR="008117F8">
        <w:t>Statement of Intent</w:t>
      </w:r>
      <w:r w:rsidRPr="0075370A">
        <w:t xml:space="preserve"> alongside food standards in the Food Standards Code to describe what FSANZ wants to achieve in the writing of each food standard (akin to Explanatory</w:t>
      </w:r>
      <w:r w:rsidRPr="00671C20">
        <w:t xml:space="preserve"> Memoranda) which could provide basis for enforcement activities. </w:t>
      </w:r>
    </w:p>
    <w:p w14:paraId="400FDC7A" w14:textId="315E786E" w:rsidR="00923BE4" w:rsidRDefault="00923BE4" w:rsidP="00923BE4">
      <w:r>
        <w:t xml:space="preserve">This could be achieved either by including the </w:t>
      </w:r>
      <w:r w:rsidR="008117F8">
        <w:t>Statement of Intent</w:t>
      </w:r>
      <w:r>
        <w:t xml:space="preserve"> as an introductory provision within each standard (like an objects clause) or including it as an editorial note and amending the current definition of a ‘standard’ (which specifically excludes text identified as an editorial note and text identified as an example)</w:t>
      </w:r>
      <w:r w:rsidR="00184CC5">
        <w:t xml:space="preserve"> to ensure they are legally enforceable</w:t>
      </w:r>
      <w:r w:rsidR="00515E91">
        <w:t>.</w:t>
      </w:r>
      <w:r>
        <w:t xml:space="preserve"> </w:t>
      </w:r>
    </w:p>
    <w:p w14:paraId="27D883FD" w14:textId="6F9C2A77" w:rsidR="00927DD5" w:rsidRDefault="00EA1F80" w:rsidP="00927DD5">
      <w:pPr>
        <w:pStyle w:val="Heading4"/>
      </w:pPr>
      <w:r>
        <w:t xml:space="preserve">Component 2.4.6 | </w:t>
      </w:r>
      <w:r w:rsidR="00927DD5" w:rsidRPr="008F321F">
        <w:t xml:space="preserve">FSANZ </w:t>
      </w:r>
      <w:r w:rsidR="00927DD5">
        <w:t>could</w:t>
      </w:r>
      <w:r w:rsidR="00927DD5" w:rsidRPr="008F321F">
        <w:t xml:space="preserve"> </w:t>
      </w:r>
      <w:r w:rsidR="00927DD5">
        <w:t>be resourced to</w:t>
      </w:r>
      <w:r w:rsidR="00927DD5" w:rsidRPr="008F321F">
        <w:t xml:space="preserve"> develop, update and maintain industry guidelines </w:t>
      </w:r>
      <w:r w:rsidR="002579FE" w:rsidRPr="002579FE">
        <w:t xml:space="preserve">to guide interpretation of food </w:t>
      </w:r>
      <w:proofErr w:type="gramStart"/>
      <w:r w:rsidR="002579FE" w:rsidRPr="002579FE">
        <w:t>standards</w:t>
      </w:r>
      <w:proofErr w:type="gramEnd"/>
    </w:p>
    <w:tbl>
      <w:tblPr>
        <w:tblStyle w:val="TableGrid"/>
        <w:tblW w:w="0" w:type="auto"/>
        <w:tblLook w:val="04A0" w:firstRow="1" w:lastRow="0" w:firstColumn="1" w:lastColumn="0" w:noHBand="0" w:noVBand="1"/>
      </w:tblPr>
      <w:tblGrid>
        <w:gridCol w:w="8930"/>
      </w:tblGrid>
      <w:tr w:rsidR="0089006F" w14:paraId="3BF27FAC"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64A5B9A0" w14:textId="77777777" w:rsidR="004B7191" w:rsidRPr="007F7722" w:rsidRDefault="004B7191" w:rsidP="004B7191">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195DA312" w14:textId="77777777" w:rsidR="001451BF" w:rsidRPr="00F2374C" w:rsidRDefault="001451BF">
            <w:pPr>
              <w:pStyle w:val="Bullet"/>
              <w:spacing w:line="259" w:lineRule="auto"/>
            </w:pPr>
            <w:r>
              <w:t xml:space="preserve">Problem 4.3 | </w:t>
            </w:r>
            <w:r w:rsidRPr="009F6342">
              <w:t>Inconsistent interpretation and enforcement of food standards heightens costs for industry and enforcement agencies, while potentially undermining management of foodborne risks (Australia only)</w:t>
            </w:r>
          </w:p>
        </w:tc>
      </w:tr>
    </w:tbl>
    <w:p w14:paraId="1BB68943" w14:textId="30233336" w:rsidR="00D63338" w:rsidRDefault="00927DD5" w:rsidP="00D63338">
      <w:pPr>
        <w:pStyle w:val="Heading5"/>
      </w:pPr>
      <w:r w:rsidRPr="00025550">
        <w:t xml:space="preserve">FSANZ could update and maintain industry guidelines which provide advice on how industry can comply with food </w:t>
      </w:r>
      <w:proofErr w:type="gramStart"/>
      <w:r w:rsidRPr="00025550">
        <w:t>standards</w:t>
      </w:r>
      <w:proofErr w:type="gramEnd"/>
      <w:r w:rsidRPr="00025550">
        <w:t xml:space="preserve"> </w:t>
      </w:r>
    </w:p>
    <w:p w14:paraId="384C4612" w14:textId="4F7D79CD" w:rsidR="00927DD5" w:rsidRPr="00025550" w:rsidRDefault="00927DD5" w:rsidP="00927DD5">
      <w:r w:rsidRPr="00025550">
        <w:t xml:space="preserve">This process could be </w:t>
      </w:r>
      <w:r>
        <w:t xml:space="preserve">triggered </w:t>
      </w:r>
      <w:r w:rsidRPr="00025550">
        <w:t>by industry</w:t>
      </w:r>
      <w:r>
        <w:t xml:space="preserve"> need, established through close consultation</w:t>
      </w:r>
      <w:r w:rsidRPr="00025550">
        <w:t xml:space="preserve"> based on specific interpretive issues and requests for clarification.</w:t>
      </w:r>
    </w:p>
    <w:p w14:paraId="6128ED1D" w14:textId="40B9156C" w:rsidR="00927DD5" w:rsidRDefault="00927DD5" w:rsidP="00927DD5">
      <w:r>
        <w:t>Most large food businesses engage consultants to navigate and comply with the Food</w:t>
      </w:r>
      <w:r w:rsidR="00FB4867">
        <w:t xml:space="preserve"> Standards</w:t>
      </w:r>
      <w:r>
        <w:t xml:space="preserve"> Code. Access to such resources can be cost prohibitive for smaller food businesses and sole traders, yet this cohort is the one that often finds it most difficult to understand their regulatory and food safety requirements</w:t>
      </w:r>
      <w:r w:rsidR="00FB4867">
        <w:t>.</w:t>
      </w:r>
      <w:r>
        <w:rPr>
          <w:rStyle w:val="FootnoteReference"/>
        </w:rPr>
        <w:footnoteReference w:id="48"/>
      </w:r>
      <w:r w:rsidR="008B37DD">
        <w:t xml:space="preserve"> These guidelines should include the specific relevant sections of the Act to provide a single source of truth. </w:t>
      </w:r>
    </w:p>
    <w:p w14:paraId="3290D16B" w14:textId="5082AFD2" w:rsidR="00D63338" w:rsidRDefault="00927DD5" w:rsidP="00D63338">
      <w:pPr>
        <w:pStyle w:val="Heading5"/>
      </w:pPr>
      <w:r>
        <w:t xml:space="preserve">Options to better account for the needs of </w:t>
      </w:r>
      <w:r w:rsidR="007B28F7">
        <w:t>First Nations</w:t>
      </w:r>
      <w:r>
        <w:t xml:space="preserve"> and Māori Peoples could also be </w:t>
      </w:r>
      <w:proofErr w:type="gramStart"/>
      <w:r>
        <w:t>explored</w:t>
      </w:r>
      <w:proofErr w:type="gramEnd"/>
    </w:p>
    <w:p w14:paraId="19B89473" w14:textId="38E0DE29" w:rsidR="00253265" w:rsidRPr="00671C20" w:rsidRDefault="00927DD5" w:rsidP="00C86DBB">
      <w:pPr>
        <w:pStyle w:val="Bullet"/>
        <w:numPr>
          <w:ilvl w:val="0"/>
          <w:numId w:val="0"/>
        </w:numPr>
      </w:pPr>
      <w:r>
        <w:t>For example, Section 13(1)(c) of the Act which outlines that the function of FSANZ includes developing guidelines ‘</w:t>
      </w:r>
      <w:r w:rsidRPr="00774928">
        <w:t xml:space="preserve">on its own initiative or in consultation with the States, the Territories and any other body or person that </w:t>
      </w:r>
      <w:r>
        <w:t>it</w:t>
      </w:r>
      <w:r w:rsidRPr="00774928">
        <w:t xml:space="preserve"> considers appropriate</w:t>
      </w:r>
      <w:r>
        <w:t xml:space="preserve">’. This could be extended to explicitly include consultation </w:t>
      </w:r>
      <w:r w:rsidR="00B7251A">
        <w:t xml:space="preserve">with </w:t>
      </w:r>
      <w:r w:rsidR="006D59E1">
        <w:t>First Nations</w:t>
      </w:r>
      <w:r>
        <w:t xml:space="preserve">, or Māori </w:t>
      </w:r>
      <w:r w:rsidR="00FB0D4B">
        <w:t>P</w:t>
      </w:r>
      <w:r>
        <w:t xml:space="preserve">eoples. </w:t>
      </w:r>
    </w:p>
    <w:p w14:paraId="3787874B" w14:textId="6AF493FB" w:rsidR="00923BE4" w:rsidRDefault="00EA1F80" w:rsidP="00923BE4">
      <w:pPr>
        <w:pStyle w:val="Heading4"/>
      </w:pPr>
      <w:r>
        <w:lastRenderedPageBreak/>
        <w:t xml:space="preserve">Component 2.4.7 | </w:t>
      </w:r>
      <w:r w:rsidR="00923BE4" w:rsidRPr="009F2E2D">
        <w:t xml:space="preserve">FSANZ </w:t>
      </w:r>
      <w:r w:rsidR="00923BE4">
        <w:t>could</w:t>
      </w:r>
      <w:r w:rsidR="00923BE4" w:rsidRPr="009F2E2D">
        <w:t xml:space="preserve"> collaborate </w:t>
      </w:r>
      <w:r w:rsidR="00923BE4">
        <w:t>more regularly</w:t>
      </w:r>
      <w:r w:rsidR="00923BE4" w:rsidRPr="009F2E2D">
        <w:t xml:space="preserve"> with jurisdiction</w:t>
      </w:r>
      <w:r w:rsidR="00923BE4">
        <w:t>al</w:t>
      </w:r>
      <w:r w:rsidR="00923BE4" w:rsidRPr="009F2E2D">
        <w:t xml:space="preserve"> enforcement </w:t>
      </w:r>
      <w:proofErr w:type="gramStart"/>
      <w:r w:rsidR="00923BE4" w:rsidRPr="009F2E2D">
        <w:t>agencies</w:t>
      </w:r>
      <w:proofErr w:type="gramEnd"/>
    </w:p>
    <w:tbl>
      <w:tblPr>
        <w:tblStyle w:val="TableGrid"/>
        <w:tblW w:w="0" w:type="auto"/>
        <w:tblLook w:val="04A0" w:firstRow="1" w:lastRow="0" w:firstColumn="1" w:lastColumn="0" w:noHBand="0" w:noVBand="1"/>
      </w:tblPr>
      <w:tblGrid>
        <w:gridCol w:w="8930"/>
      </w:tblGrid>
      <w:tr w:rsidR="0089006F" w14:paraId="3FDA5159"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4C07B813" w14:textId="77777777" w:rsidR="005D6311" w:rsidRPr="007F7722" w:rsidRDefault="005D6311" w:rsidP="005D6311">
            <w:pPr>
              <w:rPr>
                <w:rFonts w:asciiTheme="majorHAnsi" w:hAnsiTheme="majorHAnsi" w:cstheme="majorHAnsi"/>
                <w:lang w:eastAsia="en-AU"/>
              </w:rPr>
            </w:pPr>
            <w:r w:rsidRPr="007F7722">
              <w:rPr>
                <w:rFonts w:asciiTheme="majorHAnsi" w:hAnsiTheme="majorHAnsi" w:cstheme="majorHAnsi"/>
                <w:lang w:eastAsia="en-AU"/>
              </w:rPr>
              <w:t xml:space="preserve">Policy problem to which this </w:t>
            </w:r>
            <w:r>
              <w:rPr>
                <w:rFonts w:asciiTheme="majorHAnsi" w:hAnsiTheme="majorHAnsi" w:cstheme="majorHAnsi"/>
                <w:lang w:eastAsia="en-AU"/>
              </w:rPr>
              <w:t>component</w:t>
            </w:r>
            <w:r w:rsidRPr="007F7722">
              <w:rPr>
                <w:rFonts w:asciiTheme="majorHAnsi" w:hAnsiTheme="majorHAnsi" w:cstheme="majorHAnsi"/>
                <w:lang w:eastAsia="en-AU"/>
              </w:rPr>
              <w:t xml:space="preserve"> relates:</w:t>
            </w:r>
          </w:p>
          <w:p w14:paraId="598CDE50" w14:textId="77777777" w:rsidR="0037058D" w:rsidRPr="00F2374C" w:rsidRDefault="0037058D">
            <w:pPr>
              <w:pStyle w:val="Bullet"/>
              <w:spacing w:line="259" w:lineRule="auto"/>
            </w:pPr>
            <w:r>
              <w:t xml:space="preserve">Problem 4.3 | </w:t>
            </w:r>
            <w:r w:rsidRPr="009F6342">
              <w:t>Inconsistent interpretation and enforcement of food standards heightens costs for industry and enforcement agencies, while potentially undermining management of foodborne risks (Australia only)</w:t>
            </w:r>
          </w:p>
        </w:tc>
      </w:tr>
    </w:tbl>
    <w:p w14:paraId="6CAAD15F" w14:textId="77777777" w:rsidR="00F73123" w:rsidRDefault="00F73123" w:rsidP="00F84880">
      <w:pPr>
        <w:rPr>
          <w:lang w:eastAsia="en-AU"/>
        </w:rPr>
      </w:pPr>
    </w:p>
    <w:p w14:paraId="64BC3547" w14:textId="209DE9B0" w:rsidR="00923BE4" w:rsidRDefault="00923BE4" w:rsidP="00F84880">
      <w:pPr>
        <w:rPr>
          <w:lang w:eastAsia="en-AU"/>
        </w:rPr>
      </w:pPr>
      <w:r>
        <w:rPr>
          <w:lang w:eastAsia="en-AU"/>
        </w:rPr>
        <w:t xml:space="preserve">FSANZ could collaborate </w:t>
      </w:r>
      <w:r w:rsidR="0058296F">
        <w:rPr>
          <w:lang w:eastAsia="en-AU"/>
        </w:rPr>
        <w:t>more regularly</w:t>
      </w:r>
      <w:r>
        <w:rPr>
          <w:lang w:eastAsia="en-AU"/>
        </w:rPr>
        <w:t xml:space="preserve"> </w:t>
      </w:r>
      <w:r w:rsidRPr="00470346">
        <w:rPr>
          <w:lang w:eastAsia="en-AU"/>
        </w:rPr>
        <w:t xml:space="preserve">with jurisdictional enforcement agencies to identify emerging risks and activate the appropriate regulatory response. Currently, jurisdictions undertake significant work to hone a risk-based approach to regulation, based on their own perceptions of where the most pressing risks lie. </w:t>
      </w:r>
      <w:r w:rsidR="009E77B6">
        <w:rPr>
          <w:lang w:eastAsia="en-AU"/>
        </w:rPr>
        <w:t xml:space="preserve">FSANZ </w:t>
      </w:r>
      <w:r w:rsidR="00E7330C">
        <w:rPr>
          <w:lang w:eastAsia="en-AU"/>
        </w:rPr>
        <w:t>already shares intelligence with the jurisdictions to support</w:t>
      </w:r>
      <w:r w:rsidR="008F7A84">
        <w:rPr>
          <w:lang w:eastAsia="en-AU"/>
        </w:rPr>
        <w:t xml:space="preserve"> this.</w:t>
      </w:r>
      <w:r w:rsidR="003C6AE7">
        <w:rPr>
          <w:lang w:eastAsia="en-AU"/>
        </w:rPr>
        <w:t xml:space="preserve"> To expand this collaboration, </w:t>
      </w:r>
      <w:r w:rsidRPr="00470346">
        <w:rPr>
          <w:lang w:eastAsia="en-AU"/>
        </w:rPr>
        <w:t>FSANZ could use its intelligence base to highlight emerging risks and position enforcement agencies to stand up a proactive response and manage issues before they arise.</w:t>
      </w:r>
    </w:p>
    <w:tbl>
      <w:tblPr>
        <w:tblStyle w:val="TableGrid"/>
        <w:tblW w:w="0" w:type="auto"/>
        <w:tblLook w:val="04A0" w:firstRow="1" w:lastRow="0" w:firstColumn="1" w:lastColumn="0" w:noHBand="0" w:noVBand="1"/>
      </w:tblPr>
      <w:tblGrid>
        <w:gridCol w:w="8907"/>
        <w:gridCol w:w="23"/>
      </w:tblGrid>
      <w:tr w:rsidR="00FB4867" w14:paraId="5928EBC0" w14:textId="77777777" w:rsidTr="00FB4867">
        <w:trPr>
          <w:gridAfter w:val="1"/>
          <w:cnfStyle w:val="100000000000" w:firstRow="1" w:lastRow="0" w:firstColumn="0" w:lastColumn="0" w:oddVBand="0" w:evenVBand="0" w:oddHBand="0" w:evenHBand="0" w:firstRowFirstColumn="0" w:firstRowLastColumn="0" w:lastRowFirstColumn="0" w:lastRowLastColumn="0"/>
          <w:wAfter w:w="23" w:type="dxa"/>
        </w:trPr>
        <w:tc>
          <w:tcPr>
            <w:tcW w:w="8930" w:type="dxa"/>
            <w:shd w:val="clear" w:color="auto" w:fill="00264D" w:themeFill="background2"/>
          </w:tcPr>
          <w:p w14:paraId="07015510" w14:textId="7227FA82" w:rsidR="00FB4867" w:rsidRDefault="00FB4867" w:rsidP="00F84880">
            <w:pPr>
              <w:rPr>
                <w:lang w:eastAsia="en-AU"/>
              </w:rPr>
            </w:pPr>
            <w:r w:rsidRPr="003D65AB">
              <w:rPr>
                <w:rFonts w:asciiTheme="majorHAnsi" w:hAnsiTheme="majorHAnsi" w:cstheme="majorHAnsi"/>
                <w:color w:val="FFFFFF" w:themeColor="background1"/>
              </w:rPr>
              <w:t>Consultation questions</w:t>
            </w:r>
          </w:p>
        </w:tc>
      </w:tr>
      <w:tr w:rsidR="00FB4867" w14:paraId="35A37430" w14:textId="77777777" w:rsidTr="00FB4867">
        <w:trPr>
          <w:cnfStyle w:val="000000100000" w:firstRow="0" w:lastRow="0" w:firstColumn="0" w:lastColumn="0" w:oddVBand="0" w:evenVBand="0" w:oddHBand="1" w:evenHBand="0" w:firstRowFirstColumn="0" w:firstRowLastColumn="0" w:lastRowFirstColumn="0" w:lastRowLastColumn="0"/>
        </w:trPr>
        <w:tc>
          <w:tcPr>
            <w:tcW w:w="8930" w:type="dxa"/>
            <w:gridSpan w:val="2"/>
          </w:tcPr>
          <w:p w14:paraId="098EF589" w14:textId="70AC42F5" w:rsidR="0006280C" w:rsidRPr="007C0813" w:rsidRDefault="00FB4867" w:rsidP="007C0813">
            <w:pPr>
              <w:spacing w:before="120"/>
              <w:rPr>
                <w:rStyle w:val="cf01"/>
                <w:rFonts w:asciiTheme="majorHAnsi" w:hAnsiTheme="majorHAnsi" w:cstheme="majorHAnsi"/>
                <w:color w:val="00264D" w:themeColor="background2"/>
              </w:rPr>
            </w:pPr>
            <w:r w:rsidRPr="00D749C4">
              <w:rPr>
                <w:rStyle w:val="cf01"/>
                <w:rFonts w:asciiTheme="majorHAnsi" w:hAnsiTheme="majorHAnsi" w:cstheme="majorHAnsi"/>
                <w:color w:val="00264D" w:themeColor="background2"/>
              </w:rPr>
              <w:t>Component 2.4.1 | Mechanisms to enable FSANZ and FMM to undertake periodic joint agenda-setting could be implemented</w:t>
            </w:r>
            <w:r w:rsidR="00F0079B">
              <w:rPr>
                <w:rStyle w:val="cf01"/>
                <w:rFonts w:asciiTheme="majorHAnsi" w:hAnsiTheme="majorHAnsi" w:cstheme="majorHAnsi"/>
                <w:color w:val="00264D" w:themeColor="background2"/>
              </w:rPr>
              <w:t>.</w:t>
            </w:r>
          </w:p>
          <w:p w14:paraId="6B0A02CB" w14:textId="13704394" w:rsidR="00FB6ED4" w:rsidRPr="005924E0" w:rsidRDefault="00FB6ED4" w:rsidP="003D7D1B">
            <w:pPr>
              <w:pStyle w:val="pf0"/>
              <w:numPr>
                <w:ilvl w:val="0"/>
                <w:numId w:val="64"/>
              </w:numPr>
              <w:spacing w:before="0" w:beforeAutospacing="0" w:after="0" w:afterAutospacing="0"/>
              <w:rPr>
                <w:rStyle w:val="cf01"/>
                <w:color w:val="00264D" w:themeColor="background2"/>
              </w:rPr>
            </w:pPr>
            <w:r w:rsidRPr="005924E0">
              <w:rPr>
                <w:rStyle w:val="cf01"/>
                <w:color w:val="00264D" w:themeColor="background2"/>
              </w:rPr>
              <w:t>Would establishing mechanisms to enable FSANZ and FMM to undertake periodic joint agenda setting lead to a shared vision of system priorities?</w:t>
            </w:r>
          </w:p>
          <w:p w14:paraId="53A84111" w14:textId="6291C191" w:rsidR="00FB6ED4" w:rsidRPr="005924E0" w:rsidRDefault="00FB6ED4" w:rsidP="003D7D1B">
            <w:pPr>
              <w:pStyle w:val="pf0"/>
              <w:numPr>
                <w:ilvl w:val="1"/>
                <w:numId w:val="64"/>
              </w:numPr>
              <w:spacing w:before="0" w:beforeAutospacing="0" w:after="0" w:afterAutospacing="0"/>
              <w:rPr>
                <w:rStyle w:val="cf01"/>
                <w:color w:val="00264D" w:themeColor="background2"/>
              </w:rPr>
            </w:pPr>
            <w:r w:rsidRPr="005924E0">
              <w:rPr>
                <w:rStyle w:val="cf01"/>
                <w:color w:val="00264D" w:themeColor="background2"/>
              </w:rPr>
              <w:t xml:space="preserve">How would this need to be implemented to be successful? </w:t>
            </w:r>
          </w:p>
          <w:p w14:paraId="78D50DCD" w14:textId="4B71A031" w:rsidR="00FB6ED4" w:rsidRPr="005924E0" w:rsidRDefault="00FB6ED4" w:rsidP="003D7D1B">
            <w:pPr>
              <w:pStyle w:val="pf0"/>
              <w:numPr>
                <w:ilvl w:val="0"/>
                <w:numId w:val="64"/>
              </w:numPr>
              <w:spacing w:before="0" w:beforeAutospacing="0" w:after="0" w:afterAutospacing="0"/>
              <w:rPr>
                <w:rStyle w:val="cf01"/>
                <w:color w:val="00264D" w:themeColor="background2"/>
              </w:rPr>
            </w:pPr>
            <w:r w:rsidRPr="005924E0">
              <w:rPr>
                <w:rStyle w:val="cf01"/>
                <w:color w:val="00264D" w:themeColor="background2"/>
              </w:rPr>
              <w:t xml:space="preserve">What factors should be considered as part of the joint prioritisation matrix? </w:t>
            </w:r>
          </w:p>
          <w:p w14:paraId="207F6F81" w14:textId="34B7734F" w:rsidR="00FB6ED4" w:rsidRPr="005924E0" w:rsidRDefault="00FB6ED4" w:rsidP="003D7D1B">
            <w:pPr>
              <w:pStyle w:val="pf0"/>
              <w:numPr>
                <w:ilvl w:val="0"/>
                <w:numId w:val="64"/>
              </w:numPr>
              <w:spacing w:before="0" w:beforeAutospacing="0" w:after="0" w:afterAutospacing="0"/>
              <w:rPr>
                <w:rStyle w:val="cf01"/>
                <w:color w:val="00264D" w:themeColor="background2"/>
              </w:rPr>
            </w:pPr>
            <w:r w:rsidRPr="005924E0">
              <w:rPr>
                <w:rStyle w:val="cf01"/>
                <w:color w:val="00264D" w:themeColor="background2"/>
              </w:rPr>
              <w:t xml:space="preserve">In what ways could FSANZ and FMM work together in a more coordinated way? </w:t>
            </w:r>
          </w:p>
          <w:p w14:paraId="504BCFB5" w14:textId="2D6BA04A" w:rsidR="00FB4867" w:rsidRDefault="00FB4867" w:rsidP="000F784E">
            <w:pPr>
              <w:pStyle w:val="pf0"/>
              <w:spacing w:before="120" w:beforeAutospacing="0" w:after="120" w:afterAutospacing="0"/>
              <w:rPr>
                <w:rStyle w:val="cf01"/>
                <w:rFonts w:asciiTheme="majorHAnsi" w:hAnsiTheme="majorHAnsi" w:cstheme="majorHAnsi"/>
                <w:color w:val="00264D" w:themeColor="background2"/>
              </w:rPr>
            </w:pPr>
            <w:r w:rsidRPr="00ED4FD2">
              <w:rPr>
                <w:rStyle w:val="cf01"/>
                <w:rFonts w:asciiTheme="majorHAnsi" w:hAnsiTheme="majorHAnsi" w:cstheme="majorHAnsi"/>
                <w:color w:val="00264D" w:themeColor="background2"/>
              </w:rPr>
              <w:t>Component 2.4.2 | FSANZ could engage earlier and more systematically with FRSC and jurisdictions in the development of food standards</w:t>
            </w:r>
            <w:r w:rsidR="00F0079B">
              <w:rPr>
                <w:rStyle w:val="cf01"/>
                <w:rFonts w:asciiTheme="majorHAnsi" w:hAnsiTheme="majorHAnsi" w:cstheme="majorHAnsi"/>
                <w:color w:val="00264D" w:themeColor="background2"/>
              </w:rPr>
              <w:t>.</w:t>
            </w:r>
          </w:p>
          <w:p w14:paraId="64319757" w14:textId="4D4D5F73" w:rsidR="00FB4867" w:rsidRDefault="00FB4867" w:rsidP="003D7D1B">
            <w:pPr>
              <w:pStyle w:val="pf0"/>
              <w:numPr>
                <w:ilvl w:val="0"/>
                <w:numId w:val="64"/>
              </w:numPr>
              <w:spacing w:before="0" w:beforeAutospacing="0" w:after="0" w:afterAutospacing="0"/>
              <w:rPr>
                <w:rStyle w:val="cf01"/>
                <w:color w:val="00264D" w:themeColor="background2"/>
              </w:rPr>
            </w:pPr>
            <w:r w:rsidRPr="00FB4867">
              <w:rPr>
                <w:rStyle w:val="cf01"/>
                <w:color w:val="00264D" w:themeColor="background2"/>
              </w:rPr>
              <w:t>Would more routine engagement between FSANZ and the FRSC reduce duplication of effort and missed opportunities to manage risk? How so?</w:t>
            </w:r>
          </w:p>
          <w:p w14:paraId="51A2E865" w14:textId="299F144B" w:rsidR="00275B3C" w:rsidRPr="00275B3C" w:rsidRDefault="00275B3C" w:rsidP="003D7D1B">
            <w:pPr>
              <w:pStyle w:val="pf0"/>
              <w:numPr>
                <w:ilvl w:val="0"/>
                <w:numId w:val="64"/>
              </w:numPr>
              <w:spacing w:before="0" w:beforeAutospacing="0" w:after="0" w:afterAutospacing="0"/>
              <w:rPr>
                <w:rStyle w:val="cf01"/>
                <w:color w:val="00264D" w:themeColor="background2"/>
              </w:rPr>
            </w:pPr>
            <w:r>
              <w:rPr>
                <w:rStyle w:val="cf01"/>
                <w:color w:val="00264D" w:themeColor="background2"/>
              </w:rPr>
              <w:t xml:space="preserve">What approaches could be used to improve collaboration between FSANZ, the FRSC, and the FMM? </w:t>
            </w:r>
          </w:p>
          <w:p w14:paraId="25FE5951" w14:textId="3A8BDBA7" w:rsidR="00FB4867" w:rsidRDefault="00FB4867" w:rsidP="000F784E">
            <w:pPr>
              <w:pStyle w:val="pf0"/>
              <w:spacing w:before="120" w:beforeAutospacing="0" w:after="120" w:afterAutospacing="0"/>
              <w:rPr>
                <w:rStyle w:val="cf01"/>
                <w:rFonts w:asciiTheme="majorHAnsi" w:hAnsiTheme="majorHAnsi" w:cstheme="majorHAnsi"/>
                <w:color w:val="00264D" w:themeColor="background2"/>
              </w:rPr>
            </w:pPr>
            <w:r w:rsidRPr="00F9322E">
              <w:rPr>
                <w:rStyle w:val="cf01"/>
                <w:rFonts w:asciiTheme="majorHAnsi" w:hAnsiTheme="majorHAnsi" w:cstheme="majorHAnsi"/>
                <w:color w:val="00264D" w:themeColor="background2"/>
              </w:rPr>
              <w:t>Component 2.4.3 | FSANZ could take guardianship over key food safety databases (Australia only)</w:t>
            </w:r>
          </w:p>
          <w:p w14:paraId="7A7926F1" w14:textId="77777777" w:rsidR="00FB4867" w:rsidRDefault="00FB4867" w:rsidP="003D7D1B">
            <w:pPr>
              <w:pStyle w:val="pf0"/>
              <w:numPr>
                <w:ilvl w:val="0"/>
                <w:numId w:val="64"/>
              </w:numPr>
              <w:spacing w:before="0" w:beforeAutospacing="0" w:after="0" w:afterAutospacing="0"/>
              <w:rPr>
                <w:rStyle w:val="cf01"/>
                <w:color w:val="00264D" w:themeColor="background2"/>
              </w:rPr>
            </w:pPr>
            <w:r w:rsidRPr="007F23BD">
              <w:rPr>
                <w:rStyle w:val="cf01"/>
                <w:color w:val="00264D" w:themeColor="background2"/>
              </w:rPr>
              <w:t>Would FSANZ assuming a role as a database custodian for Australia meaningfully improve intelligence sharing across the regulatory system? How so?</w:t>
            </w:r>
          </w:p>
          <w:p w14:paraId="02F6AB6A" w14:textId="0EFC2737" w:rsidR="00FB4867" w:rsidRPr="00FB4867" w:rsidRDefault="00FB4867" w:rsidP="003D7D1B">
            <w:pPr>
              <w:pStyle w:val="pf0"/>
              <w:numPr>
                <w:ilvl w:val="0"/>
                <w:numId w:val="64"/>
              </w:numPr>
              <w:spacing w:before="0" w:beforeAutospacing="0" w:after="0" w:afterAutospacing="0"/>
              <w:rPr>
                <w:rStyle w:val="cf01"/>
                <w:color w:val="00264D" w:themeColor="background2"/>
              </w:rPr>
            </w:pPr>
            <w:r w:rsidRPr="00FB4867">
              <w:rPr>
                <w:rStyle w:val="cf01"/>
                <w:color w:val="00264D" w:themeColor="background2"/>
              </w:rPr>
              <w:t>What types of data would be most useful for FSANZ to curate?</w:t>
            </w:r>
          </w:p>
          <w:p w14:paraId="77B82B70" w14:textId="7E11B7FF" w:rsidR="00FB4867" w:rsidRDefault="00FB4867" w:rsidP="000F784E">
            <w:pPr>
              <w:pStyle w:val="pf0"/>
              <w:spacing w:before="120" w:beforeAutospacing="0" w:after="120" w:afterAutospacing="0"/>
              <w:rPr>
                <w:rStyle w:val="cf01"/>
                <w:rFonts w:asciiTheme="majorHAnsi" w:hAnsiTheme="majorHAnsi" w:cstheme="majorHAnsi"/>
                <w:color w:val="00264D" w:themeColor="background2"/>
              </w:rPr>
            </w:pPr>
            <w:r w:rsidRPr="00D44CEA">
              <w:rPr>
                <w:rStyle w:val="cf01"/>
                <w:rFonts w:asciiTheme="majorHAnsi" w:hAnsiTheme="majorHAnsi" w:cstheme="majorHAnsi"/>
                <w:color w:val="00264D" w:themeColor="background2"/>
              </w:rPr>
              <w:t>Component 2.4.4 | Further work could be done to establish information sharing arrangements with international partners</w:t>
            </w:r>
            <w:r w:rsidR="00F0079B">
              <w:rPr>
                <w:rStyle w:val="cf01"/>
                <w:rFonts w:asciiTheme="majorHAnsi" w:hAnsiTheme="majorHAnsi" w:cstheme="majorHAnsi"/>
                <w:color w:val="00264D" w:themeColor="background2"/>
              </w:rPr>
              <w:t>.</w:t>
            </w:r>
          </w:p>
          <w:p w14:paraId="68DD2A71" w14:textId="4CAA93F0" w:rsidR="00FB4867" w:rsidRDefault="008A27F5" w:rsidP="003D7D1B">
            <w:pPr>
              <w:pStyle w:val="pf0"/>
              <w:numPr>
                <w:ilvl w:val="0"/>
                <w:numId w:val="64"/>
              </w:numPr>
              <w:spacing w:before="0" w:beforeAutospacing="0" w:after="0" w:afterAutospacing="0"/>
              <w:rPr>
                <w:rStyle w:val="cf01"/>
                <w:color w:val="00264D" w:themeColor="background2"/>
              </w:rPr>
            </w:pPr>
            <w:r w:rsidRPr="005924E0">
              <w:rPr>
                <w:rStyle w:val="cf01"/>
                <w:color w:val="00264D" w:themeColor="background2"/>
              </w:rPr>
              <w:t xml:space="preserve">Would establishing information sharing arrangements with international partners reduce duplication of effort and missed opportunities to manage risk? </w:t>
            </w:r>
          </w:p>
          <w:p w14:paraId="262E16AA" w14:textId="223A6DC7" w:rsidR="00F3561E" w:rsidRDefault="00754F5C" w:rsidP="003D7D1B">
            <w:pPr>
              <w:pStyle w:val="pf0"/>
              <w:numPr>
                <w:ilvl w:val="1"/>
                <w:numId w:val="64"/>
              </w:numPr>
              <w:spacing w:before="0" w:beforeAutospacing="0" w:after="0" w:afterAutospacing="0"/>
              <w:rPr>
                <w:rStyle w:val="cf01"/>
                <w:color w:val="00264D" w:themeColor="background2"/>
              </w:rPr>
            </w:pPr>
            <w:r w:rsidRPr="005924E0">
              <w:rPr>
                <w:rStyle w:val="cf01"/>
                <w:color w:val="00264D" w:themeColor="background2"/>
              </w:rPr>
              <w:t>What should be the focus of such information sharing arrangements?</w:t>
            </w:r>
          </w:p>
          <w:p w14:paraId="1E2A4C43" w14:textId="76E89590" w:rsidR="00FB4867" w:rsidRDefault="00FB4867" w:rsidP="000F784E">
            <w:pPr>
              <w:pStyle w:val="pf0"/>
              <w:spacing w:before="120" w:beforeAutospacing="0" w:after="120" w:afterAutospacing="0"/>
              <w:rPr>
                <w:rStyle w:val="cf01"/>
                <w:rFonts w:asciiTheme="majorHAnsi" w:hAnsiTheme="majorHAnsi" w:cstheme="majorHAnsi"/>
                <w:color w:val="00264D" w:themeColor="background2"/>
              </w:rPr>
            </w:pPr>
            <w:r w:rsidRPr="00655499">
              <w:rPr>
                <w:rStyle w:val="cf01"/>
                <w:rFonts w:asciiTheme="majorHAnsi" w:hAnsiTheme="majorHAnsi" w:cstheme="majorHAnsi"/>
                <w:color w:val="00264D" w:themeColor="background2"/>
              </w:rPr>
              <w:t>Component 2.4.5 | Statements of intent could be introduced into the Food Standards Code to assist with interpretation and enforcement</w:t>
            </w:r>
            <w:r w:rsidR="00F0079B">
              <w:rPr>
                <w:rStyle w:val="cf01"/>
                <w:rFonts w:asciiTheme="majorHAnsi" w:hAnsiTheme="majorHAnsi" w:cstheme="majorHAnsi"/>
                <w:color w:val="00264D" w:themeColor="background2"/>
              </w:rPr>
              <w:t>.</w:t>
            </w:r>
          </w:p>
          <w:p w14:paraId="67AF1C99" w14:textId="2114E319" w:rsidR="00FB4867" w:rsidRDefault="00FB4867" w:rsidP="003D7D1B">
            <w:pPr>
              <w:pStyle w:val="pf0"/>
              <w:numPr>
                <w:ilvl w:val="0"/>
                <w:numId w:val="64"/>
              </w:numPr>
              <w:spacing w:before="0" w:beforeAutospacing="0" w:after="0" w:afterAutospacing="0"/>
              <w:rPr>
                <w:rStyle w:val="cf01"/>
                <w:color w:val="00264D" w:themeColor="background2"/>
              </w:rPr>
            </w:pPr>
            <w:r w:rsidRPr="007F23BD">
              <w:rPr>
                <w:rStyle w:val="cf01"/>
                <w:color w:val="00264D" w:themeColor="background2"/>
              </w:rPr>
              <w:t xml:space="preserve">Would introducing </w:t>
            </w:r>
            <w:r>
              <w:rPr>
                <w:rStyle w:val="cf01"/>
                <w:color w:val="00264D" w:themeColor="background2"/>
              </w:rPr>
              <w:t>Statements of Intent</w:t>
            </w:r>
            <w:r w:rsidRPr="007F23BD">
              <w:rPr>
                <w:rStyle w:val="cf01"/>
                <w:color w:val="00264D" w:themeColor="background2"/>
              </w:rPr>
              <w:t xml:space="preserve"> into food standards meaningfully improve consistent interpretation and enforcement of food standards? How so?</w:t>
            </w:r>
          </w:p>
          <w:p w14:paraId="738FD079" w14:textId="63D99E83" w:rsidR="00FB4867" w:rsidRPr="00FB4867" w:rsidRDefault="00CA6A34" w:rsidP="003D7D1B">
            <w:pPr>
              <w:pStyle w:val="pf0"/>
              <w:numPr>
                <w:ilvl w:val="0"/>
                <w:numId w:val="64"/>
              </w:numPr>
              <w:spacing w:before="0" w:beforeAutospacing="0" w:after="0" w:afterAutospacing="0"/>
              <w:rPr>
                <w:rStyle w:val="cf01"/>
                <w:color w:val="00264D" w:themeColor="background2"/>
              </w:rPr>
            </w:pPr>
            <w:r w:rsidRPr="005924E0">
              <w:rPr>
                <w:rStyle w:val="cf01"/>
                <w:color w:val="00264D" w:themeColor="background2"/>
              </w:rPr>
              <w:t>What should a Statement of Intent include to benefit industry and enforcement agencies to understand and consistently apply food standards</w:t>
            </w:r>
            <w:r w:rsidR="00FB4867" w:rsidRPr="00FB4867">
              <w:rPr>
                <w:rStyle w:val="cf01"/>
                <w:color w:val="00264D" w:themeColor="background2"/>
              </w:rPr>
              <w:t>?</w:t>
            </w:r>
          </w:p>
          <w:p w14:paraId="684417BD" w14:textId="270CD632" w:rsidR="00FB4867" w:rsidRDefault="00FB4867" w:rsidP="000F784E">
            <w:pPr>
              <w:pStyle w:val="pf0"/>
              <w:spacing w:before="120" w:beforeAutospacing="0" w:after="120" w:afterAutospacing="0"/>
              <w:rPr>
                <w:rStyle w:val="cf01"/>
                <w:rFonts w:asciiTheme="majorHAnsi" w:hAnsiTheme="majorHAnsi" w:cstheme="majorHAnsi"/>
                <w:color w:val="00264D" w:themeColor="background2"/>
              </w:rPr>
            </w:pPr>
            <w:r w:rsidRPr="005A4832">
              <w:rPr>
                <w:rStyle w:val="cf01"/>
                <w:rFonts w:asciiTheme="majorHAnsi" w:hAnsiTheme="majorHAnsi" w:cstheme="majorHAnsi"/>
                <w:color w:val="00264D" w:themeColor="background2"/>
              </w:rPr>
              <w:t xml:space="preserve">Component 2.4.6 | FSANZ could be resourced to develop, update and maintain industry guidelines to guide interpretation of food </w:t>
            </w:r>
            <w:proofErr w:type="gramStart"/>
            <w:r w:rsidRPr="005A4832">
              <w:rPr>
                <w:rStyle w:val="cf01"/>
                <w:rFonts w:asciiTheme="majorHAnsi" w:hAnsiTheme="majorHAnsi" w:cstheme="majorHAnsi"/>
                <w:color w:val="00264D" w:themeColor="background2"/>
              </w:rPr>
              <w:t>standards</w:t>
            </w:r>
            <w:proofErr w:type="gramEnd"/>
          </w:p>
          <w:p w14:paraId="13763F56" w14:textId="5C0F85C4" w:rsidR="00370397" w:rsidRDefault="00FB4867" w:rsidP="003D7D1B">
            <w:pPr>
              <w:pStyle w:val="pf0"/>
              <w:numPr>
                <w:ilvl w:val="0"/>
                <w:numId w:val="64"/>
              </w:numPr>
              <w:spacing w:before="0" w:beforeAutospacing="0" w:after="0" w:afterAutospacing="0"/>
              <w:rPr>
                <w:rStyle w:val="cf01"/>
                <w:color w:val="00264D" w:themeColor="background2"/>
              </w:rPr>
            </w:pPr>
            <w:r w:rsidRPr="007F23BD">
              <w:rPr>
                <w:rStyle w:val="cf01"/>
                <w:color w:val="00264D" w:themeColor="background2"/>
              </w:rPr>
              <w:t xml:space="preserve">Would FSANZ being resourced to develop, </w:t>
            </w:r>
            <w:proofErr w:type="gramStart"/>
            <w:r w:rsidRPr="007F23BD">
              <w:rPr>
                <w:rStyle w:val="cf01"/>
                <w:color w:val="00264D" w:themeColor="background2"/>
              </w:rPr>
              <w:t>update</w:t>
            </w:r>
            <w:proofErr w:type="gramEnd"/>
            <w:r w:rsidRPr="007F23BD">
              <w:rPr>
                <w:rStyle w:val="cf01"/>
                <w:color w:val="00264D" w:themeColor="background2"/>
              </w:rPr>
              <w:t xml:space="preserve"> and maintain industry guidelines improve consistent interpretation and enforcement of food standards? How so?</w:t>
            </w:r>
          </w:p>
          <w:p w14:paraId="179C7030" w14:textId="03F99C14" w:rsidR="00370397" w:rsidRDefault="00370397" w:rsidP="003D7D1B">
            <w:pPr>
              <w:pStyle w:val="pf0"/>
              <w:numPr>
                <w:ilvl w:val="0"/>
                <w:numId w:val="64"/>
              </w:numPr>
              <w:spacing w:before="0" w:beforeAutospacing="0" w:after="0" w:afterAutospacing="0"/>
              <w:rPr>
                <w:rStyle w:val="cf01"/>
                <w:rFonts w:asciiTheme="majorHAnsi" w:hAnsiTheme="majorHAnsi" w:cstheme="majorHAnsi"/>
                <w:color w:val="00264D" w:themeColor="background2"/>
              </w:rPr>
            </w:pPr>
            <w:r w:rsidRPr="005924E0">
              <w:rPr>
                <w:rStyle w:val="cf01"/>
                <w:color w:val="00264D" w:themeColor="background2"/>
              </w:rPr>
              <w:lastRenderedPageBreak/>
              <w:t>Would amending the Act to allow FSANZ to develop guidelines in consultation with First Nations or Māori peoples support cultural considerations</w:t>
            </w:r>
            <w:r w:rsidR="00344D04">
              <w:rPr>
                <w:rStyle w:val="cf01"/>
                <w:color w:val="00264D" w:themeColor="background2"/>
              </w:rPr>
              <w:t xml:space="preserve"> </w:t>
            </w:r>
            <w:r>
              <w:rPr>
                <w:rStyle w:val="cf01"/>
                <w:color w:val="00264D" w:themeColor="background2"/>
              </w:rPr>
              <w:t>being</w:t>
            </w:r>
            <w:r w:rsidRPr="005924E0">
              <w:rPr>
                <w:rStyle w:val="cf01"/>
                <w:color w:val="00264D" w:themeColor="background2"/>
              </w:rPr>
              <w:t xml:space="preserve"> </w:t>
            </w:r>
            <w:proofErr w:type="gramStart"/>
            <w:r w:rsidRPr="005924E0">
              <w:rPr>
                <w:rStyle w:val="cf01"/>
                <w:color w:val="00264D" w:themeColor="background2"/>
              </w:rPr>
              <w:t>taken into account</w:t>
            </w:r>
            <w:proofErr w:type="gramEnd"/>
            <w:r w:rsidRPr="005924E0">
              <w:rPr>
                <w:rStyle w:val="cf01"/>
                <w:color w:val="00264D" w:themeColor="background2"/>
              </w:rPr>
              <w:t xml:space="preserve"> in th</w:t>
            </w:r>
            <w:r w:rsidR="00344D04">
              <w:rPr>
                <w:rStyle w:val="cf01"/>
                <w:color w:val="00264D" w:themeColor="background2"/>
              </w:rPr>
              <w:t>e food standards</w:t>
            </w:r>
            <w:r w:rsidRPr="005924E0">
              <w:rPr>
                <w:rStyle w:val="cf01"/>
                <w:color w:val="00264D" w:themeColor="background2"/>
              </w:rPr>
              <w:t xml:space="preserve"> process</w:t>
            </w:r>
            <w:r w:rsidR="00344D04">
              <w:rPr>
                <w:rStyle w:val="cf01"/>
                <w:color w:val="00264D" w:themeColor="background2"/>
              </w:rPr>
              <w:t>?</w:t>
            </w:r>
            <w:r w:rsidRPr="00370397" w:rsidDel="00370397">
              <w:rPr>
                <w:rStyle w:val="cf01"/>
                <w:color w:val="00264D" w:themeColor="background2"/>
              </w:rPr>
              <w:t xml:space="preserve"> </w:t>
            </w:r>
          </w:p>
          <w:p w14:paraId="141ED13F" w14:textId="55757F2B" w:rsidR="00C346DA" w:rsidRPr="00C346DA" w:rsidRDefault="00FB4867" w:rsidP="000F784E">
            <w:pPr>
              <w:pStyle w:val="pf0"/>
              <w:spacing w:before="120" w:beforeAutospacing="0" w:after="120" w:afterAutospacing="0"/>
              <w:rPr>
                <w:rStyle w:val="cf01"/>
                <w:rFonts w:asciiTheme="majorHAnsi" w:hAnsiTheme="majorHAnsi" w:cstheme="majorHAnsi"/>
                <w:color w:val="00264D" w:themeColor="background2"/>
              </w:rPr>
            </w:pPr>
            <w:r w:rsidRPr="00DC4FD2">
              <w:rPr>
                <w:rStyle w:val="cf01"/>
                <w:rFonts w:asciiTheme="majorHAnsi" w:hAnsiTheme="majorHAnsi" w:cstheme="majorHAnsi"/>
                <w:color w:val="00264D" w:themeColor="background2"/>
              </w:rPr>
              <w:t xml:space="preserve">Component 2.4.7 | FSANZ could collaborate more regularly with jurisdictional enforcement </w:t>
            </w:r>
            <w:proofErr w:type="gramStart"/>
            <w:r w:rsidRPr="00DC4FD2">
              <w:rPr>
                <w:rStyle w:val="cf01"/>
                <w:rFonts w:asciiTheme="majorHAnsi" w:hAnsiTheme="majorHAnsi" w:cstheme="majorHAnsi"/>
                <w:color w:val="00264D" w:themeColor="background2"/>
              </w:rPr>
              <w:t>agencies</w:t>
            </w:r>
            <w:proofErr w:type="gramEnd"/>
          </w:p>
          <w:p w14:paraId="31F71F64" w14:textId="77777777" w:rsidR="00A83CC8" w:rsidRPr="005924E0" w:rsidRDefault="00A83CC8" w:rsidP="003D7D1B">
            <w:pPr>
              <w:pStyle w:val="pf0"/>
              <w:numPr>
                <w:ilvl w:val="0"/>
                <w:numId w:val="64"/>
              </w:numPr>
              <w:spacing w:before="0" w:beforeAutospacing="0" w:after="0" w:afterAutospacing="0"/>
              <w:rPr>
                <w:rStyle w:val="cf01"/>
                <w:color w:val="00264D" w:themeColor="background2"/>
              </w:rPr>
            </w:pPr>
            <w:r w:rsidRPr="005924E0">
              <w:rPr>
                <w:rStyle w:val="cf01"/>
                <w:color w:val="00264D" w:themeColor="background2"/>
              </w:rPr>
              <w:t xml:space="preserve">Would FSANZ collaborating with jurisdictional enforcement agencies improve inconsistent interpretation and enforcement of food standards? </w:t>
            </w:r>
          </w:p>
          <w:p w14:paraId="55694C9C" w14:textId="0CDA4537" w:rsidR="00C346DA" w:rsidRPr="00C346DA" w:rsidRDefault="00C346DA" w:rsidP="000F784E">
            <w:pPr>
              <w:pStyle w:val="pf0"/>
              <w:spacing w:before="120" w:beforeAutospacing="0" w:after="120" w:afterAutospacing="0"/>
              <w:rPr>
                <w:rStyle w:val="cf01"/>
                <w:rFonts w:asciiTheme="majorHAnsi" w:hAnsiTheme="majorHAnsi" w:cstheme="majorHAnsi"/>
                <w:color w:val="00264D" w:themeColor="background2"/>
              </w:rPr>
            </w:pPr>
            <w:r w:rsidRPr="00C346DA">
              <w:rPr>
                <w:rStyle w:val="cf01"/>
                <w:rFonts w:asciiTheme="majorHAnsi" w:hAnsiTheme="majorHAnsi" w:cstheme="majorHAnsi"/>
                <w:color w:val="00264D" w:themeColor="background2"/>
              </w:rPr>
              <w:t>Other</w:t>
            </w:r>
          </w:p>
          <w:p w14:paraId="11E913A6" w14:textId="0247E98A" w:rsidR="00257073" w:rsidRPr="00257073" w:rsidRDefault="00C346DA" w:rsidP="00257073">
            <w:pPr>
              <w:pStyle w:val="pf0"/>
              <w:numPr>
                <w:ilvl w:val="0"/>
                <w:numId w:val="64"/>
              </w:numPr>
              <w:spacing w:before="0" w:beforeAutospacing="0" w:after="0" w:afterAutospacing="0"/>
              <w:rPr>
                <w:rFonts w:ascii="Segoe UI" w:hAnsi="Segoe UI" w:cs="Segoe UI"/>
                <w:color w:val="00264D" w:themeColor="background2"/>
                <w:sz w:val="18"/>
                <w:szCs w:val="18"/>
              </w:rPr>
            </w:pPr>
            <w:r>
              <w:rPr>
                <w:rStyle w:val="cf01"/>
                <w:color w:val="00264D" w:themeColor="background2"/>
              </w:rPr>
              <w:t>Are there other initiatives that should be considered in this component?</w:t>
            </w:r>
          </w:p>
        </w:tc>
      </w:tr>
    </w:tbl>
    <w:p w14:paraId="60B5FD89" w14:textId="2ADFACF0" w:rsidR="00923BE4" w:rsidRPr="00B86245" w:rsidRDefault="0085269D" w:rsidP="0085269D">
      <w:pPr>
        <w:pStyle w:val="Heading1"/>
        <w:rPr>
          <w:rFonts w:asciiTheme="minorHAnsi" w:hAnsiTheme="minorHAnsi" w:cstheme="minorHAnsi"/>
          <w:color w:val="FFFFFF" w:themeColor="background1"/>
          <w:szCs w:val="36"/>
        </w:rPr>
      </w:pPr>
      <w:bookmarkStart w:id="60" w:name="_Toc157066634"/>
      <w:bookmarkStart w:id="61" w:name="_Ref149650763"/>
      <w:bookmarkStart w:id="62" w:name="_Ref142060280"/>
      <w:bookmarkStart w:id="63" w:name="_Toc157599129"/>
      <w:bookmarkEnd w:id="60"/>
      <w:r w:rsidRPr="0085269D">
        <w:rPr>
          <w:noProof/>
          <w:color w:val="FFFFFF" w:themeColor="background1"/>
        </w:rPr>
        <w:lastRenderedPageBreak/>
        <w:drawing>
          <wp:anchor distT="0" distB="0" distL="114300" distR="114300" simplePos="0" relativeHeight="251658264" behindDoc="1" locked="0" layoutInCell="1" allowOverlap="1" wp14:anchorId="71D898A8" wp14:editId="224262C6">
            <wp:simplePos x="0" y="0"/>
            <wp:positionH relativeFrom="margin">
              <wp:posOffset>-981075</wp:posOffset>
            </wp:positionH>
            <wp:positionV relativeFrom="paragraph">
              <wp:posOffset>-876935</wp:posOffset>
            </wp:positionV>
            <wp:extent cx="7581900" cy="1295400"/>
            <wp:effectExtent l="0" t="0" r="0" b="0"/>
            <wp:wrapNone/>
            <wp:docPr id="1447774689" name="Picture 1447774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74689" name="Picture 1447774689">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b="32669"/>
                    <a:stretch/>
                  </pic:blipFill>
                  <pic:spPr bwMode="auto">
                    <a:xfrm>
                      <a:off x="0" y="0"/>
                      <a:ext cx="75819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BE4" w:rsidRPr="0085269D">
        <w:rPr>
          <w:color w:val="FFFFFF" w:themeColor="background1"/>
        </w:rPr>
        <w:t xml:space="preserve">Net </w:t>
      </w:r>
      <w:r w:rsidR="00923BE4" w:rsidRPr="0085269D">
        <w:rPr>
          <w:rFonts w:asciiTheme="minorHAnsi" w:hAnsiTheme="minorHAnsi" w:cstheme="minorHAnsi"/>
          <w:color w:val="FFFFFF" w:themeColor="background1"/>
          <w:szCs w:val="36"/>
        </w:rPr>
        <w:t>Benefit</w:t>
      </w:r>
      <w:bookmarkEnd w:id="61"/>
      <w:bookmarkEnd w:id="62"/>
      <w:bookmarkEnd w:id="63"/>
    </w:p>
    <w:tbl>
      <w:tblPr>
        <w:tblStyle w:val="NousLongformcallout"/>
        <w:tblW w:w="5000" w:type="pct"/>
        <w:shd w:val="clear" w:color="auto" w:fill="E6E6E1" w:themeFill="accent5"/>
        <w:tblCellMar>
          <w:top w:w="170" w:type="dxa"/>
          <w:bottom w:w="170" w:type="dxa"/>
        </w:tblCellMar>
        <w:tblLook w:val="04A0" w:firstRow="1" w:lastRow="0" w:firstColumn="1" w:lastColumn="0" w:noHBand="0" w:noVBand="1"/>
      </w:tblPr>
      <w:tblGrid>
        <w:gridCol w:w="8907"/>
      </w:tblGrid>
      <w:tr w:rsidR="00923BE4" w14:paraId="7CA6E2AE" w14:textId="77777777" w:rsidTr="0085269D">
        <w:tc>
          <w:tcPr>
            <w:tcW w:w="8907" w:type="dxa"/>
          </w:tcPr>
          <w:p w14:paraId="43AC5BE7" w14:textId="4DFD04DD" w:rsidR="00BF30B8" w:rsidRDefault="0093100B" w:rsidP="004466D0">
            <w:r w:rsidRPr="007F7722">
              <w:t>This section presents an estimation of costs and benefits</w:t>
            </w:r>
            <w:r w:rsidR="000A77D8">
              <w:t>.</w:t>
            </w:r>
            <w:r w:rsidR="00BF30B8" w:rsidRPr="004466D0">
              <w:t xml:space="preserve"> </w:t>
            </w:r>
          </w:p>
          <w:p w14:paraId="0914FBEA" w14:textId="0AB902DD" w:rsidR="005A34D0" w:rsidRPr="005A34D0" w:rsidRDefault="005A34D0" w:rsidP="00BF30B8">
            <w:r>
              <w:t xml:space="preserve">In this version of the IA, </w:t>
            </w:r>
            <w:r w:rsidR="00A4133A">
              <w:t xml:space="preserve">economic analysis has assumed that all initiatives currently proposed within Option 2 are </w:t>
            </w:r>
            <w:r w:rsidR="00F34A45">
              <w:t xml:space="preserve">implemented. </w:t>
            </w:r>
            <w:r w:rsidR="00DB4210">
              <w:t xml:space="preserve">The net </w:t>
            </w:r>
            <w:r w:rsidR="00563BD1">
              <w:t>present value</w:t>
            </w:r>
            <w:r w:rsidR="00DB4210">
              <w:t xml:space="preserve"> will be recalculated following stakeholder feedback to reflect </w:t>
            </w:r>
            <w:r w:rsidR="006C24C0">
              <w:t xml:space="preserve">the final set of initiatives that comprise the preferred option. </w:t>
            </w:r>
          </w:p>
          <w:p w14:paraId="40CC6762" w14:textId="7DB0E1A0" w:rsidR="00923BE4" w:rsidRPr="00615F8C" w:rsidRDefault="00923BE4" w:rsidP="00134136">
            <w:pPr>
              <w:rPr>
                <w:color w:val="FFFFFF" w:themeColor="background1"/>
              </w:rPr>
            </w:pPr>
            <w:r w:rsidRPr="007F7722">
              <w:t xml:space="preserve">More information about the methodology employed and key assumptions underpinning the analysis are provided at </w:t>
            </w:r>
            <w:r w:rsidR="002B66E5">
              <w:fldChar w:fldCharType="begin"/>
            </w:r>
            <w:r w:rsidR="002B66E5">
              <w:instrText xml:space="preserve"> REF _Ref142467412 \r \h </w:instrText>
            </w:r>
            <w:r w:rsidR="002B66E5">
              <w:fldChar w:fldCharType="separate"/>
            </w:r>
            <w:r w:rsidR="003F7B92">
              <w:t>Appendix C</w:t>
            </w:r>
            <w:r w:rsidR="002B66E5">
              <w:fldChar w:fldCharType="end"/>
            </w:r>
            <w:r w:rsidR="0093100B" w:rsidRPr="007F7722">
              <w:t>.</w:t>
            </w:r>
          </w:p>
        </w:tc>
      </w:tr>
    </w:tbl>
    <w:p w14:paraId="29532360" w14:textId="77777777" w:rsidR="00923BE4" w:rsidRPr="002C3C21" w:rsidRDefault="00923BE4" w:rsidP="00923BE4">
      <w:pPr>
        <w:rPr>
          <w:sz w:val="16"/>
          <w:szCs w:val="16"/>
          <w:lang w:eastAsia="en-AU"/>
        </w:rPr>
      </w:pPr>
    </w:p>
    <w:p w14:paraId="7580DE95" w14:textId="1211EF9C" w:rsidR="00923BE4" w:rsidRDefault="00923BE4" w:rsidP="00923BE4">
      <w:pPr>
        <w:rPr>
          <w:lang w:eastAsia="en-AU"/>
        </w:rPr>
      </w:pPr>
      <w:r>
        <w:rPr>
          <w:lang w:eastAsia="en-AU"/>
        </w:rPr>
        <w:t>A cost benefit analysis has been conducted to identify and assess the impacts of the proposed options on key stakeholder groups. The four stakeholder groups are:</w:t>
      </w:r>
    </w:p>
    <w:p w14:paraId="6BE7E99F" w14:textId="77777777" w:rsidR="00923BE4" w:rsidRDefault="00923BE4" w:rsidP="00923BE4">
      <w:pPr>
        <w:pStyle w:val="Bullet"/>
      </w:pPr>
      <w:r>
        <w:t>FSANZ</w:t>
      </w:r>
    </w:p>
    <w:p w14:paraId="3AFA5D64" w14:textId="0E708FF5" w:rsidR="00923BE4" w:rsidRDefault="002C4B7E" w:rsidP="00923BE4">
      <w:pPr>
        <w:pStyle w:val="Bullet"/>
      </w:pPr>
      <w:r>
        <w:t>o</w:t>
      </w:r>
      <w:r w:rsidR="00923BE4">
        <w:t>ther government entities (New Zealand and jurisdictions)</w:t>
      </w:r>
    </w:p>
    <w:p w14:paraId="31DD9D12" w14:textId="725F1677" w:rsidR="00923BE4" w:rsidRDefault="002C4B7E" w:rsidP="00923BE4">
      <w:pPr>
        <w:pStyle w:val="Bullet"/>
      </w:pPr>
      <w:r>
        <w:t>i</w:t>
      </w:r>
      <w:r w:rsidR="00923BE4">
        <w:t>ndustry</w:t>
      </w:r>
    </w:p>
    <w:p w14:paraId="1DDF89EB" w14:textId="48F4492B" w:rsidR="00923BE4" w:rsidRDefault="002C4B7E" w:rsidP="00923BE4">
      <w:pPr>
        <w:pStyle w:val="Bullet"/>
      </w:pPr>
      <w:r>
        <w:t>c</w:t>
      </w:r>
      <w:r w:rsidR="00923BE4">
        <w:t>onsumers</w:t>
      </w:r>
      <w:r>
        <w:t>.</w:t>
      </w:r>
    </w:p>
    <w:p w14:paraId="6A8ABFF4" w14:textId="68D9759D" w:rsidR="00EB30E0" w:rsidRDefault="00A626E9" w:rsidP="00A626E9">
      <w:pPr>
        <w:pStyle w:val="Bullet"/>
        <w:numPr>
          <w:ilvl w:val="0"/>
          <w:numId w:val="0"/>
        </w:numPr>
      </w:pPr>
      <w:r>
        <w:t>A cost-benefit model has been designed to ensure a comprehensive and accurate assessment of the costs and benefits of all the</w:t>
      </w:r>
      <w:r w:rsidR="00EB30E0">
        <w:t xml:space="preserve"> proposed sub-components in the IA</w:t>
      </w:r>
      <w:r>
        <w:t xml:space="preserve">. </w:t>
      </w:r>
      <w:r w:rsidR="00EB30E0">
        <w:t xml:space="preserve">This </w:t>
      </w:r>
      <w:r w:rsidR="00CA3056">
        <w:t>has required:</w:t>
      </w:r>
    </w:p>
    <w:p w14:paraId="7DB6B882" w14:textId="1BA12787" w:rsidR="008D469E" w:rsidRDefault="002C4B7E" w:rsidP="00CA3056">
      <w:pPr>
        <w:pStyle w:val="Bullet"/>
      </w:pPr>
      <w:r>
        <w:t>i</w:t>
      </w:r>
      <w:r w:rsidR="00A626E9">
        <w:t>dentify</w:t>
      </w:r>
      <w:r w:rsidR="00CA3056">
        <w:t>ing</w:t>
      </w:r>
      <w:r w:rsidR="00A626E9">
        <w:t xml:space="preserve"> and defin</w:t>
      </w:r>
      <w:r w:rsidR="00CA3056">
        <w:t>ing</w:t>
      </w:r>
      <w:r w:rsidR="00A626E9">
        <w:t xml:space="preserve"> the</w:t>
      </w:r>
      <w:r w:rsidR="008D469E">
        <w:t xml:space="preserve"> outcomes of each</w:t>
      </w:r>
      <w:r w:rsidR="00A626E9">
        <w:t xml:space="preserve"> </w:t>
      </w:r>
      <w:r w:rsidR="008D469E">
        <w:t>sub-component</w:t>
      </w:r>
    </w:p>
    <w:p w14:paraId="5A659D53" w14:textId="024BD348" w:rsidR="00A90642" w:rsidRDefault="002C4B7E" w:rsidP="00CA3056">
      <w:pPr>
        <w:pStyle w:val="Bullet"/>
      </w:pPr>
      <w:r>
        <w:t>i</w:t>
      </w:r>
      <w:r w:rsidR="00A90642">
        <w:t>dentifying key assumptions through literature reviews</w:t>
      </w:r>
      <w:r w:rsidR="00154B96">
        <w:t>, previous consultations and FSANZ</w:t>
      </w:r>
    </w:p>
    <w:p w14:paraId="2D2448B3" w14:textId="52C0337B" w:rsidR="003E3A6E" w:rsidRDefault="002C4B7E" w:rsidP="00CA3056">
      <w:pPr>
        <w:pStyle w:val="Bullet"/>
      </w:pPr>
      <w:r>
        <w:t>a</w:t>
      </w:r>
      <w:r w:rsidR="003E3A6E">
        <w:t>ssessing the impact of each sub-component on the identified outcomes</w:t>
      </w:r>
      <w:r w:rsidR="004E70D0">
        <w:t xml:space="preserve"> through literature reviews</w:t>
      </w:r>
    </w:p>
    <w:p w14:paraId="6E626E11" w14:textId="347FB90B" w:rsidR="00517BA4" w:rsidRDefault="002C4B7E" w:rsidP="00CA3056">
      <w:pPr>
        <w:pStyle w:val="Bullet"/>
      </w:pPr>
      <w:r>
        <w:t>a</w:t>
      </w:r>
      <w:r w:rsidR="008D469E">
        <w:t>ssigning and identifying</w:t>
      </w:r>
      <w:r w:rsidR="00A626E9">
        <w:t xml:space="preserve"> relevant costs and benefits </w:t>
      </w:r>
      <w:proofErr w:type="gramStart"/>
      <w:r w:rsidR="00A626E9">
        <w:t>taking into account</w:t>
      </w:r>
      <w:proofErr w:type="gramEnd"/>
      <w:r w:rsidR="00A626E9">
        <w:t xml:space="preserve"> both tangible and intangible factors</w:t>
      </w:r>
    </w:p>
    <w:p w14:paraId="7542AF29" w14:textId="4646C676" w:rsidR="00B738C7" w:rsidRDefault="002C4B7E" w:rsidP="00E5751B">
      <w:pPr>
        <w:pStyle w:val="Bullet"/>
      </w:pPr>
      <w:r>
        <w:t>c</w:t>
      </w:r>
      <w:r w:rsidR="00517BA4">
        <w:t>onducting a s</w:t>
      </w:r>
      <w:r w:rsidR="00A626E9">
        <w:t xml:space="preserve">ensitivity analysis to evaluate the robustness of the model and assess the impacts of varying assumptions.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923BE4" w14:paraId="6A2BA140" w14:textId="77777777" w:rsidTr="00134136">
        <w:tc>
          <w:tcPr>
            <w:tcW w:w="7285" w:type="dxa"/>
          </w:tcPr>
          <w:p w14:paraId="23BAAFB3" w14:textId="3440A8BD" w:rsidR="00923BE4" w:rsidRDefault="00923BE4" w:rsidP="00134136">
            <w:pPr>
              <w:pStyle w:val="Bullet"/>
              <w:numPr>
                <w:ilvl w:val="0"/>
                <w:numId w:val="0"/>
              </w:numPr>
            </w:pPr>
            <w:r w:rsidRPr="00BB0B6B">
              <w:t>To the extent possible, the impacts have been quantified in terms of labour efficiencies and revenue (benefits) and delay and labour costs (costs)</w:t>
            </w:r>
            <w:r>
              <w:t>. Other non-quantifiable costs have been qualified where appropriate.</w:t>
            </w:r>
          </w:p>
          <w:p w14:paraId="4BF329C3" w14:textId="56A7F970" w:rsidR="00923BE4" w:rsidRDefault="00923BE4" w:rsidP="00134136">
            <w:pPr>
              <w:pStyle w:val="Bullet"/>
              <w:numPr>
                <w:ilvl w:val="0"/>
                <w:numId w:val="0"/>
              </w:numPr>
            </w:pPr>
            <w:r>
              <w:t xml:space="preserve">The key assumptions underlying </w:t>
            </w:r>
            <w:r w:rsidR="004E4D63">
              <w:t>the</w:t>
            </w:r>
            <w:r>
              <w:t xml:space="preserve"> cost benefit model are:</w:t>
            </w:r>
          </w:p>
          <w:p w14:paraId="5BDADAC3" w14:textId="063508B5" w:rsidR="00B04036" w:rsidRDefault="00B04036" w:rsidP="00134136">
            <w:pPr>
              <w:pStyle w:val="Bullet"/>
            </w:pPr>
            <w:r>
              <w:t>Real discount rate of 7</w:t>
            </w:r>
            <w:r w:rsidR="00686567">
              <w:t xml:space="preserve">% per annum. </w:t>
            </w:r>
          </w:p>
          <w:p w14:paraId="4A95FF79" w14:textId="2C1C7C57" w:rsidR="00923BE4" w:rsidRDefault="00923BE4" w:rsidP="00134136">
            <w:pPr>
              <w:pStyle w:val="Bullet"/>
            </w:pPr>
            <w:r>
              <w:t xml:space="preserve">Delay costs to industry are </w:t>
            </w:r>
            <w:r w:rsidR="00B26D80">
              <w:t xml:space="preserve">AUD </w:t>
            </w:r>
            <w:r>
              <w:t>$</w:t>
            </w:r>
            <w:r w:rsidR="008C2300">
              <w:t>40,000</w:t>
            </w:r>
            <w:r>
              <w:t xml:space="preserve"> </w:t>
            </w:r>
            <w:r w:rsidR="00B26D80">
              <w:t>(NZD $</w:t>
            </w:r>
            <w:r w:rsidR="00E230C1">
              <w:t>42,800</w:t>
            </w:r>
            <w:r w:rsidR="00943DC3">
              <w:t xml:space="preserve">) </w:t>
            </w:r>
            <w:r>
              <w:t>a month</w:t>
            </w:r>
            <w:r w:rsidR="00650737">
              <w:t>.</w:t>
            </w:r>
          </w:p>
          <w:p w14:paraId="7776926E" w14:textId="1F4C4A61" w:rsidR="00923BE4" w:rsidRDefault="00923BE4" w:rsidP="00134136">
            <w:pPr>
              <w:pStyle w:val="Bullet"/>
            </w:pPr>
            <w:r>
              <w:t xml:space="preserve">FSANZ compound wage rate is </w:t>
            </w:r>
            <w:r w:rsidR="00943DC3">
              <w:t xml:space="preserve">AUD </w:t>
            </w:r>
            <w:r>
              <w:t>$140,000</w:t>
            </w:r>
            <w:r w:rsidR="00943DC3">
              <w:t xml:space="preserve"> (NZD $149,800)</w:t>
            </w:r>
            <w:r w:rsidR="00B32DDA">
              <w:t>.</w:t>
            </w:r>
          </w:p>
          <w:p w14:paraId="1ADC7F1F" w14:textId="10FC988D" w:rsidR="00923BE4" w:rsidRDefault="00923BE4" w:rsidP="00134136">
            <w:pPr>
              <w:pStyle w:val="Bullet"/>
            </w:pPr>
            <w:r>
              <w:t xml:space="preserve">Public health benefits derived from one standard have been quantified to be </w:t>
            </w:r>
            <w:r w:rsidR="00943DC3">
              <w:t xml:space="preserve">AUD </w:t>
            </w:r>
            <w:r>
              <w:t>$1.3</w:t>
            </w:r>
            <w:r w:rsidR="00792E17">
              <w:t>3</w:t>
            </w:r>
            <w:r w:rsidR="00B32DDA">
              <w:t xml:space="preserve"> </w:t>
            </w:r>
            <w:r>
              <w:t>m</w:t>
            </w:r>
            <w:r w:rsidR="00B32DDA">
              <w:t>illion</w:t>
            </w:r>
            <w:r>
              <w:t xml:space="preserve"> </w:t>
            </w:r>
            <w:r w:rsidR="00943DC3">
              <w:t>(NZD $</w:t>
            </w:r>
            <w:r w:rsidR="008228C2">
              <w:t xml:space="preserve">1.42 million) </w:t>
            </w:r>
            <w:r>
              <w:t xml:space="preserve">per annum using nutrition labelling as a proxy for the public health benefits of food regulation. This is assumed to grow by the average population growth rate of </w:t>
            </w:r>
            <w:r w:rsidR="00792E17">
              <w:t>0.76</w:t>
            </w:r>
            <w:r>
              <w:t>% per annum.</w:t>
            </w:r>
          </w:p>
          <w:p w14:paraId="1805972A" w14:textId="559AD518" w:rsidR="00923BE4" w:rsidRDefault="00923BE4" w:rsidP="00134136">
            <w:pPr>
              <w:pStyle w:val="Bullet"/>
            </w:pPr>
            <w:r>
              <w:t xml:space="preserve">First Nations and </w:t>
            </w:r>
            <w:r w:rsidR="004E7D7B">
              <w:t>Māori</w:t>
            </w:r>
            <w:r>
              <w:t xml:space="preserve"> food industry value add grows at 10% per annum</w:t>
            </w:r>
            <w:r w:rsidR="00B3125E">
              <w:t>.</w:t>
            </w:r>
          </w:p>
          <w:p w14:paraId="2984E400" w14:textId="16D90357" w:rsidR="00923BE4" w:rsidRPr="0061145B" w:rsidRDefault="00923BE4" w:rsidP="00134136">
            <w:pPr>
              <w:pStyle w:val="Bullet"/>
              <w:numPr>
                <w:ilvl w:val="0"/>
                <w:numId w:val="0"/>
              </w:numPr>
            </w:pPr>
            <w:r>
              <w:t xml:space="preserve">Further details on cost benefit analysis assumptions are provided in </w:t>
            </w:r>
            <w:r w:rsidR="00B32DDA">
              <w:fldChar w:fldCharType="begin"/>
            </w:r>
            <w:r w:rsidR="00B32DDA">
              <w:instrText xml:space="preserve"> REF _Ref142467454 \r \h </w:instrText>
            </w:r>
            <w:r w:rsidR="00B32DDA">
              <w:fldChar w:fldCharType="separate"/>
            </w:r>
            <w:r w:rsidR="003F7B92">
              <w:t>Appendix C</w:t>
            </w:r>
            <w:r w:rsidR="00B32DDA">
              <w:fldChar w:fldCharType="end"/>
            </w:r>
            <w:r>
              <w:t>.</w:t>
            </w:r>
          </w:p>
        </w:tc>
      </w:tr>
    </w:tbl>
    <w:p w14:paraId="5DF480D2" w14:textId="57A8DE42" w:rsidR="00013849" w:rsidRDefault="00013849" w:rsidP="00923BE4"/>
    <w:p w14:paraId="13D751F2" w14:textId="693E0D7F" w:rsidR="00BC5BD0" w:rsidRDefault="00BC5BD0" w:rsidP="00923BE4">
      <w:r>
        <w:rPr>
          <w:noProof/>
          <w:lang w:eastAsia="en-AU"/>
        </w:rPr>
        <w:lastRenderedPageBreak/>
        <w:drawing>
          <wp:inline distT="0" distB="0" distL="0" distR="0" wp14:anchorId="0C98ACF6" wp14:editId="07994811">
            <wp:extent cx="5670550" cy="581660"/>
            <wp:effectExtent l="0" t="0" r="6350" b="8890"/>
            <wp:docPr id="27848" name="Picture 27848" descr="P15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 name="Picture 27848" descr="P1538#yI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70550" cy="581660"/>
                    </a:xfrm>
                    <a:prstGeom prst="rect">
                      <a:avLst/>
                    </a:prstGeom>
                  </pic:spPr>
                </pic:pic>
              </a:graphicData>
            </a:graphic>
          </wp:inline>
        </w:drawing>
      </w:r>
    </w:p>
    <w:p w14:paraId="79AB480C" w14:textId="77777777" w:rsidR="00923BE4" w:rsidRDefault="00923BE4" w:rsidP="007F7722">
      <w:pPr>
        <w:pStyle w:val="Heading2"/>
        <w:numPr>
          <w:ilvl w:val="0"/>
          <w:numId w:val="0"/>
        </w:numPr>
      </w:pPr>
      <w:bookmarkStart w:id="64" w:name="_Toc157599130"/>
      <w:r>
        <w:t xml:space="preserve">Option 1 | Retain the </w:t>
      </w:r>
      <w:proofErr w:type="gramStart"/>
      <w:r>
        <w:t>status quo</w:t>
      </w:r>
      <w:bookmarkEnd w:id="64"/>
      <w:proofErr w:type="gramEnd"/>
    </w:p>
    <w:p w14:paraId="7F9DDFAD" w14:textId="01C5F756" w:rsidR="00D20BF8" w:rsidRDefault="00923BE4" w:rsidP="00F401E3">
      <w:pPr>
        <w:rPr>
          <w:lang w:eastAsia="en-AU"/>
        </w:rPr>
      </w:pPr>
      <w:r w:rsidRPr="00500E81">
        <w:rPr>
          <w:lang w:eastAsia="en-AU"/>
        </w:rPr>
        <w:t>Option 1 represents the current state.</w:t>
      </w:r>
      <w:r w:rsidR="00921EF8">
        <w:rPr>
          <w:lang w:eastAsia="en-AU"/>
        </w:rPr>
        <w:t xml:space="preserve"> That is, the FSANZ Act and operations of FSANZ as they currently are. </w:t>
      </w:r>
      <w:r w:rsidRPr="00500E81">
        <w:rPr>
          <w:lang w:eastAsia="en-AU"/>
        </w:rPr>
        <w:t xml:space="preserve">Under Option 1, FSANZ will continue to be resourced at </w:t>
      </w:r>
      <w:r w:rsidR="003C0A7C">
        <w:rPr>
          <w:lang w:eastAsia="en-AU"/>
        </w:rPr>
        <w:t xml:space="preserve">AUD </w:t>
      </w:r>
      <w:r w:rsidRPr="00500E81">
        <w:rPr>
          <w:lang w:eastAsia="en-AU"/>
        </w:rPr>
        <w:t>$17.5</w:t>
      </w:r>
      <w:r w:rsidR="007308DC">
        <w:rPr>
          <w:lang w:eastAsia="en-AU"/>
        </w:rPr>
        <w:t xml:space="preserve"> </w:t>
      </w:r>
      <w:r w:rsidRPr="00500E81">
        <w:rPr>
          <w:lang w:eastAsia="en-AU"/>
        </w:rPr>
        <w:t>m</w:t>
      </w:r>
      <w:r w:rsidR="007308DC">
        <w:rPr>
          <w:lang w:eastAsia="en-AU"/>
        </w:rPr>
        <w:t>illion</w:t>
      </w:r>
      <w:r w:rsidRPr="00500E81">
        <w:rPr>
          <w:lang w:eastAsia="en-AU"/>
        </w:rPr>
        <w:t xml:space="preserve"> </w:t>
      </w:r>
      <w:r w:rsidR="003C0A7C">
        <w:rPr>
          <w:lang w:eastAsia="en-AU"/>
        </w:rPr>
        <w:t>(NZD $</w:t>
      </w:r>
      <w:r w:rsidR="00FD5933">
        <w:rPr>
          <w:lang w:eastAsia="en-AU"/>
        </w:rPr>
        <w:t>18.7 million)</w:t>
      </w:r>
      <w:r w:rsidRPr="00500E81">
        <w:rPr>
          <w:lang w:eastAsia="en-AU"/>
        </w:rPr>
        <w:t xml:space="preserve"> in appropriations from the Australian Government with an addition of </w:t>
      </w:r>
      <w:r w:rsidR="00D20BF8">
        <w:rPr>
          <w:lang w:eastAsia="en-AU"/>
        </w:rPr>
        <w:t xml:space="preserve">AUD </w:t>
      </w:r>
      <w:r w:rsidR="00D20BF8" w:rsidRPr="00500E81">
        <w:rPr>
          <w:lang w:eastAsia="en-AU"/>
        </w:rPr>
        <w:t>$</w:t>
      </w:r>
      <w:r w:rsidR="00B56B8B">
        <w:rPr>
          <w:lang w:eastAsia="en-AU"/>
        </w:rPr>
        <w:t>2.9</w:t>
      </w:r>
      <w:r w:rsidR="00D20BF8">
        <w:rPr>
          <w:lang w:eastAsia="en-AU"/>
        </w:rPr>
        <w:t xml:space="preserve"> </w:t>
      </w:r>
      <w:r w:rsidR="00D20BF8" w:rsidRPr="00500E81">
        <w:rPr>
          <w:lang w:eastAsia="en-AU"/>
        </w:rPr>
        <w:t>m</w:t>
      </w:r>
      <w:r w:rsidR="00D20BF8">
        <w:rPr>
          <w:lang w:eastAsia="en-AU"/>
        </w:rPr>
        <w:t>illion</w:t>
      </w:r>
      <w:r w:rsidR="00D20BF8" w:rsidRPr="00500E81">
        <w:rPr>
          <w:lang w:eastAsia="en-AU"/>
        </w:rPr>
        <w:t xml:space="preserve"> </w:t>
      </w:r>
      <w:r w:rsidR="00D20BF8">
        <w:rPr>
          <w:lang w:eastAsia="en-AU"/>
        </w:rPr>
        <w:t>(NZD $</w:t>
      </w:r>
      <w:r w:rsidR="000C28C5">
        <w:rPr>
          <w:lang w:eastAsia="en-AU"/>
        </w:rPr>
        <w:t>3.1</w:t>
      </w:r>
      <w:r w:rsidR="00D20BF8">
        <w:rPr>
          <w:lang w:eastAsia="en-AU"/>
        </w:rPr>
        <w:t xml:space="preserve"> million) </w:t>
      </w:r>
      <w:r w:rsidR="00D20BF8" w:rsidRPr="00500E81">
        <w:rPr>
          <w:lang w:eastAsia="en-AU"/>
        </w:rPr>
        <w:t>in cost recovery fees</w:t>
      </w:r>
      <w:r w:rsidR="00855EAC">
        <w:rPr>
          <w:lang w:eastAsia="en-AU"/>
        </w:rPr>
        <w:t xml:space="preserve"> </w:t>
      </w:r>
      <w:r w:rsidR="00D20BF8" w:rsidRPr="00500E81">
        <w:rPr>
          <w:lang w:eastAsia="en-AU"/>
        </w:rPr>
        <w:t xml:space="preserve">and appropriations from the New Zealand Government per year. </w:t>
      </w:r>
    </w:p>
    <w:p w14:paraId="3C586327" w14:textId="1F9CCB3F" w:rsidR="00601960" w:rsidRDefault="00560673" w:rsidP="00F401E3">
      <w:pPr>
        <w:rPr>
          <w:lang w:eastAsia="en-AU"/>
        </w:rPr>
      </w:pPr>
      <w:r w:rsidRPr="00FF5743">
        <w:rPr>
          <w:rStyle w:val="cf01"/>
          <w:sz w:val="19"/>
          <w:szCs w:val="19"/>
        </w:rPr>
        <w:t>Current revenue levels would support FSANZ to continue to generate outputs for a subset of its functions</w:t>
      </w:r>
      <w:r w:rsidR="00CA6F65">
        <w:rPr>
          <w:rStyle w:val="cf01"/>
          <w:sz w:val="19"/>
          <w:szCs w:val="19"/>
        </w:rPr>
        <w:t xml:space="preserve"> only</w:t>
      </w:r>
      <w:r w:rsidRPr="00FF5743">
        <w:rPr>
          <w:rStyle w:val="cf01"/>
          <w:sz w:val="19"/>
          <w:szCs w:val="19"/>
        </w:rPr>
        <w:t xml:space="preserve">, as per </w:t>
      </w:r>
      <w:r w:rsidRPr="00FF5743">
        <w:rPr>
          <w:rStyle w:val="cf01"/>
          <w:sz w:val="19"/>
          <w:szCs w:val="19"/>
        </w:rPr>
        <w:fldChar w:fldCharType="begin"/>
      </w:r>
      <w:r w:rsidRPr="00FF5743">
        <w:rPr>
          <w:rStyle w:val="cf01"/>
          <w:sz w:val="19"/>
          <w:szCs w:val="19"/>
        </w:rPr>
        <w:instrText xml:space="preserve"> REF _Ref141983873 \h </w:instrText>
      </w:r>
      <w:r w:rsidR="00FF5743">
        <w:rPr>
          <w:rStyle w:val="cf01"/>
          <w:sz w:val="19"/>
          <w:szCs w:val="19"/>
        </w:rPr>
        <w:instrText xml:space="preserve"> \* MERGEFORMAT </w:instrText>
      </w:r>
      <w:r w:rsidRPr="00FF5743">
        <w:rPr>
          <w:rStyle w:val="cf01"/>
          <w:sz w:val="19"/>
          <w:szCs w:val="19"/>
        </w:rPr>
      </w:r>
      <w:r w:rsidRPr="00FF5743">
        <w:rPr>
          <w:rStyle w:val="cf01"/>
          <w:sz w:val="19"/>
          <w:szCs w:val="19"/>
        </w:rPr>
        <w:fldChar w:fldCharType="separate"/>
      </w:r>
      <w:r w:rsidR="003F7B92" w:rsidRPr="003F7B92">
        <w:rPr>
          <w:szCs w:val="19"/>
        </w:rPr>
        <w:t xml:space="preserve">Table </w:t>
      </w:r>
      <w:r w:rsidR="003F7B92">
        <w:rPr>
          <w:noProof/>
        </w:rPr>
        <w:t>12</w:t>
      </w:r>
      <w:r w:rsidRPr="00FF5743">
        <w:rPr>
          <w:rStyle w:val="cf01"/>
          <w:sz w:val="19"/>
          <w:szCs w:val="19"/>
        </w:rPr>
        <w:fldChar w:fldCharType="end"/>
      </w:r>
      <w:r w:rsidR="00F641F6" w:rsidRPr="00FF5743">
        <w:rPr>
          <w:szCs w:val="19"/>
          <w:lang w:eastAsia="en-AU"/>
        </w:rPr>
        <w:t>.</w:t>
      </w:r>
      <w:r w:rsidR="00411C3F" w:rsidRPr="00FF5743">
        <w:rPr>
          <w:szCs w:val="19"/>
          <w:lang w:eastAsia="en-AU"/>
        </w:rPr>
        <w:t xml:space="preserve"> </w:t>
      </w:r>
    </w:p>
    <w:p w14:paraId="55C1663C" w14:textId="652B6457" w:rsidR="00923BE4" w:rsidRDefault="00923BE4" w:rsidP="00923BE4">
      <w:pPr>
        <w:pStyle w:val="Caption"/>
      </w:pPr>
      <w:bookmarkStart w:id="65" w:name="_Ref141983873"/>
      <w:bookmarkStart w:id="66" w:name="_Ref142467525"/>
      <w:r>
        <w:t xml:space="preserve">Table </w:t>
      </w:r>
      <w:r>
        <w:fldChar w:fldCharType="begin"/>
      </w:r>
      <w:r>
        <w:instrText xml:space="preserve"> SEQ Table \* ARABIC </w:instrText>
      </w:r>
      <w:r>
        <w:fldChar w:fldCharType="separate"/>
      </w:r>
      <w:r w:rsidR="003F7B92">
        <w:rPr>
          <w:noProof/>
        </w:rPr>
        <w:t>12</w:t>
      </w:r>
      <w:r>
        <w:fldChar w:fldCharType="end"/>
      </w:r>
      <w:bookmarkEnd w:id="65"/>
      <w:bookmarkEnd w:id="66"/>
      <w:r>
        <w:t xml:space="preserve"> | Current FSANZ functions and outputs</w:t>
      </w:r>
      <w:r w:rsidR="00235A9D">
        <w:rPr>
          <w:rFonts w:ascii="ZWAdobeF" w:hAnsi="ZWAdobeF" w:cs="ZWAdobeF"/>
          <w:color w:val="auto"/>
          <w:sz w:val="2"/>
          <w:szCs w:val="2"/>
        </w:rPr>
        <w:t>43F</w:t>
      </w:r>
      <w:r w:rsidR="00271D6B">
        <w:rPr>
          <w:rStyle w:val="FootnoteReference"/>
        </w:rPr>
        <w:footnoteReference w:id="49"/>
      </w:r>
    </w:p>
    <w:tbl>
      <w:tblPr>
        <w:tblStyle w:val="TableGrid"/>
        <w:tblW w:w="0" w:type="auto"/>
        <w:tblLook w:val="0600" w:firstRow="0" w:lastRow="0" w:firstColumn="0" w:lastColumn="0" w:noHBand="1" w:noVBand="1"/>
      </w:tblPr>
      <w:tblGrid>
        <w:gridCol w:w="4627"/>
        <w:gridCol w:w="4303"/>
      </w:tblGrid>
      <w:tr w:rsidR="00923BE4" w:rsidRPr="00CC4102" w14:paraId="22614E0A" w14:textId="77777777" w:rsidTr="00F82237">
        <w:tc>
          <w:tcPr>
            <w:tcW w:w="4627" w:type="dxa"/>
            <w:tcBorders>
              <w:top w:val="single" w:sz="18" w:space="0" w:color="F25E21" w:themeColor="accent2"/>
            </w:tcBorders>
            <w:shd w:val="clear" w:color="auto" w:fill="E6E6E1" w:themeFill="accent5"/>
          </w:tcPr>
          <w:p w14:paraId="777BE0C3" w14:textId="77777777" w:rsidR="00923BE4" w:rsidRPr="00CC4102" w:rsidRDefault="00923BE4" w:rsidP="00F82237">
            <w:pPr>
              <w:pStyle w:val="TableNheader"/>
            </w:pPr>
            <w:r>
              <w:t>Workstreams</w:t>
            </w:r>
          </w:p>
        </w:tc>
        <w:tc>
          <w:tcPr>
            <w:tcW w:w="4303" w:type="dxa"/>
            <w:tcBorders>
              <w:top w:val="single" w:sz="18" w:space="0" w:color="F25E21" w:themeColor="accent2"/>
            </w:tcBorders>
            <w:shd w:val="clear" w:color="auto" w:fill="E6E6E1" w:themeFill="accent5"/>
          </w:tcPr>
          <w:p w14:paraId="666A984A" w14:textId="77777777" w:rsidR="00923BE4" w:rsidRPr="00CC4102" w:rsidRDefault="00923BE4" w:rsidP="00F82237">
            <w:pPr>
              <w:pStyle w:val="TableNheader"/>
            </w:pPr>
            <w:r w:rsidRPr="00CC4102">
              <w:t>Outputs</w:t>
            </w:r>
          </w:p>
        </w:tc>
      </w:tr>
      <w:tr w:rsidR="00923BE4" w:rsidRPr="00CC4102" w14:paraId="08E2ABAF" w14:textId="77777777" w:rsidTr="00BC5BD0">
        <w:tc>
          <w:tcPr>
            <w:tcW w:w="4627" w:type="dxa"/>
          </w:tcPr>
          <w:p w14:paraId="09FB927A" w14:textId="77777777" w:rsidR="00923BE4" w:rsidRPr="00B3125E" w:rsidRDefault="00923BE4" w:rsidP="001D2734">
            <w:pPr>
              <w:pStyle w:val="TableNListnumbered"/>
              <w:rPr>
                <w:sz w:val="19"/>
              </w:rPr>
            </w:pPr>
            <w:r w:rsidRPr="00B3125E">
              <w:rPr>
                <w:sz w:val="19"/>
              </w:rPr>
              <w:t>Develop food standards in response to applications and proposals to amend the Food Standards Code</w:t>
            </w:r>
          </w:p>
        </w:tc>
        <w:tc>
          <w:tcPr>
            <w:tcW w:w="4303" w:type="dxa"/>
          </w:tcPr>
          <w:p w14:paraId="132F18AE" w14:textId="77777777" w:rsidR="00923BE4" w:rsidRPr="00B3125E" w:rsidRDefault="00923BE4" w:rsidP="00134136">
            <w:pPr>
              <w:pStyle w:val="TableNBullet"/>
              <w:rPr>
                <w:sz w:val="19"/>
              </w:rPr>
            </w:pPr>
            <w:r w:rsidRPr="00B3125E">
              <w:rPr>
                <w:sz w:val="19"/>
              </w:rPr>
              <w:t>Assessment of 17 applications each year</w:t>
            </w:r>
          </w:p>
          <w:p w14:paraId="10D29432" w14:textId="77777777" w:rsidR="00923BE4" w:rsidRPr="00B3125E" w:rsidRDefault="00923BE4" w:rsidP="00134136">
            <w:pPr>
              <w:pStyle w:val="TableNBullet"/>
              <w:rPr>
                <w:sz w:val="19"/>
              </w:rPr>
            </w:pPr>
            <w:r w:rsidRPr="00B3125E">
              <w:rPr>
                <w:sz w:val="19"/>
              </w:rPr>
              <w:t xml:space="preserve">Conduct 3 proposals each </w:t>
            </w:r>
            <w:proofErr w:type="gramStart"/>
            <w:r w:rsidRPr="00B3125E">
              <w:rPr>
                <w:sz w:val="19"/>
              </w:rPr>
              <w:t>year</w:t>
            </w:r>
            <w:proofErr w:type="gramEnd"/>
          </w:p>
          <w:p w14:paraId="798BF27D" w14:textId="1B8BA6EB" w:rsidR="00923BE4" w:rsidRPr="00B3125E" w:rsidRDefault="00923BE4" w:rsidP="00134136">
            <w:pPr>
              <w:pStyle w:val="TableNBullet"/>
              <w:rPr>
                <w:sz w:val="19"/>
              </w:rPr>
            </w:pPr>
            <w:r w:rsidRPr="00B3125E">
              <w:rPr>
                <w:sz w:val="19"/>
              </w:rPr>
              <w:t xml:space="preserve">Conduct </w:t>
            </w:r>
            <w:r w:rsidR="00DF7CD3">
              <w:rPr>
                <w:sz w:val="19"/>
              </w:rPr>
              <w:t xml:space="preserve">1 </w:t>
            </w:r>
            <w:r w:rsidRPr="00B3125E">
              <w:rPr>
                <w:sz w:val="19"/>
              </w:rPr>
              <w:t>standard review each year</w:t>
            </w:r>
          </w:p>
        </w:tc>
      </w:tr>
      <w:tr w:rsidR="00923BE4" w:rsidRPr="00CC4102" w14:paraId="3B6C92B5" w14:textId="77777777" w:rsidTr="00BC5BD0">
        <w:tc>
          <w:tcPr>
            <w:tcW w:w="4627" w:type="dxa"/>
          </w:tcPr>
          <w:p w14:paraId="7AE11F3A" w14:textId="77777777" w:rsidR="00923BE4" w:rsidRPr="00B3125E" w:rsidRDefault="00923BE4" w:rsidP="001D2734">
            <w:pPr>
              <w:pStyle w:val="TableNListnumbered"/>
              <w:rPr>
                <w:sz w:val="19"/>
              </w:rPr>
            </w:pPr>
            <w:r w:rsidRPr="00B3125E">
              <w:rPr>
                <w:sz w:val="19"/>
              </w:rPr>
              <w:t xml:space="preserve">FSANZ Board and FMM oversight of the development of food standards </w:t>
            </w:r>
          </w:p>
        </w:tc>
        <w:tc>
          <w:tcPr>
            <w:tcW w:w="4303" w:type="dxa"/>
          </w:tcPr>
          <w:p w14:paraId="2977FF4A" w14:textId="77777777" w:rsidR="00923BE4" w:rsidRPr="00B3125E" w:rsidRDefault="00923BE4" w:rsidP="00134136">
            <w:pPr>
              <w:pStyle w:val="TableNBullet"/>
              <w:rPr>
                <w:sz w:val="19"/>
              </w:rPr>
            </w:pPr>
            <w:r w:rsidRPr="00B3125E">
              <w:rPr>
                <w:sz w:val="19"/>
              </w:rPr>
              <w:t xml:space="preserve">4 </w:t>
            </w:r>
            <w:proofErr w:type="gramStart"/>
            <w:r w:rsidRPr="00B3125E">
              <w:rPr>
                <w:sz w:val="19"/>
              </w:rPr>
              <w:t>face</w:t>
            </w:r>
            <w:proofErr w:type="gramEnd"/>
            <w:r w:rsidRPr="00B3125E">
              <w:rPr>
                <w:sz w:val="19"/>
              </w:rPr>
              <w:t xml:space="preserve"> to face meetings, 5 virtual meetings</w:t>
            </w:r>
          </w:p>
          <w:p w14:paraId="7B89803D" w14:textId="77777777" w:rsidR="00923BE4" w:rsidRPr="00B3125E" w:rsidRDefault="00923BE4" w:rsidP="00134136">
            <w:pPr>
              <w:pStyle w:val="TableNBullet"/>
              <w:rPr>
                <w:sz w:val="19"/>
              </w:rPr>
            </w:pPr>
            <w:r w:rsidRPr="00B3125E">
              <w:rPr>
                <w:sz w:val="19"/>
              </w:rPr>
              <w:t>18 approvals</w:t>
            </w:r>
          </w:p>
          <w:p w14:paraId="65099380" w14:textId="77777777" w:rsidR="00923BE4" w:rsidRPr="00B3125E" w:rsidRDefault="00923BE4" w:rsidP="00134136">
            <w:pPr>
              <w:pStyle w:val="TableNBullet"/>
              <w:rPr>
                <w:sz w:val="19"/>
              </w:rPr>
            </w:pPr>
            <w:r w:rsidRPr="00B3125E">
              <w:rPr>
                <w:sz w:val="19"/>
              </w:rPr>
              <w:t>1 request for review</w:t>
            </w:r>
          </w:p>
        </w:tc>
      </w:tr>
      <w:tr w:rsidR="00923BE4" w:rsidRPr="00CC4102" w14:paraId="23B04002" w14:textId="77777777" w:rsidTr="00BC5BD0">
        <w:tc>
          <w:tcPr>
            <w:tcW w:w="4627" w:type="dxa"/>
          </w:tcPr>
          <w:p w14:paraId="4F44F13C" w14:textId="77777777" w:rsidR="00923BE4" w:rsidRPr="00B3125E" w:rsidRDefault="00923BE4" w:rsidP="001D2734">
            <w:pPr>
              <w:pStyle w:val="TableNListnumbered"/>
              <w:rPr>
                <w:sz w:val="19"/>
              </w:rPr>
            </w:pPr>
            <w:r w:rsidRPr="00B3125E">
              <w:rPr>
                <w:sz w:val="19"/>
              </w:rPr>
              <w:t>Coordinate food incident responses and food recalls</w:t>
            </w:r>
          </w:p>
        </w:tc>
        <w:tc>
          <w:tcPr>
            <w:tcW w:w="4303" w:type="dxa"/>
          </w:tcPr>
          <w:p w14:paraId="58788E85" w14:textId="77777777" w:rsidR="00923BE4" w:rsidRDefault="00923BE4" w:rsidP="00134136">
            <w:pPr>
              <w:pStyle w:val="TableNBullet"/>
              <w:rPr>
                <w:sz w:val="19"/>
              </w:rPr>
            </w:pPr>
            <w:r w:rsidRPr="00B3125E">
              <w:rPr>
                <w:sz w:val="19"/>
              </w:rPr>
              <w:t>79 recalls</w:t>
            </w:r>
          </w:p>
          <w:p w14:paraId="22E76F94" w14:textId="4546AF05" w:rsidR="006F0227" w:rsidRPr="00B3125E" w:rsidRDefault="006F0227" w:rsidP="00134136">
            <w:pPr>
              <w:pStyle w:val="TableNBullet"/>
              <w:rPr>
                <w:sz w:val="19"/>
              </w:rPr>
            </w:pPr>
            <w:r>
              <w:rPr>
                <w:sz w:val="19"/>
              </w:rPr>
              <w:t xml:space="preserve">1 incident response </w:t>
            </w:r>
          </w:p>
        </w:tc>
      </w:tr>
      <w:tr w:rsidR="00923BE4" w:rsidRPr="00CC4102" w14:paraId="3D20A592" w14:textId="77777777" w:rsidTr="00BC5BD0">
        <w:tc>
          <w:tcPr>
            <w:tcW w:w="4627" w:type="dxa"/>
          </w:tcPr>
          <w:p w14:paraId="3B944BE4" w14:textId="77777777" w:rsidR="00923BE4" w:rsidRPr="00B3125E" w:rsidRDefault="00923BE4" w:rsidP="001D2734">
            <w:pPr>
              <w:pStyle w:val="TableNListnumbered"/>
              <w:rPr>
                <w:sz w:val="19"/>
              </w:rPr>
            </w:pPr>
            <w:r w:rsidRPr="00B3125E">
              <w:rPr>
                <w:sz w:val="19"/>
              </w:rPr>
              <w:t>Engagement with stakeholders</w:t>
            </w:r>
          </w:p>
        </w:tc>
        <w:tc>
          <w:tcPr>
            <w:tcW w:w="4303" w:type="dxa"/>
          </w:tcPr>
          <w:p w14:paraId="43304863" w14:textId="77777777" w:rsidR="00923BE4" w:rsidRPr="00B3125E" w:rsidRDefault="00923BE4" w:rsidP="00134136">
            <w:pPr>
              <w:pStyle w:val="TableNBullet"/>
              <w:rPr>
                <w:sz w:val="19"/>
              </w:rPr>
            </w:pPr>
            <w:r w:rsidRPr="00B3125E">
              <w:rPr>
                <w:sz w:val="19"/>
              </w:rPr>
              <w:t xml:space="preserve">Engage with 8 forums and </w:t>
            </w:r>
            <w:proofErr w:type="gramStart"/>
            <w:r w:rsidRPr="00B3125E">
              <w:rPr>
                <w:sz w:val="19"/>
              </w:rPr>
              <w:t>committees</w:t>
            </w:r>
            <w:proofErr w:type="gramEnd"/>
          </w:p>
          <w:p w14:paraId="2E55E0A6" w14:textId="77777777" w:rsidR="00923BE4" w:rsidRPr="00B3125E" w:rsidRDefault="00923BE4" w:rsidP="00134136">
            <w:pPr>
              <w:pStyle w:val="TableNBullet"/>
              <w:rPr>
                <w:sz w:val="19"/>
              </w:rPr>
            </w:pPr>
            <w:r w:rsidRPr="00B3125E">
              <w:rPr>
                <w:sz w:val="19"/>
              </w:rPr>
              <w:t>116 engagements with domestic and international experts</w:t>
            </w:r>
          </w:p>
          <w:p w14:paraId="2F97FC40" w14:textId="77777777" w:rsidR="00923BE4" w:rsidRPr="00B3125E" w:rsidRDefault="00923BE4" w:rsidP="00134136">
            <w:pPr>
              <w:pStyle w:val="TableNBullet"/>
              <w:rPr>
                <w:sz w:val="19"/>
              </w:rPr>
            </w:pPr>
            <w:r w:rsidRPr="00B3125E">
              <w:rPr>
                <w:sz w:val="19"/>
              </w:rPr>
              <w:t xml:space="preserve">Conduct 22 joint </w:t>
            </w:r>
            <w:proofErr w:type="gramStart"/>
            <w:r w:rsidRPr="00B3125E">
              <w:rPr>
                <w:sz w:val="19"/>
              </w:rPr>
              <w:t>projects</w:t>
            </w:r>
            <w:proofErr w:type="gramEnd"/>
          </w:p>
          <w:p w14:paraId="74B4E2B6" w14:textId="77777777" w:rsidR="00923BE4" w:rsidRPr="00B3125E" w:rsidRDefault="00923BE4" w:rsidP="00134136">
            <w:pPr>
              <w:pStyle w:val="TableNBullet"/>
              <w:rPr>
                <w:sz w:val="19"/>
              </w:rPr>
            </w:pPr>
            <w:r w:rsidRPr="00B3125E">
              <w:rPr>
                <w:sz w:val="19"/>
              </w:rPr>
              <w:t xml:space="preserve">Conduct 35 interactions with FSANZ </w:t>
            </w:r>
            <w:proofErr w:type="gramStart"/>
            <w:r w:rsidRPr="00B3125E">
              <w:rPr>
                <w:sz w:val="19"/>
              </w:rPr>
              <w:t>fellows</w:t>
            </w:r>
            <w:proofErr w:type="gramEnd"/>
          </w:p>
          <w:p w14:paraId="5A6A5A8C" w14:textId="2F962777" w:rsidR="00923BE4" w:rsidRPr="00B3125E" w:rsidRDefault="00923BE4" w:rsidP="00134136">
            <w:pPr>
              <w:pStyle w:val="TableNBullet"/>
              <w:rPr>
                <w:sz w:val="19"/>
              </w:rPr>
            </w:pPr>
            <w:r w:rsidRPr="00B3125E">
              <w:rPr>
                <w:sz w:val="19"/>
              </w:rPr>
              <w:t>Conduct 11 meetings with FSANZ expert advisory groups</w:t>
            </w:r>
          </w:p>
        </w:tc>
      </w:tr>
      <w:tr w:rsidR="00923BE4" w:rsidRPr="00CC4102" w14:paraId="40CEE7DC" w14:textId="77777777" w:rsidTr="00BC5BD0">
        <w:tc>
          <w:tcPr>
            <w:tcW w:w="4627" w:type="dxa"/>
          </w:tcPr>
          <w:p w14:paraId="287C9D6B" w14:textId="6FDECC32" w:rsidR="00923BE4" w:rsidRPr="00B3125E" w:rsidRDefault="00923BE4" w:rsidP="001D2734">
            <w:pPr>
              <w:pStyle w:val="TableNListnumbered"/>
              <w:rPr>
                <w:sz w:val="19"/>
              </w:rPr>
            </w:pPr>
            <w:r w:rsidRPr="00B3125E">
              <w:rPr>
                <w:sz w:val="19"/>
              </w:rPr>
              <w:t>Undertake monitoring and surveillance activities to ensure regulatory and nonregulatory activities achieve their objectives</w:t>
            </w:r>
          </w:p>
        </w:tc>
        <w:tc>
          <w:tcPr>
            <w:tcW w:w="4303" w:type="dxa"/>
          </w:tcPr>
          <w:p w14:paraId="4FAFE15F" w14:textId="77777777" w:rsidR="00923BE4" w:rsidRPr="00B3125E" w:rsidRDefault="00923BE4" w:rsidP="00134136">
            <w:pPr>
              <w:pStyle w:val="TableNBullet"/>
              <w:rPr>
                <w:sz w:val="19"/>
              </w:rPr>
            </w:pPr>
            <w:r w:rsidRPr="00B3125E">
              <w:rPr>
                <w:sz w:val="19"/>
              </w:rPr>
              <w:t xml:space="preserve">Conduct 2 targeted </w:t>
            </w:r>
            <w:proofErr w:type="gramStart"/>
            <w:r w:rsidRPr="00B3125E">
              <w:rPr>
                <w:sz w:val="19"/>
              </w:rPr>
              <w:t>surveys</w:t>
            </w:r>
            <w:proofErr w:type="gramEnd"/>
          </w:p>
          <w:p w14:paraId="2965C8A3" w14:textId="77777777" w:rsidR="00923BE4" w:rsidRPr="00B3125E" w:rsidRDefault="00923BE4" w:rsidP="00134136">
            <w:pPr>
              <w:pStyle w:val="TableNBullet"/>
              <w:rPr>
                <w:sz w:val="19"/>
              </w:rPr>
            </w:pPr>
            <w:r w:rsidRPr="00B3125E">
              <w:rPr>
                <w:sz w:val="19"/>
              </w:rPr>
              <w:t>Conduct 1 surveillance activity</w:t>
            </w:r>
          </w:p>
        </w:tc>
      </w:tr>
      <w:tr w:rsidR="00923BE4" w:rsidRPr="00CC4102" w14:paraId="38E6C369" w14:textId="77777777" w:rsidTr="00BC5BD0">
        <w:tc>
          <w:tcPr>
            <w:tcW w:w="4627" w:type="dxa"/>
          </w:tcPr>
          <w:p w14:paraId="5CA1CA2C" w14:textId="77777777" w:rsidR="00923BE4" w:rsidRPr="00B3125E" w:rsidRDefault="00923BE4" w:rsidP="001D2734">
            <w:pPr>
              <w:pStyle w:val="TableNListnumbered"/>
              <w:rPr>
                <w:sz w:val="19"/>
              </w:rPr>
            </w:pPr>
            <w:r w:rsidRPr="00B3125E">
              <w:rPr>
                <w:sz w:val="19"/>
              </w:rPr>
              <w:t>Provide authoritative, evidence-based information about food risks and standards to stakeholders and consumers</w:t>
            </w:r>
          </w:p>
        </w:tc>
        <w:tc>
          <w:tcPr>
            <w:tcW w:w="4303" w:type="dxa"/>
          </w:tcPr>
          <w:p w14:paraId="45D5DF5D" w14:textId="77777777" w:rsidR="00923BE4" w:rsidRPr="00B3125E" w:rsidRDefault="00923BE4" w:rsidP="00134136">
            <w:pPr>
              <w:pStyle w:val="TableNBullet"/>
              <w:rPr>
                <w:sz w:val="19"/>
              </w:rPr>
            </w:pPr>
            <w:r w:rsidRPr="00B3125E">
              <w:rPr>
                <w:sz w:val="19"/>
              </w:rPr>
              <w:t>Manage 7 databases</w:t>
            </w:r>
          </w:p>
        </w:tc>
      </w:tr>
      <w:tr w:rsidR="00923BE4" w:rsidRPr="00CC4102" w14:paraId="25CE42F0" w14:textId="77777777" w:rsidTr="00BC5BD0">
        <w:tc>
          <w:tcPr>
            <w:tcW w:w="4627" w:type="dxa"/>
          </w:tcPr>
          <w:p w14:paraId="07E357B5" w14:textId="77777777" w:rsidR="00923BE4" w:rsidRPr="00B3125E" w:rsidRDefault="00923BE4" w:rsidP="001D2734">
            <w:pPr>
              <w:pStyle w:val="TableNListnumbered"/>
              <w:rPr>
                <w:sz w:val="19"/>
              </w:rPr>
            </w:pPr>
            <w:bookmarkStart w:id="67" w:name="_Ref148685763"/>
            <w:r w:rsidRPr="00B3125E">
              <w:rPr>
                <w:sz w:val="19"/>
              </w:rPr>
              <w:t>Engagement with stakeholders</w:t>
            </w:r>
            <w:bookmarkEnd w:id="67"/>
          </w:p>
        </w:tc>
        <w:tc>
          <w:tcPr>
            <w:tcW w:w="4303" w:type="dxa"/>
          </w:tcPr>
          <w:p w14:paraId="37A875F3" w14:textId="77777777" w:rsidR="00923BE4" w:rsidRPr="00B3125E" w:rsidRDefault="00923BE4" w:rsidP="00134136">
            <w:pPr>
              <w:pStyle w:val="TableNBullet"/>
              <w:rPr>
                <w:sz w:val="19"/>
              </w:rPr>
            </w:pPr>
            <w:r w:rsidRPr="00B3125E">
              <w:rPr>
                <w:sz w:val="19"/>
              </w:rPr>
              <w:t xml:space="preserve">Deliver 7 </w:t>
            </w:r>
            <w:proofErr w:type="gramStart"/>
            <w:r w:rsidRPr="00B3125E">
              <w:rPr>
                <w:sz w:val="19"/>
              </w:rPr>
              <w:t>publications</w:t>
            </w:r>
            <w:proofErr w:type="gramEnd"/>
          </w:p>
          <w:p w14:paraId="54C1B1C9" w14:textId="77777777" w:rsidR="00923BE4" w:rsidRPr="00B3125E" w:rsidRDefault="00923BE4" w:rsidP="00134136">
            <w:pPr>
              <w:pStyle w:val="TableNBullet"/>
              <w:rPr>
                <w:sz w:val="19"/>
              </w:rPr>
            </w:pPr>
            <w:r w:rsidRPr="00B3125E">
              <w:rPr>
                <w:sz w:val="19"/>
              </w:rPr>
              <w:t>Achieve 73,800 social media reach and 2 million website visits</w:t>
            </w:r>
          </w:p>
        </w:tc>
      </w:tr>
    </w:tbl>
    <w:tbl>
      <w:tblPr>
        <w:tblStyle w:val="NousLongformcallout"/>
        <w:tblW w:w="4950" w:type="pct"/>
        <w:tblCellMar>
          <w:top w:w="170" w:type="dxa"/>
          <w:bottom w:w="170" w:type="dxa"/>
        </w:tblCellMar>
        <w:tblLook w:val="04A0" w:firstRow="1" w:lastRow="0" w:firstColumn="1" w:lastColumn="0" w:noHBand="0" w:noVBand="1"/>
      </w:tblPr>
      <w:tblGrid>
        <w:gridCol w:w="8818"/>
      </w:tblGrid>
      <w:tr w:rsidR="003C0E32" w14:paraId="1DD1E659" w14:textId="77777777" w:rsidTr="008630F0">
        <w:tc>
          <w:tcPr>
            <w:tcW w:w="8818" w:type="dxa"/>
          </w:tcPr>
          <w:p w14:paraId="1942415A" w14:textId="6663F9C2" w:rsidR="003C0E32" w:rsidRPr="00425BE2" w:rsidRDefault="003C0E32">
            <w:pPr>
              <w:pStyle w:val="longformcalloutnumber"/>
              <w:numPr>
                <w:ilvl w:val="0"/>
                <w:numId w:val="0"/>
              </w:numPr>
              <w:rPr>
                <w:bCs/>
              </w:rPr>
            </w:pPr>
            <w:r w:rsidRPr="00425BE2">
              <w:rPr>
                <w:bCs/>
              </w:rPr>
              <w:lastRenderedPageBreak/>
              <w:t>As highlighted in Policy Problem 3.2, current funding arrangements have resulted in chronic budget shortfalls for FSANZ. Should nothing else change in the legislation or FSANZ’</w:t>
            </w:r>
            <w:r w:rsidR="005D04DB">
              <w:rPr>
                <w:bCs/>
              </w:rPr>
              <w:t>s</w:t>
            </w:r>
            <w:r w:rsidRPr="00425BE2">
              <w:rPr>
                <w:bCs/>
              </w:rPr>
              <w:t xml:space="preserve"> operations, an addition</w:t>
            </w:r>
            <w:r w:rsidR="00985463">
              <w:rPr>
                <w:bCs/>
              </w:rPr>
              <w:t xml:space="preserve">al </w:t>
            </w:r>
            <w:r w:rsidR="0029754F">
              <w:rPr>
                <w:bCs/>
              </w:rPr>
              <w:t>AUD $</w:t>
            </w:r>
            <w:r w:rsidR="00C67417">
              <w:rPr>
                <w:bCs/>
              </w:rPr>
              <w:t>6.5</w:t>
            </w:r>
            <w:r w:rsidR="0029754F">
              <w:rPr>
                <w:bCs/>
              </w:rPr>
              <w:t xml:space="preserve"> million (NZD $</w:t>
            </w:r>
            <w:r w:rsidR="00A9635E">
              <w:rPr>
                <w:bCs/>
              </w:rPr>
              <w:t>7.0</w:t>
            </w:r>
            <w:r w:rsidR="009C3C19">
              <w:rPr>
                <w:bCs/>
              </w:rPr>
              <w:t xml:space="preserve"> million)</w:t>
            </w:r>
            <w:r w:rsidRPr="00425BE2">
              <w:rPr>
                <w:bCs/>
              </w:rPr>
              <w:t xml:space="preserve"> would be required to </w:t>
            </w:r>
            <w:r w:rsidR="00B654BC">
              <w:rPr>
                <w:bCs/>
              </w:rPr>
              <w:t xml:space="preserve">bring total resourcing to AUD </w:t>
            </w:r>
            <w:r w:rsidR="00BF78E9">
              <w:rPr>
                <w:bCs/>
              </w:rPr>
              <w:t>$</w:t>
            </w:r>
            <w:r w:rsidR="00B654BC">
              <w:rPr>
                <w:bCs/>
              </w:rPr>
              <w:t>26 million (NZD $</w:t>
            </w:r>
            <w:r w:rsidR="002A6816">
              <w:rPr>
                <w:bCs/>
              </w:rPr>
              <w:t xml:space="preserve">27.8 million) </w:t>
            </w:r>
            <w:r w:rsidR="00285DE5">
              <w:rPr>
                <w:bCs/>
              </w:rPr>
              <w:t>per year</w:t>
            </w:r>
            <w:r w:rsidR="00BD5123">
              <w:rPr>
                <w:bCs/>
              </w:rPr>
              <w:t xml:space="preserve"> </w:t>
            </w:r>
            <w:r w:rsidR="002646D0">
              <w:rPr>
                <w:bCs/>
              </w:rPr>
              <w:t>(excluding</w:t>
            </w:r>
            <w:r w:rsidR="00714B48">
              <w:rPr>
                <w:bCs/>
              </w:rPr>
              <w:t xml:space="preserve"> any cost recovery revenue</w:t>
            </w:r>
            <w:r w:rsidR="002646D0">
              <w:rPr>
                <w:bCs/>
              </w:rPr>
              <w:t>)</w:t>
            </w:r>
            <w:r w:rsidR="00BD5123">
              <w:rPr>
                <w:bCs/>
              </w:rPr>
              <w:t xml:space="preserve"> to allow FSANZ to c</w:t>
            </w:r>
            <w:r w:rsidRPr="00425BE2">
              <w:rPr>
                <w:bCs/>
              </w:rPr>
              <w:t xml:space="preserve">arry out its full gamut of statutory functions. </w:t>
            </w:r>
          </w:p>
        </w:tc>
      </w:tr>
    </w:tbl>
    <w:p w14:paraId="5668555B" w14:textId="77777777" w:rsidR="00593520" w:rsidRPr="00593520" w:rsidRDefault="00593520" w:rsidP="00593520">
      <w:pPr>
        <w:rPr>
          <w:lang w:eastAsia="en-AU"/>
        </w:rPr>
      </w:pPr>
    </w:p>
    <w:p w14:paraId="6CC6B0DF" w14:textId="3625ACCE" w:rsidR="00923BE4" w:rsidRDefault="00923BE4" w:rsidP="00923BE4">
      <w:pPr>
        <w:pStyle w:val="Heading4"/>
      </w:pPr>
      <w:r>
        <w:t xml:space="preserve">Option 1 maintains high costs to industry and FSANZ to achieve public health </w:t>
      </w:r>
      <w:proofErr w:type="gramStart"/>
      <w:r>
        <w:t>benefits</w:t>
      </w:r>
      <w:proofErr w:type="gramEnd"/>
    </w:p>
    <w:p w14:paraId="1D7C4124" w14:textId="2CE61551" w:rsidR="00923BE4" w:rsidRPr="007F7BD5" w:rsidRDefault="00923BE4" w:rsidP="00727570">
      <w:pPr>
        <w:spacing w:line="240" w:lineRule="auto"/>
        <w:rPr>
          <w:lang w:eastAsia="en-AU"/>
        </w:rPr>
      </w:pPr>
      <w:r w:rsidRPr="007F7BD5">
        <w:t xml:space="preserve">Under Option 1, the </w:t>
      </w:r>
      <w:r w:rsidRPr="007F7BD5">
        <w:rPr>
          <w:rFonts w:asciiTheme="majorHAnsi" w:hAnsiTheme="majorHAnsi" w:cstheme="majorHAnsi"/>
        </w:rPr>
        <w:t xml:space="preserve">total </w:t>
      </w:r>
      <w:r w:rsidR="007F52BE">
        <w:rPr>
          <w:rFonts w:asciiTheme="majorHAnsi" w:hAnsiTheme="majorHAnsi" w:cstheme="majorHAnsi"/>
        </w:rPr>
        <w:t>quantifiable</w:t>
      </w:r>
      <w:r w:rsidRPr="007F7BD5">
        <w:rPr>
          <w:rFonts w:asciiTheme="majorHAnsi" w:hAnsiTheme="majorHAnsi" w:cstheme="majorHAnsi"/>
        </w:rPr>
        <w:t xml:space="preserve"> cost</w:t>
      </w:r>
      <w:r w:rsidRPr="007F7BD5">
        <w:rPr>
          <w:rFonts w:asciiTheme="minorHAnsi" w:hAnsiTheme="minorHAnsi" w:cstheme="minorHAnsi"/>
        </w:rPr>
        <w:t xml:space="preserve"> is </w:t>
      </w:r>
      <w:r w:rsidR="00D92527">
        <w:rPr>
          <w:rFonts w:asciiTheme="minorHAnsi" w:hAnsiTheme="minorHAnsi" w:cstheme="minorHAnsi"/>
        </w:rPr>
        <w:t xml:space="preserve">AUD </w:t>
      </w:r>
      <w:r w:rsidRPr="007F7BD5">
        <w:rPr>
          <w:rFonts w:asciiTheme="minorHAnsi" w:hAnsiTheme="minorHAnsi" w:cstheme="minorHAnsi"/>
        </w:rPr>
        <w:t>$</w:t>
      </w:r>
      <w:r w:rsidR="00781DF0">
        <w:rPr>
          <w:rFonts w:asciiTheme="minorHAnsi" w:hAnsiTheme="minorHAnsi" w:cstheme="minorHAnsi"/>
        </w:rPr>
        <w:t>289</w:t>
      </w:r>
      <w:r w:rsidR="00546DD7">
        <w:rPr>
          <w:rFonts w:asciiTheme="minorHAnsi" w:hAnsiTheme="minorHAnsi" w:cstheme="minorHAnsi"/>
        </w:rPr>
        <w:t>.7</w:t>
      </w:r>
      <w:r w:rsidR="003169FD" w:rsidRPr="007F7BD5">
        <w:rPr>
          <w:rFonts w:asciiTheme="minorHAnsi" w:hAnsiTheme="minorHAnsi" w:cstheme="minorHAnsi"/>
        </w:rPr>
        <w:t xml:space="preserve"> </w:t>
      </w:r>
      <w:r w:rsidRPr="007F7BD5">
        <w:rPr>
          <w:rFonts w:asciiTheme="minorHAnsi" w:hAnsiTheme="minorHAnsi" w:cstheme="minorHAnsi"/>
        </w:rPr>
        <w:t>m</w:t>
      </w:r>
      <w:r w:rsidR="003169FD" w:rsidRPr="007F7BD5">
        <w:rPr>
          <w:rFonts w:asciiTheme="minorHAnsi" w:hAnsiTheme="minorHAnsi" w:cstheme="minorHAnsi"/>
        </w:rPr>
        <w:t>illion</w:t>
      </w:r>
      <w:r w:rsidRPr="007F7BD5">
        <w:rPr>
          <w:rFonts w:asciiTheme="minorHAnsi" w:hAnsiTheme="minorHAnsi" w:cstheme="minorHAnsi"/>
        </w:rPr>
        <w:t xml:space="preserve"> </w:t>
      </w:r>
      <w:r w:rsidR="007D581E">
        <w:rPr>
          <w:rFonts w:asciiTheme="minorHAnsi" w:hAnsiTheme="minorHAnsi" w:cstheme="minorHAnsi"/>
        </w:rPr>
        <w:t>(NZD $</w:t>
      </w:r>
      <w:r w:rsidR="00A043EC">
        <w:rPr>
          <w:rFonts w:asciiTheme="minorHAnsi" w:hAnsiTheme="minorHAnsi" w:cstheme="minorHAnsi"/>
        </w:rPr>
        <w:t>3</w:t>
      </w:r>
      <w:r w:rsidR="003F1F2E">
        <w:rPr>
          <w:rFonts w:asciiTheme="minorHAnsi" w:hAnsiTheme="minorHAnsi" w:cstheme="minorHAnsi"/>
        </w:rPr>
        <w:t>10</w:t>
      </w:r>
      <w:r w:rsidR="009E477C">
        <w:rPr>
          <w:rFonts w:asciiTheme="minorHAnsi" w:hAnsiTheme="minorHAnsi" w:cstheme="minorHAnsi"/>
        </w:rPr>
        <w:t>.0</w:t>
      </w:r>
      <w:r w:rsidR="007D581E">
        <w:rPr>
          <w:rFonts w:asciiTheme="minorHAnsi" w:hAnsiTheme="minorHAnsi" w:cstheme="minorHAnsi"/>
        </w:rPr>
        <w:t xml:space="preserve"> million) </w:t>
      </w:r>
      <w:r w:rsidRPr="007F7BD5">
        <w:rPr>
          <w:rFonts w:asciiTheme="minorHAnsi" w:hAnsiTheme="minorHAnsi" w:cstheme="minorHAnsi"/>
        </w:rPr>
        <w:t xml:space="preserve">over </w:t>
      </w:r>
      <w:r w:rsidR="00C80693">
        <w:rPr>
          <w:rFonts w:asciiTheme="minorHAnsi" w:hAnsiTheme="minorHAnsi" w:cstheme="minorHAnsi"/>
        </w:rPr>
        <w:t>ten</w:t>
      </w:r>
      <w:r w:rsidRPr="007F7BD5">
        <w:rPr>
          <w:rFonts w:asciiTheme="minorHAnsi" w:hAnsiTheme="minorHAnsi" w:cstheme="minorHAnsi"/>
        </w:rPr>
        <w:t xml:space="preserve"> years.</w:t>
      </w:r>
      <w:r w:rsidRPr="007F7BD5">
        <w:t xml:space="preserve"> </w:t>
      </w:r>
      <w:r w:rsidR="001A1AFA">
        <w:t>A large part of</w:t>
      </w:r>
      <w:r w:rsidRPr="007F7BD5">
        <w:t xml:space="preserve"> costs </w:t>
      </w:r>
      <w:r w:rsidR="006C588B" w:rsidRPr="007F7BD5">
        <w:t>accrues</w:t>
      </w:r>
      <w:r w:rsidRPr="007F7BD5">
        <w:t xml:space="preserve"> to Industry in the form of delay costs. Currently, unpaid applications take 21 months </w:t>
      </w:r>
      <w:r w:rsidR="002B2E26">
        <w:t xml:space="preserve">to assess </w:t>
      </w:r>
      <w:r w:rsidRPr="007F7BD5">
        <w:t xml:space="preserve">while paid applications are assumed to take </w:t>
      </w:r>
      <w:r w:rsidR="003169FD" w:rsidRPr="007F7BD5">
        <w:t>nine</w:t>
      </w:r>
      <w:r w:rsidRPr="007F7BD5">
        <w:t xml:space="preserve"> months to assess. The current assessment timeframes for both paid and unpaid applications </w:t>
      </w:r>
      <w:r w:rsidR="003169FD" w:rsidRPr="007F7BD5">
        <w:t>generate</w:t>
      </w:r>
      <w:r w:rsidRPr="007F7BD5">
        <w:t xml:space="preserve"> delay costs of </w:t>
      </w:r>
      <w:r w:rsidR="007D581E">
        <w:t xml:space="preserve">AUD </w:t>
      </w:r>
      <w:r w:rsidRPr="007F7BD5">
        <w:t>$</w:t>
      </w:r>
      <w:r w:rsidR="00D85790">
        <w:t>85.2</w:t>
      </w:r>
      <w:r w:rsidR="009D6440">
        <w:t xml:space="preserve"> </w:t>
      </w:r>
      <w:r w:rsidRPr="007F7BD5">
        <w:t>m</w:t>
      </w:r>
      <w:r w:rsidR="003169FD" w:rsidRPr="007F7BD5">
        <w:t>illion</w:t>
      </w:r>
      <w:r w:rsidRPr="007F7BD5">
        <w:t xml:space="preserve"> </w:t>
      </w:r>
      <w:r w:rsidR="007D581E">
        <w:t>(NZD $</w:t>
      </w:r>
      <w:r w:rsidR="00B67113">
        <w:t>91.2</w:t>
      </w:r>
      <w:r w:rsidR="009D6440">
        <w:t xml:space="preserve"> </w:t>
      </w:r>
      <w:r w:rsidR="004B15E9">
        <w:t xml:space="preserve">million) </w:t>
      </w:r>
      <w:r w:rsidRPr="007F7BD5">
        <w:t xml:space="preserve">over </w:t>
      </w:r>
      <w:r w:rsidR="008023D7">
        <w:t>ten</w:t>
      </w:r>
      <w:r w:rsidRPr="007F7BD5">
        <w:t xml:space="preserve"> years. </w:t>
      </w:r>
      <w:r w:rsidR="00727570" w:rsidRPr="007F7BD5">
        <w:rPr>
          <w:lang w:eastAsia="en-AU"/>
        </w:rPr>
        <w:t xml:space="preserve">There are further intangible costs to both industry and other government entities from a lack of certainty – the former related to interpreting food standards and the latter resulting in coordination burden between FSANZ and jurisdictions. </w:t>
      </w:r>
    </w:p>
    <w:p w14:paraId="42DBCBBC" w14:textId="25871A50" w:rsidR="00923BE4" w:rsidRPr="007F7BD5" w:rsidRDefault="00923BE4" w:rsidP="00923BE4">
      <w:pPr>
        <w:pStyle w:val="Bullet"/>
        <w:numPr>
          <w:ilvl w:val="0"/>
          <w:numId w:val="0"/>
        </w:numPr>
      </w:pPr>
      <w:r w:rsidRPr="007F7BD5">
        <w:t xml:space="preserve">FSANZ, and by extension the Australian Government, also bears </w:t>
      </w:r>
      <w:proofErr w:type="gramStart"/>
      <w:r w:rsidRPr="007F7BD5">
        <w:t>the majority of</w:t>
      </w:r>
      <w:proofErr w:type="gramEnd"/>
      <w:r w:rsidRPr="007F7BD5">
        <w:t xml:space="preserve"> the costs in the </w:t>
      </w:r>
      <w:r w:rsidR="0039460F">
        <w:t>development and communication of food standards</w:t>
      </w:r>
      <w:r w:rsidRPr="007F7BD5">
        <w:t>.</w:t>
      </w:r>
      <w:r w:rsidR="00915EE7">
        <w:rPr>
          <w:rStyle w:val="FootnoteReference"/>
        </w:rPr>
        <w:footnoteReference w:id="50"/>
      </w:r>
      <w:r w:rsidRPr="007F7BD5">
        <w:t xml:space="preserve"> Currently, FSANZ bears </w:t>
      </w:r>
      <w:r w:rsidR="00D4056F">
        <w:t>86</w:t>
      </w:r>
      <w:r w:rsidRPr="007F7BD5">
        <w:t xml:space="preserve">% of the total resourcing costs while </w:t>
      </w:r>
      <w:r w:rsidR="00F77657">
        <w:t>other</w:t>
      </w:r>
      <w:r w:rsidRPr="007F7BD5">
        <w:t xml:space="preserve"> government jurisdictions contribute </w:t>
      </w:r>
      <w:r w:rsidR="008A6160">
        <w:t>10</w:t>
      </w:r>
      <w:r w:rsidRPr="007F7BD5">
        <w:t>%. The remainder is borne by consumers through the flow of cost recovery of applications fees by industry.</w:t>
      </w:r>
    </w:p>
    <w:p w14:paraId="0523B3FB" w14:textId="2847A411" w:rsidR="00923BE4" w:rsidRPr="007F7BD5" w:rsidRDefault="00923BE4" w:rsidP="002B2E26">
      <w:pPr>
        <w:pStyle w:val="Bullet"/>
        <w:numPr>
          <w:ilvl w:val="0"/>
          <w:numId w:val="0"/>
        </w:numPr>
        <w:spacing w:line="240" w:lineRule="auto"/>
      </w:pPr>
      <w:r w:rsidRPr="007F7BD5">
        <w:t xml:space="preserve">The </w:t>
      </w:r>
      <w:r w:rsidRPr="007F7BD5">
        <w:rPr>
          <w:rFonts w:asciiTheme="majorHAnsi" w:hAnsiTheme="majorHAnsi" w:cstheme="majorHAnsi"/>
        </w:rPr>
        <w:t xml:space="preserve">total </w:t>
      </w:r>
      <w:r w:rsidR="000454CD">
        <w:rPr>
          <w:rFonts w:asciiTheme="majorHAnsi" w:hAnsiTheme="majorHAnsi" w:cstheme="majorHAnsi"/>
        </w:rPr>
        <w:t>quantifiable</w:t>
      </w:r>
      <w:r w:rsidRPr="007F7BD5">
        <w:rPr>
          <w:rFonts w:asciiTheme="majorHAnsi" w:hAnsiTheme="majorHAnsi" w:cstheme="majorHAnsi"/>
        </w:rPr>
        <w:t xml:space="preserve"> benefits</w:t>
      </w:r>
      <w:r w:rsidRPr="007F7BD5">
        <w:t xml:space="preserve"> of Option 1 are </w:t>
      </w:r>
      <w:r w:rsidR="004B15E9">
        <w:t xml:space="preserve">AUD </w:t>
      </w:r>
      <w:r w:rsidRPr="007F7BD5">
        <w:t>$</w:t>
      </w:r>
      <w:r w:rsidR="004715CF">
        <w:t>305.1</w:t>
      </w:r>
      <w:r w:rsidR="007230DE" w:rsidRPr="007F7BD5">
        <w:t xml:space="preserve"> </w:t>
      </w:r>
      <w:r w:rsidRPr="007F7BD5">
        <w:t>m</w:t>
      </w:r>
      <w:r w:rsidR="003169FD" w:rsidRPr="007F7BD5">
        <w:t>illion</w:t>
      </w:r>
      <w:r w:rsidR="004B15E9">
        <w:t xml:space="preserve"> (NZD $</w:t>
      </w:r>
      <w:r w:rsidR="00517C69">
        <w:t>326.44</w:t>
      </w:r>
      <w:r w:rsidR="00DE7680">
        <w:t xml:space="preserve"> million)</w:t>
      </w:r>
      <w:r w:rsidRPr="007F7BD5">
        <w:t xml:space="preserve"> over </w:t>
      </w:r>
      <w:r w:rsidR="0041711C">
        <w:t>ten</w:t>
      </w:r>
      <w:r w:rsidRPr="007F7BD5">
        <w:t xml:space="preserve"> years in the form of public health benefits. </w:t>
      </w:r>
      <w:r w:rsidR="005F329F">
        <w:t>Specifically, the work FSANZ does through</w:t>
      </w:r>
      <w:r w:rsidRPr="007F7BD5">
        <w:t xml:space="preserve"> application assessments, standard reviews and proposal work</w:t>
      </w:r>
      <w:r w:rsidR="007F000B">
        <w:t xml:space="preserve"> protect a safe and nutritious supply of foods </w:t>
      </w:r>
      <w:r w:rsidR="002639BD">
        <w:t>and support consumers to make informed decisions about their diets</w:t>
      </w:r>
      <w:r w:rsidRPr="007F7BD5">
        <w:t xml:space="preserve">. </w:t>
      </w:r>
      <w:r w:rsidR="00455FC8" w:rsidRPr="00455FC8">
        <w:t>Further</w:t>
      </w:r>
      <w:r w:rsidRPr="00455FC8">
        <w:t xml:space="preserve"> </w:t>
      </w:r>
      <w:r w:rsidR="00455FC8" w:rsidRPr="00455FC8">
        <w:rPr>
          <w:rStyle w:val="cf01"/>
          <w:sz w:val="19"/>
          <w:szCs w:val="19"/>
        </w:rPr>
        <w:t>u</w:t>
      </w:r>
      <w:r w:rsidR="006B5928" w:rsidRPr="00455FC8">
        <w:rPr>
          <w:rStyle w:val="cf01"/>
          <w:sz w:val="19"/>
          <w:szCs w:val="19"/>
        </w:rPr>
        <w:t xml:space="preserve">nquantifiable benefits also arise from </w:t>
      </w:r>
      <w:r w:rsidR="00B63384">
        <w:rPr>
          <w:rStyle w:val="cf01"/>
          <w:sz w:val="19"/>
          <w:szCs w:val="19"/>
        </w:rPr>
        <w:t>FSANZ’</w:t>
      </w:r>
      <w:r w:rsidR="005D04DB">
        <w:rPr>
          <w:rStyle w:val="cf01"/>
          <w:sz w:val="19"/>
          <w:szCs w:val="19"/>
        </w:rPr>
        <w:t>s</w:t>
      </w:r>
      <w:r w:rsidR="006B5928" w:rsidRPr="00455FC8">
        <w:rPr>
          <w:rStyle w:val="cf01"/>
          <w:sz w:val="19"/>
          <w:szCs w:val="19"/>
        </w:rPr>
        <w:t xml:space="preserve"> role as an independent scientific agency promoting trust in the food regulatory system and harmonising standards both domestically and internationally.</w:t>
      </w:r>
    </w:p>
    <w:p w14:paraId="2EA57D0F" w14:textId="7E8569BB" w:rsidR="007F7BD5" w:rsidRPr="007F7BD5" w:rsidRDefault="00923BE4" w:rsidP="002B2E26">
      <w:pPr>
        <w:spacing w:line="240" w:lineRule="auto"/>
        <w:rPr>
          <w:lang w:eastAsia="en-AU"/>
        </w:rPr>
      </w:pPr>
      <w:r w:rsidRPr="007F7BD5">
        <w:t xml:space="preserve">The distribution of the costs and benefits of </w:t>
      </w:r>
      <w:r w:rsidR="004E4D63">
        <w:t>FSANZ’</w:t>
      </w:r>
      <w:r w:rsidR="005D04DB">
        <w:t>s</w:t>
      </w:r>
      <w:r w:rsidRPr="007F7BD5">
        <w:t xml:space="preserve"> current operations highlight </w:t>
      </w:r>
      <w:proofErr w:type="gramStart"/>
      <w:r w:rsidRPr="007F7BD5">
        <w:t>the majority of</w:t>
      </w:r>
      <w:proofErr w:type="gramEnd"/>
      <w:r w:rsidRPr="007F7BD5">
        <w:t xml:space="preserve"> the food safety regulation costs are borne by industry and FSANZ to achieve public health outcomes. The net </w:t>
      </w:r>
      <w:r w:rsidR="005445FD">
        <w:t>benefit</w:t>
      </w:r>
      <w:r w:rsidRPr="007F7BD5">
        <w:t xml:space="preserve"> is </w:t>
      </w:r>
      <w:r w:rsidR="00DE7680">
        <w:t xml:space="preserve">AUD </w:t>
      </w:r>
      <w:r w:rsidRPr="007F7BD5">
        <w:t>$</w:t>
      </w:r>
      <w:r w:rsidR="00203287">
        <w:t>1</w:t>
      </w:r>
      <w:r w:rsidR="005445FD">
        <w:t>5.4</w:t>
      </w:r>
      <w:r w:rsidR="00324AB9" w:rsidRPr="007F7BD5">
        <w:t xml:space="preserve"> </w:t>
      </w:r>
      <w:r w:rsidRPr="007F7BD5">
        <w:t>m</w:t>
      </w:r>
      <w:r w:rsidR="00324AB9" w:rsidRPr="007F7BD5">
        <w:t>illion</w:t>
      </w:r>
      <w:r w:rsidRPr="007F7BD5">
        <w:t xml:space="preserve"> </w:t>
      </w:r>
      <w:r w:rsidR="00DE7680">
        <w:t>(NZD $</w:t>
      </w:r>
      <w:r w:rsidR="00FE2C72">
        <w:t>1</w:t>
      </w:r>
      <w:r w:rsidR="005445FD">
        <w:t>6</w:t>
      </w:r>
      <w:r w:rsidR="00FE2C72">
        <w:t>.4</w:t>
      </w:r>
      <w:r w:rsidR="00240018">
        <w:t xml:space="preserve"> million) </w:t>
      </w:r>
      <w:r w:rsidRPr="007F7BD5">
        <w:t xml:space="preserve">over </w:t>
      </w:r>
      <w:r w:rsidR="00D3667A">
        <w:t>ten</w:t>
      </w:r>
      <w:r w:rsidRPr="007F7BD5">
        <w:t xml:space="preserve"> years with a BCR of 1.</w:t>
      </w:r>
      <w:r w:rsidR="008473D2" w:rsidRPr="007F7BD5">
        <w:t>0</w:t>
      </w:r>
      <w:r w:rsidR="005445FD">
        <w:t>5</w:t>
      </w:r>
      <w:r w:rsidRPr="007F7BD5">
        <w:t>.</w:t>
      </w:r>
      <w:r w:rsidR="00240018">
        <w:t xml:space="preserve"> </w:t>
      </w:r>
      <w:r w:rsidR="00525BF3">
        <w:t xml:space="preserve">After applying a discount </w:t>
      </w:r>
      <w:r w:rsidR="009373B6">
        <w:t>rate</w:t>
      </w:r>
      <w:r w:rsidR="00525BF3">
        <w:t xml:space="preserve"> of 7%, the net present value of Option 1 </w:t>
      </w:r>
      <w:r w:rsidR="009373B6">
        <w:t>AUD $10.7 million (NZD $</w:t>
      </w:r>
      <w:r w:rsidR="00734180">
        <w:t>11.4 million).</w:t>
      </w:r>
      <w:r w:rsidR="00525BF3">
        <w:t xml:space="preserve"> </w:t>
      </w:r>
    </w:p>
    <w:p w14:paraId="2BBE5DEE" w14:textId="0F476335" w:rsidR="00CA1B63" w:rsidRDefault="00203C9F" w:rsidP="002B2E26">
      <w:pPr>
        <w:spacing w:line="240" w:lineRule="auto"/>
        <w:rPr>
          <w:rFonts w:cs="Segoe UI"/>
          <w:color w:val="374151"/>
          <w:shd w:val="clear" w:color="auto" w:fill="F7F7F8"/>
        </w:rPr>
      </w:pPr>
      <w:r>
        <w:rPr>
          <w:lang w:eastAsia="en-AU"/>
        </w:rPr>
        <w:t xml:space="preserve">As </w:t>
      </w:r>
      <w:r w:rsidR="00831A17">
        <w:rPr>
          <w:lang w:eastAsia="en-AU"/>
        </w:rPr>
        <w:t>Option 1</w:t>
      </w:r>
      <w:r>
        <w:rPr>
          <w:lang w:eastAsia="en-AU"/>
        </w:rPr>
        <w:t xml:space="preserve"> </w:t>
      </w:r>
      <w:r w:rsidR="002A433B">
        <w:rPr>
          <w:lang w:eastAsia="en-AU"/>
        </w:rPr>
        <w:t xml:space="preserve">maintains the status quo, </w:t>
      </w:r>
      <w:r w:rsidR="00427137" w:rsidRPr="00427137">
        <w:rPr>
          <w:lang w:eastAsia="en-AU"/>
        </w:rPr>
        <w:t xml:space="preserve">costs will remain distributed among stakeholders in Australia and New Zealand as they currently are. </w:t>
      </w:r>
      <w:r w:rsidR="004F547B">
        <w:rPr>
          <w:lang w:eastAsia="en-AU"/>
        </w:rPr>
        <w:t xml:space="preserve">Some costs – such as those due to inconsistent interpretation of food standards – are experienced in higher rates by Australian stakeholders. </w:t>
      </w:r>
    </w:p>
    <w:p w14:paraId="7DC048FE" w14:textId="4B8C8997" w:rsidR="003B448A" w:rsidRPr="00931ED7" w:rsidRDefault="00923BE4">
      <w:pPr>
        <w:spacing w:after="165"/>
      </w:pPr>
      <w:r w:rsidRPr="007F7BD5">
        <w:t>An overview of the distribution of costs and benefits are provided at</w:t>
      </w:r>
      <w:r w:rsidR="00F67CF2">
        <w:t xml:space="preserve"> </w:t>
      </w:r>
      <w:r w:rsidR="00F67CF2">
        <w:fldChar w:fldCharType="begin"/>
      </w:r>
      <w:r w:rsidR="00F67CF2">
        <w:instrText xml:space="preserve"> REF _Ref150456047 \h </w:instrText>
      </w:r>
      <w:r w:rsidR="00F67CF2">
        <w:fldChar w:fldCharType="separate"/>
      </w:r>
      <w:r w:rsidR="003F7B92">
        <w:t xml:space="preserve">Table </w:t>
      </w:r>
      <w:r w:rsidR="003F7B92">
        <w:rPr>
          <w:noProof/>
        </w:rPr>
        <w:t>13</w:t>
      </w:r>
      <w:r w:rsidR="00F67CF2">
        <w:fldChar w:fldCharType="end"/>
      </w:r>
      <w:r w:rsidR="00F67CF2">
        <w:t xml:space="preserve">. </w:t>
      </w:r>
      <w:bookmarkStart w:id="68" w:name="_Ref149644540"/>
      <w:r w:rsidR="003B448A">
        <w:br w:type="page"/>
      </w:r>
    </w:p>
    <w:p w14:paraId="08D29B18" w14:textId="71A33DA6" w:rsidR="00FA41D2" w:rsidRDefault="00FA41D2" w:rsidP="007F7722">
      <w:pPr>
        <w:pStyle w:val="Caption"/>
      </w:pPr>
      <w:bookmarkStart w:id="69" w:name="_Ref150456047"/>
      <w:r>
        <w:lastRenderedPageBreak/>
        <w:t xml:space="preserve">Table </w:t>
      </w:r>
      <w:r>
        <w:fldChar w:fldCharType="begin"/>
      </w:r>
      <w:r>
        <w:instrText xml:space="preserve"> SEQ Table \* ARABIC </w:instrText>
      </w:r>
      <w:r>
        <w:fldChar w:fldCharType="separate"/>
      </w:r>
      <w:r w:rsidR="003F7B92">
        <w:rPr>
          <w:noProof/>
        </w:rPr>
        <w:t>13</w:t>
      </w:r>
      <w:r>
        <w:fldChar w:fldCharType="end"/>
      </w:r>
      <w:bookmarkEnd w:id="68"/>
      <w:bookmarkEnd w:id="69"/>
      <w:r>
        <w:t xml:space="preserve"> | Overview of benefits and costs by stakeholder group for Option 1 </w:t>
      </w:r>
    </w:p>
    <w:tbl>
      <w:tblPr>
        <w:tblStyle w:val="TableGrid"/>
        <w:tblW w:w="9072" w:type="dxa"/>
        <w:tblLook w:val="04A0" w:firstRow="1" w:lastRow="0" w:firstColumn="1" w:lastColumn="0" w:noHBand="0" w:noVBand="1"/>
        <w:tblCaption w:val="Costs and benefits of Option 1 (Status quo) "/>
        <w:tblDescription w:val="Table showing the costs and benefits for Option 1 on different stakeholder groups. "/>
      </w:tblPr>
      <w:tblGrid>
        <w:gridCol w:w="1390"/>
        <w:gridCol w:w="1735"/>
        <w:gridCol w:w="5947"/>
      </w:tblGrid>
      <w:tr w:rsidR="00703246" w:rsidRPr="00B06145" w14:paraId="59BD0E6F" w14:textId="77777777" w:rsidTr="00BC7D85">
        <w:trPr>
          <w:cnfStyle w:val="100000000000" w:firstRow="1" w:lastRow="0" w:firstColumn="0" w:lastColumn="0" w:oddVBand="0" w:evenVBand="0" w:oddHBand="0" w:evenHBand="0" w:firstRowFirstColumn="0" w:firstRowLastColumn="0" w:lastRowFirstColumn="0" w:lastRowLastColumn="0"/>
        </w:trPr>
        <w:tc>
          <w:tcPr>
            <w:tcW w:w="1390" w:type="dxa"/>
          </w:tcPr>
          <w:p w14:paraId="7DED57F6" w14:textId="77777777" w:rsidR="00A91C7D" w:rsidRDefault="00A91C7D">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Stakeholder </w:t>
            </w:r>
            <w:bookmarkStart w:id="70" w:name="Title_Costs_benefits_Option_1"/>
            <w:bookmarkEnd w:id="70"/>
          </w:p>
        </w:tc>
        <w:tc>
          <w:tcPr>
            <w:tcW w:w="1735" w:type="dxa"/>
          </w:tcPr>
          <w:p w14:paraId="155464A4" w14:textId="77777777" w:rsidR="00A91C7D" w:rsidRPr="004B182F" w:rsidRDefault="00A91C7D">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Costs or Benefits </w:t>
            </w:r>
          </w:p>
        </w:tc>
        <w:tc>
          <w:tcPr>
            <w:tcW w:w="5947" w:type="dxa"/>
          </w:tcPr>
          <w:p w14:paraId="61A5AD2F" w14:textId="77777777" w:rsidR="00A91C7D" w:rsidRPr="004B182F" w:rsidRDefault="00A91C7D">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Description of costs or benefits </w:t>
            </w:r>
          </w:p>
        </w:tc>
      </w:tr>
      <w:tr w:rsidR="00A91C7D" w:rsidRPr="00B06145" w14:paraId="4003801D" w14:textId="77777777" w:rsidTr="00BC7D85">
        <w:trPr>
          <w:cnfStyle w:val="000000100000" w:firstRow="0" w:lastRow="0" w:firstColumn="0" w:lastColumn="0" w:oddVBand="0" w:evenVBand="0" w:oddHBand="1" w:evenHBand="0" w:firstRowFirstColumn="0" w:firstRowLastColumn="0" w:lastRowFirstColumn="0" w:lastRowLastColumn="0"/>
          <w:cantSplit/>
        </w:trPr>
        <w:tc>
          <w:tcPr>
            <w:tcW w:w="1390" w:type="dxa"/>
            <w:vMerge w:val="restart"/>
          </w:tcPr>
          <w:p w14:paraId="7856BA67" w14:textId="2ACFE4B8" w:rsidR="00A91C7D" w:rsidRDefault="00A91C7D">
            <w:pPr>
              <w:rPr>
                <w:sz w:val="17"/>
                <w:szCs w:val="17"/>
                <w:lang w:eastAsia="en-AU"/>
              </w:rPr>
            </w:pPr>
            <w:r>
              <w:rPr>
                <w:sz w:val="17"/>
                <w:szCs w:val="17"/>
                <w:lang w:eastAsia="en-AU"/>
              </w:rPr>
              <w:t xml:space="preserve">Industry </w:t>
            </w:r>
          </w:p>
        </w:tc>
        <w:tc>
          <w:tcPr>
            <w:tcW w:w="1735" w:type="dxa"/>
          </w:tcPr>
          <w:p w14:paraId="323A03F2" w14:textId="597EC609" w:rsidR="00A91C7D" w:rsidRPr="00B06145" w:rsidRDefault="00F5735B">
            <w:pPr>
              <w:rPr>
                <w:sz w:val="17"/>
                <w:szCs w:val="17"/>
                <w:lang w:eastAsia="en-AU"/>
              </w:rPr>
            </w:pPr>
            <w:r>
              <w:rPr>
                <w:sz w:val="17"/>
                <w:szCs w:val="17"/>
                <w:lang w:eastAsia="en-AU"/>
              </w:rPr>
              <w:t>Quant</w:t>
            </w:r>
            <w:r w:rsidR="00CA5C18">
              <w:rPr>
                <w:sz w:val="17"/>
                <w:szCs w:val="17"/>
                <w:lang w:eastAsia="en-AU"/>
              </w:rPr>
              <w:t>ified</w:t>
            </w:r>
            <w:r w:rsidR="00EC2FB8">
              <w:rPr>
                <w:sz w:val="17"/>
                <w:szCs w:val="17"/>
                <w:lang w:eastAsia="en-AU"/>
              </w:rPr>
              <w:t xml:space="preserve"> c</w:t>
            </w:r>
            <w:r w:rsidR="006B5015" w:rsidRPr="00B06145">
              <w:rPr>
                <w:sz w:val="17"/>
                <w:szCs w:val="17"/>
                <w:lang w:eastAsia="en-AU"/>
              </w:rPr>
              <w:t xml:space="preserve">osts </w:t>
            </w:r>
          </w:p>
        </w:tc>
        <w:tc>
          <w:tcPr>
            <w:tcW w:w="5947" w:type="dxa"/>
          </w:tcPr>
          <w:p w14:paraId="3F51CBC8" w14:textId="700A2E70" w:rsidR="00A91C7D" w:rsidRPr="00B06145" w:rsidRDefault="00A91C7D" w:rsidP="00313A20">
            <w:pPr>
              <w:pStyle w:val="TableNBullet"/>
              <w:numPr>
                <w:ilvl w:val="0"/>
                <w:numId w:val="25"/>
              </w:numPr>
              <w:spacing w:line="257" w:lineRule="auto"/>
            </w:pPr>
            <w:r>
              <w:t>Delays in bringing products to market, due to inefficient processing of applications and proposals. (</w:t>
            </w:r>
            <w:r w:rsidR="004C3A86">
              <w:t>In</w:t>
            </w:r>
            <w:r>
              <w:t>dustry stakeholder</w:t>
            </w:r>
            <w:r w:rsidR="004C3A86">
              <w:t>s</w:t>
            </w:r>
            <w:r>
              <w:t xml:space="preserve"> face opportunity costs amounting to AUD $</w:t>
            </w:r>
            <w:r w:rsidR="004C3A86">
              <w:t>40,</w:t>
            </w:r>
            <w:r>
              <w:t>00</w:t>
            </w:r>
            <w:r w:rsidR="00C82AE3">
              <w:t>0</w:t>
            </w:r>
            <w:r>
              <w:t xml:space="preserve"> (NZD $</w:t>
            </w:r>
            <w:r w:rsidR="000655BF">
              <w:t>42,8</w:t>
            </w:r>
            <w:r>
              <w:t>00) per month</w:t>
            </w:r>
            <w:r w:rsidR="00C82AE3">
              <w:t>)</w:t>
            </w:r>
            <w:r>
              <w:t>. Extrapolating this data leads to AUD $</w:t>
            </w:r>
            <w:r w:rsidR="004C2B28">
              <w:t>8.5</w:t>
            </w:r>
            <w:r>
              <w:t xml:space="preserve"> million (NZD $</w:t>
            </w:r>
            <w:r w:rsidR="00053BB5">
              <w:t>9.1</w:t>
            </w:r>
            <w:r>
              <w:t xml:space="preserve"> million) per year in opportunity costs</w:t>
            </w:r>
            <w:r w:rsidR="006D6D17">
              <w:t>.</w:t>
            </w:r>
          </w:p>
        </w:tc>
      </w:tr>
      <w:tr w:rsidR="006B5015" w:rsidRPr="00B06145" w14:paraId="0A5464CA" w14:textId="77777777" w:rsidTr="00BC7D85">
        <w:trPr>
          <w:cnfStyle w:val="000000010000" w:firstRow="0" w:lastRow="0" w:firstColumn="0" w:lastColumn="0" w:oddVBand="0" w:evenVBand="0" w:oddHBand="0" w:evenHBand="1" w:firstRowFirstColumn="0" w:firstRowLastColumn="0" w:lastRowFirstColumn="0" w:lastRowLastColumn="0"/>
          <w:cantSplit/>
        </w:trPr>
        <w:tc>
          <w:tcPr>
            <w:tcW w:w="1390" w:type="dxa"/>
            <w:vMerge/>
          </w:tcPr>
          <w:p w14:paraId="1D6081A6" w14:textId="3F470717" w:rsidR="006B5015" w:rsidRDefault="006B5015">
            <w:pPr>
              <w:rPr>
                <w:sz w:val="17"/>
                <w:szCs w:val="17"/>
                <w:lang w:eastAsia="en-AU"/>
              </w:rPr>
            </w:pPr>
          </w:p>
        </w:tc>
        <w:tc>
          <w:tcPr>
            <w:tcW w:w="1735" w:type="dxa"/>
          </w:tcPr>
          <w:p w14:paraId="1A5A79C6" w14:textId="318AB559" w:rsidR="006B5015" w:rsidRPr="00B06145" w:rsidRDefault="00841ED7">
            <w:pPr>
              <w:rPr>
                <w:sz w:val="17"/>
                <w:szCs w:val="17"/>
                <w:lang w:eastAsia="en-AU"/>
              </w:rPr>
            </w:pPr>
            <w:r>
              <w:rPr>
                <w:sz w:val="17"/>
                <w:szCs w:val="17"/>
                <w:lang w:eastAsia="en-AU"/>
              </w:rPr>
              <w:t>Quali</w:t>
            </w:r>
            <w:r w:rsidR="00CA5C18">
              <w:rPr>
                <w:sz w:val="17"/>
                <w:szCs w:val="17"/>
                <w:lang w:eastAsia="en-AU"/>
              </w:rPr>
              <w:t xml:space="preserve">fied </w:t>
            </w:r>
            <w:r w:rsidR="00EC2FB8">
              <w:rPr>
                <w:sz w:val="17"/>
                <w:szCs w:val="17"/>
                <w:lang w:eastAsia="en-AU"/>
              </w:rPr>
              <w:t>c</w:t>
            </w:r>
            <w:r w:rsidR="00EC2FB8" w:rsidRPr="00B06145">
              <w:rPr>
                <w:sz w:val="17"/>
                <w:szCs w:val="17"/>
                <w:lang w:eastAsia="en-AU"/>
              </w:rPr>
              <w:t>osts</w:t>
            </w:r>
          </w:p>
        </w:tc>
        <w:tc>
          <w:tcPr>
            <w:tcW w:w="5947" w:type="dxa"/>
          </w:tcPr>
          <w:p w14:paraId="3E3EA03C" w14:textId="44235F25" w:rsidR="00EC2FB8" w:rsidRPr="00F55083" w:rsidRDefault="00EC2FB8" w:rsidP="00F55083">
            <w:pPr>
              <w:pStyle w:val="TableNBullet"/>
            </w:pPr>
            <w:r w:rsidRPr="00F55083">
              <w:t>Deterrent effect for prospective applicants due to time and cost of making an application (</w:t>
            </w:r>
            <w:proofErr w:type="gramStart"/>
            <w:r w:rsidR="00A94F3D" w:rsidRPr="00F55083">
              <w:t>i</w:t>
            </w:r>
            <w:r w:rsidR="00097DC9" w:rsidRPr="00F55083">
              <w:t>.</w:t>
            </w:r>
            <w:r w:rsidR="00A94F3D" w:rsidRPr="00F55083">
              <w:t>e</w:t>
            </w:r>
            <w:r w:rsidR="00954E66">
              <w:t>.</w:t>
            </w:r>
            <w:proofErr w:type="gramEnd"/>
            <w:r w:rsidR="00A94F3D" w:rsidRPr="00F55083">
              <w:t xml:space="preserve"> </w:t>
            </w:r>
            <w:r w:rsidRPr="00F55083">
              <w:t>barriers to innovation)</w:t>
            </w:r>
            <w:r w:rsidR="00097DC9" w:rsidRPr="00F55083">
              <w:t>.</w:t>
            </w:r>
          </w:p>
          <w:p w14:paraId="0395F159" w14:textId="1408934E" w:rsidR="00EC2FB8" w:rsidRPr="00F55083" w:rsidRDefault="00EC2FB8" w:rsidP="00F55083">
            <w:pPr>
              <w:pStyle w:val="TableNBullet"/>
            </w:pPr>
            <w:r w:rsidRPr="00F55083">
              <w:t xml:space="preserve">Limited harmonisation with international standards (for exporting </w:t>
            </w:r>
            <w:r w:rsidR="00A94F3D" w:rsidRPr="00F55083">
              <w:t xml:space="preserve">and importing </w:t>
            </w:r>
            <w:r w:rsidRPr="00F55083">
              <w:t xml:space="preserve">businesses). </w:t>
            </w:r>
          </w:p>
          <w:p w14:paraId="2A3FE7C0" w14:textId="151E31BF" w:rsidR="00FA7F2C" w:rsidRPr="00F55083" w:rsidRDefault="00FA7F2C" w:rsidP="00F55083">
            <w:pPr>
              <w:pStyle w:val="TableNBullet"/>
            </w:pPr>
            <w:r w:rsidRPr="00F55083">
              <w:t>Increases in compliance costs as goods need further approval despite given approval in other markets</w:t>
            </w:r>
            <w:r w:rsidR="00F22225" w:rsidRPr="00F55083">
              <w:t>.</w:t>
            </w:r>
          </w:p>
          <w:p w14:paraId="48669043" w14:textId="128FE8BA" w:rsidR="006B5015" w:rsidRPr="00F55083" w:rsidRDefault="00EC2FB8" w:rsidP="00F55083">
            <w:pPr>
              <w:pStyle w:val="TableNBullet"/>
            </w:pPr>
            <w:r w:rsidRPr="00F55083">
              <w:t>Substantial compliance burden associated with (a) interpretive uncertainty around food standards and (b) inconsistent interpretation across jurisdictions</w:t>
            </w:r>
            <w:r w:rsidR="00F45F26" w:rsidRPr="00F55083">
              <w:t xml:space="preserve"> (Australia only)</w:t>
            </w:r>
            <w:r w:rsidR="005D4934" w:rsidRPr="00F55083">
              <w:t>.</w:t>
            </w:r>
          </w:p>
          <w:p w14:paraId="15C84946" w14:textId="77777777" w:rsidR="006B5015" w:rsidRDefault="00822448" w:rsidP="00F55083">
            <w:pPr>
              <w:pStyle w:val="TableNBullet"/>
            </w:pPr>
            <w:r w:rsidRPr="00F55083">
              <w:t xml:space="preserve">First Nations and </w:t>
            </w:r>
            <w:r w:rsidR="001F1BEF" w:rsidRPr="00F55083">
              <w:t>Māori</w:t>
            </w:r>
            <w:r w:rsidRPr="00F55083">
              <w:t xml:space="preserve"> businesses cannot access food markets due to a</w:t>
            </w:r>
            <w:r w:rsidR="005D4934" w:rsidRPr="00F55083">
              <w:t>n</w:t>
            </w:r>
            <w:r w:rsidRPr="00F55083">
              <w:t xml:space="preserve"> </w:t>
            </w:r>
            <w:r w:rsidR="00C4430D" w:rsidRPr="00F55083">
              <w:t>uncertainty about how to demonstrate the safety of traditional foods</w:t>
            </w:r>
            <w:r w:rsidR="00C4430D">
              <w:t>.</w:t>
            </w:r>
          </w:p>
          <w:p w14:paraId="1BFE6AD0" w14:textId="1B86157F" w:rsidR="006B5015" w:rsidRDefault="001C6F89" w:rsidP="00F55083">
            <w:pPr>
              <w:pStyle w:val="TableNBullet"/>
            </w:pPr>
            <w:r>
              <w:t>Admi</w:t>
            </w:r>
            <w:r w:rsidR="0084023E">
              <w:t>nistrative</w:t>
            </w:r>
            <w:r w:rsidR="00D33030">
              <w:t xml:space="preserve"> and compliance</w:t>
            </w:r>
            <w:r w:rsidR="0084023E">
              <w:t xml:space="preserve"> burden to comply with </w:t>
            </w:r>
            <w:r w:rsidR="001B1636">
              <w:t>cost recovery initiatives</w:t>
            </w:r>
          </w:p>
        </w:tc>
      </w:tr>
      <w:tr w:rsidR="0018239B" w:rsidRPr="00B06145" w14:paraId="6B61D992" w14:textId="77777777" w:rsidTr="00BC7D85">
        <w:trPr>
          <w:cnfStyle w:val="000000100000" w:firstRow="0" w:lastRow="0" w:firstColumn="0" w:lastColumn="0" w:oddVBand="0" w:evenVBand="0" w:oddHBand="1" w:evenHBand="0" w:firstRowFirstColumn="0" w:firstRowLastColumn="0" w:lastRowFirstColumn="0" w:lastRowLastColumn="0"/>
          <w:cantSplit/>
        </w:trPr>
        <w:tc>
          <w:tcPr>
            <w:tcW w:w="1390" w:type="dxa"/>
            <w:vMerge/>
          </w:tcPr>
          <w:p w14:paraId="1E8A0819" w14:textId="77777777" w:rsidR="0018239B" w:rsidRDefault="0018239B">
            <w:pPr>
              <w:rPr>
                <w:sz w:val="17"/>
                <w:szCs w:val="17"/>
                <w:lang w:eastAsia="en-AU"/>
              </w:rPr>
            </w:pPr>
          </w:p>
        </w:tc>
        <w:tc>
          <w:tcPr>
            <w:tcW w:w="1735" w:type="dxa"/>
          </w:tcPr>
          <w:p w14:paraId="30655996" w14:textId="58932AA6" w:rsidR="0018239B" w:rsidRDefault="0018239B">
            <w:pPr>
              <w:rPr>
                <w:sz w:val="17"/>
                <w:szCs w:val="17"/>
                <w:lang w:eastAsia="en-AU"/>
              </w:rPr>
            </w:pPr>
            <w:r>
              <w:rPr>
                <w:sz w:val="17"/>
                <w:szCs w:val="17"/>
                <w:lang w:eastAsia="en-AU"/>
              </w:rPr>
              <w:t>Quantified benefits</w:t>
            </w:r>
          </w:p>
        </w:tc>
        <w:tc>
          <w:tcPr>
            <w:tcW w:w="5947" w:type="dxa"/>
          </w:tcPr>
          <w:p w14:paraId="3B2A934E" w14:textId="17E2B546" w:rsidR="0018239B" w:rsidRPr="005D4934" w:rsidRDefault="0018239B" w:rsidP="00A91C7D">
            <w:pPr>
              <w:pStyle w:val="TableNBullet"/>
              <w:spacing w:line="257" w:lineRule="auto"/>
              <w:rPr>
                <w:rFonts w:asciiTheme="minorHAnsi" w:hAnsiTheme="minorHAnsi" w:cstheme="minorHAnsi"/>
              </w:rPr>
            </w:pPr>
            <w:r w:rsidRPr="005D4934">
              <w:rPr>
                <w:rFonts w:asciiTheme="minorHAnsi" w:hAnsiTheme="minorHAnsi" w:cstheme="minorHAnsi"/>
              </w:rPr>
              <w:t>NA</w:t>
            </w:r>
          </w:p>
        </w:tc>
      </w:tr>
      <w:tr w:rsidR="00841ED7" w:rsidRPr="00B06145" w14:paraId="597C8E0E" w14:textId="77777777" w:rsidTr="00BC7D85">
        <w:trPr>
          <w:cnfStyle w:val="000000010000" w:firstRow="0" w:lastRow="0" w:firstColumn="0" w:lastColumn="0" w:oddVBand="0" w:evenVBand="0" w:oddHBand="0" w:evenHBand="1" w:firstRowFirstColumn="0" w:firstRowLastColumn="0" w:lastRowFirstColumn="0" w:lastRowLastColumn="0"/>
          <w:cantSplit/>
        </w:trPr>
        <w:tc>
          <w:tcPr>
            <w:tcW w:w="1390" w:type="dxa"/>
            <w:vMerge/>
          </w:tcPr>
          <w:p w14:paraId="2BE911FB" w14:textId="77777777" w:rsidR="00841ED7" w:rsidRDefault="00841ED7">
            <w:pPr>
              <w:rPr>
                <w:sz w:val="17"/>
                <w:szCs w:val="17"/>
                <w:lang w:eastAsia="en-AU"/>
              </w:rPr>
            </w:pPr>
          </w:p>
        </w:tc>
        <w:tc>
          <w:tcPr>
            <w:tcW w:w="1735" w:type="dxa"/>
          </w:tcPr>
          <w:p w14:paraId="2763A513" w14:textId="3834B679" w:rsidR="00841ED7" w:rsidRPr="00B06145" w:rsidRDefault="00841ED7">
            <w:pPr>
              <w:rPr>
                <w:sz w:val="17"/>
                <w:szCs w:val="17"/>
                <w:lang w:eastAsia="en-AU"/>
              </w:rPr>
            </w:pPr>
            <w:r>
              <w:rPr>
                <w:sz w:val="17"/>
                <w:szCs w:val="17"/>
                <w:lang w:eastAsia="en-AU"/>
              </w:rPr>
              <w:t xml:space="preserve">Qualified benefits </w:t>
            </w:r>
          </w:p>
        </w:tc>
        <w:tc>
          <w:tcPr>
            <w:tcW w:w="5947" w:type="dxa"/>
          </w:tcPr>
          <w:p w14:paraId="19218012" w14:textId="77777777" w:rsidR="00841ED7" w:rsidRPr="00931ED7" w:rsidRDefault="00841ED7" w:rsidP="00F55083">
            <w:pPr>
              <w:pStyle w:val="TableNBullet"/>
            </w:pPr>
            <w:r w:rsidRPr="00931ED7">
              <w:t>Regulation through food standards improves consumer confidence. By establishing and upholding safety and quality standards, regulations assure consumers of the integrity and reliability of the products they purchase. As confident consumers are more likely to engage with and invest in the market, this indirectly supports the food industry.</w:t>
            </w:r>
          </w:p>
          <w:p w14:paraId="2E2D0920" w14:textId="5F816096" w:rsidR="001F63CB" w:rsidRDefault="001F63CB" w:rsidP="00F55083">
            <w:pPr>
              <w:pStyle w:val="TableNBullet"/>
            </w:pPr>
            <w:r>
              <w:t xml:space="preserve">Improved market access to available given the bi-national nature of the food standards system. Should this not exist, jurisdictions may set their own requirements creating fragmentation in regulatory requirements. </w:t>
            </w:r>
          </w:p>
          <w:p w14:paraId="34C08A0B" w14:textId="2FA26D9B" w:rsidR="00841ED7" w:rsidRPr="00F55083" w:rsidRDefault="00E77DF9" w:rsidP="00F55083">
            <w:pPr>
              <w:pStyle w:val="TableNBullet"/>
            </w:pPr>
            <w:r w:rsidRPr="00F55083">
              <w:t>Expedited pathways provide certainty for businesses in terms of approval timeframes</w:t>
            </w:r>
            <w:r w:rsidR="005D4934" w:rsidRPr="00F55083">
              <w:t>.</w:t>
            </w:r>
          </w:p>
        </w:tc>
      </w:tr>
      <w:tr w:rsidR="00A91C7D" w:rsidRPr="00B06145" w14:paraId="15032C34" w14:textId="77777777" w:rsidTr="00BC7D85">
        <w:trPr>
          <w:cnfStyle w:val="000000100000" w:firstRow="0" w:lastRow="0" w:firstColumn="0" w:lastColumn="0" w:oddVBand="0" w:evenVBand="0" w:oddHBand="1" w:evenHBand="0" w:firstRowFirstColumn="0" w:firstRowLastColumn="0" w:lastRowFirstColumn="0" w:lastRowLastColumn="0"/>
          <w:cantSplit/>
        </w:trPr>
        <w:tc>
          <w:tcPr>
            <w:tcW w:w="1390" w:type="dxa"/>
            <w:vMerge w:val="restart"/>
          </w:tcPr>
          <w:p w14:paraId="10BECEE0" w14:textId="77777777" w:rsidR="00902BFF" w:rsidRPr="00B06145" w:rsidRDefault="00A91C7D">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p w14:paraId="46284949" w14:textId="3AD32538" w:rsidR="00A91C7D" w:rsidRPr="00B06145" w:rsidRDefault="00A91C7D">
            <w:pPr>
              <w:rPr>
                <w:sz w:val="17"/>
                <w:szCs w:val="17"/>
                <w:lang w:eastAsia="en-AU"/>
              </w:rPr>
            </w:pPr>
          </w:p>
        </w:tc>
        <w:tc>
          <w:tcPr>
            <w:tcW w:w="1735" w:type="dxa"/>
          </w:tcPr>
          <w:p w14:paraId="129049D1" w14:textId="79A321B4" w:rsidR="00A91C7D" w:rsidRPr="00B06145" w:rsidRDefault="00151C49">
            <w:pPr>
              <w:rPr>
                <w:sz w:val="17"/>
                <w:szCs w:val="17"/>
                <w:lang w:eastAsia="en-AU"/>
              </w:rPr>
            </w:pPr>
            <w:r>
              <w:rPr>
                <w:sz w:val="17"/>
                <w:szCs w:val="17"/>
                <w:lang w:eastAsia="en-AU"/>
              </w:rPr>
              <w:t>Quantified c</w:t>
            </w:r>
            <w:r w:rsidRPr="00B06145">
              <w:rPr>
                <w:sz w:val="17"/>
                <w:szCs w:val="17"/>
                <w:lang w:eastAsia="en-AU"/>
              </w:rPr>
              <w:t>osts</w:t>
            </w:r>
          </w:p>
        </w:tc>
        <w:tc>
          <w:tcPr>
            <w:tcW w:w="5947" w:type="dxa"/>
          </w:tcPr>
          <w:p w14:paraId="446C97AA" w14:textId="467DD640" w:rsidR="00A91C7D" w:rsidRPr="00F55083" w:rsidRDefault="004C577B" w:rsidP="00F55083">
            <w:pPr>
              <w:pStyle w:val="TableNBullet"/>
            </w:pPr>
            <w:r w:rsidRPr="00F55083">
              <w:t xml:space="preserve">Funding from the New Zealand </w:t>
            </w:r>
            <w:r w:rsidR="00124240" w:rsidRPr="00F55083">
              <w:t>G</w:t>
            </w:r>
            <w:r w:rsidRPr="00F55083">
              <w:t xml:space="preserve">overnment </w:t>
            </w:r>
            <w:r w:rsidR="00902BFF" w:rsidRPr="00F55083">
              <w:t>(AUD $2 million</w:t>
            </w:r>
            <w:r w:rsidR="00B7511E" w:rsidRPr="00F55083">
              <w:t>/</w:t>
            </w:r>
            <w:r w:rsidR="00902BFF" w:rsidRPr="00F55083">
              <w:t>NZD $2.1 million).</w:t>
            </w:r>
            <w:r w:rsidR="00235A9D">
              <w:rPr>
                <w:rFonts w:ascii="ZWAdobeF" w:hAnsi="ZWAdobeF" w:cs="ZWAdobeF"/>
                <w:sz w:val="2"/>
                <w:szCs w:val="2"/>
              </w:rPr>
              <w:t>44F</w:t>
            </w:r>
            <w:r w:rsidR="0066072C" w:rsidRPr="00B56B8B">
              <w:rPr>
                <w:rStyle w:val="FootnoteReference"/>
              </w:rPr>
              <w:footnoteReference w:id="51"/>
            </w:r>
          </w:p>
        </w:tc>
      </w:tr>
      <w:tr w:rsidR="00375EB5" w:rsidRPr="00B06145" w14:paraId="6A3BC101" w14:textId="77777777" w:rsidTr="00BC7D85">
        <w:trPr>
          <w:cnfStyle w:val="000000010000" w:firstRow="0" w:lastRow="0" w:firstColumn="0" w:lastColumn="0" w:oddVBand="0" w:evenVBand="0" w:oddHBand="0" w:evenHBand="1" w:firstRowFirstColumn="0" w:firstRowLastColumn="0" w:lastRowFirstColumn="0" w:lastRowLastColumn="0"/>
          <w:cantSplit/>
        </w:trPr>
        <w:tc>
          <w:tcPr>
            <w:tcW w:w="1390" w:type="dxa"/>
            <w:vMerge/>
          </w:tcPr>
          <w:p w14:paraId="51480445" w14:textId="1CBF20CC" w:rsidR="00375EB5" w:rsidRPr="00B06145" w:rsidRDefault="00375EB5">
            <w:pPr>
              <w:rPr>
                <w:sz w:val="17"/>
                <w:szCs w:val="17"/>
                <w:lang w:eastAsia="en-AU"/>
              </w:rPr>
            </w:pPr>
          </w:p>
        </w:tc>
        <w:tc>
          <w:tcPr>
            <w:tcW w:w="1735" w:type="dxa"/>
          </w:tcPr>
          <w:p w14:paraId="52D8B6BD" w14:textId="140E2AA5" w:rsidR="00375EB5" w:rsidRDefault="008E3D64">
            <w:pPr>
              <w:rPr>
                <w:sz w:val="17"/>
                <w:szCs w:val="17"/>
                <w:lang w:eastAsia="en-AU"/>
              </w:rPr>
            </w:pPr>
            <w:r>
              <w:rPr>
                <w:sz w:val="17"/>
                <w:szCs w:val="17"/>
                <w:lang w:eastAsia="en-AU"/>
              </w:rPr>
              <w:t>Qualified c</w:t>
            </w:r>
            <w:r w:rsidRPr="00B06145">
              <w:rPr>
                <w:sz w:val="17"/>
                <w:szCs w:val="17"/>
                <w:lang w:eastAsia="en-AU"/>
              </w:rPr>
              <w:t>osts</w:t>
            </w:r>
          </w:p>
        </w:tc>
        <w:tc>
          <w:tcPr>
            <w:tcW w:w="5947" w:type="dxa"/>
          </w:tcPr>
          <w:p w14:paraId="5EE74B2C" w14:textId="337FB321" w:rsidR="00375EB5" w:rsidRPr="00F55083" w:rsidRDefault="00375EB5" w:rsidP="00F55083">
            <w:pPr>
              <w:pStyle w:val="TableNBullet"/>
            </w:pPr>
            <w:r w:rsidRPr="00F55083">
              <w:t xml:space="preserve">Moderate administrative costs associated with monitoring and enforcing food standards in presence of interpretive uncertainty. This is beyond the costs incurred by jurisdictional governments to monitor and enforce compliance with food standards, which is a cost associated with jurisdiction-level food acts.  </w:t>
            </w:r>
          </w:p>
        </w:tc>
      </w:tr>
      <w:tr w:rsidR="00A91C7D" w:rsidRPr="00B06145" w14:paraId="3331FCCD" w14:textId="77777777" w:rsidTr="00BC7D85">
        <w:trPr>
          <w:cnfStyle w:val="000000100000" w:firstRow="0" w:lastRow="0" w:firstColumn="0" w:lastColumn="0" w:oddVBand="0" w:evenVBand="0" w:oddHBand="1" w:evenHBand="0" w:firstRowFirstColumn="0" w:firstRowLastColumn="0" w:lastRowFirstColumn="0" w:lastRowLastColumn="0"/>
          <w:cantSplit/>
        </w:trPr>
        <w:tc>
          <w:tcPr>
            <w:tcW w:w="1390" w:type="dxa"/>
            <w:vMerge/>
          </w:tcPr>
          <w:p w14:paraId="35C37965" w14:textId="75E675C9" w:rsidR="00A91C7D" w:rsidRPr="00B06145" w:rsidRDefault="00A91C7D">
            <w:pPr>
              <w:rPr>
                <w:sz w:val="17"/>
                <w:szCs w:val="17"/>
                <w:lang w:eastAsia="en-AU"/>
              </w:rPr>
            </w:pPr>
          </w:p>
        </w:tc>
        <w:tc>
          <w:tcPr>
            <w:tcW w:w="1735" w:type="dxa"/>
          </w:tcPr>
          <w:p w14:paraId="2714DB81" w14:textId="20727793" w:rsidR="00A91C7D" w:rsidRPr="00B06145" w:rsidRDefault="008E3D64">
            <w:pPr>
              <w:rPr>
                <w:sz w:val="17"/>
                <w:szCs w:val="17"/>
                <w:lang w:eastAsia="en-AU"/>
              </w:rPr>
            </w:pPr>
            <w:r>
              <w:rPr>
                <w:sz w:val="17"/>
                <w:szCs w:val="17"/>
                <w:lang w:eastAsia="en-AU"/>
              </w:rPr>
              <w:t>Qualified</w:t>
            </w:r>
            <w:r w:rsidR="006D01FF">
              <w:rPr>
                <w:sz w:val="17"/>
                <w:szCs w:val="17"/>
                <w:lang w:eastAsia="en-AU"/>
              </w:rPr>
              <w:t xml:space="preserve"> </w:t>
            </w:r>
            <w:r w:rsidR="00A91C7D" w:rsidRPr="00B06145">
              <w:rPr>
                <w:sz w:val="17"/>
                <w:szCs w:val="17"/>
                <w:lang w:eastAsia="en-AU"/>
              </w:rPr>
              <w:t xml:space="preserve">Benefits </w:t>
            </w:r>
          </w:p>
        </w:tc>
        <w:tc>
          <w:tcPr>
            <w:tcW w:w="5947" w:type="dxa"/>
          </w:tcPr>
          <w:p w14:paraId="6635A619" w14:textId="6B04CD0E" w:rsidR="00A91C7D" w:rsidRPr="00F55083" w:rsidRDefault="00A91C7D" w:rsidP="00F55083">
            <w:pPr>
              <w:pStyle w:val="TableNBullet"/>
            </w:pPr>
            <w:r w:rsidRPr="00931ED7">
              <w:t>The status quo has delivered good public health and trade outcomes over many years and the joint food standards system has a strong track record and international reputation. It has effectively prevented the market failures that it was designed to address.</w:t>
            </w:r>
            <w:r w:rsidRPr="00F55083">
              <w:t xml:space="preserve"> </w:t>
            </w:r>
          </w:p>
        </w:tc>
      </w:tr>
      <w:tr w:rsidR="00A91C7D" w:rsidRPr="00B06145" w14:paraId="02F0711F" w14:textId="77777777" w:rsidTr="00BC7D85">
        <w:trPr>
          <w:cnfStyle w:val="000000010000" w:firstRow="0" w:lastRow="0" w:firstColumn="0" w:lastColumn="0" w:oddVBand="0" w:evenVBand="0" w:oddHBand="0" w:evenHBand="1" w:firstRowFirstColumn="0" w:firstRowLastColumn="0" w:lastRowFirstColumn="0" w:lastRowLastColumn="0"/>
          <w:cantSplit/>
        </w:trPr>
        <w:tc>
          <w:tcPr>
            <w:tcW w:w="1390" w:type="dxa"/>
            <w:vMerge w:val="restart"/>
          </w:tcPr>
          <w:p w14:paraId="1FBC17A5" w14:textId="77777777" w:rsidR="00A91C7D" w:rsidRDefault="00A91C7D">
            <w:pPr>
              <w:rPr>
                <w:sz w:val="17"/>
                <w:szCs w:val="17"/>
                <w:lang w:eastAsia="en-AU"/>
              </w:rPr>
            </w:pPr>
            <w:r>
              <w:rPr>
                <w:sz w:val="17"/>
                <w:szCs w:val="17"/>
                <w:lang w:eastAsia="en-AU"/>
              </w:rPr>
              <w:lastRenderedPageBreak/>
              <w:t xml:space="preserve">Consumers </w:t>
            </w:r>
          </w:p>
        </w:tc>
        <w:tc>
          <w:tcPr>
            <w:tcW w:w="1735" w:type="dxa"/>
          </w:tcPr>
          <w:p w14:paraId="0DE3E03F" w14:textId="6359EC4A" w:rsidR="00A91C7D" w:rsidRPr="00B06145" w:rsidRDefault="00ED58A7">
            <w:pPr>
              <w:rPr>
                <w:sz w:val="17"/>
                <w:szCs w:val="17"/>
                <w:lang w:eastAsia="en-AU"/>
              </w:rPr>
            </w:pPr>
            <w:r>
              <w:rPr>
                <w:sz w:val="17"/>
                <w:szCs w:val="17"/>
                <w:lang w:eastAsia="en-AU"/>
              </w:rPr>
              <w:t>Quantified</w:t>
            </w:r>
            <w:r w:rsidR="00A91C7D" w:rsidRPr="00B06145">
              <w:rPr>
                <w:sz w:val="17"/>
                <w:szCs w:val="17"/>
                <w:lang w:eastAsia="en-AU"/>
              </w:rPr>
              <w:t xml:space="preserve"> </w:t>
            </w:r>
            <w:r w:rsidR="00716D9B">
              <w:rPr>
                <w:sz w:val="17"/>
                <w:szCs w:val="17"/>
                <w:lang w:eastAsia="en-AU"/>
              </w:rPr>
              <w:t xml:space="preserve">costs </w:t>
            </w:r>
          </w:p>
        </w:tc>
        <w:tc>
          <w:tcPr>
            <w:tcW w:w="5947" w:type="dxa"/>
          </w:tcPr>
          <w:p w14:paraId="7A1E996A" w14:textId="27F8557E" w:rsidR="00A91C7D" w:rsidRPr="00F55083" w:rsidRDefault="009D0E2D" w:rsidP="00F55083">
            <w:pPr>
              <w:pStyle w:val="TableNBullet"/>
            </w:pPr>
            <w:r w:rsidRPr="00F55083">
              <w:t xml:space="preserve">Public health benefit from effective regulation of food </w:t>
            </w:r>
            <w:r w:rsidR="008C7266" w:rsidRPr="00F55083">
              <w:t xml:space="preserve">standards </w:t>
            </w:r>
            <w:r w:rsidR="00147D7A" w:rsidRPr="00F55083">
              <w:t xml:space="preserve">is estimated to be </w:t>
            </w:r>
            <w:r w:rsidR="008C7266" w:rsidRPr="00F55083">
              <w:t xml:space="preserve">AUD $1.33 million </w:t>
            </w:r>
            <w:r w:rsidR="00AC0F71" w:rsidRPr="00F55083">
              <w:t>(NZD $</w:t>
            </w:r>
            <w:r w:rsidR="00963385" w:rsidRPr="00F55083">
              <w:t xml:space="preserve">1.42 million) </w:t>
            </w:r>
            <w:r w:rsidR="00D468F1" w:rsidRPr="00F55083">
              <w:t>per standard</w:t>
            </w:r>
            <w:r w:rsidR="00EF795C" w:rsidRPr="00F55083">
              <w:t>/review/proposal</w:t>
            </w:r>
            <w:r w:rsidR="0051592B" w:rsidRPr="00F55083">
              <w:t xml:space="preserve">. Extrapolating this over </w:t>
            </w:r>
            <w:r w:rsidR="00EF795C" w:rsidRPr="00F55083">
              <w:t xml:space="preserve">17 </w:t>
            </w:r>
            <w:r w:rsidR="00D42C13">
              <w:t>applications</w:t>
            </w:r>
            <w:r w:rsidR="00EF795C" w:rsidRPr="00F55083">
              <w:t xml:space="preserve"> and </w:t>
            </w:r>
            <w:r w:rsidR="00D42C13">
              <w:t>3</w:t>
            </w:r>
            <w:r w:rsidR="00EF795C" w:rsidRPr="00F55083">
              <w:t xml:space="preserve"> reviews/proposal per year </w:t>
            </w:r>
            <w:r w:rsidR="00D82201" w:rsidRPr="00F55083">
              <w:t xml:space="preserve">gives </w:t>
            </w:r>
            <w:r w:rsidR="002F7B18" w:rsidRPr="00F55083">
              <w:t>AUD $</w:t>
            </w:r>
            <w:r w:rsidR="00D74106">
              <w:t>26.</w:t>
            </w:r>
            <w:r w:rsidR="003A5355">
              <w:t>5</w:t>
            </w:r>
            <w:r w:rsidR="00D74106">
              <w:t xml:space="preserve"> </w:t>
            </w:r>
            <w:r w:rsidR="002F7B18" w:rsidRPr="00F55083">
              <w:t xml:space="preserve">million </w:t>
            </w:r>
            <w:r w:rsidR="000D7695" w:rsidRPr="00F55083">
              <w:t>(NZD $</w:t>
            </w:r>
            <w:r w:rsidR="0086386A">
              <w:t>28.5</w:t>
            </w:r>
            <w:r w:rsidR="0000481B" w:rsidRPr="00F55083">
              <w:t xml:space="preserve"> million) </w:t>
            </w:r>
            <w:r w:rsidR="00921CB1" w:rsidRPr="00F55083">
              <w:t xml:space="preserve">per year in public health benefits. </w:t>
            </w:r>
          </w:p>
        </w:tc>
      </w:tr>
      <w:tr w:rsidR="00716D9B" w:rsidRPr="00B06145" w14:paraId="6726716D" w14:textId="77777777" w:rsidTr="00BC7D85">
        <w:trPr>
          <w:cnfStyle w:val="000000100000" w:firstRow="0" w:lastRow="0" w:firstColumn="0" w:lastColumn="0" w:oddVBand="0" w:evenVBand="0" w:oddHBand="1" w:evenHBand="0" w:firstRowFirstColumn="0" w:firstRowLastColumn="0" w:lastRowFirstColumn="0" w:lastRowLastColumn="0"/>
          <w:cantSplit/>
        </w:trPr>
        <w:tc>
          <w:tcPr>
            <w:tcW w:w="1390" w:type="dxa"/>
            <w:vMerge/>
          </w:tcPr>
          <w:p w14:paraId="704B3A08" w14:textId="77777777" w:rsidR="00716D9B" w:rsidRDefault="00716D9B" w:rsidP="00716D9B">
            <w:pPr>
              <w:rPr>
                <w:sz w:val="17"/>
                <w:szCs w:val="17"/>
                <w:lang w:eastAsia="en-AU"/>
              </w:rPr>
            </w:pPr>
          </w:p>
        </w:tc>
        <w:tc>
          <w:tcPr>
            <w:tcW w:w="1735" w:type="dxa"/>
          </w:tcPr>
          <w:p w14:paraId="10FE37B3" w14:textId="1B464F89" w:rsidR="00716D9B" w:rsidRDefault="00716D9B" w:rsidP="00716D9B">
            <w:pPr>
              <w:rPr>
                <w:sz w:val="17"/>
                <w:szCs w:val="17"/>
                <w:lang w:eastAsia="en-AU"/>
              </w:rPr>
            </w:pPr>
            <w:r>
              <w:rPr>
                <w:sz w:val="17"/>
                <w:szCs w:val="17"/>
                <w:lang w:eastAsia="en-AU"/>
              </w:rPr>
              <w:t xml:space="preserve">Qualified </w:t>
            </w:r>
            <w:r w:rsidRPr="00B06145">
              <w:rPr>
                <w:sz w:val="17"/>
                <w:szCs w:val="17"/>
                <w:lang w:eastAsia="en-AU"/>
              </w:rPr>
              <w:t xml:space="preserve">Costs </w:t>
            </w:r>
          </w:p>
        </w:tc>
        <w:tc>
          <w:tcPr>
            <w:tcW w:w="5947" w:type="dxa"/>
          </w:tcPr>
          <w:p w14:paraId="121F04FF" w14:textId="77777777" w:rsidR="00716D9B" w:rsidRDefault="00716D9B" w:rsidP="00F55083">
            <w:pPr>
              <w:pStyle w:val="TableNBullet"/>
            </w:pPr>
            <w:r w:rsidRPr="00F55083">
              <w:t xml:space="preserve">Small effect on consumer choice through limitation in range of food products available (due to deterrent effect, delays in processing applications). </w:t>
            </w:r>
          </w:p>
          <w:p w14:paraId="03AB8BFF" w14:textId="7409A8DB" w:rsidR="00716D9B" w:rsidRPr="00F55083" w:rsidRDefault="00F055DD" w:rsidP="00F55083">
            <w:pPr>
              <w:pStyle w:val="TableNBullet"/>
            </w:pPr>
            <w:r>
              <w:t xml:space="preserve">Reduced consumption on food items </w:t>
            </w:r>
            <w:r w:rsidR="00C310E9">
              <w:t>due to increased costs from cost recovery initiatives</w:t>
            </w:r>
          </w:p>
        </w:tc>
      </w:tr>
      <w:tr w:rsidR="00A91C7D" w:rsidRPr="00B06145" w14:paraId="6805044F" w14:textId="77777777" w:rsidTr="00BC7D85">
        <w:trPr>
          <w:cnfStyle w:val="000000010000" w:firstRow="0" w:lastRow="0" w:firstColumn="0" w:lastColumn="0" w:oddVBand="0" w:evenVBand="0" w:oddHBand="0" w:evenHBand="1" w:firstRowFirstColumn="0" w:firstRowLastColumn="0" w:lastRowFirstColumn="0" w:lastRowLastColumn="0"/>
          <w:cantSplit/>
        </w:trPr>
        <w:tc>
          <w:tcPr>
            <w:tcW w:w="1390" w:type="dxa"/>
            <w:vMerge/>
          </w:tcPr>
          <w:p w14:paraId="5D305E3E" w14:textId="596FDC6A" w:rsidR="00A91C7D" w:rsidRDefault="00A91C7D">
            <w:pPr>
              <w:rPr>
                <w:sz w:val="17"/>
                <w:szCs w:val="17"/>
                <w:lang w:eastAsia="en-AU"/>
              </w:rPr>
            </w:pPr>
          </w:p>
        </w:tc>
        <w:tc>
          <w:tcPr>
            <w:tcW w:w="1735" w:type="dxa"/>
          </w:tcPr>
          <w:p w14:paraId="239C6245" w14:textId="635F3E18" w:rsidR="00A91C7D" w:rsidRPr="00B06145" w:rsidRDefault="00835BCF">
            <w:pPr>
              <w:rPr>
                <w:sz w:val="17"/>
                <w:szCs w:val="17"/>
                <w:lang w:eastAsia="en-AU"/>
              </w:rPr>
            </w:pPr>
            <w:r>
              <w:rPr>
                <w:sz w:val="17"/>
                <w:szCs w:val="17"/>
                <w:lang w:eastAsia="en-AU"/>
              </w:rPr>
              <w:t xml:space="preserve">Qualified </w:t>
            </w:r>
            <w:r w:rsidR="00A91C7D" w:rsidRPr="00B06145">
              <w:rPr>
                <w:sz w:val="17"/>
                <w:szCs w:val="17"/>
                <w:lang w:eastAsia="en-AU"/>
              </w:rPr>
              <w:t xml:space="preserve">Benefits </w:t>
            </w:r>
          </w:p>
        </w:tc>
        <w:tc>
          <w:tcPr>
            <w:tcW w:w="5947" w:type="dxa"/>
          </w:tcPr>
          <w:p w14:paraId="4172B135" w14:textId="77777777" w:rsidR="00A91C7D" w:rsidRPr="00F55083" w:rsidRDefault="00A91C7D" w:rsidP="00F55083">
            <w:pPr>
              <w:pStyle w:val="TableNBullet"/>
            </w:pPr>
            <w:r w:rsidRPr="00931ED7">
              <w:t>Sustained assurance around the quality and safety of the Australian – New Zealand food supply which will support confident investment into food and food businesses.</w:t>
            </w:r>
            <w:r w:rsidRPr="00F55083">
              <w:t xml:space="preserve"> </w:t>
            </w:r>
          </w:p>
        </w:tc>
      </w:tr>
      <w:tr w:rsidR="00A91C7D" w:rsidRPr="00B06145" w14:paraId="125088E1" w14:textId="77777777" w:rsidTr="00BC7D85">
        <w:trPr>
          <w:cnfStyle w:val="000000100000" w:firstRow="0" w:lastRow="0" w:firstColumn="0" w:lastColumn="0" w:oddVBand="0" w:evenVBand="0" w:oddHBand="1" w:evenHBand="0" w:firstRowFirstColumn="0" w:firstRowLastColumn="0" w:lastRowFirstColumn="0" w:lastRowLastColumn="0"/>
          <w:cantSplit/>
        </w:trPr>
        <w:tc>
          <w:tcPr>
            <w:tcW w:w="1390" w:type="dxa"/>
            <w:vMerge w:val="restart"/>
          </w:tcPr>
          <w:p w14:paraId="23834489" w14:textId="77777777" w:rsidR="00A91C7D" w:rsidRDefault="00A91C7D">
            <w:pPr>
              <w:rPr>
                <w:sz w:val="17"/>
                <w:szCs w:val="17"/>
                <w:lang w:eastAsia="en-AU"/>
              </w:rPr>
            </w:pPr>
            <w:r>
              <w:rPr>
                <w:sz w:val="17"/>
                <w:szCs w:val="17"/>
                <w:lang w:eastAsia="en-AU"/>
              </w:rPr>
              <w:t>FSANZ</w:t>
            </w:r>
          </w:p>
        </w:tc>
        <w:tc>
          <w:tcPr>
            <w:tcW w:w="1735" w:type="dxa"/>
          </w:tcPr>
          <w:p w14:paraId="7DE8FC94" w14:textId="619AE859" w:rsidR="00A91C7D" w:rsidRPr="00B06145" w:rsidRDefault="007F4B75">
            <w:pPr>
              <w:rPr>
                <w:sz w:val="17"/>
                <w:szCs w:val="17"/>
                <w:lang w:eastAsia="en-AU"/>
              </w:rPr>
            </w:pPr>
            <w:r>
              <w:rPr>
                <w:sz w:val="17"/>
                <w:szCs w:val="17"/>
                <w:lang w:eastAsia="en-AU"/>
              </w:rPr>
              <w:t>Quantified</w:t>
            </w:r>
            <w:r w:rsidR="00835BCF">
              <w:rPr>
                <w:sz w:val="17"/>
                <w:szCs w:val="17"/>
                <w:lang w:eastAsia="en-AU"/>
              </w:rPr>
              <w:t xml:space="preserve"> </w:t>
            </w:r>
            <w:r w:rsidR="00A91C7D" w:rsidRPr="00B06145">
              <w:rPr>
                <w:sz w:val="17"/>
                <w:szCs w:val="17"/>
                <w:lang w:eastAsia="en-AU"/>
              </w:rPr>
              <w:t xml:space="preserve">Costs </w:t>
            </w:r>
          </w:p>
        </w:tc>
        <w:tc>
          <w:tcPr>
            <w:tcW w:w="5947" w:type="dxa"/>
          </w:tcPr>
          <w:p w14:paraId="6E2EBE89" w14:textId="72284A56" w:rsidR="00A91C7D" w:rsidRPr="00F55083" w:rsidRDefault="00A91C7D" w:rsidP="00F55083">
            <w:pPr>
              <w:pStyle w:val="TableNBullet"/>
            </w:pPr>
            <w:r w:rsidRPr="00F55083">
              <w:t xml:space="preserve">Substantial operational costs associated with administering an outdated and inflexible Act </w:t>
            </w:r>
            <w:r w:rsidR="00C61DEA">
              <w:t>(</w:t>
            </w:r>
            <w:proofErr w:type="gramStart"/>
            <w:r w:rsidR="00783105">
              <w:t>e.g.</w:t>
            </w:r>
            <w:proofErr w:type="gramEnd"/>
            <w:r w:rsidRPr="00F55083">
              <w:t xml:space="preserve"> time involved in assessing applications and proposals through broadly one-size-fits-all approach with limited ability to draw on international evidence-base). </w:t>
            </w:r>
            <w:r w:rsidR="005A2537" w:rsidRPr="00F55083">
              <w:t>FSANZ resourcing from the Australian government</w:t>
            </w:r>
            <w:r w:rsidRPr="00F55083">
              <w:t xml:space="preserve"> was AUD $</w:t>
            </w:r>
            <w:r w:rsidR="005A2537" w:rsidRPr="00F55083">
              <w:t>17.5</w:t>
            </w:r>
            <w:r w:rsidRPr="00F55083">
              <w:t xml:space="preserve"> million (NZD </w:t>
            </w:r>
            <w:r w:rsidR="0089196E" w:rsidRPr="00F55083">
              <w:t>$18.7 million) in 2022</w:t>
            </w:r>
            <w:r w:rsidRPr="00F55083">
              <w:t xml:space="preserve">. </w:t>
            </w:r>
            <w:proofErr w:type="gramStart"/>
            <w:r w:rsidRPr="00F55083">
              <w:t>Assuming that</w:t>
            </w:r>
            <w:proofErr w:type="gramEnd"/>
            <w:r w:rsidRPr="00F55083">
              <w:t xml:space="preserve"> </w:t>
            </w:r>
            <w:r w:rsidR="004E4D63" w:rsidRPr="00F55083">
              <w:t>FSANZ’</w:t>
            </w:r>
            <w:r w:rsidR="005D04DB">
              <w:t>s</w:t>
            </w:r>
            <w:r w:rsidRPr="00F55083">
              <w:t xml:space="preserve"> total funding remains stable, total funding over the next </w:t>
            </w:r>
            <w:r w:rsidR="00DF0060">
              <w:t>ten</w:t>
            </w:r>
            <w:r w:rsidRPr="00F55083">
              <w:t xml:space="preserve"> years </w:t>
            </w:r>
            <w:r w:rsidR="00E27B84" w:rsidRPr="00F55083">
              <w:t>from the Australian gov</w:t>
            </w:r>
            <w:r w:rsidR="00A00D53" w:rsidRPr="00F55083">
              <w:t>ernment</w:t>
            </w:r>
            <w:r w:rsidR="00E27B84" w:rsidRPr="00F55083">
              <w:t xml:space="preserve"> </w:t>
            </w:r>
            <w:r w:rsidRPr="00F55083">
              <w:t>is estimated to be AUD $</w:t>
            </w:r>
            <w:r w:rsidR="00807D29">
              <w:t>1</w:t>
            </w:r>
            <w:r w:rsidR="00DA0D73">
              <w:t>75</w:t>
            </w:r>
            <w:r w:rsidRPr="00F55083">
              <w:t xml:space="preserve"> million (NZD $</w:t>
            </w:r>
            <w:r w:rsidR="00226C21">
              <w:t>187.3</w:t>
            </w:r>
            <w:r w:rsidRPr="00F55083">
              <w:t xml:space="preserve"> million).</w:t>
            </w:r>
          </w:p>
        </w:tc>
      </w:tr>
      <w:tr w:rsidR="00A91C7D" w:rsidRPr="00B06145" w14:paraId="516A8118" w14:textId="77777777" w:rsidTr="00BC7D85">
        <w:trPr>
          <w:cnfStyle w:val="000000010000" w:firstRow="0" w:lastRow="0" w:firstColumn="0" w:lastColumn="0" w:oddVBand="0" w:evenVBand="0" w:oddHBand="0" w:evenHBand="1" w:firstRowFirstColumn="0" w:firstRowLastColumn="0" w:lastRowFirstColumn="0" w:lastRowLastColumn="0"/>
          <w:cantSplit/>
        </w:trPr>
        <w:tc>
          <w:tcPr>
            <w:tcW w:w="1390" w:type="dxa"/>
            <w:vMerge/>
          </w:tcPr>
          <w:p w14:paraId="369FE400" w14:textId="409A3E51" w:rsidR="00A91C7D" w:rsidRDefault="00A91C7D">
            <w:pPr>
              <w:rPr>
                <w:sz w:val="17"/>
                <w:szCs w:val="17"/>
                <w:lang w:eastAsia="en-AU"/>
              </w:rPr>
            </w:pPr>
          </w:p>
        </w:tc>
        <w:tc>
          <w:tcPr>
            <w:tcW w:w="1735" w:type="dxa"/>
          </w:tcPr>
          <w:p w14:paraId="2EFA99AF" w14:textId="7726EC9E" w:rsidR="00A91C7D" w:rsidRPr="00B06145" w:rsidRDefault="00835BCF">
            <w:pPr>
              <w:rPr>
                <w:sz w:val="17"/>
                <w:szCs w:val="17"/>
                <w:lang w:eastAsia="en-AU"/>
              </w:rPr>
            </w:pPr>
            <w:r>
              <w:rPr>
                <w:sz w:val="17"/>
                <w:szCs w:val="17"/>
                <w:lang w:eastAsia="en-AU"/>
              </w:rPr>
              <w:t xml:space="preserve">Qualified </w:t>
            </w:r>
            <w:r w:rsidR="00A91C7D" w:rsidRPr="00B06145">
              <w:rPr>
                <w:sz w:val="17"/>
                <w:szCs w:val="17"/>
                <w:lang w:eastAsia="en-AU"/>
              </w:rPr>
              <w:t xml:space="preserve">Benefits </w:t>
            </w:r>
          </w:p>
        </w:tc>
        <w:tc>
          <w:tcPr>
            <w:tcW w:w="5947" w:type="dxa"/>
          </w:tcPr>
          <w:p w14:paraId="5EE6A590" w14:textId="6CB7E473" w:rsidR="00A91C7D" w:rsidRPr="00B06145" w:rsidRDefault="00970865" w:rsidP="00A91C7D">
            <w:pPr>
              <w:pStyle w:val="TableNBullet"/>
              <w:spacing w:line="257" w:lineRule="auto"/>
            </w:pPr>
            <w:r w:rsidRPr="00931ED7">
              <w:t>Public c</w:t>
            </w:r>
            <w:r w:rsidR="00180DDA" w:rsidRPr="00931ED7">
              <w:t>onfidence</w:t>
            </w:r>
            <w:r w:rsidRPr="00931ED7">
              <w:t xml:space="preserve"> in the pr</w:t>
            </w:r>
            <w:r w:rsidR="00180DDA" w:rsidRPr="00931ED7">
              <w:t>ovision of safe food</w:t>
            </w:r>
            <w:r w:rsidR="00967B2B" w:rsidRPr="00931ED7">
              <w:t>.</w:t>
            </w:r>
            <w:r w:rsidR="00A91C7D">
              <w:t xml:space="preserve"> </w:t>
            </w:r>
          </w:p>
        </w:tc>
      </w:tr>
    </w:tbl>
    <w:p w14:paraId="39A0E0E7" w14:textId="77777777" w:rsidR="00A91C7D" w:rsidRDefault="00A91C7D" w:rsidP="00923BE4">
      <w:pPr>
        <w:pStyle w:val="Bullet"/>
        <w:numPr>
          <w:ilvl w:val="0"/>
          <w:numId w:val="0"/>
        </w:numPr>
      </w:pPr>
    </w:p>
    <w:p w14:paraId="0E78AEDB" w14:textId="471DFDD2" w:rsidR="00923BE4" w:rsidRDefault="00923BE4" w:rsidP="00923BE4">
      <w:pPr>
        <w:pStyle w:val="Caption"/>
      </w:pPr>
      <w:bookmarkStart w:id="71" w:name="_Ref141984135"/>
      <w:bookmarkStart w:id="72" w:name="_Ref150424831"/>
      <w:r>
        <w:t xml:space="preserve">Table </w:t>
      </w:r>
      <w:r>
        <w:fldChar w:fldCharType="begin"/>
      </w:r>
      <w:r>
        <w:instrText xml:space="preserve"> SEQ Table \* ARABIC </w:instrText>
      </w:r>
      <w:r>
        <w:fldChar w:fldCharType="separate"/>
      </w:r>
      <w:r w:rsidR="003F7B92">
        <w:rPr>
          <w:noProof/>
        </w:rPr>
        <w:t>14</w:t>
      </w:r>
      <w:r>
        <w:fldChar w:fldCharType="end"/>
      </w:r>
      <w:bookmarkEnd w:id="71"/>
      <w:r>
        <w:t xml:space="preserve"> | </w:t>
      </w:r>
      <w:r w:rsidR="00FA41D2">
        <w:t xml:space="preserve">Distribution </w:t>
      </w:r>
      <w:r>
        <w:t xml:space="preserve">of </w:t>
      </w:r>
      <w:r w:rsidR="00033C2A">
        <w:t xml:space="preserve">quantified </w:t>
      </w:r>
      <w:r w:rsidR="008F007B">
        <w:t>present value</w:t>
      </w:r>
      <w:r w:rsidR="00BA4647">
        <w:t xml:space="preserve"> </w:t>
      </w:r>
      <w:r>
        <w:t>costs and benefits for Option 1 (</w:t>
      </w:r>
      <w:r w:rsidR="00E4676D">
        <w:t xml:space="preserve">AUD </w:t>
      </w:r>
      <w:r>
        <w:t xml:space="preserve">$m) over </w:t>
      </w:r>
      <w:r w:rsidR="00BA4647">
        <w:t>ten</w:t>
      </w:r>
      <w:r>
        <w:t xml:space="preserve"> years</w:t>
      </w:r>
      <w:bookmarkEnd w:id="72"/>
    </w:p>
    <w:tbl>
      <w:tblPr>
        <w:tblStyle w:val="TableGrid"/>
        <w:tblW w:w="8930" w:type="dxa"/>
        <w:tblLook w:val="04A0" w:firstRow="1" w:lastRow="0" w:firstColumn="1" w:lastColumn="0" w:noHBand="0" w:noVBand="1"/>
      </w:tblPr>
      <w:tblGrid>
        <w:gridCol w:w="1954"/>
        <w:gridCol w:w="1462"/>
        <w:gridCol w:w="1575"/>
        <w:gridCol w:w="1277"/>
        <w:gridCol w:w="1446"/>
        <w:gridCol w:w="1216"/>
      </w:tblGrid>
      <w:tr w:rsidR="001502F6" w14:paraId="31EADDD7" w14:textId="77777777">
        <w:trPr>
          <w:cnfStyle w:val="100000000000" w:firstRow="1" w:lastRow="0" w:firstColumn="0" w:lastColumn="0" w:oddVBand="0" w:evenVBand="0" w:oddHBand="0" w:evenHBand="0" w:firstRowFirstColumn="0" w:firstRowLastColumn="0" w:lastRowFirstColumn="0" w:lastRowLastColumn="0"/>
        </w:trPr>
        <w:tc>
          <w:tcPr>
            <w:tcW w:w="1954" w:type="dxa"/>
          </w:tcPr>
          <w:p w14:paraId="46D8ADC6" w14:textId="77777777" w:rsidR="00923BE4" w:rsidRDefault="00923BE4" w:rsidP="00CB5498">
            <w:pPr>
              <w:pStyle w:val="TableNheader"/>
            </w:pPr>
          </w:p>
        </w:tc>
        <w:tc>
          <w:tcPr>
            <w:tcW w:w="1462" w:type="dxa"/>
          </w:tcPr>
          <w:p w14:paraId="018F50D6" w14:textId="77777777" w:rsidR="00923BE4" w:rsidRPr="00277CAF" w:rsidRDefault="00923BE4" w:rsidP="00CB5498">
            <w:pPr>
              <w:pStyle w:val="TableNheader"/>
              <w:rPr>
                <w:rFonts w:asciiTheme="majorHAnsi" w:hAnsiTheme="majorHAnsi" w:cstheme="majorHAnsi"/>
              </w:rPr>
            </w:pPr>
            <w:r w:rsidRPr="00277CAF">
              <w:rPr>
                <w:rFonts w:asciiTheme="majorHAnsi" w:hAnsiTheme="majorHAnsi" w:cstheme="majorHAnsi"/>
              </w:rPr>
              <w:t>FSANZ</w:t>
            </w:r>
          </w:p>
        </w:tc>
        <w:tc>
          <w:tcPr>
            <w:tcW w:w="1575" w:type="dxa"/>
          </w:tcPr>
          <w:p w14:paraId="721CD54A" w14:textId="77777777" w:rsidR="00923BE4" w:rsidRPr="00277CAF" w:rsidRDefault="00923BE4" w:rsidP="00CB5498">
            <w:pPr>
              <w:pStyle w:val="TableNheader"/>
              <w:rPr>
                <w:rFonts w:asciiTheme="majorHAnsi" w:hAnsiTheme="majorHAnsi" w:cstheme="majorHAnsi"/>
              </w:rPr>
            </w:pPr>
            <w:r w:rsidRPr="00277CAF">
              <w:rPr>
                <w:rFonts w:asciiTheme="majorHAnsi" w:hAnsiTheme="majorHAnsi" w:cstheme="majorHAnsi"/>
              </w:rPr>
              <w:t>Other government entities</w:t>
            </w:r>
          </w:p>
        </w:tc>
        <w:tc>
          <w:tcPr>
            <w:tcW w:w="1277" w:type="dxa"/>
          </w:tcPr>
          <w:p w14:paraId="572F76E3" w14:textId="77777777" w:rsidR="00923BE4" w:rsidRPr="00277CAF" w:rsidRDefault="00923BE4" w:rsidP="00CB5498">
            <w:pPr>
              <w:pStyle w:val="TableNheader"/>
              <w:rPr>
                <w:rFonts w:asciiTheme="majorHAnsi" w:hAnsiTheme="majorHAnsi" w:cstheme="majorHAnsi"/>
              </w:rPr>
            </w:pPr>
            <w:r w:rsidRPr="00277CAF">
              <w:rPr>
                <w:rFonts w:asciiTheme="majorHAnsi" w:hAnsiTheme="majorHAnsi" w:cstheme="majorHAnsi"/>
              </w:rPr>
              <w:t>Industry</w:t>
            </w:r>
          </w:p>
        </w:tc>
        <w:tc>
          <w:tcPr>
            <w:tcW w:w="1446" w:type="dxa"/>
          </w:tcPr>
          <w:p w14:paraId="52F0C359" w14:textId="77777777" w:rsidR="00923BE4" w:rsidRPr="00277CAF" w:rsidRDefault="00923BE4" w:rsidP="00CB5498">
            <w:pPr>
              <w:pStyle w:val="TableNheader"/>
              <w:rPr>
                <w:rFonts w:asciiTheme="majorHAnsi" w:hAnsiTheme="majorHAnsi" w:cstheme="majorHAnsi"/>
              </w:rPr>
            </w:pPr>
            <w:r w:rsidRPr="00277CAF">
              <w:rPr>
                <w:rFonts w:asciiTheme="majorHAnsi" w:hAnsiTheme="majorHAnsi" w:cstheme="majorHAnsi"/>
              </w:rPr>
              <w:t>Consumers</w:t>
            </w:r>
          </w:p>
        </w:tc>
        <w:tc>
          <w:tcPr>
            <w:tcW w:w="1216" w:type="dxa"/>
          </w:tcPr>
          <w:p w14:paraId="798301D9" w14:textId="77777777" w:rsidR="00923BE4" w:rsidRPr="00277CAF" w:rsidRDefault="00923BE4" w:rsidP="00CB5498">
            <w:pPr>
              <w:pStyle w:val="TableNheader"/>
              <w:rPr>
                <w:rFonts w:asciiTheme="majorHAnsi" w:hAnsiTheme="majorHAnsi" w:cstheme="majorHAnsi"/>
              </w:rPr>
            </w:pPr>
            <w:r w:rsidRPr="00277CAF">
              <w:rPr>
                <w:rFonts w:asciiTheme="majorHAnsi" w:hAnsiTheme="majorHAnsi" w:cstheme="majorHAnsi"/>
              </w:rPr>
              <w:t>Total</w:t>
            </w:r>
          </w:p>
        </w:tc>
      </w:tr>
      <w:tr w:rsidR="00923BE4" w14:paraId="731C6B9A" w14:textId="77777777" w:rsidTr="00134136">
        <w:trPr>
          <w:cnfStyle w:val="000000100000" w:firstRow="0" w:lastRow="0" w:firstColumn="0" w:lastColumn="0" w:oddVBand="0" w:evenVBand="0" w:oddHBand="1" w:evenHBand="0" w:firstRowFirstColumn="0" w:firstRowLastColumn="0" w:lastRowFirstColumn="0" w:lastRowLastColumn="0"/>
        </w:trPr>
        <w:tc>
          <w:tcPr>
            <w:tcW w:w="1954" w:type="dxa"/>
          </w:tcPr>
          <w:p w14:paraId="1A4D4C43" w14:textId="4F96E3A0" w:rsidR="00923BE4" w:rsidRPr="00F35393" w:rsidRDefault="005735D2" w:rsidP="00B86F38">
            <w:pPr>
              <w:pStyle w:val="TableNText"/>
              <w:rPr>
                <w:sz w:val="19"/>
                <w:szCs w:val="19"/>
              </w:rPr>
            </w:pPr>
            <w:r>
              <w:rPr>
                <w:sz w:val="19"/>
                <w:szCs w:val="19"/>
              </w:rPr>
              <w:t>Present c</w:t>
            </w:r>
            <w:r w:rsidR="00923BE4" w:rsidRPr="00F35393">
              <w:rPr>
                <w:sz w:val="19"/>
                <w:szCs w:val="19"/>
              </w:rPr>
              <w:t>osts</w:t>
            </w:r>
          </w:p>
        </w:tc>
        <w:tc>
          <w:tcPr>
            <w:tcW w:w="1462" w:type="dxa"/>
          </w:tcPr>
          <w:p w14:paraId="227360F0" w14:textId="7EEAB19E" w:rsidR="00923BE4" w:rsidRPr="00F35393" w:rsidRDefault="000E739E" w:rsidP="00B86F38">
            <w:pPr>
              <w:pStyle w:val="TableNText"/>
              <w:rPr>
                <w:sz w:val="19"/>
                <w:szCs w:val="19"/>
              </w:rPr>
            </w:pPr>
            <w:r>
              <w:rPr>
                <w:sz w:val="19"/>
                <w:szCs w:val="19"/>
              </w:rPr>
              <w:t>131.5</w:t>
            </w:r>
          </w:p>
        </w:tc>
        <w:tc>
          <w:tcPr>
            <w:tcW w:w="1575" w:type="dxa"/>
          </w:tcPr>
          <w:p w14:paraId="3F5A8C50" w14:textId="7D378F86" w:rsidR="00923BE4" w:rsidRPr="00F35393" w:rsidRDefault="000E739E" w:rsidP="00B86F38">
            <w:pPr>
              <w:pStyle w:val="TableNText"/>
              <w:rPr>
                <w:sz w:val="19"/>
                <w:szCs w:val="19"/>
              </w:rPr>
            </w:pPr>
            <w:r>
              <w:rPr>
                <w:sz w:val="19"/>
                <w:szCs w:val="19"/>
              </w:rPr>
              <w:t>15.0</w:t>
            </w:r>
          </w:p>
        </w:tc>
        <w:tc>
          <w:tcPr>
            <w:tcW w:w="1277" w:type="dxa"/>
          </w:tcPr>
          <w:p w14:paraId="0FC5AA96" w14:textId="62478F27" w:rsidR="00923BE4" w:rsidRPr="00F35393" w:rsidRDefault="000E739E" w:rsidP="00B86F38">
            <w:pPr>
              <w:pStyle w:val="TableNText"/>
              <w:rPr>
                <w:sz w:val="19"/>
                <w:szCs w:val="19"/>
              </w:rPr>
            </w:pPr>
            <w:r>
              <w:rPr>
                <w:sz w:val="19"/>
                <w:szCs w:val="19"/>
              </w:rPr>
              <w:t>64.0</w:t>
            </w:r>
          </w:p>
        </w:tc>
        <w:tc>
          <w:tcPr>
            <w:tcW w:w="1446" w:type="dxa"/>
          </w:tcPr>
          <w:p w14:paraId="2D2E07F2" w14:textId="165A99DF" w:rsidR="00923BE4" w:rsidRPr="00F35393" w:rsidRDefault="000E739E" w:rsidP="00B86F38">
            <w:pPr>
              <w:pStyle w:val="TableNText"/>
              <w:rPr>
                <w:sz w:val="19"/>
                <w:szCs w:val="19"/>
              </w:rPr>
            </w:pPr>
            <w:r>
              <w:rPr>
                <w:sz w:val="19"/>
                <w:szCs w:val="19"/>
              </w:rPr>
              <w:t>7.2</w:t>
            </w:r>
          </w:p>
        </w:tc>
        <w:tc>
          <w:tcPr>
            <w:tcW w:w="1216" w:type="dxa"/>
          </w:tcPr>
          <w:p w14:paraId="59F3A561" w14:textId="00D25D48" w:rsidR="00923BE4" w:rsidRPr="00F35393" w:rsidRDefault="000E739E" w:rsidP="00B86F38">
            <w:pPr>
              <w:pStyle w:val="TableNText"/>
              <w:rPr>
                <w:sz w:val="19"/>
                <w:szCs w:val="19"/>
              </w:rPr>
            </w:pPr>
            <w:r>
              <w:rPr>
                <w:sz w:val="19"/>
                <w:szCs w:val="19"/>
              </w:rPr>
              <w:t>217.7</w:t>
            </w:r>
          </w:p>
        </w:tc>
      </w:tr>
      <w:tr w:rsidR="00923BE4" w14:paraId="16E05556" w14:textId="77777777" w:rsidTr="00134136">
        <w:trPr>
          <w:cnfStyle w:val="000000010000" w:firstRow="0" w:lastRow="0" w:firstColumn="0" w:lastColumn="0" w:oddVBand="0" w:evenVBand="0" w:oddHBand="0" w:evenHBand="1" w:firstRowFirstColumn="0" w:firstRowLastColumn="0" w:lastRowFirstColumn="0" w:lastRowLastColumn="0"/>
        </w:trPr>
        <w:tc>
          <w:tcPr>
            <w:tcW w:w="1954" w:type="dxa"/>
          </w:tcPr>
          <w:p w14:paraId="2458EC55" w14:textId="3BDAE93E" w:rsidR="00923BE4" w:rsidRPr="00F35393" w:rsidRDefault="005735D2" w:rsidP="00B86F38">
            <w:pPr>
              <w:pStyle w:val="TableNText"/>
              <w:rPr>
                <w:sz w:val="19"/>
                <w:szCs w:val="19"/>
              </w:rPr>
            </w:pPr>
            <w:r>
              <w:rPr>
                <w:sz w:val="19"/>
                <w:szCs w:val="19"/>
              </w:rPr>
              <w:t>Present b</w:t>
            </w:r>
            <w:r w:rsidR="00923BE4" w:rsidRPr="00F35393">
              <w:rPr>
                <w:sz w:val="19"/>
                <w:szCs w:val="19"/>
              </w:rPr>
              <w:t>enefits</w:t>
            </w:r>
          </w:p>
        </w:tc>
        <w:tc>
          <w:tcPr>
            <w:tcW w:w="1462" w:type="dxa"/>
          </w:tcPr>
          <w:p w14:paraId="026F3640" w14:textId="71FE071D" w:rsidR="00923BE4" w:rsidRPr="00F35393" w:rsidRDefault="000E739E" w:rsidP="00B86F38">
            <w:pPr>
              <w:pStyle w:val="TableNText"/>
              <w:rPr>
                <w:sz w:val="19"/>
                <w:szCs w:val="19"/>
              </w:rPr>
            </w:pPr>
            <w:r>
              <w:rPr>
                <w:sz w:val="19"/>
                <w:szCs w:val="19"/>
              </w:rPr>
              <w:t>22.2</w:t>
            </w:r>
          </w:p>
        </w:tc>
        <w:tc>
          <w:tcPr>
            <w:tcW w:w="1575" w:type="dxa"/>
          </w:tcPr>
          <w:p w14:paraId="7F80DFA8" w14:textId="77777777" w:rsidR="00923BE4" w:rsidRPr="00F35393" w:rsidRDefault="00923BE4" w:rsidP="00B86F38">
            <w:pPr>
              <w:pStyle w:val="TableNText"/>
              <w:rPr>
                <w:sz w:val="19"/>
                <w:szCs w:val="19"/>
              </w:rPr>
            </w:pPr>
            <w:r w:rsidRPr="00F35393">
              <w:rPr>
                <w:sz w:val="19"/>
                <w:szCs w:val="19"/>
              </w:rPr>
              <w:t>-</w:t>
            </w:r>
          </w:p>
        </w:tc>
        <w:tc>
          <w:tcPr>
            <w:tcW w:w="1277" w:type="dxa"/>
          </w:tcPr>
          <w:p w14:paraId="0E1128E5" w14:textId="77777777" w:rsidR="00923BE4" w:rsidRPr="00F35393" w:rsidRDefault="00923BE4" w:rsidP="00B86F38">
            <w:pPr>
              <w:pStyle w:val="TableNText"/>
              <w:rPr>
                <w:sz w:val="19"/>
                <w:szCs w:val="19"/>
              </w:rPr>
            </w:pPr>
            <w:r w:rsidRPr="00F35393">
              <w:rPr>
                <w:sz w:val="19"/>
                <w:szCs w:val="19"/>
              </w:rPr>
              <w:t>-</w:t>
            </w:r>
          </w:p>
        </w:tc>
        <w:tc>
          <w:tcPr>
            <w:tcW w:w="1446" w:type="dxa"/>
          </w:tcPr>
          <w:p w14:paraId="435AA325" w14:textId="09807425" w:rsidR="00923BE4" w:rsidRPr="00F35393" w:rsidRDefault="000E739E" w:rsidP="00B86F38">
            <w:pPr>
              <w:pStyle w:val="TableNText"/>
              <w:rPr>
                <w:sz w:val="19"/>
                <w:szCs w:val="19"/>
              </w:rPr>
            </w:pPr>
            <w:r>
              <w:rPr>
                <w:sz w:val="19"/>
                <w:szCs w:val="19"/>
              </w:rPr>
              <w:t>206.2</w:t>
            </w:r>
          </w:p>
        </w:tc>
        <w:tc>
          <w:tcPr>
            <w:tcW w:w="1216" w:type="dxa"/>
          </w:tcPr>
          <w:p w14:paraId="0731A700" w14:textId="5F44C58F" w:rsidR="00923BE4" w:rsidRPr="00F35393" w:rsidRDefault="000E739E" w:rsidP="00B86F38">
            <w:pPr>
              <w:pStyle w:val="TableNText"/>
              <w:rPr>
                <w:sz w:val="19"/>
                <w:szCs w:val="19"/>
              </w:rPr>
            </w:pPr>
            <w:r>
              <w:rPr>
                <w:sz w:val="19"/>
                <w:szCs w:val="19"/>
              </w:rPr>
              <w:t>228.4</w:t>
            </w:r>
          </w:p>
        </w:tc>
      </w:tr>
      <w:tr w:rsidR="00923BE4" w14:paraId="79072ACB" w14:textId="77777777" w:rsidTr="00134136">
        <w:trPr>
          <w:cnfStyle w:val="000000100000" w:firstRow="0" w:lastRow="0" w:firstColumn="0" w:lastColumn="0" w:oddVBand="0" w:evenVBand="0" w:oddHBand="1" w:evenHBand="0" w:firstRowFirstColumn="0" w:firstRowLastColumn="0" w:lastRowFirstColumn="0" w:lastRowLastColumn="0"/>
        </w:trPr>
        <w:tc>
          <w:tcPr>
            <w:tcW w:w="1954" w:type="dxa"/>
          </w:tcPr>
          <w:p w14:paraId="37368FC5" w14:textId="607492A8" w:rsidR="00923BE4" w:rsidRPr="00F35393" w:rsidRDefault="00923BE4" w:rsidP="00B86F38">
            <w:pPr>
              <w:pStyle w:val="TableNText"/>
              <w:rPr>
                <w:rFonts w:asciiTheme="majorHAnsi" w:hAnsiTheme="majorHAnsi" w:cstheme="majorHAnsi"/>
                <w:i/>
                <w:iCs/>
                <w:sz w:val="19"/>
                <w:szCs w:val="19"/>
              </w:rPr>
            </w:pPr>
            <w:r w:rsidRPr="00F35393">
              <w:rPr>
                <w:rFonts w:asciiTheme="majorHAnsi" w:hAnsiTheme="majorHAnsi" w:cstheme="majorHAnsi"/>
                <w:sz w:val="19"/>
                <w:szCs w:val="19"/>
              </w:rPr>
              <w:t xml:space="preserve">Net </w:t>
            </w:r>
            <w:r w:rsidR="005735D2">
              <w:rPr>
                <w:rFonts w:asciiTheme="majorHAnsi" w:hAnsiTheme="majorHAnsi" w:cstheme="majorHAnsi"/>
                <w:sz w:val="19"/>
                <w:szCs w:val="19"/>
              </w:rPr>
              <w:t xml:space="preserve">present benefit </w:t>
            </w:r>
          </w:p>
        </w:tc>
        <w:tc>
          <w:tcPr>
            <w:tcW w:w="1462" w:type="dxa"/>
          </w:tcPr>
          <w:p w14:paraId="43365601" w14:textId="77777777" w:rsidR="00923BE4" w:rsidRPr="00F35393" w:rsidRDefault="00923BE4" w:rsidP="00B86F38">
            <w:pPr>
              <w:pStyle w:val="TableNText"/>
              <w:rPr>
                <w:sz w:val="19"/>
                <w:szCs w:val="19"/>
              </w:rPr>
            </w:pPr>
          </w:p>
        </w:tc>
        <w:tc>
          <w:tcPr>
            <w:tcW w:w="1575" w:type="dxa"/>
          </w:tcPr>
          <w:p w14:paraId="168E2B40" w14:textId="77777777" w:rsidR="00923BE4" w:rsidRPr="00F35393" w:rsidRDefault="00923BE4" w:rsidP="00B86F38">
            <w:pPr>
              <w:pStyle w:val="TableNText"/>
              <w:rPr>
                <w:sz w:val="19"/>
                <w:szCs w:val="19"/>
              </w:rPr>
            </w:pPr>
          </w:p>
        </w:tc>
        <w:tc>
          <w:tcPr>
            <w:tcW w:w="1277" w:type="dxa"/>
          </w:tcPr>
          <w:p w14:paraId="671DE348" w14:textId="77777777" w:rsidR="00923BE4" w:rsidRPr="00F35393" w:rsidRDefault="00923BE4" w:rsidP="00B86F38">
            <w:pPr>
              <w:pStyle w:val="TableNText"/>
              <w:rPr>
                <w:sz w:val="19"/>
                <w:szCs w:val="19"/>
              </w:rPr>
            </w:pPr>
          </w:p>
        </w:tc>
        <w:tc>
          <w:tcPr>
            <w:tcW w:w="1446" w:type="dxa"/>
          </w:tcPr>
          <w:p w14:paraId="00A5215E" w14:textId="77777777" w:rsidR="00923BE4" w:rsidRPr="00F35393" w:rsidRDefault="00923BE4" w:rsidP="00B86F38">
            <w:pPr>
              <w:pStyle w:val="TableNText"/>
              <w:rPr>
                <w:sz w:val="19"/>
                <w:szCs w:val="19"/>
              </w:rPr>
            </w:pPr>
          </w:p>
        </w:tc>
        <w:tc>
          <w:tcPr>
            <w:tcW w:w="1216" w:type="dxa"/>
          </w:tcPr>
          <w:p w14:paraId="59FDCF51" w14:textId="18F95AEC" w:rsidR="00923BE4" w:rsidRPr="00F35393" w:rsidRDefault="00040F3C" w:rsidP="00B86F38">
            <w:pPr>
              <w:pStyle w:val="TableNText"/>
              <w:rPr>
                <w:sz w:val="19"/>
                <w:szCs w:val="19"/>
              </w:rPr>
            </w:pPr>
            <w:r>
              <w:rPr>
                <w:sz w:val="19"/>
                <w:szCs w:val="19"/>
              </w:rPr>
              <w:t>10.7</w:t>
            </w:r>
          </w:p>
        </w:tc>
      </w:tr>
      <w:tr w:rsidR="00923BE4" w14:paraId="3E272D0B" w14:textId="77777777" w:rsidTr="00134136">
        <w:trPr>
          <w:cnfStyle w:val="000000010000" w:firstRow="0" w:lastRow="0" w:firstColumn="0" w:lastColumn="0" w:oddVBand="0" w:evenVBand="0" w:oddHBand="0" w:evenHBand="1" w:firstRowFirstColumn="0" w:firstRowLastColumn="0" w:lastRowFirstColumn="0" w:lastRowLastColumn="0"/>
        </w:trPr>
        <w:tc>
          <w:tcPr>
            <w:tcW w:w="1954" w:type="dxa"/>
          </w:tcPr>
          <w:p w14:paraId="2301A748" w14:textId="77777777" w:rsidR="00923BE4" w:rsidRPr="00F35393" w:rsidRDefault="00923BE4" w:rsidP="00B86F38">
            <w:pPr>
              <w:pStyle w:val="TableNText"/>
              <w:rPr>
                <w:rFonts w:asciiTheme="majorHAnsi" w:hAnsiTheme="majorHAnsi" w:cstheme="majorHAnsi"/>
                <w:sz w:val="19"/>
                <w:szCs w:val="19"/>
              </w:rPr>
            </w:pPr>
            <w:r w:rsidRPr="00F35393">
              <w:rPr>
                <w:rFonts w:asciiTheme="majorHAnsi" w:hAnsiTheme="majorHAnsi" w:cstheme="majorHAnsi"/>
                <w:sz w:val="19"/>
                <w:szCs w:val="19"/>
              </w:rPr>
              <w:t>Benefits Cost Ratio (BCR)</w:t>
            </w:r>
          </w:p>
        </w:tc>
        <w:tc>
          <w:tcPr>
            <w:tcW w:w="1462" w:type="dxa"/>
          </w:tcPr>
          <w:p w14:paraId="117B409D" w14:textId="77777777" w:rsidR="00923BE4" w:rsidRPr="00F35393" w:rsidRDefault="00923BE4" w:rsidP="00B86F38">
            <w:pPr>
              <w:pStyle w:val="TableNText"/>
              <w:rPr>
                <w:sz w:val="19"/>
                <w:szCs w:val="19"/>
              </w:rPr>
            </w:pPr>
          </w:p>
        </w:tc>
        <w:tc>
          <w:tcPr>
            <w:tcW w:w="1575" w:type="dxa"/>
          </w:tcPr>
          <w:p w14:paraId="406A7724" w14:textId="77777777" w:rsidR="00923BE4" w:rsidRPr="00F35393" w:rsidRDefault="00923BE4" w:rsidP="00B86F38">
            <w:pPr>
              <w:pStyle w:val="TableNText"/>
              <w:rPr>
                <w:sz w:val="19"/>
                <w:szCs w:val="19"/>
              </w:rPr>
            </w:pPr>
          </w:p>
        </w:tc>
        <w:tc>
          <w:tcPr>
            <w:tcW w:w="1277" w:type="dxa"/>
          </w:tcPr>
          <w:p w14:paraId="4F696B15" w14:textId="77777777" w:rsidR="00923BE4" w:rsidRPr="00F35393" w:rsidRDefault="00923BE4" w:rsidP="00B86F38">
            <w:pPr>
              <w:pStyle w:val="TableNText"/>
              <w:rPr>
                <w:sz w:val="19"/>
                <w:szCs w:val="19"/>
              </w:rPr>
            </w:pPr>
          </w:p>
        </w:tc>
        <w:tc>
          <w:tcPr>
            <w:tcW w:w="1446" w:type="dxa"/>
          </w:tcPr>
          <w:p w14:paraId="1A3DD7A7" w14:textId="77777777" w:rsidR="00923BE4" w:rsidRPr="00F35393" w:rsidRDefault="00923BE4" w:rsidP="00B86F38">
            <w:pPr>
              <w:pStyle w:val="TableNText"/>
              <w:rPr>
                <w:sz w:val="19"/>
                <w:szCs w:val="19"/>
              </w:rPr>
            </w:pPr>
          </w:p>
        </w:tc>
        <w:tc>
          <w:tcPr>
            <w:tcW w:w="1216" w:type="dxa"/>
          </w:tcPr>
          <w:p w14:paraId="5186DF09" w14:textId="766D813F" w:rsidR="00923BE4" w:rsidRPr="00F35393" w:rsidRDefault="00923BE4" w:rsidP="00B86F38">
            <w:pPr>
              <w:pStyle w:val="TableNText"/>
              <w:rPr>
                <w:b/>
                <w:bCs/>
                <w:sz w:val="19"/>
                <w:szCs w:val="19"/>
              </w:rPr>
            </w:pPr>
            <w:r w:rsidRPr="00F35393">
              <w:rPr>
                <w:b/>
                <w:bCs/>
                <w:sz w:val="19"/>
                <w:szCs w:val="19"/>
              </w:rPr>
              <w:t>1.</w:t>
            </w:r>
            <w:r w:rsidR="00AF4B4C" w:rsidRPr="00F35393">
              <w:rPr>
                <w:b/>
                <w:bCs/>
                <w:sz w:val="19"/>
                <w:szCs w:val="19"/>
              </w:rPr>
              <w:t>0</w:t>
            </w:r>
            <w:r w:rsidR="00040F3C">
              <w:rPr>
                <w:b/>
                <w:bCs/>
                <w:sz w:val="19"/>
                <w:szCs w:val="19"/>
              </w:rPr>
              <w:t>5</w:t>
            </w:r>
          </w:p>
        </w:tc>
      </w:tr>
    </w:tbl>
    <w:p w14:paraId="0939419E" w14:textId="6ACD22DA" w:rsidR="00923BE4" w:rsidRDefault="00923BE4" w:rsidP="007F7722">
      <w:pPr>
        <w:pStyle w:val="Heading2"/>
        <w:numPr>
          <w:ilvl w:val="0"/>
          <w:numId w:val="0"/>
        </w:numPr>
        <w:ind w:left="567" w:hanging="567"/>
      </w:pPr>
      <w:bookmarkStart w:id="73" w:name="_Toc157599131"/>
      <w:r>
        <w:t xml:space="preserve">Option 2 | Modernise regulatory </w:t>
      </w:r>
      <w:proofErr w:type="gramStart"/>
      <w:r>
        <w:t>settings</w:t>
      </w:r>
      <w:bookmarkEnd w:id="73"/>
      <w:proofErr w:type="gramEnd"/>
    </w:p>
    <w:p w14:paraId="7496F3E8" w14:textId="1F1E0839" w:rsidR="00923BE4" w:rsidRDefault="00923BE4" w:rsidP="00923BE4">
      <w:pPr>
        <w:rPr>
          <w:lang w:eastAsia="en-AU"/>
        </w:rPr>
      </w:pPr>
      <w:r>
        <w:rPr>
          <w:lang w:eastAsia="en-AU"/>
        </w:rPr>
        <w:t xml:space="preserve">Option 2 seeks to create a more risk-based approach to food standards assessment and regulation in line with modern regulatory approaches. Improved assessment processes are developed for Indigenous foods in addition to greater collaboration and guidance for industry and other relevant bodies. </w:t>
      </w:r>
    </w:p>
    <w:p w14:paraId="22A10AD0" w14:textId="504AA5EA" w:rsidR="00D469D4" w:rsidRDefault="00086897" w:rsidP="00923BE4">
      <w:pPr>
        <w:rPr>
          <w:lang w:eastAsia="en-AU"/>
        </w:rPr>
      </w:pPr>
      <w:r>
        <w:rPr>
          <w:lang w:eastAsia="en-AU"/>
        </w:rPr>
        <w:lastRenderedPageBreak/>
        <w:t xml:space="preserve">Under this option, FSANZ would receive </w:t>
      </w:r>
      <w:r w:rsidR="001308AC">
        <w:rPr>
          <w:lang w:eastAsia="en-AU"/>
        </w:rPr>
        <w:t xml:space="preserve">AUD </w:t>
      </w:r>
      <w:r>
        <w:rPr>
          <w:lang w:eastAsia="en-AU"/>
        </w:rPr>
        <w:t>$</w:t>
      </w:r>
      <w:r w:rsidR="00E84ABA">
        <w:rPr>
          <w:lang w:eastAsia="en-AU"/>
        </w:rPr>
        <w:t>40</w:t>
      </w:r>
      <w:r>
        <w:rPr>
          <w:lang w:eastAsia="en-AU"/>
        </w:rPr>
        <w:t xml:space="preserve"> million </w:t>
      </w:r>
      <w:r w:rsidR="001308AC">
        <w:rPr>
          <w:lang w:eastAsia="en-AU"/>
        </w:rPr>
        <w:t>(NZD $</w:t>
      </w:r>
      <w:r w:rsidR="00127055">
        <w:rPr>
          <w:lang w:eastAsia="en-AU"/>
        </w:rPr>
        <w:t xml:space="preserve">42.8 million) </w:t>
      </w:r>
      <w:r>
        <w:rPr>
          <w:lang w:eastAsia="en-AU"/>
        </w:rPr>
        <w:t xml:space="preserve">per year in funding, an increase of </w:t>
      </w:r>
      <w:r w:rsidR="00E549CB">
        <w:rPr>
          <w:lang w:eastAsia="en-AU"/>
        </w:rPr>
        <w:t xml:space="preserve">AUD </w:t>
      </w:r>
      <w:r>
        <w:rPr>
          <w:lang w:eastAsia="en-AU"/>
        </w:rPr>
        <w:t>$</w:t>
      </w:r>
      <w:r w:rsidR="00F67F9A">
        <w:rPr>
          <w:lang w:eastAsia="en-AU"/>
        </w:rPr>
        <w:t>20.5</w:t>
      </w:r>
      <w:r>
        <w:rPr>
          <w:lang w:eastAsia="en-AU"/>
        </w:rPr>
        <w:t xml:space="preserve"> million </w:t>
      </w:r>
      <w:r w:rsidR="00E549CB">
        <w:rPr>
          <w:lang w:eastAsia="en-AU"/>
        </w:rPr>
        <w:t>(NZD $</w:t>
      </w:r>
      <w:r w:rsidR="00390CD9">
        <w:rPr>
          <w:lang w:eastAsia="en-AU"/>
        </w:rPr>
        <w:t>21.</w:t>
      </w:r>
      <w:r w:rsidR="00F67F9A">
        <w:rPr>
          <w:lang w:eastAsia="en-AU"/>
        </w:rPr>
        <w:t>9</w:t>
      </w:r>
      <w:r w:rsidR="001A670B">
        <w:rPr>
          <w:lang w:eastAsia="en-AU"/>
        </w:rPr>
        <w:t xml:space="preserve"> million) </w:t>
      </w:r>
      <w:r>
        <w:rPr>
          <w:lang w:eastAsia="en-AU"/>
        </w:rPr>
        <w:t xml:space="preserve">above Option 1. </w:t>
      </w:r>
      <w:r w:rsidR="00451B24">
        <w:rPr>
          <w:lang w:eastAsia="en-AU"/>
        </w:rPr>
        <w:t xml:space="preserve">Assumptions at this stage </w:t>
      </w:r>
      <w:r w:rsidR="007553FA">
        <w:rPr>
          <w:lang w:eastAsia="en-AU"/>
        </w:rPr>
        <w:t>is the funding will be comprised of</w:t>
      </w:r>
      <w:r w:rsidR="002174F9">
        <w:rPr>
          <w:lang w:eastAsia="en-AU"/>
        </w:rPr>
        <w:t>:</w:t>
      </w:r>
    </w:p>
    <w:p w14:paraId="41843AB1" w14:textId="750BC308" w:rsidR="002174F9" w:rsidRDefault="00AD4A2D" w:rsidP="002174F9">
      <w:pPr>
        <w:pStyle w:val="Bullet"/>
      </w:pPr>
      <w:r>
        <w:t xml:space="preserve">AUD </w:t>
      </w:r>
      <w:r w:rsidR="002174F9">
        <w:t>$</w:t>
      </w:r>
      <w:r>
        <w:t>22.2</w:t>
      </w:r>
      <w:r w:rsidR="002174F9">
        <w:t xml:space="preserve"> million </w:t>
      </w:r>
      <w:r>
        <w:t>(NZD $</w:t>
      </w:r>
      <w:r w:rsidR="002C26CC">
        <w:t xml:space="preserve">23.8 million) </w:t>
      </w:r>
      <w:r w:rsidR="002174F9">
        <w:t xml:space="preserve">per year </w:t>
      </w:r>
      <w:r w:rsidR="002C26CC">
        <w:t>in appropriations from the Australian and New Zealand governmen</w:t>
      </w:r>
      <w:r w:rsidR="00454715">
        <w:t>t.</w:t>
      </w:r>
      <w:r w:rsidR="00364A23">
        <w:rPr>
          <w:rStyle w:val="FootnoteReference"/>
        </w:rPr>
        <w:footnoteReference w:id="52"/>
      </w:r>
    </w:p>
    <w:p w14:paraId="2F7DC24A" w14:textId="26F2FB0A" w:rsidR="002174F9" w:rsidRDefault="002C676F" w:rsidP="005425BF">
      <w:pPr>
        <w:pStyle w:val="Bullet"/>
      </w:pPr>
      <w:r>
        <w:t xml:space="preserve">AUD </w:t>
      </w:r>
      <w:r w:rsidR="002174F9">
        <w:t>$</w:t>
      </w:r>
      <w:r>
        <w:t>10</w:t>
      </w:r>
      <w:r w:rsidR="002174F9">
        <w:t xml:space="preserve"> million </w:t>
      </w:r>
      <w:r>
        <w:t xml:space="preserve">(NZD $10.7 million) </w:t>
      </w:r>
      <w:r w:rsidR="002174F9">
        <w:t>per yea</w:t>
      </w:r>
      <w:r>
        <w:t>r cost recovered from industry</w:t>
      </w:r>
      <w:r w:rsidR="00922379">
        <w:t>.</w:t>
      </w:r>
    </w:p>
    <w:p w14:paraId="2674A378" w14:textId="6190025A" w:rsidR="005672FD" w:rsidRDefault="005672FD" w:rsidP="005425BF">
      <w:pPr>
        <w:pStyle w:val="Bullet"/>
      </w:pPr>
      <w:r>
        <w:t>AUD $</w:t>
      </w:r>
      <w:r w:rsidR="00FA369A">
        <w:t>7.8</w:t>
      </w:r>
      <w:r>
        <w:t xml:space="preserve"> million (NZD $</w:t>
      </w:r>
      <w:r w:rsidR="00F82B57">
        <w:t>8.3</w:t>
      </w:r>
      <w:r>
        <w:t xml:space="preserve"> million) per year cost recovered from</w:t>
      </w:r>
      <w:r w:rsidR="00FA369A">
        <w:t xml:space="preserve"> </w:t>
      </w:r>
      <w:r w:rsidR="00F82B57">
        <w:t>jurisdictions for projects</w:t>
      </w:r>
      <w:r w:rsidR="00763906">
        <w:t xml:space="preserve"> (AUD $6.3 million (NZD </w:t>
      </w:r>
      <w:r w:rsidR="008D0453">
        <w:t xml:space="preserve">$6.7 million)) and </w:t>
      </w:r>
      <w:r w:rsidR="00AF3B45">
        <w:t xml:space="preserve">food recall coordination (AUD $1.5 million (NZD </w:t>
      </w:r>
      <w:r w:rsidR="005675D7">
        <w:t xml:space="preserve">$1.6 million)). </w:t>
      </w:r>
      <w:r w:rsidR="002D3666">
        <w:t>This cost recovery measure is only applicable to Australian jurisdictions.</w:t>
      </w:r>
    </w:p>
    <w:p w14:paraId="6F44A264" w14:textId="580316A4" w:rsidR="00923BE4" w:rsidRDefault="00923BE4" w:rsidP="00923BE4">
      <w:pPr>
        <w:pStyle w:val="Heading4"/>
      </w:pPr>
      <w:r>
        <w:t xml:space="preserve">Option 2 lowers the cost to industry while improving public health benefits and market </w:t>
      </w:r>
      <w:proofErr w:type="gramStart"/>
      <w:r>
        <w:t>access</w:t>
      </w:r>
      <w:proofErr w:type="gramEnd"/>
    </w:p>
    <w:p w14:paraId="35796AD8" w14:textId="3735D0FC" w:rsidR="00066274" w:rsidRDefault="00835BCF" w:rsidP="00835BCF">
      <w:pPr>
        <w:rPr>
          <w:lang w:eastAsia="en-AU"/>
        </w:rPr>
      </w:pPr>
      <w:r>
        <w:rPr>
          <w:lang w:eastAsia="en-AU"/>
        </w:rPr>
        <w:t xml:space="preserve">The total costs and benefits of </w:t>
      </w:r>
      <w:r w:rsidR="00CE1F99">
        <w:rPr>
          <w:lang w:eastAsia="en-AU"/>
        </w:rPr>
        <w:t>O</w:t>
      </w:r>
      <w:r>
        <w:rPr>
          <w:lang w:eastAsia="en-AU"/>
        </w:rPr>
        <w:t xml:space="preserve">ption 2 assumes that all components of </w:t>
      </w:r>
      <w:r w:rsidR="00CE1F99">
        <w:rPr>
          <w:lang w:eastAsia="en-AU"/>
        </w:rPr>
        <w:t>O</w:t>
      </w:r>
      <w:r>
        <w:rPr>
          <w:lang w:eastAsia="en-AU"/>
        </w:rPr>
        <w:t>ption 2 will be implemented</w:t>
      </w:r>
      <w:r w:rsidR="00CE1F99">
        <w:rPr>
          <w:lang w:eastAsia="en-AU"/>
        </w:rPr>
        <w:t xml:space="preserve">, </w:t>
      </w:r>
      <w:r w:rsidR="00342FDF">
        <w:rPr>
          <w:lang w:eastAsia="en-AU"/>
        </w:rPr>
        <w:t>although</w:t>
      </w:r>
      <w:r w:rsidR="00CE1F99">
        <w:rPr>
          <w:lang w:eastAsia="en-AU"/>
        </w:rPr>
        <w:t xml:space="preserve"> aspects of Option 2 may not be progressed to a final preferred option.</w:t>
      </w:r>
    </w:p>
    <w:p w14:paraId="07669978" w14:textId="6FD80B20" w:rsidR="00835BCF" w:rsidRPr="00835BCF" w:rsidRDefault="00846EDE" w:rsidP="00835BCF">
      <w:pPr>
        <w:rPr>
          <w:lang w:eastAsia="en-AU"/>
        </w:rPr>
      </w:pPr>
      <w:r>
        <w:rPr>
          <w:lang w:eastAsia="en-AU"/>
        </w:rPr>
        <w:t xml:space="preserve">It is also assumed that, in addition to the reform components associated with this option, </w:t>
      </w:r>
      <w:r w:rsidR="008622D8">
        <w:rPr>
          <w:lang w:eastAsia="en-AU"/>
        </w:rPr>
        <w:t>FSANZ’</w:t>
      </w:r>
      <w:r w:rsidR="005D04DB">
        <w:rPr>
          <w:lang w:eastAsia="en-AU"/>
        </w:rPr>
        <w:t>s</w:t>
      </w:r>
      <w:r w:rsidR="00B63384">
        <w:rPr>
          <w:lang w:eastAsia="en-AU"/>
        </w:rPr>
        <w:t xml:space="preserve"> </w:t>
      </w:r>
      <w:r w:rsidR="008622D8">
        <w:rPr>
          <w:lang w:eastAsia="en-AU"/>
        </w:rPr>
        <w:t xml:space="preserve">baseline funding </w:t>
      </w:r>
      <w:r w:rsidR="003550A9">
        <w:rPr>
          <w:lang w:eastAsia="en-AU"/>
        </w:rPr>
        <w:t>would</w:t>
      </w:r>
      <w:r w:rsidR="008622D8">
        <w:rPr>
          <w:lang w:eastAsia="en-AU"/>
        </w:rPr>
        <w:t xml:space="preserve"> be increased </w:t>
      </w:r>
      <w:r w:rsidR="00393DBD">
        <w:rPr>
          <w:lang w:eastAsia="en-AU"/>
        </w:rPr>
        <w:t xml:space="preserve">by </w:t>
      </w:r>
      <w:r w:rsidR="00C80AA0">
        <w:rPr>
          <w:lang w:eastAsia="en-AU"/>
        </w:rPr>
        <w:t xml:space="preserve">AUD </w:t>
      </w:r>
      <w:r w:rsidR="00393DBD">
        <w:rPr>
          <w:lang w:eastAsia="en-AU"/>
        </w:rPr>
        <w:t>$</w:t>
      </w:r>
      <w:r w:rsidR="00961273">
        <w:rPr>
          <w:lang w:eastAsia="en-AU"/>
        </w:rPr>
        <w:t>2.7</w:t>
      </w:r>
      <w:r w:rsidR="00393DBD">
        <w:rPr>
          <w:lang w:eastAsia="en-AU"/>
        </w:rPr>
        <w:t xml:space="preserve"> million</w:t>
      </w:r>
      <w:r w:rsidR="00C80AA0">
        <w:rPr>
          <w:lang w:eastAsia="en-AU"/>
        </w:rPr>
        <w:t xml:space="preserve"> (NZD $2.9 million)</w:t>
      </w:r>
      <w:r w:rsidR="00393DBD">
        <w:rPr>
          <w:lang w:eastAsia="en-AU"/>
        </w:rPr>
        <w:t>, to</w:t>
      </w:r>
      <w:r w:rsidR="00C25E82">
        <w:rPr>
          <w:lang w:eastAsia="en-AU"/>
        </w:rPr>
        <w:t xml:space="preserve"> </w:t>
      </w:r>
      <w:r w:rsidR="00C80AA0">
        <w:rPr>
          <w:lang w:eastAsia="en-AU"/>
        </w:rPr>
        <w:t xml:space="preserve">AUD </w:t>
      </w:r>
      <w:r w:rsidR="00C25E82">
        <w:rPr>
          <w:lang w:eastAsia="en-AU"/>
        </w:rPr>
        <w:t>$</w:t>
      </w:r>
      <w:r w:rsidR="00961273">
        <w:rPr>
          <w:lang w:eastAsia="en-AU"/>
        </w:rPr>
        <w:t>22.2</w:t>
      </w:r>
      <w:r w:rsidR="00C25E82">
        <w:rPr>
          <w:lang w:eastAsia="en-AU"/>
        </w:rPr>
        <w:t xml:space="preserve"> million </w:t>
      </w:r>
      <w:r w:rsidR="00C80AA0">
        <w:rPr>
          <w:lang w:eastAsia="en-AU"/>
        </w:rPr>
        <w:t xml:space="preserve">(NZD </w:t>
      </w:r>
      <w:r w:rsidR="007D45E7">
        <w:rPr>
          <w:lang w:eastAsia="en-AU"/>
        </w:rPr>
        <w:t xml:space="preserve">$23.8 million) </w:t>
      </w:r>
      <w:r w:rsidR="00C25E82">
        <w:rPr>
          <w:lang w:eastAsia="en-AU"/>
        </w:rPr>
        <w:t>per year</w:t>
      </w:r>
      <w:r w:rsidR="00393DBD">
        <w:rPr>
          <w:lang w:eastAsia="en-AU"/>
        </w:rPr>
        <w:t>. This i</w:t>
      </w:r>
      <w:r w:rsidR="00961273">
        <w:rPr>
          <w:lang w:eastAsia="en-AU"/>
        </w:rPr>
        <w:t>n combination with additional cost recovery measure</w:t>
      </w:r>
      <w:r w:rsidR="00E174E7">
        <w:rPr>
          <w:lang w:eastAsia="en-AU"/>
        </w:rPr>
        <w:t>s</w:t>
      </w:r>
      <w:r w:rsidR="00961273">
        <w:rPr>
          <w:lang w:eastAsia="en-AU"/>
        </w:rPr>
        <w:t xml:space="preserve"> will allow</w:t>
      </w:r>
      <w:r w:rsidR="00393DBD">
        <w:rPr>
          <w:lang w:eastAsia="en-AU"/>
        </w:rPr>
        <w:t xml:space="preserve"> FSANZ to deliver its current legislative remit</w:t>
      </w:r>
      <w:r w:rsidR="00703246">
        <w:rPr>
          <w:lang w:eastAsia="en-AU"/>
        </w:rPr>
        <w:t xml:space="preserve"> and its full suite of functions under Option</w:t>
      </w:r>
      <w:r w:rsidR="00497931">
        <w:rPr>
          <w:lang w:eastAsia="en-AU"/>
        </w:rPr>
        <w:t xml:space="preserve"> 2</w:t>
      </w:r>
      <w:r w:rsidR="00393DBD">
        <w:rPr>
          <w:lang w:eastAsia="en-AU"/>
        </w:rPr>
        <w:t xml:space="preserve">. </w:t>
      </w:r>
    </w:p>
    <w:p w14:paraId="6CB31D20" w14:textId="4B0941EF" w:rsidR="003446A9" w:rsidRDefault="00923BE4" w:rsidP="00923BE4">
      <w:pPr>
        <w:rPr>
          <w:lang w:eastAsia="en-AU"/>
        </w:rPr>
      </w:pPr>
      <w:r>
        <w:rPr>
          <w:lang w:eastAsia="en-AU"/>
        </w:rPr>
        <w:t xml:space="preserve">The </w:t>
      </w:r>
      <w:r w:rsidRPr="00DB1529">
        <w:rPr>
          <w:rFonts w:asciiTheme="majorHAnsi" w:hAnsiTheme="majorHAnsi" w:cstheme="majorHAnsi"/>
          <w:lang w:eastAsia="en-AU"/>
        </w:rPr>
        <w:t>total</w:t>
      </w:r>
      <w:r w:rsidR="00EC22A5">
        <w:rPr>
          <w:rFonts w:asciiTheme="majorHAnsi" w:hAnsiTheme="majorHAnsi" w:cstheme="majorHAnsi"/>
          <w:lang w:eastAsia="en-AU"/>
        </w:rPr>
        <w:t xml:space="preserve"> quantifiable</w:t>
      </w:r>
      <w:r w:rsidRPr="00DB1529">
        <w:rPr>
          <w:rFonts w:asciiTheme="majorHAnsi" w:hAnsiTheme="majorHAnsi" w:cstheme="majorHAnsi"/>
          <w:lang w:eastAsia="en-AU"/>
        </w:rPr>
        <w:t xml:space="preserve"> cost</w:t>
      </w:r>
      <w:r>
        <w:rPr>
          <w:lang w:eastAsia="en-AU"/>
        </w:rPr>
        <w:t xml:space="preserve"> for Option 2 is </w:t>
      </w:r>
      <w:r w:rsidR="007E1F92">
        <w:rPr>
          <w:lang w:eastAsia="en-AU"/>
        </w:rPr>
        <w:t xml:space="preserve">AUD </w:t>
      </w:r>
      <w:r w:rsidRPr="00C742AE">
        <w:rPr>
          <w:lang w:eastAsia="en-AU"/>
        </w:rPr>
        <w:t>$</w:t>
      </w:r>
      <w:r w:rsidR="00D06731">
        <w:rPr>
          <w:lang w:eastAsia="en-AU"/>
        </w:rPr>
        <w:t>4</w:t>
      </w:r>
      <w:r w:rsidR="003E3D26">
        <w:rPr>
          <w:lang w:eastAsia="en-AU"/>
        </w:rPr>
        <w:t>38</w:t>
      </w:r>
      <w:r w:rsidR="00E549CB">
        <w:rPr>
          <w:lang w:eastAsia="en-AU"/>
        </w:rPr>
        <w:t>.8</w:t>
      </w:r>
      <w:r w:rsidR="00673A1B" w:rsidRPr="00C742AE">
        <w:rPr>
          <w:lang w:eastAsia="en-AU"/>
        </w:rPr>
        <w:t xml:space="preserve"> </w:t>
      </w:r>
      <w:r w:rsidRPr="00C742AE">
        <w:rPr>
          <w:lang w:eastAsia="en-AU"/>
        </w:rPr>
        <w:t>m</w:t>
      </w:r>
      <w:r w:rsidR="00673A1B">
        <w:rPr>
          <w:lang w:eastAsia="en-AU"/>
        </w:rPr>
        <w:t>illion</w:t>
      </w:r>
      <w:r>
        <w:rPr>
          <w:lang w:eastAsia="en-AU"/>
        </w:rPr>
        <w:t xml:space="preserve"> </w:t>
      </w:r>
      <w:r w:rsidR="00DA4B0A">
        <w:rPr>
          <w:lang w:eastAsia="en-AU"/>
        </w:rPr>
        <w:t>(NZD $</w:t>
      </w:r>
      <w:r w:rsidR="00D06731">
        <w:rPr>
          <w:lang w:eastAsia="en-AU"/>
        </w:rPr>
        <w:t>469.5</w:t>
      </w:r>
      <w:r w:rsidR="00DA4B0A">
        <w:rPr>
          <w:lang w:eastAsia="en-AU"/>
        </w:rPr>
        <w:t xml:space="preserve"> million) </w:t>
      </w:r>
      <w:r>
        <w:rPr>
          <w:lang w:eastAsia="en-AU"/>
        </w:rPr>
        <w:t xml:space="preserve">over </w:t>
      </w:r>
      <w:r w:rsidR="00E549CB">
        <w:rPr>
          <w:lang w:eastAsia="en-AU"/>
        </w:rPr>
        <w:t>ten</w:t>
      </w:r>
      <w:r>
        <w:rPr>
          <w:lang w:eastAsia="en-AU"/>
        </w:rPr>
        <w:t xml:space="preserve"> years. There are increased costs for FSANZ reflecting greater resourcing requirements. </w:t>
      </w:r>
      <w:r w:rsidR="003E3D26">
        <w:rPr>
          <w:rStyle w:val="cf01"/>
          <w:sz w:val="19"/>
          <w:szCs w:val="19"/>
        </w:rPr>
        <w:t>Compared</w:t>
      </w:r>
      <w:r w:rsidR="003446A9" w:rsidRPr="00453DD1">
        <w:rPr>
          <w:rStyle w:val="cf01"/>
          <w:sz w:val="19"/>
          <w:szCs w:val="19"/>
        </w:rPr>
        <w:t xml:space="preserve"> to Option 1, FSANZ will require $400 million over ten years. The increased resourcing will provide FSANZ the resources necessary to conduct regular and holistic standard reviews, progress proposals in a timely manner, undertake risk-proportionate assessments including international best practice to support industry innovation, develop and deliver guidance and educational materials and </w:t>
      </w:r>
      <w:r w:rsidR="008117F8">
        <w:rPr>
          <w:rStyle w:val="cf01"/>
          <w:sz w:val="19"/>
          <w:szCs w:val="19"/>
        </w:rPr>
        <w:t>Statements of Intent</w:t>
      </w:r>
      <w:r w:rsidR="003446A9" w:rsidRPr="00453DD1">
        <w:rPr>
          <w:rStyle w:val="cf01"/>
          <w:sz w:val="19"/>
          <w:szCs w:val="19"/>
        </w:rPr>
        <w:t xml:space="preserve"> to support harmonisation, and undertake new functions such as creating and developing and publishing a list of Aboriginal, Torres Strait Islander and Māori traditional foods</w:t>
      </w:r>
      <w:r w:rsidR="00453DD1" w:rsidRPr="00453DD1">
        <w:rPr>
          <w:rStyle w:val="cf01"/>
          <w:sz w:val="19"/>
          <w:szCs w:val="19"/>
        </w:rPr>
        <w:t>.</w:t>
      </w:r>
      <w:r w:rsidR="003446A9">
        <w:rPr>
          <w:lang w:eastAsia="en-AU"/>
        </w:rPr>
        <w:t xml:space="preserve"> </w:t>
      </w:r>
    </w:p>
    <w:p w14:paraId="7D50E083" w14:textId="35534BC5" w:rsidR="00772AF8" w:rsidRDefault="00772AF8" w:rsidP="00923BE4">
      <w:pPr>
        <w:rPr>
          <w:lang w:eastAsia="en-AU"/>
        </w:rPr>
      </w:pPr>
      <w:r w:rsidRPr="00A47B65">
        <w:rPr>
          <w:rStyle w:val="cf01"/>
          <w:sz w:val="19"/>
          <w:szCs w:val="19"/>
        </w:rPr>
        <w:t xml:space="preserve">The delay costs to industry are significantly reduced. Over ten years, the introduction of a risk-based approach to application assessments will save industry </w:t>
      </w:r>
      <w:r w:rsidR="004C5365" w:rsidRPr="00A47B65">
        <w:rPr>
          <w:rStyle w:val="cf01"/>
          <w:sz w:val="19"/>
          <w:szCs w:val="19"/>
        </w:rPr>
        <w:t xml:space="preserve">AUD </w:t>
      </w:r>
      <w:r w:rsidRPr="00A47B65">
        <w:rPr>
          <w:rStyle w:val="cf01"/>
          <w:sz w:val="19"/>
          <w:szCs w:val="19"/>
        </w:rPr>
        <w:t>$</w:t>
      </w:r>
      <w:r w:rsidR="0072736E">
        <w:rPr>
          <w:rStyle w:val="cf01"/>
          <w:sz w:val="19"/>
          <w:szCs w:val="19"/>
        </w:rPr>
        <w:t>46.4</w:t>
      </w:r>
      <w:r w:rsidRPr="00A47B65">
        <w:rPr>
          <w:rStyle w:val="cf01"/>
          <w:sz w:val="19"/>
          <w:szCs w:val="19"/>
        </w:rPr>
        <w:t xml:space="preserve"> million </w:t>
      </w:r>
      <w:r w:rsidR="004C5365" w:rsidRPr="00A47B65">
        <w:rPr>
          <w:rStyle w:val="cf01"/>
          <w:sz w:val="19"/>
          <w:szCs w:val="19"/>
        </w:rPr>
        <w:t>(NZD $</w:t>
      </w:r>
      <w:r w:rsidR="00DF7B0A">
        <w:rPr>
          <w:rStyle w:val="cf01"/>
          <w:sz w:val="19"/>
          <w:szCs w:val="19"/>
        </w:rPr>
        <w:t>49.7</w:t>
      </w:r>
      <w:r w:rsidR="002E2294" w:rsidRPr="00A47B65">
        <w:rPr>
          <w:rStyle w:val="cf01"/>
          <w:sz w:val="19"/>
          <w:szCs w:val="19"/>
        </w:rPr>
        <w:t xml:space="preserve"> million) </w:t>
      </w:r>
      <w:r w:rsidRPr="00A47B65">
        <w:rPr>
          <w:rStyle w:val="cf01"/>
          <w:sz w:val="19"/>
          <w:szCs w:val="19"/>
        </w:rPr>
        <w:t xml:space="preserve">in </w:t>
      </w:r>
      <w:r w:rsidR="002E2294" w:rsidRPr="00A47B65">
        <w:rPr>
          <w:rStyle w:val="cf01"/>
          <w:sz w:val="19"/>
          <w:szCs w:val="19"/>
        </w:rPr>
        <w:t xml:space="preserve">discounted </w:t>
      </w:r>
      <w:r w:rsidRPr="00A47B65">
        <w:rPr>
          <w:rStyle w:val="cf01"/>
          <w:sz w:val="19"/>
          <w:szCs w:val="19"/>
        </w:rPr>
        <w:t>delay costs relative to Option 1.</w:t>
      </w:r>
      <w:r w:rsidR="008F406A" w:rsidRPr="00A47B65">
        <w:rPr>
          <w:rStyle w:val="cf01"/>
          <w:sz w:val="19"/>
          <w:szCs w:val="19"/>
        </w:rPr>
        <w:t xml:space="preserve"> It is assumed the risk-based approach will reduce assessment times by four months as shown when FSANZ adopted Canadian standards for low-risk GM applications. </w:t>
      </w:r>
      <w:r w:rsidRPr="00A47B65">
        <w:rPr>
          <w:rStyle w:val="cf01"/>
          <w:sz w:val="19"/>
          <w:szCs w:val="19"/>
        </w:rPr>
        <w:t>Industry will also save unquantified benefits from having guidance material that promotes clarity and consistency on how standards are enforced across jurisdictions. Guidance will also provide significant support to new entrants in the food sector. Increased focus on FSANZ involvement at international fora and harmonising more international standards will benefit Australian and New Zealand food businesses and open market access opportunities for food businesses looking to export or expand their export opportunities.</w:t>
      </w:r>
    </w:p>
    <w:p w14:paraId="38753863" w14:textId="4DA206C7" w:rsidR="00923BE4" w:rsidRDefault="00923BE4" w:rsidP="00923BE4">
      <w:pPr>
        <w:rPr>
          <w:lang w:eastAsia="en-AU"/>
        </w:rPr>
      </w:pPr>
      <w:r>
        <w:rPr>
          <w:lang w:eastAsia="en-AU"/>
        </w:rPr>
        <w:t xml:space="preserve">The </w:t>
      </w:r>
      <w:r w:rsidRPr="00B65AB8">
        <w:rPr>
          <w:rFonts w:ascii="Segoe UI Semibold" w:hAnsi="Segoe UI Semibold" w:cs="Segoe UI Semibold"/>
          <w:lang w:eastAsia="en-AU"/>
        </w:rPr>
        <w:t xml:space="preserve">total </w:t>
      </w:r>
      <w:r w:rsidR="00053E10">
        <w:rPr>
          <w:rFonts w:ascii="Segoe UI Semibold" w:hAnsi="Segoe UI Semibold" w:cs="Segoe UI Semibold"/>
          <w:lang w:eastAsia="en-AU"/>
        </w:rPr>
        <w:t>quantifiable</w:t>
      </w:r>
      <w:r w:rsidRPr="00B65AB8">
        <w:rPr>
          <w:rFonts w:ascii="Segoe UI Semibold" w:hAnsi="Segoe UI Semibold" w:cs="Segoe UI Semibold"/>
          <w:lang w:eastAsia="en-AU"/>
        </w:rPr>
        <w:t xml:space="preserve"> benefit</w:t>
      </w:r>
      <w:r>
        <w:rPr>
          <w:lang w:eastAsia="en-AU"/>
        </w:rPr>
        <w:t xml:space="preserve"> for </w:t>
      </w:r>
      <w:r w:rsidR="005173F5">
        <w:rPr>
          <w:lang w:eastAsia="en-AU"/>
        </w:rPr>
        <w:t xml:space="preserve">Option </w:t>
      </w:r>
      <w:r>
        <w:rPr>
          <w:lang w:eastAsia="en-AU"/>
        </w:rPr>
        <w:t xml:space="preserve">2 is </w:t>
      </w:r>
      <w:r w:rsidR="006D05D7">
        <w:rPr>
          <w:lang w:eastAsia="en-AU"/>
        </w:rPr>
        <w:t xml:space="preserve">AUD </w:t>
      </w:r>
      <w:r>
        <w:rPr>
          <w:lang w:eastAsia="en-AU"/>
        </w:rPr>
        <w:t>$</w:t>
      </w:r>
      <w:r w:rsidR="00CF3310">
        <w:rPr>
          <w:lang w:eastAsia="en-AU"/>
        </w:rPr>
        <w:t>7</w:t>
      </w:r>
      <w:r w:rsidR="00E52C6D">
        <w:rPr>
          <w:lang w:eastAsia="en-AU"/>
        </w:rPr>
        <w:t>26</w:t>
      </w:r>
      <w:r w:rsidR="00CF3310">
        <w:rPr>
          <w:lang w:eastAsia="en-AU"/>
        </w:rPr>
        <w:t>.3</w:t>
      </w:r>
      <w:r w:rsidR="00DB0DAE">
        <w:rPr>
          <w:lang w:eastAsia="en-AU"/>
        </w:rPr>
        <w:t xml:space="preserve"> </w:t>
      </w:r>
      <w:r>
        <w:rPr>
          <w:lang w:eastAsia="en-AU"/>
        </w:rPr>
        <w:t>m</w:t>
      </w:r>
      <w:r w:rsidR="00DB0DAE">
        <w:rPr>
          <w:lang w:eastAsia="en-AU"/>
        </w:rPr>
        <w:t>illion</w:t>
      </w:r>
      <w:r w:rsidR="006D05D7">
        <w:rPr>
          <w:lang w:eastAsia="en-AU"/>
        </w:rPr>
        <w:t xml:space="preserve"> (NZD $</w:t>
      </w:r>
      <w:r w:rsidR="00CF3310">
        <w:rPr>
          <w:lang w:eastAsia="en-AU"/>
        </w:rPr>
        <w:t>777.2</w:t>
      </w:r>
      <w:r w:rsidR="00D36BAC">
        <w:rPr>
          <w:lang w:eastAsia="en-AU"/>
        </w:rPr>
        <w:t xml:space="preserve"> million) </w:t>
      </w:r>
      <w:r>
        <w:rPr>
          <w:lang w:eastAsia="en-AU"/>
        </w:rPr>
        <w:t xml:space="preserve">over </w:t>
      </w:r>
      <w:r w:rsidR="005823D7">
        <w:rPr>
          <w:lang w:eastAsia="en-AU"/>
        </w:rPr>
        <w:t>ten</w:t>
      </w:r>
      <w:r>
        <w:rPr>
          <w:lang w:eastAsia="en-AU"/>
        </w:rPr>
        <w:t xml:space="preserve"> years and are driven by two factors: increased public health benefits and market access </w:t>
      </w:r>
      <w:r w:rsidR="00EF1523">
        <w:rPr>
          <w:lang w:eastAsia="en-AU"/>
        </w:rPr>
        <w:t>for</w:t>
      </w:r>
      <w:r>
        <w:rPr>
          <w:lang w:eastAsia="en-AU"/>
        </w:rPr>
        <w:t xml:space="preserve"> Aboriginal, Torres Strait Islander and </w:t>
      </w:r>
      <w:r w:rsidRPr="00FA7082">
        <w:rPr>
          <w:lang w:eastAsia="en-AU"/>
        </w:rPr>
        <w:t>Māori</w:t>
      </w:r>
      <w:r>
        <w:rPr>
          <w:lang w:eastAsia="en-AU"/>
        </w:rPr>
        <w:t xml:space="preserve"> foods. The increase in public health benefits is generated from more standard reviews while continuing to deliver </w:t>
      </w:r>
      <w:r w:rsidR="00F80EDA">
        <w:rPr>
          <w:lang w:eastAsia="en-AU"/>
        </w:rPr>
        <w:t>three</w:t>
      </w:r>
      <w:r>
        <w:rPr>
          <w:lang w:eastAsia="en-AU"/>
        </w:rPr>
        <w:t xml:space="preserve"> proposals per year. Improving market access for Aboriginal, Torres Strait Islander and </w:t>
      </w:r>
      <w:r w:rsidRPr="00FA7082">
        <w:rPr>
          <w:lang w:eastAsia="en-AU"/>
        </w:rPr>
        <w:t>Māori</w:t>
      </w:r>
      <w:r>
        <w:rPr>
          <w:lang w:eastAsia="en-AU"/>
        </w:rPr>
        <w:t xml:space="preserve"> foods have been estimated utilising the current industry value-add of both the Australian and </w:t>
      </w:r>
      <w:r w:rsidRPr="00FA7082">
        <w:rPr>
          <w:lang w:eastAsia="en-AU"/>
        </w:rPr>
        <w:t>Māori</w:t>
      </w:r>
      <w:r>
        <w:rPr>
          <w:lang w:eastAsia="en-AU"/>
        </w:rPr>
        <w:t xml:space="preserve"> food sector, </w:t>
      </w:r>
      <w:r w:rsidR="00D36BAC" w:rsidRPr="00125323">
        <w:rPr>
          <w:lang w:eastAsia="en-AU"/>
        </w:rPr>
        <w:t>AUD $8 million (NZD $ 8.6 million</w:t>
      </w:r>
      <w:r w:rsidR="00D36BAC">
        <w:rPr>
          <w:lang w:eastAsia="en-AU"/>
        </w:rPr>
        <w:t>)</w:t>
      </w:r>
      <w:r w:rsidR="00D36BAC" w:rsidRPr="00125323">
        <w:rPr>
          <w:lang w:eastAsia="en-AU"/>
        </w:rPr>
        <w:t xml:space="preserve"> </w:t>
      </w:r>
      <w:r>
        <w:rPr>
          <w:lang w:eastAsia="en-AU"/>
        </w:rPr>
        <w:t xml:space="preserve">and </w:t>
      </w:r>
      <w:r w:rsidR="00D36BAC" w:rsidRPr="00125323">
        <w:rPr>
          <w:lang w:eastAsia="en-AU"/>
        </w:rPr>
        <w:t>AUD $2.2 million (NZD $2.4 million)</w:t>
      </w:r>
      <w:r w:rsidR="009B1F20">
        <w:rPr>
          <w:lang w:eastAsia="en-AU"/>
        </w:rPr>
        <w:t xml:space="preserve"> per year</w:t>
      </w:r>
      <w:r w:rsidR="00D36BAC" w:rsidRPr="00125323">
        <w:rPr>
          <w:lang w:eastAsia="en-AU"/>
        </w:rPr>
        <w:t xml:space="preserve"> </w:t>
      </w:r>
      <w:r>
        <w:rPr>
          <w:lang w:eastAsia="en-AU"/>
        </w:rPr>
        <w:t xml:space="preserve">respectively. </w:t>
      </w:r>
    </w:p>
    <w:p w14:paraId="04010B08" w14:textId="77777777" w:rsidR="00923BE4" w:rsidRDefault="00923BE4" w:rsidP="00923BE4">
      <w:pPr>
        <w:rPr>
          <w:lang w:eastAsia="en-AU"/>
        </w:rPr>
      </w:pPr>
      <w:r>
        <w:rPr>
          <w:lang w:eastAsia="en-AU"/>
        </w:rPr>
        <w:lastRenderedPageBreak/>
        <w:t>Other government entities are also expected to accrue benefits in improved certainty between FSANZ and FMM due to greater collaboration and alignment of agendas. Further benefits to industry in the form of lower legal fees and delay costs from greater guidance materials are also expected.</w:t>
      </w:r>
    </w:p>
    <w:p w14:paraId="134A591E" w14:textId="70DACB90" w:rsidR="000C4B82" w:rsidRDefault="00923BE4" w:rsidP="00923BE4">
      <w:pPr>
        <w:rPr>
          <w:lang w:eastAsia="en-AU"/>
        </w:rPr>
      </w:pPr>
      <w:r>
        <w:rPr>
          <w:lang w:eastAsia="en-AU"/>
        </w:rPr>
        <w:t>The distribution of the costs and benefits for Option 2 reflects a greater share of food regulation costs across the system, a greater level of resourcing for FSANZ, resulting in lower industry costs and higher public health benefits. Compared to Option 1, Option 2 delivers higher net benefit</w:t>
      </w:r>
      <w:r w:rsidR="00B63384">
        <w:rPr>
          <w:lang w:eastAsia="en-AU"/>
        </w:rPr>
        <w:t xml:space="preserve"> </w:t>
      </w:r>
      <w:r w:rsidR="00D9670A">
        <w:rPr>
          <w:rFonts w:ascii="Arial" w:hAnsi="Arial" w:cs="Arial"/>
          <w:color w:val="202124"/>
          <w:sz w:val="21"/>
          <w:szCs w:val="21"/>
          <w:shd w:val="clear" w:color="auto" w:fill="FFFFFF"/>
        </w:rPr>
        <w:t>—</w:t>
      </w:r>
      <w:r>
        <w:rPr>
          <w:lang w:eastAsia="en-AU"/>
        </w:rPr>
        <w:t xml:space="preserve"> </w:t>
      </w:r>
      <w:r w:rsidR="00D36BAC">
        <w:rPr>
          <w:lang w:eastAsia="en-AU"/>
        </w:rPr>
        <w:t xml:space="preserve">AUD </w:t>
      </w:r>
      <w:r>
        <w:rPr>
          <w:lang w:eastAsia="en-AU"/>
        </w:rPr>
        <w:t>$</w:t>
      </w:r>
      <w:r w:rsidR="00B04D23">
        <w:rPr>
          <w:lang w:eastAsia="en-AU"/>
        </w:rPr>
        <w:t>287.5</w:t>
      </w:r>
      <w:r w:rsidR="005409EB">
        <w:rPr>
          <w:lang w:eastAsia="en-AU"/>
        </w:rPr>
        <w:t xml:space="preserve"> </w:t>
      </w:r>
      <w:r>
        <w:rPr>
          <w:lang w:eastAsia="en-AU"/>
        </w:rPr>
        <w:t>m</w:t>
      </w:r>
      <w:r w:rsidR="005409EB">
        <w:rPr>
          <w:lang w:eastAsia="en-AU"/>
        </w:rPr>
        <w:t>illion</w:t>
      </w:r>
      <w:r>
        <w:rPr>
          <w:lang w:eastAsia="en-AU"/>
        </w:rPr>
        <w:t xml:space="preserve"> </w:t>
      </w:r>
      <w:r w:rsidR="00D36BAC">
        <w:rPr>
          <w:lang w:eastAsia="en-AU"/>
        </w:rPr>
        <w:t>(NZD $</w:t>
      </w:r>
      <w:r w:rsidR="00B04D23">
        <w:rPr>
          <w:lang w:eastAsia="en-AU"/>
        </w:rPr>
        <w:t>307.6</w:t>
      </w:r>
      <w:r w:rsidR="009A15E0">
        <w:rPr>
          <w:lang w:eastAsia="en-AU"/>
        </w:rPr>
        <w:t xml:space="preserve"> million) </w:t>
      </w:r>
      <w:r>
        <w:rPr>
          <w:lang w:eastAsia="en-AU"/>
        </w:rPr>
        <w:t xml:space="preserve">compared to </w:t>
      </w:r>
      <w:r w:rsidR="009A15E0">
        <w:rPr>
          <w:lang w:eastAsia="en-AU"/>
        </w:rPr>
        <w:t xml:space="preserve">AUD </w:t>
      </w:r>
      <w:r>
        <w:rPr>
          <w:lang w:eastAsia="en-AU"/>
        </w:rPr>
        <w:t>$</w:t>
      </w:r>
      <w:r w:rsidR="00704C79">
        <w:rPr>
          <w:lang w:eastAsia="en-AU"/>
        </w:rPr>
        <w:t>1</w:t>
      </w:r>
      <w:r w:rsidR="00B04D23">
        <w:rPr>
          <w:lang w:eastAsia="en-AU"/>
        </w:rPr>
        <w:t>5.4</w:t>
      </w:r>
      <w:r w:rsidR="005409EB">
        <w:rPr>
          <w:lang w:eastAsia="en-AU"/>
        </w:rPr>
        <w:t xml:space="preserve"> </w:t>
      </w:r>
      <w:r>
        <w:rPr>
          <w:lang w:eastAsia="en-AU"/>
        </w:rPr>
        <w:t>m</w:t>
      </w:r>
      <w:r w:rsidR="005409EB">
        <w:rPr>
          <w:lang w:eastAsia="en-AU"/>
        </w:rPr>
        <w:t>illion</w:t>
      </w:r>
      <w:r>
        <w:rPr>
          <w:lang w:eastAsia="en-AU"/>
        </w:rPr>
        <w:t xml:space="preserve"> </w:t>
      </w:r>
      <w:r w:rsidR="009A15E0">
        <w:rPr>
          <w:lang w:eastAsia="en-AU"/>
        </w:rPr>
        <w:t>(NZD $</w:t>
      </w:r>
      <w:r w:rsidR="00704C79">
        <w:rPr>
          <w:lang w:eastAsia="en-AU"/>
        </w:rPr>
        <w:t>1</w:t>
      </w:r>
      <w:r w:rsidR="00B04D23">
        <w:rPr>
          <w:lang w:eastAsia="en-AU"/>
        </w:rPr>
        <w:t>6</w:t>
      </w:r>
      <w:r w:rsidR="00704C79">
        <w:rPr>
          <w:lang w:eastAsia="en-AU"/>
        </w:rPr>
        <w:t>.4</w:t>
      </w:r>
      <w:r w:rsidR="009A15E0">
        <w:rPr>
          <w:lang w:eastAsia="en-AU"/>
        </w:rPr>
        <w:t xml:space="preserve"> million) </w:t>
      </w:r>
      <w:r>
        <w:rPr>
          <w:lang w:eastAsia="en-AU"/>
        </w:rPr>
        <w:t xml:space="preserve">with a BCR of </w:t>
      </w:r>
      <w:r w:rsidR="00FD124F">
        <w:rPr>
          <w:lang w:eastAsia="en-AU"/>
        </w:rPr>
        <w:t>1.</w:t>
      </w:r>
      <w:r w:rsidR="00704C79">
        <w:rPr>
          <w:lang w:eastAsia="en-AU"/>
        </w:rPr>
        <w:t>63</w:t>
      </w:r>
      <w:r>
        <w:rPr>
          <w:lang w:eastAsia="en-AU"/>
        </w:rPr>
        <w:t xml:space="preserve">. This </w:t>
      </w:r>
      <w:r w:rsidR="003F6D5F">
        <w:rPr>
          <w:lang w:eastAsia="en-AU"/>
        </w:rPr>
        <w:t>indicates</w:t>
      </w:r>
      <w:r w:rsidR="00B63384">
        <w:rPr>
          <w:lang w:eastAsia="en-AU"/>
        </w:rPr>
        <w:t xml:space="preserve"> </w:t>
      </w:r>
      <w:r>
        <w:rPr>
          <w:lang w:eastAsia="en-AU"/>
        </w:rPr>
        <w:t xml:space="preserve">Option 2 is </w:t>
      </w:r>
      <w:r w:rsidR="00FA29A3">
        <w:rPr>
          <w:lang w:eastAsia="en-AU"/>
        </w:rPr>
        <w:t>more</w:t>
      </w:r>
      <w:r>
        <w:rPr>
          <w:lang w:eastAsia="en-AU"/>
        </w:rPr>
        <w:t xml:space="preserve"> cost effective </w:t>
      </w:r>
      <w:r w:rsidR="005F5ED3">
        <w:rPr>
          <w:lang w:eastAsia="en-AU"/>
        </w:rPr>
        <w:t>than</w:t>
      </w:r>
      <w:r>
        <w:rPr>
          <w:lang w:eastAsia="en-AU"/>
        </w:rPr>
        <w:t xml:space="preserve"> Option 1 in delivering public health benefits.</w:t>
      </w:r>
      <w:r w:rsidR="00971195">
        <w:rPr>
          <w:lang w:eastAsia="en-AU"/>
        </w:rPr>
        <w:t xml:space="preserve"> </w:t>
      </w:r>
    </w:p>
    <w:p w14:paraId="3710D5F3" w14:textId="6216BDBB" w:rsidR="00923BE4" w:rsidRDefault="00971195" w:rsidP="00923BE4">
      <w:pPr>
        <w:rPr>
          <w:lang w:eastAsia="en-AU"/>
        </w:rPr>
      </w:pPr>
      <w:r>
        <w:rPr>
          <w:lang w:eastAsia="en-AU"/>
        </w:rPr>
        <w:t xml:space="preserve">After applying a discount rate of 7%, the net present value of Option 2 </w:t>
      </w:r>
      <w:r w:rsidR="003B3F96">
        <w:rPr>
          <w:lang w:eastAsia="en-AU"/>
        </w:rPr>
        <w:t xml:space="preserve">over ten years </w:t>
      </w:r>
      <w:r w:rsidR="000E5FC2">
        <w:rPr>
          <w:lang w:eastAsia="en-AU"/>
        </w:rPr>
        <w:t xml:space="preserve">is AUD $208.6 million (NZD </w:t>
      </w:r>
      <w:r w:rsidR="00DF07A4">
        <w:rPr>
          <w:lang w:eastAsia="en-AU"/>
        </w:rPr>
        <w:t>$223.2 million)</w:t>
      </w:r>
      <w:r w:rsidR="00243E99">
        <w:rPr>
          <w:lang w:eastAsia="en-AU"/>
        </w:rPr>
        <w:t>, compare</w:t>
      </w:r>
      <w:r w:rsidR="000C4B82">
        <w:rPr>
          <w:lang w:eastAsia="en-AU"/>
        </w:rPr>
        <w:t>d</w:t>
      </w:r>
      <w:r w:rsidR="00243E99">
        <w:rPr>
          <w:lang w:eastAsia="en-AU"/>
        </w:rPr>
        <w:t xml:space="preserve"> </w:t>
      </w:r>
      <w:r w:rsidR="008B11AE">
        <w:rPr>
          <w:lang w:eastAsia="en-AU"/>
        </w:rPr>
        <w:t>with the net present value of Option 1 AUD $10.7 million (NZD $11.4 million).</w:t>
      </w:r>
      <w:r w:rsidR="000C4B82">
        <w:rPr>
          <w:lang w:eastAsia="en-AU"/>
        </w:rPr>
        <w:t xml:space="preserve"> This </w:t>
      </w:r>
      <w:r w:rsidR="00601FB4">
        <w:rPr>
          <w:lang w:eastAsia="en-AU"/>
        </w:rPr>
        <w:t>indicates</w:t>
      </w:r>
      <w:r w:rsidR="000C4B82">
        <w:rPr>
          <w:lang w:eastAsia="en-AU"/>
        </w:rPr>
        <w:t xml:space="preserve"> that even where the future benefit</w:t>
      </w:r>
      <w:r w:rsidR="003B3F96">
        <w:rPr>
          <w:lang w:eastAsia="en-AU"/>
        </w:rPr>
        <w:t xml:space="preserve">s under Option 2 are discounted, </w:t>
      </w:r>
      <w:r w:rsidR="00370B45">
        <w:rPr>
          <w:lang w:eastAsia="en-AU"/>
        </w:rPr>
        <w:t xml:space="preserve">it is still more effective than Option 1. </w:t>
      </w:r>
    </w:p>
    <w:p w14:paraId="1BEC8CEB" w14:textId="24A97CE5" w:rsidR="00923BE4" w:rsidRDefault="00050B0A" w:rsidP="00923BE4">
      <w:pPr>
        <w:rPr>
          <w:lang w:eastAsia="en-AU"/>
        </w:rPr>
      </w:pPr>
      <w:r>
        <w:rPr>
          <w:lang w:eastAsia="en-AU"/>
        </w:rPr>
        <w:t>Given the differences in the size of the food sector in Australia and New Zealand, changes to market access</w:t>
      </w:r>
      <w:r w:rsidR="00194FD3">
        <w:rPr>
          <w:lang w:eastAsia="en-AU"/>
        </w:rPr>
        <w:t>,</w:t>
      </w:r>
      <w:r>
        <w:rPr>
          <w:lang w:eastAsia="en-AU"/>
        </w:rPr>
        <w:t xml:space="preserve"> such as those proposed for traditional foods will generate greater benefits for Australia than New Zealand. </w:t>
      </w:r>
      <w:r w:rsidR="00D8607E">
        <w:rPr>
          <w:lang w:eastAsia="en-AU"/>
        </w:rPr>
        <w:t xml:space="preserve">Analysis shows that </w:t>
      </w:r>
      <w:r w:rsidR="00125323" w:rsidRPr="00125323">
        <w:rPr>
          <w:lang w:eastAsia="en-AU"/>
        </w:rPr>
        <w:t>industry value-add of the Australian</w:t>
      </w:r>
      <w:r w:rsidR="005B7D35">
        <w:rPr>
          <w:lang w:eastAsia="en-AU"/>
        </w:rPr>
        <w:t xml:space="preserve"> traditional food sector is </w:t>
      </w:r>
      <w:r w:rsidR="00125323" w:rsidRPr="00125323">
        <w:rPr>
          <w:lang w:eastAsia="en-AU"/>
        </w:rPr>
        <w:t>AUD $8 million (NZD $ 8.6 million</w:t>
      </w:r>
      <w:r w:rsidR="002F54B1">
        <w:rPr>
          <w:lang w:eastAsia="en-AU"/>
        </w:rPr>
        <w:t>)</w:t>
      </w:r>
      <w:r w:rsidR="00125323" w:rsidRPr="00125323">
        <w:rPr>
          <w:lang w:eastAsia="en-AU"/>
        </w:rPr>
        <w:t xml:space="preserve"> and </w:t>
      </w:r>
      <w:r w:rsidR="00E43355">
        <w:rPr>
          <w:lang w:eastAsia="en-AU"/>
        </w:rPr>
        <w:t xml:space="preserve">of the </w:t>
      </w:r>
      <w:r w:rsidR="00E43355" w:rsidRPr="009E4CE1">
        <w:t>Māori food sector</w:t>
      </w:r>
      <w:r w:rsidR="00E90718">
        <w:t xml:space="preserve"> is</w:t>
      </w:r>
      <w:r w:rsidR="00125323" w:rsidRPr="009E4CE1">
        <w:t xml:space="preserve"> </w:t>
      </w:r>
      <w:r w:rsidR="00125323" w:rsidRPr="00125323">
        <w:rPr>
          <w:lang w:eastAsia="en-AU"/>
        </w:rPr>
        <w:t xml:space="preserve">AUD $2.2 million (NZD $2.4 million) </w:t>
      </w:r>
      <w:r w:rsidR="003F6D5F">
        <w:rPr>
          <w:lang w:eastAsia="en-AU"/>
        </w:rPr>
        <w:t xml:space="preserve">per year </w:t>
      </w:r>
      <w:r w:rsidR="00125323" w:rsidRPr="00125323">
        <w:rPr>
          <w:lang w:eastAsia="en-AU"/>
        </w:rPr>
        <w:t>respectively</w:t>
      </w:r>
      <w:r w:rsidR="0003120A">
        <w:rPr>
          <w:lang w:eastAsia="en-AU"/>
        </w:rPr>
        <w:t xml:space="preserve">. </w:t>
      </w:r>
      <w:r w:rsidR="00435713">
        <w:rPr>
          <w:lang w:eastAsia="en-AU"/>
        </w:rPr>
        <w:t xml:space="preserve">This means </w:t>
      </w:r>
      <w:r w:rsidR="0003120A">
        <w:rPr>
          <w:lang w:eastAsia="en-AU"/>
        </w:rPr>
        <w:t>that in absolute terms</w:t>
      </w:r>
      <w:r w:rsidR="00435713">
        <w:rPr>
          <w:lang w:eastAsia="en-AU"/>
        </w:rPr>
        <w:t>,</w:t>
      </w:r>
      <w:r w:rsidR="0003120A">
        <w:rPr>
          <w:lang w:eastAsia="en-AU"/>
        </w:rPr>
        <w:t xml:space="preserve"> </w:t>
      </w:r>
      <w:r w:rsidR="00CF0CA8">
        <w:rPr>
          <w:lang w:eastAsia="en-AU"/>
        </w:rPr>
        <w:t xml:space="preserve">the Australian </w:t>
      </w:r>
      <w:r w:rsidR="0096387D">
        <w:rPr>
          <w:lang w:eastAsia="en-AU"/>
        </w:rPr>
        <w:t xml:space="preserve">market </w:t>
      </w:r>
      <w:r w:rsidR="00F53162">
        <w:rPr>
          <w:lang w:eastAsia="en-AU"/>
        </w:rPr>
        <w:t xml:space="preserve">is set to benefit more </w:t>
      </w:r>
      <w:r w:rsidR="00716E2A">
        <w:rPr>
          <w:lang w:eastAsia="en-AU"/>
        </w:rPr>
        <w:t xml:space="preserve">from greater access for traditional foods. </w:t>
      </w:r>
      <w:r w:rsidR="00923BE4">
        <w:rPr>
          <w:lang w:eastAsia="en-AU"/>
        </w:rPr>
        <w:t xml:space="preserve">An overview of the </w:t>
      </w:r>
      <w:r w:rsidR="00595D65">
        <w:rPr>
          <w:lang w:eastAsia="en-AU"/>
        </w:rPr>
        <w:t>benefits and costs</w:t>
      </w:r>
      <w:r w:rsidR="00923BE4">
        <w:rPr>
          <w:lang w:eastAsia="en-AU"/>
        </w:rPr>
        <w:t xml:space="preserve"> is provided at </w:t>
      </w:r>
      <w:r w:rsidR="009F6D94">
        <w:rPr>
          <w:lang w:eastAsia="en-AU"/>
        </w:rPr>
        <w:fldChar w:fldCharType="begin"/>
      </w:r>
      <w:r w:rsidR="009F6D94">
        <w:rPr>
          <w:lang w:eastAsia="en-AU"/>
        </w:rPr>
        <w:instrText xml:space="preserve"> REF _Ref149644932 \h </w:instrText>
      </w:r>
      <w:r w:rsidR="009F6D94">
        <w:rPr>
          <w:lang w:eastAsia="en-AU"/>
        </w:rPr>
      </w:r>
      <w:r w:rsidR="009F6D94">
        <w:rPr>
          <w:lang w:eastAsia="en-AU"/>
        </w:rPr>
        <w:fldChar w:fldCharType="separate"/>
      </w:r>
      <w:r w:rsidR="003F7B92">
        <w:t xml:space="preserve">Table </w:t>
      </w:r>
      <w:r w:rsidR="003F7B92">
        <w:rPr>
          <w:noProof/>
        </w:rPr>
        <w:t>15</w:t>
      </w:r>
      <w:r w:rsidR="009F6D94">
        <w:rPr>
          <w:lang w:eastAsia="en-AU"/>
        </w:rPr>
        <w:fldChar w:fldCharType="end"/>
      </w:r>
      <w:r w:rsidR="00923BE4">
        <w:rPr>
          <w:lang w:eastAsia="en-AU"/>
        </w:rPr>
        <w:t>.</w:t>
      </w:r>
      <w:r w:rsidR="00B50D25">
        <w:rPr>
          <w:lang w:eastAsia="en-AU"/>
        </w:rPr>
        <w:t xml:space="preserve"> </w:t>
      </w:r>
    </w:p>
    <w:p w14:paraId="77603087" w14:textId="6F429999" w:rsidR="00FA41D2" w:rsidRDefault="00FA41D2" w:rsidP="007F7722">
      <w:pPr>
        <w:pStyle w:val="Caption"/>
      </w:pPr>
      <w:bookmarkStart w:id="74" w:name="_Ref149644932"/>
      <w:r>
        <w:t xml:space="preserve">Table </w:t>
      </w:r>
      <w:r>
        <w:fldChar w:fldCharType="begin"/>
      </w:r>
      <w:r>
        <w:instrText xml:space="preserve"> SEQ Table \* ARABIC </w:instrText>
      </w:r>
      <w:r>
        <w:fldChar w:fldCharType="separate"/>
      </w:r>
      <w:r w:rsidR="003F7B92">
        <w:rPr>
          <w:noProof/>
        </w:rPr>
        <w:t>15</w:t>
      </w:r>
      <w:r>
        <w:fldChar w:fldCharType="end"/>
      </w:r>
      <w:bookmarkEnd w:id="74"/>
      <w:r>
        <w:t xml:space="preserve"> | Overview of benefits and costs by stakeholder group for Option 2</w:t>
      </w:r>
    </w:p>
    <w:tbl>
      <w:tblPr>
        <w:tblStyle w:val="TableGrid"/>
        <w:tblW w:w="9072" w:type="dxa"/>
        <w:tblLook w:val="04A0" w:firstRow="1" w:lastRow="0" w:firstColumn="1" w:lastColumn="0" w:noHBand="0" w:noVBand="1"/>
        <w:tblCaption w:val="Costs and benefits of Option 1 (Status quo) "/>
        <w:tblDescription w:val="Table showing the costs and benefits for Option 1 on different stakeholder groups. "/>
      </w:tblPr>
      <w:tblGrid>
        <w:gridCol w:w="1393"/>
        <w:gridCol w:w="1735"/>
        <w:gridCol w:w="5944"/>
      </w:tblGrid>
      <w:tr w:rsidR="00703246" w:rsidRPr="00B06145" w14:paraId="6CAC9B3C" w14:textId="77777777" w:rsidTr="00305B59">
        <w:trPr>
          <w:cnfStyle w:val="100000000000" w:firstRow="1" w:lastRow="0" w:firstColumn="0" w:lastColumn="0" w:oddVBand="0" w:evenVBand="0" w:oddHBand="0" w:evenHBand="0" w:firstRowFirstColumn="0" w:firstRowLastColumn="0" w:lastRowFirstColumn="0" w:lastRowLastColumn="0"/>
        </w:trPr>
        <w:tc>
          <w:tcPr>
            <w:tcW w:w="1393" w:type="dxa"/>
          </w:tcPr>
          <w:p w14:paraId="3EAA7895" w14:textId="77777777" w:rsidR="00367480" w:rsidRDefault="00367480">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Stakeholder </w:t>
            </w:r>
          </w:p>
        </w:tc>
        <w:tc>
          <w:tcPr>
            <w:tcW w:w="1735" w:type="dxa"/>
          </w:tcPr>
          <w:p w14:paraId="2CE0C73E" w14:textId="77777777" w:rsidR="00367480" w:rsidRPr="004B182F" w:rsidRDefault="00367480">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Costs or Benefits </w:t>
            </w:r>
          </w:p>
        </w:tc>
        <w:tc>
          <w:tcPr>
            <w:tcW w:w="5944" w:type="dxa"/>
          </w:tcPr>
          <w:p w14:paraId="46486A91" w14:textId="77777777" w:rsidR="00367480" w:rsidRPr="004B182F" w:rsidRDefault="00367480">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Description of costs or benefits </w:t>
            </w:r>
          </w:p>
        </w:tc>
      </w:tr>
      <w:tr w:rsidR="00367480" w:rsidRPr="00B06145" w14:paraId="54D8A017" w14:textId="77777777" w:rsidTr="00305B59">
        <w:trPr>
          <w:cnfStyle w:val="000000100000" w:firstRow="0" w:lastRow="0" w:firstColumn="0" w:lastColumn="0" w:oddVBand="0" w:evenVBand="0" w:oddHBand="1" w:evenHBand="0" w:firstRowFirstColumn="0" w:firstRowLastColumn="0" w:lastRowFirstColumn="0" w:lastRowLastColumn="0"/>
          <w:cantSplit/>
        </w:trPr>
        <w:tc>
          <w:tcPr>
            <w:tcW w:w="1393" w:type="dxa"/>
            <w:vMerge w:val="restart"/>
          </w:tcPr>
          <w:p w14:paraId="54B42CE4" w14:textId="07C8B28E" w:rsidR="00367480" w:rsidRDefault="00367480">
            <w:pPr>
              <w:rPr>
                <w:sz w:val="17"/>
                <w:szCs w:val="17"/>
                <w:lang w:eastAsia="en-AU"/>
              </w:rPr>
            </w:pPr>
            <w:r>
              <w:rPr>
                <w:sz w:val="17"/>
                <w:szCs w:val="17"/>
                <w:lang w:eastAsia="en-AU"/>
              </w:rPr>
              <w:t xml:space="preserve">Industry </w:t>
            </w:r>
          </w:p>
        </w:tc>
        <w:tc>
          <w:tcPr>
            <w:tcW w:w="1735" w:type="dxa"/>
          </w:tcPr>
          <w:p w14:paraId="1F2B0371" w14:textId="25BA5EA8" w:rsidR="00367480" w:rsidRPr="00B06145" w:rsidRDefault="00A20D50">
            <w:pPr>
              <w:rPr>
                <w:sz w:val="17"/>
                <w:szCs w:val="17"/>
                <w:lang w:eastAsia="en-AU"/>
              </w:rPr>
            </w:pPr>
            <w:r>
              <w:rPr>
                <w:sz w:val="17"/>
                <w:szCs w:val="17"/>
                <w:lang w:eastAsia="en-AU"/>
              </w:rPr>
              <w:t>Quantified</w:t>
            </w:r>
            <w:r w:rsidR="00367480">
              <w:rPr>
                <w:sz w:val="17"/>
                <w:szCs w:val="17"/>
                <w:lang w:eastAsia="en-AU"/>
              </w:rPr>
              <w:t xml:space="preserve"> c</w:t>
            </w:r>
            <w:r w:rsidR="00367480" w:rsidRPr="00B06145">
              <w:rPr>
                <w:sz w:val="17"/>
                <w:szCs w:val="17"/>
                <w:lang w:eastAsia="en-AU"/>
              </w:rPr>
              <w:t xml:space="preserve">osts </w:t>
            </w:r>
          </w:p>
        </w:tc>
        <w:tc>
          <w:tcPr>
            <w:tcW w:w="5944" w:type="dxa"/>
          </w:tcPr>
          <w:p w14:paraId="418B441A" w14:textId="3385A5D4" w:rsidR="007D4FCD" w:rsidRPr="007F7722" w:rsidRDefault="00523955" w:rsidP="007F7722">
            <w:pPr>
              <w:pStyle w:val="TableNBullet"/>
              <w:numPr>
                <w:ilvl w:val="0"/>
                <w:numId w:val="0"/>
              </w:numPr>
              <w:spacing w:line="257" w:lineRule="auto"/>
              <w:rPr>
                <w:rFonts w:asciiTheme="majorHAnsi" w:hAnsiTheme="majorHAnsi" w:cstheme="majorHAnsi"/>
              </w:rPr>
            </w:pPr>
            <w:r w:rsidRPr="007F7722">
              <w:rPr>
                <w:rFonts w:asciiTheme="majorHAnsi" w:hAnsiTheme="majorHAnsi" w:cstheme="majorHAnsi"/>
              </w:rPr>
              <w:t xml:space="preserve">Reforming standard-setting (Component 2) </w:t>
            </w:r>
          </w:p>
          <w:p w14:paraId="502FCD02" w14:textId="1F563521" w:rsidR="00367480" w:rsidRPr="00B06145" w:rsidRDefault="00B12D86" w:rsidP="00313A20">
            <w:pPr>
              <w:pStyle w:val="TableNBullet"/>
              <w:numPr>
                <w:ilvl w:val="0"/>
                <w:numId w:val="25"/>
              </w:numPr>
              <w:spacing w:line="257" w:lineRule="auto"/>
            </w:pPr>
            <w:r>
              <w:t>The introduction of a risk-based framework to guide the development of food regulator</w:t>
            </w:r>
            <w:r w:rsidR="00811C8A">
              <w:t>y</w:t>
            </w:r>
            <w:r>
              <w:t xml:space="preserve"> measures and </w:t>
            </w:r>
            <w:r w:rsidR="0014428B">
              <w:t xml:space="preserve">new pathways to amend food standards </w:t>
            </w:r>
            <w:r w:rsidR="008501A8">
              <w:t>is</w:t>
            </w:r>
            <w:r w:rsidR="00811C8A">
              <w:t xml:space="preserve"> expected to </w:t>
            </w:r>
            <w:r w:rsidR="00D362D6">
              <w:t xml:space="preserve">reduce processing times </w:t>
            </w:r>
            <w:r w:rsidR="00CB4F8D">
              <w:t>for applications. At AUD $</w:t>
            </w:r>
            <w:r w:rsidR="00DB5ABB">
              <w:t>40</w:t>
            </w:r>
            <w:r w:rsidR="00CB4F8D">
              <w:t>,000 (NZD $</w:t>
            </w:r>
            <w:r w:rsidR="00DB5ABB">
              <w:t>42,8</w:t>
            </w:r>
            <w:r w:rsidR="00CB4F8D">
              <w:t>00) per month, the total reduction in</w:t>
            </w:r>
            <w:r>
              <w:t xml:space="preserve"> </w:t>
            </w:r>
            <w:r w:rsidR="00305B59">
              <w:t>delay costs for industry is AUD $</w:t>
            </w:r>
            <w:r w:rsidR="00B26F80">
              <w:t>4.6</w:t>
            </w:r>
            <w:r w:rsidR="005F3BA4">
              <w:t xml:space="preserve"> </w:t>
            </w:r>
            <w:r w:rsidR="00305B59">
              <w:t>million (NZD $</w:t>
            </w:r>
            <w:r w:rsidR="00FE3BD6">
              <w:t>4.9</w:t>
            </w:r>
            <w:r w:rsidR="005F3BA4">
              <w:t xml:space="preserve"> </w:t>
            </w:r>
            <w:r w:rsidR="00305B59">
              <w:t xml:space="preserve">million) per year. </w:t>
            </w:r>
          </w:p>
        </w:tc>
      </w:tr>
      <w:tr w:rsidR="00367480" w:rsidRPr="00B06145" w14:paraId="4686AE7D" w14:textId="77777777" w:rsidTr="00305B59">
        <w:trPr>
          <w:cnfStyle w:val="000000010000" w:firstRow="0" w:lastRow="0" w:firstColumn="0" w:lastColumn="0" w:oddVBand="0" w:evenVBand="0" w:oddHBand="0" w:evenHBand="1" w:firstRowFirstColumn="0" w:firstRowLastColumn="0" w:lastRowFirstColumn="0" w:lastRowLastColumn="0"/>
          <w:cantSplit/>
        </w:trPr>
        <w:tc>
          <w:tcPr>
            <w:tcW w:w="1393" w:type="dxa"/>
            <w:vMerge/>
          </w:tcPr>
          <w:p w14:paraId="15826E72" w14:textId="17554DDD" w:rsidR="00367480" w:rsidRDefault="00367480">
            <w:pPr>
              <w:rPr>
                <w:sz w:val="17"/>
                <w:szCs w:val="17"/>
                <w:lang w:eastAsia="en-AU"/>
              </w:rPr>
            </w:pPr>
          </w:p>
        </w:tc>
        <w:tc>
          <w:tcPr>
            <w:tcW w:w="1735" w:type="dxa"/>
          </w:tcPr>
          <w:p w14:paraId="47D3C7F5" w14:textId="72C1B30C" w:rsidR="00367480" w:rsidRPr="00B06145" w:rsidRDefault="00A20D50">
            <w:pPr>
              <w:rPr>
                <w:sz w:val="17"/>
                <w:szCs w:val="17"/>
                <w:lang w:eastAsia="en-AU"/>
              </w:rPr>
            </w:pPr>
            <w:r>
              <w:rPr>
                <w:sz w:val="17"/>
                <w:szCs w:val="17"/>
                <w:lang w:eastAsia="en-AU"/>
              </w:rPr>
              <w:t>Qualified</w:t>
            </w:r>
            <w:r w:rsidR="00367480">
              <w:rPr>
                <w:sz w:val="17"/>
                <w:szCs w:val="17"/>
                <w:lang w:eastAsia="en-AU"/>
              </w:rPr>
              <w:t xml:space="preserve"> c</w:t>
            </w:r>
            <w:r w:rsidR="00367480" w:rsidRPr="00B06145">
              <w:rPr>
                <w:sz w:val="17"/>
                <w:szCs w:val="17"/>
                <w:lang w:eastAsia="en-AU"/>
              </w:rPr>
              <w:t>osts</w:t>
            </w:r>
          </w:p>
        </w:tc>
        <w:tc>
          <w:tcPr>
            <w:tcW w:w="5944" w:type="dxa"/>
          </w:tcPr>
          <w:p w14:paraId="37BCC499" w14:textId="6A63D4AE" w:rsidR="00320EF8" w:rsidRDefault="00320EF8"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Unchanged costs compared to Option 1</w:t>
            </w:r>
          </w:p>
          <w:p w14:paraId="29CFF42B" w14:textId="47B98889" w:rsidR="00320EF8" w:rsidRPr="00880FA8" w:rsidRDefault="00320EF8" w:rsidP="00880FA8">
            <w:pPr>
              <w:pStyle w:val="TableNBullet"/>
            </w:pPr>
            <w:r w:rsidRPr="00F55083">
              <w:t>Deterrent effect for prospective applicants due to time and cost of making an application (</w:t>
            </w:r>
            <w:proofErr w:type="gramStart"/>
            <w:r w:rsidRPr="00F55083">
              <w:t>i.e</w:t>
            </w:r>
            <w:r>
              <w:t>.</w:t>
            </w:r>
            <w:proofErr w:type="gramEnd"/>
            <w:r w:rsidRPr="00F55083">
              <w:t xml:space="preserve"> barriers to innovation).</w:t>
            </w:r>
          </w:p>
          <w:p w14:paraId="0FE94631" w14:textId="0BFEC242" w:rsidR="00305B59" w:rsidRPr="007F7722" w:rsidRDefault="00305B59" w:rsidP="007F7722">
            <w:pPr>
              <w:pStyle w:val="TableNBullet"/>
              <w:numPr>
                <w:ilvl w:val="0"/>
                <w:numId w:val="0"/>
              </w:numPr>
              <w:spacing w:line="257" w:lineRule="auto"/>
            </w:pPr>
            <w:r>
              <w:rPr>
                <w:rFonts w:asciiTheme="majorHAnsi" w:hAnsiTheme="majorHAnsi" w:cstheme="majorHAnsi"/>
              </w:rPr>
              <w:t>Purpose and objective of FSANZ</w:t>
            </w:r>
            <w:r w:rsidRPr="003203D5">
              <w:rPr>
                <w:rFonts w:asciiTheme="majorHAnsi" w:hAnsiTheme="majorHAnsi" w:cstheme="majorHAnsi"/>
              </w:rPr>
              <w:t xml:space="preserve"> (Component </w:t>
            </w:r>
            <w:r>
              <w:rPr>
                <w:rFonts w:asciiTheme="majorHAnsi" w:hAnsiTheme="majorHAnsi" w:cstheme="majorHAnsi"/>
              </w:rPr>
              <w:t>1</w:t>
            </w:r>
            <w:r w:rsidRPr="003203D5">
              <w:rPr>
                <w:rFonts w:asciiTheme="majorHAnsi" w:hAnsiTheme="majorHAnsi" w:cstheme="majorHAnsi"/>
              </w:rPr>
              <w:t xml:space="preserve">) </w:t>
            </w:r>
          </w:p>
          <w:p w14:paraId="003E356B" w14:textId="268A9E3D" w:rsidR="00305B59" w:rsidRPr="009F6D94" w:rsidRDefault="00305B59" w:rsidP="009F6D94">
            <w:pPr>
              <w:pStyle w:val="TableNBullet"/>
            </w:pPr>
            <w:r w:rsidRPr="009F6D94">
              <w:t xml:space="preserve">There is the risk that clarifying the definition of public health could inadvertently broaden </w:t>
            </w:r>
            <w:r w:rsidR="004E4D63" w:rsidRPr="009F6D94">
              <w:t>FSANZ’</w:t>
            </w:r>
            <w:r w:rsidR="005D04DB">
              <w:t>s</w:t>
            </w:r>
            <w:r w:rsidRPr="009F6D94">
              <w:t xml:space="preserve"> remit in managing public health risks, </w:t>
            </w:r>
            <w:r w:rsidR="00CC7AC2" w:rsidRPr="009F6D94">
              <w:t xml:space="preserve">potentially </w:t>
            </w:r>
            <w:r w:rsidR="0031254F" w:rsidRPr="009F6D94">
              <w:t xml:space="preserve">creating </w:t>
            </w:r>
            <w:r w:rsidR="001C0E19" w:rsidRPr="009F6D94">
              <w:t xml:space="preserve">additional administrative burdens in the preparation of </w:t>
            </w:r>
            <w:proofErr w:type="gramStart"/>
            <w:r w:rsidR="001C0E19" w:rsidRPr="009F6D94">
              <w:t>applications</w:t>
            </w:r>
            <w:proofErr w:type="gramEnd"/>
            <w:r w:rsidR="001C0E19" w:rsidRPr="009F6D94">
              <w:t xml:space="preserve"> and creating barriers to trade. </w:t>
            </w:r>
          </w:p>
          <w:p w14:paraId="6AA5AA8B" w14:textId="233D31EE" w:rsidR="006D7380" w:rsidRDefault="007E58B8"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Efficient and effective operations</w:t>
            </w:r>
            <w:r w:rsidR="006D7380" w:rsidRPr="003203D5">
              <w:rPr>
                <w:rFonts w:asciiTheme="majorHAnsi" w:hAnsiTheme="majorHAnsi" w:cstheme="majorHAnsi"/>
              </w:rPr>
              <w:t xml:space="preserve"> (Component </w:t>
            </w:r>
            <w:r>
              <w:rPr>
                <w:rFonts w:asciiTheme="majorHAnsi" w:hAnsiTheme="majorHAnsi" w:cstheme="majorHAnsi"/>
              </w:rPr>
              <w:t>3</w:t>
            </w:r>
            <w:r w:rsidR="006D7380" w:rsidRPr="003203D5">
              <w:rPr>
                <w:rFonts w:asciiTheme="majorHAnsi" w:hAnsiTheme="majorHAnsi" w:cstheme="majorHAnsi"/>
              </w:rPr>
              <w:t xml:space="preserve">) </w:t>
            </w:r>
          </w:p>
          <w:p w14:paraId="3F6FFE97" w14:textId="6BA30D9E" w:rsidR="00367480" w:rsidRDefault="005D68BB" w:rsidP="007F7722">
            <w:pPr>
              <w:pStyle w:val="TableNBullet"/>
              <w:spacing w:line="257" w:lineRule="auto"/>
            </w:pPr>
            <w:r w:rsidRPr="007F7722">
              <w:rPr>
                <w:rFonts w:asciiTheme="minorHAnsi" w:hAnsiTheme="minorHAnsi" w:cstheme="minorHAnsi"/>
              </w:rPr>
              <w:t>Removing</w:t>
            </w:r>
            <w:r>
              <w:rPr>
                <w:rFonts w:asciiTheme="minorHAnsi" w:hAnsiTheme="minorHAnsi" w:cstheme="minorHAnsi"/>
              </w:rPr>
              <w:t xml:space="preserve"> </w:t>
            </w:r>
            <w:r w:rsidR="003B1423">
              <w:rPr>
                <w:rFonts w:asciiTheme="minorHAnsi" w:hAnsiTheme="minorHAnsi" w:cstheme="minorHAnsi"/>
              </w:rPr>
              <w:t xml:space="preserve">paid applications may mean that industry </w:t>
            </w:r>
            <w:r w:rsidR="002B5375">
              <w:rPr>
                <w:rFonts w:asciiTheme="minorHAnsi" w:hAnsiTheme="minorHAnsi" w:cstheme="minorHAnsi"/>
              </w:rPr>
              <w:t xml:space="preserve">can </w:t>
            </w:r>
            <w:r w:rsidR="006D3A08">
              <w:rPr>
                <w:rFonts w:asciiTheme="minorHAnsi" w:hAnsiTheme="minorHAnsi" w:cstheme="minorHAnsi"/>
              </w:rPr>
              <w:t>no</w:t>
            </w:r>
            <w:r w:rsidR="002B5375">
              <w:rPr>
                <w:rFonts w:asciiTheme="minorHAnsi" w:hAnsiTheme="minorHAnsi" w:cstheme="minorHAnsi"/>
              </w:rPr>
              <w:t xml:space="preserve"> longer </w:t>
            </w:r>
            <w:r w:rsidR="003677A1">
              <w:rPr>
                <w:rFonts w:asciiTheme="minorHAnsi" w:hAnsiTheme="minorHAnsi" w:cstheme="minorHAnsi"/>
              </w:rPr>
              <w:t>reliably</w:t>
            </w:r>
            <w:r w:rsidR="002B5375">
              <w:rPr>
                <w:rFonts w:asciiTheme="minorHAnsi" w:hAnsiTheme="minorHAnsi" w:cstheme="minorHAnsi"/>
              </w:rPr>
              <w:t xml:space="preserve"> predict when they may take a product to</w:t>
            </w:r>
            <w:r w:rsidR="006D3A08">
              <w:rPr>
                <w:rFonts w:asciiTheme="minorHAnsi" w:hAnsiTheme="minorHAnsi" w:cstheme="minorHAnsi"/>
              </w:rPr>
              <w:t xml:space="preserve"> market. </w:t>
            </w:r>
            <w:r w:rsidR="001A5588">
              <w:rPr>
                <w:rFonts w:asciiTheme="minorHAnsi" w:hAnsiTheme="minorHAnsi" w:cstheme="minorHAnsi"/>
              </w:rPr>
              <w:t>This could increase cost</w:t>
            </w:r>
            <w:r w:rsidR="00B65F46">
              <w:rPr>
                <w:rFonts w:asciiTheme="minorHAnsi" w:hAnsiTheme="minorHAnsi" w:cstheme="minorHAnsi"/>
              </w:rPr>
              <w:t xml:space="preserve">s associated with </w:t>
            </w:r>
            <w:r w:rsidR="001329FE" w:rsidRPr="001329FE">
              <w:rPr>
                <w:rFonts w:asciiTheme="minorHAnsi" w:hAnsiTheme="minorHAnsi" w:cstheme="minorHAnsi"/>
              </w:rPr>
              <w:t xml:space="preserve">product development, inventory management, and marketing campaigns. An unpredictable timeline might also deter potential </w:t>
            </w:r>
            <w:r w:rsidR="00DD34E2">
              <w:rPr>
                <w:rFonts w:asciiTheme="minorHAnsi" w:hAnsiTheme="minorHAnsi" w:cstheme="minorHAnsi"/>
              </w:rPr>
              <w:t xml:space="preserve">international food companies from operating in Australia. </w:t>
            </w:r>
          </w:p>
        </w:tc>
      </w:tr>
      <w:tr w:rsidR="00367480" w:rsidRPr="00B06145" w14:paraId="4072CF5A" w14:textId="77777777" w:rsidTr="00305B59">
        <w:trPr>
          <w:cnfStyle w:val="000000100000" w:firstRow="0" w:lastRow="0" w:firstColumn="0" w:lastColumn="0" w:oddVBand="0" w:evenVBand="0" w:oddHBand="1" w:evenHBand="0" w:firstRowFirstColumn="0" w:firstRowLastColumn="0" w:lastRowFirstColumn="0" w:lastRowLastColumn="0"/>
          <w:cantSplit/>
        </w:trPr>
        <w:tc>
          <w:tcPr>
            <w:tcW w:w="1393" w:type="dxa"/>
            <w:vMerge/>
          </w:tcPr>
          <w:p w14:paraId="37E0BDC3" w14:textId="37942D6B" w:rsidR="00367480" w:rsidRDefault="00367480">
            <w:pPr>
              <w:rPr>
                <w:sz w:val="17"/>
                <w:szCs w:val="17"/>
                <w:lang w:eastAsia="en-AU"/>
              </w:rPr>
            </w:pPr>
          </w:p>
        </w:tc>
        <w:tc>
          <w:tcPr>
            <w:tcW w:w="1735" w:type="dxa"/>
          </w:tcPr>
          <w:p w14:paraId="43DCBF33" w14:textId="77777777" w:rsidR="00367480" w:rsidRPr="00B06145" w:rsidRDefault="00367480">
            <w:pPr>
              <w:rPr>
                <w:sz w:val="17"/>
                <w:szCs w:val="17"/>
                <w:lang w:eastAsia="en-AU"/>
              </w:rPr>
            </w:pPr>
            <w:r>
              <w:rPr>
                <w:sz w:val="17"/>
                <w:szCs w:val="17"/>
                <w:lang w:eastAsia="en-AU"/>
              </w:rPr>
              <w:t>Quantified b</w:t>
            </w:r>
            <w:r w:rsidRPr="00B06145">
              <w:rPr>
                <w:sz w:val="17"/>
                <w:szCs w:val="17"/>
                <w:lang w:eastAsia="en-AU"/>
              </w:rPr>
              <w:t xml:space="preserve">enefits </w:t>
            </w:r>
          </w:p>
        </w:tc>
        <w:tc>
          <w:tcPr>
            <w:tcW w:w="5944" w:type="dxa"/>
          </w:tcPr>
          <w:p w14:paraId="78FDE10F" w14:textId="77777777" w:rsidR="00227ABC" w:rsidRDefault="00227ABC"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Unchanged benefits compared to Option 1</w:t>
            </w:r>
          </w:p>
          <w:p w14:paraId="3EAFE799" w14:textId="77777777" w:rsidR="00227ABC" w:rsidRPr="00931ED7" w:rsidRDefault="00227ABC" w:rsidP="00227ABC">
            <w:pPr>
              <w:pStyle w:val="TableNBullet"/>
            </w:pPr>
            <w:r w:rsidRPr="00931ED7">
              <w:t>Regulation through food standards improves consumer confidence. By establishing and upholding safety and quality standards, regulations assure consumers of the integrity and reliability of the products they purchase. As confident consumers are more likely to engage with and invest in the market, this indirectly supports the food industry.</w:t>
            </w:r>
          </w:p>
          <w:p w14:paraId="7C4A0B03" w14:textId="281E665F" w:rsidR="00B53A8C" w:rsidRPr="00931ED7" w:rsidRDefault="00B53A8C" w:rsidP="00B53A8C">
            <w:pPr>
              <w:pStyle w:val="TableNBullet"/>
            </w:pPr>
            <w:r>
              <w:t xml:space="preserve">Improved market access to available given the bi-national nature of the food standards system. Should this not exist, jurisdictions may set their own requirements creating fragmentation in regulatory requirements. </w:t>
            </w:r>
          </w:p>
          <w:p w14:paraId="2C1A6D78" w14:textId="2ED33DFD" w:rsidR="00305B59" w:rsidRPr="007F7722" w:rsidRDefault="00305B59" w:rsidP="007F7722">
            <w:pPr>
              <w:pStyle w:val="TableNBullet"/>
              <w:numPr>
                <w:ilvl w:val="0"/>
                <w:numId w:val="0"/>
              </w:numPr>
              <w:spacing w:line="257" w:lineRule="auto"/>
              <w:rPr>
                <w:rFonts w:asciiTheme="majorHAnsi" w:hAnsiTheme="majorHAnsi" w:cstheme="majorHAnsi"/>
              </w:rPr>
            </w:pPr>
            <w:r w:rsidRPr="003203D5">
              <w:rPr>
                <w:rFonts w:asciiTheme="majorHAnsi" w:hAnsiTheme="majorHAnsi" w:cstheme="majorHAnsi"/>
              </w:rPr>
              <w:t xml:space="preserve">Reforming standard-setting (Component 2) </w:t>
            </w:r>
          </w:p>
          <w:p w14:paraId="069FEDCF" w14:textId="56B2864C" w:rsidR="00367480" w:rsidRDefault="00305B59" w:rsidP="00367480">
            <w:pPr>
              <w:pStyle w:val="TableNBullet"/>
              <w:spacing w:line="257" w:lineRule="auto"/>
            </w:pPr>
            <w:r>
              <w:t xml:space="preserve">Legislative </w:t>
            </w:r>
            <w:r w:rsidR="008C2F64">
              <w:t xml:space="preserve">changes </w:t>
            </w:r>
            <w:r>
              <w:t>to bring more traditional foods to market</w:t>
            </w:r>
            <w:r w:rsidR="00D44FED">
              <w:t xml:space="preserve"> </w:t>
            </w:r>
            <w:r w:rsidR="00A47502">
              <w:t>will</w:t>
            </w:r>
            <w:r w:rsidR="009E4CE1">
              <w:t xml:space="preserve"> </w:t>
            </w:r>
            <w:r w:rsidR="00A47502">
              <w:t xml:space="preserve">improve </w:t>
            </w:r>
            <w:r w:rsidR="00A47502" w:rsidRPr="009E4CE1">
              <w:t>market</w:t>
            </w:r>
            <w:r w:rsidR="009E4CE1" w:rsidRPr="009E4CE1">
              <w:t xml:space="preserve"> access for Aboriginal, Torres Strait Islander and Māori foods</w:t>
            </w:r>
            <w:r w:rsidR="00A47502">
              <w:t>. These figures</w:t>
            </w:r>
            <w:r w:rsidR="009E4CE1" w:rsidRPr="009E4CE1">
              <w:t xml:space="preserve"> have been estimated </w:t>
            </w:r>
            <w:r w:rsidR="00A47502">
              <w:t>using</w:t>
            </w:r>
            <w:r w:rsidR="009E4CE1" w:rsidRPr="009E4CE1">
              <w:t xml:space="preserve"> the current industry value-add of both the Australian and Māori food sector, </w:t>
            </w:r>
            <w:r w:rsidR="00F945AE">
              <w:t xml:space="preserve">AUD </w:t>
            </w:r>
            <w:r w:rsidR="009E4CE1" w:rsidRPr="009E4CE1">
              <w:t xml:space="preserve">$8 million </w:t>
            </w:r>
            <w:r w:rsidR="00F945AE">
              <w:t xml:space="preserve">(NZD $ </w:t>
            </w:r>
            <w:r w:rsidR="0014413E">
              <w:t>8.</w:t>
            </w:r>
            <w:r w:rsidR="00070EE2">
              <w:t xml:space="preserve">6 million </w:t>
            </w:r>
            <w:r w:rsidR="009E4CE1" w:rsidRPr="009E4CE1">
              <w:t xml:space="preserve">and </w:t>
            </w:r>
            <w:r w:rsidR="00070EE2">
              <w:t xml:space="preserve">AUD </w:t>
            </w:r>
            <w:r w:rsidR="009E4CE1" w:rsidRPr="009E4CE1">
              <w:t>$2.2 million</w:t>
            </w:r>
            <w:r w:rsidR="00070EE2">
              <w:t xml:space="preserve"> (NZD $</w:t>
            </w:r>
            <w:r w:rsidR="002A28CF">
              <w:t>2.4 million)</w:t>
            </w:r>
            <w:r w:rsidR="009E4CE1" w:rsidRPr="009E4CE1">
              <w:t xml:space="preserve"> respectively</w:t>
            </w:r>
            <w:r w:rsidR="001917FF">
              <w:t xml:space="preserve">, extrapolating to </w:t>
            </w:r>
            <w:r w:rsidR="00F945AE">
              <w:t xml:space="preserve">an additional </w:t>
            </w:r>
            <w:r w:rsidR="00FB453D">
              <w:t>AUD $</w:t>
            </w:r>
            <w:r w:rsidR="00F17703">
              <w:t>10.2 million (NZD $</w:t>
            </w:r>
            <w:r w:rsidR="00801C68">
              <w:t xml:space="preserve">10.9 million) </w:t>
            </w:r>
            <w:r w:rsidR="00F76A84">
              <w:t>per annum, growing year on year at 10%.</w:t>
            </w:r>
            <w:r>
              <w:t xml:space="preserve">  </w:t>
            </w:r>
          </w:p>
        </w:tc>
      </w:tr>
      <w:tr w:rsidR="00367480" w:rsidRPr="00B06145" w14:paraId="6714037F" w14:textId="77777777" w:rsidTr="00305B59">
        <w:trPr>
          <w:cnfStyle w:val="000000010000" w:firstRow="0" w:lastRow="0" w:firstColumn="0" w:lastColumn="0" w:oddVBand="0" w:evenVBand="0" w:oddHBand="0" w:evenHBand="1" w:firstRowFirstColumn="0" w:firstRowLastColumn="0" w:lastRowFirstColumn="0" w:lastRowLastColumn="0"/>
          <w:cantSplit/>
        </w:trPr>
        <w:tc>
          <w:tcPr>
            <w:tcW w:w="1393" w:type="dxa"/>
            <w:vMerge/>
          </w:tcPr>
          <w:p w14:paraId="0F898F88" w14:textId="77777777" w:rsidR="00367480" w:rsidRDefault="00367480">
            <w:pPr>
              <w:rPr>
                <w:sz w:val="17"/>
                <w:szCs w:val="17"/>
                <w:lang w:eastAsia="en-AU"/>
              </w:rPr>
            </w:pPr>
          </w:p>
        </w:tc>
        <w:tc>
          <w:tcPr>
            <w:tcW w:w="1735" w:type="dxa"/>
          </w:tcPr>
          <w:p w14:paraId="2B541419" w14:textId="77777777" w:rsidR="00367480" w:rsidRPr="00B06145" w:rsidRDefault="00367480">
            <w:pPr>
              <w:rPr>
                <w:sz w:val="17"/>
                <w:szCs w:val="17"/>
                <w:lang w:eastAsia="en-AU"/>
              </w:rPr>
            </w:pPr>
            <w:r>
              <w:rPr>
                <w:sz w:val="17"/>
                <w:szCs w:val="17"/>
                <w:lang w:eastAsia="en-AU"/>
              </w:rPr>
              <w:t xml:space="preserve">Qualified benefits </w:t>
            </w:r>
          </w:p>
        </w:tc>
        <w:tc>
          <w:tcPr>
            <w:tcW w:w="5944" w:type="dxa"/>
          </w:tcPr>
          <w:p w14:paraId="6EF17C10" w14:textId="1DC8A86F" w:rsidR="003B00F8" w:rsidRDefault="003B00F8" w:rsidP="003B00F8">
            <w:pPr>
              <w:pStyle w:val="TableNBullet"/>
              <w:numPr>
                <w:ilvl w:val="0"/>
                <w:numId w:val="0"/>
              </w:numPr>
              <w:spacing w:line="257" w:lineRule="auto"/>
              <w:rPr>
                <w:rFonts w:asciiTheme="majorHAnsi" w:hAnsiTheme="majorHAnsi" w:cstheme="majorHAnsi"/>
              </w:rPr>
            </w:pPr>
            <w:r w:rsidRPr="003203D5">
              <w:rPr>
                <w:rFonts w:asciiTheme="majorHAnsi" w:hAnsiTheme="majorHAnsi" w:cstheme="majorHAnsi"/>
              </w:rPr>
              <w:t xml:space="preserve">Reforming standard-setting (Component 2) </w:t>
            </w:r>
          </w:p>
          <w:p w14:paraId="65F9619C" w14:textId="35F271F5" w:rsidR="002020DF" w:rsidRPr="007F7722" w:rsidRDefault="00270176" w:rsidP="007F7722">
            <w:pPr>
              <w:pStyle w:val="TableNBullet"/>
              <w:spacing w:line="257" w:lineRule="auto"/>
            </w:pPr>
            <w:r>
              <w:t xml:space="preserve">Improved harmonisation with international </w:t>
            </w:r>
            <w:r w:rsidR="00F14534">
              <w:t>standards</w:t>
            </w:r>
            <w:r w:rsidR="00E22E6C">
              <w:t xml:space="preserve"> </w:t>
            </w:r>
            <w:r w:rsidR="005056CD">
              <w:t xml:space="preserve">will lead to </w:t>
            </w:r>
            <w:r w:rsidR="00DB6121" w:rsidRPr="00DB6121">
              <w:t xml:space="preserve">greater ease of trade and reduced barriers for </w:t>
            </w:r>
            <w:r w:rsidR="00214668">
              <w:t xml:space="preserve">international </w:t>
            </w:r>
            <w:r w:rsidR="00DB6121" w:rsidRPr="00DB6121">
              <w:t xml:space="preserve">businesses looking to expand into </w:t>
            </w:r>
            <w:r w:rsidR="00992F6C">
              <w:t>Australia</w:t>
            </w:r>
            <w:r w:rsidR="00E97206">
              <w:t xml:space="preserve"> and </w:t>
            </w:r>
            <w:r w:rsidR="00992F6C">
              <w:t xml:space="preserve">New </w:t>
            </w:r>
            <w:r w:rsidR="00FC7BC1">
              <w:t>Zealand</w:t>
            </w:r>
            <w:r w:rsidR="00992F6C">
              <w:t xml:space="preserve"> markets</w:t>
            </w:r>
            <w:r w:rsidR="00DB6121" w:rsidRPr="00DB6121">
              <w:t xml:space="preserve">. </w:t>
            </w:r>
            <w:r w:rsidR="00051705">
              <w:t>This leads to increased competition among more diverse businesses</w:t>
            </w:r>
            <w:r w:rsidR="00D41543">
              <w:t xml:space="preserve">, driving innovation. </w:t>
            </w:r>
          </w:p>
          <w:p w14:paraId="1BA100A0" w14:textId="310A905B" w:rsidR="003B6B12" w:rsidRPr="003203D5" w:rsidRDefault="003B6B12"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Improving system agility</w:t>
            </w:r>
            <w:r w:rsidRPr="003203D5">
              <w:rPr>
                <w:rFonts w:asciiTheme="majorHAnsi" w:hAnsiTheme="majorHAnsi" w:cstheme="majorHAnsi"/>
              </w:rPr>
              <w:t xml:space="preserve"> (Component </w:t>
            </w:r>
            <w:r>
              <w:rPr>
                <w:rFonts w:asciiTheme="majorHAnsi" w:hAnsiTheme="majorHAnsi" w:cstheme="majorHAnsi"/>
              </w:rPr>
              <w:t>4</w:t>
            </w:r>
            <w:r w:rsidRPr="003203D5">
              <w:rPr>
                <w:rFonts w:asciiTheme="majorHAnsi" w:hAnsiTheme="majorHAnsi" w:cstheme="majorHAnsi"/>
              </w:rPr>
              <w:t xml:space="preserve">) </w:t>
            </w:r>
          </w:p>
          <w:p w14:paraId="5393C5B1" w14:textId="6BF614BF" w:rsidR="00367480" w:rsidRDefault="00863F92">
            <w:pPr>
              <w:pStyle w:val="TableNBullet"/>
              <w:spacing w:line="257" w:lineRule="auto"/>
            </w:pPr>
            <w:r>
              <w:t xml:space="preserve">Development of industry guidelines will </w:t>
            </w:r>
            <w:r w:rsidR="00755ABE">
              <w:t xml:space="preserve">streamline the process </w:t>
            </w:r>
            <w:r w:rsidR="00581022" w:rsidRPr="00581022">
              <w:t xml:space="preserve">for </w:t>
            </w:r>
            <w:r w:rsidR="00581022">
              <w:t>businesses to comply with food standards</w:t>
            </w:r>
            <w:r w:rsidR="0006153F">
              <w:t xml:space="preserve">, </w:t>
            </w:r>
            <w:r w:rsidR="00581022" w:rsidRPr="00581022">
              <w:t>reduc</w:t>
            </w:r>
            <w:r w:rsidR="0006153F">
              <w:t>ing</w:t>
            </w:r>
            <w:r w:rsidR="00581022" w:rsidRPr="00581022">
              <w:t xml:space="preserve"> the time and resources spent on </w:t>
            </w:r>
            <w:r w:rsidR="00CE538E">
              <w:t>navigating</w:t>
            </w:r>
            <w:r w:rsidR="00581022" w:rsidRPr="00581022">
              <w:t xml:space="preserve"> regulatory nuances. This in turn can lead to more efficient compliance processes, reduced likelihood of unintentional regulatory breaches, and a more level playing field for all industry participants. </w:t>
            </w:r>
          </w:p>
        </w:tc>
      </w:tr>
      <w:tr w:rsidR="00367480" w:rsidRPr="00B06145" w14:paraId="3C0FC67E" w14:textId="77777777" w:rsidTr="00305B59">
        <w:trPr>
          <w:cnfStyle w:val="000000100000" w:firstRow="0" w:lastRow="0" w:firstColumn="0" w:lastColumn="0" w:oddVBand="0" w:evenVBand="0" w:oddHBand="1" w:evenHBand="0" w:firstRowFirstColumn="0" w:firstRowLastColumn="0" w:lastRowFirstColumn="0" w:lastRowLastColumn="0"/>
          <w:cantSplit/>
        </w:trPr>
        <w:tc>
          <w:tcPr>
            <w:tcW w:w="1393" w:type="dxa"/>
            <w:vMerge w:val="restart"/>
          </w:tcPr>
          <w:p w14:paraId="05D70412" w14:textId="77F50769" w:rsidR="00367480" w:rsidRPr="00B06145" w:rsidRDefault="00367480">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1735" w:type="dxa"/>
          </w:tcPr>
          <w:p w14:paraId="24C3CD5B" w14:textId="41BBED23" w:rsidR="00367480" w:rsidRPr="00B06145" w:rsidRDefault="00B96091">
            <w:pPr>
              <w:rPr>
                <w:sz w:val="17"/>
                <w:szCs w:val="17"/>
                <w:lang w:eastAsia="en-AU"/>
              </w:rPr>
            </w:pPr>
            <w:r>
              <w:rPr>
                <w:sz w:val="17"/>
                <w:szCs w:val="17"/>
                <w:lang w:eastAsia="en-AU"/>
              </w:rPr>
              <w:t>Quantified c</w:t>
            </w:r>
            <w:r w:rsidR="004D74A1" w:rsidRPr="00B06145">
              <w:rPr>
                <w:sz w:val="17"/>
                <w:szCs w:val="17"/>
                <w:lang w:eastAsia="en-AU"/>
              </w:rPr>
              <w:t xml:space="preserve">osts </w:t>
            </w:r>
          </w:p>
        </w:tc>
        <w:tc>
          <w:tcPr>
            <w:tcW w:w="5944" w:type="dxa"/>
          </w:tcPr>
          <w:p w14:paraId="15BFA680" w14:textId="2FAB26C1" w:rsidR="008E5838" w:rsidRDefault="008E5838"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Efficient and effective operations</w:t>
            </w:r>
            <w:r w:rsidRPr="003203D5">
              <w:rPr>
                <w:rFonts w:asciiTheme="majorHAnsi" w:hAnsiTheme="majorHAnsi" w:cstheme="majorHAnsi"/>
              </w:rPr>
              <w:t xml:space="preserve"> (Component </w:t>
            </w:r>
            <w:r>
              <w:rPr>
                <w:rFonts w:asciiTheme="majorHAnsi" w:hAnsiTheme="majorHAnsi" w:cstheme="majorHAnsi"/>
              </w:rPr>
              <w:t>3</w:t>
            </w:r>
            <w:r w:rsidRPr="003203D5">
              <w:rPr>
                <w:rFonts w:asciiTheme="majorHAnsi" w:hAnsiTheme="majorHAnsi" w:cstheme="majorHAnsi"/>
              </w:rPr>
              <w:t xml:space="preserve">) </w:t>
            </w:r>
          </w:p>
          <w:p w14:paraId="06A9D2FC" w14:textId="2737837E" w:rsidR="00367480" w:rsidRPr="009F6D94" w:rsidRDefault="00B43067" w:rsidP="009F6D94">
            <w:pPr>
              <w:pStyle w:val="TableNBullet"/>
            </w:pPr>
            <w:r w:rsidRPr="009F6D94">
              <w:t xml:space="preserve">Cost recovery </w:t>
            </w:r>
            <w:r w:rsidR="0078631E" w:rsidRPr="009F6D94">
              <w:t xml:space="preserve">imposed on jurisdictions </w:t>
            </w:r>
            <w:r w:rsidR="00D61770" w:rsidRPr="009F6D94">
              <w:t xml:space="preserve">for food recall coordination and for adding additional items on to </w:t>
            </w:r>
            <w:r w:rsidR="004E4D63" w:rsidRPr="009F6D94">
              <w:t>FSANZ’</w:t>
            </w:r>
            <w:r w:rsidR="005D04DB">
              <w:t>s</w:t>
            </w:r>
            <w:r w:rsidR="00D61770" w:rsidRPr="009F6D94">
              <w:t xml:space="preserve"> workplan is estimated to be </w:t>
            </w:r>
            <w:r w:rsidR="0030053E" w:rsidRPr="009F6D94">
              <w:t>AUD $7.8 million (NZD $</w:t>
            </w:r>
            <w:r w:rsidR="00816CD1" w:rsidRPr="009F6D94">
              <w:t>8</w:t>
            </w:r>
            <w:r w:rsidR="00885299" w:rsidRPr="009F6D94">
              <w:t>.</w:t>
            </w:r>
            <w:r w:rsidR="00816CD1" w:rsidRPr="009F6D94">
              <w:t>3 million) per year</w:t>
            </w:r>
            <w:r w:rsidR="00EE6F32" w:rsidRPr="009F6D94">
              <w:t xml:space="preserve"> (Aus</w:t>
            </w:r>
            <w:r w:rsidR="00562044" w:rsidRPr="009F6D94">
              <w:t>tralia</w:t>
            </w:r>
            <w:r w:rsidR="00EE6F32" w:rsidRPr="009F6D94">
              <w:t xml:space="preserve"> only)</w:t>
            </w:r>
            <w:r w:rsidR="009F6D94">
              <w:t>.</w:t>
            </w:r>
          </w:p>
        </w:tc>
      </w:tr>
      <w:tr w:rsidR="00792F16" w:rsidRPr="00B06145" w14:paraId="478EB9B3" w14:textId="77777777" w:rsidTr="00305B59">
        <w:trPr>
          <w:cnfStyle w:val="000000010000" w:firstRow="0" w:lastRow="0" w:firstColumn="0" w:lastColumn="0" w:oddVBand="0" w:evenVBand="0" w:oddHBand="0" w:evenHBand="1" w:firstRowFirstColumn="0" w:firstRowLastColumn="0" w:lastRowFirstColumn="0" w:lastRowLastColumn="0"/>
          <w:cantSplit/>
        </w:trPr>
        <w:tc>
          <w:tcPr>
            <w:tcW w:w="1393" w:type="dxa"/>
            <w:vMerge/>
          </w:tcPr>
          <w:p w14:paraId="20FAF675" w14:textId="77777777" w:rsidR="00792F16" w:rsidRPr="00B06145" w:rsidRDefault="00792F16">
            <w:pPr>
              <w:rPr>
                <w:sz w:val="17"/>
                <w:szCs w:val="17"/>
                <w:lang w:eastAsia="en-AU"/>
              </w:rPr>
            </w:pPr>
          </w:p>
        </w:tc>
        <w:tc>
          <w:tcPr>
            <w:tcW w:w="1735" w:type="dxa"/>
          </w:tcPr>
          <w:p w14:paraId="56CDB9AC" w14:textId="662EB3F9" w:rsidR="00792F16" w:rsidRDefault="00792F16">
            <w:pPr>
              <w:rPr>
                <w:sz w:val="17"/>
                <w:szCs w:val="17"/>
                <w:lang w:eastAsia="en-AU"/>
              </w:rPr>
            </w:pPr>
            <w:r>
              <w:rPr>
                <w:sz w:val="17"/>
                <w:szCs w:val="17"/>
                <w:lang w:eastAsia="en-AU"/>
              </w:rPr>
              <w:t>Qualified c</w:t>
            </w:r>
            <w:r w:rsidRPr="00B06145">
              <w:rPr>
                <w:sz w:val="17"/>
                <w:szCs w:val="17"/>
                <w:lang w:eastAsia="en-AU"/>
              </w:rPr>
              <w:t>osts</w:t>
            </w:r>
          </w:p>
        </w:tc>
        <w:tc>
          <w:tcPr>
            <w:tcW w:w="5944" w:type="dxa"/>
          </w:tcPr>
          <w:p w14:paraId="2B97C297" w14:textId="0755C870" w:rsidR="00792F16" w:rsidRDefault="0043018A"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Improving system agility</w:t>
            </w:r>
            <w:r w:rsidR="00792F16" w:rsidRPr="003203D5">
              <w:rPr>
                <w:rFonts w:asciiTheme="majorHAnsi" w:hAnsiTheme="majorHAnsi" w:cstheme="majorHAnsi"/>
              </w:rPr>
              <w:t xml:space="preserve"> (Component </w:t>
            </w:r>
            <w:r>
              <w:rPr>
                <w:rFonts w:asciiTheme="majorHAnsi" w:hAnsiTheme="majorHAnsi" w:cstheme="majorHAnsi"/>
              </w:rPr>
              <w:t>4</w:t>
            </w:r>
            <w:r w:rsidR="00792F16" w:rsidRPr="003203D5">
              <w:rPr>
                <w:rFonts w:asciiTheme="majorHAnsi" w:hAnsiTheme="majorHAnsi" w:cstheme="majorHAnsi"/>
              </w:rPr>
              <w:t xml:space="preserve">) </w:t>
            </w:r>
          </w:p>
          <w:p w14:paraId="2D58ED27" w14:textId="3D33439E" w:rsidR="00792F16" w:rsidRPr="007F7722" w:rsidDel="00B96091" w:rsidRDefault="00193119" w:rsidP="007F7722">
            <w:pPr>
              <w:pStyle w:val="TableNBullet"/>
              <w:spacing w:line="257" w:lineRule="auto"/>
              <w:rPr>
                <w:rStyle w:val="CommentReference"/>
                <w:rFonts w:asciiTheme="minorHAnsi" w:hAnsiTheme="minorHAnsi" w:cstheme="minorHAnsi"/>
                <w:sz w:val="17"/>
                <w:szCs w:val="19"/>
              </w:rPr>
            </w:pPr>
            <w:r>
              <w:rPr>
                <w:rFonts w:asciiTheme="minorHAnsi" w:hAnsiTheme="minorHAnsi" w:cstheme="minorHAnsi"/>
              </w:rPr>
              <w:t>Ju</w:t>
            </w:r>
            <w:r w:rsidR="00432B43">
              <w:rPr>
                <w:rFonts w:asciiTheme="minorHAnsi" w:hAnsiTheme="minorHAnsi" w:cstheme="minorHAnsi"/>
              </w:rPr>
              <w:t>risdic</w:t>
            </w:r>
            <w:r w:rsidR="000107DA">
              <w:rPr>
                <w:rFonts w:asciiTheme="minorHAnsi" w:hAnsiTheme="minorHAnsi" w:cstheme="minorHAnsi"/>
              </w:rPr>
              <w:t xml:space="preserve">tions continue to </w:t>
            </w:r>
            <w:r w:rsidR="00B06B01">
              <w:rPr>
                <w:rFonts w:asciiTheme="minorHAnsi" w:hAnsiTheme="minorHAnsi" w:cstheme="minorHAnsi"/>
              </w:rPr>
              <w:t xml:space="preserve">experience administrative burden </w:t>
            </w:r>
            <w:r w:rsidR="008048D3">
              <w:t>associated with monitoring and enforcing food standards</w:t>
            </w:r>
            <w:r w:rsidR="00F701DE">
              <w:t xml:space="preserve">, albeit to a lesser degree as </w:t>
            </w:r>
            <w:r w:rsidR="00EE7983">
              <w:t xml:space="preserve">interpretative changes such as </w:t>
            </w:r>
            <w:r w:rsidR="008117F8">
              <w:t>Statements of Intent</w:t>
            </w:r>
            <w:r w:rsidR="00EE7983">
              <w:t xml:space="preserve"> </w:t>
            </w:r>
            <w:r w:rsidR="004562D8">
              <w:t xml:space="preserve">are </w:t>
            </w:r>
            <w:r w:rsidR="00961B68">
              <w:t>inserted</w:t>
            </w:r>
            <w:r w:rsidR="004562D8">
              <w:t xml:space="preserve"> to clarify the meaning of food standards. </w:t>
            </w:r>
            <w:r w:rsidR="00EE7983">
              <w:t xml:space="preserve"> </w:t>
            </w:r>
          </w:p>
        </w:tc>
      </w:tr>
      <w:tr w:rsidR="00367480" w:rsidRPr="00B06145" w14:paraId="1777B889" w14:textId="77777777" w:rsidTr="00305B59">
        <w:trPr>
          <w:cnfStyle w:val="000000100000" w:firstRow="0" w:lastRow="0" w:firstColumn="0" w:lastColumn="0" w:oddVBand="0" w:evenVBand="0" w:oddHBand="1" w:evenHBand="0" w:firstRowFirstColumn="0" w:firstRowLastColumn="0" w:lastRowFirstColumn="0" w:lastRowLastColumn="0"/>
          <w:cantSplit/>
        </w:trPr>
        <w:tc>
          <w:tcPr>
            <w:tcW w:w="1393" w:type="dxa"/>
            <w:vMerge/>
          </w:tcPr>
          <w:p w14:paraId="443EAB69" w14:textId="726E0DCE" w:rsidR="00367480" w:rsidRPr="00B06145" w:rsidRDefault="00367480">
            <w:pPr>
              <w:rPr>
                <w:sz w:val="17"/>
                <w:szCs w:val="17"/>
                <w:lang w:eastAsia="en-AU"/>
              </w:rPr>
            </w:pPr>
          </w:p>
        </w:tc>
        <w:tc>
          <w:tcPr>
            <w:tcW w:w="1735" w:type="dxa"/>
          </w:tcPr>
          <w:p w14:paraId="3342BA9B" w14:textId="5F046861" w:rsidR="00367480" w:rsidRPr="00B06145" w:rsidRDefault="007F6566">
            <w:pPr>
              <w:rPr>
                <w:sz w:val="17"/>
                <w:szCs w:val="17"/>
                <w:lang w:eastAsia="en-AU"/>
              </w:rPr>
            </w:pPr>
            <w:r>
              <w:rPr>
                <w:sz w:val="17"/>
                <w:szCs w:val="17"/>
                <w:lang w:eastAsia="en-AU"/>
              </w:rPr>
              <w:t>Quantified</w:t>
            </w:r>
            <w:r w:rsidR="004356D2">
              <w:rPr>
                <w:sz w:val="17"/>
                <w:szCs w:val="17"/>
                <w:lang w:eastAsia="en-AU"/>
              </w:rPr>
              <w:t xml:space="preserve"> benefits </w:t>
            </w:r>
          </w:p>
        </w:tc>
        <w:tc>
          <w:tcPr>
            <w:tcW w:w="5944" w:type="dxa"/>
          </w:tcPr>
          <w:p w14:paraId="21FD8F85" w14:textId="3F34CBCC" w:rsidR="00367480" w:rsidRPr="009F6D94" w:rsidRDefault="006340DA" w:rsidP="00D276AD">
            <w:pPr>
              <w:pStyle w:val="TableNBullet"/>
              <w:spacing w:line="257" w:lineRule="auto"/>
              <w:rPr>
                <w:rFonts w:asciiTheme="minorHAnsi" w:hAnsiTheme="minorHAnsi" w:cstheme="minorHAnsi"/>
              </w:rPr>
            </w:pPr>
            <w:r w:rsidRPr="009F6D94">
              <w:rPr>
                <w:rFonts w:asciiTheme="minorHAnsi" w:hAnsiTheme="minorHAnsi" w:cstheme="minorHAnsi"/>
              </w:rPr>
              <w:t>NA</w:t>
            </w:r>
            <w:r w:rsidR="00961B68" w:rsidRPr="009F6D94">
              <w:rPr>
                <w:rFonts w:asciiTheme="minorHAnsi" w:hAnsiTheme="minorHAnsi" w:cstheme="minorHAnsi"/>
              </w:rPr>
              <w:t xml:space="preserve"> </w:t>
            </w:r>
          </w:p>
        </w:tc>
      </w:tr>
      <w:tr w:rsidR="004376D4" w:rsidRPr="00B06145" w14:paraId="042D16B5" w14:textId="77777777" w:rsidTr="00305B59">
        <w:trPr>
          <w:cnfStyle w:val="000000010000" w:firstRow="0" w:lastRow="0" w:firstColumn="0" w:lastColumn="0" w:oddVBand="0" w:evenVBand="0" w:oddHBand="0" w:evenHBand="1" w:firstRowFirstColumn="0" w:firstRowLastColumn="0" w:lastRowFirstColumn="0" w:lastRowLastColumn="0"/>
          <w:cantSplit/>
        </w:trPr>
        <w:tc>
          <w:tcPr>
            <w:tcW w:w="1393" w:type="dxa"/>
            <w:vMerge/>
          </w:tcPr>
          <w:p w14:paraId="1D397FFE" w14:textId="77777777" w:rsidR="004376D4" w:rsidRPr="00B06145" w:rsidRDefault="004376D4">
            <w:pPr>
              <w:rPr>
                <w:sz w:val="17"/>
                <w:szCs w:val="17"/>
                <w:lang w:eastAsia="en-AU"/>
              </w:rPr>
            </w:pPr>
          </w:p>
        </w:tc>
        <w:tc>
          <w:tcPr>
            <w:tcW w:w="1735" w:type="dxa"/>
          </w:tcPr>
          <w:p w14:paraId="41EFEA1F" w14:textId="56B4DD9F" w:rsidR="004376D4" w:rsidRDefault="004376D4">
            <w:pPr>
              <w:rPr>
                <w:sz w:val="17"/>
                <w:szCs w:val="17"/>
                <w:lang w:eastAsia="en-AU"/>
              </w:rPr>
            </w:pPr>
            <w:r>
              <w:rPr>
                <w:sz w:val="17"/>
                <w:szCs w:val="17"/>
                <w:lang w:eastAsia="en-AU"/>
              </w:rPr>
              <w:t xml:space="preserve">Qualified benefits </w:t>
            </w:r>
          </w:p>
        </w:tc>
        <w:tc>
          <w:tcPr>
            <w:tcW w:w="5944" w:type="dxa"/>
          </w:tcPr>
          <w:p w14:paraId="49043B83" w14:textId="304FAFA9" w:rsidR="000D758E" w:rsidRDefault="000D758E" w:rsidP="000D758E">
            <w:pPr>
              <w:pStyle w:val="TableNBullet"/>
              <w:numPr>
                <w:ilvl w:val="0"/>
                <w:numId w:val="0"/>
              </w:numPr>
              <w:spacing w:line="257" w:lineRule="auto"/>
              <w:rPr>
                <w:rFonts w:asciiTheme="majorHAnsi" w:hAnsiTheme="majorHAnsi" w:cstheme="majorHAnsi"/>
              </w:rPr>
            </w:pPr>
            <w:r w:rsidRPr="003203D5">
              <w:rPr>
                <w:rFonts w:asciiTheme="majorHAnsi" w:hAnsiTheme="majorHAnsi" w:cstheme="majorHAnsi"/>
              </w:rPr>
              <w:t xml:space="preserve">Reforming standard-setting (Component 2) </w:t>
            </w:r>
          </w:p>
          <w:p w14:paraId="743BEF70" w14:textId="2BCE00FA" w:rsidR="00ED0730" w:rsidRDefault="00ED0730" w:rsidP="000D758E">
            <w:pPr>
              <w:pStyle w:val="TableNBullet"/>
              <w:numPr>
                <w:ilvl w:val="0"/>
                <w:numId w:val="0"/>
              </w:numPr>
              <w:spacing w:line="257" w:lineRule="auto"/>
              <w:rPr>
                <w:rFonts w:asciiTheme="majorHAnsi" w:hAnsiTheme="majorHAnsi" w:cstheme="majorHAnsi"/>
              </w:rPr>
            </w:pPr>
            <w:r>
              <w:rPr>
                <w:rFonts w:asciiTheme="majorHAnsi" w:hAnsiTheme="majorHAnsi" w:cstheme="majorHAnsi"/>
              </w:rPr>
              <w:t>Australia and New Zealand</w:t>
            </w:r>
          </w:p>
          <w:p w14:paraId="11F3EB18" w14:textId="7D19F419" w:rsidR="000D758E" w:rsidRPr="009F6D94" w:rsidRDefault="000D758E" w:rsidP="009F6D94">
            <w:pPr>
              <w:pStyle w:val="TableNBullet"/>
            </w:pPr>
            <w:r w:rsidRPr="009F6D94">
              <w:t xml:space="preserve">Harmonisation with international standards </w:t>
            </w:r>
            <w:r w:rsidR="00AF57E4" w:rsidRPr="009F6D94">
              <w:t xml:space="preserve">would advance the </w:t>
            </w:r>
            <w:r w:rsidR="007B0241" w:rsidRPr="009F6D94">
              <w:t xml:space="preserve">‘Industry Innovation and Competitiveness Agenda’ </w:t>
            </w:r>
            <w:r w:rsidR="00E90E4B" w:rsidRPr="009F6D94">
              <w:t xml:space="preserve">proposed by the </w:t>
            </w:r>
            <w:r w:rsidR="00E623CC" w:rsidRPr="009F6D94">
              <w:t>Australian</w:t>
            </w:r>
            <w:r w:rsidR="00E90E4B" w:rsidRPr="009F6D94">
              <w:t xml:space="preserve"> </w:t>
            </w:r>
            <w:r w:rsidR="00E623CC" w:rsidRPr="009F6D94">
              <w:t>Government</w:t>
            </w:r>
            <w:r w:rsidR="006C3768">
              <w:t xml:space="preserve"> and align with </w:t>
            </w:r>
            <w:r w:rsidR="00830413">
              <w:t>New Zealand’s Strategy Objectives in Codex</w:t>
            </w:r>
            <w:r w:rsidR="009A31EB">
              <w:t xml:space="preserve"> 2022-2026</w:t>
            </w:r>
            <w:r w:rsidR="00AF6CE7">
              <w:t>.</w:t>
            </w:r>
            <w:r w:rsidR="00C96F10">
              <w:rPr>
                <w:rStyle w:val="FootnoteReference"/>
              </w:rPr>
              <w:footnoteReference w:id="53"/>
            </w:r>
            <w:r w:rsidR="00DD26D7" w:rsidRPr="00DD26D7">
              <w:rPr>
                <w:vertAlign w:val="superscript"/>
              </w:rPr>
              <w:t>,</w:t>
            </w:r>
            <w:r w:rsidR="00C96F10">
              <w:rPr>
                <w:rStyle w:val="FootnoteReference"/>
              </w:rPr>
              <w:footnoteReference w:id="54"/>
            </w:r>
          </w:p>
          <w:p w14:paraId="59B102FD" w14:textId="6902C573" w:rsidR="00A24AB9" w:rsidRPr="009F6D94" w:rsidRDefault="0081434B" w:rsidP="009F6D94">
            <w:pPr>
              <w:pStyle w:val="TableNBullet"/>
            </w:pPr>
            <w:r w:rsidRPr="009F6D94">
              <w:t xml:space="preserve">Food </w:t>
            </w:r>
            <w:r w:rsidR="00457086" w:rsidRPr="009F6D94">
              <w:t xml:space="preserve">Ministers would have </w:t>
            </w:r>
            <w:r w:rsidR="00815131" w:rsidRPr="009F6D94">
              <w:t xml:space="preserve">greater capacity as </w:t>
            </w:r>
            <w:r w:rsidR="00D431B5" w:rsidRPr="009F6D94">
              <w:t>decision-making to ratify</w:t>
            </w:r>
            <w:r w:rsidRPr="009F6D94">
              <w:t xml:space="preserve"> </w:t>
            </w:r>
            <w:r w:rsidR="004A2994" w:rsidRPr="009F6D94">
              <w:t xml:space="preserve">certain changes to food standards could be delegated to departmental officials.  </w:t>
            </w:r>
          </w:p>
          <w:p w14:paraId="56961127" w14:textId="3165E3D8" w:rsidR="00E463A0" w:rsidRDefault="00E463A0"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Improving system agility</w:t>
            </w:r>
            <w:r w:rsidRPr="003203D5">
              <w:rPr>
                <w:rFonts w:asciiTheme="majorHAnsi" w:hAnsiTheme="majorHAnsi" w:cstheme="majorHAnsi"/>
              </w:rPr>
              <w:t xml:space="preserve"> (Component </w:t>
            </w:r>
            <w:r>
              <w:rPr>
                <w:rFonts w:asciiTheme="majorHAnsi" w:hAnsiTheme="majorHAnsi" w:cstheme="majorHAnsi"/>
              </w:rPr>
              <w:t>4</w:t>
            </w:r>
            <w:r w:rsidRPr="003203D5">
              <w:rPr>
                <w:rFonts w:asciiTheme="majorHAnsi" w:hAnsiTheme="majorHAnsi" w:cstheme="majorHAnsi"/>
              </w:rPr>
              <w:t xml:space="preserve">) </w:t>
            </w:r>
          </w:p>
          <w:p w14:paraId="2BF57F9B" w14:textId="499928AE" w:rsidR="004376D4" w:rsidRPr="003203D5" w:rsidRDefault="000D486E" w:rsidP="007F7722">
            <w:pPr>
              <w:pStyle w:val="TableNBullet"/>
              <w:spacing w:line="257" w:lineRule="auto"/>
              <w:rPr>
                <w:rFonts w:asciiTheme="majorHAnsi" w:hAnsiTheme="majorHAnsi" w:cstheme="majorHAnsi"/>
              </w:rPr>
            </w:pPr>
            <w:r w:rsidRPr="007F7722">
              <w:rPr>
                <w:rFonts w:asciiTheme="minorHAnsi" w:hAnsiTheme="minorHAnsi" w:cstheme="minorHAnsi"/>
              </w:rPr>
              <w:t xml:space="preserve">Improved collaboration </w:t>
            </w:r>
            <w:r w:rsidR="00BB1CDF" w:rsidRPr="007F7722">
              <w:rPr>
                <w:rFonts w:asciiTheme="minorHAnsi" w:hAnsiTheme="minorHAnsi" w:cstheme="minorHAnsi"/>
              </w:rPr>
              <w:t xml:space="preserve">will help </w:t>
            </w:r>
            <w:r w:rsidR="00AC50E9" w:rsidRPr="007F7722">
              <w:rPr>
                <w:rFonts w:asciiTheme="minorHAnsi" w:hAnsiTheme="minorHAnsi" w:cstheme="minorHAnsi"/>
              </w:rPr>
              <w:t xml:space="preserve">jurisdictional enforcement agencies to leverage </w:t>
            </w:r>
            <w:r w:rsidR="00B63384">
              <w:rPr>
                <w:rFonts w:asciiTheme="minorHAnsi" w:hAnsiTheme="minorHAnsi" w:cstheme="minorHAnsi"/>
              </w:rPr>
              <w:t>FSANZ’</w:t>
            </w:r>
            <w:r w:rsidR="005D04DB">
              <w:rPr>
                <w:rFonts w:asciiTheme="minorHAnsi" w:hAnsiTheme="minorHAnsi" w:cstheme="minorHAnsi"/>
              </w:rPr>
              <w:t>s</w:t>
            </w:r>
            <w:r w:rsidR="00AC50E9" w:rsidRPr="007F7722">
              <w:rPr>
                <w:rFonts w:asciiTheme="minorHAnsi" w:hAnsiTheme="minorHAnsi" w:cstheme="minorHAnsi"/>
              </w:rPr>
              <w:t xml:space="preserve"> intelligence base to highlight emerging risks and set up proactive responses.</w:t>
            </w:r>
          </w:p>
        </w:tc>
      </w:tr>
      <w:tr w:rsidR="00367480" w:rsidRPr="00B06145" w14:paraId="4663C084" w14:textId="77777777" w:rsidTr="00305B59">
        <w:trPr>
          <w:cnfStyle w:val="000000100000" w:firstRow="0" w:lastRow="0" w:firstColumn="0" w:lastColumn="0" w:oddVBand="0" w:evenVBand="0" w:oddHBand="1" w:evenHBand="0" w:firstRowFirstColumn="0" w:firstRowLastColumn="0" w:lastRowFirstColumn="0" w:lastRowLastColumn="0"/>
          <w:cantSplit/>
        </w:trPr>
        <w:tc>
          <w:tcPr>
            <w:tcW w:w="1393" w:type="dxa"/>
            <w:vMerge w:val="restart"/>
          </w:tcPr>
          <w:p w14:paraId="66EF23BA" w14:textId="28398955" w:rsidR="00367480" w:rsidRDefault="00367480">
            <w:pPr>
              <w:rPr>
                <w:sz w:val="17"/>
                <w:szCs w:val="17"/>
                <w:lang w:eastAsia="en-AU"/>
              </w:rPr>
            </w:pPr>
            <w:r>
              <w:rPr>
                <w:sz w:val="17"/>
                <w:szCs w:val="17"/>
                <w:lang w:eastAsia="en-AU"/>
              </w:rPr>
              <w:t xml:space="preserve">Consumers </w:t>
            </w:r>
          </w:p>
        </w:tc>
        <w:tc>
          <w:tcPr>
            <w:tcW w:w="1735" w:type="dxa"/>
          </w:tcPr>
          <w:p w14:paraId="7F3A8D1A" w14:textId="113FE54F" w:rsidR="00367480" w:rsidRPr="00B06145" w:rsidRDefault="00D4563C">
            <w:pPr>
              <w:rPr>
                <w:sz w:val="17"/>
                <w:szCs w:val="17"/>
                <w:lang w:eastAsia="en-AU"/>
              </w:rPr>
            </w:pPr>
            <w:r>
              <w:rPr>
                <w:sz w:val="17"/>
                <w:szCs w:val="17"/>
                <w:lang w:eastAsia="en-AU"/>
              </w:rPr>
              <w:t>Quantified c</w:t>
            </w:r>
            <w:r w:rsidR="00C04C9C" w:rsidRPr="00B06145">
              <w:rPr>
                <w:sz w:val="17"/>
                <w:szCs w:val="17"/>
                <w:lang w:eastAsia="en-AU"/>
              </w:rPr>
              <w:t xml:space="preserve">osts </w:t>
            </w:r>
          </w:p>
        </w:tc>
        <w:tc>
          <w:tcPr>
            <w:tcW w:w="5944" w:type="dxa"/>
          </w:tcPr>
          <w:p w14:paraId="48780DAE" w14:textId="1BE08C84" w:rsidR="00D9074C" w:rsidRDefault="00D9074C"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Efficient and effective operations</w:t>
            </w:r>
            <w:r w:rsidRPr="003203D5">
              <w:rPr>
                <w:rFonts w:asciiTheme="majorHAnsi" w:hAnsiTheme="majorHAnsi" w:cstheme="majorHAnsi"/>
              </w:rPr>
              <w:t xml:space="preserve"> (Component </w:t>
            </w:r>
            <w:r>
              <w:rPr>
                <w:rFonts w:asciiTheme="majorHAnsi" w:hAnsiTheme="majorHAnsi" w:cstheme="majorHAnsi"/>
              </w:rPr>
              <w:t>3</w:t>
            </w:r>
            <w:r w:rsidRPr="003203D5">
              <w:rPr>
                <w:rFonts w:asciiTheme="majorHAnsi" w:hAnsiTheme="majorHAnsi" w:cstheme="majorHAnsi"/>
              </w:rPr>
              <w:t xml:space="preserve">) </w:t>
            </w:r>
          </w:p>
          <w:p w14:paraId="7674810E" w14:textId="51F99F19" w:rsidR="005960B6" w:rsidRDefault="005960B6"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Australia</w:t>
            </w:r>
          </w:p>
          <w:p w14:paraId="04442C4A" w14:textId="3D2745BC" w:rsidR="00367480" w:rsidRPr="00B06145" w:rsidRDefault="00D9074C" w:rsidP="007F7722">
            <w:pPr>
              <w:pStyle w:val="TableNBullet"/>
            </w:pPr>
            <w:r w:rsidRPr="00D6445A">
              <w:rPr>
                <w:rFonts w:asciiTheme="minorHAnsi" w:hAnsiTheme="minorHAnsi" w:cstheme="minorHAnsi"/>
              </w:rPr>
              <w:t>An indus</w:t>
            </w:r>
            <w:r>
              <w:rPr>
                <w:rFonts w:asciiTheme="minorHAnsi" w:hAnsiTheme="minorHAnsi" w:cstheme="minorHAnsi"/>
              </w:rPr>
              <w:t>try-wide levy imposed on the largest 5,000 food businesses in Australia, at AUD $2,000 (NZD $2,140) each, would cost industry AUD $10</w:t>
            </w:r>
            <w:r w:rsidR="00BE0C7B">
              <w:rPr>
                <w:rFonts w:asciiTheme="minorHAnsi" w:hAnsiTheme="minorHAnsi" w:cstheme="minorHAnsi"/>
              </w:rPr>
              <w:t xml:space="preserve"> </w:t>
            </w:r>
            <w:r>
              <w:rPr>
                <w:rFonts w:asciiTheme="minorHAnsi" w:hAnsiTheme="minorHAnsi" w:cstheme="minorHAnsi"/>
              </w:rPr>
              <w:t>million (NZD $10.7</w:t>
            </w:r>
            <w:r w:rsidR="00BE0C7B">
              <w:rPr>
                <w:rFonts w:asciiTheme="minorHAnsi" w:hAnsiTheme="minorHAnsi" w:cstheme="minorHAnsi"/>
              </w:rPr>
              <w:t xml:space="preserve"> </w:t>
            </w:r>
            <w:r>
              <w:rPr>
                <w:rFonts w:asciiTheme="minorHAnsi" w:hAnsiTheme="minorHAnsi" w:cstheme="minorHAnsi"/>
              </w:rPr>
              <w:t>million) per annum.</w:t>
            </w:r>
            <w:r w:rsidR="008F5EA5">
              <w:rPr>
                <w:rFonts w:asciiTheme="minorHAnsi" w:hAnsiTheme="minorHAnsi" w:cstheme="minorHAnsi"/>
              </w:rPr>
              <w:t xml:space="preserve"> It is expected that industry would pass these costs on to consumers</w:t>
            </w:r>
            <w:r w:rsidR="006A16A3">
              <w:rPr>
                <w:rFonts w:asciiTheme="minorHAnsi" w:hAnsiTheme="minorHAnsi" w:cstheme="minorHAnsi"/>
              </w:rPr>
              <w:t xml:space="preserve">. </w:t>
            </w:r>
          </w:p>
        </w:tc>
      </w:tr>
      <w:tr w:rsidR="00603C76" w:rsidRPr="00B06145" w14:paraId="5264DE8F" w14:textId="77777777" w:rsidTr="00305B59">
        <w:trPr>
          <w:cnfStyle w:val="000000010000" w:firstRow="0" w:lastRow="0" w:firstColumn="0" w:lastColumn="0" w:oddVBand="0" w:evenVBand="0" w:oddHBand="0" w:evenHBand="1" w:firstRowFirstColumn="0" w:firstRowLastColumn="0" w:lastRowFirstColumn="0" w:lastRowLastColumn="0"/>
          <w:cantSplit/>
        </w:trPr>
        <w:tc>
          <w:tcPr>
            <w:tcW w:w="1393" w:type="dxa"/>
            <w:vMerge/>
          </w:tcPr>
          <w:p w14:paraId="5DF0CBE0" w14:textId="77777777" w:rsidR="00603C76" w:rsidRDefault="00603C76">
            <w:pPr>
              <w:rPr>
                <w:sz w:val="17"/>
                <w:szCs w:val="17"/>
                <w:lang w:eastAsia="en-AU"/>
              </w:rPr>
            </w:pPr>
          </w:p>
        </w:tc>
        <w:tc>
          <w:tcPr>
            <w:tcW w:w="1735" w:type="dxa"/>
          </w:tcPr>
          <w:p w14:paraId="79CA32D4" w14:textId="6C20815D" w:rsidR="00603C76" w:rsidRDefault="00603C76">
            <w:pPr>
              <w:rPr>
                <w:sz w:val="17"/>
                <w:szCs w:val="17"/>
                <w:lang w:eastAsia="en-AU"/>
              </w:rPr>
            </w:pPr>
            <w:r>
              <w:rPr>
                <w:sz w:val="17"/>
                <w:szCs w:val="17"/>
                <w:lang w:eastAsia="en-AU"/>
              </w:rPr>
              <w:t xml:space="preserve">Qualified costs </w:t>
            </w:r>
          </w:p>
        </w:tc>
        <w:tc>
          <w:tcPr>
            <w:tcW w:w="5944" w:type="dxa"/>
          </w:tcPr>
          <w:p w14:paraId="48166263" w14:textId="1BBD4669" w:rsidR="001C076D" w:rsidRDefault="001C076D" w:rsidP="001C076D">
            <w:pPr>
              <w:pStyle w:val="TableNBullet"/>
              <w:numPr>
                <w:ilvl w:val="0"/>
                <w:numId w:val="0"/>
              </w:numPr>
              <w:spacing w:line="257" w:lineRule="auto"/>
              <w:rPr>
                <w:rFonts w:asciiTheme="majorHAnsi" w:hAnsiTheme="majorHAnsi" w:cstheme="majorHAnsi"/>
              </w:rPr>
            </w:pPr>
            <w:r w:rsidRPr="003203D5">
              <w:rPr>
                <w:rFonts w:asciiTheme="majorHAnsi" w:hAnsiTheme="majorHAnsi" w:cstheme="majorHAnsi"/>
              </w:rPr>
              <w:t xml:space="preserve">Reforming standard-setting (Component 2) </w:t>
            </w:r>
          </w:p>
          <w:p w14:paraId="1516810D" w14:textId="04B5622B" w:rsidR="00C5063E" w:rsidRDefault="00C5063E" w:rsidP="001C076D">
            <w:pPr>
              <w:pStyle w:val="TableNBullet"/>
              <w:numPr>
                <w:ilvl w:val="0"/>
                <w:numId w:val="0"/>
              </w:numPr>
              <w:spacing w:line="257" w:lineRule="auto"/>
              <w:rPr>
                <w:rFonts w:asciiTheme="majorHAnsi" w:hAnsiTheme="majorHAnsi" w:cstheme="majorHAnsi"/>
              </w:rPr>
            </w:pPr>
            <w:r>
              <w:rPr>
                <w:rFonts w:asciiTheme="majorHAnsi" w:hAnsiTheme="majorHAnsi" w:cstheme="majorHAnsi"/>
              </w:rPr>
              <w:t>Australia and New Zealand</w:t>
            </w:r>
          </w:p>
          <w:p w14:paraId="5D0CE2C7" w14:textId="5FC7AB07" w:rsidR="00603C76" w:rsidRPr="00122D52" w:rsidRDefault="00C65526" w:rsidP="007F7722">
            <w:pPr>
              <w:pStyle w:val="TableNBullet"/>
              <w:spacing w:line="259" w:lineRule="auto"/>
            </w:pPr>
            <w:r>
              <w:rPr>
                <w:rFonts w:asciiTheme="minorHAnsi" w:hAnsiTheme="minorHAnsi" w:cstheme="minorHAnsi"/>
              </w:rPr>
              <w:t xml:space="preserve">Introduction </w:t>
            </w:r>
            <w:r w:rsidR="0020646C">
              <w:rPr>
                <w:rFonts w:asciiTheme="minorHAnsi" w:hAnsiTheme="minorHAnsi" w:cstheme="minorHAnsi"/>
              </w:rPr>
              <w:t xml:space="preserve">of </w:t>
            </w:r>
            <w:r>
              <w:rPr>
                <w:rFonts w:asciiTheme="minorHAnsi" w:hAnsiTheme="minorHAnsi" w:cstheme="minorHAnsi"/>
              </w:rPr>
              <w:t>low</w:t>
            </w:r>
            <w:r w:rsidR="00E26183">
              <w:rPr>
                <w:rFonts w:asciiTheme="minorHAnsi" w:hAnsiTheme="minorHAnsi" w:cstheme="minorHAnsi"/>
              </w:rPr>
              <w:t xml:space="preserve">-risk pathways may lead to </w:t>
            </w:r>
            <w:r w:rsidR="007A2634">
              <w:rPr>
                <w:rFonts w:asciiTheme="minorHAnsi" w:hAnsiTheme="minorHAnsi" w:cstheme="minorHAnsi"/>
              </w:rPr>
              <w:t xml:space="preserve">more unsafe foods </w:t>
            </w:r>
            <w:r w:rsidR="00F0739A">
              <w:rPr>
                <w:rFonts w:asciiTheme="minorHAnsi" w:hAnsiTheme="minorHAnsi" w:cstheme="minorHAnsi"/>
              </w:rPr>
              <w:t>entering the market</w:t>
            </w:r>
            <w:r w:rsidR="001F70E1">
              <w:rPr>
                <w:rFonts w:asciiTheme="minorHAnsi" w:hAnsiTheme="minorHAnsi" w:cstheme="minorHAnsi"/>
              </w:rPr>
              <w:t xml:space="preserve">, </w:t>
            </w:r>
            <w:r w:rsidR="002F0142">
              <w:rPr>
                <w:rFonts w:asciiTheme="minorHAnsi" w:hAnsiTheme="minorHAnsi" w:cstheme="minorHAnsi"/>
              </w:rPr>
              <w:t xml:space="preserve">posing to a risk to public health and safety. </w:t>
            </w:r>
          </w:p>
        </w:tc>
      </w:tr>
      <w:tr w:rsidR="00367480" w:rsidRPr="00B06145" w14:paraId="511984F8" w14:textId="77777777" w:rsidTr="00305B59">
        <w:trPr>
          <w:cnfStyle w:val="000000100000" w:firstRow="0" w:lastRow="0" w:firstColumn="0" w:lastColumn="0" w:oddVBand="0" w:evenVBand="0" w:oddHBand="1" w:evenHBand="0" w:firstRowFirstColumn="0" w:firstRowLastColumn="0" w:lastRowFirstColumn="0" w:lastRowLastColumn="0"/>
          <w:cantSplit/>
        </w:trPr>
        <w:tc>
          <w:tcPr>
            <w:tcW w:w="1393" w:type="dxa"/>
            <w:vMerge/>
          </w:tcPr>
          <w:p w14:paraId="7BDD532E" w14:textId="5EBE2AB0" w:rsidR="00367480" w:rsidRDefault="00367480">
            <w:pPr>
              <w:rPr>
                <w:sz w:val="17"/>
                <w:szCs w:val="17"/>
                <w:lang w:eastAsia="en-AU"/>
              </w:rPr>
            </w:pPr>
          </w:p>
        </w:tc>
        <w:tc>
          <w:tcPr>
            <w:tcW w:w="1735" w:type="dxa"/>
          </w:tcPr>
          <w:p w14:paraId="74CCF3A2" w14:textId="24B740B5" w:rsidR="00367480" w:rsidRPr="00B06145" w:rsidRDefault="00812AA9">
            <w:pPr>
              <w:rPr>
                <w:sz w:val="17"/>
                <w:szCs w:val="17"/>
                <w:lang w:eastAsia="en-AU"/>
              </w:rPr>
            </w:pPr>
            <w:r>
              <w:rPr>
                <w:sz w:val="17"/>
                <w:szCs w:val="17"/>
                <w:lang w:eastAsia="en-AU"/>
              </w:rPr>
              <w:t>Quantified b</w:t>
            </w:r>
            <w:r w:rsidR="00444196" w:rsidRPr="00B06145">
              <w:rPr>
                <w:sz w:val="17"/>
                <w:szCs w:val="17"/>
                <w:lang w:eastAsia="en-AU"/>
              </w:rPr>
              <w:t xml:space="preserve">enefits </w:t>
            </w:r>
          </w:p>
        </w:tc>
        <w:tc>
          <w:tcPr>
            <w:tcW w:w="5944" w:type="dxa"/>
          </w:tcPr>
          <w:p w14:paraId="30F058CC" w14:textId="1B49A81F" w:rsidR="00812AA9" w:rsidRDefault="00812AA9" w:rsidP="00812AA9">
            <w:pPr>
              <w:pStyle w:val="TableNBullet"/>
              <w:numPr>
                <w:ilvl w:val="0"/>
                <w:numId w:val="0"/>
              </w:numPr>
              <w:spacing w:line="257" w:lineRule="auto"/>
              <w:rPr>
                <w:rFonts w:asciiTheme="majorHAnsi" w:hAnsiTheme="majorHAnsi" w:cstheme="majorHAnsi"/>
              </w:rPr>
            </w:pPr>
            <w:r w:rsidRPr="003203D5">
              <w:rPr>
                <w:rFonts w:asciiTheme="majorHAnsi" w:hAnsiTheme="majorHAnsi" w:cstheme="majorHAnsi"/>
              </w:rPr>
              <w:t xml:space="preserve">Reforming standard-setting (Component 2) </w:t>
            </w:r>
          </w:p>
          <w:p w14:paraId="5AAF3128" w14:textId="3658227C" w:rsidR="00A6590A" w:rsidRDefault="00A6590A" w:rsidP="00812AA9">
            <w:pPr>
              <w:pStyle w:val="TableNBullet"/>
              <w:numPr>
                <w:ilvl w:val="0"/>
                <w:numId w:val="0"/>
              </w:numPr>
              <w:spacing w:line="257" w:lineRule="auto"/>
              <w:rPr>
                <w:rFonts w:asciiTheme="majorHAnsi" w:hAnsiTheme="majorHAnsi" w:cstheme="majorHAnsi"/>
              </w:rPr>
            </w:pPr>
            <w:r>
              <w:rPr>
                <w:rFonts w:asciiTheme="majorHAnsi" w:hAnsiTheme="majorHAnsi" w:cstheme="majorHAnsi"/>
              </w:rPr>
              <w:t>Australia and New Zealand</w:t>
            </w:r>
          </w:p>
          <w:p w14:paraId="75AB8BA7" w14:textId="4C3DDD66" w:rsidR="00367480" w:rsidRPr="00B06145" w:rsidRDefault="006B77F4">
            <w:pPr>
              <w:pStyle w:val="TableNBullet"/>
              <w:spacing w:line="257" w:lineRule="auto"/>
            </w:pPr>
            <w:r w:rsidRPr="00DD3E5A">
              <w:rPr>
                <w:rFonts w:asciiTheme="minorHAnsi" w:hAnsiTheme="minorHAnsi" w:cstheme="minorHAnsi"/>
              </w:rPr>
              <w:t>As reforming standard-setting enables FSANZ to process more proposals and reviews, the associated public health benefit increases, extrapolating to an additional AUD $</w:t>
            </w:r>
            <w:r w:rsidR="001E3580">
              <w:rPr>
                <w:rFonts w:asciiTheme="minorHAnsi" w:hAnsiTheme="minorHAnsi" w:cstheme="minorHAnsi"/>
              </w:rPr>
              <w:t>10</w:t>
            </w:r>
            <w:r w:rsidR="00AF2F70">
              <w:rPr>
                <w:rFonts w:asciiTheme="minorHAnsi" w:hAnsiTheme="minorHAnsi" w:cstheme="minorHAnsi"/>
              </w:rPr>
              <w:t>.</w:t>
            </w:r>
            <w:r w:rsidR="00F2253E">
              <w:rPr>
                <w:rFonts w:asciiTheme="minorHAnsi" w:hAnsiTheme="minorHAnsi" w:cstheme="minorHAnsi"/>
              </w:rPr>
              <w:t>7</w:t>
            </w:r>
            <w:r w:rsidRPr="00DD3E5A">
              <w:rPr>
                <w:rFonts w:asciiTheme="minorHAnsi" w:hAnsiTheme="minorHAnsi" w:cstheme="minorHAnsi"/>
              </w:rPr>
              <w:t xml:space="preserve"> million (NZD $</w:t>
            </w:r>
            <w:r w:rsidR="00CB1BF7">
              <w:rPr>
                <w:rFonts w:asciiTheme="minorHAnsi" w:hAnsiTheme="minorHAnsi" w:cstheme="minorHAnsi"/>
              </w:rPr>
              <w:t>11.</w:t>
            </w:r>
            <w:r w:rsidR="00FC6573">
              <w:rPr>
                <w:rFonts w:asciiTheme="minorHAnsi" w:hAnsiTheme="minorHAnsi" w:cstheme="minorHAnsi"/>
              </w:rPr>
              <w:t>4</w:t>
            </w:r>
            <w:r w:rsidRPr="00DD3E5A">
              <w:rPr>
                <w:rFonts w:asciiTheme="minorHAnsi" w:hAnsiTheme="minorHAnsi" w:cstheme="minorHAnsi"/>
              </w:rPr>
              <w:t xml:space="preserve"> million) in public health benefits per year. </w:t>
            </w:r>
          </w:p>
        </w:tc>
      </w:tr>
      <w:tr w:rsidR="00444196" w:rsidRPr="00B06145" w14:paraId="021DBA0B" w14:textId="77777777" w:rsidTr="00305B59">
        <w:trPr>
          <w:cnfStyle w:val="000000010000" w:firstRow="0" w:lastRow="0" w:firstColumn="0" w:lastColumn="0" w:oddVBand="0" w:evenVBand="0" w:oddHBand="0" w:evenHBand="1" w:firstRowFirstColumn="0" w:firstRowLastColumn="0" w:lastRowFirstColumn="0" w:lastRowLastColumn="0"/>
          <w:cantSplit/>
        </w:trPr>
        <w:tc>
          <w:tcPr>
            <w:tcW w:w="1393" w:type="dxa"/>
            <w:vMerge/>
          </w:tcPr>
          <w:p w14:paraId="3B0DEF72" w14:textId="77777777" w:rsidR="00444196" w:rsidRDefault="00444196">
            <w:pPr>
              <w:rPr>
                <w:sz w:val="17"/>
                <w:szCs w:val="17"/>
                <w:lang w:eastAsia="en-AU"/>
              </w:rPr>
            </w:pPr>
          </w:p>
        </w:tc>
        <w:tc>
          <w:tcPr>
            <w:tcW w:w="1735" w:type="dxa"/>
          </w:tcPr>
          <w:p w14:paraId="20A7AB8D" w14:textId="524D94DC" w:rsidR="00444196" w:rsidRPr="00B06145" w:rsidRDefault="00812AA9">
            <w:pPr>
              <w:rPr>
                <w:sz w:val="17"/>
                <w:szCs w:val="17"/>
                <w:lang w:eastAsia="en-AU"/>
              </w:rPr>
            </w:pPr>
            <w:r>
              <w:rPr>
                <w:sz w:val="17"/>
                <w:szCs w:val="17"/>
                <w:lang w:eastAsia="en-AU"/>
              </w:rPr>
              <w:t xml:space="preserve">Qualified benefits </w:t>
            </w:r>
          </w:p>
        </w:tc>
        <w:tc>
          <w:tcPr>
            <w:tcW w:w="5944" w:type="dxa"/>
          </w:tcPr>
          <w:p w14:paraId="5E64CB13" w14:textId="26AB1796" w:rsidR="003119F2" w:rsidRDefault="00F41D38"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Purpose and objectives of FSANZ</w:t>
            </w:r>
            <w:r w:rsidRPr="003203D5">
              <w:rPr>
                <w:rFonts w:asciiTheme="majorHAnsi" w:hAnsiTheme="majorHAnsi" w:cstheme="majorHAnsi"/>
              </w:rPr>
              <w:t xml:space="preserve"> (Component </w:t>
            </w:r>
            <w:r>
              <w:rPr>
                <w:rFonts w:asciiTheme="majorHAnsi" w:hAnsiTheme="majorHAnsi" w:cstheme="majorHAnsi"/>
              </w:rPr>
              <w:t>1</w:t>
            </w:r>
            <w:r w:rsidRPr="003203D5">
              <w:rPr>
                <w:rFonts w:asciiTheme="majorHAnsi" w:hAnsiTheme="majorHAnsi" w:cstheme="majorHAnsi"/>
              </w:rPr>
              <w:t xml:space="preserve">) </w:t>
            </w:r>
            <w:r w:rsidR="003119F2">
              <w:rPr>
                <w:rFonts w:asciiTheme="majorHAnsi" w:hAnsiTheme="majorHAnsi" w:cstheme="majorHAnsi"/>
              </w:rPr>
              <w:t>Australia and New Zealand</w:t>
            </w:r>
          </w:p>
          <w:p w14:paraId="03F5AB97" w14:textId="40055224" w:rsidR="00F41D38" w:rsidRPr="00D6445A" w:rsidRDefault="00F41D38" w:rsidP="00F41D38">
            <w:pPr>
              <w:pStyle w:val="TableNBullet"/>
              <w:spacing w:line="257" w:lineRule="auto"/>
              <w:rPr>
                <w:rFonts w:asciiTheme="minorHAnsi" w:hAnsiTheme="minorHAnsi" w:cstheme="minorHAnsi"/>
              </w:rPr>
            </w:pPr>
            <w:r>
              <w:rPr>
                <w:rFonts w:asciiTheme="minorHAnsi" w:hAnsiTheme="minorHAnsi" w:cstheme="minorHAnsi"/>
              </w:rPr>
              <w:t xml:space="preserve">Clarification of the meaning of public health will </w:t>
            </w:r>
            <w:r w:rsidR="004E2D24">
              <w:rPr>
                <w:rFonts w:asciiTheme="minorHAnsi" w:hAnsiTheme="minorHAnsi" w:cstheme="minorHAnsi"/>
              </w:rPr>
              <w:t xml:space="preserve">give FSANZ clear strategic mandate to consider long-term public health </w:t>
            </w:r>
            <w:r w:rsidR="004604BC">
              <w:rPr>
                <w:rFonts w:asciiTheme="minorHAnsi" w:hAnsiTheme="minorHAnsi" w:cstheme="minorHAnsi"/>
              </w:rPr>
              <w:t>and food-related risks</w:t>
            </w:r>
            <w:r w:rsidR="00A32941">
              <w:rPr>
                <w:rFonts w:asciiTheme="minorHAnsi" w:hAnsiTheme="minorHAnsi" w:cstheme="minorHAnsi"/>
              </w:rPr>
              <w:t xml:space="preserve">, enabling these risks to be </w:t>
            </w:r>
            <w:r w:rsidR="00AA0FE7">
              <w:rPr>
                <w:rFonts w:asciiTheme="minorHAnsi" w:hAnsiTheme="minorHAnsi" w:cstheme="minorHAnsi"/>
              </w:rPr>
              <w:t xml:space="preserve">comprehensively managed. </w:t>
            </w:r>
          </w:p>
          <w:p w14:paraId="3CB597F8" w14:textId="0CB4AA9D" w:rsidR="003119F2" w:rsidRDefault="00DE6CEB" w:rsidP="00842FD2">
            <w:pPr>
              <w:pStyle w:val="TableNBullet"/>
              <w:numPr>
                <w:ilvl w:val="0"/>
                <w:numId w:val="0"/>
              </w:numPr>
              <w:spacing w:line="257" w:lineRule="auto"/>
              <w:rPr>
                <w:rFonts w:asciiTheme="majorHAnsi" w:hAnsiTheme="majorHAnsi" w:cstheme="majorHAnsi"/>
              </w:rPr>
            </w:pPr>
            <w:r w:rsidRPr="003203D5">
              <w:rPr>
                <w:rFonts w:asciiTheme="majorHAnsi" w:hAnsiTheme="majorHAnsi" w:cstheme="majorHAnsi"/>
              </w:rPr>
              <w:t xml:space="preserve">Reforming standard-setting (Component </w:t>
            </w:r>
            <w:proofErr w:type="gramStart"/>
            <w:r w:rsidRPr="003203D5">
              <w:rPr>
                <w:rFonts w:asciiTheme="majorHAnsi" w:hAnsiTheme="majorHAnsi" w:cstheme="majorHAnsi"/>
              </w:rPr>
              <w:t>2)</w:t>
            </w:r>
            <w:r w:rsidR="003119F2">
              <w:rPr>
                <w:rFonts w:asciiTheme="majorHAnsi" w:hAnsiTheme="majorHAnsi" w:cstheme="majorHAnsi"/>
              </w:rPr>
              <w:t>Australia</w:t>
            </w:r>
            <w:proofErr w:type="gramEnd"/>
            <w:r w:rsidR="003119F2">
              <w:rPr>
                <w:rFonts w:asciiTheme="majorHAnsi" w:hAnsiTheme="majorHAnsi" w:cstheme="majorHAnsi"/>
              </w:rPr>
              <w:t xml:space="preserve"> and New Zealand</w:t>
            </w:r>
          </w:p>
          <w:p w14:paraId="5B6D1078" w14:textId="4A65FEBB" w:rsidR="00DE6CEB" w:rsidRDefault="009A161B" w:rsidP="00AC50E9">
            <w:pPr>
              <w:pStyle w:val="TableNBullet"/>
              <w:spacing w:line="257" w:lineRule="auto"/>
            </w:pPr>
            <w:r>
              <w:t xml:space="preserve">Streamlined standard-setting processes </w:t>
            </w:r>
            <w:r w:rsidR="00980768">
              <w:t>reduces barriers to entry for businesses</w:t>
            </w:r>
            <w:r w:rsidR="00920EFE">
              <w:t xml:space="preserve">. </w:t>
            </w:r>
            <w:r w:rsidR="0053378F">
              <w:t>More businesses entering the market</w:t>
            </w:r>
            <w:r w:rsidR="00980768">
              <w:t xml:space="preserve"> </w:t>
            </w:r>
            <w:r w:rsidR="0053378F">
              <w:t>improves the</w:t>
            </w:r>
            <w:r w:rsidR="00980768">
              <w:t xml:space="preserve"> </w:t>
            </w:r>
            <w:r w:rsidR="00920EFE">
              <w:t>variety of food products and consumer choice</w:t>
            </w:r>
            <w:r w:rsidR="0053378F">
              <w:t xml:space="preserve"> of foods</w:t>
            </w:r>
            <w:r w:rsidR="00920EFE">
              <w:t xml:space="preserve">. </w:t>
            </w:r>
          </w:p>
        </w:tc>
      </w:tr>
      <w:tr w:rsidR="00367480" w:rsidRPr="00B06145" w14:paraId="62298A9B" w14:textId="77777777" w:rsidTr="00305B59">
        <w:trPr>
          <w:cnfStyle w:val="000000100000" w:firstRow="0" w:lastRow="0" w:firstColumn="0" w:lastColumn="0" w:oddVBand="0" w:evenVBand="0" w:oddHBand="1" w:evenHBand="0" w:firstRowFirstColumn="0" w:firstRowLastColumn="0" w:lastRowFirstColumn="0" w:lastRowLastColumn="0"/>
          <w:cantSplit/>
        </w:trPr>
        <w:tc>
          <w:tcPr>
            <w:tcW w:w="1393" w:type="dxa"/>
            <w:vMerge w:val="restart"/>
          </w:tcPr>
          <w:p w14:paraId="5B0F0F4F" w14:textId="0A0B5D22" w:rsidR="00367480" w:rsidRDefault="00367480">
            <w:pPr>
              <w:rPr>
                <w:sz w:val="17"/>
                <w:szCs w:val="17"/>
                <w:lang w:eastAsia="en-AU"/>
              </w:rPr>
            </w:pPr>
            <w:r>
              <w:rPr>
                <w:sz w:val="17"/>
                <w:szCs w:val="17"/>
                <w:lang w:eastAsia="en-AU"/>
              </w:rPr>
              <w:lastRenderedPageBreak/>
              <w:t>FSANZ</w:t>
            </w:r>
          </w:p>
        </w:tc>
        <w:tc>
          <w:tcPr>
            <w:tcW w:w="1735" w:type="dxa"/>
          </w:tcPr>
          <w:p w14:paraId="6BCB3525" w14:textId="42F970C7" w:rsidR="00367480" w:rsidRPr="00B06145" w:rsidRDefault="004B7279">
            <w:pPr>
              <w:rPr>
                <w:sz w:val="17"/>
                <w:szCs w:val="17"/>
                <w:lang w:eastAsia="en-AU"/>
              </w:rPr>
            </w:pPr>
            <w:r>
              <w:rPr>
                <w:sz w:val="17"/>
                <w:szCs w:val="17"/>
                <w:lang w:eastAsia="en-AU"/>
              </w:rPr>
              <w:t>Quantified</w:t>
            </w:r>
            <w:r w:rsidR="00D95F71">
              <w:rPr>
                <w:sz w:val="17"/>
                <w:szCs w:val="17"/>
                <w:lang w:eastAsia="en-AU"/>
              </w:rPr>
              <w:t xml:space="preserve"> c</w:t>
            </w:r>
            <w:r w:rsidR="00367480" w:rsidRPr="00B06145">
              <w:rPr>
                <w:sz w:val="17"/>
                <w:szCs w:val="17"/>
                <w:lang w:eastAsia="en-AU"/>
              </w:rPr>
              <w:t xml:space="preserve">osts </w:t>
            </w:r>
          </w:p>
        </w:tc>
        <w:tc>
          <w:tcPr>
            <w:tcW w:w="5944" w:type="dxa"/>
          </w:tcPr>
          <w:p w14:paraId="7B342D0C" w14:textId="2D68E100" w:rsidR="001D3F46" w:rsidRPr="00674EE5" w:rsidRDefault="004467EB">
            <w:pPr>
              <w:pStyle w:val="TableNBullet"/>
              <w:spacing w:line="257" w:lineRule="auto"/>
              <w:rPr>
                <w:szCs w:val="17"/>
              </w:rPr>
            </w:pPr>
            <w:r>
              <w:t xml:space="preserve">Changes proposed under all four themes will require greater </w:t>
            </w:r>
            <w:r w:rsidR="00AA1D8D">
              <w:t xml:space="preserve">FSANZ resourcing, </w:t>
            </w:r>
            <w:r w:rsidR="0038108A">
              <w:t>representing an additional AUD $</w:t>
            </w:r>
            <w:r w:rsidR="00F67F9A">
              <w:t>20.5</w:t>
            </w:r>
            <w:r w:rsidR="0038108A">
              <w:t xml:space="preserve"> million (NZD $</w:t>
            </w:r>
            <w:r w:rsidR="00F67F9A">
              <w:t>21.9</w:t>
            </w:r>
            <w:r w:rsidR="00E82CDC">
              <w:t xml:space="preserve"> million) per </w:t>
            </w:r>
            <w:r w:rsidR="002933D0">
              <w:t xml:space="preserve">year. </w:t>
            </w:r>
          </w:p>
          <w:p w14:paraId="6DC2B869" w14:textId="0A0209B4" w:rsidR="00367480" w:rsidRPr="000B1A7A" w:rsidRDefault="00674EE5" w:rsidP="000B1A7A">
            <w:pPr>
              <w:pStyle w:val="TableNBullet"/>
              <w:spacing w:line="257" w:lineRule="auto"/>
              <w:rPr>
                <w:rFonts w:asciiTheme="minorHAnsi" w:hAnsiTheme="minorHAnsi" w:cstheme="minorHAnsi"/>
              </w:rPr>
            </w:pPr>
            <w:r>
              <w:rPr>
                <w:rFonts w:asciiTheme="majorHAnsi" w:hAnsiTheme="majorHAnsi" w:cstheme="majorHAnsi"/>
              </w:rPr>
              <w:t>Efficient and effective operations</w:t>
            </w:r>
            <w:r w:rsidRPr="003203D5">
              <w:rPr>
                <w:rFonts w:asciiTheme="majorHAnsi" w:hAnsiTheme="majorHAnsi" w:cstheme="majorHAnsi"/>
              </w:rPr>
              <w:t xml:space="preserve"> (Component </w:t>
            </w:r>
            <w:r>
              <w:rPr>
                <w:rFonts w:asciiTheme="majorHAnsi" w:hAnsiTheme="majorHAnsi" w:cstheme="majorHAnsi"/>
              </w:rPr>
              <w:t>3</w:t>
            </w:r>
            <w:r w:rsidRPr="003203D5">
              <w:rPr>
                <w:rFonts w:asciiTheme="majorHAnsi" w:hAnsiTheme="majorHAnsi" w:cstheme="majorHAnsi"/>
              </w:rPr>
              <w:t xml:space="preserve">) </w:t>
            </w:r>
            <w:r w:rsidRPr="00D6445A">
              <w:rPr>
                <w:rFonts w:asciiTheme="minorHAnsi" w:hAnsiTheme="minorHAnsi" w:cstheme="minorHAnsi"/>
              </w:rPr>
              <w:t xml:space="preserve">Removal of the </w:t>
            </w:r>
            <w:r>
              <w:rPr>
                <w:rFonts w:asciiTheme="minorHAnsi" w:hAnsiTheme="minorHAnsi" w:cstheme="minorHAnsi"/>
              </w:rPr>
              <w:t xml:space="preserve">expedited pathway would forego an existing source of revenue for FSANZ, representing a loss of $AUD </w:t>
            </w:r>
            <w:r w:rsidR="004622DD">
              <w:rPr>
                <w:rFonts w:asciiTheme="minorHAnsi" w:hAnsiTheme="minorHAnsi" w:cstheme="minorHAnsi"/>
              </w:rPr>
              <w:t>0.9</w:t>
            </w:r>
            <w:r>
              <w:rPr>
                <w:rFonts w:asciiTheme="minorHAnsi" w:hAnsiTheme="minorHAnsi" w:cstheme="minorHAnsi"/>
              </w:rPr>
              <w:t xml:space="preserve"> million (NZD $</w:t>
            </w:r>
            <w:r w:rsidR="00DA1AFE">
              <w:rPr>
                <w:rFonts w:asciiTheme="minorHAnsi" w:hAnsiTheme="minorHAnsi" w:cstheme="minorHAnsi"/>
              </w:rPr>
              <w:t>0.96</w:t>
            </w:r>
            <w:r>
              <w:rPr>
                <w:rFonts w:asciiTheme="minorHAnsi" w:hAnsiTheme="minorHAnsi" w:cstheme="minorHAnsi"/>
              </w:rPr>
              <w:t xml:space="preserve"> million) per year.</w:t>
            </w:r>
          </w:p>
        </w:tc>
      </w:tr>
      <w:tr w:rsidR="004D4F84" w:rsidRPr="00B06145" w14:paraId="7D089CDF" w14:textId="77777777" w:rsidTr="00305B59">
        <w:trPr>
          <w:cnfStyle w:val="000000010000" w:firstRow="0" w:lastRow="0" w:firstColumn="0" w:lastColumn="0" w:oddVBand="0" w:evenVBand="0" w:oddHBand="0" w:evenHBand="1" w:firstRowFirstColumn="0" w:firstRowLastColumn="0" w:lastRowFirstColumn="0" w:lastRowLastColumn="0"/>
          <w:cantSplit/>
        </w:trPr>
        <w:tc>
          <w:tcPr>
            <w:tcW w:w="1393" w:type="dxa"/>
            <w:vMerge/>
          </w:tcPr>
          <w:p w14:paraId="5C9FAE2E" w14:textId="643157BF" w:rsidR="004D4F84" w:rsidRDefault="004D4F84" w:rsidP="00C87D1A">
            <w:pPr>
              <w:rPr>
                <w:sz w:val="17"/>
                <w:szCs w:val="17"/>
                <w:lang w:eastAsia="en-AU"/>
              </w:rPr>
            </w:pPr>
          </w:p>
        </w:tc>
        <w:tc>
          <w:tcPr>
            <w:tcW w:w="1735" w:type="dxa"/>
          </w:tcPr>
          <w:p w14:paraId="74EA0A47" w14:textId="44F03C27" w:rsidR="004D4F84" w:rsidRDefault="004B7279">
            <w:pPr>
              <w:rPr>
                <w:sz w:val="17"/>
                <w:szCs w:val="17"/>
                <w:lang w:eastAsia="en-AU"/>
              </w:rPr>
            </w:pPr>
            <w:r>
              <w:rPr>
                <w:sz w:val="17"/>
                <w:szCs w:val="17"/>
                <w:lang w:eastAsia="en-AU"/>
              </w:rPr>
              <w:t>Qualified</w:t>
            </w:r>
            <w:r w:rsidR="004D4F84">
              <w:rPr>
                <w:sz w:val="17"/>
                <w:szCs w:val="17"/>
                <w:lang w:eastAsia="en-AU"/>
              </w:rPr>
              <w:t xml:space="preserve"> costs </w:t>
            </w:r>
          </w:p>
        </w:tc>
        <w:tc>
          <w:tcPr>
            <w:tcW w:w="5944" w:type="dxa"/>
          </w:tcPr>
          <w:p w14:paraId="51993164" w14:textId="0F64877C" w:rsidR="004D4F84" w:rsidRDefault="00FF0C92" w:rsidP="00B41558">
            <w:pPr>
              <w:pStyle w:val="TableNBullet"/>
              <w:spacing w:line="257" w:lineRule="auto"/>
            </w:pPr>
            <w:r>
              <w:t>NA</w:t>
            </w:r>
          </w:p>
        </w:tc>
      </w:tr>
      <w:tr w:rsidR="004D4F84" w:rsidRPr="00B06145" w14:paraId="770757A7" w14:textId="77777777" w:rsidTr="00305B59">
        <w:trPr>
          <w:cnfStyle w:val="000000100000" w:firstRow="0" w:lastRow="0" w:firstColumn="0" w:lastColumn="0" w:oddVBand="0" w:evenVBand="0" w:oddHBand="1" w:evenHBand="0" w:firstRowFirstColumn="0" w:firstRowLastColumn="0" w:lastRowFirstColumn="0" w:lastRowLastColumn="0"/>
          <w:cantSplit/>
        </w:trPr>
        <w:tc>
          <w:tcPr>
            <w:tcW w:w="1393" w:type="dxa"/>
            <w:vMerge/>
          </w:tcPr>
          <w:p w14:paraId="517D79C0" w14:textId="05872794" w:rsidR="004D4F84" w:rsidRDefault="004D4F84" w:rsidP="00C87D1A">
            <w:pPr>
              <w:rPr>
                <w:sz w:val="17"/>
                <w:szCs w:val="17"/>
                <w:lang w:eastAsia="en-AU"/>
              </w:rPr>
            </w:pPr>
          </w:p>
        </w:tc>
        <w:tc>
          <w:tcPr>
            <w:tcW w:w="1735" w:type="dxa"/>
          </w:tcPr>
          <w:p w14:paraId="55B4993C" w14:textId="2DBBD299" w:rsidR="004D4F84" w:rsidRDefault="004B7279">
            <w:pPr>
              <w:rPr>
                <w:sz w:val="17"/>
                <w:szCs w:val="17"/>
                <w:lang w:eastAsia="en-AU"/>
              </w:rPr>
            </w:pPr>
            <w:r>
              <w:rPr>
                <w:sz w:val="17"/>
                <w:szCs w:val="17"/>
                <w:lang w:eastAsia="en-AU"/>
              </w:rPr>
              <w:t>Quantified</w:t>
            </w:r>
            <w:r w:rsidR="004D4F84">
              <w:rPr>
                <w:sz w:val="17"/>
                <w:szCs w:val="17"/>
                <w:lang w:eastAsia="en-AU"/>
              </w:rPr>
              <w:t xml:space="preserve"> benefits </w:t>
            </w:r>
          </w:p>
        </w:tc>
        <w:tc>
          <w:tcPr>
            <w:tcW w:w="5944" w:type="dxa"/>
          </w:tcPr>
          <w:p w14:paraId="20243F4E" w14:textId="26ACBBF8" w:rsidR="003F1004" w:rsidRDefault="003F1004" w:rsidP="003F1004">
            <w:pPr>
              <w:pStyle w:val="TableNBullet"/>
              <w:numPr>
                <w:ilvl w:val="0"/>
                <w:numId w:val="0"/>
              </w:numPr>
              <w:spacing w:line="257" w:lineRule="auto"/>
              <w:rPr>
                <w:rFonts w:asciiTheme="majorHAnsi" w:hAnsiTheme="majorHAnsi" w:cstheme="majorHAnsi"/>
              </w:rPr>
            </w:pPr>
            <w:r w:rsidRPr="003203D5">
              <w:rPr>
                <w:rFonts w:asciiTheme="majorHAnsi" w:hAnsiTheme="majorHAnsi" w:cstheme="majorHAnsi"/>
              </w:rPr>
              <w:t>Reforming standard-setting (Component 2)</w:t>
            </w:r>
          </w:p>
          <w:p w14:paraId="299D65D5" w14:textId="7D5848BF" w:rsidR="003F1004" w:rsidRPr="00D6445A" w:rsidRDefault="00552AF3" w:rsidP="003F1004">
            <w:pPr>
              <w:pStyle w:val="TableNBullet"/>
              <w:spacing w:line="257" w:lineRule="auto"/>
            </w:pPr>
            <w:r>
              <w:t xml:space="preserve">As </w:t>
            </w:r>
            <w:r w:rsidR="00374D47">
              <w:t>streamlined</w:t>
            </w:r>
            <w:r>
              <w:t xml:space="preserve"> </w:t>
            </w:r>
            <w:r w:rsidR="005945D2">
              <w:t xml:space="preserve">standard-setting processes free up capacity and as </w:t>
            </w:r>
            <w:r>
              <w:t xml:space="preserve">FSANZ is resourced to </w:t>
            </w:r>
            <w:r w:rsidR="0074435E">
              <w:t xml:space="preserve">undertake more reviews of standards, </w:t>
            </w:r>
            <w:r w:rsidR="006E283F">
              <w:t xml:space="preserve">the number of proposals/reviews processed per year is estimated to increase by </w:t>
            </w:r>
            <w:r w:rsidR="008F01A7">
              <w:t xml:space="preserve">eight. </w:t>
            </w:r>
          </w:p>
          <w:p w14:paraId="136FCE03" w14:textId="0EC2858D" w:rsidR="003642FF" w:rsidRPr="00D6445A" w:rsidRDefault="003642FF" w:rsidP="003F1004">
            <w:pPr>
              <w:pStyle w:val="TableNBullet"/>
              <w:spacing w:line="257" w:lineRule="auto"/>
            </w:pPr>
            <w:r>
              <w:t>An increase in FSANZ resourcing to support the development and implementation of all its components will create more sustainable funding arrangements for FSANZ to deliver public health benefits.</w:t>
            </w:r>
          </w:p>
          <w:p w14:paraId="4C5F15E2" w14:textId="2784D6AB" w:rsidR="002933D0" w:rsidRDefault="002933D0"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Efficient and effective operations</w:t>
            </w:r>
            <w:r w:rsidRPr="003203D5">
              <w:rPr>
                <w:rFonts w:asciiTheme="majorHAnsi" w:hAnsiTheme="majorHAnsi" w:cstheme="majorHAnsi"/>
              </w:rPr>
              <w:t xml:space="preserve"> (Component </w:t>
            </w:r>
            <w:r>
              <w:rPr>
                <w:rFonts w:asciiTheme="majorHAnsi" w:hAnsiTheme="majorHAnsi" w:cstheme="majorHAnsi"/>
              </w:rPr>
              <w:t>3</w:t>
            </w:r>
            <w:r w:rsidRPr="003203D5">
              <w:rPr>
                <w:rFonts w:asciiTheme="majorHAnsi" w:hAnsiTheme="majorHAnsi" w:cstheme="majorHAnsi"/>
              </w:rPr>
              <w:t xml:space="preserve">) </w:t>
            </w:r>
          </w:p>
          <w:p w14:paraId="3561DAED" w14:textId="77777777" w:rsidR="004D4F84" w:rsidRPr="009F39F1" w:rsidRDefault="002933D0" w:rsidP="0011241B">
            <w:pPr>
              <w:pStyle w:val="TableNBullet"/>
              <w:spacing w:line="257" w:lineRule="auto"/>
            </w:pPr>
            <w:r w:rsidRPr="007F7722">
              <w:rPr>
                <w:rFonts w:asciiTheme="minorHAnsi" w:hAnsiTheme="minorHAnsi" w:cstheme="minorHAnsi"/>
              </w:rPr>
              <w:t xml:space="preserve">FSANZ </w:t>
            </w:r>
            <w:r>
              <w:rPr>
                <w:rFonts w:asciiTheme="minorHAnsi" w:hAnsiTheme="minorHAnsi" w:cstheme="minorHAnsi"/>
              </w:rPr>
              <w:t>will be able to leverage its new cost recovery channels to fund some of its own operations</w:t>
            </w:r>
            <w:r w:rsidR="00C634B0">
              <w:rPr>
                <w:rFonts w:asciiTheme="minorHAnsi" w:hAnsiTheme="minorHAnsi" w:cstheme="minorHAnsi"/>
              </w:rPr>
              <w:t xml:space="preserve">. Combined cost recovery across industry and </w:t>
            </w:r>
            <w:r w:rsidR="00D31B81">
              <w:rPr>
                <w:rFonts w:asciiTheme="minorHAnsi" w:hAnsiTheme="minorHAnsi" w:cstheme="minorHAnsi"/>
              </w:rPr>
              <w:t>jurisdictions is estimated t</w:t>
            </w:r>
            <w:r w:rsidR="001E7603">
              <w:rPr>
                <w:rFonts w:asciiTheme="minorHAnsi" w:hAnsiTheme="minorHAnsi" w:cstheme="minorHAnsi"/>
              </w:rPr>
              <w:t>o recover AUD $1</w:t>
            </w:r>
            <w:r w:rsidR="009001BE">
              <w:rPr>
                <w:rFonts w:asciiTheme="minorHAnsi" w:hAnsiTheme="minorHAnsi" w:cstheme="minorHAnsi"/>
              </w:rPr>
              <w:t>7.8</w:t>
            </w:r>
            <w:r w:rsidR="001E7603">
              <w:rPr>
                <w:rFonts w:asciiTheme="minorHAnsi" w:hAnsiTheme="minorHAnsi" w:cstheme="minorHAnsi"/>
              </w:rPr>
              <w:t xml:space="preserve"> million (NZD $19.</w:t>
            </w:r>
            <w:r w:rsidR="009F39F1">
              <w:rPr>
                <w:rFonts w:asciiTheme="minorHAnsi" w:hAnsiTheme="minorHAnsi" w:cstheme="minorHAnsi"/>
              </w:rPr>
              <w:t>0</w:t>
            </w:r>
            <w:r w:rsidR="001E7603">
              <w:rPr>
                <w:rFonts w:asciiTheme="minorHAnsi" w:hAnsiTheme="minorHAnsi" w:cstheme="minorHAnsi"/>
              </w:rPr>
              <w:t xml:space="preserve"> million) per year. </w:t>
            </w:r>
          </w:p>
          <w:p w14:paraId="0C676E83" w14:textId="760E2B56" w:rsidR="004D4F84" w:rsidRDefault="009F39F1" w:rsidP="0011241B">
            <w:pPr>
              <w:pStyle w:val="TableNBullet"/>
              <w:spacing w:line="257" w:lineRule="auto"/>
            </w:pPr>
            <w:r>
              <w:t>FSANZ will receive AUD $2.7 million (NZD $</w:t>
            </w:r>
            <w:r w:rsidR="00236180">
              <w:t xml:space="preserve">2.9 million) </w:t>
            </w:r>
            <w:r>
              <w:t>in additional funding from the Australian and New Zealand</w:t>
            </w:r>
            <w:r w:rsidR="00236180">
              <w:t xml:space="preserve"> Governments, </w:t>
            </w:r>
            <w:r w:rsidR="00642862">
              <w:t xml:space="preserve">bringing total appropriations up to AUD $22.2 million (NZD $23.8 million). </w:t>
            </w:r>
          </w:p>
        </w:tc>
      </w:tr>
      <w:tr w:rsidR="00367480" w:rsidRPr="00B06145" w14:paraId="34352C98" w14:textId="77777777" w:rsidTr="00305B59">
        <w:trPr>
          <w:cnfStyle w:val="000000010000" w:firstRow="0" w:lastRow="0" w:firstColumn="0" w:lastColumn="0" w:oddVBand="0" w:evenVBand="0" w:oddHBand="0" w:evenHBand="1" w:firstRowFirstColumn="0" w:firstRowLastColumn="0" w:lastRowFirstColumn="0" w:lastRowLastColumn="0"/>
          <w:cantSplit/>
        </w:trPr>
        <w:tc>
          <w:tcPr>
            <w:tcW w:w="1393" w:type="dxa"/>
            <w:vMerge/>
          </w:tcPr>
          <w:p w14:paraId="6EB73CE3" w14:textId="30273C60" w:rsidR="00367480" w:rsidRDefault="00367480">
            <w:pPr>
              <w:rPr>
                <w:sz w:val="17"/>
                <w:szCs w:val="17"/>
                <w:lang w:eastAsia="en-AU"/>
              </w:rPr>
            </w:pPr>
          </w:p>
        </w:tc>
        <w:tc>
          <w:tcPr>
            <w:tcW w:w="1735" w:type="dxa"/>
          </w:tcPr>
          <w:p w14:paraId="06A7D5D7" w14:textId="42944DC0" w:rsidR="00367480" w:rsidRPr="00B06145" w:rsidRDefault="00892113">
            <w:pPr>
              <w:rPr>
                <w:sz w:val="17"/>
                <w:szCs w:val="17"/>
                <w:lang w:eastAsia="en-AU"/>
              </w:rPr>
            </w:pPr>
            <w:r>
              <w:rPr>
                <w:sz w:val="17"/>
                <w:szCs w:val="17"/>
                <w:lang w:eastAsia="en-AU"/>
              </w:rPr>
              <w:t>Qualified</w:t>
            </w:r>
            <w:r w:rsidR="004D4F84">
              <w:rPr>
                <w:sz w:val="17"/>
                <w:szCs w:val="17"/>
                <w:lang w:eastAsia="en-AU"/>
              </w:rPr>
              <w:t xml:space="preserve"> benefits </w:t>
            </w:r>
            <w:r w:rsidR="004D4F84" w:rsidRPr="00B06145">
              <w:rPr>
                <w:sz w:val="17"/>
                <w:szCs w:val="17"/>
                <w:lang w:eastAsia="en-AU"/>
              </w:rPr>
              <w:t xml:space="preserve"> </w:t>
            </w:r>
          </w:p>
        </w:tc>
        <w:tc>
          <w:tcPr>
            <w:tcW w:w="5944" w:type="dxa"/>
          </w:tcPr>
          <w:p w14:paraId="48CE125F" w14:textId="30C9D9BF" w:rsidR="007F6484" w:rsidRDefault="007F6484" w:rsidP="007F7722">
            <w:pPr>
              <w:pStyle w:val="TableNBullet"/>
              <w:numPr>
                <w:ilvl w:val="0"/>
                <w:numId w:val="0"/>
              </w:numPr>
              <w:spacing w:line="257" w:lineRule="auto"/>
              <w:rPr>
                <w:rFonts w:asciiTheme="majorHAnsi" w:hAnsiTheme="majorHAnsi" w:cstheme="majorHAnsi"/>
              </w:rPr>
            </w:pPr>
            <w:r>
              <w:rPr>
                <w:rFonts w:asciiTheme="majorHAnsi" w:hAnsiTheme="majorHAnsi" w:cstheme="majorHAnsi"/>
              </w:rPr>
              <w:t>Efficient and effective operations</w:t>
            </w:r>
            <w:r w:rsidRPr="003203D5">
              <w:rPr>
                <w:rFonts w:asciiTheme="majorHAnsi" w:hAnsiTheme="majorHAnsi" w:cstheme="majorHAnsi"/>
              </w:rPr>
              <w:t xml:space="preserve"> (</w:t>
            </w:r>
            <w:r w:rsidR="00DA446B">
              <w:rPr>
                <w:rFonts w:asciiTheme="majorHAnsi" w:hAnsiTheme="majorHAnsi" w:cstheme="majorHAnsi"/>
              </w:rPr>
              <w:t>C</w:t>
            </w:r>
            <w:r w:rsidRPr="003203D5">
              <w:rPr>
                <w:rFonts w:asciiTheme="majorHAnsi" w:hAnsiTheme="majorHAnsi" w:cstheme="majorHAnsi"/>
              </w:rPr>
              <w:t xml:space="preserve">omponent </w:t>
            </w:r>
            <w:r>
              <w:rPr>
                <w:rFonts w:asciiTheme="majorHAnsi" w:hAnsiTheme="majorHAnsi" w:cstheme="majorHAnsi"/>
              </w:rPr>
              <w:t>3</w:t>
            </w:r>
            <w:r w:rsidRPr="003203D5">
              <w:rPr>
                <w:rFonts w:asciiTheme="majorHAnsi" w:hAnsiTheme="majorHAnsi" w:cstheme="majorHAnsi"/>
              </w:rPr>
              <w:t xml:space="preserve">) </w:t>
            </w:r>
          </w:p>
          <w:p w14:paraId="24A39D35" w14:textId="276E98D4" w:rsidR="007F6484" w:rsidRPr="00D6445A" w:rsidRDefault="00DF17A9" w:rsidP="007F6484">
            <w:pPr>
              <w:pStyle w:val="TableNBullet"/>
              <w:spacing w:line="257" w:lineRule="auto"/>
              <w:rPr>
                <w:rFonts w:asciiTheme="minorHAnsi" w:hAnsiTheme="minorHAnsi" w:cstheme="minorHAnsi"/>
              </w:rPr>
            </w:pPr>
            <w:r>
              <w:rPr>
                <w:rFonts w:asciiTheme="minorHAnsi" w:hAnsiTheme="minorHAnsi" w:cstheme="minorHAnsi"/>
              </w:rPr>
              <w:t xml:space="preserve">The </w:t>
            </w:r>
            <w:r w:rsidR="00A31D9D">
              <w:rPr>
                <w:rFonts w:asciiTheme="minorHAnsi" w:hAnsiTheme="minorHAnsi" w:cstheme="minorHAnsi"/>
              </w:rPr>
              <w:t xml:space="preserve">FSANZ board </w:t>
            </w:r>
            <w:r w:rsidR="00A558F6">
              <w:rPr>
                <w:rFonts w:asciiTheme="minorHAnsi" w:hAnsiTheme="minorHAnsi" w:cstheme="minorHAnsi"/>
              </w:rPr>
              <w:t xml:space="preserve">would be sourced from </w:t>
            </w:r>
            <w:r w:rsidR="00777929">
              <w:rPr>
                <w:rFonts w:asciiTheme="minorHAnsi" w:hAnsiTheme="minorHAnsi" w:cstheme="minorHAnsi"/>
              </w:rPr>
              <w:t xml:space="preserve">broader set of </w:t>
            </w:r>
            <w:r w:rsidR="00966931">
              <w:rPr>
                <w:rFonts w:asciiTheme="minorHAnsi" w:hAnsiTheme="minorHAnsi" w:cstheme="minorHAnsi"/>
              </w:rPr>
              <w:t xml:space="preserve">nominees and assessed against </w:t>
            </w:r>
            <w:r w:rsidR="0088060C">
              <w:rPr>
                <w:rFonts w:asciiTheme="minorHAnsi" w:hAnsiTheme="minorHAnsi" w:cstheme="minorHAnsi"/>
              </w:rPr>
              <w:t xml:space="preserve">a </w:t>
            </w:r>
            <w:r w:rsidR="001608D8">
              <w:rPr>
                <w:rFonts w:asciiTheme="minorHAnsi" w:hAnsiTheme="minorHAnsi" w:cstheme="minorHAnsi"/>
              </w:rPr>
              <w:t>larger</w:t>
            </w:r>
            <w:r w:rsidR="0088060C">
              <w:rPr>
                <w:rFonts w:asciiTheme="minorHAnsi" w:hAnsiTheme="minorHAnsi" w:cstheme="minorHAnsi"/>
              </w:rPr>
              <w:t xml:space="preserve"> skill set which supports good governance, improving the </w:t>
            </w:r>
            <w:r w:rsidR="001608D8">
              <w:rPr>
                <w:rFonts w:asciiTheme="minorHAnsi" w:hAnsiTheme="minorHAnsi" w:cstheme="minorHAnsi"/>
              </w:rPr>
              <w:t xml:space="preserve">capability of the board in directing FSANZ and </w:t>
            </w:r>
            <w:r w:rsidR="00407025">
              <w:rPr>
                <w:rFonts w:asciiTheme="minorHAnsi" w:hAnsiTheme="minorHAnsi" w:cstheme="minorHAnsi"/>
              </w:rPr>
              <w:t xml:space="preserve">responding to </w:t>
            </w:r>
            <w:r w:rsidR="00BD699F">
              <w:rPr>
                <w:rFonts w:asciiTheme="minorHAnsi" w:hAnsiTheme="minorHAnsi" w:cstheme="minorHAnsi"/>
              </w:rPr>
              <w:t>emerging food-related challenges.</w:t>
            </w:r>
            <w:r w:rsidR="001608D8">
              <w:rPr>
                <w:rFonts w:asciiTheme="minorHAnsi" w:hAnsiTheme="minorHAnsi" w:cstheme="minorHAnsi"/>
              </w:rPr>
              <w:t xml:space="preserve"> </w:t>
            </w:r>
          </w:p>
          <w:p w14:paraId="6FC358DE" w14:textId="190512D0" w:rsidR="00367480" w:rsidRPr="00B06145" w:rsidRDefault="00BB5ED2">
            <w:pPr>
              <w:pStyle w:val="TableNBullet"/>
              <w:spacing w:line="257" w:lineRule="auto"/>
            </w:pPr>
            <w:r>
              <w:t>More collaboration and information sharing with jurisdictiona</w:t>
            </w:r>
            <w:r w:rsidR="00AD3581">
              <w:t xml:space="preserve">l enforcement agencies and international partners will </w:t>
            </w:r>
            <w:r w:rsidR="00CE04BE">
              <w:t xml:space="preserve">help reduce </w:t>
            </w:r>
            <w:r w:rsidR="00C55FBA">
              <w:t xml:space="preserve">duplication and improve </w:t>
            </w:r>
            <w:r w:rsidR="00E61A9C">
              <w:t xml:space="preserve">scientific expertise </w:t>
            </w:r>
            <w:r w:rsidR="00B72ACA">
              <w:t xml:space="preserve">shared with FSANZ from stakeholders across the food regulatory system. </w:t>
            </w:r>
            <w:r w:rsidR="005129C3">
              <w:t xml:space="preserve"> </w:t>
            </w:r>
          </w:p>
        </w:tc>
      </w:tr>
    </w:tbl>
    <w:p w14:paraId="5CE6CB57" w14:textId="437E67AD" w:rsidR="00923BE4" w:rsidRDefault="00923BE4" w:rsidP="00923BE4">
      <w:pPr>
        <w:pStyle w:val="Caption"/>
      </w:pPr>
      <w:bookmarkStart w:id="75" w:name="_Ref141992674"/>
      <w:r>
        <w:t xml:space="preserve">Table </w:t>
      </w:r>
      <w:r>
        <w:fldChar w:fldCharType="begin"/>
      </w:r>
      <w:r>
        <w:instrText xml:space="preserve"> SEQ Table \* ARABIC </w:instrText>
      </w:r>
      <w:r>
        <w:fldChar w:fldCharType="separate"/>
      </w:r>
      <w:r w:rsidR="003F7B92">
        <w:rPr>
          <w:noProof/>
        </w:rPr>
        <w:t>16</w:t>
      </w:r>
      <w:r>
        <w:fldChar w:fldCharType="end"/>
      </w:r>
      <w:bookmarkEnd w:id="75"/>
      <w:r>
        <w:t xml:space="preserve"> | Distribution of </w:t>
      </w:r>
      <w:r w:rsidR="000D5EC4">
        <w:t xml:space="preserve">quantified </w:t>
      </w:r>
      <w:r w:rsidR="008F007B">
        <w:t>present value</w:t>
      </w:r>
      <w:r w:rsidR="00AF2A63">
        <w:t xml:space="preserve"> </w:t>
      </w:r>
      <w:r>
        <w:t xml:space="preserve">costs and benefits for Option 2 </w:t>
      </w:r>
      <w:r w:rsidR="00942085">
        <w:t xml:space="preserve">(AUD $m) </w:t>
      </w:r>
      <w:r>
        <w:t xml:space="preserve">over </w:t>
      </w:r>
      <w:r w:rsidR="000B00D6">
        <w:t>ten</w:t>
      </w:r>
      <w:r>
        <w:t xml:space="preserve"> years </w:t>
      </w:r>
    </w:p>
    <w:tbl>
      <w:tblPr>
        <w:tblStyle w:val="TableGrid"/>
        <w:tblW w:w="8930" w:type="dxa"/>
        <w:tblLook w:val="04A0" w:firstRow="1" w:lastRow="0" w:firstColumn="1" w:lastColumn="0" w:noHBand="0" w:noVBand="1"/>
      </w:tblPr>
      <w:tblGrid>
        <w:gridCol w:w="1864"/>
        <w:gridCol w:w="1387"/>
        <w:gridCol w:w="1560"/>
        <w:gridCol w:w="1553"/>
        <w:gridCol w:w="1387"/>
        <w:gridCol w:w="1179"/>
      </w:tblGrid>
      <w:tr w:rsidR="001502F6" w14:paraId="7568093F" w14:textId="77777777">
        <w:trPr>
          <w:cnfStyle w:val="100000000000" w:firstRow="1" w:lastRow="0" w:firstColumn="0" w:lastColumn="0" w:oddVBand="0" w:evenVBand="0" w:oddHBand="0" w:evenHBand="0" w:firstRowFirstColumn="0" w:firstRowLastColumn="0" w:lastRowFirstColumn="0" w:lastRowLastColumn="0"/>
        </w:trPr>
        <w:tc>
          <w:tcPr>
            <w:tcW w:w="1864" w:type="dxa"/>
          </w:tcPr>
          <w:p w14:paraId="1D13BCBF" w14:textId="77777777" w:rsidR="00923BE4" w:rsidRDefault="00923BE4" w:rsidP="001709BA">
            <w:pPr>
              <w:pStyle w:val="TableNheader"/>
            </w:pPr>
          </w:p>
        </w:tc>
        <w:tc>
          <w:tcPr>
            <w:tcW w:w="1387" w:type="dxa"/>
          </w:tcPr>
          <w:p w14:paraId="193CB3B2" w14:textId="77777777" w:rsidR="00923BE4" w:rsidRPr="00277CAF" w:rsidRDefault="00923BE4" w:rsidP="001709BA">
            <w:pPr>
              <w:pStyle w:val="TableNheader"/>
              <w:rPr>
                <w:rFonts w:asciiTheme="majorHAnsi" w:hAnsiTheme="majorHAnsi" w:cstheme="majorHAnsi"/>
              </w:rPr>
            </w:pPr>
            <w:r w:rsidRPr="00277CAF">
              <w:rPr>
                <w:rFonts w:asciiTheme="majorHAnsi" w:hAnsiTheme="majorHAnsi" w:cstheme="majorHAnsi"/>
              </w:rPr>
              <w:t>FSANZ</w:t>
            </w:r>
          </w:p>
        </w:tc>
        <w:tc>
          <w:tcPr>
            <w:tcW w:w="1560" w:type="dxa"/>
          </w:tcPr>
          <w:p w14:paraId="48C67201" w14:textId="77777777" w:rsidR="00923BE4" w:rsidRPr="00277CAF" w:rsidRDefault="00923BE4" w:rsidP="001709BA">
            <w:pPr>
              <w:pStyle w:val="TableNheader"/>
              <w:rPr>
                <w:rFonts w:asciiTheme="majorHAnsi" w:hAnsiTheme="majorHAnsi" w:cstheme="majorHAnsi"/>
              </w:rPr>
            </w:pPr>
            <w:r w:rsidRPr="00277CAF">
              <w:rPr>
                <w:rFonts w:asciiTheme="majorHAnsi" w:hAnsiTheme="majorHAnsi" w:cstheme="majorHAnsi"/>
              </w:rPr>
              <w:t>Other government entities</w:t>
            </w:r>
          </w:p>
        </w:tc>
        <w:tc>
          <w:tcPr>
            <w:tcW w:w="1553" w:type="dxa"/>
          </w:tcPr>
          <w:p w14:paraId="00106F00" w14:textId="77777777" w:rsidR="00923BE4" w:rsidRPr="00277CAF" w:rsidRDefault="00923BE4" w:rsidP="001709BA">
            <w:pPr>
              <w:pStyle w:val="TableNheader"/>
              <w:rPr>
                <w:rFonts w:asciiTheme="majorHAnsi" w:hAnsiTheme="majorHAnsi" w:cstheme="majorHAnsi"/>
              </w:rPr>
            </w:pPr>
            <w:r w:rsidRPr="00277CAF">
              <w:rPr>
                <w:rFonts w:asciiTheme="majorHAnsi" w:hAnsiTheme="majorHAnsi" w:cstheme="majorHAnsi"/>
              </w:rPr>
              <w:t>Industry</w:t>
            </w:r>
          </w:p>
        </w:tc>
        <w:tc>
          <w:tcPr>
            <w:tcW w:w="1387" w:type="dxa"/>
          </w:tcPr>
          <w:p w14:paraId="117F164A" w14:textId="77777777" w:rsidR="00923BE4" w:rsidRPr="00277CAF" w:rsidRDefault="00923BE4" w:rsidP="001709BA">
            <w:pPr>
              <w:pStyle w:val="TableNheader"/>
              <w:rPr>
                <w:rFonts w:asciiTheme="majorHAnsi" w:hAnsiTheme="majorHAnsi" w:cstheme="majorHAnsi"/>
              </w:rPr>
            </w:pPr>
            <w:r w:rsidRPr="00277CAF">
              <w:rPr>
                <w:rFonts w:asciiTheme="majorHAnsi" w:hAnsiTheme="majorHAnsi" w:cstheme="majorHAnsi"/>
              </w:rPr>
              <w:t>Consumers</w:t>
            </w:r>
          </w:p>
        </w:tc>
        <w:tc>
          <w:tcPr>
            <w:tcW w:w="1179" w:type="dxa"/>
          </w:tcPr>
          <w:p w14:paraId="5386CCB4" w14:textId="77777777" w:rsidR="00923BE4" w:rsidRPr="00277CAF" w:rsidRDefault="00923BE4" w:rsidP="001709BA">
            <w:pPr>
              <w:pStyle w:val="TableNheader"/>
              <w:rPr>
                <w:rFonts w:asciiTheme="majorHAnsi" w:hAnsiTheme="majorHAnsi" w:cstheme="majorHAnsi"/>
              </w:rPr>
            </w:pPr>
            <w:r w:rsidRPr="00277CAF">
              <w:rPr>
                <w:rFonts w:asciiTheme="majorHAnsi" w:hAnsiTheme="majorHAnsi" w:cstheme="majorHAnsi"/>
              </w:rPr>
              <w:t>Total</w:t>
            </w:r>
          </w:p>
        </w:tc>
      </w:tr>
      <w:tr w:rsidR="0028346E" w14:paraId="37A681E7" w14:textId="77777777" w:rsidTr="00134136">
        <w:trPr>
          <w:cnfStyle w:val="000000100000" w:firstRow="0" w:lastRow="0" w:firstColumn="0" w:lastColumn="0" w:oddVBand="0" w:evenVBand="0" w:oddHBand="1" w:evenHBand="0" w:firstRowFirstColumn="0" w:firstRowLastColumn="0" w:lastRowFirstColumn="0" w:lastRowLastColumn="0"/>
        </w:trPr>
        <w:tc>
          <w:tcPr>
            <w:tcW w:w="1864" w:type="dxa"/>
          </w:tcPr>
          <w:p w14:paraId="3337A72E" w14:textId="4E619EEE" w:rsidR="0028346E" w:rsidRPr="00F35393" w:rsidRDefault="0028346E" w:rsidP="0028346E">
            <w:pPr>
              <w:pStyle w:val="TableNText"/>
              <w:rPr>
                <w:sz w:val="19"/>
                <w:szCs w:val="19"/>
              </w:rPr>
            </w:pPr>
            <w:r>
              <w:rPr>
                <w:sz w:val="19"/>
                <w:szCs w:val="19"/>
              </w:rPr>
              <w:t>Present c</w:t>
            </w:r>
            <w:r w:rsidRPr="00F35393">
              <w:rPr>
                <w:sz w:val="19"/>
                <w:szCs w:val="19"/>
              </w:rPr>
              <w:t>osts</w:t>
            </w:r>
          </w:p>
        </w:tc>
        <w:tc>
          <w:tcPr>
            <w:tcW w:w="1387" w:type="dxa"/>
          </w:tcPr>
          <w:p w14:paraId="79155BC3" w14:textId="36814206" w:rsidR="0028346E" w:rsidRPr="0028346E" w:rsidRDefault="00F44811" w:rsidP="0028346E">
            <w:pPr>
              <w:pStyle w:val="TableNText"/>
              <w:rPr>
                <w:sz w:val="19"/>
                <w:szCs w:val="19"/>
              </w:rPr>
            </w:pPr>
            <w:r>
              <w:rPr>
                <w:sz w:val="19"/>
                <w:szCs w:val="19"/>
              </w:rPr>
              <w:t>166.8</w:t>
            </w:r>
          </w:p>
        </w:tc>
        <w:tc>
          <w:tcPr>
            <w:tcW w:w="1560" w:type="dxa"/>
          </w:tcPr>
          <w:p w14:paraId="436E2FB1" w14:textId="59BB558F" w:rsidR="0028346E" w:rsidRPr="0028346E" w:rsidRDefault="00F44811" w:rsidP="0028346E">
            <w:pPr>
              <w:pStyle w:val="TableNText"/>
              <w:rPr>
                <w:sz w:val="19"/>
                <w:szCs w:val="19"/>
              </w:rPr>
            </w:pPr>
            <w:r>
              <w:rPr>
                <w:sz w:val="19"/>
                <w:szCs w:val="19"/>
              </w:rPr>
              <w:t>58.6</w:t>
            </w:r>
          </w:p>
        </w:tc>
        <w:tc>
          <w:tcPr>
            <w:tcW w:w="1553" w:type="dxa"/>
          </w:tcPr>
          <w:p w14:paraId="752869D9" w14:textId="2734A0EB" w:rsidR="0028346E" w:rsidRPr="0028346E" w:rsidRDefault="00F44811" w:rsidP="0028346E">
            <w:pPr>
              <w:pStyle w:val="TableNText"/>
              <w:rPr>
                <w:sz w:val="19"/>
                <w:szCs w:val="19"/>
              </w:rPr>
            </w:pPr>
            <w:r>
              <w:rPr>
                <w:sz w:val="19"/>
                <w:szCs w:val="19"/>
              </w:rPr>
              <w:t>29.2</w:t>
            </w:r>
          </w:p>
        </w:tc>
        <w:tc>
          <w:tcPr>
            <w:tcW w:w="1387" w:type="dxa"/>
          </w:tcPr>
          <w:p w14:paraId="2A718DCA" w14:textId="367FC860" w:rsidR="0028346E" w:rsidRPr="0028346E" w:rsidRDefault="00F44811" w:rsidP="0028346E">
            <w:pPr>
              <w:pStyle w:val="TableNText"/>
              <w:rPr>
                <w:sz w:val="19"/>
                <w:szCs w:val="19"/>
              </w:rPr>
            </w:pPr>
            <w:r>
              <w:rPr>
                <w:sz w:val="19"/>
                <w:szCs w:val="19"/>
              </w:rPr>
              <w:t>75.2</w:t>
            </w:r>
          </w:p>
        </w:tc>
        <w:tc>
          <w:tcPr>
            <w:tcW w:w="1179" w:type="dxa"/>
          </w:tcPr>
          <w:p w14:paraId="61593DD8" w14:textId="1C6465F0" w:rsidR="0028346E" w:rsidRPr="0028346E" w:rsidRDefault="00F44811" w:rsidP="0028346E">
            <w:pPr>
              <w:pStyle w:val="TableNText"/>
              <w:rPr>
                <w:sz w:val="19"/>
                <w:szCs w:val="19"/>
              </w:rPr>
            </w:pPr>
            <w:r>
              <w:rPr>
                <w:sz w:val="19"/>
                <w:szCs w:val="19"/>
              </w:rPr>
              <w:t>329.8</w:t>
            </w:r>
          </w:p>
        </w:tc>
      </w:tr>
      <w:tr w:rsidR="0028346E" w14:paraId="79501316" w14:textId="77777777" w:rsidTr="00134136">
        <w:trPr>
          <w:cnfStyle w:val="000000010000" w:firstRow="0" w:lastRow="0" w:firstColumn="0" w:lastColumn="0" w:oddVBand="0" w:evenVBand="0" w:oddHBand="0" w:evenHBand="1" w:firstRowFirstColumn="0" w:firstRowLastColumn="0" w:lastRowFirstColumn="0" w:lastRowLastColumn="0"/>
        </w:trPr>
        <w:tc>
          <w:tcPr>
            <w:tcW w:w="1864" w:type="dxa"/>
          </w:tcPr>
          <w:p w14:paraId="09D24D1E" w14:textId="07F73E77" w:rsidR="0028346E" w:rsidRPr="00F35393" w:rsidRDefault="0028346E" w:rsidP="0028346E">
            <w:pPr>
              <w:pStyle w:val="TableNText"/>
              <w:rPr>
                <w:sz w:val="19"/>
                <w:szCs w:val="19"/>
              </w:rPr>
            </w:pPr>
            <w:r>
              <w:rPr>
                <w:sz w:val="19"/>
                <w:szCs w:val="19"/>
              </w:rPr>
              <w:t>Present b</w:t>
            </w:r>
            <w:r w:rsidRPr="00F35393">
              <w:rPr>
                <w:sz w:val="19"/>
                <w:szCs w:val="19"/>
              </w:rPr>
              <w:t>enefits</w:t>
            </w:r>
          </w:p>
        </w:tc>
        <w:tc>
          <w:tcPr>
            <w:tcW w:w="1387" w:type="dxa"/>
          </w:tcPr>
          <w:p w14:paraId="63E53556" w14:textId="6CA11A9F" w:rsidR="0028346E" w:rsidRPr="0028346E" w:rsidRDefault="00F44811" w:rsidP="0028346E">
            <w:pPr>
              <w:pStyle w:val="TableNText"/>
              <w:rPr>
                <w:sz w:val="19"/>
                <w:szCs w:val="19"/>
              </w:rPr>
            </w:pPr>
            <w:r>
              <w:rPr>
                <w:sz w:val="19"/>
                <w:szCs w:val="19"/>
              </w:rPr>
              <w:t>133.8</w:t>
            </w:r>
          </w:p>
        </w:tc>
        <w:tc>
          <w:tcPr>
            <w:tcW w:w="1560" w:type="dxa"/>
          </w:tcPr>
          <w:p w14:paraId="6B3C2258" w14:textId="77777777" w:rsidR="0028346E" w:rsidRPr="0028346E" w:rsidRDefault="0028346E" w:rsidP="0028346E">
            <w:pPr>
              <w:pStyle w:val="TableNText"/>
              <w:rPr>
                <w:sz w:val="19"/>
                <w:szCs w:val="19"/>
              </w:rPr>
            </w:pPr>
            <w:r w:rsidRPr="0028346E">
              <w:rPr>
                <w:rFonts w:cs="Segoe UI"/>
                <w:color w:val="000000"/>
                <w:sz w:val="19"/>
                <w:szCs w:val="19"/>
              </w:rPr>
              <w:t>-</w:t>
            </w:r>
          </w:p>
        </w:tc>
        <w:tc>
          <w:tcPr>
            <w:tcW w:w="1553" w:type="dxa"/>
          </w:tcPr>
          <w:p w14:paraId="7CFE7EB4" w14:textId="517B28BB" w:rsidR="0028346E" w:rsidRPr="0028346E" w:rsidRDefault="00F44811" w:rsidP="0028346E">
            <w:pPr>
              <w:pStyle w:val="TableNText"/>
              <w:rPr>
                <w:sz w:val="19"/>
                <w:szCs w:val="19"/>
              </w:rPr>
            </w:pPr>
            <w:r>
              <w:rPr>
                <w:sz w:val="19"/>
                <w:szCs w:val="19"/>
              </w:rPr>
              <w:t>115.9</w:t>
            </w:r>
          </w:p>
        </w:tc>
        <w:tc>
          <w:tcPr>
            <w:tcW w:w="1387" w:type="dxa"/>
          </w:tcPr>
          <w:p w14:paraId="4A4FBF98" w14:textId="23A04BE7" w:rsidR="0028346E" w:rsidRPr="0028346E" w:rsidRDefault="00F44811" w:rsidP="0028346E">
            <w:pPr>
              <w:pStyle w:val="TableNText"/>
              <w:rPr>
                <w:sz w:val="19"/>
                <w:szCs w:val="19"/>
              </w:rPr>
            </w:pPr>
            <w:r>
              <w:rPr>
                <w:sz w:val="19"/>
                <w:szCs w:val="19"/>
              </w:rPr>
              <w:t>288.7</w:t>
            </w:r>
          </w:p>
        </w:tc>
        <w:tc>
          <w:tcPr>
            <w:tcW w:w="1179" w:type="dxa"/>
          </w:tcPr>
          <w:p w14:paraId="7075FBF6" w14:textId="0854F941" w:rsidR="0028346E" w:rsidRPr="0028346E" w:rsidRDefault="00CF442B" w:rsidP="0028346E">
            <w:pPr>
              <w:pStyle w:val="TableNText"/>
              <w:rPr>
                <w:sz w:val="19"/>
                <w:szCs w:val="19"/>
              </w:rPr>
            </w:pPr>
            <w:r>
              <w:rPr>
                <w:sz w:val="19"/>
                <w:szCs w:val="19"/>
              </w:rPr>
              <w:t>538.3</w:t>
            </w:r>
          </w:p>
        </w:tc>
      </w:tr>
      <w:tr w:rsidR="0028346E" w14:paraId="5B8C34CC" w14:textId="77777777" w:rsidTr="00134136">
        <w:trPr>
          <w:cnfStyle w:val="000000100000" w:firstRow="0" w:lastRow="0" w:firstColumn="0" w:lastColumn="0" w:oddVBand="0" w:evenVBand="0" w:oddHBand="1" w:evenHBand="0" w:firstRowFirstColumn="0" w:firstRowLastColumn="0" w:lastRowFirstColumn="0" w:lastRowLastColumn="0"/>
        </w:trPr>
        <w:tc>
          <w:tcPr>
            <w:tcW w:w="1864" w:type="dxa"/>
          </w:tcPr>
          <w:p w14:paraId="0FF9239D" w14:textId="6239D9C2" w:rsidR="0028346E" w:rsidRPr="00F35393" w:rsidRDefault="0028346E" w:rsidP="0028346E">
            <w:pPr>
              <w:pStyle w:val="TableNText"/>
              <w:rPr>
                <w:rFonts w:asciiTheme="majorHAnsi" w:hAnsiTheme="majorHAnsi" w:cstheme="majorHAnsi"/>
                <w:i/>
                <w:iCs/>
                <w:sz w:val="19"/>
                <w:szCs w:val="19"/>
              </w:rPr>
            </w:pPr>
            <w:r w:rsidRPr="00F35393">
              <w:rPr>
                <w:rFonts w:asciiTheme="majorHAnsi" w:hAnsiTheme="majorHAnsi" w:cstheme="majorHAnsi"/>
                <w:sz w:val="19"/>
                <w:szCs w:val="19"/>
              </w:rPr>
              <w:t xml:space="preserve">Net </w:t>
            </w:r>
            <w:r>
              <w:rPr>
                <w:rFonts w:asciiTheme="majorHAnsi" w:hAnsiTheme="majorHAnsi" w:cstheme="majorHAnsi"/>
                <w:sz w:val="19"/>
                <w:szCs w:val="19"/>
              </w:rPr>
              <w:t xml:space="preserve">present </w:t>
            </w:r>
            <w:r w:rsidRPr="00F35393">
              <w:rPr>
                <w:rFonts w:asciiTheme="majorHAnsi" w:hAnsiTheme="majorHAnsi" w:cstheme="majorHAnsi"/>
                <w:sz w:val="19"/>
                <w:szCs w:val="19"/>
              </w:rPr>
              <w:t>benefits</w:t>
            </w:r>
          </w:p>
        </w:tc>
        <w:tc>
          <w:tcPr>
            <w:tcW w:w="1387" w:type="dxa"/>
          </w:tcPr>
          <w:p w14:paraId="63D7F1CF" w14:textId="507B106C" w:rsidR="0028346E" w:rsidRPr="0028346E" w:rsidRDefault="0028346E" w:rsidP="0028346E">
            <w:pPr>
              <w:pStyle w:val="TableNText"/>
              <w:rPr>
                <w:sz w:val="19"/>
                <w:szCs w:val="19"/>
              </w:rPr>
            </w:pPr>
            <w:r w:rsidRPr="0028346E">
              <w:rPr>
                <w:rFonts w:cs="Segoe UI"/>
                <w:color w:val="000000"/>
                <w:sz w:val="19"/>
                <w:szCs w:val="19"/>
              </w:rPr>
              <w:t> </w:t>
            </w:r>
          </w:p>
        </w:tc>
        <w:tc>
          <w:tcPr>
            <w:tcW w:w="1560" w:type="dxa"/>
          </w:tcPr>
          <w:p w14:paraId="6E647FBE" w14:textId="1C31D388" w:rsidR="0028346E" w:rsidRPr="0028346E" w:rsidRDefault="0028346E" w:rsidP="0028346E">
            <w:pPr>
              <w:pStyle w:val="TableNText"/>
              <w:rPr>
                <w:sz w:val="19"/>
                <w:szCs w:val="19"/>
              </w:rPr>
            </w:pPr>
            <w:r w:rsidRPr="0028346E">
              <w:rPr>
                <w:rFonts w:cs="Segoe UI"/>
                <w:color w:val="000000"/>
                <w:sz w:val="19"/>
                <w:szCs w:val="19"/>
              </w:rPr>
              <w:t> </w:t>
            </w:r>
          </w:p>
        </w:tc>
        <w:tc>
          <w:tcPr>
            <w:tcW w:w="1553" w:type="dxa"/>
          </w:tcPr>
          <w:p w14:paraId="20858B4B" w14:textId="3E8CC925" w:rsidR="0028346E" w:rsidRPr="0028346E" w:rsidRDefault="0028346E" w:rsidP="0028346E">
            <w:pPr>
              <w:pStyle w:val="TableNText"/>
              <w:rPr>
                <w:sz w:val="19"/>
                <w:szCs w:val="19"/>
              </w:rPr>
            </w:pPr>
            <w:r w:rsidRPr="0028346E">
              <w:rPr>
                <w:rFonts w:cs="Segoe UI"/>
                <w:color w:val="000000"/>
                <w:sz w:val="19"/>
                <w:szCs w:val="19"/>
              </w:rPr>
              <w:t> </w:t>
            </w:r>
          </w:p>
        </w:tc>
        <w:tc>
          <w:tcPr>
            <w:tcW w:w="1387" w:type="dxa"/>
          </w:tcPr>
          <w:p w14:paraId="3E3D8C0C" w14:textId="3A0D67E2" w:rsidR="0028346E" w:rsidRPr="0028346E" w:rsidRDefault="0028346E" w:rsidP="0028346E">
            <w:pPr>
              <w:pStyle w:val="TableNText"/>
              <w:rPr>
                <w:sz w:val="19"/>
                <w:szCs w:val="19"/>
              </w:rPr>
            </w:pPr>
            <w:r w:rsidRPr="0028346E">
              <w:rPr>
                <w:rFonts w:cs="Segoe UI"/>
                <w:color w:val="000000"/>
                <w:sz w:val="19"/>
                <w:szCs w:val="19"/>
              </w:rPr>
              <w:t> </w:t>
            </w:r>
          </w:p>
        </w:tc>
        <w:tc>
          <w:tcPr>
            <w:tcW w:w="1179" w:type="dxa"/>
          </w:tcPr>
          <w:p w14:paraId="5A326CFE" w14:textId="624D515D" w:rsidR="0028346E" w:rsidRPr="0028346E" w:rsidRDefault="0028346E" w:rsidP="0028346E">
            <w:pPr>
              <w:pStyle w:val="TableNText"/>
              <w:rPr>
                <w:rFonts w:asciiTheme="majorHAnsi" w:hAnsiTheme="majorHAnsi" w:cstheme="majorHAnsi"/>
                <w:sz w:val="19"/>
                <w:szCs w:val="19"/>
              </w:rPr>
            </w:pPr>
            <w:r w:rsidRPr="0028346E">
              <w:rPr>
                <w:rFonts w:asciiTheme="majorHAnsi" w:hAnsiTheme="majorHAnsi" w:cstheme="majorHAnsi"/>
                <w:color w:val="000000"/>
                <w:sz w:val="19"/>
                <w:szCs w:val="19"/>
              </w:rPr>
              <w:t>2</w:t>
            </w:r>
            <w:r w:rsidR="00CF442B">
              <w:rPr>
                <w:rFonts w:asciiTheme="majorHAnsi" w:hAnsiTheme="majorHAnsi" w:cstheme="majorHAnsi"/>
                <w:color w:val="000000"/>
                <w:sz w:val="19"/>
                <w:szCs w:val="19"/>
              </w:rPr>
              <w:t>08.6</w:t>
            </w:r>
          </w:p>
        </w:tc>
      </w:tr>
      <w:tr w:rsidR="0028346E" w14:paraId="47B2A5B6" w14:textId="77777777" w:rsidTr="00134136">
        <w:trPr>
          <w:cnfStyle w:val="000000010000" w:firstRow="0" w:lastRow="0" w:firstColumn="0" w:lastColumn="0" w:oddVBand="0" w:evenVBand="0" w:oddHBand="0" w:evenHBand="1" w:firstRowFirstColumn="0" w:firstRowLastColumn="0" w:lastRowFirstColumn="0" w:lastRowLastColumn="0"/>
        </w:trPr>
        <w:tc>
          <w:tcPr>
            <w:tcW w:w="1864" w:type="dxa"/>
          </w:tcPr>
          <w:p w14:paraId="2CD25EDC" w14:textId="77777777" w:rsidR="0028346E" w:rsidRPr="00F35393" w:rsidRDefault="0028346E" w:rsidP="0028346E">
            <w:pPr>
              <w:pStyle w:val="TableNText"/>
              <w:rPr>
                <w:rFonts w:asciiTheme="majorHAnsi" w:hAnsiTheme="majorHAnsi" w:cstheme="majorHAnsi"/>
                <w:sz w:val="19"/>
                <w:szCs w:val="19"/>
              </w:rPr>
            </w:pPr>
            <w:r w:rsidRPr="00F35393">
              <w:rPr>
                <w:rFonts w:asciiTheme="majorHAnsi" w:hAnsiTheme="majorHAnsi" w:cstheme="majorHAnsi"/>
                <w:sz w:val="19"/>
                <w:szCs w:val="19"/>
              </w:rPr>
              <w:lastRenderedPageBreak/>
              <w:t>Benefits Cost Ratio (BCR)</w:t>
            </w:r>
          </w:p>
        </w:tc>
        <w:tc>
          <w:tcPr>
            <w:tcW w:w="1387" w:type="dxa"/>
          </w:tcPr>
          <w:p w14:paraId="1D8DF537" w14:textId="03468886" w:rsidR="0028346E" w:rsidRPr="0028346E" w:rsidRDefault="0028346E" w:rsidP="0028346E">
            <w:pPr>
              <w:pStyle w:val="TableNText"/>
              <w:rPr>
                <w:sz w:val="19"/>
                <w:szCs w:val="19"/>
              </w:rPr>
            </w:pPr>
            <w:r w:rsidRPr="0028346E">
              <w:rPr>
                <w:rFonts w:cs="Segoe UI"/>
                <w:color w:val="000000"/>
                <w:sz w:val="19"/>
                <w:szCs w:val="19"/>
              </w:rPr>
              <w:t> </w:t>
            </w:r>
          </w:p>
        </w:tc>
        <w:tc>
          <w:tcPr>
            <w:tcW w:w="1560" w:type="dxa"/>
          </w:tcPr>
          <w:p w14:paraId="6A0509E8" w14:textId="43F01FAC" w:rsidR="0028346E" w:rsidRPr="0028346E" w:rsidRDefault="0028346E" w:rsidP="0028346E">
            <w:pPr>
              <w:pStyle w:val="TableNText"/>
              <w:rPr>
                <w:sz w:val="19"/>
                <w:szCs w:val="19"/>
              </w:rPr>
            </w:pPr>
            <w:r w:rsidRPr="0028346E">
              <w:rPr>
                <w:rFonts w:cs="Segoe UI"/>
                <w:color w:val="000000"/>
                <w:sz w:val="19"/>
                <w:szCs w:val="19"/>
              </w:rPr>
              <w:t> </w:t>
            </w:r>
          </w:p>
        </w:tc>
        <w:tc>
          <w:tcPr>
            <w:tcW w:w="1553" w:type="dxa"/>
          </w:tcPr>
          <w:p w14:paraId="5E59FBB2" w14:textId="6DFBDCA8" w:rsidR="0028346E" w:rsidRPr="0028346E" w:rsidRDefault="0028346E" w:rsidP="0028346E">
            <w:pPr>
              <w:pStyle w:val="TableNText"/>
              <w:rPr>
                <w:sz w:val="19"/>
                <w:szCs w:val="19"/>
              </w:rPr>
            </w:pPr>
            <w:r w:rsidRPr="0028346E">
              <w:rPr>
                <w:rFonts w:cs="Segoe UI"/>
                <w:color w:val="000000"/>
                <w:sz w:val="19"/>
                <w:szCs w:val="19"/>
              </w:rPr>
              <w:t> </w:t>
            </w:r>
          </w:p>
        </w:tc>
        <w:tc>
          <w:tcPr>
            <w:tcW w:w="1387" w:type="dxa"/>
          </w:tcPr>
          <w:p w14:paraId="3D19C384" w14:textId="724CFB56" w:rsidR="0028346E" w:rsidRPr="0028346E" w:rsidRDefault="0028346E" w:rsidP="0028346E">
            <w:pPr>
              <w:pStyle w:val="TableNText"/>
              <w:rPr>
                <w:sz w:val="19"/>
                <w:szCs w:val="19"/>
              </w:rPr>
            </w:pPr>
            <w:r w:rsidRPr="0028346E">
              <w:rPr>
                <w:rFonts w:cs="Segoe UI"/>
                <w:color w:val="000000"/>
                <w:sz w:val="19"/>
                <w:szCs w:val="19"/>
              </w:rPr>
              <w:t> </w:t>
            </w:r>
          </w:p>
        </w:tc>
        <w:tc>
          <w:tcPr>
            <w:tcW w:w="1179" w:type="dxa"/>
          </w:tcPr>
          <w:p w14:paraId="206E6F5A" w14:textId="53965B1C" w:rsidR="0028346E" w:rsidRPr="0028346E" w:rsidRDefault="0028346E" w:rsidP="0028346E">
            <w:pPr>
              <w:pStyle w:val="TableNText"/>
              <w:rPr>
                <w:rFonts w:asciiTheme="majorHAnsi" w:hAnsiTheme="majorHAnsi" w:cstheme="majorHAnsi"/>
                <w:sz w:val="19"/>
                <w:szCs w:val="19"/>
                <w:lang w:val="en-US"/>
              </w:rPr>
            </w:pPr>
            <w:r w:rsidRPr="0028346E">
              <w:rPr>
                <w:rFonts w:asciiTheme="majorHAnsi" w:hAnsiTheme="majorHAnsi" w:cstheme="majorHAnsi"/>
                <w:color w:val="000000"/>
                <w:sz w:val="19"/>
                <w:szCs w:val="19"/>
              </w:rPr>
              <w:t>1.6</w:t>
            </w:r>
            <w:r>
              <w:rPr>
                <w:rFonts w:asciiTheme="majorHAnsi" w:hAnsiTheme="majorHAnsi" w:cstheme="majorHAnsi"/>
                <w:color w:val="000000"/>
                <w:sz w:val="19"/>
                <w:szCs w:val="19"/>
              </w:rPr>
              <w:t>3</w:t>
            </w:r>
          </w:p>
        </w:tc>
      </w:tr>
    </w:tbl>
    <w:p w14:paraId="2B8C250A" w14:textId="77777777" w:rsidR="00923BE4" w:rsidRDefault="00923BE4" w:rsidP="00923BE4"/>
    <w:p w14:paraId="253FE71D" w14:textId="77777777" w:rsidR="00A72A96" w:rsidRDefault="00A72A96" w:rsidP="00923BE4"/>
    <w:p w14:paraId="6EE0AA9D" w14:textId="77777777" w:rsidR="00A72A96" w:rsidRDefault="00A72A96" w:rsidP="00923BE4"/>
    <w:tbl>
      <w:tblPr>
        <w:tblStyle w:val="TableGrid"/>
        <w:tblW w:w="0" w:type="auto"/>
        <w:tblLook w:val="04A0" w:firstRow="1" w:lastRow="0" w:firstColumn="1" w:lastColumn="0" w:noHBand="0" w:noVBand="1"/>
      </w:tblPr>
      <w:tblGrid>
        <w:gridCol w:w="8907"/>
        <w:gridCol w:w="23"/>
      </w:tblGrid>
      <w:tr w:rsidR="00580287" w14:paraId="54C1CF1E" w14:textId="77777777" w:rsidTr="00580287">
        <w:trPr>
          <w:gridAfter w:val="1"/>
          <w:cnfStyle w:val="100000000000" w:firstRow="1" w:lastRow="0" w:firstColumn="0" w:lastColumn="0" w:oddVBand="0" w:evenVBand="0" w:oddHBand="0" w:evenHBand="0" w:firstRowFirstColumn="0" w:firstRowLastColumn="0" w:lastRowFirstColumn="0" w:lastRowLastColumn="0"/>
          <w:wAfter w:w="23" w:type="dxa"/>
        </w:trPr>
        <w:tc>
          <w:tcPr>
            <w:tcW w:w="8930" w:type="dxa"/>
            <w:shd w:val="clear" w:color="auto" w:fill="00264D" w:themeFill="background2"/>
          </w:tcPr>
          <w:p w14:paraId="604867C5" w14:textId="769C49F9" w:rsidR="00580287" w:rsidRDefault="00580287" w:rsidP="00923BE4">
            <w:r w:rsidRPr="003D65AB">
              <w:rPr>
                <w:rFonts w:asciiTheme="majorHAnsi" w:hAnsiTheme="majorHAnsi" w:cstheme="majorHAnsi"/>
                <w:color w:val="FFFFFF" w:themeColor="background1"/>
              </w:rPr>
              <w:t>Consultation questions</w:t>
            </w:r>
          </w:p>
        </w:tc>
      </w:tr>
      <w:tr w:rsidR="00580287" w14:paraId="158D6E75" w14:textId="77777777" w:rsidTr="00580287">
        <w:trPr>
          <w:cnfStyle w:val="000000100000" w:firstRow="0" w:lastRow="0" w:firstColumn="0" w:lastColumn="0" w:oddVBand="0" w:evenVBand="0" w:oddHBand="1" w:evenHBand="0" w:firstRowFirstColumn="0" w:firstRowLastColumn="0" w:lastRowFirstColumn="0" w:lastRowLastColumn="0"/>
        </w:trPr>
        <w:tc>
          <w:tcPr>
            <w:tcW w:w="8930" w:type="dxa"/>
            <w:gridSpan w:val="2"/>
          </w:tcPr>
          <w:p w14:paraId="7BAF2B72" w14:textId="77777777" w:rsidR="00580287" w:rsidRPr="00EC129D" w:rsidRDefault="00580287" w:rsidP="00580287">
            <w:pPr>
              <w:rPr>
                <w:rFonts w:asciiTheme="majorHAnsi" w:hAnsiTheme="majorHAnsi" w:cstheme="majorHAnsi"/>
                <w:color w:val="00264D" w:themeColor="background2"/>
                <w:sz w:val="18"/>
                <w:szCs w:val="18"/>
                <w:lang w:eastAsia="en-AU"/>
              </w:rPr>
            </w:pPr>
            <w:r w:rsidRPr="00EC129D">
              <w:rPr>
                <w:rFonts w:asciiTheme="majorHAnsi" w:hAnsiTheme="majorHAnsi" w:cstheme="majorHAnsi"/>
                <w:color w:val="00264D" w:themeColor="background2"/>
                <w:sz w:val="18"/>
                <w:szCs w:val="18"/>
                <w:lang w:eastAsia="en-AU"/>
              </w:rPr>
              <w:t>Option 1</w:t>
            </w:r>
          </w:p>
          <w:p w14:paraId="06927A2D" w14:textId="4D6E04A0" w:rsidR="004C6644" w:rsidRPr="005924E0" w:rsidRDefault="004C6644" w:rsidP="005924E0">
            <w:pPr>
              <w:numPr>
                <w:ilvl w:val="0"/>
                <w:numId w:val="38"/>
              </w:numPr>
              <w:rPr>
                <w:color w:val="00264D" w:themeColor="background2"/>
                <w:sz w:val="18"/>
                <w:szCs w:val="18"/>
                <w:lang w:eastAsia="en-AU"/>
              </w:rPr>
            </w:pPr>
            <w:r w:rsidRPr="005924E0">
              <w:rPr>
                <w:color w:val="00264D" w:themeColor="background2"/>
                <w:sz w:val="18"/>
                <w:szCs w:val="18"/>
                <w:lang w:eastAsia="en-AU"/>
              </w:rPr>
              <w:t xml:space="preserve">Are there other costs and benefits that have not yet been qualified or quantified? </w:t>
            </w:r>
          </w:p>
          <w:p w14:paraId="1BB66750" w14:textId="0E4DC014" w:rsidR="004C6644" w:rsidRPr="005924E0" w:rsidRDefault="004C6644" w:rsidP="005924E0">
            <w:pPr>
              <w:numPr>
                <w:ilvl w:val="0"/>
                <w:numId w:val="38"/>
              </w:numPr>
              <w:rPr>
                <w:color w:val="00264D" w:themeColor="background2"/>
                <w:sz w:val="18"/>
                <w:szCs w:val="18"/>
                <w:lang w:eastAsia="en-AU"/>
              </w:rPr>
            </w:pPr>
            <w:r w:rsidRPr="005924E0">
              <w:rPr>
                <w:color w:val="00264D" w:themeColor="background2"/>
                <w:sz w:val="18"/>
                <w:szCs w:val="18"/>
                <w:lang w:eastAsia="en-AU"/>
              </w:rPr>
              <w:t xml:space="preserve">What are the growth expectations of the First Nations and Māori food sector? </w:t>
            </w:r>
          </w:p>
          <w:p w14:paraId="3FA62F05" w14:textId="5908B195" w:rsidR="004C6644" w:rsidRPr="005924E0" w:rsidRDefault="004C6644" w:rsidP="005924E0">
            <w:pPr>
              <w:numPr>
                <w:ilvl w:val="0"/>
                <w:numId w:val="38"/>
              </w:numPr>
              <w:rPr>
                <w:color w:val="00264D" w:themeColor="background2"/>
                <w:sz w:val="18"/>
                <w:szCs w:val="18"/>
                <w:lang w:eastAsia="en-AU"/>
              </w:rPr>
            </w:pPr>
            <w:r w:rsidRPr="005924E0">
              <w:rPr>
                <w:color w:val="00264D" w:themeColor="background2"/>
                <w:sz w:val="18"/>
                <w:szCs w:val="18"/>
                <w:lang w:eastAsia="en-AU"/>
              </w:rPr>
              <w:t xml:space="preserve">What are the current delay costs to industry? </w:t>
            </w:r>
          </w:p>
          <w:p w14:paraId="6566AD2E" w14:textId="045432F8" w:rsidR="004C6644" w:rsidRPr="005924E0" w:rsidRDefault="004C6644" w:rsidP="005924E0">
            <w:pPr>
              <w:numPr>
                <w:ilvl w:val="0"/>
                <w:numId w:val="38"/>
              </w:numPr>
              <w:rPr>
                <w:color w:val="00264D" w:themeColor="background2"/>
                <w:sz w:val="18"/>
                <w:szCs w:val="18"/>
                <w:lang w:eastAsia="en-AU"/>
              </w:rPr>
            </w:pPr>
            <w:r w:rsidRPr="005924E0">
              <w:rPr>
                <w:color w:val="00264D" w:themeColor="background2"/>
                <w:sz w:val="18"/>
                <w:szCs w:val="18"/>
                <w:lang w:eastAsia="en-AU"/>
              </w:rPr>
              <w:t xml:space="preserve">Do you have any additional data that would be useful </w:t>
            </w:r>
            <w:r w:rsidR="00745D0A">
              <w:rPr>
                <w:color w:val="00264D" w:themeColor="background2"/>
                <w:sz w:val="18"/>
                <w:szCs w:val="18"/>
                <w:lang w:eastAsia="en-AU"/>
              </w:rPr>
              <w:t>in</w:t>
            </w:r>
            <w:r w:rsidRPr="005924E0">
              <w:rPr>
                <w:color w:val="00264D" w:themeColor="background2"/>
                <w:sz w:val="18"/>
                <w:szCs w:val="18"/>
                <w:lang w:eastAsia="en-AU"/>
              </w:rPr>
              <w:t xml:space="preserve"> characterising the costs and benefits of current regulatory settings? </w:t>
            </w:r>
          </w:p>
          <w:p w14:paraId="433244F0" w14:textId="5A9D10A1" w:rsidR="00A72A96" w:rsidRPr="005924E0" w:rsidRDefault="004C6644" w:rsidP="005924E0">
            <w:pPr>
              <w:numPr>
                <w:ilvl w:val="0"/>
                <w:numId w:val="38"/>
              </w:numPr>
              <w:rPr>
                <w:color w:val="00264D" w:themeColor="background2"/>
                <w:sz w:val="18"/>
                <w:szCs w:val="18"/>
                <w:lang w:eastAsia="en-AU"/>
              </w:rPr>
            </w:pPr>
            <w:r w:rsidRPr="005924E0">
              <w:rPr>
                <w:color w:val="00264D" w:themeColor="background2"/>
                <w:sz w:val="18"/>
                <w:szCs w:val="18"/>
                <w:lang w:eastAsia="en-AU"/>
              </w:rPr>
              <w:t xml:space="preserve">Any other comments regarding the Option 1 information in the Net Benefit section? </w:t>
            </w:r>
          </w:p>
          <w:p w14:paraId="50BD6158" w14:textId="77777777" w:rsidR="00580287" w:rsidRPr="00EC129D" w:rsidRDefault="00580287" w:rsidP="00580287">
            <w:pPr>
              <w:rPr>
                <w:rFonts w:asciiTheme="majorHAnsi" w:hAnsiTheme="majorHAnsi" w:cstheme="majorHAnsi"/>
                <w:color w:val="00264D" w:themeColor="background2"/>
                <w:sz w:val="18"/>
                <w:szCs w:val="18"/>
                <w:lang w:eastAsia="en-AU"/>
              </w:rPr>
            </w:pPr>
            <w:r w:rsidRPr="00EC129D">
              <w:rPr>
                <w:rFonts w:asciiTheme="majorHAnsi" w:hAnsiTheme="majorHAnsi" w:cstheme="majorHAnsi"/>
                <w:color w:val="00264D" w:themeColor="background2"/>
                <w:sz w:val="18"/>
                <w:szCs w:val="18"/>
                <w:lang w:eastAsia="en-AU"/>
              </w:rPr>
              <w:t>Option 2</w:t>
            </w:r>
          </w:p>
          <w:p w14:paraId="11945531" w14:textId="77777777" w:rsidR="00580287" w:rsidRPr="00EC129D" w:rsidRDefault="00580287" w:rsidP="00580287">
            <w:pPr>
              <w:pStyle w:val="ListParagraph"/>
              <w:numPr>
                <w:ilvl w:val="0"/>
                <w:numId w:val="50"/>
              </w:numPr>
              <w:spacing w:line="259" w:lineRule="auto"/>
              <w:rPr>
                <w:color w:val="00264D" w:themeColor="background2"/>
                <w:sz w:val="18"/>
                <w:szCs w:val="18"/>
                <w:lang w:eastAsia="en-AU"/>
              </w:rPr>
            </w:pPr>
            <w:r w:rsidRPr="00EC129D">
              <w:rPr>
                <w:color w:val="00264D" w:themeColor="background2"/>
                <w:sz w:val="18"/>
                <w:szCs w:val="18"/>
                <w:lang w:eastAsia="en-AU"/>
              </w:rPr>
              <w:t>Are there other costs and benefits for different stakeholders that have not yet been qualified? What are they?</w:t>
            </w:r>
          </w:p>
          <w:p w14:paraId="4F3B1CC0" w14:textId="4E1F3D9C" w:rsidR="00580287" w:rsidRPr="00EC129D" w:rsidRDefault="00580287" w:rsidP="00580287">
            <w:pPr>
              <w:pStyle w:val="ListParagraph"/>
              <w:numPr>
                <w:ilvl w:val="0"/>
                <w:numId w:val="50"/>
              </w:numPr>
              <w:spacing w:line="259" w:lineRule="auto"/>
              <w:rPr>
                <w:color w:val="00264D" w:themeColor="background2"/>
                <w:sz w:val="18"/>
                <w:szCs w:val="18"/>
                <w:lang w:eastAsia="en-AU"/>
              </w:rPr>
            </w:pPr>
            <w:r w:rsidRPr="00EC129D">
              <w:rPr>
                <w:color w:val="00264D" w:themeColor="background2"/>
                <w:sz w:val="18"/>
                <w:szCs w:val="18"/>
              </w:rPr>
              <w:t xml:space="preserve">Do you have any additional data that would be useful to characterising the costs and benefits of </w:t>
            </w:r>
            <w:r w:rsidR="00745D0A">
              <w:rPr>
                <w:color w:val="00264D" w:themeColor="background2"/>
                <w:sz w:val="18"/>
                <w:szCs w:val="18"/>
              </w:rPr>
              <w:t>proposed initiatives</w:t>
            </w:r>
            <w:r w:rsidRPr="00EC129D">
              <w:rPr>
                <w:color w:val="00264D" w:themeColor="background2"/>
                <w:sz w:val="18"/>
                <w:szCs w:val="18"/>
              </w:rPr>
              <w:t>?</w:t>
            </w:r>
          </w:p>
          <w:p w14:paraId="2A33854C" w14:textId="6C357922" w:rsidR="00580287" w:rsidRPr="005924E0" w:rsidRDefault="009D5101" w:rsidP="009D5101">
            <w:pPr>
              <w:pStyle w:val="ListParagraph"/>
              <w:numPr>
                <w:ilvl w:val="0"/>
                <w:numId w:val="50"/>
              </w:numPr>
              <w:spacing w:line="259" w:lineRule="auto"/>
              <w:rPr>
                <w:sz w:val="18"/>
                <w:szCs w:val="18"/>
              </w:rPr>
            </w:pPr>
            <w:r w:rsidRPr="005924E0">
              <w:rPr>
                <w:color w:val="00264D" w:themeColor="background2"/>
                <w:sz w:val="18"/>
                <w:szCs w:val="18"/>
              </w:rPr>
              <w:t>Any other comments regarding the Option 2 information in the Net Benefit section</w:t>
            </w:r>
          </w:p>
        </w:tc>
      </w:tr>
    </w:tbl>
    <w:p w14:paraId="3D5A6C85" w14:textId="7D08E9A4" w:rsidR="006050E2" w:rsidRPr="00373BC9" w:rsidRDefault="006050E2" w:rsidP="00923BE4"/>
    <w:p w14:paraId="6D5AD380" w14:textId="685CF08D" w:rsidR="00923BE4" w:rsidRPr="0037689B" w:rsidRDefault="00923BE4" w:rsidP="00313A20">
      <w:pPr>
        <w:pStyle w:val="Heading2"/>
        <w:numPr>
          <w:ilvl w:val="1"/>
          <w:numId w:val="48"/>
        </w:numPr>
      </w:pPr>
      <w:bookmarkStart w:id="76" w:name="_Toc157599132"/>
      <w:r w:rsidRPr="0037689B">
        <w:t>Sensitivity analysis</w:t>
      </w:r>
      <w:bookmarkEnd w:id="76"/>
    </w:p>
    <w:p w14:paraId="0CFF623A" w14:textId="4ECFCC27" w:rsidR="00A06B21" w:rsidRDefault="00923BE4" w:rsidP="00923BE4">
      <w:pPr>
        <w:spacing w:after="165"/>
        <w:rPr>
          <w:lang w:eastAsia="en-AU"/>
        </w:rPr>
      </w:pPr>
      <w:r>
        <w:rPr>
          <w:lang w:eastAsia="en-AU"/>
        </w:rPr>
        <w:t>A sensitivity analysis is important to test the key assumptions used in the cost benefit analysis. The key driver</w:t>
      </w:r>
      <w:r w:rsidR="00646D92">
        <w:rPr>
          <w:lang w:eastAsia="en-AU"/>
        </w:rPr>
        <w:t>s</w:t>
      </w:r>
      <w:r>
        <w:rPr>
          <w:lang w:eastAsia="en-AU"/>
        </w:rPr>
        <w:t xml:space="preserve"> of benefits </w:t>
      </w:r>
      <w:r w:rsidR="00AF5945">
        <w:rPr>
          <w:lang w:eastAsia="en-AU"/>
        </w:rPr>
        <w:t>are</w:t>
      </w:r>
      <w:r>
        <w:rPr>
          <w:lang w:eastAsia="en-AU"/>
        </w:rPr>
        <w:t xml:space="preserve"> the growth of Aboriginal, Torres Strait Islander and </w:t>
      </w:r>
      <w:r w:rsidRPr="00FA7082">
        <w:rPr>
          <w:lang w:eastAsia="en-AU"/>
        </w:rPr>
        <w:t>Māori</w:t>
      </w:r>
      <w:r>
        <w:rPr>
          <w:lang w:eastAsia="en-AU"/>
        </w:rPr>
        <w:t xml:space="preserve"> food businesses</w:t>
      </w:r>
      <w:r w:rsidR="00F83C65">
        <w:rPr>
          <w:lang w:eastAsia="en-AU"/>
        </w:rPr>
        <w:t xml:space="preserve"> as well as the </w:t>
      </w:r>
      <w:r w:rsidR="00BD37CE">
        <w:rPr>
          <w:lang w:eastAsia="en-AU"/>
        </w:rPr>
        <w:t xml:space="preserve">accrual of public health benefits from </w:t>
      </w:r>
      <w:r w:rsidR="004F772A">
        <w:rPr>
          <w:lang w:eastAsia="en-AU"/>
        </w:rPr>
        <w:t>applications/proposals/reviews processed</w:t>
      </w:r>
      <w:r>
        <w:rPr>
          <w:lang w:eastAsia="en-AU"/>
        </w:rPr>
        <w:t xml:space="preserve">. </w:t>
      </w:r>
      <w:r w:rsidR="00696A35">
        <w:rPr>
          <w:lang w:eastAsia="en-AU"/>
        </w:rPr>
        <w:t>The dis</w:t>
      </w:r>
      <w:r w:rsidR="00FB4C5B">
        <w:rPr>
          <w:lang w:eastAsia="en-AU"/>
        </w:rPr>
        <w:t>count</w:t>
      </w:r>
      <w:r w:rsidR="009B3A00">
        <w:rPr>
          <w:lang w:eastAsia="en-AU"/>
        </w:rPr>
        <w:t xml:space="preserve"> rate </w:t>
      </w:r>
      <w:r w:rsidR="0084759F">
        <w:rPr>
          <w:lang w:eastAsia="en-AU"/>
        </w:rPr>
        <w:t xml:space="preserve">has also been tested </w:t>
      </w:r>
      <w:r w:rsidR="005E51D9">
        <w:rPr>
          <w:lang w:eastAsia="en-AU"/>
        </w:rPr>
        <w:t xml:space="preserve">to verify the sensitivity of the </w:t>
      </w:r>
      <w:r w:rsidR="0072563C">
        <w:rPr>
          <w:lang w:eastAsia="en-AU"/>
        </w:rPr>
        <w:t>cost benefit analysis</w:t>
      </w:r>
      <w:r w:rsidR="007F1130">
        <w:rPr>
          <w:lang w:eastAsia="en-AU"/>
        </w:rPr>
        <w:t xml:space="preserve"> to </w:t>
      </w:r>
      <w:r w:rsidR="00A771DC">
        <w:rPr>
          <w:lang w:eastAsia="en-AU"/>
        </w:rPr>
        <w:t xml:space="preserve">its choice. </w:t>
      </w:r>
    </w:p>
    <w:p w14:paraId="1E1D2CB8" w14:textId="3234D5FE" w:rsidR="00772CC9" w:rsidRDefault="00772CC9" w:rsidP="00923BE4">
      <w:pPr>
        <w:spacing w:after="165"/>
        <w:rPr>
          <w:rFonts w:asciiTheme="majorHAnsi" w:hAnsiTheme="majorHAnsi" w:cstheme="majorHAnsi"/>
          <w:lang w:eastAsia="en-AU"/>
        </w:rPr>
      </w:pPr>
      <w:r>
        <w:rPr>
          <w:rFonts w:asciiTheme="majorHAnsi" w:hAnsiTheme="majorHAnsi" w:cstheme="majorHAnsi"/>
          <w:lang w:eastAsia="en-AU"/>
        </w:rPr>
        <w:t xml:space="preserve">Growth </w:t>
      </w:r>
      <w:r w:rsidRPr="00772CC9">
        <w:rPr>
          <w:rFonts w:asciiTheme="majorHAnsi" w:hAnsiTheme="majorHAnsi" w:cstheme="majorHAnsi"/>
          <w:lang w:eastAsia="en-AU"/>
        </w:rPr>
        <w:t>of Aboriginal, Torres Strait Islander and Māori food businesses</w:t>
      </w:r>
    </w:p>
    <w:p w14:paraId="5070CC30" w14:textId="1132430C" w:rsidR="00923BE4" w:rsidRDefault="00923BE4" w:rsidP="00923BE4">
      <w:pPr>
        <w:spacing w:after="165"/>
        <w:rPr>
          <w:lang w:eastAsia="en-AU"/>
        </w:rPr>
      </w:pPr>
      <w:r>
        <w:rPr>
          <w:lang w:eastAsia="en-AU"/>
        </w:rPr>
        <w:t>Based on current industry growth projections, the industry value</w:t>
      </w:r>
      <w:r w:rsidR="003D4425">
        <w:rPr>
          <w:lang w:eastAsia="en-AU"/>
        </w:rPr>
        <w:t>-</w:t>
      </w:r>
      <w:r w:rsidR="00772CC9">
        <w:rPr>
          <w:lang w:eastAsia="en-AU"/>
        </w:rPr>
        <w:t xml:space="preserve">add for the growth of Aboriginal, Torres Strait Islander and </w:t>
      </w:r>
      <w:r w:rsidR="00772CC9" w:rsidRPr="00FA7082">
        <w:rPr>
          <w:lang w:eastAsia="en-AU"/>
        </w:rPr>
        <w:t>Māori</w:t>
      </w:r>
      <w:r w:rsidR="00772CC9">
        <w:rPr>
          <w:lang w:eastAsia="en-AU"/>
        </w:rPr>
        <w:t xml:space="preserve"> food businesses</w:t>
      </w:r>
      <w:r>
        <w:rPr>
          <w:lang w:eastAsia="en-AU"/>
        </w:rPr>
        <w:t xml:space="preserve"> has been assumed to grow at 10% per annum.</w:t>
      </w:r>
    </w:p>
    <w:p w14:paraId="12561C7D" w14:textId="5833FD01" w:rsidR="00923BE4" w:rsidRDefault="00923BE4" w:rsidP="00923BE4">
      <w:pPr>
        <w:spacing w:after="165"/>
        <w:rPr>
          <w:lang w:eastAsia="en-AU"/>
        </w:rPr>
      </w:pPr>
      <w:r>
        <w:rPr>
          <w:lang w:eastAsia="en-AU"/>
        </w:rPr>
        <w:t xml:space="preserve">To test the robustness of this assumption, an analysis of the net </w:t>
      </w:r>
      <w:r w:rsidR="00C31196">
        <w:rPr>
          <w:lang w:eastAsia="en-AU"/>
        </w:rPr>
        <w:t>present value</w:t>
      </w:r>
      <w:r>
        <w:rPr>
          <w:lang w:eastAsia="en-AU"/>
        </w:rPr>
        <w:t xml:space="preserve"> and BCR achieved at both no growth (pessimistic scenario) and 20% growth (optimistic scenario)</w:t>
      </w:r>
      <w:r w:rsidR="008246FE">
        <w:rPr>
          <w:lang w:eastAsia="en-AU"/>
        </w:rPr>
        <w:t xml:space="preserve"> was performed</w:t>
      </w:r>
      <w:r>
        <w:rPr>
          <w:lang w:eastAsia="en-AU"/>
        </w:rPr>
        <w:t xml:space="preserve">. The details of both analyses are described in </w:t>
      </w:r>
      <w:r>
        <w:rPr>
          <w:lang w:eastAsia="en-AU"/>
        </w:rPr>
        <w:fldChar w:fldCharType="begin"/>
      </w:r>
      <w:r>
        <w:rPr>
          <w:lang w:eastAsia="en-AU"/>
        </w:rPr>
        <w:instrText xml:space="preserve"> REF _Ref142167731 \h </w:instrText>
      </w:r>
      <w:r>
        <w:rPr>
          <w:lang w:eastAsia="en-AU"/>
        </w:rPr>
      </w:r>
      <w:r>
        <w:rPr>
          <w:lang w:eastAsia="en-AU"/>
        </w:rPr>
        <w:fldChar w:fldCharType="separate"/>
      </w:r>
      <w:r w:rsidR="003F7B92">
        <w:t xml:space="preserve">Table </w:t>
      </w:r>
      <w:r w:rsidR="003F7B92">
        <w:rPr>
          <w:noProof/>
        </w:rPr>
        <w:t>17</w:t>
      </w:r>
      <w:r>
        <w:rPr>
          <w:lang w:eastAsia="en-AU"/>
        </w:rPr>
        <w:fldChar w:fldCharType="end"/>
      </w:r>
      <w:r>
        <w:rPr>
          <w:lang w:eastAsia="en-AU"/>
        </w:rPr>
        <w:t>.</w:t>
      </w:r>
    </w:p>
    <w:p w14:paraId="0C8FB317" w14:textId="5419BB4B" w:rsidR="00923BE4" w:rsidRDefault="00923BE4" w:rsidP="00923BE4">
      <w:pPr>
        <w:pStyle w:val="Caption"/>
      </w:pPr>
      <w:bookmarkStart w:id="77" w:name="_Ref142167731"/>
      <w:r>
        <w:lastRenderedPageBreak/>
        <w:t xml:space="preserve">Table </w:t>
      </w:r>
      <w:r>
        <w:fldChar w:fldCharType="begin"/>
      </w:r>
      <w:r>
        <w:instrText xml:space="preserve"> SEQ Table \* ARABIC </w:instrText>
      </w:r>
      <w:r>
        <w:fldChar w:fldCharType="separate"/>
      </w:r>
      <w:r w:rsidR="003F7B92">
        <w:rPr>
          <w:noProof/>
        </w:rPr>
        <w:t>17</w:t>
      </w:r>
      <w:r>
        <w:fldChar w:fldCharType="end"/>
      </w:r>
      <w:bookmarkEnd w:id="77"/>
      <w:r>
        <w:t xml:space="preserve"> | Sensitivity analysis </w:t>
      </w:r>
      <w:r w:rsidR="002252D4">
        <w:t xml:space="preserve">for </w:t>
      </w:r>
      <w:r w:rsidR="002252D4">
        <w:rPr>
          <w:lang w:eastAsia="en-AU"/>
        </w:rPr>
        <w:t xml:space="preserve">growth of Aboriginal, Torres Strait Islander and </w:t>
      </w:r>
      <w:r w:rsidR="002252D4" w:rsidRPr="00FA7082">
        <w:rPr>
          <w:lang w:eastAsia="en-AU"/>
        </w:rPr>
        <w:t>Māori</w:t>
      </w:r>
      <w:r w:rsidR="002252D4">
        <w:rPr>
          <w:lang w:eastAsia="en-AU"/>
        </w:rPr>
        <w:t xml:space="preserve"> food businesses</w:t>
      </w:r>
      <w:r w:rsidR="002252D4">
        <w:t xml:space="preserve"> </w:t>
      </w:r>
      <w:r>
        <w:t>for Option 2</w:t>
      </w:r>
      <w:r w:rsidR="00891A11">
        <w:t xml:space="preserve"> (AUD $millions)</w:t>
      </w:r>
    </w:p>
    <w:tbl>
      <w:tblPr>
        <w:tblStyle w:val="TableGrid"/>
        <w:tblW w:w="0" w:type="auto"/>
        <w:tblLook w:val="04A0" w:firstRow="1" w:lastRow="0" w:firstColumn="1" w:lastColumn="0" w:noHBand="0" w:noVBand="1"/>
      </w:tblPr>
      <w:tblGrid>
        <w:gridCol w:w="1536"/>
        <w:gridCol w:w="1633"/>
        <w:gridCol w:w="1947"/>
        <w:gridCol w:w="1915"/>
        <w:gridCol w:w="1899"/>
      </w:tblGrid>
      <w:tr w:rsidR="0076709E" w14:paraId="3ACF0A4E" w14:textId="77777777">
        <w:trPr>
          <w:cnfStyle w:val="100000000000" w:firstRow="1" w:lastRow="0" w:firstColumn="0" w:lastColumn="0" w:oddVBand="0" w:evenVBand="0" w:oddHBand="0" w:evenHBand="0" w:firstRowFirstColumn="0" w:firstRowLastColumn="0" w:lastRowFirstColumn="0" w:lastRowLastColumn="0"/>
        </w:trPr>
        <w:tc>
          <w:tcPr>
            <w:tcW w:w="1536" w:type="dxa"/>
          </w:tcPr>
          <w:p w14:paraId="7FD63E5C" w14:textId="77777777" w:rsidR="00923BE4" w:rsidRDefault="00923BE4" w:rsidP="00134136">
            <w:pPr>
              <w:pStyle w:val="TableNbiophoto"/>
            </w:pPr>
          </w:p>
        </w:tc>
        <w:tc>
          <w:tcPr>
            <w:tcW w:w="1633" w:type="dxa"/>
          </w:tcPr>
          <w:p w14:paraId="59235ACA" w14:textId="77777777" w:rsidR="00923BE4" w:rsidRPr="002C1AA1" w:rsidRDefault="00923BE4" w:rsidP="00134136">
            <w:pPr>
              <w:pStyle w:val="TableNbiophoto"/>
              <w:rPr>
                <w:rFonts w:asciiTheme="majorHAnsi" w:hAnsiTheme="majorHAnsi" w:cstheme="majorHAnsi"/>
                <w:sz w:val="18"/>
                <w:szCs w:val="24"/>
              </w:rPr>
            </w:pPr>
            <w:r w:rsidRPr="002C1AA1">
              <w:rPr>
                <w:rFonts w:asciiTheme="majorHAnsi" w:hAnsiTheme="majorHAnsi" w:cstheme="majorHAnsi"/>
                <w:sz w:val="18"/>
                <w:szCs w:val="24"/>
              </w:rPr>
              <w:t>Base case – 10% growth</w:t>
            </w:r>
          </w:p>
        </w:tc>
        <w:tc>
          <w:tcPr>
            <w:tcW w:w="1947" w:type="dxa"/>
          </w:tcPr>
          <w:p w14:paraId="3C5ECB87" w14:textId="77777777" w:rsidR="00923BE4" w:rsidRPr="002C1AA1" w:rsidRDefault="00923BE4" w:rsidP="00134136">
            <w:pPr>
              <w:pStyle w:val="TableNbiophoto"/>
              <w:rPr>
                <w:rFonts w:asciiTheme="majorHAnsi" w:hAnsiTheme="majorHAnsi" w:cstheme="majorHAnsi"/>
                <w:sz w:val="18"/>
                <w:szCs w:val="24"/>
              </w:rPr>
            </w:pPr>
            <w:r w:rsidRPr="002C1AA1">
              <w:rPr>
                <w:rFonts w:asciiTheme="majorHAnsi" w:hAnsiTheme="majorHAnsi" w:cstheme="majorHAnsi"/>
                <w:sz w:val="18"/>
                <w:szCs w:val="24"/>
              </w:rPr>
              <w:t>Pessimistic – 0% growth</w:t>
            </w:r>
          </w:p>
        </w:tc>
        <w:tc>
          <w:tcPr>
            <w:tcW w:w="1915" w:type="dxa"/>
          </w:tcPr>
          <w:p w14:paraId="1BB2D336" w14:textId="00DB1207" w:rsidR="00923BE4" w:rsidRPr="002C1AA1" w:rsidRDefault="00923BE4" w:rsidP="00134136">
            <w:pPr>
              <w:pStyle w:val="TableNbiophoto"/>
              <w:rPr>
                <w:rFonts w:asciiTheme="majorHAnsi" w:hAnsiTheme="majorHAnsi" w:cstheme="majorHAnsi"/>
                <w:sz w:val="18"/>
                <w:szCs w:val="24"/>
              </w:rPr>
            </w:pPr>
            <w:r w:rsidRPr="002C1AA1">
              <w:rPr>
                <w:rFonts w:asciiTheme="majorHAnsi" w:hAnsiTheme="majorHAnsi" w:cstheme="majorHAnsi"/>
                <w:sz w:val="18"/>
                <w:szCs w:val="24"/>
              </w:rPr>
              <w:t>Optimist</w:t>
            </w:r>
            <w:r w:rsidR="00114E42">
              <w:rPr>
                <w:rFonts w:asciiTheme="majorHAnsi" w:hAnsiTheme="majorHAnsi" w:cstheme="majorHAnsi"/>
                <w:sz w:val="18"/>
                <w:szCs w:val="24"/>
              </w:rPr>
              <w:t>i</w:t>
            </w:r>
            <w:r w:rsidRPr="002C1AA1">
              <w:rPr>
                <w:rFonts w:asciiTheme="majorHAnsi" w:hAnsiTheme="majorHAnsi" w:cstheme="majorHAnsi"/>
                <w:sz w:val="18"/>
                <w:szCs w:val="24"/>
              </w:rPr>
              <w:t>c - 20% growth</w:t>
            </w:r>
          </w:p>
        </w:tc>
        <w:tc>
          <w:tcPr>
            <w:tcW w:w="1899" w:type="dxa"/>
          </w:tcPr>
          <w:p w14:paraId="365D77F0" w14:textId="77777777" w:rsidR="00923BE4" w:rsidRPr="002C1AA1" w:rsidRDefault="00923BE4" w:rsidP="00134136">
            <w:pPr>
              <w:pStyle w:val="TableNbiophoto"/>
              <w:rPr>
                <w:rFonts w:asciiTheme="majorHAnsi" w:hAnsiTheme="majorHAnsi" w:cstheme="majorHAnsi"/>
                <w:sz w:val="18"/>
                <w:szCs w:val="24"/>
              </w:rPr>
            </w:pPr>
            <w:r w:rsidRPr="002C1AA1">
              <w:rPr>
                <w:rFonts w:asciiTheme="majorHAnsi" w:hAnsiTheme="majorHAnsi" w:cstheme="majorHAnsi"/>
                <w:sz w:val="18"/>
                <w:szCs w:val="24"/>
              </w:rPr>
              <w:t>Option 1 – Status Quo</w:t>
            </w:r>
          </w:p>
        </w:tc>
      </w:tr>
      <w:tr w:rsidR="00923BE4" w14:paraId="6896A160" w14:textId="77777777" w:rsidTr="00134136">
        <w:trPr>
          <w:cnfStyle w:val="000000100000" w:firstRow="0" w:lastRow="0" w:firstColumn="0" w:lastColumn="0" w:oddVBand="0" w:evenVBand="0" w:oddHBand="1" w:evenHBand="0" w:firstRowFirstColumn="0" w:firstRowLastColumn="0" w:lastRowFirstColumn="0" w:lastRowLastColumn="0"/>
        </w:trPr>
        <w:tc>
          <w:tcPr>
            <w:tcW w:w="1536" w:type="dxa"/>
          </w:tcPr>
          <w:p w14:paraId="33CB1D31" w14:textId="004FD41E" w:rsidR="00923BE4" w:rsidRPr="002C1AA1" w:rsidRDefault="00923BE4" w:rsidP="00134136">
            <w:pPr>
              <w:pStyle w:val="TableNbiophoto"/>
              <w:rPr>
                <w:sz w:val="19"/>
                <w:szCs w:val="19"/>
              </w:rPr>
            </w:pPr>
            <w:r w:rsidRPr="002C1AA1">
              <w:rPr>
                <w:sz w:val="19"/>
                <w:szCs w:val="19"/>
              </w:rPr>
              <w:t xml:space="preserve">Net </w:t>
            </w:r>
            <w:r w:rsidR="007442A1">
              <w:rPr>
                <w:sz w:val="19"/>
                <w:szCs w:val="19"/>
              </w:rPr>
              <w:t xml:space="preserve">present </w:t>
            </w:r>
            <w:r w:rsidR="00E02852">
              <w:rPr>
                <w:sz w:val="19"/>
                <w:szCs w:val="19"/>
              </w:rPr>
              <w:t>value</w:t>
            </w:r>
          </w:p>
        </w:tc>
        <w:tc>
          <w:tcPr>
            <w:tcW w:w="1633" w:type="dxa"/>
          </w:tcPr>
          <w:p w14:paraId="122BA5E3" w14:textId="4936959B" w:rsidR="00923BE4" w:rsidRPr="002C1AA1" w:rsidRDefault="00FA639C" w:rsidP="00134136">
            <w:pPr>
              <w:pStyle w:val="TableNbiophoto"/>
              <w:rPr>
                <w:sz w:val="19"/>
                <w:szCs w:val="19"/>
              </w:rPr>
            </w:pPr>
            <w:r>
              <w:rPr>
                <w:sz w:val="19"/>
                <w:szCs w:val="19"/>
              </w:rPr>
              <w:t>2</w:t>
            </w:r>
            <w:r w:rsidR="00CF442B">
              <w:rPr>
                <w:sz w:val="19"/>
                <w:szCs w:val="19"/>
              </w:rPr>
              <w:t>08.6</w:t>
            </w:r>
          </w:p>
        </w:tc>
        <w:tc>
          <w:tcPr>
            <w:tcW w:w="1947" w:type="dxa"/>
          </w:tcPr>
          <w:p w14:paraId="2F87BB13" w14:textId="35649D51" w:rsidR="00923BE4" w:rsidRPr="002C1AA1" w:rsidRDefault="00DD37E3" w:rsidP="00134136">
            <w:pPr>
              <w:pStyle w:val="TableNbiophoto"/>
              <w:rPr>
                <w:sz w:val="19"/>
                <w:szCs w:val="19"/>
              </w:rPr>
            </w:pPr>
            <w:r>
              <w:rPr>
                <w:sz w:val="19"/>
                <w:szCs w:val="19"/>
              </w:rPr>
              <w:t>169.4</w:t>
            </w:r>
          </w:p>
        </w:tc>
        <w:tc>
          <w:tcPr>
            <w:tcW w:w="1915" w:type="dxa"/>
          </w:tcPr>
          <w:p w14:paraId="052097EE" w14:textId="01A39AC3" w:rsidR="00923BE4" w:rsidRPr="002C1AA1" w:rsidRDefault="004C2DC5" w:rsidP="00134136">
            <w:pPr>
              <w:pStyle w:val="TableNbiophoto"/>
              <w:rPr>
                <w:sz w:val="19"/>
                <w:szCs w:val="19"/>
              </w:rPr>
            </w:pPr>
            <w:r>
              <w:rPr>
                <w:sz w:val="19"/>
                <w:szCs w:val="19"/>
              </w:rPr>
              <w:t>273</w:t>
            </w:r>
          </w:p>
        </w:tc>
        <w:tc>
          <w:tcPr>
            <w:tcW w:w="1899" w:type="dxa"/>
          </w:tcPr>
          <w:p w14:paraId="4E7138A3" w14:textId="503CF5B8" w:rsidR="00923BE4" w:rsidRPr="002C1AA1" w:rsidRDefault="00FA639C" w:rsidP="00134136">
            <w:pPr>
              <w:pStyle w:val="TableNbiophoto"/>
              <w:rPr>
                <w:sz w:val="19"/>
                <w:szCs w:val="19"/>
              </w:rPr>
            </w:pPr>
            <w:r>
              <w:rPr>
                <w:sz w:val="19"/>
                <w:szCs w:val="19"/>
              </w:rPr>
              <w:t>10.7</w:t>
            </w:r>
          </w:p>
        </w:tc>
      </w:tr>
      <w:tr w:rsidR="00923BE4" w14:paraId="63D39F4A" w14:textId="77777777" w:rsidTr="00134136">
        <w:trPr>
          <w:cnfStyle w:val="000000010000" w:firstRow="0" w:lastRow="0" w:firstColumn="0" w:lastColumn="0" w:oddVBand="0" w:evenVBand="0" w:oddHBand="0" w:evenHBand="1" w:firstRowFirstColumn="0" w:firstRowLastColumn="0" w:lastRowFirstColumn="0" w:lastRowLastColumn="0"/>
        </w:trPr>
        <w:tc>
          <w:tcPr>
            <w:tcW w:w="1536" w:type="dxa"/>
          </w:tcPr>
          <w:p w14:paraId="75B9C9BF" w14:textId="77777777" w:rsidR="00923BE4" w:rsidRPr="002C1AA1" w:rsidRDefault="00923BE4" w:rsidP="00134136">
            <w:pPr>
              <w:pStyle w:val="TableNbiophoto"/>
              <w:rPr>
                <w:sz w:val="19"/>
                <w:szCs w:val="19"/>
              </w:rPr>
            </w:pPr>
            <w:r w:rsidRPr="002C1AA1">
              <w:rPr>
                <w:sz w:val="19"/>
                <w:szCs w:val="19"/>
              </w:rPr>
              <w:t>BCR</w:t>
            </w:r>
          </w:p>
        </w:tc>
        <w:tc>
          <w:tcPr>
            <w:tcW w:w="1633" w:type="dxa"/>
          </w:tcPr>
          <w:p w14:paraId="737D9779" w14:textId="4C32ADEF" w:rsidR="00923BE4" w:rsidRPr="002C1AA1" w:rsidRDefault="00EC4416" w:rsidP="00134136">
            <w:pPr>
              <w:pStyle w:val="TableNbiophoto"/>
              <w:rPr>
                <w:sz w:val="19"/>
                <w:szCs w:val="19"/>
              </w:rPr>
            </w:pPr>
            <w:r w:rsidRPr="002C1AA1">
              <w:rPr>
                <w:sz w:val="19"/>
                <w:szCs w:val="19"/>
              </w:rPr>
              <w:t>1.</w:t>
            </w:r>
            <w:r w:rsidR="00FA639C">
              <w:rPr>
                <w:sz w:val="19"/>
                <w:szCs w:val="19"/>
              </w:rPr>
              <w:t>63</w:t>
            </w:r>
          </w:p>
        </w:tc>
        <w:tc>
          <w:tcPr>
            <w:tcW w:w="1947" w:type="dxa"/>
          </w:tcPr>
          <w:p w14:paraId="3428FD29" w14:textId="733E42C3" w:rsidR="00923BE4" w:rsidRPr="002C1AA1" w:rsidRDefault="00786E8B" w:rsidP="00134136">
            <w:pPr>
              <w:pStyle w:val="TableNbiophoto"/>
              <w:rPr>
                <w:sz w:val="19"/>
                <w:szCs w:val="19"/>
              </w:rPr>
            </w:pPr>
            <w:r w:rsidRPr="002C1AA1">
              <w:rPr>
                <w:sz w:val="19"/>
                <w:szCs w:val="19"/>
              </w:rPr>
              <w:t>1.</w:t>
            </w:r>
            <w:r w:rsidR="003670F4">
              <w:rPr>
                <w:sz w:val="19"/>
                <w:szCs w:val="19"/>
              </w:rPr>
              <w:t>51</w:t>
            </w:r>
          </w:p>
        </w:tc>
        <w:tc>
          <w:tcPr>
            <w:tcW w:w="1915" w:type="dxa"/>
          </w:tcPr>
          <w:p w14:paraId="2384DFA5" w14:textId="2794C349" w:rsidR="00923BE4" w:rsidRPr="002C1AA1" w:rsidRDefault="00DB04D0" w:rsidP="00134136">
            <w:pPr>
              <w:pStyle w:val="TableNbiophoto"/>
              <w:rPr>
                <w:sz w:val="19"/>
                <w:szCs w:val="19"/>
              </w:rPr>
            </w:pPr>
            <w:r>
              <w:rPr>
                <w:sz w:val="19"/>
                <w:szCs w:val="19"/>
              </w:rPr>
              <w:t>1.83</w:t>
            </w:r>
          </w:p>
        </w:tc>
        <w:tc>
          <w:tcPr>
            <w:tcW w:w="1899" w:type="dxa"/>
          </w:tcPr>
          <w:p w14:paraId="3B8476F0" w14:textId="22E7A320" w:rsidR="00923BE4" w:rsidRPr="002C1AA1" w:rsidRDefault="00923BE4" w:rsidP="00134136">
            <w:pPr>
              <w:pStyle w:val="TableNbiophoto"/>
              <w:rPr>
                <w:sz w:val="19"/>
                <w:szCs w:val="19"/>
              </w:rPr>
            </w:pPr>
            <w:r w:rsidRPr="002C1AA1">
              <w:rPr>
                <w:sz w:val="19"/>
                <w:szCs w:val="19"/>
              </w:rPr>
              <w:t>1.</w:t>
            </w:r>
            <w:r w:rsidR="00C459A9" w:rsidRPr="002C1AA1">
              <w:rPr>
                <w:sz w:val="19"/>
                <w:szCs w:val="19"/>
              </w:rPr>
              <w:t>0</w:t>
            </w:r>
            <w:r w:rsidR="00FA639C">
              <w:rPr>
                <w:sz w:val="19"/>
                <w:szCs w:val="19"/>
              </w:rPr>
              <w:t>5</w:t>
            </w:r>
          </w:p>
        </w:tc>
      </w:tr>
    </w:tbl>
    <w:p w14:paraId="4892CC5F" w14:textId="68A935A9" w:rsidR="00923BE4" w:rsidRDefault="00BF0F46" w:rsidP="00923BE4">
      <w:r>
        <w:rPr>
          <w:lang w:eastAsia="en-AU"/>
        </w:rPr>
        <w:br/>
      </w:r>
      <w:r w:rsidR="00832E3B">
        <w:rPr>
          <w:lang w:eastAsia="en-AU"/>
        </w:rPr>
        <w:t xml:space="preserve">Even without any growth in </w:t>
      </w:r>
      <w:r w:rsidR="00923BE4">
        <w:rPr>
          <w:lang w:eastAsia="en-AU"/>
        </w:rPr>
        <w:t xml:space="preserve">Aboriginal, Torres Strait Islander and </w:t>
      </w:r>
      <w:r w:rsidR="00923BE4" w:rsidRPr="00FA7082">
        <w:rPr>
          <w:lang w:eastAsia="en-AU"/>
        </w:rPr>
        <w:t>Māori</w:t>
      </w:r>
      <w:r w:rsidR="00923BE4">
        <w:rPr>
          <w:lang w:eastAsia="en-AU"/>
        </w:rPr>
        <w:t xml:space="preserve"> food </w:t>
      </w:r>
      <w:r w:rsidR="00923BE4">
        <w:t xml:space="preserve">sector industry value add, there will still be overall net </w:t>
      </w:r>
      <w:r w:rsidR="00BD154D">
        <w:t xml:space="preserve">present </w:t>
      </w:r>
      <w:r w:rsidR="00923BE4">
        <w:t>benefit in Option 2</w:t>
      </w:r>
      <w:r w:rsidR="00415373">
        <w:t>,</w:t>
      </w:r>
      <w:r w:rsidR="00923BE4">
        <w:t xml:space="preserve"> and it would still be </w:t>
      </w:r>
      <w:r w:rsidR="00123B47">
        <w:t xml:space="preserve">approximately </w:t>
      </w:r>
      <w:r w:rsidR="00F672DB">
        <w:t>50% more</w:t>
      </w:r>
      <w:r w:rsidR="00923BE4">
        <w:t xml:space="preserve"> effective than the status quo. </w:t>
      </w:r>
    </w:p>
    <w:p w14:paraId="2DD59957" w14:textId="5868DC2D" w:rsidR="00772CC9" w:rsidRDefault="00772CC9" w:rsidP="00923BE4">
      <w:pPr>
        <w:rPr>
          <w:rFonts w:asciiTheme="majorHAnsi" w:hAnsiTheme="majorHAnsi" w:cstheme="majorHAnsi"/>
        </w:rPr>
      </w:pPr>
      <w:r w:rsidRPr="00772CC9">
        <w:rPr>
          <w:rFonts w:asciiTheme="majorHAnsi" w:hAnsiTheme="majorHAnsi" w:cstheme="majorHAnsi"/>
        </w:rPr>
        <w:t xml:space="preserve">Public health benefits </w:t>
      </w:r>
    </w:p>
    <w:p w14:paraId="313D3657" w14:textId="77777777" w:rsidR="00123B47" w:rsidRDefault="00AD48FD" w:rsidP="00123B47">
      <w:pPr>
        <w:rPr>
          <w:rFonts w:asciiTheme="minorHAnsi" w:hAnsiTheme="minorHAnsi" w:cstheme="minorHAnsi"/>
        </w:rPr>
      </w:pPr>
      <w:r>
        <w:rPr>
          <w:rFonts w:asciiTheme="minorHAnsi" w:hAnsiTheme="minorHAnsi" w:cstheme="minorHAnsi"/>
        </w:rPr>
        <w:t xml:space="preserve">The </w:t>
      </w:r>
      <w:r w:rsidR="003339DC">
        <w:rPr>
          <w:rFonts w:asciiTheme="minorHAnsi" w:hAnsiTheme="minorHAnsi" w:cstheme="minorHAnsi"/>
        </w:rPr>
        <w:t>current public health benefit per proposal/application/</w:t>
      </w:r>
      <w:r w:rsidR="001A462A">
        <w:rPr>
          <w:rFonts w:asciiTheme="minorHAnsi" w:hAnsiTheme="minorHAnsi" w:cstheme="minorHAnsi"/>
        </w:rPr>
        <w:t xml:space="preserve">review is calculated to be $1.33 million, </w:t>
      </w:r>
      <w:r w:rsidR="00123B47" w:rsidRPr="00123B47">
        <w:rPr>
          <w:rFonts w:asciiTheme="minorHAnsi" w:hAnsiTheme="minorHAnsi" w:cstheme="minorHAnsi"/>
        </w:rPr>
        <w:t>using nutrition labelling as a proxy for the public health benefits of food regulation. This is assumed to grow by the average population growth rate of 0.76% per annum.</w:t>
      </w:r>
    </w:p>
    <w:p w14:paraId="6F02E679" w14:textId="19F27E92" w:rsidR="002252D4" w:rsidRDefault="00CB0998" w:rsidP="00123B47">
      <w:r>
        <w:t>To test the</w:t>
      </w:r>
      <w:r w:rsidR="00C7641A">
        <w:t xml:space="preserve"> sensitivity of the model to the public health benefit </w:t>
      </w:r>
      <w:r w:rsidR="006A2483">
        <w:t>figur</w:t>
      </w:r>
      <w:r w:rsidR="009E26F0">
        <w:t>e,</w:t>
      </w:r>
      <w:r w:rsidR="00C7641A">
        <w:t xml:space="preserve"> </w:t>
      </w:r>
      <w:r w:rsidR="00C7641A">
        <w:rPr>
          <w:lang w:eastAsia="en-AU"/>
        </w:rPr>
        <w:t xml:space="preserve">an analysis of the net </w:t>
      </w:r>
      <w:r w:rsidR="00D915D8">
        <w:rPr>
          <w:lang w:eastAsia="en-AU"/>
        </w:rPr>
        <w:t>present value</w:t>
      </w:r>
      <w:r w:rsidR="00C7641A">
        <w:rPr>
          <w:lang w:eastAsia="en-AU"/>
        </w:rPr>
        <w:t xml:space="preserve"> and BCR achieved at both </w:t>
      </w:r>
      <w:r w:rsidR="009E26F0">
        <w:rPr>
          <w:lang w:eastAsia="en-AU"/>
        </w:rPr>
        <w:t>$0.67 million</w:t>
      </w:r>
      <w:r w:rsidR="00C7641A">
        <w:rPr>
          <w:lang w:eastAsia="en-AU"/>
        </w:rPr>
        <w:t xml:space="preserve"> (pessimistic scenario) and </w:t>
      </w:r>
      <w:r w:rsidR="0025244F">
        <w:rPr>
          <w:lang w:eastAsia="en-AU"/>
        </w:rPr>
        <w:t>$2.66 million</w:t>
      </w:r>
      <w:r w:rsidR="00C7641A">
        <w:rPr>
          <w:lang w:eastAsia="en-AU"/>
        </w:rPr>
        <w:t xml:space="preserve"> (optimistic scenario)</w:t>
      </w:r>
      <w:r w:rsidR="008246FE">
        <w:rPr>
          <w:lang w:eastAsia="en-AU"/>
        </w:rPr>
        <w:t xml:space="preserve"> was performed</w:t>
      </w:r>
      <w:r w:rsidR="00C7641A">
        <w:rPr>
          <w:lang w:eastAsia="en-AU"/>
        </w:rPr>
        <w:t xml:space="preserve">. The details of both analyses are described in </w:t>
      </w:r>
      <w:r w:rsidR="00E40DB9">
        <w:rPr>
          <w:lang w:eastAsia="en-AU"/>
        </w:rPr>
        <w:fldChar w:fldCharType="begin"/>
      </w:r>
      <w:r w:rsidR="00E40DB9">
        <w:rPr>
          <w:lang w:eastAsia="en-AU"/>
        </w:rPr>
        <w:instrText xml:space="preserve"> REF _Ref150757451 \h </w:instrText>
      </w:r>
      <w:r w:rsidR="00E40DB9">
        <w:rPr>
          <w:lang w:eastAsia="en-AU"/>
        </w:rPr>
      </w:r>
      <w:r w:rsidR="00E40DB9">
        <w:rPr>
          <w:lang w:eastAsia="en-AU"/>
        </w:rPr>
        <w:fldChar w:fldCharType="separate"/>
      </w:r>
      <w:r w:rsidR="003F7B92">
        <w:t xml:space="preserve">Table </w:t>
      </w:r>
      <w:r w:rsidR="003F7B92">
        <w:rPr>
          <w:noProof/>
        </w:rPr>
        <w:t>18</w:t>
      </w:r>
      <w:r w:rsidR="00E40DB9">
        <w:rPr>
          <w:lang w:eastAsia="en-AU"/>
        </w:rPr>
        <w:fldChar w:fldCharType="end"/>
      </w:r>
      <w:r w:rsidR="00E40DB9">
        <w:rPr>
          <w:lang w:eastAsia="en-AU"/>
        </w:rPr>
        <w:t>.</w:t>
      </w:r>
    </w:p>
    <w:p w14:paraId="22E25F85" w14:textId="51747E44" w:rsidR="00891A11" w:rsidRDefault="00891A11" w:rsidP="00891A11">
      <w:pPr>
        <w:pStyle w:val="Caption"/>
      </w:pPr>
      <w:bookmarkStart w:id="78" w:name="_Ref150757451"/>
      <w:r>
        <w:t xml:space="preserve">Table </w:t>
      </w:r>
      <w:r>
        <w:fldChar w:fldCharType="begin"/>
      </w:r>
      <w:r>
        <w:instrText xml:space="preserve"> SEQ Table \* ARABIC </w:instrText>
      </w:r>
      <w:r>
        <w:fldChar w:fldCharType="separate"/>
      </w:r>
      <w:r w:rsidR="003F7B92">
        <w:rPr>
          <w:noProof/>
        </w:rPr>
        <w:t>18</w:t>
      </w:r>
      <w:r>
        <w:fldChar w:fldCharType="end"/>
      </w:r>
      <w:bookmarkEnd w:id="78"/>
      <w:r>
        <w:t xml:space="preserve"> | Sensitivity analysis for public health benefit per application/proposal/review for Options 1 and 2 (AUD $millions)</w:t>
      </w:r>
    </w:p>
    <w:tbl>
      <w:tblPr>
        <w:tblStyle w:val="TableGrid"/>
        <w:tblW w:w="0" w:type="auto"/>
        <w:tblLook w:val="04A0" w:firstRow="1" w:lastRow="0" w:firstColumn="1" w:lastColumn="0" w:noHBand="0" w:noVBand="1"/>
      </w:tblPr>
      <w:tblGrid>
        <w:gridCol w:w="1949"/>
        <w:gridCol w:w="2071"/>
        <w:gridCol w:w="2470"/>
        <w:gridCol w:w="2430"/>
      </w:tblGrid>
      <w:tr w:rsidR="006A3CE3" w14:paraId="17A50475" w14:textId="77777777" w:rsidTr="00891A11">
        <w:trPr>
          <w:cnfStyle w:val="100000000000" w:firstRow="1" w:lastRow="0" w:firstColumn="0" w:lastColumn="0" w:oddVBand="0" w:evenVBand="0" w:oddHBand="0" w:evenHBand="0" w:firstRowFirstColumn="0" w:firstRowLastColumn="0" w:lastRowFirstColumn="0" w:lastRowLastColumn="0"/>
          <w:trHeight w:val="576"/>
        </w:trPr>
        <w:tc>
          <w:tcPr>
            <w:tcW w:w="1949" w:type="dxa"/>
          </w:tcPr>
          <w:p w14:paraId="5D50945C" w14:textId="77777777" w:rsidR="00411A7D" w:rsidRDefault="00411A7D">
            <w:pPr>
              <w:pStyle w:val="TableNbiophoto"/>
            </w:pPr>
          </w:p>
        </w:tc>
        <w:tc>
          <w:tcPr>
            <w:tcW w:w="2071" w:type="dxa"/>
          </w:tcPr>
          <w:p w14:paraId="7758768B" w14:textId="21D3C035" w:rsidR="00411A7D" w:rsidRPr="002C1AA1" w:rsidRDefault="00411A7D">
            <w:pPr>
              <w:pStyle w:val="TableNbiophoto"/>
              <w:rPr>
                <w:rFonts w:asciiTheme="majorHAnsi" w:hAnsiTheme="majorHAnsi" w:cstheme="majorHAnsi"/>
                <w:sz w:val="18"/>
                <w:szCs w:val="24"/>
              </w:rPr>
            </w:pPr>
            <w:r w:rsidRPr="002C1AA1">
              <w:rPr>
                <w:rFonts w:asciiTheme="majorHAnsi" w:hAnsiTheme="majorHAnsi" w:cstheme="majorHAnsi"/>
                <w:sz w:val="18"/>
                <w:szCs w:val="24"/>
              </w:rPr>
              <w:t xml:space="preserve">Base case – </w:t>
            </w:r>
            <w:r>
              <w:rPr>
                <w:rFonts w:asciiTheme="majorHAnsi" w:hAnsiTheme="majorHAnsi" w:cstheme="majorHAnsi"/>
                <w:sz w:val="18"/>
                <w:szCs w:val="24"/>
              </w:rPr>
              <w:t xml:space="preserve">$1.33 million </w:t>
            </w:r>
          </w:p>
        </w:tc>
        <w:tc>
          <w:tcPr>
            <w:tcW w:w="2470" w:type="dxa"/>
          </w:tcPr>
          <w:p w14:paraId="17C8ACA2" w14:textId="0457FB19" w:rsidR="00411A7D" w:rsidRPr="002C1AA1" w:rsidRDefault="00411A7D">
            <w:pPr>
              <w:pStyle w:val="TableNbiophoto"/>
              <w:rPr>
                <w:rFonts w:asciiTheme="majorHAnsi" w:hAnsiTheme="majorHAnsi" w:cstheme="majorHAnsi"/>
                <w:sz w:val="18"/>
                <w:szCs w:val="24"/>
              </w:rPr>
            </w:pPr>
            <w:r w:rsidRPr="002C1AA1">
              <w:rPr>
                <w:rFonts w:asciiTheme="majorHAnsi" w:hAnsiTheme="majorHAnsi" w:cstheme="majorHAnsi"/>
                <w:sz w:val="18"/>
                <w:szCs w:val="24"/>
              </w:rPr>
              <w:t xml:space="preserve">Pessimistic – </w:t>
            </w:r>
            <w:r>
              <w:rPr>
                <w:rFonts w:asciiTheme="majorHAnsi" w:hAnsiTheme="majorHAnsi" w:cstheme="majorHAnsi"/>
                <w:sz w:val="18"/>
                <w:szCs w:val="24"/>
              </w:rPr>
              <w:t xml:space="preserve">$0.67 million </w:t>
            </w:r>
          </w:p>
        </w:tc>
        <w:tc>
          <w:tcPr>
            <w:tcW w:w="2430" w:type="dxa"/>
          </w:tcPr>
          <w:p w14:paraId="08937954" w14:textId="50DB8BEF" w:rsidR="00411A7D" w:rsidRPr="002C1AA1" w:rsidRDefault="00411A7D">
            <w:pPr>
              <w:pStyle w:val="TableNbiophoto"/>
              <w:rPr>
                <w:rFonts w:asciiTheme="majorHAnsi" w:hAnsiTheme="majorHAnsi" w:cstheme="majorHAnsi"/>
                <w:sz w:val="18"/>
                <w:szCs w:val="24"/>
              </w:rPr>
            </w:pPr>
            <w:r w:rsidRPr="002C1AA1">
              <w:rPr>
                <w:rFonts w:asciiTheme="majorHAnsi" w:hAnsiTheme="majorHAnsi" w:cstheme="majorHAnsi"/>
                <w:sz w:val="18"/>
                <w:szCs w:val="24"/>
              </w:rPr>
              <w:t>Optimist</w:t>
            </w:r>
            <w:r>
              <w:rPr>
                <w:rFonts w:asciiTheme="majorHAnsi" w:hAnsiTheme="majorHAnsi" w:cstheme="majorHAnsi"/>
                <w:sz w:val="18"/>
                <w:szCs w:val="24"/>
              </w:rPr>
              <w:t>i</w:t>
            </w:r>
            <w:r w:rsidRPr="002C1AA1">
              <w:rPr>
                <w:rFonts w:asciiTheme="majorHAnsi" w:hAnsiTheme="majorHAnsi" w:cstheme="majorHAnsi"/>
                <w:sz w:val="18"/>
                <w:szCs w:val="24"/>
              </w:rPr>
              <w:t xml:space="preserve">c - </w:t>
            </w:r>
            <w:r>
              <w:rPr>
                <w:rFonts w:asciiTheme="majorHAnsi" w:hAnsiTheme="majorHAnsi" w:cstheme="majorHAnsi"/>
                <w:sz w:val="18"/>
                <w:szCs w:val="24"/>
              </w:rPr>
              <w:t xml:space="preserve">$2.66 million </w:t>
            </w:r>
          </w:p>
        </w:tc>
      </w:tr>
      <w:tr w:rsidR="00411A7D" w14:paraId="5C56F72A" w14:textId="77777777" w:rsidTr="00891A11">
        <w:trPr>
          <w:cnfStyle w:val="000000100000" w:firstRow="0" w:lastRow="0" w:firstColumn="0" w:lastColumn="0" w:oddVBand="0" w:evenVBand="0" w:oddHBand="1" w:evenHBand="0" w:firstRowFirstColumn="0" w:firstRowLastColumn="0" w:lastRowFirstColumn="0" w:lastRowLastColumn="0"/>
          <w:trHeight w:val="309"/>
        </w:trPr>
        <w:tc>
          <w:tcPr>
            <w:tcW w:w="1949" w:type="dxa"/>
          </w:tcPr>
          <w:p w14:paraId="30A8B35A" w14:textId="442C7611" w:rsidR="00411A7D" w:rsidRPr="002C1AA1" w:rsidRDefault="007442A1">
            <w:pPr>
              <w:pStyle w:val="TableNbiophoto"/>
              <w:rPr>
                <w:sz w:val="19"/>
                <w:szCs w:val="19"/>
              </w:rPr>
            </w:pPr>
            <w:r>
              <w:rPr>
                <w:sz w:val="19"/>
                <w:szCs w:val="19"/>
              </w:rPr>
              <w:t xml:space="preserve">Option 1 net present </w:t>
            </w:r>
            <w:r w:rsidR="00944C19">
              <w:rPr>
                <w:sz w:val="19"/>
                <w:szCs w:val="19"/>
              </w:rPr>
              <w:t>value</w:t>
            </w:r>
            <w:r>
              <w:rPr>
                <w:sz w:val="19"/>
                <w:szCs w:val="19"/>
              </w:rPr>
              <w:t xml:space="preserve"> (BCR)</w:t>
            </w:r>
          </w:p>
        </w:tc>
        <w:tc>
          <w:tcPr>
            <w:tcW w:w="2071" w:type="dxa"/>
          </w:tcPr>
          <w:p w14:paraId="52F55C09" w14:textId="71622581" w:rsidR="00411A7D" w:rsidRPr="002C1AA1" w:rsidRDefault="00402382">
            <w:pPr>
              <w:pStyle w:val="TableNbiophoto"/>
              <w:rPr>
                <w:sz w:val="19"/>
                <w:szCs w:val="19"/>
              </w:rPr>
            </w:pPr>
            <w:r>
              <w:rPr>
                <w:sz w:val="19"/>
                <w:szCs w:val="19"/>
              </w:rPr>
              <w:t>1</w:t>
            </w:r>
            <w:r w:rsidR="00A953B9">
              <w:rPr>
                <w:sz w:val="19"/>
                <w:szCs w:val="19"/>
              </w:rPr>
              <w:t>0.7 (1.05)</w:t>
            </w:r>
          </w:p>
        </w:tc>
        <w:tc>
          <w:tcPr>
            <w:tcW w:w="2470" w:type="dxa"/>
          </w:tcPr>
          <w:p w14:paraId="29D8A508" w14:textId="23046D2A" w:rsidR="00411A7D" w:rsidRPr="002C1AA1" w:rsidRDefault="00B13C03">
            <w:pPr>
              <w:pStyle w:val="TableNbiophoto"/>
              <w:rPr>
                <w:sz w:val="19"/>
                <w:szCs w:val="19"/>
              </w:rPr>
            </w:pPr>
            <w:r>
              <w:rPr>
                <w:sz w:val="19"/>
                <w:szCs w:val="19"/>
              </w:rPr>
              <w:t>-92.4</w:t>
            </w:r>
            <w:r w:rsidR="00A7726F">
              <w:rPr>
                <w:sz w:val="19"/>
                <w:szCs w:val="19"/>
              </w:rPr>
              <w:t xml:space="preserve"> (0.58)</w:t>
            </w:r>
          </w:p>
        </w:tc>
        <w:tc>
          <w:tcPr>
            <w:tcW w:w="2430" w:type="dxa"/>
          </w:tcPr>
          <w:p w14:paraId="773FDCA0" w14:textId="092740CD" w:rsidR="00411A7D" w:rsidRPr="002C1AA1" w:rsidRDefault="005C128A">
            <w:pPr>
              <w:pStyle w:val="TableNbiophoto"/>
              <w:rPr>
                <w:sz w:val="19"/>
                <w:szCs w:val="19"/>
              </w:rPr>
            </w:pPr>
            <w:r>
              <w:rPr>
                <w:sz w:val="19"/>
                <w:szCs w:val="19"/>
              </w:rPr>
              <w:t>216.9</w:t>
            </w:r>
            <w:r w:rsidR="002424DB">
              <w:rPr>
                <w:sz w:val="19"/>
                <w:szCs w:val="19"/>
              </w:rPr>
              <w:t xml:space="preserve"> (2.0</w:t>
            </w:r>
            <w:r w:rsidR="000C6EB6">
              <w:rPr>
                <w:sz w:val="19"/>
                <w:szCs w:val="19"/>
              </w:rPr>
              <w:t>0</w:t>
            </w:r>
            <w:r w:rsidR="002424DB">
              <w:rPr>
                <w:sz w:val="19"/>
                <w:szCs w:val="19"/>
              </w:rPr>
              <w:t>)</w:t>
            </w:r>
          </w:p>
        </w:tc>
      </w:tr>
      <w:tr w:rsidR="00411A7D" w14:paraId="3364BEE8" w14:textId="77777777" w:rsidTr="00891A11">
        <w:trPr>
          <w:cnfStyle w:val="000000010000" w:firstRow="0" w:lastRow="0" w:firstColumn="0" w:lastColumn="0" w:oddVBand="0" w:evenVBand="0" w:oddHBand="0" w:evenHBand="1" w:firstRowFirstColumn="0" w:firstRowLastColumn="0" w:lastRowFirstColumn="0" w:lastRowLastColumn="0"/>
          <w:trHeight w:val="309"/>
        </w:trPr>
        <w:tc>
          <w:tcPr>
            <w:tcW w:w="1949" w:type="dxa"/>
          </w:tcPr>
          <w:p w14:paraId="0F54EEB6" w14:textId="75E6B779" w:rsidR="00411A7D" w:rsidRPr="002C1AA1" w:rsidRDefault="007442A1">
            <w:pPr>
              <w:pStyle w:val="TableNbiophoto"/>
              <w:rPr>
                <w:sz w:val="19"/>
                <w:szCs w:val="19"/>
              </w:rPr>
            </w:pPr>
            <w:r>
              <w:rPr>
                <w:sz w:val="19"/>
                <w:szCs w:val="19"/>
              </w:rPr>
              <w:t xml:space="preserve">Option 2 net present </w:t>
            </w:r>
            <w:r w:rsidR="00944C19">
              <w:rPr>
                <w:sz w:val="19"/>
                <w:szCs w:val="19"/>
              </w:rPr>
              <w:t>value</w:t>
            </w:r>
            <w:r>
              <w:rPr>
                <w:sz w:val="19"/>
                <w:szCs w:val="19"/>
              </w:rPr>
              <w:t xml:space="preserve"> (BCR)</w:t>
            </w:r>
          </w:p>
        </w:tc>
        <w:tc>
          <w:tcPr>
            <w:tcW w:w="2071" w:type="dxa"/>
          </w:tcPr>
          <w:p w14:paraId="48567789" w14:textId="645D89F4" w:rsidR="00411A7D" w:rsidRPr="002C1AA1" w:rsidRDefault="00A953B9">
            <w:pPr>
              <w:pStyle w:val="TableNbiophoto"/>
              <w:rPr>
                <w:sz w:val="19"/>
                <w:szCs w:val="19"/>
              </w:rPr>
            </w:pPr>
            <w:r>
              <w:rPr>
                <w:sz w:val="19"/>
                <w:szCs w:val="19"/>
              </w:rPr>
              <w:t>208.6</w:t>
            </w:r>
            <w:r w:rsidR="0069043B">
              <w:rPr>
                <w:sz w:val="19"/>
                <w:szCs w:val="19"/>
              </w:rPr>
              <w:t xml:space="preserve"> (</w:t>
            </w:r>
            <w:r w:rsidR="0069043B" w:rsidRPr="002C1AA1">
              <w:rPr>
                <w:sz w:val="19"/>
                <w:szCs w:val="19"/>
              </w:rPr>
              <w:t>1.</w:t>
            </w:r>
            <w:r w:rsidR="0069043B">
              <w:rPr>
                <w:sz w:val="19"/>
                <w:szCs w:val="19"/>
              </w:rPr>
              <w:t>63)</w:t>
            </w:r>
          </w:p>
        </w:tc>
        <w:tc>
          <w:tcPr>
            <w:tcW w:w="2470" w:type="dxa"/>
          </w:tcPr>
          <w:p w14:paraId="38349E2F" w14:textId="2DA7118D" w:rsidR="00411A7D" w:rsidRPr="002C1AA1" w:rsidRDefault="00492D1A">
            <w:pPr>
              <w:pStyle w:val="TableNbiophoto"/>
              <w:rPr>
                <w:sz w:val="19"/>
                <w:szCs w:val="19"/>
              </w:rPr>
            </w:pPr>
            <w:r>
              <w:rPr>
                <w:sz w:val="19"/>
                <w:szCs w:val="19"/>
              </w:rPr>
              <w:t xml:space="preserve">64.23 </w:t>
            </w:r>
            <w:r w:rsidR="00A7726F">
              <w:rPr>
                <w:sz w:val="19"/>
                <w:szCs w:val="19"/>
              </w:rPr>
              <w:t>(1.</w:t>
            </w:r>
            <w:r>
              <w:rPr>
                <w:sz w:val="19"/>
                <w:szCs w:val="19"/>
              </w:rPr>
              <w:t>1</w:t>
            </w:r>
            <w:r w:rsidR="00A7726F">
              <w:rPr>
                <w:sz w:val="19"/>
                <w:szCs w:val="19"/>
              </w:rPr>
              <w:t>9)</w:t>
            </w:r>
          </w:p>
        </w:tc>
        <w:tc>
          <w:tcPr>
            <w:tcW w:w="2430" w:type="dxa"/>
          </w:tcPr>
          <w:p w14:paraId="55A53BA0" w14:textId="45ECF272" w:rsidR="00411A7D" w:rsidRPr="002C1AA1" w:rsidRDefault="005C128A">
            <w:pPr>
              <w:pStyle w:val="TableNbiophoto"/>
              <w:rPr>
                <w:sz w:val="19"/>
                <w:szCs w:val="19"/>
              </w:rPr>
            </w:pPr>
            <w:r>
              <w:rPr>
                <w:sz w:val="19"/>
                <w:szCs w:val="19"/>
              </w:rPr>
              <w:t>497.3</w:t>
            </w:r>
            <w:r w:rsidR="0069043B">
              <w:rPr>
                <w:sz w:val="19"/>
                <w:szCs w:val="19"/>
              </w:rPr>
              <w:t xml:space="preserve"> (</w:t>
            </w:r>
            <w:r w:rsidR="002424DB">
              <w:rPr>
                <w:sz w:val="19"/>
                <w:szCs w:val="19"/>
              </w:rPr>
              <w:t>2.</w:t>
            </w:r>
            <w:r w:rsidR="0033264A">
              <w:rPr>
                <w:sz w:val="19"/>
                <w:szCs w:val="19"/>
              </w:rPr>
              <w:t>51</w:t>
            </w:r>
            <w:r w:rsidR="002424DB">
              <w:rPr>
                <w:sz w:val="19"/>
                <w:szCs w:val="19"/>
              </w:rPr>
              <w:t>)</w:t>
            </w:r>
          </w:p>
        </w:tc>
      </w:tr>
    </w:tbl>
    <w:p w14:paraId="334E1D46" w14:textId="7D8AD5DC" w:rsidR="00FB5CE8" w:rsidRDefault="002252D4" w:rsidP="00923BE4">
      <w:r>
        <w:rPr>
          <w:lang w:eastAsia="en-AU"/>
        </w:rPr>
        <w:br/>
      </w:r>
      <w:r w:rsidR="00CE324B">
        <w:t xml:space="preserve">As public health </w:t>
      </w:r>
      <w:r w:rsidR="00BE38D6">
        <w:t>represents the main driver of benefits</w:t>
      </w:r>
      <w:r w:rsidR="00CE324B">
        <w:t xml:space="preserve">, </w:t>
      </w:r>
      <w:r w:rsidR="007903F8">
        <w:t>the net present value and BCR are both</w:t>
      </w:r>
      <w:r w:rsidR="003C7A86">
        <w:t xml:space="preserve"> sensitive </w:t>
      </w:r>
      <w:r w:rsidR="00AF4B5D">
        <w:t xml:space="preserve">to its </w:t>
      </w:r>
      <w:r w:rsidR="001E7557">
        <w:t>changes</w:t>
      </w:r>
      <w:r w:rsidR="00F779ED">
        <w:t>. However, even w</w:t>
      </w:r>
      <w:r w:rsidR="006C158F">
        <w:t xml:space="preserve">here the public health benefit is halved compared with the base case, Option 2 </w:t>
      </w:r>
      <w:r w:rsidR="00BD154D">
        <w:t>still yields a positive net present value</w:t>
      </w:r>
      <w:r w:rsidR="00667DB0">
        <w:t xml:space="preserve">. </w:t>
      </w:r>
    </w:p>
    <w:p w14:paraId="0266C7D0" w14:textId="05B9968A" w:rsidR="004C21CB" w:rsidRDefault="004C21CB" w:rsidP="004C21CB">
      <w:pPr>
        <w:rPr>
          <w:rFonts w:asciiTheme="majorHAnsi" w:hAnsiTheme="majorHAnsi" w:cstheme="majorHAnsi"/>
        </w:rPr>
      </w:pPr>
      <w:r>
        <w:rPr>
          <w:rFonts w:asciiTheme="majorHAnsi" w:hAnsiTheme="majorHAnsi" w:cstheme="majorHAnsi"/>
        </w:rPr>
        <w:t>Discount rate</w:t>
      </w:r>
    </w:p>
    <w:p w14:paraId="3C0C30B5" w14:textId="123A326B" w:rsidR="004C21CB" w:rsidRPr="00772CC9" w:rsidRDefault="004C21CB" w:rsidP="004C21CB">
      <w:pPr>
        <w:rPr>
          <w:rFonts w:asciiTheme="majorHAnsi" w:hAnsiTheme="majorHAnsi" w:cstheme="majorHAnsi"/>
        </w:rPr>
      </w:pPr>
      <w:r>
        <w:rPr>
          <w:rFonts w:asciiTheme="minorHAnsi" w:hAnsiTheme="minorHAnsi" w:cstheme="minorHAnsi"/>
        </w:rPr>
        <w:t xml:space="preserve">In line with guidance from the Office of Impact Analysis, </w:t>
      </w:r>
      <w:r w:rsidR="007C44C5">
        <w:rPr>
          <w:rFonts w:asciiTheme="minorHAnsi" w:hAnsiTheme="minorHAnsi" w:cstheme="minorHAnsi"/>
        </w:rPr>
        <w:t xml:space="preserve">a </w:t>
      </w:r>
      <w:r w:rsidR="00380267">
        <w:rPr>
          <w:rFonts w:asciiTheme="minorHAnsi" w:hAnsiTheme="minorHAnsi" w:cstheme="minorHAnsi"/>
        </w:rPr>
        <w:t xml:space="preserve">real </w:t>
      </w:r>
      <w:r w:rsidR="007C44C5">
        <w:rPr>
          <w:rFonts w:asciiTheme="minorHAnsi" w:hAnsiTheme="minorHAnsi" w:cstheme="minorHAnsi"/>
        </w:rPr>
        <w:t xml:space="preserve">discount rate of 7% has been applied </w:t>
      </w:r>
      <w:r w:rsidR="00461396">
        <w:rPr>
          <w:rFonts w:asciiTheme="minorHAnsi" w:hAnsiTheme="minorHAnsi" w:cstheme="minorHAnsi"/>
        </w:rPr>
        <w:t xml:space="preserve">to </w:t>
      </w:r>
      <w:r w:rsidR="00F862B9">
        <w:rPr>
          <w:rFonts w:asciiTheme="minorHAnsi" w:hAnsiTheme="minorHAnsi" w:cstheme="minorHAnsi"/>
        </w:rPr>
        <w:t>future costs and benefits</w:t>
      </w:r>
      <w:r w:rsidR="00667DB0">
        <w:rPr>
          <w:rFonts w:asciiTheme="minorHAnsi" w:hAnsiTheme="minorHAnsi" w:cstheme="minorHAnsi"/>
        </w:rPr>
        <w:t xml:space="preserve"> when calculating the net present value</w:t>
      </w:r>
      <w:r w:rsidR="00F862B9">
        <w:rPr>
          <w:rFonts w:asciiTheme="minorHAnsi" w:hAnsiTheme="minorHAnsi" w:cstheme="minorHAnsi"/>
        </w:rPr>
        <w:t xml:space="preserve">. </w:t>
      </w:r>
      <w:r w:rsidR="00940011">
        <w:rPr>
          <w:rFonts w:asciiTheme="minorHAnsi" w:hAnsiTheme="minorHAnsi" w:cstheme="minorHAnsi"/>
        </w:rPr>
        <w:t xml:space="preserve">Sensitivity analysis has also been done </w:t>
      </w:r>
      <w:r w:rsidR="00380267">
        <w:rPr>
          <w:rFonts w:asciiTheme="minorHAnsi" w:hAnsiTheme="minorHAnsi" w:cstheme="minorHAnsi"/>
        </w:rPr>
        <w:t xml:space="preserve">with </w:t>
      </w:r>
      <w:r w:rsidR="00870096">
        <w:rPr>
          <w:rFonts w:asciiTheme="minorHAnsi" w:hAnsiTheme="minorHAnsi" w:cstheme="minorHAnsi"/>
        </w:rPr>
        <w:t xml:space="preserve">real discount rates of 3% and 10% </w:t>
      </w:r>
      <w:r w:rsidR="00FB5D0C">
        <w:rPr>
          <w:rFonts w:asciiTheme="minorHAnsi" w:hAnsiTheme="minorHAnsi" w:cstheme="minorHAnsi"/>
        </w:rPr>
        <w:t xml:space="preserve">to </w:t>
      </w:r>
      <w:r w:rsidR="00D761CE">
        <w:rPr>
          <w:rFonts w:asciiTheme="minorHAnsi" w:hAnsiTheme="minorHAnsi" w:cstheme="minorHAnsi"/>
        </w:rPr>
        <w:t xml:space="preserve">confirm the exposure of the </w:t>
      </w:r>
      <w:r w:rsidR="00667DB0">
        <w:rPr>
          <w:rFonts w:asciiTheme="minorHAnsi" w:hAnsiTheme="minorHAnsi" w:cstheme="minorHAnsi"/>
        </w:rPr>
        <w:t>model</w:t>
      </w:r>
      <w:r w:rsidR="00D761CE">
        <w:rPr>
          <w:rFonts w:asciiTheme="minorHAnsi" w:hAnsiTheme="minorHAnsi" w:cstheme="minorHAnsi"/>
        </w:rPr>
        <w:t xml:space="preserve"> to the choice of discount rates. </w:t>
      </w:r>
    </w:p>
    <w:p w14:paraId="6894D3AD" w14:textId="6F8E04FE" w:rsidR="0092202B" w:rsidRDefault="0092202B" w:rsidP="0092202B">
      <w:pPr>
        <w:pStyle w:val="Caption"/>
      </w:pPr>
      <w:bookmarkStart w:id="79" w:name="_Ref150531160"/>
      <w:r>
        <w:t>Table</w:t>
      </w:r>
      <w:bookmarkEnd w:id="79"/>
      <w:r>
        <w:t xml:space="preserve"> </w:t>
      </w:r>
      <w:r>
        <w:fldChar w:fldCharType="begin"/>
      </w:r>
      <w:r>
        <w:instrText xml:space="preserve"> SEQ Table \* ARABIC </w:instrText>
      </w:r>
      <w:r>
        <w:fldChar w:fldCharType="separate"/>
      </w:r>
      <w:r w:rsidR="003F7B92">
        <w:rPr>
          <w:noProof/>
        </w:rPr>
        <w:t>19</w:t>
      </w:r>
      <w:r>
        <w:fldChar w:fldCharType="end"/>
      </w:r>
      <w:r>
        <w:t xml:space="preserve"> | </w:t>
      </w:r>
      <w:r w:rsidRPr="0005435B">
        <w:t xml:space="preserve">Sensitivity analysis for </w:t>
      </w:r>
      <w:r>
        <w:t>discount rate applied</w:t>
      </w:r>
      <w:r w:rsidRPr="0005435B">
        <w:t xml:space="preserve"> for Options 1 and 2 (AUD $millions)</w:t>
      </w:r>
    </w:p>
    <w:tbl>
      <w:tblPr>
        <w:tblStyle w:val="TableGrid"/>
        <w:tblW w:w="0" w:type="auto"/>
        <w:tblLook w:val="04A0" w:firstRow="1" w:lastRow="0" w:firstColumn="1" w:lastColumn="0" w:noHBand="0" w:noVBand="1"/>
      </w:tblPr>
      <w:tblGrid>
        <w:gridCol w:w="1949"/>
        <w:gridCol w:w="2071"/>
        <w:gridCol w:w="2470"/>
        <w:gridCol w:w="2430"/>
      </w:tblGrid>
      <w:tr w:rsidR="005F2C95" w14:paraId="66639067" w14:textId="77777777">
        <w:trPr>
          <w:cnfStyle w:val="100000000000" w:firstRow="1" w:lastRow="0" w:firstColumn="0" w:lastColumn="0" w:oddVBand="0" w:evenVBand="0" w:oddHBand="0" w:evenHBand="0" w:firstRowFirstColumn="0" w:firstRowLastColumn="0" w:lastRowFirstColumn="0" w:lastRowLastColumn="0"/>
          <w:trHeight w:val="576"/>
        </w:trPr>
        <w:tc>
          <w:tcPr>
            <w:tcW w:w="1949" w:type="dxa"/>
          </w:tcPr>
          <w:p w14:paraId="31E65FF9" w14:textId="77777777" w:rsidR="00891A11" w:rsidRDefault="00891A11">
            <w:pPr>
              <w:pStyle w:val="TableNbiophoto"/>
            </w:pPr>
          </w:p>
        </w:tc>
        <w:tc>
          <w:tcPr>
            <w:tcW w:w="2071" w:type="dxa"/>
          </w:tcPr>
          <w:p w14:paraId="6DFC9C82" w14:textId="3C77C71A" w:rsidR="00891A11" w:rsidRPr="002C1AA1" w:rsidRDefault="00891A11">
            <w:pPr>
              <w:pStyle w:val="TableNbiophoto"/>
              <w:rPr>
                <w:rFonts w:asciiTheme="majorHAnsi" w:hAnsiTheme="majorHAnsi" w:cstheme="majorHAnsi"/>
                <w:sz w:val="18"/>
                <w:szCs w:val="24"/>
              </w:rPr>
            </w:pPr>
            <w:r w:rsidRPr="002C1AA1">
              <w:rPr>
                <w:rFonts w:asciiTheme="majorHAnsi" w:hAnsiTheme="majorHAnsi" w:cstheme="majorHAnsi"/>
                <w:sz w:val="18"/>
                <w:szCs w:val="24"/>
              </w:rPr>
              <w:t xml:space="preserve">Base case – </w:t>
            </w:r>
            <w:r>
              <w:rPr>
                <w:rFonts w:asciiTheme="majorHAnsi" w:hAnsiTheme="majorHAnsi" w:cstheme="majorHAnsi"/>
                <w:sz w:val="18"/>
                <w:szCs w:val="24"/>
              </w:rPr>
              <w:t xml:space="preserve">7% </w:t>
            </w:r>
          </w:p>
        </w:tc>
        <w:tc>
          <w:tcPr>
            <w:tcW w:w="2470" w:type="dxa"/>
          </w:tcPr>
          <w:p w14:paraId="0F0D2B41" w14:textId="63B96500" w:rsidR="00891A11" w:rsidRPr="002C1AA1" w:rsidRDefault="0092202B">
            <w:pPr>
              <w:pStyle w:val="TableNbiophoto"/>
              <w:rPr>
                <w:rFonts w:asciiTheme="majorHAnsi" w:hAnsiTheme="majorHAnsi" w:cstheme="majorHAnsi"/>
                <w:sz w:val="18"/>
                <w:szCs w:val="24"/>
              </w:rPr>
            </w:pPr>
            <w:r>
              <w:rPr>
                <w:rFonts w:asciiTheme="majorHAnsi" w:hAnsiTheme="majorHAnsi" w:cstheme="majorHAnsi"/>
                <w:sz w:val="18"/>
                <w:szCs w:val="24"/>
              </w:rPr>
              <w:t>Low</w:t>
            </w:r>
            <w:r w:rsidR="00891A11" w:rsidRPr="002C1AA1">
              <w:rPr>
                <w:rFonts w:asciiTheme="majorHAnsi" w:hAnsiTheme="majorHAnsi" w:cstheme="majorHAnsi"/>
                <w:sz w:val="18"/>
                <w:szCs w:val="24"/>
              </w:rPr>
              <w:t xml:space="preserve"> – </w:t>
            </w:r>
            <w:r>
              <w:rPr>
                <w:rFonts w:asciiTheme="majorHAnsi" w:hAnsiTheme="majorHAnsi" w:cstheme="majorHAnsi"/>
                <w:sz w:val="18"/>
                <w:szCs w:val="24"/>
              </w:rPr>
              <w:t>3%</w:t>
            </w:r>
          </w:p>
        </w:tc>
        <w:tc>
          <w:tcPr>
            <w:tcW w:w="2430" w:type="dxa"/>
          </w:tcPr>
          <w:p w14:paraId="07411231" w14:textId="5D640DB6" w:rsidR="00891A11" w:rsidRPr="002C1AA1" w:rsidRDefault="0092202B">
            <w:pPr>
              <w:pStyle w:val="TableNbiophoto"/>
              <w:rPr>
                <w:rFonts w:asciiTheme="majorHAnsi" w:hAnsiTheme="majorHAnsi" w:cstheme="majorHAnsi"/>
                <w:sz w:val="18"/>
                <w:szCs w:val="24"/>
              </w:rPr>
            </w:pPr>
            <w:r>
              <w:rPr>
                <w:rFonts w:asciiTheme="majorHAnsi" w:hAnsiTheme="majorHAnsi" w:cstheme="majorHAnsi"/>
                <w:sz w:val="18"/>
                <w:szCs w:val="24"/>
              </w:rPr>
              <w:t>High</w:t>
            </w:r>
            <w:r w:rsidR="00891A11" w:rsidRPr="002C1AA1">
              <w:rPr>
                <w:rFonts w:asciiTheme="majorHAnsi" w:hAnsiTheme="majorHAnsi" w:cstheme="majorHAnsi"/>
                <w:sz w:val="18"/>
                <w:szCs w:val="24"/>
              </w:rPr>
              <w:t xml:space="preserve"> </w:t>
            </w:r>
            <w:r>
              <w:rPr>
                <w:rFonts w:asciiTheme="majorHAnsi" w:hAnsiTheme="majorHAnsi" w:cstheme="majorHAnsi"/>
                <w:sz w:val="18"/>
                <w:szCs w:val="24"/>
              </w:rPr>
              <w:t>–</w:t>
            </w:r>
            <w:r w:rsidR="00891A11" w:rsidRPr="002C1AA1">
              <w:rPr>
                <w:rFonts w:asciiTheme="majorHAnsi" w:hAnsiTheme="majorHAnsi" w:cstheme="majorHAnsi"/>
                <w:sz w:val="18"/>
                <w:szCs w:val="24"/>
              </w:rPr>
              <w:t xml:space="preserve"> </w:t>
            </w:r>
            <w:r>
              <w:rPr>
                <w:rFonts w:asciiTheme="majorHAnsi" w:hAnsiTheme="majorHAnsi" w:cstheme="majorHAnsi"/>
                <w:sz w:val="18"/>
                <w:szCs w:val="24"/>
              </w:rPr>
              <w:t>10%</w:t>
            </w:r>
            <w:r w:rsidR="00891A11">
              <w:rPr>
                <w:rFonts w:asciiTheme="majorHAnsi" w:hAnsiTheme="majorHAnsi" w:cstheme="majorHAnsi"/>
                <w:sz w:val="18"/>
                <w:szCs w:val="24"/>
              </w:rPr>
              <w:t xml:space="preserve"> </w:t>
            </w:r>
          </w:p>
        </w:tc>
      </w:tr>
      <w:tr w:rsidR="00891A11" w14:paraId="647865D1" w14:textId="77777777">
        <w:trPr>
          <w:cnfStyle w:val="000000100000" w:firstRow="0" w:lastRow="0" w:firstColumn="0" w:lastColumn="0" w:oddVBand="0" w:evenVBand="0" w:oddHBand="1" w:evenHBand="0" w:firstRowFirstColumn="0" w:firstRowLastColumn="0" w:lastRowFirstColumn="0" w:lastRowLastColumn="0"/>
          <w:trHeight w:val="309"/>
        </w:trPr>
        <w:tc>
          <w:tcPr>
            <w:tcW w:w="1949" w:type="dxa"/>
          </w:tcPr>
          <w:p w14:paraId="14A7BEE0" w14:textId="77777777" w:rsidR="00891A11" w:rsidRPr="002C1AA1" w:rsidRDefault="00891A11">
            <w:pPr>
              <w:pStyle w:val="TableNbiophoto"/>
              <w:rPr>
                <w:sz w:val="19"/>
                <w:szCs w:val="19"/>
              </w:rPr>
            </w:pPr>
            <w:r>
              <w:rPr>
                <w:sz w:val="19"/>
                <w:szCs w:val="19"/>
              </w:rPr>
              <w:t>Option 1 net present value (BCR)</w:t>
            </w:r>
          </w:p>
        </w:tc>
        <w:tc>
          <w:tcPr>
            <w:tcW w:w="2071" w:type="dxa"/>
          </w:tcPr>
          <w:p w14:paraId="025249BB" w14:textId="77777777" w:rsidR="00891A11" w:rsidRPr="002C1AA1" w:rsidRDefault="00891A11">
            <w:pPr>
              <w:pStyle w:val="TableNbiophoto"/>
              <w:rPr>
                <w:sz w:val="19"/>
                <w:szCs w:val="19"/>
              </w:rPr>
            </w:pPr>
            <w:r>
              <w:rPr>
                <w:sz w:val="19"/>
                <w:szCs w:val="19"/>
              </w:rPr>
              <w:t>10.7 (1.05)</w:t>
            </w:r>
          </w:p>
        </w:tc>
        <w:tc>
          <w:tcPr>
            <w:tcW w:w="2470" w:type="dxa"/>
          </w:tcPr>
          <w:p w14:paraId="29E340CF" w14:textId="4E3C33C2" w:rsidR="00891A11" w:rsidRPr="002C1AA1" w:rsidRDefault="00CE2FE2">
            <w:pPr>
              <w:pStyle w:val="TableNbiophoto"/>
              <w:rPr>
                <w:sz w:val="19"/>
                <w:szCs w:val="19"/>
              </w:rPr>
            </w:pPr>
            <w:r>
              <w:rPr>
                <w:sz w:val="19"/>
                <w:szCs w:val="19"/>
              </w:rPr>
              <w:t>13.1 (</w:t>
            </w:r>
            <w:r w:rsidR="00F311B4">
              <w:rPr>
                <w:sz w:val="19"/>
                <w:szCs w:val="19"/>
              </w:rPr>
              <w:t>1.05)</w:t>
            </w:r>
          </w:p>
        </w:tc>
        <w:tc>
          <w:tcPr>
            <w:tcW w:w="2430" w:type="dxa"/>
          </w:tcPr>
          <w:p w14:paraId="0E3A0FAF" w14:textId="4C6CB620" w:rsidR="00891A11" w:rsidRPr="002C1AA1" w:rsidRDefault="00E71AD1">
            <w:pPr>
              <w:pStyle w:val="TableNbiophoto"/>
              <w:rPr>
                <w:sz w:val="19"/>
                <w:szCs w:val="19"/>
              </w:rPr>
            </w:pPr>
            <w:r>
              <w:rPr>
                <w:sz w:val="19"/>
                <w:szCs w:val="19"/>
              </w:rPr>
              <w:t>9.29 (1.05)</w:t>
            </w:r>
          </w:p>
        </w:tc>
      </w:tr>
      <w:tr w:rsidR="00891A11" w14:paraId="007B609F" w14:textId="77777777">
        <w:trPr>
          <w:cnfStyle w:val="000000010000" w:firstRow="0" w:lastRow="0" w:firstColumn="0" w:lastColumn="0" w:oddVBand="0" w:evenVBand="0" w:oddHBand="0" w:evenHBand="1" w:firstRowFirstColumn="0" w:firstRowLastColumn="0" w:lastRowFirstColumn="0" w:lastRowLastColumn="0"/>
          <w:trHeight w:val="309"/>
        </w:trPr>
        <w:tc>
          <w:tcPr>
            <w:tcW w:w="1949" w:type="dxa"/>
          </w:tcPr>
          <w:p w14:paraId="79E6FA6F" w14:textId="77777777" w:rsidR="00891A11" w:rsidRPr="002C1AA1" w:rsidRDefault="00891A11">
            <w:pPr>
              <w:pStyle w:val="TableNbiophoto"/>
              <w:rPr>
                <w:sz w:val="19"/>
                <w:szCs w:val="19"/>
              </w:rPr>
            </w:pPr>
            <w:r>
              <w:rPr>
                <w:sz w:val="19"/>
                <w:szCs w:val="19"/>
              </w:rPr>
              <w:lastRenderedPageBreak/>
              <w:t>Option 2 net present value (BCR)</w:t>
            </w:r>
          </w:p>
        </w:tc>
        <w:tc>
          <w:tcPr>
            <w:tcW w:w="2071" w:type="dxa"/>
          </w:tcPr>
          <w:p w14:paraId="2D2269AA" w14:textId="77777777" w:rsidR="00891A11" w:rsidRPr="002C1AA1" w:rsidRDefault="00891A11">
            <w:pPr>
              <w:pStyle w:val="TableNbiophoto"/>
              <w:rPr>
                <w:sz w:val="19"/>
                <w:szCs w:val="19"/>
              </w:rPr>
            </w:pPr>
            <w:r>
              <w:rPr>
                <w:sz w:val="19"/>
                <w:szCs w:val="19"/>
              </w:rPr>
              <w:t>208.6 (</w:t>
            </w:r>
            <w:r w:rsidRPr="002C1AA1">
              <w:rPr>
                <w:sz w:val="19"/>
                <w:szCs w:val="19"/>
              </w:rPr>
              <w:t>1.</w:t>
            </w:r>
            <w:r>
              <w:rPr>
                <w:sz w:val="19"/>
                <w:szCs w:val="19"/>
              </w:rPr>
              <w:t>63)</w:t>
            </w:r>
          </w:p>
        </w:tc>
        <w:tc>
          <w:tcPr>
            <w:tcW w:w="2470" w:type="dxa"/>
          </w:tcPr>
          <w:p w14:paraId="1C3C639F" w14:textId="2AFC43ED" w:rsidR="00891A11" w:rsidRPr="002C1AA1" w:rsidRDefault="00F311B4">
            <w:pPr>
              <w:pStyle w:val="TableNbiophoto"/>
              <w:rPr>
                <w:sz w:val="19"/>
                <w:szCs w:val="19"/>
              </w:rPr>
            </w:pPr>
            <w:r>
              <w:rPr>
                <w:sz w:val="19"/>
                <w:szCs w:val="19"/>
              </w:rPr>
              <w:t>248.7 (1.65)</w:t>
            </w:r>
          </w:p>
        </w:tc>
        <w:tc>
          <w:tcPr>
            <w:tcW w:w="2430" w:type="dxa"/>
          </w:tcPr>
          <w:p w14:paraId="53C67B77" w14:textId="46CD1D61" w:rsidR="00891A11" w:rsidRPr="002C1AA1" w:rsidRDefault="00E71AD1">
            <w:pPr>
              <w:pStyle w:val="TableNbiophoto"/>
              <w:rPr>
                <w:sz w:val="19"/>
                <w:szCs w:val="19"/>
              </w:rPr>
            </w:pPr>
            <w:r>
              <w:rPr>
                <w:sz w:val="19"/>
                <w:szCs w:val="19"/>
              </w:rPr>
              <w:t>184.9</w:t>
            </w:r>
            <w:r w:rsidR="00EF6ACB">
              <w:rPr>
                <w:sz w:val="19"/>
                <w:szCs w:val="19"/>
              </w:rPr>
              <w:t xml:space="preserve"> (1.62)</w:t>
            </w:r>
          </w:p>
        </w:tc>
      </w:tr>
    </w:tbl>
    <w:p w14:paraId="395008FC" w14:textId="77777777" w:rsidR="00557681" w:rsidRDefault="00557681" w:rsidP="00923BE4"/>
    <w:p w14:paraId="7DEDDD50" w14:textId="4E757E31" w:rsidR="00DD2D98" w:rsidRDefault="00DD2D98" w:rsidP="00923BE4">
      <w:r>
        <w:t xml:space="preserve">Even with a high discount rate, the BCR for Options 1 and 2 remain </w:t>
      </w:r>
      <w:r w:rsidR="00557681">
        <w:t xml:space="preserve">relatively </w:t>
      </w:r>
      <w:r>
        <w:t>con</w:t>
      </w:r>
      <w:r w:rsidR="00167118">
        <w:t>sistent at 1.05 and 1.62 respectively, indicating that th</w:t>
      </w:r>
      <w:r w:rsidR="00DC610B">
        <w:t xml:space="preserve">e choice of discount rates </w:t>
      </w:r>
      <w:r w:rsidR="00632E68">
        <w:t xml:space="preserve">does not have significant impacts on the net present value and BCR. </w:t>
      </w:r>
    </w:p>
    <w:p w14:paraId="680158EC" w14:textId="593DD37A" w:rsidR="00923BE4" w:rsidRPr="0037689B" w:rsidRDefault="00FB5CE8" w:rsidP="00313A20">
      <w:pPr>
        <w:pStyle w:val="Heading1"/>
        <w:numPr>
          <w:ilvl w:val="0"/>
          <w:numId w:val="47"/>
        </w:numPr>
        <w:rPr>
          <w:color w:val="FFFFFF" w:themeColor="background1"/>
        </w:rPr>
      </w:pPr>
      <w:bookmarkStart w:id="80" w:name="_Ref149659824"/>
      <w:bookmarkStart w:id="81" w:name="_Toc157599133"/>
      <w:r w:rsidRPr="0037689B">
        <w:rPr>
          <w:noProof/>
          <w:color w:val="FFFFFF" w:themeColor="background1"/>
        </w:rPr>
        <w:lastRenderedPageBreak/>
        <w:drawing>
          <wp:anchor distT="0" distB="0" distL="114300" distR="114300" simplePos="0" relativeHeight="251658253" behindDoc="1" locked="0" layoutInCell="1" allowOverlap="1" wp14:anchorId="0CA40CED" wp14:editId="4F32A17B">
            <wp:simplePos x="0" y="0"/>
            <wp:positionH relativeFrom="margin">
              <wp:posOffset>-984250</wp:posOffset>
            </wp:positionH>
            <wp:positionV relativeFrom="paragraph">
              <wp:posOffset>-886378</wp:posOffset>
            </wp:positionV>
            <wp:extent cx="7581900" cy="12954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b="32669"/>
                    <a:stretch/>
                  </pic:blipFill>
                  <pic:spPr bwMode="auto">
                    <a:xfrm>
                      <a:off x="0" y="0"/>
                      <a:ext cx="75819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82" w:name="_Toc65421312"/>
      <w:bookmarkStart w:id="83" w:name="_Toc65421313"/>
      <w:bookmarkStart w:id="84" w:name="_Toc65421314"/>
      <w:bookmarkStart w:id="85" w:name="_Toc65421315"/>
      <w:bookmarkStart w:id="86" w:name="_Toc65421316"/>
      <w:bookmarkStart w:id="87" w:name="_Toc65421317"/>
      <w:bookmarkEnd w:id="82"/>
      <w:bookmarkEnd w:id="83"/>
      <w:bookmarkEnd w:id="84"/>
      <w:bookmarkEnd w:id="85"/>
      <w:bookmarkEnd w:id="86"/>
      <w:bookmarkEnd w:id="87"/>
      <w:r w:rsidR="00923BE4" w:rsidRPr="0037689B">
        <w:rPr>
          <w:color w:val="FFFFFF" w:themeColor="background1"/>
        </w:rPr>
        <w:t>Summary of stakeholder feedback</w:t>
      </w:r>
      <w:bookmarkEnd w:id="80"/>
      <w:bookmarkEnd w:id="81"/>
    </w:p>
    <w:p w14:paraId="26BB5626" w14:textId="0040E791" w:rsidR="00FA23D5" w:rsidRDefault="00923BE4" w:rsidP="00FA23D5">
      <w:pPr>
        <w:rPr>
          <w:rFonts w:asciiTheme="minorHAnsi" w:hAnsiTheme="minorHAnsi" w:cstheme="minorHAnsi"/>
          <w:szCs w:val="19"/>
          <w:lang w:eastAsia="en-AU"/>
        </w:rPr>
      </w:pPr>
      <w:r>
        <w:rPr>
          <w:rFonts w:asciiTheme="minorHAnsi" w:hAnsiTheme="minorHAnsi" w:cstheme="minorHAnsi"/>
          <w:szCs w:val="19"/>
          <w:lang w:eastAsia="en-AU"/>
        </w:rPr>
        <w:t>Extensive consultations have occurred already to support</w:t>
      </w:r>
      <w:r w:rsidRPr="00C439C3">
        <w:rPr>
          <w:rFonts w:asciiTheme="minorHAnsi" w:hAnsiTheme="minorHAnsi" w:cstheme="minorHAnsi"/>
          <w:szCs w:val="19"/>
          <w:lang w:eastAsia="en-AU"/>
        </w:rPr>
        <w:t xml:space="preserve"> </w:t>
      </w:r>
      <w:r w:rsidR="00DE65C9">
        <w:rPr>
          <w:rFonts w:asciiTheme="minorHAnsi" w:hAnsiTheme="minorHAnsi" w:cstheme="minorHAnsi"/>
          <w:szCs w:val="19"/>
          <w:lang w:eastAsia="en-AU"/>
        </w:rPr>
        <w:t>the</w:t>
      </w:r>
      <w:r w:rsidRPr="00C439C3">
        <w:rPr>
          <w:rFonts w:asciiTheme="minorHAnsi" w:hAnsiTheme="minorHAnsi" w:cstheme="minorHAnsi"/>
          <w:szCs w:val="19"/>
          <w:lang w:eastAsia="en-AU"/>
        </w:rPr>
        <w:t xml:space="preserve"> </w:t>
      </w:r>
      <w:r>
        <w:rPr>
          <w:rFonts w:asciiTheme="minorHAnsi" w:hAnsiTheme="minorHAnsi" w:cstheme="minorHAnsi"/>
          <w:szCs w:val="19"/>
          <w:lang w:eastAsia="en-AU"/>
        </w:rPr>
        <w:t xml:space="preserve">Review, as summarised in </w:t>
      </w:r>
      <w:r>
        <w:rPr>
          <w:rFonts w:asciiTheme="minorHAnsi" w:hAnsiTheme="minorHAnsi" w:cstheme="minorHAnsi"/>
          <w:szCs w:val="19"/>
          <w:lang w:eastAsia="en-AU"/>
        </w:rPr>
        <w:fldChar w:fldCharType="begin"/>
      </w:r>
      <w:r>
        <w:rPr>
          <w:rFonts w:asciiTheme="minorHAnsi" w:hAnsiTheme="minorHAnsi" w:cstheme="minorHAnsi"/>
          <w:szCs w:val="19"/>
          <w:lang w:eastAsia="en-AU"/>
        </w:rPr>
        <w:instrText xml:space="preserve"> REF _Ref142057701 \h </w:instrText>
      </w:r>
      <w:r>
        <w:rPr>
          <w:rFonts w:asciiTheme="minorHAnsi" w:hAnsiTheme="minorHAnsi" w:cstheme="minorHAnsi"/>
          <w:szCs w:val="19"/>
          <w:lang w:eastAsia="en-AU"/>
        </w:rPr>
      </w:r>
      <w:r>
        <w:rPr>
          <w:rFonts w:asciiTheme="minorHAnsi" w:hAnsiTheme="minorHAnsi" w:cstheme="minorHAnsi"/>
          <w:szCs w:val="19"/>
          <w:lang w:eastAsia="en-AU"/>
        </w:rPr>
        <w:fldChar w:fldCharType="separate"/>
      </w:r>
      <w:r w:rsidR="003F7B92">
        <w:t xml:space="preserve">Figure </w:t>
      </w:r>
      <w:r w:rsidR="003F7B92">
        <w:rPr>
          <w:noProof/>
        </w:rPr>
        <w:t>10</w:t>
      </w:r>
      <w:r>
        <w:rPr>
          <w:rFonts w:asciiTheme="minorHAnsi" w:hAnsiTheme="minorHAnsi" w:cstheme="minorHAnsi"/>
          <w:szCs w:val="19"/>
          <w:lang w:eastAsia="en-AU"/>
        </w:rPr>
        <w:fldChar w:fldCharType="end"/>
      </w:r>
      <w:r>
        <w:rPr>
          <w:rFonts w:asciiTheme="minorHAnsi" w:hAnsiTheme="minorHAnsi" w:cstheme="minorHAnsi"/>
          <w:szCs w:val="19"/>
          <w:lang w:eastAsia="en-AU"/>
        </w:rPr>
        <w:t>.</w:t>
      </w:r>
      <w:r w:rsidRPr="00C439C3">
        <w:rPr>
          <w:rFonts w:asciiTheme="minorHAnsi" w:hAnsiTheme="minorHAnsi" w:cstheme="minorHAnsi"/>
          <w:szCs w:val="19"/>
          <w:lang w:eastAsia="en-AU"/>
        </w:rPr>
        <w:t xml:space="preserve"> The characterisation of the policy problems, the options for reforms and the impacts these would have on different stakeholder groups has also been iterated, evolving to incorporate new feedback and other information as it became available. This version</w:t>
      </w:r>
      <w:r>
        <w:rPr>
          <w:rFonts w:asciiTheme="minorHAnsi" w:hAnsiTheme="minorHAnsi" w:cstheme="minorHAnsi"/>
          <w:szCs w:val="19"/>
          <w:lang w:eastAsia="en-AU"/>
        </w:rPr>
        <w:t>,</w:t>
      </w:r>
      <w:r w:rsidRPr="00C439C3">
        <w:rPr>
          <w:rFonts w:asciiTheme="minorHAnsi" w:hAnsiTheme="minorHAnsi" w:cstheme="minorHAnsi"/>
          <w:szCs w:val="19"/>
          <w:lang w:eastAsia="en-AU"/>
        </w:rPr>
        <w:t xml:space="preserve"> for example, has </w:t>
      </w:r>
      <w:r>
        <w:rPr>
          <w:rFonts w:asciiTheme="minorHAnsi" w:hAnsiTheme="minorHAnsi" w:cstheme="minorHAnsi"/>
          <w:szCs w:val="19"/>
          <w:lang w:eastAsia="en-AU"/>
        </w:rPr>
        <w:t>already been informed by input from hundreds of different stakeholders.</w:t>
      </w:r>
      <w:r w:rsidRPr="00C439C3">
        <w:rPr>
          <w:rFonts w:asciiTheme="minorHAnsi" w:hAnsiTheme="minorHAnsi" w:cstheme="minorHAnsi"/>
          <w:szCs w:val="19"/>
          <w:lang w:eastAsia="en-AU"/>
        </w:rPr>
        <w:t xml:space="preserve"> </w:t>
      </w:r>
    </w:p>
    <w:p w14:paraId="6BF2CEE9" w14:textId="422651AB" w:rsidR="00FA23D5" w:rsidRDefault="00FA23D5" w:rsidP="00FA23D5">
      <w:pPr>
        <w:rPr>
          <w:rFonts w:asciiTheme="minorHAnsi" w:hAnsiTheme="minorHAnsi" w:cstheme="minorHAnsi"/>
          <w:szCs w:val="19"/>
          <w:lang w:eastAsia="en-AU"/>
        </w:rPr>
      </w:pPr>
      <w:r w:rsidRPr="00BD3137">
        <w:rPr>
          <w:rFonts w:asciiTheme="minorHAnsi" w:hAnsiTheme="minorHAnsi" w:cstheme="minorHAnsi"/>
          <w:szCs w:val="19"/>
          <w:lang w:eastAsia="en-AU"/>
        </w:rPr>
        <w:t xml:space="preserve">The Review adopted a mixed mode of engagement to be inclusive of a broad range of stakeholders, gathering feedback from interviews, workshops, and submissions. </w:t>
      </w:r>
      <w:r w:rsidR="005646AC">
        <w:rPr>
          <w:rFonts w:asciiTheme="minorHAnsi" w:hAnsiTheme="minorHAnsi" w:cstheme="minorHAnsi"/>
          <w:szCs w:val="19"/>
          <w:lang w:eastAsia="en-AU"/>
        </w:rPr>
        <w:t>Despite this, t</w:t>
      </w:r>
      <w:r w:rsidRPr="00BD3137">
        <w:rPr>
          <w:rFonts w:asciiTheme="minorHAnsi" w:hAnsiTheme="minorHAnsi" w:cstheme="minorHAnsi"/>
          <w:szCs w:val="19"/>
          <w:lang w:eastAsia="en-AU"/>
        </w:rPr>
        <w:t>here</w:t>
      </w:r>
      <w:r w:rsidR="000A5566">
        <w:rPr>
          <w:rFonts w:asciiTheme="minorHAnsi" w:hAnsiTheme="minorHAnsi" w:cstheme="minorHAnsi"/>
          <w:szCs w:val="19"/>
          <w:lang w:eastAsia="en-AU"/>
        </w:rPr>
        <w:t xml:space="preserve"> are</w:t>
      </w:r>
      <w:r w:rsidRPr="00BD3137">
        <w:rPr>
          <w:rFonts w:asciiTheme="minorHAnsi" w:hAnsiTheme="minorHAnsi" w:cstheme="minorHAnsi"/>
          <w:szCs w:val="19"/>
          <w:lang w:eastAsia="en-AU"/>
        </w:rPr>
        <w:t xml:space="preserve"> known limitations to </w:t>
      </w:r>
      <w:r w:rsidR="00B46A95">
        <w:rPr>
          <w:rFonts w:asciiTheme="minorHAnsi" w:hAnsiTheme="minorHAnsi" w:cstheme="minorHAnsi"/>
          <w:szCs w:val="19"/>
          <w:lang w:eastAsia="en-AU"/>
        </w:rPr>
        <w:t>the qualitative data collected</w:t>
      </w:r>
      <w:r>
        <w:rPr>
          <w:rFonts w:asciiTheme="minorHAnsi" w:hAnsiTheme="minorHAnsi" w:cstheme="minorHAnsi"/>
          <w:szCs w:val="19"/>
          <w:lang w:eastAsia="en-AU"/>
        </w:rPr>
        <w:t>. L</w:t>
      </w:r>
      <w:r w:rsidRPr="00BD3137">
        <w:rPr>
          <w:rFonts w:asciiTheme="minorHAnsi" w:hAnsiTheme="minorHAnsi" w:cstheme="minorHAnsi"/>
          <w:szCs w:val="19"/>
          <w:lang w:eastAsia="en-AU"/>
        </w:rPr>
        <w:t>arger businesses are better represented than smaller ones</w:t>
      </w:r>
      <w:r>
        <w:rPr>
          <w:rFonts w:asciiTheme="minorHAnsi" w:hAnsiTheme="minorHAnsi" w:cstheme="minorHAnsi"/>
          <w:szCs w:val="19"/>
          <w:lang w:eastAsia="en-AU"/>
        </w:rPr>
        <w:t xml:space="preserve">, and there is </w:t>
      </w:r>
      <w:r w:rsidRPr="00BD3137">
        <w:rPr>
          <w:rFonts w:asciiTheme="minorHAnsi" w:hAnsiTheme="minorHAnsi" w:cstheme="minorHAnsi"/>
          <w:szCs w:val="19"/>
          <w:lang w:eastAsia="en-AU"/>
        </w:rPr>
        <w:t>limited representation of the consumer experience (as individual consumers do not typically engage with regulatory reform). The consultation questions prompted in this version of the I</w:t>
      </w:r>
      <w:r w:rsidR="00674DF5">
        <w:rPr>
          <w:rFonts w:asciiTheme="minorHAnsi" w:hAnsiTheme="minorHAnsi" w:cstheme="minorHAnsi"/>
          <w:szCs w:val="19"/>
          <w:lang w:eastAsia="en-AU"/>
        </w:rPr>
        <w:t xml:space="preserve">mpact </w:t>
      </w:r>
      <w:r w:rsidRPr="00BD3137">
        <w:rPr>
          <w:rFonts w:asciiTheme="minorHAnsi" w:hAnsiTheme="minorHAnsi" w:cstheme="minorHAnsi"/>
          <w:szCs w:val="19"/>
          <w:lang w:eastAsia="en-AU"/>
        </w:rPr>
        <w:t>A</w:t>
      </w:r>
      <w:r w:rsidR="00674DF5">
        <w:rPr>
          <w:rFonts w:asciiTheme="minorHAnsi" w:hAnsiTheme="minorHAnsi" w:cstheme="minorHAnsi"/>
          <w:szCs w:val="19"/>
          <w:lang w:eastAsia="en-AU"/>
        </w:rPr>
        <w:t>nalysis</w:t>
      </w:r>
      <w:r w:rsidRPr="00BD3137">
        <w:rPr>
          <w:rFonts w:asciiTheme="minorHAnsi" w:hAnsiTheme="minorHAnsi" w:cstheme="minorHAnsi"/>
          <w:szCs w:val="19"/>
          <w:lang w:eastAsia="en-AU"/>
        </w:rPr>
        <w:t xml:space="preserve"> have been designed to address these limitations.</w:t>
      </w:r>
    </w:p>
    <w:p w14:paraId="5F326A11" w14:textId="3B062C48" w:rsidR="00923BE4" w:rsidRDefault="00923BE4" w:rsidP="00923BE4">
      <w:pPr>
        <w:pStyle w:val="Caption"/>
      </w:pPr>
      <w:bookmarkStart w:id="88" w:name="_Ref142057701"/>
      <w:r>
        <w:t xml:space="preserve">Figure </w:t>
      </w:r>
      <w:r>
        <w:fldChar w:fldCharType="begin"/>
      </w:r>
      <w:r>
        <w:instrText xml:space="preserve"> SEQ Figure \* ARABIC </w:instrText>
      </w:r>
      <w:r>
        <w:fldChar w:fldCharType="separate"/>
      </w:r>
      <w:r w:rsidR="003F7B92">
        <w:rPr>
          <w:noProof/>
        </w:rPr>
        <w:t>10</w:t>
      </w:r>
      <w:r>
        <w:fldChar w:fldCharType="end"/>
      </w:r>
      <w:bookmarkEnd w:id="88"/>
      <w:r>
        <w:t xml:space="preserve"> | Snapshot of past consultation activities</w:t>
      </w:r>
      <w:r w:rsidRPr="00C439C3">
        <w:rPr>
          <w:rFonts w:asciiTheme="minorHAnsi" w:hAnsiTheme="minorHAnsi" w:cstheme="minorHAnsi"/>
          <w:szCs w:val="19"/>
          <w:lang w:eastAsia="en-AU"/>
        </w:rPr>
        <w:t xml:space="preserve"> </w:t>
      </w:r>
    </w:p>
    <w:p w14:paraId="02124CF9" w14:textId="66B54269" w:rsidR="000C0E13" w:rsidRPr="000C0E13" w:rsidRDefault="00147A94" w:rsidP="000C0E13">
      <w:r>
        <w:rPr>
          <w:noProof/>
          <w:lang w:eastAsia="en-AU"/>
        </w:rPr>
        <w:drawing>
          <wp:inline distT="0" distB="0" distL="0" distR="0" wp14:anchorId="52C1A8DC" wp14:editId="5C0B47D1">
            <wp:extent cx="5670550" cy="3638550"/>
            <wp:effectExtent l="0" t="0" r="6350" b="0"/>
            <wp:docPr id="218190739" name="Picture 218190739" descr="P19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90739" name="Picture 218190739" descr="P1929#yIS1"/>
                    <pic:cNvPicPr/>
                  </pic:nvPicPr>
                  <pic:blipFill>
                    <a:blip r:embed="rId43"/>
                    <a:stretch>
                      <a:fillRect/>
                    </a:stretch>
                  </pic:blipFill>
                  <pic:spPr>
                    <a:xfrm>
                      <a:off x="0" y="0"/>
                      <a:ext cx="5670550" cy="3638550"/>
                    </a:xfrm>
                    <a:prstGeom prst="rect">
                      <a:avLst/>
                    </a:prstGeom>
                  </pic:spPr>
                </pic:pic>
              </a:graphicData>
            </a:graphic>
          </wp:inline>
        </w:drawing>
      </w:r>
    </w:p>
    <w:p w14:paraId="2C1C0A09" w14:textId="05060AA2" w:rsidR="00923BE4" w:rsidRPr="00F01829" w:rsidRDefault="00923BE4" w:rsidP="00923BE4">
      <w:pPr>
        <w:rPr>
          <w:rFonts w:asciiTheme="minorHAnsi" w:hAnsiTheme="minorHAnsi" w:cstheme="minorHAnsi"/>
          <w:szCs w:val="19"/>
          <w:lang w:eastAsia="en-AU"/>
        </w:rPr>
      </w:pPr>
      <w:r>
        <w:rPr>
          <w:rFonts w:asciiTheme="minorHAnsi" w:hAnsiTheme="minorHAnsi" w:cstheme="minorHAnsi"/>
          <w:szCs w:val="19"/>
          <w:lang w:eastAsia="en-AU"/>
        </w:rPr>
        <w:t xml:space="preserve">Stakeholder feedback has been themed around the four categories used to structure this IA: purpose and objectives; reforming standards-setting; efficient and effective operations; and improving system agility. </w:t>
      </w:r>
    </w:p>
    <w:p w14:paraId="4AB9B869" w14:textId="77777777" w:rsidR="00923BE4" w:rsidRPr="007D44F4" w:rsidRDefault="00923BE4" w:rsidP="00306934">
      <w:pPr>
        <w:pStyle w:val="Heading2"/>
        <w:rPr>
          <w:rStyle w:val="FootnoteReference"/>
          <w:rFonts w:eastAsiaTheme="minorHAnsi"/>
          <w:vertAlign w:val="baseline"/>
        </w:rPr>
      </w:pPr>
      <w:bookmarkStart w:id="89" w:name="_Toc141855825"/>
      <w:bookmarkStart w:id="90" w:name="_Toc142066129"/>
      <w:bookmarkStart w:id="91" w:name="_Toc142244461"/>
      <w:bookmarkStart w:id="92" w:name="_Toc142388001"/>
      <w:bookmarkStart w:id="93" w:name="_Toc142388044"/>
      <w:bookmarkStart w:id="94" w:name="_Toc142389817"/>
      <w:bookmarkStart w:id="95" w:name="_Toc142389897"/>
      <w:bookmarkStart w:id="96" w:name="_Toc142389950"/>
      <w:bookmarkStart w:id="97" w:name="_Toc142477248"/>
      <w:bookmarkStart w:id="98" w:name="_Toc142484819"/>
      <w:bookmarkStart w:id="99" w:name="_Toc144891007"/>
      <w:bookmarkStart w:id="100" w:name="_Toc144892720"/>
      <w:bookmarkStart w:id="101" w:name="_Toc149219420"/>
      <w:bookmarkStart w:id="102" w:name="_Toc149565637"/>
      <w:bookmarkStart w:id="103" w:name="_Toc149650692"/>
      <w:bookmarkStart w:id="104" w:name="_Toc149659889"/>
      <w:bookmarkStart w:id="105" w:name="_Toc149661696"/>
      <w:bookmarkStart w:id="106" w:name="_Toc150424074"/>
      <w:bookmarkStart w:id="107" w:name="_Toc150424143"/>
      <w:bookmarkStart w:id="108" w:name="_Toc150424989"/>
      <w:bookmarkStart w:id="109" w:name="_Toc150531790"/>
      <w:bookmarkStart w:id="110" w:name="_Toc150755028"/>
      <w:bookmarkStart w:id="111" w:name="_Toc150872191"/>
      <w:bookmarkStart w:id="112" w:name="_Toc153430906"/>
      <w:bookmarkStart w:id="113" w:name="_Toc157066640"/>
      <w:bookmarkStart w:id="114" w:name="_Toc157599134"/>
      <w:r w:rsidRPr="007D44F4">
        <w:rPr>
          <w:rStyle w:val="FootnoteReference"/>
          <w:vertAlign w:val="baseline"/>
        </w:rPr>
        <w:t>Purpose and objectives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51E47660" w14:textId="032EF903" w:rsidR="00923BE4" w:rsidRPr="00F01829" w:rsidRDefault="00923BE4" w:rsidP="00416CA4">
      <w:pPr>
        <w:spacing w:line="240" w:lineRule="auto"/>
        <w:rPr>
          <w:rFonts w:asciiTheme="minorHAnsi" w:hAnsiTheme="minorHAnsi" w:cstheme="minorHAnsi"/>
          <w:szCs w:val="19"/>
        </w:rPr>
      </w:pPr>
      <w:r w:rsidRPr="00F01829">
        <w:rPr>
          <w:rFonts w:asciiTheme="minorHAnsi" w:hAnsiTheme="minorHAnsi" w:cstheme="minorHAnsi"/>
          <w:szCs w:val="19"/>
        </w:rPr>
        <w:t xml:space="preserve">Stakeholders are concerned about how </w:t>
      </w:r>
      <w:r w:rsidR="004E4D63">
        <w:rPr>
          <w:rFonts w:asciiTheme="minorHAnsi" w:hAnsiTheme="minorHAnsi" w:cstheme="minorHAnsi"/>
          <w:szCs w:val="19"/>
        </w:rPr>
        <w:t>FSANZ’</w:t>
      </w:r>
      <w:r w:rsidR="005D04DB">
        <w:rPr>
          <w:rFonts w:asciiTheme="minorHAnsi" w:hAnsiTheme="minorHAnsi" w:cstheme="minorHAnsi"/>
          <w:szCs w:val="19"/>
        </w:rPr>
        <w:t>s</w:t>
      </w:r>
      <w:r w:rsidRPr="00F01829">
        <w:rPr>
          <w:rFonts w:asciiTheme="minorHAnsi" w:hAnsiTheme="minorHAnsi" w:cstheme="minorHAnsi"/>
          <w:szCs w:val="19"/>
        </w:rPr>
        <w:t xml:space="preserve"> objectives are framed and what they mean for the broader system. While unanimous in their support for ‘the protection of public health and safety’ as being the paramount objective of the Act and overarching goal for FSANZ, stakeholders reported diverse views on the interpretation and relative importance of wording in </w:t>
      </w:r>
      <w:r w:rsidR="00E85098">
        <w:rPr>
          <w:rFonts w:asciiTheme="minorHAnsi" w:hAnsiTheme="minorHAnsi" w:cstheme="minorHAnsi"/>
          <w:szCs w:val="19"/>
        </w:rPr>
        <w:t>Section</w:t>
      </w:r>
      <w:r w:rsidR="00700957">
        <w:rPr>
          <w:rFonts w:asciiTheme="minorHAnsi" w:hAnsiTheme="minorHAnsi" w:cstheme="minorHAnsi"/>
          <w:szCs w:val="19"/>
        </w:rPr>
        <w:t xml:space="preserve"> 3 and</w:t>
      </w:r>
      <w:r w:rsidRPr="00F01829">
        <w:rPr>
          <w:rFonts w:asciiTheme="minorHAnsi" w:hAnsiTheme="minorHAnsi" w:cstheme="minorHAnsi"/>
          <w:szCs w:val="19"/>
        </w:rPr>
        <w:t xml:space="preserve"> 18 of the </w:t>
      </w:r>
      <w:r>
        <w:rPr>
          <w:rFonts w:asciiTheme="minorHAnsi" w:hAnsiTheme="minorHAnsi" w:cstheme="minorHAnsi"/>
          <w:szCs w:val="19"/>
        </w:rPr>
        <w:t>A</w:t>
      </w:r>
      <w:r w:rsidRPr="00F01829">
        <w:rPr>
          <w:rFonts w:asciiTheme="minorHAnsi" w:hAnsiTheme="minorHAnsi" w:cstheme="minorHAnsi"/>
          <w:szCs w:val="19"/>
        </w:rPr>
        <w:t>ct</w:t>
      </w:r>
      <w:r w:rsidR="008B542B">
        <w:rPr>
          <w:rFonts w:asciiTheme="minorHAnsi" w:hAnsiTheme="minorHAnsi" w:cstheme="minorHAnsi"/>
          <w:szCs w:val="19"/>
        </w:rPr>
        <w:t xml:space="preserve">, particularly how the concepts of ‘safety’ intersected with priorities around prevention of obesity and chronic disease, </w:t>
      </w:r>
      <w:r w:rsidR="008B542B">
        <w:rPr>
          <w:rFonts w:asciiTheme="minorHAnsi" w:hAnsiTheme="minorHAnsi" w:cstheme="minorHAnsi"/>
          <w:szCs w:val="19"/>
        </w:rPr>
        <w:lastRenderedPageBreak/>
        <w:t xml:space="preserve">maximising trade opportunities, </w:t>
      </w:r>
      <w:r w:rsidR="007E2CBD">
        <w:rPr>
          <w:rFonts w:asciiTheme="minorHAnsi" w:hAnsiTheme="minorHAnsi" w:cstheme="minorHAnsi"/>
          <w:szCs w:val="19"/>
        </w:rPr>
        <w:t xml:space="preserve">optimising consumer choice and managing gaps in the regulatory system, </w:t>
      </w:r>
      <w:r w:rsidR="008B541D">
        <w:rPr>
          <w:rFonts w:asciiTheme="minorHAnsi" w:hAnsiTheme="minorHAnsi" w:cstheme="minorHAnsi"/>
          <w:szCs w:val="19"/>
        </w:rPr>
        <w:t>for</w:t>
      </w:r>
      <w:r w:rsidRPr="00F01829">
        <w:rPr>
          <w:rFonts w:asciiTheme="minorHAnsi" w:hAnsiTheme="minorHAnsi" w:cstheme="minorHAnsi"/>
          <w:szCs w:val="19"/>
        </w:rPr>
        <w:t xml:space="preserve"> example</w:t>
      </w:r>
      <w:r w:rsidR="008B541D">
        <w:rPr>
          <w:rFonts w:asciiTheme="minorHAnsi" w:hAnsiTheme="minorHAnsi" w:cstheme="minorHAnsi"/>
          <w:szCs w:val="19"/>
        </w:rPr>
        <w:t xml:space="preserve"> in the area of food fraud. Specifically: </w:t>
      </w:r>
    </w:p>
    <w:p w14:paraId="449E1FBC" w14:textId="77777777" w:rsidR="00923BE4" w:rsidRPr="001C7BEC" w:rsidRDefault="00923BE4" w:rsidP="001C7BEC">
      <w:pPr>
        <w:pStyle w:val="Bullet"/>
      </w:pPr>
      <w:r w:rsidRPr="001C7BEC">
        <w:t xml:space="preserve">Australian government stakeholders were interested in the importance of the joint food standards system as an instrument to the broader food policy agenda, and the need for jurisdictions’ views and priorities to figure prominently in how regulatory measures were shaped. </w:t>
      </w:r>
    </w:p>
    <w:p w14:paraId="0134477E" w14:textId="29F5C585" w:rsidR="00923BE4" w:rsidRPr="00F01829" w:rsidRDefault="00923BE4" w:rsidP="001C7BEC">
      <w:pPr>
        <w:pStyle w:val="Bullet"/>
      </w:pPr>
      <w:r w:rsidRPr="001C7BEC">
        <w:t>New Zealand Government stakeholders impressed the importance of aligning the Act with the objectives of the Food Treaty. They emphasised the need to empower the joint nature of the system and promote its trade focus. New Zealand stakeholders expressed support for the Act to better reflect Indigenous cultural tradition and the intent</w:t>
      </w:r>
      <w:r w:rsidRPr="00F01829">
        <w:t xml:space="preserve"> of the Treaty of Waitangi. </w:t>
      </w:r>
    </w:p>
    <w:p w14:paraId="4DA7583B" w14:textId="1253072F" w:rsidR="00923BE4" w:rsidRPr="00F01829" w:rsidRDefault="00923BE4" w:rsidP="001C1A19">
      <w:pPr>
        <w:pStyle w:val="Bullet"/>
      </w:pPr>
      <w:r w:rsidRPr="00F01829">
        <w:t xml:space="preserve">Industry stakeholders stressed the importance of a strong and competitive food industry – premised on rigorous food safety standards – in which innovation was fostered, and Australian and New Zealand food businesses can genuinely compete for market share on an international stage. Industry stakeholders consistently supported the </w:t>
      </w:r>
      <w:r w:rsidR="00D94917">
        <w:t>idea of including</w:t>
      </w:r>
      <w:r w:rsidRPr="00F01829">
        <w:t xml:space="preserve"> trade as an objective in the Act and did not view this inclusion as jeopardising the objective of protecting population health, recognising this drives demand for products. </w:t>
      </w:r>
    </w:p>
    <w:p w14:paraId="27F0B6C3" w14:textId="23613369" w:rsidR="00923BE4" w:rsidRPr="00F01829" w:rsidRDefault="00923BE4" w:rsidP="001C1A19">
      <w:pPr>
        <w:pStyle w:val="Bullet"/>
      </w:pPr>
      <w:r w:rsidRPr="00F01829">
        <w:t xml:space="preserve">Consumer advocates emphasised the importance of informed choice and regulation to mitigate information asymmetries between businesses and consumers. Some stakeholders also cited the opportunity for the regulatory framework to </w:t>
      </w:r>
      <w:proofErr w:type="gramStart"/>
      <w:r w:rsidRPr="00F01829">
        <w:t>more systematically consider the environment</w:t>
      </w:r>
      <w:r w:rsidR="00CF7E87">
        <w:t>al</w:t>
      </w:r>
      <w:r w:rsidRPr="00F01829">
        <w:t xml:space="preserve"> impact and sustainability of food</w:t>
      </w:r>
      <w:proofErr w:type="gramEnd"/>
      <w:r w:rsidRPr="00F01829">
        <w:t xml:space="preserve">, and issues around food security and wastage. </w:t>
      </w:r>
    </w:p>
    <w:p w14:paraId="58A02849" w14:textId="77777777" w:rsidR="00923BE4" w:rsidRPr="001C7BEC" w:rsidRDefault="00923BE4" w:rsidP="001C7BEC">
      <w:pPr>
        <w:pStyle w:val="Bullet"/>
      </w:pPr>
      <w:r w:rsidRPr="001C7BEC">
        <w:t xml:space="preserve">Public health stakeholders encouraged a much broader interpretation of population health which positioned the Act to use regulatory measures to promote a healthy food supply. This includes controls to minimise consumption of unhealthy foods which can lead to food-related chronic disease as well as fortify more food products with vitamins and minerals where this may lead to population-level benefits. </w:t>
      </w:r>
    </w:p>
    <w:p w14:paraId="1336635F" w14:textId="042A45E2" w:rsidR="00923BE4" w:rsidRPr="001C7BEC" w:rsidRDefault="00923BE4" w:rsidP="001C7BEC">
      <w:pPr>
        <w:pStyle w:val="Bullet"/>
      </w:pPr>
      <w:r w:rsidRPr="001C7BEC">
        <w:t xml:space="preserve">There were mixed views about </w:t>
      </w:r>
      <w:r w:rsidR="004E4D63" w:rsidRPr="001C7BEC">
        <w:t>FSANZ’</w:t>
      </w:r>
      <w:r w:rsidR="005D04DB">
        <w:t>s</w:t>
      </w:r>
      <w:r w:rsidRPr="001C7BEC">
        <w:t xml:space="preserve"> role in combatting food fraud. While many stakeholders recognised that FSANZ had been called upon recently to assist with such matters (including in the infamous strawberry tampering incident of 2019), there was strong feedback this function sat more naturally in the remit of law enforcement bodies and did not necessarily make good use of the skills and expertise of FSANZ, which acts as an independent, scientific body. </w:t>
      </w:r>
    </w:p>
    <w:p w14:paraId="288EE7BD" w14:textId="2E0F1551" w:rsidR="00923BE4" w:rsidRDefault="00923BE4" w:rsidP="00923BE4">
      <w:pPr>
        <w:rPr>
          <w:rFonts w:asciiTheme="minorHAnsi" w:hAnsiTheme="minorHAnsi" w:cstheme="minorHAnsi"/>
          <w:szCs w:val="19"/>
          <w:lang w:eastAsia="en-AU"/>
        </w:rPr>
      </w:pPr>
      <w:r w:rsidRPr="00F01829">
        <w:rPr>
          <w:rFonts w:asciiTheme="minorHAnsi" w:hAnsiTheme="minorHAnsi" w:cstheme="minorHAnsi"/>
          <w:szCs w:val="19"/>
          <w:lang w:eastAsia="en-AU"/>
        </w:rPr>
        <w:t xml:space="preserve">Given this input, the IA has </w:t>
      </w:r>
      <w:r w:rsidR="00A21097">
        <w:rPr>
          <w:rFonts w:asciiTheme="minorHAnsi" w:hAnsiTheme="minorHAnsi" w:cstheme="minorHAnsi"/>
          <w:szCs w:val="19"/>
          <w:lang w:eastAsia="en-AU"/>
        </w:rPr>
        <w:t xml:space="preserve">evolved significantly. </w:t>
      </w:r>
      <w:r w:rsidR="00C2347A">
        <w:rPr>
          <w:rFonts w:asciiTheme="minorHAnsi" w:hAnsiTheme="minorHAnsi" w:cstheme="minorHAnsi"/>
          <w:szCs w:val="19"/>
          <w:lang w:eastAsia="en-AU"/>
        </w:rPr>
        <w:t>Characterisation of the p</w:t>
      </w:r>
      <w:r w:rsidR="00797C6C">
        <w:rPr>
          <w:rFonts w:asciiTheme="minorHAnsi" w:hAnsiTheme="minorHAnsi" w:cstheme="minorHAnsi"/>
          <w:szCs w:val="19"/>
          <w:lang w:eastAsia="en-AU"/>
        </w:rPr>
        <w:t xml:space="preserve">roblems to solve, and the options to solve these has changed dramatically since the RIS was published for consultation in 2021. </w:t>
      </w:r>
      <w:r w:rsidR="00762E5A">
        <w:rPr>
          <w:rFonts w:asciiTheme="minorHAnsi" w:hAnsiTheme="minorHAnsi" w:cstheme="minorHAnsi"/>
          <w:szCs w:val="19"/>
          <w:lang w:eastAsia="en-AU"/>
        </w:rPr>
        <w:t>The next stage of stakeholder feedback will particular</w:t>
      </w:r>
      <w:r w:rsidR="00AD22FC">
        <w:rPr>
          <w:rFonts w:asciiTheme="minorHAnsi" w:hAnsiTheme="minorHAnsi" w:cstheme="minorHAnsi"/>
          <w:szCs w:val="19"/>
          <w:lang w:eastAsia="en-AU"/>
        </w:rPr>
        <w:t>ly</w:t>
      </w:r>
      <w:r w:rsidR="00762E5A">
        <w:rPr>
          <w:rFonts w:asciiTheme="minorHAnsi" w:hAnsiTheme="minorHAnsi" w:cstheme="minorHAnsi"/>
          <w:szCs w:val="19"/>
          <w:lang w:eastAsia="en-AU"/>
        </w:rPr>
        <w:t xml:space="preserve"> focus on eliciting insights around </w:t>
      </w:r>
      <w:r w:rsidR="000624C9">
        <w:rPr>
          <w:rFonts w:asciiTheme="minorHAnsi" w:hAnsiTheme="minorHAnsi" w:cstheme="minorHAnsi"/>
          <w:szCs w:val="19"/>
          <w:lang w:eastAsia="en-AU"/>
        </w:rPr>
        <w:t xml:space="preserve">a clarified definition of public health and safety; </w:t>
      </w:r>
      <w:r w:rsidR="005C0A4B">
        <w:rPr>
          <w:rFonts w:asciiTheme="minorHAnsi" w:hAnsiTheme="minorHAnsi" w:cstheme="minorHAnsi"/>
          <w:szCs w:val="19"/>
          <w:lang w:eastAsia="en-AU"/>
        </w:rPr>
        <w:t xml:space="preserve">ways to better communicate how different factors have been considered in developing food </w:t>
      </w:r>
      <w:r w:rsidR="00DE5A36">
        <w:rPr>
          <w:rFonts w:asciiTheme="minorHAnsi" w:hAnsiTheme="minorHAnsi" w:cstheme="minorHAnsi"/>
          <w:szCs w:val="19"/>
          <w:lang w:eastAsia="en-AU"/>
        </w:rPr>
        <w:t>regulatory</w:t>
      </w:r>
      <w:r w:rsidR="005C0A4B">
        <w:rPr>
          <w:rFonts w:asciiTheme="minorHAnsi" w:hAnsiTheme="minorHAnsi" w:cstheme="minorHAnsi"/>
          <w:szCs w:val="19"/>
          <w:lang w:eastAsia="en-AU"/>
        </w:rPr>
        <w:t xml:space="preserve"> measures (in a way that aligns with the objectives of the Act) and opportunities to refresh the language of the Act to better recognise Indigenous culture and expertise. </w:t>
      </w:r>
    </w:p>
    <w:p w14:paraId="13F7B829" w14:textId="7BFB7B9D" w:rsidR="005C0A4B" w:rsidRPr="00F01829" w:rsidRDefault="005C0A4B" w:rsidP="00923BE4">
      <w:pPr>
        <w:rPr>
          <w:rFonts w:asciiTheme="minorHAnsi" w:hAnsiTheme="minorHAnsi" w:cstheme="minorHAnsi"/>
          <w:szCs w:val="19"/>
          <w:lang w:eastAsia="en-AU"/>
        </w:rPr>
      </w:pPr>
      <w:r>
        <w:rPr>
          <w:rFonts w:asciiTheme="minorHAnsi" w:hAnsiTheme="minorHAnsi" w:cstheme="minorHAnsi"/>
          <w:szCs w:val="19"/>
          <w:lang w:eastAsia="en-AU"/>
        </w:rPr>
        <w:t xml:space="preserve">Several ideas have been explored but formally excluded from further analysis by the FMM. These include: </w:t>
      </w:r>
    </w:p>
    <w:p w14:paraId="24EF8892" w14:textId="0A73AD4C" w:rsidR="00923BE4" w:rsidRPr="00495CFD" w:rsidRDefault="00360EE6" w:rsidP="00495CFD">
      <w:pPr>
        <w:pStyle w:val="Bullet"/>
      </w:pPr>
      <w:r w:rsidRPr="00495CFD">
        <w:t>The objectives of FSANZ could be expanded to recognise trade as a core goal FSANZ is designed to support</w:t>
      </w:r>
      <w:r w:rsidR="00DE5A36" w:rsidRPr="00495CFD">
        <w:t>.</w:t>
      </w:r>
    </w:p>
    <w:p w14:paraId="395DF45E" w14:textId="7514748D" w:rsidR="00360EE6" w:rsidRPr="00495CFD" w:rsidRDefault="00360EE6" w:rsidP="00495CFD">
      <w:pPr>
        <w:pStyle w:val="Bullet"/>
      </w:pPr>
      <w:r w:rsidRPr="00495CFD">
        <w:t>The objectives of FSANZ could also be extended to promote food sustainability</w:t>
      </w:r>
      <w:r w:rsidR="00DE5A36" w:rsidRPr="00495CFD">
        <w:t>.</w:t>
      </w:r>
    </w:p>
    <w:p w14:paraId="3C50D95F" w14:textId="28295131" w:rsidR="00360EE6" w:rsidRPr="00495CFD" w:rsidRDefault="00360EE6" w:rsidP="00495CFD">
      <w:pPr>
        <w:pStyle w:val="Bullet"/>
      </w:pPr>
      <w:r w:rsidRPr="00495CFD">
        <w:t>Statutory functions could be established for FSANZ in relation to food fraud</w:t>
      </w:r>
      <w:r w:rsidR="00495CFD">
        <w:t>.</w:t>
      </w:r>
    </w:p>
    <w:p w14:paraId="1331E83E" w14:textId="652D7738" w:rsidR="00360EE6" w:rsidRPr="00495CFD" w:rsidRDefault="00360EE6" w:rsidP="00495CFD">
      <w:pPr>
        <w:pStyle w:val="Bullet"/>
      </w:pPr>
      <w:r w:rsidRPr="00495CFD">
        <w:t xml:space="preserve">Criteria could be established in the Act that the FMM must </w:t>
      </w:r>
      <w:r w:rsidR="00495CFD">
        <w:t>m</w:t>
      </w:r>
      <w:r w:rsidRPr="00495CFD">
        <w:t xml:space="preserve">eet to request a review of a draft </w:t>
      </w:r>
      <w:r w:rsidR="00DE5A36" w:rsidRPr="00495CFD">
        <w:t>regulatory</w:t>
      </w:r>
      <w:r w:rsidRPr="00495CFD">
        <w:t xml:space="preserve"> measure</w:t>
      </w:r>
      <w:r w:rsidR="00DE5A36" w:rsidRPr="00495CFD">
        <w:t>.</w:t>
      </w:r>
    </w:p>
    <w:p w14:paraId="145717F1" w14:textId="77777777" w:rsidR="00923BE4" w:rsidRPr="007D44F4" w:rsidRDefault="00923BE4" w:rsidP="007F7722">
      <w:pPr>
        <w:pStyle w:val="Heading2"/>
        <w:ind w:left="709" w:hanging="709"/>
        <w:rPr>
          <w:rStyle w:val="cf01"/>
          <w:rFonts w:ascii="Segoe UI Semibold" w:hAnsi="Segoe UI Semibold" w:cs="Times New Roman"/>
          <w:color w:val="auto"/>
          <w:sz w:val="30"/>
          <w:szCs w:val="19"/>
        </w:rPr>
      </w:pPr>
      <w:bookmarkStart w:id="115" w:name="_Toc157599135"/>
      <w:r>
        <w:rPr>
          <w:rStyle w:val="cf01"/>
          <w:rFonts w:ascii="Segoe UI Semibold" w:hAnsi="Segoe UI Semibold" w:cs="Times New Roman"/>
          <w:sz w:val="30"/>
          <w:szCs w:val="19"/>
        </w:rPr>
        <w:lastRenderedPageBreak/>
        <w:t>Reforming</w:t>
      </w:r>
      <w:r w:rsidRPr="007D44F4">
        <w:rPr>
          <w:rStyle w:val="cf01"/>
          <w:rFonts w:ascii="Segoe UI Semibold" w:hAnsi="Segoe UI Semibold" w:cs="Times New Roman"/>
          <w:sz w:val="30"/>
          <w:szCs w:val="19"/>
        </w:rPr>
        <w:t xml:space="preserve"> standard</w:t>
      </w:r>
      <w:r>
        <w:rPr>
          <w:rStyle w:val="cf01"/>
          <w:rFonts w:ascii="Segoe UI Semibold" w:hAnsi="Segoe UI Semibold" w:cs="Times New Roman"/>
          <w:sz w:val="30"/>
          <w:szCs w:val="19"/>
        </w:rPr>
        <w:t>-</w:t>
      </w:r>
      <w:r w:rsidRPr="007D44F4">
        <w:rPr>
          <w:rStyle w:val="cf01"/>
          <w:rFonts w:ascii="Segoe UI Semibold" w:hAnsi="Segoe UI Semibold" w:cs="Times New Roman"/>
          <w:sz w:val="30"/>
          <w:szCs w:val="19"/>
        </w:rPr>
        <w:t>setting</w:t>
      </w:r>
      <w:bookmarkEnd w:id="115"/>
    </w:p>
    <w:p w14:paraId="6C3E364A" w14:textId="5A06513B" w:rsidR="00923BE4" w:rsidRPr="0086146F" w:rsidRDefault="00923BE4" w:rsidP="00923BE4">
      <w:pPr>
        <w:pStyle w:val="intoductionbullet"/>
        <w:numPr>
          <w:ilvl w:val="0"/>
          <w:numId w:val="0"/>
        </w:numPr>
        <w:rPr>
          <w:rFonts w:asciiTheme="minorHAnsi" w:hAnsiTheme="minorHAnsi" w:cstheme="minorHAnsi"/>
          <w:color w:val="auto"/>
          <w:sz w:val="19"/>
          <w:szCs w:val="19"/>
          <w:lang w:eastAsia="en-AU"/>
        </w:rPr>
      </w:pPr>
      <w:r w:rsidRPr="0086146F">
        <w:rPr>
          <w:rFonts w:asciiTheme="minorHAnsi" w:hAnsiTheme="minorHAnsi" w:cstheme="minorHAnsi"/>
          <w:color w:val="auto"/>
          <w:sz w:val="19"/>
          <w:szCs w:val="19"/>
          <w:lang w:eastAsia="en-AU"/>
        </w:rPr>
        <w:t>Stakeholders have been united in their call for more risk-based and proportionate processes to set and vary food regulatory measures</w:t>
      </w:r>
      <w:r w:rsidR="00464869">
        <w:rPr>
          <w:rFonts w:asciiTheme="minorHAnsi" w:hAnsiTheme="minorHAnsi" w:cstheme="minorHAnsi"/>
          <w:color w:val="auto"/>
          <w:sz w:val="19"/>
          <w:szCs w:val="19"/>
          <w:lang w:eastAsia="en-AU"/>
        </w:rPr>
        <w:t xml:space="preserve"> – provided they don’t compromise on </w:t>
      </w:r>
      <w:r w:rsidR="001A0D60">
        <w:rPr>
          <w:rFonts w:asciiTheme="minorHAnsi" w:hAnsiTheme="minorHAnsi" w:cstheme="minorHAnsi"/>
          <w:color w:val="auto"/>
          <w:sz w:val="19"/>
          <w:szCs w:val="19"/>
          <w:lang w:eastAsia="en-AU"/>
        </w:rPr>
        <w:t>health and safety</w:t>
      </w:r>
      <w:r w:rsidRPr="0086146F">
        <w:rPr>
          <w:rFonts w:asciiTheme="minorHAnsi" w:hAnsiTheme="minorHAnsi" w:cstheme="minorHAnsi"/>
          <w:color w:val="auto"/>
          <w:sz w:val="19"/>
          <w:szCs w:val="19"/>
          <w:lang w:eastAsia="en-AU"/>
        </w:rPr>
        <w:t xml:space="preserve">: </w:t>
      </w:r>
    </w:p>
    <w:p w14:paraId="64263EBB" w14:textId="77777777" w:rsidR="00BC184F" w:rsidRPr="007F7722" w:rsidRDefault="00923BE4" w:rsidP="001C1A19">
      <w:pPr>
        <w:pStyle w:val="Bullet"/>
        <w:rPr>
          <w:rFonts w:asciiTheme="minorHAnsi" w:hAnsiTheme="minorHAnsi" w:cstheme="minorHAnsi"/>
        </w:rPr>
      </w:pPr>
      <w:r w:rsidRPr="0086146F">
        <w:t>There has been broad support for the implementation of a risk-based framework to guide processes and decision-making arrangements</w:t>
      </w:r>
      <w:r w:rsidR="00BC184F">
        <w:t xml:space="preserve"> – although there has been considerable discussion about what factors must be included in a determination of ‘risk’</w:t>
      </w:r>
      <w:r w:rsidRPr="0086146F">
        <w:t xml:space="preserve">. </w:t>
      </w:r>
    </w:p>
    <w:p w14:paraId="29B5A880" w14:textId="0D5CA86F" w:rsidR="00923BE4" w:rsidRPr="0086146F" w:rsidRDefault="00923BE4" w:rsidP="001C1A19">
      <w:pPr>
        <w:pStyle w:val="Bullet"/>
        <w:rPr>
          <w:rFonts w:asciiTheme="minorHAnsi" w:hAnsiTheme="minorHAnsi" w:cstheme="minorHAnsi"/>
        </w:rPr>
      </w:pPr>
      <w:r w:rsidRPr="0086146F">
        <w:t xml:space="preserve">There has also been support for the uptake of the full suite of regulatory measures, including </w:t>
      </w:r>
      <w:r w:rsidR="008117F8">
        <w:rPr>
          <w:rFonts w:asciiTheme="minorHAnsi" w:hAnsiTheme="minorHAnsi" w:cstheme="minorHAnsi"/>
        </w:rPr>
        <w:t>Codes of Practice</w:t>
      </w:r>
      <w:r w:rsidRPr="0086146F">
        <w:rPr>
          <w:rFonts w:asciiTheme="minorHAnsi" w:hAnsiTheme="minorHAnsi" w:cstheme="minorHAnsi"/>
        </w:rPr>
        <w:t xml:space="preserve"> as well as guidelines (noting there has been some scepticism about what legal effect these instruments would have).</w:t>
      </w:r>
    </w:p>
    <w:p w14:paraId="390DF477" w14:textId="77777777" w:rsidR="00923BE4" w:rsidRPr="0086146F" w:rsidRDefault="00923BE4" w:rsidP="001C1A19">
      <w:pPr>
        <w:pStyle w:val="Bullet"/>
        <w:rPr>
          <w:rFonts w:asciiTheme="minorHAnsi" w:hAnsiTheme="minorHAnsi" w:cstheme="minorHAnsi"/>
        </w:rPr>
      </w:pPr>
      <w:r w:rsidRPr="0086146F">
        <w:t xml:space="preserve">All </w:t>
      </w:r>
      <w:r w:rsidRPr="0086146F">
        <w:rPr>
          <w:rFonts w:asciiTheme="minorHAnsi" w:hAnsiTheme="minorHAnsi" w:cstheme="minorHAnsi"/>
        </w:rPr>
        <w:t>stakeholders have indicated comfort for more expedited processes for low</w:t>
      </w:r>
      <w:r>
        <w:rPr>
          <w:rFonts w:asciiTheme="minorHAnsi" w:hAnsiTheme="minorHAnsi" w:cstheme="minorHAnsi"/>
        </w:rPr>
        <w:t>-</w:t>
      </w:r>
      <w:r w:rsidRPr="0086146F">
        <w:rPr>
          <w:rFonts w:asciiTheme="minorHAnsi" w:hAnsiTheme="minorHAnsi" w:cstheme="minorHAnsi"/>
        </w:rPr>
        <w:t xml:space="preserve">risk applications and proposals and better use of international evidence, although there has been </w:t>
      </w:r>
      <w:proofErr w:type="gramStart"/>
      <w:r w:rsidRPr="0086146F">
        <w:rPr>
          <w:rFonts w:asciiTheme="minorHAnsi" w:hAnsiTheme="minorHAnsi" w:cstheme="minorHAnsi"/>
        </w:rPr>
        <w:t>particular caution</w:t>
      </w:r>
      <w:proofErr w:type="gramEnd"/>
      <w:r w:rsidRPr="0086146F">
        <w:rPr>
          <w:rFonts w:asciiTheme="minorHAnsi" w:hAnsiTheme="minorHAnsi" w:cstheme="minorHAnsi"/>
        </w:rPr>
        <w:t xml:space="preserve"> from health stakeholders to consider how Australian and New Zealand dietary patterns are considered in assessing safety information.</w:t>
      </w:r>
    </w:p>
    <w:p w14:paraId="67685B62" w14:textId="49AFFDCB" w:rsidR="00923BE4" w:rsidRPr="0086146F" w:rsidRDefault="00BC184F" w:rsidP="001C1A19">
      <w:pPr>
        <w:pStyle w:val="Bullet"/>
        <w:rPr>
          <w:rFonts w:asciiTheme="minorHAnsi" w:hAnsiTheme="minorHAnsi" w:cstheme="minorHAnsi"/>
        </w:rPr>
      </w:pPr>
      <w:r>
        <w:t>The idea of introduc</w:t>
      </w:r>
      <w:r w:rsidR="003338A7">
        <w:t xml:space="preserve">ing </w:t>
      </w:r>
      <w:r w:rsidR="00590DB0">
        <w:t xml:space="preserve">self-substantiation pathways for industry to bring foods to market without going through the food standards process </w:t>
      </w:r>
      <w:r w:rsidR="008F7AB4">
        <w:t xml:space="preserve">was canvassed but </w:t>
      </w:r>
      <w:r w:rsidR="00590DB0">
        <w:t xml:space="preserve">generated </w:t>
      </w:r>
      <w:r w:rsidR="00923BE4" w:rsidRPr="0086146F">
        <w:t xml:space="preserve">significant </w:t>
      </w:r>
      <w:r w:rsidR="00590DB0">
        <w:t xml:space="preserve">pushback. </w:t>
      </w:r>
      <w:r w:rsidR="00923BE4" w:rsidRPr="0086146F">
        <w:t xml:space="preserve">Health stakeholders were particularly forceful in their views that the regulatory system should maintain a strong pre-market entry focus to assess food stuffs. </w:t>
      </w:r>
    </w:p>
    <w:p w14:paraId="3107F9DF" w14:textId="128DB664" w:rsidR="00923BE4" w:rsidRPr="00D730CE" w:rsidRDefault="00590DB0" w:rsidP="001C1A19">
      <w:pPr>
        <w:pStyle w:val="Bullet"/>
        <w:rPr>
          <w:rFonts w:asciiTheme="minorHAnsi" w:hAnsiTheme="minorHAnsi" w:cstheme="minorHAnsi"/>
        </w:rPr>
      </w:pPr>
      <w:r>
        <w:t xml:space="preserve">Other mechanisms to support innovation and reduce regulatory burden were explored, such as </w:t>
      </w:r>
      <w:r w:rsidR="001E4AB0">
        <w:t>regulatory</w:t>
      </w:r>
      <w:r>
        <w:t xml:space="preserve"> sandboxes</w:t>
      </w:r>
      <w:r w:rsidR="00722401">
        <w:t xml:space="preserve"> (</w:t>
      </w:r>
      <w:r>
        <w:t xml:space="preserve">which </w:t>
      </w:r>
      <w:r w:rsidR="001E4AB0">
        <w:t>are defined as safe spaces that create an environment for businesses to test products with less risk of being ‘punished’ by the regulator for non-compliance. In return, regulators require applicants to incorporate appropriate safeguards to insulate the market from risks of their innovative business.</w:t>
      </w:r>
      <w:r w:rsidR="00722401">
        <w:t>)</w:t>
      </w:r>
      <w:r w:rsidR="001E4AB0">
        <w:t xml:space="preserve"> </w:t>
      </w:r>
      <w:r w:rsidR="00923BE4" w:rsidRPr="00D730CE">
        <w:t xml:space="preserve">While many stakeholders (particularly from industry) showed some curiosity about using regulatory sandboxes to foster innovation, there was a sense this regulatory feature would be difficult and expensive to implement; potentially introduce inappropriate risk into the system; and not necessarily be taken up by food businesses. </w:t>
      </w:r>
    </w:p>
    <w:p w14:paraId="1A09B176" w14:textId="2F3ACE54" w:rsidR="00923BE4" w:rsidRPr="00C60691" w:rsidRDefault="00923BE4" w:rsidP="001C1A19">
      <w:pPr>
        <w:pStyle w:val="Bullet"/>
        <w:rPr>
          <w:rFonts w:asciiTheme="minorHAnsi" w:hAnsiTheme="minorHAnsi" w:cstheme="minorHAnsi"/>
        </w:rPr>
      </w:pPr>
      <w:r w:rsidRPr="00C60691">
        <w:t xml:space="preserve">Industry, health, </w:t>
      </w:r>
      <w:proofErr w:type="gramStart"/>
      <w:r w:rsidRPr="00C60691">
        <w:t>consumer</w:t>
      </w:r>
      <w:proofErr w:type="gramEnd"/>
      <w:r w:rsidRPr="00C60691">
        <w:t xml:space="preserve"> and government stakeholders were all open to mechanisms to better recognise Indigenous culture and expertise. This was particularly salient among New Zealander stakeholders (noting that the New Zealand Government has more mature statutory obligations around recogni</w:t>
      </w:r>
      <w:r w:rsidR="00B62604">
        <w:t>s</w:t>
      </w:r>
      <w:r w:rsidRPr="00C60691">
        <w:t xml:space="preserve">ing and protecting Māori culture, rooted in the principles of the Treaty of Waitangi), but there was some discussion around the most appropriate way to achieve this. </w:t>
      </w:r>
    </w:p>
    <w:p w14:paraId="22851749" w14:textId="42262CA5" w:rsidR="00923BE4" w:rsidRPr="00E02E23" w:rsidRDefault="00923BE4" w:rsidP="001C1A19">
      <w:pPr>
        <w:pStyle w:val="Bullet"/>
        <w:rPr>
          <w:rFonts w:asciiTheme="minorHAnsi" w:hAnsiTheme="minorHAnsi" w:cstheme="minorHAnsi"/>
        </w:rPr>
      </w:pPr>
      <w:r w:rsidRPr="00E02E23">
        <w:t>All stakeholders were supportive of FSANZ undertaking more regular, holistic reviews of standards, noting these reviews are opportunities to consider the collective impacts of different food standards and changes to the average diets of Australians and New Zealanders. Individuals were quick to highlight however that</w:t>
      </w:r>
      <w:r w:rsidR="0085362F">
        <w:t xml:space="preserve"> the development </w:t>
      </w:r>
      <w:r w:rsidR="00785243">
        <w:t xml:space="preserve">and review of food standards </w:t>
      </w:r>
      <w:r w:rsidRPr="00E02E23">
        <w:t xml:space="preserve">can take significant time and resources to complete. </w:t>
      </w:r>
      <w:r w:rsidR="00563938">
        <w:t xml:space="preserve">Some stakeholders called for more certainty around the timelines for proposals, including by setting statutory timeframes, but it was largely agreed that these would be challenging given the variability of effort involved in different proposals. </w:t>
      </w:r>
    </w:p>
    <w:p w14:paraId="66DB1626" w14:textId="3FD56F5B" w:rsidR="00923BE4" w:rsidRPr="00E02E23" w:rsidRDefault="00923BE4" w:rsidP="001C1A19">
      <w:pPr>
        <w:pStyle w:val="Bullet"/>
        <w:rPr>
          <w:rFonts w:asciiTheme="minorHAnsi" w:hAnsiTheme="minorHAnsi" w:cstheme="minorHAnsi"/>
        </w:rPr>
      </w:pPr>
      <w:r w:rsidRPr="003C6FD3">
        <w:t xml:space="preserve">Government stakeholders </w:t>
      </w:r>
      <w:proofErr w:type="gramStart"/>
      <w:r w:rsidRPr="003C6FD3">
        <w:t>in particular felt</w:t>
      </w:r>
      <w:proofErr w:type="gramEnd"/>
      <w:r w:rsidRPr="003C6FD3">
        <w:t xml:space="preserve"> the capacity for the FMM to issue ministerial guidelines was critical to connect food standards to the broader food policy agenda. While there was recognition that FSANZ must balance several (sometimes competing) considerations when developing regulatory measures, feedback emphasised a want to ensure that ministerial guidance is given due consideration</w:t>
      </w:r>
      <w:r w:rsidRPr="00E02E23">
        <w:t xml:space="preserve">. </w:t>
      </w:r>
    </w:p>
    <w:p w14:paraId="7DED91D8" w14:textId="333A34E2" w:rsidR="00923BE4" w:rsidRDefault="00923BE4" w:rsidP="00923BE4">
      <w:pPr>
        <w:pStyle w:val="intoductionbullet"/>
        <w:numPr>
          <w:ilvl w:val="0"/>
          <w:numId w:val="0"/>
        </w:numPr>
        <w:rPr>
          <w:rFonts w:asciiTheme="minorHAnsi" w:hAnsiTheme="minorHAnsi" w:cstheme="minorHAnsi"/>
          <w:color w:val="auto"/>
          <w:sz w:val="19"/>
          <w:szCs w:val="19"/>
          <w:lang w:eastAsia="en-AU"/>
        </w:rPr>
      </w:pPr>
      <w:r w:rsidRPr="00E02E23">
        <w:rPr>
          <w:rFonts w:asciiTheme="minorHAnsi" w:hAnsiTheme="minorHAnsi" w:cstheme="minorHAnsi"/>
          <w:color w:val="auto"/>
          <w:sz w:val="19"/>
          <w:szCs w:val="19"/>
          <w:lang w:eastAsia="en-AU"/>
        </w:rPr>
        <w:t>Given this input, the IA has evolved</w:t>
      </w:r>
      <w:r w:rsidR="0064405F">
        <w:rPr>
          <w:rFonts w:asciiTheme="minorHAnsi" w:hAnsiTheme="minorHAnsi" w:cstheme="minorHAnsi"/>
          <w:color w:val="auto"/>
          <w:sz w:val="19"/>
          <w:szCs w:val="19"/>
          <w:lang w:eastAsia="en-AU"/>
        </w:rPr>
        <w:t xml:space="preserve"> and currently presents a </w:t>
      </w:r>
      <w:r w:rsidR="00563938">
        <w:rPr>
          <w:rFonts w:asciiTheme="minorHAnsi" w:hAnsiTheme="minorHAnsi" w:cstheme="minorHAnsi"/>
          <w:color w:val="auto"/>
          <w:sz w:val="19"/>
          <w:szCs w:val="19"/>
          <w:lang w:eastAsia="en-AU"/>
        </w:rPr>
        <w:t>narrower</w:t>
      </w:r>
      <w:r w:rsidR="0064405F">
        <w:rPr>
          <w:rFonts w:asciiTheme="minorHAnsi" w:hAnsiTheme="minorHAnsi" w:cstheme="minorHAnsi"/>
          <w:color w:val="auto"/>
          <w:sz w:val="19"/>
          <w:szCs w:val="19"/>
          <w:lang w:eastAsia="en-AU"/>
        </w:rPr>
        <w:t xml:space="preserve"> set of </w:t>
      </w:r>
      <w:r w:rsidR="003E05C4">
        <w:rPr>
          <w:rFonts w:asciiTheme="minorHAnsi" w:hAnsiTheme="minorHAnsi" w:cstheme="minorHAnsi"/>
          <w:color w:val="auto"/>
          <w:sz w:val="19"/>
          <w:szCs w:val="19"/>
          <w:lang w:eastAsia="en-AU"/>
        </w:rPr>
        <w:t xml:space="preserve">ideas to reform standard setting. The current phase of consultation seeks to particularly surface feedback about </w:t>
      </w:r>
      <w:r w:rsidR="0035676B">
        <w:rPr>
          <w:rFonts w:asciiTheme="minorHAnsi" w:hAnsiTheme="minorHAnsi" w:cstheme="minorHAnsi"/>
          <w:color w:val="auto"/>
          <w:sz w:val="19"/>
          <w:szCs w:val="19"/>
          <w:lang w:eastAsia="en-AU"/>
        </w:rPr>
        <w:t>practical ways to implement risk-based approaches (without compromising on safety)</w:t>
      </w:r>
      <w:r w:rsidR="00D1493D">
        <w:rPr>
          <w:rFonts w:asciiTheme="minorHAnsi" w:hAnsiTheme="minorHAnsi" w:cstheme="minorHAnsi"/>
          <w:color w:val="auto"/>
          <w:sz w:val="19"/>
          <w:szCs w:val="19"/>
          <w:lang w:eastAsia="en-AU"/>
        </w:rPr>
        <w:t xml:space="preserve">. </w:t>
      </w:r>
    </w:p>
    <w:p w14:paraId="68C16425" w14:textId="5B0A8DAE" w:rsidR="00D1493D" w:rsidRDefault="00D1493D" w:rsidP="00923BE4">
      <w:pPr>
        <w:pStyle w:val="intoductionbullet"/>
        <w:numPr>
          <w:ilvl w:val="0"/>
          <w:numId w:val="0"/>
        </w:numPr>
        <w:rPr>
          <w:rFonts w:asciiTheme="minorHAnsi" w:hAnsiTheme="minorHAnsi" w:cstheme="minorHAnsi"/>
          <w:color w:val="auto"/>
          <w:sz w:val="19"/>
          <w:szCs w:val="19"/>
          <w:lang w:eastAsia="en-AU"/>
        </w:rPr>
      </w:pPr>
      <w:r>
        <w:rPr>
          <w:rFonts w:asciiTheme="minorHAnsi" w:hAnsiTheme="minorHAnsi" w:cstheme="minorHAnsi"/>
          <w:color w:val="auto"/>
          <w:sz w:val="19"/>
          <w:szCs w:val="19"/>
          <w:lang w:eastAsia="en-AU"/>
        </w:rPr>
        <w:t>Ideas that have been explored but ultimately excluded from further analysis by the FMM include:</w:t>
      </w:r>
    </w:p>
    <w:p w14:paraId="034CAF66" w14:textId="6C08E47D" w:rsidR="00D1493D" w:rsidRDefault="00A0040E" w:rsidP="00D1493D">
      <w:pPr>
        <w:pStyle w:val="Bullet"/>
      </w:pPr>
      <w:r>
        <w:lastRenderedPageBreak/>
        <w:t xml:space="preserve">An additional </w:t>
      </w:r>
      <w:r w:rsidR="00DC2C5E">
        <w:t xml:space="preserve">industry self-substantiation </w:t>
      </w:r>
      <w:r>
        <w:t xml:space="preserve">pathway </w:t>
      </w:r>
      <w:r w:rsidR="00DC2C5E">
        <w:t>could be established to bring very low risk food products to market</w:t>
      </w:r>
      <w:r w:rsidR="00A15324">
        <w:t>.</w:t>
      </w:r>
    </w:p>
    <w:p w14:paraId="1C9CB3A6" w14:textId="6293C61E" w:rsidR="00DC2C5E" w:rsidRPr="00E02E23" w:rsidRDefault="00DC2C5E" w:rsidP="007F7722">
      <w:pPr>
        <w:pStyle w:val="Bullet"/>
      </w:pPr>
      <w:r>
        <w:t>Bespoke regulatory sandboxes could be enabled by legislation to work with industry and safely promote innovation</w:t>
      </w:r>
      <w:r w:rsidR="001B5C50">
        <w:t>.</w:t>
      </w:r>
    </w:p>
    <w:p w14:paraId="6EA616B6" w14:textId="4DF50A06" w:rsidR="00923BE4" w:rsidRPr="007D44F4" w:rsidRDefault="00923BE4" w:rsidP="00923BE4">
      <w:pPr>
        <w:pStyle w:val="Heading2"/>
        <w:rPr>
          <w:rStyle w:val="cf01"/>
          <w:rFonts w:ascii="Segoe UI Semibold" w:hAnsi="Segoe UI Semibold" w:cs="Times New Roman"/>
          <w:sz w:val="30"/>
          <w:szCs w:val="19"/>
        </w:rPr>
      </w:pPr>
      <w:bookmarkStart w:id="116" w:name="_Toc157599136"/>
      <w:r w:rsidRPr="007D44F4">
        <w:rPr>
          <w:rStyle w:val="cf01"/>
          <w:rFonts w:ascii="Segoe UI Semibold" w:hAnsi="Segoe UI Semibold" w:cs="Times New Roman"/>
          <w:sz w:val="30"/>
          <w:szCs w:val="19"/>
        </w:rPr>
        <w:t>Efficient and effective operations</w:t>
      </w:r>
      <w:bookmarkEnd w:id="116"/>
      <w:r w:rsidRPr="007D44F4">
        <w:rPr>
          <w:rStyle w:val="cf01"/>
          <w:rFonts w:ascii="Segoe UI Semibold" w:hAnsi="Segoe UI Semibold" w:cs="Times New Roman"/>
          <w:sz w:val="30"/>
          <w:szCs w:val="19"/>
        </w:rPr>
        <w:t xml:space="preserve"> </w:t>
      </w:r>
    </w:p>
    <w:p w14:paraId="74C22C31" w14:textId="499BC33E" w:rsidR="00923BE4" w:rsidRPr="009505C4" w:rsidRDefault="00923BE4" w:rsidP="004E4D63">
      <w:pPr>
        <w:pStyle w:val="intoductionbullet"/>
        <w:numPr>
          <w:ilvl w:val="0"/>
          <w:numId w:val="0"/>
        </w:numPr>
        <w:spacing w:line="360" w:lineRule="auto"/>
        <w:rPr>
          <w:rFonts w:asciiTheme="minorHAnsi" w:hAnsiTheme="minorHAnsi" w:cstheme="minorHAnsi"/>
          <w:color w:val="auto"/>
          <w:sz w:val="19"/>
          <w:szCs w:val="19"/>
          <w:lang w:eastAsia="en-AU"/>
        </w:rPr>
      </w:pPr>
      <w:r w:rsidRPr="009505C4">
        <w:rPr>
          <w:rFonts w:asciiTheme="minorHAnsi" w:hAnsiTheme="minorHAnsi" w:cstheme="minorHAnsi"/>
          <w:color w:val="auto"/>
          <w:sz w:val="19"/>
          <w:szCs w:val="19"/>
          <w:lang w:eastAsia="en-AU"/>
        </w:rPr>
        <w:t xml:space="preserve">Stakeholders spoke at length about </w:t>
      </w:r>
      <w:r w:rsidR="004E4D63">
        <w:rPr>
          <w:rFonts w:asciiTheme="minorHAnsi" w:hAnsiTheme="minorHAnsi" w:cstheme="minorHAnsi"/>
          <w:color w:val="auto"/>
          <w:sz w:val="19"/>
          <w:szCs w:val="19"/>
          <w:lang w:eastAsia="en-AU"/>
        </w:rPr>
        <w:t>FSANZ’</w:t>
      </w:r>
      <w:r w:rsidR="005D04DB">
        <w:rPr>
          <w:rFonts w:asciiTheme="minorHAnsi" w:hAnsiTheme="minorHAnsi" w:cstheme="minorHAnsi"/>
          <w:color w:val="auto"/>
          <w:sz w:val="19"/>
          <w:szCs w:val="19"/>
          <w:lang w:eastAsia="en-AU"/>
        </w:rPr>
        <w:t>s</w:t>
      </w:r>
      <w:r w:rsidRPr="009505C4">
        <w:rPr>
          <w:rFonts w:asciiTheme="minorHAnsi" w:hAnsiTheme="minorHAnsi" w:cstheme="minorHAnsi"/>
          <w:color w:val="auto"/>
          <w:sz w:val="19"/>
          <w:szCs w:val="19"/>
          <w:lang w:eastAsia="en-AU"/>
        </w:rPr>
        <w:t xml:space="preserve"> operations. In relation to </w:t>
      </w:r>
      <w:r w:rsidR="00932F4E">
        <w:rPr>
          <w:rFonts w:asciiTheme="minorHAnsi" w:hAnsiTheme="minorHAnsi" w:cstheme="minorHAnsi"/>
          <w:color w:val="auto"/>
          <w:sz w:val="19"/>
          <w:szCs w:val="19"/>
          <w:lang w:eastAsia="en-AU"/>
        </w:rPr>
        <w:t>board nominations and appointments:</w:t>
      </w:r>
      <w:r w:rsidRPr="009505C4">
        <w:rPr>
          <w:rFonts w:asciiTheme="minorHAnsi" w:hAnsiTheme="minorHAnsi" w:cstheme="minorHAnsi"/>
          <w:color w:val="auto"/>
          <w:sz w:val="19"/>
          <w:szCs w:val="19"/>
          <w:lang w:eastAsia="en-AU"/>
        </w:rPr>
        <w:t xml:space="preserve">  </w:t>
      </w:r>
    </w:p>
    <w:p w14:paraId="5826392D" w14:textId="4E917C6C" w:rsidR="00923BE4" w:rsidRPr="009505C4" w:rsidRDefault="00923BE4" w:rsidP="001C1A19">
      <w:pPr>
        <w:pStyle w:val="Bullet"/>
        <w:rPr>
          <w:rFonts w:asciiTheme="minorHAnsi" w:hAnsiTheme="minorHAnsi" w:cstheme="minorHAnsi"/>
        </w:rPr>
      </w:pPr>
      <w:r w:rsidRPr="009505C4">
        <w:t xml:space="preserve">The challenges of operating with a 12-person board were broadly recognised, but there was not </w:t>
      </w:r>
      <w:r w:rsidR="00294D62">
        <w:t xml:space="preserve">a </w:t>
      </w:r>
      <w:r w:rsidRPr="009505C4">
        <w:t>clear agreement about how this could be improved. Industry and health stakeholders</w:t>
      </w:r>
      <w:proofErr w:type="gramStart"/>
      <w:r w:rsidR="00046068">
        <w:t>, in particul</w:t>
      </w:r>
      <w:r w:rsidR="00E95300">
        <w:t>ar</w:t>
      </w:r>
      <w:r w:rsidR="004E534D">
        <w:t>,</w:t>
      </w:r>
      <w:r w:rsidR="00E95300">
        <w:t xml:space="preserve"> </w:t>
      </w:r>
      <w:r w:rsidR="00471476">
        <w:t>expressed</w:t>
      </w:r>
      <w:proofErr w:type="gramEnd"/>
      <w:r w:rsidR="00471476">
        <w:t xml:space="preserve"> strong support regarding</w:t>
      </w:r>
      <w:r w:rsidR="00E95300">
        <w:t xml:space="preserve"> their respective representations on the Board</w:t>
      </w:r>
      <w:r w:rsidRPr="009505C4">
        <w:t>. They were largely unsupportive of a reduction in board size that would potentially see their interests less well reflected in board composition. New Zealander stakeholders were also anxious to ensure their interest</w:t>
      </w:r>
      <w:r w:rsidR="00A46038">
        <w:t>s</w:t>
      </w:r>
      <w:r w:rsidRPr="009505C4">
        <w:t xml:space="preserve"> remained heard and </w:t>
      </w:r>
      <w:r w:rsidR="00A46038">
        <w:t xml:space="preserve">were </w:t>
      </w:r>
      <w:r w:rsidRPr="009505C4">
        <w:t xml:space="preserve">clearly represented. </w:t>
      </w:r>
    </w:p>
    <w:p w14:paraId="4D6C6A69" w14:textId="016B8A9E" w:rsidR="00923BE4" w:rsidRPr="009505C4" w:rsidRDefault="00923BE4" w:rsidP="001C1A19">
      <w:pPr>
        <w:pStyle w:val="Bullet"/>
        <w:rPr>
          <w:rFonts w:asciiTheme="minorHAnsi" w:hAnsiTheme="minorHAnsi" w:cstheme="minorHAnsi"/>
        </w:rPr>
      </w:pPr>
      <w:r w:rsidRPr="009505C4">
        <w:t>There was, however, a general appreciation the Board needs a variety of skills to operate effectively</w:t>
      </w:r>
      <w:r w:rsidR="00777C6C" w:rsidRPr="00206ACA">
        <w:t>,</w:t>
      </w:r>
      <w:r w:rsidRPr="009505C4">
        <w:t xml:space="preserve"> and the existing nomination and appointment process was not always sufficient for securing these. To this end, there was general support for a </w:t>
      </w:r>
      <w:r w:rsidR="007F62C4">
        <w:t>greater focus on</w:t>
      </w:r>
      <w:r w:rsidRPr="009505C4">
        <w:t xml:space="preserve"> skills</w:t>
      </w:r>
      <w:r w:rsidR="007F62C4">
        <w:t xml:space="preserve"> in the appointment process. </w:t>
      </w:r>
      <w:r w:rsidRPr="009505C4">
        <w:t xml:space="preserve"> </w:t>
      </w:r>
    </w:p>
    <w:p w14:paraId="533B09AC" w14:textId="77777777" w:rsidR="00923BE4" w:rsidRPr="006A40F6" w:rsidRDefault="00923BE4" w:rsidP="00923BE4">
      <w:pPr>
        <w:pStyle w:val="intoductionbullet"/>
        <w:numPr>
          <w:ilvl w:val="0"/>
          <w:numId w:val="0"/>
        </w:numPr>
        <w:rPr>
          <w:rFonts w:asciiTheme="minorHAnsi" w:hAnsiTheme="minorHAnsi" w:cstheme="minorHAnsi"/>
          <w:color w:val="auto"/>
          <w:sz w:val="19"/>
          <w:szCs w:val="19"/>
          <w:lang w:eastAsia="en-AU"/>
        </w:rPr>
      </w:pPr>
      <w:r w:rsidRPr="006A40F6">
        <w:rPr>
          <w:rFonts w:asciiTheme="minorHAnsi" w:hAnsiTheme="minorHAnsi" w:cstheme="minorHAnsi"/>
          <w:color w:val="auto"/>
          <w:sz w:val="19"/>
          <w:szCs w:val="19"/>
          <w:lang w:eastAsia="en-AU"/>
        </w:rPr>
        <w:t xml:space="preserve">The ability of FSANZ to manage its workload and acquit </w:t>
      </w:r>
      <w:proofErr w:type="gramStart"/>
      <w:r w:rsidRPr="006A40F6">
        <w:rPr>
          <w:rFonts w:asciiTheme="minorHAnsi" w:hAnsiTheme="minorHAnsi" w:cstheme="minorHAnsi"/>
          <w:color w:val="auto"/>
          <w:sz w:val="19"/>
          <w:szCs w:val="19"/>
          <w:lang w:eastAsia="en-AU"/>
        </w:rPr>
        <w:t>all of</w:t>
      </w:r>
      <w:proofErr w:type="gramEnd"/>
      <w:r w:rsidRPr="006A40F6">
        <w:rPr>
          <w:rFonts w:asciiTheme="minorHAnsi" w:hAnsiTheme="minorHAnsi" w:cstheme="minorHAnsi"/>
          <w:color w:val="auto"/>
          <w:sz w:val="19"/>
          <w:szCs w:val="19"/>
          <w:lang w:eastAsia="en-AU"/>
        </w:rPr>
        <w:t xml:space="preserve"> its functions was of key interest to stakeholders. There was universal appreciation not only of the value of the work they do, but the ongoing resourcing pressures that FSANZ has faced in recent years: </w:t>
      </w:r>
    </w:p>
    <w:p w14:paraId="1AEEE8EC" w14:textId="77777777" w:rsidR="00923BE4" w:rsidRPr="006A40F6" w:rsidRDefault="00923BE4" w:rsidP="001C1A19">
      <w:pPr>
        <w:pStyle w:val="Bullet"/>
        <w:rPr>
          <w:rFonts w:asciiTheme="minorHAnsi" w:hAnsiTheme="minorHAnsi" w:cstheme="minorHAnsi"/>
        </w:rPr>
      </w:pPr>
      <w:r w:rsidRPr="006A40F6">
        <w:t xml:space="preserve">Government and health stakeholders were particularly concerned with the effective de-prioritisation of proposals to service the growing number of applications which are subject to statutory timeframes. </w:t>
      </w:r>
    </w:p>
    <w:p w14:paraId="5A6A6C9E" w14:textId="1B4EC51E" w:rsidR="00923BE4" w:rsidRPr="00C65A5E" w:rsidRDefault="00923BE4" w:rsidP="00C65A5E">
      <w:pPr>
        <w:pStyle w:val="Bullet"/>
      </w:pPr>
      <w:r w:rsidRPr="00C65A5E">
        <w:t xml:space="preserve">There was considerable debate about the most suitable way to address </w:t>
      </w:r>
      <w:r w:rsidR="004E4D63" w:rsidRPr="00C65A5E">
        <w:t>FSANZ’</w:t>
      </w:r>
      <w:r w:rsidR="005D04DB">
        <w:t>s</w:t>
      </w:r>
      <w:r w:rsidRPr="00C65A5E">
        <w:t xml:space="preserve"> workload prioritisation issues. For example, there was some debate about how to best increase </w:t>
      </w:r>
      <w:r w:rsidR="004E4D63" w:rsidRPr="00C65A5E">
        <w:t>FSANZ’</w:t>
      </w:r>
      <w:r w:rsidR="005D04DB">
        <w:t>s</w:t>
      </w:r>
      <w:r w:rsidRPr="00C65A5E">
        <w:t xml:space="preserve"> operating budget, through either change to substantive funding arrangements and/or expansions to cost recovery mechanisms. </w:t>
      </w:r>
    </w:p>
    <w:p w14:paraId="3FD5BCCB" w14:textId="45FFD1EF" w:rsidR="00923BE4" w:rsidRPr="00187129" w:rsidRDefault="00923BE4" w:rsidP="001C1A19">
      <w:pPr>
        <w:pStyle w:val="Bullet"/>
        <w:rPr>
          <w:rFonts w:asciiTheme="minorHAnsi" w:hAnsiTheme="minorHAnsi" w:cstheme="minorHAnsi"/>
        </w:rPr>
      </w:pPr>
      <w:r w:rsidRPr="006A40F6">
        <w:t xml:space="preserve">Industry stakeholders particularly spoke at length about the fragility of some parts of the food system and the potential for cost recovery activities to create undue burden on businesses trying to innovate. Others called out that the application processes are currently only accessed by a minority of </w:t>
      </w:r>
      <w:r w:rsidRPr="00187129">
        <w:rPr>
          <w:rFonts w:asciiTheme="minorHAnsi" w:hAnsiTheme="minorHAnsi" w:cstheme="minorHAnsi"/>
        </w:rPr>
        <w:t xml:space="preserve">(generally well resourced) food businesses who could shoulder more of the costs involved. </w:t>
      </w:r>
    </w:p>
    <w:p w14:paraId="05B897F5" w14:textId="77777777" w:rsidR="00923BE4" w:rsidRPr="00187129" w:rsidRDefault="00923BE4" w:rsidP="00923BE4">
      <w:pPr>
        <w:pStyle w:val="intoductionbullet"/>
        <w:numPr>
          <w:ilvl w:val="0"/>
          <w:numId w:val="0"/>
        </w:numPr>
        <w:rPr>
          <w:rFonts w:asciiTheme="minorHAnsi" w:hAnsiTheme="minorHAnsi" w:cstheme="minorHAnsi"/>
          <w:color w:val="auto"/>
          <w:sz w:val="19"/>
          <w:szCs w:val="19"/>
          <w:lang w:eastAsia="en-AU"/>
        </w:rPr>
      </w:pPr>
      <w:r w:rsidRPr="00187129">
        <w:rPr>
          <w:rFonts w:asciiTheme="minorHAnsi" w:hAnsiTheme="minorHAnsi" w:cstheme="minorHAnsi"/>
          <w:color w:val="auto"/>
          <w:sz w:val="19"/>
          <w:szCs w:val="19"/>
          <w:lang w:eastAsia="en-AU"/>
        </w:rPr>
        <w:t xml:space="preserve">Given this input, the IA has evolved to: </w:t>
      </w:r>
    </w:p>
    <w:p w14:paraId="15AA4E2D" w14:textId="2DA3B7C6" w:rsidR="00923BE4" w:rsidRPr="00187129" w:rsidRDefault="00923BE4" w:rsidP="001C1A19">
      <w:pPr>
        <w:pStyle w:val="Bullet"/>
        <w:rPr>
          <w:rFonts w:asciiTheme="minorHAnsi" w:hAnsiTheme="minorHAnsi" w:cstheme="minorHAnsi"/>
        </w:rPr>
      </w:pPr>
      <w:r w:rsidRPr="00187129">
        <w:t xml:space="preserve">Nuance descriptions around how </w:t>
      </w:r>
      <w:r w:rsidR="003F6A7C">
        <w:t xml:space="preserve">board </w:t>
      </w:r>
      <w:r w:rsidRPr="00187129">
        <w:t>arrangement</w:t>
      </w:r>
      <w:r w:rsidR="003F6A7C">
        <w:t>s</w:t>
      </w:r>
      <w:r w:rsidRPr="00187129">
        <w:t xml:space="preserve"> can best be enhanced. For example, </w:t>
      </w:r>
      <w:r w:rsidRPr="00187129">
        <w:rPr>
          <w:rFonts w:asciiTheme="minorHAnsi" w:hAnsiTheme="minorHAnsi" w:cstheme="minorHAnsi"/>
        </w:rPr>
        <w:t>small efficiency savings such as defaulting to a virtual only mode of board meetings were abandoned relatively early in the process, given the marginal savings involved and the benefit of bringing people together in person and facilitating discussions outside of a formal agenda.</w:t>
      </w:r>
    </w:p>
    <w:p w14:paraId="4185C25B" w14:textId="3C03F4AE" w:rsidR="00923BE4" w:rsidRPr="00187129" w:rsidRDefault="00923BE4" w:rsidP="001C1A19">
      <w:pPr>
        <w:pStyle w:val="Bullet"/>
        <w:rPr>
          <w:rFonts w:asciiTheme="minorHAnsi" w:hAnsiTheme="minorHAnsi" w:cstheme="minorHAnsi"/>
        </w:rPr>
      </w:pPr>
      <w:r w:rsidRPr="00187129">
        <w:t xml:space="preserve">Discontinue some ideas early in the piece due to early identification of significant unintended and negative consequences. For example, ideas to support a balance between prioritising proposals and applications, by removing statutory timeframes around applications or introducing timeframes for proposals. In this instance, </w:t>
      </w:r>
      <w:r w:rsidR="0003149C" w:rsidRPr="0003149C">
        <w:t xml:space="preserve">feedback emphasised the complexity, broader nature and higher level of stakeholder interest </w:t>
      </w:r>
      <w:r w:rsidRPr="00187129">
        <w:t xml:space="preserve">and challenges in meeting a set timeframe; and the need for industry to get some value for the fees charged on most applications. </w:t>
      </w:r>
    </w:p>
    <w:p w14:paraId="437DE4C4" w14:textId="77777777" w:rsidR="00923BE4" w:rsidRPr="0093229E" w:rsidRDefault="00923BE4" w:rsidP="001C1A19">
      <w:pPr>
        <w:pStyle w:val="Bullet"/>
        <w:rPr>
          <w:rFonts w:asciiTheme="minorHAnsi" w:hAnsiTheme="minorHAnsi" w:cstheme="minorHAnsi"/>
        </w:rPr>
      </w:pPr>
      <w:r w:rsidRPr="00187129">
        <w:t>Significantly recast options to make FSANZ more financially sustainable, including greater cost sharing considerations between jurisdictions and industry.</w:t>
      </w:r>
    </w:p>
    <w:p w14:paraId="2BE9266C" w14:textId="41E67E1C" w:rsidR="00B42448" w:rsidRDefault="001F6401" w:rsidP="00B42448">
      <w:pPr>
        <w:pStyle w:val="Bullet"/>
        <w:numPr>
          <w:ilvl w:val="0"/>
          <w:numId w:val="0"/>
        </w:numPr>
      </w:pPr>
      <w:r>
        <w:lastRenderedPageBreak/>
        <w:t xml:space="preserve">Some ideas were </w:t>
      </w:r>
      <w:r w:rsidR="00FC60CE">
        <w:t xml:space="preserve">canvassed before being excluded from further consideration by the FMM, including: </w:t>
      </w:r>
    </w:p>
    <w:p w14:paraId="58A6559E" w14:textId="5B29E95D" w:rsidR="00FC60CE" w:rsidRDefault="00267094" w:rsidP="00FC60CE">
      <w:pPr>
        <w:pStyle w:val="Bullet"/>
      </w:pPr>
      <w:r>
        <w:t xml:space="preserve">The board could </w:t>
      </w:r>
      <w:r w:rsidR="00FD04B2">
        <w:t>shift to be explicitly skills-based and reduced in size to eight people.</w:t>
      </w:r>
    </w:p>
    <w:p w14:paraId="4F95135B" w14:textId="76606DE7" w:rsidR="00FD04B2" w:rsidRDefault="00FD04B2" w:rsidP="00FC60CE">
      <w:pPr>
        <w:pStyle w:val="Bullet"/>
      </w:pPr>
      <w:r>
        <w:t>The FMM could delegate some ratification decision to the Board</w:t>
      </w:r>
      <w:r w:rsidR="002A7314">
        <w:t>.</w:t>
      </w:r>
    </w:p>
    <w:p w14:paraId="266077EF" w14:textId="2C49DA66" w:rsidR="00FD04B2" w:rsidRDefault="00FD04B2" w:rsidP="00FC60CE">
      <w:pPr>
        <w:pStyle w:val="Bullet"/>
      </w:pPr>
      <w:r>
        <w:t>Investment in business solutions could be made to improve the usability of existing resources.</w:t>
      </w:r>
    </w:p>
    <w:p w14:paraId="480D1BEB" w14:textId="77777777" w:rsidR="00923BE4" w:rsidRPr="007D44F4" w:rsidRDefault="00923BE4" w:rsidP="00923BE4">
      <w:pPr>
        <w:pStyle w:val="Heading2"/>
        <w:rPr>
          <w:rStyle w:val="cf01"/>
          <w:rFonts w:ascii="Segoe UI Semibold" w:hAnsi="Segoe UI Semibold" w:cs="Times New Roman"/>
          <w:sz w:val="30"/>
          <w:szCs w:val="19"/>
        </w:rPr>
      </w:pPr>
      <w:bookmarkStart w:id="117" w:name="_Toc157599137"/>
      <w:r w:rsidRPr="007D44F4">
        <w:rPr>
          <w:rStyle w:val="cf01"/>
          <w:rFonts w:ascii="Segoe UI Semibold" w:hAnsi="Segoe UI Semibold" w:cs="Times New Roman"/>
          <w:sz w:val="30"/>
          <w:szCs w:val="19"/>
        </w:rPr>
        <w:t>Improving system agility</w:t>
      </w:r>
      <w:bookmarkEnd w:id="117"/>
    </w:p>
    <w:p w14:paraId="39F4ED06" w14:textId="77777777" w:rsidR="00923BE4" w:rsidRPr="00026287" w:rsidRDefault="00923BE4" w:rsidP="00923BE4">
      <w:pPr>
        <w:pStyle w:val="intoductionbullet"/>
        <w:numPr>
          <w:ilvl w:val="0"/>
          <w:numId w:val="0"/>
        </w:numPr>
        <w:rPr>
          <w:rFonts w:asciiTheme="minorHAnsi" w:hAnsiTheme="minorHAnsi" w:cstheme="minorHAnsi"/>
          <w:color w:val="auto"/>
          <w:sz w:val="19"/>
          <w:szCs w:val="19"/>
          <w:lang w:eastAsia="en-AU"/>
        </w:rPr>
      </w:pPr>
      <w:r w:rsidRPr="00026287">
        <w:rPr>
          <w:rFonts w:asciiTheme="minorHAnsi" w:hAnsiTheme="minorHAnsi" w:cstheme="minorHAnsi"/>
          <w:color w:val="auto"/>
          <w:sz w:val="19"/>
          <w:szCs w:val="19"/>
          <w:lang w:eastAsia="en-AU"/>
        </w:rPr>
        <w:t xml:space="preserve">Stakeholders were divided about how FSANZ should interact with the broader food regulatory system for best effect: </w:t>
      </w:r>
    </w:p>
    <w:p w14:paraId="0435D32E" w14:textId="77777777" w:rsidR="00923BE4" w:rsidRPr="00026287" w:rsidRDefault="00923BE4" w:rsidP="001C1A19">
      <w:pPr>
        <w:pStyle w:val="Bullet"/>
        <w:rPr>
          <w:rFonts w:asciiTheme="minorHAnsi" w:hAnsiTheme="minorHAnsi" w:cstheme="minorHAnsi"/>
        </w:rPr>
      </w:pPr>
      <w:r w:rsidRPr="00026287">
        <w:t xml:space="preserve">There was general support for more joint agenda setting between FSANZ and the FMM, specifically to identify priority proposals. Many stakeholders stressed, however, the importance of FSANZ retaining its independence in the way that it then assessed proposals and carried out its other functions. </w:t>
      </w:r>
    </w:p>
    <w:p w14:paraId="1FF33094" w14:textId="77777777" w:rsidR="00923BE4" w:rsidRPr="00026287" w:rsidRDefault="00923BE4" w:rsidP="001C1A19">
      <w:pPr>
        <w:pStyle w:val="Bullet"/>
        <w:rPr>
          <w:rFonts w:asciiTheme="minorHAnsi" w:hAnsiTheme="minorHAnsi" w:cstheme="minorHAnsi"/>
        </w:rPr>
      </w:pPr>
      <w:r w:rsidRPr="00026287">
        <w:t>Stakeholders – particularly from government – also were favourable about earlier and more consistent engagement between FSANZ and the FRSC to reduce duplication of effort to prepare proposals.</w:t>
      </w:r>
    </w:p>
    <w:p w14:paraId="4F9B5F54" w14:textId="77777777" w:rsidR="00923BE4" w:rsidRPr="00026287" w:rsidRDefault="00923BE4" w:rsidP="001C1A19">
      <w:pPr>
        <w:pStyle w:val="Bullet"/>
        <w:rPr>
          <w:rFonts w:asciiTheme="minorHAnsi" w:hAnsiTheme="minorHAnsi" w:cstheme="minorHAnsi"/>
        </w:rPr>
      </w:pPr>
      <w:r w:rsidRPr="00026287">
        <w:t xml:space="preserve">Many stakeholders were supportive of FSANZ taking on guardianship of databases, noting there were different views about how this data was then used. There was a sense that informing project work was a sensible endeavour, but leveraging databases for commercial gain would create some potential issues, particularly given that most data FSANZ might collect would be provided free of charge from data custodians to be used for the public good. </w:t>
      </w:r>
    </w:p>
    <w:p w14:paraId="16A4F0E3" w14:textId="689310A8" w:rsidR="00923BE4" w:rsidRPr="00026287" w:rsidRDefault="00923BE4" w:rsidP="001C1A19">
      <w:pPr>
        <w:pStyle w:val="Bullet"/>
        <w:rPr>
          <w:rFonts w:asciiTheme="minorHAnsi" w:hAnsiTheme="minorHAnsi" w:cstheme="minorHAnsi"/>
        </w:rPr>
      </w:pPr>
      <w:r w:rsidRPr="00026287">
        <w:t>Australian stakeholders, particularly from health and industry backgrounds, saw value in someone taking on a co</w:t>
      </w:r>
      <w:r w:rsidR="00FB1C5F">
        <w:t>-</w:t>
      </w:r>
      <w:r w:rsidRPr="00026287">
        <w:t xml:space="preserve">ordinating function in relation to food safety research; but noted there was no inherent reason why this needed to be FSANZ. This proposition was less attractive to New Zealand stakeholders in all cases, particularly as they have their own coordinated research system. </w:t>
      </w:r>
    </w:p>
    <w:p w14:paraId="50B9DFFF" w14:textId="08C99A54" w:rsidR="00923BE4" w:rsidRPr="00026287" w:rsidRDefault="00923BE4" w:rsidP="001C1A19">
      <w:pPr>
        <w:pStyle w:val="Bullet"/>
        <w:rPr>
          <w:rFonts w:asciiTheme="minorHAnsi" w:hAnsiTheme="minorHAnsi" w:cstheme="minorHAnsi"/>
        </w:rPr>
      </w:pPr>
      <w:r w:rsidRPr="00026287">
        <w:t xml:space="preserve">There was significant interest in how FSANZ could work differently with enforcement agencies to minimise issues around variable interpretation and enforcement of food standards. This was a more significant issue for Australian stakeholders than New Zealand ones given the Ministry for Primary Industry does </w:t>
      </w:r>
      <w:proofErr w:type="gramStart"/>
      <w:r w:rsidRPr="00026287">
        <w:t>all of</w:t>
      </w:r>
      <w:proofErr w:type="gramEnd"/>
      <w:r w:rsidRPr="00026287">
        <w:t xml:space="preserve"> the enforcement in New Zealand. </w:t>
      </w:r>
    </w:p>
    <w:p w14:paraId="05D327EF" w14:textId="36B6727B" w:rsidR="00923BE4" w:rsidRPr="00026287" w:rsidRDefault="00923BE4" w:rsidP="001C1A19">
      <w:pPr>
        <w:pStyle w:val="Bullet"/>
        <w:rPr>
          <w:rFonts w:asciiTheme="minorHAnsi" w:hAnsiTheme="minorHAnsi" w:cstheme="minorHAnsi"/>
        </w:rPr>
      </w:pPr>
      <w:r w:rsidRPr="00026287">
        <w:t xml:space="preserve">General support from government, health and industry stakeholders was noted for standards within the Food Code to be accompanied by </w:t>
      </w:r>
      <w:r w:rsidR="008117F8">
        <w:t>Statements of Intent</w:t>
      </w:r>
      <w:r w:rsidRPr="00026287">
        <w:t xml:space="preserve"> and for FSANZ to do more to support industry through provision of guidance materials. </w:t>
      </w:r>
    </w:p>
    <w:p w14:paraId="10AFBDB0" w14:textId="64279F34" w:rsidR="00923BE4" w:rsidRPr="00026287" w:rsidRDefault="002A0451" w:rsidP="001C1A19">
      <w:pPr>
        <w:pStyle w:val="Bullet"/>
        <w:rPr>
          <w:rFonts w:asciiTheme="minorHAnsi" w:hAnsiTheme="minorHAnsi" w:cstheme="minorHAnsi"/>
        </w:rPr>
      </w:pPr>
      <w:r>
        <w:t>The idea of FSANZ stepping into an enforcement role in Australia was discussed, but without significant enthusiasm.</w:t>
      </w:r>
      <w:r w:rsidR="00B63384">
        <w:t xml:space="preserve"> </w:t>
      </w:r>
      <w:r>
        <w:t>Stakeholders noted that t</w:t>
      </w:r>
      <w:r w:rsidR="00923BE4" w:rsidRPr="00026287">
        <w:t>he food regulatory system is complex</w:t>
      </w:r>
      <w:r w:rsidR="00B8209D" w:rsidRPr="00026287">
        <w:t>,</w:t>
      </w:r>
      <w:r w:rsidR="00923BE4" w:rsidRPr="00026287">
        <w:t xml:space="preserve"> </w:t>
      </w:r>
      <w:r>
        <w:t>but</w:t>
      </w:r>
      <w:r w:rsidRPr="00026287">
        <w:t xml:space="preserve"> </w:t>
      </w:r>
      <w:r w:rsidR="00923BE4" w:rsidRPr="00026287">
        <w:t xml:space="preserve">roles and responsibilities are </w:t>
      </w:r>
      <w:r>
        <w:t xml:space="preserve">currently </w:t>
      </w:r>
      <w:r w:rsidR="00923BE4" w:rsidRPr="00026287">
        <w:t xml:space="preserve">well defined. While industry stakeholders welcomed efforts to drive more consistency in enforcement of food standards, government stakeholders were particularly concerned with constitutional issues and the requirement to cede powers that currently sit with the jurisdictions to the Commonwealth. </w:t>
      </w:r>
    </w:p>
    <w:p w14:paraId="410CD5D0" w14:textId="77777777" w:rsidR="00923BE4" w:rsidRPr="00026287" w:rsidRDefault="00923BE4" w:rsidP="001C1A19">
      <w:pPr>
        <w:pStyle w:val="Bullet"/>
        <w:rPr>
          <w:rFonts w:asciiTheme="minorHAnsi" w:hAnsiTheme="minorHAnsi" w:cstheme="minorHAnsi"/>
        </w:rPr>
      </w:pPr>
      <w:r w:rsidRPr="00026287">
        <w:t xml:space="preserve">While less invasive measures such as FSANZ making binding interpretations were considered, there remained some concern about how these could be recognised by the courts in each jurisdiction giving the current legislative arrangements. </w:t>
      </w:r>
    </w:p>
    <w:p w14:paraId="7C42F708" w14:textId="322DFC91" w:rsidR="00923BE4" w:rsidRPr="00026287" w:rsidRDefault="00210C30" w:rsidP="001C1A19">
      <w:pPr>
        <w:pStyle w:val="Bullet"/>
        <w:rPr>
          <w:rFonts w:asciiTheme="minorHAnsi" w:hAnsiTheme="minorHAnsi" w:cstheme="minorHAnsi"/>
        </w:rPr>
      </w:pPr>
      <w:r>
        <w:t xml:space="preserve">Discussions also </w:t>
      </w:r>
      <w:r w:rsidR="0078030A">
        <w:t xml:space="preserve">explored the role of the Act in improving the food-medicine interface in Australia. </w:t>
      </w:r>
      <w:r w:rsidR="00923BE4" w:rsidRPr="00026287">
        <w:t xml:space="preserve">Consultations however highlighted this issue is largely a practice one rather than a legislative one, and there are </w:t>
      </w:r>
      <w:proofErr w:type="gramStart"/>
      <w:r w:rsidR="00923BE4" w:rsidRPr="00026287">
        <w:t>fairly limited</w:t>
      </w:r>
      <w:proofErr w:type="gramEnd"/>
      <w:r w:rsidR="00923BE4" w:rsidRPr="00026287">
        <w:t xml:space="preserve"> levers within this </w:t>
      </w:r>
      <w:r w:rsidR="004332EF">
        <w:t>R</w:t>
      </w:r>
      <w:r w:rsidR="00923BE4" w:rsidRPr="00026287">
        <w:t xml:space="preserve">eview to make meaningful change on this issue. </w:t>
      </w:r>
    </w:p>
    <w:p w14:paraId="54C5F967" w14:textId="77777777" w:rsidR="00923BE4" w:rsidRPr="00026287" w:rsidRDefault="00923BE4" w:rsidP="001C1A19">
      <w:pPr>
        <w:pStyle w:val="Bullet"/>
        <w:rPr>
          <w:rFonts w:asciiTheme="minorHAnsi" w:hAnsiTheme="minorHAnsi" w:cstheme="minorHAnsi"/>
        </w:rPr>
      </w:pPr>
      <w:r w:rsidRPr="00026287">
        <w:t xml:space="preserve">While there was less support for FSANZ presenting itself as a united voice for Australia and New Zealand in different environments, there was a general level of recognition of the importance of their </w:t>
      </w:r>
      <w:r w:rsidRPr="00026287">
        <w:lastRenderedPageBreak/>
        <w:t xml:space="preserve">work in international relations to influence harmonisation of food standards and to negotiate information sharing arrangements that might support more risk-proportionate processes to setting food standards locally. </w:t>
      </w:r>
    </w:p>
    <w:p w14:paraId="49FDB44B" w14:textId="2887151B" w:rsidR="00923BE4" w:rsidRDefault="0078030A" w:rsidP="00923BE4">
      <w:pPr>
        <w:pStyle w:val="intoductionbullet"/>
        <w:numPr>
          <w:ilvl w:val="0"/>
          <w:numId w:val="0"/>
        </w:numPr>
        <w:rPr>
          <w:rFonts w:asciiTheme="minorHAnsi" w:hAnsiTheme="minorHAnsi" w:cstheme="minorHAnsi"/>
          <w:color w:val="auto"/>
          <w:sz w:val="19"/>
          <w:szCs w:val="19"/>
          <w:lang w:eastAsia="en-AU"/>
        </w:rPr>
      </w:pPr>
      <w:r>
        <w:rPr>
          <w:rFonts w:asciiTheme="minorHAnsi" w:hAnsiTheme="minorHAnsi" w:cstheme="minorHAnsi"/>
          <w:color w:val="auto"/>
          <w:sz w:val="19"/>
          <w:szCs w:val="19"/>
          <w:lang w:eastAsia="en-AU"/>
        </w:rPr>
        <w:t xml:space="preserve">This version of the IA presents a significantly narrowed set of options to improve system agility, and consultation seeks to characterise what setting would be most useful to the </w:t>
      </w:r>
      <w:r w:rsidR="00433A03">
        <w:rPr>
          <w:rFonts w:asciiTheme="minorHAnsi" w:hAnsiTheme="minorHAnsi" w:cstheme="minorHAnsi"/>
          <w:color w:val="auto"/>
          <w:sz w:val="19"/>
          <w:szCs w:val="19"/>
          <w:lang w:eastAsia="en-AU"/>
        </w:rPr>
        <w:t xml:space="preserve">bring FSANZ and FMM together for joint priority setting; drive communication and collaboration with government agencies and other bodies with expertise or intelligence relating to food; and greater information and guidance to assist with interpretation </w:t>
      </w:r>
      <w:r w:rsidR="00332D77">
        <w:rPr>
          <w:rFonts w:asciiTheme="minorHAnsi" w:hAnsiTheme="minorHAnsi" w:cstheme="minorHAnsi"/>
          <w:color w:val="auto"/>
          <w:sz w:val="19"/>
          <w:szCs w:val="19"/>
          <w:lang w:eastAsia="en-AU"/>
        </w:rPr>
        <w:t>and</w:t>
      </w:r>
      <w:r w:rsidR="00433A03">
        <w:rPr>
          <w:rFonts w:asciiTheme="minorHAnsi" w:hAnsiTheme="minorHAnsi" w:cstheme="minorHAnsi"/>
          <w:color w:val="auto"/>
          <w:sz w:val="19"/>
          <w:szCs w:val="19"/>
          <w:lang w:eastAsia="en-AU"/>
        </w:rPr>
        <w:t xml:space="preserve"> enforcement of food standards. </w:t>
      </w:r>
    </w:p>
    <w:p w14:paraId="4D684B5B" w14:textId="620415B2" w:rsidR="00433A03" w:rsidRDefault="00861BB3" w:rsidP="00923BE4">
      <w:pPr>
        <w:pStyle w:val="intoductionbullet"/>
        <w:numPr>
          <w:ilvl w:val="0"/>
          <w:numId w:val="0"/>
        </w:numPr>
        <w:rPr>
          <w:rFonts w:asciiTheme="minorHAnsi" w:hAnsiTheme="minorHAnsi" w:cstheme="minorHAnsi"/>
          <w:color w:val="auto"/>
          <w:sz w:val="19"/>
          <w:szCs w:val="19"/>
          <w:lang w:eastAsia="en-AU"/>
        </w:rPr>
      </w:pPr>
      <w:r>
        <w:rPr>
          <w:rFonts w:asciiTheme="minorHAnsi" w:hAnsiTheme="minorHAnsi" w:cstheme="minorHAnsi"/>
          <w:color w:val="auto"/>
          <w:sz w:val="19"/>
          <w:szCs w:val="19"/>
          <w:lang w:eastAsia="en-AU"/>
        </w:rPr>
        <w:t xml:space="preserve">Concepts that were considered by the FMM and </w:t>
      </w:r>
      <w:r w:rsidR="00332D77">
        <w:rPr>
          <w:rFonts w:asciiTheme="minorHAnsi" w:hAnsiTheme="minorHAnsi" w:cstheme="minorHAnsi"/>
          <w:color w:val="auto"/>
          <w:sz w:val="19"/>
          <w:szCs w:val="19"/>
          <w:lang w:eastAsia="en-AU"/>
        </w:rPr>
        <w:t>explicitly</w:t>
      </w:r>
      <w:r>
        <w:rPr>
          <w:rFonts w:asciiTheme="minorHAnsi" w:hAnsiTheme="minorHAnsi" w:cstheme="minorHAnsi"/>
          <w:color w:val="auto"/>
          <w:sz w:val="19"/>
          <w:szCs w:val="19"/>
          <w:lang w:eastAsia="en-AU"/>
        </w:rPr>
        <w:t xml:space="preserve"> excluded from further consideration include:</w:t>
      </w:r>
    </w:p>
    <w:p w14:paraId="1D5F84D1" w14:textId="5AF03B38" w:rsidR="00861BB3" w:rsidRPr="00462EB1" w:rsidRDefault="006940E6" w:rsidP="00462EB1">
      <w:pPr>
        <w:pStyle w:val="Bullet"/>
      </w:pPr>
      <w:r w:rsidRPr="00462EB1">
        <w:t xml:space="preserve">The Australian Government could be empowered to instigate food </w:t>
      </w:r>
      <w:proofErr w:type="gramStart"/>
      <w:r w:rsidRPr="00462EB1">
        <w:t>recalls</w:t>
      </w:r>
      <w:proofErr w:type="gramEnd"/>
    </w:p>
    <w:p w14:paraId="2A1EB470" w14:textId="2C142902" w:rsidR="006940E6" w:rsidRPr="00462EB1" w:rsidRDefault="006940E6" w:rsidP="00462EB1">
      <w:pPr>
        <w:pStyle w:val="Bullet"/>
      </w:pPr>
      <w:r w:rsidRPr="00462EB1">
        <w:t xml:space="preserve">FSANZ could be equipped to coordinate food safety research across </w:t>
      </w:r>
      <w:proofErr w:type="gramStart"/>
      <w:r w:rsidRPr="00462EB1">
        <w:t>Australia</w:t>
      </w:r>
      <w:proofErr w:type="gramEnd"/>
    </w:p>
    <w:p w14:paraId="572CF8C3" w14:textId="06B7C2D5" w:rsidR="006940E6" w:rsidRPr="00462EB1" w:rsidRDefault="006940E6" w:rsidP="00462EB1">
      <w:pPr>
        <w:pStyle w:val="Bullet"/>
      </w:pPr>
      <w:r w:rsidRPr="00462EB1">
        <w:t>FSANZ could make availa</w:t>
      </w:r>
      <w:r w:rsidR="00F8225A" w:rsidRPr="00462EB1">
        <w:t xml:space="preserve">ble to the public its data and other </w:t>
      </w:r>
      <w:proofErr w:type="gramStart"/>
      <w:r w:rsidR="00F8225A" w:rsidRPr="00462EB1">
        <w:t>intelligence</w:t>
      </w:r>
      <w:proofErr w:type="gramEnd"/>
    </w:p>
    <w:p w14:paraId="597B95B7" w14:textId="5305031E" w:rsidR="00391460" w:rsidRPr="00462EB1" w:rsidRDefault="00391460" w:rsidP="00462EB1">
      <w:pPr>
        <w:pStyle w:val="Bullet"/>
      </w:pPr>
      <w:r w:rsidRPr="00462EB1">
        <w:t xml:space="preserve">FSANZ could collate and/or create consumer facing food safety education </w:t>
      </w:r>
      <w:proofErr w:type="gramStart"/>
      <w:r w:rsidRPr="00462EB1">
        <w:t>materials</w:t>
      </w:r>
      <w:proofErr w:type="gramEnd"/>
    </w:p>
    <w:p w14:paraId="386DE720" w14:textId="523F344E" w:rsidR="00391460" w:rsidRPr="00462EB1" w:rsidRDefault="00391460" w:rsidP="00462EB1">
      <w:pPr>
        <w:pStyle w:val="Bullet"/>
      </w:pPr>
      <w:r w:rsidRPr="00462EB1">
        <w:t xml:space="preserve">The Act could incorporate legislative changes to </w:t>
      </w:r>
      <w:r w:rsidR="002F06D9" w:rsidRPr="00462EB1">
        <w:t>help clarify the food-</w:t>
      </w:r>
      <w:r w:rsidR="00332D77" w:rsidRPr="00462EB1">
        <w:t>medicine</w:t>
      </w:r>
      <w:r w:rsidR="002F06D9" w:rsidRPr="00462EB1">
        <w:t xml:space="preserve"> interface for </w:t>
      </w:r>
      <w:proofErr w:type="gramStart"/>
      <w:r w:rsidR="002F06D9" w:rsidRPr="00462EB1">
        <w:t>Australia</w:t>
      </w:r>
      <w:proofErr w:type="gramEnd"/>
    </w:p>
    <w:p w14:paraId="0901EDA3" w14:textId="72E88FEB" w:rsidR="00DB4DAD" w:rsidRPr="00462EB1" w:rsidRDefault="00CD618E" w:rsidP="00462EB1">
      <w:pPr>
        <w:pStyle w:val="Bullet"/>
      </w:pPr>
      <w:r w:rsidRPr="00462EB1">
        <w:t>FSANZ</w:t>
      </w:r>
      <w:r w:rsidR="00DB4DAD" w:rsidRPr="00462EB1">
        <w:t xml:space="preserve"> could be empowered to make binding interpretation to drive more </w:t>
      </w:r>
      <w:r w:rsidR="00332D77" w:rsidRPr="00462EB1">
        <w:t>consistency</w:t>
      </w:r>
      <w:r w:rsidR="00DB4DAD" w:rsidRPr="00462EB1">
        <w:t xml:space="preserve"> in how food standards are </w:t>
      </w:r>
      <w:proofErr w:type="gramStart"/>
      <w:r w:rsidR="00DB4DAD" w:rsidRPr="00462EB1">
        <w:t>enforced</w:t>
      </w:r>
      <w:proofErr w:type="gramEnd"/>
    </w:p>
    <w:p w14:paraId="4BE7011F" w14:textId="41360432" w:rsidR="00DB4DAD" w:rsidRPr="00462EB1" w:rsidRDefault="00DB4DAD" w:rsidP="00462EB1">
      <w:pPr>
        <w:pStyle w:val="Bullet"/>
      </w:pPr>
      <w:r w:rsidRPr="00462EB1">
        <w:t xml:space="preserve">FSANZ could take on an enforcement role, focused on enforcement of health claims and novel </w:t>
      </w:r>
      <w:proofErr w:type="gramStart"/>
      <w:r w:rsidRPr="00462EB1">
        <w:t>foods</w:t>
      </w:r>
      <w:proofErr w:type="gramEnd"/>
    </w:p>
    <w:p w14:paraId="5FA0BD42" w14:textId="64EE4A60" w:rsidR="00DB4DAD" w:rsidRPr="00462EB1" w:rsidRDefault="00DB4DAD" w:rsidP="00462EB1">
      <w:pPr>
        <w:pStyle w:val="Bullet"/>
      </w:pPr>
      <w:r w:rsidRPr="00462EB1">
        <w:t>Legislation could formalise and extend Australia and New Zealand’s</w:t>
      </w:r>
      <w:r w:rsidR="00332D77" w:rsidRPr="00462EB1">
        <w:t xml:space="preserve"> role in influencing global food policy. </w:t>
      </w:r>
    </w:p>
    <w:p w14:paraId="47B94C81" w14:textId="77777777" w:rsidR="00923BE4" w:rsidRPr="00ED291C" w:rsidRDefault="00923BE4" w:rsidP="00EB44FD">
      <w:pPr>
        <w:pStyle w:val="Heading2"/>
      </w:pPr>
      <w:bookmarkStart w:id="118" w:name="_Toc157599138"/>
      <w:r>
        <w:t xml:space="preserve">Planned consultation </w:t>
      </w:r>
      <w:proofErr w:type="gramStart"/>
      <w:r>
        <w:t>activities</w:t>
      </w:r>
      <w:bookmarkEnd w:id="118"/>
      <w:proofErr w:type="gramEnd"/>
    </w:p>
    <w:p w14:paraId="2AB8CD8D" w14:textId="06FBA587" w:rsidR="00923BE4" w:rsidRPr="00C439C3" w:rsidRDefault="00332D77" w:rsidP="00923BE4">
      <w:pPr>
        <w:rPr>
          <w:rFonts w:asciiTheme="minorHAnsi" w:hAnsiTheme="minorHAnsi" w:cstheme="minorHAnsi"/>
          <w:szCs w:val="19"/>
        </w:rPr>
      </w:pPr>
      <w:r>
        <w:rPr>
          <w:rFonts w:asciiTheme="minorHAnsi" w:hAnsiTheme="minorHAnsi" w:cstheme="minorHAnsi"/>
          <w:szCs w:val="19"/>
        </w:rPr>
        <w:t xml:space="preserve">Public consultation on this version of the IA is planned </w:t>
      </w:r>
      <w:r w:rsidRPr="00133E31">
        <w:rPr>
          <w:rFonts w:asciiTheme="minorHAnsi" w:hAnsiTheme="minorHAnsi" w:cstheme="minorHAnsi"/>
          <w:szCs w:val="19"/>
        </w:rPr>
        <w:t xml:space="preserve">for </w:t>
      </w:r>
      <w:r w:rsidR="004E6873" w:rsidRPr="00133E31">
        <w:rPr>
          <w:rFonts w:asciiTheme="minorHAnsi" w:hAnsiTheme="minorHAnsi" w:cstheme="minorHAnsi"/>
          <w:szCs w:val="19"/>
        </w:rPr>
        <w:t xml:space="preserve">February to </w:t>
      </w:r>
      <w:r w:rsidR="0033460E">
        <w:rPr>
          <w:rFonts w:asciiTheme="minorHAnsi" w:hAnsiTheme="minorHAnsi" w:cstheme="minorHAnsi"/>
          <w:szCs w:val="19"/>
        </w:rPr>
        <w:t xml:space="preserve">March </w:t>
      </w:r>
      <w:r w:rsidR="004C00C5" w:rsidRPr="00133E31">
        <w:rPr>
          <w:rFonts w:asciiTheme="minorHAnsi" w:hAnsiTheme="minorHAnsi" w:cstheme="minorHAnsi"/>
          <w:szCs w:val="19"/>
        </w:rPr>
        <w:t>2024</w:t>
      </w:r>
      <w:r w:rsidR="00133E31" w:rsidRPr="00133E31">
        <w:rPr>
          <w:rFonts w:asciiTheme="minorHAnsi" w:hAnsiTheme="minorHAnsi" w:cstheme="minorHAnsi"/>
          <w:szCs w:val="19"/>
        </w:rPr>
        <w:t>.</w:t>
      </w:r>
      <w:r w:rsidR="00B63384">
        <w:rPr>
          <w:rFonts w:asciiTheme="minorHAnsi" w:hAnsiTheme="minorHAnsi" w:cstheme="minorHAnsi"/>
          <w:szCs w:val="19"/>
        </w:rPr>
        <w:t xml:space="preserve"> </w:t>
      </w:r>
      <w:r w:rsidR="00923BE4" w:rsidRPr="00133E31">
        <w:rPr>
          <w:rFonts w:asciiTheme="minorHAnsi" w:hAnsiTheme="minorHAnsi" w:cstheme="minorHAnsi"/>
          <w:szCs w:val="19"/>
        </w:rPr>
        <w:t>The</w:t>
      </w:r>
      <w:r w:rsidR="00923BE4">
        <w:rPr>
          <w:rFonts w:asciiTheme="minorHAnsi" w:hAnsiTheme="minorHAnsi" w:cstheme="minorHAnsi"/>
          <w:szCs w:val="19"/>
        </w:rPr>
        <w:t xml:space="preserve"> IA will be further revised and finalised after these activities</w:t>
      </w:r>
      <w:r w:rsidR="003F107C">
        <w:rPr>
          <w:rFonts w:asciiTheme="minorHAnsi" w:hAnsiTheme="minorHAnsi" w:cstheme="minorHAnsi"/>
          <w:szCs w:val="19"/>
        </w:rPr>
        <w:t xml:space="preserve">, with a commitment to refining the proposed model in </w:t>
      </w:r>
      <w:r w:rsidR="00BB05A6">
        <w:rPr>
          <w:rFonts w:asciiTheme="minorHAnsi" w:hAnsiTheme="minorHAnsi" w:cstheme="minorHAnsi"/>
          <w:szCs w:val="19"/>
        </w:rPr>
        <w:t>alignment</w:t>
      </w:r>
      <w:r w:rsidR="003F107C">
        <w:rPr>
          <w:rFonts w:asciiTheme="minorHAnsi" w:hAnsiTheme="minorHAnsi" w:cstheme="minorHAnsi"/>
          <w:szCs w:val="19"/>
        </w:rPr>
        <w:t xml:space="preserve"> with the valuable insights and perspectives shared by stakeholders throughout the </w:t>
      </w:r>
      <w:r w:rsidR="004078CF">
        <w:rPr>
          <w:rFonts w:asciiTheme="minorHAnsi" w:hAnsiTheme="minorHAnsi" w:cstheme="minorHAnsi"/>
          <w:szCs w:val="19"/>
        </w:rPr>
        <w:t>consultation proces</w:t>
      </w:r>
      <w:r w:rsidR="00A20ADC">
        <w:rPr>
          <w:rFonts w:asciiTheme="minorHAnsi" w:hAnsiTheme="minorHAnsi" w:cstheme="minorHAnsi"/>
          <w:szCs w:val="19"/>
        </w:rPr>
        <w:t>s</w:t>
      </w:r>
      <w:r w:rsidR="00EB44FD">
        <w:rPr>
          <w:rFonts w:asciiTheme="minorHAnsi" w:hAnsiTheme="minorHAnsi" w:cstheme="minorHAnsi"/>
          <w:szCs w:val="19"/>
        </w:rPr>
        <w:t xml:space="preserve">. </w:t>
      </w:r>
    </w:p>
    <w:p w14:paraId="6D52500B" w14:textId="28AF2ACB" w:rsidR="00923BE4" w:rsidRPr="001C1A19" w:rsidRDefault="001C1A19" w:rsidP="00923BE4">
      <w:pPr>
        <w:pStyle w:val="Heading1"/>
        <w:rPr>
          <w:color w:val="FFFFFF" w:themeColor="background1"/>
        </w:rPr>
      </w:pPr>
      <w:bookmarkStart w:id="119" w:name="_Toc157599139"/>
      <w:r w:rsidRPr="001C1A19">
        <w:rPr>
          <w:noProof/>
          <w:color w:val="FFFFFF" w:themeColor="background1"/>
        </w:rPr>
        <w:lastRenderedPageBreak/>
        <w:drawing>
          <wp:anchor distT="0" distB="0" distL="114300" distR="114300" simplePos="0" relativeHeight="251658254" behindDoc="1" locked="0" layoutInCell="1" allowOverlap="1" wp14:anchorId="55FB562B" wp14:editId="6A52BF87">
            <wp:simplePos x="0" y="0"/>
            <wp:positionH relativeFrom="page">
              <wp:posOffset>7620</wp:posOffset>
            </wp:positionH>
            <wp:positionV relativeFrom="paragraph">
              <wp:posOffset>-904875</wp:posOffset>
            </wp:positionV>
            <wp:extent cx="7581900" cy="12954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b="32669"/>
                    <a:stretch/>
                  </pic:blipFill>
                  <pic:spPr bwMode="auto">
                    <a:xfrm>
                      <a:off x="0" y="0"/>
                      <a:ext cx="75819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BE4" w:rsidRPr="001C1A19">
        <w:rPr>
          <w:color w:val="FFFFFF" w:themeColor="background1"/>
        </w:rPr>
        <w:t>Best option and implementation</w:t>
      </w:r>
      <w:bookmarkEnd w:id="119"/>
    </w:p>
    <w:p w14:paraId="50FF5CB4" w14:textId="783390FB" w:rsidR="00FA066B" w:rsidRDefault="00817B45" w:rsidP="00923BE4">
      <w:r>
        <w:t xml:space="preserve">This section provides an assessment of the best option of those </w:t>
      </w:r>
      <w:r w:rsidRPr="00817B45">
        <w:t xml:space="preserve">outlined in </w:t>
      </w:r>
      <w:r>
        <w:t xml:space="preserve">Section 5, </w:t>
      </w:r>
      <w:r w:rsidRPr="00817B45">
        <w:fldChar w:fldCharType="begin"/>
      </w:r>
      <w:r w:rsidRPr="00817B45">
        <w:instrText xml:space="preserve"> REF _Ref156924816 \h </w:instrText>
      </w:r>
      <w:r w:rsidRPr="00817B45">
        <w:fldChar w:fldCharType="separate"/>
      </w:r>
      <w:r w:rsidR="003F7B92" w:rsidRPr="002A1782">
        <w:rPr>
          <w:color w:val="FFFFFF" w:themeColor="background1"/>
        </w:rPr>
        <w:t>Options for reform</w:t>
      </w:r>
      <w:r w:rsidRPr="00817B45">
        <w:fldChar w:fldCharType="end"/>
      </w:r>
      <w:r>
        <w:t>.</w:t>
      </w:r>
      <w:r w:rsidR="000E4804">
        <w:t xml:space="preserve"> Following the release of this IA, the best option will be selected </w:t>
      </w:r>
      <w:r w:rsidR="00481C3C">
        <w:t xml:space="preserve">as follows: </w:t>
      </w:r>
    </w:p>
    <w:p w14:paraId="5ED0B809" w14:textId="77777777" w:rsidR="00F477F1" w:rsidRDefault="008F4B4F" w:rsidP="00C207DC">
      <w:pPr>
        <w:pStyle w:val="Bullet"/>
      </w:pPr>
      <w:r w:rsidRPr="008F4B4F">
        <w:t>Analysis of stakeholder feedback will be provided to Food Ministers and the Australian Government in mid-2024</w:t>
      </w:r>
      <w:r w:rsidR="00F477F1">
        <w:t xml:space="preserve">, with </w:t>
      </w:r>
      <w:r w:rsidRPr="008F4B4F">
        <w:t xml:space="preserve">agreement sought to develop a final model of reform. </w:t>
      </w:r>
    </w:p>
    <w:p w14:paraId="5594F8F1" w14:textId="070DE8DF" w:rsidR="008F4B4F" w:rsidRDefault="008F4B4F" w:rsidP="00C207DC">
      <w:pPr>
        <w:pStyle w:val="Bullet"/>
      </w:pPr>
      <w:r w:rsidRPr="008F4B4F">
        <w:t>Food Ministers agreement on the final model will occur in late 2024 before submission to Australian Cabinet in 2025 for final approval</w:t>
      </w:r>
      <w:r w:rsidR="00F477F1">
        <w:t xml:space="preserve">.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BE7306" w14:paraId="3E63BDF7" w14:textId="77777777" w:rsidTr="00A806ED">
        <w:tc>
          <w:tcPr>
            <w:tcW w:w="7285" w:type="dxa"/>
          </w:tcPr>
          <w:p w14:paraId="2A16F054" w14:textId="5C75A8A4" w:rsidR="00133E31" w:rsidRPr="00602120" w:rsidRDefault="00133E31" w:rsidP="00133E31">
            <w:pPr>
              <w:rPr>
                <w:lang w:eastAsia="en-AU"/>
              </w:rPr>
            </w:pPr>
            <w:r w:rsidRPr="007764C6">
              <w:t>Option 1 and 2</w:t>
            </w:r>
            <w:r>
              <w:t xml:space="preserve"> </w:t>
            </w:r>
            <w:r w:rsidR="0083179C">
              <w:t>have been assessed</w:t>
            </w:r>
            <w:r w:rsidRPr="007764C6">
              <w:t xml:space="preserve"> at the component level against three criteria</w:t>
            </w:r>
            <w:r w:rsidR="008E4BE3">
              <w:t xml:space="preserve">. </w:t>
            </w:r>
            <w:proofErr w:type="gramStart"/>
            <w:r w:rsidR="008E4BE3">
              <w:t>For</w:t>
            </w:r>
            <w:r w:rsidR="0083179C">
              <w:t xml:space="preserve"> the </w:t>
            </w:r>
            <w:r w:rsidR="008E4BE3">
              <w:t>purpose of</w:t>
            </w:r>
            <w:proofErr w:type="gramEnd"/>
            <w:r w:rsidR="008E4BE3">
              <w:t xml:space="preserve"> analysis, an </w:t>
            </w:r>
            <w:r w:rsidR="0083179C">
              <w:t>assumption</w:t>
            </w:r>
            <w:r>
              <w:t xml:space="preserve"> </w:t>
            </w:r>
            <w:r w:rsidR="008E4BE3">
              <w:t xml:space="preserve">has been made </w:t>
            </w:r>
            <w:r w:rsidRPr="007764C6">
              <w:t>that all initiatives set out in Option</w:t>
            </w:r>
            <w:r>
              <w:t xml:space="preserve"> 2 </w:t>
            </w:r>
            <w:r w:rsidR="008E4BE3">
              <w:t>would be</w:t>
            </w:r>
            <w:r>
              <w:t xml:space="preserve"> implemented</w:t>
            </w:r>
            <w:r w:rsidRPr="007764C6">
              <w:t>.</w:t>
            </w:r>
            <w:r>
              <w:t xml:space="preserve"> </w:t>
            </w:r>
            <w:r w:rsidRPr="007764C6">
              <w:rPr>
                <w:lang w:eastAsia="en-AU"/>
              </w:rPr>
              <w:t xml:space="preserve">This information is designed to provide a benchmark for stakeholders and stimulate thinking about how assessment against criteria might change, should the details of components within Option 2 </w:t>
            </w:r>
            <w:r w:rsidR="0083179C">
              <w:rPr>
                <w:lang w:eastAsia="en-AU"/>
              </w:rPr>
              <w:t>evolve</w:t>
            </w:r>
            <w:r w:rsidRPr="007764C6">
              <w:rPr>
                <w:lang w:eastAsia="en-AU"/>
              </w:rPr>
              <w:t xml:space="preserve">. </w:t>
            </w:r>
          </w:p>
          <w:p w14:paraId="635D98FC" w14:textId="71DC4383" w:rsidR="004C2CC2" w:rsidRDefault="004C2CC2" w:rsidP="00133E31">
            <w:r>
              <w:t xml:space="preserve">Three criteria were used to assess the strengths and limitations of each of the options under consideration: </w:t>
            </w:r>
          </w:p>
          <w:p w14:paraId="6200900B" w14:textId="280EB450" w:rsidR="003671D6" w:rsidRPr="007F7722" w:rsidRDefault="004C2CC2" w:rsidP="00313A20">
            <w:pPr>
              <w:pStyle w:val="Listnumbered"/>
              <w:numPr>
                <w:ilvl w:val="0"/>
                <w:numId w:val="26"/>
              </w:numPr>
              <w:rPr>
                <w:rFonts w:asciiTheme="minorHAnsi" w:hAnsiTheme="minorHAnsi" w:cstheme="minorHAnsi"/>
                <w:lang w:eastAsia="en-AU"/>
              </w:rPr>
            </w:pPr>
            <w:r w:rsidRPr="007F7722">
              <w:rPr>
                <w:rFonts w:asciiTheme="minorHAnsi" w:hAnsiTheme="minorHAnsi" w:cstheme="minorHAnsi"/>
                <w:lang w:eastAsia="en-AU"/>
              </w:rPr>
              <w:t>Extent to which option</w:t>
            </w:r>
            <w:r w:rsidR="00BC03AD">
              <w:rPr>
                <w:rFonts w:asciiTheme="minorHAnsi" w:hAnsiTheme="minorHAnsi" w:cstheme="minorHAnsi"/>
                <w:lang w:eastAsia="en-AU"/>
              </w:rPr>
              <w:t>s and their components</w:t>
            </w:r>
            <w:r w:rsidRPr="007F7722">
              <w:rPr>
                <w:rFonts w:asciiTheme="minorHAnsi" w:hAnsiTheme="minorHAnsi" w:cstheme="minorHAnsi"/>
                <w:lang w:eastAsia="en-AU"/>
              </w:rPr>
              <w:t xml:space="preserve"> solves policy </w:t>
            </w:r>
            <w:proofErr w:type="gramStart"/>
            <w:r w:rsidRPr="007F7722">
              <w:rPr>
                <w:rFonts w:asciiTheme="minorHAnsi" w:hAnsiTheme="minorHAnsi" w:cstheme="minorHAnsi"/>
                <w:lang w:eastAsia="en-AU"/>
              </w:rPr>
              <w:t>problem</w:t>
            </w:r>
            <w:r w:rsidR="00297790">
              <w:rPr>
                <w:rFonts w:asciiTheme="minorHAnsi" w:hAnsiTheme="minorHAnsi" w:cstheme="minorHAnsi"/>
                <w:lang w:eastAsia="en-AU"/>
              </w:rPr>
              <w:t>s</w:t>
            </w:r>
            <w:proofErr w:type="gramEnd"/>
            <w:r w:rsidR="003671D6" w:rsidRPr="007F7722">
              <w:rPr>
                <w:rFonts w:asciiTheme="minorHAnsi" w:hAnsiTheme="minorHAnsi" w:cstheme="minorHAnsi"/>
                <w:lang w:eastAsia="en-AU"/>
              </w:rPr>
              <w:t xml:space="preserve"> </w:t>
            </w:r>
          </w:p>
          <w:p w14:paraId="52284128" w14:textId="11CE0D63" w:rsidR="003671D6" w:rsidRPr="007F7722" w:rsidRDefault="00036E56" w:rsidP="00313A20">
            <w:pPr>
              <w:pStyle w:val="Listnumbered"/>
              <w:numPr>
                <w:ilvl w:val="0"/>
                <w:numId w:val="26"/>
              </w:numPr>
              <w:rPr>
                <w:rFonts w:asciiTheme="minorHAnsi" w:hAnsiTheme="minorHAnsi" w:cstheme="minorHAnsi"/>
                <w:lang w:eastAsia="en-AU"/>
              </w:rPr>
            </w:pPr>
            <w:r>
              <w:rPr>
                <w:rFonts w:asciiTheme="minorHAnsi" w:hAnsiTheme="minorHAnsi" w:cstheme="minorHAnsi"/>
                <w:lang w:eastAsia="en-AU"/>
              </w:rPr>
              <w:t>Degree to which delivery risks can be managed,</w:t>
            </w:r>
            <w:r w:rsidR="003671D6" w:rsidRPr="007F7722">
              <w:rPr>
                <w:rFonts w:asciiTheme="minorHAnsi" w:hAnsiTheme="minorHAnsi" w:cstheme="minorHAnsi"/>
                <w:lang w:eastAsia="en-AU"/>
              </w:rPr>
              <w:t xml:space="preserve"> and</w:t>
            </w:r>
          </w:p>
          <w:p w14:paraId="659EF137" w14:textId="77777777" w:rsidR="00BE7306" w:rsidRPr="00673E56" w:rsidRDefault="004C2CC2" w:rsidP="00313A20">
            <w:pPr>
              <w:pStyle w:val="Listnumbered"/>
              <w:numPr>
                <w:ilvl w:val="0"/>
                <w:numId w:val="26"/>
              </w:numPr>
              <w:rPr>
                <w:rFonts w:asciiTheme="minorHAnsi" w:hAnsiTheme="minorHAnsi" w:cstheme="minorHAnsi"/>
                <w:b/>
              </w:rPr>
            </w:pPr>
            <w:r w:rsidRPr="007F7722">
              <w:rPr>
                <w:rFonts w:asciiTheme="minorHAnsi" w:hAnsiTheme="minorHAnsi" w:cstheme="minorHAnsi"/>
                <w:lang w:eastAsia="en-AU"/>
              </w:rPr>
              <w:t xml:space="preserve">Costs and benefits. </w:t>
            </w:r>
          </w:p>
          <w:p w14:paraId="01D56676" w14:textId="7DC05243" w:rsidR="00673E56" w:rsidRPr="007F7722" w:rsidRDefault="00673E56" w:rsidP="001C6A23">
            <w:pPr>
              <w:pStyle w:val="Listnumbered"/>
              <w:numPr>
                <w:ilvl w:val="0"/>
                <w:numId w:val="0"/>
              </w:numPr>
              <w:rPr>
                <w:rFonts w:asciiTheme="minorHAnsi" w:hAnsiTheme="minorHAnsi" w:cstheme="minorHAnsi"/>
                <w:bCs/>
              </w:rPr>
            </w:pPr>
            <w:r w:rsidRPr="008732EE">
              <w:rPr>
                <w:rFonts w:asciiTheme="minorHAnsi" w:hAnsiTheme="minorHAnsi" w:cstheme="minorHAnsi"/>
                <w:bCs/>
              </w:rPr>
              <w:t xml:space="preserve">On each of these criteria, a higher score reflects a better </w:t>
            </w:r>
            <w:r w:rsidR="008732EE" w:rsidRPr="008732EE">
              <w:rPr>
                <w:rFonts w:asciiTheme="minorHAnsi" w:hAnsiTheme="minorHAnsi" w:cstheme="minorHAnsi"/>
                <w:bCs/>
              </w:rPr>
              <w:t>outcome.</w:t>
            </w:r>
          </w:p>
          <w:p w14:paraId="35499A29" w14:textId="02E4E4E1" w:rsidR="00CA4F25" w:rsidRDefault="001A2FB8" w:rsidP="005D4611">
            <w:pPr>
              <w:pStyle w:val="longformcalloutnumber"/>
              <w:numPr>
                <w:ilvl w:val="0"/>
                <w:numId w:val="0"/>
              </w:numPr>
              <w:rPr>
                <w:bCs/>
              </w:rPr>
            </w:pPr>
            <w:r w:rsidRPr="005A7FB1">
              <w:rPr>
                <w:rFonts w:asciiTheme="minorHAnsi" w:hAnsiTheme="minorHAnsi" w:cstheme="minorHAnsi"/>
                <w:bCs/>
              </w:rPr>
              <w:t>Rat</w:t>
            </w:r>
            <w:r w:rsidR="00BD5F9F" w:rsidRPr="005A7FB1">
              <w:rPr>
                <w:rFonts w:asciiTheme="minorHAnsi" w:hAnsiTheme="minorHAnsi" w:cstheme="minorHAnsi"/>
                <w:bCs/>
              </w:rPr>
              <w:t>ings have been developed informed by all research and consultation to date. The methodology and estimates however are subject to validation through this next consultation period.</w:t>
            </w:r>
            <w:r w:rsidR="00BD5F9F">
              <w:rPr>
                <w:rFonts w:asciiTheme="majorHAnsi" w:hAnsiTheme="majorHAnsi" w:cstheme="majorHAnsi"/>
                <w:bCs/>
              </w:rPr>
              <w:t xml:space="preserve"> </w:t>
            </w:r>
            <w:r w:rsidR="00CA4F25">
              <w:rPr>
                <w:bCs/>
              </w:rPr>
              <w:t xml:space="preserve">The methodologies used for each criterion are summarised below. </w:t>
            </w:r>
          </w:p>
          <w:p w14:paraId="02634DA1" w14:textId="77777777" w:rsidR="005A7FB1" w:rsidRPr="009A3A2A" w:rsidRDefault="005A7FB1" w:rsidP="005D4611">
            <w:pPr>
              <w:pStyle w:val="longformcalloutnumber"/>
              <w:numPr>
                <w:ilvl w:val="0"/>
                <w:numId w:val="0"/>
              </w:numPr>
              <w:rPr>
                <w:rFonts w:asciiTheme="majorHAnsi" w:hAnsiTheme="majorHAnsi" w:cstheme="majorHAnsi"/>
                <w:bCs/>
              </w:rPr>
            </w:pPr>
          </w:p>
          <w:p w14:paraId="166178A9" w14:textId="6AD4494B" w:rsidR="00955E54" w:rsidRPr="00BC03AD" w:rsidRDefault="00CA4F25" w:rsidP="001C6A23">
            <w:pPr>
              <w:pStyle w:val="Listnumbered"/>
              <w:numPr>
                <w:ilvl w:val="0"/>
                <w:numId w:val="0"/>
              </w:numPr>
              <w:rPr>
                <w:rFonts w:asciiTheme="majorHAnsi" w:hAnsiTheme="majorHAnsi" w:cstheme="majorHAnsi"/>
                <w:lang w:eastAsia="en-AU"/>
              </w:rPr>
            </w:pPr>
            <w:r w:rsidRPr="007F7722">
              <w:rPr>
                <w:rFonts w:asciiTheme="majorHAnsi" w:hAnsiTheme="majorHAnsi" w:cstheme="majorHAnsi"/>
                <w:lang w:eastAsia="en-AU"/>
              </w:rPr>
              <w:t>Extent to which the option</w:t>
            </w:r>
            <w:r w:rsidR="00BC03AD">
              <w:rPr>
                <w:rFonts w:asciiTheme="majorHAnsi" w:hAnsiTheme="majorHAnsi" w:cstheme="majorHAnsi"/>
                <w:lang w:eastAsia="en-AU"/>
              </w:rPr>
              <w:t>s and their components</w:t>
            </w:r>
            <w:r w:rsidRPr="007F7722">
              <w:rPr>
                <w:rFonts w:asciiTheme="majorHAnsi" w:hAnsiTheme="majorHAnsi" w:cstheme="majorHAnsi"/>
                <w:lang w:eastAsia="en-AU"/>
              </w:rPr>
              <w:t xml:space="preserve"> solve policy </w:t>
            </w:r>
            <w:proofErr w:type="gramStart"/>
            <w:r w:rsidRPr="007F7722">
              <w:rPr>
                <w:rFonts w:asciiTheme="majorHAnsi" w:hAnsiTheme="majorHAnsi" w:cstheme="majorHAnsi"/>
                <w:lang w:eastAsia="en-AU"/>
              </w:rPr>
              <w:t>problem</w:t>
            </w:r>
            <w:r w:rsidR="008E447E">
              <w:rPr>
                <w:rFonts w:asciiTheme="majorHAnsi" w:hAnsiTheme="majorHAnsi" w:cstheme="majorHAnsi"/>
                <w:lang w:eastAsia="en-AU"/>
              </w:rPr>
              <w:t>s</w:t>
            </w:r>
            <w:proofErr w:type="gramEnd"/>
            <w:r w:rsidRPr="007F7722">
              <w:rPr>
                <w:rFonts w:asciiTheme="majorHAnsi" w:hAnsiTheme="majorHAnsi" w:cstheme="majorHAnsi"/>
                <w:lang w:eastAsia="en-AU"/>
              </w:rPr>
              <w:t xml:space="preserve"> </w:t>
            </w:r>
          </w:p>
          <w:p w14:paraId="2CB731EA" w14:textId="09B596A9" w:rsidR="00495E27" w:rsidRDefault="003F15B1" w:rsidP="001C6A23">
            <w:pPr>
              <w:pStyle w:val="Listnumbered"/>
              <w:numPr>
                <w:ilvl w:val="0"/>
                <w:numId w:val="0"/>
              </w:numPr>
              <w:rPr>
                <w:rFonts w:asciiTheme="minorHAnsi" w:hAnsiTheme="minorHAnsi" w:cstheme="minorHAnsi"/>
                <w:lang w:eastAsia="en-AU"/>
              </w:rPr>
            </w:pPr>
            <w:r>
              <w:rPr>
                <w:rFonts w:asciiTheme="minorHAnsi" w:hAnsiTheme="minorHAnsi" w:cstheme="minorHAnsi"/>
                <w:lang w:eastAsia="en-AU"/>
              </w:rPr>
              <w:t xml:space="preserve">This </w:t>
            </w:r>
            <w:r w:rsidR="00F510FC">
              <w:rPr>
                <w:rFonts w:asciiTheme="minorHAnsi" w:hAnsiTheme="minorHAnsi" w:cstheme="minorHAnsi"/>
                <w:lang w:eastAsia="en-AU"/>
              </w:rPr>
              <w:t xml:space="preserve">criterion is assessed by multiplying the </w:t>
            </w:r>
            <w:r w:rsidR="00495E27">
              <w:rPr>
                <w:rFonts w:asciiTheme="minorHAnsi" w:hAnsiTheme="minorHAnsi" w:cstheme="minorHAnsi"/>
                <w:lang w:eastAsia="en-AU"/>
              </w:rPr>
              <w:t>two measures:</w:t>
            </w:r>
          </w:p>
          <w:p w14:paraId="67559057" w14:textId="5DD00C5E" w:rsidR="00495E27" w:rsidRDefault="00495E27" w:rsidP="00313A20">
            <w:pPr>
              <w:pStyle w:val="Listnumbered"/>
              <w:numPr>
                <w:ilvl w:val="0"/>
                <w:numId w:val="26"/>
              </w:numPr>
              <w:rPr>
                <w:rFonts w:asciiTheme="minorHAnsi" w:hAnsiTheme="minorHAnsi" w:cstheme="minorHAnsi"/>
                <w:lang w:eastAsia="en-AU"/>
              </w:rPr>
            </w:pPr>
            <w:r>
              <w:rPr>
                <w:rFonts w:asciiTheme="minorHAnsi" w:hAnsiTheme="minorHAnsi" w:cstheme="minorHAnsi"/>
                <w:lang w:eastAsia="en-AU"/>
              </w:rPr>
              <w:t xml:space="preserve">The impact of the policy problem (as described in Section </w:t>
            </w:r>
            <w:bookmarkStart w:id="120" w:name="_Hlt149650561"/>
            <w:r w:rsidR="0037689B">
              <w:rPr>
                <w:rFonts w:asciiTheme="minorHAnsi" w:hAnsiTheme="minorHAnsi" w:cstheme="minorHAnsi"/>
                <w:lang w:eastAsia="en-AU"/>
              </w:rPr>
              <w:fldChar w:fldCharType="begin"/>
            </w:r>
            <w:r w:rsidR="0037689B">
              <w:rPr>
                <w:rFonts w:asciiTheme="minorHAnsi" w:hAnsiTheme="minorHAnsi" w:cstheme="minorHAnsi"/>
                <w:lang w:eastAsia="en-AU"/>
              </w:rPr>
              <w:instrText xml:space="preserve"> REF _Ref57911144 \r \h </w:instrText>
            </w:r>
            <w:r w:rsidR="0037689B">
              <w:rPr>
                <w:rFonts w:asciiTheme="minorHAnsi" w:hAnsiTheme="minorHAnsi" w:cstheme="minorHAnsi"/>
                <w:lang w:eastAsia="en-AU"/>
              </w:rPr>
            </w:r>
            <w:r w:rsidR="0037689B">
              <w:rPr>
                <w:rFonts w:asciiTheme="minorHAnsi" w:hAnsiTheme="minorHAnsi" w:cstheme="minorHAnsi"/>
                <w:lang w:eastAsia="en-AU"/>
              </w:rPr>
              <w:fldChar w:fldCharType="separate"/>
            </w:r>
            <w:r w:rsidR="003F7B92">
              <w:rPr>
                <w:rFonts w:asciiTheme="minorHAnsi" w:hAnsiTheme="minorHAnsi" w:cstheme="minorHAnsi"/>
                <w:lang w:eastAsia="en-AU"/>
              </w:rPr>
              <w:t>3</w:t>
            </w:r>
            <w:r w:rsidR="0037689B">
              <w:rPr>
                <w:rFonts w:asciiTheme="minorHAnsi" w:hAnsiTheme="minorHAnsi" w:cstheme="minorHAnsi"/>
                <w:lang w:eastAsia="en-AU"/>
              </w:rPr>
              <w:fldChar w:fldCharType="end"/>
            </w:r>
            <w:bookmarkEnd w:id="120"/>
            <w:r>
              <w:rPr>
                <w:rFonts w:asciiTheme="minorHAnsi" w:hAnsiTheme="minorHAnsi" w:cstheme="minorHAnsi"/>
                <w:lang w:eastAsia="en-AU"/>
              </w:rPr>
              <w:t>) and</w:t>
            </w:r>
          </w:p>
          <w:p w14:paraId="028A0F61" w14:textId="547B69A9" w:rsidR="00187042" w:rsidRDefault="000B7CA6" w:rsidP="00313A20">
            <w:pPr>
              <w:pStyle w:val="Listnumbered"/>
              <w:numPr>
                <w:ilvl w:val="0"/>
                <w:numId w:val="26"/>
              </w:numPr>
              <w:rPr>
                <w:rFonts w:asciiTheme="minorHAnsi" w:hAnsiTheme="minorHAnsi" w:cstheme="minorHAnsi"/>
                <w:lang w:eastAsia="en-AU"/>
              </w:rPr>
            </w:pPr>
            <w:r>
              <w:rPr>
                <w:rFonts w:asciiTheme="minorHAnsi" w:hAnsiTheme="minorHAnsi" w:cstheme="minorHAnsi"/>
                <w:lang w:eastAsia="en-AU"/>
              </w:rPr>
              <w:t xml:space="preserve">The degree to which a policy problem is solved </w:t>
            </w:r>
            <w:r w:rsidR="006162F5">
              <w:rPr>
                <w:rFonts w:asciiTheme="minorHAnsi" w:hAnsiTheme="minorHAnsi" w:cstheme="minorHAnsi"/>
                <w:lang w:eastAsia="en-AU"/>
              </w:rPr>
              <w:t>by a</w:t>
            </w:r>
            <w:r w:rsidR="00FA2F40">
              <w:rPr>
                <w:rFonts w:asciiTheme="minorHAnsi" w:hAnsiTheme="minorHAnsi" w:cstheme="minorHAnsi"/>
                <w:lang w:eastAsia="en-AU"/>
              </w:rPr>
              <w:t>n</w:t>
            </w:r>
            <w:r w:rsidR="006162F5">
              <w:rPr>
                <w:rFonts w:asciiTheme="minorHAnsi" w:hAnsiTheme="minorHAnsi" w:cstheme="minorHAnsi"/>
                <w:lang w:eastAsia="en-AU"/>
              </w:rPr>
              <w:t xml:space="preserve"> option, </w:t>
            </w:r>
            <w:r w:rsidR="00455B9C">
              <w:rPr>
                <w:rFonts w:asciiTheme="minorHAnsi" w:hAnsiTheme="minorHAnsi" w:cstheme="minorHAnsi"/>
                <w:lang w:eastAsia="en-AU"/>
              </w:rPr>
              <w:t>should all sub-components des</w:t>
            </w:r>
            <w:r w:rsidR="00842C2A">
              <w:rPr>
                <w:rFonts w:asciiTheme="minorHAnsi" w:hAnsiTheme="minorHAnsi" w:cstheme="minorHAnsi"/>
                <w:lang w:eastAsia="en-AU"/>
              </w:rPr>
              <w:t>cribed in this IA be implemented</w:t>
            </w:r>
            <w:r w:rsidR="008A6535">
              <w:rPr>
                <w:rFonts w:asciiTheme="minorHAnsi" w:hAnsiTheme="minorHAnsi" w:cstheme="minorHAnsi"/>
                <w:lang w:eastAsia="en-AU"/>
              </w:rPr>
              <w:t>, where:</w:t>
            </w:r>
          </w:p>
          <w:p w14:paraId="4550B491" w14:textId="77777777" w:rsidR="00236953" w:rsidRPr="00C24460" w:rsidRDefault="00236953" w:rsidP="00236953">
            <w:pPr>
              <w:pStyle w:val="Listnumbered"/>
              <w:numPr>
                <w:ilvl w:val="1"/>
                <w:numId w:val="27"/>
              </w:numPr>
              <w:rPr>
                <w:rFonts w:asciiTheme="minorHAnsi" w:hAnsiTheme="minorHAnsi" w:cstheme="minorHAnsi"/>
                <w:lang w:eastAsia="en-AU"/>
              </w:rPr>
            </w:pPr>
            <w:r w:rsidRPr="00C24460">
              <w:rPr>
                <w:rFonts w:asciiTheme="minorHAnsi" w:hAnsiTheme="minorHAnsi" w:cstheme="minorHAnsi"/>
                <w:lang w:eastAsia="en-AU"/>
              </w:rPr>
              <w:t>No resolution (ration 0) = makes no progress in resolving the problem and bringing FSANZ and the Act in line with best practice</w:t>
            </w:r>
            <w:r>
              <w:rPr>
                <w:rFonts w:asciiTheme="minorHAnsi" w:hAnsiTheme="minorHAnsi" w:cstheme="minorHAnsi"/>
                <w:lang w:eastAsia="en-AU"/>
              </w:rPr>
              <w:t>.</w:t>
            </w:r>
          </w:p>
          <w:p w14:paraId="77215EE9" w14:textId="77777777" w:rsidR="00236953" w:rsidRPr="00C24460" w:rsidRDefault="00236953" w:rsidP="00236953">
            <w:pPr>
              <w:pStyle w:val="Listnumbered"/>
              <w:numPr>
                <w:ilvl w:val="1"/>
                <w:numId w:val="27"/>
              </w:numPr>
              <w:rPr>
                <w:rFonts w:asciiTheme="minorHAnsi" w:hAnsiTheme="minorHAnsi" w:cstheme="minorHAnsi"/>
                <w:lang w:eastAsia="en-AU"/>
              </w:rPr>
            </w:pPr>
            <w:r w:rsidRPr="00C24460">
              <w:rPr>
                <w:rFonts w:asciiTheme="minorHAnsi" w:hAnsiTheme="minorHAnsi" w:cstheme="minorHAnsi"/>
                <w:lang w:eastAsia="en-AU"/>
              </w:rPr>
              <w:t>Minimal resolution (rating 1) = makes limited progress in resolving the problem and bringing FSANZ and the Act in line with best practice</w:t>
            </w:r>
            <w:r>
              <w:rPr>
                <w:rFonts w:asciiTheme="minorHAnsi" w:hAnsiTheme="minorHAnsi" w:cstheme="minorHAnsi"/>
                <w:lang w:eastAsia="en-AU"/>
              </w:rPr>
              <w:t>.</w:t>
            </w:r>
          </w:p>
          <w:p w14:paraId="08BEFCE7" w14:textId="77777777" w:rsidR="00236953" w:rsidRPr="00C24460" w:rsidRDefault="00236953" w:rsidP="00236953">
            <w:pPr>
              <w:pStyle w:val="Listnumbered"/>
              <w:numPr>
                <w:ilvl w:val="1"/>
                <w:numId w:val="27"/>
              </w:numPr>
              <w:rPr>
                <w:rFonts w:asciiTheme="minorHAnsi" w:hAnsiTheme="minorHAnsi" w:cstheme="minorHAnsi"/>
                <w:lang w:eastAsia="en-AU"/>
              </w:rPr>
            </w:pPr>
            <w:r w:rsidRPr="00C24460">
              <w:rPr>
                <w:rFonts w:asciiTheme="minorHAnsi" w:hAnsiTheme="minorHAnsi" w:cstheme="minorHAnsi"/>
                <w:lang w:eastAsia="en-AU"/>
              </w:rPr>
              <w:t>Moderate resolution (rating 2) = Makes good progress in resolving the problem and bringing FSANZ and the Act in line with best practice</w:t>
            </w:r>
            <w:r>
              <w:rPr>
                <w:rFonts w:asciiTheme="minorHAnsi" w:hAnsiTheme="minorHAnsi" w:cstheme="minorHAnsi"/>
                <w:lang w:eastAsia="en-AU"/>
              </w:rPr>
              <w:t>.</w:t>
            </w:r>
          </w:p>
          <w:p w14:paraId="5C85717B" w14:textId="715ADE96" w:rsidR="00C24460" w:rsidRPr="00C24460" w:rsidRDefault="00C24460" w:rsidP="00313A20">
            <w:pPr>
              <w:pStyle w:val="Listnumbered"/>
              <w:numPr>
                <w:ilvl w:val="1"/>
                <w:numId w:val="27"/>
              </w:numPr>
              <w:rPr>
                <w:rFonts w:asciiTheme="minorHAnsi" w:hAnsiTheme="minorHAnsi" w:cstheme="minorHAnsi"/>
                <w:lang w:eastAsia="en-AU"/>
              </w:rPr>
            </w:pPr>
            <w:r w:rsidRPr="00C24460">
              <w:rPr>
                <w:rFonts w:asciiTheme="minorHAnsi" w:hAnsiTheme="minorHAnsi" w:cstheme="minorHAnsi"/>
                <w:lang w:eastAsia="en-AU"/>
              </w:rPr>
              <w:t xml:space="preserve">Majority resolution (rating 3) </w:t>
            </w:r>
            <w:r w:rsidR="00BC0F6A">
              <w:rPr>
                <w:rFonts w:asciiTheme="minorHAnsi" w:hAnsiTheme="minorHAnsi" w:cstheme="minorHAnsi"/>
                <w:lang w:eastAsia="en-AU"/>
              </w:rPr>
              <w:t>=</w:t>
            </w:r>
            <w:r w:rsidRPr="00C24460">
              <w:rPr>
                <w:rFonts w:asciiTheme="minorHAnsi" w:hAnsiTheme="minorHAnsi" w:cstheme="minorHAnsi"/>
                <w:lang w:eastAsia="en-AU"/>
              </w:rPr>
              <w:t xml:space="preserve"> largely resolves the problem and brings FSANZ and the Act in line with best practice</w:t>
            </w:r>
            <w:r w:rsidR="00BC0F6A">
              <w:rPr>
                <w:rFonts w:asciiTheme="minorHAnsi" w:hAnsiTheme="minorHAnsi" w:cstheme="minorHAnsi"/>
                <w:lang w:eastAsia="en-AU"/>
              </w:rPr>
              <w:t>.</w:t>
            </w:r>
          </w:p>
          <w:p w14:paraId="596041A4" w14:textId="461AB36F" w:rsidR="003372C4" w:rsidRPr="00143283" w:rsidRDefault="00FA2F40" w:rsidP="001C6A23">
            <w:pPr>
              <w:pStyle w:val="Listnumbered"/>
              <w:numPr>
                <w:ilvl w:val="0"/>
                <w:numId w:val="0"/>
              </w:numPr>
              <w:rPr>
                <w:rFonts w:asciiTheme="majorHAnsi" w:hAnsiTheme="majorHAnsi" w:cstheme="majorHAnsi"/>
                <w:lang w:eastAsia="en-AU"/>
              </w:rPr>
            </w:pPr>
            <w:r w:rsidRPr="00143283">
              <w:rPr>
                <w:rFonts w:asciiTheme="majorHAnsi" w:hAnsiTheme="majorHAnsi" w:cstheme="majorHAnsi"/>
                <w:lang w:eastAsia="en-AU"/>
              </w:rPr>
              <w:t xml:space="preserve">Degree to which delivery risks can be </w:t>
            </w:r>
            <w:proofErr w:type="gramStart"/>
            <w:r w:rsidRPr="00143283">
              <w:rPr>
                <w:rFonts w:asciiTheme="majorHAnsi" w:hAnsiTheme="majorHAnsi" w:cstheme="majorHAnsi"/>
                <w:lang w:eastAsia="en-AU"/>
              </w:rPr>
              <w:t>managed</w:t>
            </w:r>
            <w:proofErr w:type="gramEnd"/>
          </w:p>
          <w:p w14:paraId="0BC25806" w14:textId="33C4FB58" w:rsidR="00FA2F40" w:rsidRDefault="00DB03C4" w:rsidP="001C6A23">
            <w:pPr>
              <w:pStyle w:val="Listnumbered"/>
              <w:numPr>
                <w:ilvl w:val="0"/>
                <w:numId w:val="0"/>
              </w:numPr>
              <w:rPr>
                <w:rFonts w:asciiTheme="minorHAnsi" w:hAnsiTheme="minorHAnsi" w:cstheme="minorHAnsi"/>
                <w:lang w:eastAsia="en-AU"/>
              </w:rPr>
            </w:pPr>
            <w:r>
              <w:rPr>
                <w:rFonts w:asciiTheme="minorHAnsi" w:hAnsiTheme="minorHAnsi" w:cstheme="minorHAnsi"/>
                <w:lang w:eastAsia="en-AU"/>
              </w:rPr>
              <w:t>For each risk within a component</w:t>
            </w:r>
            <w:r w:rsidR="002F0F1B">
              <w:rPr>
                <w:rFonts w:asciiTheme="minorHAnsi" w:hAnsiTheme="minorHAnsi" w:cstheme="minorHAnsi"/>
                <w:lang w:eastAsia="en-AU"/>
              </w:rPr>
              <w:t xml:space="preserve">, the </w:t>
            </w:r>
            <w:r w:rsidR="00600796">
              <w:rPr>
                <w:rFonts w:asciiTheme="minorHAnsi" w:hAnsiTheme="minorHAnsi" w:cstheme="minorHAnsi"/>
                <w:lang w:eastAsia="en-AU"/>
              </w:rPr>
              <w:t>negative consequence should the risk eventuate was estimated, where:</w:t>
            </w:r>
          </w:p>
          <w:p w14:paraId="729C7B48" w14:textId="77777777" w:rsidR="003A1A3D" w:rsidRPr="009B7A1C" w:rsidRDefault="003A1A3D" w:rsidP="003A1A3D">
            <w:pPr>
              <w:pStyle w:val="Listnumbered"/>
              <w:numPr>
                <w:ilvl w:val="0"/>
                <w:numId w:val="28"/>
              </w:numPr>
              <w:rPr>
                <w:rFonts w:asciiTheme="minorHAnsi" w:hAnsiTheme="minorHAnsi" w:cstheme="minorHAnsi"/>
                <w:lang w:eastAsia="en-AU"/>
              </w:rPr>
            </w:pPr>
            <w:r w:rsidRPr="009B7A1C">
              <w:rPr>
                <w:rFonts w:asciiTheme="minorHAnsi" w:hAnsiTheme="minorHAnsi" w:cstheme="minorHAnsi"/>
                <w:lang w:eastAsia="en-AU"/>
              </w:rPr>
              <w:t>Major consequence (rating 1) = significant impact of efficient and effective regulation of foods and/or creation of undue regulatory burden</w:t>
            </w:r>
            <w:r>
              <w:rPr>
                <w:rFonts w:asciiTheme="minorHAnsi" w:hAnsiTheme="minorHAnsi" w:cstheme="minorHAnsi"/>
                <w:lang w:eastAsia="en-AU"/>
              </w:rPr>
              <w:t>.</w:t>
            </w:r>
            <w:r w:rsidRPr="009B7A1C">
              <w:rPr>
                <w:rFonts w:asciiTheme="minorHAnsi" w:hAnsiTheme="minorHAnsi" w:cstheme="minorHAnsi"/>
                <w:lang w:eastAsia="en-AU"/>
              </w:rPr>
              <w:t xml:space="preserve"> </w:t>
            </w:r>
          </w:p>
          <w:p w14:paraId="6E6D69AA" w14:textId="77777777" w:rsidR="003A1A3D" w:rsidRPr="009B7A1C" w:rsidRDefault="003A1A3D" w:rsidP="003A1A3D">
            <w:pPr>
              <w:pStyle w:val="Listnumbered"/>
              <w:numPr>
                <w:ilvl w:val="0"/>
                <w:numId w:val="28"/>
              </w:numPr>
              <w:rPr>
                <w:rFonts w:asciiTheme="minorHAnsi" w:hAnsiTheme="minorHAnsi" w:cstheme="minorHAnsi"/>
                <w:lang w:eastAsia="en-AU"/>
              </w:rPr>
            </w:pPr>
            <w:r w:rsidRPr="009B7A1C">
              <w:rPr>
                <w:rFonts w:asciiTheme="minorHAnsi" w:hAnsiTheme="minorHAnsi" w:cstheme="minorHAnsi"/>
                <w:lang w:eastAsia="en-AU"/>
              </w:rPr>
              <w:lastRenderedPageBreak/>
              <w:t>Moderate consequence (rating 2) = moderate impact of efficient and effective regulation of foods and/or creation of undue regulatory burden</w:t>
            </w:r>
            <w:r>
              <w:rPr>
                <w:rFonts w:asciiTheme="minorHAnsi" w:hAnsiTheme="minorHAnsi" w:cstheme="minorHAnsi"/>
                <w:lang w:eastAsia="en-AU"/>
              </w:rPr>
              <w:t>.</w:t>
            </w:r>
            <w:r w:rsidRPr="009B7A1C">
              <w:rPr>
                <w:rFonts w:asciiTheme="minorHAnsi" w:hAnsiTheme="minorHAnsi" w:cstheme="minorHAnsi"/>
                <w:lang w:eastAsia="en-AU"/>
              </w:rPr>
              <w:t xml:space="preserve"> </w:t>
            </w:r>
          </w:p>
          <w:p w14:paraId="39D2DA1C" w14:textId="77777777" w:rsidR="00EC20E3" w:rsidRPr="009B7A1C" w:rsidRDefault="00EC20E3" w:rsidP="00EC20E3">
            <w:pPr>
              <w:pStyle w:val="Listnumbered"/>
              <w:numPr>
                <w:ilvl w:val="0"/>
                <w:numId w:val="28"/>
              </w:numPr>
              <w:rPr>
                <w:rFonts w:asciiTheme="minorHAnsi" w:hAnsiTheme="minorHAnsi" w:cstheme="minorHAnsi"/>
                <w:lang w:eastAsia="en-AU"/>
              </w:rPr>
            </w:pPr>
            <w:r w:rsidRPr="009B7A1C">
              <w:rPr>
                <w:rFonts w:asciiTheme="minorHAnsi" w:hAnsiTheme="minorHAnsi" w:cstheme="minorHAnsi"/>
                <w:lang w:eastAsia="en-AU"/>
              </w:rPr>
              <w:t xml:space="preserve">Minimal consequence (rating </w:t>
            </w:r>
            <w:r>
              <w:rPr>
                <w:rFonts w:asciiTheme="minorHAnsi" w:hAnsiTheme="minorHAnsi" w:cstheme="minorHAnsi"/>
                <w:lang w:eastAsia="en-AU"/>
              </w:rPr>
              <w:t>3</w:t>
            </w:r>
            <w:r w:rsidRPr="009B7A1C">
              <w:rPr>
                <w:rFonts w:asciiTheme="minorHAnsi" w:hAnsiTheme="minorHAnsi" w:cstheme="minorHAnsi"/>
                <w:lang w:eastAsia="en-AU"/>
              </w:rPr>
              <w:t>) = minimal impact of efficient and effective regulation of foods and/or creation of undue regulatory burden</w:t>
            </w:r>
            <w:r>
              <w:rPr>
                <w:rFonts w:asciiTheme="minorHAnsi" w:hAnsiTheme="minorHAnsi" w:cstheme="minorHAnsi"/>
                <w:lang w:eastAsia="en-AU"/>
              </w:rPr>
              <w:t>.</w:t>
            </w:r>
            <w:r w:rsidRPr="009B7A1C">
              <w:rPr>
                <w:rFonts w:asciiTheme="minorHAnsi" w:hAnsiTheme="minorHAnsi" w:cstheme="minorHAnsi"/>
                <w:lang w:eastAsia="en-AU"/>
              </w:rPr>
              <w:t xml:space="preserve"> </w:t>
            </w:r>
          </w:p>
          <w:p w14:paraId="552BFC18" w14:textId="50AF4837" w:rsidR="00600796" w:rsidRDefault="00393513" w:rsidP="00393513">
            <w:pPr>
              <w:pStyle w:val="Listnumbered"/>
              <w:numPr>
                <w:ilvl w:val="0"/>
                <w:numId w:val="0"/>
              </w:numPr>
              <w:ind w:left="360" w:hanging="360"/>
              <w:rPr>
                <w:rFonts w:asciiTheme="minorHAnsi" w:hAnsiTheme="minorHAnsi" w:cstheme="minorHAnsi"/>
                <w:lang w:eastAsia="en-AU"/>
              </w:rPr>
            </w:pPr>
            <w:r>
              <w:rPr>
                <w:rFonts w:asciiTheme="minorHAnsi" w:hAnsiTheme="minorHAnsi" w:cstheme="minorHAnsi"/>
                <w:lang w:eastAsia="en-AU"/>
              </w:rPr>
              <w:t>The</w:t>
            </w:r>
            <w:r w:rsidR="00941A64">
              <w:rPr>
                <w:rFonts w:asciiTheme="minorHAnsi" w:hAnsiTheme="minorHAnsi" w:cstheme="minorHAnsi"/>
                <w:lang w:eastAsia="en-AU"/>
              </w:rPr>
              <w:t xml:space="preserve"> </w:t>
            </w:r>
            <w:r w:rsidR="002A765F">
              <w:rPr>
                <w:rFonts w:asciiTheme="minorHAnsi" w:hAnsiTheme="minorHAnsi" w:cstheme="minorHAnsi"/>
                <w:lang w:eastAsia="en-AU"/>
              </w:rPr>
              <w:t>result is multiplied by the likelihood of the risk occurring, where:</w:t>
            </w:r>
          </w:p>
          <w:p w14:paraId="107A672D" w14:textId="1388A071" w:rsidR="00952BC2" w:rsidRPr="00952BC2" w:rsidRDefault="00952BC2" w:rsidP="00313A20">
            <w:pPr>
              <w:pStyle w:val="Listnumbered"/>
              <w:numPr>
                <w:ilvl w:val="0"/>
                <w:numId w:val="29"/>
              </w:numPr>
              <w:rPr>
                <w:rFonts w:asciiTheme="minorHAnsi" w:hAnsiTheme="minorHAnsi" w:cstheme="minorHAnsi"/>
                <w:lang w:eastAsia="en-AU"/>
              </w:rPr>
            </w:pPr>
            <w:r w:rsidRPr="00952BC2">
              <w:rPr>
                <w:rFonts w:asciiTheme="minorHAnsi" w:hAnsiTheme="minorHAnsi" w:cstheme="minorHAnsi"/>
                <w:lang w:eastAsia="en-AU"/>
              </w:rPr>
              <w:t>Very likely (rating 1) = high likelihood of occurrence, even with suitable mitigation strategies in place</w:t>
            </w:r>
            <w:r w:rsidR="009C1E0F">
              <w:rPr>
                <w:rFonts w:asciiTheme="minorHAnsi" w:hAnsiTheme="minorHAnsi" w:cstheme="minorHAnsi"/>
                <w:lang w:eastAsia="en-AU"/>
              </w:rPr>
              <w:t>.</w:t>
            </w:r>
          </w:p>
          <w:p w14:paraId="42D4D255" w14:textId="7B7FC752" w:rsidR="00952BC2" w:rsidRPr="00952BC2" w:rsidRDefault="00952BC2" w:rsidP="00313A20">
            <w:pPr>
              <w:pStyle w:val="Listnumbered"/>
              <w:numPr>
                <w:ilvl w:val="0"/>
                <w:numId w:val="29"/>
              </w:numPr>
              <w:rPr>
                <w:rFonts w:asciiTheme="minorHAnsi" w:hAnsiTheme="minorHAnsi" w:cstheme="minorHAnsi"/>
                <w:lang w:eastAsia="en-AU"/>
              </w:rPr>
            </w:pPr>
            <w:r w:rsidRPr="00952BC2">
              <w:rPr>
                <w:rFonts w:asciiTheme="minorHAnsi" w:hAnsiTheme="minorHAnsi" w:cstheme="minorHAnsi"/>
                <w:lang w:eastAsia="en-AU"/>
              </w:rPr>
              <w:t>Moderately likely (rating 2) = moderate likelihood of occurrence, with suitable mitigation strategies in place</w:t>
            </w:r>
            <w:r w:rsidR="009C1E0F">
              <w:rPr>
                <w:rFonts w:asciiTheme="minorHAnsi" w:hAnsiTheme="minorHAnsi" w:cstheme="minorHAnsi"/>
                <w:lang w:eastAsia="en-AU"/>
              </w:rPr>
              <w:t>.</w:t>
            </w:r>
          </w:p>
          <w:p w14:paraId="7995EE6D" w14:textId="700E7E6F" w:rsidR="00952BC2" w:rsidRPr="00952BC2" w:rsidRDefault="00952BC2" w:rsidP="00313A20">
            <w:pPr>
              <w:pStyle w:val="Listnumbered"/>
              <w:numPr>
                <w:ilvl w:val="0"/>
                <w:numId w:val="29"/>
              </w:numPr>
              <w:rPr>
                <w:rFonts w:asciiTheme="minorHAnsi" w:hAnsiTheme="minorHAnsi" w:cstheme="minorHAnsi"/>
                <w:lang w:eastAsia="en-AU"/>
              </w:rPr>
            </w:pPr>
            <w:r w:rsidRPr="00952BC2">
              <w:rPr>
                <w:rFonts w:asciiTheme="minorHAnsi" w:hAnsiTheme="minorHAnsi" w:cstheme="minorHAnsi"/>
                <w:lang w:eastAsia="en-AU"/>
              </w:rPr>
              <w:t>Unlikely (rating 3) = low likelihood of occurrence, with suitable mitigation strategies in place</w:t>
            </w:r>
            <w:r w:rsidR="009C1E0F">
              <w:rPr>
                <w:rFonts w:asciiTheme="minorHAnsi" w:hAnsiTheme="minorHAnsi" w:cstheme="minorHAnsi"/>
                <w:lang w:eastAsia="en-AU"/>
              </w:rPr>
              <w:t>.</w:t>
            </w:r>
          </w:p>
          <w:p w14:paraId="05B94119" w14:textId="1C01EA00" w:rsidR="00952BC2" w:rsidRDefault="00952BC2" w:rsidP="00393513">
            <w:pPr>
              <w:pStyle w:val="Listnumbered"/>
              <w:numPr>
                <w:ilvl w:val="0"/>
                <w:numId w:val="0"/>
              </w:numPr>
              <w:ind w:left="360" w:hanging="360"/>
              <w:rPr>
                <w:rFonts w:asciiTheme="minorHAnsi" w:hAnsiTheme="minorHAnsi" w:cstheme="minorHAnsi"/>
                <w:lang w:eastAsia="en-AU"/>
              </w:rPr>
            </w:pPr>
            <w:r>
              <w:rPr>
                <w:rFonts w:asciiTheme="minorHAnsi" w:hAnsiTheme="minorHAnsi" w:cstheme="minorHAnsi"/>
                <w:lang w:eastAsia="en-AU"/>
              </w:rPr>
              <w:t>The impact of risks within the component are then aggregated, where:</w:t>
            </w:r>
          </w:p>
          <w:p w14:paraId="45580E4C" w14:textId="714EB7D3" w:rsidR="00952BC2" w:rsidRDefault="00952BC2" w:rsidP="00393513">
            <w:pPr>
              <w:pStyle w:val="Listnumbered"/>
              <w:numPr>
                <w:ilvl w:val="0"/>
                <w:numId w:val="0"/>
              </w:numPr>
              <w:rPr>
                <w:rFonts w:asciiTheme="minorHAnsi" w:hAnsiTheme="minorHAnsi" w:cstheme="minorHAnsi"/>
                <w:lang w:eastAsia="en-AU"/>
              </w:rPr>
            </w:pPr>
            <w:r>
              <w:rPr>
                <w:rFonts w:asciiTheme="minorHAnsi" w:hAnsiTheme="minorHAnsi" w:cstheme="minorHAnsi"/>
                <w:lang w:eastAsia="en-AU"/>
              </w:rPr>
              <w:t>Total delivery risk rating</w:t>
            </w:r>
            <w:r w:rsidR="00734F00">
              <w:rPr>
                <w:rFonts w:asciiTheme="minorHAnsi" w:hAnsiTheme="minorHAnsi" w:cstheme="minorHAnsi"/>
                <w:lang w:eastAsia="en-AU"/>
              </w:rPr>
              <w:t xml:space="preserve"> (for</w:t>
            </w:r>
            <w:r w:rsidR="007E4359">
              <w:rPr>
                <w:rFonts w:asciiTheme="minorHAnsi" w:hAnsiTheme="minorHAnsi" w:cstheme="minorHAnsi"/>
                <w:lang w:eastAsia="en-AU"/>
              </w:rPr>
              <w:t xml:space="preserve"> </w:t>
            </w:r>
            <m:oMath>
              <m:r>
                <w:rPr>
                  <w:rFonts w:ascii="Cambria Math" w:eastAsiaTheme="minorEastAsia" w:hAnsi="Cambria Math"/>
                </w:rPr>
                <m:t>n</m:t>
              </m:r>
            </m:oMath>
            <w:r w:rsidR="007E4359">
              <w:rPr>
                <w:rFonts w:asciiTheme="minorHAnsi" w:eastAsiaTheme="minorEastAsia" w:hAnsiTheme="minorHAnsi" w:cstheme="minorHAnsi"/>
                <w:bCs/>
              </w:rPr>
              <w:t xml:space="preserve"> </w:t>
            </w:r>
            <w:r w:rsidR="001147B1">
              <w:rPr>
                <w:rFonts w:asciiTheme="minorHAnsi" w:eastAsiaTheme="minorEastAsia" w:hAnsiTheme="minorHAnsi" w:cstheme="minorHAnsi"/>
                <w:bCs/>
              </w:rPr>
              <w:t xml:space="preserve">number of </w:t>
            </w:r>
            <w:r w:rsidR="007E4359">
              <w:rPr>
                <w:rFonts w:asciiTheme="minorHAnsi" w:eastAsiaTheme="minorEastAsia" w:hAnsiTheme="minorHAnsi" w:cstheme="minorHAnsi"/>
                <w:bCs/>
              </w:rPr>
              <w:t>risks</w:t>
            </w:r>
            <w:r w:rsidR="0054598C">
              <w:rPr>
                <w:rFonts w:asciiTheme="minorHAnsi" w:eastAsiaTheme="minorEastAsia" w:hAnsiTheme="minorHAnsi" w:cstheme="minorHAnsi"/>
                <w:bCs/>
              </w:rPr>
              <w:t>)</w:t>
            </w:r>
            <w:r w:rsidR="00734F00">
              <w:rPr>
                <w:rFonts w:asciiTheme="minorHAnsi" w:hAnsiTheme="minorHAnsi" w:cstheme="minorHAnsi"/>
                <w:lang w:eastAsia="en-AU"/>
              </w:rPr>
              <w:t xml:space="preserve"> </w:t>
            </w:r>
            <w:r>
              <w:rPr>
                <w:rFonts w:asciiTheme="minorHAnsi" w:hAnsiTheme="minorHAnsi" w:cstheme="minorHAnsi"/>
                <w:lang w:eastAsia="en-AU"/>
              </w:rPr>
              <w:t xml:space="preserve">= </w:t>
            </w:r>
          </w:p>
          <w:p w14:paraId="08813254" w14:textId="04FC4B12" w:rsidR="00116C6A" w:rsidRPr="00116C6A" w:rsidRDefault="00000000" w:rsidP="00393513">
            <w:pPr>
              <w:pStyle w:val="Listnumbered"/>
              <w:numPr>
                <w:ilvl w:val="0"/>
                <w:numId w:val="0"/>
              </w:numPr>
              <w:ind w:left="720" w:hanging="360"/>
              <w:rPr>
                <w:rFonts w:eastAsiaTheme="minorEastAsia"/>
              </w:rPr>
            </w:pPr>
            <m:oMathPara>
              <m:oMath>
                <m:f>
                  <m:fPr>
                    <m:ctrlPr>
                      <w:rPr>
                        <w:rFonts w:ascii="Cambria Math" w:eastAsiaTheme="minorEastAsia" w:hAnsi="Cambria Math"/>
                        <w:bCs/>
                        <w:i/>
                      </w:rPr>
                    </m:ctrlPr>
                  </m:fPr>
                  <m:num>
                    <m:nary>
                      <m:naryPr>
                        <m:chr m:val="∑"/>
                        <m:grow m:val="1"/>
                        <m:ctrlPr>
                          <w:rPr>
                            <w:rFonts w:ascii="Cambria Math" w:eastAsiaTheme="minorEastAsia" w:hAnsi="Cambria Math"/>
                            <w:bCs/>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bCs/>
                              </w:rPr>
                            </m:ctrlPr>
                          </m:dPr>
                          <m:e>
                            <m:r>
                              <w:rPr>
                                <w:rFonts w:ascii="Cambria Math" w:eastAsiaTheme="minorEastAsia" w:hAnsi="Cambria Math"/>
                              </w:rPr>
                              <m:t xml:space="preserve">Consequence of </m:t>
                            </m:r>
                            <m:sSub>
                              <m:sSubPr>
                                <m:ctrlPr>
                                  <w:rPr>
                                    <w:rFonts w:ascii="Cambria Math" w:eastAsiaTheme="minorEastAsia" w:hAnsi="Cambria Math"/>
                                    <w:bCs/>
                                    <w:i/>
                                  </w:rPr>
                                </m:ctrlPr>
                              </m:sSubPr>
                              <m:e>
                                <m:r>
                                  <w:rPr>
                                    <w:rFonts w:ascii="Cambria Math" w:eastAsiaTheme="minorEastAsia" w:hAnsi="Cambria Math"/>
                                  </w:rPr>
                                  <m:t>risk</m:t>
                                </m:r>
                              </m:e>
                              <m:sub>
                                <m:r>
                                  <w:rPr>
                                    <w:rFonts w:ascii="Cambria Math" w:eastAsiaTheme="minorEastAsia" w:hAnsi="Cambria Math"/>
                                  </w:rPr>
                                  <m:t>i</m:t>
                                </m:r>
                              </m:sub>
                            </m:sSub>
                            <m:r>
                              <w:rPr>
                                <w:rFonts w:ascii="Cambria Math" w:eastAsiaTheme="minorEastAsia" w:hAnsi="Cambria Math"/>
                              </w:rPr>
                              <m:t xml:space="preserve"> ×likelihood of </m:t>
                            </m:r>
                            <m:sSub>
                              <m:sSubPr>
                                <m:ctrlPr>
                                  <w:rPr>
                                    <w:rFonts w:ascii="Cambria Math" w:eastAsiaTheme="minorEastAsia" w:hAnsi="Cambria Math"/>
                                    <w:bCs/>
                                    <w:i/>
                                  </w:rPr>
                                </m:ctrlPr>
                              </m:sSubPr>
                              <m:e>
                                <m:r>
                                  <w:rPr>
                                    <w:rFonts w:ascii="Cambria Math" w:eastAsiaTheme="minorEastAsia" w:hAnsi="Cambria Math"/>
                                  </w:rPr>
                                  <m:t>risk</m:t>
                                </m:r>
                              </m:e>
                              <m:sub>
                                <m:r>
                                  <w:rPr>
                                    <w:rFonts w:ascii="Cambria Math" w:eastAsiaTheme="minorEastAsia" w:hAnsi="Cambria Math"/>
                                  </w:rPr>
                                  <m:t>i</m:t>
                                </m:r>
                              </m:sub>
                            </m:sSub>
                          </m:e>
                        </m:d>
                        <m:ctrlPr>
                          <w:rPr>
                            <w:rFonts w:ascii="Cambria Math" w:eastAsiaTheme="minorEastAsia" w:hAnsi="Cambria Math"/>
                          </w:rPr>
                        </m:ctrlPr>
                      </m:e>
                    </m:nary>
                  </m:num>
                  <m:den>
                    <m:r>
                      <w:rPr>
                        <w:rFonts w:ascii="Cambria Math" w:eastAsiaTheme="minorEastAsia" w:hAnsi="Cambria Math"/>
                      </w:rPr>
                      <m:t>9n</m:t>
                    </m:r>
                  </m:den>
                </m:f>
                <m:r>
                  <w:rPr>
                    <w:rFonts w:ascii="Cambria Math" w:eastAsiaTheme="minorEastAsia" w:hAnsi="Cambria Math"/>
                  </w:rPr>
                  <m:t>×100</m:t>
                </m:r>
              </m:oMath>
            </m:oMathPara>
          </w:p>
          <w:p w14:paraId="4EAA531A" w14:textId="4C3C66B1" w:rsidR="004857F9" w:rsidRPr="00441AC6" w:rsidRDefault="004857F9" w:rsidP="004857F9">
            <w:pPr>
              <w:pStyle w:val="longformcalloutnumber"/>
              <w:numPr>
                <w:ilvl w:val="0"/>
                <w:numId w:val="0"/>
              </w:numPr>
              <w:rPr>
                <w:rFonts w:eastAsiaTheme="minorEastAsia"/>
                <w:bCs/>
              </w:rPr>
            </w:pPr>
            <w:r w:rsidRPr="00441AC6">
              <w:rPr>
                <w:rFonts w:eastAsiaTheme="minorEastAsia"/>
                <w:bCs/>
              </w:rPr>
              <w:t>Ratings have then been converted to a 1-3 score, where</w:t>
            </w:r>
            <w:r w:rsidR="0037689B">
              <w:rPr>
                <w:rFonts w:eastAsiaTheme="minorEastAsia"/>
                <w:bCs/>
              </w:rPr>
              <w:t>:</w:t>
            </w:r>
          </w:p>
          <w:p w14:paraId="60A55F8D" w14:textId="77777777" w:rsidR="00DB1496" w:rsidRDefault="00DB1496" w:rsidP="00DB1496">
            <w:pPr>
              <w:pStyle w:val="longformcalloutnumber"/>
              <w:numPr>
                <w:ilvl w:val="0"/>
                <w:numId w:val="24"/>
              </w:numPr>
              <w:rPr>
                <w:bCs/>
              </w:rPr>
            </w:pPr>
            <w:r>
              <w:rPr>
                <w:bCs/>
              </w:rPr>
              <w:t>High risk</w:t>
            </w:r>
            <w:r w:rsidRPr="004857F9">
              <w:rPr>
                <w:bCs/>
              </w:rPr>
              <w:t xml:space="preserve"> (rating 1) = 0-33%</w:t>
            </w:r>
          </w:p>
          <w:p w14:paraId="0BBAF38B" w14:textId="77777777" w:rsidR="00DB1496" w:rsidRDefault="00DB1496" w:rsidP="00DB1496">
            <w:pPr>
              <w:pStyle w:val="longformcalloutnumber"/>
              <w:numPr>
                <w:ilvl w:val="0"/>
                <w:numId w:val="24"/>
              </w:numPr>
              <w:rPr>
                <w:bCs/>
              </w:rPr>
            </w:pPr>
            <w:r w:rsidRPr="00441AC6">
              <w:rPr>
                <w:bCs/>
              </w:rPr>
              <w:t xml:space="preserve">Moderate </w:t>
            </w:r>
            <w:r>
              <w:rPr>
                <w:bCs/>
              </w:rPr>
              <w:t>risk</w:t>
            </w:r>
            <w:r w:rsidRPr="00441AC6">
              <w:rPr>
                <w:bCs/>
              </w:rPr>
              <w:t xml:space="preserve"> (rating 2) = 34-66%</w:t>
            </w:r>
          </w:p>
          <w:p w14:paraId="7742F92A" w14:textId="1AB06A0A" w:rsidR="004857F9" w:rsidRPr="00441AC6" w:rsidRDefault="00797103" w:rsidP="00313A20">
            <w:pPr>
              <w:pStyle w:val="longformcalloutnumber"/>
              <w:numPr>
                <w:ilvl w:val="0"/>
                <w:numId w:val="24"/>
              </w:numPr>
              <w:rPr>
                <w:bCs/>
              </w:rPr>
            </w:pPr>
            <w:r>
              <w:rPr>
                <w:bCs/>
              </w:rPr>
              <w:t>Low risk</w:t>
            </w:r>
            <w:r w:rsidR="004857F9" w:rsidRPr="00441AC6">
              <w:rPr>
                <w:bCs/>
              </w:rPr>
              <w:t xml:space="preserve"> (rating 3) = 67-100%</w:t>
            </w:r>
          </w:p>
          <w:p w14:paraId="7AF7D54A" w14:textId="77777777" w:rsidR="009A3A2A" w:rsidRPr="009E41FE" w:rsidRDefault="009A3A2A" w:rsidP="009A3A2A">
            <w:pPr>
              <w:pStyle w:val="longformcalloutnumber"/>
              <w:numPr>
                <w:ilvl w:val="0"/>
                <w:numId w:val="0"/>
              </w:numPr>
              <w:rPr>
                <w:rFonts w:asciiTheme="majorHAnsi" w:hAnsiTheme="majorHAnsi" w:cstheme="majorHAnsi"/>
                <w:bCs/>
              </w:rPr>
            </w:pPr>
            <w:r w:rsidRPr="009E41FE">
              <w:rPr>
                <w:rFonts w:asciiTheme="majorHAnsi" w:hAnsiTheme="majorHAnsi" w:cstheme="majorHAnsi"/>
                <w:bCs/>
              </w:rPr>
              <w:t>Costs and benefits</w:t>
            </w:r>
          </w:p>
          <w:p w14:paraId="5C8A3D6F" w14:textId="41F69B98" w:rsidR="009A3A2A" w:rsidRPr="007F7722" w:rsidRDefault="009A3A2A" w:rsidP="00313A20">
            <w:pPr>
              <w:pStyle w:val="longformcalloutnumber"/>
              <w:numPr>
                <w:ilvl w:val="0"/>
                <w:numId w:val="26"/>
              </w:numPr>
              <w:rPr>
                <w:bCs/>
              </w:rPr>
            </w:pPr>
            <w:r>
              <w:rPr>
                <w:bCs/>
              </w:rPr>
              <w:t xml:space="preserve">The </w:t>
            </w:r>
            <w:r w:rsidR="009E41FE">
              <w:rPr>
                <w:bCs/>
              </w:rPr>
              <w:t xml:space="preserve">expected impact of the reform options on FSANZ, government, industry and on consumers. The net </w:t>
            </w:r>
            <w:r w:rsidR="003D0473">
              <w:rPr>
                <w:bCs/>
              </w:rPr>
              <w:t>present value</w:t>
            </w:r>
            <w:r w:rsidR="009E41FE">
              <w:rPr>
                <w:bCs/>
              </w:rPr>
              <w:t xml:space="preserve"> and BCR calculated in Section </w:t>
            </w:r>
            <w:r w:rsidR="0037689B">
              <w:rPr>
                <w:bCs/>
              </w:rPr>
              <w:fldChar w:fldCharType="begin"/>
            </w:r>
            <w:r w:rsidR="0037689B">
              <w:rPr>
                <w:bCs/>
              </w:rPr>
              <w:instrText xml:space="preserve"> REF _Ref149650763 \r \h </w:instrText>
            </w:r>
            <w:r w:rsidR="0037689B">
              <w:rPr>
                <w:bCs/>
              </w:rPr>
            </w:r>
            <w:r w:rsidR="0037689B">
              <w:rPr>
                <w:bCs/>
              </w:rPr>
              <w:fldChar w:fldCharType="separate"/>
            </w:r>
            <w:r w:rsidR="003F7B92">
              <w:rPr>
                <w:bCs/>
              </w:rPr>
              <w:t>6</w:t>
            </w:r>
            <w:r w:rsidR="0037689B">
              <w:rPr>
                <w:bCs/>
              </w:rPr>
              <w:fldChar w:fldCharType="end"/>
            </w:r>
            <w:r w:rsidR="009E41FE">
              <w:rPr>
                <w:bCs/>
              </w:rPr>
              <w:t xml:space="preserve"> have been used here. </w:t>
            </w:r>
          </w:p>
        </w:tc>
      </w:tr>
    </w:tbl>
    <w:p w14:paraId="3FAD9622" w14:textId="77777777" w:rsidR="00BE7306" w:rsidRDefault="00BE7306" w:rsidP="00923BE4"/>
    <w:p w14:paraId="7B13CC64" w14:textId="5FC7B0E1" w:rsidR="00C7704B" w:rsidRPr="008732EE" w:rsidRDefault="00923BE4" w:rsidP="00923BE4">
      <w:pPr>
        <w:rPr>
          <w:lang w:eastAsia="en-AU"/>
        </w:rPr>
      </w:pPr>
      <w:proofErr w:type="gramStart"/>
      <w:r w:rsidRPr="008732EE">
        <w:rPr>
          <w:lang w:eastAsia="en-AU"/>
        </w:rPr>
        <w:t>At a glance</w:t>
      </w:r>
      <w:proofErr w:type="gramEnd"/>
      <w:r w:rsidRPr="008732EE">
        <w:rPr>
          <w:lang w:eastAsia="en-AU"/>
        </w:rPr>
        <w:t>, Option 2 performs best against these criteria</w:t>
      </w:r>
      <w:r w:rsidR="00C9101B" w:rsidRPr="008732EE">
        <w:rPr>
          <w:lang w:eastAsia="en-AU"/>
        </w:rPr>
        <w:t xml:space="preserve">, indicating that ‘doing something’ is better than </w:t>
      </w:r>
      <w:r w:rsidR="00A4381A" w:rsidRPr="008732EE">
        <w:rPr>
          <w:lang w:eastAsia="en-AU"/>
        </w:rPr>
        <w:t>retaining the status quo</w:t>
      </w:r>
      <w:r w:rsidR="00794806" w:rsidRPr="008732EE">
        <w:rPr>
          <w:lang w:eastAsia="en-AU"/>
        </w:rPr>
        <w:t xml:space="preserve"> </w:t>
      </w:r>
      <w:r w:rsidRPr="008732EE">
        <w:rPr>
          <w:lang w:eastAsia="en-AU"/>
        </w:rPr>
        <w:t>(</w:t>
      </w:r>
      <w:r w:rsidR="009A441C" w:rsidRPr="008732EE">
        <w:rPr>
          <w:lang w:eastAsia="en-AU"/>
        </w:rPr>
        <w:t xml:space="preserve">see </w:t>
      </w:r>
      <w:r w:rsidRPr="008732EE">
        <w:rPr>
          <w:lang w:eastAsia="en-AU"/>
        </w:rPr>
        <w:fldChar w:fldCharType="begin"/>
      </w:r>
      <w:r w:rsidRPr="008732EE">
        <w:rPr>
          <w:lang w:eastAsia="en-AU"/>
        </w:rPr>
        <w:instrText xml:space="preserve"> REF _Ref142059950 \h  \* MERGEFORMAT </w:instrText>
      </w:r>
      <w:r w:rsidRPr="008732EE">
        <w:rPr>
          <w:lang w:eastAsia="en-AU"/>
        </w:rPr>
      </w:r>
      <w:r w:rsidRPr="008732EE">
        <w:rPr>
          <w:lang w:eastAsia="en-AU"/>
        </w:rPr>
        <w:fldChar w:fldCharType="separate"/>
      </w:r>
      <w:r w:rsidR="003F7B92" w:rsidRPr="008732EE">
        <w:t xml:space="preserve">Table </w:t>
      </w:r>
      <w:r w:rsidR="003F7B92">
        <w:rPr>
          <w:noProof/>
        </w:rPr>
        <w:t>20</w:t>
      </w:r>
      <w:r w:rsidRPr="008732EE">
        <w:rPr>
          <w:lang w:eastAsia="en-AU"/>
        </w:rPr>
        <w:fldChar w:fldCharType="end"/>
      </w:r>
      <w:r w:rsidRPr="008732EE">
        <w:rPr>
          <w:lang w:eastAsia="en-AU"/>
        </w:rPr>
        <w:t xml:space="preserve">). </w:t>
      </w:r>
      <w:r w:rsidR="006B2008" w:rsidRPr="008732EE">
        <w:rPr>
          <w:lang w:eastAsia="en-AU"/>
        </w:rPr>
        <w:t xml:space="preserve">Option 2 </w:t>
      </w:r>
      <w:r w:rsidR="00C7704B" w:rsidRPr="008732EE">
        <w:rPr>
          <w:lang w:eastAsia="en-AU"/>
        </w:rPr>
        <w:t xml:space="preserve">is significantly better at addressing the policy problems associated with the current state </w:t>
      </w:r>
      <w:proofErr w:type="gramStart"/>
      <w:r w:rsidR="00C7704B" w:rsidRPr="008732EE">
        <w:rPr>
          <w:lang w:eastAsia="en-AU"/>
        </w:rPr>
        <w:t>and also</w:t>
      </w:r>
      <w:proofErr w:type="gramEnd"/>
      <w:r w:rsidR="00C7704B" w:rsidRPr="008732EE">
        <w:rPr>
          <w:lang w:eastAsia="en-AU"/>
        </w:rPr>
        <w:t xml:space="preserve"> presents a lower risk profile and higher net benefit. </w:t>
      </w:r>
    </w:p>
    <w:p w14:paraId="7B511882" w14:textId="3549ECFD" w:rsidR="00C7704B" w:rsidRPr="008732EE" w:rsidRDefault="00447486" w:rsidP="00923BE4">
      <w:pPr>
        <w:rPr>
          <w:lang w:eastAsia="en-AU"/>
        </w:rPr>
      </w:pPr>
      <w:r w:rsidRPr="008732EE">
        <w:rPr>
          <w:lang w:eastAsia="en-AU"/>
        </w:rPr>
        <w:t xml:space="preserve">This assessment is intended to provide a benchmark against which stakeholders </w:t>
      </w:r>
      <w:r w:rsidR="00894B74" w:rsidRPr="008732EE">
        <w:rPr>
          <w:lang w:eastAsia="en-AU"/>
        </w:rPr>
        <w:t xml:space="preserve">can consider the strengths and limitations of the components within Option 2 and make suggestions to support further refinements. </w:t>
      </w:r>
    </w:p>
    <w:p w14:paraId="0668D5FB" w14:textId="5453D6F9" w:rsidR="00923BE4" w:rsidRPr="008732EE" w:rsidRDefault="00923BE4" w:rsidP="00923BE4">
      <w:pPr>
        <w:pStyle w:val="Caption"/>
        <w:rPr>
          <w:i/>
          <w:iCs/>
          <w:lang w:eastAsia="en-AU"/>
        </w:rPr>
      </w:pPr>
      <w:bookmarkStart w:id="121" w:name="_Ref142059950"/>
      <w:r w:rsidRPr="008732EE">
        <w:t xml:space="preserve">Table </w:t>
      </w:r>
      <w:r w:rsidRPr="008732EE">
        <w:fldChar w:fldCharType="begin"/>
      </w:r>
      <w:r w:rsidRPr="008732EE">
        <w:instrText xml:space="preserve"> SEQ Table \* ARABIC </w:instrText>
      </w:r>
      <w:r w:rsidRPr="008732EE">
        <w:fldChar w:fldCharType="separate"/>
      </w:r>
      <w:r w:rsidR="003F7B92">
        <w:rPr>
          <w:noProof/>
        </w:rPr>
        <w:t>20</w:t>
      </w:r>
      <w:r w:rsidRPr="008732EE">
        <w:fldChar w:fldCharType="end"/>
      </w:r>
      <w:bookmarkEnd w:id="121"/>
      <w:r w:rsidRPr="008732EE">
        <w:t xml:space="preserve"> | Summary of assessment</w:t>
      </w:r>
      <w:r w:rsidR="008732EE" w:rsidRPr="008732EE">
        <w:t xml:space="preserve"> – higher scores represent better </w:t>
      </w:r>
      <w:proofErr w:type="gramStart"/>
      <w:r w:rsidR="008732EE" w:rsidRPr="008732EE">
        <w:t>outcomes</w:t>
      </w:r>
      <w:proofErr w:type="gramEnd"/>
    </w:p>
    <w:tbl>
      <w:tblPr>
        <w:tblStyle w:val="NousTableTopandside"/>
        <w:tblW w:w="5000" w:type="pct"/>
        <w:tblLook w:val="0600" w:firstRow="0" w:lastRow="0" w:firstColumn="0" w:lastColumn="0" w:noHBand="1" w:noVBand="1"/>
      </w:tblPr>
      <w:tblGrid>
        <w:gridCol w:w="2978"/>
        <w:gridCol w:w="2977"/>
        <w:gridCol w:w="2975"/>
      </w:tblGrid>
      <w:tr w:rsidR="00A37BB0" w:rsidRPr="008732EE" w14:paraId="798A37B9" w14:textId="77777777" w:rsidTr="004D1CFE">
        <w:tc>
          <w:tcPr>
            <w:tcW w:w="1667" w:type="pct"/>
            <w:shd w:val="clear" w:color="auto" w:fill="E6E6E1" w:themeFill="accent5"/>
          </w:tcPr>
          <w:p w14:paraId="7EE5A4B1" w14:textId="77777777" w:rsidR="00A37BB0" w:rsidRPr="008732EE" w:rsidRDefault="00A37BB0" w:rsidP="00134136">
            <w:pPr>
              <w:rPr>
                <w:color w:val="25B3E0" w:themeColor="accent6"/>
                <w:lang w:eastAsia="en-AU"/>
              </w:rPr>
            </w:pPr>
          </w:p>
        </w:tc>
        <w:tc>
          <w:tcPr>
            <w:tcW w:w="1667" w:type="pct"/>
            <w:shd w:val="clear" w:color="auto" w:fill="E6E6E1" w:themeFill="accent5"/>
          </w:tcPr>
          <w:p w14:paraId="4AEC2870" w14:textId="3B3D7135" w:rsidR="00A37BB0" w:rsidRPr="008732EE" w:rsidRDefault="00A37BB0" w:rsidP="00134136">
            <w:pPr>
              <w:pStyle w:val="TableNheader"/>
              <w:rPr>
                <w:color w:val="25B3E0" w:themeColor="accent6"/>
                <w:lang w:eastAsia="en-AU"/>
              </w:rPr>
            </w:pPr>
            <w:r w:rsidRPr="008732EE">
              <w:rPr>
                <w:color w:val="F25E21" w:themeColor="accent2"/>
                <w:lang w:eastAsia="en-AU"/>
              </w:rPr>
              <w:t>OPTION 1</w:t>
            </w:r>
          </w:p>
        </w:tc>
        <w:tc>
          <w:tcPr>
            <w:tcW w:w="1666" w:type="pct"/>
            <w:shd w:val="clear" w:color="auto" w:fill="E6E6E1" w:themeFill="accent5"/>
          </w:tcPr>
          <w:p w14:paraId="60D8408E" w14:textId="38538C68" w:rsidR="00A37BB0" w:rsidRPr="008732EE" w:rsidRDefault="00A37BB0" w:rsidP="00134136">
            <w:pPr>
              <w:pStyle w:val="TableNheader"/>
              <w:rPr>
                <w:color w:val="25B3E0" w:themeColor="accent6"/>
                <w:lang w:eastAsia="en-AU"/>
              </w:rPr>
            </w:pPr>
            <w:r w:rsidRPr="008732EE">
              <w:rPr>
                <w:color w:val="F8981D" w:themeColor="accent3"/>
                <w:lang w:eastAsia="en-AU"/>
              </w:rPr>
              <w:t>OPTION 2</w:t>
            </w:r>
          </w:p>
        </w:tc>
      </w:tr>
      <w:tr w:rsidR="00A37BB0" w:rsidRPr="008732EE" w14:paraId="1DE4A249" w14:textId="77777777" w:rsidTr="004D1CFE">
        <w:tc>
          <w:tcPr>
            <w:tcW w:w="1667" w:type="pct"/>
          </w:tcPr>
          <w:p w14:paraId="4688A3DA" w14:textId="77777777" w:rsidR="00A37BB0" w:rsidRPr="008732EE" w:rsidRDefault="00A37BB0" w:rsidP="00134136">
            <w:pPr>
              <w:pStyle w:val="TableNheader"/>
              <w:rPr>
                <w:sz w:val="19"/>
                <w:szCs w:val="19"/>
                <w:lang w:eastAsia="en-AU"/>
              </w:rPr>
            </w:pPr>
            <w:r w:rsidRPr="008732EE">
              <w:rPr>
                <w:sz w:val="19"/>
                <w:szCs w:val="19"/>
                <w:lang w:eastAsia="en-AU"/>
              </w:rPr>
              <w:t>Criterion 1 – Policy problems</w:t>
            </w:r>
          </w:p>
        </w:tc>
        <w:tc>
          <w:tcPr>
            <w:tcW w:w="1667" w:type="pct"/>
            <w:shd w:val="clear" w:color="auto" w:fill="auto"/>
          </w:tcPr>
          <w:p w14:paraId="0302AE8D" w14:textId="1C794A87" w:rsidR="00A37BB0" w:rsidRPr="008732EE" w:rsidRDefault="00A37BB0" w:rsidP="00134136">
            <w:pPr>
              <w:pStyle w:val="TableExpText"/>
              <w:rPr>
                <w:sz w:val="19"/>
                <w:szCs w:val="19"/>
                <w:lang w:eastAsia="en-AU"/>
              </w:rPr>
            </w:pPr>
            <w:r w:rsidRPr="008732EE">
              <w:rPr>
                <w:sz w:val="19"/>
                <w:szCs w:val="19"/>
                <w:lang w:eastAsia="en-AU"/>
              </w:rPr>
              <w:t xml:space="preserve">Total score = 0 </w:t>
            </w:r>
          </w:p>
        </w:tc>
        <w:tc>
          <w:tcPr>
            <w:tcW w:w="1666" w:type="pct"/>
            <w:shd w:val="clear" w:color="auto" w:fill="auto"/>
          </w:tcPr>
          <w:p w14:paraId="18EF0E39" w14:textId="68421E2D" w:rsidR="00A37BB0" w:rsidRPr="008732EE" w:rsidRDefault="00A37BB0" w:rsidP="00134136">
            <w:pPr>
              <w:pStyle w:val="TableExpText"/>
              <w:rPr>
                <w:sz w:val="19"/>
                <w:szCs w:val="19"/>
                <w:lang w:eastAsia="en-AU"/>
              </w:rPr>
            </w:pPr>
            <w:r w:rsidRPr="008732EE">
              <w:rPr>
                <w:sz w:val="19"/>
                <w:szCs w:val="19"/>
                <w:lang w:eastAsia="en-AU"/>
              </w:rPr>
              <w:t xml:space="preserve">Total score = </w:t>
            </w:r>
            <w:r w:rsidR="00515A72">
              <w:rPr>
                <w:sz w:val="19"/>
                <w:szCs w:val="19"/>
                <w:lang w:eastAsia="en-AU"/>
              </w:rPr>
              <w:t>23.5</w:t>
            </w:r>
          </w:p>
        </w:tc>
      </w:tr>
      <w:tr w:rsidR="00A37BB0" w:rsidRPr="008732EE" w14:paraId="48DC46D4" w14:textId="77777777" w:rsidTr="004D1CFE">
        <w:tc>
          <w:tcPr>
            <w:tcW w:w="1667" w:type="pct"/>
          </w:tcPr>
          <w:p w14:paraId="67327AEC" w14:textId="77777777" w:rsidR="00A37BB0" w:rsidRPr="008732EE" w:rsidRDefault="00A37BB0" w:rsidP="00134136">
            <w:pPr>
              <w:pStyle w:val="TableNheader"/>
              <w:rPr>
                <w:sz w:val="19"/>
                <w:szCs w:val="19"/>
                <w:lang w:eastAsia="en-AU"/>
              </w:rPr>
            </w:pPr>
            <w:r w:rsidRPr="008732EE">
              <w:rPr>
                <w:sz w:val="19"/>
                <w:szCs w:val="19"/>
                <w:lang w:eastAsia="en-AU"/>
              </w:rPr>
              <w:t>Criterion 2 – Delivery risks</w:t>
            </w:r>
          </w:p>
        </w:tc>
        <w:tc>
          <w:tcPr>
            <w:tcW w:w="1667" w:type="pct"/>
            <w:shd w:val="clear" w:color="auto" w:fill="auto"/>
          </w:tcPr>
          <w:p w14:paraId="16A2969D" w14:textId="23D72A9E" w:rsidR="00A37BB0" w:rsidRPr="008732EE" w:rsidRDefault="00A37BB0" w:rsidP="00134136">
            <w:pPr>
              <w:pStyle w:val="TableExpText"/>
              <w:rPr>
                <w:sz w:val="19"/>
                <w:szCs w:val="19"/>
                <w:lang w:eastAsia="en-AU"/>
              </w:rPr>
            </w:pPr>
            <w:r w:rsidRPr="008732EE">
              <w:rPr>
                <w:sz w:val="19"/>
                <w:szCs w:val="19"/>
                <w:lang w:eastAsia="en-AU"/>
              </w:rPr>
              <w:t xml:space="preserve">Total score = </w:t>
            </w:r>
            <w:r w:rsidR="00D67964" w:rsidRPr="008732EE">
              <w:rPr>
                <w:sz w:val="19"/>
                <w:szCs w:val="19"/>
                <w:lang w:eastAsia="en-AU"/>
              </w:rPr>
              <w:t>4</w:t>
            </w:r>
          </w:p>
        </w:tc>
        <w:tc>
          <w:tcPr>
            <w:tcW w:w="1666" w:type="pct"/>
            <w:shd w:val="clear" w:color="auto" w:fill="auto"/>
          </w:tcPr>
          <w:p w14:paraId="7678C792" w14:textId="492B75C1" w:rsidR="00A37BB0" w:rsidRPr="008732EE" w:rsidRDefault="00A37BB0" w:rsidP="00134136">
            <w:pPr>
              <w:pStyle w:val="TableExpText"/>
              <w:rPr>
                <w:sz w:val="19"/>
                <w:szCs w:val="19"/>
                <w:lang w:eastAsia="en-AU"/>
              </w:rPr>
            </w:pPr>
            <w:r w:rsidRPr="008732EE">
              <w:rPr>
                <w:sz w:val="19"/>
                <w:szCs w:val="19"/>
                <w:lang w:eastAsia="en-AU"/>
              </w:rPr>
              <w:t xml:space="preserve">Total score = </w:t>
            </w:r>
            <w:r w:rsidR="00D67964" w:rsidRPr="008732EE">
              <w:rPr>
                <w:sz w:val="19"/>
                <w:szCs w:val="19"/>
                <w:lang w:eastAsia="en-AU"/>
              </w:rPr>
              <w:t>7</w:t>
            </w:r>
          </w:p>
        </w:tc>
      </w:tr>
      <w:tr w:rsidR="00A37BB0" w:rsidRPr="008732EE" w14:paraId="46FCC59A" w14:textId="77777777" w:rsidTr="004D1CFE">
        <w:tc>
          <w:tcPr>
            <w:tcW w:w="1667" w:type="pct"/>
          </w:tcPr>
          <w:p w14:paraId="459606C9" w14:textId="6E4C0437" w:rsidR="00A37BB0" w:rsidRPr="008732EE" w:rsidRDefault="00A37BB0" w:rsidP="00134136">
            <w:pPr>
              <w:pStyle w:val="TableNheader"/>
              <w:rPr>
                <w:sz w:val="19"/>
                <w:szCs w:val="19"/>
                <w:lang w:eastAsia="en-AU"/>
              </w:rPr>
            </w:pPr>
            <w:r w:rsidRPr="008732EE">
              <w:rPr>
                <w:sz w:val="19"/>
                <w:szCs w:val="19"/>
                <w:lang w:eastAsia="en-AU"/>
              </w:rPr>
              <w:t>Criterion 3 – Costs and benefits</w:t>
            </w:r>
          </w:p>
        </w:tc>
        <w:tc>
          <w:tcPr>
            <w:tcW w:w="1667" w:type="pct"/>
            <w:shd w:val="clear" w:color="auto" w:fill="auto"/>
          </w:tcPr>
          <w:p w14:paraId="278F29B5" w14:textId="3E5DA869" w:rsidR="00A37BB0" w:rsidRPr="008732EE" w:rsidRDefault="00A37BB0" w:rsidP="00134136">
            <w:pPr>
              <w:pStyle w:val="TableExpText"/>
              <w:rPr>
                <w:sz w:val="19"/>
                <w:szCs w:val="19"/>
                <w:lang w:eastAsia="en-AU"/>
              </w:rPr>
            </w:pPr>
            <w:r w:rsidRPr="008732EE">
              <w:rPr>
                <w:sz w:val="19"/>
                <w:szCs w:val="19"/>
                <w:lang w:eastAsia="en-AU"/>
              </w:rPr>
              <w:t xml:space="preserve">Net </w:t>
            </w:r>
            <w:r w:rsidR="009515FE">
              <w:rPr>
                <w:sz w:val="19"/>
                <w:szCs w:val="19"/>
                <w:lang w:eastAsia="en-AU"/>
              </w:rPr>
              <w:t>present value</w:t>
            </w:r>
            <w:r w:rsidRPr="008732EE">
              <w:rPr>
                <w:sz w:val="19"/>
                <w:szCs w:val="19"/>
                <w:lang w:eastAsia="en-AU"/>
              </w:rPr>
              <w:t xml:space="preserve">: </w:t>
            </w:r>
            <w:r w:rsidR="00060ED5" w:rsidRPr="008732EE">
              <w:rPr>
                <w:sz w:val="19"/>
                <w:szCs w:val="19"/>
                <w:lang w:eastAsia="en-AU"/>
              </w:rPr>
              <w:t xml:space="preserve">AUD </w:t>
            </w:r>
            <w:r w:rsidRPr="008732EE">
              <w:rPr>
                <w:sz w:val="19"/>
                <w:szCs w:val="19"/>
                <w:lang w:eastAsia="en-AU"/>
              </w:rPr>
              <w:t>$</w:t>
            </w:r>
            <w:r w:rsidR="00793E6B">
              <w:rPr>
                <w:sz w:val="19"/>
                <w:szCs w:val="19"/>
                <w:lang w:eastAsia="en-AU"/>
              </w:rPr>
              <w:t xml:space="preserve">10.7m </w:t>
            </w:r>
            <w:r w:rsidRPr="008732EE">
              <w:rPr>
                <w:sz w:val="19"/>
                <w:szCs w:val="19"/>
                <w:lang w:eastAsia="en-AU"/>
              </w:rPr>
              <w:t xml:space="preserve"> </w:t>
            </w:r>
            <w:r w:rsidRPr="008732EE">
              <w:rPr>
                <w:sz w:val="19"/>
                <w:szCs w:val="19"/>
                <w:lang w:eastAsia="en-AU"/>
              </w:rPr>
              <w:br/>
            </w:r>
            <w:r w:rsidR="00060ED5" w:rsidRPr="008732EE">
              <w:rPr>
                <w:sz w:val="19"/>
                <w:szCs w:val="19"/>
                <w:lang w:eastAsia="en-AU"/>
              </w:rPr>
              <w:t xml:space="preserve">NZD </w:t>
            </w:r>
            <w:r w:rsidRPr="008732EE">
              <w:rPr>
                <w:sz w:val="19"/>
                <w:szCs w:val="19"/>
                <w:lang w:eastAsia="en-AU"/>
              </w:rPr>
              <w:t>$</w:t>
            </w:r>
            <w:r w:rsidR="00C46A9B">
              <w:rPr>
                <w:sz w:val="19"/>
                <w:szCs w:val="19"/>
                <w:lang w:eastAsia="en-AU"/>
              </w:rPr>
              <w:t>11.42</w:t>
            </w:r>
            <w:r w:rsidR="00060ED5">
              <w:rPr>
                <w:sz w:val="19"/>
                <w:szCs w:val="19"/>
                <w:lang w:eastAsia="en-AU"/>
              </w:rPr>
              <w:t>m</w:t>
            </w:r>
            <w:r w:rsidRPr="008732EE">
              <w:rPr>
                <w:sz w:val="19"/>
                <w:szCs w:val="19"/>
                <w:lang w:eastAsia="en-AU"/>
              </w:rPr>
              <w:t xml:space="preserve"> </w:t>
            </w:r>
            <w:r w:rsidRPr="008732EE">
              <w:rPr>
                <w:sz w:val="19"/>
                <w:szCs w:val="19"/>
                <w:lang w:eastAsia="en-AU"/>
              </w:rPr>
              <w:br/>
              <w:t>BCR: 1.0</w:t>
            </w:r>
            <w:r w:rsidR="00C46A9B">
              <w:rPr>
                <w:sz w:val="19"/>
                <w:szCs w:val="19"/>
                <w:lang w:eastAsia="en-AU"/>
              </w:rPr>
              <w:t>5</w:t>
            </w:r>
          </w:p>
        </w:tc>
        <w:tc>
          <w:tcPr>
            <w:tcW w:w="1666" w:type="pct"/>
            <w:shd w:val="clear" w:color="auto" w:fill="auto"/>
          </w:tcPr>
          <w:p w14:paraId="3A3FD2AE" w14:textId="52BBC8BA" w:rsidR="00A37BB0" w:rsidRPr="008732EE" w:rsidRDefault="00A37BB0" w:rsidP="00134136">
            <w:pPr>
              <w:pStyle w:val="TableExpText"/>
              <w:rPr>
                <w:sz w:val="19"/>
                <w:szCs w:val="19"/>
                <w:lang w:eastAsia="en-AU"/>
              </w:rPr>
            </w:pPr>
            <w:r w:rsidRPr="008732EE">
              <w:rPr>
                <w:sz w:val="19"/>
                <w:szCs w:val="19"/>
                <w:lang w:eastAsia="en-AU"/>
              </w:rPr>
              <w:t xml:space="preserve">Net </w:t>
            </w:r>
            <w:r w:rsidR="009515FE">
              <w:rPr>
                <w:sz w:val="19"/>
                <w:szCs w:val="19"/>
                <w:lang w:eastAsia="en-AU"/>
              </w:rPr>
              <w:t>present value</w:t>
            </w:r>
            <w:r w:rsidRPr="008732EE">
              <w:rPr>
                <w:sz w:val="19"/>
                <w:szCs w:val="19"/>
                <w:lang w:eastAsia="en-AU"/>
              </w:rPr>
              <w:t xml:space="preserve">: </w:t>
            </w:r>
            <w:r w:rsidR="00060ED5" w:rsidRPr="008732EE">
              <w:rPr>
                <w:sz w:val="19"/>
                <w:szCs w:val="19"/>
                <w:lang w:eastAsia="en-AU"/>
              </w:rPr>
              <w:t xml:space="preserve">AUD </w:t>
            </w:r>
            <w:r w:rsidRPr="008732EE">
              <w:rPr>
                <w:sz w:val="19"/>
                <w:szCs w:val="19"/>
                <w:lang w:eastAsia="en-AU"/>
              </w:rPr>
              <w:t>$</w:t>
            </w:r>
            <w:r w:rsidR="00923807">
              <w:rPr>
                <w:sz w:val="19"/>
                <w:szCs w:val="19"/>
                <w:lang w:eastAsia="en-AU"/>
              </w:rPr>
              <w:t>208.6</w:t>
            </w:r>
            <w:r w:rsidRPr="008732EE">
              <w:rPr>
                <w:sz w:val="19"/>
                <w:szCs w:val="19"/>
                <w:lang w:eastAsia="en-AU"/>
              </w:rPr>
              <w:t>m</w:t>
            </w:r>
            <w:r w:rsidRPr="008732EE">
              <w:rPr>
                <w:sz w:val="19"/>
                <w:szCs w:val="19"/>
                <w:lang w:eastAsia="en-AU"/>
              </w:rPr>
              <w:br/>
            </w:r>
            <w:r w:rsidR="00060ED5" w:rsidRPr="008732EE">
              <w:rPr>
                <w:sz w:val="19"/>
                <w:szCs w:val="19"/>
                <w:lang w:eastAsia="en-AU"/>
              </w:rPr>
              <w:t xml:space="preserve">NZD </w:t>
            </w:r>
            <w:r w:rsidRPr="008732EE">
              <w:rPr>
                <w:sz w:val="19"/>
                <w:szCs w:val="19"/>
                <w:lang w:eastAsia="en-AU"/>
              </w:rPr>
              <w:t>$</w:t>
            </w:r>
            <w:r w:rsidR="00C46A9B">
              <w:rPr>
                <w:sz w:val="19"/>
                <w:szCs w:val="19"/>
                <w:lang w:eastAsia="en-AU"/>
              </w:rPr>
              <w:t>223.2</w:t>
            </w:r>
            <w:r w:rsidR="00C46A9B" w:rsidRPr="008732EE">
              <w:rPr>
                <w:sz w:val="19"/>
                <w:szCs w:val="19"/>
                <w:lang w:eastAsia="en-AU"/>
              </w:rPr>
              <w:t>m</w:t>
            </w:r>
            <w:r w:rsidRPr="008732EE">
              <w:rPr>
                <w:sz w:val="19"/>
                <w:szCs w:val="19"/>
                <w:lang w:eastAsia="en-AU"/>
              </w:rPr>
              <w:br/>
              <w:t>BCR: 1.</w:t>
            </w:r>
            <w:r w:rsidR="00923807">
              <w:rPr>
                <w:sz w:val="19"/>
                <w:szCs w:val="19"/>
                <w:lang w:eastAsia="en-AU"/>
              </w:rPr>
              <w:t>63</w:t>
            </w:r>
          </w:p>
        </w:tc>
      </w:tr>
      <w:tr w:rsidR="00A37BB0" w14:paraId="5C21F11A" w14:textId="77777777" w:rsidTr="004D1CFE">
        <w:tc>
          <w:tcPr>
            <w:tcW w:w="1667" w:type="pct"/>
            <w:shd w:val="clear" w:color="auto" w:fill="00264D" w:themeFill="background2"/>
          </w:tcPr>
          <w:p w14:paraId="6A358454" w14:textId="77777777" w:rsidR="00A37BB0" w:rsidRPr="008732EE" w:rsidRDefault="00A37BB0" w:rsidP="00134136">
            <w:pPr>
              <w:pStyle w:val="TableNheader"/>
              <w:rPr>
                <w:sz w:val="19"/>
                <w:szCs w:val="19"/>
                <w:lang w:eastAsia="en-AU"/>
              </w:rPr>
            </w:pPr>
            <w:r w:rsidRPr="008732EE">
              <w:rPr>
                <w:color w:val="FFFFFF" w:themeColor="background1"/>
                <w:sz w:val="19"/>
                <w:szCs w:val="19"/>
                <w:lang w:eastAsia="en-AU"/>
              </w:rPr>
              <w:t>Final rank</w:t>
            </w:r>
          </w:p>
        </w:tc>
        <w:tc>
          <w:tcPr>
            <w:tcW w:w="1667" w:type="pct"/>
            <w:shd w:val="clear" w:color="auto" w:fill="00264D" w:themeFill="background2"/>
          </w:tcPr>
          <w:p w14:paraId="22226D20" w14:textId="62076A1A" w:rsidR="00A37BB0" w:rsidRPr="008732EE" w:rsidRDefault="008732EE" w:rsidP="00134136">
            <w:pPr>
              <w:pStyle w:val="TableExpText"/>
              <w:rPr>
                <w:sz w:val="19"/>
                <w:szCs w:val="19"/>
                <w:lang w:eastAsia="en-AU"/>
              </w:rPr>
            </w:pPr>
            <w:r>
              <w:rPr>
                <w:sz w:val="19"/>
                <w:szCs w:val="19"/>
                <w:lang w:eastAsia="en-AU"/>
              </w:rPr>
              <w:t>2</w:t>
            </w:r>
          </w:p>
        </w:tc>
        <w:tc>
          <w:tcPr>
            <w:tcW w:w="1666" w:type="pct"/>
            <w:shd w:val="clear" w:color="auto" w:fill="00264D" w:themeFill="background2"/>
          </w:tcPr>
          <w:p w14:paraId="1DC1199A" w14:textId="77777777" w:rsidR="00A37BB0" w:rsidRPr="008732EE" w:rsidRDefault="00A37BB0" w:rsidP="00134136">
            <w:pPr>
              <w:pStyle w:val="TableExpText"/>
              <w:rPr>
                <w:sz w:val="19"/>
                <w:szCs w:val="19"/>
                <w:lang w:eastAsia="en-AU"/>
              </w:rPr>
            </w:pPr>
            <w:r w:rsidRPr="008732EE">
              <w:rPr>
                <w:sz w:val="19"/>
                <w:szCs w:val="19"/>
                <w:lang w:eastAsia="en-AU"/>
              </w:rPr>
              <w:t>1</w:t>
            </w:r>
          </w:p>
        </w:tc>
      </w:tr>
    </w:tbl>
    <w:p w14:paraId="1D2B482A" w14:textId="7BE9360B" w:rsidR="00923BE4" w:rsidRDefault="00923BE4" w:rsidP="00313A20">
      <w:pPr>
        <w:pStyle w:val="Heading2"/>
      </w:pPr>
      <w:bookmarkStart w:id="122" w:name="_Toc157599140"/>
      <w:r>
        <w:lastRenderedPageBreak/>
        <w:t>Extent to which option</w:t>
      </w:r>
      <w:r w:rsidR="00B15E75">
        <w:t>s</w:t>
      </w:r>
      <w:r>
        <w:t xml:space="preserve"> solves the policy </w:t>
      </w:r>
      <w:proofErr w:type="gramStart"/>
      <w:r>
        <w:t>problem</w:t>
      </w:r>
      <w:r w:rsidR="00B15E75">
        <w:t>s</w:t>
      </w:r>
      <w:bookmarkEnd w:id="122"/>
      <w:proofErr w:type="gramEnd"/>
    </w:p>
    <w:p w14:paraId="207C454E" w14:textId="1A99C4A6" w:rsidR="00923BE4" w:rsidRPr="006F5064" w:rsidRDefault="00923BE4" w:rsidP="00923BE4">
      <w:pPr>
        <w:rPr>
          <w:lang w:eastAsia="en-AU"/>
        </w:rPr>
      </w:pPr>
      <w:r>
        <w:rPr>
          <w:lang w:eastAsia="en-AU"/>
        </w:rPr>
        <w:t>The capacity for the t</w:t>
      </w:r>
      <w:r w:rsidR="008732EE">
        <w:rPr>
          <w:lang w:eastAsia="en-AU"/>
        </w:rPr>
        <w:t xml:space="preserve">wo </w:t>
      </w:r>
      <w:r>
        <w:rPr>
          <w:lang w:eastAsia="en-AU"/>
        </w:rPr>
        <w:t xml:space="preserve">options to solve policy problems is summarised in </w:t>
      </w:r>
      <w:r>
        <w:rPr>
          <w:lang w:eastAsia="en-AU"/>
        </w:rPr>
        <w:fldChar w:fldCharType="begin"/>
      </w:r>
      <w:r>
        <w:rPr>
          <w:lang w:eastAsia="en-AU"/>
        </w:rPr>
        <w:instrText xml:space="preserve"> REF _Ref141976431 \h </w:instrText>
      </w:r>
      <w:r>
        <w:rPr>
          <w:lang w:eastAsia="en-AU"/>
        </w:rPr>
      </w:r>
      <w:r>
        <w:rPr>
          <w:lang w:eastAsia="en-AU"/>
        </w:rPr>
        <w:fldChar w:fldCharType="separate"/>
      </w:r>
      <w:r w:rsidR="003F7B92">
        <w:t xml:space="preserve">Table </w:t>
      </w:r>
      <w:r w:rsidR="003F7B92">
        <w:rPr>
          <w:noProof/>
        </w:rPr>
        <w:t>21</w:t>
      </w:r>
      <w:r>
        <w:rPr>
          <w:lang w:eastAsia="en-AU"/>
        </w:rPr>
        <w:fldChar w:fldCharType="end"/>
      </w:r>
      <w:r>
        <w:rPr>
          <w:lang w:eastAsia="en-AU"/>
        </w:rPr>
        <w:t xml:space="preserve">, and discussed further thereafter. Based on the combination of the negative impact of the problem (rated 1, 2 or 3) and the degree to which the option solves the problem, the maximum possible scores would be 6 for </w:t>
      </w:r>
      <w:r w:rsidR="00807D3A">
        <w:rPr>
          <w:lang w:eastAsia="en-AU"/>
        </w:rPr>
        <w:t>Policy Problem</w:t>
      </w:r>
      <w:r>
        <w:rPr>
          <w:lang w:eastAsia="en-AU"/>
        </w:rPr>
        <w:t xml:space="preserve"> 1 and 4; and 9 for policy problems 2 and 3. Higher scores indicate better outcomes. </w:t>
      </w:r>
    </w:p>
    <w:p w14:paraId="06A63EE6" w14:textId="19089E18" w:rsidR="00474343" w:rsidRPr="006F5064" w:rsidRDefault="00474343" w:rsidP="00923BE4">
      <w:pPr>
        <w:rPr>
          <w:lang w:eastAsia="en-AU"/>
        </w:rPr>
      </w:pPr>
      <w:r>
        <w:rPr>
          <w:lang w:eastAsia="en-AU"/>
        </w:rPr>
        <w:t xml:space="preserve">Given that the policy problems identified are inherent to the current legislative and operational arrangements, </w:t>
      </w:r>
      <w:r w:rsidR="00046005">
        <w:rPr>
          <w:lang w:eastAsia="en-AU"/>
        </w:rPr>
        <w:t>and that Option 1 assumes no changes at all, Option 1 is not configured to address any of these issues.</w:t>
      </w:r>
      <w:r>
        <w:rPr>
          <w:lang w:eastAsia="en-AU"/>
        </w:rPr>
        <w:t xml:space="preserve"> </w:t>
      </w:r>
    </w:p>
    <w:p w14:paraId="5A7B9734" w14:textId="1DD9D916" w:rsidR="00923BE4" w:rsidRDefault="00923BE4" w:rsidP="00923BE4">
      <w:pPr>
        <w:pStyle w:val="Caption"/>
      </w:pPr>
      <w:bookmarkStart w:id="123" w:name="_Ref141976431"/>
      <w:r>
        <w:t xml:space="preserve">Table </w:t>
      </w:r>
      <w:r>
        <w:fldChar w:fldCharType="begin"/>
      </w:r>
      <w:r>
        <w:instrText xml:space="preserve"> SEQ Table \* ARABIC </w:instrText>
      </w:r>
      <w:r>
        <w:fldChar w:fldCharType="separate"/>
      </w:r>
      <w:r w:rsidR="003F7B92">
        <w:rPr>
          <w:noProof/>
        </w:rPr>
        <w:t>21</w:t>
      </w:r>
      <w:r>
        <w:fldChar w:fldCharType="end"/>
      </w:r>
      <w:bookmarkEnd w:id="123"/>
      <w:r>
        <w:t xml:space="preserve"> | Extent to which each option solves the policy problems (weighted)</w:t>
      </w:r>
    </w:p>
    <w:tbl>
      <w:tblPr>
        <w:tblStyle w:val="TableGrid"/>
        <w:tblW w:w="9005" w:type="dxa"/>
        <w:tblLook w:val="0600" w:firstRow="0" w:lastRow="0" w:firstColumn="0" w:lastColumn="0" w:noHBand="1" w:noVBand="1"/>
      </w:tblPr>
      <w:tblGrid>
        <w:gridCol w:w="3321"/>
        <w:gridCol w:w="2840"/>
        <w:gridCol w:w="2766"/>
        <w:gridCol w:w="78"/>
      </w:tblGrid>
      <w:tr w:rsidR="00923BE4" w14:paraId="502CAF92" w14:textId="77777777" w:rsidTr="004D1CFE">
        <w:trPr>
          <w:trHeight w:val="324"/>
        </w:trPr>
        <w:tc>
          <w:tcPr>
            <w:tcW w:w="0" w:type="dxa"/>
            <w:shd w:val="clear" w:color="auto" w:fill="E6E6E1" w:themeFill="accent5"/>
          </w:tcPr>
          <w:p w14:paraId="526485DF" w14:textId="2B7F917F" w:rsidR="00923BE4" w:rsidRPr="00630C6C" w:rsidRDefault="00423404" w:rsidP="00134136">
            <w:pPr>
              <w:pStyle w:val="TableNheader"/>
            </w:pPr>
            <w:r w:rsidRPr="00630C6C">
              <w:t>POLICY PROBLEM</w:t>
            </w:r>
          </w:p>
        </w:tc>
        <w:tc>
          <w:tcPr>
            <w:tcW w:w="0" w:type="dxa"/>
            <w:shd w:val="clear" w:color="auto" w:fill="E6E6E1" w:themeFill="accent5"/>
          </w:tcPr>
          <w:p w14:paraId="7570AFFF" w14:textId="306977C9" w:rsidR="00923BE4" w:rsidRPr="00423404" w:rsidRDefault="00423404" w:rsidP="00933705">
            <w:pPr>
              <w:pStyle w:val="TableNheader"/>
              <w:jc w:val="center"/>
              <w:rPr>
                <w:color w:val="F25E21" w:themeColor="accent2"/>
              </w:rPr>
            </w:pPr>
            <w:r w:rsidRPr="00423404">
              <w:rPr>
                <w:color w:val="F25E21" w:themeColor="accent2"/>
              </w:rPr>
              <w:t>OPTION 1</w:t>
            </w:r>
          </w:p>
        </w:tc>
        <w:tc>
          <w:tcPr>
            <w:tcW w:w="0" w:type="dxa"/>
            <w:gridSpan w:val="2"/>
            <w:shd w:val="clear" w:color="auto" w:fill="E6E6E1" w:themeFill="accent5"/>
          </w:tcPr>
          <w:p w14:paraId="7F1CD0BB" w14:textId="00D38CA9" w:rsidR="00923BE4" w:rsidRPr="00423404" w:rsidRDefault="00423404" w:rsidP="00933705">
            <w:pPr>
              <w:pStyle w:val="TableNheader"/>
              <w:jc w:val="center"/>
              <w:rPr>
                <w:color w:val="F8981D" w:themeColor="accent3"/>
              </w:rPr>
            </w:pPr>
            <w:r w:rsidRPr="00423404">
              <w:rPr>
                <w:color w:val="F8981D" w:themeColor="accent3"/>
              </w:rPr>
              <w:t>OPTION 2</w:t>
            </w:r>
          </w:p>
        </w:tc>
      </w:tr>
      <w:tr w:rsidR="00923BE4" w14:paraId="41333D07" w14:textId="77777777" w:rsidTr="004D1CFE">
        <w:trPr>
          <w:gridAfter w:val="1"/>
          <w:wAfter w:w="23" w:type="dxa"/>
          <w:trHeight w:val="395"/>
        </w:trPr>
        <w:tc>
          <w:tcPr>
            <w:tcW w:w="0" w:type="dxa"/>
            <w:shd w:val="clear" w:color="auto" w:fill="F2F2F2" w:themeFill="background1" w:themeFillShade="F2"/>
          </w:tcPr>
          <w:p w14:paraId="5D584137" w14:textId="5E38775B" w:rsidR="00923BE4" w:rsidRPr="00A902E4" w:rsidRDefault="00923BE4" w:rsidP="00D2784F">
            <w:pPr>
              <w:pStyle w:val="TableNheader"/>
              <w:rPr>
                <w:sz w:val="19"/>
                <w:szCs w:val="19"/>
              </w:rPr>
            </w:pPr>
            <w:r w:rsidRPr="00A902E4">
              <w:rPr>
                <w:sz w:val="19"/>
                <w:szCs w:val="19"/>
              </w:rPr>
              <w:t xml:space="preserve">Policy </w:t>
            </w:r>
            <w:r w:rsidR="00807D3A" w:rsidRPr="00A902E4">
              <w:rPr>
                <w:sz w:val="19"/>
                <w:szCs w:val="19"/>
              </w:rPr>
              <w:t>Problem</w:t>
            </w:r>
            <w:r w:rsidRPr="00A902E4">
              <w:rPr>
                <w:sz w:val="19"/>
                <w:szCs w:val="19"/>
              </w:rPr>
              <w:t xml:space="preserve"> 1</w:t>
            </w:r>
          </w:p>
        </w:tc>
        <w:tc>
          <w:tcPr>
            <w:tcW w:w="0" w:type="dxa"/>
          </w:tcPr>
          <w:p w14:paraId="1DCAB845" w14:textId="77777777" w:rsidR="00923BE4" w:rsidRPr="00A902E4" w:rsidRDefault="00923BE4" w:rsidP="00933705">
            <w:pPr>
              <w:pStyle w:val="TableNText"/>
              <w:jc w:val="center"/>
              <w:rPr>
                <w:sz w:val="19"/>
                <w:szCs w:val="19"/>
              </w:rPr>
            </w:pPr>
            <w:r w:rsidRPr="00A902E4">
              <w:rPr>
                <w:sz w:val="19"/>
                <w:szCs w:val="19"/>
              </w:rPr>
              <w:t>0</w:t>
            </w:r>
          </w:p>
        </w:tc>
        <w:tc>
          <w:tcPr>
            <w:tcW w:w="0" w:type="dxa"/>
          </w:tcPr>
          <w:p w14:paraId="050BE804" w14:textId="541984B2" w:rsidR="00923BE4" w:rsidRPr="00A902E4" w:rsidRDefault="00F5445F" w:rsidP="00933705">
            <w:pPr>
              <w:pStyle w:val="TableNText"/>
              <w:jc w:val="center"/>
              <w:rPr>
                <w:sz w:val="19"/>
                <w:szCs w:val="19"/>
              </w:rPr>
            </w:pPr>
            <w:r>
              <w:rPr>
                <w:sz w:val="19"/>
                <w:szCs w:val="19"/>
              </w:rPr>
              <w:t>6</w:t>
            </w:r>
          </w:p>
        </w:tc>
      </w:tr>
      <w:tr w:rsidR="00923BE4" w14:paraId="5ECAF731" w14:textId="77777777" w:rsidTr="004D1CFE">
        <w:trPr>
          <w:gridAfter w:val="1"/>
          <w:wAfter w:w="23" w:type="dxa"/>
          <w:trHeight w:val="381"/>
        </w:trPr>
        <w:tc>
          <w:tcPr>
            <w:tcW w:w="0" w:type="dxa"/>
            <w:shd w:val="clear" w:color="auto" w:fill="F2F2F2" w:themeFill="background1" w:themeFillShade="F2"/>
          </w:tcPr>
          <w:p w14:paraId="65B91F1D" w14:textId="582144CD" w:rsidR="00923BE4" w:rsidRPr="00A902E4" w:rsidRDefault="00923BE4" w:rsidP="00D2784F">
            <w:pPr>
              <w:pStyle w:val="TableNheader"/>
              <w:rPr>
                <w:sz w:val="19"/>
                <w:szCs w:val="19"/>
              </w:rPr>
            </w:pPr>
            <w:r w:rsidRPr="00A902E4">
              <w:rPr>
                <w:sz w:val="19"/>
                <w:szCs w:val="19"/>
              </w:rPr>
              <w:t xml:space="preserve">Policy </w:t>
            </w:r>
            <w:r w:rsidR="00807D3A" w:rsidRPr="00A902E4">
              <w:rPr>
                <w:sz w:val="19"/>
                <w:szCs w:val="19"/>
              </w:rPr>
              <w:t>Problem</w:t>
            </w:r>
            <w:r w:rsidRPr="00A902E4">
              <w:rPr>
                <w:sz w:val="19"/>
                <w:szCs w:val="19"/>
              </w:rPr>
              <w:t xml:space="preserve"> 2</w:t>
            </w:r>
          </w:p>
        </w:tc>
        <w:tc>
          <w:tcPr>
            <w:tcW w:w="0" w:type="dxa"/>
          </w:tcPr>
          <w:p w14:paraId="09EB991E" w14:textId="77777777" w:rsidR="00923BE4" w:rsidRPr="00A902E4" w:rsidRDefault="00923BE4" w:rsidP="00933705">
            <w:pPr>
              <w:pStyle w:val="TableNText"/>
              <w:jc w:val="center"/>
              <w:rPr>
                <w:sz w:val="19"/>
                <w:szCs w:val="19"/>
              </w:rPr>
            </w:pPr>
            <w:r w:rsidRPr="00A902E4">
              <w:rPr>
                <w:sz w:val="19"/>
                <w:szCs w:val="19"/>
              </w:rPr>
              <w:t>0</w:t>
            </w:r>
          </w:p>
        </w:tc>
        <w:tc>
          <w:tcPr>
            <w:tcW w:w="0" w:type="dxa"/>
          </w:tcPr>
          <w:p w14:paraId="2E5DD7DC" w14:textId="77777777" w:rsidR="00923BE4" w:rsidRPr="00A902E4" w:rsidRDefault="00923BE4" w:rsidP="00933705">
            <w:pPr>
              <w:pStyle w:val="TableNText"/>
              <w:jc w:val="center"/>
              <w:rPr>
                <w:sz w:val="19"/>
                <w:szCs w:val="19"/>
              </w:rPr>
            </w:pPr>
            <w:r w:rsidRPr="00A902E4">
              <w:rPr>
                <w:sz w:val="19"/>
                <w:szCs w:val="19"/>
              </w:rPr>
              <w:t>7.5</w:t>
            </w:r>
          </w:p>
        </w:tc>
      </w:tr>
      <w:tr w:rsidR="00923BE4" w14:paraId="29A0C35E" w14:textId="77777777" w:rsidTr="004D1CFE">
        <w:trPr>
          <w:gridAfter w:val="1"/>
          <w:wAfter w:w="23" w:type="dxa"/>
          <w:trHeight w:val="381"/>
        </w:trPr>
        <w:tc>
          <w:tcPr>
            <w:tcW w:w="0" w:type="dxa"/>
            <w:shd w:val="clear" w:color="auto" w:fill="F2F2F2" w:themeFill="background1" w:themeFillShade="F2"/>
          </w:tcPr>
          <w:p w14:paraId="2B7A0D16" w14:textId="6E41A45D" w:rsidR="00923BE4" w:rsidRPr="00A902E4" w:rsidRDefault="00923BE4" w:rsidP="00D2784F">
            <w:pPr>
              <w:pStyle w:val="TableNheader"/>
              <w:rPr>
                <w:sz w:val="19"/>
                <w:szCs w:val="19"/>
              </w:rPr>
            </w:pPr>
            <w:r w:rsidRPr="00A902E4">
              <w:rPr>
                <w:sz w:val="19"/>
                <w:szCs w:val="19"/>
              </w:rPr>
              <w:t xml:space="preserve">Policy </w:t>
            </w:r>
            <w:r w:rsidR="00807D3A" w:rsidRPr="00A902E4">
              <w:rPr>
                <w:sz w:val="19"/>
                <w:szCs w:val="19"/>
              </w:rPr>
              <w:t>Problem</w:t>
            </w:r>
            <w:r w:rsidRPr="00A902E4">
              <w:rPr>
                <w:sz w:val="19"/>
                <w:szCs w:val="19"/>
              </w:rPr>
              <w:t xml:space="preserve"> 3</w:t>
            </w:r>
          </w:p>
        </w:tc>
        <w:tc>
          <w:tcPr>
            <w:tcW w:w="0" w:type="dxa"/>
          </w:tcPr>
          <w:p w14:paraId="0454C941" w14:textId="77777777" w:rsidR="00923BE4" w:rsidRPr="00A902E4" w:rsidRDefault="00923BE4" w:rsidP="00933705">
            <w:pPr>
              <w:pStyle w:val="TableNText"/>
              <w:jc w:val="center"/>
              <w:rPr>
                <w:sz w:val="19"/>
                <w:szCs w:val="19"/>
              </w:rPr>
            </w:pPr>
            <w:r w:rsidRPr="00A902E4">
              <w:rPr>
                <w:sz w:val="19"/>
                <w:szCs w:val="19"/>
              </w:rPr>
              <w:t>0</w:t>
            </w:r>
          </w:p>
        </w:tc>
        <w:tc>
          <w:tcPr>
            <w:tcW w:w="0" w:type="dxa"/>
          </w:tcPr>
          <w:p w14:paraId="43B9884C" w14:textId="35232393" w:rsidR="00923BE4" w:rsidRPr="00A902E4" w:rsidRDefault="00F5445F" w:rsidP="00933705">
            <w:pPr>
              <w:pStyle w:val="TableNText"/>
              <w:jc w:val="center"/>
              <w:rPr>
                <w:sz w:val="19"/>
                <w:szCs w:val="19"/>
              </w:rPr>
            </w:pPr>
            <w:r>
              <w:rPr>
                <w:sz w:val="19"/>
                <w:szCs w:val="19"/>
              </w:rPr>
              <w:t>5</w:t>
            </w:r>
          </w:p>
        </w:tc>
      </w:tr>
      <w:tr w:rsidR="00923BE4" w14:paraId="1DF91A9C" w14:textId="77777777" w:rsidTr="004D1CFE">
        <w:trPr>
          <w:gridAfter w:val="1"/>
          <w:wAfter w:w="23" w:type="dxa"/>
          <w:trHeight w:val="395"/>
        </w:trPr>
        <w:tc>
          <w:tcPr>
            <w:tcW w:w="0" w:type="dxa"/>
            <w:shd w:val="clear" w:color="auto" w:fill="F2F2F2" w:themeFill="background1" w:themeFillShade="F2"/>
          </w:tcPr>
          <w:p w14:paraId="1773A353" w14:textId="53339F59" w:rsidR="00923BE4" w:rsidRPr="00A902E4" w:rsidRDefault="00923BE4" w:rsidP="00D2784F">
            <w:pPr>
              <w:pStyle w:val="TableNheader"/>
              <w:rPr>
                <w:sz w:val="19"/>
                <w:szCs w:val="19"/>
              </w:rPr>
            </w:pPr>
            <w:r w:rsidRPr="00A902E4">
              <w:rPr>
                <w:sz w:val="19"/>
                <w:szCs w:val="19"/>
              </w:rPr>
              <w:t xml:space="preserve">Policy </w:t>
            </w:r>
            <w:r w:rsidR="00807D3A" w:rsidRPr="00A902E4">
              <w:rPr>
                <w:sz w:val="19"/>
                <w:szCs w:val="19"/>
              </w:rPr>
              <w:t>Problem</w:t>
            </w:r>
            <w:r w:rsidRPr="00A902E4">
              <w:rPr>
                <w:sz w:val="19"/>
                <w:szCs w:val="19"/>
              </w:rPr>
              <w:t xml:space="preserve"> 4</w:t>
            </w:r>
          </w:p>
        </w:tc>
        <w:tc>
          <w:tcPr>
            <w:tcW w:w="0" w:type="dxa"/>
          </w:tcPr>
          <w:p w14:paraId="4A4D6724" w14:textId="77777777" w:rsidR="00923BE4" w:rsidRPr="00A902E4" w:rsidRDefault="00923BE4" w:rsidP="00933705">
            <w:pPr>
              <w:pStyle w:val="TableNText"/>
              <w:jc w:val="center"/>
              <w:rPr>
                <w:sz w:val="19"/>
                <w:szCs w:val="19"/>
              </w:rPr>
            </w:pPr>
            <w:r w:rsidRPr="00A902E4">
              <w:rPr>
                <w:sz w:val="19"/>
                <w:szCs w:val="19"/>
              </w:rPr>
              <w:t>0</w:t>
            </w:r>
          </w:p>
        </w:tc>
        <w:tc>
          <w:tcPr>
            <w:tcW w:w="0" w:type="dxa"/>
          </w:tcPr>
          <w:p w14:paraId="167AAE91" w14:textId="77777777" w:rsidR="00923BE4" w:rsidRPr="00A902E4" w:rsidRDefault="00923BE4" w:rsidP="00933705">
            <w:pPr>
              <w:pStyle w:val="TableNText"/>
              <w:jc w:val="center"/>
              <w:rPr>
                <w:sz w:val="19"/>
                <w:szCs w:val="19"/>
              </w:rPr>
            </w:pPr>
            <w:r w:rsidRPr="00A902E4">
              <w:rPr>
                <w:sz w:val="19"/>
                <w:szCs w:val="19"/>
              </w:rPr>
              <w:t>5</w:t>
            </w:r>
          </w:p>
        </w:tc>
      </w:tr>
      <w:tr w:rsidR="00923BE4" w14:paraId="35E92F11" w14:textId="77777777" w:rsidTr="004D1CFE">
        <w:trPr>
          <w:gridAfter w:val="1"/>
          <w:wAfter w:w="23" w:type="dxa"/>
          <w:trHeight w:val="367"/>
        </w:trPr>
        <w:tc>
          <w:tcPr>
            <w:tcW w:w="0" w:type="dxa"/>
            <w:shd w:val="clear" w:color="auto" w:fill="00264D" w:themeFill="background2"/>
          </w:tcPr>
          <w:p w14:paraId="787E91D5" w14:textId="77777777" w:rsidR="00923BE4" w:rsidRPr="00A902E4" w:rsidRDefault="00923BE4" w:rsidP="00134136">
            <w:pPr>
              <w:pStyle w:val="TableNText"/>
              <w:rPr>
                <w:sz w:val="19"/>
                <w:szCs w:val="19"/>
              </w:rPr>
            </w:pPr>
            <w:r w:rsidRPr="00A902E4">
              <w:rPr>
                <w:sz w:val="19"/>
                <w:szCs w:val="19"/>
              </w:rPr>
              <w:t>Total</w:t>
            </w:r>
          </w:p>
        </w:tc>
        <w:tc>
          <w:tcPr>
            <w:tcW w:w="0" w:type="dxa"/>
            <w:shd w:val="clear" w:color="auto" w:fill="00264D" w:themeFill="background2"/>
          </w:tcPr>
          <w:p w14:paraId="2AAD9D4E" w14:textId="77777777" w:rsidR="00923BE4" w:rsidRPr="00A902E4" w:rsidRDefault="00923BE4" w:rsidP="00933705">
            <w:pPr>
              <w:pStyle w:val="TableNText"/>
              <w:jc w:val="center"/>
              <w:rPr>
                <w:sz w:val="19"/>
                <w:szCs w:val="19"/>
              </w:rPr>
            </w:pPr>
            <w:r w:rsidRPr="00A902E4">
              <w:rPr>
                <w:sz w:val="19"/>
                <w:szCs w:val="19"/>
              </w:rPr>
              <w:t>0</w:t>
            </w:r>
          </w:p>
        </w:tc>
        <w:tc>
          <w:tcPr>
            <w:tcW w:w="0" w:type="dxa"/>
            <w:shd w:val="clear" w:color="auto" w:fill="00264D" w:themeFill="background2"/>
          </w:tcPr>
          <w:p w14:paraId="617875CD" w14:textId="5A7E9A47" w:rsidR="00923BE4" w:rsidRPr="00A902E4" w:rsidRDefault="00923BE4" w:rsidP="00933705">
            <w:pPr>
              <w:pStyle w:val="TableNText"/>
              <w:jc w:val="center"/>
              <w:rPr>
                <w:sz w:val="19"/>
                <w:szCs w:val="19"/>
              </w:rPr>
            </w:pPr>
            <w:r w:rsidRPr="00A902E4">
              <w:rPr>
                <w:sz w:val="19"/>
                <w:szCs w:val="19"/>
              </w:rPr>
              <w:t>2</w:t>
            </w:r>
            <w:r w:rsidR="00515A72">
              <w:rPr>
                <w:sz w:val="19"/>
                <w:szCs w:val="19"/>
              </w:rPr>
              <w:t>3.5</w:t>
            </w:r>
          </w:p>
        </w:tc>
      </w:tr>
    </w:tbl>
    <w:p w14:paraId="74597BCE" w14:textId="70DB77A3" w:rsidR="00BC047E" w:rsidRDefault="008C3489" w:rsidP="00BC047E">
      <w:r w:rsidRPr="00206ACA">
        <w:rPr>
          <w:noProof/>
          <w:lang w:eastAsia="en-AU"/>
        </w:rPr>
        <w:drawing>
          <wp:anchor distT="0" distB="0" distL="114300" distR="114300" simplePos="0" relativeHeight="251658255" behindDoc="0" locked="0" layoutInCell="1" allowOverlap="1" wp14:anchorId="1716C26F" wp14:editId="0C8BCD61">
            <wp:simplePos x="0" y="0"/>
            <wp:positionH relativeFrom="column">
              <wp:posOffset>-989965</wp:posOffset>
            </wp:positionH>
            <wp:positionV relativeFrom="paragraph">
              <wp:posOffset>323354</wp:posOffset>
            </wp:positionV>
            <wp:extent cx="1552575" cy="335002"/>
            <wp:effectExtent l="0" t="0" r="0" b="8255"/>
            <wp:wrapSquare wrapText="bothSides"/>
            <wp:docPr id="27851" name="Picture 278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1" name="Picture 2785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52575" cy="335002"/>
                    </a:xfrm>
                    <a:prstGeom prst="rect">
                      <a:avLst/>
                    </a:prstGeom>
                  </pic:spPr>
                </pic:pic>
              </a:graphicData>
            </a:graphic>
          </wp:anchor>
        </w:drawing>
      </w:r>
    </w:p>
    <w:p w14:paraId="07C7660E" w14:textId="4699AFDB" w:rsidR="00BC047E" w:rsidRDefault="00BC047E" w:rsidP="00BC047E"/>
    <w:p w14:paraId="12873768" w14:textId="77777777" w:rsidR="008C3489" w:rsidRPr="00206ACA" w:rsidRDefault="008C3489" w:rsidP="00BC047E"/>
    <w:p w14:paraId="4DBF73FE" w14:textId="6A00355E" w:rsidR="00923BE4" w:rsidRDefault="00923BE4" w:rsidP="008C3489">
      <w:pPr>
        <w:pStyle w:val="Heading3"/>
        <w:spacing w:before="0"/>
      </w:pPr>
      <w:r>
        <w:t xml:space="preserve">Policy </w:t>
      </w:r>
      <w:r w:rsidR="00807D3A">
        <w:t>Problem</w:t>
      </w:r>
      <w:r>
        <w:t xml:space="preserve"> 1 | The objectives and current functions of FSANZ are not </w:t>
      </w:r>
      <w:proofErr w:type="gramStart"/>
      <w:r>
        <w:t>clear</w:t>
      </w:r>
      <w:proofErr w:type="gramEnd"/>
    </w:p>
    <w:p w14:paraId="44D1C8CA" w14:textId="15512304" w:rsidR="00923BE4" w:rsidRDefault="00923BE4" w:rsidP="00923BE4">
      <w:pPr>
        <w:rPr>
          <w:lang w:eastAsia="en-AU"/>
        </w:rPr>
      </w:pPr>
      <w:r>
        <w:rPr>
          <w:lang w:eastAsia="en-AU"/>
        </w:rPr>
        <w:t xml:space="preserve">Policy </w:t>
      </w:r>
      <w:r w:rsidR="00807D3A">
        <w:rPr>
          <w:lang w:eastAsia="en-AU"/>
        </w:rPr>
        <w:t>Problem</w:t>
      </w:r>
      <w:r>
        <w:rPr>
          <w:lang w:eastAsia="en-AU"/>
        </w:rPr>
        <w:t xml:space="preserve"> 1 recognises the objectives of FSANZ are not clearly understood across the food system. The negative impact of this problem has been rated as </w:t>
      </w:r>
      <w:r w:rsidR="009B1450">
        <w:rPr>
          <w:lang w:eastAsia="en-AU"/>
        </w:rPr>
        <w:t>3</w:t>
      </w:r>
      <w:r>
        <w:rPr>
          <w:lang w:eastAsia="en-AU"/>
        </w:rPr>
        <w:t xml:space="preserve"> (</w:t>
      </w:r>
      <w:r w:rsidR="009B1450">
        <w:rPr>
          <w:lang w:eastAsia="en-AU"/>
        </w:rPr>
        <w:t>high</w:t>
      </w:r>
      <w:r>
        <w:rPr>
          <w:lang w:eastAsia="en-AU"/>
        </w:rPr>
        <w:t>).</w:t>
      </w:r>
    </w:p>
    <w:p w14:paraId="3F10CE57" w14:textId="0615B27A" w:rsidR="00923BE4" w:rsidRDefault="00923BE4" w:rsidP="00923BE4">
      <w:pPr>
        <w:rPr>
          <w:lang w:eastAsia="en-AU"/>
        </w:rPr>
      </w:pPr>
      <w:r>
        <w:rPr>
          <w:lang w:eastAsia="en-AU"/>
        </w:rPr>
        <w:t xml:space="preserve">Analysis reveals that Option 1 does not address the Policy Problem in any capacity, while Option 2 significantly addresses the Problem. The corresponding scores for each are summarised in </w:t>
      </w:r>
      <w:r>
        <w:rPr>
          <w:lang w:eastAsia="en-AU"/>
        </w:rPr>
        <w:fldChar w:fldCharType="begin"/>
      </w:r>
      <w:r>
        <w:rPr>
          <w:lang w:eastAsia="en-AU"/>
        </w:rPr>
        <w:instrText xml:space="preserve"> REF _Ref142063139 \h </w:instrText>
      </w:r>
      <w:r>
        <w:rPr>
          <w:lang w:eastAsia="en-AU"/>
        </w:rPr>
      </w:r>
      <w:r>
        <w:rPr>
          <w:lang w:eastAsia="en-AU"/>
        </w:rPr>
        <w:fldChar w:fldCharType="separate"/>
      </w:r>
      <w:r w:rsidR="003F7B92">
        <w:t xml:space="preserve">Table </w:t>
      </w:r>
      <w:r w:rsidR="003F7B92">
        <w:rPr>
          <w:noProof/>
        </w:rPr>
        <w:t>22</w:t>
      </w:r>
      <w:r>
        <w:rPr>
          <w:lang w:eastAsia="en-AU"/>
        </w:rPr>
        <w:fldChar w:fldCharType="end"/>
      </w:r>
      <w:r>
        <w:rPr>
          <w:lang w:eastAsia="en-AU"/>
        </w:rPr>
        <w:t>.</w:t>
      </w:r>
    </w:p>
    <w:p w14:paraId="02C8BB19" w14:textId="22B457A1" w:rsidR="00923BE4" w:rsidRDefault="00923BE4" w:rsidP="00923BE4">
      <w:pPr>
        <w:pStyle w:val="Caption"/>
        <w:rPr>
          <w:lang w:eastAsia="en-AU"/>
        </w:rPr>
      </w:pPr>
      <w:bookmarkStart w:id="124" w:name="_Ref142063139"/>
      <w:r>
        <w:t xml:space="preserve">Table </w:t>
      </w:r>
      <w:r>
        <w:fldChar w:fldCharType="begin"/>
      </w:r>
      <w:r>
        <w:instrText xml:space="preserve"> SEQ Table \* ARABIC </w:instrText>
      </w:r>
      <w:r>
        <w:fldChar w:fldCharType="separate"/>
      </w:r>
      <w:r w:rsidR="003F7B92">
        <w:rPr>
          <w:noProof/>
        </w:rPr>
        <w:t>22</w:t>
      </w:r>
      <w:r>
        <w:fldChar w:fldCharType="end"/>
      </w:r>
      <w:bookmarkEnd w:id="124"/>
      <w:r>
        <w:t xml:space="preserve"> | Assessment of options against </w:t>
      </w:r>
      <w:r w:rsidR="0082099D">
        <w:t xml:space="preserve">Policy Problem </w:t>
      </w:r>
      <w:r>
        <w:t>1</w:t>
      </w:r>
    </w:p>
    <w:tbl>
      <w:tblPr>
        <w:tblStyle w:val="TableGrid"/>
        <w:tblW w:w="0" w:type="auto"/>
        <w:tblLook w:val="0600" w:firstRow="0" w:lastRow="0" w:firstColumn="0" w:lastColumn="0" w:noHBand="1" w:noVBand="1"/>
      </w:tblPr>
      <w:tblGrid>
        <w:gridCol w:w="2256"/>
        <w:gridCol w:w="3337"/>
        <w:gridCol w:w="3337"/>
      </w:tblGrid>
      <w:tr w:rsidR="00923BE4" w14:paraId="4E1617EB" w14:textId="77777777">
        <w:tc>
          <w:tcPr>
            <w:tcW w:w="2256" w:type="dxa"/>
            <w:shd w:val="clear" w:color="auto" w:fill="E6E6E1" w:themeFill="accent5"/>
          </w:tcPr>
          <w:p w14:paraId="69BE593D" w14:textId="0EE6B598" w:rsidR="00923BE4" w:rsidRPr="00B81FBB" w:rsidRDefault="00923BE4" w:rsidP="00134136">
            <w:pPr>
              <w:rPr>
                <w:rFonts w:ascii="Segoe UI Semibold" w:hAnsi="Segoe UI Semibold"/>
                <w:color w:val="00264D" w:themeColor="background2"/>
                <w:sz w:val="18"/>
                <w:lang w:eastAsia="en-AU"/>
              </w:rPr>
            </w:pPr>
          </w:p>
        </w:tc>
        <w:tc>
          <w:tcPr>
            <w:tcW w:w="3337" w:type="dxa"/>
            <w:shd w:val="clear" w:color="auto" w:fill="E6E6E1" w:themeFill="accent5"/>
          </w:tcPr>
          <w:p w14:paraId="470EFDFB" w14:textId="0DA49B0F" w:rsidR="00A41D84" w:rsidRPr="00E2014B" w:rsidRDefault="00A41D84" w:rsidP="00A41D84">
            <w:pPr>
              <w:rPr>
                <w:rFonts w:asciiTheme="majorHAnsi" w:hAnsiTheme="majorHAnsi" w:cstheme="majorHAnsi"/>
                <w:color w:val="F25E21" w:themeColor="accent2"/>
              </w:rPr>
            </w:pPr>
            <w:r w:rsidRPr="00E2014B">
              <w:rPr>
                <w:rFonts w:asciiTheme="majorHAnsi" w:hAnsiTheme="majorHAnsi" w:cstheme="majorHAnsi"/>
                <w:color w:val="F25E21" w:themeColor="accent2"/>
              </w:rPr>
              <w:t>OPTION 1</w:t>
            </w:r>
          </w:p>
        </w:tc>
        <w:tc>
          <w:tcPr>
            <w:tcW w:w="3337" w:type="dxa"/>
            <w:shd w:val="clear" w:color="auto" w:fill="E6E6E1" w:themeFill="accent5"/>
          </w:tcPr>
          <w:p w14:paraId="55558D2F" w14:textId="7EDD57A7" w:rsidR="00923BE4" w:rsidRPr="00E2014B" w:rsidRDefault="002619F9" w:rsidP="00134136">
            <w:pPr>
              <w:rPr>
                <w:rFonts w:asciiTheme="majorHAnsi" w:hAnsiTheme="majorHAnsi" w:cstheme="majorHAnsi"/>
                <w:color w:val="00264D" w:themeColor="background2"/>
                <w:sz w:val="18"/>
                <w:lang w:eastAsia="en-AU"/>
              </w:rPr>
            </w:pPr>
            <w:r w:rsidRPr="00E2014B">
              <w:rPr>
                <w:rFonts w:asciiTheme="majorHAnsi" w:hAnsiTheme="majorHAnsi" w:cstheme="majorHAnsi"/>
                <w:color w:val="F8981D" w:themeColor="accent3"/>
              </w:rPr>
              <w:t>OPTION 2</w:t>
            </w:r>
          </w:p>
        </w:tc>
      </w:tr>
      <w:tr w:rsidR="00923BE4" w14:paraId="04E49620" w14:textId="77777777">
        <w:tc>
          <w:tcPr>
            <w:tcW w:w="2256" w:type="dxa"/>
            <w:shd w:val="clear" w:color="auto" w:fill="F2F2F2" w:themeFill="background1" w:themeFillShade="F2"/>
            <w:vAlign w:val="top"/>
          </w:tcPr>
          <w:p w14:paraId="40A07607" w14:textId="3F5A9056" w:rsidR="00923BE4" w:rsidRPr="00423404" w:rsidRDefault="00A41D84" w:rsidP="00134136">
            <w:pPr>
              <w:rPr>
                <w:color w:val="F8981D" w:themeColor="accent3"/>
                <w:lang w:eastAsia="en-AU"/>
              </w:rPr>
            </w:pPr>
            <w:r w:rsidRPr="007728DC">
              <w:rPr>
                <w:rFonts w:ascii="Segoe UI Semibold" w:hAnsi="Segoe UI Semibold"/>
                <w:color w:val="00264D" w:themeColor="background2"/>
                <w:sz w:val="18"/>
                <w:lang w:eastAsia="en-AU"/>
              </w:rPr>
              <w:t>Negative impact of Policy Problem</w:t>
            </w:r>
          </w:p>
        </w:tc>
        <w:tc>
          <w:tcPr>
            <w:tcW w:w="3337" w:type="dxa"/>
          </w:tcPr>
          <w:p w14:paraId="1C28F255" w14:textId="69399DFC" w:rsidR="00A41D84" w:rsidRDefault="008C7B36" w:rsidP="004E4D63">
            <w:pPr>
              <w:spacing w:line="360" w:lineRule="auto"/>
              <w:rPr>
                <w:lang w:eastAsia="en-AU"/>
              </w:rPr>
            </w:pPr>
            <w:r>
              <w:rPr>
                <w:lang w:eastAsia="en-AU"/>
              </w:rPr>
              <w:t>2 (</w:t>
            </w:r>
            <w:r w:rsidR="004E4D63">
              <w:rPr>
                <w:lang w:eastAsia="en-AU"/>
              </w:rPr>
              <w:t>Moderate</w:t>
            </w:r>
            <w:r>
              <w:rPr>
                <w:lang w:eastAsia="en-AU"/>
              </w:rPr>
              <w:t>)</w:t>
            </w:r>
          </w:p>
        </w:tc>
        <w:tc>
          <w:tcPr>
            <w:tcW w:w="3337" w:type="dxa"/>
          </w:tcPr>
          <w:p w14:paraId="56689337" w14:textId="4C421AFF" w:rsidR="00923BE4" w:rsidRDefault="008C7B36" w:rsidP="004E4D63">
            <w:pPr>
              <w:spacing w:line="360" w:lineRule="auto"/>
              <w:rPr>
                <w:lang w:eastAsia="en-AU"/>
              </w:rPr>
            </w:pPr>
            <w:r>
              <w:rPr>
                <w:lang w:eastAsia="en-AU"/>
              </w:rPr>
              <w:t>2 (</w:t>
            </w:r>
            <w:r w:rsidR="004E4D63">
              <w:rPr>
                <w:lang w:eastAsia="en-AU"/>
              </w:rPr>
              <w:t>Moderate</w:t>
            </w:r>
            <w:r>
              <w:rPr>
                <w:lang w:eastAsia="en-AU"/>
              </w:rPr>
              <w:t>)</w:t>
            </w:r>
          </w:p>
        </w:tc>
      </w:tr>
      <w:tr w:rsidR="00923BE4" w14:paraId="2AFEDD53" w14:textId="77777777">
        <w:tc>
          <w:tcPr>
            <w:tcW w:w="2256" w:type="dxa"/>
            <w:shd w:val="clear" w:color="auto" w:fill="F2F2F2" w:themeFill="background1" w:themeFillShade="F2"/>
            <w:vAlign w:val="top"/>
          </w:tcPr>
          <w:p w14:paraId="506007BD" w14:textId="78A9D7FB" w:rsidR="00923BE4" w:rsidRPr="00423404" w:rsidRDefault="00A41D84" w:rsidP="00134136">
            <w:pPr>
              <w:rPr>
                <w:color w:val="F8981D" w:themeColor="accent3"/>
                <w:lang w:eastAsia="en-AU"/>
              </w:rPr>
            </w:pPr>
            <w:r w:rsidRPr="007728DC">
              <w:rPr>
                <w:rFonts w:ascii="Segoe UI Semibold" w:hAnsi="Segoe UI Semibold"/>
                <w:color w:val="00264D" w:themeColor="background2"/>
                <w:sz w:val="18"/>
                <w:lang w:eastAsia="en-AU"/>
              </w:rPr>
              <w:t>Degree to which Option resolves the Policy Problem</w:t>
            </w:r>
          </w:p>
        </w:tc>
        <w:tc>
          <w:tcPr>
            <w:tcW w:w="3337" w:type="dxa"/>
          </w:tcPr>
          <w:p w14:paraId="47ED0E90" w14:textId="1E17B6A6" w:rsidR="00A41D84" w:rsidRDefault="00A41D84" w:rsidP="00A41D84">
            <w:pPr>
              <w:rPr>
                <w:lang w:eastAsia="en-AU"/>
              </w:rPr>
            </w:pPr>
            <w:r>
              <w:rPr>
                <w:lang w:eastAsia="en-AU"/>
              </w:rPr>
              <w:t>0 (Not at all)</w:t>
            </w:r>
          </w:p>
        </w:tc>
        <w:tc>
          <w:tcPr>
            <w:tcW w:w="3337" w:type="dxa"/>
          </w:tcPr>
          <w:p w14:paraId="0E8BF9E7" w14:textId="065E19D3" w:rsidR="00923BE4" w:rsidRDefault="00A41D84" w:rsidP="00134136">
            <w:pPr>
              <w:rPr>
                <w:lang w:eastAsia="en-AU"/>
              </w:rPr>
            </w:pPr>
            <w:r>
              <w:rPr>
                <w:lang w:eastAsia="en-AU"/>
              </w:rPr>
              <w:t>3 (High)</w:t>
            </w:r>
          </w:p>
        </w:tc>
      </w:tr>
      <w:tr w:rsidR="00A41D84" w14:paraId="76C7FC24" w14:textId="77777777">
        <w:tc>
          <w:tcPr>
            <w:tcW w:w="2256" w:type="dxa"/>
            <w:shd w:val="clear" w:color="auto" w:fill="F2F2F2" w:themeFill="background1" w:themeFillShade="F2"/>
            <w:vAlign w:val="top"/>
          </w:tcPr>
          <w:p w14:paraId="085ECC6A" w14:textId="3E90B79A" w:rsidR="00A41D84" w:rsidRPr="00423404" w:rsidRDefault="00A41D84" w:rsidP="00A41D84">
            <w:pPr>
              <w:rPr>
                <w:color w:val="F8981D" w:themeColor="accent3"/>
                <w:lang w:eastAsia="en-AU"/>
              </w:rPr>
            </w:pPr>
            <w:r w:rsidRPr="007728DC">
              <w:rPr>
                <w:rFonts w:ascii="Segoe UI Semibold" w:hAnsi="Segoe UI Semibold"/>
                <w:color w:val="00264D" w:themeColor="background2"/>
                <w:sz w:val="18"/>
                <w:lang w:eastAsia="en-AU"/>
              </w:rPr>
              <w:t>Total rating</w:t>
            </w:r>
          </w:p>
        </w:tc>
        <w:tc>
          <w:tcPr>
            <w:tcW w:w="3337" w:type="dxa"/>
          </w:tcPr>
          <w:p w14:paraId="51FD6E52" w14:textId="7C2F2437" w:rsidR="00A41D84" w:rsidRDefault="00A41D84" w:rsidP="00A41D84">
            <w:pPr>
              <w:rPr>
                <w:lang w:eastAsia="en-AU"/>
              </w:rPr>
            </w:pPr>
            <w:r>
              <w:rPr>
                <w:lang w:eastAsia="en-AU"/>
              </w:rPr>
              <w:t>0</w:t>
            </w:r>
          </w:p>
        </w:tc>
        <w:tc>
          <w:tcPr>
            <w:tcW w:w="3337" w:type="dxa"/>
          </w:tcPr>
          <w:p w14:paraId="75E895CE" w14:textId="174CAC82" w:rsidR="00A41D84" w:rsidRDefault="008C7B36" w:rsidP="00A41D84">
            <w:pPr>
              <w:rPr>
                <w:lang w:eastAsia="en-AU"/>
              </w:rPr>
            </w:pPr>
            <w:r>
              <w:rPr>
                <w:lang w:eastAsia="en-AU"/>
              </w:rPr>
              <w:t>6</w:t>
            </w:r>
          </w:p>
        </w:tc>
      </w:tr>
    </w:tbl>
    <w:p w14:paraId="69B9FB27" w14:textId="77777777" w:rsidR="00923BE4" w:rsidRDefault="00923BE4" w:rsidP="00923BE4">
      <w:pPr>
        <w:rPr>
          <w:lang w:eastAsia="en-AU"/>
        </w:rPr>
      </w:pPr>
    </w:p>
    <w:p w14:paraId="78749A31" w14:textId="30BD720D" w:rsidR="008A136C" w:rsidRDefault="006D1935" w:rsidP="003548F5">
      <w:r>
        <w:t xml:space="preserve">More detailed comparisons against sub-problems are described below. </w:t>
      </w:r>
    </w:p>
    <w:p w14:paraId="115FF619" w14:textId="78278237" w:rsidR="003D4E77" w:rsidRDefault="003D4E77" w:rsidP="007D6F23">
      <w:pPr>
        <w:pStyle w:val="Heading5"/>
      </w:pPr>
      <w:r w:rsidRPr="009C6685">
        <w:lastRenderedPageBreak/>
        <w:t xml:space="preserve">Sub-problem 1 | Unclear definitions have created confusion about how FSANZ should consider short-and long-term risks to health when developing food </w:t>
      </w:r>
      <w:proofErr w:type="gramStart"/>
      <w:r w:rsidRPr="009C6685">
        <w:t>standards</w:t>
      </w:r>
      <w:proofErr w:type="gramEnd"/>
    </w:p>
    <w:p w14:paraId="365EF1AF" w14:textId="537E20B6" w:rsidR="003D4E77" w:rsidRDefault="003D4E77" w:rsidP="003D4E77">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50B4BC4F" w14:textId="79593909" w:rsidR="003D4E77" w:rsidRDefault="003D4E77" w:rsidP="008F35FB">
      <w:pPr>
        <w:spacing w:line="240" w:lineRule="auto"/>
      </w:pPr>
      <w:r w:rsidRPr="00B3046A">
        <w:rPr>
          <w:rFonts w:asciiTheme="majorHAnsi" w:hAnsiTheme="majorHAnsi" w:cstheme="majorHAnsi"/>
          <w:color w:val="F8981D" w:themeColor="accent3"/>
          <w:lang w:eastAsia="en-AU"/>
        </w:rPr>
        <w:t>OPTION 2</w:t>
      </w:r>
      <w:r>
        <w:rPr>
          <w:color w:val="F8981D" w:themeColor="accent3"/>
          <w:lang w:eastAsia="en-AU"/>
        </w:rPr>
        <w:t xml:space="preserve"> </w:t>
      </w:r>
      <w:r>
        <w:t xml:space="preserve">addresses key issues identified by stakeholders relevant to the clarity of </w:t>
      </w:r>
      <w:r w:rsidR="004E4D63">
        <w:t>FSANZ’</w:t>
      </w:r>
      <w:r w:rsidR="005D04DB">
        <w:t>s</w:t>
      </w:r>
      <w:r>
        <w:t xml:space="preserve"> role and functions without significantly expanding its responsibilities. Specifically, it achieves this by clarifying the definition of ‘protection of public health and safety’ within the Act to be in line with current policy guidance while also ensuring its language is culturally inclusive.</w:t>
      </w:r>
    </w:p>
    <w:p w14:paraId="6A19F414" w14:textId="1C441ECB" w:rsidR="00F7192A" w:rsidRDefault="007D6F23" w:rsidP="007D6F23">
      <w:pPr>
        <w:pStyle w:val="Heading5"/>
      </w:pPr>
      <w:r w:rsidRPr="002D5617">
        <w:t xml:space="preserve">Sub-problem 2 | </w:t>
      </w:r>
      <w:r w:rsidR="00207F05" w:rsidRPr="00207F05">
        <w:t xml:space="preserve">There remains some confusion about the factors to which FSANZ has given regard in its decision-making, and how this aligns with the objectives of the </w:t>
      </w:r>
      <w:proofErr w:type="gramStart"/>
      <w:r w:rsidR="00207F05" w:rsidRPr="00207F05">
        <w:t>Act</w:t>
      </w:r>
      <w:proofErr w:type="gramEnd"/>
    </w:p>
    <w:p w14:paraId="1E416F54" w14:textId="77777777" w:rsidR="00723F2F" w:rsidRDefault="00723F2F" w:rsidP="00723F2F">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4C756CB8" w14:textId="702DE69E" w:rsidR="007D6F23" w:rsidRDefault="00723F2F" w:rsidP="00723F2F">
      <w:pPr>
        <w:rPr>
          <w:lang w:eastAsia="en-AU"/>
        </w:rPr>
      </w:pPr>
      <w:r w:rsidRPr="00B3046A">
        <w:rPr>
          <w:rFonts w:asciiTheme="majorHAnsi" w:hAnsiTheme="majorHAnsi" w:cstheme="majorHAnsi"/>
          <w:color w:val="F8981D" w:themeColor="accent3"/>
          <w:lang w:eastAsia="en-AU"/>
        </w:rPr>
        <w:t>OPTION 2</w:t>
      </w:r>
      <w:r>
        <w:rPr>
          <w:color w:val="F8981D" w:themeColor="accent3"/>
          <w:lang w:eastAsia="en-AU"/>
        </w:rPr>
        <w:t xml:space="preserve"> </w:t>
      </w:r>
      <w:r w:rsidR="00DD39FE" w:rsidRPr="00DD39FE">
        <w:rPr>
          <w:lang w:eastAsia="en-AU"/>
        </w:rPr>
        <w:t>correct</w:t>
      </w:r>
      <w:r w:rsidR="00207F05">
        <w:rPr>
          <w:lang w:eastAsia="en-AU"/>
        </w:rPr>
        <w:t>s</w:t>
      </w:r>
      <w:r w:rsidR="00DD39FE" w:rsidRPr="00DD39FE">
        <w:rPr>
          <w:lang w:eastAsia="en-AU"/>
        </w:rPr>
        <w:t xml:space="preserve"> the problem. </w:t>
      </w:r>
      <w:r w:rsidR="00DD39FE">
        <w:rPr>
          <w:lang w:eastAsia="en-AU"/>
        </w:rPr>
        <w:t>If FSANZ refreshed its communication approach in a way that brought greater visibility and transparency around decision-making processes, this would address issues where stakeholders (particularly Ministers) are unclear of how different factors have been balanced and support greater confidence in the joint food standard setting system.</w:t>
      </w:r>
    </w:p>
    <w:p w14:paraId="7F7B7B58" w14:textId="1052AF74" w:rsidR="006F7DB9" w:rsidRDefault="00DD39FE" w:rsidP="00BB1DAF">
      <w:pPr>
        <w:pStyle w:val="Heading5"/>
      </w:pPr>
      <w:r w:rsidRPr="0003779A">
        <w:t xml:space="preserve">Sub-problem 3 | </w:t>
      </w:r>
      <w:r w:rsidR="006F7DB9" w:rsidRPr="006F7DB9">
        <w:t xml:space="preserve">The Act is silent on the needs and commitments of government to First Nations and Māori </w:t>
      </w:r>
      <w:r w:rsidR="000F1825">
        <w:t>P</w:t>
      </w:r>
      <w:r w:rsidR="006F7DB9" w:rsidRPr="006F7DB9">
        <w:t>eople</w:t>
      </w:r>
      <w:r w:rsidR="000F1825">
        <w:t>s</w:t>
      </w:r>
    </w:p>
    <w:p w14:paraId="4F8E5FF2" w14:textId="77777777" w:rsidR="006F7DB9" w:rsidRDefault="006F7DB9" w:rsidP="006F7DB9">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668E79D8" w14:textId="4F21B5A7" w:rsidR="00DD39FE" w:rsidRPr="00DD39FE" w:rsidRDefault="006F7DB9" w:rsidP="006F7DB9">
      <w:pPr>
        <w:rPr>
          <w:lang w:eastAsia="en-AU"/>
        </w:rPr>
      </w:pPr>
      <w:r w:rsidRPr="00B3046A">
        <w:rPr>
          <w:rFonts w:asciiTheme="majorHAnsi" w:hAnsiTheme="majorHAnsi" w:cstheme="majorHAnsi"/>
          <w:color w:val="F8981D" w:themeColor="accent3"/>
          <w:lang w:eastAsia="en-AU"/>
        </w:rPr>
        <w:t>OPTION 2</w:t>
      </w:r>
      <w:r>
        <w:rPr>
          <w:color w:val="F8981D" w:themeColor="accent3"/>
          <w:lang w:eastAsia="en-AU"/>
        </w:rPr>
        <w:t xml:space="preserve"> </w:t>
      </w:r>
      <w:r w:rsidR="009F3681" w:rsidRPr="009F3681">
        <w:rPr>
          <w:lang w:eastAsia="en-AU"/>
        </w:rPr>
        <w:t xml:space="preserve">could make good strides against this issue. </w:t>
      </w:r>
      <w:r w:rsidR="00DD39FE">
        <w:rPr>
          <w:lang w:eastAsia="en-AU"/>
        </w:rPr>
        <w:t xml:space="preserve">A refresh of language within the Act could reinforce an expectation that the culture and expertise of Aboriginal, Torres Strait Islander and Māori </w:t>
      </w:r>
      <w:r w:rsidR="000F1825">
        <w:rPr>
          <w:lang w:eastAsia="en-AU"/>
        </w:rPr>
        <w:t xml:space="preserve">Peoples </w:t>
      </w:r>
      <w:r w:rsidR="00DD39FE">
        <w:rPr>
          <w:lang w:eastAsia="en-AU"/>
        </w:rPr>
        <w:t>is valued</w:t>
      </w:r>
      <w:r w:rsidR="00CC3638">
        <w:rPr>
          <w:lang w:eastAsia="en-AU"/>
        </w:rPr>
        <w:t>,</w:t>
      </w:r>
      <w:r w:rsidR="00DD39FE">
        <w:rPr>
          <w:lang w:eastAsia="en-AU"/>
        </w:rPr>
        <w:t xml:space="preserve"> </w:t>
      </w:r>
      <w:r>
        <w:rPr>
          <w:lang w:eastAsia="en-AU"/>
        </w:rPr>
        <w:t xml:space="preserve">and their population outcomes are considered in setting food regulatory measures. </w:t>
      </w:r>
    </w:p>
    <w:p w14:paraId="6AC2E8C8" w14:textId="72B87B0F" w:rsidR="0084403B" w:rsidRDefault="008C3489" w:rsidP="00923BE4">
      <w:pPr>
        <w:rPr>
          <w:lang w:eastAsia="en-AU"/>
        </w:rPr>
      </w:pPr>
      <w:r w:rsidRPr="00206ACA">
        <w:rPr>
          <w:noProof/>
          <w:lang w:eastAsia="en-AU"/>
        </w:rPr>
        <w:drawing>
          <wp:anchor distT="0" distB="0" distL="114300" distR="114300" simplePos="0" relativeHeight="251658256" behindDoc="0" locked="0" layoutInCell="1" allowOverlap="1" wp14:anchorId="60AFB49F" wp14:editId="038A8E37">
            <wp:simplePos x="0" y="0"/>
            <wp:positionH relativeFrom="column">
              <wp:posOffset>-989965</wp:posOffset>
            </wp:positionH>
            <wp:positionV relativeFrom="paragraph">
              <wp:posOffset>88900</wp:posOffset>
            </wp:positionV>
            <wp:extent cx="1566875" cy="339804"/>
            <wp:effectExtent l="0" t="0" r="0" b="3175"/>
            <wp:wrapSquare wrapText="bothSides"/>
            <wp:docPr id="27852" name="Picture 27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2" name="Picture 27852">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66875" cy="339804"/>
                    </a:xfrm>
                    <a:prstGeom prst="rect">
                      <a:avLst/>
                    </a:prstGeom>
                  </pic:spPr>
                </pic:pic>
              </a:graphicData>
            </a:graphic>
          </wp:anchor>
        </w:drawing>
      </w:r>
    </w:p>
    <w:p w14:paraId="65DF10A2" w14:textId="77777777" w:rsidR="0084403B" w:rsidRDefault="0084403B" w:rsidP="00923BE4"/>
    <w:p w14:paraId="23B16886" w14:textId="77777777" w:rsidR="00923BE4" w:rsidRPr="00E95C57" w:rsidRDefault="00923BE4" w:rsidP="008C3489">
      <w:pPr>
        <w:pStyle w:val="Heading3"/>
        <w:spacing w:before="0"/>
      </w:pPr>
      <w:r w:rsidRPr="00066D7B">
        <w:t xml:space="preserve">Policy </w:t>
      </w:r>
      <w:r>
        <w:t>P</w:t>
      </w:r>
      <w:r w:rsidRPr="00066D7B">
        <w:t xml:space="preserve">roblem 2 | Legislated processes and decision-making arrangements for food standards are cumbersome and </w:t>
      </w:r>
      <w:proofErr w:type="gramStart"/>
      <w:r w:rsidRPr="00066D7B">
        <w:t>inflexible</w:t>
      </w:r>
      <w:proofErr w:type="gramEnd"/>
    </w:p>
    <w:p w14:paraId="6803A1C3" w14:textId="77777777" w:rsidR="00923BE4" w:rsidRDefault="00923BE4" w:rsidP="00923BE4">
      <w:pPr>
        <w:rPr>
          <w:lang w:eastAsia="en-AU"/>
        </w:rPr>
      </w:pPr>
      <w:r>
        <w:rPr>
          <w:lang w:eastAsia="en-AU"/>
        </w:rPr>
        <w:t>Policy Problem 2 focuses on statutory processes to set and amend food standards, which do not align with best practice. The negative impact of this problem has been rated as 3 (high).</w:t>
      </w:r>
    </w:p>
    <w:p w14:paraId="6E61A1CF" w14:textId="1E56C82D" w:rsidR="00923BE4" w:rsidRDefault="00923BE4" w:rsidP="00923BE4">
      <w:pPr>
        <w:rPr>
          <w:lang w:eastAsia="en-AU"/>
        </w:rPr>
      </w:pPr>
      <w:r>
        <w:rPr>
          <w:lang w:eastAsia="en-AU"/>
        </w:rPr>
        <w:t xml:space="preserve">Analysis reveals that Option 1 does not address the Policy Problem in any capacity, while Option 2 significantly addresses the Problem. The corresponding scores for each are summarised in </w:t>
      </w:r>
      <w:r w:rsidR="00060FD1">
        <w:rPr>
          <w:lang w:eastAsia="en-AU"/>
        </w:rPr>
        <w:fldChar w:fldCharType="begin"/>
      </w:r>
      <w:r w:rsidR="00060FD1">
        <w:rPr>
          <w:lang w:eastAsia="en-AU"/>
        </w:rPr>
        <w:instrText xml:space="preserve"> REF _Ref142483919 \h </w:instrText>
      </w:r>
      <w:r w:rsidR="00060FD1">
        <w:rPr>
          <w:lang w:eastAsia="en-AU"/>
        </w:rPr>
      </w:r>
      <w:r w:rsidR="00060FD1">
        <w:rPr>
          <w:lang w:eastAsia="en-AU"/>
        </w:rPr>
        <w:fldChar w:fldCharType="separate"/>
      </w:r>
      <w:r w:rsidR="003F7B92">
        <w:t xml:space="preserve">Table </w:t>
      </w:r>
      <w:r w:rsidR="003F7B92">
        <w:rPr>
          <w:noProof/>
        </w:rPr>
        <w:t>23</w:t>
      </w:r>
      <w:r w:rsidR="00060FD1">
        <w:rPr>
          <w:lang w:eastAsia="en-AU"/>
        </w:rPr>
        <w:fldChar w:fldCharType="end"/>
      </w:r>
      <w:r>
        <w:rPr>
          <w:lang w:eastAsia="en-AU"/>
        </w:rPr>
        <w:t>.</w:t>
      </w:r>
    </w:p>
    <w:p w14:paraId="32897896" w14:textId="4305897D" w:rsidR="00923BE4" w:rsidRDefault="00923BE4" w:rsidP="00923BE4">
      <w:pPr>
        <w:pStyle w:val="Caption"/>
        <w:rPr>
          <w:lang w:eastAsia="en-AU"/>
        </w:rPr>
      </w:pPr>
      <w:bookmarkStart w:id="125" w:name="_Ref142483919"/>
      <w:r>
        <w:t xml:space="preserve">Table </w:t>
      </w:r>
      <w:r>
        <w:fldChar w:fldCharType="begin"/>
      </w:r>
      <w:r>
        <w:instrText xml:space="preserve"> SEQ Table \* ARABIC </w:instrText>
      </w:r>
      <w:r>
        <w:fldChar w:fldCharType="separate"/>
      </w:r>
      <w:r w:rsidR="003F7B92">
        <w:rPr>
          <w:noProof/>
        </w:rPr>
        <w:t>23</w:t>
      </w:r>
      <w:r>
        <w:fldChar w:fldCharType="end"/>
      </w:r>
      <w:bookmarkEnd w:id="125"/>
      <w:r>
        <w:t xml:space="preserve"> | </w:t>
      </w:r>
      <w:r w:rsidRPr="005063C1">
        <w:t xml:space="preserve">Assessment of options against </w:t>
      </w:r>
      <w:r w:rsidR="00C473F2">
        <w:t>Policy</w:t>
      </w:r>
      <w:r w:rsidR="00C473F2" w:rsidRPr="005063C1">
        <w:t xml:space="preserve"> </w:t>
      </w:r>
      <w:r w:rsidR="0082099D">
        <w:t xml:space="preserve">Problem </w:t>
      </w:r>
      <w:r>
        <w:t>2</w:t>
      </w:r>
    </w:p>
    <w:tbl>
      <w:tblPr>
        <w:tblStyle w:val="TableGrid"/>
        <w:tblW w:w="9077" w:type="dxa"/>
        <w:tblLook w:val="0600" w:firstRow="0" w:lastRow="0" w:firstColumn="0" w:lastColumn="0" w:noHBand="1" w:noVBand="1"/>
      </w:tblPr>
      <w:tblGrid>
        <w:gridCol w:w="2410"/>
        <w:gridCol w:w="3333"/>
        <w:gridCol w:w="3334"/>
      </w:tblGrid>
      <w:tr w:rsidR="00A153A9" w14:paraId="5F1B159D" w14:textId="77777777" w:rsidTr="006B713E">
        <w:trPr>
          <w:trHeight w:val="368"/>
        </w:trPr>
        <w:tc>
          <w:tcPr>
            <w:tcW w:w="2410" w:type="dxa"/>
            <w:shd w:val="clear" w:color="auto" w:fill="E6E6E1" w:themeFill="accent5"/>
            <w:vAlign w:val="bottom"/>
          </w:tcPr>
          <w:p w14:paraId="5EE3EC08" w14:textId="77777777" w:rsidR="00A153A9" w:rsidRPr="00200B96" w:rsidRDefault="00A153A9" w:rsidP="006E2FE4">
            <w:pPr>
              <w:pStyle w:val="TableNheader"/>
              <w:rPr>
                <w:rFonts w:asciiTheme="minorHAnsi" w:hAnsiTheme="minorHAnsi" w:cstheme="minorHAnsi"/>
                <w:sz w:val="19"/>
                <w:szCs w:val="19"/>
                <w:lang w:eastAsia="en-AU"/>
              </w:rPr>
            </w:pPr>
            <w:r w:rsidRPr="00200B96">
              <w:rPr>
                <w:rFonts w:asciiTheme="minorHAnsi" w:hAnsiTheme="minorHAnsi" w:cstheme="minorHAnsi"/>
                <w:color w:val="000000"/>
                <w:sz w:val="19"/>
                <w:szCs w:val="19"/>
              </w:rPr>
              <w:t>Option</w:t>
            </w:r>
          </w:p>
        </w:tc>
        <w:tc>
          <w:tcPr>
            <w:tcW w:w="3333" w:type="dxa"/>
            <w:shd w:val="clear" w:color="auto" w:fill="E6E6E1" w:themeFill="accent5"/>
            <w:vAlign w:val="bottom"/>
          </w:tcPr>
          <w:p w14:paraId="68E2CB11" w14:textId="1F76958C" w:rsidR="00A153A9" w:rsidRPr="00E2014B" w:rsidRDefault="00A153A9" w:rsidP="006E2FE4">
            <w:pPr>
              <w:pStyle w:val="TableNheader"/>
              <w:rPr>
                <w:rFonts w:asciiTheme="majorHAnsi" w:hAnsiTheme="majorHAnsi" w:cstheme="majorHAnsi"/>
                <w:sz w:val="19"/>
                <w:szCs w:val="19"/>
                <w:lang w:eastAsia="en-AU"/>
              </w:rPr>
            </w:pPr>
            <w:r w:rsidRPr="00E2014B">
              <w:rPr>
                <w:rFonts w:asciiTheme="majorHAnsi" w:hAnsiTheme="majorHAnsi" w:cstheme="majorHAnsi"/>
                <w:color w:val="F25E21" w:themeColor="accent2"/>
                <w:sz w:val="19"/>
                <w:szCs w:val="19"/>
              </w:rPr>
              <w:t>OPTION 1</w:t>
            </w:r>
          </w:p>
        </w:tc>
        <w:tc>
          <w:tcPr>
            <w:tcW w:w="3334" w:type="dxa"/>
            <w:shd w:val="clear" w:color="auto" w:fill="E6E6E1" w:themeFill="accent5"/>
            <w:vAlign w:val="bottom"/>
          </w:tcPr>
          <w:p w14:paraId="7A210072" w14:textId="623D1CCA" w:rsidR="00A153A9" w:rsidRPr="00E2014B" w:rsidRDefault="00A153A9" w:rsidP="006E2FE4">
            <w:pPr>
              <w:pStyle w:val="TableNheader"/>
              <w:rPr>
                <w:rFonts w:asciiTheme="majorHAnsi" w:hAnsiTheme="majorHAnsi" w:cstheme="majorHAnsi"/>
                <w:sz w:val="19"/>
                <w:szCs w:val="19"/>
                <w:lang w:eastAsia="en-AU"/>
              </w:rPr>
            </w:pPr>
            <w:r w:rsidRPr="00E2014B">
              <w:rPr>
                <w:rFonts w:asciiTheme="majorHAnsi" w:hAnsiTheme="majorHAnsi" w:cstheme="majorHAnsi"/>
                <w:color w:val="F8981D" w:themeColor="accent3"/>
                <w:sz w:val="19"/>
                <w:szCs w:val="19"/>
              </w:rPr>
              <w:t>OPTION 2</w:t>
            </w:r>
          </w:p>
        </w:tc>
      </w:tr>
      <w:tr w:rsidR="00A153A9" w14:paraId="2353D7A7" w14:textId="77777777" w:rsidTr="006B713E">
        <w:trPr>
          <w:trHeight w:val="703"/>
        </w:trPr>
        <w:tc>
          <w:tcPr>
            <w:tcW w:w="2410" w:type="dxa"/>
            <w:shd w:val="clear" w:color="auto" w:fill="F2F2F2" w:themeFill="background1" w:themeFillShade="F2"/>
            <w:vAlign w:val="bottom"/>
          </w:tcPr>
          <w:p w14:paraId="2D192026" w14:textId="085069B9" w:rsidR="00A153A9" w:rsidRPr="00200B96" w:rsidRDefault="00A153A9" w:rsidP="00134136">
            <w:pPr>
              <w:rPr>
                <w:rFonts w:asciiTheme="minorHAnsi" w:hAnsiTheme="minorHAnsi" w:cstheme="minorHAnsi"/>
                <w:color w:val="F25E21" w:themeColor="accent2"/>
                <w:szCs w:val="19"/>
                <w:lang w:eastAsia="en-AU"/>
              </w:rPr>
            </w:pPr>
            <w:r w:rsidRPr="00200B96">
              <w:rPr>
                <w:rFonts w:asciiTheme="minorHAnsi" w:hAnsiTheme="minorHAnsi" w:cstheme="minorHAnsi"/>
                <w:color w:val="000000"/>
                <w:szCs w:val="19"/>
              </w:rPr>
              <w:t>Negative impact of Policy Problem</w:t>
            </w:r>
          </w:p>
        </w:tc>
        <w:tc>
          <w:tcPr>
            <w:tcW w:w="3333" w:type="dxa"/>
            <w:vAlign w:val="bottom"/>
          </w:tcPr>
          <w:p w14:paraId="37F30BCD" w14:textId="77777777" w:rsidR="00A153A9" w:rsidRPr="00200B96" w:rsidRDefault="00A153A9" w:rsidP="00134136">
            <w:pPr>
              <w:rPr>
                <w:rFonts w:asciiTheme="minorHAnsi" w:hAnsiTheme="minorHAnsi" w:cstheme="minorHAnsi"/>
                <w:szCs w:val="19"/>
                <w:lang w:eastAsia="en-AU"/>
              </w:rPr>
            </w:pPr>
            <w:r w:rsidRPr="00200B96">
              <w:rPr>
                <w:rFonts w:asciiTheme="minorHAnsi" w:hAnsiTheme="minorHAnsi" w:cstheme="minorHAnsi"/>
                <w:color w:val="000000"/>
                <w:szCs w:val="19"/>
              </w:rPr>
              <w:t>3 (High)</w:t>
            </w:r>
          </w:p>
        </w:tc>
        <w:tc>
          <w:tcPr>
            <w:tcW w:w="3334" w:type="dxa"/>
            <w:vAlign w:val="bottom"/>
          </w:tcPr>
          <w:p w14:paraId="012FD6E6" w14:textId="450FD0D9" w:rsidR="00A153A9" w:rsidRPr="00200B96" w:rsidRDefault="00A153A9" w:rsidP="00134136">
            <w:pPr>
              <w:rPr>
                <w:rFonts w:asciiTheme="minorHAnsi" w:hAnsiTheme="minorHAnsi" w:cstheme="minorHAnsi"/>
                <w:szCs w:val="19"/>
                <w:lang w:eastAsia="en-AU"/>
              </w:rPr>
            </w:pPr>
            <w:r w:rsidRPr="00200B96">
              <w:rPr>
                <w:rFonts w:asciiTheme="minorHAnsi" w:hAnsiTheme="minorHAnsi" w:cstheme="minorHAnsi"/>
                <w:color w:val="000000"/>
                <w:szCs w:val="19"/>
              </w:rPr>
              <w:t>3 (High)</w:t>
            </w:r>
          </w:p>
        </w:tc>
      </w:tr>
      <w:tr w:rsidR="00A153A9" w14:paraId="06AAF6B9" w14:textId="77777777" w:rsidTr="006B713E">
        <w:trPr>
          <w:trHeight w:val="993"/>
        </w:trPr>
        <w:tc>
          <w:tcPr>
            <w:tcW w:w="2410" w:type="dxa"/>
            <w:shd w:val="clear" w:color="auto" w:fill="F2F2F2" w:themeFill="background1" w:themeFillShade="F2"/>
            <w:vAlign w:val="bottom"/>
          </w:tcPr>
          <w:p w14:paraId="6284DE94" w14:textId="4C2E528E" w:rsidR="00A153A9" w:rsidRPr="00200B96" w:rsidRDefault="00A153A9" w:rsidP="00134136">
            <w:pPr>
              <w:rPr>
                <w:rFonts w:asciiTheme="minorHAnsi" w:hAnsiTheme="minorHAnsi" w:cstheme="minorHAnsi"/>
                <w:color w:val="F8981D" w:themeColor="accent3"/>
                <w:szCs w:val="19"/>
                <w:lang w:eastAsia="en-AU"/>
              </w:rPr>
            </w:pPr>
            <w:r w:rsidRPr="00200B96">
              <w:rPr>
                <w:rFonts w:asciiTheme="minorHAnsi" w:hAnsiTheme="minorHAnsi" w:cstheme="minorHAnsi"/>
                <w:color w:val="000000"/>
                <w:szCs w:val="19"/>
              </w:rPr>
              <w:t>Degree to which Option resolves the Policy Problem</w:t>
            </w:r>
          </w:p>
        </w:tc>
        <w:tc>
          <w:tcPr>
            <w:tcW w:w="3333" w:type="dxa"/>
            <w:vAlign w:val="bottom"/>
          </w:tcPr>
          <w:p w14:paraId="1E5BB450" w14:textId="36409E11" w:rsidR="00A153A9" w:rsidRPr="00200B96" w:rsidRDefault="00A153A9" w:rsidP="00134136">
            <w:pPr>
              <w:rPr>
                <w:rFonts w:asciiTheme="minorHAnsi" w:hAnsiTheme="minorHAnsi" w:cstheme="minorHAnsi"/>
                <w:szCs w:val="19"/>
                <w:lang w:eastAsia="en-AU"/>
              </w:rPr>
            </w:pPr>
            <w:r w:rsidRPr="00200B96">
              <w:rPr>
                <w:rFonts w:asciiTheme="minorHAnsi" w:hAnsiTheme="minorHAnsi" w:cstheme="minorHAnsi"/>
                <w:color w:val="000000"/>
                <w:szCs w:val="19"/>
              </w:rPr>
              <w:t>0 (Not at all)</w:t>
            </w:r>
          </w:p>
        </w:tc>
        <w:tc>
          <w:tcPr>
            <w:tcW w:w="3334" w:type="dxa"/>
            <w:vAlign w:val="bottom"/>
          </w:tcPr>
          <w:p w14:paraId="763FBFB8" w14:textId="23555D4E" w:rsidR="00A153A9" w:rsidRPr="00200B96" w:rsidRDefault="00A153A9" w:rsidP="004E4D63">
            <w:pPr>
              <w:spacing w:line="360" w:lineRule="auto"/>
              <w:rPr>
                <w:rFonts w:asciiTheme="minorHAnsi" w:hAnsiTheme="minorHAnsi" w:cstheme="minorHAnsi"/>
                <w:szCs w:val="19"/>
                <w:lang w:eastAsia="en-AU"/>
              </w:rPr>
            </w:pPr>
            <w:r w:rsidRPr="00200B96">
              <w:rPr>
                <w:rFonts w:asciiTheme="minorHAnsi" w:hAnsiTheme="minorHAnsi" w:cstheme="minorHAnsi"/>
                <w:color w:val="000000"/>
                <w:szCs w:val="19"/>
              </w:rPr>
              <w:t>2.5 (</w:t>
            </w:r>
            <w:r w:rsidR="004E4D63">
              <w:rPr>
                <w:rFonts w:asciiTheme="minorHAnsi" w:hAnsiTheme="minorHAnsi" w:cstheme="minorHAnsi"/>
                <w:color w:val="000000"/>
                <w:szCs w:val="19"/>
              </w:rPr>
              <w:t>Moderate</w:t>
            </w:r>
            <w:r w:rsidRPr="00200B96">
              <w:rPr>
                <w:rFonts w:asciiTheme="minorHAnsi" w:hAnsiTheme="minorHAnsi" w:cstheme="minorHAnsi"/>
                <w:color w:val="000000"/>
                <w:szCs w:val="19"/>
              </w:rPr>
              <w:t>-high)</w:t>
            </w:r>
          </w:p>
        </w:tc>
      </w:tr>
      <w:tr w:rsidR="00A153A9" w14:paraId="34D10A66" w14:textId="77777777" w:rsidTr="006B713E">
        <w:trPr>
          <w:trHeight w:val="415"/>
        </w:trPr>
        <w:tc>
          <w:tcPr>
            <w:tcW w:w="2410" w:type="dxa"/>
            <w:shd w:val="clear" w:color="auto" w:fill="F2F2F2" w:themeFill="background1" w:themeFillShade="F2"/>
            <w:vAlign w:val="bottom"/>
          </w:tcPr>
          <w:p w14:paraId="4365F83F" w14:textId="224391CB" w:rsidR="00A153A9" w:rsidRPr="00200B96" w:rsidRDefault="00A153A9" w:rsidP="004A2934">
            <w:pPr>
              <w:rPr>
                <w:rFonts w:asciiTheme="minorHAnsi" w:hAnsiTheme="minorHAnsi" w:cstheme="minorHAnsi"/>
                <w:color w:val="F8981D" w:themeColor="accent3"/>
                <w:szCs w:val="19"/>
                <w:lang w:eastAsia="en-AU"/>
              </w:rPr>
            </w:pPr>
            <w:r w:rsidRPr="00200B96">
              <w:rPr>
                <w:rFonts w:asciiTheme="minorHAnsi" w:hAnsiTheme="minorHAnsi" w:cstheme="minorHAnsi"/>
                <w:color w:val="000000"/>
                <w:szCs w:val="19"/>
              </w:rPr>
              <w:t>Total rating </w:t>
            </w:r>
          </w:p>
        </w:tc>
        <w:tc>
          <w:tcPr>
            <w:tcW w:w="3333" w:type="dxa"/>
            <w:vAlign w:val="bottom"/>
          </w:tcPr>
          <w:p w14:paraId="1B04A6B1" w14:textId="77777777" w:rsidR="00A153A9" w:rsidRPr="00200B96" w:rsidRDefault="00A153A9" w:rsidP="004A2934">
            <w:pPr>
              <w:rPr>
                <w:rFonts w:asciiTheme="minorHAnsi" w:hAnsiTheme="minorHAnsi" w:cstheme="minorHAnsi"/>
                <w:color w:val="000000"/>
                <w:szCs w:val="19"/>
              </w:rPr>
            </w:pPr>
            <w:r w:rsidRPr="00200B96">
              <w:rPr>
                <w:rFonts w:asciiTheme="minorHAnsi" w:hAnsiTheme="minorHAnsi" w:cstheme="minorHAnsi"/>
                <w:color w:val="000000"/>
                <w:szCs w:val="19"/>
              </w:rPr>
              <w:t>0</w:t>
            </w:r>
          </w:p>
        </w:tc>
        <w:tc>
          <w:tcPr>
            <w:tcW w:w="3334" w:type="dxa"/>
            <w:vAlign w:val="bottom"/>
          </w:tcPr>
          <w:p w14:paraId="39F1631A" w14:textId="60F57C0A" w:rsidR="00A153A9" w:rsidRPr="00200B96" w:rsidRDefault="004A729D" w:rsidP="004A2934">
            <w:pPr>
              <w:rPr>
                <w:rFonts w:asciiTheme="minorHAnsi" w:hAnsiTheme="minorHAnsi" w:cstheme="minorHAnsi"/>
                <w:szCs w:val="19"/>
                <w:lang w:eastAsia="en-AU"/>
              </w:rPr>
            </w:pPr>
            <w:r>
              <w:rPr>
                <w:rFonts w:asciiTheme="minorHAnsi" w:hAnsiTheme="minorHAnsi" w:cstheme="minorHAnsi"/>
                <w:szCs w:val="19"/>
                <w:lang w:eastAsia="en-AU"/>
              </w:rPr>
              <w:t>7.5</w:t>
            </w:r>
          </w:p>
        </w:tc>
      </w:tr>
    </w:tbl>
    <w:p w14:paraId="60AC063C" w14:textId="77777777" w:rsidR="00923BE4" w:rsidRDefault="00923BE4" w:rsidP="00923BE4">
      <w:pPr>
        <w:rPr>
          <w:lang w:eastAsia="en-AU"/>
        </w:rPr>
      </w:pPr>
    </w:p>
    <w:p w14:paraId="5186AADA" w14:textId="77777777" w:rsidR="00960EB6" w:rsidRDefault="00960EB6" w:rsidP="00960EB6">
      <w:r>
        <w:t xml:space="preserve">More detailed comparisons against sub-problems are described below. </w:t>
      </w:r>
    </w:p>
    <w:p w14:paraId="19F54860" w14:textId="699710CD" w:rsidR="00960EB6" w:rsidRDefault="00960EB6" w:rsidP="00960EB6">
      <w:pPr>
        <w:pStyle w:val="Heading5"/>
      </w:pPr>
      <w:r w:rsidRPr="006A34A3">
        <w:lastRenderedPageBreak/>
        <w:t>Sub-problem 1 |</w:t>
      </w:r>
      <w:r w:rsidR="00DB5ED5" w:rsidRPr="00DB5ED5">
        <w:t xml:space="preserve"> Statutory processes are rules-based rather than outcomes-</w:t>
      </w:r>
      <w:proofErr w:type="gramStart"/>
      <w:r w:rsidR="00DB5ED5" w:rsidRPr="00DB5ED5">
        <w:t>based</w:t>
      </w:r>
      <w:proofErr w:type="gramEnd"/>
      <w:r w:rsidRPr="006A34A3">
        <w:t xml:space="preserve"> </w:t>
      </w:r>
    </w:p>
    <w:p w14:paraId="46C5C02C" w14:textId="77777777" w:rsidR="00DB5ED5" w:rsidRDefault="00DB5ED5" w:rsidP="00DB5ED5">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0A989CB1" w14:textId="2B6A26E3" w:rsidR="00960EB6" w:rsidRDefault="00DB5ED5" w:rsidP="00DB5ED5">
      <w:r w:rsidRPr="00B3046A">
        <w:rPr>
          <w:rFonts w:asciiTheme="majorHAnsi" w:hAnsiTheme="majorHAnsi" w:cstheme="majorHAnsi"/>
          <w:color w:val="F8981D" w:themeColor="accent3"/>
          <w:lang w:eastAsia="en-AU"/>
        </w:rPr>
        <w:t>OPTION 2</w:t>
      </w:r>
      <w:r>
        <w:rPr>
          <w:color w:val="F8981D" w:themeColor="accent3"/>
          <w:lang w:eastAsia="en-AU"/>
        </w:rPr>
        <w:t xml:space="preserve"> </w:t>
      </w:r>
      <w:r w:rsidR="00FD5442">
        <w:t xml:space="preserve">represents significant improvements on this problem. </w:t>
      </w:r>
      <w:r w:rsidR="00960EB6">
        <w:t xml:space="preserve">Being responsive to risk would provide FSANZ and the FMM the flexibility to target resources and effort on high-risk products and important strategic priorities. This approach will maintain the necessary regulatory oversight while providing greater agility and efficiency, resulting in timelier outcomes for stakeholders. The introduction of a risk-based approach would also significantly reduce the regulatory burden on food businesses (particularly small businesses) when seeking changes to food standards. </w:t>
      </w:r>
    </w:p>
    <w:p w14:paraId="008B7F20" w14:textId="4D1A04FF" w:rsidR="00DB5ED5" w:rsidRDefault="00DB5ED5" w:rsidP="00FD5442">
      <w:pPr>
        <w:pStyle w:val="Heading5"/>
      </w:pPr>
      <w:r>
        <w:t xml:space="preserve">Sub-problem 2 | Current requirements create </w:t>
      </w:r>
      <w:r w:rsidR="00AE1205">
        <w:t>barriers</w:t>
      </w:r>
      <w:r>
        <w:t xml:space="preserve"> for Indigenous foods to be brought to </w:t>
      </w:r>
      <w:proofErr w:type="gramStart"/>
      <w:r>
        <w:t>market</w:t>
      </w:r>
      <w:proofErr w:type="gramEnd"/>
    </w:p>
    <w:p w14:paraId="21AD3201" w14:textId="77777777" w:rsidR="00DB5ED5" w:rsidRDefault="00DB5ED5" w:rsidP="00DB5ED5">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5A3AED44" w14:textId="1C29B7A0" w:rsidR="00DB5ED5" w:rsidRPr="00AE1205" w:rsidRDefault="00DB5ED5" w:rsidP="00DB5ED5">
      <w:r w:rsidRPr="00B3046A">
        <w:rPr>
          <w:rFonts w:asciiTheme="majorHAnsi" w:hAnsiTheme="majorHAnsi" w:cstheme="majorHAnsi"/>
          <w:color w:val="F8981D" w:themeColor="accent3"/>
          <w:lang w:eastAsia="en-AU"/>
        </w:rPr>
        <w:t>OPTION 2</w:t>
      </w:r>
      <w:r>
        <w:rPr>
          <w:rFonts w:asciiTheme="majorHAnsi" w:hAnsiTheme="majorHAnsi" w:cstheme="majorHAnsi"/>
          <w:color w:val="F8981D" w:themeColor="accent3"/>
          <w:lang w:eastAsia="en-AU"/>
        </w:rPr>
        <w:t xml:space="preserve"> </w:t>
      </w:r>
      <w:r>
        <w:rPr>
          <w:rFonts w:asciiTheme="minorHAnsi" w:hAnsiTheme="minorHAnsi" w:cstheme="minorHAnsi"/>
          <w:lang w:eastAsia="en-AU"/>
        </w:rPr>
        <w:t xml:space="preserve">addresses this issue in part – further work is planned as part of the broader program </w:t>
      </w:r>
      <w:r w:rsidR="00AE1205">
        <w:rPr>
          <w:rFonts w:asciiTheme="minorHAnsi" w:hAnsiTheme="minorHAnsi" w:cstheme="minorHAnsi"/>
          <w:lang w:eastAsia="en-AU"/>
        </w:rPr>
        <w:t xml:space="preserve">described on page </w:t>
      </w:r>
      <w:r w:rsidR="00AE1205">
        <w:rPr>
          <w:rFonts w:asciiTheme="minorHAnsi" w:hAnsiTheme="minorHAnsi" w:cstheme="minorHAnsi"/>
          <w:lang w:eastAsia="en-AU"/>
        </w:rPr>
        <w:fldChar w:fldCharType="begin"/>
      </w:r>
      <w:r w:rsidR="00AE1205">
        <w:rPr>
          <w:rFonts w:asciiTheme="minorHAnsi" w:hAnsiTheme="minorHAnsi" w:cstheme="minorHAnsi"/>
          <w:lang w:eastAsia="en-AU"/>
        </w:rPr>
        <w:instrText xml:space="preserve"> PAGEREF _Ref149063966 \h </w:instrText>
      </w:r>
      <w:r w:rsidR="00AE1205">
        <w:rPr>
          <w:rFonts w:asciiTheme="minorHAnsi" w:hAnsiTheme="minorHAnsi" w:cstheme="minorHAnsi"/>
          <w:lang w:eastAsia="en-AU"/>
        </w:rPr>
      </w:r>
      <w:r w:rsidR="00AE1205">
        <w:rPr>
          <w:rFonts w:asciiTheme="minorHAnsi" w:hAnsiTheme="minorHAnsi" w:cstheme="minorHAnsi"/>
          <w:lang w:eastAsia="en-AU"/>
        </w:rPr>
        <w:fldChar w:fldCharType="separate"/>
      </w:r>
      <w:r w:rsidR="003F7B92">
        <w:rPr>
          <w:rFonts w:asciiTheme="minorHAnsi" w:hAnsiTheme="minorHAnsi" w:cstheme="minorHAnsi"/>
          <w:noProof/>
          <w:lang w:eastAsia="en-AU"/>
        </w:rPr>
        <w:t>26</w:t>
      </w:r>
      <w:r w:rsidR="00AE1205">
        <w:rPr>
          <w:rFonts w:asciiTheme="minorHAnsi" w:hAnsiTheme="minorHAnsi" w:cstheme="minorHAnsi"/>
          <w:lang w:eastAsia="en-AU"/>
        </w:rPr>
        <w:fldChar w:fldCharType="end"/>
      </w:r>
      <w:r>
        <w:rPr>
          <w:rFonts w:asciiTheme="minorHAnsi" w:hAnsiTheme="minorHAnsi" w:cstheme="minorHAnsi"/>
          <w:lang w:eastAsia="en-AU"/>
        </w:rPr>
        <w:t xml:space="preserve">. </w:t>
      </w:r>
      <w:r>
        <w:t>Additional evidentiary support for traditional foods will better recognise Indigenous culture and food expertise and support more foods to enter the Australian and New Zealand markets.</w:t>
      </w:r>
    </w:p>
    <w:p w14:paraId="0CBC5799" w14:textId="5DAEBE7A" w:rsidR="00FD5442" w:rsidRDefault="00FD5442" w:rsidP="00FD5442">
      <w:pPr>
        <w:pStyle w:val="Heading5"/>
      </w:pPr>
      <w:r w:rsidRPr="00A06E34">
        <w:t xml:space="preserve">Sub-problem </w:t>
      </w:r>
      <w:r w:rsidR="00AE1205">
        <w:t>3</w:t>
      </w:r>
      <w:r w:rsidRPr="00A06E34">
        <w:t xml:space="preserve"> | Resourcing constraints have effectively </w:t>
      </w:r>
      <w:proofErr w:type="spellStart"/>
      <w:r w:rsidRPr="00A06E34">
        <w:t>preferenced</w:t>
      </w:r>
      <w:proofErr w:type="spellEnd"/>
      <w:r w:rsidRPr="00A06E34">
        <w:t xml:space="preserve"> piecemeal changes to food standards over holistic reviews</w:t>
      </w:r>
    </w:p>
    <w:p w14:paraId="7034C5C4" w14:textId="77777777" w:rsidR="00AE1205" w:rsidRDefault="00AE1205" w:rsidP="00AE1205">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0531FEEB" w14:textId="3393E2FF" w:rsidR="00FD5442" w:rsidRDefault="00AE1205" w:rsidP="00AE1205">
      <w:r w:rsidRPr="00B3046A">
        <w:rPr>
          <w:rFonts w:asciiTheme="majorHAnsi" w:hAnsiTheme="majorHAnsi" w:cstheme="majorHAnsi"/>
          <w:color w:val="F8981D" w:themeColor="accent3"/>
          <w:lang w:eastAsia="en-AU"/>
        </w:rPr>
        <w:t>OPTION 2</w:t>
      </w:r>
      <w:r>
        <w:rPr>
          <w:rFonts w:asciiTheme="majorHAnsi" w:hAnsiTheme="majorHAnsi" w:cstheme="majorHAnsi"/>
          <w:color w:val="F8981D" w:themeColor="accent3"/>
          <w:lang w:eastAsia="en-AU"/>
        </w:rPr>
        <w:t xml:space="preserve"> </w:t>
      </w:r>
      <w:r w:rsidR="00B64D79" w:rsidRPr="00617D74">
        <w:rPr>
          <w:lang w:eastAsia="en-AU"/>
        </w:rPr>
        <w:t>wou</w:t>
      </w:r>
      <w:r w:rsidR="00617D74" w:rsidRPr="00617D74">
        <w:rPr>
          <w:lang w:eastAsia="en-AU"/>
        </w:rPr>
        <w:t>l</w:t>
      </w:r>
      <w:r w:rsidR="00B64D79" w:rsidRPr="00617D74">
        <w:rPr>
          <w:lang w:eastAsia="en-AU"/>
        </w:rPr>
        <w:t xml:space="preserve">d release capacity </w:t>
      </w:r>
      <w:r w:rsidR="00054EA4" w:rsidRPr="00617D74">
        <w:rPr>
          <w:lang w:eastAsia="en-AU"/>
        </w:rPr>
        <w:t xml:space="preserve">within FSANZ and bolster resourcing allocations, </w:t>
      </w:r>
      <w:r w:rsidR="00617D74" w:rsidRPr="00617D74">
        <w:rPr>
          <w:lang w:eastAsia="en-AU"/>
        </w:rPr>
        <w:t xml:space="preserve">which help drive more regulator holistic reviews. </w:t>
      </w:r>
      <w:r w:rsidR="00FD5442">
        <w:t>Regular, holistic reviews of standards will benefit the community by providing an improved mechanism for Identifying and addressing internal conflicts and inconsistencies in food standards that eventuate from ad-hoc amendments over time. They would ensure that standards remain fit-for-purpose, particularly given changing dietary patterns and the accumulated impact of exposure to products in food over time.</w:t>
      </w:r>
    </w:p>
    <w:p w14:paraId="6A0D1E1D" w14:textId="77777777" w:rsidR="00FD5442" w:rsidRPr="008E695E" w:rsidRDefault="00FD5442" w:rsidP="00FD5442">
      <w:r>
        <w:t xml:space="preserve">Holistic reviews would also be an important opportunity to reflect contemporary research around population health risks, and to consider how regulatory tools might be appropriately used to mitigate obesity and food-related chronic disease. </w:t>
      </w:r>
    </w:p>
    <w:p w14:paraId="0CABB127" w14:textId="0174484C" w:rsidR="00FD5442" w:rsidRDefault="00D5099C" w:rsidP="00D5099C">
      <w:pPr>
        <w:pStyle w:val="Heading5"/>
      </w:pPr>
      <w:r w:rsidRPr="005F0878">
        <w:t xml:space="preserve">Sub-problem </w:t>
      </w:r>
      <w:r w:rsidR="00AE1205">
        <w:t>4</w:t>
      </w:r>
      <w:r w:rsidRPr="005F0878">
        <w:t xml:space="preserve"> | FSANZ generally defaults to developing food standards, but other regulatory measures could be more efficient to </w:t>
      </w:r>
      <w:proofErr w:type="gramStart"/>
      <w:r w:rsidRPr="005F0878">
        <w:t>create</w:t>
      </w:r>
      <w:proofErr w:type="gramEnd"/>
    </w:p>
    <w:p w14:paraId="0439B9F1" w14:textId="77777777" w:rsidR="00AE1205" w:rsidRDefault="00AE1205" w:rsidP="00AE1205">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14EA27EC" w14:textId="5B42B091" w:rsidR="00A00498" w:rsidRDefault="00AE1205" w:rsidP="00AE1205">
      <w:pPr>
        <w:rPr>
          <w:lang w:eastAsia="en-AU"/>
        </w:rPr>
      </w:pPr>
      <w:r w:rsidRPr="00B3046A">
        <w:rPr>
          <w:rFonts w:asciiTheme="majorHAnsi" w:hAnsiTheme="majorHAnsi" w:cstheme="majorHAnsi"/>
          <w:color w:val="F8981D" w:themeColor="accent3"/>
          <w:lang w:eastAsia="en-AU"/>
        </w:rPr>
        <w:t>OPTION 2</w:t>
      </w:r>
      <w:r>
        <w:rPr>
          <w:rFonts w:asciiTheme="majorHAnsi" w:hAnsiTheme="majorHAnsi" w:cstheme="majorHAnsi"/>
          <w:color w:val="F8981D" w:themeColor="accent3"/>
          <w:lang w:eastAsia="en-AU"/>
        </w:rPr>
        <w:t xml:space="preserve"> </w:t>
      </w:r>
      <w:r w:rsidR="00D5099C" w:rsidRPr="008D05F3">
        <w:rPr>
          <w:lang w:eastAsia="en-AU"/>
        </w:rPr>
        <w:t xml:space="preserve">would lead to greater uptake of </w:t>
      </w:r>
      <w:r w:rsidR="008D05F3" w:rsidRPr="008D05F3">
        <w:rPr>
          <w:lang w:eastAsia="en-AU"/>
        </w:rPr>
        <w:t xml:space="preserve">other food regulatory measures, where appropriate. </w:t>
      </w:r>
      <w:r w:rsidR="008D05F3">
        <w:t xml:space="preserve">The use of </w:t>
      </w:r>
      <w:r w:rsidR="008117F8">
        <w:t>Codes of Practice</w:t>
      </w:r>
      <w:r w:rsidR="008D05F3">
        <w:t xml:space="preserve"> and guidelines for low-risk matters will improve certainty about regulatory obligations and ability to seek clarity on priority issues while capitalising on more efficient statutory processes.</w:t>
      </w:r>
    </w:p>
    <w:p w14:paraId="403CE2CB" w14:textId="20E2DF11" w:rsidR="0084403B" w:rsidRDefault="00060FD1" w:rsidP="00923BE4">
      <w:r w:rsidRPr="00206ACA">
        <w:rPr>
          <w:noProof/>
          <w:lang w:eastAsia="en-AU"/>
        </w:rPr>
        <w:drawing>
          <wp:anchor distT="0" distB="0" distL="114300" distR="114300" simplePos="0" relativeHeight="251658257" behindDoc="0" locked="0" layoutInCell="1" allowOverlap="1" wp14:anchorId="64BFEC12" wp14:editId="757E843B">
            <wp:simplePos x="0" y="0"/>
            <wp:positionH relativeFrom="column">
              <wp:posOffset>-989965</wp:posOffset>
            </wp:positionH>
            <wp:positionV relativeFrom="paragraph">
              <wp:posOffset>72390</wp:posOffset>
            </wp:positionV>
            <wp:extent cx="1566545" cy="339725"/>
            <wp:effectExtent l="0" t="0" r="0" b="3175"/>
            <wp:wrapNone/>
            <wp:docPr id="27853" name="Picture 27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3" name="Picture 27853">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66545" cy="339725"/>
                    </a:xfrm>
                    <a:prstGeom prst="rect">
                      <a:avLst/>
                    </a:prstGeom>
                  </pic:spPr>
                </pic:pic>
              </a:graphicData>
            </a:graphic>
          </wp:anchor>
        </w:drawing>
      </w:r>
    </w:p>
    <w:p w14:paraId="3B4B00C1" w14:textId="0DA9FF53" w:rsidR="00923BE4" w:rsidRPr="00E95C57" w:rsidRDefault="00923BE4" w:rsidP="008212FC">
      <w:pPr>
        <w:pStyle w:val="Heading3"/>
      </w:pPr>
      <w:r w:rsidRPr="00066D7B">
        <w:t xml:space="preserve">Policy </w:t>
      </w:r>
      <w:r>
        <w:t>P</w:t>
      </w:r>
      <w:r w:rsidRPr="00066D7B">
        <w:t xml:space="preserve">roblem </w:t>
      </w:r>
      <w:r>
        <w:t>3</w:t>
      </w:r>
      <w:r w:rsidRPr="00066D7B">
        <w:t xml:space="preserve"> | </w:t>
      </w:r>
      <w:r>
        <w:t xml:space="preserve">Elements of operations </w:t>
      </w:r>
      <w:r w:rsidR="009A192A">
        <w:t xml:space="preserve">outlined in the FSANZ Act </w:t>
      </w:r>
      <w:r>
        <w:t xml:space="preserve">are </w:t>
      </w:r>
      <w:proofErr w:type="gramStart"/>
      <w:r>
        <w:t>inefficient</w:t>
      </w:r>
      <w:proofErr w:type="gramEnd"/>
      <w:r w:rsidR="009A192A">
        <w:t xml:space="preserve"> </w:t>
      </w:r>
    </w:p>
    <w:p w14:paraId="4768CC65" w14:textId="53C04F0E" w:rsidR="00923BE4" w:rsidRDefault="00923BE4" w:rsidP="008212FC">
      <w:pPr>
        <w:spacing w:line="240" w:lineRule="auto"/>
        <w:rPr>
          <w:lang w:eastAsia="en-AU"/>
        </w:rPr>
      </w:pPr>
      <w:r>
        <w:rPr>
          <w:lang w:eastAsia="en-AU"/>
        </w:rPr>
        <w:t xml:space="preserve">Policy Problem 3 identifies shortcomings in the efficiency of </w:t>
      </w:r>
      <w:r w:rsidR="004E4D63">
        <w:rPr>
          <w:lang w:eastAsia="en-AU"/>
        </w:rPr>
        <w:t>FSANZ’</w:t>
      </w:r>
      <w:r w:rsidR="005D04DB">
        <w:rPr>
          <w:lang w:eastAsia="en-AU"/>
        </w:rPr>
        <w:t>s</w:t>
      </w:r>
      <w:r>
        <w:rPr>
          <w:lang w:eastAsia="en-AU"/>
        </w:rPr>
        <w:t xml:space="preserve"> governance and operations. The negative impact of this problem has been rated as </w:t>
      </w:r>
      <w:r w:rsidR="00C51757">
        <w:rPr>
          <w:lang w:eastAsia="en-AU"/>
        </w:rPr>
        <w:t xml:space="preserve">2 (moderate). </w:t>
      </w:r>
    </w:p>
    <w:p w14:paraId="389C7F02" w14:textId="244D4DF9" w:rsidR="00982727" w:rsidRDefault="00923BE4" w:rsidP="00FC6243">
      <w:pPr>
        <w:spacing w:line="240" w:lineRule="auto"/>
        <w:rPr>
          <w:lang w:eastAsia="en-AU"/>
        </w:rPr>
      </w:pPr>
      <w:r>
        <w:rPr>
          <w:lang w:eastAsia="en-AU"/>
        </w:rPr>
        <w:t>Analysis reveals that Option 1 does not address the Policy Problem in any capacity, while</w:t>
      </w:r>
      <w:r w:rsidR="00C9117C">
        <w:rPr>
          <w:lang w:eastAsia="en-AU"/>
        </w:rPr>
        <w:t xml:space="preserve"> </w:t>
      </w:r>
      <w:r>
        <w:rPr>
          <w:lang w:eastAsia="en-AU"/>
        </w:rPr>
        <w:t xml:space="preserve">Option 2 significantly address the Problem. The corresponding scores for each are summarised in </w:t>
      </w:r>
      <w:bookmarkStart w:id="126" w:name="_Ref142064719"/>
      <w:r w:rsidR="00FC6243">
        <w:rPr>
          <w:lang w:eastAsia="en-AU"/>
        </w:rPr>
        <w:fldChar w:fldCharType="begin"/>
      </w:r>
      <w:r w:rsidR="00FC6243">
        <w:rPr>
          <w:lang w:eastAsia="en-AU"/>
        </w:rPr>
        <w:instrText xml:space="preserve"> REF _Ref150757654 \h </w:instrText>
      </w:r>
      <w:r w:rsidR="00FC6243">
        <w:rPr>
          <w:lang w:eastAsia="en-AU"/>
        </w:rPr>
      </w:r>
      <w:r w:rsidR="00FC6243">
        <w:rPr>
          <w:lang w:eastAsia="en-AU"/>
        </w:rPr>
        <w:fldChar w:fldCharType="separate"/>
      </w:r>
      <w:r w:rsidR="003F7B92">
        <w:t xml:space="preserve">Table </w:t>
      </w:r>
      <w:r w:rsidR="003F7B92">
        <w:rPr>
          <w:noProof/>
        </w:rPr>
        <w:t>24</w:t>
      </w:r>
      <w:r w:rsidR="00FC6243">
        <w:rPr>
          <w:lang w:eastAsia="en-AU"/>
        </w:rPr>
        <w:fldChar w:fldCharType="end"/>
      </w:r>
      <w:r w:rsidR="00FC6243">
        <w:rPr>
          <w:lang w:eastAsia="en-AU"/>
        </w:rPr>
        <w:t>.</w:t>
      </w:r>
    </w:p>
    <w:p w14:paraId="71470018" w14:textId="77777777" w:rsidR="00FC6243" w:rsidRDefault="00FC6243" w:rsidP="00FC6243">
      <w:pPr>
        <w:spacing w:line="240" w:lineRule="auto"/>
      </w:pPr>
    </w:p>
    <w:p w14:paraId="419DAA44" w14:textId="77777777" w:rsidR="00FC6243" w:rsidRPr="00982727" w:rsidRDefault="00FC6243" w:rsidP="00982727"/>
    <w:p w14:paraId="41F0B00D" w14:textId="3800D9E4" w:rsidR="00923BE4" w:rsidRDefault="00923BE4" w:rsidP="00923BE4">
      <w:pPr>
        <w:pStyle w:val="Caption"/>
        <w:rPr>
          <w:lang w:eastAsia="en-AU"/>
        </w:rPr>
      </w:pPr>
      <w:bookmarkStart w:id="127" w:name="_Ref150757654"/>
      <w:r>
        <w:t xml:space="preserve">Table </w:t>
      </w:r>
      <w:r>
        <w:fldChar w:fldCharType="begin"/>
      </w:r>
      <w:r>
        <w:instrText xml:space="preserve"> SEQ Table \* ARABIC </w:instrText>
      </w:r>
      <w:r>
        <w:fldChar w:fldCharType="separate"/>
      </w:r>
      <w:r w:rsidR="003F7B92">
        <w:rPr>
          <w:noProof/>
        </w:rPr>
        <w:t>24</w:t>
      </w:r>
      <w:r>
        <w:fldChar w:fldCharType="end"/>
      </w:r>
      <w:bookmarkEnd w:id="126"/>
      <w:bookmarkEnd w:id="127"/>
      <w:r>
        <w:t xml:space="preserve"> | </w:t>
      </w:r>
      <w:r w:rsidRPr="005063C1">
        <w:t xml:space="preserve">Assessment of options against </w:t>
      </w:r>
      <w:r w:rsidR="005C4302">
        <w:t>Policy Problem</w:t>
      </w:r>
      <w:r w:rsidR="005C4302" w:rsidRPr="005063C1">
        <w:t xml:space="preserve"> </w:t>
      </w:r>
      <w:r>
        <w:t>3</w:t>
      </w:r>
    </w:p>
    <w:tbl>
      <w:tblPr>
        <w:tblStyle w:val="TableGrid"/>
        <w:tblW w:w="8847" w:type="dxa"/>
        <w:tblLook w:val="0680" w:firstRow="0" w:lastRow="0" w:firstColumn="1" w:lastColumn="0" w:noHBand="1" w:noVBand="1"/>
      </w:tblPr>
      <w:tblGrid>
        <w:gridCol w:w="2308"/>
        <w:gridCol w:w="3269"/>
        <w:gridCol w:w="3270"/>
      </w:tblGrid>
      <w:tr w:rsidR="00576A8B" w14:paraId="4FE2CDCF" w14:textId="77777777" w:rsidTr="00576A8B">
        <w:trPr>
          <w:trHeight w:val="364"/>
        </w:trPr>
        <w:tc>
          <w:tcPr>
            <w:tcW w:w="2308" w:type="dxa"/>
            <w:shd w:val="clear" w:color="auto" w:fill="E6E6E1" w:themeFill="accent5"/>
            <w:vAlign w:val="bottom"/>
          </w:tcPr>
          <w:p w14:paraId="499EAACE" w14:textId="77777777" w:rsidR="00576A8B" w:rsidRPr="00200B96" w:rsidRDefault="00576A8B" w:rsidP="006E2FE4">
            <w:pPr>
              <w:pStyle w:val="TableNheader"/>
              <w:rPr>
                <w:rFonts w:asciiTheme="minorHAnsi" w:hAnsiTheme="minorHAnsi" w:cstheme="minorHAnsi"/>
                <w:sz w:val="19"/>
                <w:szCs w:val="19"/>
                <w:lang w:eastAsia="en-AU"/>
              </w:rPr>
            </w:pPr>
            <w:r w:rsidRPr="00200B96">
              <w:rPr>
                <w:rFonts w:asciiTheme="minorHAnsi" w:hAnsiTheme="minorHAnsi" w:cstheme="minorHAnsi"/>
                <w:color w:val="000000"/>
                <w:sz w:val="19"/>
                <w:szCs w:val="19"/>
              </w:rPr>
              <w:t>Option</w:t>
            </w:r>
          </w:p>
        </w:tc>
        <w:tc>
          <w:tcPr>
            <w:tcW w:w="3269" w:type="dxa"/>
            <w:shd w:val="clear" w:color="auto" w:fill="E6E6E1" w:themeFill="accent5"/>
            <w:vAlign w:val="bottom"/>
          </w:tcPr>
          <w:p w14:paraId="670B70A2" w14:textId="7EE335C8" w:rsidR="00576A8B" w:rsidRPr="00E2014B" w:rsidRDefault="00576A8B" w:rsidP="006E2FE4">
            <w:pPr>
              <w:pStyle w:val="TableNheader"/>
              <w:rPr>
                <w:rFonts w:asciiTheme="majorHAnsi" w:hAnsiTheme="majorHAnsi" w:cstheme="majorHAnsi"/>
                <w:sz w:val="19"/>
                <w:szCs w:val="19"/>
                <w:lang w:eastAsia="en-AU"/>
              </w:rPr>
            </w:pPr>
            <w:r w:rsidRPr="00E2014B">
              <w:rPr>
                <w:rFonts w:asciiTheme="majorHAnsi" w:hAnsiTheme="majorHAnsi" w:cstheme="majorHAnsi"/>
                <w:color w:val="F25E21" w:themeColor="accent2"/>
                <w:sz w:val="19"/>
                <w:szCs w:val="19"/>
              </w:rPr>
              <w:t>OPTION 1</w:t>
            </w:r>
          </w:p>
        </w:tc>
        <w:tc>
          <w:tcPr>
            <w:tcW w:w="3270" w:type="dxa"/>
            <w:shd w:val="clear" w:color="auto" w:fill="E6E6E1" w:themeFill="accent5"/>
            <w:vAlign w:val="bottom"/>
          </w:tcPr>
          <w:p w14:paraId="66A12A5B" w14:textId="42E62CD7" w:rsidR="00576A8B" w:rsidRPr="00E2014B" w:rsidRDefault="00576A8B" w:rsidP="006E2FE4">
            <w:pPr>
              <w:pStyle w:val="TableNheader"/>
              <w:rPr>
                <w:rFonts w:asciiTheme="majorHAnsi" w:hAnsiTheme="majorHAnsi" w:cstheme="majorHAnsi"/>
                <w:sz w:val="19"/>
                <w:szCs w:val="19"/>
                <w:lang w:eastAsia="en-AU"/>
              </w:rPr>
            </w:pPr>
            <w:r w:rsidRPr="00E2014B">
              <w:rPr>
                <w:rFonts w:asciiTheme="majorHAnsi" w:hAnsiTheme="majorHAnsi" w:cstheme="majorHAnsi"/>
                <w:color w:val="F8981D" w:themeColor="accent3"/>
                <w:sz w:val="19"/>
                <w:szCs w:val="19"/>
              </w:rPr>
              <w:t>OPTION 2</w:t>
            </w:r>
          </w:p>
        </w:tc>
      </w:tr>
      <w:tr w:rsidR="00576A8B" w14:paraId="44499A51" w14:textId="77777777" w:rsidTr="00576A8B">
        <w:trPr>
          <w:trHeight w:val="697"/>
        </w:trPr>
        <w:tc>
          <w:tcPr>
            <w:tcW w:w="2308" w:type="dxa"/>
            <w:shd w:val="clear" w:color="auto" w:fill="F2F2F2" w:themeFill="background1" w:themeFillShade="F2"/>
            <w:vAlign w:val="bottom"/>
          </w:tcPr>
          <w:p w14:paraId="4AFE557E" w14:textId="74A6CA72" w:rsidR="00576A8B" w:rsidRPr="00200B96" w:rsidRDefault="00576A8B" w:rsidP="00134136">
            <w:pPr>
              <w:rPr>
                <w:rFonts w:asciiTheme="minorHAnsi" w:hAnsiTheme="minorHAnsi" w:cstheme="minorHAnsi"/>
                <w:color w:val="F8981D" w:themeColor="accent3"/>
                <w:szCs w:val="19"/>
                <w:lang w:eastAsia="en-AU"/>
              </w:rPr>
            </w:pPr>
            <w:r w:rsidRPr="00200B96">
              <w:rPr>
                <w:rFonts w:asciiTheme="minorHAnsi" w:hAnsiTheme="minorHAnsi" w:cstheme="minorHAnsi"/>
                <w:color w:val="000000"/>
                <w:szCs w:val="19"/>
              </w:rPr>
              <w:t>Negative impact of Policy Problem</w:t>
            </w:r>
          </w:p>
        </w:tc>
        <w:tc>
          <w:tcPr>
            <w:tcW w:w="3269" w:type="dxa"/>
            <w:vAlign w:val="bottom"/>
          </w:tcPr>
          <w:p w14:paraId="1A228DB4" w14:textId="2C459FFB" w:rsidR="00576A8B" w:rsidRPr="00200B96" w:rsidRDefault="00576A8B" w:rsidP="00134136">
            <w:pPr>
              <w:rPr>
                <w:rFonts w:asciiTheme="minorHAnsi" w:hAnsiTheme="minorHAnsi" w:cstheme="minorHAnsi"/>
                <w:szCs w:val="19"/>
                <w:lang w:eastAsia="en-AU"/>
              </w:rPr>
            </w:pPr>
            <w:r w:rsidRPr="00200B96">
              <w:rPr>
                <w:rFonts w:asciiTheme="minorHAnsi" w:hAnsiTheme="minorHAnsi" w:cstheme="minorHAnsi"/>
                <w:color w:val="000000"/>
                <w:szCs w:val="19"/>
              </w:rPr>
              <w:t>2 (moderate)</w:t>
            </w:r>
          </w:p>
        </w:tc>
        <w:tc>
          <w:tcPr>
            <w:tcW w:w="3270" w:type="dxa"/>
            <w:vAlign w:val="bottom"/>
          </w:tcPr>
          <w:p w14:paraId="1A081CE7" w14:textId="27085CF1" w:rsidR="00576A8B" w:rsidRPr="00200B96" w:rsidRDefault="00576A8B" w:rsidP="00134136">
            <w:pPr>
              <w:rPr>
                <w:rFonts w:asciiTheme="minorHAnsi" w:hAnsiTheme="minorHAnsi" w:cstheme="minorHAnsi"/>
                <w:szCs w:val="19"/>
                <w:lang w:eastAsia="en-AU"/>
              </w:rPr>
            </w:pPr>
            <w:r w:rsidRPr="00200B96">
              <w:rPr>
                <w:rFonts w:asciiTheme="minorHAnsi" w:hAnsiTheme="minorHAnsi" w:cstheme="minorHAnsi"/>
                <w:color w:val="000000"/>
                <w:szCs w:val="19"/>
              </w:rPr>
              <w:t>2 (moderate)</w:t>
            </w:r>
          </w:p>
        </w:tc>
      </w:tr>
      <w:tr w:rsidR="00576A8B" w14:paraId="17523067" w14:textId="77777777" w:rsidTr="00576A8B">
        <w:trPr>
          <w:trHeight w:val="983"/>
        </w:trPr>
        <w:tc>
          <w:tcPr>
            <w:tcW w:w="2308" w:type="dxa"/>
            <w:shd w:val="clear" w:color="auto" w:fill="F2F2F2" w:themeFill="background1" w:themeFillShade="F2"/>
            <w:vAlign w:val="bottom"/>
          </w:tcPr>
          <w:p w14:paraId="56B1EB71" w14:textId="34A4752B" w:rsidR="00576A8B" w:rsidRPr="00200B96" w:rsidRDefault="00576A8B" w:rsidP="00134136">
            <w:pPr>
              <w:rPr>
                <w:rFonts w:asciiTheme="minorHAnsi" w:hAnsiTheme="minorHAnsi" w:cstheme="minorHAnsi"/>
                <w:color w:val="F8981D" w:themeColor="accent3"/>
                <w:szCs w:val="19"/>
                <w:lang w:eastAsia="en-AU"/>
              </w:rPr>
            </w:pPr>
            <w:r w:rsidRPr="00200B96">
              <w:rPr>
                <w:rFonts w:asciiTheme="minorHAnsi" w:hAnsiTheme="minorHAnsi" w:cstheme="minorHAnsi"/>
                <w:color w:val="000000"/>
                <w:szCs w:val="19"/>
              </w:rPr>
              <w:t>Degree to which Option resolves the Policy Problem</w:t>
            </w:r>
          </w:p>
        </w:tc>
        <w:tc>
          <w:tcPr>
            <w:tcW w:w="3269" w:type="dxa"/>
            <w:vAlign w:val="bottom"/>
          </w:tcPr>
          <w:p w14:paraId="02A23BFA" w14:textId="55682335" w:rsidR="00576A8B" w:rsidRPr="00200B96" w:rsidRDefault="00576A8B" w:rsidP="00134136">
            <w:pPr>
              <w:rPr>
                <w:rFonts w:asciiTheme="minorHAnsi" w:hAnsiTheme="minorHAnsi" w:cstheme="minorHAnsi"/>
                <w:szCs w:val="19"/>
                <w:lang w:eastAsia="en-AU"/>
              </w:rPr>
            </w:pPr>
            <w:r w:rsidRPr="00200B96">
              <w:rPr>
                <w:rFonts w:asciiTheme="minorHAnsi" w:hAnsiTheme="minorHAnsi" w:cstheme="minorHAnsi"/>
                <w:color w:val="000000"/>
                <w:szCs w:val="19"/>
              </w:rPr>
              <w:t>0 (Not at all)</w:t>
            </w:r>
          </w:p>
        </w:tc>
        <w:tc>
          <w:tcPr>
            <w:tcW w:w="3270" w:type="dxa"/>
            <w:vAlign w:val="bottom"/>
          </w:tcPr>
          <w:p w14:paraId="476C0D97" w14:textId="3C908962" w:rsidR="00576A8B" w:rsidRPr="00200B96" w:rsidRDefault="00576A8B" w:rsidP="004E4D63">
            <w:pPr>
              <w:spacing w:line="360" w:lineRule="auto"/>
              <w:rPr>
                <w:rFonts w:asciiTheme="minorHAnsi" w:hAnsiTheme="minorHAnsi" w:cstheme="minorHAnsi"/>
                <w:szCs w:val="19"/>
                <w:lang w:eastAsia="en-AU"/>
              </w:rPr>
            </w:pPr>
            <w:r w:rsidRPr="00200B96">
              <w:rPr>
                <w:rFonts w:asciiTheme="minorHAnsi" w:hAnsiTheme="minorHAnsi" w:cstheme="minorHAnsi"/>
                <w:color w:val="000000"/>
                <w:szCs w:val="19"/>
              </w:rPr>
              <w:t>2.5 (</w:t>
            </w:r>
            <w:r w:rsidR="004E4D63">
              <w:rPr>
                <w:rFonts w:asciiTheme="minorHAnsi" w:hAnsiTheme="minorHAnsi" w:cstheme="minorHAnsi"/>
                <w:color w:val="000000"/>
                <w:szCs w:val="19"/>
              </w:rPr>
              <w:t>Moderate</w:t>
            </w:r>
            <w:r w:rsidRPr="00200B96">
              <w:rPr>
                <w:rFonts w:asciiTheme="minorHAnsi" w:hAnsiTheme="minorHAnsi" w:cstheme="minorHAnsi"/>
                <w:color w:val="000000"/>
                <w:szCs w:val="19"/>
              </w:rPr>
              <w:t>-high)</w:t>
            </w:r>
          </w:p>
        </w:tc>
      </w:tr>
      <w:tr w:rsidR="00576A8B" w14:paraId="46BFA158" w14:textId="77777777" w:rsidTr="00C06A6A">
        <w:trPr>
          <w:trHeight w:val="412"/>
        </w:trPr>
        <w:tc>
          <w:tcPr>
            <w:tcW w:w="2308" w:type="dxa"/>
            <w:shd w:val="clear" w:color="auto" w:fill="F2F2F2" w:themeFill="background1" w:themeFillShade="F2"/>
            <w:vAlign w:val="bottom"/>
          </w:tcPr>
          <w:p w14:paraId="4403280B" w14:textId="028229B5" w:rsidR="00576A8B" w:rsidRPr="00200B96" w:rsidRDefault="00576A8B" w:rsidP="00134136">
            <w:pPr>
              <w:rPr>
                <w:rFonts w:asciiTheme="minorHAnsi" w:hAnsiTheme="minorHAnsi" w:cstheme="minorHAnsi"/>
                <w:color w:val="F8981D" w:themeColor="accent3"/>
                <w:szCs w:val="19"/>
                <w:lang w:eastAsia="en-AU"/>
              </w:rPr>
            </w:pPr>
            <w:r w:rsidRPr="00200B96">
              <w:rPr>
                <w:rFonts w:asciiTheme="minorHAnsi" w:hAnsiTheme="minorHAnsi" w:cstheme="minorHAnsi"/>
                <w:color w:val="000000"/>
                <w:szCs w:val="19"/>
              </w:rPr>
              <w:t>Total rating </w:t>
            </w:r>
          </w:p>
        </w:tc>
        <w:tc>
          <w:tcPr>
            <w:tcW w:w="3269" w:type="dxa"/>
            <w:vAlign w:val="bottom"/>
          </w:tcPr>
          <w:p w14:paraId="32C923AA" w14:textId="77777777" w:rsidR="00576A8B" w:rsidRPr="00200B96" w:rsidRDefault="00576A8B" w:rsidP="00134136">
            <w:pPr>
              <w:rPr>
                <w:rFonts w:asciiTheme="minorHAnsi" w:hAnsiTheme="minorHAnsi" w:cstheme="minorHAnsi"/>
                <w:color w:val="000000"/>
                <w:szCs w:val="19"/>
              </w:rPr>
            </w:pPr>
            <w:r w:rsidRPr="00200B96">
              <w:rPr>
                <w:rFonts w:asciiTheme="minorHAnsi" w:hAnsiTheme="minorHAnsi" w:cstheme="minorHAnsi"/>
                <w:color w:val="000000"/>
                <w:szCs w:val="19"/>
              </w:rPr>
              <w:t>0</w:t>
            </w:r>
          </w:p>
        </w:tc>
        <w:tc>
          <w:tcPr>
            <w:tcW w:w="3270" w:type="dxa"/>
            <w:vAlign w:val="bottom"/>
          </w:tcPr>
          <w:p w14:paraId="48240164" w14:textId="2E1303CA" w:rsidR="00576A8B" w:rsidRPr="00200B96" w:rsidRDefault="00576A8B" w:rsidP="00134136">
            <w:pPr>
              <w:rPr>
                <w:rFonts w:asciiTheme="minorHAnsi" w:hAnsiTheme="minorHAnsi" w:cstheme="minorHAnsi"/>
                <w:szCs w:val="19"/>
                <w:lang w:eastAsia="en-AU"/>
              </w:rPr>
            </w:pPr>
            <w:r>
              <w:rPr>
                <w:rFonts w:asciiTheme="minorHAnsi" w:hAnsiTheme="minorHAnsi" w:cstheme="minorHAnsi"/>
                <w:szCs w:val="19"/>
                <w:lang w:eastAsia="en-AU"/>
              </w:rPr>
              <w:t>5</w:t>
            </w:r>
          </w:p>
        </w:tc>
      </w:tr>
    </w:tbl>
    <w:p w14:paraId="48C3ADD5" w14:textId="77777777" w:rsidR="00923BE4" w:rsidRDefault="00923BE4" w:rsidP="00923BE4">
      <w:pPr>
        <w:rPr>
          <w:lang w:eastAsia="en-AU"/>
        </w:rPr>
      </w:pPr>
    </w:p>
    <w:p w14:paraId="7B7551B6" w14:textId="77777777" w:rsidR="008D05F3" w:rsidRDefault="008D05F3" w:rsidP="008D05F3">
      <w:r>
        <w:t xml:space="preserve">More detailed comparisons against sub-problems are described below. </w:t>
      </w:r>
    </w:p>
    <w:p w14:paraId="17A50C62" w14:textId="3F9A5BFC" w:rsidR="009B3620" w:rsidRPr="00C87D1A" w:rsidRDefault="009B3620" w:rsidP="009B3620">
      <w:pPr>
        <w:pStyle w:val="Heading5"/>
      </w:pPr>
      <w:r w:rsidRPr="00C87D1A">
        <w:t xml:space="preserve">Sub-problem 1 | </w:t>
      </w:r>
      <w:r w:rsidR="000250FA" w:rsidRPr="000250FA">
        <w:t xml:space="preserve">Current legislative provisions prohibit nominations and appointment processes for the FSANZ Boards from adopting best </w:t>
      </w:r>
      <w:proofErr w:type="gramStart"/>
      <w:r w:rsidR="000250FA" w:rsidRPr="000250FA">
        <w:t>practice</w:t>
      </w:r>
      <w:proofErr w:type="gramEnd"/>
    </w:p>
    <w:p w14:paraId="7AAD074F" w14:textId="77777777" w:rsidR="003D1595" w:rsidRDefault="003D1595" w:rsidP="003D1595">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631A9BEC" w14:textId="30D3C9F3" w:rsidR="009B3620" w:rsidRDefault="003D1595" w:rsidP="008212FC">
      <w:pPr>
        <w:spacing w:line="240" w:lineRule="auto"/>
      </w:pPr>
      <w:r w:rsidRPr="00B3046A">
        <w:rPr>
          <w:rFonts w:asciiTheme="majorHAnsi" w:hAnsiTheme="majorHAnsi" w:cstheme="majorHAnsi"/>
          <w:color w:val="F8981D" w:themeColor="accent3"/>
          <w:lang w:eastAsia="en-AU"/>
        </w:rPr>
        <w:t>OPTION 2</w:t>
      </w:r>
      <w:r>
        <w:rPr>
          <w:rFonts w:asciiTheme="majorHAnsi" w:hAnsiTheme="majorHAnsi" w:cstheme="majorHAnsi"/>
          <w:color w:val="F8981D" w:themeColor="accent3"/>
          <w:lang w:eastAsia="en-AU"/>
        </w:rPr>
        <w:t xml:space="preserve"> </w:t>
      </w:r>
      <w:r w:rsidR="009A1CEC" w:rsidRPr="009A1CEC">
        <w:rPr>
          <w:lang w:eastAsia="en-AU"/>
        </w:rPr>
        <w:t xml:space="preserve">would remove legislative impediments. </w:t>
      </w:r>
      <w:r w:rsidR="009A1CEC">
        <w:t xml:space="preserve">The suggested changes to </w:t>
      </w:r>
      <w:r w:rsidR="004E4D63">
        <w:t>FSANZ’</w:t>
      </w:r>
      <w:r w:rsidR="005D04DB">
        <w:t>s</w:t>
      </w:r>
      <w:r w:rsidR="009A1CEC">
        <w:t xml:space="preserve"> legislated governance arrangements would contribute to better, more </w:t>
      </w:r>
      <w:proofErr w:type="gramStart"/>
      <w:r w:rsidR="009A1CEC">
        <w:t>efficient</w:t>
      </w:r>
      <w:proofErr w:type="gramEnd"/>
      <w:r w:rsidR="009A1CEC">
        <w:t xml:space="preserve"> and effective decision-making. The compositional requirements of the Board would be updated to ensure it has the skills and experiences to govern over the contemporary issued faced by FSANZ.</w:t>
      </w:r>
    </w:p>
    <w:p w14:paraId="1CB17E5C" w14:textId="6425CA3C" w:rsidR="008633BE" w:rsidRDefault="008633BE" w:rsidP="008633BE">
      <w:pPr>
        <w:pStyle w:val="Heading5"/>
      </w:pPr>
      <w:r w:rsidRPr="00997AE5">
        <w:t>Sub-problem 2 | Long-term decreases in funding ha</w:t>
      </w:r>
      <w:r w:rsidR="003D1595">
        <w:t>ve</w:t>
      </w:r>
      <w:r w:rsidRPr="00997AE5">
        <w:t xml:space="preserve"> created significant resourcing pressure and is forcing FSANZ to focus on only a subset of its statutory </w:t>
      </w:r>
      <w:proofErr w:type="gramStart"/>
      <w:r w:rsidRPr="00997AE5">
        <w:t>functions</w:t>
      </w:r>
      <w:proofErr w:type="gramEnd"/>
    </w:p>
    <w:p w14:paraId="0F51B381" w14:textId="77777777" w:rsidR="003D1595" w:rsidRDefault="003D1595" w:rsidP="003D1595">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0CD4BC9D" w14:textId="4C602631" w:rsidR="00754843" w:rsidRDefault="003D1595" w:rsidP="003D1595">
      <w:r w:rsidRPr="00B3046A">
        <w:rPr>
          <w:rFonts w:asciiTheme="majorHAnsi" w:hAnsiTheme="majorHAnsi" w:cstheme="majorHAnsi"/>
          <w:color w:val="F8981D" w:themeColor="accent3"/>
          <w:lang w:eastAsia="en-AU"/>
        </w:rPr>
        <w:t>OPTION 2</w:t>
      </w:r>
      <w:r>
        <w:rPr>
          <w:rFonts w:asciiTheme="majorHAnsi" w:hAnsiTheme="majorHAnsi" w:cstheme="majorHAnsi"/>
          <w:color w:val="F8981D" w:themeColor="accent3"/>
          <w:lang w:eastAsia="en-AU"/>
        </w:rPr>
        <w:t xml:space="preserve"> </w:t>
      </w:r>
      <w:r w:rsidR="00754843" w:rsidRPr="00754843">
        <w:rPr>
          <w:lang w:eastAsia="en-AU"/>
        </w:rPr>
        <w:t xml:space="preserve">would go some way in improving capacity within FSANZ. </w:t>
      </w:r>
      <w:r w:rsidR="00754843">
        <w:t>The cost recovery mechanisms proposed vary in how effectively they would sustainably mitigate resourcing pressures for FSANZ in the long-term. One-off cost recovery mechanisms like fees associated with co-ordinating food recalls and entrepreneurial activity offer less predictable funding than would be provided through an industry-wide levy. More consistent and sustainable funding would more effectively address the policy problems by enabling FSANZ to efficiently prioritise its most valuable projects based on a clear understanding of its available resources.</w:t>
      </w:r>
    </w:p>
    <w:p w14:paraId="45A4AF51" w14:textId="15438B64" w:rsidR="005429F7" w:rsidRDefault="00754843" w:rsidP="00923BE4">
      <w:r>
        <w:t>This option does not contemplate changes to the substantive funding arrangements for FSANZ that are currently shared between the Australian and New Zealand Governments, as this is not in scope of the FSANZ Act.</w:t>
      </w:r>
    </w:p>
    <w:p w14:paraId="085372CD" w14:textId="5B4739BE" w:rsidR="003E1C2C" w:rsidRDefault="00393513" w:rsidP="00923BE4">
      <w:pPr>
        <w:rPr>
          <w:lang w:eastAsia="en-AU"/>
        </w:rPr>
      </w:pPr>
      <w:r w:rsidRPr="00206ACA">
        <w:rPr>
          <w:noProof/>
          <w:lang w:eastAsia="en-AU"/>
        </w:rPr>
        <w:drawing>
          <wp:anchor distT="0" distB="0" distL="114300" distR="114300" simplePos="0" relativeHeight="251658263" behindDoc="0" locked="0" layoutInCell="1" allowOverlap="1" wp14:anchorId="1EC11A5D" wp14:editId="41EBB510">
            <wp:simplePos x="0" y="0"/>
            <wp:positionH relativeFrom="page">
              <wp:posOffset>0</wp:posOffset>
            </wp:positionH>
            <wp:positionV relativeFrom="page">
              <wp:posOffset>8122431</wp:posOffset>
            </wp:positionV>
            <wp:extent cx="1566545" cy="337820"/>
            <wp:effectExtent l="0" t="0" r="0" b="5080"/>
            <wp:wrapSquare wrapText="bothSides"/>
            <wp:docPr id="27854" name="Picture 27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4" name="Picture 27854">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6545" cy="337820"/>
                    </a:xfrm>
                    <a:prstGeom prst="rect">
                      <a:avLst/>
                    </a:prstGeom>
                  </pic:spPr>
                </pic:pic>
              </a:graphicData>
            </a:graphic>
          </wp:anchor>
        </w:drawing>
      </w:r>
    </w:p>
    <w:p w14:paraId="352AD201" w14:textId="77777777" w:rsidR="005429F7" w:rsidRPr="00307AEB" w:rsidRDefault="005429F7" w:rsidP="00923BE4">
      <w:pPr>
        <w:rPr>
          <w:lang w:eastAsia="en-AU"/>
        </w:rPr>
      </w:pPr>
    </w:p>
    <w:p w14:paraId="7C4706C4" w14:textId="75B2DA33" w:rsidR="00923BE4" w:rsidRPr="00E95C57" w:rsidRDefault="00923BE4" w:rsidP="00D271C8">
      <w:pPr>
        <w:pStyle w:val="Heading3"/>
        <w:ind w:left="0" w:firstLine="0"/>
      </w:pPr>
      <w:r w:rsidRPr="00066D7B">
        <w:t xml:space="preserve">Policy </w:t>
      </w:r>
      <w:r w:rsidR="00807D3A">
        <w:t>Problem</w:t>
      </w:r>
      <w:r w:rsidRPr="00066D7B">
        <w:t xml:space="preserve"> </w:t>
      </w:r>
      <w:r>
        <w:t>4</w:t>
      </w:r>
      <w:r w:rsidRPr="00066D7B">
        <w:t xml:space="preserve"> | </w:t>
      </w:r>
      <w:r>
        <w:t>Gaps and duplication of efforts challenge system agility</w:t>
      </w:r>
    </w:p>
    <w:p w14:paraId="4BDB8DC8" w14:textId="5B2CFF21" w:rsidR="00923BE4" w:rsidRDefault="00923BE4" w:rsidP="00923BE4">
      <w:pPr>
        <w:rPr>
          <w:lang w:eastAsia="en-AU"/>
        </w:rPr>
      </w:pPr>
      <w:r>
        <w:rPr>
          <w:lang w:eastAsia="en-AU"/>
        </w:rPr>
        <w:t>Policy Problem 4 focuses on siloed ways of working across the food system. The negative impact of this problem has been rated as 2 (</w:t>
      </w:r>
      <w:r w:rsidR="001B0970">
        <w:rPr>
          <w:lang w:eastAsia="en-AU"/>
        </w:rPr>
        <w:t>moderate</w:t>
      </w:r>
      <w:r>
        <w:rPr>
          <w:lang w:eastAsia="en-AU"/>
        </w:rPr>
        <w:t>).</w:t>
      </w:r>
    </w:p>
    <w:p w14:paraId="40DAFFCF" w14:textId="55AF907A" w:rsidR="00923BE4" w:rsidRDefault="00923BE4" w:rsidP="00923BE4">
      <w:pPr>
        <w:rPr>
          <w:lang w:eastAsia="en-AU"/>
        </w:rPr>
      </w:pPr>
      <w:r>
        <w:rPr>
          <w:lang w:eastAsia="en-AU"/>
        </w:rPr>
        <w:lastRenderedPageBreak/>
        <w:t>Analysis reveals that Option 1 does not address the Policy Problem in any capacity, while</w:t>
      </w:r>
      <w:r w:rsidR="001B0970">
        <w:rPr>
          <w:lang w:eastAsia="en-AU"/>
        </w:rPr>
        <w:t xml:space="preserve"> </w:t>
      </w:r>
      <w:r>
        <w:rPr>
          <w:lang w:eastAsia="en-AU"/>
        </w:rPr>
        <w:t xml:space="preserve">Option 2 significantly address the Problem. The corresponding scores for each are summarised in </w:t>
      </w:r>
      <w:r>
        <w:rPr>
          <w:lang w:eastAsia="en-AU"/>
        </w:rPr>
        <w:fldChar w:fldCharType="begin"/>
      </w:r>
      <w:r>
        <w:rPr>
          <w:lang w:eastAsia="en-AU"/>
        </w:rPr>
        <w:instrText xml:space="preserve"> REF _Ref142064750 \h </w:instrText>
      </w:r>
      <w:r>
        <w:rPr>
          <w:lang w:eastAsia="en-AU"/>
        </w:rPr>
      </w:r>
      <w:r>
        <w:rPr>
          <w:lang w:eastAsia="en-AU"/>
        </w:rPr>
        <w:fldChar w:fldCharType="separate"/>
      </w:r>
      <w:r w:rsidR="003F7B92">
        <w:t xml:space="preserve">Table </w:t>
      </w:r>
      <w:r w:rsidR="003F7B92">
        <w:rPr>
          <w:noProof/>
        </w:rPr>
        <w:t>25</w:t>
      </w:r>
      <w:r>
        <w:rPr>
          <w:lang w:eastAsia="en-AU"/>
        </w:rPr>
        <w:fldChar w:fldCharType="end"/>
      </w:r>
      <w:r>
        <w:rPr>
          <w:lang w:eastAsia="en-AU"/>
        </w:rPr>
        <w:t>.</w:t>
      </w:r>
    </w:p>
    <w:p w14:paraId="2C946CFC" w14:textId="2785D2D7" w:rsidR="00923BE4" w:rsidRDefault="00923BE4" w:rsidP="00923BE4">
      <w:pPr>
        <w:pStyle w:val="Caption"/>
        <w:rPr>
          <w:lang w:eastAsia="en-AU"/>
        </w:rPr>
      </w:pPr>
      <w:bookmarkStart w:id="128" w:name="_Ref142064750"/>
      <w:r>
        <w:t xml:space="preserve">Table </w:t>
      </w:r>
      <w:r>
        <w:fldChar w:fldCharType="begin"/>
      </w:r>
      <w:r>
        <w:instrText xml:space="preserve"> SEQ Table \* ARABIC </w:instrText>
      </w:r>
      <w:r>
        <w:fldChar w:fldCharType="separate"/>
      </w:r>
      <w:r w:rsidR="003F7B92">
        <w:rPr>
          <w:noProof/>
        </w:rPr>
        <w:t>25</w:t>
      </w:r>
      <w:r>
        <w:fldChar w:fldCharType="end"/>
      </w:r>
      <w:bookmarkEnd w:id="128"/>
      <w:r>
        <w:t xml:space="preserve"> | </w:t>
      </w:r>
      <w:r w:rsidRPr="005063C1">
        <w:t xml:space="preserve">Assessment of options against </w:t>
      </w:r>
      <w:r w:rsidR="005C4302">
        <w:t>Policy Problem</w:t>
      </w:r>
      <w:r w:rsidRPr="005063C1" w:rsidDel="005C4302">
        <w:t xml:space="preserve"> </w:t>
      </w:r>
      <w:r>
        <w:t>4</w:t>
      </w:r>
    </w:p>
    <w:tbl>
      <w:tblPr>
        <w:tblStyle w:val="TableGrid"/>
        <w:tblW w:w="8952" w:type="dxa"/>
        <w:tblLook w:val="0600" w:firstRow="0" w:lastRow="0" w:firstColumn="0" w:lastColumn="0" w:noHBand="1" w:noVBand="1"/>
      </w:tblPr>
      <w:tblGrid>
        <w:gridCol w:w="2407"/>
        <w:gridCol w:w="3267"/>
        <w:gridCol w:w="3278"/>
      </w:tblGrid>
      <w:tr w:rsidR="004A729D" w14:paraId="26E43F8E" w14:textId="77777777" w:rsidTr="004A729D">
        <w:trPr>
          <w:trHeight w:val="349"/>
        </w:trPr>
        <w:tc>
          <w:tcPr>
            <w:tcW w:w="2410" w:type="dxa"/>
            <w:shd w:val="clear" w:color="auto" w:fill="E6E6E1" w:themeFill="accent5"/>
            <w:vAlign w:val="bottom"/>
          </w:tcPr>
          <w:p w14:paraId="5525CFA5" w14:textId="77777777" w:rsidR="004A729D" w:rsidRPr="00CD47AD" w:rsidRDefault="004A729D" w:rsidP="0024539C">
            <w:pPr>
              <w:pStyle w:val="TableNheader"/>
              <w:rPr>
                <w:rFonts w:asciiTheme="minorHAnsi" w:hAnsiTheme="minorHAnsi" w:cstheme="minorHAnsi"/>
                <w:sz w:val="19"/>
                <w:szCs w:val="19"/>
                <w:lang w:eastAsia="en-AU"/>
              </w:rPr>
            </w:pPr>
            <w:r w:rsidRPr="00CD47AD">
              <w:rPr>
                <w:rFonts w:asciiTheme="minorHAnsi" w:hAnsiTheme="minorHAnsi" w:cstheme="minorHAnsi"/>
                <w:color w:val="000000"/>
                <w:sz w:val="19"/>
                <w:szCs w:val="19"/>
              </w:rPr>
              <w:t>Option</w:t>
            </w:r>
          </w:p>
        </w:tc>
        <w:tc>
          <w:tcPr>
            <w:tcW w:w="3271" w:type="dxa"/>
            <w:shd w:val="clear" w:color="auto" w:fill="E6E6E1" w:themeFill="accent5"/>
            <w:vAlign w:val="bottom"/>
          </w:tcPr>
          <w:p w14:paraId="269BCD73" w14:textId="207470D9" w:rsidR="004A729D" w:rsidRPr="00E2014B" w:rsidRDefault="004A729D" w:rsidP="0024539C">
            <w:pPr>
              <w:pStyle w:val="TableNheader"/>
              <w:rPr>
                <w:rFonts w:asciiTheme="majorHAnsi" w:hAnsiTheme="majorHAnsi" w:cstheme="majorHAnsi"/>
                <w:sz w:val="19"/>
                <w:szCs w:val="19"/>
                <w:lang w:eastAsia="en-AU"/>
              </w:rPr>
            </w:pPr>
            <w:r w:rsidRPr="00E2014B">
              <w:rPr>
                <w:rFonts w:asciiTheme="majorHAnsi" w:hAnsiTheme="majorHAnsi" w:cstheme="majorHAnsi"/>
                <w:color w:val="F25E21" w:themeColor="accent2"/>
                <w:sz w:val="19"/>
                <w:szCs w:val="19"/>
              </w:rPr>
              <w:t>OPTION 1</w:t>
            </w:r>
          </w:p>
        </w:tc>
        <w:tc>
          <w:tcPr>
            <w:tcW w:w="3271" w:type="dxa"/>
            <w:shd w:val="clear" w:color="auto" w:fill="E6E6E1" w:themeFill="accent5"/>
            <w:vAlign w:val="bottom"/>
          </w:tcPr>
          <w:p w14:paraId="3598182D" w14:textId="33FD4458" w:rsidR="004A729D" w:rsidRPr="00E2014B" w:rsidRDefault="004A729D" w:rsidP="0024539C">
            <w:pPr>
              <w:pStyle w:val="TableNheader"/>
              <w:rPr>
                <w:rFonts w:asciiTheme="majorHAnsi" w:hAnsiTheme="majorHAnsi" w:cstheme="majorHAnsi"/>
                <w:sz w:val="19"/>
                <w:szCs w:val="19"/>
                <w:lang w:eastAsia="en-AU"/>
              </w:rPr>
            </w:pPr>
            <w:r w:rsidRPr="00E2014B">
              <w:rPr>
                <w:rFonts w:asciiTheme="majorHAnsi" w:hAnsiTheme="majorHAnsi" w:cstheme="majorHAnsi"/>
                <w:color w:val="F8981D" w:themeColor="accent3"/>
                <w:sz w:val="19"/>
                <w:szCs w:val="19"/>
              </w:rPr>
              <w:t>OPTION 2</w:t>
            </w:r>
          </w:p>
        </w:tc>
      </w:tr>
      <w:tr w:rsidR="004A729D" w14:paraId="718F6C49" w14:textId="77777777" w:rsidTr="004A729D">
        <w:trPr>
          <w:trHeight w:val="667"/>
        </w:trPr>
        <w:tc>
          <w:tcPr>
            <w:tcW w:w="2410" w:type="dxa"/>
            <w:shd w:val="clear" w:color="auto" w:fill="F2F2F2" w:themeFill="background1" w:themeFillShade="F2"/>
            <w:vAlign w:val="bottom"/>
          </w:tcPr>
          <w:p w14:paraId="1D66EFD2" w14:textId="5A02A000" w:rsidR="004A729D" w:rsidRPr="00CD47AD" w:rsidRDefault="004A729D" w:rsidP="00134136">
            <w:pPr>
              <w:rPr>
                <w:rFonts w:asciiTheme="minorHAnsi" w:hAnsiTheme="minorHAnsi" w:cstheme="minorHAnsi"/>
                <w:color w:val="F25E21" w:themeColor="accent2"/>
                <w:szCs w:val="19"/>
                <w:lang w:eastAsia="en-AU"/>
              </w:rPr>
            </w:pPr>
            <w:r w:rsidRPr="00CD47AD">
              <w:rPr>
                <w:rFonts w:asciiTheme="minorHAnsi" w:hAnsiTheme="minorHAnsi" w:cstheme="minorHAnsi"/>
                <w:color w:val="000000"/>
                <w:szCs w:val="19"/>
              </w:rPr>
              <w:t>Negative impact of Policy Problem</w:t>
            </w:r>
          </w:p>
        </w:tc>
        <w:tc>
          <w:tcPr>
            <w:tcW w:w="3271" w:type="dxa"/>
            <w:vAlign w:val="bottom"/>
          </w:tcPr>
          <w:p w14:paraId="110B1ED6" w14:textId="057986B1" w:rsidR="004A729D" w:rsidRPr="00CD47AD" w:rsidRDefault="004A729D" w:rsidP="004E4D63">
            <w:pPr>
              <w:spacing w:line="360" w:lineRule="auto"/>
              <w:rPr>
                <w:rFonts w:asciiTheme="minorHAnsi" w:hAnsiTheme="minorHAnsi" w:cstheme="minorHAnsi"/>
                <w:szCs w:val="19"/>
                <w:lang w:eastAsia="en-AU"/>
              </w:rPr>
            </w:pPr>
            <w:r w:rsidRPr="00CD47AD">
              <w:rPr>
                <w:rFonts w:asciiTheme="minorHAnsi" w:hAnsiTheme="minorHAnsi" w:cstheme="minorHAnsi"/>
                <w:color w:val="000000"/>
                <w:szCs w:val="19"/>
              </w:rPr>
              <w:t>2 (</w:t>
            </w:r>
            <w:r w:rsidR="004E4D63">
              <w:rPr>
                <w:rFonts w:asciiTheme="minorHAnsi" w:hAnsiTheme="minorHAnsi" w:cstheme="minorHAnsi"/>
                <w:color w:val="000000"/>
                <w:szCs w:val="19"/>
              </w:rPr>
              <w:t>Moderate</w:t>
            </w:r>
            <w:r w:rsidRPr="00CD47AD">
              <w:rPr>
                <w:rFonts w:asciiTheme="minorHAnsi" w:hAnsiTheme="minorHAnsi" w:cstheme="minorHAnsi"/>
                <w:color w:val="000000"/>
                <w:szCs w:val="19"/>
              </w:rPr>
              <w:t>)</w:t>
            </w:r>
          </w:p>
        </w:tc>
        <w:tc>
          <w:tcPr>
            <w:tcW w:w="3271" w:type="dxa"/>
            <w:vAlign w:val="bottom"/>
          </w:tcPr>
          <w:p w14:paraId="1B8251F9" w14:textId="474FE4F3" w:rsidR="004A729D" w:rsidRPr="00CD47AD" w:rsidRDefault="004A729D" w:rsidP="004E4D63">
            <w:pPr>
              <w:spacing w:line="360" w:lineRule="auto"/>
              <w:rPr>
                <w:rFonts w:asciiTheme="minorHAnsi" w:hAnsiTheme="minorHAnsi" w:cstheme="minorHAnsi"/>
                <w:szCs w:val="19"/>
                <w:lang w:eastAsia="en-AU"/>
              </w:rPr>
            </w:pPr>
            <w:r w:rsidRPr="00CD47AD">
              <w:rPr>
                <w:rFonts w:asciiTheme="minorHAnsi" w:hAnsiTheme="minorHAnsi" w:cstheme="minorHAnsi"/>
                <w:color w:val="000000"/>
                <w:szCs w:val="19"/>
              </w:rPr>
              <w:t>2 (</w:t>
            </w:r>
            <w:r w:rsidR="004E4D63">
              <w:rPr>
                <w:rFonts w:asciiTheme="minorHAnsi" w:hAnsiTheme="minorHAnsi" w:cstheme="minorHAnsi"/>
                <w:color w:val="000000"/>
                <w:szCs w:val="19"/>
              </w:rPr>
              <w:t>Moderate</w:t>
            </w:r>
            <w:r w:rsidRPr="00CD47AD">
              <w:rPr>
                <w:rFonts w:asciiTheme="minorHAnsi" w:hAnsiTheme="minorHAnsi" w:cstheme="minorHAnsi"/>
                <w:color w:val="000000"/>
                <w:szCs w:val="19"/>
              </w:rPr>
              <w:t>)</w:t>
            </w:r>
          </w:p>
        </w:tc>
      </w:tr>
      <w:tr w:rsidR="004A729D" w14:paraId="3EC4D211" w14:textId="77777777" w:rsidTr="004A729D">
        <w:trPr>
          <w:trHeight w:val="921"/>
        </w:trPr>
        <w:tc>
          <w:tcPr>
            <w:tcW w:w="2410" w:type="dxa"/>
            <w:shd w:val="clear" w:color="auto" w:fill="F2F2F2" w:themeFill="background1" w:themeFillShade="F2"/>
            <w:vAlign w:val="bottom"/>
          </w:tcPr>
          <w:p w14:paraId="263A1A84" w14:textId="6731F376" w:rsidR="004A729D" w:rsidRPr="00CD47AD" w:rsidRDefault="004A729D" w:rsidP="00134136">
            <w:pPr>
              <w:rPr>
                <w:rFonts w:asciiTheme="minorHAnsi" w:hAnsiTheme="minorHAnsi" w:cstheme="minorHAnsi"/>
                <w:color w:val="F8981D" w:themeColor="accent3"/>
                <w:szCs w:val="19"/>
                <w:lang w:eastAsia="en-AU"/>
              </w:rPr>
            </w:pPr>
            <w:r w:rsidRPr="00CD47AD">
              <w:rPr>
                <w:rFonts w:asciiTheme="minorHAnsi" w:hAnsiTheme="minorHAnsi" w:cstheme="minorHAnsi"/>
                <w:color w:val="000000"/>
                <w:szCs w:val="19"/>
              </w:rPr>
              <w:t>Degree to which Option resolves the Policy Problem</w:t>
            </w:r>
          </w:p>
        </w:tc>
        <w:tc>
          <w:tcPr>
            <w:tcW w:w="3271" w:type="dxa"/>
            <w:vAlign w:val="bottom"/>
          </w:tcPr>
          <w:p w14:paraId="1E18064F" w14:textId="3460FE25" w:rsidR="004A729D" w:rsidRPr="00CD47AD" w:rsidRDefault="004A729D" w:rsidP="00134136">
            <w:pPr>
              <w:rPr>
                <w:rFonts w:asciiTheme="minorHAnsi" w:hAnsiTheme="minorHAnsi" w:cstheme="minorHAnsi"/>
                <w:szCs w:val="19"/>
                <w:lang w:eastAsia="en-AU"/>
              </w:rPr>
            </w:pPr>
            <w:r w:rsidRPr="00CD47AD">
              <w:rPr>
                <w:rFonts w:asciiTheme="minorHAnsi" w:hAnsiTheme="minorHAnsi" w:cstheme="minorHAnsi"/>
                <w:color w:val="000000"/>
                <w:szCs w:val="19"/>
              </w:rPr>
              <w:t>0 (Not at all)</w:t>
            </w:r>
          </w:p>
        </w:tc>
        <w:tc>
          <w:tcPr>
            <w:tcW w:w="3271" w:type="dxa"/>
            <w:vAlign w:val="bottom"/>
          </w:tcPr>
          <w:p w14:paraId="6F4B81F0" w14:textId="628CF804" w:rsidR="004A729D" w:rsidRPr="00CD47AD" w:rsidRDefault="004A729D" w:rsidP="004E4D63">
            <w:pPr>
              <w:spacing w:line="360" w:lineRule="auto"/>
              <w:rPr>
                <w:rFonts w:asciiTheme="minorHAnsi" w:hAnsiTheme="minorHAnsi" w:cstheme="minorHAnsi"/>
                <w:szCs w:val="19"/>
                <w:lang w:eastAsia="en-AU"/>
              </w:rPr>
            </w:pPr>
            <w:r w:rsidRPr="00CD47AD">
              <w:rPr>
                <w:rFonts w:asciiTheme="minorHAnsi" w:hAnsiTheme="minorHAnsi" w:cstheme="minorHAnsi"/>
                <w:color w:val="000000"/>
                <w:szCs w:val="19"/>
              </w:rPr>
              <w:t>2</w:t>
            </w:r>
            <w:r w:rsidR="004F0AE7">
              <w:rPr>
                <w:rFonts w:asciiTheme="minorHAnsi" w:hAnsiTheme="minorHAnsi" w:cstheme="minorHAnsi"/>
                <w:color w:val="000000"/>
                <w:szCs w:val="19"/>
              </w:rPr>
              <w:t>.5</w:t>
            </w:r>
            <w:r w:rsidRPr="00CD47AD">
              <w:rPr>
                <w:rFonts w:asciiTheme="minorHAnsi" w:hAnsiTheme="minorHAnsi" w:cstheme="minorHAnsi"/>
                <w:color w:val="000000"/>
                <w:szCs w:val="19"/>
              </w:rPr>
              <w:t xml:space="preserve"> (</w:t>
            </w:r>
            <w:r w:rsidR="004E4D63">
              <w:rPr>
                <w:rFonts w:asciiTheme="minorHAnsi" w:hAnsiTheme="minorHAnsi" w:cstheme="minorHAnsi"/>
                <w:color w:val="000000"/>
                <w:szCs w:val="19"/>
              </w:rPr>
              <w:t>Moderate</w:t>
            </w:r>
            <w:r w:rsidR="004F0AE7">
              <w:rPr>
                <w:rFonts w:asciiTheme="minorHAnsi" w:hAnsiTheme="minorHAnsi" w:cstheme="minorHAnsi"/>
                <w:color w:val="000000"/>
                <w:szCs w:val="19"/>
              </w:rPr>
              <w:t>-high</w:t>
            </w:r>
            <w:r w:rsidRPr="00CD47AD">
              <w:rPr>
                <w:rFonts w:asciiTheme="minorHAnsi" w:hAnsiTheme="minorHAnsi" w:cstheme="minorHAnsi"/>
                <w:color w:val="000000"/>
                <w:szCs w:val="19"/>
              </w:rPr>
              <w:t>)</w:t>
            </w:r>
          </w:p>
        </w:tc>
      </w:tr>
      <w:tr w:rsidR="004A729D" w14:paraId="457DFC29" w14:textId="77777777" w:rsidTr="00871B6B">
        <w:trPr>
          <w:trHeight w:val="396"/>
        </w:trPr>
        <w:tc>
          <w:tcPr>
            <w:tcW w:w="2410" w:type="dxa"/>
            <w:shd w:val="clear" w:color="auto" w:fill="F2F2F2" w:themeFill="background1" w:themeFillShade="F2"/>
            <w:vAlign w:val="bottom"/>
          </w:tcPr>
          <w:p w14:paraId="4E0C1D4B" w14:textId="058031FE" w:rsidR="004A729D" w:rsidRPr="00CD47AD" w:rsidRDefault="004A729D" w:rsidP="00CD47AD">
            <w:pPr>
              <w:rPr>
                <w:rFonts w:asciiTheme="minorHAnsi" w:hAnsiTheme="minorHAnsi" w:cstheme="minorHAnsi"/>
                <w:color w:val="F8981D" w:themeColor="accent3"/>
                <w:szCs w:val="19"/>
                <w:lang w:eastAsia="en-AU"/>
              </w:rPr>
            </w:pPr>
            <w:r w:rsidRPr="00CD47AD">
              <w:rPr>
                <w:rFonts w:asciiTheme="minorHAnsi" w:hAnsiTheme="minorHAnsi" w:cstheme="minorHAnsi"/>
                <w:color w:val="000000"/>
                <w:szCs w:val="19"/>
              </w:rPr>
              <w:t>Total rating </w:t>
            </w:r>
          </w:p>
        </w:tc>
        <w:tc>
          <w:tcPr>
            <w:tcW w:w="3260" w:type="dxa"/>
            <w:vAlign w:val="bottom"/>
          </w:tcPr>
          <w:p w14:paraId="2B5D7D13" w14:textId="77777777" w:rsidR="004A729D" w:rsidRPr="00CD47AD" w:rsidRDefault="004A729D" w:rsidP="00CD47AD">
            <w:pPr>
              <w:rPr>
                <w:rFonts w:asciiTheme="minorHAnsi" w:hAnsiTheme="minorHAnsi" w:cstheme="minorHAnsi"/>
                <w:color w:val="000000"/>
                <w:szCs w:val="19"/>
              </w:rPr>
            </w:pPr>
            <w:r w:rsidRPr="00CD47AD">
              <w:rPr>
                <w:rFonts w:asciiTheme="minorHAnsi" w:hAnsiTheme="minorHAnsi" w:cstheme="minorHAnsi"/>
                <w:color w:val="000000"/>
                <w:szCs w:val="19"/>
              </w:rPr>
              <w:t>0</w:t>
            </w:r>
          </w:p>
        </w:tc>
        <w:tc>
          <w:tcPr>
            <w:tcW w:w="3282" w:type="dxa"/>
            <w:vAlign w:val="bottom"/>
          </w:tcPr>
          <w:p w14:paraId="41CC96CC" w14:textId="5C8A25F1" w:rsidR="004A729D" w:rsidRPr="00CD47AD" w:rsidRDefault="004F0AE7" w:rsidP="004F0AE7">
            <w:pPr>
              <w:rPr>
                <w:rFonts w:asciiTheme="minorHAnsi" w:hAnsiTheme="minorHAnsi" w:cstheme="minorHAnsi"/>
                <w:szCs w:val="19"/>
                <w:lang w:eastAsia="en-AU"/>
              </w:rPr>
            </w:pPr>
            <w:r>
              <w:rPr>
                <w:rFonts w:asciiTheme="minorHAnsi" w:hAnsiTheme="minorHAnsi" w:cstheme="minorHAnsi"/>
                <w:szCs w:val="19"/>
                <w:lang w:eastAsia="en-AU"/>
              </w:rPr>
              <w:t>5</w:t>
            </w:r>
          </w:p>
        </w:tc>
      </w:tr>
    </w:tbl>
    <w:p w14:paraId="29211525" w14:textId="77777777" w:rsidR="00BD2986" w:rsidRDefault="00BD2986" w:rsidP="00BD2986"/>
    <w:p w14:paraId="59428746" w14:textId="77777777" w:rsidR="00754843" w:rsidRDefault="00754843" w:rsidP="00754843">
      <w:bookmarkStart w:id="129" w:name="_Ref149149806"/>
      <w:r>
        <w:t xml:space="preserve">More detailed comparisons against sub-problems are described below. </w:t>
      </w:r>
    </w:p>
    <w:p w14:paraId="6DC28F71" w14:textId="13A5A598" w:rsidR="00754843" w:rsidRDefault="00754843" w:rsidP="00754843">
      <w:pPr>
        <w:pStyle w:val="Heading5"/>
      </w:pPr>
      <w:r w:rsidRPr="0098637B">
        <w:t>Sub-problem 1 | The lack of a shared vision of system priorities between FSANZ and the FMM limits the effectiveness of the broader food regulatory system.</w:t>
      </w:r>
    </w:p>
    <w:p w14:paraId="142A9BDA" w14:textId="77777777" w:rsidR="003D1595" w:rsidRDefault="003D1595" w:rsidP="003D1595">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5237D70C" w14:textId="41A9B337" w:rsidR="0038722C" w:rsidRDefault="003D1595" w:rsidP="003D1595">
      <w:pPr>
        <w:rPr>
          <w:rFonts w:asciiTheme="minorHAnsi" w:hAnsiTheme="minorHAnsi" w:cstheme="minorHAnsi"/>
          <w:lang w:eastAsia="en-AU"/>
        </w:rPr>
      </w:pPr>
      <w:r w:rsidRPr="00B3046A">
        <w:rPr>
          <w:rFonts w:asciiTheme="majorHAnsi" w:hAnsiTheme="majorHAnsi" w:cstheme="majorHAnsi"/>
          <w:color w:val="F8981D" w:themeColor="accent3"/>
          <w:lang w:eastAsia="en-AU"/>
        </w:rPr>
        <w:t>OPTION 2</w:t>
      </w:r>
      <w:r>
        <w:rPr>
          <w:rFonts w:asciiTheme="majorHAnsi" w:hAnsiTheme="majorHAnsi" w:cstheme="majorHAnsi"/>
          <w:color w:val="F8981D" w:themeColor="accent3"/>
          <w:lang w:eastAsia="en-AU"/>
        </w:rPr>
        <w:t xml:space="preserve"> </w:t>
      </w:r>
      <w:r w:rsidR="0038722C" w:rsidRPr="0038722C">
        <w:rPr>
          <w:lang w:eastAsia="en-AU"/>
        </w:rPr>
        <w:t xml:space="preserve">would support better alignment of priorities. </w:t>
      </w:r>
      <w:r w:rsidR="0038722C" w:rsidRPr="00A043D3">
        <w:rPr>
          <w:rFonts w:asciiTheme="minorHAnsi" w:hAnsiTheme="minorHAnsi" w:cstheme="minorHAnsi"/>
        </w:rPr>
        <w:t xml:space="preserve">Greater coordination at standard-setting/policy development interface would improve system alignment and confidence in the regulatory system. </w:t>
      </w:r>
      <w:r w:rsidR="0038722C" w:rsidRPr="00A043D3">
        <w:rPr>
          <w:rFonts w:asciiTheme="minorHAnsi" w:hAnsiTheme="minorHAnsi" w:cstheme="minorHAnsi"/>
          <w:lang w:eastAsia="en-AU"/>
        </w:rPr>
        <w:t xml:space="preserve">Establishing a mechanism for regular joint-agenda setting between FSANZ and the </w:t>
      </w:r>
      <w:r w:rsidR="0038722C">
        <w:rPr>
          <w:rFonts w:asciiTheme="minorHAnsi" w:hAnsiTheme="minorHAnsi" w:cstheme="minorHAnsi"/>
          <w:lang w:eastAsia="en-AU"/>
        </w:rPr>
        <w:t>FMM</w:t>
      </w:r>
      <w:r w:rsidR="0038722C" w:rsidRPr="00A043D3">
        <w:rPr>
          <w:rFonts w:asciiTheme="minorHAnsi" w:hAnsiTheme="minorHAnsi" w:cstheme="minorHAnsi"/>
          <w:lang w:eastAsia="en-AU"/>
        </w:rPr>
        <w:t xml:space="preserve"> to regularly agree system goals and priority changes to food standards – in particular, proposals to prioritise in any given year – could </w:t>
      </w:r>
      <w:r w:rsidR="0038722C">
        <w:rPr>
          <w:rFonts w:asciiTheme="minorHAnsi" w:hAnsiTheme="minorHAnsi" w:cstheme="minorHAnsi"/>
          <w:lang w:eastAsia="en-AU"/>
        </w:rPr>
        <w:t>support more aligned approaches to policy and regulation.</w:t>
      </w:r>
      <w:r w:rsidR="0038722C" w:rsidRPr="00A043D3">
        <w:rPr>
          <w:rFonts w:asciiTheme="minorHAnsi" w:hAnsiTheme="minorHAnsi" w:cstheme="minorHAnsi"/>
          <w:lang w:eastAsia="en-AU"/>
        </w:rPr>
        <w:t xml:space="preserve"> </w:t>
      </w:r>
    </w:p>
    <w:p w14:paraId="3719FB36" w14:textId="4341B835" w:rsidR="00754843" w:rsidRDefault="0038722C" w:rsidP="0038722C">
      <w:pPr>
        <w:rPr>
          <w:lang w:eastAsia="en-AU"/>
        </w:rPr>
      </w:pPr>
      <w:r w:rsidRPr="00BB4673">
        <w:rPr>
          <w:lang w:eastAsia="en-AU"/>
        </w:rPr>
        <w:t xml:space="preserve">Agreeing items that would be de-prioritised or removed from the workplan could also promote broader confidence in the ability for the regulatory system (and FSANZ in particular) to progress issues in a timely </w:t>
      </w:r>
      <w:r>
        <w:rPr>
          <w:lang w:eastAsia="en-AU"/>
        </w:rPr>
        <w:t>and transparent</w:t>
      </w:r>
      <w:r w:rsidRPr="00BB4673">
        <w:rPr>
          <w:lang w:eastAsia="en-AU"/>
        </w:rPr>
        <w:t xml:space="preserve"> manner</w:t>
      </w:r>
      <w:r>
        <w:rPr>
          <w:lang w:eastAsia="en-AU"/>
        </w:rPr>
        <w:t>.</w:t>
      </w:r>
    </w:p>
    <w:p w14:paraId="27CCE003" w14:textId="7CB5BAE5" w:rsidR="0038722C" w:rsidRDefault="0038722C" w:rsidP="0038722C">
      <w:pPr>
        <w:pStyle w:val="Heading5"/>
      </w:pPr>
      <w:r w:rsidRPr="009C1614">
        <w:t xml:space="preserve">Sub-problem 2 | Limited intelligence-sharing between stakeholders across the regulatory system is resulting in duplication of effort and missed opportunities to manage </w:t>
      </w:r>
      <w:proofErr w:type="gramStart"/>
      <w:r w:rsidRPr="009C1614">
        <w:t>risk</w:t>
      </w:r>
      <w:proofErr w:type="gramEnd"/>
    </w:p>
    <w:p w14:paraId="198FF45C" w14:textId="77777777" w:rsidR="003D1595" w:rsidRDefault="003D1595" w:rsidP="003D1595">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15B7B02F" w14:textId="429E258B" w:rsidR="0038722C" w:rsidRDefault="003D1595" w:rsidP="003D1595">
      <w:r w:rsidRPr="00B3046A">
        <w:rPr>
          <w:rFonts w:asciiTheme="majorHAnsi" w:hAnsiTheme="majorHAnsi" w:cstheme="majorHAnsi"/>
          <w:color w:val="F8981D" w:themeColor="accent3"/>
          <w:lang w:eastAsia="en-AU"/>
        </w:rPr>
        <w:t>OPTION 2</w:t>
      </w:r>
      <w:r>
        <w:rPr>
          <w:rFonts w:asciiTheme="majorHAnsi" w:hAnsiTheme="majorHAnsi" w:cstheme="majorHAnsi"/>
          <w:color w:val="F8981D" w:themeColor="accent3"/>
          <w:lang w:eastAsia="en-AU"/>
        </w:rPr>
        <w:t xml:space="preserve"> </w:t>
      </w:r>
      <w:r w:rsidR="0038722C" w:rsidRPr="0038722C">
        <w:rPr>
          <w:lang w:eastAsia="en-AU"/>
        </w:rPr>
        <w:t xml:space="preserve">would improve intelligence sharing. </w:t>
      </w:r>
      <w:r w:rsidR="0038722C">
        <w:rPr>
          <w:lang w:eastAsia="en-AU"/>
        </w:rPr>
        <w:t>Further enhancing partnerships across the system (particularly with other bodies involved in food regulation such as the FRSC and jurisdictional enforcement agencies) could b</w:t>
      </w:r>
      <w:r w:rsidR="0038722C">
        <w:t>etter align complementary objectives and support information flows across the system where this is beneficial. It could reduce duplication of effort - particularly in research and other policy work that draws on the same evidence base - and support timelier and risk-based activities to identify and respond to food-borne risks that can have serious population health and economic consequences.</w:t>
      </w:r>
    </w:p>
    <w:p w14:paraId="71FB8A41" w14:textId="02D59093" w:rsidR="0038722C" w:rsidRDefault="0038722C" w:rsidP="0038722C">
      <w:pPr>
        <w:pStyle w:val="Heading5"/>
      </w:pPr>
      <w:r w:rsidRPr="004952A8">
        <w:t>Sub-problem 3 | Inconsistent interpretation and enforcement of food standards heightens costs for industry and enforcement agencies, while potentially undermining management of foodborne risks (Australia only)</w:t>
      </w:r>
    </w:p>
    <w:p w14:paraId="584DC10B" w14:textId="77777777" w:rsidR="003D1595" w:rsidRDefault="003D1595" w:rsidP="003D1595">
      <w:pPr>
        <w:rPr>
          <w:lang w:eastAsia="en-AU"/>
        </w:rPr>
      </w:pPr>
      <w:r w:rsidRPr="00B3046A">
        <w:rPr>
          <w:rFonts w:asciiTheme="majorHAnsi" w:hAnsiTheme="majorHAnsi" w:cstheme="majorHAnsi"/>
          <w:color w:val="F25E21" w:themeColor="accent2"/>
          <w:lang w:eastAsia="en-AU"/>
        </w:rPr>
        <w:t>OPTION 1</w:t>
      </w:r>
      <w:r>
        <w:rPr>
          <w:color w:val="F25E21" w:themeColor="accent2"/>
          <w:lang w:eastAsia="en-AU"/>
        </w:rPr>
        <w:t xml:space="preserve"> </w:t>
      </w:r>
      <w:r>
        <w:rPr>
          <w:lang w:eastAsia="en-AU"/>
        </w:rPr>
        <w:t>makes no progress on addressing this sub-problem.</w:t>
      </w:r>
    </w:p>
    <w:p w14:paraId="2733DA0C" w14:textId="39F3B749" w:rsidR="0038722C" w:rsidRDefault="003D1595" w:rsidP="003D1595">
      <w:pPr>
        <w:rPr>
          <w:lang w:eastAsia="en-AU"/>
        </w:rPr>
      </w:pPr>
      <w:r w:rsidRPr="00B3046A">
        <w:rPr>
          <w:rFonts w:asciiTheme="majorHAnsi" w:hAnsiTheme="majorHAnsi" w:cstheme="majorHAnsi"/>
          <w:color w:val="F8981D" w:themeColor="accent3"/>
          <w:lang w:eastAsia="en-AU"/>
        </w:rPr>
        <w:t>OPTION 2</w:t>
      </w:r>
      <w:r>
        <w:rPr>
          <w:rFonts w:asciiTheme="majorHAnsi" w:hAnsiTheme="majorHAnsi" w:cstheme="majorHAnsi"/>
          <w:color w:val="F8981D" w:themeColor="accent3"/>
          <w:lang w:eastAsia="en-AU"/>
        </w:rPr>
        <w:t xml:space="preserve"> </w:t>
      </w:r>
      <w:r w:rsidR="002962F4">
        <w:rPr>
          <w:lang w:eastAsia="en-AU"/>
        </w:rPr>
        <w:t xml:space="preserve">positions FSANZ to provide more useful advice to guide interpretation and enforcement of food standards. The option still relies on this advice being taken up in a meaningful way by enforcement </w:t>
      </w:r>
      <w:r w:rsidR="002962F4">
        <w:rPr>
          <w:lang w:eastAsia="en-AU"/>
        </w:rPr>
        <w:lastRenderedPageBreak/>
        <w:t>agencies and businesses however, therefore the sphere of influence this change can make does face some limitations.</w:t>
      </w:r>
    </w:p>
    <w:tbl>
      <w:tblPr>
        <w:tblStyle w:val="TableGrid"/>
        <w:tblW w:w="0" w:type="auto"/>
        <w:tblLook w:val="04A0" w:firstRow="1" w:lastRow="0" w:firstColumn="1" w:lastColumn="0" w:noHBand="0" w:noVBand="1"/>
      </w:tblPr>
      <w:tblGrid>
        <w:gridCol w:w="8930"/>
      </w:tblGrid>
      <w:tr w:rsidR="00A16025" w14:paraId="713C84A0" w14:textId="77777777">
        <w:trPr>
          <w:cnfStyle w:val="100000000000" w:firstRow="1" w:lastRow="0" w:firstColumn="0" w:lastColumn="0" w:oddVBand="0" w:evenVBand="0" w:oddHBand="0" w:evenHBand="0" w:firstRowFirstColumn="0" w:firstRowLastColumn="0" w:lastRowFirstColumn="0" w:lastRowLastColumn="0"/>
        </w:trPr>
        <w:tc>
          <w:tcPr>
            <w:tcW w:w="8930" w:type="dxa"/>
            <w:shd w:val="clear" w:color="auto" w:fill="00264D" w:themeFill="background2"/>
            <w:vAlign w:val="top"/>
          </w:tcPr>
          <w:p w14:paraId="526113AC" w14:textId="77777777" w:rsidR="00A16025" w:rsidRPr="003D65AB" w:rsidRDefault="00A16025">
            <w:pPr>
              <w:rPr>
                <w:rFonts w:asciiTheme="majorHAnsi" w:hAnsiTheme="majorHAnsi" w:cstheme="majorHAnsi"/>
              </w:rPr>
            </w:pPr>
            <w:r w:rsidRPr="003D65AB">
              <w:rPr>
                <w:rFonts w:asciiTheme="majorHAnsi" w:hAnsiTheme="majorHAnsi" w:cstheme="majorHAnsi"/>
                <w:color w:val="FFFFFF" w:themeColor="background1"/>
              </w:rPr>
              <w:t>Consultation questions</w:t>
            </w:r>
          </w:p>
        </w:tc>
      </w:tr>
      <w:tr w:rsidR="00935AF3" w14:paraId="0733153C" w14:textId="77777777">
        <w:trPr>
          <w:cnfStyle w:val="000000100000" w:firstRow="0" w:lastRow="0" w:firstColumn="0" w:lastColumn="0" w:oddVBand="0" w:evenVBand="0" w:oddHBand="1" w:evenHBand="0" w:firstRowFirstColumn="0" w:firstRowLastColumn="0" w:lastRowFirstColumn="0" w:lastRowLastColumn="0"/>
          <w:trHeight w:val="790"/>
        </w:trPr>
        <w:tc>
          <w:tcPr>
            <w:tcW w:w="8930" w:type="dxa"/>
            <w:shd w:val="clear" w:color="auto" w:fill="E6E6E1" w:themeFill="accent5"/>
            <w:vAlign w:val="top"/>
          </w:tcPr>
          <w:p w14:paraId="62F9ECBD" w14:textId="761F128C" w:rsidR="00935AF3" w:rsidRPr="002233F8" w:rsidRDefault="00935AF3" w:rsidP="00313A20">
            <w:pPr>
              <w:pStyle w:val="ListParagraph"/>
              <w:numPr>
                <w:ilvl w:val="0"/>
                <w:numId w:val="38"/>
              </w:numPr>
              <w:spacing w:line="259" w:lineRule="auto"/>
              <w:rPr>
                <w:color w:val="00264D" w:themeColor="background2"/>
                <w:sz w:val="18"/>
                <w:szCs w:val="18"/>
                <w:lang w:eastAsia="en-AU"/>
              </w:rPr>
            </w:pPr>
            <w:r w:rsidRPr="002233F8">
              <w:rPr>
                <w:color w:val="00264D" w:themeColor="background2"/>
                <w:sz w:val="18"/>
                <w:szCs w:val="18"/>
                <w:lang w:eastAsia="en-AU"/>
              </w:rPr>
              <w:t>Does the approach to assessing the degree to which an option solves a policy problem make sense? How so?</w:t>
            </w:r>
          </w:p>
          <w:p w14:paraId="1C97D0D4" w14:textId="50A04855" w:rsidR="00935AF3" w:rsidRPr="005268F3" w:rsidRDefault="00C31C6E" w:rsidP="00313A20">
            <w:pPr>
              <w:pStyle w:val="ListParagraph"/>
              <w:numPr>
                <w:ilvl w:val="0"/>
                <w:numId w:val="38"/>
              </w:numPr>
              <w:spacing w:line="259" w:lineRule="auto"/>
              <w:rPr>
                <w:color w:val="00264D" w:themeColor="background2"/>
                <w:lang w:eastAsia="en-AU"/>
              </w:rPr>
            </w:pPr>
            <w:r w:rsidRPr="002233F8">
              <w:rPr>
                <w:color w:val="00264D" w:themeColor="background2"/>
                <w:sz w:val="18"/>
                <w:szCs w:val="18"/>
                <w:lang w:eastAsia="en-AU"/>
              </w:rPr>
              <w:t>Is</w:t>
            </w:r>
            <w:r w:rsidR="00935AF3" w:rsidRPr="002233F8">
              <w:rPr>
                <w:color w:val="00264D" w:themeColor="background2"/>
                <w:sz w:val="18"/>
                <w:szCs w:val="18"/>
                <w:lang w:eastAsia="en-AU"/>
              </w:rPr>
              <w:t xml:space="preserve"> the rating assigned to each of the sub-problems appropriate? If not, why?</w:t>
            </w:r>
            <w:r w:rsidR="00935AF3" w:rsidRPr="002233F8">
              <w:rPr>
                <w:color w:val="00264D" w:themeColor="background2"/>
                <w:lang w:eastAsia="en-AU"/>
              </w:rPr>
              <w:t xml:space="preserve">  </w:t>
            </w:r>
          </w:p>
        </w:tc>
      </w:tr>
    </w:tbl>
    <w:p w14:paraId="7CCCEA43" w14:textId="77777777" w:rsidR="00923BE4" w:rsidRPr="002233F8" w:rsidRDefault="00923BE4" w:rsidP="002233F8">
      <w:pPr>
        <w:pStyle w:val="Heading2"/>
      </w:pPr>
      <w:bookmarkStart w:id="130" w:name="_Toc157599141"/>
      <w:bookmarkEnd w:id="129"/>
      <w:r w:rsidRPr="002233F8">
        <w:t>Delivery risks</w:t>
      </w:r>
      <w:bookmarkEnd w:id="130"/>
    </w:p>
    <w:p w14:paraId="5322CA50" w14:textId="5FD31703" w:rsidR="00631FFA" w:rsidRPr="00631FFA" w:rsidRDefault="00923BE4" w:rsidP="00B2520D">
      <w:bookmarkStart w:id="131" w:name="_Ref139449338"/>
      <w:r>
        <w:t xml:space="preserve">For this criterion, possible delivery risks have been identified for the four themes: purpose and objectives; reforming standard-setting; operational efficiency and system agility. </w:t>
      </w:r>
      <w:r w:rsidR="001607F7">
        <w:t xml:space="preserve">Individual risks have been identified for each theme, with a </w:t>
      </w:r>
      <w:r w:rsidR="00D81DA5">
        <w:t>risk score</w:t>
      </w:r>
      <w:r w:rsidR="001607F7">
        <w:t xml:space="preserve"> calculated</w:t>
      </w:r>
      <w:r w:rsidR="00206346">
        <w:t xml:space="preserve"> at an individual risk level, and then aggregated into a rating for each theme. </w:t>
      </w:r>
    </w:p>
    <w:p w14:paraId="367A520C" w14:textId="4E83643A" w:rsidR="00923BE4" w:rsidRDefault="00923BE4" w:rsidP="00923BE4">
      <w:pPr>
        <w:pStyle w:val="Caption"/>
      </w:pPr>
      <w:r>
        <w:t xml:space="preserve">Table </w:t>
      </w:r>
      <w:r>
        <w:fldChar w:fldCharType="begin"/>
      </w:r>
      <w:r>
        <w:instrText xml:space="preserve"> SEQ Table \* ARABIC </w:instrText>
      </w:r>
      <w:r>
        <w:fldChar w:fldCharType="separate"/>
      </w:r>
      <w:r w:rsidR="003F7B92">
        <w:rPr>
          <w:noProof/>
        </w:rPr>
        <w:t>26</w:t>
      </w:r>
      <w:r>
        <w:fldChar w:fldCharType="end"/>
      </w:r>
      <w:r>
        <w:t xml:space="preserve"> | Delivery risk scores for each option</w:t>
      </w:r>
    </w:p>
    <w:tbl>
      <w:tblPr>
        <w:tblStyle w:val="TableGrid"/>
        <w:tblW w:w="9083" w:type="dxa"/>
        <w:tblLook w:val="0600" w:firstRow="0" w:lastRow="0" w:firstColumn="0" w:lastColumn="0" w:noHBand="1" w:noVBand="1"/>
      </w:tblPr>
      <w:tblGrid>
        <w:gridCol w:w="2410"/>
        <w:gridCol w:w="3336"/>
        <w:gridCol w:w="3337"/>
      </w:tblGrid>
      <w:tr w:rsidR="00084376" w14:paraId="7A34B8CF" w14:textId="77777777" w:rsidTr="00084376">
        <w:trPr>
          <w:trHeight w:val="335"/>
        </w:trPr>
        <w:tc>
          <w:tcPr>
            <w:tcW w:w="2410" w:type="dxa"/>
            <w:shd w:val="clear" w:color="auto" w:fill="E6E6E1" w:themeFill="accent5"/>
            <w:vAlign w:val="bottom"/>
          </w:tcPr>
          <w:p w14:paraId="0DAA75D2" w14:textId="60567512" w:rsidR="00084376" w:rsidRPr="00412219" w:rsidRDefault="00084376" w:rsidP="007F7722">
            <w:pPr>
              <w:pStyle w:val="TableNheader"/>
              <w:jc w:val="center"/>
              <w:rPr>
                <w:rFonts w:asciiTheme="minorHAnsi" w:hAnsiTheme="minorHAnsi" w:cstheme="minorHAnsi"/>
                <w:sz w:val="19"/>
                <w:szCs w:val="19"/>
              </w:rPr>
            </w:pPr>
            <w:r w:rsidRPr="00412219">
              <w:rPr>
                <w:rFonts w:asciiTheme="minorHAnsi" w:hAnsiTheme="minorHAnsi" w:cstheme="minorHAnsi"/>
                <w:color w:val="000000"/>
                <w:sz w:val="19"/>
                <w:szCs w:val="19"/>
              </w:rPr>
              <w:t>Option</w:t>
            </w:r>
          </w:p>
        </w:tc>
        <w:tc>
          <w:tcPr>
            <w:tcW w:w="3336" w:type="dxa"/>
            <w:shd w:val="clear" w:color="auto" w:fill="E6E6E1" w:themeFill="accent5"/>
            <w:vAlign w:val="bottom"/>
          </w:tcPr>
          <w:p w14:paraId="5F76BC80" w14:textId="022DCF84" w:rsidR="00084376" w:rsidRPr="00E2014B" w:rsidRDefault="00084376" w:rsidP="0024539C">
            <w:pPr>
              <w:pStyle w:val="TableNheader"/>
              <w:rPr>
                <w:rFonts w:asciiTheme="majorHAnsi" w:hAnsiTheme="majorHAnsi" w:cstheme="majorHAnsi"/>
                <w:sz w:val="19"/>
                <w:szCs w:val="19"/>
              </w:rPr>
            </w:pPr>
            <w:r w:rsidRPr="00E2014B">
              <w:rPr>
                <w:rFonts w:asciiTheme="majorHAnsi" w:hAnsiTheme="majorHAnsi" w:cstheme="majorHAnsi"/>
                <w:color w:val="F25E21" w:themeColor="accent2"/>
                <w:sz w:val="19"/>
                <w:szCs w:val="19"/>
              </w:rPr>
              <w:t>OPTION 1</w:t>
            </w:r>
          </w:p>
        </w:tc>
        <w:tc>
          <w:tcPr>
            <w:tcW w:w="3337" w:type="dxa"/>
            <w:shd w:val="clear" w:color="auto" w:fill="E6E6E1" w:themeFill="accent5"/>
            <w:vAlign w:val="bottom"/>
          </w:tcPr>
          <w:p w14:paraId="1A2AE235" w14:textId="42E4ED64" w:rsidR="00084376" w:rsidRPr="00E2014B" w:rsidRDefault="00084376" w:rsidP="0024539C">
            <w:pPr>
              <w:pStyle w:val="TableNheader"/>
              <w:rPr>
                <w:rFonts w:asciiTheme="majorHAnsi" w:hAnsiTheme="majorHAnsi" w:cstheme="majorHAnsi"/>
                <w:sz w:val="19"/>
                <w:szCs w:val="19"/>
              </w:rPr>
            </w:pPr>
            <w:r w:rsidRPr="00E2014B">
              <w:rPr>
                <w:rFonts w:asciiTheme="majorHAnsi" w:hAnsiTheme="majorHAnsi" w:cstheme="majorHAnsi"/>
                <w:color w:val="F8981D" w:themeColor="accent3"/>
                <w:sz w:val="19"/>
                <w:szCs w:val="19"/>
              </w:rPr>
              <w:t>OPTION 2</w:t>
            </w:r>
          </w:p>
        </w:tc>
      </w:tr>
      <w:tr w:rsidR="00084376" w14:paraId="162F6DBB" w14:textId="77777777" w:rsidTr="00084376">
        <w:trPr>
          <w:trHeight w:val="642"/>
        </w:trPr>
        <w:tc>
          <w:tcPr>
            <w:tcW w:w="2410" w:type="dxa"/>
            <w:shd w:val="clear" w:color="auto" w:fill="F2F2F2" w:themeFill="background1" w:themeFillShade="F2"/>
            <w:vAlign w:val="bottom"/>
          </w:tcPr>
          <w:p w14:paraId="53A2C7D2" w14:textId="724EEEEB" w:rsidR="00084376" w:rsidRPr="00412219" w:rsidRDefault="00084376" w:rsidP="00134136">
            <w:pPr>
              <w:rPr>
                <w:rFonts w:asciiTheme="minorHAnsi" w:hAnsiTheme="minorHAnsi" w:cstheme="minorHAnsi"/>
                <w:color w:val="F8981D" w:themeColor="accent3"/>
                <w:szCs w:val="19"/>
              </w:rPr>
            </w:pPr>
            <w:r w:rsidRPr="00412219">
              <w:rPr>
                <w:rFonts w:asciiTheme="minorHAnsi" w:hAnsiTheme="minorHAnsi" w:cstheme="minorHAnsi"/>
                <w:color w:val="000000"/>
                <w:szCs w:val="19"/>
              </w:rPr>
              <w:t>Purpose and objectives</w:t>
            </w:r>
          </w:p>
        </w:tc>
        <w:tc>
          <w:tcPr>
            <w:tcW w:w="3336" w:type="dxa"/>
            <w:vAlign w:val="bottom"/>
          </w:tcPr>
          <w:p w14:paraId="26D8AF6A" w14:textId="3AB95B26" w:rsidR="00084376" w:rsidRPr="00412219" w:rsidRDefault="00084376" w:rsidP="00134136">
            <w:pPr>
              <w:rPr>
                <w:rFonts w:asciiTheme="minorHAnsi" w:hAnsiTheme="minorHAnsi" w:cstheme="minorHAnsi"/>
                <w:szCs w:val="19"/>
              </w:rPr>
            </w:pPr>
            <w:r w:rsidRPr="00412219">
              <w:rPr>
                <w:rFonts w:asciiTheme="minorHAnsi" w:hAnsiTheme="minorHAnsi" w:cstheme="minorHAnsi"/>
                <w:color w:val="000000"/>
                <w:szCs w:val="19"/>
              </w:rPr>
              <w:t>1 (High risk)</w:t>
            </w:r>
          </w:p>
        </w:tc>
        <w:tc>
          <w:tcPr>
            <w:tcW w:w="3337" w:type="dxa"/>
            <w:vAlign w:val="bottom"/>
          </w:tcPr>
          <w:p w14:paraId="1C5223AD" w14:textId="08DFAD44" w:rsidR="00084376" w:rsidRPr="00412219" w:rsidRDefault="00084376" w:rsidP="00134136">
            <w:pPr>
              <w:rPr>
                <w:rFonts w:asciiTheme="minorHAnsi" w:hAnsiTheme="minorHAnsi" w:cstheme="minorHAnsi"/>
                <w:szCs w:val="19"/>
              </w:rPr>
            </w:pPr>
            <w:r w:rsidRPr="00412219">
              <w:rPr>
                <w:rFonts w:asciiTheme="minorHAnsi" w:hAnsiTheme="minorHAnsi" w:cstheme="minorHAnsi"/>
                <w:color w:val="000000"/>
                <w:szCs w:val="19"/>
              </w:rPr>
              <w:t>2 (Moderate risk)</w:t>
            </w:r>
          </w:p>
        </w:tc>
      </w:tr>
      <w:tr w:rsidR="00084376" w14:paraId="4420C001" w14:textId="77777777" w:rsidTr="00084376">
        <w:trPr>
          <w:trHeight w:val="906"/>
        </w:trPr>
        <w:tc>
          <w:tcPr>
            <w:tcW w:w="2410" w:type="dxa"/>
            <w:shd w:val="clear" w:color="auto" w:fill="F2F2F2" w:themeFill="background1" w:themeFillShade="F2"/>
            <w:vAlign w:val="bottom"/>
          </w:tcPr>
          <w:p w14:paraId="34915628" w14:textId="0583202A" w:rsidR="00084376" w:rsidRPr="00412219" w:rsidRDefault="00084376" w:rsidP="00134136">
            <w:pPr>
              <w:rPr>
                <w:rFonts w:asciiTheme="minorHAnsi" w:hAnsiTheme="minorHAnsi" w:cstheme="minorHAnsi"/>
                <w:color w:val="F8981D" w:themeColor="accent3"/>
                <w:szCs w:val="19"/>
              </w:rPr>
            </w:pPr>
            <w:r w:rsidRPr="00412219">
              <w:rPr>
                <w:rFonts w:asciiTheme="minorHAnsi" w:hAnsiTheme="minorHAnsi" w:cstheme="minorHAnsi"/>
                <w:color w:val="000000"/>
                <w:szCs w:val="19"/>
              </w:rPr>
              <w:t>Reforming standard-setting</w:t>
            </w:r>
          </w:p>
        </w:tc>
        <w:tc>
          <w:tcPr>
            <w:tcW w:w="3336" w:type="dxa"/>
            <w:vAlign w:val="bottom"/>
          </w:tcPr>
          <w:p w14:paraId="46A3115A" w14:textId="433AFC48" w:rsidR="00084376" w:rsidRPr="00412219" w:rsidRDefault="00084376" w:rsidP="00134136">
            <w:pPr>
              <w:rPr>
                <w:rFonts w:asciiTheme="minorHAnsi" w:hAnsiTheme="minorHAnsi" w:cstheme="minorHAnsi"/>
                <w:szCs w:val="19"/>
              </w:rPr>
            </w:pPr>
            <w:r w:rsidRPr="00412219">
              <w:rPr>
                <w:rFonts w:asciiTheme="minorHAnsi" w:hAnsiTheme="minorHAnsi" w:cstheme="minorHAnsi"/>
                <w:color w:val="000000"/>
                <w:szCs w:val="19"/>
              </w:rPr>
              <w:t>1 (High risk)</w:t>
            </w:r>
          </w:p>
        </w:tc>
        <w:tc>
          <w:tcPr>
            <w:tcW w:w="3337" w:type="dxa"/>
            <w:vAlign w:val="bottom"/>
          </w:tcPr>
          <w:p w14:paraId="10C72D47" w14:textId="68C1E872" w:rsidR="00084376" w:rsidRPr="00412219" w:rsidRDefault="00084376" w:rsidP="00134136">
            <w:pPr>
              <w:rPr>
                <w:rFonts w:asciiTheme="minorHAnsi" w:hAnsiTheme="minorHAnsi" w:cstheme="minorHAnsi"/>
                <w:szCs w:val="19"/>
              </w:rPr>
            </w:pPr>
            <w:r w:rsidRPr="00412219">
              <w:rPr>
                <w:rFonts w:asciiTheme="minorHAnsi" w:hAnsiTheme="minorHAnsi" w:cstheme="minorHAnsi"/>
                <w:color w:val="000000"/>
                <w:szCs w:val="19"/>
              </w:rPr>
              <w:t>2 (Moderate risk)</w:t>
            </w:r>
          </w:p>
        </w:tc>
      </w:tr>
      <w:tr w:rsidR="00084376" w14:paraId="0507120F" w14:textId="77777777" w:rsidTr="00084376">
        <w:trPr>
          <w:trHeight w:val="906"/>
        </w:trPr>
        <w:tc>
          <w:tcPr>
            <w:tcW w:w="2410" w:type="dxa"/>
            <w:shd w:val="clear" w:color="auto" w:fill="F2F2F2" w:themeFill="background1" w:themeFillShade="F2"/>
            <w:vAlign w:val="bottom"/>
          </w:tcPr>
          <w:p w14:paraId="211A6354" w14:textId="044DA107" w:rsidR="00084376" w:rsidRPr="00412219" w:rsidRDefault="00084376" w:rsidP="00084376">
            <w:pPr>
              <w:rPr>
                <w:rFonts w:asciiTheme="minorHAnsi" w:hAnsiTheme="minorHAnsi" w:cstheme="minorHAnsi"/>
                <w:color w:val="000000"/>
                <w:szCs w:val="19"/>
              </w:rPr>
            </w:pPr>
            <w:r w:rsidRPr="00412219">
              <w:rPr>
                <w:rFonts w:asciiTheme="minorHAnsi" w:hAnsiTheme="minorHAnsi" w:cstheme="minorHAnsi"/>
                <w:color w:val="000000"/>
                <w:szCs w:val="19"/>
              </w:rPr>
              <w:t>Efficient and effective operations</w:t>
            </w:r>
          </w:p>
        </w:tc>
        <w:tc>
          <w:tcPr>
            <w:tcW w:w="3336" w:type="dxa"/>
            <w:vAlign w:val="bottom"/>
          </w:tcPr>
          <w:p w14:paraId="0C6160B1" w14:textId="312737A8" w:rsidR="00084376" w:rsidRPr="00412219" w:rsidRDefault="00084376" w:rsidP="00084376">
            <w:pPr>
              <w:rPr>
                <w:rFonts w:asciiTheme="minorHAnsi" w:hAnsiTheme="minorHAnsi" w:cstheme="minorHAnsi"/>
                <w:color w:val="000000"/>
                <w:szCs w:val="19"/>
              </w:rPr>
            </w:pPr>
            <w:r w:rsidRPr="00412219">
              <w:rPr>
                <w:rFonts w:asciiTheme="minorHAnsi" w:hAnsiTheme="minorHAnsi" w:cstheme="minorHAnsi"/>
                <w:color w:val="000000"/>
                <w:szCs w:val="19"/>
              </w:rPr>
              <w:t>1 (High risk)</w:t>
            </w:r>
          </w:p>
        </w:tc>
        <w:tc>
          <w:tcPr>
            <w:tcW w:w="3337" w:type="dxa"/>
            <w:vAlign w:val="bottom"/>
          </w:tcPr>
          <w:p w14:paraId="0EC70B3E" w14:textId="172CF07E" w:rsidR="00084376" w:rsidRPr="00412219" w:rsidRDefault="00084376" w:rsidP="00084376">
            <w:pPr>
              <w:rPr>
                <w:rFonts w:asciiTheme="minorHAnsi" w:hAnsiTheme="minorHAnsi" w:cstheme="minorHAnsi"/>
                <w:color w:val="000000"/>
                <w:szCs w:val="19"/>
              </w:rPr>
            </w:pPr>
            <w:r w:rsidRPr="00412219">
              <w:rPr>
                <w:rFonts w:asciiTheme="minorHAnsi" w:hAnsiTheme="minorHAnsi" w:cstheme="minorHAnsi"/>
                <w:color w:val="000000"/>
                <w:szCs w:val="19"/>
              </w:rPr>
              <w:t>1 (High risk)</w:t>
            </w:r>
          </w:p>
        </w:tc>
      </w:tr>
      <w:tr w:rsidR="00084376" w14:paraId="5D0F4C7B" w14:textId="77777777" w:rsidTr="00084376">
        <w:trPr>
          <w:trHeight w:val="906"/>
        </w:trPr>
        <w:tc>
          <w:tcPr>
            <w:tcW w:w="2410" w:type="dxa"/>
            <w:shd w:val="clear" w:color="auto" w:fill="F2F2F2" w:themeFill="background1" w:themeFillShade="F2"/>
            <w:vAlign w:val="bottom"/>
          </w:tcPr>
          <w:p w14:paraId="71660220" w14:textId="488F05BE" w:rsidR="00084376" w:rsidRPr="00412219" w:rsidRDefault="00084376" w:rsidP="00084376">
            <w:pPr>
              <w:rPr>
                <w:rFonts w:asciiTheme="minorHAnsi" w:hAnsiTheme="minorHAnsi" w:cstheme="minorHAnsi"/>
                <w:color w:val="000000"/>
                <w:szCs w:val="19"/>
              </w:rPr>
            </w:pPr>
            <w:r w:rsidRPr="00412219">
              <w:rPr>
                <w:rFonts w:asciiTheme="minorHAnsi" w:hAnsiTheme="minorHAnsi" w:cstheme="minorHAnsi"/>
                <w:color w:val="000000"/>
                <w:szCs w:val="19"/>
              </w:rPr>
              <w:t>System agility</w:t>
            </w:r>
          </w:p>
        </w:tc>
        <w:tc>
          <w:tcPr>
            <w:tcW w:w="3336" w:type="dxa"/>
            <w:vAlign w:val="bottom"/>
          </w:tcPr>
          <w:p w14:paraId="716C727E" w14:textId="31DC2D01" w:rsidR="00084376" w:rsidRPr="00412219" w:rsidRDefault="00084376" w:rsidP="00084376">
            <w:pPr>
              <w:rPr>
                <w:rFonts w:asciiTheme="minorHAnsi" w:hAnsiTheme="minorHAnsi" w:cstheme="minorHAnsi"/>
                <w:color w:val="000000"/>
                <w:szCs w:val="19"/>
              </w:rPr>
            </w:pPr>
            <w:r w:rsidRPr="00412219">
              <w:rPr>
                <w:rFonts w:asciiTheme="minorHAnsi" w:hAnsiTheme="minorHAnsi" w:cstheme="minorHAnsi"/>
                <w:color w:val="000000"/>
                <w:szCs w:val="19"/>
              </w:rPr>
              <w:t>1 (High risk)</w:t>
            </w:r>
          </w:p>
        </w:tc>
        <w:tc>
          <w:tcPr>
            <w:tcW w:w="3337" w:type="dxa"/>
            <w:vAlign w:val="bottom"/>
          </w:tcPr>
          <w:p w14:paraId="68714920" w14:textId="3212D97B" w:rsidR="00084376" w:rsidRPr="00412219" w:rsidRDefault="00084376" w:rsidP="00084376">
            <w:pPr>
              <w:rPr>
                <w:rFonts w:asciiTheme="minorHAnsi" w:hAnsiTheme="minorHAnsi" w:cstheme="minorHAnsi"/>
                <w:color w:val="000000"/>
                <w:szCs w:val="19"/>
              </w:rPr>
            </w:pPr>
            <w:r w:rsidRPr="00412219">
              <w:rPr>
                <w:rFonts w:asciiTheme="minorHAnsi" w:hAnsiTheme="minorHAnsi" w:cstheme="minorHAnsi"/>
                <w:color w:val="000000"/>
                <w:szCs w:val="19"/>
              </w:rPr>
              <w:t>2 (Moderate risk)</w:t>
            </w:r>
          </w:p>
        </w:tc>
      </w:tr>
      <w:tr w:rsidR="00084376" w14:paraId="00DC7727" w14:textId="77777777" w:rsidTr="00084376">
        <w:trPr>
          <w:trHeight w:val="906"/>
        </w:trPr>
        <w:tc>
          <w:tcPr>
            <w:tcW w:w="2410" w:type="dxa"/>
            <w:shd w:val="clear" w:color="auto" w:fill="F2F2F2" w:themeFill="background1" w:themeFillShade="F2"/>
            <w:vAlign w:val="bottom"/>
          </w:tcPr>
          <w:p w14:paraId="2769CC60" w14:textId="66B7572D" w:rsidR="00084376" w:rsidRPr="00412219" w:rsidRDefault="00084376" w:rsidP="00084376">
            <w:pPr>
              <w:rPr>
                <w:rFonts w:asciiTheme="minorHAnsi" w:hAnsiTheme="minorHAnsi" w:cstheme="minorHAnsi"/>
                <w:color w:val="000000"/>
                <w:szCs w:val="19"/>
              </w:rPr>
            </w:pPr>
            <w:r w:rsidRPr="00412219">
              <w:rPr>
                <w:rFonts w:asciiTheme="minorHAnsi" w:hAnsiTheme="minorHAnsi" w:cstheme="minorHAnsi"/>
                <w:color w:val="000000"/>
                <w:szCs w:val="19"/>
              </w:rPr>
              <w:t>Total </w:t>
            </w:r>
          </w:p>
        </w:tc>
        <w:tc>
          <w:tcPr>
            <w:tcW w:w="3336" w:type="dxa"/>
            <w:vAlign w:val="bottom"/>
          </w:tcPr>
          <w:p w14:paraId="20D250C6" w14:textId="2298550E" w:rsidR="00084376" w:rsidRPr="00412219" w:rsidRDefault="00084376" w:rsidP="00084376">
            <w:pPr>
              <w:rPr>
                <w:rFonts w:asciiTheme="minorHAnsi" w:hAnsiTheme="minorHAnsi" w:cstheme="minorHAnsi"/>
                <w:color w:val="000000"/>
                <w:szCs w:val="19"/>
              </w:rPr>
            </w:pPr>
            <w:r w:rsidRPr="00412219">
              <w:rPr>
                <w:rFonts w:asciiTheme="minorHAnsi" w:hAnsiTheme="minorHAnsi" w:cstheme="minorHAnsi"/>
                <w:color w:val="000000"/>
                <w:szCs w:val="19"/>
              </w:rPr>
              <w:t>4</w:t>
            </w:r>
          </w:p>
        </w:tc>
        <w:tc>
          <w:tcPr>
            <w:tcW w:w="3337" w:type="dxa"/>
            <w:vAlign w:val="bottom"/>
          </w:tcPr>
          <w:p w14:paraId="3F7183DC" w14:textId="182E1702" w:rsidR="00084376" w:rsidRPr="00412219" w:rsidRDefault="00084376" w:rsidP="00084376">
            <w:pPr>
              <w:rPr>
                <w:rFonts w:asciiTheme="minorHAnsi" w:hAnsiTheme="minorHAnsi" w:cstheme="minorHAnsi"/>
                <w:color w:val="000000"/>
                <w:szCs w:val="19"/>
              </w:rPr>
            </w:pPr>
            <w:r w:rsidRPr="00412219">
              <w:rPr>
                <w:rFonts w:asciiTheme="minorHAnsi" w:hAnsiTheme="minorHAnsi" w:cstheme="minorHAnsi"/>
                <w:color w:val="000000"/>
                <w:szCs w:val="19"/>
              </w:rPr>
              <w:t>7</w:t>
            </w:r>
          </w:p>
        </w:tc>
      </w:tr>
    </w:tbl>
    <w:p w14:paraId="6C181374" w14:textId="77777777" w:rsidR="00923BE4" w:rsidRDefault="00923BE4" w:rsidP="00923BE4"/>
    <w:p w14:paraId="365BA992" w14:textId="31C2667A" w:rsidR="00923BE4" w:rsidRDefault="00923BE4" w:rsidP="00923BE4">
      <w:pPr>
        <w:pStyle w:val="Heading3"/>
      </w:pPr>
      <w:r>
        <w:t>Purpose and objectives</w:t>
      </w:r>
    </w:p>
    <w:p w14:paraId="6C048475" w14:textId="612270A0" w:rsidR="00E1607B" w:rsidRDefault="00E1607B" w:rsidP="00F32CD3">
      <w:pPr>
        <w:rPr>
          <w:lang w:eastAsia="en-AU"/>
        </w:rPr>
      </w:pPr>
      <w:r>
        <w:rPr>
          <w:lang w:eastAsia="en-AU"/>
        </w:rPr>
        <w:t xml:space="preserve">There are several risks inherent to </w:t>
      </w:r>
      <w:r w:rsidR="0034507C">
        <w:rPr>
          <w:lang w:eastAsia="en-AU"/>
        </w:rPr>
        <w:t>setting</w:t>
      </w:r>
      <w:r w:rsidR="007F6AA6">
        <w:rPr>
          <w:lang w:eastAsia="en-AU"/>
        </w:rPr>
        <w:t xml:space="preserve"> and describing the purpose and objectives of the Act and for FSANZ. </w:t>
      </w:r>
    </w:p>
    <w:p w14:paraId="3AD2758A" w14:textId="47CD15AB" w:rsidR="00016EE0" w:rsidRDefault="00822745" w:rsidP="00F32CD3">
      <w:pPr>
        <w:rPr>
          <w:lang w:eastAsia="en-AU"/>
        </w:rPr>
      </w:pPr>
      <w:r>
        <w:rPr>
          <w:lang w:eastAsia="en-AU"/>
        </w:rPr>
        <w:t>The significance of these risk</w:t>
      </w:r>
      <w:r w:rsidR="00963F17">
        <w:rPr>
          <w:lang w:eastAsia="en-AU"/>
        </w:rPr>
        <w:t xml:space="preserve">s </w:t>
      </w:r>
      <w:r w:rsidR="00D01076">
        <w:rPr>
          <w:lang w:eastAsia="en-AU"/>
        </w:rPr>
        <w:t xml:space="preserve">for each option are summarised in </w:t>
      </w:r>
      <w:r w:rsidR="00905845">
        <w:rPr>
          <w:lang w:eastAsia="en-AU"/>
        </w:rPr>
        <w:fldChar w:fldCharType="begin"/>
      </w:r>
      <w:r w:rsidR="00905845">
        <w:rPr>
          <w:lang w:eastAsia="en-AU"/>
        </w:rPr>
        <w:instrText xml:space="preserve"> REF _Ref149150765 \h </w:instrText>
      </w:r>
      <w:r w:rsidR="00905845">
        <w:rPr>
          <w:lang w:eastAsia="en-AU"/>
        </w:rPr>
      </w:r>
      <w:r w:rsidR="00905845">
        <w:rPr>
          <w:lang w:eastAsia="en-AU"/>
        </w:rPr>
        <w:fldChar w:fldCharType="separate"/>
      </w:r>
      <w:r w:rsidR="003F7B92">
        <w:t xml:space="preserve">Table </w:t>
      </w:r>
      <w:r w:rsidR="003F7B92">
        <w:rPr>
          <w:noProof/>
        </w:rPr>
        <w:t>27</w:t>
      </w:r>
      <w:r w:rsidR="00905845">
        <w:rPr>
          <w:lang w:eastAsia="en-AU"/>
        </w:rPr>
        <w:fldChar w:fldCharType="end"/>
      </w:r>
      <w:r w:rsidR="00E40A09">
        <w:rPr>
          <w:lang w:eastAsia="en-AU"/>
        </w:rPr>
        <w:t>.</w:t>
      </w:r>
    </w:p>
    <w:p w14:paraId="7D076BE4" w14:textId="77777777" w:rsidR="000410B8" w:rsidRDefault="000410B8">
      <w:pPr>
        <w:spacing w:after="165"/>
        <w:rPr>
          <w:rFonts w:ascii="Segoe UI Semibold" w:hAnsi="Segoe UI Semibold"/>
          <w:bCs/>
          <w:color w:val="00264D" w:themeColor="background2"/>
          <w:szCs w:val="18"/>
        </w:rPr>
      </w:pPr>
      <w:bookmarkStart w:id="132" w:name="_Ref149150765"/>
      <w:r>
        <w:br w:type="page"/>
      </w:r>
    </w:p>
    <w:p w14:paraId="30DD0758" w14:textId="1DBD2A2B" w:rsidR="00F32CD3" w:rsidRDefault="00905845" w:rsidP="00905845">
      <w:pPr>
        <w:pStyle w:val="Caption"/>
        <w:rPr>
          <w:lang w:eastAsia="en-AU"/>
        </w:rPr>
      </w:pPr>
      <w:r>
        <w:lastRenderedPageBreak/>
        <w:t xml:space="preserve">Table </w:t>
      </w:r>
      <w:r>
        <w:fldChar w:fldCharType="begin"/>
      </w:r>
      <w:r>
        <w:instrText xml:space="preserve"> SEQ Table \* ARABIC </w:instrText>
      </w:r>
      <w:r>
        <w:fldChar w:fldCharType="separate"/>
      </w:r>
      <w:r w:rsidR="003F7B92">
        <w:rPr>
          <w:noProof/>
        </w:rPr>
        <w:t>27</w:t>
      </w:r>
      <w:r>
        <w:fldChar w:fldCharType="end"/>
      </w:r>
      <w:bookmarkEnd w:id="132"/>
      <w:r>
        <w:t xml:space="preserve"> | </w:t>
      </w:r>
      <w:r w:rsidRPr="00CB5E4E">
        <w:t xml:space="preserve">Assessment of delivery risks associated with purpose and </w:t>
      </w:r>
      <w:proofErr w:type="gramStart"/>
      <w:r w:rsidRPr="00CB5E4E">
        <w:t>objectives</w:t>
      </w:r>
      <w:proofErr w:type="gramEnd"/>
    </w:p>
    <w:tbl>
      <w:tblPr>
        <w:tblStyle w:val="TableGrid"/>
        <w:tblW w:w="5000" w:type="pct"/>
        <w:tblLook w:val="0680" w:firstRow="0" w:lastRow="0" w:firstColumn="1" w:lastColumn="0" w:noHBand="1" w:noVBand="1"/>
      </w:tblPr>
      <w:tblGrid>
        <w:gridCol w:w="2936"/>
        <w:gridCol w:w="3008"/>
        <w:gridCol w:w="2986"/>
      </w:tblGrid>
      <w:tr w:rsidR="007426C4" w14:paraId="47D138D8" w14:textId="77777777" w:rsidTr="00A4406A">
        <w:tc>
          <w:tcPr>
            <w:tcW w:w="1644" w:type="pct"/>
            <w:shd w:val="clear" w:color="auto" w:fill="E6E6E1" w:themeFill="accent5"/>
          </w:tcPr>
          <w:p w14:paraId="2A6F8CB8" w14:textId="6EDC69D5" w:rsidR="007426C4" w:rsidRDefault="007426C4" w:rsidP="00C87D1A">
            <w:pPr>
              <w:pStyle w:val="TableNheader"/>
              <w:rPr>
                <w:lang w:eastAsia="en-AU"/>
              </w:rPr>
            </w:pPr>
          </w:p>
        </w:tc>
        <w:tc>
          <w:tcPr>
            <w:tcW w:w="1684" w:type="pct"/>
            <w:shd w:val="clear" w:color="auto" w:fill="E6E6E1" w:themeFill="accent5"/>
          </w:tcPr>
          <w:p w14:paraId="147628D7" w14:textId="295D3F75" w:rsidR="007426C4" w:rsidRDefault="007426C4" w:rsidP="00C87D1A">
            <w:pPr>
              <w:pStyle w:val="TableNheader"/>
              <w:rPr>
                <w:lang w:eastAsia="en-AU"/>
              </w:rPr>
            </w:pPr>
            <w:r w:rsidRPr="0024539C">
              <w:rPr>
                <w:color w:val="F25E21" w:themeColor="accent2"/>
                <w:lang w:eastAsia="en-AU"/>
              </w:rPr>
              <w:t>OPTION 1</w:t>
            </w:r>
          </w:p>
        </w:tc>
        <w:tc>
          <w:tcPr>
            <w:tcW w:w="1672" w:type="pct"/>
            <w:shd w:val="clear" w:color="auto" w:fill="E6E6E1" w:themeFill="accent5"/>
          </w:tcPr>
          <w:p w14:paraId="14098A36" w14:textId="078AB637" w:rsidR="007426C4" w:rsidRDefault="007426C4" w:rsidP="00C87D1A">
            <w:pPr>
              <w:pStyle w:val="TableNheader"/>
              <w:rPr>
                <w:lang w:eastAsia="en-AU"/>
              </w:rPr>
            </w:pPr>
            <w:r w:rsidRPr="0024539C">
              <w:rPr>
                <w:color w:val="F8981D" w:themeColor="accent3"/>
                <w:lang w:eastAsia="en-AU"/>
              </w:rPr>
              <w:t>OPTION 2</w:t>
            </w:r>
          </w:p>
        </w:tc>
      </w:tr>
      <w:tr w:rsidR="007426C4" w14:paraId="1D5FA268" w14:textId="77777777" w:rsidTr="00A4406A">
        <w:tc>
          <w:tcPr>
            <w:tcW w:w="1644" w:type="pct"/>
          </w:tcPr>
          <w:p w14:paraId="407E82BF" w14:textId="47D519DA" w:rsidR="007426C4" w:rsidRPr="0024539C" w:rsidRDefault="00E4692B" w:rsidP="00C87D1A">
            <w:pPr>
              <w:rPr>
                <w:color w:val="F8981D" w:themeColor="accent3"/>
                <w:lang w:eastAsia="en-AU"/>
              </w:rPr>
            </w:pPr>
            <w:r w:rsidRPr="00A4406A">
              <w:rPr>
                <w:lang w:eastAsia="en-AU"/>
              </w:rPr>
              <w:t xml:space="preserve">Delivery risks </w:t>
            </w:r>
            <w:r w:rsidR="006D5251" w:rsidRPr="00A4406A">
              <w:rPr>
                <w:lang w:eastAsia="en-AU"/>
              </w:rPr>
              <w:t xml:space="preserve">associated with </w:t>
            </w:r>
            <w:r w:rsidR="003427BD" w:rsidRPr="00A4406A">
              <w:rPr>
                <w:lang w:eastAsia="en-AU"/>
              </w:rPr>
              <w:t>proposals on purpose and objectives</w:t>
            </w:r>
          </w:p>
        </w:tc>
        <w:tc>
          <w:tcPr>
            <w:tcW w:w="1684" w:type="pct"/>
          </w:tcPr>
          <w:p w14:paraId="506AAFC7" w14:textId="3DBB92F7" w:rsidR="007426C4" w:rsidRDefault="003427BD" w:rsidP="00C87D1A">
            <w:pPr>
              <w:rPr>
                <w:lang w:eastAsia="en-AU"/>
              </w:rPr>
            </w:pPr>
            <w:r>
              <w:rPr>
                <w:lang w:eastAsia="en-AU"/>
              </w:rPr>
              <w:t>1 (high)</w:t>
            </w:r>
          </w:p>
        </w:tc>
        <w:tc>
          <w:tcPr>
            <w:tcW w:w="1672" w:type="pct"/>
          </w:tcPr>
          <w:p w14:paraId="27E64FB1" w14:textId="69436E4A" w:rsidR="007426C4" w:rsidRDefault="00A4406A" w:rsidP="00C87D1A">
            <w:pPr>
              <w:rPr>
                <w:lang w:eastAsia="en-AU"/>
              </w:rPr>
            </w:pPr>
            <w:r>
              <w:rPr>
                <w:lang w:eastAsia="en-AU"/>
              </w:rPr>
              <w:t>2 (moderate)</w:t>
            </w:r>
          </w:p>
        </w:tc>
      </w:tr>
    </w:tbl>
    <w:p w14:paraId="18F7BE98" w14:textId="77777777" w:rsidR="00F32CD3" w:rsidRDefault="00F32CD3" w:rsidP="00F32CD3">
      <w:pPr>
        <w:rPr>
          <w:lang w:eastAsia="en-AU"/>
        </w:rPr>
      </w:pPr>
    </w:p>
    <w:p w14:paraId="73577C59" w14:textId="058BF9EB" w:rsidR="00F32CD3" w:rsidRDefault="00905845" w:rsidP="00F32CD3">
      <w:r>
        <w:t xml:space="preserve">More detail is provided below. </w:t>
      </w:r>
    </w:p>
    <w:p w14:paraId="4C20ED6F" w14:textId="5275BC36" w:rsidR="003614ED" w:rsidRDefault="00A161A6" w:rsidP="003614ED">
      <w:pPr>
        <w:pStyle w:val="Heading4"/>
      </w:pPr>
      <w:r w:rsidRPr="0024539C">
        <w:rPr>
          <w:color w:val="F25E21" w:themeColor="accent2"/>
        </w:rPr>
        <w:t>OPTION 1</w:t>
      </w:r>
      <w:r>
        <w:rPr>
          <w:color w:val="F25E21" w:themeColor="accent2"/>
        </w:rPr>
        <w:t xml:space="preserve"> </w:t>
      </w:r>
      <w:r>
        <w:t>Risks</w:t>
      </w:r>
    </w:p>
    <w:p w14:paraId="2587CE50" w14:textId="3364FEA0" w:rsidR="00A161A6" w:rsidRPr="00A161A6" w:rsidRDefault="00A161A6" w:rsidP="00C10D4C">
      <w:pPr>
        <w:pStyle w:val="Heading5"/>
      </w:pPr>
      <w:r w:rsidRPr="001C4AF3">
        <w:rPr>
          <w:rFonts w:eastAsia="Segoe UI"/>
        </w:rPr>
        <w:t xml:space="preserve">Confusion around the objectives and scope of FSANZ will perpetuate, meaning that risks relating to public health and safety – particularly long-term health – are not well </w:t>
      </w:r>
      <w:proofErr w:type="gramStart"/>
      <w:r w:rsidRPr="001C4AF3">
        <w:rPr>
          <w:rFonts w:eastAsia="Segoe UI"/>
        </w:rPr>
        <w:t>managed</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5D74FFDF"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5424DFA7" w14:textId="2565D266" w:rsidR="002F399D" w:rsidRPr="002F399D" w:rsidRDefault="002F399D" w:rsidP="002F399D">
            <w:pPr>
              <w:rPr>
                <w:rFonts w:asciiTheme="minorHAnsi" w:eastAsia="Segoe UI" w:hAnsiTheme="minorHAnsi" w:cstheme="minorHAnsi"/>
                <w:sz w:val="22"/>
                <w:szCs w:val="19"/>
                <w:lang w:eastAsia="en-AU"/>
              </w:rPr>
            </w:pPr>
            <w:bookmarkStart w:id="133" w:name="_Hlk149151085"/>
            <w:r w:rsidRPr="002F399D">
              <w:rPr>
                <w:rFonts w:asciiTheme="minorHAnsi" w:eastAsia="Segoe UI" w:hAnsiTheme="minorHAnsi" w:cstheme="minorHAnsi"/>
                <w:color w:val="FFFFFF" w:themeColor="background1"/>
                <w:sz w:val="22"/>
                <w:szCs w:val="19"/>
                <w:lang w:eastAsia="en-AU"/>
              </w:rPr>
              <w:t>Consequence</w:t>
            </w:r>
          </w:p>
        </w:tc>
        <w:tc>
          <w:tcPr>
            <w:tcW w:w="567" w:type="dxa"/>
          </w:tcPr>
          <w:p w14:paraId="25A4FD95" w14:textId="502538FD" w:rsidR="002F399D" w:rsidRPr="002F399D" w:rsidRDefault="00FF48EB" w:rsidP="002F399D">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 xml:space="preserve">1 </w:t>
            </w:r>
          </w:p>
        </w:tc>
        <w:tc>
          <w:tcPr>
            <w:tcW w:w="1985" w:type="dxa"/>
            <w:shd w:val="clear" w:color="auto" w:fill="00264D" w:themeFill="background2"/>
          </w:tcPr>
          <w:p w14:paraId="45A116E5" w14:textId="6CB6CE2C" w:rsidR="002F399D" w:rsidRPr="002F399D" w:rsidRDefault="00BD214A" w:rsidP="002F399D">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4FF819E5" w14:textId="497E59D5" w:rsidR="002F399D" w:rsidRPr="002F399D" w:rsidRDefault="0000673F" w:rsidP="002F399D">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2268" w:type="dxa"/>
            <w:shd w:val="clear" w:color="auto" w:fill="00264D" w:themeFill="background2"/>
          </w:tcPr>
          <w:p w14:paraId="7C0643B3" w14:textId="4AB9C96A" w:rsidR="002F399D" w:rsidRPr="002F399D" w:rsidRDefault="00330C88" w:rsidP="002F399D">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17601E3E" w14:textId="02D02466" w:rsidR="002F399D" w:rsidRPr="002F399D" w:rsidRDefault="0000673F" w:rsidP="002F399D">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r>
      <w:bookmarkEnd w:id="133"/>
    </w:tbl>
    <w:p w14:paraId="7BFE8439" w14:textId="77777777" w:rsidR="00A161A6" w:rsidRDefault="00A161A6" w:rsidP="00A161A6">
      <w:pPr>
        <w:rPr>
          <w:lang w:eastAsia="en-AU"/>
        </w:rPr>
      </w:pPr>
    </w:p>
    <w:p w14:paraId="3442BE6A" w14:textId="2E897F48" w:rsidR="00FD6119" w:rsidRDefault="00FD6119" w:rsidP="00FD6119">
      <w:pPr>
        <w:rPr>
          <w:lang w:eastAsia="en-AU"/>
        </w:rPr>
      </w:pPr>
      <w:r>
        <w:rPr>
          <w:szCs w:val="19"/>
        </w:rPr>
        <w:t xml:space="preserve">Without clarifying the </w:t>
      </w:r>
      <w:r w:rsidRPr="001B4643">
        <w:rPr>
          <w:rFonts w:asciiTheme="minorHAnsi" w:hAnsiTheme="minorHAnsi"/>
          <w:szCs w:val="19"/>
        </w:rPr>
        <w:t xml:space="preserve">definition of the </w:t>
      </w:r>
      <w:r>
        <w:rPr>
          <w:rFonts w:asciiTheme="minorHAnsi" w:hAnsiTheme="minorHAnsi"/>
          <w:szCs w:val="19"/>
        </w:rPr>
        <w:t>‘public health’</w:t>
      </w:r>
      <w:r w:rsidRPr="001B4643">
        <w:rPr>
          <w:rFonts w:asciiTheme="minorHAnsi" w:hAnsiTheme="minorHAnsi"/>
          <w:szCs w:val="19"/>
        </w:rPr>
        <w:t xml:space="preserve"> in the primary legislation</w:t>
      </w:r>
      <w:r>
        <w:rPr>
          <w:szCs w:val="19"/>
        </w:rPr>
        <w:t xml:space="preserve">, the language in the Act and other key instruments will continue to be inconsistent. </w:t>
      </w:r>
      <w:r>
        <w:rPr>
          <w:rFonts w:asciiTheme="minorHAnsi" w:hAnsiTheme="minorHAnsi"/>
          <w:szCs w:val="19"/>
        </w:rPr>
        <w:t xml:space="preserve">There will continue to be a lack of clarity in </w:t>
      </w:r>
      <w:r w:rsidRPr="001B4643">
        <w:rPr>
          <w:rFonts w:asciiTheme="minorHAnsi" w:hAnsiTheme="minorHAnsi"/>
          <w:szCs w:val="19"/>
        </w:rPr>
        <w:t>the overall strategic direction for the Act and for FSANZ.</w:t>
      </w:r>
      <w:r w:rsidR="00235A9D">
        <w:rPr>
          <w:rFonts w:ascii="ZWAdobeF" w:hAnsi="ZWAdobeF" w:cs="ZWAdobeF"/>
          <w:sz w:val="2"/>
          <w:szCs w:val="2"/>
        </w:rPr>
        <w:t>46F</w:t>
      </w:r>
      <w:r>
        <w:rPr>
          <w:rStyle w:val="FootnoteReference"/>
          <w:rFonts w:asciiTheme="minorHAnsi" w:hAnsiTheme="minorHAnsi"/>
          <w:szCs w:val="19"/>
        </w:rPr>
        <w:footnoteReference w:id="55"/>
      </w:r>
      <w:r>
        <w:rPr>
          <w:rFonts w:asciiTheme="minorHAnsi" w:hAnsiTheme="minorHAnsi"/>
          <w:szCs w:val="19"/>
        </w:rPr>
        <w:t xml:space="preserve"> Although FSANZ should already consider </w:t>
      </w:r>
      <w:r w:rsidRPr="00D54B32">
        <w:rPr>
          <w:szCs w:val="19"/>
        </w:rPr>
        <w:t>both long-term health impacts and immediate health risks in the development and review of food regulatory measures</w:t>
      </w:r>
      <w:r>
        <w:rPr>
          <w:szCs w:val="19"/>
        </w:rPr>
        <w:t xml:space="preserve">, the lack of an overarching strategic mandate risks hindering the proactive management of food-related health risks. An ambiguous mandate not only compromises the effectiveness of FSANZ in developing and reviewing food regulatory measures, but also the has major implications for the wellbeing of Australia and New Zealand populations. </w:t>
      </w:r>
    </w:p>
    <w:p w14:paraId="4CA97880" w14:textId="2E3CB737" w:rsidR="00A161A6" w:rsidRDefault="00D621BA" w:rsidP="00D621BA">
      <w:pPr>
        <w:pStyle w:val="Heading5"/>
        <w:rPr>
          <w:rFonts w:eastAsia="Segoe UI"/>
        </w:rPr>
      </w:pPr>
      <w:r w:rsidRPr="001C4AF3">
        <w:rPr>
          <w:rFonts w:eastAsia="Segoe UI"/>
        </w:rPr>
        <w:t xml:space="preserve">The FSANZ Act remains out of step with contemporary expectations and obligations to recognise Indigenous culture and </w:t>
      </w:r>
      <w:proofErr w:type="gramStart"/>
      <w:r w:rsidRPr="001C4AF3">
        <w:rPr>
          <w:rFonts w:eastAsia="Segoe UI"/>
        </w:rPr>
        <w:t>expertise</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7BF6EBD0"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55DEA89F" w14:textId="77777777" w:rsidR="00D621BA" w:rsidRPr="002F399D" w:rsidRDefault="00D621BA" w:rsidP="00C87D1A">
            <w:pPr>
              <w:rPr>
                <w:rFonts w:asciiTheme="minorHAnsi" w:eastAsia="Segoe UI" w:hAnsiTheme="minorHAnsi" w:cstheme="minorHAnsi"/>
                <w:sz w:val="22"/>
                <w:szCs w:val="19"/>
                <w:lang w:eastAsia="en-AU"/>
              </w:rPr>
            </w:pPr>
            <w:bookmarkStart w:id="134" w:name="_Hlk149151312"/>
            <w:r w:rsidRPr="002F399D">
              <w:rPr>
                <w:rFonts w:asciiTheme="minorHAnsi" w:eastAsia="Segoe UI" w:hAnsiTheme="minorHAnsi" w:cstheme="minorHAnsi"/>
                <w:color w:val="FFFFFF" w:themeColor="background1"/>
                <w:sz w:val="22"/>
                <w:szCs w:val="19"/>
                <w:lang w:eastAsia="en-AU"/>
              </w:rPr>
              <w:t>Consequence</w:t>
            </w:r>
          </w:p>
        </w:tc>
        <w:tc>
          <w:tcPr>
            <w:tcW w:w="567" w:type="dxa"/>
          </w:tcPr>
          <w:p w14:paraId="59F7CB07" w14:textId="55D53A93" w:rsidR="00D621BA" w:rsidRPr="002F399D" w:rsidRDefault="006F5FD8"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r w:rsidR="00D621BA">
              <w:rPr>
                <w:rFonts w:asciiTheme="minorHAnsi" w:eastAsia="Segoe UI" w:hAnsiTheme="minorHAnsi" w:cstheme="minorHAnsi"/>
                <w:sz w:val="22"/>
                <w:szCs w:val="19"/>
                <w:lang w:eastAsia="en-AU"/>
              </w:rPr>
              <w:t xml:space="preserve"> </w:t>
            </w:r>
          </w:p>
        </w:tc>
        <w:tc>
          <w:tcPr>
            <w:tcW w:w="1985" w:type="dxa"/>
            <w:shd w:val="clear" w:color="auto" w:fill="00264D" w:themeFill="background2"/>
          </w:tcPr>
          <w:p w14:paraId="1234C1A2" w14:textId="77777777" w:rsidR="00D621BA" w:rsidRPr="002F399D" w:rsidRDefault="00D621BA"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0CF52185" w14:textId="5D67AC06" w:rsidR="00D621BA" w:rsidRPr="002F399D" w:rsidRDefault="00E20EF4"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2268" w:type="dxa"/>
            <w:shd w:val="clear" w:color="auto" w:fill="00264D" w:themeFill="background2"/>
          </w:tcPr>
          <w:p w14:paraId="3313B19A" w14:textId="77777777" w:rsidR="00D621BA" w:rsidRPr="002F399D" w:rsidRDefault="00D621BA"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159122F6" w14:textId="77777777" w:rsidR="00D621BA" w:rsidRPr="002F399D" w:rsidRDefault="00D621BA"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r>
      <w:bookmarkEnd w:id="134"/>
    </w:tbl>
    <w:p w14:paraId="7A524D0F" w14:textId="77777777" w:rsidR="00D621BA" w:rsidRDefault="00D621BA" w:rsidP="00A161A6">
      <w:pPr>
        <w:rPr>
          <w:lang w:eastAsia="en-AU"/>
        </w:rPr>
      </w:pPr>
    </w:p>
    <w:p w14:paraId="0D7E3F6D" w14:textId="3093DD97" w:rsidR="00923BE4" w:rsidRDefault="00E40A09" w:rsidP="00E40A09">
      <w:pPr>
        <w:rPr>
          <w:lang w:eastAsia="en-AU"/>
        </w:rPr>
      </w:pPr>
      <w:r>
        <w:rPr>
          <w:lang w:eastAsia="en-AU"/>
        </w:rPr>
        <w:t xml:space="preserve">Without modernising the language of the Act, it will continue to not recognise Indigenous culture and food expertise. This would be a missed opportunity to update the Act to be in line with the constitutional requirement for the New Zealand government under </w:t>
      </w:r>
      <w:r w:rsidR="00F5491A">
        <w:t xml:space="preserve">the </w:t>
      </w:r>
      <w:r w:rsidRPr="008F7497">
        <w:rPr>
          <w:lang w:eastAsia="en-AU"/>
        </w:rPr>
        <w:t>Treaty of Waitangi</w:t>
      </w:r>
      <w:r>
        <w:rPr>
          <w:lang w:eastAsia="en-AU"/>
        </w:rPr>
        <w:t xml:space="preserve"> to deliver policy in a way that enhances Crown/</w:t>
      </w:r>
      <w:r w:rsidRPr="008F7497">
        <w:rPr>
          <w:lang w:eastAsia="en-AU"/>
        </w:rPr>
        <w:t>Māori</w:t>
      </w:r>
      <w:r>
        <w:rPr>
          <w:lang w:eastAsia="en-AU"/>
        </w:rPr>
        <w:t xml:space="preserve"> relations, and to ensure the Act is consistent with and responds to contemporary expectations of the Australian government to celebrate and foster Indigenous culture. </w:t>
      </w:r>
    </w:p>
    <w:p w14:paraId="05A0AC2A" w14:textId="329200C0" w:rsidR="006A1BBF" w:rsidRDefault="00E40A09" w:rsidP="006A1BBF">
      <w:pPr>
        <w:pStyle w:val="Heading4"/>
      </w:pPr>
      <w:r w:rsidRPr="0024539C">
        <w:rPr>
          <w:color w:val="F8981D" w:themeColor="accent3"/>
        </w:rPr>
        <w:t>OPTION 2</w:t>
      </w:r>
      <w:r>
        <w:rPr>
          <w:color w:val="F8981D" w:themeColor="accent3"/>
        </w:rPr>
        <w:t xml:space="preserve"> </w:t>
      </w:r>
      <w:r w:rsidR="00E07982">
        <w:t>R</w:t>
      </w:r>
      <w:r w:rsidRPr="00E40A09">
        <w:t>isks</w:t>
      </w:r>
    </w:p>
    <w:p w14:paraId="6D3BA098" w14:textId="3156881B" w:rsidR="00E40A09" w:rsidRDefault="00E40A09" w:rsidP="00E40A09">
      <w:pPr>
        <w:pStyle w:val="Heading5"/>
      </w:pPr>
      <w:r w:rsidRPr="00937CD1">
        <w:t xml:space="preserve">Alignment of definitions could inadvertently widen the scope for FSANZ and its role in managing public health </w:t>
      </w:r>
      <w:proofErr w:type="gramStart"/>
      <w:r w:rsidRPr="00937CD1">
        <w:t>risks</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1D3BD1EF"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58213053" w14:textId="77777777" w:rsidR="00E40A09" w:rsidRPr="002F399D" w:rsidRDefault="00E40A09"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0C47CFCD" w14:textId="77777777" w:rsidR="00E40A09" w:rsidRPr="002F399D" w:rsidRDefault="00E40A0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 xml:space="preserve">2 </w:t>
            </w:r>
          </w:p>
        </w:tc>
        <w:tc>
          <w:tcPr>
            <w:tcW w:w="1985" w:type="dxa"/>
            <w:shd w:val="clear" w:color="auto" w:fill="00264D" w:themeFill="background2"/>
          </w:tcPr>
          <w:p w14:paraId="39FB9150" w14:textId="77777777" w:rsidR="00E40A09" w:rsidRPr="002F399D" w:rsidRDefault="00E40A09"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0302797E" w14:textId="3103EE7B" w:rsidR="00E40A09" w:rsidRPr="002F399D" w:rsidRDefault="00E40A0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r w:rsidR="00103251">
              <w:rPr>
                <w:rFonts w:asciiTheme="minorHAnsi" w:eastAsia="Segoe UI" w:hAnsiTheme="minorHAnsi" w:cstheme="minorHAnsi"/>
                <w:sz w:val="22"/>
                <w:szCs w:val="19"/>
                <w:lang w:eastAsia="en-AU"/>
              </w:rPr>
              <w:t>.5</w:t>
            </w:r>
          </w:p>
        </w:tc>
        <w:tc>
          <w:tcPr>
            <w:tcW w:w="2268" w:type="dxa"/>
            <w:shd w:val="clear" w:color="auto" w:fill="00264D" w:themeFill="background2"/>
          </w:tcPr>
          <w:p w14:paraId="10FB7892" w14:textId="77777777" w:rsidR="00E40A09" w:rsidRPr="002F399D" w:rsidRDefault="00E40A09"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1A4D2973" w14:textId="016548BC" w:rsidR="00E40A09" w:rsidRPr="002F399D" w:rsidRDefault="00AD778B"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3</w:t>
            </w:r>
          </w:p>
        </w:tc>
      </w:tr>
    </w:tbl>
    <w:p w14:paraId="4078C7D3" w14:textId="77777777" w:rsidR="00E40A09" w:rsidRDefault="00E40A09" w:rsidP="00E40A09">
      <w:pPr>
        <w:rPr>
          <w:lang w:eastAsia="en-AU"/>
        </w:rPr>
      </w:pPr>
    </w:p>
    <w:p w14:paraId="444628DE" w14:textId="4B3CDE3B" w:rsidR="00054AF7" w:rsidRDefault="009E3099" w:rsidP="009E3099">
      <w:pPr>
        <w:rPr>
          <w:lang w:eastAsia="en-AU"/>
        </w:rPr>
      </w:pPr>
      <w:r>
        <w:rPr>
          <w:lang w:eastAsia="en-AU"/>
        </w:rPr>
        <w:lastRenderedPageBreak/>
        <w:t>Clarifying the definition of the ‘protection of public health and safety’ within the Act to be in line with current policy guidance could inadvertently widen the scope of FSANZ’</w:t>
      </w:r>
      <w:r w:rsidR="005D04DB">
        <w:rPr>
          <w:lang w:eastAsia="en-AU"/>
        </w:rPr>
        <w:t>s</w:t>
      </w:r>
      <w:r>
        <w:rPr>
          <w:lang w:eastAsia="en-AU"/>
        </w:rPr>
        <w:t xml:space="preserve"> remit in managing public health risks. </w:t>
      </w:r>
    </w:p>
    <w:p w14:paraId="6C070B93" w14:textId="1041D690" w:rsidR="009E3099" w:rsidRPr="00E40A09" w:rsidRDefault="009E3099" w:rsidP="00FF64B8">
      <w:pPr>
        <w:spacing w:line="240" w:lineRule="auto"/>
        <w:rPr>
          <w:lang w:eastAsia="en-AU"/>
        </w:rPr>
      </w:pPr>
      <w:r>
        <w:rPr>
          <w:lang w:eastAsia="en-AU"/>
        </w:rPr>
        <w:t xml:space="preserve">Although FSANZ is already empowered to considered long-term food-related illnesses in developing and reviewing food standards, inserting these terms explicitly into the Act could end up expanding stakeholder expectations about </w:t>
      </w:r>
      <w:r w:rsidR="004E4D63">
        <w:rPr>
          <w:lang w:eastAsia="en-AU"/>
        </w:rPr>
        <w:t>FSANZ’</w:t>
      </w:r>
      <w:r w:rsidR="005D04DB">
        <w:rPr>
          <w:lang w:eastAsia="en-AU"/>
        </w:rPr>
        <w:t>s</w:t>
      </w:r>
      <w:r>
        <w:rPr>
          <w:lang w:eastAsia="en-AU"/>
        </w:rPr>
        <w:t xml:space="preserve"> remit and lead to pressure for FSANZ to take on roles or consider factors outside of its current scope. </w:t>
      </w:r>
      <w:r w:rsidR="00054AF7">
        <w:rPr>
          <w:lang w:eastAsia="en-AU"/>
        </w:rPr>
        <w:t>This could lead to increa</w:t>
      </w:r>
      <w:r w:rsidR="00946A25">
        <w:rPr>
          <w:lang w:eastAsia="en-AU"/>
        </w:rPr>
        <w:t xml:space="preserve">sed </w:t>
      </w:r>
      <w:r w:rsidR="00B43CC2">
        <w:rPr>
          <w:lang w:eastAsia="en-AU"/>
        </w:rPr>
        <w:t>burden on industry</w:t>
      </w:r>
      <w:r w:rsidR="000E5932">
        <w:rPr>
          <w:lang w:eastAsia="en-AU"/>
        </w:rPr>
        <w:t xml:space="preserve">, such as the requirement to present a broader range of information as part of an application to amend food standards. </w:t>
      </w:r>
    </w:p>
    <w:p w14:paraId="5383CC00" w14:textId="1D9A5644" w:rsidR="00E40A09" w:rsidRDefault="00E07982" w:rsidP="00E07982">
      <w:pPr>
        <w:pStyle w:val="Heading5"/>
      </w:pPr>
      <w:r w:rsidRPr="00937CD1">
        <w:t xml:space="preserve">Improving visibility of </w:t>
      </w:r>
      <w:r w:rsidR="00F5491A">
        <w:t>First Nations</w:t>
      </w:r>
      <w:r w:rsidRPr="00937CD1">
        <w:t xml:space="preserve"> and </w:t>
      </w:r>
      <w:r w:rsidR="00C9388F" w:rsidRPr="00937CD1">
        <w:t>Māori</w:t>
      </w:r>
      <w:r w:rsidRPr="00937CD1">
        <w:t xml:space="preserve"> culture and expertise could draw attention to the lack of focus on other population </w:t>
      </w:r>
      <w:proofErr w:type="gramStart"/>
      <w:r w:rsidRPr="00937CD1">
        <w:t>groups</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59C538BD"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523DCDE1" w14:textId="77777777" w:rsidR="00E07982" w:rsidRPr="002F399D" w:rsidRDefault="00E07982"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28100ACE" w14:textId="013901EC" w:rsidR="00E07982" w:rsidRPr="002F399D" w:rsidRDefault="00E07982"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 xml:space="preserve">3 </w:t>
            </w:r>
          </w:p>
        </w:tc>
        <w:tc>
          <w:tcPr>
            <w:tcW w:w="1985" w:type="dxa"/>
            <w:shd w:val="clear" w:color="auto" w:fill="00264D" w:themeFill="background2"/>
          </w:tcPr>
          <w:p w14:paraId="0A7B410E" w14:textId="77777777" w:rsidR="00E07982" w:rsidRPr="002F399D" w:rsidRDefault="00E07982"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357B5CC0" w14:textId="3CAB142C" w:rsidR="00E07982" w:rsidRPr="002F399D" w:rsidRDefault="00E07982"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2268" w:type="dxa"/>
            <w:shd w:val="clear" w:color="auto" w:fill="00264D" w:themeFill="background2"/>
          </w:tcPr>
          <w:p w14:paraId="58A20119" w14:textId="77777777" w:rsidR="00E07982" w:rsidRPr="002F399D" w:rsidRDefault="00E07982"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5A1103A2" w14:textId="736B872C" w:rsidR="00E07982" w:rsidRPr="002F399D" w:rsidRDefault="00E07982"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6</w:t>
            </w:r>
          </w:p>
        </w:tc>
      </w:tr>
    </w:tbl>
    <w:p w14:paraId="127AA38E" w14:textId="77777777" w:rsidR="00E40A09" w:rsidRDefault="00E40A09" w:rsidP="00E40A09">
      <w:pPr>
        <w:rPr>
          <w:lang w:eastAsia="en-AU"/>
        </w:rPr>
      </w:pPr>
    </w:p>
    <w:p w14:paraId="0A7D8753" w14:textId="50FB610F" w:rsidR="00935AF3" w:rsidRDefault="00C9388F" w:rsidP="00E40A09">
      <w:pPr>
        <w:rPr>
          <w:lang w:eastAsia="en-AU"/>
        </w:rPr>
      </w:pPr>
      <w:r w:rsidRPr="00C9388F">
        <w:rPr>
          <w:lang w:eastAsia="en-AU"/>
        </w:rPr>
        <w:t xml:space="preserve">Enhanced visibility of First Nations and </w:t>
      </w:r>
      <w:r w:rsidR="00E461E9" w:rsidRPr="00C9388F">
        <w:rPr>
          <w:lang w:eastAsia="en-AU"/>
        </w:rPr>
        <w:t>Māori</w:t>
      </w:r>
      <w:r w:rsidRPr="00C9388F">
        <w:rPr>
          <w:lang w:eastAsia="en-AU"/>
        </w:rPr>
        <w:t xml:space="preserve"> culture and expertise could inadvertently spotlight areas where other population groups who may feel underrepresented or overlooked. There could be unintended perceptions of partiality or bias, leading to further questions about how the Act aligns with contemporary expectations. While recognising the knowledge and culture of First Nations and </w:t>
      </w:r>
      <w:r w:rsidR="00E92361" w:rsidRPr="00C9388F">
        <w:rPr>
          <w:lang w:eastAsia="en-AU"/>
        </w:rPr>
        <w:t>Māori</w:t>
      </w:r>
      <w:r w:rsidRPr="00C9388F">
        <w:rPr>
          <w:lang w:eastAsia="en-AU"/>
        </w:rPr>
        <w:t xml:space="preserve"> communities, it</w:t>
      </w:r>
      <w:r w:rsidR="00F5491A">
        <w:rPr>
          <w:lang w:eastAsia="en-AU"/>
        </w:rPr>
        <w:t xml:space="preserve"> is</w:t>
      </w:r>
      <w:r w:rsidRPr="00C9388F">
        <w:rPr>
          <w:lang w:eastAsia="en-AU"/>
        </w:rPr>
        <w:t xml:space="preserve"> crucial to ensure that language in the Act remains inclusive of the Australian and New Zealand population at large.</w:t>
      </w:r>
    </w:p>
    <w:p w14:paraId="2B4E0E26" w14:textId="66A4350E" w:rsidR="00923BE4" w:rsidRDefault="00923BE4" w:rsidP="009D1561">
      <w:pPr>
        <w:pStyle w:val="Heading3"/>
      </w:pPr>
      <w:r>
        <w:t>Reforming standard-setting</w:t>
      </w:r>
    </w:p>
    <w:p w14:paraId="1E0867C3" w14:textId="1241FDF6" w:rsidR="009D1561" w:rsidRDefault="009D1561" w:rsidP="009D1561">
      <w:pPr>
        <w:rPr>
          <w:lang w:eastAsia="en-AU"/>
        </w:rPr>
      </w:pPr>
      <w:r>
        <w:rPr>
          <w:lang w:eastAsia="en-AU"/>
        </w:rPr>
        <w:t xml:space="preserve">There are several risks inherent to standard setting arrangements and the significance of these risks for each option are summarised in </w:t>
      </w:r>
      <w:r>
        <w:rPr>
          <w:lang w:eastAsia="en-AU"/>
        </w:rPr>
        <w:fldChar w:fldCharType="begin"/>
      </w:r>
      <w:r>
        <w:rPr>
          <w:lang w:eastAsia="en-AU"/>
        </w:rPr>
        <w:instrText xml:space="preserve"> REF _Ref149151695 \h </w:instrText>
      </w:r>
      <w:r>
        <w:rPr>
          <w:lang w:eastAsia="en-AU"/>
        </w:rPr>
      </w:r>
      <w:r>
        <w:rPr>
          <w:lang w:eastAsia="en-AU"/>
        </w:rPr>
        <w:fldChar w:fldCharType="separate"/>
      </w:r>
      <w:r w:rsidR="003F7B92">
        <w:t xml:space="preserve">Table </w:t>
      </w:r>
      <w:r w:rsidR="003F7B92">
        <w:rPr>
          <w:noProof/>
        </w:rPr>
        <w:t>28</w:t>
      </w:r>
      <w:r>
        <w:rPr>
          <w:lang w:eastAsia="en-AU"/>
        </w:rPr>
        <w:fldChar w:fldCharType="end"/>
      </w:r>
      <w:r>
        <w:rPr>
          <w:lang w:eastAsia="en-AU"/>
        </w:rPr>
        <w:t>.</w:t>
      </w:r>
      <w:r w:rsidR="006540A6">
        <w:rPr>
          <w:lang w:eastAsia="en-AU"/>
        </w:rPr>
        <w:t xml:space="preserve"> </w:t>
      </w:r>
      <w:r w:rsidR="007A51A9">
        <w:rPr>
          <w:lang w:eastAsia="en-AU"/>
        </w:rPr>
        <w:t xml:space="preserve">The risks associated with Option 2 are deemed to be slightly lower than under Option 1. </w:t>
      </w:r>
    </w:p>
    <w:p w14:paraId="4381657A" w14:textId="63CC7CEE" w:rsidR="009D1561" w:rsidRDefault="009D1561" w:rsidP="009D1561">
      <w:pPr>
        <w:pStyle w:val="Caption"/>
        <w:rPr>
          <w:lang w:eastAsia="en-AU"/>
        </w:rPr>
      </w:pPr>
      <w:bookmarkStart w:id="135" w:name="_Ref149151695"/>
      <w:r>
        <w:t xml:space="preserve">Table </w:t>
      </w:r>
      <w:r>
        <w:fldChar w:fldCharType="begin"/>
      </w:r>
      <w:r>
        <w:instrText xml:space="preserve"> SEQ Table \* ARABIC </w:instrText>
      </w:r>
      <w:r>
        <w:fldChar w:fldCharType="separate"/>
      </w:r>
      <w:r w:rsidR="003F7B92">
        <w:rPr>
          <w:noProof/>
        </w:rPr>
        <w:t>28</w:t>
      </w:r>
      <w:r>
        <w:fldChar w:fldCharType="end"/>
      </w:r>
      <w:bookmarkEnd w:id="135"/>
      <w:r>
        <w:t xml:space="preserve"> | </w:t>
      </w:r>
      <w:r w:rsidRPr="00067A96">
        <w:t>Assessment of delivery risks associated with standard</w:t>
      </w:r>
      <w:r w:rsidR="00F5491A">
        <w:t>-</w:t>
      </w:r>
      <w:proofErr w:type="gramStart"/>
      <w:r w:rsidRPr="00067A96">
        <w:t>setting</w:t>
      </w:r>
      <w:proofErr w:type="gramEnd"/>
    </w:p>
    <w:tbl>
      <w:tblPr>
        <w:tblStyle w:val="TableGrid"/>
        <w:tblW w:w="5000" w:type="pct"/>
        <w:tblLook w:val="0680" w:firstRow="0" w:lastRow="0" w:firstColumn="1" w:lastColumn="0" w:noHBand="1" w:noVBand="1"/>
      </w:tblPr>
      <w:tblGrid>
        <w:gridCol w:w="2936"/>
        <w:gridCol w:w="3008"/>
        <w:gridCol w:w="2986"/>
      </w:tblGrid>
      <w:tr w:rsidR="009D1561" w14:paraId="566D2FA4" w14:textId="77777777" w:rsidTr="00C87D1A">
        <w:tc>
          <w:tcPr>
            <w:tcW w:w="1644" w:type="pct"/>
            <w:shd w:val="clear" w:color="auto" w:fill="E6E6E1" w:themeFill="accent5"/>
          </w:tcPr>
          <w:p w14:paraId="561ED7A7" w14:textId="77777777" w:rsidR="009D1561" w:rsidRDefault="009D1561" w:rsidP="00C87D1A">
            <w:pPr>
              <w:pStyle w:val="TableNheader"/>
              <w:rPr>
                <w:lang w:eastAsia="en-AU"/>
              </w:rPr>
            </w:pPr>
          </w:p>
        </w:tc>
        <w:tc>
          <w:tcPr>
            <w:tcW w:w="1684" w:type="pct"/>
            <w:shd w:val="clear" w:color="auto" w:fill="E6E6E1" w:themeFill="accent5"/>
          </w:tcPr>
          <w:p w14:paraId="784415CE" w14:textId="77777777" w:rsidR="009D1561" w:rsidRDefault="009D1561" w:rsidP="00C87D1A">
            <w:pPr>
              <w:pStyle w:val="TableNheader"/>
              <w:rPr>
                <w:lang w:eastAsia="en-AU"/>
              </w:rPr>
            </w:pPr>
            <w:r w:rsidRPr="0024539C">
              <w:rPr>
                <w:color w:val="F25E21" w:themeColor="accent2"/>
                <w:lang w:eastAsia="en-AU"/>
              </w:rPr>
              <w:t>OPTION 1</w:t>
            </w:r>
          </w:p>
        </w:tc>
        <w:tc>
          <w:tcPr>
            <w:tcW w:w="1672" w:type="pct"/>
            <w:shd w:val="clear" w:color="auto" w:fill="E6E6E1" w:themeFill="accent5"/>
          </w:tcPr>
          <w:p w14:paraId="67056E81" w14:textId="77777777" w:rsidR="009D1561" w:rsidRDefault="009D1561" w:rsidP="00C87D1A">
            <w:pPr>
              <w:pStyle w:val="TableNheader"/>
              <w:rPr>
                <w:lang w:eastAsia="en-AU"/>
              </w:rPr>
            </w:pPr>
            <w:r w:rsidRPr="0024539C">
              <w:rPr>
                <w:color w:val="F8981D" w:themeColor="accent3"/>
                <w:lang w:eastAsia="en-AU"/>
              </w:rPr>
              <w:t>OPTION 2</w:t>
            </w:r>
          </w:p>
        </w:tc>
      </w:tr>
      <w:tr w:rsidR="009D1561" w14:paraId="316E8587" w14:textId="77777777" w:rsidTr="00C87D1A">
        <w:tc>
          <w:tcPr>
            <w:tcW w:w="1644" w:type="pct"/>
          </w:tcPr>
          <w:p w14:paraId="35C98C2F" w14:textId="2373C55E" w:rsidR="009D1561" w:rsidRPr="0024539C" w:rsidRDefault="009D1561" w:rsidP="00C87D1A">
            <w:pPr>
              <w:rPr>
                <w:color w:val="F8981D" w:themeColor="accent3"/>
                <w:lang w:eastAsia="en-AU"/>
              </w:rPr>
            </w:pPr>
            <w:r w:rsidRPr="00A4406A">
              <w:rPr>
                <w:lang w:eastAsia="en-AU"/>
              </w:rPr>
              <w:t xml:space="preserve">Delivery risks associated with </w:t>
            </w:r>
            <w:r>
              <w:rPr>
                <w:lang w:eastAsia="en-AU"/>
              </w:rPr>
              <w:t>standard</w:t>
            </w:r>
            <w:r w:rsidR="00F5491A">
              <w:rPr>
                <w:lang w:eastAsia="en-AU"/>
              </w:rPr>
              <w:t>-</w:t>
            </w:r>
            <w:r>
              <w:rPr>
                <w:lang w:eastAsia="en-AU"/>
              </w:rPr>
              <w:t>setting</w:t>
            </w:r>
          </w:p>
        </w:tc>
        <w:tc>
          <w:tcPr>
            <w:tcW w:w="1684" w:type="pct"/>
          </w:tcPr>
          <w:p w14:paraId="1013A63E" w14:textId="77777777" w:rsidR="009D1561" w:rsidRDefault="009D1561" w:rsidP="00C87D1A">
            <w:pPr>
              <w:rPr>
                <w:lang w:eastAsia="en-AU"/>
              </w:rPr>
            </w:pPr>
            <w:r>
              <w:rPr>
                <w:lang w:eastAsia="en-AU"/>
              </w:rPr>
              <w:t>1 (high)</w:t>
            </w:r>
          </w:p>
        </w:tc>
        <w:tc>
          <w:tcPr>
            <w:tcW w:w="1672" w:type="pct"/>
          </w:tcPr>
          <w:p w14:paraId="5CDD50B8" w14:textId="77777777" w:rsidR="009D1561" w:rsidRDefault="009D1561" w:rsidP="00C87D1A">
            <w:pPr>
              <w:rPr>
                <w:lang w:eastAsia="en-AU"/>
              </w:rPr>
            </w:pPr>
            <w:r>
              <w:rPr>
                <w:lang w:eastAsia="en-AU"/>
              </w:rPr>
              <w:t>2 (moderate)</w:t>
            </w:r>
          </w:p>
        </w:tc>
      </w:tr>
    </w:tbl>
    <w:p w14:paraId="3F9407BD" w14:textId="77777777" w:rsidR="009D1561" w:rsidRDefault="009D1561" w:rsidP="009D1561">
      <w:pPr>
        <w:rPr>
          <w:lang w:eastAsia="en-AU"/>
        </w:rPr>
      </w:pPr>
    </w:p>
    <w:p w14:paraId="2CF9B1A8" w14:textId="77777777" w:rsidR="009D1561" w:rsidRDefault="009D1561" w:rsidP="009D1561">
      <w:r>
        <w:t xml:space="preserve">More detail is provided below. </w:t>
      </w:r>
    </w:p>
    <w:p w14:paraId="031F8A0F" w14:textId="68E0DBD2" w:rsidR="007A51A9" w:rsidRDefault="007A51A9" w:rsidP="007A51A9">
      <w:pPr>
        <w:pStyle w:val="Heading4"/>
      </w:pPr>
      <w:r w:rsidRPr="0024539C">
        <w:rPr>
          <w:color w:val="F25E21" w:themeColor="accent2"/>
        </w:rPr>
        <w:t>OPTION 1</w:t>
      </w:r>
      <w:r>
        <w:rPr>
          <w:color w:val="F25E21" w:themeColor="accent2"/>
        </w:rPr>
        <w:t xml:space="preserve"> </w:t>
      </w:r>
      <w:r>
        <w:t>Risks</w:t>
      </w:r>
    </w:p>
    <w:p w14:paraId="3EE7A8B9" w14:textId="618796C8" w:rsidR="007A51A9" w:rsidRDefault="004E4D63" w:rsidP="00801BB0">
      <w:pPr>
        <w:pStyle w:val="Heading5"/>
        <w:spacing w:line="240" w:lineRule="auto"/>
        <w:rPr>
          <w:rFonts w:eastAsia="Segoe UI"/>
        </w:rPr>
      </w:pPr>
      <w:r>
        <w:rPr>
          <w:rFonts w:eastAsia="Segoe UI"/>
        </w:rPr>
        <w:t>FSANZ’</w:t>
      </w:r>
      <w:r w:rsidR="005D04DB">
        <w:rPr>
          <w:rFonts w:eastAsia="Segoe UI"/>
        </w:rPr>
        <w:t>s</w:t>
      </w:r>
      <w:r w:rsidR="007A51A9" w:rsidRPr="003324C0">
        <w:rPr>
          <w:rFonts w:eastAsia="Segoe UI"/>
        </w:rPr>
        <w:t xml:space="preserve"> organisational capacity will continue to be used in a way that does not make best use of its expertise, as proposals and applications will continue to be processes in a manner agnostic to </w:t>
      </w:r>
      <w:proofErr w:type="gramStart"/>
      <w:r w:rsidR="007A51A9" w:rsidRPr="003324C0">
        <w:rPr>
          <w:rFonts w:eastAsia="Segoe UI"/>
        </w:rPr>
        <w:t>risk</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6626BB93"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5C5F0EEF" w14:textId="77777777" w:rsidR="007A51A9" w:rsidRPr="002F399D" w:rsidRDefault="007A51A9"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45CCC083" w14:textId="73BE85ED" w:rsidR="007A51A9" w:rsidRPr="002F399D" w:rsidRDefault="007A51A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1985" w:type="dxa"/>
            <w:shd w:val="clear" w:color="auto" w:fill="00264D" w:themeFill="background2"/>
          </w:tcPr>
          <w:p w14:paraId="5B024BB0" w14:textId="77777777" w:rsidR="007A51A9" w:rsidRPr="002F399D" w:rsidRDefault="007A51A9"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021E8093" w14:textId="4CA99B15" w:rsidR="007A51A9" w:rsidRPr="002F399D" w:rsidRDefault="007A51A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2268" w:type="dxa"/>
            <w:shd w:val="clear" w:color="auto" w:fill="00264D" w:themeFill="background2"/>
          </w:tcPr>
          <w:p w14:paraId="67372E83" w14:textId="77777777" w:rsidR="007A51A9" w:rsidRPr="002F399D" w:rsidRDefault="007A51A9"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4B0050C0" w14:textId="1FAE47F9" w:rsidR="007A51A9" w:rsidRPr="002F399D" w:rsidRDefault="007A51A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r>
    </w:tbl>
    <w:p w14:paraId="7F0D1539" w14:textId="57074DB7" w:rsidR="007A51A9" w:rsidRDefault="007A51A9" w:rsidP="007A51A9">
      <w:pPr>
        <w:rPr>
          <w:lang w:eastAsia="en-AU"/>
        </w:rPr>
      </w:pPr>
    </w:p>
    <w:p w14:paraId="66ABA9ED" w14:textId="0379707C" w:rsidR="00252F94" w:rsidRDefault="00BE094F" w:rsidP="00BE094F">
      <w:r>
        <w:rPr>
          <w:lang w:eastAsia="en-AU"/>
        </w:rPr>
        <w:t xml:space="preserve">By maintaining the status quo, all applications and proposals will continue to be processed using a similarly rigid method, regardless of the level of risk involved. FSANZ will continue to be compelled to go through the same procedure to approve low-risk food processing aids as it does to approve complex changes, such as infant formula compositions. This means that FSANZ will continue to use its resources in </w:t>
      </w:r>
      <w:r>
        <w:rPr>
          <w:lang w:eastAsia="en-AU"/>
        </w:rPr>
        <w:lastRenderedPageBreak/>
        <w:t xml:space="preserve">an inefficient manner, contributing to the long timeframes in progressing some applications and proposals. </w:t>
      </w:r>
      <w:r>
        <w:t xml:space="preserve">It also represents considerable burden on industry due to the time and costs involved in preparing detailed applications, as well as opportunity costs associated with delays to bring products to market. </w:t>
      </w:r>
    </w:p>
    <w:p w14:paraId="0F53BDAC" w14:textId="757CEB3D" w:rsidR="00BE094F" w:rsidRPr="007F7722" w:rsidRDefault="00BE094F" w:rsidP="00BE094F">
      <w:pPr>
        <w:rPr>
          <w:lang w:eastAsia="en-AU"/>
        </w:rPr>
      </w:pPr>
      <w:r>
        <w:t xml:space="preserve">This barrier is particularly pronounced for smaller businesses and First Nations and Māori food enterprises, where securing funding for scientific assessments and managing delayed market access are more likely to be barriers to commercial access and success. </w:t>
      </w:r>
    </w:p>
    <w:p w14:paraId="33D255DA" w14:textId="05636896" w:rsidR="00BE094F" w:rsidRDefault="006017C9" w:rsidP="006017C9">
      <w:pPr>
        <w:pStyle w:val="Heading5"/>
        <w:rPr>
          <w:rFonts w:eastAsia="Segoe UI"/>
        </w:rPr>
      </w:pPr>
      <w:r w:rsidRPr="003324C0">
        <w:rPr>
          <w:rFonts w:eastAsia="Segoe UI"/>
        </w:rPr>
        <w:t xml:space="preserve">Ongoing capacity constraints will reinforce an effective focus on processing applications, at the expense of proposals and other </w:t>
      </w:r>
      <w:proofErr w:type="gramStart"/>
      <w:r w:rsidRPr="003324C0">
        <w:rPr>
          <w:rFonts w:eastAsia="Segoe UI"/>
        </w:rPr>
        <w:t>high-value</w:t>
      </w:r>
      <w:proofErr w:type="gramEnd"/>
      <w:r w:rsidRPr="003324C0">
        <w:rPr>
          <w:rFonts w:eastAsia="Segoe UI"/>
        </w:rPr>
        <w:t xml:space="preserve"> work</w:t>
      </w:r>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5D2473B4"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111A72DB" w14:textId="77777777" w:rsidR="006017C9" w:rsidRPr="002F399D" w:rsidRDefault="006017C9"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3EB4EC56" w14:textId="77777777" w:rsidR="006017C9" w:rsidRPr="002F399D" w:rsidRDefault="006017C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1985" w:type="dxa"/>
            <w:shd w:val="clear" w:color="auto" w:fill="00264D" w:themeFill="background2"/>
          </w:tcPr>
          <w:p w14:paraId="3DDB8299" w14:textId="77777777" w:rsidR="006017C9" w:rsidRPr="002F399D" w:rsidRDefault="006017C9"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292DFBE1" w14:textId="77777777" w:rsidR="006017C9" w:rsidRPr="002F399D" w:rsidRDefault="006017C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2268" w:type="dxa"/>
            <w:shd w:val="clear" w:color="auto" w:fill="00264D" w:themeFill="background2"/>
          </w:tcPr>
          <w:p w14:paraId="6424A779" w14:textId="77777777" w:rsidR="006017C9" w:rsidRPr="002F399D" w:rsidRDefault="006017C9"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6D39CAC2" w14:textId="77777777" w:rsidR="006017C9" w:rsidRPr="002F399D" w:rsidRDefault="006017C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r>
    </w:tbl>
    <w:p w14:paraId="6E879FC8" w14:textId="77777777" w:rsidR="006017C9" w:rsidRPr="006017C9" w:rsidRDefault="006017C9" w:rsidP="006017C9">
      <w:pPr>
        <w:rPr>
          <w:lang w:eastAsia="en-AU"/>
        </w:rPr>
      </w:pPr>
    </w:p>
    <w:p w14:paraId="4892DF95" w14:textId="77777777" w:rsidR="006017C9" w:rsidRPr="007F7722" w:rsidRDefault="006017C9" w:rsidP="00BA3604">
      <w:pPr>
        <w:rPr>
          <w:lang w:eastAsia="en-AU"/>
        </w:rPr>
      </w:pPr>
      <w:r>
        <w:rPr>
          <w:lang w:eastAsia="en-AU"/>
        </w:rPr>
        <w:t>Without measures to streamline standard-setting processes, FSANZ will continue to experience ongoing capacity constraints. Given the statutory timeline imposed on applications timeframes, FSANZ will continue to focus on processing applications. Lack of capacity for proposals and reviews can lead to FSANZ being more</w:t>
      </w:r>
      <w:r w:rsidRPr="00156CC0">
        <w:rPr>
          <w:lang w:eastAsia="en-AU"/>
        </w:rPr>
        <w:t xml:space="preserve"> reactive rather than proactive, limiting its ability to manage emerging food safety and public health challenges.</w:t>
      </w:r>
    </w:p>
    <w:p w14:paraId="3BC653A8" w14:textId="0FC50F8D" w:rsidR="007A51A9" w:rsidRDefault="00BA3604" w:rsidP="004757A3">
      <w:pPr>
        <w:pStyle w:val="Heading5"/>
        <w:spacing w:line="240" w:lineRule="auto"/>
        <w:rPr>
          <w:rFonts w:eastAsia="Segoe UI"/>
        </w:rPr>
      </w:pPr>
      <w:r w:rsidRPr="003324C0">
        <w:rPr>
          <w:rFonts w:eastAsia="Segoe UI"/>
        </w:rPr>
        <w:t>Australia and New Zealand will continue to be markets that international food companies choose not to enter, given the high regulatory burden associated with amending food standards</w:t>
      </w:r>
      <w:r w:rsidR="00556150">
        <w:rPr>
          <w:rFonts w:eastAsia="Segoe UI"/>
        </w:rPr>
        <w:t xml:space="preserve"> -</w:t>
      </w:r>
      <w:r w:rsidRPr="003324C0">
        <w:rPr>
          <w:rFonts w:eastAsia="Segoe UI"/>
        </w:rPr>
        <w:t xml:space="preserve"> particularly where safety has been established </w:t>
      </w:r>
      <w:proofErr w:type="gramStart"/>
      <w:r w:rsidRPr="003324C0">
        <w:rPr>
          <w:rFonts w:eastAsia="Segoe UI"/>
        </w:rPr>
        <w:t>elsewhere</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5A19DBA3"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5745D1C4" w14:textId="77777777" w:rsidR="00556150" w:rsidRPr="002F399D" w:rsidRDefault="00556150"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2C8D1E7A" w14:textId="1C6A90FB" w:rsidR="00556150" w:rsidRPr="002F399D" w:rsidRDefault="00146B9A"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1985" w:type="dxa"/>
            <w:shd w:val="clear" w:color="auto" w:fill="00264D" w:themeFill="background2"/>
          </w:tcPr>
          <w:p w14:paraId="3CD6F2BB" w14:textId="77777777" w:rsidR="00556150" w:rsidRPr="002F399D" w:rsidRDefault="00556150"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1D2AC38E" w14:textId="61EED20E" w:rsidR="00556150" w:rsidRPr="002F399D" w:rsidRDefault="00146B9A"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2268" w:type="dxa"/>
            <w:shd w:val="clear" w:color="auto" w:fill="00264D" w:themeFill="background2"/>
          </w:tcPr>
          <w:p w14:paraId="0C9CED57" w14:textId="77777777" w:rsidR="00556150" w:rsidRPr="002F399D" w:rsidRDefault="00556150"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7B49D268" w14:textId="4730D685" w:rsidR="00556150" w:rsidRPr="002F399D" w:rsidRDefault="00556150"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r>
    </w:tbl>
    <w:p w14:paraId="3FCFEF7F" w14:textId="77777777" w:rsidR="00556150" w:rsidRDefault="00556150" w:rsidP="00556150">
      <w:pPr>
        <w:rPr>
          <w:lang w:eastAsia="en-AU"/>
        </w:rPr>
      </w:pPr>
    </w:p>
    <w:p w14:paraId="1E347C56" w14:textId="77777777" w:rsidR="00C32EB0" w:rsidRDefault="00C32EB0" w:rsidP="007F7722">
      <w:r w:rsidRPr="00A8792A">
        <w:t xml:space="preserve">The current regulatory requirements around amending food standards can pose significant barriers to entry for international food companies. Extensive procedures and requirements, even for products deemed safe in other reputable jurisdictions, diminishes the appeal of the Australian and New Zealand market. The time, resources, and costs associated with navigating and complying with regulatory requirements could often outweigh the potential benefits of market entry. This not only means missed opportunities for local consumers to access a broader range of products but also potential economic repercussions in terms of investments, job opportunities, and the economic growth associated with the presence of major international brands. </w:t>
      </w:r>
    </w:p>
    <w:p w14:paraId="742654F3" w14:textId="77777777" w:rsidR="008A570A" w:rsidRDefault="008A570A" w:rsidP="008A570A">
      <w:pPr>
        <w:pStyle w:val="Heading4"/>
      </w:pPr>
      <w:r w:rsidRPr="0024539C">
        <w:rPr>
          <w:color w:val="F8981D" w:themeColor="accent3"/>
        </w:rPr>
        <w:t>OPTION 2</w:t>
      </w:r>
      <w:r>
        <w:rPr>
          <w:color w:val="F8981D" w:themeColor="accent3"/>
        </w:rPr>
        <w:t xml:space="preserve"> </w:t>
      </w:r>
      <w:r>
        <w:t>R</w:t>
      </w:r>
      <w:r w:rsidRPr="00E40A09">
        <w:t>isks</w:t>
      </w:r>
    </w:p>
    <w:p w14:paraId="4A694E13" w14:textId="68DE97FC" w:rsidR="008A570A" w:rsidRDefault="008A570A" w:rsidP="008A570A">
      <w:pPr>
        <w:pStyle w:val="Heading5"/>
        <w:rPr>
          <w:rFonts w:eastAsia="Segoe UI"/>
        </w:rPr>
      </w:pPr>
      <w:r w:rsidRPr="009B0AEE">
        <w:rPr>
          <w:rFonts w:eastAsia="Segoe UI"/>
        </w:rPr>
        <w:t xml:space="preserve">Applying a risk framework to guide process and decision-making may lead to unsafe foods entering the </w:t>
      </w:r>
      <w:proofErr w:type="gramStart"/>
      <w:r w:rsidRPr="009B0AEE">
        <w:rPr>
          <w:rFonts w:eastAsia="Segoe UI"/>
        </w:rPr>
        <w:t>market</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6A32E371"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1D47AB88" w14:textId="77777777" w:rsidR="008A570A" w:rsidRPr="002F399D" w:rsidRDefault="008A570A"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618C3D52" w14:textId="7860AED6" w:rsidR="008A570A" w:rsidRPr="002F399D" w:rsidRDefault="00291768"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1985" w:type="dxa"/>
            <w:shd w:val="clear" w:color="auto" w:fill="00264D" w:themeFill="background2"/>
          </w:tcPr>
          <w:p w14:paraId="5C19667A" w14:textId="77777777" w:rsidR="008A570A" w:rsidRPr="002F399D" w:rsidRDefault="008A570A"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557D418B" w14:textId="2BBE1B09" w:rsidR="008A570A" w:rsidRPr="002F399D" w:rsidRDefault="00291768"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2.5</w:t>
            </w:r>
          </w:p>
        </w:tc>
        <w:tc>
          <w:tcPr>
            <w:tcW w:w="2268" w:type="dxa"/>
            <w:shd w:val="clear" w:color="auto" w:fill="00264D" w:themeFill="background2"/>
          </w:tcPr>
          <w:p w14:paraId="41484890" w14:textId="77777777" w:rsidR="008A570A" w:rsidRPr="002F399D" w:rsidRDefault="008A570A"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0D1498B4" w14:textId="316A7415" w:rsidR="008A570A" w:rsidRPr="002F399D" w:rsidRDefault="008A570A"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r w:rsidR="00291768">
              <w:rPr>
                <w:rFonts w:asciiTheme="minorHAnsi" w:eastAsia="Segoe UI" w:hAnsiTheme="minorHAnsi" w:cstheme="minorHAnsi"/>
                <w:sz w:val="22"/>
                <w:szCs w:val="19"/>
                <w:lang w:eastAsia="en-AU"/>
              </w:rPr>
              <w:t>.5</w:t>
            </w:r>
          </w:p>
        </w:tc>
      </w:tr>
    </w:tbl>
    <w:p w14:paraId="14062AC7" w14:textId="77777777" w:rsidR="008A570A" w:rsidRDefault="008A570A" w:rsidP="008A570A">
      <w:pPr>
        <w:rPr>
          <w:lang w:eastAsia="en-AU"/>
        </w:rPr>
      </w:pPr>
    </w:p>
    <w:p w14:paraId="4B04DB02" w14:textId="77777777" w:rsidR="00291768" w:rsidRDefault="00291768" w:rsidP="00291768">
      <w:pPr>
        <w:rPr>
          <w:lang w:eastAsia="en-AU"/>
        </w:rPr>
      </w:pPr>
      <w:r>
        <w:rPr>
          <w:lang w:eastAsia="en-AU"/>
        </w:rPr>
        <w:t xml:space="preserve">Introducing a risk-based approach to developing food regulatory measures would require both significant amendments to the Act and operational changes at FSANZ. </w:t>
      </w:r>
    </w:p>
    <w:p w14:paraId="1452BB7D" w14:textId="77777777" w:rsidR="00291768" w:rsidRDefault="00291768" w:rsidP="00291768">
      <w:r>
        <w:t xml:space="preserve">‘Risk’ would need to be a flexible concept, with a clear framework agreed and enshrined in the appropriate regulatory instrument, but this could (and should) be updated periodically to reflect changes in industry practices, consumer expectations and political appetites for oversight. During the initial roll out phase, there may be examples where risk is not appropriately triaged up front and the food regulatory measure is </w:t>
      </w:r>
      <w:r>
        <w:lastRenderedPageBreak/>
        <w:t xml:space="preserve">not subject to the intended level of scrutiny. This could be because an insufficient breadth of risk indicators is considered, or because the right information was not accessed to make the right decision. In the worst instance, this could mean that higher risk foods are brought to market without the appropriate level of scrutiny and oversight. On the other hand, it could mean that lower risk products are subject to more robust considerations that technically required. </w:t>
      </w:r>
    </w:p>
    <w:p w14:paraId="457851B0" w14:textId="02358B0A" w:rsidR="00291768" w:rsidRDefault="00291768" w:rsidP="00291768">
      <w:r>
        <w:t>This risk can be managed to an extent through routine assessments of the effectiveness of the framework</w:t>
      </w:r>
      <w:r w:rsidR="00CE39E0">
        <w:t>.</w:t>
      </w:r>
    </w:p>
    <w:p w14:paraId="2E5B9C95" w14:textId="1008AD1D" w:rsidR="009A1A73" w:rsidRDefault="009A1A73" w:rsidP="009A1A73">
      <w:pPr>
        <w:pStyle w:val="Heading5"/>
        <w:rPr>
          <w:rFonts w:eastAsia="Segoe UI"/>
        </w:rPr>
      </w:pPr>
      <w:r w:rsidRPr="009B0AEE">
        <w:rPr>
          <w:rFonts w:eastAsia="Segoe UI"/>
        </w:rPr>
        <w:t xml:space="preserve">Establishing new pathways to amend foods standards could reduce the level of oversight and scrutiny of products in the pre-market phase, introducing higher risk to population health and </w:t>
      </w:r>
      <w:proofErr w:type="gramStart"/>
      <w:r w:rsidRPr="009B0AEE">
        <w:rPr>
          <w:rFonts w:eastAsia="Segoe UI"/>
        </w:rPr>
        <w:t>safety</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31167EAB"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0A998062" w14:textId="77777777" w:rsidR="009A1A73" w:rsidRPr="002F399D" w:rsidRDefault="009A1A73"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3DDEDEF5" w14:textId="2643D6F6" w:rsidR="009A1A73" w:rsidRPr="002F399D" w:rsidRDefault="00DD074C"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1985" w:type="dxa"/>
            <w:shd w:val="clear" w:color="auto" w:fill="00264D" w:themeFill="background2"/>
          </w:tcPr>
          <w:p w14:paraId="2A1C2F0D" w14:textId="77777777" w:rsidR="009A1A73" w:rsidRPr="002F399D" w:rsidRDefault="009A1A73"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1645DB98" w14:textId="3DE648BD" w:rsidR="009A1A73" w:rsidRPr="002F399D" w:rsidRDefault="009A1A73"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2268" w:type="dxa"/>
            <w:shd w:val="clear" w:color="auto" w:fill="00264D" w:themeFill="background2"/>
          </w:tcPr>
          <w:p w14:paraId="11060FD8" w14:textId="77777777" w:rsidR="009A1A73" w:rsidRPr="002F399D" w:rsidRDefault="009A1A73"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309A78BC" w14:textId="4F025F0D" w:rsidR="009A1A73" w:rsidRPr="002F399D" w:rsidRDefault="009A1A73"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r>
    </w:tbl>
    <w:p w14:paraId="246962AD" w14:textId="77777777" w:rsidR="009A1A73" w:rsidRPr="009A1A73" w:rsidRDefault="009A1A73" w:rsidP="009A1A73">
      <w:pPr>
        <w:rPr>
          <w:lang w:eastAsia="en-AU"/>
        </w:rPr>
      </w:pPr>
    </w:p>
    <w:p w14:paraId="1F860CF8" w14:textId="6EFABD3A" w:rsidR="007A77BC" w:rsidRDefault="007A77BC" w:rsidP="007A77BC">
      <w:pPr>
        <w:rPr>
          <w:lang w:eastAsia="en-AU"/>
        </w:rPr>
      </w:pPr>
      <w:r>
        <w:rPr>
          <w:lang w:eastAsia="en-AU"/>
        </w:rPr>
        <w:t xml:space="preserve">Recognising international food safety assessments and providing for some foods to be included in the Food Code either through automatic adoption or via a minimal check pathway would mean some products are not subject to the same level of assessment as in the current state. </w:t>
      </w:r>
      <w:r w:rsidR="004E1EDE">
        <w:rPr>
          <w:lang w:eastAsia="en-AU"/>
        </w:rPr>
        <w:t xml:space="preserve">Some international </w:t>
      </w:r>
      <w:r w:rsidR="002761AF">
        <w:rPr>
          <w:lang w:eastAsia="en-AU"/>
        </w:rPr>
        <w:t xml:space="preserve">standards may </w:t>
      </w:r>
      <w:r w:rsidR="00F47873">
        <w:rPr>
          <w:lang w:eastAsia="en-AU"/>
        </w:rPr>
        <w:t xml:space="preserve">also </w:t>
      </w:r>
      <w:r w:rsidR="002761AF">
        <w:rPr>
          <w:lang w:eastAsia="en-AU"/>
        </w:rPr>
        <w:t xml:space="preserve">not be suitable for Australian and New Zealand dietary patterns. </w:t>
      </w:r>
    </w:p>
    <w:p w14:paraId="74AC51EB" w14:textId="2CCF6960" w:rsidR="007A77BC" w:rsidRDefault="007A77BC" w:rsidP="007A77BC">
      <w:pPr>
        <w:rPr>
          <w:lang w:eastAsia="en-AU"/>
        </w:rPr>
      </w:pPr>
      <w:r>
        <w:rPr>
          <w:lang w:eastAsia="en-AU"/>
        </w:rPr>
        <w:t xml:space="preserve">This risk can be managed by ensuring that comparable standard-setting bodies who can issue assessments or approvals that FSANZ can recognise are carefully selected. This would require strenuous assessment of those bodies’ processes, as well as consideration about the similarities in the market and dietary trends in those countries compared to Australia and New Zealand. </w:t>
      </w:r>
    </w:p>
    <w:p w14:paraId="1A62246D" w14:textId="3659D9EE" w:rsidR="008A570A" w:rsidRDefault="00880614" w:rsidP="00880614">
      <w:pPr>
        <w:pStyle w:val="Heading5"/>
        <w:rPr>
          <w:rFonts w:eastAsia="Segoe UI"/>
        </w:rPr>
      </w:pPr>
      <w:r w:rsidRPr="009B0AEE">
        <w:rPr>
          <w:rFonts w:eastAsia="Segoe UI"/>
        </w:rPr>
        <w:t xml:space="preserve">Less direct oversight of food standards by the </w:t>
      </w:r>
      <w:r w:rsidR="00C2266E">
        <w:rPr>
          <w:rFonts w:eastAsia="Segoe UI"/>
        </w:rPr>
        <w:t>FMM</w:t>
      </w:r>
      <w:r w:rsidRPr="009B0AEE">
        <w:rPr>
          <w:rFonts w:eastAsia="Segoe UI"/>
        </w:rPr>
        <w:t xml:space="preserve"> and FSANZ Board would reduce scrutiny and diminish oversight and accountability over the standard setting </w:t>
      </w:r>
      <w:proofErr w:type="gramStart"/>
      <w:r w:rsidRPr="009B0AEE">
        <w:rPr>
          <w:rFonts w:eastAsia="Segoe UI"/>
        </w:rPr>
        <w:t>system</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64B4F956"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014A43B6" w14:textId="77777777" w:rsidR="00880614" w:rsidRPr="002F399D" w:rsidRDefault="00880614" w:rsidP="00C87D1A">
            <w:pPr>
              <w:rPr>
                <w:rFonts w:asciiTheme="minorHAnsi" w:eastAsia="Segoe UI" w:hAnsiTheme="minorHAnsi" w:cstheme="minorHAnsi"/>
                <w:sz w:val="22"/>
                <w:szCs w:val="19"/>
                <w:lang w:eastAsia="en-AU"/>
              </w:rPr>
            </w:pPr>
            <w:bookmarkStart w:id="136" w:name="_Hlk149152345"/>
            <w:r w:rsidRPr="002F399D">
              <w:rPr>
                <w:rFonts w:asciiTheme="minorHAnsi" w:eastAsia="Segoe UI" w:hAnsiTheme="minorHAnsi" w:cstheme="minorHAnsi"/>
                <w:color w:val="FFFFFF" w:themeColor="background1"/>
                <w:sz w:val="22"/>
                <w:szCs w:val="19"/>
                <w:lang w:eastAsia="en-AU"/>
              </w:rPr>
              <w:t>Consequence</w:t>
            </w:r>
          </w:p>
        </w:tc>
        <w:tc>
          <w:tcPr>
            <w:tcW w:w="567" w:type="dxa"/>
          </w:tcPr>
          <w:p w14:paraId="19145B76" w14:textId="376CF485" w:rsidR="00880614" w:rsidRPr="002F399D" w:rsidRDefault="00880614"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2.5</w:t>
            </w:r>
          </w:p>
        </w:tc>
        <w:tc>
          <w:tcPr>
            <w:tcW w:w="1985" w:type="dxa"/>
            <w:shd w:val="clear" w:color="auto" w:fill="00264D" w:themeFill="background2"/>
          </w:tcPr>
          <w:p w14:paraId="3D057624" w14:textId="77777777" w:rsidR="00880614" w:rsidRPr="002F399D" w:rsidRDefault="00880614"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159211DE" w14:textId="77777777" w:rsidR="00880614" w:rsidRPr="002F399D" w:rsidRDefault="00880614"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2268" w:type="dxa"/>
            <w:shd w:val="clear" w:color="auto" w:fill="00264D" w:themeFill="background2"/>
          </w:tcPr>
          <w:p w14:paraId="1FC43815" w14:textId="77777777" w:rsidR="00880614" w:rsidRPr="002F399D" w:rsidRDefault="00880614"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45A84D94" w14:textId="5A7F010F" w:rsidR="00880614" w:rsidRPr="002F399D" w:rsidRDefault="00880614"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5</w:t>
            </w:r>
          </w:p>
        </w:tc>
      </w:tr>
      <w:bookmarkEnd w:id="136"/>
    </w:tbl>
    <w:p w14:paraId="2FC62956" w14:textId="77777777" w:rsidR="00880614" w:rsidRDefault="00880614" w:rsidP="00880614">
      <w:pPr>
        <w:rPr>
          <w:lang w:eastAsia="en-AU"/>
        </w:rPr>
      </w:pPr>
    </w:p>
    <w:p w14:paraId="1EE60322" w14:textId="3C8264D3" w:rsidR="00880614" w:rsidRDefault="00880614" w:rsidP="00F679FB">
      <w:pPr>
        <w:spacing w:line="240" w:lineRule="auto"/>
        <w:rPr>
          <w:lang w:eastAsia="en-AU"/>
        </w:rPr>
      </w:pPr>
      <w:r>
        <w:rPr>
          <w:lang w:eastAsia="en-AU"/>
        </w:rPr>
        <w:t xml:space="preserve">Revising </w:t>
      </w:r>
      <w:r w:rsidR="004E4D63">
        <w:rPr>
          <w:lang w:eastAsia="en-AU"/>
        </w:rPr>
        <w:t>FSANZ’</w:t>
      </w:r>
      <w:r w:rsidR="005D04DB">
        <w:rPr>
          <w:lang w:eastAsia="en-AU"/>
        </w:rPr>
        <w:t>s</w:t>
      </w:r>
      <w:r>
        <w:rPr>
          <w:lang w:eastAsia="en-AU"/>
        </w:rPr>
        <w:t xml:space="preserve"> non-delegable duties to enable the CEO to approve draft standards or variations, or FMM members to delegate the ratification of changes to food standards would require minor legislative changes. Although these changes may reduce the number of individuals involved in decision-making, it would retain the ‘two step’ approval process (including both FSANZ and government) to amend food standards – mitigating the risk these changes would contribute to diminished oversight or accountability over the governance of the food system. </w:t>
      </w:r>
    </w:p>
    <w:p w14:paraId="7912F375" w14:textId="77777777" w:rsidR="00880614" w:rsidRDefault="00880614" w:rsidP="00880614">
      <w:pPr>
        <w:rPr>
          <w:lang w:eastAsia="en-AU"/>
        </w:rPr>
      </w:pPr>
      <w:r>
        <w:rPr>
          <w:lang w:eastAsia="en-AU"/>
        </w:rPr>
        <w:t xml:space="preserve">The effectiveness of these changes would be contingent on the risk framework achieving the right tolerance, ensuring that the FMM and the FSANZ Board are responsible for all higher risk decisions. </w:t>
      </w:r>
    </w:p>
    <w:p w14:paraId="7530521F" w14:textId="43AE4892" w:rsidR="00880614" w:rsidRDefault="000253C9" w:rsidP="000253C9">
      <w:pPr>
        <w:pStyle w:val="Heading5"/>
      </w:pPr>
      <w:r w:rsidRPr="009B0AEE">
        <w:rPr>
          <w:rFonts w:eastAsia="Segoe UI"/>
        </w:rPr>
        <w:t xml:space="preserve">Increased use of </w:t>
      </w:r>
      <w:r w:rsidR="008117F8">
        <w:rPr>
          <w:rFonts w:eastAsia="Segoe UI"/>
        </w:rPr>
        <w:t>Codes of Practice</w:t>
      </w:r>
      <w:r w:rsidRPr="009B0AEE">
        <w:rPr>
          <w:rFonts w:eastAsia="Segoe UI"/>
        </w:rPr>
        <w:t xml:space="preserve"> and guidelines could create enforcement obligations for jurisdictions to which Minister</w:t>
      </w:r>
      <w:r w:rsidR="00C2266E">
        <w:rPr>
          <w:rFonts w:eastAsia="Segoe UI"/>
        </w:rPr>
        <w:t>s</w:t>
      </w:r>
      <w:r w:rsidRPr="009B0AEE">
        <w:rPr>
          <w:rFonts w:eastAsia="Segoe UI"/>
        </w:rPr>
        <w:t xml:space="preserve"> have not </w:t>
      </w:r>
      <w:proofErr w:type="gramStart"/>
      <w:r w:rsidRPr="009B0AEE">
        <w:rPr>
          <w:rFonts w:eastAsia="Segoe UI"/>
        </w:rPr>
        <w:t>agreed</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3D09F84B"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7602658A" w14:textId="77777777" w:rsidR="000253C9" w:rsidRPr="002F399D" w:rsidRDefault="000253C9" w:rsidP="00C87D1A">
            <w:pPr>
              <w:rPr>
                <w:rFonts w:asciiTheme="minorHAnsi" w:eastAsia="Segoe UI" w:hAnsiTheme="minorHAnsi" w:cstheme="minorHAnsi"/>
                <w:sz w:val="22"/>
                <w:szCs w:val="19"/>
                <w:lang w:eastAsia="en-AU"/>
              </w:rPr>
            </w:pPr>
            <w:bookmarkStart w:id="137" w:name="_Hlk149152593"/>
            <w:r w:rsidRPr="002F399D">
              <w:rPr>
                <w:rFonts w:asciiTheme="minorHAnsi" w:eastAsia="Segoe UI" w:hAnsiTheme="minorHAnsi" w:cstheme="minorHAnsi"/>
                <w:color w:val="FFFFFF" w:themeColor="background1"/>
                <w:sz w:val="22"/>
                <w:szCs w:val="19"/>
                <w:lang w:eastAsia="en-AU"/>
              </w:rPr>
              <w:t>Consequence</w:t>
            </w:r>
          </w:p>
        </w:tc>
        <w:tc>
          <w:tcPr>
            <w:tcW w:w="567" w:type="dxa"/>
          </w:tcPr>
          <w:p w14:paraId="54FE43FD" w14:textId="25F5A38A" w:rsidR="000253C9" w:rsidRPr="002F399D" w:rsidRDefault="000253C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1985" w:type="dxa"/>
            <w:shd w:val="clear" w:color="auto" w:fill="00264D" w:themeFill="background2"/>
          </w:tcPr>
          <w:p w14:paraId="39831E32" w14:textId="77777777" w:rsidR="000253C9" w:rsidRPr="002F399D" w:rsidRDefault="000253C9"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762A4378" w14:textId="77777777" w:rsidR="000253C9" w:rsidRPr="002F399D" w:rsidRDefault="000253C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2268" w:type="dxa"/>
            <w:shd w:val="clear" w:color="auto" w:fill="00264D" w:themeFill="background2"/>
          </w:tcPr>
          <w:p w14:paraId="4E6B5498" w14:textId="77777777" w:rsidR="000253C9" w:rsidRPr="002F399D" w:rsidRDefault="000253C9"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06992AC2" w14:textId="6F81037E" w:rsidR="000253C9" w:rsidRPr="002F399D" w:rsidRDefault="00846FFE"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4</w:t>
            </w:r>
          </w:p>
        </w:tc>
      </w:tr>
      <w:bookmarkEnd w:id="137"/>
    </w:tbl>
    <w:p w14:paraId="46C6E6A3" w14:textId="77777777" w:rsidR="00942544" w:rsidRDefault="00942544" w:rsidP="000253C9">
      <w:pPr>
        <w:rPr>
          <w:lang w:eastAsia="en-AU"/>
        </w:rPr>
      </w:pPr>
    </w:p>
    <w:p w14:paraId="2C54CF87" w14:textId="1022F158" w:rsidR="000253C9" w:rsidRDefault="008117F8" w:rsidP="000253C9">
      <w:pPr>
        <w:rPr>
          <w:lang w:eastAsia="en-AU"/>
        </w:rPr>
      </w:pPr>
      <w:r>
        <w:rPr>
          <w:lang w:eastAsia="en-AU"/>
        </w:rPr>
        <w:t>Codes of Practice</w:t>
      </w:r>
      <w:r w:rsidR="000253C9">
        <w:rPr>
          <w:lang w:eastAsia="en-AU"/>
        </w:rPr>
        <w:t xml:space="preserve"> and guidelines can be created using existing statutory processes, which are not required to culminate in ratification by the FMM. Yet, they could be binding upon jurisdictions because of the way that Food Acts adopt the Food Code. </w:t>
      </w:r>
    </w:p>
    <w:p w14:paraId="4CAA455F" w14:textId="10ADA16F" w:rsidR="000253C9" w:rsidRDefault="000253C9" w:rsidP="000253C9">
      <w:pPr>
        <w:rPr>
          <w:lang w:eastAsia="en-AU"/>
        </w:rPr>
      </w:pPr>
      <w:r>
        <w:rPr>
          <w:lang w:eastAsia="en-AU"/>
        </w:rPr>
        <w:lastRenderedPageBreak/>
        <w:t xml:space="preserve">To mitigate the risk that increased use of </w:t>
      </w:r>
      <w:r w:rsidR="008117F8">
        <w:rPr>
          <w:lang w:eastAsia="en-AU"/>
        </w:rPr>
        <w:t>Codes of Practice</w:t>
      </w:r>
      <w:r>
        <w:rPr>
          <w:lang w:eastAsia="en-AU"/>
        </w:rPr>
        <w:t xml:space="preserve"> and guidelines may introduce, they could be applied only for low-risk regulatory measures. Note that some of the policy and implications of a change could be factors in the risk matrix that guides consideration of guidelines and </w:t>
      </w:r>
      <w:r w:rsidR="008117F8">
        <w:rPr>
          <w:lang w:eastAsia="en-AU"/>
        </w:rPr>
        <w:t>Codes of Practice</w:t>
      </w:r>
      <w:r w:rsidRPr="00584F70">
        <w:rPr>
          <w:lang w:eastAsia="en-AU"/>
        </w:rPr>
        <w:t xml:space="preserve">. </w:t>
      </w:r>
    </w:p>
    <w:p w14:paraId="47CC1937" w14:textId="77777777" w:rsidR="00923BE4" w:rsidRDefault="00923BE4" w:rsidP="00923BE4">
      <w:pPr>
        <w:pStyle w:val="Heading3"/>
      </w:pPr>
      <w:r>
        <w:t>Efficient and effective operations</w:t>
      </w:r>
      <w:r w:rsidRPr="009C1D64">
        <w:t xml:space="preserve"> </w:t>
      </w:r>
    </w:p>
    <w:p w14:paraId="3314FAB0" w14:textId="5DC77E00" w:rsidR="003E480F" w:rsidRDefault="003E480F" w:rsidP="003E480F">
      <w:pPr>
        <w:rPr>
          <w:lang w:eastAsia="en-AU"/>
        </w:rPr>
      </w:pPr>
      <w:r>
        <w:rPr>
          <w:lang w:eastAsia="en-AU"/>
        </w:rPr>
        <w:t>There are several risks associated with efficient and effective operations</w:t>
      </w:r>
      <w:r w:rsidR="00275690">
        <w:rPr>
          <w:lang w:eastAsia="en-AU"/>
        </w:rPr>
        <w:t xml:space="preserve">. Overall risk ratings for Option 1 and 2 are shown in </w:t>
      </w:r>
      <w:r w:rsidR="00C10359">
        <w:rPr>
          <w:lang w:eastAsia="en-AU"/>
        </w:rPr>
        <w:fldChar w:fldCharType="begin"/>
      </w:r>
      <w:r w:rsidR="00C10359">
        <w:rPr>
          <w:lang w:eastAsia="en-AU"/>
        </w:rPr>
        <w:instrText xml:space="preserve"> REF _Ref149152533 \h </w:instrText>
      </w:r>
      <w:r w:rsidR="00C10359">
        <w:rPr>
          <w:lang w:eastAsia="en-AU"/>
        </w:rPr>
      </w:r>
      <w:r w:rsidR="00C10359">
        <w:rPr>
          <w:lang w:eastAsia="en-AU"/>
        </w:rPr>
        <w:fldChar w:fldCharType="separate"/>
      </w:r>
      <w:r w:rsidR="003F7B92">
        <w:t xml:space="preserve">Table </w:t>
      </w:r>
      <w:r w:rsidR="003F7B92">
        <w:rPr>
          <w:noProof/>
        </w:rPr>
        <w:t>29</w:t>
      </w:r>
      <w:r w:rsidR="00C10359">
        <w:rPr>
          <w:lang w:eastAsia="en-AU"/>
        </w:rPr>
        <w:fldChar w:fldCharType="end"/>
      </w:r>
      <w:r w:rsidR="00C10359">
        <w:rPr>
          <w:lang w:eastAsia="en-AU"/>
        </w:rPr>
        <w:t>.</w:t>
      </w:r>
      <w:r w:rsidR="00275690">
        <w:rPr>
          <w:lang w:eastAsia="en-AU"/>
        </w:rPr>
        <w:t xml:space="preserve"> </w:t>
      </w:r>
      <w:r w:rsidR="00C10359">
        <w:rPr>
          <w:lang w:eastAsia="en-AU"/>
        </w:rPr>
        <w:t xml:space="preserve">Both options have ‘high’ risk profiles that would need to be carefully managed. </w:t>
      </w:r>
    </w:p>
    <w:p w14:paraId="46E213CB" w14:textId="75EF095E" w:rsidR="003E480F" w:rsidRDefault="00C10359" w:rsidP="00C10359">
      <w:pPr>
        <w:pStyle w:val="Caption"/>
        <w:rPr>
          <w:lang w:eastAsia="en-AU"/>
        </w:rPr>
      </w:pPr>
      <w:bookmarkStart w:id="138" w:name="_Ref149152533"/>
      <w:r>
        <w:t xml:space="preserve">Table </w:t>
      </w:r>
      <w:r>
        <w:fldChar w:fldCharType="begin"/>
      </w:r>
      <w:r>
        <w:instrText xml:space="preserve"> SEQ Table \* ARABIC </w:instrText>
      </w:r>
      <w:r>
        <w:fldChar w:fldCharType="separate"/>
      </w:r>
      <w:r w:rsidR="003F7B92">
        <w:rPr>
          <w:noProof/>
        </w:rPr>
        <w:t>29</w:t>
      </w:r>
      <w:r>
        <w:fldChar w:fldCharType="end"/>
      </w:r>
      <w:bookmarkEnd w:id="138"/>
      <w:r>
        <w:t xml:space="preserve"> | </w:t>
      </w:r>
      <w:r w:rsidRPr="00316FE7">
        <w:t xml:space="preserve">Assessment of delivery risks associated with efficient and effective </w:t>
      </w:r>
      <w:proofErr w:type="gramStart"/>
      <w:r w:rsidRPr="00316FE7">
        <w:t>operations</w:t>
      </w:r>
      <w:proofErr w:type="gramEnd"/>
    </w:p>
    <w:tbl>
      <w:tblPr>
        <w:tblStyle w:val="TableGrid"/>
        <w:tblW w:w="5000" w:type="pct"/>
        <w:tblLook w:val="0680" w:firstRow="0" w:lastRow="0" w:firstColumn="1" w:lastColumn="0" w:noHBand="1" w:noVBand="1"/>
      </w:tblPr>
      <w:tblGrid>
        <w:gridCol w:w="2936"/>
        <w:gridCol w:w="3008"/>
        <w:gridCol w:w="2986"/>
      </w:tblGrid>
      <w:tr w:rsidR="003E480F" w14:paraId="3B3701A5" w14:textId="77777777" w:rsidTr="00C87D1A">
        <w:tc>
          <w:tcPr>
            <w:tcW w:w="1644" w:type="pct"/>
            <w:shd w:val="clear" w:color="auto" w:fill="E6E6E1" w:themeFill="accent5"/>
          </w:tcPr>
          <w:p w14:paraId="6A1E3520" w14:textId="77777777" w:rsidR="003E480F" w:rsidRDefault="003E480F" w:rsidP="00C87D1A">
            <w:pPr>
              <w:pStyle w:val="TableNheader"/>
              <w:rPr>
                <w:lang w:eastAsia="en-AU"/>
              </w:rPr>
            </w:pPr>
          </w:p>
        </w:tc>
        <w:tc>
          <w:tcPr>
            <w:tcW w:w="1684" w:type="pct"/>
            <w:shd w:val="clear" w:color="auto" w:fill="E6E6E1" w:themeFill="accent5"/>
          </w:tcPr>
          <w:p w14:paraId="23E8F96C" w14:textId="77777777" w:rsidR="003E480F" w:rsidRDefault="003E480F" w:rsidP="00C87D1A">
            <w:pPr>
              <w:pStyle w:val="TableNheader"/>
              <w:rPr>
                <w:lang w:eastAsia="en-AU"/>
              </w:rPr>
            </w:pPr>
            <w:r w:rsidRPr="0024539C">
              <w:rPr>
                <w:color w:val="F25E21" w:themeColor="accent2"/>
                <w:lang w:eastAsia="en-AU"/>
              </w:rPr>
              <w:t>OPTION 1</w:t>
            </w:r>
          </w:p>
        </w:tc>
        <w:tc>
          <w:tcPr>
            <w:tcW w:w="1672" w:type="pct"/>
            <w:shd w:val="clear" w:color="auto" w:fill="E6E6E1" w:themeFill="accent5"/>
          </w:tcPr>
          <w:p w14:paraId="3BB5742F" w14:textId="77777777" w:rsidR="003E480F" w:rsidRDefault="003E480F" w:rsidP="00C87D1A">
            <w:pPr>
              <w:pStyle w:val="TableNheader"/>
              <w:rPr>
                <w:lang w:eastAsia="en-AU"/>
              </w:rPr>
            </w:pPr>
            <w:r w:rsidRPr="0024539C">
              <w:rPr>
                <w:color w:val="F8981D" w:themeColor="accent3"/>
                <w:lang w:eastAsia="en-AU"/>
              </w:rPr>
              <w:t>OPTION 2</w:t>
            </w:r>
          </w:p>
        </w:tc>
      </w:tr>
      <w:tr w:rsidR="003E480F" w14:paraId="1C2720F2" w14:textId="77777777" w:rsidTr="00C87D1A">
        <w:tc>
          <w:tcPr>
            <w:tcW w:w="1644" w:type="pct"/>
          </w:tcPr>
          <w:p w14:paraId="4846F739" w14:textId="1C1D0D55" w:rsidR="003E480F" w:rsidRPr="0024539C" w:rsidRDefault="003E480F" w:rsidP="00C87D1A">
            <w:pPr>
              <w:rPr>
                <w:color w:val="F8981D" w:themeColor="accent3"/>
                <w:lang w:eastAsia="en-AU"/>
              </w:rPr>
            </w:pPr>
            <w:r w:rsidRPr="00A4406A">
              <w:rPr>
                <w:lang w:eastAsia="en-AU"/>
              </w:rPr>
              <w:t xml:space="preserve">Delivery risks associated with </w:t>
            </w:r>
            <w:r w:rsidR="00C10359">
              <w:rPr>
                <w:lang w:eastAsia="en-AU"/>
              </w:rPr>
              <w:t>efficient and effective operations</w:t>
            </w:r>
          </w:p>
        </w:tc>
        <w:tc>
          <w:tcPr>
            <w:tcW w:w="1684" w:type="pct"/>
          </w:tcPr>
          <w:p w14:paraId="65872F34" w14:textId="77777777" w:rsidR="003E480F" w:rsidRDefault="003E480F" w:rsidP="00C87D1A">
            <w:pPr>
              <w:rPr>
                <w:lang w:eastAsia="en-AU"/>
              </w:rPr>
            </w:pPr>
            <w:r>
              <w:rPr>
                <w:lang w:eastAsia="en-AU"/>
              </w:rPr>
              <w:t>1 (high)</w:t>
            </w:r>
          </w:p>
        </w:tc>
        <w:tc>
          <w:tcPr>
            <w:tcW w:w="1672" w:type="pct"/>
          </w:tcPr>
          <w:p w14:paraId="0E2AD481" w14:textId="10643848" w:rsidR="003E480F" w:rsidRDefault="00C10359" w:rsidP="00C87D1A">
            <w:pPr>
              <w:rPr>
                <w:lang w:eastAsia="en-AU"/>
              </w:rPr>
            </w:pPr>
            <w:r>
              <w:rPr>
                <w:lang w:eastAsia="en-AU"/>
              </w:rPr>
              <w:t>1 (high)</w:t>
            </w:r>
          </w:p>
        </w:tc>
      </w:tr>
    </w:tbl>
    <w:p w14:paraId="5A8E24D1" w14:textId="77777777" w:rsidR="003E480F" w:rsidRDefault="003E480F" w:rsidP="003E480F">
      <w:pPr>
        <w:rPr>
          <w:lang w:eastAsia="en-AU"/>
        </w:rPr>
      </w:pPr>
    </w:p>
    <w:p w14:paraId="1A275738" w14:textId="77777777" w:rsidR="003E480F" w:rsidRDefault="003E480F" w:rsidP="003E480F">
      <w:r>
        <w:t xml:space="preserve">More detail is provided below. </w:t>
      </w:r>
    </w:p>
    <w:p w14:paraId="7249CB65" w14:textId="77777777" w:rsidR="003E480F" w:rsidRDefault="003E480F" w:rsidP="003E480F">
      <w:pPr>
        <w:pStyle w:val="Heading4"/>
      </w:pPr>
      <w:r w:rsidRPr="0024539C">
        <w:rPr>
          <w:color w:val="F25E21" w:themeColor="accent2"/>
        </w:rPr>
        <w:t>OPTION 1</w:t>
      </w:r>
      <w:r>
        <w:rPr>
          <w:color w:val="F25E21" w:themeColor="accent2"/>
        </w:rPr>
        <w:t xml:space="preserve"> </w:t>
      </w:r>
      <w:r>
        <w:t>Risks</w:t>
      </w:r>
    </w:p>
    <w:p w14:paraId="77DFD0BD" w14:textId="7CA089CC" w:rsidR="00C10359" w:rsidRDefault="00C10359" w:rsidP="00C10359">
      <w:pPr>
        <w:pStyle w:val="Heading5"/>
        <w:rPr>
          <w:rFonts w:eastAsia="Segoe UI"/>
        </w:rPr>
      </w:pPr>
      <w:r w:rsidRPr="001B6D5F">
        <w:rPr>
          <w:rFonts w:eastAsia="Segoe UI"/>
        </w:rPr>
        <w:t xml:space="preserve">Nomination and appointment processes would continue to be relatively laborious endeavours and perpetuate the risk that the Board will not have the necessary skills to provide effective </w:t>
      </w:r>
      <w:proofErr w:type="gramStart"/>
      <w:r w:rsidRPr="001B6D5F">
        <w:rPr>
          <w:rFonts w:eastAsia="Segoe UI"/>
        </w:rPr>
        <w:t>governance</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1128545C"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2BFE6655" w14:textId="77777777" w:rsidR="00C10359" w:rsidRPr="002F399D" w:rsidRDefault="00C10359"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59A88493" w14:textId="77777777" w:rsidR="00C10359" w:rsidRPr="002F399D" w:rsidRDefault="00C1035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1985" w:type="dxa"/>
            <w:shd w:val="clear" w:color="auto" w:fill="00264D" w:themeFill="background2"/>
          </w:tcPr>
          <w:p w14:paraId="30F2CFFF" w14:textId="77777777" w:rsidR="00C10359" w:rsidRPr="002F399D" w:rsidRDefault="00C10359"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6E22463F" w14:textId="19859DC6" w:rsidR="00C10359" w:rsidRPr="002F399D" w:rsidRDefault="00C1035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2268" w:type="dxa"/>
            <w:shd w:val="clear" w:color="auto" w:fill="00264D" w:themeFill="background2"/>
          </w:tcPr>
          <w:p w14:paraId="33EDCC35" w14:textId="77777777" w:rsidR="00C10359" w:rsidRPr="002F399D" w:rsidRDefault="00C10359"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44BFE7B1" w14:textId="43EADC52" w:rsidR="00C10359" w:rsidRPr="002F399D" w:rsidRDefault="00C10359"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r>
    </w:tbl>
    <w:p w14:paraId="12A39F91" w14:textId="77777777" w:rsidR="00C10359" w:rsidRPr="00156CC0" w:rsidRDefault="00C10359" w:rsidP="00C10359">
      <w:pPr>
        <w:rPr>
          <w:lang w:eastAsia="en-AU"/>
        </w:rPr>
      </w:pPr>
    </w:p>
    <w:p w14:paraId="62E48B06" w14:textId="76D4CD05" w:rsidR="00316D8A" w:rsidRPr="00535952" w:rsidRDefault="00C10359" w:rsidP="00156CC0">
      <w:pPr>
        <w:rPr>
          <w:lang w:eastAsia="en-AU"/>
        </w:rPr>
      </w:pPr>
      <w:r w:rsidRPr="00535952">
        <w:rPr>
          <w:lang w:eastAsia="en-AU"/>
        </w:rPr>
        <w:t xml:space="preserve">Prolonged and cumbersome nomination and appointment processes could lead to significant delays in filling board vacancies, hinder the Board's efficiency and compromise its ability to respond to pressing matters. Additionally, without a proactive and strategic pipeline of candidates, the risk of not having the right blend of expertise on the Board increases. </w:t>
      </w:r>
    </w:p>
    <w:p w14:paraId="51BBA364" w14:textId="2903A86E" w:rsidR="003E480F" w:rsidRPr="00535952" w:rsidRDefault="00C10359" w:rsidP="00156CC0">
      <w:pPr>
        <w:rPr>
          <w:lang w:eastAsia="en-AU"/>
        </w:rPr>
      </w:pPr>
      <w:r w:rsidRPr="00535952">
        <w:rPr>
          <w:lang w:eastAsia="en-AU"/>
        </w:rPr>
        <w:t xml:space="preserve">The current Act does not assure an optimal mix of skills, and without the direct input from key positions like the Chairperson or CEO, the Board might face capability gaps. </w:t>
      </w:r>
    </w:p>
    <w:p w14:paraId="41236561" w14:textId="6F43680F" w:rsidR="00077D92" w:rsidRDefault="00077D92" w:rsidP="00077D92">
      <w:pPr>
        <w:pStyle w:val="Heading5"/>
        <w:rPr>
          <w:rFonts w:eastAsia="Segoe UI"/>
        </w:rPr>
      </w:pPr>
      <w:r w:rsidRPr="00077D92">
        <w:rPr>
          <w:rFonts w:eastAsia="Segoe UI"/>
        </w:rPr>
        <w:t xml:space="preserve">FSANZ will continue to focus on only a subset of its statutory duties, effectively creating gaps in the regulatory system where risks and opportunities are not managed as well as they could </w:t>
      </w:r>
      <w:proofErr w:type="gramStart"/>
      <w:r w:rsidRPr="00077D92">
        <w:rPr>
          <w:rFonts w:eastAsia="Segoe UI"/>
        </w:rPr>
        <w:t>be</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357DCC8E"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61B460DB" w14:textId="77777777" w:rsidR="00077D92" w:rsidRPr="002F399D" w:rsidRDefault="00077D92"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5FF4A1BA" w14:textId="3D24566E" w:rsidR="00077D92" w:rsidRPr="002F399D" w:rsidRDefault="00AC6A6F"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1985" w:type="dxa"/>
            <w:shd w:val="clear" w:color="auto" w:fill="00264D" w:themeFill="background2"/>
          </w:tcPr>
          <w:p w14:paraId="46ED3330" w14:textId="77777777" w:rsidR="00077D92" w:rsidRPr="002F399D" w:rsidRDefault="00077D92"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14D19161" w14:textId="77777777" w:rsidR="00077D92" w:rsidRPr="002F399D" w:rsidRDefault="00077D92"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2268" w:type="dxa"/>
            <w:shd w:val="clear" w:color="auto" w:fill="00264D" w:themeFill="background2"/>
          </w:tcPr>
          <w:p w14:paraId="46C30104" w14:textId="77777777" w:rsidR="00077D92" w:rsidRPr="002F399D" w:rsidRDefault="00077D92"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420ADAEF" w14:textId="25BA39CF" w:rsidR="00077D92" w:rsidRPr="002F399D" w:rsidRDefault="00AC6A6F"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r>
    </w:tbl>
    <w:p w14:paraId="60F264EA" w14:textId="77777777" w:rsidR="00077D92" w:rsidRDefault="00077D92" w:rsidP="00077D92">
      <w:pPr>
        <w:rPr>
          <w:lang w:eastAsia="en-AU"/>
        </w:rPr>
      </w:pPr>
    </w:p>
    <w:p w14:paraId="5106CC6F" w14:textId="6425C0A5" w:rsidR="00E573A1" w:rsidRPr="00077D92" w:rsidRDefault="00EB7AD5" w:rsidP="00077D92">
      <w:pPr>
        <w:rPr>
          <w:lang w:eastAsia="en-AU"/>
        </w:rPr>
      </w:pPr>
      <w:r>
        <w:rPr>
          <w:lang w:eastAsia="en-AU"/>
        </w:rPr>
        <w:t xml:space="preserve">FSANZ will continue to face resourcing challenges </w:t>
      </w:r>
      <w:r w:rsidR="004066E1">
        <w:rPr>
          <w:lang w:eastAsia="en-AU"/>
        </w:rPr>
        <w:t xml:space="preserve">which means it will need to continue to prioritise only a subset of its functions. As the number of applications received have been trending up over time, this pressure is likely to be exacerbated, forcing FSANZ to be even more selective in the activities it pursues. </w:t>
      </w:r>
    </w:p>
    <w:p w14:paraId="4C3CB8C9" w14:textId="77777777" w:rsidR="004066E1" w:rsidRDefault="004066E1" w:rsidP="004066E1">
      <w:pPr>
        <w:pStyle w:val="Heading4"/>
      </w:pPr>
      <w:r w:rsidRPr="0024539C">
        <w:rPr>
          <w:color w:val="F8981D" w:themeColor="accent3"/>
        </w:rPr>
        <w:lastRenderedPageBreak/>
        <w:t>OPTION 2</w:t>
      </w:r>
      <w:r>
        <w:rPr>
          <w:color w:val="F8981D" w:themeColor="accent3"/>
        </w:rPr>
        <w:t xml:space="preserve"> </w:t>
      </w:r>
      <w:r>
        <w:t>R</w:t>
      </w:r>
      <w:r w:rsidRPr="00E40A09">
        <w:t>isks</w:t>
      </w:r>
    </w:p>
    <w:p w14:paraId="6A430EB0" w14:textId="1B938345" w:rsidR="004066E1" w:rsidRDefault="004066E1" w:rsidP="004066E1">
      <w:pPr>
        <w:pStyle w:val="Heading5"/>
      </w:pPr>
      <w:r w:rsidRPr="004066E1">
        <w:t xml:space="preserve">The Board could be less </w:t>
      </w:r>
      <w:r w:rsidR="00172544">
        <w:t xml:space="preserve">efficient and </w:t>
      </w:r>
      <w:r w:rsidRPr="004066E1">
        <w:t xml:space="preserve">well equipped to consider sectoral interests under new nomination </w:t>
      </w:r>
      <w:proofErr w:type="gramStart"/>
      <w:r w:rsidRPr="004066E1">
        <w:t>arrangements</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6C88B5A2"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6A5B8E87" w14:textId="77777777" w:rsidR="004066E1" w:rsidRPr="002F399D" w:rsidRDefault="004066E1"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5577CF39" w14:textId="06D18439" w:rsidR="004066E1" w:rsidRPr="002F399D" w:rsidRDefault="004066E1"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1985" w:type="dxa"/>
            <w:shd w:val="clear" w:color="auto" w:fill="00264D" w:themeFill="background2"/>
          </w:tcPr>
          <w:p w14:paraId="7055930C" w14:textId="77777777" w:rsidR="004066E1" w:rsidRPr="002F399D" w:rsidRDefault="004066E1"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1DF72F4B" w14:textId="177FD655" w:rsidR="004066E1" w:rsidRPr="002F399D" w:rsidRDefault="004066E1"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2268" w:type="dxa"/>
            <w:shd w:val="clear" w:color="auto" w:fill="00264D" w:themeFill="background2"/>
          </w:tcPr>
          <w:p w14:paraId="2EDE1482" w14:textId="77777777" w:rsidR="004066E1" w:rsidRPr="002F399D" w:rsidRDefault="004066E1"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18C584EA" w14:textId="5A8F6BB0" w:rsidR="004066E1" w:rsidRPr="002F399D" w:rsidRDefault="004066E1"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4</w:t>
            </w:r>
          </w:p>
        </w:tc>
      </w:tr>
    </w:tbl>
    <w:p w14:paraId="210534EB" w14:textId="77777777" w:rsidR="004066E1" w:rsidRDefault="004066E1" w:rsidP="004066E1">
      <w:pPr>
        <w:rPr>
          <w:lang w:eastAsia="en-AU"/>
        </w:rPr>
      </w:pPr>
    </w:p>
    <w:p w14:paraId="6A6DA02E" w14:textId="35B5F859" w:rsidR="004066E1" w:rsidRDefault="004066E1" w:rsidP="004066E1">
      <w:pPr>
        <w:rPr>
          <w:lang w:eastAsia="en-AU"/>
        </w:rPr>
      </w:pPr>
      <w:r>
        <w:rPr>
          <w:lang w:eastAsia="en-AU"/>
        </w:rPr>
        <w:t xml:space="preserve">Component 2.3 would see FSANZ moving to an open market Board nomination system, emphasising the skills and experience of applicants rather than their organisational affiliation. There is a risk that under this arrangement the organisations with specific interests or risk profiles may lose representation on the Board. </w:t>
      </w:r>
    </w:p>
    <w:p w14:paraId="40E856FD" w14:textId="26F3BF8A" w:rsidR="003E036D" w:rsidRDefault="003E036D" w:rsidP="004066E1">
      <w:pPr>
        <w:rPr>
          <w:lang w:eastAsia="en-AU"/>
        </w:rPr>
      </w:pPr>
      <w:r>
        <w:rPr>
          <w:lang w:eastAsia="en-AU"/>
        </w:rPr>
        <w:t xml:space="preserve">The Board nomination process may also become </w:t>
      </w:r>
      <w:r w:rsidR="00952094">
        <w:rPr>
          <w:lang w:eastAsia="en-AU"/>
        </w:rPr>
        <w:t xml:space="preserve">more resource intensive </w:t>
      </w:r>
      <w:r w:rsidR="00AD0216">
        <w:rPr>
          <w:lang w:eastAsia="en-AU"/>
        </w:rPr>
        <w:t xml:space="preserve">as a greater number of individuals would be eligible </w:t>
      </w:r>
      <w:r w:rsidR="00952094">
        <w:rPr>
          <w:lang w:eastAsia="en-AU"/>
        </w:rPr>
        <w:t xml:space="preserve">or consideration. </w:t>
      </w:r>
    </w:p>
    <w:p w14:paraId="0AA703CB" w14:textId="07A52316" w:rsidR="004066E1" w:rsidRDefault="004066E1" w:rsidP="004066E1">
      <w:pPr>
        <w:rPr>
          <w:lang w:eastAsia="en-AU"/>
        </w:rPr>
      </w:pPr>
      <w:r>
        <w:rPr>
          <w:lang w:eastAsia="en-AU"/>
        </w:rPr>
        <w:t xml:space="preserve">To mitigate this, the Board selection process </w:t>
      </w:r>
      <w:r w:rsidRPr="0063730C">
        <w:rPr>
          <w:lang w:eastAsia="en-AU"/>
        </w:rPr>
        <w:t>make sure the list of skills used to assess qualifications of nominees captures the breadth of issues and needs from across the food system.</w:t>
      </w:r>
      <w:r w:rsidR="000561CB">
        <w:rPr>
          <w:lang w:eastAsia="en-AU"/>
        </w:rPr>
        <w:t xml:space="preserve"> Nomination forms should clearly outline these skill requirements to streamline the decision</w:t>
      </w:r>
      <w:r w:rsidR="00605BD9">
        <w:rPr>
          <w:lang w:eastAsia="en-AU"/>
        </w:rPr>
        <w:t xml:space="preserve">-making process. </w:t>
      </w:r>
      <w:r w:rsidR="000561CB">
        <w:rPr>
          <w:lang w:eastAsia="en-AU"/>
        </w:rPr>
        <w:t xml:space="preserve"> </w:t>
      </w:r>
    </w:p>
    <w:p w14:paraId="0A886EE3" w14:textId="07A13938" w:rsidR="004066E1" w:rsidRDefault="00DA1AAB" w:rsidP="00DA1AAB">
      <w:pPr>
        <w:pStyle w:val="Heading5"/>
        <w:rPr>
          <w:rFonts w:eastAsia="Segoe UI"/>
        </w:rPr>
      </w:pPr>
      <w:r w:rsidRPr="00D20C88">
        <w:rPr>
          <w:rFonts w:eastAsia="Segoe UI"/>
        </w:rPr>
        <w:t xml:space="preserve">Expanded cost recovery mechanisms borne by industry could create new barriers to entry for businesses seeking to vary food standards, reducing accessibility of the </w:t>
      </w:r>
      <w:proofErr w:type="gramStart"/>
      <w:r w:rsidRPr="00D20C88">
        <w:rPr>
          <w:rFonts w:eastAsia="Segoe UI"/>
        </w:rPr>
        <w:t>scheme</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0D49A764"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48161DE2" w14:textId="77777777" w:rsidR="00DA1AAB" w:rsidRPr="002F399D" w:rsidRDefault="00DA1AAB"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13853089" w14:textId="77777777" w:rsidR="00DA1AAB" w:rsidRPr="002F399D" w:rsidRDefault="00DA1AAB"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1985" w:type="dxa"/>
            <w:shd w:val="clear" w:color="auto" w:fill="00264D" w:themeFill="background2"/>
          </w:tcPr>
          <w:p w14:paraId="77A3AB8B" w14:textId="77777777" w:rsidR="00DA1AAB" w:rsidRPr="002F399D" w:rsidRDefault="00DA1AAB"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5CF8E10A" w14:textId="77777777" w:rsidR="00DA1AAB" w:rsidRPr="002F399D" w:rsidRDefault="00DA1AAB"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2268" w:type="dxa"/>
            <w:shd w:val="clear" w:color="auto" w:fill="00264D" w:themeFill="background2"/>
          </w:tcPr>
          <w:p w14:paraId="52DE2C0D" w14:textId="77777777" w:rsidR="00DA1AAB" w:rsidRPr="002F399D" w:rsidRDefault="00DA1AAB"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304CCC62" w14:textId="77777777" w:rsidR="00DA1AAB" w:rsidRPr="002F399D" w:rsidRDefault="00DA1AAB"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4</w:t>
            </w:r>
          </w:p>
        </w:tc>
      </w:tr>
    </w:tbl>
    <w:p w14:paraId="6143D1A9" w14:textId="77777777" w:rsidR="00DA1AAB" w:rsidRDefault="00DA1AAB" w:rsidP="00DA1AAB">
      <w:pPr>
        <w:rPr>
          <w:lang w:eastAsia="en-AU"/>
        </w:rPr>
      </w:pPr>
    </w:p>
    <w:p w14:paraId="22BEE36B" w14:textId="4ACF4921" w:rsidR="00DA1AAB" w:rsidRDefault="00B939FC" w:rsidP="00DA1AAB">
      <w:pPr>
        <w:rPr>
          <w:lang w:eastAsia="en-AU"/>
        </w:rPr>
      </w:pPr>
      <w:r>
        <w:rPr>
          <w:lang w:eastAsia="en-AU"/>
        </w:rPr>
        <w:t xml:space="preserve">New cost recovery arrangements may make it harder for businesses – particularly small businesses – to engage with FSANZ and develop applications for changes to food standards. This could stifle innovation and act as a disincentive for overseas based food businesses to invest in the Australia and New Zealand markets, leading to less choice for local consumers. </w:t>
      </w:r>
    </w:p>
    <w:p w14:paraId="7DA6DAD7" w14:textId="79746136" w:rsidR="00B939FC" w:rsidRPr="00DA1AAB" w:rsidRDefault="00B939FC" w:rsidP="00B939FC">
      <w:pPr>
        <w:pStyle w:val="Heading5"/>
      </w:pPr>
      <w:r w:rsidRPr="00D20C88">
        <w:rPr>
          <w:rFonts w:eastAsia="Segoe UI"/>
        </w:rPr>
        <w:t xml:space="preserve">Application of a levy on select industry participants could contribute to financial stress in a sector that is already feeling </w:t>
      </w:r>
      <w:proofErr w:type="gramStart"/>
      <w:r w:rsidRPr="00D20C88">
        <w:rPr>
          <w:rFonts w:eastAsia="Segoe UI"/>
        </w:rPr>
        <w:t>overwhelmed</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59ECBD1D"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53DE6BA4" w14:textId="77777777" w:rsidR="00B939FC" w:rsidRPr="002F399D" w:rsidRDefault="00B939FC" w:rsidP="00C87D1A">
            <w:pPr>
              <w:rPr>
                <w:rFonts w:asciiTheme="minorHAnsi" w:eastAsia="Segoe UI" w:hAnsiTheme="minorHAnsi" w:cstheme="minorHAnsi"/>
                <w:sz w:val="22"/>
                <w:szCs w:val="19"/>
                <w:lang w:eastAsia="en-AU"/>
              </w:rPr>
            </w:pPr>
            <w:bookmarkStart w:id="139" w:name="_Hlk149153119"/>
            <w:r w:rsidRPr="002F399D">
              <w:rPr>
                <w:rFonts w:asciiTheme="minorHAnsi" w:eastAsia="Segoe UI" w:hAnsiTheme="minorHAnsi" w:cstheme="minorHAnsi"/>
                <w:color w:val="FFFFFF" w:themeColor="background1"/>
                <w:sz w:val="22"/>
                <w:szCs w:val="19"/>
                <w:lang w:eastAsia="en-AU"/>
              </w:rPr>
              <w:t>Consequence</w:t>
            </w:r>
          </w:p>
        </w:tc>
        <w:tc>
          <w:tcPr>
            <w:tcW w:w="567" w:type="dxa"/>
          </w:tcPr>
          <w:p w14:paraId="16D459E8" w14:textId="044EDFB9" w:rsidR="00B939FC" w:rsidRPr="002F399D" w:rsidRDefault="00B939FC"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1985" w:type="dxa"/>
            <w:shd w:val="clear" w:color="auto" w:fill="00264D" w:themeFill="background2"/>
          </w:tcPr>
          <w:p w14:paraId="6B89DF43" w14:textId="77777777" w:rsidR="00B939FC" w:rsidRPr="002F399D" w:rsidRDefault="00B939FC"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23470035" w14:textId="77777777" w:rsidR="00B939FC" w:rsidRPr="002F399D" w:rsidRDefault="00B939FC"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2268" w:type="dxa"/>
            <w:shd w:val="clear" w:color="auto" w:fill="00264D" w:themeFill="background2"/>
          </w:tcPr>
          <w:p w14:paraId="75DFB643" w14:textId="77777777" w:rsidR="00B939FC" w:rsidRPr="002F399D" w:rsidRDefault="00B939FC"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22600D58" w14:textId="1ABD3905" w:rsidR="00B939FC" w:rsidRPr="002F399D" w:rsidRDefault="00B939FC"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r>
      <w:bookmarkEnd w:id="139"/>
    </w:tbl>
    <w:p w14:paraId="6838DC62" w14:textId="77777777" w:rsidR="004066E1" w:rsidRDefault="004066E1" w:rsidP="004066E1">
      <w:pPr>
        <w:rPr>
          <w:lang w:eastAsia="en-AU"/>
        </w:rPr>
      </w:pPr>
    </w:p>
    <w:p w14:paraId="48B76B9E" w14:textId="3AAF3B48" w:rsidR="00A0757A" w:rsidRDefault="00A0757A" w:rsidP="004066E1">
      <w:pPr>
        <w:rPr>
          <w:lang w:eastAsia="en-AU"/>
        </w:rPr>
      </w:pPr>
      <w:r>
        <w:rPr>
          <w:lang w:eastAsia="en-AU"/>
        </w:rPr>
        <w:t xml:space="preserve">Food businesses have been under continued stress in recent years due to severe weather events, disrupted global supply chains and other factors that have challenged profitability. A widespread levy could </w:t>
      </w:r>
      <w:r w:rsidR="00705867">
        <w:rPr>
          <w:lang w:eastAsia="en-AU"/>
        </w:rPr>
        <w:t xml:space="preserve">contribute to financial stress and potentially force some businesses to leave the market. </w:t>
      </w:r>
    </w:p>
    <w:p w14:paraId="781239A1" w14:textId="27ED646B" w:rsidR="00705867" w:rsidRDefault="00705867" w:rsidP="004066E1">
      <w:pPr>
        <w:rPr>
          <w:lang w:eastAsia="en-AU"/>
        </w:rPr>
      </w:pPr>
      <w:r>
        <w:rPr>
          <w:lang w:eastAsia="en-AU"/>
        </w:rPr>
        <w:t>It would also be challenging to apply the levy in a way that is fair</w:t>
      </w:r>
      <w:r w:rsidR="00022FC5">
        <w:rPr>
          <w:lang w:eastAsia="en-AU"/>
        </w:rPr>
        <w:t xml:space="preserve"> and ensure duplication of the levy does not occur as food products transition from the stages of production, </w:t>
      </w:r>
      <w:proofErr w:type="gramStart"/>
      <w:r w:rsidR="00022FC5">
        <w:rPr>
          <w:lang w:eastAsia="en-AU"/>
        </w:rPr>
        <w:t>manufacture</w:t>
      </w:r>
      <w:proofErr w:type="gramEnd"/>
      <w:r w:rsidR="00022FC5">
        <w:rPr>
          <w:lang w:eastAsia="en-AU"/>
        </w:rPr>
        <w:t xml:space="preserve"> and sale. </w:t>
      </w:r>
    </w:p>
    <w:p w14:paraId="23B90F8F" w14:textId="1D37C61A" w:rsidR="002364E0" w:rsidRPr="00DA1AAB" w:rsidRDefault="002364E0" w:rsidP="002364E0">
      <w:pPr>
        <w:pStyle w:val="Heading5"/>
      </w:pPr>
      <w:r>
        <w:rPr>
          <w:rFonts w:eastAsia="Segoe UI"/>
        </w:rPr>
        <w:t xml:space="preserve">An industry-wide levy could contribute to regulatory </w:t>
      </w:r>
      <w:proofErr w:type="gramStart"/>
      <w:r>
        <w:rPr>
          <w:rFonts w:eastAsia="Segoe UI"/>
        </w:rPr>
        <w:t>capture</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25C60879"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0D96AC7B" w14:textId="77777777" w:rsidR="002364E0" w:rsidRPr="002F399D" w:rsidRDefault="002364E0">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6863A1C1" w14:textId="00D9B3E6" w:rsidR="002364E0" w:rsidRPr="002F399D" w:rsidRDefault="005E03D5">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1985" w:type="dxa"/>
            <w:shd w:val="clear" w:color="auto" w:fill="00264D" w:themeFill="background2"/>
          </w:tcPr>
          <w:p w14:paraId="5141565C" w14:textId="77777777" w:rsidR="002364E0" w:rsidRPr="002F399D" w:rsidRDefault="002364E0">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529ADAD1" w14:textId="3BED3F80" w:rsidR="002364E0" w:rsidRPr="002F399D" w:rsidRDefault="005E03D5">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2268" w:type="dxa"/>
            <w:shd w:val="clear" w:color="auto" w:fill="00264D" w:themeFill="background2"/>
          </w:tcPr>
          <w:p w14:paraId="19C96423" w14:textId="77777777" w:rsidR="002364E0" w:rsidRPr="002F399D" w:rsidRDefault="002364E0">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5E134EE1" w14:textId="22D5BC6D" w:rsidR="002364E0" w:rsidRPr="002F399D" w:rsidRDefault="005E03D5">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r>
    </w:tbl>
    <w:p w14:paraId="674F10F5" w14:textId="77777777" w:rsidR="007C6CDF" w:rsidRDefault="007C6CDF" w:rsidP="007C6CDF"/>
    <w:p w14:paraId="5F4A74C6" w14:textId="77A0A6C7" w:rsidR="007C6CDF" w:rsidRDefault="007C6CDF" w:rsidP="00BD6BA9">
      <w:pPr>
        <w:spacing w:line="240" w:lineRule="auto"/>
      </w:pPr>
      <w:r>
        <w:t xml:space="preserve">Introducing an industry-wide levy would position </w:t>
      </w:r>
      <w:r w:rsidR="00B67196">
        <w:t xml:space="preserve">food businesses </w:t>
      </w:r>
      <w:r>
        <w:t xml:space="preserve">as one of </w:t>
      </w:r>
      <w:r w:rsidR="004E4D63">
        <w:t>FSANZ’</w:t>
      </w:r>
      <w:r w:rsidR="005D04DB">
        <w:t>s</w:t>
      </w:r>
      <w:r>
        <w:t xml:space="preserve"> primary funders</w:t>
      </w:r>
      <w:r w:rsidR="001B451A">
        <w:t>.</w:t>
      </w:r>
      <w:r>
        <w:t xml:space="preserve"> </w:t>
      </w:r>
      <w:r w:rsidR="001B451A">
        <w:t xml:space="preserve">This </w:t>
      </w:r>
      <w:r>
        <w:t>could position FSANZ to benefit</w:t>
      </w:r>
      <w:r w:rsidR="00421EDA">
        <w:t xml:space="preserve">, or be perceived to benefit, </w:t>
      </w:r>
      <w:r>
        <w:t xml:space="preserve">if Australian and New Zealand food businesses are commercially successful. It could also provide greater leverage for industry stakeholders to influence FSANZ decision making. </w:t>
      </w:r>
    </w:p>
    <w:p w14:paraId="3262F029" w14:textId="6BE4ADF8" w:rsidR="002364E0" w:rsidRDefault="007C6CDF" w:rsidP="004066E1">
      <w:r>
        <w:lastRenderedPageBreak/>
        <w:t xml:space="preserve">This could incentivise more lenient or industry-interested regulatory decisions on behalf of FSANZ. </w:t>
      </w:r>
      <w:r w:rsidR="00270B78">
        <w:t xml:space="preserve">There is precedent for this in the Australian regulatory system. </w:t>
      </w:r>
      <w:r>
        <w:t>The Recent APVMA Strategic Review highlighted material concerns in relation to regulatory capture stepping from the agency’s approach to regulation and engagement with specific stakeholders.</w:t>
      </w:r>
      <w:r w:rsidR="00235A9D">
        <w:rPr>
          <w:rFonts w:ascii="ZWAdobeF" w:hAnsi="ZWAdobeF" w:cs="ZWAdobeF"/>
          <w:sz w:val="2"/>
          <w:szCs w:val="2"/>
        </w:rPr>
        <w:t>47F</w:t>
      </w:r>
      <w:r w:rsidR="00923BF4">
        <w:rPr>
          <w:rStyle w:val="FootnoteReference"/>
        </w:rPr>
        <w:footnoteReference w:id="56"/>
      </w:r>
    </w:p>
    <w:p w14:paraId="68FE9650" w14:textId="14FCDCE6" w:rsidR="00022FC5" w:rsidRDefault="00022FC5" w:rsidP="00022FC5">
      <w:pPr>
        <w:pStyle w:val="Heading5"/>
        <w:rPr>
          <w:rFonts w:eastAsia="Segoe UI"/>
        </w:rPr>
      </w:pPr>
      <w:r w:rsidRPr="00D20C88">
        <w:rPr>
          <w:rFonts w:eastAsia="Segoe UI"/>
        </w:rPr>
        <w:t xml:space="preserve">Imposing a food recall coordination levy could increase the risk of non-engagement with FSANZ by jurisdictional enforcement agencies, resulting in less well managed foodborne </w:t>
      </w:r>
      <w:proofErr w:type="gramStart"/>
      <w:r w:rsidRPr="00D20C88">
        <w:rPr>
          <w:rFonts w:eastAsia="Segoe UI"/>
        </w:rPr>
        <w:t>risks</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362F27CC"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5596878C" w14:textId="77777777" w:rsidR="00022FC5" w:rsidRPr="002F399D" w:rsidRDefault="00022FC5"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0ADAD86F" w14:textId="77777777" w:rsidR="00022FC5" w:rsidRPr="002F399D" w:rsidRDefault="00022FC5"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1985" w:type="dxa"/>
            <w:shd w:val="clear" w:color="auto" w:fill="00264D" w:themeFill="background2"/>
          </w:tcPr>
          <w:p w14:paraId="08ADD43F" w14:textId="77777777" w:rsidR="00022FC5" w:rsidRPr="002F399D" w:rsidRDefault="00022FC5"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0FB43807" w14:textId="77777777" w:rsidR="00022FC5" w:rsidRPr="002F399D" w:rsidRDefault="00022FC5"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2268" w:type="dxa"/>
            <w:shd w:val="clear" w:color="auto" w:fill="00264D" w:themeFill="background2"/>
          </w:tcPr>
          <w:p w14:paraId="0FD60E6E" w14:textId="77777777" w:rsidR="00022FC5" w:rsidRPr="002F399D" w:rsidRDefault="00022FC5"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21F45A0B" w14:textId="77777777" w:rsidR="00022FC5" w:rsidRPr="002F399D" w:rsidRDefault="00022FC5"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r>
    </w:tbl>
    <w:p w14:paraId="164C7781" w14:textId="77777777" w:rsidR="00022FC5" w:rsidRPr="00022FC5" w:rsidRDefault="00022FC5" w:rsidP="00022FC5">
      <w:pPr>
        <w:rPr>
          <w:lang w:eastAsia="en-AU"/>
        </w:rPr>
      </w:pPr>
    </w:p>
    <w:p w14:paraId="347074FA" w14:textId="21CDA248" w:rsidR="00081953" w:rsidDel="008F2589" w:rsidRDefault="00C23D9E" w:rsidP="00C23D9E">
      <w:r>
        <w:t>Imposing a levy on jurisdictional regulators increases the risk that these regulators may become less engaged with FSANZ due to the additional financial cost.</w:t>
      </w:r>
      <w:r w:rsidR="00E52D94">
        <w:t xml:space="preserve"> It could also hollow out the already stretched jurisdictional incident response capability.</w:t>
      </w:r>
      <w:r>
        <w:t xml:space="preserve"> This could further lead to delayed or inadequate recalls resulting in contaminated or unsafe products remaining on shelves for longer periods, heightening the risk of public health incidents. Inefficient recalls can also generate additional costs as they may necessitate subsequent, more extensive recall actions. </w:t>
      </w:r>
    </w:p>
    <w:p w14:paraId="2D6D4C55" w14:textId="68EE2100" w:rsidR="00923BE4" w:rsidRDefault="00923BE4" w:rsidP="00923BE4">
      <w:pPr>
        <w:pStyle w:val="Heading3"/>
      </w:pPr>
      <w:r>
        <w:t>Improving system agility</w:t>
      </w:r>
    </w:p>
    <w:p w14:paraId="61C1BD4F" w14:textId="610960A3" w:rsidR="00CD57AE" w:rsidRDefault="0064238F" w:rsidP="0064238F">
      <w:pPr>
        <w:rPr>
          <w:lang w:eastAsia="en-AU"/>
        </w:rPr>
      </w:pPr>
      <w:r>
        <w:rPr>
          <w:lang w:eastAsia="en-AU"/>
        </w:rPr>
        <w:t xml:space="preserve">There </w:t>
      </w:r>
      <w:r w:rsidR="004D53D5">
        <w:rPr>
          <w:lang w:eastAsia="en-AU"/>
        </w:rPr>
        <w:t>are clear risks associated with system agility. An overall risk rating for Option 1 and Option 2 is shown in</w:t>
      </w:r>
      <w:r>
        <w:rPr>
          <w:lang w:eastAsia="en-AU"/>
        </w:rPr>
        <w:t xml:space="preserve"> </w:t>
      </w:r>
      <w:r w:rsidR="00CD57AE">
        <w:rPr>
          <w:lang w:eastAsia="en-AU"/>
        </w:rPr>
        <w:fldChar w:fldCharType="begin"/>
      </w:r>
      <w:r w:rsidR="00CD57AE">
        <w:rPr>
          <w:lang w:eastAsia="en-AU"/>
        </w:rPr>
        <w:instrText xml:space="preserve"> REF _Ref149652571 \h </w:instrText>
      </w:r>
      <w:r w:rsidR="00CD57AE">
        <w:rPr>
          <w:lang w:eastAsia="en-AU"/>
        </w:rPr>
      </w:r>
      <w:r w:rsidR="00CD57AE">
        <w:rPr>
          <w:lang w:eastAsia="en-AU"/>
        </w:rPr>
        <w:fldChar w:fldCharType="separate"/>
      </w:r>
      <w:r w:rsidR="003F7B92">
        <w:t xml:space="preserve">Table </w:t>
      </w:r>
      <w:r w:rsidR="003F7B92">
        <w:rPr>
          <w:noProof/>
        </w:rPr>
        <w:t>30</w:t>
      </w:r>
      <w:r w:rsidR="00CD57AE">
        <w:rPr>
          <w:lang w:eastAsia="en-AU"/>
        </w:rPr>
        <w:fldChar w:fldCharType="end"/>
      </w:r>
      <w:r>
        <w:rPr>
          <w:lang w:eastAsia="en-AU"/>
        </w:rPr>
        <w:t xml:space="preserve">. The risks associated with </w:t>
      </w:r>
      <w:r w:rsidR="00484F3C">
        <w:rPr>
          <w:lang w:eastAsia="en-AU"/>
        </w:rPr>
        <w:t xml:space="preserve">Option 1 are higher than for Option 2. </w:t>
      </w:r>
      <w:r>
        <w:rPr>
          <w:lang w:eastAsia="en-AU"/>
        </w:rPr>
        <w:t xml:space="preserve"> </w:t>
      </w:r>
    </w:p>
    <w:p w14:paraId="7AB09A1C" w14:textId="395AEB35" w:rsidR="0064238F" w:rsidRDefault="0064238F" w:rsidP="0064238F">
      <w:pPr>
        <w:pStyle w:val="Caption"/>
        <w:rPr>
          <w:lang w:eastAsia="en-AU"/>
        </w:rPr>
      </w:pPr>
      <w:bookmarkStart w:id="140" w:name="_Ref149652571"/>
      <w:r>
        <w:t xml:space="preserve">Table </w:t>
      </w:r>
      <w:r>
        <w:fldChar w:fldCharType="begin"/>
      </w:r>
      <w:r>
        <w:instrText xml:space="preserve"> SEQ Table \* ARABIC </w:instrText>
      </w:r>
      <w:r>
        <w:fldChar w:fldCharType="separate"/>
      </w:r>
      <w:r w:rsidR="003F7B92">
        <w:rPr>
          <w:noProof/>
        </w:rPr>
        <w:t>30</w:t>
      </w:r>
      <w:r>
        <w:fldChar w:fldCharType="end"/>
      </w:r>
      <w:bookmarkEnd w:id="140"/>
      <w:r>
        <w:t xml:space="preserve"> | </w:t>
      </w:r>
      <w:r w:rsidRPr="00067A96">
        <w:t xml:space="preserve">Assessment of delivery risks associated with </w:t>
      </w:r>
      <w:r w:rsidR="005E03D5">
        <w:t xml:space="preserve">system </w:t>
      </w:r>
      <w:proofErr w:type="gramStart"/>
      <w:r w:rsidR="005E03D5">
        <w:t>agility</w:t>
      </w:r>
      <w:proofErr w:type="gramEnd"/>
    </w:p>
    <w:tbl>
      <w:tblPr>
        <w:tblStyle w:val="TableGrid"/>
        <w:tblW w:w="5000" w:type="pct"/>
        <w:tblLook w:val="0680" w:firstRow="0" w:lastRow="0" w:firstColumn="1" w:lastColumn="0" w:noHBand="1" w:noVBand="1"/>
      </w:tblPr>
      <w:tblGrid>
        <w:gridCol w:w="2936"/>
        <w:gridCol w:w="3008"/>
        <w:gridCol w:w="2986"/>
      </w:tblGrid>
      <w:tr w:rsidR="0064238F" w14:paraId="50753605" w14:textId="77777777" w:rsidTr="00C87D1A">
        <w:tc>
          <w:tcPr>
            <w:tcW w:w="1644" w:type="pct"/>
            <w:shd w:val="clear" w:color="auto" w:fill="E6E6E1" w:themeFill="accent5"/>
          </w:tcPr>
          <w:p w14:paraId="64150ABF" w14:textId="77777777" w:rsidR="0064238F" w:rsidRDefault="0064238F" w:rsidP="00C87D1A">
            <w:pPr>
              <w:pStyle w:val="TableNheader"/>
              <w:rPr>
                <w:lang w:eastAsia="en-AU"/>
              </w:rPr>
            </w:pPr>
          </w:p>
        </w:tc>
        <w:tc>
          <w:tcPr>
            <w:tcW w:w="1684" w:type="pct"/>
            <w:shd w:val="clear" w:color="auto" w:fill="E6E6E1" w:themeFill="accent5"/>
          </w:tcPr>
          <w:p w14:paraId="164A34DB" w14:textId="77777777" w:rsidR="0064238F" w:rsidRDefault="0064238F" w:rsidP="00C87D1A">
            <w:pPr>
              <w:pStyle w:val="TableNheader"/>
              <w:rPr>
                <w:lang w:eastAsia="en-AU"/>
              </w:rPr>
            </w:pPr>
            <w:r w:rsidRPr="0024539C">
              <w:rPr>
                <w:color w:val="F25E21" w:themeColor="accent2"/>
                <w:lang w:eastAsia="en-AU"/>
              </w:rPr>
              <w:t>OPTION 1</w:t>
            </w:r>
          </w:p>
        </w:tc>
        <w:tc>
          <w:tcPr>
            <w:tcW w:w="1672" w:type="pct"/>
            <w:shd w:val="clear" w:color="auto" w:fill="E6E6E1" w:themeFill="accent5"/>
          </w:tcPr>
          <w:p w14:paraId="37DA6583" w14:textId="77777777" w:rsidR="0064238F" w:rsidRDefault="0064238F" w:rsidP="00C87D1A">
            <w:pPr>
              <w:pStyle w:val="TableNheader"/>
              <w:rPr>
                <w:lang w:eastAsia="en-AU"/>
              </w:rPr>
            </w:pPr>
            <w:r w:rsidRPr="0024539C">
              <w:rPr>
                <w:color w:val="F8981D" w:themeColor="accent3"/>
                <w:lang w:eastAsia="en-AU"/>
              </w:rPr>
              <w:t>OPTION 2</w:t>
            </w:r>
          </w:p>
        </w:tc>
      </w:tr>
      <w:tr w:rsidR="0064238F" w14:paraId="5A0985BC" w14:textId="77777777" w:rsidTr="00C87D1A">
        <w:tc>
          <w:tcPr>
            <w:tcW w:w="1644" w:type="pct"/>
          </w:tcPr>
          <w:p w14:paraId="3BA63914" w14:textId="718D3B31" w:rsidR="0064238F" w:rsidRPr="0024539C" w:rsidRDefault="0064238F" w:rsidP="00C87D1A">
            <w:pPr>
              <w:rPr>
                <w:color w:val="F8981D" w:themeColor="accent3"/>
                <w:lang w:eastAsia="en-AU"/>
              </w:rPr>
            </w:pPr>
            <w:r w:rsidRPr="00A4406A">
              <w:rPr>
                <w:lang w:eastAsia="en-AU"/>
              </w:rPr>
              <w:t xml:space="preserve">Delivery risks associated with </w:t>
            </w:r>
            <w:r w:rsidR="00484F3C">
              <w:rPr>
                <w:lang w:eastAsia="en-AU"/>
              </w:rPr>
              <w:t>system agility</w:t>
            </w:r>
          </w:p>
        </w:tc>
        <w:tc>
          <w:tcPr>
            <w:tcW w:w="1684" w:type="pct"/>
          </w:tcPr>
          <w:p w14:paraId="72E8973E" w14:textId="77777777" w:rsidR="0064238F" w:rsidRDefault="0064238F" w:rsidP="00C87D1A">
            <w:pPr>
              <w:rPr>
                <w:lang w:eastAsia="en-AU"/>
              </w:rPr>
            </w:pPr>
            <w:r>
              <w:rPr>
                <w:lang w:eastAsia="en-AU"/>
              </w:rPr>
              <w:t>1 (high)</w:t>
            </w:r>
          </w:p>
        </w:tc>
        <w:tc>
          <w:tcPr>
            <w:tcW w:w="1672" w:type="pct"/>
          </w:tcPr>
          <w:p w14:paraId="5FFF23B3" w14:textId="5DBC99DA" w:rsidR="0064238F" w:rsidRDefault="0064238F" w:rsidP="00C87D1A">
            <w:pPr>
              <w:rPr>
                <w:lang w:eastAsia="en-AU"/>
              </w:rPr>
            </w:pPr>
            <w:r>
              <w:rPr>
                <w:lang w:eastAsia="en-AU"/>
              </w:rPr>
              <w:t>2 (moderate)</w:t>
            </w:r>
          </w:p>
        </w:tc>
      </w:tr>
    </w:tbl>
    <w:p w14:paraId="30D6AA3E" w14:textId="77777777" w:rsidR="0064238F" w:rsidRDefault="0064238F" w:rsidP="0064238F">
      <w:pPr>
        <w:rPr>
          <w:lang w:eastAsia="en-AU"/>
        </w:rPr>
      </w:pPr>
    </w:p>
    <w:p w14:paraId="364DE70A" w14:textId="77777777" w:rsidR="0064238F" w:rsidRDefault="0064238F" w:rsidP="0064238F">
      <w:r>
        <w:t xml:space="preserve">More detail is provided below. </w:t>
      </w:r>
    </w:p>
    <w:p w14:paraId="65A52E4B" w14:textId="77777777" w:rsidR="0064238F" w:rsidRDefault="0064238F" w:rsidP="0064238F">
      <w:pPr>
        <w:pStyle w:val="Heading4"/>
      </w:pPr>
      <w:r w:rsidRPr="0024539C">
        <w:rPr>
          <w:color w:val="F25E21" w:themeColor="accent2"/>
        </w:rPr>
        <w:t>OPTION 1</w:t>
      </w:r>
      <w:r>
        <w:rPr>
          <w:color w:val="F25E21" w:themeColor="accent2"/>
        </w:rPr>
        <w:t xml:space="preserve"> </w:t>
      </w:r>
      <w:r>
        <w:t>Risks</w:t>
      </w:r>
    </w:p>
    <w:p w14:paraId="23C12777" w14:textId="0E552832" w:rsidR="0064238F" w:rsidRDefault="008F2F60" w:rsidP="008F2F60">
      <w:pPr>
        <w:pStyle w:val="Heading5"/>
        <w:rPr>
          <w:rFonts w:eastAsia="Segoe UI"/>
        </w:rPr>
      </w:pPr>
      <w:r w:rsidRPr="006300D6">
        <w:rPr>
          <w:rFonts w:eastAsia="Segoe UI"/>
        </w:rPr>
        <w:t xml:space="preserve">Efforts to align policy and regulatory work across the system will continue to be </w:t>
      </w:r>
      <w:proofErr w:type="gramStart"/>
      <w:r w:rsidRPr="006300D6">
        <w:rPr>
          <w:rFonts w:eastAsia="Segoe UI"/>
        </w:rPr>
        <w:t>frustrate</w:t>
      </w:r>
      <w:r>
        <w:rPr>
          <w:rFonts w:eastAsia="Segoe UI"/>
        </w:rPr>
        <w:t>d</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45064DE9"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537C2AD4" w14:textId="77777777" w:rsidR="008F2F60" w:rsidRPr="002F399D" w:rsidRDefault="008F2F60"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5D83E187" w14:textId="376FE715" w:rsidR="008F2F60" w:rsidRPr="002F399D" w:rsidRDefault="008F2F60"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1985" w:type="dxa"/>
            <w:shd w:val="clear" w:color="auto" w:fill="00264D" w:themeFill="background2"/>
          </w:tcPr>
          <w:p w14:paraId="276FE211" w14:textId="77777777" w:rsidR="008F2F60" w:rsidRPr="002F399D" w:rsidRDefault="008F2F60"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0A4080D8" w14:textId="01871D70" w:rsidR="008F2F60" w:rsidRPr="002F399D" w:rsidRDefault="008F2F60"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2268" w:type="dxa"/>
            <w:shd w:val="clear" w:color="auto" w:fill="00264D" w:themeFill="background2"/>
          </w:tcPr>
          <w:p w14:paraId="679B89B3" w14:textId="77777777" w:rsidR="008F2F60" w:rsidRPr="002F399D" w:rsidRDefault="008F2F60"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54FE90D0" w14:textId="77777777" w:rsidR="008F2F60" w:rsidRPr="002F399D" w:rsidRDefault="008F2F60"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r>
    </w:tbl>
    <w:p w14:paraId="23681036" w14:textId="77777777" w:rsidR="008F2F60" w:rsidRDefault="008F2F60" w:rsidP="008F2F60">
      <w:pPr>
        <w:rPr>
          <w:lang w:eastAsia="en-AU"/>
        </w:rPr>
      </w:pPr>
    </w:p>
    <w:p w14:paraId="663CA87A" w14:textId="5D64F0FF" w:rsidR="00C90BC9" w:rsidRDefault="00C90BC9" w:rsidP="008F2F60">
      <w:pPr>
        <w:rPr>
          <w:lang w:eastAsia="en-AU"/>
        </w:rPr>
      </w:pPr>
      <w:r>
        <w:rPr>
          <w:lang w:eastAsia="en-AU"/>
        </w:rPr>
        <w:t xml:space="preserve">Without changes to the way FSANZ works with other stakeholders across the system, there will continue to be discord around how food standards fit within and reinforce the broader efforts of the food </w:t>
      </w:r>
      <w:r w:rsidR="001E3EC2">
        <w:rPr>
          <w:lang w:eastAsia="en-AU"/>
        </w:rPr>
        <w:t>regulatory</w:t>
      </w:r>
      <w:r>
        <w:rPr>
          <w:lang w:eastAsia="en-AU"/>
        </w:rPr>
        <w:t xml:space="preserve"> system. Misalignment with the priorities of the FMM will continue to be a big risk, particularly as the backlog of proposals in development continues to grow. </w:t>
      </w:r>
    </w:p>
    <w:p w14:paraId="1729401C" w14:textId="0B3E5146" w:rsidR="001E3EC2" w:rsidRDefault="001E3EC2" w:rsidP="00943C8E">
      <w:pPr>
        <w:pStyle w:val="Heading5"/>
        <w:rPr>
          <w:rFonts w:eastAsia="Segoe UI"/>
        </w:rPr>
      </w:pPr>
      <w:r w:rsidRPr="006300D6">
        <w:rPr>
          <w:rFonts w:eastAsia="Segoe UI"/>
        </w:rPr>
        <w:lastRenderedPageBreak/>
        <w:t xml:space="preserve">Inconsistencies in interpretation and enforcement will continue to be an issue, particularly for Australian businesses and enforcement agencies, generating undue regulatory </w:t>
      </w:r>
      <w:proofErr w:type="gramStart"/>
      <w:r w:rsidRPr="006300D6">
        <w:rPr>
          <w:rFonts w:eastAsia="Segoe UI"/>
        </w:rPr>
        <w:t>burden</w:t>
      </w:r>
      <w:proofErr w:type="gramEnd"/>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56149E9F"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18B3D527" w14:textId="77777777" w:rsidR="00943C8E" w:rsidRPr="002F399D" w:rsidRDefault="00943C8E"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4604E8BF" w14:textId="77777777" w:rsidR="00943C8E" w:rsidRPr="002F399D" w:rsidRDefault="00943C8E"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1985" w:type="dxa"/>
            <w:shd w:val="clear" w:color="auto" w:fill="00264D" w:themeFill="background2"/>
          </w:tcPr>
          <w:p w14:paraId="4561CE57" w14:textId="77777777" w:rsidR="00943C8E" w:rsidRPr="002F399D" w:rsidRDefault="00943C8E"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5435A91C" w14:textId="77777777" w:rsidR="00943C8E" w:rsidRPr="002F399D" w:rsidRDefault="00943C8E"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1</w:t>
            </w:r>
          </w:p>
        </w:tc>
        <w:tc>
          <w:tcPr>
            <w:tcW w:w="2268" w:type="dxa"/>
            <w:shd w:val="clear" w:color="auto" w:fill="00264D" w:themeFill="background2"/>
          </w:tcPr>
          <w:p w14:paraId="29A57848" w14:textId="77777777" w:rsidR="00943C8E" w:rsidRPr="002F399D" w:rsidRDefault="00943C8E"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4C042537" w14:textId="77777777" w:rsidR="00943C8E" w:rsidRPr="002F399D" w:rsidRDefault="00943C8E"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r>
    </w:tbl>
    <w:p w14:paraId="57B54AD3" w14:textId="77777777" w:rsidR="00943C8E" w:rsidRDefault="00943C8E" w:rsidP="00943C8E">
      <w:pPr>
        <w:rPr>
          <w:lang w:eastAsia="en-AU"/>
        </w:rPr>
      </w:pPr>
    </w:p>
    <w:p w14:paraId="37025B17" w14:textId="0799B35A" w:rsidR="00943C8E" w:rsidRDefault="00513FA3" w:rsidP="00943C8E">
      <w:pPr>
        <w:rPr>
          <w:lang w:eastAsia="en-AU"/>
        </w:rPr>
      </w:pPr>
      <w:r>
        <w:rPr>
          <w:lang w:eastAsia="en-AU"/>
        </w:rPr>
        <w:t xml:space="preserve">There will be no change in how interpretation of food standards is approached, continuing issues around inconsistencies. This will continue to create additional costs for both industry participants and enforcement agencies, which may be felt more acutely in the current fiscal environment. </w:t>
      </w:r>
    </w:p>
    <w:p w14:paraId="3454FEBE" w14:textId="77777777" w:rsidR="00513FA3" w:rsidRDefault="00513FA3" w:rsidP="00513FA3">
      <w:pPr>
        <w:pStyle w:val="Heading4"/>
      </w:pPr>
      <w:r w:rsidRPr="0024539C">
        <w:rPr>
          <w:color w:val="F8981D" w:themeColor="accent3"/>
        </w:rPr>
        <w:t>OPTION 2</w:t>
      </w:r>
      <w:r>
        <w:rPr>
          <w:color w:val="F8981D" w:themeColor="accent3"/>
        </w:rPr>
        <w:t xml:space="preserve"> </w:t>
      </w:r>
      <w:r>
        <w:t>R</w:t>
      </w:r>
      <w:r w:rsidRPr="00E40A09">
        <w:t>isks</w:t>
      </w:r>
    </w:p>
    <w:p w14:paraId="0792DFC4" w14:textId="6D6322EB" w:rsidR="00513FA3" w:rsidRDefault="00513FA3" w:rsidP="00D55B8C">
      <w:pPr>
        <w:pStyle w:val="Heading5"/>
        <w:spacing w:line="240" w:lineRule="auto"/>
        <w:rPr>
          <w:rFonts w:eastAsia="Segoe UI"/>
        </w:rPr>
      </w:pPr>
      <w:r w:rsidRPr="0010110E">
        <w:rPr>
          <w:rFonts w:eastAsia="Segoe UI"/>
        </w:rPr>
        <w:t xml:space="preserve">Greater collaboration across the system could put at risk </w:t>
      </w:r>
      <w:r w:rsidR="004E4D63">
        <w:rPr>
          <w:rFonts w:eastAsia="Segoe UI"/>
        </w:rPr>
        <w:t>FSANZ’</w:t>
      </w:r>
      <w:r w:rsidR="005D04DB">
        <w:rPr>
          <w:rFonts w:eastAsia="Segoe UI"/>
        </w:rPr>
        <w:t>s</w:t>
      </w:r>
      <w:r w:rsidRPr="0010110E">
        <w:rPr>
          <w:rFonts w:eastAsia="Segoe UI"/>
        </w:rPr>
        <w:t xml:space="preserve"> independence, if not done well</w:t>
      </w:r>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34C136DA"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7B1289CB" w14:textId="77777777" w:rsidR="00513FA3" w:rsidRPr="002F399D" w:rsidRDefault="00513FA3" w:rsidP="00C87D1A">
            <w:pPr>
              <w:rPr>
                <w:rFonts w:asciiTheme="minorHAnsi" w:eastAsia="Segoe UI" w:hAnsiTheme="minorHAnsi" w:cstheme="minorHAnsi"/>
                <w:sz w:val="22"/>
                <w:szCs w:val="19"/>
                <w:lang w:eastAsia="en-AU"/>
              </w:rPr>
            </w:pPr>
            <w:bookmarkStart w:id="141" w:name="_Hlk149153654"/>
            <w:r w:rsidRPr="002F399D">
              <w:rPr>
                <w:rFonts w:asciiTheme="minorHAnsi" w:eastAsia="Segoe UI" w:hAnsiTheme="minorHAnsi" w:cstheme="minorHAnsi"/>
                <w:color w:val="FFFFFF" w:themeColor="background1"/>
                <w:sz w:val="22"/>
                <w:szCs w:val="19"/>
                <w:lang w:eastAsia="en-AU"/>
              </w:rPr>
              <w:t>Consequence</w:t>
            </w:r>
          </w:p>
        </w:tc>
        <w:tc>
          <w:tcPr>
            <w:tcW w:w="567" w:type="dxa"/>
          </w:tcPr>
          <w:p w14:paraId="113D2929" w14:textId="77777777" w:rsidR="00513FA3" w:rsidRPr="002F399D" w:rsidRDefault="00513FA3"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1985" w:type="dxa"/>
            <w:shd w:val="clear" w:color="auto" w:fill="00264D" w:themeFill="background2"/>
          </w:tcPr>
          <w:p w14:paraId="7260B979" w14:textId="77777777" w:rsidR="00513FA3" w:rsidRPr="002F399D" w:rsidRDefault="00513FA3"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03B83DEA" w14:textId="562A3A65" w:rsidR="00513FA3" w:rsidRPr="002F399D" w:rsidRDefault="00071FBE"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2.5</w:t>
            </w:r>
          </w:p>
        </w:tc>
        <w:tc>
          <w:tcPr>
            <w:tcW w:w="2268" w:type="dxa"/>
            <w:shd w:val="clear" w:color="auto" w:fill="00264D" w:themeFill="background2"/>
          </w:tcPr>
          <w:p w14:paraId="4E2BDD4C" w14:textId="77777777" w:rsidR="00513FA3" w:rsidRPr="002F399D" w:rsidRDefault="00513FA3"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03D59BA8" w14:textId="3F0FA0AB" w:rsidR="00513FA3" w:rsidRPr="002F399D" w:rsidRDefault="00071FBE"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5</w:t>
            </w:r>
          </w:p>
        </w:tc>
      </w:tr>
      <w:bookmarkEnd w:id="141"/>
    </w:tbl>
    <w:p w14:paraId="17994D03" w14:textId="77777777" w:rsidR="00D55B8C" w:rsidRDefault="00D55B8C" w:rsidP="00D55B8C">
      <w:pPr>
        <w:spacing w:line="240" w:lineRule="auto"/>
      </w:pPr>
    </w:p>
    <w:p w14:paraId="5638E70F" w14:textId="58784ED6" w:rsidR="00071FBE" w:rsidRDefault="00071FBE" w:rsidP="00D55B8C">
      <w:pPr>
        <w:spacing w:line="240" w:lineRule="auto"/>
      </w:pPr>
      <w:r>
        <w:t xml:space="preserve">Many stakeholders consulted have noted that </w:t>
      </w:r>
      <w:r w:rsidR="004E4D63">
        <w:t>FSANZ’</w:t>
      </w:r>
      <w:r w:rsidR="005D04DB">
        <w:t>s</w:t>
      </w:r>
      <w:r>
        <w:t xml:space="preserve"> independence as a scientific-based standard-setting body is a key strength of current arrangements – not just for FSANZ but for the </w:t>
      </w:r>
      <w:r>
        <w:rPr>
          <w:lang w:eastAsia="en-AU"/>
        </w:rPr>
        <w:t>joint food standards system</w:t>
      </w:r>
      <w:r w:rsidRPr="0032344D">
        <w:t xml:space="preserve"> </w:t>
      </w:r>
      <w:r>
        <w:t xml:space="preserve">as a whole – and this underpins confidence and trust in the system. Stakeholders have expressed concerns that role expansions (including more collaboration with policy development entities, jurisdictional </w:t>
      </w:r>
      <w:proofErr w:type="gramStart"/>
      <w:r>
        <w:t>regulators</w:t>
      </w:r>
      <w:proofErr w:type="gramEnd"/>
      <w:r>
        <w:t xml:space="preserve"> and industry) could compromise </w:t>
      </w:r>
      <w:r w:rsidR="004E4D63">
        <w:t>FSANZ’</w:t>
      </w:r>
      <w:r w:rsidR="005D04DB">
        <w:t>s</w:t>
      </w:r>
      <w:r>
        <w:t xml:space="preserve"> independence (perceived or actual) which could adversely affect allocation of effort (to serve specific stakeholder interests) or decision-making. </w:t>
      </w:r>
    </w:p>
    <w:p w14:paraId="6005027D" w14:textId="77777777" w:rsidR="00071FBE" w:rsidRDefault="00071FBE" w:rsidP="00071FBE">
      <w:r>
        <w:t xml:space="preserve">Mitigating this risk will require FSANZ to establish a clear delineation of roles between itself and partners, and strong governance to ensure integrity and independence is not eroded. </w:t>
      </w:r>
    </w:p>
    <w:p w14:paraId="301430FA" w14:textId="7B8699A1" w:rsidR="00EC6A3D" w:rsidRDefault="00EC6A3D" w:rsidP="00EC6A3D">
      <w:pPr>
        <w:pStyle w:val="Heading5"/>
      </w:pPr>
      <w:r w:rsidRPr="007315F6">
        <w:t>Systematising data collection and curation of databases work</w:t>
      </w:r>
      <w:r>
        <w:t xml:space="preserve"> </w:t>
      </w:r>
      <w:r w:rsidRPr="007315F6">
        <w:t xml:space="preserve">could actually create perverse incentives for data custodians to share their </w:t>
      </w:r>
      <w:proofErr w:type="gramStart"/>
      <w:r w:rsidRPr="007315F6">
        <w:t>data</w:t>
      </w:r>
      <w:proofErr w:type="gramEnd"/>
      <w:r w:rsidRPr="007315F6">
        <w:t xml:space="preserve"> </w:t>
      </w:r>
    </w:p>
    <w:tbl>
      <w:tblPr>
        <w:tblStyle w:val="NOUSSideHeader15"/>
        <w:tblW w:w="0" w:type="auto"/>
        <w:tblLook w:val="04A0" w:firstRow="1" w:lastRow="0" w:firstColumn="1" w:lastColumn="0" w:noHBand="0" w:noVBand="1"/>
      </w:tblPr>
      <w:tblGrid>
        <w:gridCol w:w="2977"/>
        <w:gridCol w:w="567"/>
        <w:gridCol w:w="1985"/>
        <w:gridCol w:w="567"/>
        <w:gridCol w:w="2268"/>
        <w:gridCol w:w="566"/>
      </w:tblGrid>
      <w:tr w:rsidR="00301A27" w:rsidRPr="002F399D" w14:paraId="2F27C73B" w14:textId="7777777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00264D" w:themeFill="background2"/>
          </w:tcPr>
          <w:p w14:paraId="08DC50C0" w14:textId="77777777" w:rsidR="00CA2960" w:rsidRPr="002F399D" w:rsidRDefault="00CA2960" w:rsidP="00C87D1A">
            <w:pPr>
              <w:rPr>
                <w:rFonts w:asciiTheme="minorHAnsi" w:eastAsia="Segoe UI" w:hAnsiTheme="minorHAnsi" w:cstheme="minorHAnsi"/>
                <w:sz w:val="22"/>
                <w:szCs w:val="19"/>
                <w:lang w:eastAsia="en-AU"/>
              </w:rPr>
            </w:pPr>
            <w:r w:rsidRPr="002F399D">
              <w:rPr>
                <w:rFonts w:asciiTheme="minorHAnsi" w:eastAsia="Segoe UI" w:hAnsiTheme="minorHAnsi" w:cstheme="minorHAnsi"/>
                <w:color w:val="FFFFFF" w:themeColor="background1"/>
                <w:sz w:val="22"/>
                <w:szCs w:val="19"/>
                <w:lang w:eastAsia="en-AU"/>
              </w:rPr>
              <w:t>Consequence</w:t>
            </w:r>
          </w:p>
        </w:tc>
        <w:tc>
          <w:tcPr>
            <w:tcW w:w="567" w:type="dxa"/>
          </w:tcPr>
          <w:p w14:paraId="07128E53" w14:textId="77777777" w:rsidR="00CA2960" w:rsidRPr="002F399D" w:rsidRDefault="00CA2960"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w:t>
            </w:r>
          </w:p>
        </w:tc>
        <w:tc>
          <w:tcPr>
            <w:tcW w:w="1985" w:type="dxa"/>
            <w:shd w:val="clear" w:color="auto" w:fill="00264D" w:themeFill="background2"/>
          </w:tcPr>
          <w:p w14:paraId="6DEABEF2" w14:textId="77777777" w:rsidR="00CA2960" w:rsidRPr="002F399D" w:rsidRDefault="00CA2960" w:rsidP="00C87D1A">
            <w:pPr>
              <w:rPr>
                <w:rFonts w:asciiTheme="minorHAnsi" w:eastAsia="Segoe UI" w:hAnsiTheme="minorHAnsi" w:cstheme="minorHAnsi"/>
                <w:sz w:val="22"/>
                <w:szCs w:val="19"/>
                <w:lang w:eastAsia="en-AU"/>
              </w:rPr>
            </w:pPr>
            <w:r>
              <w:rPr>
                <w:rFonts w:asciiTheme="minorHAnsi" w:eastAsia="Segoe UI" w:hAnsiTheme="minorHAnsi" w:cstheme="minorHAnsi"/>
                <w:color w:val="FFFFFF" w:themeColor="background1"/>
                <w:sz w:val="22"/>
                <w:szCs w:val="19"/>
                <w:lang w:eastAsia="en-AU"/>
              </w:rPr>
              <w:t>Likelihood</w:t>
            </w:r>
          </w:p>
        </w:tc>
        <w:tc>
          <w:tcPr>
            <w:tcW w:w="567" w:type="dxa"/>
          </w:tcPr>
          <w:p w14:paraId="61AC3DFA" w14:textId="77777777" w:rsidR="00CA2960" w:rsidRPr="002F399D" w:rsidRDefault="00CA2960"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2.5</w:t>
            </w:r>
          </w:p>
        </w:tc>
        <w:tc>
          <w:tcPr>
            <w:tcW w:w="2268" w:type="dxa"/>
            <w:shd w:val="clear" w:color="auto" w:fill="00264D" w:themeFill="background2"/>
          </w:tcPr>
          <w:p w14:paraId="27D28799" w14:textId="77777777" w:rsidR="00CA2960" w:rsidRPr="002F399D" w:rsidRDefault="00CA2960" w:rsidP="00C87D1A">
            <w:pPr>
              <w:rPr>
                <w:rFonts w:asciiTheme="minorHAnsi" w:eastAsia="Segoe UI" w:hAnsiTheme="minorHAnsi" w:cstheme="minorHAnsi"/>
                <w:sz w:val="22"/>
                <w:szCs w:val="19"/>
                <w:lang w:eastAsia="en-AU"/>
              </w:rPr>
            </w:pPr>
            <w:r w:rsidRPr="00330C88">
              <w:rPr>
                <w:rFonts w:asciiTheme="minorHAnsi" w:eastAsia="Segoe UI" w:hAnsiTheme="minorHAnsi" w:cstheme="minorHAnsi"/>
                <w:color w:val="FFFFFF" w:themeColor="background1"/>
                <w:sz w:val="22"/>
                <w:szCs w:val="19"/>
                <w:lang w:eastAsia="en-AU"/>
              </w:rPr>
              <w:t>Risk rating</w:t>
            </w:r>
          </w:p>
        </w:tc>
        <w:tc>
          <w:tcPr>
            <w:tcW w:w="566" w:type="dxa"/>
          </w:tcPr>
          <w:p w14:paraId="52A8C203" w14:textId="77777777" w:rsidR="00CA2960" w:rsidRPr="002F399D" w:rsidRDefault="00CA2960" w:rsidP="00C87D1A">
            <w:pPr>
              <w:rPr>
                <w:rFonts w:asciiTheme="minorHAnsi" w:eastAsia="Segoe UI" w:hAnsiTheme="minorHAnsi" w:cstheme="minorHAnsi"/>
                <w:sz w:val="22"/>
                <w:szCs w:val="19"/>
                <w:lang w:eastAsia="en-AU"/>
              </w:rPr>
            </w:pPr>
            <w:r>
              <w:rPr>
                <w:rFonts w:asciiTheme="minorHAnsi" w:eastAsia="Segoe UI" w:hAnsiTheme="minorHAnsi" w:cstheme="minorHAnsi"/>
                <w:sz w:val="22"/>
                <w:szCs w:val="19"/>
                <w:lang w:eastAsia="en-AU"/>
              </w:rPr>
              <w:t>5</w:t>
            </w:r>
          </w:p>
        </w:tc>
      </w:tr>
    </w:tbl>
    <w:p w14:paraId="2220D968" w14:textId="77777777" w:rsidR="00D55B8C" w:rsidRDefault="00D55B8C" w:rsidP="00D55B8C">
      <w:pPr>
        <w:spacing w:line="240" w:lineRule="auto"/>
        <w:rPr>
          <w:lang w:eastAsia="en-AU"/>
        </w:rPr>
      </w:pPr>
    </w:p>
    <w:p w14:paraId="0B873477" w14:textId="0287EE9A" w:rsidR="00EC6A3D" w:rsidRDefault="00EC6A3D" w:rsidP="00D55B8C">
      <w:pPr>
        <w:spacing w:line="240" w:lineRule="auto"/>
        <w:rPr>
          <w:lang w:eastAsia="en-AU"/>
        </w:rPr>
      </w:pPr>
      <w:r>
        <w:rPr>
          <w:lang w:eastAsia="en-AU"/>
        </w:rPr>
        <w:t xml:space="preserve">Better data availability and quality could drive stronger decision making related to </w:t>
      </w:r>
      <w:r w:rsidR="004E4D63">
        <w:rPr>
          <w:lang w:eastAsia="en-AU"/>
        </w:rPr>
        <w:t>FSANZ’</w:t>
      </w:r>
      <w:r w:rsidR="005D04DB">
        <w:rPr>
          <w:lang w:eastAsia="en-AU"/>
        </w:rPr>
        <w:t>s</w:t>
      </w:r>
      <w:r>
        <w:rPr>
          <w:lang w:eastAsia="en-AU"/>
        </w:rPr>
        <w:t xml:space="preserve"> functions and contribute, more broadly, to better outcomes for Australia and New Zealand. FSANZ currently relies on data being shared in without direct benefit to providers, with the implicit assumption that it will be used for the public good. </w:t>
      </w:r>
    </w:p>
    <w:p w14:paraId="5CF46031" w14:textId="21609F55" w:rsidR="00EC6A3D" w:rsidRDefault="00EC6A3D" w:rsidP="00EC6A3D">
      <w:pPr>
        <w:rPr>
          <w:lang w:eastAsia="en-AU"/>
        </w:rPr>
      </w:pPr>
      <w:r>
        <w:rPr>
          <w:lang w:eastAsia="en-AU"/>
        </w:rPr>
        <w:t xml:space="preserve">Should the use of data start contributing to disadvantageous outcomes for providers </w:t>
      </w:r>
      <w:r w:rsidR="00C61DEA">
        <w:rPr>
          <w:lang w:eastAsia="en-AU"/>
        </w:rPr>
        <w:t>(</w:t>
      </w:r>
      <w:proofErr w:type="gramStart"/>
      <w:r w:rsidR="00783105">
        <w:rPr>
          <w:lang w:eastAsia="en-AU"/>
        </w:rPr>
        <w:t>e.g.</w:t>
      </w:r>
      <w:proofErr w:type="gramEnd"/>
      <w:r>
        <w:rPr>
          <w:lang w:eastAsia="en-AU"/>
        </w:rPr>
        <w:t xml:space="preserve"> through policy decisions regarding standards or other project work FSANZ conducts) custodians may be disincentivised from sharing. Mitigating this risk will require clear communications regarding collection and use of data, and the ongoing need of FSANZ to consider a broad range of factors when developing food regulatory measures.</w:t>
      </w:r>
    </w:p>
    <w:tbl>
      <w:tblPr>
        <w:tblStyle w:val="TableGrid"/>
        <w:tblW w:w="0" w:type="auto"/>
        <w:tblLook w:val="04A0" w:firstRow="1" w:lastRow="0" w:firstColumn="1" w:lastColumn="0" w:noHBand="0" w:noVBand="1"/>
      </w:tblPr>
      <w:tblGrid>
        <w:gridCol w:w="8930"/>
      </w:tblGrid>
      <w:tr w:rsidR="0053691E" w14:paraId="4F10D596" w14:textId="77777777">
        <w:trPr>
          <w:cnfStyle w:val="100000000000" w:firstRow="1" w:lastRow="0" w:firstColumn="0" w:lastColumn="0" w:oddVBand="0" w:evenVBand="0" w:oddHBand="0" w:evenHBand="0" w:firstRowFirstColumn="0" w:firstRowLastColumn="0" w:lastRowFirstColumn="0" w:lastRowLastColumn="0"/>
        </w:trPr>
        <w:tc>
          <w:tcPr>
            <w:tcW w:w="8930" w:type="dxa"/>
            <w:shd w:val="clear" w:color="auto" w:fill="00264D" w:themeFill="background2"/>
            <w:vAlign w:val="top"/>
          </w:tcPr>
          <w:p w14:paraId="1C143A64" w14:textId="77777777" w:rsidR="0053691E" w:rsidRPr="003D65AB" w:rsidRDefault="0053691E">
            <w:pPr>
              <w:rPr>
                <w:rFonts w:asciiTheme="majorHAnsi" w:hAnsiTheme="majorHAnsi" w:cstheme="majorHAnsi"/>
              </w:rPr>
            </w:pPr>
            <w:r w:rsidRPr="003D65AB">
              <w:rPr>
                <w:rFonts w:asciiTheme="majorHAnsi" w:hAnsiTheme="majorHAnsi" w:cstheme="majorHAnsi"/>
                <w:color w:val="FFFFFF" w:themeColor="background1"/>
              </w:rPr>
              <w:t>Consultation questions</w:t>
            </w:r>
          </w:p>
        </w:tc>
      </w:tr>
      <w:tr w:rsidR="0053691E" w14:paraId="4466AA27" w14:textId="77777777">
        <w:trPr>
          <w:cnfStyle w:val="000000100000" w:firstRow="0" w:lastRow="0" w:firstColumn="0" w:lastColumn="0" w:oddVBand="0" w:evenVBand="0" w:oddHBand="1" w:evenHBand="0" w:firstRowFirstColumn="0" w:firstRowLastColumn="0" w:lastRowFirstColumn="0" w:lastRowLastColumn="0"/>
          <w:trHeight w:val="790"/>
        </w:trPr>
        <w:tc>
          <w:tcPr>
            <w:tcW w:w="8930" w:type="dxa"/>
            <w:shd w:val="clear" w:color="auto" w:fill="E6E6E1" w:themeFill="accent5"/>
            <w:vAlign w:val="top"/>
          </w:tcPr>
          <w:p w14:paraId="50BBAE45" w14:textId="2A142508" w:rsidR="008B75C9" w:rsidRPr="005924E0" w:rsidRDefault="008B75C9" w:rsidP="005924E0">
            <w:pPr>
              <w:numPr>
                <w:ilvl w:val="0"/>
                <w:numId w:val="38"/>
              </w:numPr>
              <w:rPr>
                <w:color w:val="00264D" w:themeColor="background2"/>
                <w:sz w:val="18"/>
                <w:szCs w:val="18"/>
                <w:lang w:eastAsia="en-AU"/>
              </w:rPr>
            </w:pPr>
            <w:r w:rsidRPr="005924E0">
              <w:rPr>
                <w:color w:val="00264D" w:themeColor="background2"/>
                <w:sz w:val="18"/>
                <w:szCs w:val="18"/>
                <w:lang w:eastAsia="en-AU"/>
              </w:rPr>
              <w:t xml:space="preserve">Do you think the delivery risks have been appropriately identified and categorised within the Impact Analysis? </w:t>
            </w:r>
          </w:p>
          <w:p w14:paraId="206100C1" w14:textId="3FEEE5C6" w:rsidR="0053691E" w:rsidRPr="005924E0" w:rsidRDefault="008B75C9" w:rsidP="005924E0">
            <w:pPr>
              <w:numPr>
                <w:ilvl w:val="0"/>
                <w:numId w:val="38"/>
              </w:numPr>
              <w:rPr>
                <w:color w:val="00264D" w:themeColor="background2"/>
                <w:sz w:val="18"/>
                <w:szCs w:val="18"/>
                <w:lang w:eastAsia="en-AU"/>
              </w:rPr>
            </w:pPr>
            <w:r w:rsidRPr="005924E0">
              <w:rPr>
                <w:color w:val="00264D" w:themeColor="background2"/>
                <w:sz w:val="18"/>
                <w:szCs w:val="18"/>
                <w:lang w:eastAsia="en-AU"/>
              </w:rPr>
              <w:t xml:space="preserve">Are the delivery risk ratings assigned to each of the sub-problems appropriate? </w:t>
            </w:r>
          </w:p>
        </w:tc>
      </w:tr>
    </w:tbl>
    <w:p w14:paraId="2BEA4C97" w14:textId="77777777" w:rsidR="00374FE2" w:rsidRDefault="00374FE2" w:rsidP="00EC6A3D">
      <w:pPr>
        <w:rPr>
          <w:lang w:eastAsia="en-AU"/>
        </w:rPr>
      </w:pPr>
    </w:p>
    <w:p w14:paraId="4D39F1B1" w14:textId="77777777" w:rsidR="00923BE4" w:rsidRDefault="00923BE4" w:rsidP="00923BE4">
      <w:pPr>
        <w:pStyle w:val="Heading2"/>
      </w:pPr>
      <w:bookmarkStart w:id="142" w:name="_Toc157599142"/>
      <w:r>
        <w:lastRenderedPageBreak/>
        <w:t>Costs and benefits</w:t>
      </w:r>
      <w:bookmarkEnd w:id="142"/>
    </w:p>
    <w:p w14:paraId="2B38EE45" w14:textId="60B3FEEF" w:rsidR="002C5DFF" w:rsidRDefault="00923BE4" w:rsidP="002C5DFF">
      <w:pPr>
        <w:pStyle w:val="Caption"/>
        <w:rPr>
          <w:lang w:eastAsia="en-AU"/>
        </w:rPr>
      </w:pPr>
      <w:r w:rsidRPr="002C5DFF">
        <w:rPr>
          <w:rFonts w:ascii="Segoe UI" w:hAnsi="Segoe UI"/>
          <w:color w:val="auto"/>
          <w:szCs w:val="22"/>
          <w:lang w:eastAsia="en-AU"/>
        </w:rPr>
        <w:t xml:space="preserve">The third criterion assesses the balance of costs and benefits and how these are distributed across stakeholder groups. Drawing directly from the analysis in </w:t>
      </w:r>
      <w:r w:rsidR="00B62604" w:rsidRPr="002C5DFF">
        <w:rPr>
          <w:rFonts w:ascii="Segoe UI" w:hAnsi="Segoe UI"/>
          <w:color w:val="auto"/>
          <w:szCs w:val="22"/>
          <w:lang w:eastAsia="en-AU"/>
        </w:rPr>
        <w:t xml:space="preserve">Section </w:t>
      </w:r>
      <w:r w:rsidRPr="002C5DFF">
        <w:rPr>
          <w:rFonts w:ascii="Segoe UI" w:hAnsi="Segoe UI"/>
          <w:bCs w:val="0"/>
          <w:color w:val="auto"/>
          <w:szCs w:val="22"/>
          <w:lang w:eastAsia="en-AU"/>
        </w:rPr>
        <w:fldChar w:fldCharType="begin"/>
      </w:r>
      <w:r w:rsidRPr="002C5DFF">
        <w:rPr>
          <w:rFonts w:ascii="Segoe UI" w:hAnsi="Segoe UI"/>
          <w:bCs w:val="0"/>
          <w:color w:val="auto"/>
          <w:szCs w:val="22"/>
          <w:lang w:eastAsia="en-AU"/>
        </w:rPr>
        <w:instrText xml:space="preserve"> REF _Ref142060280 \r \h </w:instrText>
      </w:r>
      <w:r w:rsidR="002C5DFF">
        <w:rPr>
          <w:rFonts w:ascii="Segoe UI" w:hAnsi="Segoe UI"/>
          <w:bCs w:val="0"/>
          <w:color w:val="auto"/>
          <w:szCs w:val="22"/>
          <w:lang w:eastAsia="en-AU"/>
        </w:rPr>
        <w:instrText xml:space="preserve"> \* MERGEFORMAT </w:instrText>
      </w:r>
      <w:r w:rsidRPr="002C5DFF">
        <w:rPr>
          <w:rFonts w:ascii="Segoe UI" w:hAnsi="Segoe UI"/>
          <w:bCs w:val="0"/>
          <w:color w:val="auto"/>
          <w:szCs w:val="22"/>
          <w:lang w:eastAsia="en-AU"/>
        </w:rPr>
      </w:r>
      <w:r w:rsidRPr="002C5DFF">
        <w:rPr>
          <w:rFonts w:ascii="Segoe UI" w:hAnsi="Segoe UI"/>
          <w:bCs w:val="0"/>
          <w:color w:val="auto"/>
          <w:szCs w:val="22"/>
          <w:lang w:eastAsia="en-AU"/>
        </w:rPr>
        <w:fldChar w:fldCharType="separate"/>
      </w:r>
      <w:r w:rsidR="003F7B92">
        <w:rPr>
          <w:rFonts w:ascii="Segoe UI" w:hAnsi="Segoe UI"/>
          <w:bCs w:val="0"/>
          <w:color w:val="auto"/>
          <w:szCs w:val="22"/>
          <w:lang w:eastAsia="en-AU"/>
        </w:rPr>
        <w:t>6</w:t>
      </w:r>
      <w:r w:rsidRPr="002C5DFF">
        <w:rPr>
          <w:rFonts w:ascii="Segoe UI" w:hAnsi="Segoe UI"/>
          <w:bCs w:val="0"/>
          <w:color w:val="auto"/>
          <w:szCs w:val="22"/>
          <w:lang w:eastAsia="en-AU"/>
        </w:rPr>
        <w:fldChar w:fldCharType="end"/>
      </w:r>
      <w:r w:rsidRPr="002C5DFF">
        <w:rPr>
          <w:rFonts w:ascii="Segoe UI" w:hAnsi="Segoe UI"/>
          <w:bCs w:val="0"/>
          <w:color w:val="auto"/>
          <w:szCs w:val="22"/>
          <w:lang w:eastAsia="en-AU"/>
        </w:rPr>
        <w:t xml:space="preserve">, the net </w:t>
      </w:r>
      <w:r w:rsidR="003D0473">
        <w:rPr>
          <w:rFonts w:ascii="Segoe UI" w:hAnsi="Segoe UI"/>
          <w:bCs w:val="0"/>
          <w:color w:val="auto"/>
          <w:szCs w:val="22"/>
          <w:lang w:eastAsia="en-AU"/>
        </w:rPr>
        <w:t>present value</w:t>
      </w:r>
      <w:r w:rsidRPr="002C5DFF">
        <w:rPr>
          <w:rFonts w:ascii="Segoe UI" w:hAnsi="Segoe UI"/>
          <w:bCs w:val="0"/>
          <w:color w:val="auto"/>
          <w:szCs w:val="22"/>
          <w:lang w:eastAsia="en-AU"/>
        </w:rPr>
        <w:t xml:space="preserve"> and BCR for the </w:t>
      </w:r>
      <w:r w:rsidR="00D15D87">
        <w:rPr>
          <w:rFonts w:ascii="Segoe UI" w:hAnsi="Segoe UI"/>
          <w:bCs w:val="0"/>
          <w:color w:val="auto"/>
          <w:szCs w:val="22"/>
          <w:lang w:eastAsia="en-AU"/>
        </w:rPr>
        <w:t>two</w:t>
      </w:r>
      <w:r w:rsidR="00D15D87" w:rsidRPr="002C5DFF">
        <w:rPr>
          <w:rFonts w:ascii="Segoe UI" w:hAnsi="Segoe UI"/>
          <w:bCs w:val="0"/>
          <w:color w:val="auto"/>
          <w:szCs w:val="22"/>
          <w:lang w:eastAsia="en-AU"/>
        </w:rPr>
        <w:t xml:space="preserve"> </w:t>
      </w:r>
      <w:r w:rsidRPr="002C5DFF">
        <w:rPr>
          <w:rFonts w:ascii="Segoe UI" w:hAnsi="Segoe UI"/>
          <w:bCs w:val="0"/>
          <w:color w:val="auto"/>
          <w:szCs w:val="22"/>
          <w:lang w:eastAsia="en-AU"/>
        </w:rPr>
        <w:t>options is summarised in</w:t>
      </w:r>
      <w:r w:rsidR="002C5DFF">
        <w:rPr>
          <w:rFonts w:ascii="Segoe UI" w:hAnsi="Segoe UI"/>
          <w:bCs w:val="0"/>
          <w:color w:val="auto"/>
          <w:szCs w:val="22"/>
          <w:lang w:eastAsia="en-AU"/>
        </w:rPr>
        <w:t xml:space="preserve"> </w:t>
      </w:r>
      <w:r w:rsidR="00CE122C">
        <w:rPr>
          <w:rFonts w:ascii="Segoe UI" w:hAnsi="Segoe UI"/>
          <w:bCs w:val="0"/>
          <w:color w:val="auto"/>
          <w:szCs w:val="22"/>
          <w:lang w:eastAsia="en-AU"/>
        </w:rPr>
        <w:fldChar w:fldCharType="begin"/>
      </w:r>
      <w:r w:rsidR="00CE122C">
        <w:rPr>
          <w:rFonts w:ascii="Segoe UI" w:hAnsi="Segoe UI"/>
          <w:bCs w:val="0"/>
          <w:color w:val="auto"/>
          <w:szCs w:val="22"/>
          <w:lang w:eastAsia="en-AU"/>
        </w:rPr>
        <w:instrText xml:space="preserve"> REF _Ref142472689 \h  \* MERGEFORMAT </w:instrText>
      </w:r>
      <w:r w:rsidR="00CE122C">
        <w:rPr>
          <w:rFonts w:ascii="Segoe UI" w:hAnsi="Segoe UI"/>
          <w:bCs w:val="0"/>
          <w:color w:val="auto"/>
          <w:szCs w:val="22"/>
          <w:lang w:eastAsia="en-AU"/>
        </w:rPr>
      </w:r>
      <w:r w:rsidR="00CE122C">
        <w:rPr>
          <w:rFonts w:ascii="Segoe UI" w:hAnsi="Segoe UI"/>
          <w:bCs w:val="0"/>
          <w:color w:val="auto"/>
          <w:szCs w:val="22"/>
          <w:lang w:eastAsia="en-AU"/>
        </w:rPr>
        <w:fldChar w:fldCharType="separate"/>
      </w:r>
      <w:r w:rsidR="003F7B92" w:rsidRPr="003F7B92">
        <w:rPr>
          <w:rFonts w:ascii="Segoe UI" w:hAnsi="Segoe UI"/>
          <w:bCs w:val="0"/>
          <w:color w:val="auto"/>
          <w:szCs w:val="22"/>
          <w:lang w:eastAsia="en-AU"/>
        </w:rPr>
        <w:t>Table 31</w:t>
      </w:r>
      <w:r w:rsidR="00CE122C">
        <w:rPr>
          <w:rFonts w:ascii="Segoe UI" w:hAnsi="Segoe UI"/>
          <w:bCs w:val="0"/>
          <w:color w:val="auto"/>
          <w:szCs w:val="22"/>
          <w:lang w:eastAsia="en-AU"/>
        </w:rPr>
        <w:fldChar w:fldCharType="end"/>
      </w:r>
      <w:r w:rsidR="00CE122C">
        <w:rPr>
          <w:rFonts w:ascii="Segoe UI" w:hAnsi="Segoe UI"/>
          <w:bCs w:val="0"/>
          <w:color w:val="auto"/>
          <w:szCs w:val="22"/>
          <w:lang w:eastAsia="en-AU"/>
        </w:rPr>
        <w:t>.</w:t>
      </w:r>
    </w:p>
    <w:p w14:paraId="08FA1088" w14:textId="0C865F2D" w:rsidR="00923BE4" w:rsidRDefault="00923BE4" w:rsidP="00923BE4">
      <w:pPr>
        <w:rPr>
          <w:lang w:eastAsia="en-AU"/>
        </w:rPr>
      </w:pPr>
      <w:r>
        <w:rPr>
          <w:lang w:eastAsia="en-AU"/>
        </w:rPr>
        <w:t xml:space="preserve">This analysis shows the net </w:t>
      </w:r>
      <w:r w:rsidR="003D0473">
        <w:rPr>
          <w:lang w:eastAsia="en-AU"/>
        </w:rPr>
        <w:t>present value</w:t>
      </w:r>
      <w:r>
        <w:rPr>
          <w:lang w:eastAsia="en-AU"/>
        </w:rPr>
        <w:t xml:space="preserve"> of Option 2 is significantly higher for Option 2 compared to Option 1, corresponding to a BCR that is approximately </w:t>
      </w:r>
      <w:r w:rsidR="008C711E">
        <w:rPr>
          <w:lang w:eastAsia="en-AU"/>
        </w:rPr>
        <w:t>75</w:t>
      </w:r>
      <w:r>
        <w:rPr>
          <w:lang w:eastAsia="en-AU"/>
        </w:rPr>
        <w:t>% higher than the other options.</w:t>
      </w:r>
    </w:p>
    <w:p w14:paraId="7C58D6CB" w14:textId="3CCFA1B6" w:rsidR="00923BE4" w:rsidRDefault="00923BE4" w:rsidP="00923BE4">
      <w:pPr>
        <w:pStyle w:val="Caption"/>
        <w:rPr>
          <w:lang w:eastAsia="en-AU"/>
        </w:rPr>
      </w:pPr>
      <w:bookmarkStart w:id="143" w:name="_Ref142237034"/>
      <w:bookmarkStart w:id="144" w:name="_Ref142472689"/>
      <w:r>
        <w:t xml:space="preserve">Table </w:t>
      </w:r>
      <w:r>
        <w:fldChar w:fldCharType="begin"/>
      </w:r>
      <w:r>
        <w:instrText xml:space="preserve"> SEQ Table \* ARABIC </w:instrText>
      </w:r>
      <w:r>
        <w:fldChar w:fldCharType="separate"/>
      </w:r>
      <w:r w:rsidR="003F7B92">
        <w:rPr>
          <w:noProof/>
        </w:rPr>
        <w:t>31</w:t>
      </w:r>
      <w:r>
        <w:fldChar w:fldCharType="end"/>
      </w:r>
      <w:bookmarkEnd w:id="143"/>
      <w:bookmarkEnd w:id="144"/>
      <w:r>
        <w:t xml:space="preserve"> | </w:t>
      </w:r>
      <w:r w:rsidR="009515FE">
        <w:t>Present value c</w:t>
      </w:r>
      <w:r>
        <w:t>osts and benefits over 10 years ($m)</w:t>
      </w:r>
    </w:p>
    <w:tbl>
      <w:tblPr>
        <w:tblStyle w:val="TableGrid"/>
        <w:tblW w:w="0" w:type="auto"/>
        <w:tblLook w:val="0600" w:firstRow="0" w:lastRow="0" w:firstColumn="0" w:lastColumn="0" w:noHBand="1" w:noVBand="1"/>
      </w:tblPr>
      <w:tblGrid>
        <w:gridCol w:w="2976"/>
        <w:gridCol w:w="2977"/>
        <w:gridCol w:w="2977"/>
      </w:tblGrid>
      <w:tr w:rsidR="00923BE4" w14:paraId="24AFA37D" w14:textId="77777777" w:rsidTr="0024539C">
        <w:tc>
          <w:tcPr>
            <w:tcW w:w="2976" w:type="dxa"/>
            <w:shd w:val="clear" w:color="auto" w:fill="E6E6E1" w:themeFill="accent5"/>
          </w:tcPr>
          <w:p w14:paraId="77351C15" w14:textId="77777777" w:rsidR="00923BE4" w:rsidRDefault="00923BE4" w:rsidP="0024539C">
            <w:pPr>
              <w:pStyle w:val="TableNheader"/>
              <w:rPr>
                <w:lang w:eastAsia="en-AU"/>
              </w:rPr>
            </w:pPr>
            <w:r>
              <w:rPr>
                <w:lang w:eastAsia="en-AU"/>
              </w:rPr>
              <w:t>Option</w:t>
            </w:r>
          </w:p>
        </w:tc>
        <w:tc>
          <w:tcPr>
            <w:tcW w:w="2977" w:type="dxa"/>
            <w:shd w:val="clear" w:color="auto" w:fill="E6E6E1" w:themeFill="accent5"/>
          </w:tcPr>
          <w:p w14:paraId="4B835906" w14:textId="085B1619" w:rsidR="00923BE4" w:rsidRDefault="00923BE4" w:rsidP="0024539C">
            <w:pPr>
              <w:pStyle w:val="TableNheader"/>
              <w:rPr>
                <w:lang w:eastAsia="en-AU"/>
              </w:rPr>
            </w:pPr>
            <w:r>
              <w:rPr>
                <w:lang w:eastAsia="en-AU"/>
              </w:rPr>
              <w:t xml:space="preserve">Net </w:t>
            </w:r>
            <w:r w:rsidR="009515FE">
              <w:rPr>
                <w:lang w:eastAsia="en-AU"/>
              </w:rPr>
              <w:t xml:space="preserve">present value </w:t>
            </w:r>
          </w:p>
        </w:tc>
        <w:tc>
          <w:tcPr>
            <w:tcW w:w="2977" w:type="dxa"/>
            <w:shd w:val="clear" w:color="auto" w:fill="E6E6E1" w:themeFill="accent5"/>
          </w:tcPr>
          <w:p w14:paraId="08FB1DB7" w14:textId="77777777" w:rsidR="00923BE4" w:rsidRDefault="00923BE4" w:rsidP="0024539C">
            <w:pPr>
              <w:pStyle w:val="TableNheader"/>
              <w:rPr>
                <w:lang w:eastAsia="en-AU"/>
              </w:rPr>
            </w:pPr>
            <w:r>
              <w:rPr>
                <w:lang w:eastAsia="en-AU"/>
              </w:rPr>
              <w:t>Benefit Cost Ratio (BCR)</w:t>
            </w:r>
          </w:p>
        </w:tc>
      </w:tr>
      <w:tr w:rsidR="00923BE4" w14:paraId="6DFA733E" w14:textId="77777777" w:rsidTr="0024539C">
        <w:tc>
          <w:tcPr>
            <w:tcW w:w="2976" w:type="dxa"/>
          </w:tcPr>
          <w:p w14:paraId="011FBA1F" w14:textId="3BF770A3" w:rsidR="00923BE4" w:rsidRPr="00AF07D4" w:rsidRDefault="0024539C" w:rsidP="00134136">
            <w:pPr>
              <w:rPr>
                <w:rFonts w:asciiTheme="majorHAnsi" w:hAnsiTheme="majorHAnsi" w:cstheme="majorHAnsi"/>
                <w:color w:val="F8981D" w:themeColor="accent3"/>
                <w:lang w:eastAsia="en-AU"/>
              </w:rPr>
            </w:pPr>
            <w:r w:rsidRPr="00AF07D4">
              <w:rPr>
                <w:rFonts w:asciiTheme="majorHAnsi" w:hAnsiTheme="majorHAnsi" w:cstheme="majorHAnsi"/>
                <w:color w:val="F25E21" w:themeColor="accent2"/>
                <w:lang w:eastAsia="en-AU"/>
              </w:rPr>
              <w:t>OPTION 1</w:t>
            </w:r>
          </w:p>
        </w:tc>
        <w:tc>
          <w:tcPr>
            <w:tcW w:w="2977" w:type="dxa"/>
          </w:tcPr>
          <w:p w14:paraId="3933E438" w14:textId="7CBCFA8C" w:rsidR="00923BE4" w:rsidRPr="002D62CD" w:rsidRDefault="00923BE4" w:rsidP="00134136">
            <w:pPr>
              <w:rPr>
                <w:rFonts w:asciiTheme="minorHAnsi" w:hAnsiTheme="minorHAnsi" w:cstheme="minorHAnsi"/>
                <w:lang w:eastAsia="en-AU"/>
              </w:rPr>
            </w:pPr>
            <w:r w:rsidRPr="002D62CD">
              <w:rPr>
                <w:rFonts w:asciiTheme="minorHAnsi" w:hAnsiTheme="minorHAnsi" w:cstheme="minorHAnsi"/>
              </w:rPr>
              <w:t>$</w:t>
            </w:r>
            <w:r w:rsidR="00335835">
              <w:rPr>
                <w:rFonts w:asciiTheme="minorHAnsi" w:hAnsiTheme="minorHAnsi" w:cstheme="minorHAnsi"/>
              </w:rPr>
              <w:t>10.7</w:t>
            </w:r>
          </w:p>
        </w:tc>
        <w:tc>
          <w:tcPr>
            <w:tcW w:w="2977" w:type="dxa"/>
          </w:tcPr>
          <w:p w14:paraId="16C71196" w14:textId="7D67C773" w:rsidR="00923BE4" w:rsidRPr="002D62CD" w:rsidRDefault="00923BE4" w:rsidP="00134136">
            <w:pPr>
              <w:rPr>
                <w:rFonts w:asciiTheme="minorHAnsi" w:hAnsiTheme="minorHAnsi" w:cstheme="minorHAnsi"/>
                <w:lang w:eastAsia="en-AU"/>
              </w:rPr>
            </w:pPr>
            <w:r w:rsidRPr="002D62CD">
              <w:rPr>
                <w:rFonts w:asciiTheme="minorHAnsi" w:hAnsiTheme="minorHAnsi" w:cstheme="minorHAnsi"/>
              </w:rPr>
              <w:t>1.</w:t>
            </w:r>
            <w:r w:rsidR="006760FA">
              <w:rPr>
                <w:rFonts w:asciiTheme="minorHAnsi" w:hAnsiTheme="minorHAnsi" w:cstheme="minorHAnsi"/>
              </w:rPr>
              <w:t>0</w:t>
            </w:r>
            <w:r w:rsidR="00335835">
              <w:rPr>
                <w:rFonts w:asciiTheme="minorHAnsi" w:hAnsiTheme="minorHAnsi" w:cstheme="minorHAnsi"/>
              </w:rPr>
              <w:t>5</w:t>
            </w:r>
          </w:p>
        </w:tc>
      </w:tr>
      <w:tr w:rsidR="00923BE4" w14:paraId="7F6FC280" w14:textId="77777777" w:rsidTr="0024539C">
        <w:tc>
          <w:tcPr>
            <w:tcW w:w="2976" w:type="dxa"/>
          </w:tcPr>
          <w:p w14:paraId="3C2403DD" w14:textId="52966BB5" w:rsidR="00923BE4" w:rsidRPr="00AF07D4" w:rsidRDefault="0024539C" w:rsidP="00134136">
            <w:pPr>
              <w:rPr>
                <w:rFonts w:asciiTheme="majorHAnsi" w:hAnsiTheme="majorHAnsi" w:cstheme="majorHAnsi"/>
                <w:color w:val="F8981D" w:themeColor="accent3"/>
                <w:lang w:eastAsia="en-AU"/>
              </w:rPr>
            </w:pPr>
            <w:r w:rsidRPr="00AF07D4">
              <w:rPr>
                <w:rFonts w:asciiTheme="majorHAnsi" w:hAnsiTheme="majorHAnsi" w:cstheme="majorHAnsi"/>
                <w:color w:val="F8981D" w:themeColor="accent3"/>
                <w:lang w:eastAsia="en-AU"/>
              </w:rPr>
              <w:t>OPTION 2</w:t>
            </w:r>
          </w:p>
        </w:tc>
        <w:tc>
          <w:tcPr>
            <w:tcW w:w="2977" w:type="dxa"/>
          </w:tcPr>
          <w:p w14:paraId="4CB51651" w14:textId="5E4FD8C8" w:rsidR="00923BE4" w:rsidRPr="002D62CD" w:rsidRDefault="00923BE4" w:rsidP="00134136">
            <w:pPr>
              <w:rPr>
                <w:rFonts w:asciiTheme="minorHAnsi" w:hAnsiTheme="minorHAnsi" w:cstheme="minorHAnsi"/>
                <w:lang w:eastAsia="en-AU"/>
              </w:rPr>
            </w:pPr>
            <w:r w:rsidRPr="002D62CD">
              <w:rPr>
                <w:rFonts w:asciiTheme="minorHAnsi" w:hAnsiTheme="minorHAnsi" w:cstheme="minorHAnsi"/>
              </w:rPr>
              <w:t>$</w:t>
            </w:r>
            <w:r w:rsidR="00335835">
              <w:rPr>
                <w:rFonts w:asciiTheme="minorHAnsi" w:hAnsiTheme="minorHAnsi" w:cstheme="minorHAnsi"/>
              </w:rPr>
              <w:t>208.6</w:t>
            </w:r>
          </w:p>
        </w:tc>
        <w:tc>
          <w:tcPr>
            <w:tcW w:w="2977" w:type="dxa"/>
          </w:tcPr>
          <w:p w14:paraId="5A2603E1" w14:textId="7D0688A2" w:rsidR="00923BE4" w:rsidRPr="002D62CD" w:rsidRDefault="004B1AAF" w:rsidP="00134136">
            <w:pPr>
              <w:rPr>
                <w:rFonts w:asciiTheme="minorHAnsi" w:hAnsiTheme="minorHAnsi" w:cstheme="minorHAnsi"/>
                <w:lang w:eastAsia="en-AU"/>
              </w:rPr>
            </w:pPr>
            <w:r>
              <w:rPr>
                <w:rFonts w:asciiTheme="minorHAnsi" w:hAnsiTheme="minorHAnsi" w:cstheme="minorHAnsi"/>
                <w:lang w:eastAsia="en-AU"/>
              </w:rPr>
              <w:t>1.</w:t>
            </w:r>
            <w:r w:rsidR="00335835">
              <w:rPr>
                <w:rFonts w:asciiTheme="minorHAnsi" w:hAnsiTheme="minorHAnsi" w:cstheme="minorHAnsi"/>
                <w:lang w:eastAsia="en-AU"/>
              </w:rPr>
              <w:t>63</w:t>
            </w:r>
          </w:p>
        </w:tc>
      </w:tr>
    </w:tbl>
    <w:p w14:paraId="04533A51" w14:textId="73E4269E" w:rsidR="00923BE4" w:rsidRPr="007F6828" w:rsidRDefault="007F6828" w:rsidP="00923BE4">
      <w:pPr>
        <w:pStyle w:val="Heading1"/>
        <w:rPr>
          <w:color w:val="FFFFFF" w:themeColor="background1"/>
        </w:rPr>
      </w:pPr>
      <w:bookmarkStart w:id="145" w:name="_Toc157599143"/>
      <w:bookmarkEnd w:id="131"/>
      <w:r w:rsidRPr="007F6828">
        <w:rPr>
          <w:noProof/>
          <w:color w:val="FFFFFF" w:themeColor="background1"/>
        </w:rPr>
        <w:lastRenderedPageBreak/>
        <w:drawing>
          <wp:anchor distT="0" distB="0" distL="114300" distR="114300" simplePos="0" relativeHeight="251658258" behindDoc="1" locked="0" layoutInCell="1" allowOverlap="1" wp14:anchorId="6480CB9D" wp14:editId="6030B8BB">
            <wp:simplePos x="0" y="0"/>
            <wp:positionH relativeFrom="margin">
              <wp:posOffset>-993775</wp:posOffset>
            </wp:positionH>
            <wp:positionV relativeFrom="paragraph">
              <wp:posOffset>-901893</wp:posOffset>
            </wp:positionV>
            <wp:extent cx="7581900" cy="12954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b="32669"/>
                    <a:stretch/>
                  </pic:blipFill>
                  <pic:spPr bwMode="auto">
                    <a:xfrm>
                      <a:off x="0" y="0"/>
                      <a:ext cx="75819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BE4" w:rsidRPr="007F6828">
        <w:rPr>
          <w:color w:val="FFFFFF" w:themeColor="background1"/>
        </w:rPr>
        <w:t>Evaluation of the preferred option</w:t>
      </w:r>
      <w:bookmarkEnd w:id="145"/>
    </w:p>
    <w:p w14:paraId="015C57A8" w14:textId="77777777" w:rsidR="00923BE4" w:rsidRDefault="00923BE4" w:rsidP="00923BE4">
      <w:pPr>
        <w:pStyle w:val="Heading2"/>
      </w:pPr>
      <w:bookmarkStart w:id="146" w:name="_Toc157599144"/>
      <w:r>
        <w:t>Purpose and scope of evaluation</w:t>
      </w:r>
      <w:bookmarkEnd w:id="146"/>
    </w:p>
    <w:p w14:paraId="4E9B713E" w14:textId="716B18C1" w:rsidR="00923BE4" w:rsidRDefault="00923BE4" w:rsidP="00923BE4">
      <w:pPr>
        <w:rPr>
          <w:lang w:eastAsia="en-AU"/>
        </w:rPr>
      </w:pPr>
      <w:r>
        <w:rPr>
          <w:lang w:eastAsia="en-AU"/>
        </w:rPr>
        <w:t xml:space="preserve">The impact of the preferred option will be evaluated following its implementation. It should be conducted by an expert evaluation body that is independent of FSANZ and </w:t>
      </w:r>
      <w:r w:rsidR="00A31366">
        <w:rPr>
          <w:lang w:eastAsia="en-AU"/>
        </w:rPr>
        <w:t>DHAC.</w:t>
      </w:r>
      <w:r>
        <w:rPr>
          <w:lang w:eastAsia="en-AU"/>
        </w:rPr>
        <w:t xml:space="preserve"> Findings should be reported to the Australian Government to provide accountability and drive ongoing improvement to the Act and the operations of FSANZ. </w:t>
      </w:r>
    </w:p>
    <w:p w14:paraId="3C542D9E" w14:textId="5B79C148" w:rsidR="00923BE4" w:rsidRDefault="00923BE4" w:rsidP="00923BE4">
      <w:pPr>
        <w:rPr>
          <w:lang w:eastAsia="en-AU"/>
        </w:rPr>
      </w:pPr>
      <w:r>
        <w:rPr>
          <w:lang w:eastAsia="en-AU"/>
        </w:rPr>
        <w:t>It should be evaluated through two lenses</w:t>
      </w:r>
      <w:r w:rsidR="00A31366">
        <w:rPr>
          <w:lang w:eastAsia="en-AU"/>
        </w:rPr>
        <w:t>,</w:t>
      </w:r>
      <w:r>
        <w:rPr>
          <w:lang w:eastAsia="en-AU"/>
        </w:rPr>
        <w:t xml:space="preserve"> </w:t>
      </w:r>
      <w:proofErr w:type="gramStart"/>
      <w:r>
        <w:rPr>
          <w:lang w:eastAsia="en-AU"/>
        </w:rPr>
        <w:t>process</w:t>
      </w:r>
      <w:proofErr w:type="gramEnd"/>
      <w:r>
        <w:rPr>
          <w:lang w:eastAsia="en-AU"/>
        </w:rPr>
        <w:t xml:space="preserve"> and outcomes:</w:t>
      </w:r>
    </w:p>
    <w:p w14:paraId="0466E064" w14:textId="77777777" w:rsidR="00923BE4" w:rsidRDefault="00923BE4" w:rsidP="00923BE4">
      <w:pPr>
        <w:pStyle w:val="Bullet"/>
      </w:pPr>
      <w:r>
        <w:t xml:space="preserve">The </w:t>
      </w:r>
      <w:r w:rsidRPr="001A5B96">
        <w:rPr>
          <w:rFonts w:asciiTheme="majorHAnsi" w:hAnsiTheme="majorHAnsi" w:cstheme="majorHAnsi"/>
        </w:rPr>
        <w:t>process</w:t>
      </w:r>
      <w:r>
        <w:t xml:space="preserve"> component of the evaluation will consider the validity of the theory of change and evidence underpinning the preferred option, how successfully it has been implemented, and any factors that contributed to this success. </w:t>
      </w:r>
    </w:p>
    <w:p w14:paraId="79BB1592" w14:textId="77777777" w:rsidR="00923BE4" w:rsidRDefault="00923BE4" w:rsidP="00923BE4">
      <w:pPr>
        <w:pStyle w:val="Bullet"/>
      </w:pPr>
      <w:r>
        <w:t xml:space="preserve">The </w:t>
      </w:r>
      <w:r w:rsidRPr="001A5B96">
        <w:rPr>
          <w:rFonts w:asciiTheme="majorHAnsi" w:hAnsiTheme="majorHAnsi" w:cstheme="majorHAnsi"/>
        </w:rPr>
        <w:t>outcomes</w:t>
      </w:r>
      <w:r>
        <w:t xml:space="preserve"> component of the evaluation will consider the contribution of the preferred option to achieving the intended outcomes and sought system-level impact of the FSANZ Review. </w:t>
      </w:r>
    </w:p>
    <w:p w14:paraId="1937798D" w14:textId="62C96F2E" w:rsidR="00923BE4" w:rsidRDefault="00923BE4" w:rsidP="00923BE4">
      <w:pPr>
        <w:rPr>
          <w:lang w:eastAsia="en-AU"/>
        </w:rPr>
      </w:pPr>
      <w:r>
        <w:rPr>
          <w:lang w:eastAsia="en-AU"/>
        </w:rPr>
        <w:t xml:space="preserve">These components of the evaluation may be evaluated jointed or separately, with the process evaluation conducted soon (6 to 12 months) </w:t>
      </w:r>
      <w:r w:rsidR="00B21363">
        <w:rPr>
          <w:lang w:eastAsia="en-AU"/>
        </w:rPr>
        <w:t>after</w:t>
      </w:r>
      <w:r>
        <w:rPr>
          <w:lang w:eastAsia="en-AU"/>
        </w:rPr>
        <w:t xml:space="preserve"> the implementation of the preferred option, and the outcomes evaluation conducted with enough time elapsed for the preferred option to contribute to system-level change (3 to 5 years). Both components of the evaluation should consider and make recommendations on ways in which the Act and the operations of FSANZ could be improved. </w:t>
      </w:r>
    </w:p>
    <w:p w14:paraId="003EE547" w14:textId="710CD2A4" w:rsidR="00923BE4" w:rsidRDefault="00923BE4" w:rsidP="00923BE4">
      <w:pPr>
        <w:rPr>
          <w:lang w:eastAsia="en-AU"/>
        </w:rPr>
      </w:pPr>
      <w:r>
        <w:rPr>
          <w:lang w:eastAsia="en-AU"/>
        </w:rPr>
        <w:t xml:space="preserve">The evaluation should triangulate findings from consultations with stakeholders in FSANZ, government, and industry; quantitative data analysis; and a desktop review of literature and administrative documentation. It should be structured as a response to an agreed set of Key Evaluation Questions (KEQs) and be informed by a set of agreed indicators of success. </w:t>
      </w:r>
    </w:p>
    <w:p w14:paraId="07EE7A1C" w14:textId="6DE16D5C" w:rsidR="00923BE4" w:rsidRDefault="00923BE4" w:rsidP="00923BE4">
      <w:pPr>
        <w:rPr>
          <w:lang w:eastAsia="en-AU"/>
        </w:rPr>
      </w:pPr>
      <w:r>
        <w:rPr>
          <w:lang w:eastAsia="en-AU"/>
        </w:rPr>
        <w:t xml:space="preserve">The proposed conceptual approach for the evaluation is outlined in </w:t>
      </w:r>
      <w:r w:rsidR="007A161E">
        <w:rPr>
          <w:lang w:eastAsia="en-AU"/>
        </w:rPr>
        <w:fldChar w:fldCharType="begin"/>
      </w:r>
      <w:r w:rsidR="007A161E">
        <w:rPr>
          <w:lang w:eastAsia="en-AU"/>
        </w:rPr>
        <w:instrText xml:space="preserve"> REF _Ref144901517 \h </w:instrText>
      </w:r>
      <w:r w:rsidR="007A161E">
        <w:rPr>
          <w:lang w:eastAsia="en-AU"/>
        </w:rPr>
      </w:r>
      <w:r w:rsidR="007A161E">
        <w:rPr>
          <w:lang w:eastAsia="en-AU"/>
        </w:rPr>
        <w:fldChar w:fldCharType="separate"/>
      </w:r>
      <w:r w:rsidR="003F7B92">
        <w:t xml:space="preserve">Figure </w:t>
      </w:r>
      <w:r w:rsidR="003F7B92">
        <w:rPr>
          <w:noProof/>
        </w:rPr>
        <w:t>11</w:t>
      </w:r>
      <w:r w:rsidR="007A161E">
        <w:rPr>
          <w:lang w:eastAsia="en-AU"/>
        </w:rPr>
        <w:fldChar w:fldCharType="end"/>
      </w:r>
      <w:r>
        <w:rPr>
          <w:lang w:eastAsia="en-AU"/>
        </w:rPr>
        <w:t xml:space="preserve">. </w:t>
      </w:r>
    </w:p>
    <w:p w14:paraId="62CF492E" w14:textId="00EA2E1C" w:rsidR="00923BE4" w:rsidRDefault="00F1344F" w:rsidP="00F1344F">
      <w:pPr>
        <w:pStyle w:val="Caption"/>
      </w:pPr>
      <w:bookmarkStart w:id="147" w:name="_Ref144901517"/>
      <w:r>
        <w:lastRenderedPageBreak/>
        <w:t xml:space="preserve">Figure </w:t>
      </w:r>
      <w:r>
        <w:fldChar w:fldCharType="begin"/>
      </w:r>
      <w:r>
        <w:instrText xml:space="preserve"> SEQ Figure \* ARABIC </w:instrText>
      </w:r>
      <w:r>
        <w:fldChar w:fldCharType="separate"/>
      </w:r>
      <w:r w:rsidR="003F7B92">
        <w:rPr>
          <w:noProof/>
        </w:rPr>
        <w:t>11</w:t>
      </w:r>
      <w:r>
        <w:fldChar w:fldCharType="end"/>
      </w:r>
      <w:bookmarkEnd w:id="147"/>
      <w:r>
        <w:t xml:space="preserve"> | Conceptual approach for the evaluation of the preferred option</w:t>
      </w:r>
    </w:p>
    <w:p w14:paraId="45375D17" w14:textId="58089F31" w:rsidR="00923BE4" w:rsidRDefault="00084C83" w:rsidP="00E939C0">
      <w:pPr>
        <w:pStyle w:val="Listnumbered"/>
        <w:numPr>
          <w:ilvl w:val="0"/>
          <w:numId w:val="0"/>
        </w:numPr>
        <w:rPr>
          <w:noProof/>
        </w:rPr>
      </w:pPr>
      <w:r>
        <w:rPr>
          <w:noProof/>
          <w:lang w:eastAsia="en-AU"/>
        </w:rPr>
        <w:drawing>
          <wp:inline distT="0" distB="0" distL="0" distR="0" wp14:anchorId="5DCFF5E9" wp14:editId="28CC523E">
            <wp:extent cx="5670550" cy="6088380"/>
            <wp:effectExtent l="0" t="0" r="6350" b="7620"/>
            <wp:docPr id="219136891" name="Picture 219136891" descr="P2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36891" name="Picture 219136891" descr="P2592#yI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70550" cy="6088380"/>
                    </a:xfrm>
                    <a:prstGeom prst="rect">
                      <a:avLst/>
                    </a:prstGeom>
                  </pic:spPr>
                </pic:pic>
              </a:graphicData>
            </a:graphic>
          </wp:inline>
        </w:drawing>
      </w:r>
    </w:p>
    <w:p w14:paraId="77FB21C8" w14:textId="40D0ABD0" w:rsidR="00923BE4" w:rsidRPr="001F08FC" w:rsidRDefault="00923BE4" w:rsidP="00923BE4">
      <w:pPr>
        <w:tabs>
          <w:tab w:val="left" w:pos="1755"/>
        </w:tabs>
      </w:pPr>
      <w:r>
        <w:t>The program logic underpinning the preferred option, demonstrating the alignment between sub-</w:t>
      </w:r>
      <w:proofErr w:type="gramStart"/>
      <w:r>
        <w:t>components</w:t>
      </w:r>
      <w:proofErr w:type="gramEnd"/>
      <w:r>
        <w:t xml:space="preserve"> and intended outcomes of the preferred option, is displayed in </w:t>
      </w:r>
      <w:r>
        <w:fldChar w:fldCharType="begin"/>
      </w:r>
      <w:r>
        <w:instrText xml:space="preserve"> REF _Ref137216129 \h </w:instrText>
      </w:r>
      <w:r>
        <w:fldChar w:fldCharType="separate"/>
      </w:r>
      <w:r w:rsidR="003F7B92">
        <w:t xml:space="preserve">Figure </w:t>
      </w:r>
      <w:r w:rsidR="003F7B92">
        <w:rPr>
          <w:noProof/>
        </w:rPr>
        <w:t>12</w:t>
      </w:r>
      <w:r>
        <w:fldChar w:fldCharType="end"/>
      </w:r>
      <w:r>
        <w:t xml:space="preserve"> </w:t>
      </w:r>
      <w:r w:rsidR="00967973">
        <w:t>overleaf.</w:t>
      </w:r>
      <w:r>
        <w:t xml:space="preserve"> </w:t>
      </w:r>
    </w:p>
    <w:p w14:paraId="784BDB1B" w14:textId="27C9CD54" w:rsidR="00923BE4" w:rsidRDefault="00923BE4" w:rsidP="00923BE4">
      <w:pPr>
        <w:pStyle w:val="Caption"/>
      </w:pPr>
      <w:bookmarkStart w:id="148" w:name="_Ref137216129"/>
      <w:bookmarkStart w:id="149" w:name="_Ref137216134"/>
      <w:r>
        <w:lastRenderedPageBreak/>
        <w:t xml:space="preserve">Figure </w:t>
      </w:r>
      <w:r>
        <w:fldChar w:fldCharType="begin"/>
      </w:r>
      <w:r>
        <w:instrText xml:space="preserve"> SEQ Figure \* ARABIC </w:instrText>
      </w:r>
      <w:r>
        <w:fldChar w:fldCharType="separate"/>
      </w:r>
      <w:r w:rsidR="003F7B92">
        <w:rPr>
          <w:noProof/>
        </w:rPr>
        <w:t>12</w:t>
      </w:r>
      <w:r>
        <w:fldChar w:fldCharType="end"/>
      </w:r>
      <w:bookmarkEnd w:id="148"/>
      <w:r>
        <w:t xml:space="preserve"> | Program logic for the Act Review</w:t>
      </w:r>
      <w:bookmarkEnd w:id="149"/>
    </w:p>
    <w:p w14:paraId="112198EB" w14:textId="183C2E84" w:rsidR="00923BE4" w:rsidRDefault="00470DE0" w:rsidP="00923BE4">
      <w:r>
        <w:rPr>
          <w:noProof/>
          <w:lang w:eastAsia="en-AU"/>
        </w:rPr>
        <w:drawing>
          <wp:inline distT="0" distB="0" distL="0" distR="0" wp14:anchorId="57D13BD8" wp14:editId="4B15DBCB">
            <wp:extent cx="5670550" cy="6473190"/>
            <wp:effectExtent l="0" t="0" r="6350" b="3810"/>
            <wp:docPr id="1043257833" name="Picture 1043257833" descr="P25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57833" name="Picture 1043257833" descr="P2595#yI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70550" cy="6473190"/>
                    </a:xfrm>
                    <a:prstGeom prst="rect">
                      <a:avLst/>
                    </a:prstGeom>
                  </pic:spPr>
                </pic:pic>
              </a:graphicData>
            </a:graphic>
          </wp:inline>
        </w:drawing>
      </w:r>
    </w:p>
    <w:p w14:paraId="50F41775" w14:textId="77777777" w:rsidR="00923BE4" w:rsidRDefault="00923BE4" w:rsidP="00923BE4">
      <w:pPr>
        <w:pStyle w:val="Heading2"/>
      </w:pPr>
      <w:bookmarkStart w:id="150" w:name="_Toc157599145"/>
      <w:r>
        <w:t>Data collection</w:t>
      </w:r>
      <w:bookmarkEnd w:id="150"/>
    </w:p>
    <w:p w14:paraId="3F34C429" w14:textId="364D60CA" w:rsidR="00923BE4" w:rsidRDefault="00923BE4" w:rsidP="00923BE4">
      <w:pPr>
        <w:rPr>
          <w:lang w:eastAsia="en-AU"/>
        </w:rPr>
      </w:pPr>
      <w:r>
        <w:rPr>
          <w:lang w:eastAsia="en-AU"/>
        </w:rPr>
        <w:t xml:space="preserve">The evaluation of the preferred option should be structured as a response to an agreed set of KEQs. An indicative list of KEQs and suggested approach to gathering relevant data are displayed in </w:t>
      </w:r>
      <w:r>
        <w:rPr>
          <w:lang w:eastAsia="en-AU"/>
        </w:rPr>
        <w:fldChar w:fldCharType="begin"/>
      </w:r>
      <w:r>
        <w:rPr>
          <w:lang w:eastAsia="en-AU"/>
        </w:rPr>
        <w:instrText xml:space="preserve"> REF _Ref137216626 \h </w:instrText>
      </w:r>
      <w:r>
        <w:rPr>
          <w:lang w:eastAsia="en-AU"/>
        </w:rPr>
      </w:r>
      <w:r>
        <w:rPr>
          <w:lang w:eastAsia="en-AU"/>
        </w:rPr>
        <w:fldChar w:fldCharType="separate"/>
      </w:r>
      <w:r w:rsidR="003F7B92">
        <w:t xml:space="preserve">Table </w:t>
      </w:r>
      <w:r w:rsidR="003F7B92">
        <w:rPr>
          <w:noProof/>
        </w:rPr>
        <w:t>32</w:t>
      </w:r>
      <w:r>
        <w:rPr>
          <w:lang w:eastAsia="en-AU"/>
        </w:rPr>
        <w:fldChar w:fldCharType="end"/>
      </w:r>
      <w:r>
        <w:rPr>
          <w:lang w:eastAsia="en-AU"/>
        </w:rPr>
        <w:t xml:space="preserve"> </w:t>
      </w:r>
      <w:r>
        <w:rPr>
          <w:lang w:eastAsia="en-AU"/>
        </w:rPr>
        <w:fldChar w:fldCharType="begin"/>
      </w:r>
      <w:r>
        <w:rPr>
          <w:lang w:eastAsia="en-AU"/>
        </w:rPr>
        <w:instrText xml:space="preserve"> REF _Ref137216639 \p \h </w:instrText>
      </w:r>
      <w:r>
        <w:rPr>
          <w:lang w:eastAsia="en-AU"/>
        </w:rPr>
      </w:r>
      <w:r>
        <w:rPr>
          <w:lang w:eastAsia="en-AU"/>
        </w:rPr>
        <w:fldChar w:fldCharType="separate"/>
      </w:r>
      <w:r w:rsidR="003F7B92">
        <w:rPr>
          <w:lang w:eastAsia="en-AU"/>
        </w:rPr>
        <w:t>below</w:t>
      </w:r>
      <w:r>
        <w:rPr>
          <w:lang w:eastAsia="en-AU"/>
        </w:rPr>
        <w:fldChar w:fldCharType="end"/>
      </w:r>
      <w:r>
        <w:rPr>
          <w:lang w:eastAsia="en-AU"/>
        </w:rPr>
        <w:t>. The suggested data collection approaches are aligned with the streams of work displayed in the overarching evaluation conceptual approach</w:t>
      </w:r>
      <w:r w:rsidR="000B121F">
        <w:rPr>
          <w:lang w:eastAsia="en-AU"/>
        </w:rPr>
        <w:t>.</w:t>
      </w:r>
      <w:r>
        <w:rPr>
          <w:lang w:eastAsia="en-AU"/>
        </w:rPr>
        <w:t xml:space="preserve"> </w:t>
      </w:r>
    </w:p>
    <w:p w14:paraId="66563EDF" w14:textId="58276A62" w:rsidR="00923BE4" w:rsidRDefault="00923BE4" w:rsidP="00923BE4">
      <w:pPr>
        <w:pStyle w:val="Caption"/>
      </w:pPr>
      <w:bookmarkStart w:id="151" w:name="_Ref137216626"/>
      <w:bookmarkStart w:id="152" w:name="_Ref137216639"/>
      <w:r>
        <w:lastRenderedPageBreak/>
        <w:t xml:space="preserve">Table </w:t>
      </w:r>
      <w:r>
        <w:fldChar w:fldCharType="begin"/>
      </w:r>
      <w:r>
        <w:instrText xml:space="preserve"> SEQ Table \* ARABIC </w:instrText>
      </w:r>
      <w:r>
        <w:fldChar w:fldCharType="separate"/>
      </w:r>
      <w:r w:rsidR="003F7B92">
        <w:rPr>
          <w:noProof/>
        </w:rPr>
        <w:t>32</w:t>
      </w:r>
      <w:r>
        <w:fldChar w:fldCharType="end"/>
      </w:r>
      <w:bookmarkEnd w:id="151"/>
      <w:r>
        <w:t xml:space="preserve"> | Indicative Key Evaluation Questions and data collection approach for the evaluation of the preferred option</w:t>
      </w:r>
      <w:bookmarkEnd w:id="152"/>
    </w:p>
    <w:tbl>
      <w:tblPr>
        <w:tblStyle w:val="TableGrid"/>
        <w:tblW w:w="5000" w:type="pct"/>
        <w:tblLook w:val="04A0" w:firstRow="1" w:lastRow="0" w:firstColumn="1" w:lastColumn="0" w:noHBand="0" w:noVBand="1"/>
      </w:tblPr>
      <w:tblGrid>
        <w:gridCol w:w="1843"/>
        <w:gridCol w:w="2622"/>
        <w:gridCol w:w="638"/>
        <w:gridCol w:w="3827"/>
      </w:tblGrid>
      <w:tr w:rsidR="00512679" w14:paraId="6265A7F5" w14:textId="77777777">
        <w:trPr>
          <w:cnfStyle w:val="100000000000" w:firstRow="1" w:lastRow="0" w:firstColumn="0" w:lastColumn="0" w:oddVBand="0" w:evenVBand="0" w:oddHBand="0" w:evenHBand="0" w:firstRowFirstColumn="0" w:firstRowLastColumn="0" w:lastRowFirstColumn="0" w:lastRowLastColumn="0"/>
        </w:trPr>
        <w:tc>
          <w:tcPr>
            <w:tcW w:w="1032" w:type="pct"/>
          </w:tcPr>
          <w:p w14:paraId="15B6D305" w14:textId="77777777" w:rsidR="00923BE4" w:rsidRDefault="00923BE4" w:rsidP="00134136">
            <w:pPr>
              <w:pStyle w:val="TableNheader"/>
              <w:rPr>
                <w:lang w:eastAsia="en-AU"/>
              </w:rPr>
            </w:pPr>
            <w:r>
              <w:rPr>
                <w:lang w:eastAsia="en-AU"/>
              </w:rPr>
              <w:t>Key Evaluation Question</w:t>
            </w:r>
          </w:p>
        </w:tc>
        <w:tc>
          <w:tcPr>
            <w:tcW w:w="1825" w:type="pct"/>
            <w:gridSpan w:val="2"/>
          </w:tcPr>
          <w:p w14:paraId="21CA30C6" w14:textId="77777777" w:rsidR="00923BE4" w:rsidRDefault="00923BE4" w:rsidP="00134136">
            <w:pPr>
              <w:pStyle w:val="TableNheader"/>
              <w:rPr>
                <w:lang w:eastAsia="en-AU"/>
              </w:rPr>
            </w:pPr>
            <w:r>
              <w:rPr>
                <w:lang w:eastAsia="en-AU"/>
              </w:rPr>
              <w:t>Research Question</w:t>
            </w:r>
          </w:p>
        </w:tc>
        <w:tc>
          <w:tcPr>
            <w:tcW w:w="2143" w:type="pct"/>
          </w:tcPr>
          <w:p w14:paraId="64BDDA1E" w14:textId="77777777" w:rsidR="00923BE4" w:rsidRDefault="00923BE4" w:rsidP="00134136">
            <w:pPr>
              <w:pStyle w:val="TableNheader"/>
              <w:rPr>
                <w:lang w:eastAsia="en-AU"/>
              </w:rPr>
            </w:pPr>
            <w:r>
              <w:rPr>
                <w:lang w:eastAsia="en-AU"/>
              </w:rPr>
              <w:t>Data collection approach</w:t>
            </w:r>
          </w:p>
        </w:tc>
      </w:tr>
      <w:tr w:rsidR="00923BE4" w14:paraId="5295C872" w14:textId="77777777" w:rsidTr="00134136">
        <w:trPr>
          <w:cnfStyle w:val="000000100000" w:firstRow="0" w:lastRow="0" w:firstColumn="0" w:lastColumn="0" w:oddVBand="0" w:evenVBand="0" w:oddHBand="1" w:evenHBand="0" w:firstRowFirstColumn="0" w:firstRowLastColumn="0" w:lastRowFirstColumn="0" w:lastRowLastColumn="0"/>
        </w:trPr>
        <w:tc>
          <w:tcPr>
            <w:tcW w:w="2500" w:type="pct"/>
            <w:gridSpan w:val="2"/>
            <w:shd w:val="clear" w:color="auto" w:fill="00264D" w:themeFill="background2"/>
          </w:tcPr>
          <w:p w14:paraId="70E953E4" w14:textId="77777777" w:rsidR="00923BE4" w:rsidRDefault="00923BE4" w:rsidP="00134136">
            <w:pPr>
              <w:pStyle w:val="TableNText"/>
              <w:rPr>
                <w:lang w:eastAsia="en-AU"/>
              </w:rPr>
            </w:pPr>
            <w:r>
              <w:rPr>
                <w:rFonts w:asciiTheme="majorHAnsi" w:hAnsiTheme="majorHAnsi" w:cstheme="majorHAnsi"/>
                <w:lang w:eastAsia="en-AU"/>
              </w:rPr>
              <w:t>PROCESS EVALUATION</w:t>
            </w:r>
          </w:p>
        </w:tc>
        <w:tc>
          <w:tcPr>
            <w:tcW w:w="2500" w:type="pct"/>
            <w:gridSpan w:val="2"/>
            <w:shd w:val="clear" w:color="auto" w:fill="00264D" w:themeFill="background2"/>
          </w:tcPr>
          <w:p w14:paraId="424455A1" w14:textId="77777777" w:rsidR="00923BE4" w:rsidRPr="0007237F" w:rsidRDefault="00923BE4" w:rsidP="00134136">
            <w:pPr>
              <w:pStyle w:val="TableNText"/>
              <w:rPr>
                <w:rFonts w:asciiTheme="majorHAnsi" w:hAnsiTheme="majorHAnsi" w:cstheme="majorHAnsi"/>
                <w:lang w:eastAsia="en-AU"/>
              </w:rPr>
            </w:pPr>
          </w:p>
        </w:tc>
      </w:tr>
      <w:tr w:rsidR="00923BE4" w14:paraId="571BA878" w14:textId="77777777" w:rsidTr="00134136">
        <w:trPr>
          <w:cnfStyle w:val="000000010000" w:firstRow="0" w:lastRow="0" w:firstColumn="0" w:lastColumn="0" w:oddVBand="0" w:evenVBand="0" w:oddHBand="0" w:evenHBand="1" w:firstRowFirstColumn="0" w:firstRowLastColumn="0" w:lastRowFirstColumn="0" w:lastRowLastColumn="0"/>
        </w:trPr>
        <w:tc>
          <w:tcPr>
            <w:tcW w:w="1032" w:type="pct"/>
          </w:tcPr>
          <w:p w14:paraId="573797C7" w14:textId="77777777" w:rsidR="00923BE4" w:rsidRDefault="00923BE4" w:rsidP="00134136">
            <w:pPr>
              <w:pStyle w:val="TableNText"/>
              <w:rPr>
                <w:lang w:eastAsia="en-AU"/>
              </w:rPr>
            </w:pPr>
            <w:r>
              <w:rPr>
                <w:lang w:eastAsia="en-AU"/>
              </w:rPr>
              <w:t xml:space="preserve">To what extent is the preferred option appropriate to address the policy problems? </w:t>
            </w:r>
          </w:p>
        </w:tc>
        <w:tc>
          <w:tcPr>
            <w:tcW w:w="1825" w:type="pct"/>
            <w:gridSpan w:val="2"/>
          </w:tcPr>
          <w:p w14:paraId="0AC68962" w14:textId="77777777" w:rsidR="00923BE4" w:rsidRDefault="00923BE4" w:rsidP="00134136">
            <w:pPr>
              <w:pStyle w:val="TableNBullet"/>
            </w:pPr>
            <w:r>
              <w:t>Were the right problems identified?</w:t>
            </w:r>
          </w:p>
          <w:p w14:paraId="7D913124" w14:textId="69698415" w:rsidR="00923BE4" w:rsidRDefault="00923BE4" w:rsidP="00134136">
            <w:pPr>
              <w:pStyle w:val="TableNBullet"/>
            </w:pPr>
            <w:r>
              <w:t xml:space="preserve">How have the food and regulatory conditions changed since the implementation of the preferred option? </w:t>
            </w:r>
          </w:p>
          <w:p w14:paraId="4617294A" w14:textId="77777777" w:rsidR="00923BE4" w:rsidRDefault="00923BE4" w:rsidP="00134136">
            <w:pPr>
              <w:pStyle w:val="TableNBullet"/>
            </w:pPr>
            <w:r>
              <w:t xml:space="preserve">How well does the preferred option align with best practice regulation? </w:t>
            </w:r>
          </w:p>
        </w:tc>
        <w:tc>
          <w:tcPr>
            <w:tcW w:w="2143" w:type="pct"/>
          </w:tcPr>
          <w:p w14:paraId="0197D56D" w14:textId="77777777" w:rsidR="00923BE4" w:rsidRPr="004D4A6B" w:rsidRDefault="00923BE4" w:rsidP="00134136">
            <w:pPr>
              <w:pStyle w:val="TableNBullet"/>
              <w:numPr>
                <w:ilvl w:val="0"/>
                <w:numId w:val="0"/>
              </w:numPr>
              <w:rPr>
                <w:rFonts w:asciiTheme="majorHAnsi" w:hAnsiTheme="majorHAnsi" w:cstheme="majorHAnsi"/>
              </w:rPr>
            </w:pPr>
            <w:r w:rsidRPr="004D4A6B">
              <w:rPr>
                <w:rFonts w:asciiTheme="majorHAnsi" w:hAnsiTheme="majorHAnsi" w:cstheme="majorHAnsi"/>
              </w:rPr>
              <w:t>Stakeholder engagement</w:t>
            </w:r>
          </w:p>
          <w:p w14:paraId="38E36C66" w14:textId="77777777" w:rsidR="00923BE4" w:rsidRDefault="00923BE4" w:rsidP="00134136">
            <w:pPr>
              <w:pStyle w:val="TableNBullet"/>
            </w:pPr>
            <w:r>
              <w:t xml:space="preserve">Engage with FSANZ staff to understand current state and identify operational and legislative issues. </w:t>
            </w:r>
          </w:p>
          <w:p w14:paraId="07C24892" w14:textId="77777777" w:rsidR="00923BE4" w:rsidRDefault="00923BE4" w:rsidP="00134136">
            <w:pPr>
              <w:pStyle w:val="TableNBullet"/>
              <w:numPr>
                <w:ilvl w:val="0"/>
                <w:numId w:val="0"/>
              </w:numPr>
            </w:pPr>
            <w:r w:rsidRPr="004D4A6B">
              <w:rPr>
                <w:rFonts w:asciiTheme="majorHAnsi" w:hAnsiTheme="majorHAnsi" w:cstheme="majorHAnsi"/>
              </w:rPr>
              <w:t>Desktop review</w:t>
            </w:r>
          </w:p>
          <w:p w14:paraId="4366BADE" w14:textId="77777777" w:rsidR="00923BE4" w:rsidRDefault="00923BE4" w:rsidP="00134136">
            <w:pPr>
              <w:pStyle w:val="TableNBullet"/>
            </w:pPr>
            <w:r>
              <w:t>Literature review of regulatory best practice and food industry trends.</w:t>
            </w:r>
          </w:p>
        </w:tc>
      </w:tr>
      <w:tr w:rsidR="00923BE4" w14:paraId="62FF2EAB" w14:textId="77777777" w:rsidTr="00134136">
        <w:trPr>
          <w:cnfStyle w:val="000000100000" w:firstRow="0" w:lastRow="0" w:firstColumn="0" w:lastColumn="0" w:oddVBand="0" w:evenVBand="0" w:oddHBand="1" w:evenHBand="0" w:firstRowFirstColumn="0" w:firstRowLastColumn="0" w:lastRowFirstColumn="0" w:lastRowLastColumn="0"/>
        </w:trPr>
        <w:tc>
          <w:tcPr>
            <w:tcW w:w="1032" w:type="pct"/>
            <w:shd w:val="clear" w:color="auto" w:fill="F2F2F2" w:themeFill="background1" w:themeFillShade="F2"/>
          </w:tcPr>
          <w:p w14:paraId="5B1AEAEB" w14:textId="77777777" w:rsidR="00923BE4" w:rsidRDefault="00923BE4" w:rsidP="00134136">
            <w:pPr>
              <w:pStyle w:val="TableNText"/>
              <w:rPr>
                <w:lang w:eastAsia="en-AU"/>
              </w:rPr>
            </w:pPr>
            <w:r>
              <w:rPr>
                <w:lang w:eastAsia="en-AU"/>
              </w:rPr>
              <w:t xml:space="preserve">To what extent has the preferred option been implemented as intended? </w:t>
            </w:r>
          </w:p>
        </w:tc>
        <w:tc>
          <w:tcPr>
            <w:tcW w:w="1825" w:type="pct"/>
            <w:gridSpan w:val="2"/>
            <w:shd w:val="clear" w:color="auto" w:fill="F2F2F2" w:themeFill="background1" w:themeFillShade="F2"/>
          </w:tcPr>
          <w:p w14:paraId="32B325B8" w14:textId="77777777" w:rsidR="00923BE4" w:rsidRDefault="00923BE4" w:rsidP="00134136">
            <w:pPr>
              <w:pStyle w:val="TableNBullet"/>
            </w:pPr>
            <w:r>
              <w:t xml:space="preserve">What outputs have been delivered to date? </w:t>
            </w:r>
          </w:p>
          <w:p w14:paraId="1DBAD059" w14:textId="42862B8B" w:rsidR="00923BE4" w:rsidRDefault="00923BE4" w:rsidP="00134136">
            <w:pPr>
              <w:pStyle w:val="TableNBullet"/>
            </w:pPr>
            <w:r>
              <w:t xml:space="preserve">Have these outputs been as expected? To what extent do they meet the expected reach and scale </w:t>
            </w:r>
            <w:r w:rsidR="00C61DEA">
              <w:t>(</w:t>
            </w:r>
            <w:proofErr w:type="gramStart"/>
            <w:r w:rsidR="00783105">
              <w:t>e.g.</w:t>
            </w:r>
            <w:proofErr w:type="gramEnd"/>
            <w:r>
              <w:t xml:space="preserve"> has cost recovered revenue significantly increased; has time</w:t>
            </w:r>
            <w:r w:rsidR="00EE71E9">
              <w:t xml:space="preserve"> to</w:t>
            </w:r>
            <w:r>
              <w:t xml:space="preserve"> assess applications significantly decreased)</w:t>
            </w:r>
            <w:r w:rsidR="00262641">
              <w:t>?</w:t>
            </w:r>
          </w:p>
        </w:tc>
        <w:tc>
          <w:tcPr>
            <w:tcW w:w="2143" w:type="pct"/>
            <w:shd w:val="clear" w:color="auto" w:fill="F2F2F2" w:themeFill="background1" w:themeFillShade="F2"/>
          </w:tcPr>
          <w:p w14:paraId="22D7AB45" w14:textId="77777777" w:rsidR="00923BE4" w:rsidRPr="004D4A6B" w:rsidRDefault="00923BE4" w:rsidP="00134136">
            <w:pPr>
              <w:pStyle w:val="TableNBullet"/>
              <w:numPr>
                <w:ilvl w:val="0"/>
                <w:numId w:val="0"/>
              </w:numPr>
              <w:rPr>
                <w:rFonts w:asciiTheme="majorHAnsi" w:hAnsiTheme="majorHAnsi" w:cstheme="majorHAnsi"/>
              </w:rPr>
            </w:pPr>
            <w:r w:rsidRPr="004D4A6B">
              <w:rPr>
                <w:rFonts w:asciiTheme="majorHAnsi" w:hAnsiTheme="majorHAnsi" w:cstheme="majorHAnsi"/>
              </w:rPr>
              <w:t>Stakeholder engagement</w:t>
            </w:r>
          </w:p>
          <w:p w14:paraId="46D22DBD" w14:textId="77777777" w:rsidR="00923BE4" w:rsidRDefault="00923BE4" w:rsidP="00134136">
            <w:pPr>
              <w:pStyle w:val="TableNBullet"/>
            </w:pPr>
            <w:r>
              <w:t>Engage with FSANZ staff to understand implementation of the preferred option and identify barriers and enablers to its success.</w:t>
            </w:r>
          </w:p>
          <w:p w14:paraId="083183EE" w14:textId="77777777" w:rsidR="00923BE4" w:rsidRPr="004D4A6B" w:rsidRDefault="00923BE4" w:rsidP="00134136">
            <w:pPr>
              <w:pStyle w:val="TableNBullet"/>
              <w:numPr>
                <w:ilvl w:val="0"/>
                <w:numId w:val="0"/>
              </w:numPr>
              <w:rPr>
                <w:rFonts w:asciiTheme="majorHAnsi" w:hAnsiTheme="majorHAnsi" w:cstheme="majorHAnsi"/>
              </w:rPr>
            </w:pPr>
            <w:r w:rsidRPr="004D4A6B">
              <w:rPr>
                <w:rFonts w:asciiTheme="majorHAnsi" w:hAnsiTheme="majorHAnsi" w:cstheme="majorHAnsi"/>
              </w:rPr>
              <w:t>Quantitative analysis</w:t>
            </w:r>
          </w:p>
          <w:p w14:paraId="6E9EF3E3" w14:textId="533DF98D" w:rsidR="00923BE4" w:rsidRDefault="00923BE4" w:rsidP="00134136">
            <w:pPr>
              <w:pStyle w:val="TableNBullet"/>
            </w:pPr>
            <w:r>
              <w:t xml:space="preserve">Analyse administrative data to understand outputs </w:t>
            </w:r>
            <w:r w:rsidR="00C61DEA">
              <w:t>(</w:t>
            </w:r>
            <w:proofErr w:type="gramStart"/>
            <w:r w:rsidR="00783105">
              <w:t>e.g.</w:t>
            </w:r>
            <w:proofErr w:type="gramEnd"/>
            <w:r>
              <w:t xml:space="preserve"> number of applications assessed, time to assess applications, cost recovered revenue). </w:t>
            </w:r>
          </w:p>
        </w:tc>
      </w:tr>
      <w:tr w:rsidR="00923BE4" w14:paraId="46882EE9" w14:textId="77777777" w:rsidTr="00134136">
        <w:trPr>
          <w:cnfStyle w:val="000000010000" w:firstRow="0" w:lastRow="0" w:firstColumn="0" w:lastColumn="0" w:oddVBand="0" w:evenVBand="0" w:oddHBand="0" w:evenHBand="1" w:firstRowFirstColumn="0" w:firstRowLastColumn="0" w:lastRowFirstColumn="0" w:lastRowLastColumn="0"/>
        </w:trPr>
        <w:tc>
          <w:tcPr>
            <w:tcW w:w="1032" w:type="pct"/>
          </w:tcPr>
          <w:p w14:paraId="72AE42D7" w14:textId="77777777" w:rsidR="00923BE4" w:rsidRDefault="00923BE4" w:rsidP="00134136">
            <w:pPr>
              <w:pStyle w:val="TableNText"/>
              <w:rPr>
                <w:lang w:eastAsia="en-AU"/>
              </w:rPr>
            </w:pPr>
            <w:r>
              <w:rPr>
                <w:lang w:eastAsia="en-AU"/>
              </w:rPr>
              <w:t>What factors have shaped the implementation?</w:t>
            </w:r>
          </w:p>
        </w:tc>
        <w:tc>
          <w:tcPr>
            <w:tcW w:w="1825" w:type="pct"/>
            <w:gridSpan w:val="2"/>
          </w:tcPr>
          <w:p w14:paraId="22472173" w14:textId="77777777" w:rsidR="00923BE4" w:rsidRDefault="00923BE4" w:rsidP="00134136">
            <w:pPr>
              <w:pStyle w:val="TableNBullet"/>
            </w:pPr>
            <w:r>
              <w:t xml:space="preserve">What factors are considered to have enabled or constrained the progress and quality of implementation of the preferred option? </w:t>
            </w:r>
          </w:p>
          <w:p w14:paraId="1DDB0F9F" w14:textId="7AC97E13" w:rsidR="00923BE4" w:rsidRDefault="00923BE4" w:rsidP="00134136">
            <w:pPr>
              <w:pStyle w:val="TableNBullet"/>
            </w:pPr>
            <w:r>
              <w:t xml:space="preserve">What ongoing or emerging opportunities and risks exist that should inform decisions and future implementation? </w:t>
            </w:r>
          </w:p>
        </w:tc>
        <w:tc>
          <w:tcPr>
            <w:tcW w:w="2143" w:type="pct"/>
          </w:tcPr>
          <w:p w14:paraId="77F30E3D" w14:textId="77777777" w:rsidR="00923BE4" w:rsidRPr="004D4A6B" w:rsidRDefault="00923BE4" w:rsidP="00134136">
            <w:pPr>
              <w:pStyle w:val="TableNBullet"/>
              <w:numPr>
                <w:ilvl w:val="0"/>
                <w:numId w:val="0"/>
              </w:numPr>
              <w:rPr>
                <w:rFonts w:asciiTheme="majorHAnsi" w:hAnsiTheme="majorHAnsi" w:cstheme="majorHAnsi"/>
              </w:rPr>
            </w:pPr>
            <w:r w:rsidRPr="004D4A6B">
              <w:rPr>
                <w:rFonts w:asciiTheme="majorHAnsi" w:hAnsiTheme="majorHAnsi" w:cstheme="majorHAnsi"/>
              </w:rPr>
              <w:t>Stakeholder engagement</w:t>
            </w:r>
          </w:p>
          <w:p w14:paraId="4276454D" w14:textId="77777777" w:rsidR="00923BE4" w:rsidRDefault="00923BE4" w:rsidP="00134136">
            <w:pPr>
              <w:pStyle w:val="TableNBullet"/>
            </w:pPr>
            <w:r w:rsidRPr="00A264DA">
              <w:t>Engage with FSANZ</w:t>
            </w:r>
            <w:r>
              <w:t xml:space="preserve"> staff to understand implementation and opportunities for improvement.</w:t>
            </w:r>
          </w:p>
          <w:p w14:paraId="4E4D80A6" w14:textId="77777777" w:rsidR="00923BE4" w:rsidRDefault="00923BE4" w:rsidP="00134136">
            <w:pPr>
              <w:pStyle w:val="TableNBullet"/>
            </w:pPr>
            <w:r w:rsidRPr="00A264DA">
              <w:t>Engage with industry</w:t>
            </w:r>
            <w:r>
              <w:t xml:space="preserve"> to contextualise implementation data and understand how it has impacted perceptions and behaviour. </w:t>
            </w:r>
          </w:p>
          <w:p w14:paraId="0E4D4CCE" w14:textId="77777777" w:rsidR="00923BE4" w:rsidRDefault="00923BE4" w:rsidP="00134136">
            <w:pPr>
              <w:pStyle w:val="TableNBullet"/>
            </w:pPr>
            <w:r w:rsidRPr="00A264DA">
              <w:t>Engage with governments</w:t>
            </w:r>
            <w:r>
              <w:t xml:space="preserve"> to contextualise implementation data and understand how it has impacted perceptions and behaviour. </w:t>
            </w:r>
          </w:p>
        </w:tc>
      </w:tr>
      <w:tr w:rsidR="00923BE4" w14:paraId="215724DD" w14:textId="77777777" w:rsidTr="00134136">
        <w:trPr>
          <w:cnfStyle w:val="000000100000" w:firstRow="0" w:lastRow="0" w:firstColumn="0" w:lastColumn="0" w:oddVBand="0" w:evenVBand="0" w:oddHBand="1" w:evenHBand="0" w:firstRowFirstColumn="0" w:firstRowLastColumn="0" w:lastRowFirstColumn="0" w:lastRowLastColumn="0"/>
        </w:trPr>
        <w:tc>
          <w:tcPr>
            <w:tcW w:w="2500" w:type="pct"/>
            <w:gridSpan w:val="2"/>
            <w:shd w:val="clear" w:color="auto" w:fill="00264D" w:themeFill="background2"/>
          </w:tcPr>
          <w:p w14:paraId="717C83B2" w14:textId="77777777" w:rsidR="00923BE4" w:rsidRPr="00D92402" w:rsidRDefault="00923BE4" w:rsidP="00134136">
            <w:pPr>
              <w:pStyle w:val="TableNText"/>
              <w:rPr>
                <w:rFonts w:asciiTheme="majorHAnsi" w:hAnsiTheme="majorHAnsi" w:cstheme="majorHAnsi"/>
                <w:lang w:eastAsia="en-AU"/>
              </w:rPr>
            </w:pPr>
            <w:r>
              <w:rPr>
                <w:rFonts w:asciiTheme="majorHAnsi" w:hAnsiTheme="majorHAnsi" w:cstheme="majorHAnsi"/>
                <w:lang w:eastAsia="en-AU"/>
              </w:rPr>
              <w:t>OUTCOMES EVALUATION</w:t>
            </w:r>
          </w:p>
        </w:tc>
        <w:tc>
          <w:tcPr>
            <w:tcW w:w="2500" w:type="pct"/>
            <w:gridSpan w:val="2"/>
            <w:shd w:val="clear" w:color="auto" w:fill="00264D" w:themeFill="background2"/>
          </w:tcPr>
          <w:p w14:paraId="50D548D0" w14:textId="77777777" w:rsidR="00923BE4" w:rsidRPr="00D92402" w:rsidRDefault="00923BE4" w:rsidP="00134136">
            <w:pPr>
              <w:pStyle w:val="TableNText"/>
              <w:rPr>
                <w:rFonts w:asciiTheme="majorHAnsi" w:hAnsiTheme="majorHAnsi" w:cstheme="majorHAnsi"/>
                <w:lang w:eastAsia="en-AU"/>
              </w:rPr>
            </w:pPr>
          </w:p>
        </w:tc>
      </w:tr>
      <w:tr w:rsidR="00923BE4" w14:paraId="5E56F364" w14:textId="77777777" w:rsidTr="00134136">
        <w:trPr>
          <w:cnfStyle w:val="000000010000" w:firstRow="0" w:lastRow="0" w:firstColumn="0" w:lastColumn="0" w:oddVBand="0" w:evenVBand="0" w:oddHBand="0" w:evenHBand="1" w:firstRowFirstColumn="0" w:firstRowLastColumn="0" w:lastRowFirstColumn="0" w:lastRowLastColumn="0"/>
        </w:trPr>
        <w:tc>
          <w:tcPr>
            <w:tcW w:w="1032" w:type="pct"/>
            <w:shd w:val="clear" w:color="auto" w:fill="E6E6E1" w:themeFill="accent5"/>
          </w:tcPr>
          <w:p w14:paraId="272DE8D6" w14:textId="77777777" w:rsidR="00923BE4" w:rsidRDefault="00923BE4" w:rsidP="00134136">
            <w:pPr>
              <w:pStyle w:val="TableNText"/>
              <w:rPr>
                <w:lang w:eastAsia="en-AU"/>
              </w:rPr>
            </w:pPr>
            <w:r>
              <w:rPr>
                <w:lang w:eastAsia="en-AU"/>
              </w:rPr>
              <w:t xml:space="preserve">To what extent are the intended outcomes being achieved? </w:t>
            </w:r>
          </w:p>
        </w:tc>
        <w:tc>
          <w:tcPr>
            <w:tcW w:w="1825" w:type="pct"/>
            <w:gridSpan w:val="2"/>
            <w:shd w:val="clear" w:color="auto" w:fill="E6E6E1" w:themeFill="accent5"/>
          </w:tcPr>
          <w:p w14:paraId="274A1636" w14:textId="77777777" w:rsidR="00923BE4" w:rsidRDefault="00923BE4" w:rsidP="00134136">
            <w:pPr>
              <w:pStyle w:val="TableNBullet"/>
            </w:pPr>
            <w:r>
              <w:t xml:space="preserve">What outcomes have been achieved to date? </w:t>
            </w:r>
          </w:p>
          <w:p w14:paraId="6042DF7F" w14:textId="77777777" w:rsidR="00923BE4" w:rsidRDefault="00923BE4" w:rsidP="00134136">
            <w:pPr>
              <w:pStyle w:val="TableNBullet"/>
            </w:pPr>
            <w:r>
              <w:t xml:space="preserve">Have these outcomes been as expected? Why or why not? </w:t>
            </w:r>
          </w:p>
        </w:tc>
        <w:tc>
          <w:tcPr>
            <w:tcW w:w="2143" w:type="pct"/>
            <w:shd w:val="clear" w:color="auto" w:fill="E6E6E1" w:themeFill="accent5"/>
          </w:tcPr>
          <w:p w14:paraId="0084E8BA" w14:textId="77777777" w:rsidR="00923BE4" w:rsidRPr="004D4A6B" w:rsidRDefault="00923BE4" w:rsidP="00134136">
            <w:pPr>
              <w:pStyle w:val="TableNBullet"/>
              <w:numPr>
                <w:ilvl w:val="0"/>
                <w:numId w:val="0"/>
              </w:numPr>
              <w:rPr>
                <w:rFonts w:asciiTheme="majorHAnsi" w:hAnsiTheme="majorHAnsi" w:cstheme="majorHAnsi"/>
              </w:rPr>
            </w:pPr>
            <w:r w:rsidRPr="004D4A6B">
              <w:rPr>
                <w:rFonts w:asciiTheme="majorHAnsi" w:hAnsiTheme="majorHAnsi" w:cstheme="majorHAnsi"/>
              </w:rPr>
              <w:t>Stakeholder engagement</w:t>
            </w:r>
          </w:p>
          <w:p w14:paraId="05E0D608" w14:textId="762301E6" w:rsidR="00923BE4" w:rsidRDefault="00923BE4" w:rsidP="00134136">
            <w:pPr>
              <w:pStyle w:val="TableNBullet"/>
            </w:pPr>
            <w:r>
              <w:t xml:space="preserve">Engage with FSANZ, government, and industry staff to understand perspectives on the success and contribution to achieving outcomes of the components of the preferred option. </w:t>
            </w:r>
          </w:p>
          <w:p w14:paraId="1D7F95B3" w14:textId="77777777" w:rsidR="00923BE4" w:rsidRPr="004D4A6B" w:rsidRDefault="00923BE4" w:rsidP="00134136">
            <w:pPr>
              <w:pStyle w:val="TableNBullet"/>
              <w:numPr>
                <w:ilvl w:val="0"/>
                <w:numId w:val="0"/>
              </w:numPr>
              <w:rPr>
                <w:rFonts w:asciiTheme="majorHAnsi" w:hAnsiTheme="majorHAnsi" w:cstheme="majorHAnsi"/>
              </w:rPr>
            </w:pPr>
            <w:r w:rsidRPr="004D4A6B">
              <w:rPr>
                <w:rFonts w:asciiTheme="majorHAnsi" w:hAnsiTheme="majorHAnsi" w:cstheme="majorHAnsi"/>
              </w:rPr>
              <w:t>Quantitative analysis</w:t>
            </w:r>
          </w:p>
          <w:p w14:paraId="429EBA1E" w14:textId="05605EFD" w:rsidR="00923BE4" w:rsidRDefault="00923BE4" w:rsidP="00134136">
            <w:pPr>
              <w:pStyle w:val="TableNBullet"/>
            </w:pPr>
            <w:r>
              <w:t xml:space="preserve">See </w:t>
            </w:r>
            <w:r>
              <w:fldChar w:fldCharType="begin"/>
            </w:r>
            <w:r>
              <w:instrText xml:space="preserve"> REF _Ref137136366 \h  \* MERGEFORMAT </w:instrText>
            </w:r>
            <w:r>
              <w:fldChar w:fldCharType="separate"/>
            </w:r>
            <w:r w:rsidR="003F7B92">
              <w:t xml:space="preserve">Table </w:t>
            </w:r>
            <w:r w:rsidR="003F7B92">
              <w:rPr>
                <w:noProof/>
              </w:rPr>
              <w:t>33</w:t>
            </w:r>
            <w:r>
              <w:fldChar w:fldCharType="end"/>
            </w:r>
            <w:r>
              <w:t>, i</w:t>
            </w:r>
            <w:r w:rsidRPr="00501AF1">
              <w:t>ndicators of success against the outcomes of the Act Review</w:t>
            </w:r>
            <w:r>
              <w:t>.</w:t>
            </w:r>
          </w:p>
        </w:tc>
      </w:tr>
      <w:tr w:rsidR="00923BE4" w14:paraId="7AEA6165" w14:textId="77777777" w:rsidTr="00134136">
        <w:trPr>
          <w:cnfStyle w:val="000000100000" w:firstRow="0" w:lastRow="0" w:firstColumn="0" w:lastColumn="0" w:oddVBand="0" w:evenVBand="0" w:oddHBand="1" w:evenHBand="0" w:firstRowFirstColumn="0" w:firstRowLastColumn="0" w:lastRowFirstColumn="0" w:lastRowLastColumn="0"/>
        </w:trPr>
        <w:tc>
          <w:tcPr>
            <w:tcW w:w="1032" w:type="pct"/>
          </w:tcPr>
          <w:p w14:paraId="48C4276F" w14:textId="77777777" w:rsidR="00923BE4" w:rsidRDefault="00923BE4" w:rsidP="00134136">
            <w:pPr>
              <w:pStyle w:val="TableNText"/>
              <w:rPr>
                <w:lang w:eastAsia="en-AU"/>
              </w:rPr>
            </w:pPr>
            <w:r>
              <w:rPr>
                <w:lang w:eastAsia="en-AU"/>
              </w:rPr>
              <w:t>What factors have shaped the outcomes and impact?</w:t>
            </w:r>
          </w:p>
        </w:tc>
        <w:tc>
          <w:tcPr>
            <w:tcW w:w="1825" w:type="pct"/>
            <w:gridSpan w:val="2"/>
          </w:tcPr>
          <w:p w14:paraId="28299A94" w14:textId="68ECBC07" w:rsidR="00923BE4" w:rsidRDefault="00923BE4" w:rsidP="00134136">
            <w:pPr>
              <w:pStyle w:val="TableNBullet"/>
            </w:pPr>
            <w:r>
              <w:t xml:space="preserve">What factors </w:t>
            </w:r>
            <w:r w:rsidR="00C61DEA">
              <w:t>(</w:t>
            </w:r>
            <w:proofErr w:type="gramStart"/>
            <w:r w:rsidR="00783105">
              <w:t>e.g.</w:t>
            </w:r>
            <w:proofErr w:type="gramEnd"/>
            <w:r>
              <w:t xml:space="preserve"> contextual factors, resourcing, capacity) have affected the size and value of the impacts?</w:t>
            </w:r>
          </w:p>
          <w:p w14:paraId="5F1BDDA8" w14:textId="1FFBC9EE" w:rsidR="00923BE4" w:rsidRDefault="00923BE4" w:rsidP="00134136">
            <w:pPr>
              <w:pStyle w:val="TableNBullet"/>
            </w:pPr>
            <w:r>
              <w:t>What opportunities exist to further strengthen the Act?</w:t>
            </w:r>
          </w:p>
        </w:tc>
        <w:tc>
          <w:tcPr>
            <w:tcW w:w="2143" w:type="pct"/>
          </w:tcPr>
          <w:p w14:paraId="4B135138" w14:textId="77777777" w:rsidR="00923BE4" w:rsidRPr="004D4A6B" w:rsidRDefault="00923BE4" w:rsidP="00134136">
            <w:pPr>
              <w:pStyle w:val="TableNBullet"/>
              <w:numPr>
                <w:ilvl w:val="0"/>
                <w:numId w:val="0"/>
              </w:numPr>
              <w:rPr>
                <w:rFonts w:asciiTheme="majorHAnsi" w:hAnsiTheme="majorHAnsi" w:cstheme="majorHAnsi"/>
              </w:rPr>
            </w:pPr>
            <w:r w:rsidRPr="004D4A6B">
              <w:rPr>
                <w:rFonts w:asciiTheme="majorHAnsi" w:hAnsiTheme="majorHAnsi" w:cstheme="majorHAnsi"/>
              </w:rPr>
              <w:t>Stakeholder engagement</w:t>
            </w:r>
          </w:p>
          <w:p w14:paraId="3F1FAD5B" w14:textId="77777777" w:rsidR="00923BE4" w:rsidRDefault="00923BE4" w:rsidP="00134136">
            <w:pPr>
              <w:pStyle w:val="TableNBullet"/>
            </w:pPr>
            <w:r>
              <w:t xml:space="preserve">Engage with FSANZ, government, and industry staff to understand why or why not components of the preferred option achieved their intended outcomes. </w:t>
            </w:r>
          </w:p>
          <w:p w14:paraId="3D4A57FF" w14:textId="77777777" w:rsidR="00923BE4" w:rsidRPr="004D4A6B" w:rsidRDefault="00923BE4" w:rsidP="00134136">
            <w:pPr>
              <w:pStyle w:val="TableNBullet"/>
              <w:numPr>
                <w:ilvl w:val="0"/>
                <w:numId w:val="0"/>
              </w:numPr>
              <w:rPr>
                <w:rFonts w:asciiTheme="majorHAnsi" w:hAnsiTheme="majorHAnsi" w:cstheme="majorHAnsi"/>
              </w:rPr>
            </w:pPr>
            <w:r w:rsidRPr="004D4A6B">
              <w:rPr>
                <w:rFonts w:asciiTheme="majorHAnsi" w:hAnsiTheme="majorHAnsi" w:cstheme="majorHAnsi"/>
              </w:rPr>
              <w:t>Quantitative analysis</w:t>
            </w:r>
          </w:p>
          <w:p w14:paraId="681EA69A" w14:textId="2A6B265E" w:rsidR="00923BE4" w:rsidRDefault="00923BE4" w:rsidP="00134136">
            <w:pPr>
              <w:pStyle w:val="TableNBullet"/>
            </w:pPr>
            <w:r>
              <w:lastRenderedPageBreak/>
              <w:t xml:space="preserve">See </w:t>
            </w:r>
            <w:r>
              <w:fldChar w:fldCharType="begin"/>
            </w:r>
            <w:r>
              <w:instrText xml:space="preserve"> REF _Ref137136366 \h </w:instrText>
            </w:r>
            <w:r>
              <w:fldChar w:fldCharType="separate"/>
            </w:r>
            <w:r w:rsidR="003F7B92">
              <w:t xml:space="preserve">Table </w:t>
            </w:r>
            <w:r w:rsidR="003F7B92">
              <w:rPr>
                <w:noProof/>
              </w:rPr>
              <w:t>33</w:t>
            </w:r>
            <w:r>
              <w:fldChar w:fldCharType="end"/>
            </w:r>
            <w:r>
              <w:t>, i</w:t>
            </w:r>
            <w:r w:rsidRPr="00501AF1">
              <w:t>ndicators of success against the outcomes of the Act Review</w:t>
            </w:r>
            <w:r>
              <w:t>.</w:t>
            </w:r>
          </w:p>
        </w:tc>
      </w:tr>
    </w:tbl>
    <w:p w14:paraId="0CA75EC6" w14:textId="77777777" w:rsidR="00923BE4" w:rsidRDefault="00923BE4" w:rsidP="00923BE4"/>
    <w:p w14:paraId="0BEB87CE" w14:textId="1FFC1E81" w:rsidR="00923BE4" w:rsidRPr="00FF5FCC" w:rsidRDefault="00923BE4" w:rsidP="00923BE4">
      <w:r>
        <w:fldChar w:fldCharType="begin"/>
      </w:r>
      <w:r>
        <w:instrText xml:space="preserve"> REF _Ref137136366 \h </w:instrText>
      </w:r>
      <w:r>
        <w:fldChar w:fldCharType="separate"/>
      </w:r>
      <w:r w:rsidR="003F7B92">
        <w:t xml:space="preserve">Table </w:t>
      </w:r>
      <w:r w:rsidR="003F7B92">
        <w:rPr>
          <w:noProof/>
        </w:rPr>
        <w:t>33</w:t>
      </w:r>
      <w:r>
        <w:fldChar w:fldCharType="end"/>
      </w:r>
      <w:r>
        <w:t xml:space="preserve"> </w:t>
      </w:r>
      <w:r>
        <w:fldChar w:fldCharType="begin"/>
      </w:r>
      <w:r>
        <w:instrText xml:space="preserve"> REF _Ref137137229 \p \h </w:instrText>
      </w:r>
      <w:r>
        <w:fldChar w:fldCharType="separate"/>
      </w:r>
      <w:r w:rsidR="003F7B92">
        <w:t>below</w:t>
      </w:r>
      <w:r>
        <w:fldChar w:fldCharType="end"/>
      </w:r>
      <w:r>
        <w:t xml:space="preserve"> outlines indicators of success aligned with the intended outcomes of the preferred option. These indicators are categorised as follows:</w:t>
      </w:r>
    </w:p>
    <w:p w14:paraId="65C5B450" w14:textId="27E6BB2D" w:rsidR="00923BE4" w:rsidRDefault="00923BE4" w:rsidP="00923BE4">
      <w:pPr>
        <w:pStyle w:val="Bullet"/>
      </w:pPr>
      <w:r w:rsidRPr="007A616F">
        <w:rPr>
          <w:rFonts w:asciiTheme="majorHAnsi" w:hAnsiTheme="majorHAnsi" w:cstheme="majorHAnsi"/>
        </w:rPr>
        <w:t>Actions</w:t>
      </w:r>
      <w:r>
        <w:t xml:space="preserve"> describe the key activities that should be undertaken by FSANZ to implement the preferred option</w:t>
      </w:r>
      <w:r w:rsidR="000E1FCB">
        <w:t>.</w:t>
      </w:r>
    </w:p>
    <w:p w14:paraId="6CA35007" w14:textId="77777777" w:rsidR="00923BE4" w:rsidRDefault="00923BE4" w:rsidP="00923BE4">
      <w:pPr>
        <w:pStyle w:val="Bullet"/>
      </w:pPr>
      <w:r w:rsidRPr="007A616F">
        <w:rPr>
          <w:rFonts w:asciiTheme="majorHAnsi" w:hAnsiTheme="majorHAnsi" w:cstheme="majorHAnsi"/>
        </w:rPr>
        <w:t>Quantitative data</w:t>
      </w:r>
      <w:r>
        <w:t xml:space="preserve"> should be drawn from administrative databases collected by FSANZ and partners. </w:t>
      </w:r>
    </w:p>
    <w:p w14:paraId="50421D1F" w14:textId="77DB77C1" w:rsidR="00923BE4" w:rsidRDefault="00923BE4" w:rsidP="00923BE4">
      <w:pPr>
        <w:pStyle w:val="Caption"/>
      </w:pPr>
      <w:bookmarkStart w:id="153" w:name="_Ref137136366"/>
      <w:bookmarkStart w:id="154" w:name="_Ref137137229"/>
      <w:r>
        <w:t xml:space="preserve">Table </w:t>
      </w:r>
      <w:r>
        <w:fldChar w:fldCharType="begin"/>
      </w:r>
      <w:r>
        <w:instrText xml:space="preserve"> SEQ Table \* ARABIC </w:instrText>
      </w:r>
      <w:r>
        <w:fldChar w:fldCharType="separate"/>
      </w:r>
      <w:r w:rsidR="003F7B92">
        <w:rPr>
          <w:noProof/>
        </w:rPr>
        <w:t>33</w:t>
      </w:r>
      <w:r>
        <w:fldChar w:fldCharType="end"/>
      </w:r>
      <w:bookmarkEnd w:id="153"/>
      <w:r>
        <w:t xml:space="preserve"> | </w:t>
      </w:r>
      <w:r w:rsidRPr="00161006">
        <w:t xml:space="preserve">Indicators </w:t>
      </w:r>
      <w:r>
        <w:t xml:space="preserve">aligned with </w:t>
      </w:r>
      <w:r w:rsidRPr="00161006">
        <w:t>outcomes of the Act Review</w:t>
      </w:r>
      <w:bookmarkEnd w:id="154"/>
    </w:p>
    <w:tbl>
      <w:tblPr>
        <w:tblStyle w:val="TableGrid"/>
        <w:tblW w:w="0" w:type="auto"/>
        <w:tblLook w:val="04A0" w:firstRow="1" w:lastRow="0" w:firstColumn="1" w:lastColumn="0" w:noHBand="0" w:noVBand="1"/>
      </w:tblPr>
      <w:tblGrid>
        <w:gridCol w:w="1843"/>
        <w:gridCol w:w="7087"/>
      </w:tblGrid>
      <w:tr w:rsidR="00E174E7" w14:paraId="43D79458" w14:textId="77777777">
        <w:trPr>
          <w:cnfStyle w:val="100000000000" w:firstRow="1" w:lastRow="0" w:firstColumn="0" w:lastColumn="0" w:oddVBand="0" w:evenVBand="0" w:oddHBand="0" w:evenHBand="0" w:firstRowFirstColumn="0" w:firstRowLastColumn="0" w:lastRowFirstColumn="0" w:lastRowLastColumn="0"/>
        </w:trPr>
        <w:tc>
          <w:tcPr>
            <w:tcW w:w="1843" w:type="dxa"/>
            <w:vAlign w:val="top"/>
          </w:tcPr>
          <w:p w14:paraId="1363FC6A" w14:textId="77777777" w:rsidR="00923BE4" w:rsidRDefault="00923BE4" w:rsidP="00134136">
            <w:pPr>
              <w:pStyle w:val="TableNheader"/>
              <w:rPr>
                <w:lang w:eastAsia="en-AU"/>
              </w:rPr>
            </w:pPr>
            <w:r w:rsidRPr="0003622D">
              <w:t>Outcome</w:t>
            </w:r>
          </w:p>
        </w:tc>
        <w:tc>
          <w:tcPr>
            <w:tcW w:w="7087" w:type="dxa"/>
            <w:vAlign w:val="top"/>
          </w:tcPr>
          <w:p w14:paraId="7DD7334A" w14:textId="77777777" w:rsidR="00923BE4" w:rsidRDefault="00923BE4" w:rsidP="00134136">
            <w:pPr>
              <w:pStyle w:val="TableNheader"/>
              <w:rPr>
                <w:lang w:eastAsia="en-AU"/>
              </w:rPr>
            </w:pPr>
            <w:r w:rsidRPr="0003622D">
              <w:t>Indicators</w:t>
            </w:r>
          </w:p>
        </w:tc>
      </w:tr>
      <w:tr w:rsidR="00923BE4" w14:paraId="6287DF5C" w14:textId="77777777" w:rsidTr="00134136">
        <w:trPr>
          <w:cnfStyle w:val="000000100000" w:firstRow="0" w:lastRow="0" w:firstColumn="0" w:lastColumn="0" w:oddVBand="0" w:evenVBand="0" w:oddHBand="1" w:evenHBand="0" w:firstRowFirstColumn="0" w:firstRowLastColumn="0" w:lastRowFirstColumn="0" w:lastRowLastColumn="0"/>
        </w:trPr>
        <w:tc>
          <w:tcPr>
            <w:tcW w:w="1843" w:type="dxa"/>
          </w:tcPr>
          <w:p w14:paraId="4062D48D" w14:textId="3D2EFD65" w:rsidR="00923BE4" w:rsidRDefault="00923BE4" w:rsidP="00990294">
            <w:pPr>
              <w:pStyle w:val="TableNText"/>
              <w:rPr>
                <w:lang w:eastAsia="en-AU"/>
              </w:rPr>
            </w:pPr>
            <w:r w:rsidRPr="003C6316">
              <w:t xml:space="preserve">Improved focus and clarity on </w:t>
            </w:r>
            <w:r w:rsidR="004E4D63">
              <w:t>FSANZ’</w:t>
            </w:r>
            <w:r w:rsidR="005D04DB">
              <w:t>s</w:t>
            </w:r>
            <w:r w:rsidRPr="003C6316">
              <w:t xml:space="preserve"> role in food standards</w:t>
            </w:r>
          </w:p>
        </w:tc>
        <w:tc>
          <w:tcPr>
            <w:tcW w:w="7087" w:type="dxa"/>
          </w:tcPr>
          <w:p w14:paraId="2A81043C" w14:textId="77777777" w:rsidR="00923BE4" w:rsidRPr="00021EF3" w:rsidRDefault="00923BE4" w:rsidP="00134136">
            <w:pPr>
              <w:pStyle w:val="TableNText"/>
              <w:rPr>
                <w:rFonts w:asciiTheme="majorHAnsi" w:hAnsiTheme="majorHAnsi" w:cstheme="majorHAnsi"/>
              </w:rPr>
            </w:pPr>
            <w:r w:rsidRPr="00021EF3">
              <w:rPr>
                <w:rFonts w:asciiTheme="majorHAnsi" w:hAnsiTheme="majorHAnsi" w:cstheme="majorHAnsi"/>
              </w:rPr>
              <w:t>Actions</w:t>
            </w:r>
          </w:p>
          <w:p w14:paraId="328C3190" w14:textId="77777777" w:rsidR="00923BE4" w:rsidRDefault="00923BE4" w:rsidP="00134136">
            <w:pPr>
              <w:pStyle w:val="TableNBullet"/>
            </w:pPr>
            <w:r>
              <w:t xml:space="preserve">The Act is amended for clarity and to reflect current </w:t>
            </w:r>
            <w:proofErr w:type="gramStart"/>
            <w:r>
              <w:t>priorities</w:t>
            </w:r>
            <w:proofErr w:type="gramEnd"/>
          </w:p>
          <w:p w14:paraId="47562AE4" w14:textId="77777777" w:rsidR="00923BE4" w:rsidRPr="0014547D" w:rsidRDefault="00923BE4" w:rsidP="00134136">
            <w:pPr>
              <w:pStyle w:val="TableNBullet"/>
              <w:numPr>
                <w:ilvl w:val="0"/>
                <w:numId w:val="0"/>
              </w:numPr>
              <w:ind w:left="227" w:hanging="227"/>
              <w:rPr>
                <w:rFonts w:asciiTheme="majorHAnsi" w:hAnsiTheme="majorHAnsi" w:cstheme="majorHAnsi"/>
              </w:rPr>
            </w:pPr>
            <w:r w:rsidRPr="0014547D">
              <w:rPr>
                <w:rFonts w:asciiTheme="majorHAnsi" w:hAnsiTheme="majorHAnsi" w:cstheme="majorHAnsi"/>
              </w:rPr>
              <w:t>Quantitative data</w:t>
            </w:r>
          </w:p>
          <w:p w14:paraId="4FB854E7" w14:textId="77777777" w:rsidR="00923BE4" w:rsidRDefault="00923BE4" w:rsidP="00134136">
            <w:pPr>
              <w:pStyle w:val="TableNBullet"/>
            </w:pPr>
            <w:r>
              <w:t xml:space="preserve">Number of reviews of existing standards conducted by </w:t>
            </w:r>
            <w:proofErr w:type="gramStart"/>
            <w:r>
              <w:t>FSANZ</w:t>
            </w:r>
            <w:proofErr w:type="gramEnd"/>
          </w:p>
          <w:p w14:paraId="6D9E0738" w14:textId="77777777" w:rsidR="00923BE4" w:rsidRDefault="00923BE4" w:rsidP="00134136">
            <w:pPr>
              <w:pStyle w:val="TableNBullet"/>
            </w:pPr>
            <w:r>
              <w:t>Number of food safety databases managed by FSANZ</w:t>
            </w:r>
          </w:p>
        </w:tc>
      </w:tr>
      <w:tr w:rsidR="00923BE4" w14:paraId="05C6CC93" w14:textId="77777777" w:rsidTr="00134136">
        <w:trPr>
          <w:cnfStyle w:val="000000010000" w:firstRow="0" w:lastRow="0" w:firstColumn="0" w:lastColumn="0" w:oddVBand="0" w:evenVBand="0" w:oddHBand="0" w:evenHBand="1" w:firstRowFirstColumn="0" w:firstRowLastColumn="0" w:lastRowFirstColumn="0" w:lastRowLastColumn="0"/>
        </w:trPr>
        <w:tc>
          <w:tcPr>
            <w:tcW w:w="1843" w:type="dxa"/>
          </w:tcPr>
          <w:p w14:paraId="1190BB8B" w14:textId="77777777" w:rsidR="00923BE4" w:rsidRDefault="00923BE4" w:rsidP="00134136">
            <w:pPr>
              <w:pStyle w:val="TableNText"/>
              <w:rPr>
                <w:lang w:eastAsia="en-AU"/>
              </w:rPr>
            </w:pPr>
            <w:r w:rsidRPr="003C6316">
              <w:t>Improved fiscal sustainability of FSANZ</w:t>
            </w:r>
          </w:p>
        </w:tc>
        <w:tc>
          <w:tcPr>
            <w:tcW w:w="7087" w:type="dxa"/>
          </w:tcPr>
          <w:p w14:paraId="78778548" w14:textId="77777777" w:rsidR="00923BE4" w:rsidRPr="00A418CB" w:rsidRDefault="00923BE4" w:rsidP="00134136">
            <w:pPr>
              <w:pStyle w:val="TableNText"/>
              <w:rPr>
                <w:rFonts w:asciiTheme="majorHAnsi" w:hAnsiTheme="majorHAnsi" w:cstheme="majorHAnsi"/>
              </w:rPr>
            </w:pPr>
            <w:r w:rsidRPr="00A418CB">
              <w:rPr>
                <w:rFonts w:asciiTheme="majorHAnsi" w:hAnsiTheme="majorHAnsi" w:cstheme="majorHAnsi"/>
              </w:rPr>
              <w:t>Quantitative data</w:t>
            </w:r>
          </w:p>
          <w:p w14:paraId="1C41076E" w14:textId="77777777" w:rsidR="00923BE4" w:rsidRDefault="00923BE4" w:rsidP="00134136">
            <w:pPr>
              <w:pStyle w:val="TableNBullet"/>
            </w:pPr>
            <w:r>
              <w:t xml:space="preserve">Proportion of FSANZ revenue that is cost recovered, by cost recovery type </w:t>
            </w:r>
          </w:p>
        </w:tc>
      </w:tr>
      <w:tr w:rsidR="00923BE4" w14:paraId="5699284F" w14:textId="77777777" w:rsidTr="00134136">
        <w:trPr>
          <w:cnfStyle w:val="000000100000" w:firstRow="0" w:lastRow="0" w:firstColumn="0" w:lastColumn="0" w:oddVBand="0" w:evenVBand="0" w:oddHBand="1" w:evenHBand="0" w:firstRowFirstColumn="0" w:firstRowLastColumn="0" w:lastRowFirstColumn="0" w:lastRowLastColumn="0"/>
        </w:trPr>
        <w:tc>
          <w:tcPr>
            <w:tcW w:w="1843" w:type="dxa"/>
          </w:tcPr>
          <w:p w14:paraId="36A2CD10" w14:textId="77777777" w:rsidR="00923BE4" w:rsidRDefault="00923BE4" w:rsidP="00134136">
            <w:pPr>
              <w:pStyle w:val="TableNText"/>
              <w:rPr>
                <w:lang w:eastAsia="en-AU"/>
              </w:rPr>
            </w:pPr>
            <w:r w:rsidRPr="003C6316">
              <w:t>Improved integration of FSANZ with the food system</w:t>
            </w:r>
          </w:p>
        </w:tc>
        <w:tc>
          <w:tcPr>
            <w:tcW w:w="7087" w:type="dxa"/>
          </w:tcPr>
          <w:p w14:paraId="1EA1B85B" w14:textId="77777777" w:rsidR="00923BE4" w:rsidRPr="009D0A63" w:rsidRDefault="00923BE4" w:rsidP="00134136">
            <w:pPr>
              <w:pStyle w:val="TableNText"/>
              <w:rPr>
                <w:rFonts w:asciiTheme="majorHAnsi" w:hAnsiTheme="majorHAnsi" w:cstheme="majorHAnsi"/>
              </w:rPr>
            </w:pPr>
            <w:r w:rsidRPr="009D0A63">
              <w:rPr>
                <w:rFonts w:asciiTheme="majorHAnsi" w:hAnsiTheme="majorHAnsi" w:cstheme="majorHAnsi"/>
              </w:rPr>
              <w:t>Actions</w:t>
            </w:r>
          </w:p>
          <w:p w14:paraId="3D2A30DC" w14:textId="77777777" w:rsidR="00923BE4" w:rsidRDefault="00923BE4" w:rsidP="00134136">
            <w:pPr>
              <w:pStyle w:val="TableNBullet"/>
            </w:pPr>
            <w:r>
              <w:t>Established mechanism for regular joint-agenda setting between FSANZ and the FMM</w:t>
            </w:r>
          </w:p>
          <w:p w14:paraId="16A12B6F" w14:textId="77777777" w:rsidR="00923BE4" w:rsidRDefault="00923BE4" w:rsidP="00134136">
            <w:pPr>
              <w:pStyle w:val="TableNBullet"/>
            </w:pPr>
            <w:r>
              <w:t xml:space="preserve">Established mechanism to involve FRSC earlier to understand food safety and regulatory impact of changes to food </w:t>
            </w:r>
            <w:proofErr w:type="gramStart"/>
            <w:r>
              <w:t>standards</w:t>
            </w:r>
            <w:proofErr w:type="gramEnd"/>
          </w:p>
          <w:p w14:paraId="400C0E0D" w14:textId="77777777" w:rsidR="00923BE4" w:rsidRDefault="00923BE4" w:rsidP="00134136">
            <w:pPr>
              <w:pStyle w:val="TableNBullet"/>
            </w:pPr>
            <w:r>
              <w:t xml:space="preserve">Established mechanism for collaboration with enforcement agencies to identify emerging risks and activate appropriate regulatory </w:t>
            </w:r>
            <w:proofErr w:type="gramStart"/>
            <w:r>
              <w:t>response</w:t>
            </w:r>
            <w:proofErr w:type="gramEnd"/>
          </w:p>
          <w:p w14:paraId="2983E290" w14:textId="77777777" w:rsidR="00923BE4" w:rsidRDefault="00923BE4" w:rsidP="00134136">
            <w:pPr>
              <w:pStyle w:val="TableNBullet"/>
            </w:pPr>
            <w:r>
              <w:t xml:space="preserve">Established mechanism for collaboration based on information sharing with overseas </w:t>
            </w:r>
            <w:proofErr w:type="gramStart"/>
            <w:r>
              <w:t>jurisdictions</w:t>
            </w:r>
            <w:proofErr w:type="gramEnd"/>
          </w:p>
          <w:p w14:paraId="43977FFC" w14:textId="77777777" w:rsidR="00923BE4" w:rsidRPr="0014547D" w:rsidRDefault="00923BE4" w:rsidP="00134136">
            <w:pPr>
              <w:pStyle w:val="TableNBullet"/>
              <w:numPr>
                <w:ilvl w:val="0"/>
                <w:numId w:val="0"/>
              </w:numPr>
              <w:ind w:left="227" w:hanging="227"/>
              <w:rPr>
                <w:rFonts w:asciiTheme="majorHAnsi" w:hAnsiTheme="majorHAnsi" w:cstheme="majorHAnsi"/>
              </w:rPr>
            </w:pPr>
            <w:r w:rsidRPr="0014547D">
              <w:rPr>
                <w:rFonts w:asciiTheme="majorHAnsi" w:hAnsiTheme="majorHAnsi" w:cstheme="majorHAnsi"/>
              </w:rPr>
              <w:t>Quantitative data</w:t>
            </w:r>
          </w:p>
          <w:p w14:paraId="2615BFF0" w14:textId="77777777" w:rsidR="00923BE4" w:rsidRDefault="00923BE4" w:rsidP="00134136">
            <w:pPr>
              <w:pStyle w:val="TableNBullet"/>
            </w:pPr>
            <w:r>
              <w:t xml:space="preserve">Number of consumer-facing food safety education materials developed by </w:t>
            </w:r>
            <w:proofErr w:type="gramStart"/>
            <w:r>
              <w:t>FSANZ</w:t>
            </w:r>
            <w:proofErr w:type="gramEnd"/>
          </w:p>
          <w:p w14:paraId="2B71286A" w14:textId="0F4B7E51" w:rsidR="00923BE4" w:rsidRDefault="00923BE4" w:rsidP="00134136">
            <w:pPr>
              <w:pStyle w:val="TableNBullet"/>
            </w:pPr>
            <w:r>
              <w:t xml:space="preserve">Number of </w:t>
            </w:r>
            <w:r w:rsidR="008117F8">
              <w:t>Statements of Intent</w:t>
            </w:r>
            <w:r>
              <w:t xml:space="preserve"> on food standards published by </w:t>
            </w:r>
            <w:proofErr w:type="gramStart"/>
            <w:r>
              <w:t>FSANZ</w:t>
            </w:r>
            <w:proofErr w:type="gramEnd"/>
          </w:p>
          <w:p w14:paraId="2F283643" w14:textId="77777777" w:rsidR="00923BE4" w:rsidRDefault="00923BE4" w:rsidP="00134136">
            <w:pPr>
              <w:pStyle w:val="TableNBullet"/>
            </w:pPr>
            <w:r>
              <w:t xml:space="preserve">Number of times that interpretive guidance on food standards is accessed by </w:t>
            </w:r>
            <w:proofErr w:type="gramStart"/>
            <w:r>
              <w:t>industry</w:t>
            </w:r>
            <w:proofErr w:type="gramEnd"/>
          </w:p>
          <w:p w14:paraId="34B67451" w14:textId="617F595B" w:rsidR="00923BE4" w:rsidRDefault="00923BE4" w:rsidP="004E4D63">
            <w:pPr>
              <w:pStyle w:val="TableNBullet"/>
              <w:spacing w:line="360" w:lineRule="auto"/>
            </w:pPr>
            <w:r>
              <w:t xml:space="preserve">Number of enforcement-aligned activities on </w:t>
            </w:r>
            <w:r w:rsidR="004E4D63">
              <w:t>FSANZ’</w:t>
            </w:r>
            <w:r w:rsidR="0055117F">
              <w:t>s</w:t>
            </w:r>
            <w:r>
              <w:t xml:space="preserve"> </w:t>
            </w:r>
            <w:r w:rsidR="00D323F3">
              <w:t>workplan</w:t>
            </w:r>
          </w:p>
        </w:tc>
      </w:tr>
      <w:tr w:rsidR="00923BE4" w14:paraId="1CB88A29" w14:textId="77777777" w:rsidTr="00134136">
        <w:trPr>
          <w:cnfStyle w:val="000000010000" w:firstRow="0" w:lastRow="0" w:firstColumn="0" w:lastColumn="0" w:oddVBand="0" w:evenVBand="0" w:oddHBand="0" w:evenHBand="1" w:firstRowFirstColumn="0" w:firstRowLastColumn="0" w:lastRowFirstColumn="0" w:lastRowLastColumn="0"/>
        </w:trPr>
        <w:tc>
          <w:tcPr>
            <w:tcW w:w="1843" w:type="dxa"/>
          </w:tcPr>
          <w:p w14:paraId="4CAC3338" w14:textId="77777777" w:rsidR="00923BE4" w:rsidRDefault="00923BE4" w:rsidP="00134136">
            <w:pPr>
              <w:pStyle w:val="TableNText"/>
              <w:rPr>
                <w:lang w:eastAsia="en-AU"/>
              </w:rPr>
            </w:pPr>
            <w:r w:rsidRPr="003C6316">
              <w:t>Improved efficiency of food standards regulation</w:t>
            </w:r>
          </w:p>
        </w:tc>
        <w:tc>
          <w:tcPr>
            <w:tcW w:w="7087" w:type="dxa"/>
          </w:tcPr>
          <w:p w14:paraId="0535C0FE" w14:textId="77777777" w:rsidR="00923BE4" w:rsidRPr="00DF4CB7" w:rsidRDefault="00923BE4" w:rsidP="00134136">
            <w:pPr>
              <w:pStyle w:val="TableNText"/>
              <w:rPr>
                <w:rFonts w:asciiTheme="majorHAnsi" w:hAnsiTheme="majorHAnsi" w:cstheme="majorHAnsi"/>
              </w:rPr>
            </w:pPr>
            <w:r w:rsidRPr="00DF4CB7">
              <w:rPr>
                <w:rFonts w:asciiTheme="majorHAnsi" w:hAnsiTheme="majorHAnsi" w:cstheme="majorHAnsi"/>
              </w:rPr>
              <w:t>Actions</w:t>
            </w:r>
          </w:p>
          <w:p w14:paraId="7A3974FC" w14:textId="77777777" w:rsidR="00923BE4" w:rsidRDefault="00923BE4" w:rsidP="00134136">
            <w:pPr>
              <w:pStyle w:val="TableNBullet"/>
            </w:pPr>
            <w:r>
              <w:t>Establishment of a risk framework</w:t>
            </w:r>
          </w:p>
          <w:p w14:paraId="0949E7E7" w14:textId="77777777" w:rsidR="00923BE4" w:rsidRPr="00DF4CB7" w:rsidRDefault="00923BE4" w:rsidP="00134136">
            <w:pPr>
              <w:pStyle w:val="TableNText"/>
              <w:rPr>
                <w:rFonts w:asciiTheme="majorHAnsi" w:hAnsiTheme="majorHAnsi" w:cstheme="majorHAnsi"/>
              </w:rPr>
            </w:pPr>
            <w:r w:rsidRPr="00DF4CB7">
              <w:rPr>
                <w:rFonts w:asciiTheme="majorHAnsi" w:hAnsiTheme="majorHAnsi" w:cstheme="majorHAnsi"/>
              </w:rPr>
              <w:t>Quantitative data</w:t>
            </w:r>
          </w:p>
          <w:p w14:paraId="7352423C" w14:textId="77777777" w:rsidR="00923BE4" w:rsidRDefault="00923BE4" w:rsidP="00134136">
            <w:pPr>
              <w:pStyle w:val="TableNBullet"/>
            </w:pPr>
            <w:r>
              <w:t>Number of applications assessed, by application type (including low-risk applications)</w:t>
            </w:r>
          </w:p>
          <w:p w14:paraId="35C3F647" w14:textId="77777777" w:rsidR="00923BE4" w:rsidRDefault="00923BE4" w:rsidP="00134136">
            <w:pPr>
              <w:pStyle w:val="TableNBullet"/>
            </w:pPr>
            <w:r>
              <w:t>Time for FSANZ to assess applications, by application type (including low-risk applications)</w:t>
            </w:r>
          </w:p>
          <w:p w14:paraId="39CBCCA6" w14:textId="77777777" w:rsidR="00923BE4" w:rsidRDefault="00923BE4" w:rsidP="00134136">
            <w:pPr>
              <w:pStyle w:val="TableNBullet"/>
            </w:pPr>
            <w:r>
              <w:t>Time between the submission of applications by industry to the reception of a result, by application type</w:t>
            </w:r>
          </w:p>
          <w:p w14:paraId="5A76C163" w14:textId="77777777" w:rsidR="00923BE4" w:rsidRDefault="00923BE4" w:rsidP="00134136">
            <w:pPr>
              <w:pStyle w:val="TableNBullet"/>
            </w:pPr>
            <w:r>
              <w:t>Number of decisions delegated from the FSANZ Board to the FSANZ CEO</w:t>
            </w:r>
          </w:p>
          <w:p w14:paraId="18E5DEF0" w14:textId="33AE5230" w:rsidR="00923BE4" w:rsidRDefault="00923BE4" w:rsidP="00134136">
            <w:pPr>
              <w:pStyle w:val="TableNBullet"/>
            </w:pPr>
            <w:r>
              <w:lastRenderedPageBreak/>
              <w:t>Number of decisions delegated from the FMM to department</w:t>
            </w:r>
            <w:r w:rsidR="000C2AC6">
              <w:t>al</w:t>
            </w:r>
            <w:r>
              <w:t xml:space="preserve"> </w:t>
            </w:r>
            <w:proofErr w:type="gramStart"/>
            <w:r>
              <w:t>officials</w:t>
            </w:r>
            <w:proofErr w:type="gramEnd"/>
          </w:p>
          <w:p w14:paraId="45A66D36" w14:textId="77777777" w:rsidR="00923BE4" w:rsidRDefault="00923BE4" w:rsidP="00134136">
            <w:pPr>
              <w:pStyle w:val="TableNBullet"/>
            </w:pPr>
            <w:r>
              <w:t>Number of risk assessments accepted from comparable overseas jurisdictions</w:t>
            </w:r>
          </w:p>
        </w:tc>
      </w:tr>
      <w:tr w:rsidR="00923BE4" w14:paraId="3951EDB0" w14:textId="77777777" w:rsidTr="00134136">
        <w:trPr>
          <w:cnfStyle w:val="000000100000" w:firstRow="0" w:lastRow="0" w:firstColumn="0" w:lastColumn="0" w:oddVBand="0" w:evenVBand="0" w:oddHBand="1" w:evenHBand="0" w:firstRowFirstColumn="0" w:firstRowLastColumn="0" w:lastRowFirstColumn="0" w:lastRowLastColumn="0"/>
        </w:trPr>
        <w:tc>
          <w:tcPr>
            <w:tcW w:w="1843" w:type="dxa"/>
          </w:tcPr>
          <w:p w14:paraId="6E98FCB1" w14:textId="77777777" w:rsidR="00923BE4" w:rsidRDefault="00923BE4" w:rsidP="00134136">
            <w:pPr>
              <w:pStyle w:val="TableNText"/>
              <w:rPr>
                <w:lang w:eastAsia="en-AU"/>
              </w:rPr>
            </w:pPr>
            <w:r w:rsidRPr="003C0DDD">
              <w:lastRenderedPageBreak/>
              <w:t>Improved consultation on the design and application of food standards</w:t>
            </w:r>
          </w:p>
        </w:tc>
        <w:tc>
          <w:tcPr>
            <w:tcW w:w="7087" w:type="dxa"/>
          </w:tcPr>
          <w:p w14:paraId="7E22FC2C" w14:textId="77777777" w:rsidR="00923BE4" w:rsidRPr="006251B4" w:rsidRDefault="00923BE4" w:rsidP="00134136">
            <w:pPr>
              <w:pStyle w:val="TableNText"/>
              <w:rPr>
                <w:rFonts w:asciiTheme="majorHAnsi" w:hAnsiTheme="majorHAnsi" w:cstheme="majorHAnsi"/>
              </w:rPr>
            </w:pPr>
            <w:r w:rsidRPr="006251B4">
              <w:rPr>
                <w:rFonts w:asciiTheme="majorHAnsi" w:hAnsiTheme="majorHAnsi" w:cstheme="majorHAnsi"/>
              </w:rPr>
              <w:t>Quantitative data</w:t>
            </w:r>
          </w:p>
          <w:p w14:paraId="1F311727" w14:textId="77777777" w:rsidR="00923BE4" w:rsidRDefault="00923BE4" w:rsidP="00134136">
            <w:pPr>
              <w:pStyle w:val="TableNBullet"/>
            </w:pPr>
            <w:r>
              <w:t>Proportion of skills identified on the FSANZ Board skills matrix that are held by Board members</w:t>
            </w:r>
          </w:p>
        </w:tc>
      </w:tr>
    </w:tbl>
    <w:p w14:paraId="17184D76" w14:textId="77777777" w:rsidR="00923BE4" w:rsidRDefault="00923BE4" w:rsidP="00923BE4"/>
    <w:p w14:paraId="352CC620" w14:textId="77777777" w:rsidR="00F412D4" w:rsidRDefault="00F412D4" w:rsidP="001C7183">
      <w:bookmarkStart w:id="155" w:name="_Ref65150203"/>
    </w:p>
    <w:tbl>
      <w:tblPr>
        <w:tblStyle w:val="TableGrid"/>
        <w:tblW w:w="0" w:type="auto"/>
        <w:tblLook w:val="04A0" w:firstRow="1" w:lastRow="0" w:firstColumn="1" w:lastColumn="0" w:noHBand="0" w:noVBand="1"/>
      </w:tblPr>
      <w:tblGrid>
        <w:gridCol w:w="8930"/>
      </w:tblGrid>
      <w:tr w:rsidR="0042313D" w14:paraId="628BA4F6" w14:textId="77777777">
        <w:trPr>
          <w:cnfStyle w:val="100000000000" w:firstRow="1" w:lastRow="0" w:firstColumn="0" w:lastColumn="0" w:oddVBand="0" w:evenVBand="0" w:oddHBand="0" w:evenHBand="0" w:firstRowFirstColumn="0" w:firstRowLastColumn="0" w:lastRowFirstColumn="0" w:lastRowLastColumn="0"/>
        </w:trPr>
        <w:tc>
          <w:tcPr>
            <w:tcW w:w="8930" w:type="dxa"/>
            <w:shd w:val="clear" w:color="auto" w:fill="00264D" w:themeFill="background2"/>
            <w:vAlign w:val="top"/>
          </w:tcPr>
          <w:p w14:paraId="5C9F339B" w14:textId="77777777" w:rsidR="0042313D" w:rsidRPr="003D65AB" w:rsidRDefault="0042313D">
            <w:pPr>
              <w:rPr>
                <w:rFonts w:asciiTheme="majorHAnsi" w:hAnsiTheme="majorHAnsi" w:cstheme="majorHAnsi"/>
              </w:rPr>
            </w:pPr>
            <w:r w:rsidRPr="003D65AB">
              <w:rPr>
                <w:rFonts w:asciiTheme="majorHAnsi" w:hAnsiTheme="majorHAnsi" w:cstheme="majorHAnsi"/>
                <w:color w:val="FFFFFF" w:themeColor="background1"/>
              </w:rPr>
              <w:t>Consultation questions</w:t>
            </w:r>
          </w:p>
        </w:tc>
      </w:tr>
      <w:tr w:rsidR="0042313D" w14:paraId="1491472E" w14:textId="77777777" w:rsidTr="0042313D">
        <w:trPr>
          <w:cnfStyle w:val="000000100000" w:firstRow="0" w:lastRow="0" w:firstColumn="0" w:lastColumn="0" w:oddVBand="0" w:evenVBand="0" w:oddHBand="1" w:evenHBand="0" w:firstRowFirstColumn="0" w:firstRowLastColumn="0" w:lastRowFirstColumn="0" w:lastRowLastColumn="0"/>
          <w:trHeight w:val="342"/>
        </w:trPr>
        <w:tc>
          <w:tcPr>
            <w:tcW w:w="8930" w:type="dxa"/>
            <w:shd w:val="clear" w:color="auto" w:fill="E6E6E1" w:themeFill="accent5"/>
            <w:vAlign w:val="top"/>
          </w:tcPr>
          <w:p w14:paraId="321FD689" w14:textId="77777777" w:rsidR="0042313D" w:rsidRPr="005924E0" w:rsidRDefault="0042313D" w:rsidP="00313A20">
            <w:pPr>
              <w:pStyle w:val="ListParagraph"/>
              <w:numPr>
                <w:ilvl w:val="0"/>
                <w:numId w:val="38"/>
              </w:numPr>
              <w:spacing w:line="259" w:lineRule="auto"/>
              <w:rPr>
                <w:color w:val="00264D" w:themeColor="background2"/>
                <w:lang w:eastAsia="en-AU"/>
              </w:rPr>
            </w:pPr>
            <w:r w:rsidRPr="003E57AA">
              <w:rPr>
                <w:rFonts w:asciiTheme="minorHAnsi" w:hAnsiTheme="minorHAnsi" w:cstheme="minorHAnsi"/>
                <w:color w:val="00264D" w:themeColor="background2"/>
                <w:lang w:eastAsia="en-AU"/>
              </w:rPr>
              <w:t>Are there any other factors that should be captured in a future evaluation?</w:t>
            </w:r>
          </w:p>
          <w:p w14:paraId="3616679A" w14:textId="42AFBA2A" w:rsidR="00867189" w:rsidRPr="005268F3" w:rsidRDefault="00867189" w:rsidP="00313A20">
            <w:pPr>
              <w:pStyle w:val="ListParagraph"/>
              <w:numPr>
                <w:ilvl w:val="0"/>
                <w:numId w:val="38"/>
              </w:numPr>
              <w:spacing w:line="259" w:lineRule="auto"/>
              <w:rPr>
                <w:color w:val="00264D" w:themeColor="background2"/>
                <w:lang w:eastAsia="en-AU"/>
              </w:rPr>
            </w:pPr>
            <w:r w:rsidRPr="005924E0">
              <w:rPr>
                <w:rFonts w:asciiTheme="minorHAnsi" w:hAnsiTheme="minorHAnsi" w:cstheme="minorHAnsi"/>
                <w:color w:val="00264D" w:themeColor="background2"/>
                <w:lang w:eastAsia="en-AU"/>
              </w:rPr>
              <w:t>Is there anything else you want to share with us on the Impact Analysis</w:t>
            </w:r>
          </w:p>
        </w:tc>
      </w:tr>
    </w:tbl>
    <w:p w14:paraId="5242390A" w14:textId="63AE5EE9" w:rsidR="00923BE4" w:rsidRDefault="00923BE4" w:rsidP="001C7183">
      <w:pPr>
        <w:rPr>
          <w:lang w:eastAsia="en-AU"/>
        </w:rPr>
      </w:pPr>
      <w:r>
        <w:br w:type="page"/>
      </w:r>
    </w:p>
    <w:p w14:paraId="51930CD3" w14:textId="4DCF7340" w:rsidR="00923BE4" w:rsidRPr="001C7183" w:rsidRDefault="001C7183" w:rsidP="00923BE4">
      <w:pPr>
        <w:pStyle w:val="Heading1"/>
        <w:pageBreakBefore w:val="0"/>
        <w:ind w:left="357" w:hanging="357"/>
        <w:rPr>
          <w:color w:val="FFFFFF" w:themeColor="background1"/>
        </w:rPr>
      </w:pPr>
      <w:bookmarkStart w:id="156" w:name="_Toc157599146"/>
      <w:r w:rsidRPr="001C7183">
        <w:rPr>
          <w:noProof/>
          <w:color w:val="FFFFFF" w:themeColor="background1"/>
        </w:rPr>
        <w:lastRenderedPageBreak/>
        <w:drawing>
          <wp:anchor distT="0" distB="0" distL="114300" distR="114300" simplePos="0" relativeHeight="251658259" behindDoc="1" locked="0" layoutInCell="1" allowOverlap="1" wp14:anchorId="365E76FB" wp14:editId="482BB53A">
            <wp:simplePos x="0" y="0"/>
            <wp:positionH relativeFrom="margin">
              <wp:posOffset>-984250</wp:posOffset>
            </wp:positionH>
            <wp:positionV relativeFrom="paragraph">
              <wp:posOffset>-885825</wp:posOffset>
            </wp:positionV>
            <wp:extent cx="7581900" cy="1295400"/>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b="32669"/>
                    <a:stretch/>
                  </pic:blipFill>
                  <pic:spPr bwMode="auto">
                    <a:xfrm>
                      <a:off x="0" y="0"/>
                      <a:ext cx="75819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BE4" w:rsidRPr="001C7183">
        <w:rPr>
          <w:color w:val="FFFFFF" w:themeColor="background1"/>
        </w:rPr>
        <w:t>Next steps</w:t>
      </w:r>
      <w:bookmarkEnd w:id="155"/>
      <w:bookmarkEnd w:id="156"/>
    </w:p>
    <w:p w14:paraId="115FCC7A" w14:textId="6044FD0C" w:rsidR="00923BE4" w:rsidRDefault="00923BE4" w:rsidP="00923BE4">
      <w:pPr>
        <w:rPr>
          <w:lang w:eastAsia="en-AU"/>
        </w:rPr>
      </w:pPr>
      <w:r w:rsidRPr="00F267EF">
        <w:rPr>
          <w:lang w:eastAsia="en-AU"/>
        </w:rPr>
        <w:t xml:space="preserve">This draft </w:t>
      </w:r>
      <w:r>
        <w:rPr>
          <w:lang w:eastAsia="en-AU"/>
        </w:rPr>
        <w:t>IA</w:t>
      </w:r>
      <w:r w:rsidRPr="00F267EF">
        <w:rPr>
          <w:lang w:eastAsia="en-AU"/>
        </w:rPr>
        <w:t xml:space="preserve"> will be open for public submissions </w:t>
      </w:r>
      <w:r>
        <w:rPr>
          <w:lang w:eastAsia="en-AU"/>
        </w:rPr>
        <w:t xml:space="preserve">over January and February 2024. Submissions received will be considered and thematically analysed to further refine the IA and ensure the most appropriate elements and included in the final, preferred reform option. </w:t>
      </w:r>
    </w:p>
    <w:p w14:paraId="22872781" w14:textId="73F62F84" w:rsidR="00923BE4" w:rsidRDefault="007178FF" w:rsidP="00923BE4">
      <w:r>
        <w:rPr>
          <w:lang w:eastAsia="en-AU"/>
        </w:rPr>
        <w:t>DHAC</w:t>
      </w:r>
      <w:r w:rsidR="00923BE4">
        <w:rPr>
          <w:lang w:eastAsia="en-AU"/>
        </w:rPr>
        <w:t xml:space="preserve">, in collaboration with </w:t>
      </w:r>
      <w:r w:rsidR="000C2AC6">
        <w:rPr>
          <w:lang w:eastAsia="en-AU"/>
        </w:rPr>
        <w:t>MPI</w:t>
      </w:r>
      <w:r w:rsidR="00923BE4">
        <w:rPr>
          <w:lang w:eastAsia="en-AU"/>
        </w:rPr>
        <w:t xml:space="preserve"> will lead the legislative amendment process. </w:t>
      </w:r>
    </w:p>
    <w:p w14:paraId="36034C5E" w14:textId="1527C624" w:rsidR="00923BE4" w:rsidRDefault="00923BE4" w:rsidP="006C0D3F">
      <w:pPr>
        <w:pStyle w:val="xAppendixLevel1"/>
        <w:tabs>
          <w:tab w:val="left" w:pos="2268"/>
        </w:tabs>
        <w:spacing w:after="0"/>
        <w:ind w:hanging="4820"/>
      </w:pPr>
      <w:bookmarkStart w:id="157" w:name="_Ref57881062"/>
      <w:bookmarkStart w:id="158" w:name="_Toc157599147"/>
      <w:r>
        <w:lastRenderedPageBreak/>
        <w:t>Terms of Reference</w:t>
      </w:r>
      <w:bookmarkEnd w:id="157"/>
      <w:bookmarkEnd w:id="158"/>
    </w:p>
    <w:p w14:paraId="6FAAD9D8" w14:textId="77777777" w:rsidR="00173C7F" w:rsidRDefault="00173C7F" w:rsidP="00173C7F">
      <w:pPr>
        <w:rPr>
          <w:lang w:eastAsia="en-AU"/>
        </w:rPr>
      </w:pPr>
    </w:p>
    <w:tbl>
      <w:tblPr>
        <w:tblStyle w:val="TableGrid"/>
        <w:tblW w:w="0" w:type="auto"/>
        <w:tblLook w:val="04A0" w:firstRow="1" w:lastRow="0" w:firstColumn="1" w:lastColumn="0" w:noHBand="0" w:noVBand="1"/>
      </w:tblPr>
      <w:tblGrid>
        <w:gridCol w:w="8930"/>
      </w:tblGrid>
      <w:tr w:rsidR="00125FC9" w14:paraId="55093A3F" w14:textId="77777777" w:rsidTr="00173C7F">
        <w:trPr>
          <w:cnfStyle w:val="100000000000" w:firstRow="1" w:lastRow="0" w:firstColumn="0" w:lastColumn="0" w:oddVBand="0" w:evenVBand="0" w:oddHBand="0" w:evenHBand="0" w:firstRowFirstColumn="0" w:firstRowLastColumn="0" w:lastRowFirstColumn="0" w:lastRowLastColumn="0"/>
        </w:trPr>
        <w:tc>
          <w:tcPr>
            <w:tcW w:w="8930" w:type="dxa"/>
          </w:tcPr>
          <w:p w14:paraId="5A7A3D01" w14:textId="77777777" w:rsidR="00125FC9" w:rsidRPr="00D312E3" w:rsidRDefault="00125FC9">
            <w:pPr>
              <w:pStyle w:val="Longformcallout"/>
              <w:keepLines/>
              <w:widowControl w:val="0"/>
              <w:jc w:val="center"/>
              <w:rPr>
                <w:rFonts w:asciiTheme="majorHAnsi" w:hAnsiTheme="majorHAnsi" w:cstheme="majorHAnsi"/>
              </w:rPr>
            </w:pPr>
            <w:r w:rsidRPr="00206ACA">
              <w:rPr>
                <w:rFonts w:asciiTheme="majorHAnsi" w:hAnsiTheme="majorHAnsi" w:cstheme="majorHAnsi"/>
              </w:rPr>
              <w:lastRenderedPageBreak/>
              <w:t>Review into the Food Standards Australia New Zealand Act 1991</w:t>
            </w:r>
          </w:p>
          <w:p w14:paraId="1E832B01" w14:textId="77777777" w:rsidR="00125FC9" w:rsidRPr="00D312E3" w:rsidRDefault="00125FC9">
            <w:pPr>
              <w:pStyle w:val="Longformcallout"/>
              <w:keepLines/>
              <w:widowControl w:val="0"/>
              <w:jc w:val="center"/>
              <w:rPr>
                <w:rFonts w:asciiTheme="majorHAnsi" w:hAnsiTheme="majorHAnsi" w:cstheme="majorHAnsi"/>
              </w:rPr>
            </w:pPr>
            <w:r w:rsidRPr="00206ACA">
              <w:rPr>
                <w:rFonts w:asciiTheme="majorHAnsi" w:hAnsiTheme="majorHAnsi" w:cstheme="majorHAnsi"/>
              </w:rPr>
              <w:t>TERMS OF REFERENCE</w:t>
            </w:r>
          </w:p>
          <w:p w14:paraId="29157E76" w14:textId="77777777" w:rsidR="00125FC9" w:rsidRDefault="00125FC9" w:rsidP="00125FC9">
            <w:pPr>
              <w:pStyle w:val="Longformcallout"/>
              <w:keepLines/>
              <w:widowControl w:val="0"/>
              <w:numPr>
                <w:ilvl w:val="0"/>
                <w:numId w:val="6"/>
              </w:numPr>
              <w:rPr>
                <w:u w:val="single"/>
              </w:rPr>
            </w:pPr>
            <w:r>
              <w:t>The review will include a comprehensive examination of the effectiveness of the Food Standards Australia New Zealand Act 1991 (FSANZ Act) and the associated operations and responsibilities of Food Standards Australia New Zealand (FSANZ). It will include consideration of the economic efficiency of regulation, recognising the importance of the food industry to regional communities and the broader economies of both Australia and New Zealand. The review will include findings and recommendations for any reforms. The final report from the review will be provided to the Australian minister responsible for FSANZ, who will consider the report/review in partnership with the New Zealand Minister for Food Safety and consult with state and territory food ministers through the Australia and New Zealand Ministerial Forum on Food Regulation (the Forum).</w:t>
            </w:r>
            <w:r w:rsidRPr="00A874A2">
              <w:rPr>
                <w:u w:val="single"/>
              </w:rPr>
              <w:t xml:space="preserve"> </w:t>
            </w:r>
          </w:p>
          <w:p w14:paraId="38A13814" w14:textId="77777777" w:rsidR="00125FC9" w:rsidRDefault="00125FC9">
            <w:pPr>
              <w:pStyle w:val="Longformcallout"/>
              <w:keepLines/>
              <w:widowControl w:val="0"/>
              <w:ind w:left="170"/>
              <w:rPr>
                <w:u w:val="single"/>
              </w:rPr>
            </w:pPr>
          </w:p>
          <w:p w14:paraId="1BF12E7C" w14:textId="77777777" w:rsidR="00125FC9" w:rsidRPr="00206ACA" w:rsidRDefault="00125FC9">
            <w:pPr>
              <w:pStyle w:val="Longformcallout"/>
              <w:keepLines/>
              <w:widowControl w:val="0"/>
              <w:ind w:left="170"/>
              <w:rPr>
                <w:u w:val="single"/>
              </w:rPr>
            </w:pPr>
            <w:r w:rsidRPr="00206ACA">
              <w:rPr>
                <w:u w:val="single"/>
              </w:rPr>
              <w:t>Scope</w:t>
            </w:r>
          </w:p>
          <w:p w14:paraId="0E910F03" w14:textId="77777777" w:rsidR="00125FC9" w:rsidRPr="00206ACA" w:rsidRDefault="00125FC9" w:rsidP="00125FC9">
            <w:pPr>
              <w:pStyle w:val="Longformcallout"/>
              <w:keepLines/>
              <w:widowControl w:val="0"/>
              <w:numPr>
                <w:ilvl w:val="0"/>
                <w:numId w:val="6"/>
              </w:numPr>
            </w:pPr>
            <w:r w:rsidRPr="00206ACA">
              <w:t>The Review will include the</w:t>
            </w:r>
            <w:r>
              <w:t xml:space="preserve"> FSANZ</w:t>
            </w:r>
            <w:r w:rsidRPr="00206ACA">
              <w:t xml:space="preserve"> Act and FSANZ operations, with a focus on areas identified as being inconsistent with best practice regulation and </w:t>
            </w:r>
            <w:proofErr w:type="gramStart"/>
            <w:r w:rsidRPr="00206ACA">
              <w:t>standard-setting</w:t>
            </w:r>
            <w:proofErr w:type="gramEnd"/>
            <w:r w:rsidRPr="00206ACA">
              <w:t xml:space="preserve">. The Review should consider and make recommendations on the appropriateness of the </w:t>
            </w:r>
            <w:r>
              <w:t xml:space="preserve">FSANZ </w:t>
            </w:r>
            <w:r w:rsidRPr="00206ACA">
              <w:t>Act legislation, in particular:</w:t>
            </w:r>
          </w:p>
          <w:p w14:paraId="6DF98FE6" w14:textId="77777777" w:rsidR="00125FC9" w:rsidRPr="00206ACA" w:rsidRDefault="00125FC9" w:rsidP="00125FC9">
            <w:pPr>
              <w:pStyle w:val="Longformcallout"/>
              <w:keepLines/>
              <w:widowControl w:val="0"/>
              <w:numPr>
                <w:ilvl w:val="0"/>
                <w:numId w:val="7"/>
              </w:numPr>
            </w:pPr>
            <w:r w:rsidRPr="00206ACA">
              <w:t>The FSANZ assessment process to ensure it is fit for purpose and outcomes based and promotes an efficient and internationally competitive food industry. This work should include:</w:t>
            </w:r>
          </w:p>
          <w:p w14:paraId="1A125209" w14:textId="77777777" w:rsidR="00125FC9" w:rsidRPr="00206ACA" w:rsidRDefault="00125FC9" w:rsidP="00125FC9">
            <w:pPr>
              <w:pStyle w:val="Longformcallout"/>
              <w:keepLines/>
              <w:widowControl w:val="0"/>
              <w:numPr>
                <w:ilvl w:val="0"/>
                <w:numId w:val="8"/>
              </w:numPr>
            </w:pPr>
            <w:r w:rsidRPr="00206ACA">
              <w:t xml:space="preserve">ensuring any proposed changes to the regulatory system imposes the least burden on business to achieve the stated objectives of the regulation and specific consideration is given to the impact on small </w:t>
            </w:r>
            <w:proofErr w:type="gramStart"/>
            <w:r w:rsidRPr="00206ACA">
              <w:t>businesses</w:t>
            </w:r>
            <w:proofErr w:type="gramEnd"/>
          </w:p>
          <w:p w14:paraId="4BE1D0E7" w14:textId="77777777" w:rsidR="00125FC9" w:rsidRPr="00206ACA" w:rsidRDefault="00125FC9" w:rsidP="00125FC9">
            <w:pPr>
              <w:pStyle w:val="Longformcallout"/>
              <w:keepLines/>
              <w:widowControl w:val="0"/>
              <w:numPr>
                <w:ilvl w:val="0"/>
                <w:numId w:val="8"/>
              </w:numPr>
            </w:pPr>
            <w:r w:rsidRPr="00206ACA">
              <w:t xml:space="preserve">revision of the interface between the regulator and business, </w:t>
            </w:r>
            <w:proofErr w:type="gramStart"/>
            <w:r>
              <w:t>i.e.</w:t>
            </w:r>
            <w:proofErr w:type="gramEnd"/>
            <w:r w:rsidRPr="00206ACA">
              <w:t xml:space="preserve"> the digital or paper systems used to support the assessment.</w:t>
            </w:r>
          </w:p>
          <w:p w14:paraId="3117F926" w14:textId="77777777" w:rsidR="00125FC9" w:rsidRPr="00206ACA" w:rsidRDefault="00125FC9" w:rsidP="00125FC9">
            <w:pPr>
              <w:pStyle w:val="Longformcallout"/>
              <w:keepLines/>
              <w:widowControl w:val="0"/>
              <w:numPr>
                <w:ilvl w:val="0"/>
                <w:numId w:val="7"/>
              </w:numPr>
            </w:pPr>
            <w:r w:rsidRPr="00206ACA">
              <w:t>An optimal operating model for FSANZ, the roles and functions of FSANZ including consideration of FSANZ undertaking a greater role as a regulator.</w:t>
            </w:r>
          </w:p>
          <w:p w14:paraId="7FBDE85D" w14:textId="77777777" w:rsidR="00125FC9" w:rsidRPr="00206ACA" w:rsidRDefault="00125FC9" w:rsidP="00125FC9">
            <w:pPr>
              <w:pStyle w:val="Longformcallout"/>
              <w:keepLines/>
              <w:widowControl w:val="0"/>
              <w:numPr>
                <w:ilvl w:val="0"/>
                <w:numId w:val="7"/>
              </w:numPr>
            </w:pPr>
            <w:r w:rsidRPr="00206ACA">
              <w:t>Cost recovery models for industry-initiated work.</w:t>
            </w:r>
          </w:p>
          <w:p w14:paraId="33883584" w14:textId="77777777" w:rsidR="00125FC9" w:rsidRPr="00206ACA" w:rsidRDefault="00125FC9" w:rsidP="00125FC9">
            <w:pPr>
              <w:pStyle w:val="Longformcallout"/>
              <w:keepLines/>
              <w:widowControl w:val="0"/>
              <w:numPr>
                <w:ilvl w:val="0"/>
                <w:numId w:val="7"/>
              </w:numPr>
            </w:pPr>
            <w:r w:rsidRPr="00206ACA">
              <w:t>Decision making processes, including the role of the CEO, FSANZ Board and Ministers.</w:t>
            </w:r>
          </w:p>
          <w:p w14:paraId="0B79DB01" w14:textId="77777777" w:rsidR="00125FC9" w:rsidRPr="00206ACA" w:rsidRDefault="00125FC9" w:rsidP="00125FC9">
            <w:pPr>
              <w:pStyle w:val="Longformcallout"/>
              <w:keepLines/>
              <w:widowControl w:val="0"/>
              <w:numPr>
                <w:ilvl w:val="0"/>
                <w:numId w:val="7"/>
              </w:numPr>
            </w:pPr>
            <w:r w:rsidRPr="00206ACA">
              <w:t>Best practice board appointment processes.</w:t>
            </w:r>
          </w:p>
          <w:p w14:paraId="5CD364DE" w14:textId="77777777" w:rsidR="00125FC9" w:rsidRPr="00206ACA" w:rsidRDefault="00125FC9" w:rsidP="00125FC9">
            <w:pPr>
              <w:pStyle w:val="Longformcallout"/>
              <w:keepLines/>
              <w:widowControl w:val="0"/>
              <w:numPr>
                <w:ilvl w:val="0"/>
                <w:numId w:val="6"/>
              </w:numPr>
            </w:pPr>
            <w:r w:rsidRPr="00206ACA">
              <w:t>The Review should consider and make recommendations on the operational functions of FSANZ, in particular:</w:t>
            </w:r>
          </w:p>
          <w:p w14:paraId="34D178A2" w14:textId="77777777" w:rsidR="00125FC9" w:rsidRDefault="00125FC9" w:rsidP="00125FC9">
            <w:pPr>
              <w:pStyle w:val="Longformcallout"/>
              <w:keepLines/>
              <w:widowControl w:val="0"/>
              <w:numPr>
                <w:ilvl w:val="0"/>
                <w:numId w:val="9"/>
              </w:numPr>
            </w:pPr>
            <w:r w:rsidRPr="00206ACA">
              <w:t>The timeliness of work undertaken and relative priority of the FSANZ workplan including consideration of the Risk proportionality and international harmonisation of Risk assessments and standards.</w:t>
            </w:r>
          </w:p>
          <w:p w14:paraId="630DAC7A" w14:textId="77777777" w:rsidR="00125FC9" w:rsidRPr="00206ACA" w:rsidRDefault="00125FC9" w:rsidP="00125FC9">
            <w:pPr>
              <w:pStyle w:val="Longformcallout"/>
              <w:keepLines/>
              <w:widowControl w:val="0"/>
              <w:numPr>
                <w:ilvl w:val="0"/>
                <w:numId w:val="9"/>
              </w:numPr>
            </w:pPr>
            <w:r>
              <w:t>The operation and effectiveness of the Food-Medicine Interface, including the effectiveness of regulation around nutrition supplements.</w:t>
            </w:r>
          </w:p>
          <w:p w14:paraId="1E9EA50E" w14:textId="77777777" w:rsidR="00125FC9" w:rsidRPr="00206ACA" w:rsidRDefault="00125FC9" w:rsidP="00125FC9">
            <w:pPr>
              <w:pStyle w:val="Longformcallout"/>
              <w:keepLines/>
              <w:widowControl w:val="0"/>
              <w:numPr>
                <w:ilvl w:val="0"/>
                <w:numId w:val="9"/>
              </w:numPr>
            </w:pPr>
            <w:r w:rsidRPr="00206ACA">
              <w:t>FSANZ as an independent agency and appropriate resourcing.</w:t>
            </w:r>
          </w:p>
          <w:p w14:paraId="472ED0AB" w14:textId="77777777" w:rsidR="00125FC9" w:rsidRPr="00206ACA" w:rsidRDefault="00125FC9" w:rsidP="00125FC9">
            <w:pPr>
              <w:pStyle w:val="Longformcallout"/>
              <w:keepLines/>
              <w:widowControl w:val="0"/>
              <w:numPr>
                <w:ilvl w:val="0"/>
                <w:numId w:val="6"/>
              </w:numPr>
            </w:pPr>
            <w:r w:rsidRPr="00206ACA">
              <w:t xml:space="preserve">The Review should also consider what wider role FSANZ as a joint body could take across Australia and New Zealand and in Australia only, by considering issues and making recommendations in relation to </w:t>
            </w:r>
            <w:r>
              <w:t>FSANZ’s</w:t>
            </w:r>
            <w:r w:rsidRPr="00206ACA">
              <w:t xml:space="preserve"> potential role including (but not limited to):</w:t>
            </w:r>
          </w:p>
          <w:p w14:paraId="6A080E01" w14:textId="77777777" w:rsidR="00125FC9" w:rsidRPr="00206ACA" w:rsidRDefault="00125FC9" w:rsidP="00125FC9">
            <w:pPr>
              <w:pStyle w:val="Longformcallout"/>
              <w:keepLines/>
              <w:widowControl w:val="0"/>
              <w:numPr>
                <w:ilvl w:val="0"/>
                <w:numId w:val="10"/>
              </w:numPr>
            </w:pPr>
            <w:r w:rsidRPr="00206ACA">
              <w:t xml:space="preserve">Enforcement of food standards – noting concerns around a lack of consistent implementation of standards across jurisdictions. </w:t>
            </w:r>
          </w:p>
          <w:p w14:paraId="520E2D0E" w14:textId="77777777" w:rsidR="00125FC9" w:rsidRPr="00206ACA" w:rsidRDefault="00125FC9" w:rsidP="00125FC9">
            <w:pPr>
              <w:pStyle w:val="Longformcallout"/>
              <w:keepLines/>
              <w:widowControl w:val="0"/>
              <w:numPr>
                <w:ilvl w:val="0"/>
                <w:numId w:val="10"/>
              </w:numPr>
            </w:pPr>
            <w:r w:rsidRPr="00206ACA">
              <w:t>Emerging issues – such as food fraud and food crime.</w:t>
            </w:r>
          </w:p>
          <w:p w14:paraId="04E3531F" w14:textId="77777777" w:rsidR="00125FC9" w:rsidRPr="00206ACA" w:rsidRDefault="00125FC9" w:rsidP="00125FC9">
            <w:pPr>
              <w:pStyle w:val="Longformcallout"/>
              <w:keepLines/>
              <w:widowControl w:val="0"/>
              <w:numPr>
                <w:ilvl w:val="0"/>
                <w:numId w:val="10"/>
              </w:numPr>
            </w:pPr>
            <w:r w:rsidRPr="00206ACA">
              <w:t>Food safety – noting consumers’ and industry’s desire for one ‘Face of Food Safety’ that produces a unified national approach to raising awareness and responding to food safety issues (Australian context only).</w:t>
            </w:r>
          </w:p>
          <w:p w14:paraId="1FF8885B" w14:textId="77777777" w:rsidR="00125FC9" w:rsidRPr="00206ACA" w:rsidRDefault="00125FC9" w:rsidP="00125FC9">
            <w:pPr>
              <w:pStyle w:val="Longformcallout"/>
              <w:keepLines/>
              <w:widowControl w:val="0"/>
              <w:numPr>
                <w:ilvl w:val="0"/>
                <w:numId w:val="10"/>
              </w:numPr>
            </w:pPr>
            <w:r w:rsidRPr="00206ACA">
              <w:t>Food safety research – including facilitating collaboration on research relating to food safety.</w:t>
            </w:r>
          </w:p>
          <w:p w14:paraId="1C93D876" w14:textId="77777777" w:rsidR="00125FC9" w:rsidRPr="00206ACA" w:rsidRDefault="00125FC9" w:rsidP="00125FC9">
            <w:pPr>
              <w:pStyle w:val="Longformcallout"/>
              <w:keepLines/>
              <w:widowControl w:val="0"/>
              <w:numPr>
                <w:ilvl w:val="0"/>
                <w:numId w:val="10"/>
              </w:numPr>
            </w:pPr>
            <w:r w:rsidRPr="00206ACA">
              <w:t>Communication of food standards to industry and consumers – including a greater role in providing advice on interpretation of food standards.</w:t>
            </w:r>
          </w:p>
          <w:p w14:paraId="6EE3F2B1" w14:textId="77777777" w:rsidR="00125FC9" w:rsidRDefault="00125FC9" w:rsidP="00125FC9">
            <w:pPr>
              <w:pStyle w:val="Longformcallout"/>
              <w:keepLines/>
              <w:widowControl w:val="0"/>
              <w:numPr>
                <w:ilvl w:val="0"/>
                <w:numId w:val="10"/>
              </w:numPr>
            </w:pPr>
            <w:r w:rsidRPr="00206ACA">
              <w:t>Undertaking education campaigns – in alignment with Priority 1 and Priority 2 of the Foo</w:t>
            </w:r>
            <w:r w:rsidRPr="00894940">
              <w:t xml:space="preserve">d </w:t>
            </w:r>
            <w:r w:rsidRPr="00894940">
              <w:lastRenderedPageBreak/>
              <w:t xml:space="preserve">Regulation system. </w:t>
            </w:r>
          </w:p>
          <w:p w14:paraId="39E2699C" w14:textId="77777777" w:rsidR="00125FC9" w:rsidRPr="00894940" w:rsidRDefault="00125FC9">
            <w:pPr>
              <w:pStyle w:val="Longformcallout"/>
              <w:keepLines/>
              <w:widowControl w:val="0"/>
              <w:ind w:left="530"/>
            </w:pPr>
          </w:p>
          <w:p w14:paraId="3DFA6282" w14:textId="77777777" w:rsidR="00125FC9" w:rsidRPr="00894940" w:rsidRDefault="00125FC9">
            <w:pPr>
              <w:pStyle w:val="Longformcallout"/>
              <w:keepLines/>
              <w:widowControl w:val="0"/>
            </w:pPr>
            <w:r w:rsidRPr="00206ACA">
              <w:t xml:space="preserve">The </w:t>
            </w:r>
            <w:r w:rsidRPr="00894940">
              <w:t>Review will provide an indication of the potential role of FSANZ in both Australia and New Zealand and relative impact of the recommendations for Australia and New Zealand.</w:t>
            </w:r>
          </w:p>
          <w:p w14:paraId="49A1F117" w14:textId="77777777" w:rsidR="00125FC9" w:rsidRPr="0040426F" w:rsidRDefault="00125FC9">
            <w:pPr>
              <w:pStyle w:val="Longformcallout"/>
              <w:keepLines/>
              <w:widowControl w:val="0"/>
              <w:rPr>
                <w:u w:val="single"/>
              </w:rPr>
            </w:pPr>
            <w:r w:rsidRPr="0040426F">
              <w:rPr>
                <w:u w:val="single"/>
              </w:rPr>
              <w:t>Out of scope</w:t>
            </w:r>
          </w:p>
          <w:p w14:paraId="64AACD5B" w14:textId="77777777" w:rsidR="00125FC9" w:rsidRPr="00894940" w:rsidRDefault="00125FC9" w:rsidP="00125FC9">
            <w:pPr>
              <w:pStyle w:val="Longformcallout"/>
              <w:keepLines/>
              <w:widowControl w:val="0"/>
              <w:numPr>
                <w:ilvl w:val="0"/>
                <w:numId w:val="6"/>
              </w:numPr>
            </w:pPr>
            <w:r w:rsidRPr="00206ACA">
              <w:t xml:space="preserve">The </w:t>
            </w:r>
            <w:r w:rsidRPr="00894940">
              <w:t>Review will not include other food legislation and agreements, such as the Food Regulation Agreement, the Food Treaty, or the Model Food Act. However, should issues with these instruments be identified, they may be considered separately.</w:t>
            </w:r>
          </w:p>
          <w:p w14:paraId="0794F946" w14:textId="77777777" w:rsidR="00125FC9" w:rsidRPr="00206ACA" w:rsidRDefault="00125FC9">
            <w:pPr>
              <w:pStyle w:val="Longformcallout"/>
              <w:keepLines/>
              <w:widowControl w:val="0"/>
              <w:rPr>
                <w:u w:val="single"/>
              </w:rPr>
            </w:pPr>
            <w:r w:rsidRPr="00206ACA">
              <w:rPr>
                <w:u w:val="single"/>
              </w:rPr>
              <w:t>Process</w:t>
            </w:r>
          </w:p>
          <w:p w14:paraId="792BA467" w14:textId="77777777" w:rsidR="00125FC9" w:rsidRPr="00894940" w:rsidRDefault="00125FC9">
            <w:pPr>
              <w:pStyle w:val="Longformcallout"/>
              <w:keepLines/>
              <w:widowControl w:val="0"/>
            </w:pPr>
            <w:r w:rsidRPr="00206ACA">
              <w:t>Stakeholder engagement</w:t>
            </w:r>
          </w:p>
          <w:p w14:paraId="1A4F098B" w14:textId="77777777" w:rsidR="00125FC9" w:rsidRPr="00894940" w:rsidRDefault="00125FC9" w:rsidP="00125FC9">
            <w:pPr>
              <w:pStyle w:val="Longformcallout"/>
              <w:keepLines/>
              <w:widowControl w:val="0"/>
              <w:numPr>
                <w:ilvl w:val="0"/>
                <w:numId w:val="6"/>
              </w:numPr>
            </w:pPr>
            <w:r w:rsidRPr="00206ACA">
              <w:t>Wide consultation wil</w:t>
            </w:r>
            <w:r w:rsidRPr="00894940">
              <w:t>l be undertaken as part of the Review, including with government, consumer, public health, and industry stakeholders along the supply chain.</w:t>
            </w:r>
          </w:p>
          <w:p w14:paraId="652DD25D" w14:textId="77777777" w:rsidR="00125FC9" w:rsidRPr="00894940" w:rsidRDefault="00125FC9">
            <w:pPr>
              <w:pStyle w:val="Longformcallout"/>
              <w:keepLines/>
              <w:widowControl w:val="0"/>
            </w:pPr>
            <w:r w:rsidRPr="00206ACA">
              <w:t>Legislative amendments</w:t>
            </w:r>
          </w:p>
          <w:p w14:paraId="29EC34D2" w14:textId="77777777" w:rsidR="00125FC9" w:rsidRPr="00894940" w:rsidRDefault="00125FC9" w:rsidP="00125FC9">
            <w:pPr>
              <w:pStyle w:val="Longformcallout"/>
              <w:keepLines/>
              <w:widowControl w:val="0"/>
              <w:numPr>
                <w:ilvl w:val="0"/>
                <w:numId w:val="6"/>
              </w:numPr>
            </w:pPr>
            <w:r w:rsidRPr="00206ACA">
              <w:t>In accordance with Article 4(4) of the Treaty, no amendments to the Act will be introduce</w:t>
            </w:r>
            <w:r w:rsidRPr="00894940">
              <w:t xml:space="preserve">d without effective consultation with New Zealand. </w:t>
            </w:r>
          </w:p>
          <w:p w14:paraId="65B31981" w14:textId="77777777" w:rsidR="00125FC9" w:rsidRPr="00206ACA" w:rsidRDefault="00125FC9">
            <w:pPr>
              <w:pStyle w:val="Longformcallout"/>
              <w:keepLines/>
              <w:widowControl w:val="0"/>
              <w:rPr>
                <w:u w:val="single"/>
              </w:rPr>
            </w:pPr>
            <w:r w:rsidRPr="00206ACA">
              <w:rPr>
                <w:u w:val="single"/>
              </w:rPr>
              <w:t>Principles</w:t>
            </w:r>
          </w:p>
          <w:p w14:paraId="22E65311" w14:textId="77777777" w:rsidR="00125FC9" w:rsidRPr="00894940" w:rsidRDefault="00125FC9">
            <w:pPr>
              <w:pStyle w:val="Longformcallout"/>
              <w:keepLines/>
              <w:widowControl w:val="0"/>
            </w:pPr>
            <w:r w:rsidRPr="00206ACA">
              <w:t>Alignment with Priority 3 of the food regulation system</w:t>
            </w:r>
          </w:p>
          <w:p w14:paraId="790D678C" w14:textId="77777777" w:rsidR="00125FC9" w:rsidRPr="00894940" w:rsidRDefault="00125FC9" w:rsidP="00125FC9">
            <w:pPr>
              <w:pStyle w:val="Longformcallout"/>
              <w:keepLines/>
              <w:widowControl w:val="0"/>
              <w:numPr>
                <w:ilvl w:val="0"/>
                <w:numId w:val="6"/>
              </w:numPr>
            </w:pPr>
            <w:r w:rsidRPr="00206ACA">
              <w:t xml:space="preserve">The </w:t>
            </w:r>
            <w:r w:rsidRPr="00894940">
              <w:t>Review will complement the objectives of Priority 3 of the food regulation system, as agreed by the Forum in April 2017: to maintain a strong, robust, and agile food regulation system. The central focus of this work is applying best practice regulatory approaches, with the objectives of improving timeliness, ensuring the food regulation system is responsive, and provides a unified voice regarding food safety and applying processes proportional to Risk. Under the Priority 3 program of work, the Food Regulation Standing Committee is concurrently considering wider reforms to the food regulatory system (including the Food Regulation Agreement and the Model Food Act). This review will aim to align with and complement the broader Priority 3 work.</w:t>
            </w:r>
          </w:p>
          <w:p w14:paraId="124A64CB" w14:textId="77777777" w:rsidR="00125FC9" w:rsidRPr="00206ACA" w:rsidRDefault="00125FC9">
            <w:pPr>
              <w:pStyle w:val="Longformcallout"/>
              <w:keepLines/>
              <w:widowControl w:val="0"/>
              <w:rPr>
                <w:u w:val="single"/>
              </w:rPr>
            </w:pPr>
            <w:r w:rsidRPr="00206ACA">
              <w:rPr>
                <w:u w:val="single"/>
              </w:rPr>
              <w:t>Management</w:t>
            </w:r>
          </w:p>
          <w:p w14:paraId="4B0967D5" w14:textId="77777777" w:rsidR="00125FC9" w:rsidRPr="00206ACA" w:rsidRDefault="00125FC9" w:rsidP="00125FC9">
            <w:pPr>
              <w:pStyle w:val="Longformcallout"/>
              <w:keepLines/>
              <w:widowControl w:val="0"/>
              <w:numPr>
                <w:ilvl w:val="0"/>
                <w:numId w:val="6"/>
              </w:numPr>
            </w:pPr>
            <w:r w:rsidRPr="00206ACA">
              <w:t>The Australian Government Department of Health in consultation with the Australian Government Department of Agriculture, Water and the Environment will manage the Review through an independent consultant, in partnership with the New Zealand Government and in consultation with FSANZ, and Australian states and territories.</w:t>
            </w:r>
          </w:p>
          <w:p w14:paraId="42E13709" w14:textId="77777777" w:rsidR="00125FC9" w:rsidRDefault="00125FC9">
            <w:pPr>
              <w:keepLines/>
              <w:widowControl w:val="0"/>
              <w:rPr>
                <w:lang w:eastAsia="en-AU"/>
              </w:rPr>
            </w:pPr>
          </w:p>
        </w:tc>
      </w:tr>
    </w:tbl>
    <w:p w14:paraId="5CFABB00" w14:textId="77777777" w:rsidR="00110BE2" w:rsidRPr="00110BE2" w:rsidRDefault="00110BE2" w:rsidP="00110BE2"/>
    <w:p w14:paraId="28F7DA2A" w14:textId="58A76E5D" w:rsidR="00923BE4" w:rsidRDefault="00C51CA7" w:rsidP="006C0D3F">
      <w:pPr>
        <w:pStyle w:val="xAppendixLevel1"/>
        <w:spacing w:after="0"/>
        <w:ind w:left="2268" w:hanging="2411"/>
      </w:pPr>
      <w:bookmarkStart w:id="159" w:name="_Ref144891710"/>
      <w:bookmarkStart w:id="160" w:name="_Toc157599148"/>
      <w:r>
        <w:lastRenderedPageBreak/>
        <w:t>The</w:t>
      </w:r>
      <w:r w:rsidR="00923BE4">
        <w:t xml:space="preserve"> Act Review Steering Committee members</w:t>
      </w:r>
      <w:bookmarkEnd w:id="159"/>
      <w:bookmarkEnd w:id="160"/>
    </w:p>
    <w:p w14:paraId="6407E0F6" w14:textId="77777777" w:rsidR="0040426F" w:rsidRPr="0040426F" w:rsidRDefault="0040426F" w:rsidP="0040426F">
      <w:pPr>
        <w:rPr>
          <w:lang w:eastAsia="en-AU"/>
        </w:rPr>
      </w:pPr>
    </w:p>
    <w:p w14:paraId="112C9881" w14:textId="215C570A" w:rsidR="00923BE4" w:rsidRDefault="00923BE4" w:rsidP="00923BE4">
      <w:pPr>
        <w:pStyle w:val="Caption"/>
      </w:pPr>
      <w:bookmarkStart w:id="161" w:name="_Ref57822630"/>
      <w:bookmarkStart w:id="162" w:name="_Ref51413321"/>
      <w:r>
        <w:t xml:space="preserve">Table </w:t>
      </w:r>
      <w:r>
        <w:fldChar w:fldCharType="begin"/>
      </w:r>
      <w:r>
        <w:instrText xml:space="preserve"> SEQ Table \* ARABIC </w:instrText>
      </w:r>
      <w:r>
        <w:fldChar w:fldCharType="separate"/>
      </w:r>
      <w:r w:rsidR="003F7B92">
        <w:rPr>
          <w:noProof/>
        </w:rPr>
        <w:t>34</w:t>
      </w:r>
      <w:r>
        <w:fldChar w:fldCharType="end"/>
      </w:r>
      <w:bookmarkEnd w:id="161"/>
      <w:bookmarkEnd w:id="162"/>
      <w:r>
        <w:t xml:space="preserve"> | </w:t>
      </w:r>
      <w:r w:rsidR="00C51CA7">
        <w:t>The</w:t>
      </w:r>
      <w:r>
        <w:t xml:space="preserve"> Act Review Steering Committee members</w:t>
      </w:r>
    </w:p>
    <w:tbl>
      <w:tblPr>
        <w:tblStyle w:val="TableGrid"/>
        <w:tblW w:w="5000" w:type="pct"/>
        <w:tblLook w:val="04A0" w:firstRow="1" w:lastRow="0" w:firstColumn="1" w:lastColumn="0" w:noHBand="0" w:noVBand="1"/>
        <w:tblCaption w:val="FSANZ Act Review Steering Committee members"/>
        <w:tblDescription w:val="List of FSANZ Act Review Steering Committee members"/>
      </w:tblPr>
      <w:tblGrid>
        <w:gridCol w:w="8930"/>
      </w:tblGrid>
      <w:tr w:rsidR="0089006F" w14:paraId="080E10EF" w14:textId="77777777">
        <w:trPr>
          <w:cnfStyle w:val="100000000000" w:firstRow="1" w:lastRow="0" w:firstColumn="0" w:lastColumn="0" w:oddVBand="0" w:evenVBand="0" w:oddHBand="0" w:evenHBand="0" w:firstRowFirstColumn="0" w:firstRowLastColumn="0" w:lastRowFirstColumn="0" w:lastRowLastColumn="0"/>
        </w:trPr>
        <w:tc>
          <w:tcPr>
            <w:tcW w:w="5000" w:type="pct"/>
          </w:tcPr>
          <w:p w14:paraId="76E34655" w14:textId="77777777" w:rsidR="00923BE4" w:rsidRDefault="00923BE4" w:rsidP="00134136">
            <w:pPr>
              <w:rPr>
                <w:lang w:eastAsia="en-AU"/>
              </w:rPr>
            </w:pPr>
            <w:r>
              <w:rPr>
                <w:lang w:eastAsia="en-AU"/>
              </w:rPr>
              <w:t xml:space="preserve">Organisation </w:t>
            </w:r>
            <w:bookmarkStart w:id="163" w:name="Title_FSANZ_Act_Revew_Steering_Committee"/>
            <w:bookmarkEnd w:id="163"/>
          </w:p>
        </w:tc>
      </w:tr>
      <w:tr w:rsidR="00923BE4" w14:paraId="56754543" w14:textId="77777777" w:rsidTr="00134136">
        <w:trPr>
          <w:cnfStyle w:val="000000100000" w:firstRow="0" w:lastRow="0" w:firstColumn="0" w:lastColumn="0" w:oddVBand="0" w:evenVBand="0" w:oddHBand="1" w:evenHBand="0" w:firstRowFirstColumn="0" w:firstRowLastColumn="0" w:lastRowFirstColumn="0" w:lastRowLastColumn="0"/>
          <w:cantSplit/>
        </w:trPr>
        <w:tc>
          <w:tcPr>
            <w:tcW w:w="0" w:type="pct"/>
          </w:tcPr>
          <w:p w14:paraId="1EAC6396" w14:textId="3CEA468A" w:rsidR="00923BE4" w:rsidRDefault="003769DB" w:rsidP="00134136">
            <w:pPr>
              <w:rPr>
                <w:lang w:eastAsia="en-AU"/>
              </w:rPr>
            </w:pPr>
            <w:r>
              <w:t>Australian Government Department of Health and Aged Care</w:t>
            </w:r>
          </w:p>
        </w:tc>
      </w:tr>
      <w:tr w:rsidR="00923BE4" w14:paraId="49ADF278" w14:textId="77777777" w:rsidTr="00134136">
        <w:trPr>
          <w:cnfStyle w:val="000000010000" w:firstRow="0" w:lastRow="0" w:firstColumn="0" w:lastColumn="0" w:oddVBand="0" w:evenVBand="0" w:oddHBand="0" w:evenHBand="1" w:firstRowFirstColumn="0" w:firstRowLastColumn="0" w:lastRowFirstColumn="0" w:lastRowLastColumn="0"/>
          <w:cantSplit/>
        </w:trPr>
        <w:tc>
          <w:tcPr>
            <w:tcW w:w="0" w:type="pct"/>
          </w:tcPr>
          <w:p w14:paraId="6BEEF806" w14:textId="29ABB9FE" w:rsidR="00923BE4" w:rsidRDefault="003769DB" w:rsidP="00134136">
            <w:pPr>
              <w:rPr>
                <w:lang w:eastAsia="en-AU"/>
              </w:rPr>
            </w:pPr>
            <w:r>
              <w:t>Australian Government Department of Agriculture, Fisheries and Forestry</w:t>
            </w:r>
          </w:p>
        </w:tc>
      </w:tr>
      <w:tr w:rsidR="00923BE4" w14:paraId="5BA1DD34" w14:textId="77777777" w:rsidTr="00134136">
        <w:trPr>
          <w:cnfStyle w:val="000000100000" w:firstRow="0" w:lastRow="0" w:firstColumn="0" w:lastColumn="0" w:oddVBand="0" w:evenVBand="0" w:oddHBand="1" w:evenHBand="0" w:firstRowFirstColumn="0" w:firstRowLastColumn="0" w:lastRowFirstColumn="0" w:lastRowLastColumn="0"/>
          <w:cantSplit/>
        </w:trPr>
        <w:tc>
          <w:tcPr>
            <w:tcW w:w="0" w:type="pct"/>
          </w:tcPr>
          <w:p w14:paraId="313BBBD6" w14:textId="2D8A37A4" w:rsidR="00923BE4" w:rsidRDefault="003938F6" w:rsidP="00134136">
            <w:pPr>
              <w:rPr>
                <w:lang w:eastAsia="en-AU"/>
              </w:rPr>
            </w:pPr>
            <w:r>
              <w:t>New Zealand Ministry for Primary Industries</w:t>
            </w:r>
          </w:p>
        </w:tc>
      </w:tr>
      <w:tr w:rsidR="00923BE4" w14:paraId="5814A709" w14:textId="77777777" w:rsidTr="00134136">
        <w:trPr>
          <w:cnfStyle w:val="000000010000" w:firstRow="0" w:lastRow="0" w:firstColumn="0" w:lastColumn="0" w:oddVBand="0" w:evenVBand="0" w:oddHBand="0" w:evenHBand="1" w:firstRowFirstColumn="0" w:firstRowLastColumn="0" w:lastRowFirstColumn="0" w:lastRowLastColumn="0"/>
          <w:cantSplit/>
        </w:trPr>
        <w:tc>
          <w:tcPr>
            <w:tcW w:w="0" w:type="pct"/>
          </w:tcPr>
          <w:p w14:paraId="6BAFF346" w14:textId="539D6C7A" w:rsidR="00923BE4" w:rsidRDefault="003938F6" w:rsidP="00134136">
            <w:pPr>
              <w:rPr>
                <w:lang w:eastAsia="en-AU"/>
              </w:rPr>
            </w:pPr>
            <w:r>
              <w:t>Food Standards Australia New Zealand</w:t>
            </w:r>
          </w:p>
        </w:tc>
      </w:tr>
      <w:tr w:rsidR="00923BE4" w14:paraId="0B872743" w14:textId="77777777" w:rsidTr="00134136">
        <w:trPr>
          <w:cnfStyle w:val="000000100000" w:firstRow="0" w:lastRow="0" w:firstColumn="0" w:lastColumn="0" w:oddVBand="0" w:evenVBand="0" w:oddHBand="1" w:evenHBand="0" w:firstRowFirstColumn="0" w:firstRowLastColumn="0" w:lastRowFirstColumn="0" w:lastRowLastColumn="0"/>
          <w:cantSplit/>
        </w:trPr>
        <w:tc>
          <w:tcPr>
            <w:tcW w:w="0" w:type="pct"/>
          </w:tcPr>
          <w:p w14:paraId="2B58DF9C" w14:textId="1270C4EC" w:rsidR="00923BE4" w:rsidRDefault="003828A9" w:rsidP="00134136">
            <w:pPr>
              <w:rPr>
                <w:lang w:eastAsia="en-AU"/>
              </w:rPr>
            </w:pPr>
            <w:r>
              <w:t xml:space="preserve">Department of the </w:t>
            </w:r>
            <w:r w:rsidR="003938F6">
              <w:t>Prime Minister and Cabinet</w:t>
            </w:r>
          </w:p>
        </w:tc>
      </w:tr>
      <w:tr w:rsidR="00923BE4" w14:paraId="3F79B634" w14:textId="77777777" w:rsidTr="00134136">
        <w:trPr>
          <w:cnfStyle w:val="000000010000" w:firstRow="0" w:lastRow="0" w:firstColumn="0" w:lastColumn="0" w:oddVBand="0" w:evenVBand="0" w:oddHBand="0" w:evenHBand="1" w:firstRowFirstColumn="0" w:firstRowLastColumn="0" w:lastRowFirstColumn="0" w:lastRowLastColumn="0"/>
          <w:cantSplit/>
        </w:trPr>
        <w:tc>
          <w:tcPr>
            <w:tcW w:w="0" w:type="pct"/>
          </w:tcPr>
          <w:p w14:paraId="5AF9E2AC" w14:textId="64805493" w:rsidR="00923BE4" w:rsidRDefault="003938F6" w:rsidP="00134136">
            <w:pPr>
              <w:rPr>
                <w:lang w:eastAsia="en-AU"/>
              </w:rPr>
            </w:pPr>
            <w:r>
              <w:t>Australian Government Department of Industry, Science and Resources</w:t>
            </w:r>
          </w:p>
        </w:tc>
      </w:tr>
      <w:tr w:rsidR="00E97AF7" w14:paraId="16BB35F6" w14:textId="77777777" w:rsidTr="00134136">
        <w:trPr>
          <w:cnfStyle w:val="000000100000" w:firstRow="0" w:lastRow="0" w:firstColumn="0" w:lastColumn="0" w:oddVBand="0" w:evenVBand="0" w:oddHBand="1" w:evenHBand="0" w:firstRowFirstColumn="0" w:firstRowLastColumn="0" w:lastRowFirstColumn="0" w:lastRowLastColumn="0"/>
          <w:cantSplit/>
        </w:trPr>
        <w:tc>
          <w:tcPr>
            <w:tcW w:w="0" w:type="pct"/>
          </w:tcPr>
          <w:p w14:paraId="585D84C4" w14:textId="16F32F51" w:rsidR="00E97AF7" w:rsidRDefault="003938F6" w:rsidP="00134136">
            <w:pPr>
              <w:rPr>
                <w:lang w:eastAsia="en-AU"/>
              </w:rPr>
            </w:pPr>
            <w:r>
              <w:t>Australian Government Department of Foreign Affairs and Trade</w:t>
            </w:r>
          </w:p>
        </w:tc>
      </w:tr>
    </w:tbl>
    <w:p w14:paraId="3B4FBAF0" w14:textId="43ACE656" w:rsidR="00923BE4" w:rsidRDefault="00BD1F0F" w:rsidP="00923BE4">
      <w:pPr>
        <w:pStyle w:val="xAppendixLevel1"/>
        <w:ind w:left="0" w:firstLine="0"/>
      </w:pPr>
      <w:bookmarkStart w:id="164" w:name="_Ref142467412"/>
      <w:bookmarkStart w:id="165" w:name="_Ref142467454"/>
      <w:bookmarkStart w:id="166" w:name="_Toc157599149"/>
      <w:r>
        <w:lastRenderedPageBreak/>
        <w:t>Net benefit</w:t>
      </w:r>
      <w:r w:rsidR="00923BE4">
        <w:t xml:space="preserve"> assumptions</w:t>
      </w:r>
      <w:bookmarkEnd w:id="164"/>
      <w:bookmarkEnd w:id="165"/>
      <w:r w:rsidR="00DC2FFD">
        <w:t xml:space="preserve"> and calculation</w:t>
      </w:r>
      <w:bookmarkEnd w:id="166"/>
    </w:p>
    <w:p w14:paraId="6D19D2F8" w14:textId="1D29904B" w:rsidR="00A2146B" w:rsidRDefault="00A2146B" w:rsidP="00A2146B">
      <w:pPr>
        <w:pStyle w:val="Heading4"/>
      </w:pPr>
      <w:r>
        <w:t xml:space="preserve">Key drivers </w:t>
      </w:r>
    </w:p>
    <w:p w14:paraId="4DBE832B" w14:textId="555D0A62" w:rsidR="00633BB3" w:rsidRPr="00633BB3" w:rsidRDefault="00633BB3" w:rsidP="00633BB3">
      <w:r>
        <w:t>This section outlines the key drivers of cost and benefits in the cost benefit analysis</w:t>
      </w:r>
      <w:r w:rsidR="00985CEC">
        <w:t xml:space="preserve"> and</w:t>
      </w:r>
      <w:r>
        <w:t xml:space="preserve"> their </w:t>
      </w:r>
      <w:r w:rsidR="00FC7C9E">
        <w:t>underlying methodology</w:t>
      </w:r>
      <w:r>
        <w:t xml:space="preserve">. </w:t>
      </w:r>
    </w:p>
    <w:p w14:paraId="043CAAAA" w14:textId="1F99593B" w:rsidR="00A2146B" w:rsidRDefault="00BC431A" w:rsidP="006A7566">
      <w:pPr>
        <w:pStyle w:val="Heading6"/>
        <w:rPr>
          <w:i w:val="0"/>
          <w:iCs w:val="0"/>
        </w:rPr>
      </w:pPr>
      <w:r w:rsidRPr="006A7566">
        <w:rPr>
          <w:i w:val="0"/>
          <w:iCs w:val="0"/>
        </w:rPr>
        <w:t xml:space="preserve">Delay to industry </w:t>
      </w:r>
    </w:p>
    <w:p w14:paraId="3C866172" w14:textId="33FE5260" w:rsidR="001B4D69" w:rsidRPr="00A22D64" w:rsidRDefault="00000B11" w:rsidP="001B4D69">
      <w:pPr>
        <w:rPr>
          <w:rFonts w:eastAsiaTheme="minorEastAsia"/>
          <w:lang w:eastAsia="en-AU"/>
        </w:rPr>
      </w:pPr>
      <m:oMathPara>
        <m:oMath>
          <m:r>
            <w:rPr>
              <w:rFonts w:ascii="Cambria Math" w:hAnsi="Cambria Math"/>
              <w:lang w:eastAsia="en-AU"/>
            </w:rPr>
            <m:t>Cost of delay to industry=number of applications × delay cost per month ×</m:t>
          </m:r>
          <m:r>
            <w:rPr>
              <w:rFonts w:ascii="Cambria Math" w:eastAsiaTheme="minorEastAsia" w:hAnsi="Cambria Math"/>
              <w:lang w:eastAsia="en-AU"/>
            </w:rPr>
            <m:t>processing time</m:t>
          </m:r>
        </m:oMath>
      </m:oMathPara>
    </w:p>
    <w:p w14:paraId="7FCAA43A" w14:textId="3EF2E181" w:rsidR="00A22D64" w:rsidRDefault="005A4A9E" w:rsidP="001B4D69">
      <w:r>
        <w:rPr>
          <w:rFonts w:eastAsiaTheme="minorEastAsia"/>
          <w:lang w:eastAsia="en-AU"/>
        </w:rPr>
        <w:t xml:space="preserve">Applications are further broken down into paid and unpaid applications. </w:t>
      </w:r>
      <w:r w:rsidR="00A22D64">
        <w:rPr>
          <w:rFonts w:eastAsiaTheme="minorEastAsia"/>
          <w:lang w:eastAsia="en-AU"/>
        </w:rPr>
        <w:t xml:space="preserve">Number applications </w:t>
      </w:r>
      <w:r w:rsidR="003C01CB">
        <w:rPr>
          <w:rFonts w:eastAsiaTheme="minorEastAsia"/>
          <w:lang w:eastAsia="en-AU"/>
        </w:rPr>
        <w:t xml:space="preserve">per year is </w:t>
      </w:r>
      <w:r w:rsidR="003015CE">
        <w:rPr>
          <w:rFonts w:eastAsiaTheme="minorEastAsia"/>
          <w:lang w:eastAsia="en-AU"/>
        </w:rPr>
        <w:t xml:space="preserve">based on </w:t>
      </w:r>
      <w:r>
        <w:rPr>
          <w:rFonts w:eastAsiaTheme="minorEastAsia"/>
          <w:lang w:eastAsia="en-AU"/>
        </w:rPr>
        <w:t xml:space="preserve">an </w:t>
      </w:r>
      <w:r>
        <w:t xml:space="preserve">average of </w:t>
      </w:r>
      <w:r w:rsidR="00E62D5E">
        <w:t>five</w:t>
      </w:r>
      <w:r>
        <w:t xml:space="preserve"> unpaid applications from an average of 17 total applications, over the last </w:t>
      </w:r>
      <w:r w:rsidR="00E62D5E">
        <w:t>seven</w:t>
      </w:r>
      <w:r>
        <w:t xml:space="preserve"> years.</w:t>
      </w:r>
      <w:r w:rsidR="00235A9D">
        <w:rPr>
          <w:rFonts w:ascii="ZWAdobeF" w:hAnsi="ZWAdobeF" w:cs="ZWAdobeF"/>
          <w:sz w:val="2"/>
          <w:szCs w:val="2"/>
        </w:rPr>
        <w:t>48F</w:t>
      </w:r>
      <w:r w:rsidR="002B3B82">
        <w:rPr>
          <w:rStyle w:val="FootnoteReference"/>
        </w:rPr>
        <w:footnoteReference w:id="57"/>
      </w:r>
      <w:r w:rsidR="005904E3">
        <w:t xml:space="preserve"> A growth rate of zero is </w:t>
      </w:r>
      <w:r w:rsidR="00C01A59">
        <w:t>presumed</w:t>
      </w:r>
      <w:r w:rsidR="005904E3">
        <w:t xml:space="preserve"> for applications, </w:t>
      </w:r>
      <w:r w:rsidR="00A70F1A">
        <w:t>resulting in a constant 17 applications year over the projected ten years</w:t>
      </w:r>
      <w:r w:rsidR="00F51F32">
        <w:t xml:space="preserve"> to calculate </w:t>
      </w:r>
      <w:r w:rsidR="003D0473">
        <w:t>the</w:t>
      </w:r>
      <w:r w:rsidR="00FF09F8">
        <w:t xml:space="preserve"> net present value</w:t>
      </w:r>
      <w:r w:rsidR="004D3FB6">
        <w:t>. T</w:t>
      </w:r>
      <w:r w:rsidR="00C01A59">
        <w:t>he composition of applications is presumed</w:t>
      </w:r>
      <w:r w:rsidR="004D3FB6">
        <w:t xml:space="preserve"> to change with the introduction of new pathways under Option 2. </w:t>
      </w:r>
    </w:p>
    <w:p w14:paraId="1675B68E" w14:textId="21BA0B0A" w:rsidR="004D3FB6" w:rsidRDefault="004D3FB6" w:rsidP="001B4D69">
      <w:r>
        <w:t>Delay cost</w:t>
      </w:r>
      <w:r w:rsidR="003F4947">
        <w:t xml:space="preserve"> per month has been sourced from industry consultations to date. </w:t>
      </w:r>
    </w:p>
    <w:p w14:paraId="37D3EE9E" w14:textId="7A93949E" w:rsidR="003F4947" w:rsidRPr="001B4D69" w:rsidRDefault="003F4947" w:rsidP="001B4D69">
      <w:pPr>
        <w:rPr>
          <w:lang w:eastAsia="en-AU"/>
        </w:rPr>
      </w:pPr>
      <w:r>
        <w:t xml:space="preserve">Processing time </w:t>
      </w:r>
      <w:r w:rsidR="00765548">
        <w:t>varies</w:t>
      </w:r>
      <w:r>
        <w:t xml:space="preserve"> </w:t>
      </w:r>
      <w:r w:rsidR="00204CD9">
        <w:t xml:space="preserve">depending on the type of application. </w:t>
      </w:r>
      <w:r w:rsidR="00ED216E">
        <w:t xml:space="preserve">As majority of current applications are </w:t>
      </w:r>
      <w:r w:rsidR="00D007C6">
        <w:t xml:space="preserve">general procedures, their statutory timeframe of </w:t>
      </w:r>
      <w:r w:rsidR="00E62D5E">
        <w:t>nine</w:t>
      </w:r>
      <w:r w:rsidR="00D007C6">
        <w:t xml:space="preserve"> months is assumed to be the processing time. </w:t>
      </w:r>
    </w:p>
    <w:p w14:paraId="534C1881" w14:textId="5D426402" w:rsidR="006A7566" w:rsidRDefault="006A7566" w:rsidP="006A7566">
      <w:pPr>
        <w:pStyle w:val="Heading6"/>
        <w:rPr>
          <w:i w:val="0"/>
          <w:iCs w:val="0"/>
        </w:rPr>
      </w:pPr>
      <w:r>
        <w:rPr>
          <w:i w:val="0"/>
          <w:iCs w:val="0"/>
        </w:rPr>
        <w:t xml:space="preserve">Public health benefit </w:t>
      </w:r>
    </w:p>
    <w:p w14:paraId="1E44F016" w14:textId="1285BCE8" w:rsidR="00F55C4F" w:rsidRPr="00977697" w:rsidRDefault="00000B11" w:rsidP="00F55C4F">
      <w:pPr>
        <w:rPr>
          <w:rFonts w:eastAsiaTheme="minorEastAsia"/>
          <w:lang w:eastAsia="en-AU"/>
        </w:rPr>
      </w:pPr>
      <m:oMathPara>
        <m:oMath>
          <m:r>
            <w:rPr>
              <w:rFonts w:ascii="Cambria Math" w:hAnsi="Cambria Math"/>
              <w:lang w:eastAsia="en-AU"/>
            </w:rPr>
            <m:t>Public health benefit=</m:t>
          </m:r>
          <m:d>
            <m:dPr>
              <m:ctrlPr>
                <w:rPr>
                  <w:rFonts w:ascii="Cambria Math" w:hAnsi="Cambria Math"/>
                  <w:i/>
                  <w:lang w:eastAsia="en-AU"/>
                </w:rPr>
              </m:ctrlPr>
            </m:dPr>
            <m:e>
              <m:r>
                <w:rPr>
                  <w:rFonts w:ascii="Cambria Math" w:hAnsi="Cambria Math"/>
                  <w:lang w:eastAsia="en-AU"/>
                </w:rPr>
                <m:t>number of applications+number of proposals and reviews</m:t>
              </m:r>
            </m:e>
          </m:d>
          <m:r>
            <w:rPr>
              <w:rFonts w:ascii="Cambria Math" w:hAnsi="Cambria Math"/>
              <w:lang w:eastAsia="en-AU"/>
            </w:rPr>
            <m:t>× public health benefit per application/proposal/review</m:t>
          </m:r>
        </m:oMath>
      </m:oMathPara>
    </w:p>
    <w:p w14:paraId="72372901" w14:textId="2B22B866" w:rsidR="00977697" w:rsidRDefault="00977697" w:rsidP="00F55C4F">
      <w:r>
        <w:rPr>
          <w:rFonts w:eastAsiaTheme="minorEastAsia"/>
          <w:lang w:eastAsia="en-AU"/>
        </w:rPr>
        <w:t xml:space="preserve">Number of proposals </w:t>
      </w:r>
      <w:r w:rsidR="0054141C">
        <w:rPr>
          <w:rFonts w:eastAsiaTheme="minorEastAsia"/>
          <w:lang w:eastAsia="en-AU"/>
        </w:rPr>
        <w:t xml:space="preserve">is based on </w:t>
      </w:r>
      <w:r w:rsidR="00601DCB">
        <w:rPr>
          <w:rFonts w:eastAsiaTheme="minorEastAsia"/>
          <w:lang w:eastAsia="en-AU"/>
        </w:rPr>
        <w:t>an a</w:t>
      </w:r>
      <w:r w:rsidR="00601DCB">
        <w:t>verage of 3.5</w:t>
      </w:r>
      <w:r w:rsidR="00F5345D">
        <w:t xml:space="preserve"> </w:t>
      </w:r>
      <w:r w:rsidR="00601DCB">
        <w:t xml:space="preserve">per year over the past </w:t>
      </w:r>
      <w:r w:rsidR="00E62D5E">
        <w:t>seven</w:t>
      </w:r>
      <w:r w:rsidR="00601DCB">
        <w:t xml:space="preserve"> years. </w:t>
      </w:r>
      <w:r w:rsidR="006C15E8">
        <w:t xml:space="preserve">Baseline assumption </w:t>
      </w:r>
      <w:r w:rsidR="00E336A9">
        <w:t xml:space="preserve">is </w:t>
      </w:r>
      <w:r w:rsidR="006C15E8">
        <w:t xml:space="preserve">that FSANZ completes 3 proposals/reviews per year. </w:t>
      </w:r>
      <w:r w:rsidR="00F5345D">
        <w:t xml:space="preserve"> </w:t>
      </w:r>
    </w:p>
    <w:p w14:paraId="20D2F7E0" w14:textId="022190C2" w:rsidR="00F5345D" w:rsidRPr="00F55C4F" w:rsidRDefault="00F5345D" w:rsidP="00F55C4F">
      <w:pPr>
        <w:rPr>
          <w:lang w:eastAsia="en-AU"/>
        </w:rPr>
      </w:pPr>
      <w:r>
        <w:t>Public health benefit p</w:t>
      </w:r>
      <w:r w:rsidRPr="00F5345D">
        <w:t>er application/proposal/review</w:t>
      </w:r>
      <w:r>
        <w:t xml:space="preserve"> </w:t>
      </w:r>
      <w:r w:rsidR="00183434">
        <w:t xml:space="preserve">was </w:t>
      </w:r>
      <w:r>
        <w:t xml:space="preserve">calculated for </w:t>
      </w:r>
      <w:r w:rsidR="007B755B">
        <w:t xml:space="preserve">one </w:t>
      </w:r>
      <w:r w:rsidR="0053442C">
        <w:t>FSANZ review, ‘Review of the regulatory management of food allergens’</w:t>
      </w:r>
      <w:r w:rsidR="00183434">
        <w:t xml:space="preserve"> and generalised across reviews, </w:t>
      </w:r>
      <w:proofErr w:type="gramStart"/>
      <w:r w:rsidR="00183434">
        <w:t>proposals</w:t>
      </w:r>
      <w:proofErr w:type="gramEnd"/>
      <w:r w:rsidR="00183434">
        <w:t xml:space="preserve"> and applications</w:t>
      </w:r>
      <w:r w:rsidR="00652EE5">
        <w:t>.</w:t>
      </w:r>
      <w:r w:rsidR="00C23330">
        <w:t xml:space="preserve"> </w:t>
      </w:r>
      <w:r w:rsidR="00467EC7">
        <w:t xml:space="preserve">This is </w:t>
      </w:r>
      <w:r w:rsidR="00BB3B6E">
        <w:t xml:space="preserve">a broad generalisation given the diversity of proposals and applications processed by FSANZ, however the </w:t>
      </w:r>
      <w:r w:rsidR="00503314">
        <w:t xml:space="preserve">nature of FSANZ being a standard setting body </w:t>
      </w:r>
      <w:r w:rsidR="00C56CEF">
        <w:t>means it is difficult in practice to attribute</w:t>
      </w:r>
      <w:r w:rsidR="005A0382">
        <w:t xml:space="preserve"> </w:t>
      </w:r>
      <w:r w:rsidR="004A070E">
        <w:t xml:space="preserve">public health benefits/costs </w:t>
      </w:r>
      <w:r w:rsidR="0028031A">
        <w:t>directly to FSANZ’</w:t>
      </w:r>
      <w:r w:rsidR="0055117F">
        <w:t>s</w:t>
      </w:r>
      <w:r w:rsidR="0028031A">
        <w:t xml:space="preserve"> operations. </w:t>
      </w:r>
      <w:r w:rsidR="00742360">
        <w:t>Nous would be pleased to iterate thi</w:t>
      </w:r>
      <w:r w:rsidR="0091225C">
        <w:t>s approach if more reliable methodologies and data exist</w:t>
      </w:r>
      <w:r w:rsidR="00652EE5">
        <w:t xml:space="preserve">. </w:t>
      </w:r>
    </w:p>
    <w:p w14:paraId="1882DBD1" w14:textId="7ADBA5A6" w:rsidR="003759F8" w:rsidRDefault="0035664A" w:rsidP="003759F8">
      <w:pPr>
        <w:pStyle w:val="Heading6"/>
        <w:rPr>
          <w:i w:val="0"/>
          <w:iCs w:val="0"/>
        </w:rPr>
      </w:pPr>
      <w:r>
        <w:rPr>
          <w:i w:val="0"/>
          <w:iCs w:val="0"/>
        </w:rPr>
        <w:t xml:space="preserve">FSANZ resourcing </w:t>
      </w:r>
    </w:p>
    <w:p w14:paraId="679ADC5F" w14:textId="7F628164" w:rsidR="008A60E3" w:rsidRPr="008A60E3" w:rsidRDefault="008A60E3" w:rsidP="008A60E3">
      <w:pPr>
        <w:rPr>
          <w:rFonts w:eastAsiaTheme="minorEastAsia"/>
          <w:lang w:eastAsia="en-AU"/>
        </w:rPr>
      </w:pPr>
      <m:oMathPara>
        <m:oMath>
          <m:r>
            <w:rPr>
              <w:rFonts w:ascii="Cambria Math" w:hAnsi="Cambria Math"/>
              <w:lang w:eastAsia="en-AU"/>
            </w:rPr>
            <m:t xml:space="preserve">Cost FSANZ resourcing=addtional FTE required × FSANZ compound wage rate+addtional funding required </m:t>
          </m:r>
        </m:oMath>
      </m:oMathPara>
    </w:p>
    <w:p w14:paraId="5DD1EA99" w14:textId="6D25B8CD" w:rsidR="006F1F8A" w:rsidRDefault="006F1F8A" w:rsidP="006F1F8A">
      <w:pPr>
        <w:rPr>
          <w:lang w:eastAsia="en-AU"/>
        </w:rPr>
      </w:pPr>
      <w:r>
        <w:rPr>
          <w:lang w:eastAsia="en-AU"/>
        </w:rPr>
        <w:t xml:space="preserve">Cost of FSANZ resourcing has been informed by the </w:t>
      </w:r>
      <w:r w:rsidR="005577E3">
        <w:rPr>
          <w:lang w:eastAsia="en-AU"/>
        </w:rPr>
        <w:t xml:space="preserve">estimated </w:t>
      </w:r>
      <w:r>
        <w:rPr>
          <w:lang w:eastAsia="en-AU"/>
        </w:rPr>
        <w:t>funding/additional FTEs required to resource each sub-component.</w:t>
      </w:r>
      <w:r w:rsidR="00020C3F">
        <w:rPr>
          <w:lang w:eastAsia="en-AU"/>
        </w:rPr>
        <w:t xml:space="preserve"> Based on </w:t>
      </w:r>
      <w:r w:rsidR="0002263B">
        <w:rPr>
          <w:lang w:eastAsia="en-AU"/>
        </w:rPr>
        <w:t xml:space="preserve">FSANZ estimates, </w:t>
      </w:r>
      <w:r w:rsidR="00AE15BB">
        <w:rPr>
          <w:lang w:eastAsia="en-AU"/>
        </w:rPr>
        <w:t xml:space="preserve">140 additional </w:t>
      </w:r>
      <w:r w:rsidR="007B1F21">
        <w:rPr>
          <w:lang w:eastAsia="en-AU"/>
        </w:rPr>
        <w:t>ongoing FTE will be re</w:t>
      </w:r>
      <w:r w:rsidR="00164332">
        <w:rPr>
          <w:lang w:eastAsia="en-AU"/>
        </w:rPr>
        <w:t xml:space="preserve">quired to implement </w:t>
      </w:r>
      <w:r w:rsidR="005472F1">
        <w:rPr>
          <w:lang w:eastAsia="en-AU"/>
        </w:rPr>
        <w:t>all</w:t>
      </w:r>
      <w:r w:rsidR="00164332">
        <w:rPr>
          <w:lang w:eastAsia="en-AU"/>
        </w:rPr>
        <w:t xml:space="preserve"> components under Option 2. </w:t>
      </w:r>
    </w:p>
    <w:p w14:paraId="5763897C" w14:textId="4FEC6549" w:rsidR="001D0D4C" w:rsidRPr="006F1F8A" w:rsidRDefault="001D0D4C" w:rsidP="006F1F8A">
      <w:pPr>
        <w:rPr>
          <w:lang w:eastAsia="en-AU"/>
        </w:rPr>
      </w:pPr>
      <w:r>
        <w:rPr>
          <w:lang w:eastAsia="en-AU"/>
        </w:rPr>
        <w:t xml:space="preserve">FSANZ compound wage rate </w:t>
      </w:r>
      <w:r w:rsidR="008B7A44">
        <w:rPr>
          <w:lang w:eastAsia="en-AU"/>
        </w:rPr>
        <w:t xml:space="preserve">based on </w:t>
      </w:r>
      <w:r w:rsidR="008B7A44">
        <w:t>average annual employment cost of all FSANZ staff excluding the CEO as $144,914.</w:t>
      </w:r>
    </w:p>
    <w:p w14:paraId="7B548BB6" w14:textId="71BAF6B2" w:rsidR="00C30F60" w:rsidRPr="003759F8" w:rsidRDefault="00C30F60" w:rsidP="00C30F60">
      <w:pPr>
        <w:pStyle w:val="Heading4"/>
      </w:pPr>
      <w:r>
        <w:t>Assumptions</w:t>
      </w:r>
    </w:p>
    <w:p w14:paraId="2AC3396D" w14:textId="0D2B23BA" w:rsidR="00CE17A8" w:rsidRDefault="00CC4784" w:rsidP="00E01205">
      <w:r>
        <w:t>This section outlines the key assumptions to the cost benefit analysis.</w:t>
      </w:r>
      <w:r w:rsidR="00BD4FC7">
        <w:t xml:space="preserve"> </w:t>
      </w:r>
      <w:r w:rsidR="00F26D1C">
        <w:t>Monetary</w:t>
      </w:r>
      <w:r w:rsidR="00BD4FC7">
        <w:t xml:space="preserve"> values in millions AUD. </w:t>
      </w:r>
    </w:p>
    <w:p w14:paraId="2C293220" w14:textId="792F0B94" w:rsidR="00B36C75" w:rsidRDefault="005C6FDD" w:rsidP="00E01205">
      <w:pPr>
        <w:rPr>
          <w:rFonts w:asciiTheme="majorHAnsi" w:hAnsiTheme="majorHAnsi" w:cstheme="majorHAnsi"/>
        </w:rPr>
      </w:pPr>
      <w:r>
        <w:rPr>
          <w:rFonts w:asciiTheme="majorHAnsi" w:hAnsiTheme="majorHAnsi" w:cstheme="majorHAnsi"/>
        </w:rPr>
        <w:lastRenderedPageBreak/>
        <w:t xml:space="preserve">General </w:t>
      </w:r>
      <w:r w:rsidR="00BA0484">
        <w:rPr>
          <w:rFonts w:asciiTheme="majorHAnsi" w:hAnsiTheme="majorHAnsi" w:cstheme="majorHAnsi"/>
        </w:rPr>
        <w:t>assumptions</w:t>
      </w:r>
    </w:p>
    <w:tbl>
      <w:tblPr>
        <w:tblStyle w:val="TableGrid"/>
        <w:tblW w:w="0" w:type="auto"/>
        <w:tblLook w:val="04A0" w:firstRow="1" w:lastRow="0" w:firstColumn="1" w:lastColumn="0" w:noHBand="0" w:noVBand="1"/>
      </w:tblPr>
      <w:tblGrid>
        <w:gridCol w:w="3159"/>
        <w:gridCol w:w="1377"/>
        <w:gridCol w:w="4394"/>
      </w:tblGrid>
      <w:tr w:rsidR="00512679" w14:paraId="5633D87F" w14:textId="6AE818A2" w:rsidTr="002E189F">
        <w:trPr>
          <w:cnfStyle w:val="100000000000" w:firstRow="1" w:lastRow="0" w:firstColumn="0" w:lastColumn="0" w:oddVBand="0" w:evenVBand="0" w:oddHBand="0" w:evenHBand="0" w:firstRowFirstColumn="0" w:firstRowLastColumn="0" w:lastRowFirstColumn="0" w:lastRowLastColumn="0"/>
        </w:trPr>
        <w:tc>
          <w:tcPr>
            <w:tcW w:w="3159" w:type="dxa"/>
          </w:tcPr>
          <w:p w14:paraId="6B761BEB" w14:textId="355E0731" w:rsidR="00E27A56" w:rsidRDefault="003271B0" w:rsidP="00E01205">
            <w:pPr>
              <w:rPr>
                <w:rFonts w:asciiTheme="minorHAnsi" w:hAnsiTheme="minorHAnsi" w:cstheme="minorHAnsi"/>
              </w:rPr>
            </w:pPr>
            <w:r>
              <w:rPr>
                <w:rFonts w:asciiTheme="minorHAnsi" w:hAnsiTheme="minorHAnsi" w:cstheme="minorHAnsi"/>
              </w:rPr>
              <w:t>Parameters</w:t>
            </w:r>
          </w:p>
        </w:tc>
        <w:tc>
          <w:tcPr>
            <w:tcW w:w="1377" w:type="dxa"/>
          </w:tcPr>
          <w:p w14:paraId="2D19EA07" w14:textId="08D6BEC5" w:rsidR="00E27A56" w:rsidRDefault="008F5B23" w:rsidP="00E01205">
            <w:pPr>
              <w:rPr>
                <w:rFonts w:asciiTheme="minorHAnsi" w:hAnsiTheme="minorHAnsi" w:cstheme="minorHAnsi"/>
              </w:rPr>
            </w:pPr>
            <w:r>
              <w:rPr>
                <w:rFonts w:asciiTheme="minorHAnsi" w:hAnsiTheme="minorHAnsi" w:cstheme="minorHAnsi"/>
              </w:rPr>
              <w:t>Value</w:t>
            </w:r>
            <w:r w:rsidR="00855725">
              <w:rPr>
                <w:rFonts w:asciiTheme="minorHAnsi" w:hAnsiTheme="minorHAnsi" w:cstheme="minorHAnsi"/>
              </w:rPr>
              <w:t xml:space="preserve"> ($m)</w:t>
            </w:r>
          </w:p>
        </w:tc>
        <w:tc>
          <w:tcPr>
            <w:tcW w:w="4394" w:type="dxa"/>
          </w:tcPr>
          <w:p w14:paraId="373A47DE" w14:textId="2879016E" w:rsidR="004A7107" w:rsidRDefault="004A7107" w:rsidP="00E01205">
            <w:pPr>
              <w:rPr>
                <w:rFonts w:asciiTheme="minorHAnsi" w:hAnsiTheme="minorHAnsi" w:cstheme="minorHAnsi"/>
              </w:rPr>
            </w:pPr>
            <w:r>
              <w:rPr>
                <w:rFonts w:asciiTheme="minorHAnsi" w:hAnsiTheme="minorHAnsi" w:cstheme="minorHAnsi"/>
              </w:rPr>
              <w:t>Notes</w:t>
            </w:r>
          </w:p>
        </w:tc>
      </w:tr>
      <w:tr w:rsidR="00583FBC" w14:paraId="2694C996" w14:textId="77777777" w:rsidTr="002E189F">
        <w:trPr>
          <w:cnfStyle w:val="000000100000" w:firstRow="0" w:lastRow="0" w:firstColumn="0" w:lastColumn="0" w:oddVBand="0" w:evenVBand="0" w:oddHBand="1" w:evenHBand="0" w:firstRowFirstColumn="0" w:firstRowLastColumn="0" w:lastRowFirstColumn="0" w:lastRowLastColumn="0"/>
        </w:trPr>
        <w:tc>
          <w:tcPr>
            <w:tcW w:w="3159" w:type="dxa"/>
          </w:tcPr>
          <w:p w14:paraId="58FCA7F6" w14:textId="2392E0A6" w:rsidR="00583FBC" w:rsidRDefault="00583FBC" w:rsidP="00E01205">
            <w:pPr>
              <w:rPr>
                <w:rFonts w:asciiTheme="minorHAnsi" w:hAnsiTheme="minorHAnsi" w:cstheme="minorHAnsi"/>
              </w:rPr>
            </w:pPr>
            <w:r>
              <w:rPr>
                <w:rFonts w:asciiTheme="minorHAnsi" w:hAnsiTheme="minorHAnsi" w:cstheme="minorHAnsi"/>
              </w:rPr>
              <w:t xml:space="preserve">Real discount rate </w:t>
            </w:r>
          </w:p>
        </w:tc>
        <w:tc>
          <w:tcPr>
            <w:tcW w:w="1377" w:type="dxa"/>
          </w:tcPr>
          <w:p w14:paraId="6FC472B0" w14:textId="0E9374F0" w:rsidR="00583FBC" w:rsidRDefault="00583FBC" w:rsidP="00BD4FC7">
            <w:pPr>
              <w:jc w:val="right"/>
              <w:rPr>
                <w:rFonts w:asciiTheme="minorHAnsi" w:hAnsiTheme="minorHAnsi" w:cstheme="minorHAnsi"/>
              </w:rPr>
            </w:pPr>
            <w:r>
              <w:rPr>
                <w:rFonts w:asciiTheme="minorHAnsi" w:hAnsiTheme="minorHAnsi" w:cstheme="minorHAnsi"/>
              </w:rPr>
              <w:t>7%</w:t>
            </w:r>
          </w:p>
        </w:tc>
        <w:tc>
          <w:tcPr>
            <w:tcW w:w="4394" w:type="dxa"/>
          </w:tcPr>
          <w:p w14:paraId="5E70C079" w14:textId="33AB7187" w:rsidR="00583FBC" w:rsidRDefault="00026A84" w:rsidP="00E01205">
            <w:pPr>
              <w:rPr>
                <w:rFonts w:asciiTheme="minorHAnsi" w:hAnsiTheme="minorHAnsi" w:cstheme="minorHAnsi"/>
              </w:rPr>
            </w:pPr>
            <w:r>
              <w:rPr>
                <w:rFonts w:asciiTheme="minorHAnsi" w:hAnsiTheme="minorHAnsi" w:cstheme="minorHAnsi"/>
              </w:rPr>
              <w:t xml:space="preserve">In line with Office of </w:t>
            </w:r>
            <w:r w:rsidR="0051048B">
              <w:rPr>
                <w:rFonts w:asciiTheme="minorHAnsi" w:hAnsiTheme="minorHAnsi" w:cstheme="minorHAnsi"/>
              </w:rPr>
              <w:t xml:space="preserve">Impact Analysis guidance </w:t>
            </w:r>
          </w:p>
        </w:tc>
      </w:tr>
      <w:tr w:rsidR="009C1C2B" w14:paraId="2819941D" w14:textId="77777777" w:rsidTr="002E189F">
        <w:trPr>
          <w:cnfStyle w:val="000000010000" w:firstRow="0" w:lastRow="0" w:firstColumn="0" w:lastColumn="0" w:oddVBand="0" w:evenVBand="0" w:oddHBand="0" w:evenHBand="1" w:firstRowFirstColumn="0" w:firstRowLastColumn="0" w:lastRowFirstColumn="0" w:lastRowLastColumn="0"/>
        </w:trPr>
        <w:tc>
          <w:tcPr>
            <w:tcW w:w="3159" w:type="dxa"/>
          </w:tcPr>
          <w:p w14:paraId="5A7815FB" w14:textId="4326E982" w:rsidR="009C1C2B" w:rsidRDefault="009C1C2B" w:rsidP="00E01205">
            <w:pPr>
              <w:rPr>
                <w:rFonts w:asciiTheme="minorHAnsi" w:hAnsiTheme="minorHAnsi" w:cstheme="minorHAnsi"/>
              </w:rPr>
            </w:pPr>
            <w:r>
              <w:rPr>
                <w:rFonts w:asciiTheme="minorHAnsi" w:hAnsiTheme="minorHAnsi" w:cstheme="minorHAnsi"/>
              </w:rPr>
              <w:t xml:space="preserve">Public health benefit </w:t>
            </w:r>
            <w:r w:rsidR="00BD4FC7">
              <w:rPr>
                <w:rFonts w:asciiTheme="minorHAnsi" w:hAnsiTheme="minorHAnsi" w:cstheme="minorHAnsi"/>
              </w:rPr>
              <w:t xml:space="preserve">per proposal/review/application </w:t>
            </w:r>
          </w:p>
        </w:tc>
        <w:tc>
          <w:tcPr>
            <w:tcW w:w="1377" w:type="dxa"/>
          </w:tcPr>
          <w:p w14:paraId="4BF0122E" w14:textId="59B326FF" w:rsidR="009C1C2B" w:rsidRDefault="00F26D1C" w:rsidP="00BD4FC7">
            <w:pPr>
              <w:jc w:val="right"/>
              <w:rPr>
                <w:rFonts w:asciiTheme="minorHAnsi" w:hAnsiTheme="minorHAnsi" w:cstheme="minorHAnsi"/>
              </w:rPr>
            </w:pPr>
            <w:r>
              <w:rPr>
                <w:rFonts w:asciiTheme="minorHAnsi" w:hAnsiTheme="minorHAnsi" w:cstheme="minorHAnsi"/>
              </w:rPr>
              <w:t>$</w:t>
            </w:r>
            <w:r w:rsidR="009C0DE0">
              <w:rPr>
                <w:rFonts w:asciiTheme="minorHAnsi" w:hAnsiTheme="minorHAnsi" w:cstheme="minorHAnsi"/>
              </w:rPr>
              <w:t>1.3</w:t>
            </w:r>
            <w:r w:rsidR="0053442C">
              <w:rPr>
                <w:rFonts w:asciiTheme="minorHAnsi" w:hAnsiTheme="minorHAnsi" w:cstheme="minorHAnsi"/>
              </w:rPr>
              <w:t>3</w:t>
            </w:r>
          </w:p>
        </w:tc>
        <w:tc>
          <w:tcPr>
            <w:tcW w:w="4394" w:type="dxa"/>
          </w:tcPr>
          <w:p w14:paraId="53F639F0" w14:textId="57B8B2DB" w:rsidR="009C1C2B" w:rsidRDefault="00856DE1" w:rsidP="00E01205">
            <w:pPr>
              <w:rPr>
                <w:rFonts w:asciiTheme="minorHAnsi" w:hAnsiTheme="minorHAnsi" w:cstheme="minorHAnsi"/>
              </w:rPr>
            </w:pPr>
            <w:r>
              <w:rPr>
                <w:rFonts w:asciiTheme="minorHAnsi" w:hAnsiTheme="minorHAnsi" w:cstheme="minorHAnsi"/>
              </w:rPr>
              <w:t xml:space="preserve">Annual Medicare cost of </w:t>
            </w:r>
            <w:r w:rsidR="00954E29">
              <w:rPr>
                <w:rFonts w:asciiTheme="minorHAnsi" w:hAnsiTheme="minorHAnsi" w:cstheme="minorHAnsi"/>
              </w:rPr>
              <w:t>$</w:t>
            </w:r>
            <w:r w:rsidR="008A70EA">
              <w:rPr>
                <w:rFonts w:asciiTheme="minorHAnsi" w:hAnsiTheme="minorHAnsi" w:cstheme="minorHAnsi"/>
              </w:rPr>
              <w:t>2</w:t>
            </w:r>
            <w:r w:rsidR="00FC5753">
              <w:rPr>
                <w:rFonts w:asciiTheme="minorHAnsi" w:hAnsiTheme="minorHAnsi" w:cstheme="minorHAnsi"/>
              </w:rPr>
              <w:t>8</w:t>
            </w:r>
            <w:r w:rsidR="008A70EA">
              <w:rPr>
                <w:rFonts w:asciiTheme="minorHAnsi" w:hAnsiTheme="minorHAnsi" w:cstheme="minorHAnsi"/>
              </w:rPr>
              <w:t>.</w:t>
            </w:r>
            <w:r w:rsidR="00FC5753">
              <w:rPr>
                <w:rFonts w:asciiTheme="minorHAnsi" w:hAnsiTheme="minorHAnsi" w:cstheme="minorHAnsi"/>
              </w:rPr>
              <w:t>97</w:t>
            </w:r>
            <w:r w:rsidR="00235A9D">
              <w:rPr>
                <w:rFonts w:ascii="ZWAdobeF" w:hAnsi="ZWAdobeF" w:cs="ZWAdobeF"/>
                <w:sz w:val="2"/>
                <w:szCs w:val="2"/>
              </w:rPr>
              <w:t>49F</w:t>
            </w:r>
            <w:r w:rsidR="008720E4">
              <w:rPr>
                <w:rStyle w:val="FootnoteReference"/>
                <w:rFonts w:asciiTheme="minorHAnsi" w:hAnsiTheme="minorHAnsi" w:cstheme="minorHAnsi"/>
              </w:rPr>
              <w:footnoteReference w:id="58"/>
            </w:r>
            <w:r w:rsidR="008A70EA">
              <w:rPr>
                <w:rFonts w:asciiTheme="minorHAnsi" w:hAnsiTheme="minorHAnsi" w:cstheme="minorHAnsi"/>
              </w:rPr>
              <w:t xml:space="preserve">. 5% </w:t>
            </w:r>
            <w:r w:rsidR="004C0073">
              <w:rPr>
                <w:rFonts w:asciiTheme="minorHAnsi" w:hAnsiTheme="minorHAnsi" w:cstheme="minorHAnsi"/>
              </w:rPr>
              <w:t>attributable to food labelling standards</w:t>
            </w:r>
            <w:r w:rsidR="00235A9D">
              <w:rPr>
                <w:rFonts w:ascii="ZWAdobeF" w:hAnsi="ZWAdobeF" w:cs="ZWAdobeF"/>
                <w:sz w:val="2"/>
                <w:szCs w:val="2"/>
              </w:rPr>
              <w:t>50F</w:t>
            </w:r>
            <w:r w:rsidR="004C0073">
              <w:rPr>
                <w:rStyle w:val="FootnoteReference"/>
                <w:rFonts w:asciiTheme="minorHAnsi" w:hAnsiTheme="minorHAnsi" w:cstheme="minorHAnsi"/>
              </w:rPr>
              <w:footnoteReference w:id="59"/>
            </w:r>
          </w:p>
        </w:tc>
      </w:tr>
      <w:tr w:rsidR="00980A33" w14:paraId="18DD5539" w14:textId="77777777" w:rsidTr="002E189F">
        <w:trPr>
          <w:cnfStyle w:val="000000100000" w:firstRow="0" w:lastRow="0" w:firstColumn="0" w:lastColumn="0" w:oddVBand="0" w:evenVBand="0" w:oddHBand="1" w:evenHBand="0" w:firstRowFirstColumn="0" w:firstRowLastColumn="0" w:lastRowFirstColumn="0" w:lastRowLastColumn="0"/>
        </w:trPr>
        <w:tc>
          <w:tcPr>
            <w:tcW w:w="3159" w:type="dxa"/>
          </w:tcPr>
          <w:p w14:paraId="74B3F77A" w14:textId="4DFEB63F" w:rsidR="00980A33" w:rsidRDefault="00F3139A" w:rsidP="00E01205">
            <w:pPr>
              <w:rPr>
                <w:rFonts w:asciiTheme="minorHAnsi" w:hAnsiTheme="minorHAnsi" w:cstheme="minorHAnsi"/>
              </w:rPr>
            </w:pPr>
            <w:r>
              <w:rPr>
                <w:rFonts w:asciiTheme="minorHAnsi" w:hAnsiTheme="minorHAnsi" w:cstheme="minorHAnsi"/>
              </w:rPr>
              <w:t xml:space="preserve">Population growth rate </w:t>
            </w:r>
          </w:p>
        </w:tc>
        <w:tc>
          <w:tcPr>
            <w:tcW w:w="1377" w:type="dxa"/>
          </w:tcPr>
          <w:p w14:paraId="3729FB35" w14:textId="20481016" w:rsidR="00980A33" w:rsidRDefault="00EF747D" w:rsidP="00BD4FC7">
            <w:pPr>
              <w:jc w:val="right"/>
              <w:rPr>
                <w:rFonts w:asciiTheme="minorHAnsi" w:hAnsiTheme="minorHAnsi" w:cstheme="minorHAnsi"/>
              </w:rPr>
            </w:pPr>
            <w:r>
              <w:rPr>
                <w:rFonts w:asciiTheme="minorHAnsi" w:hAnsiTheme="minorHAnsi" w:cstheme="minorHAnsi"/>
              </w:rPr>
              <w:t>0</w:t>
            </w:r>
            <w:r w:rsidR="000864DC">
              <w:rPr>
                <w:rFonts w:asciiTheme="minorHAnsi" w:hAnsiTheme="minorHAnsi" w:cstheme="minorHAnsi"/>
              </w:rPr>
              <w:t>.7</w:t>
            </w:r>
            <w:r>
              <w:rPr>
                <w:rFonts w:asciiTheme="minorHAnsi" w:hAnsiTheme="minorHAnsi" w:cstheme="minorHAnsi"/>
              </w:rPr>
              <w:t>6</w:t>
            </w:r>
            <w:r w:rsidR="00F3139A">
              <w:rPr>
                <w:rFonts w:asciiTheme="minorHAnsi" w:hAnsiTheme="minorHAnsi" w:cstheme="minorHAnsi"/>
              </w:rPr>
              <w:t>%</w:t>
            </w:r>
          </w:p>
        </w:tc>
        <w:tc>
          <w:tcPr>
            <w:tcW w:w="4394" w:type="dxa"/>
          </w:tcPr>
          <w:p w14:paraId="6096EBB4" w14:textId="77777777" w:rsidR="00980A33" w:rsidRDefault="00980A33" w:rsidP="00E01205">
            <w:pPr>
              <w:rPr>
                <w:rFonts w:asciiTheme="minorHAnsi" w:hAnsiTheme="minorHAnsi" w:cstheme="minorHAnsi"/>
              </w:rPr>
            </w:pPr>
          </w:p>
        </w:tc>
      </w:tr>
      <w:tr w:rsidR="009C1C2B" w14:paraId="4D0B09C3" w14:textId="77777777" w:rsidTr="002E189F">
        <w:trPr>
          <w:cnfStyle w:val="000000010000" w:firstRow="0" w:lastRow="0" w:firstColumn="0" w:lastColumn="0" w:oddVBand="0" w:evenVBand="0" w:oddHBand="0" w:evenHBand="1" w:firstRowFirstColumn="0" w:firstRowLastColumn="0" w:lastRowFirstColumn="0" w:lastRowLastColumn="0"/>
        </w:trPr>
        <w:tc>
          <w:tcPr>
            <w:tcW w:w="3159" w:type="dxa"/>
          </w:tcPr>
          <w:p w14:paraId="6C9894A7" w14:textId="3E41C8DE" w:rsidR="009C1C2B" w:rsidRDefault="00FF7A42" w:rsidP="00E01205">
            <w:pPr>
              <w:rPr>
                <w:rFonts w:asciiTheme="minorHAnsi" w:hAnsiTheme="minorHAnsi" w:cstheme="minorHAnsi"/>
              </w:rPr>
            </w:pPr>
            <w:r>
              <w:rPr>
                <w:rFonts w:asciiTheme="minorHAnsi" w:hAnsiTheme="minorHAnsi" w:cstheme="minorHAnsi"/>
              </w:rPr>
              <w:t>Delay cost for industry per month</w:t>
            </w:r>
            <w:r w:rsidR="00FD78DB">
              <w:rPr>
                <w:rFonts w:asciiTheme="minorHAnsi" w:hAnsiTheme="minorHAnsi" w:cstheme="minorHAnsi"/>
              </w:rPr>
              <w:t xml:space="preserve">/per application </w:t>
            </w:r>
          </w:p>
        </w:tc>
        <w:tc>
          <w:tcPr>
            <w:tcW w:w="1377" w:type="dxa"/>
          </w:tcPr>
          <w:p w14:paraId="348BB9CA" w14:textId="4756C978" w:rsidR="009C1C2B" w:rsidRDefault="00F26D1C" w:rsidP="00BD4FC7">
            <w:pPr>
              <w:jc w:val="right"/>
              <w:rPr>
                <w:rFonts w:asciiTheme="minorHAnsi" w:hAnsiTheme="minorHAnsi" w:cstheme="minorHAnsi"/>
              </w:rPr>
            </w:pPr>
            <w:r>
              <w:rPr>
                <w:rFonts w:asciiTheme="minorHAnsi" w:hAnsiTheme="minorHAnsi" w:cstheme="minorHAnsi"/>
              </w:rPr>
              <w:t>$</w:t>
            </w:r>
            <w:r w:rsidR="006F07CD">
              <w:rPr>
                <w:rFonts w:asciiTheme="minorHAnsi" w:hAnsiTheme="minorHAnsi" w:cstheme="minorHAnsi"/>
              </w:rPr>
              <w:t>0.</w:t>
            </w:r>
            <w:r w:rsidR="00FD78DB">
              <w:rPr>
                <w:rFonts w:asciiTheme="minorHAnsi" w:hAnsiTheme="minorHAnsi" w:cstheme="minorHAnsi"/>
              </w:rPr>
              <w:t>04</w:t>
            </w:r>
          </w:p>
        </w:tc>
        <w:tc>
          <w:tcPr>
            <w:tcW w:w="4394" w:type="dxa"/>
          </w:tcPr>
          <w:p w14:paraId="6F633C3E" w14:textId="7DBA7415" w:rsidR="009C1C2B" w:rsidRDefault="00153DD5" w:rsidP="00E01205">
            <w:pPr>
              <w:rPr>
                <w:rFonts w:asciiTheme="minorHAnsi" w:hAnsiTheme="minorHAnsi" w:cstheme="minorHAnsi"/>
              </w:rPr>
            </w:pPr>
            <w:r>
              <w:rPr>
                <w:rFonts w:asciiTheme="minorHAnsi" w:hAnsiTheme="minorHAnsi" w:cstheme="minorHAnsi"/>
              </w:rPr>
              <w:t>Sourced from industry consultations</w:t>
            </w:r>
          </w:p>
        </w:tc>
      </w:tr>
      <w:tr w:rsidR="009C1C2B" w14:paraId="121E443E" w14:textId="77777777" w:rsidTr="002E189F">
        <w:trPr>
          <w:cnfStyle w:val="000000100000" w:firstRow="0" w:lastRow="0" w:firstColumn="0" w:lastColumn="0" w:oddVBand="0" w:evenVBand="0" w:oddHBand="1" w:evenHBand="0" w:firstRowFirstColumn="0" w:firstRowLastColumn="0" w:lastRowFirstColumn="0" w:lastRowLastColumn="0"/>
        </w:trPr>
        <w:tc>
          <w:tcPr>
            <w:tcW w:w="3159" w:type="dxa"/>
          </w:tcPr>
          <w:p w14:paraId="3958C85C" w14:textId="18A88527" w:rsidR="009C1C2B" w:rsidRDefault="009F1C1D" w:rsidP="00E01205">
            <w:pPr>
              <w:rPr>
                <w:rFonts w:asciiTheme="minorHAnsi" w:hAnsiTheme="minorHAnsi" w:cstheme="minorHAnsi"/>
              </w:rPr>
            </w:pPr>
            <w:r>
              <w:rPr>
                <w:rFonts w:asciiTheme="minorHAnsi" w:hAnsiTheme="minorHAnsi" w:cstheme="minorHAnsi"/>
              </w:rPr>
              <w:t xml:space="preserve">Application growth rate </w:t>
            </w:r>
          </w:p>
        </w:tc>
        <w:tc>
          <w:tcPr>
            <w:tcW w:w="1377" w:type="dxa"/>
          </w:tcPr>
          <w:p w14:paraId="1E0B4126" w14:textId="1E031AAC" w:rsidR="009C1C2B" w:rsidRDefault="00153DD5" w:rsidP="00BD4FC7">
            <w:pPr>
              <w:jc w:val="right"/>
              <w:rPr>
                <w:rFonts w:asciiTheme="minorHAnsi" w:hAnsiTheme="minorHAnsi" w:cstheme="minorHAnsi"/>
              </w:rPr>
            </w:pPr>
            <w:r>
              <w:rPr>
                <w:rFonts w:asciiTheme="minorHAnsi" w:hAnsiTheme="minorHAnsi" w:cstheme="minorHAnsi"/>
              </w:rPr>
              <w:t>Nil</w:t>
            </w:r>
          </w:p>
        </w:tc>
        <w:tc>
          <w:tcPr>
            <w:tcW w:w="4394" w:type="dxa"/>
          </w:tcPr>
          <w:p w14:paraId="30CF0C79" w14:textId="7A8E0B78" w:rsidR="009C1C2B" w:rsidRDefault="009C1C2B" w:rsidP="00E01205">
            <w:pPr>
              <w:rPr>
                <w:rFonts w:asciiTheme="minorHAnsi" w:hAnsiTheme="minorHAnsi" w:cstheme="minorHAnsi"/>
              </w:rPr>
            </w:pPr>
          </w:p>
        </w:tc>
      </w:tr>
      <w:tr w:rsidR="009C1C2B" w14:paraId="1B16DBFF" w14:textId="77777777" w:rsidTr="002E189F">
        <w:trPr>
          <w:cnfStyle w:val="000000010000" w:firstRow="0" w:lastRow="0" w:firstColumn="0" w:lastColumn="0" w:oddVBand="0" w:evenVBand="0" w:oddHBand="0" w:evenHBand="1" w:firstRowFirstColumn="0" w:firstRowLastColumn="0" w:lastRowFirstColumn="0" w:lastRowLastColumn="0"/>
        </w:trPr>
        <w:tc>
          <w:tcPr>
            <w:tcW w:w="3159" w:type="dxa"/>
          </w:tcPr>
          <w:p w14:paraId="5DF17CEF" w14:textId="48712ADA" w:rsidR="009C1C2B" w:rsidRDefault="002D1BCD" w:rsidP="00E01205">
            <w:pPr>
              <w:rPr>
                <w:rFonts w:asciiTheme="minorHAnsi" w:hAnsiTheme="minorHAnsi" w:cstheme="minorHAnsi"/>
              </w:rPr>
            </w:pPr>
            <w:r>
              <w:rPr>
                <w:rFonts w:asciiTheme="minorHAnsi" w:hAnsiTheme="minorHAnsi" w:cstheme="minorHAnsi"/>
              </w:rPr>
              <w:t xml:space="preserve">Proposal/review growth rate </w:t>
            </w:r>
          </w:p>
        </w:tc>
        <w:tc>
          <w:tcPr>
            <w:tcW w:w="1377" w:type="dxa"/>
          </w:tcPr>
          <w:p w14:paraId="1452D670" w14:textId="026A7EBF" w:rsidR="009C1C2B" w:rsidRDefault="00153DD5" w:rsidP="00BD4FC7">
            <w:pPr>
              <w:jc w:val="right"/>
              <w:rPr>
                <w:rFonts w:asciiTheme="minorHAnsi" w:hAnsiTheme="minorHAnsi" w:cstheme="minorHAnsi"/>
              </w:rPr>
            </w:pPr>
            <w:r>
              <w:rPr>
                <w:rFonts w:asciiTheme="minorHAnsi" w:hAnsiTheme="minorHAnsi" w:cstheme="minorHAnsi"/>
              </w:rPr>
              <w:t>Nil</w:t>
            </w:r>
          </w:p>
        </w:tc>
        <w:tc>
          <w:tcPr>
            <w:tcW w:w="4394" w:type="dxa"/>
          </w:tcPr>
          <w:p w14:paraId="48F93298" w14:textId="46FAE970" w:rsidR="009C1C2B" w:rsidRDefault="009C1C2B" w:rsidP="00E01205">
            <w:pPr>
              <w:rPr>
                <w:rFonts w:asciiTheme="minorHAnsi" w:hAnsiTheme="minorHAnsi" w:cstheme="minorHAnsi"/>
              </w:rPr>
            </w:pPr>
          </w:p>
        </w:tc>
      </w:tr>
      <w:tr w:rsidR="009C1C2B" w14:paraId="4DCF1F55" w14:textId="77777777" w:rsidTr="002E189F">
        <w:trPr>
          <w:cnfStyle w:val="000000100000" w:firstRow="0" w:lastRow="0" w:firstColumn="0" w:lastColumn="0" w:oddVBand="0" w:evenVBand="0" w:oddHBand="1" w:evenHBand="0" w:firstRowFirstColumn="0" w:firstRowLastColumn="0" w:lastRowFirstColumn="0" w:lastRowLastColumn="0"/>
        </w:trPr>
        <w:tc>
          <w:tcPr>
            <w:tcW w:w="3159" w:type="dxa"/>
          </w:tcPr>
          <w:p w14:paraId="15014057" w14:textId="69EFD187" w:rsidR="009C1C2B" w:rsidRDefault="002D1BCD" w:rsidP="00E01205">
            <w:pPr>
              <w:rPr>
                <w:rFonts w:asciiTheme="minorHAnsi" w:hAnsiTheme="minorHAnsi" w:cstheme="minorHAnsi"/>
              </w:rPr>
            </w:pPr>
            <w:r>
              <w:rPr>
                <w:rFonts w:asciiTheme="minorHAnsi" w:hAnsiTheme="minorHAnsi" w:cstheme="minorHAnsi"/>
              </w:rPr>
              <w:t xml:space="preserve">FSANZ </w:t>
            </w:r>
            <w:r w:rsidR="007A624E">
              <w:rPr>
                <w:rFonts w:asciiTheme="minorHAnsi" w:hAnsiTheme="minorHAnsi" w:cstheme="minorHAnsi"/>
              </w:rPr>
              <w:t xml:space="preserve">compound </w:t>
            </w:r>
            <w:r>
              <w:rPr>
                <w:rFonts w:asciiTheme="minorHAnsi" w:hAnsiTheme="minorHAnsi" w:cstheme="minorHAnsi"/>
              </w:rPr>
              <w:t xml:space="preserve">wage </w:t>
            </w:r>
            <w:r w:rsidR="002E189F">
              <w:rPr>
                <w:rFonts w:asciiTheme="minorHAnsi" w:hAnsiTheme="minorHAnsi" w:cstheme="minorHAnsi"/>
              </w:rPr>
              <w:t xml:space="preserve">rate </w:t>
            </w:r>
          </w:p>
        </w:tc>
        <w:tc>
          <w:tcPr>
            <w:tcW w:w="1377" w:type="dxa"/>
          </w:tcPr>
          <w:p w14:paraId="6C0E06BF" w14:textId="0CD00544" w:rsidR="009C1C2B" w:rsidRDefault="00F26D1C" w:rsidP="00BD4FC7">
            <w:pPr>
              <w:jc w:val="right"/>
              <w:rPr>
                <w:rFonts w:asciiTheme="minorHAnsi" w:hAnsiTheme="minorHAnsi" w:cstheme="minorHAnsi"/>
              </w:rPr>
            </w:pPr>
            <w:r>
              <w:rPr>
                <w:rFonts w:asciiTheme="minorHAnsi" w:hAnsiTheme="minorHAnsi" w:cstheme="minorHAnsi"/>
              </w:rPr>
              <w:t>$</w:t>
            </w:r>
            <w:r w:rsidR="002E189F">
              <w:rPr>
                <w:rFonts w:asciiTheme="minorHAnsi" w:hAnsiTheme="minorHAnsi" w:cstheme="minorHAnsi"/>
              </w:rPr>
              <w:t>0.14</w:t>
            </w:r>
          </w:p>
        </w:tc>
        <w:tc>
          <w:tcPr>
            <w:tcW w:w="4394" w:type="dxa"/>
          </w:tcPr>
          <w:p w14:paraId="7125AF9D" w14:textId="5DBD0DCF" w:rsidR="009C1C2B" w:rsidRDefault="003662FC" w:rsidP="00E01205">
            <w:pPr>
              <w:rPr>
                <w:rFonts w:asciiTheme="minorHAnsi" w:hAnsiTheme="minorHAnsi" w:cstheme="minorHAnsi"/>
              </w:rPr>
            </w:pPr>
            <w:r>
              <w:rPr>
                <w:rFonts w:asciiTheme="minorHAnsi" w:hAnsiTheme="minorHAnsi" w:cstheme="minorHAnsi"/>
              </w:rPr>
              <w:t>Sourced from FSANZ</w:t>
            </w:r>
            <w:r w:rsidR="0062278E">
              <w:rPr>
                <w:rStyle w:val="FootnoteReference"/>
                <w:rFonts w:asciiTheme="minorHAnsi" w:hAnsiTheme="minorHAnsi" w:cstheme="minorHAnsi"/>
              </w:rPr>
              <w:footnoteReference w:id="60"/>
            </w:r>
          </w:p>
        </w:tc>
      </w:tr>
    </w:tbl>
    <w:p w14:paraId="42A3584A" w14:textId="77777777" w:rsidR="008243D1" w:rsidRPr="008243D1" w:rsidRDefault="008243D1" w:rsidP="00E01205">
      <w:pPr>
        <w:rPr>
          <w:rFonts w:asciiTheme="minorHAnsi" w:hAnsiTheme="minorHAnsi" w:cstheme="minorHAnsi"/>
        </w:rPr>
      </w:pPr>
    </w:p>
    <w:p w14:paraId="294B7877" w14:textId="33FE9C07" w:rsidR="008F5B23" w:rsidRPr="00E06D7D" w:rsidRDefault="002B41A0" w:rsidP="00E01205">
      <w:pPr>
        <w:rPr>
          <w:rFonts w:asciiTheme="majorHAnsi" w:hAnsiTheme="majorHAnsi" w:cstheme="majorHAnsi"/>
        </w:rPr>
      </w:pPr>
      <w:r>
        <w:rPr>
          <w:rFonts w:asciiTheme="majorHAnsi" w:hAnsiTheme="majorHAnsi" w:cstheme="majorHAnsi"/>
        </w:rPr>
        <w:t xml:space="preserve">Option 1 assumptions </w:t>
      </w:r>
    </w:p>
    <w:tbl>
      <w:tblPr>
        <w:tblStyle w:val="TableGrid"/>
        <w:tblW w:w="0" w:type="auto"/>
        <w:tblLook w:val="04A0" w:firstRow="1" w:lastRow="0" w:firstColumn="1" w:lastColumn="0" w:noHBand="0" w:noVBand="1"/>
      </w:tblPr>
      <w:tblGrid>
        <w:gridCol w:w="3159"/>
        <w:gridCol w:w="1377"/>
        <w:gridCol w:w="4394"/>
      </w:tblGrid>
      <w:tr w:rsidR="00512679" w14:paraId="0092C99A" w14:textId="56CCFAAC" w:rsidTr="005F5334">
        <w:trPr>
          <w:cnfStyle w:val="100000000000" w:firstRow="1" w:lastRow="0" w:firstColumn="0" w:lastColumn="0" w:oddVBand="0" w:evenVBand="0" w:oddHBand="0" w:evenHBand="0" w:firstRowFirstColumn="0" w:firstRowLastColumn="0" w:lastRowFirstColumn="0" w:lastRowLastColumn="0"/>
        </w:trPr>
        <w:tc>
          <w:tcPr>
            <w:tcW w:w="3159" w:type="dxa"/>
          </w:tcPr>
          <w:p w14:paraId="0F2EAFBC" w14:textId="77777777" w:rsidR="005C6FDD" w:rsidRDefault="005C6FDD">
            <w:pPr>
              <w:rPr>
                <w:rFonts w:asciiTheme="minorHAnsi" w:hAnsiTheme="minorHAnsi" w:cstheme="minorHAnsi"/>
              </w:rPr>
            </w:pPr>
            <w:r>
              <w:rPr>
                <w:rFonts w:asciiTheme="minorHAnsi" w:hAnsiTheme="minorHAnsi" w:cstheme="minorHAnsi"/>
              </w:rPr>
              <w:t>Parameters</w:t>
            </w:r>
          </w:p>
        </w:tc>
        <w:tc>
          <w:tcPr>
            <w:tcW w:w="1377" w:type="dxa"/>
          </w:tcPr>
          <w:p w14:paraId="0D188429" w14:textId="77777777" w:rsidR="005C6FDD" w:rsidRDefault="005C6FDD">
            <w:pPr>
              <w:rPr>
                <w:rFonts w:asciiTheme="minorHAnsi" w:hAnsiTheme="minorHAnsi" w:cstheme="minorHAnsi"/>
              </w:rPr>
            </w:pPr>
            <w:r>
              <w:rPr>
                <w:rFonts w:asciiTheme="minorHAnsi" w:hAnsiTheme="minorHAnsi" w:cstheme="minorHAnsi"/>
              </w:rPr>
              <w:t>Value</w:t>
            </w:r>
          </w:p>
        </w:tc>
        <w:tc>
          <w:tcPr>
            <w:tcW w:w="4394" w:type="dxa"/>
          </w:tcPr>
          <w:p w14:paraId="517E62E7" w14:textId="49382C03" w:rsidR="004A7107" w:rsidRDefault="004A7107">
            <w:pPr>
              <w:rPr>
                <w:rFonts w:asciiTheme="minorHAnsi" w:hAnsiTheme="minorHAnsi" w:cstheme="minorHAnsi"/>
              </w:rPr>
            </w:pPr>
            <w:r>
              <w:rPr>
                <w:rFonts w:asciiTheme="minorHAnsi" w:hAnsiTheme="minorHAnsi" w:cstheme="minorHAnsi"/>
              </w:rPr>
              <w:t>Notes</w:t>
            </w:r>
          </w:p>
        </w:tc>
      </w:tr>
      <w:tr w:rsidR="00CD781C" w14:paraId="75D43A9C" w14:textId="77777777">
        <w:trPr>
          <w:cnfStyle w:val="000000100000" w:firstRow="0" w:lastRow="0" w:firstColumn="0" w:lastColumn="0" w:oddVBand="0" w:evenVBand="0" w:oddHBand="1" w:evenHBand="0" w:firstRowFirstColumn="0" w:firstRowLastColumn="0" w:lastRowFirstColumn="0" w:lastRowLastColumn="0"/>
        </w:trPr>
        <w:tc>
          <w:tcPr>
            <w:tcW w:w="3159" w:type="dxa"/>
          </w:tcPr>
          <w:p w14:paraId="65F57D36" w14:textId="77777777" w:rsidR="00CD781C" w:rsidRDefault="00CD781C">
            <w:pPr>
              <w:rPr>
                <w:rFonts w:asciiTheme="minorHAnsi" w:hAnsiTheme="minorHAnsi" w:cstheme="minorHAnsi"/>
              </w:rPr>
            </w:pPr>
            <w:r>
              <w:rPr>
                <w:rFonts w:asciiTheme="minorHAnsi" w:hAnsiTheme="minorHAnsi" w:cstheme="minorHAnsi"/>
              </w:rPr>
              <w:t xml:space="preserve">Number of paid applications </w:t>
            </w:r>
          </w:p>
        </w:tc>
        <w:tc>
          <w:tcPr>
            <w:tcW w:w="1377" w:type="dxa"/>
          </w:tcPr>
          <w:p w14:paraId="15D17AC1" w14:textId="77777777" w:rsidR="00CD781C" w:rsidRDefault="00CD781C">
            <w:pPr>
              <w:jc w:val="right"/>
              <w:rPr>
                <w:rFonts w:asciiTheme="minorHAnsi" w:hAnsiTheme="minorHAnsi" w:cstheme="minorHAnsi"/>
              </w:rPr>
            </w:pPr>
            <w:r>
              <w:rPr>
                <w:rFonts w:asciiTheme="minorHAnsi" w:hAnsiTheme="minorHAnsi" w:cstheme="minorHAnsi"/>
              </w:rPr>
              <w:t>12</w:t>
            </w:r>
          </w:p>
        </w:tc>
        <w:tc>
          <w:tcPr>
            <w:tcW w:w="4394" w:type="dxa"/>
          </w:tcPr>
          <w:p w14:paraId="205EF470" w14:textId="37DD46A6" w:rsidR="00CD781C" w:rsidRDefault="00622B77">
            <w:pPr>
              <w:rPr>
                <w:rFonts w:asciiTheme="minorHAnsi" w:hAnsiTheme="minorHAnsi" w:cstheme="minorHAnsi"/>
              </w:rPr>
            </w:pPr>
            <w:r>
              <w:rPr>
                <w:rFonts w:asciiTheme="minorHAnsi" w:hAnsiTheme="minorHAnsi" w:cstheme="minorHAnsi"/>
              </w:rPr>
              <w:t>Average number of</w:t>
            </w:r>
            <w:r w:rsidR="00072C86">
              <w:rPr>
                <w:rFonts w:asciiTheme="minorHAnsi" w:hAnsiTheme="minorHAnsi" w:cstheme="minorHAnsi"/>
              </w:rPr>
              <w:t xml:space="preserve"> </w:t>
            </w:r>
            <w:r w:rsidR="00FA2DB5">
              <w:rPr>
                <w:rFonts w:asciiTheme="minorHAnsi" w:hAnsiTheme="minorHAnsi" w:cstheme="minorHAnsi"/>
              </w:rPr>
              <w:t xml:space="preserve">paid </w:t>
            </w:r>
            <w:r w:rsidR="00072C86">
              <w:rPr>
                <w:rFonts w:asciiTheme="minorHAnsi" w:hAnsiTheme="minorHAnsi" w:cstheme="minorHAnsi"/>
              </w:rPr>
              <w:t xml:space="preserve">applications per </w:t>
            </w:r>
            <w:r>
              <w:rPr>
                <w:rFonts w:asciiTheme="minorHAnsi" w:hAnsiTheme="minorHAnsi" w:cstheme="minorHAnsi"/>
              </w:rPr>
              <w:t>year is 1</w:t>
            </w:r>
            <w:r w:rsidR="00E33C7D">
              <w:rPr>
                <w:rFonts w:asciiTheme="minorHAnsi" w:hAnsiTheme="minorHAnsi" w:cstheme="minorHAnsi"/>
              </w:rPr>
              <w:t>2</w:t>
            </w:r>
          </w:p>
        </w:tc>
      </w:tr>
      <w:tr w:rsidR="005C6FDD" w14:paraId="74FAE574" w14:textId="3AA41825" w:rsidTr="005F5334">
        <w:trPr>
          <w:cnfStyle w:val="000000010000" w:firstRow="0" w:lastRow="0" w:firstColumn="0" w:lastColumn="0" w:oddVBand="0" w:evenVBand="0" w:oddHBand="0" w:evenHBand="1" w:firstRowFirstColumn="0" w:firstRowLastColumn="0" w:lastRowFirstColumn="0" w:lastRowLastColumn="0"/>
        </w:trPr>
        <w:tc>
          <w:tcPr>
            <w:tcW w:w="3159" w:type="dxa"/>
          </w:tcPr>
          <w:p w14:paraId="1A4CCEF9" w14:textId="53DAA3F7" w:rsidR="005C6FDD" w:rsidRDefault="00D66306">
            <w:pPr>
              <w:rPr>
                <w:rFonts w:asciiTheme="minorHAnsi" w:hAnsiTheme="minorHAnsi" w:cstheme="minorHAnsi"/>
              </w:rPr>
            </w:pPr>
            <w:r>
              <w:rPr>
                <w:rFonts w:asciiTheme="minorHAnsi" w:hAnsiTheme="minorHAnsi" w:cstheme="minorHAnsi"/>
              </w:rPr>
              <w:t xml:space="preserve">Number of unpaid applications </w:t>
            </w:r>
          </w:p>
        </w:tc>
        <w:tc>
          <w:tcPr>
            <w:tcW w:w="1377" w:type="dxa"/>
          </w:tcPr>
          <w:p w14:paraId="0FACD883" w14:textId="05D1201D" w:rsidR="005C6FDD" w:rsidRDefault="00D66306" w:rsidP="00D66306">
            <w:pPr>
              <w:jc w:val="right"/>
              <w:rPr>
                <w:rFonts w:asciiTheme="minorHAnsi" w:hAnsiTheme="minorHAnsi" w:cstheme="minorHAnsi"/>
              </w:rPr>
            </w:pPr>
            <w:r>
              <w:rPr>
                <w:rFonts w:asciiTheme="minorHAnsi" w:hAnsiTheme="minorHAnsi" w:cstheme="minorHAnsi"/>
              </w:rPr>
              <w:t>5</w:t>
            </w:r>
          </w:p>
        </w:tc>
        <w:tc>
          <w:tcPr>
            <w:tcW w:w="4394" w:type="dxa"/>
          </w:tcPr>
          <w:p w14:paraId="79E28DCA" w14:textId="439D8008" w:rsidR="004A7107" w:rsidRDefault="00622B77">
            <w:pPr>
              <w:rPr>
                <w:rFonts w:asciiTheme="minorHAnsi" w:hAnsiTheme="minorHAnsi" w:cstheme="minorHAnsi"/>
              </w:rPr>
            </w:pPr>
            <w:r>
              <w:rPr>
                <w:rFonts w:asciiTheme="minorHAnsi" w:hAnsiTheme="minorHAnsi" w:cstheme="minorHAnsi"/>
              </w:rPr>
              <w:t xml:space="preserve">Average number of </w:t>
            </w:r>
            <w:r w:rsidR="00FA2DB5">
              <w:rPr>
                <w:rFonts w:asciiTheme="minorHAnsi" w:hAnsiTheme="minorHAnsi" w:cstheme="minorHAnsi"/>
              </w:rPr>
              <w:t xml:space="preserve">unpaid </w:t>
            </w:r>
            <w:r>
              <w:rPr>
                <w:rFonts w:asciiTheme="minorHAnsi" w:hAnsiTheme="minorHAnsi" w:cstheme="minorHAnsi"/>
              </w:rPr>
              <w:t xml:space="preserve">applications per year is </w:t>
            </w:r>
            <w:r w:rsidR="00E33C7D">
              <w:rPr>
                <w:rFonts w:asciiTheme="minorHAnsi" w:hAnsiTheme="minorHAnsi" w:cstheme="minorHAnsi"/>
              </w:rPr>
              <w:t>5</w:t>
            </w:r>
          </w:p>
        </w:tc>
      </w:tr>
      <w:tr w:rsidR="00CD781C" w14:paraId="3F6D04CE" w14:textId="77777777" w:rsidTr="005F5334">
        <w:trPr>
          <w:cnfStyle w:val="000000100000" w:firstRow="0" w:lastRow="0" w:firstColumn="0" w:lastColumn="0" w:oddVBand="0" w:evenVBand="0" w:oddHBand="1" w:evenHBand="0" w:firstRowFirstColumn="0" w:firstRowLastColumn="0" w:lastRowFirstColumn="0" w:lastRowLastColumn="0"/>
        </w:trPr>
        <w:tc>
          <w:tcPr>
            <w:tcW w:w="3159" w:type="dxa"/>
          </w:tcPr>
          <w:p w14:paraId="0C693848" w14:textId="127209B3" w:rsidR="00CD781C" w:rsidRDefault="00CD781C" w:rsidP="00CD781C">
            <w:pPr>
              <w:rPr>
                <w:rFonts w:asciiTheme="minorHAnsi" w:hAnsiTheme="minorHAnsi" w:cstheme="minorHAnsi"/>
              </w:rPr>
            </w:pPr>
            <w:r>
              <w:rPr>
                <w:rFonts w:asciiTheme="minorHAnsi" w:hAnsiTheme="minorHAnsi" w:cstheme="minorHAnsi"/>
              </w:rPr>
              <w:t xml:space="preserve">Processing time – paid </w:t>
            </w:r>
          </w:p>
        </w:tc>
        <w:tc>
          <w:tcPr>
            <w:tcW w:w="1377" w:type="dxa"/>
          </w:tcPr>
          <w:p w14:paraId="3BA0D88E" w14:textId="3BEAD16D" w:rsidR="00CD781C" w:rsidRDefault="00CD781C" w:rsidP="00CD781C">
            <w:pPr>
              <w:jc w:val="right"/>
              <w:rPr>
                <w:rFonts w:asciiTheme="minorHAnsi" w:hAnsiTheme="minorHAnsi" w:cstheme="minorHAnsi"/>
              </w:rPr>
            </w:pPr>
            <w:r>
              <w:rPr>
                <w:rFonts w:asciiTheme="minorHAnsi" w:hAnsiTheme="minorHAnsi" w:cstheme="minorHAnsi"/>
              </w:rPr>
              <w:t>9 months</w:t>
            </w:r>
          </w:p>
        </w:tc>
        <w:tc>
          <w:tcPr>
            <w:tcW w:w="4394" w:type="dxa"/>
          </w:tcPr>
          <w:p w14:paraId="24A0947B" w14:textId="674AB21E" w:rsidR="00CD781C" w:rsidRDefault="00483CDA" w:rsidP="00CD781C">
            <w:pPr>
              <w:rPr>
                <w:rFonts w:asciiTheme="minorHAnsi" w:hAnsiTheme="minorHAnsi" w:cstheme="minorHAnsi"/>
              </w:rPr>
            </w:pPr>
            <w:r>
              <w:rPr>
                <w:rFonts w:asciiTheme="minorHAnsi" w:hAnsiTheme="minorHAnsi" w:cstheme="minorHAnsi"/>
              </w:rPr>
              <w:t>S</w:t>
            </w:r>
            <w:r w:rsidR="00E75E90">
              <w:rPr>
                <w:rFonts w:asciiTheme="minorHAnsi" w:hAnsiTheme="minorHAnsi" w:cstheme="minorHAnsi"/>
              </w:rPr>
              <w:t xml:space="preserve">tatutory timeframe of </w:t>
            </w:r>
            <w:r w:rsidR="007118FF">
              <w:rPr>
                <w:rFonts w:asciiTheme="minorHAnsi" w:hAnsiTheme="minorHAnsi" w:cstheme="minorHAnsi"/>
              </w:rPr>
              <w:t>9 months for 80% of applications</w:t>
            </w:r>
          </w:p>
        </w:tc>
      </w:tr>
      <w:tr w:rsidR="00D66306" w14:paraId="1AA5FD96" w14:textId="77777777" w:rsidTr="005F5334">
        <w:trPr>
          <w:cnfStyle w:val="000000010000" w:firstRow="0" w:lastRow="0" w:firstColumn="0" w:lastColumn="0" w:oddVBand="0" w:evenVBand="0" w:oddHBand="0" w:evenHBand="1" w:firstRowFirstColumn="0" w:firstRowLastColumn="0" w:lastRowFirstColumn="0" w:lastRowLastColumn="0"/>
        </w:trPr>
        <w:tc>
          <w:tcPr>
            <w:tcW w:w="3159" w:type="dxa"/>
          </w:tcPr>
          <w:p w14:paraId="20BDED50" w14:textId="59FC6F4B" w:rsidR="00D66306" w:rsidRDefault="00863CA4">
            <w:pPr>
              <w:rPr>
                <w:rFonts w:asciiTheme="minorHAnsi" w:hAnsiTheme="minorHAnsi" w:cstheme="minorHAnsi"/>
              </w:rPr>
            </w:pPr>
            <w:r>
              <w:rPr>
                <w:rFonts w:asciiTheme="minorHAnsi" w:hAnsiTheme="minorHAnsi" w:cstheme="minorHAnsi"/>
              </w:rPr>
              <w:t xml:space="preserve">Processing time – unpaid </w:t>
            </w:r>
          </w:p>
        </w:tc>
        <w:tc>
          <w:tcPr>
            <w:tcW w:w="1377" w:type="dxa"/>
          </w:tcPr>
          <w:p w14:paraId="3145E6C3" w14:textId="5DFAF3F1" w:rsidR="00D66306" w:rsidRDefault="00863CA4" w:rsidP="00D66306">
            <w:pPr>
              <w:jc w:val="right"/>
              <w:rPr>
                <w:rFonts w:asciiTheme="minorHAnsi" w:hAnsiTheme="minorHAnsi" w:cstheme="minorHAnsi"/>
              </w:rPr>
            </w:pPr>
            <w:r>
              <w:rPr>
                <w:rFonts w:asciiTheme="minorHAnsi" w:hAnsiTheme="minorHAnsi" w:cstheme="minorHAnsi"/>
              </w:rPr>
              <w:t>21</w:t>
            </w:r>
            <w:r w:rsidR="005F5334">
              <w:rPr>
                <w:rFonts w:asciiTheme="minorHAnsi" w:hAnsiTheme="minorHAnsi" w:cstheme="minorHAnsi"/>
              </w:rPr>
              <w:t xml:space="preserve"> months</w:t>
            </w:r>
          </w:p>
        </w:tc>
        <w:tc>
          <w:tcPr>
            <w:tcW w:w="4394" w:type="dxa"/>
          </w:tcPr>
          <w:p w14:paraId="61B2925E" w14:textId="10C99C02" w:rsidR="00D66306" w:rsidRDefault="007118FF">
            <w:pPr>
              <w:rPr>
                <w:rFonts w:asciiTheme="minorHAnsi" w:hAnsiTheme="minorHAnsi" w:cstheme="minorHAnsi"/>
              </w:rPr>
            </w:pPr>
            <w:r>
              <w:rPr>
                <w:rFonts w:asciiTheme="minorHAnsi" w:hAnsiTheme="minorHAnsi" w:cstheme="minorHAnsi"/>
              </w:rPr>
              <w:t>Additional wait time of 12 months for unpaid applications</w:t>
            </w:r>
          </w:p>
        </w:tc>
      </w:tr>
      <w:tr w:rsidR="00D66306" w14:paraId="776ABF2C" w14:textId="77777777" w:rsidTr="005F5334">
        <w:trPr>
          <w:cnfStyle w:val="000000100000" w:firstRow="0" w:lastRow="0" w:firstColumn="0" w:lastColumn="0" w:oddVBand="0" w:evenVBand="0" w:oddHBand="1" w:evenHBand="0" w:firstRowFirstColumn="0" w:firstRowLastColumn="0" w:lastRowFirstColumn="0" w:lastRowLastColumn="0"/>
        </w:trPr>
        <w:tc>
          <w:tcPr>
            <w:tcW w:w="3159" w:type="dxa"/>
          </w:tcPr>
          <w:p w14:paraId="3847BDDE" w14:textId="079016A3" w:rsidR="00D66306" w:rsidRDefault="00F26D1C">
            <w:pPr>
              <w:rPr>
                <w:rFonts w:asciiTheme="minorHAnsi" w:hAnsiTheme="minorHAnsi" w:cstheme="minorHAnsi"/>
              </w:rPr>
            </w:pPr>
            <w:r w:rsidRPr="00F26D1C">
              <w:rPr>
                <w:rFonts w:asciiTheme="minorHAnsi" w:hAnsiTheme="minorHAnsi" w:cstheme="minorHAnsi"/>
              </w:rPr>
              <w:t xml:space="preserve">Number of proposals/reviews </w:t>
            </w:r>
          </w:p>
        </w:tc>
        <w:tc>
          <w:tcPr>
            <w:tcW w:w="1377" w:type="dxa"/>
          </w:tcPr>
          <w:p w14:paraId="334BC4A4" w14:textId="3A2EE870" w:rsidR="00D66306" w:rsidRDefault="00164332" w:rsidP="00D66306">
            <w:pPr>
              <w:jc w:val="right"/>
              <w:rPr>
                <w:rFonts w:asciiTheme="minorHAnsi" w:hAnsiTheme="minorHAnsi" w:cstheme="minorHAnsi"/>
              </w:rPr>
            </w:pPr>
            <w:r>
              <w:rPr>
                <w:rFonts w:asciiTheme="minorHAnsi" w:hAnsiTheme="minorHAnsi" w:cstheme="minorHAnsi"/>
              </w:rPr>
              <w:t>3</w:t>
            </w:r>
          </w:p>
        </w:tc>
        <w:tc>
          <w:tcPr>
            <w:tcW w:w="4394" w:type="dxa"/>
          </w:tcPr>
          <w:p w14:paraId="7CC39CFE" w14:textId="4531F093" w:rsidR="00D66306" w:rsidRDefault="00072C86">
            <w:pPr>
              <w:rPr>
                <w:rFonts w:asciiTheme="minorHAnsi" w:hAnsiTheme="minorHAnsi" w:cstheme="minorHAnsi"/>
              </w:rPr>
            </w:pPr>
            <w:r>
              <w:rPr>
                <w:rFonts w:asciiTheme="minorHAnsi" w:hAnsiTheme="minorHAnsi" w:cstheme="minorHAnsi"/>
              </w:rPr>
              <w:t xml:space="preserve">Base case assumed </w:t>
            </w:r>
            <w:r w:rsidR="00164332">
              <w:rPr>
                <w:rFonts w:asciiTheme="minorHAnsi" w:hAnsiTheme="minorHAnsi" w:cstheme="minorHAnsi"/>
              </w:rPr>
              <w:t>3</w:t>
            </w:r>
            <w:r>
              <w:rPr>
                <w:rFonts w:asciiTheme="minorHAnsi" w:hAnsiTheme="minorHAnsi" w:cstheme="minorHAnsi"/>
              </w:rPr>
              <w:t xml:space="preserve"> proposals and reviews per </w:t>
            </w:r>
            <w:r w:rsidR="00581768">
              <w:rPr>
                <w:rFonts w:asciiTheme="minorHAnsi" w:hAnsiTheme="minorHAnsi" w:cstheme="minorHAnsi"/>
              </w:rPr>
              <w:t>year</w:t>
            </w:r>
          </w:p>
        </w:tc>
      </w:tr>
    </w:tbl>
    <w:p w14:paraId="28D8FEFF" w14:textId="77777777" w:rsidR="00097262" w:rsidRDefault="00097262" w:rsidP="00097262">
      <w:pPr>
        <w:rPr>
          <w:rFonts w:asciiTheme="majorHAnsi" w:hAnsiTheme="majorHAnsi" w:cstheme="majorHAnsi"/>
        </w:rPr>
      </w:pPr>
    </w:p>
    <w:p w14:paraId="4DE2ECFF" w14:textId="590856F5" w:rsidR="00097262" w:rsidRPr="00E06D7D" w:rsidRDefault="00097262" w:rsidP="00097262">
      <w:pPr>
        <w:rPr>
          <w:rFonts w:asciiTheme="majorHAnsi" w:hAnsiTheme="majorHAnsi" w:cstheme="majorHAnsi"/>
        </w:rPr>
      </w:pPr>
      <w:r>
        <w:rPr>
          <w:rFonts w:asciiTheme="majorHAnsi" w:hAnsiTheme="majorHAnsi" w:cstheme="majorHAnsi"/>
        </w:rPr>
        <w:t xml:space="preserve">Option 2 assumptions </w:t>
      </w:r>
    </w:p>
    <w:tbl>
      <w:tblPr>
        <w:tblStyle w:val="TableGrid"/>
        <w:tblW w:w="0" w:type="auto"/>
        <w:tblLook w:val="04A0" w:firstRow="1" w:lastRow="0" w:firstColumn="1" w:lastColumn="0" w:noHBand="0" w:noVBand="1"/>
      </w:tblPr>
      <w:tblGrid>
        <w:gridCol w:w="3159"/>
        <w:gridCol w:w="1377"/>
        <w:gridCol w:w="4394"/>
      </w:tblGrid>
      <w:tr w:rsidR="00512679" w14:paraId="0765DBC6" w14:textId="77777777">
        <w:trPr>
          <w:cnfStyle w:val="100000000000" w:firstRow="1" w:lastRow="0" w:firstColumn="0" w:lastColumn="0" w:oddVBand="0" w:evenVBand="0" w:oddHBand="0" w:evenHBand="0" w:firstRowFirstColumn="0" w:firstRowLastColumn="0" w:lastRowFirstColumn="0" w:lastRowLastColumn="0"/>
        </w:trPr>
        <w:tc>
          <w:tcPr>
            <w:tcW w:w="3159" w:type="dxa"/>
          </w:tcPr>
          <w:p w14:paraId="15AAC150" w14:textId="77777777" w:rsidR="00097262" w:rsidRDefault="00097262">
            <w:pPr>
              <w:rPr>
                <w:rFonts w:asciiTheme="minorHAnsi" w:hAnsiTheme="minorHAnsi" w:cstheme="minorHAnsi"/>
              </w:rPr>
            </w:pPr>
            <w:r>
              <w:rPr>
                <w:rFonts w:asciiTheme="minorHAnsi" w:hAnsiTheme="minorHAnsi" w:cstheme="minorHAnsi"/>
              </w:rPr>
              <w:t>Parameters</w:t>
            </w:r>
          </w:p>
        </w:tc>
        <w:tc>
          <w:tcPr>
            <w:tcW w:w="1377" w:type="dxa"/>
          </w:tcPr>
          <w:p w14:paraId="52C6E943" w14:textId="77777777" w:rsidR="00097262" w:rsidRDefault="00097262">
            <w:pPr>
              <w:rPr>
                <w:rFonts w:asciiTheme="minorHAnsi" w:hAnsiTheme="minorHAnsi" w:cstheme="minorHAnsi"/>
              </w:rPr>
            </w:pPr>
            <w:r>
              <w:rPr>
                <w:rFonts w:asciiTheme="minorHAnsi" w:hAnsiTheme="minorHAnsi" w:cstheme="minorHAnsi"/>
              </w:rPr>
              <w:t>Value</w:t>
            </w:r>
          </w:p>
        </w:tc>
        <w:tc>
          <w:tcPr>
            <w:tcW w:w="4394" w:type="dxa"/>
          </w:tcPr>
          <w:p w14:paraId="33EF88F5" w14:textId="77777777" w:rsidR="00097262" w:rsidRDefault="00097262">
            <w:pPr>
              <w:rPr>
                <w:rFonts w:asciiTheme="minorHAnsi" w:hAnsiTheme="minorHAnsi" w:cstheme="minorHAnsi"/>
              </w:rPr>
            </w:pPr>
            <w:r>
              <w:rPr>
                <w:rFonts w:asciiTheme="minorHAnsi" w:hAnsiTheme="minorHAnsi" w:cstheme="minorHAnsi"/>
              </w:rPr>
              <w:t>Notes</w:t>
            </w:r>
          </w:p>
        </w:tc>
      </w:tr>
      <w:tr w:rsidR="000031F4" w14:paraId="6C03022C" w14:textId="77777777">
        <w:trPr>
          <w:cnfStyle w:val="000000100000" w:firstRow="0" w:lastRow="0" w:firstColumn="0" w:lastColumn="0" w:oddVBand="0" w:evenVBand="0" w:oddHBand="1" w:evenHBand="0" w:firstRowFirstColumn="0" w:firstRowLastColumn="0" w:lastRowFirstColumn="0" w:lastRowLastColumn="0"/>
        </w:trPr>
        <w:tc>
          <w:tcPr>
            <w:tcW w:w="3159" w:type="dxa"/>
          </w:tcPr>
          <w:p w14:paraId="56548473" w14:textId="3D6E9442" w:rsidR="000031F4" w:rsidRPr="004F3D10" w:rsidRDefault="00FB2905">
            <w:pPr>
              <w:rPr>
                <w:rFonts w:asciiTheme="minorHAnsi" w:hAnsiTheme="minorHAnsi" w:cstheme="minorHAnsi"/>
              </w:rPr>
            </w:pPr>
            <w:r>
              <w:rPr>
                <w:rFonts w:asciiTheme="minorHAnsi" w:hAnsiTheme="minorHAnsi" w:cstheme="minorHAnsi"/>
              </w:rPr>
              <w:t>Number of low</w:t>
            </w:r>
            <w:r w:rsidR="0043616B">
              <w:rPr>
                <w:rFonts w:asciiTheme="minorHAnsi" w:hAnsiTheme="minorHAnsi" w:cstheme="minorHAnsi"/>
              </w:rPr>
              <w:t>-</w:t>
            </w:r>
            <w:r>
              <w:rPr>
                <w:rFonts w:asciiTheme="minorHAnsi" w:hAnsiTheme="minorHAnsi" w:cstheme="minorHAnsi"/>
              </w:rPr>
              <w:t xml:space="preserve">risk applications </w:t>
            </w:r>
          </w:p>
        </w:tc>
        <w:tc>
          <w:tcPr>
            <w:tcW w:w="1377" w:type="dxa"/>
          </w:tcPr>
          <w:p w14:paraId="036A221F" w14:textId="57B7632D" w:rsidR="000031F4" w:rsidRDefault="00FB2905">
            <w:pPr>
              <w:jc w:val="right"/>
              <w:rPr>
                <w:rFonts w:asciiTheme="minorHAnsi" w:hAnsiTheme="minorHAnsi" w:cstheme="minorHAnsi"/>
              </w:rPr>
            </w:pPr>
            <w:r>
              <w:rPr>
                <w:rFonts w:asciiTheme="minorHAnsi" w:hAnsiTheme="minorHAnsi" w:cstheme="minorHAnsi"/>
              </w:rPr>
              <w:t>14</w:t>
            </w:r>
          </w:p>
        </w:tc>
        <w:tc>
          <w:tcPr>
            <w:tcW w:w="4394" w:type="dxa"/>
          </w:tcPr>
          <w:p w14:paraId="19ABB9C9" w14:textId="3D72DBCE" w:rsidR="000031F4" w:rsidRPr="00393815" w:rsidRDefault="00B30C82">
            <w:pPr>
              <w:rPr>
                <w:rFonts w:asciiTheme="minorHAnsi" w:hAnsiTheme="minorHAnsi" w:cstheme="minorHAnsi"/>
              </w:rPr>
            </w:pPr>
            <w:r>
              <w:rPr>
                <w:rFonts w:asciiTheme="minorHAnsi" w:hAnsiTheme="minorHAnsi" w:cstheme="minorHAnsi"/>
              </w:rPr>
              <w:t>Assume 80% of total (17) applications are low risk</w:t>
            </w:r>
            <w:r w:rsidR="00580FC0">
              <w:rPr>
                <w:rFonts w:asciiTheme="minorHAnsi" w:hAnsiTheme="minorHAnsi" w:cstheme="minorHAnsi"/>
              </w:rPr>
              <w:t xml:space="preserve"> based on historical </w:t>
            </w:r>
            <w:r w:rsidR="00787939">
              <w:rPr>
                <w:rFonts w:asciiTheme="minorHAnsi" w:hAnsiTheme="minorHAnsi" w:cstheme="minorHAnsi"/>
              </w:rPr>
              <w:t xml:space="preserve">proportion of applications deemed to be </w:t>
            </w:r>
            <w:proofErr w:type="gramStart"/>
            <w:r w:rsidR="00787939">
              <w:rPr>
                <w:rFonts w:asciiTheme="minorHAnsi" w:hAnsiTheme="minorHAnsi" w:cstheme="minorHAnsi"/>
              </w:rPr>
              <w:t>low-risk</w:t>
            </w:r>
            <w:proofErr w:type="gramEnd"/>
          </w:p>
        </w:tc>
      </w:tr>
      <w:tr w:rsidR="000031F4" w14:paraId="494F5AF1" w14:textId="77777777">
        <w:trPr>
          <w:cnfStyle w:val="000000010000" w:firstRow="0" w:lastRow="0" w:firstColumn="0" w:lastColumn="0" w:oddVBand="0" w:evenVBand="0" w:oddHBand="0" w:evenHBand="1" w:firstRowFirstColumn="0" w:firstRowLastColumn="0" w:lastRowFirstColumn="0" w:lastRowLastColumn="0"/>
        </w:trPr>
        <w:tc>
          <w:tcPr>
            <w:tcW w:w="3159" w:type="dxa"/>
          </w:tcPr>
          <w:p w14:paraId="67E4DA88" w14:textId="179D84EE" w:rsidR="000031F4" w:rsidRPr="004F3D10" w:rsidRDefault="00FB2905">
            <w:pPr>
              <w:rPr>
                <w:rFonts w:asciiTheme="minorHAnsi" w:hAnsiTheme="minorHAnsi" w:cstheme="minorHAnsi"/>
              </w:rPr>
            </w:pPr>
            <w:r>
              <w:rPr>
                <w:rFonts w:asciiTheme="minorHAnsi" w:hAnsiTheme="minorHAnsi" w:cstheme="minorHAnsi"/>
              </w:rPr>
              <w:lastRenderedPageBreak/>
              <w:t>Number of other</w:t>
            </w:r>
            <w:r w:rsidR="008F2EA7">
              <w:rPr>
                <w:rFonts w:asciiTheme="minorHAnsi" w:hAnsiTheme="minorHAnsi" w:cstheme="minorHAnsi"/>
              </w:rPr>
              <w:t xml:space="preserve"> (higher risk)</w:t>
            </w:r>
            <w:r>
              <w:rPr>
                <w:rFonts w:asciiTheme="minorHAnsi" w:hAnsiTheme="minorHAnsi" w:cstheme="minorHAnsi"/>
              </w:rPr>
              <w:t xml:space="preserve"> applications</w:t>
            </w:r>
          </w:p>
        </w:tc>
        <w:tc>
          <w:tcPr>
            <w:tcW w:w="1377" w:type="dxa"/>
          </w:tcPr>
          <w:p w14:paraId="51A07D47" w14:textId="31648FB6" w:rsidR="000031F4" w:rsidRDefault="00FB2905">
            <w:pPr>
              <w:jc w:val="right"/>
              <w:rPr>
                <w:rFonts w:asciiTheme="minorHAnsi" w:hAnsiTheme="minorHAnsi" w:cstheme="minorHAnsi"/>
              </w:rPr>
            </w:pPr>
            <w:r>
              <w:rPr>
                <w:rFonts w:asciiTheme="minorHAnsi" w:hAnsiTheme="minorHAnsi" w:cstheme="minorHAnsi"/>
              </w:rPr>
              <w:t>3</w:t>
            </w:r>
          </w:p>
        </w:tc>
        <w:tc>
          <w:tcPr>
            <w:tcW w:w="4394" w:type="dxa"/>
          </w:tcPr>
          <w:p w14:paraId="14F2FFE3" w14:textId="77777777" w:rsidR="000031F4" w:rsidRPr="00393815" w:rsidRDefault="000031F4">
            <w:pPr>
              <w:rPr>
                <w:rFonts w:asciiTheme="minorHAnsi" w:hAnsiTheme="minorHAnsi" w:cstheme="minorHAnsi"/>
              </w:rPr>
            </w:pPr>
          </w:p>
        </w:tc>
      </w:tr>
      <w:tr w:rsidR="00F61FC9" w14:paraId="04D93613" w14:textId="77777777">
        <w:trPr>
          <w:cnfStyle w:val="000000100000" w:firstRow="0" w:lastRow="0" w:firstColumn="0" w:lastColumn="0" w:oddVBand="0" w:evenVBand="0" w:oddHBand="1" w:evenHBand="0" w:firstRowFirstColumn="0" w:firstRowLastColumn="0" w:lastRowFirstColumn="0" w:lastRowLastColumn="0"/>
        </w:trPr>
        <w:tc>
          <w:tcPr>
            <w:tcW w:w="3159" w:type="dxa"/>
          </w:tcPr>
          <w:p w14:paraId="6A69C48A" w14:textId="1F913842" w:rsidR="00F61FC9" w:rsidRDefault="00F61FC9">
            <w:pPr>
              <w:rPr>
                <w:rFonts w:asciiTheme="minorHAnsi" w:hAnsiTheme="minorHAnsi" w:cstheme="minorHAnsi"/>
              </w:rPr>
            </w:pPr>
            <w:r>
              <w:rPr>
                <w:rFonts w:asciiTheme="minorHAnsi" w:hAnsiTheme="minorHAnsi" w:cstheme="minorHAnsi"/>
              </w:rPr>
              <w:t>Processing time for low</w:t>
            </w:r>
            <w:r w:rsidR="0043616B">
              <w:rPr>
                <w:rFonts w:asciiTheme="minorHAnsi" w:hAnsiTheme="minorHAnsi" w:cstheme="minorHAnsi"/>
              </w:rPr>
              <w:t xml:space="preserve">-risk applications </w:t>
            </w:r>
          </w:p>
        </w:tc>
        <w:tc>
          <w:tcPr>
            <w:tcW w:w="1377" w:type="dxa"/>
          </w:tcPr>
          <w:p w14:paraId="76A5CCAE" w14:textId="6BA2AE38" w:rsidR="00F61FC9" w:rsidRDefault="0043616B">
            <w:pPr>
              <w:jc w:val="right"/>
              <w:rPr>
                <w:rFonts w:asciiTheme="minorHAnsi" w:hAnsiTheme="minorHAnsi" w:cstheme="minorHAnsi"/>
              </w:rPr>
            </w:pPr>
            <w:r>
              <w:rPr>
                <w:rFonts w:asciiTheme="minorHAnsi" w:hAnsiTheme="minorHAnsi" w:cstheme="minorHAnsi"/>
              </w:rPr>
              <w:t>5 months</w:t>
            </w:r>
          </w:p>
        </w:tc>
        <w:tc>
          <w:tcPr>
            <w:tcW w:w="4394" w:type="dxa"/>
          </w:tcPr>
          <w:p w14:paraId="51AA144A" w14:textId="676A9B65" w:rsidR="00F61FC9" w:rsidRPr="00393815" w:rsidRDefault="0028302E">
            <w:pPr>
              <w:rPr>
                <w:rFonts w:asciiTheme="minorHAnsi" w:hAnsiTheme="minorHAnsi" w:cstheme="minorHAnsi"/>
              </w:rPr>
            </w:pPr>
            <w:r>
              <w:rPr>
                <w:rFonts w:asciiTheme="minorHAnsi" w:hAnsiTheme="minorHAnsi" w:cstheme="minorHAnsi"/>
              </w:rPr>
              <w:t xml:space="preserve">Reduction of 4 months in processing time drawn from FSANZ pilot with </w:t>
            </w:r>
            <w:r w:rsidR="004751D0">
              <w:rPr>
                <w:rStyle w:val="ui-provider"/>
              </w:rPr>
              <w:t xml:space="preserve">Health </w:t>
            </w:r>
            <w:r>
              <w:rPr>
                <w:rStyle w:val="ui-provider"/>
              </w:rPr>
              <w:t>Canada</w:t>
            </w:r>
            <w:r w:rsidR="003C3764">
              <w:rPr>
                <w:rStyle w:val="ui-provider"/>
              </w:rPr>
              <w:t xml:space="preserve"> </w:t>
            </w:r>
            <w:r w:rsidR="004751D0">
              <w:rPr>
                <w:rStyle w:val="ui-provider"/>
              </w:rPr>
              <w:t>on two</w:t>
            </w:r>
            <w:r w:rsidR="00CC4583">
              <w:rPr>
                <w:rStyle w:val="ui-provider"/>
              </w:rPr>
              <w:t>-</w:t>
            </w:r>
            <w:r w:rsidR="004751D0">
              <w:rPr>
                <w:rStyle w:val="ui-provider"/>
              </w:rPr>
              <w:t>way assessment sharing for low</w:t>
            </w:r>
            <w:r w:rsidR="00382C2C">
              <w:rPr>
                <w:rStyle w:val="ui-provider"/>
              </w:rPr>
              <w:t>-</w:t>
            </w:r>
            <w:r w:rsidR="004751D0">
              <w:rPr>
                <w:rStyle w:val="ui-provider"/>
              </w:rPr>
              <w:t>risk GM applications</w:t>
            </w:r>
            <w:r w:rsidR="009E7BEA">
              <w:rPr>
                <w:rStyle w:val="ui-provider"/>
              </w:rPr>
              <w:t xml:space="preserve">. There was a reduction of 4 months in assessment of an application where Health Canada provided their risk assessment </w:t>
            </w:r>
            <w:r w:rsidR="003C3764">
              <w:rPr>
                <w:rStyle w:val="ui-provider"/>
              </w:rPr>
              <w:t xml:space="preserve">to </w:t>
            </w:r>
            <w:r w:rsidR="009E7BEA">
              <w:rPr>
                <w:rStyle w:val="ui-provider"/>
              </w:rPr>
              <w:t>FSANZ compared to the standard 9</w:t>
            </w:r>
            <w:r w:rsidR="00CC4583">
              <w:rPr>
                <w:rStyle w:val="ui-provider"/>
              </w:rPr>
              <w:t>-</w:t>
            </w:r>
            <w:r w:rsidR="009E7BEA">
              <w:rPr>
                <w:rStyle w:val="ui-provider"/>
              </w:rPr>
              <w:t>month process</w:t>
            </w:r>
          </w:p>
        </w:tc>
      </w:tr>
      <w:tr w:rsidR="00F61FC9" w14:paraId="79E72A16" w14:textId="77777777">
        <w:trPr>
          <w:cnfStyle w:val="000000010000" w:firstRow="0" w:lastRow="0" w:firstColumn="0" w:lastColumn="0" w:oddVBand="0" w:evenVBand="0" w:oddHBand="0" w:evenHBand="1" w:firstRowFirstColumn="0" w:firstRowLastColumn="0" w:lastRowFirstColumn="0" w:lastRowLastColumn="0"/>
        </w:trPr>
        <w:tc>
          <w:tcPr>
            <w:tcW w:w="3159" w:type="dxa"/>
          </w:tcPr>
          <w:p w14:paraId="3CCDED60" w14:textId="70E3FCCF" w:rsidR="00F61FC9" w:rsidRDefault="008F7AC6">
            <w:pPr>
              <w:rPr>
                <w:rFonts w:asciiTheme="minorHAnsi" w:hAnsiTheme="minorHAnsi" w:cstheme="minorHAnsi"/>
              </w:rPr>
            </w:pPr>
            <w:r>
              <w:rPr>
                <w:rFonts w:asciiTheme="minorHAnsi" w:hAnsiTheme="minorHAnsi" w:cstheme="minorHAnsi"/>
              </w:rPr>
              <w:t>Proce</w:t>
            </w:r>
            <w:r w:rsidR="00980E8D">
              <w:rPr>
                <w:rFonts w:asciiTheme="minorHAnsi" w:hAnsiTheme="minorHAnsi" w:cstheme="minorHAnsi"/>
              </w:rPr>
              <w:t>ssing time for other applications</w:t>
            </w:r>
          </w:p>
        </w:tc>
        <w:tc>
          <w:tcPr>
            <w:tcW w:w="1377" w:type="dxa"/>
          </w:tcPr>
          <w:p w14:paraId="431854AA" w14:textId="0B271B46" w:rsidR="00F61FC9" w:rsidRDefault="00980E8D">
            <w:pPr>
              <w:jc w:val="right"/>
              <w:rPr>
                <w:rFonts w:asciiTheme="minorHAnsi" w:hAnsiTheme="minorHAnsi" w:cstheme="minorHAnsi"/>
              </w:rPr>
            </w:pPr>
            <w:r>
              <w:rPr>
                <w:rFonts w:asciiTheme="minorHAnsi" w:hAnsiTheme="minorHAnsi" w:cstheme="minorHAnsi"/>
              </w:rPr>
              <w:t>9 months</w:t>
            </w:r>
          </w:p>
        </w:tc>
        <w:tc>
          <w:tcPr>
            <w:tcW w:w="4394" w:type="dxa"/>
          </w:tcPr>
          <w:p w14:paraId="1774E0F7" w14:textId="77777777" w:rsidR="00F61FC9" w:rsidRPr="00393815" w:rsidRDefault="00F61FC9">
            <w:pPr>
              <w:rPr>
                <w:rFonts w:asciiTheme="minorHAnsi" w:hAnsiTheme="minorHAnsi" w:cstheme="minorHAnsi"/>
              </w:rPr>
            </w:pPr>
          </w:p>
        </w:tc>
      </w:tr>
      <w:tr w:rsidR="00EF6782" w14:paraId="28BEB626" w14:textId="77777777">
        <w:trPr>
          <w:cnfStyle w:val="000000100000" w:firstRow="0" w:lastRow="0" w:firstColumn="0" w:lastColumn="0" w:oddVBand="0" w:evenVBand="0" w:oddHBand="1" w:evenHBand="0" w:firstRowFirstColumn="0" w:firstRowLastColumn="0" w:lastRowFirstColumn="0" w:lastRowLastColumn="0"/>
        </w:trPr>
        <w:tc>
          <w:tcPr>
            <w:tcW w:w="3159" w:type="dxa"/>
          </w:tcPr>
          <w:p w14:paraId="2D60445B" w14:textId="09F12050" w:rsidR="00EF6782" w:rsidRDefault="00EF6782">
            <w:pPr>
              <w:rPr>
                <w:rFonts w:asciiTheme="minorHAnsi" w:hAnsiTheme="minorHAnsi" w:cstheme="minorHAnsi"/>
              </w:rPr>
            </w:pPr>
            <w:r>
              <w:rPr>
                <w:rFonts w:asciiTheme="minorHAnsi" w:hAnsiTheme="minorHAnsi" w:cstheme="minorHAnsi"/>
              </w:rPr>
              <w:t xml:space="preserve">Number of proposals/reviews </w:t>
            </w:r>
          </w:p>
        </w:tc>
        <w:tc>
          <w:tcPr>
            <w:tcW w:w="1377" w:type="dxa"/>
          </w:tcPr>
          <w:p w14:paraId="612B31CC" w14:textId="282D1C05" w:rsidR="00EF6782" w:rsidRDefault="00164332">
            <w:pPr>
              <w:jc w:val="right"/>
              <w:rPr>
                <w:rFonts w:asciiTheme="minorHAnsi" w:hAnsiTheme="minorHAnsi" w:cstheme="minorHAnsi"/>
              </w:rPr>
            </w:pPr>
            <w:r>
              <w:rPr>
                <w:rFonts w:asciiTheme="minorHAnsi" w:hAnsiTheme="minorHAnsi" w:cstheme="minorHAnsi"/>
              </w:rPr>
              <w:t>11</w:t>
            </w:r>
          </w:p>
        </w:tc>
        <w:tc>
          <w:tcPr>
            <w:tcW w:w="4394" w:type="dxa"/>
          </w:tcPr>
          <w:p w14:paraId="512237AD" w14:textId="3706FCF3" w:rsidR="00EF6782" w:rsidRPr="00393815" w:rsidRDefault="00DB5683">
            <w:pPr>
              <w:rPr>
                <w:rFonts w:asciiTheme="minorHAnsi" w:hAnsiTheme="minorHAnsi" w:cstheme="minorHAnsi"/>
              </w:rPr>
            </w:pPr>
            <w:r>
              <w:rPr>
                <w:rFonts w:asciiTheme="minorHAnsi" w:hAnsiTheme="minorHAnsi" w:cstheme="minorHAnsi"/>
              </w:rPr>
              <w:t xml:space="preserve">Additional 8 </w:t>
            </w:r>
            <w:r w:rsidR="00860F33">
              <w:rPr>
                <w:rFonts w:asciiTheme="minorHAnsi" w:hAnsiTheme="minorHAnsi" w:cstheme="minorHAnsi"/>
              </w:rPr>
              <w:t xml:space="preserve">more standards </w:t>
            </w:r>
            <w:r w:rsidR="007E2A73">
              <w:rPr>
                <w:rFonts w:asciiTheme="minorHAnsi" w:hAnsiTheme="minorHAnsi" w:cstheme="minorHAnsi"/>
              </w:rPr>
              <w:t xml:space="preserve">and proposals </w:t>
            </w:r>
            <w:r w:rsidR="004C5A5C">
              <w:rPr>
                <w:rFonts w:asciiTheme="minorHAnsi" w:hAnsiTheme="minorHAnsi" w:cstheme="minorHAnsi"/>
              </w:rPr>
              <w:t>reviewed a year</w:t>
            </w:r>
            <w:r w:rsidR="007E2A73">
              <w:rPr>
                <w:rFonts w:asciiTheme="minorHAnsi" w:hAnsiTheme="minorHAnsi" w:cstheme="minorHAnsi"/>
              </w:rPr>
              <w:t xml:space="preserve"> </w:t>
            </w:r>
          </w:p>
        </w:tc>
      </w:tr>
      <w:tr w:rsidR="005E2D1E" w14:paraId="72B84C02" w14:textId="77777777">
        <w:trPr>
          <w:cnfStyle w:val="000000010000" w:firstRow="0" w:lastRow="0" w:firstColumn="0" w:lastColumn="0" w:oddVBand="0" w:evenVBand="0" w:oddHBand="0" w:evenHBand="1" w:firstRowFirstColumn="0" w:firstRowLastColumn="0" w:lastRowFirstColumn="0" w:lastRowLastColumn="0"/>
        </w:trPr>
        <w:tc>
          <w:tcPr>
            <w:tcW w:w="3159" w:type="dxa"/>
          </w:tcPr>
          <w:p w14:paraId="790D76C8" w14:textId="4F2A427B" w:rsidR="005E2D1E" w:rsidRDefault="000D18F1">
            <w:pPr>
              <w:rPr>
                <w:rFonts w:asciiTheme="minorHAnsi" w:hAnsiTheme="minorHAnsi" w:cstheme="minorHAnsi"/>
              </w:rPr>
            </w:pPr>
            <w:r>
              <w:rPr>
                <w:rFonts w:asciiTheme="minorHAnsi" w:hAnsiTheme="minorHAnsi" w:cstheme="minorHAnsi"/>
              </w:rPr>
              <w:t xml:space="preserve">Benefit </w:t>
            </w:r>
            <w:r w:rsidR="003B7345">
              <w:rPr>
                <w:rFonts w:asciiTheme="minorHAnsi" w:hAnsiTheme="minorHAnsi" w:cstheme="minorHAnsi"/>
              </w:rPr>
              <w:t xml:space="preserve">from </w:t>
            </w:r>
            <w:r w:rsidR="003B7345" w:rsidRPr="003B7345">
              <w:rPr>
                <w:rFonts w:asciiTheme="minorHAnsi" w:hAnsiTheme="minorHAnsi" w:cstheme="minorHAnsi"/>
              </w:rPr>
              <w:t>publish</w:t>
            </w:r>
            <w:r w:rsidR="003B7345">
              <w:rPr>
                <w:rFonts w:asciiTheme="minorHAnsi" w:hAnsiTheme="minorHAnsi" w:cstheme="minorHAnsi"/>
              </w:rPr>
              <w:t>ing</w:t>
            </w:r>
            <w:r w:rsidR="003B7345" w:rsidRPr="003B7345">
              <w:rPr>
                <w:rFonts w:asciiTheme="minorHAnsi" w:hAnsiTheme="minorHAnsi" w:cstheme="minorHAnsi"/>
              </w:rPr>
              <w:t xml:space="preserve"> a list of Aboriginal, Torres Strait Islander and Māori traditional foods used in Australia and New Zealand that have undergone safety assessments</w:t>
            </w:r>
          </w:p>
        </w:tc>
        <w:tc>
          <w:tcPr>
            <w:tcW w:w="1377" w:type="dxa"/>
          </w:tcPr>
          <w:p w14:paraId="1492BF1C" w14:textId="79554B28" w:rsidR="005E2D1E" w:rsidRDefault="003B7345">
            <w:pPr>
              <w:jc w:val="right"/>
              <w:rPr>
                <w:rFonts w:asciiTheme="minorHAnsi" w:hAnsiTheme="minorHAnsi" w:cstheme="minorHAnsi"/>
              </w:rPr>
            </w:pPr>
            <w:r>
              <w:rPr>
                <w:rFonts w:asciiTheme="minorHAnsi" w:hAnsiTheme="minorHAnsi" w:cstheme="minorHAnsi"/>
              </w:rPr>
              <w:t>$10.2</w:t>
            </w:r>
          </w:p>
        </w:tc>
        <w:tc>
          <w:tcPr>
            <w:tcW w:w="4394" w:type="dxa"/>
          </w:tcPr>
          <w:p w14:paraId="5CBA50BD" w14:textId="4D322854" w:rsidR="005E2D1E" w:rsidRPr="00393815" w:rsidRDefault="00BB0755">
            <w:pPr>
              <w:rPr>
                <w:rFonts w:asciiTheme="minorHAnsi" w:hAnsiTheme="minorHAnsi" w:cstheme="minorHAnsi"/>
              </w:rPr>
            </w:pPr>
            <w:r>
              <w:rPr>
                <w:rFonts w:asciiTheme="minorHAnsi" w:hAnsiTheme="minorHAnsi" w:cstheme="minorHAnsi"/>
              </w:rPr>
              <w:t>Indus</w:t>
            </w:r>
            <w:r w:rsidR="00040870">
              <w:rPr>
                <w:rFonts w:asciiTheme="minorHAnsi" w:hAnsiTheme="minorHAnsi" w:cstheme="minorHAnsi"/>
              </w:rPr>
              <w:t>try</w:t>
            </w:r>
            <w:r>
              <w:rPr>
                <w:rFonts w:asciiTheme="minorHAnsi" w:hAnsiTheme="minorHAnsi" w:cstheme="minorHAnsi"/>
              </w:rPr>
              <w:t xml:space="preserve"> value add </w:t>
            </w:r>
            <w:r w:rsidR="00043981">
              <w:rPr>
                <w:rFonts w:asciiTheme="minorHAnsi" w:hAnsiTheme="minorHAnsi" w:cstheme="minorHAnsi"/>
              </w:rPr>
              <w:t xml:space="preserve">of </w:t>
            </w:r>
            <w:proofErr w:type="gramStart"/>
            <w:r w:rsidR="00FC042A">
              <w:rPr>
                <w:rFonts w:asciiTheme="minorHAnsi" w:hAnsiTheme="minorHAnsi" w:cstheme="minorHAnsi"/>
              </w:rPr>
              <w:t>Australian</w:t>
            </w:r>
            <w:proofErr w:type="gramEnd"/>
            <w:r w:rsidR="00FC042A">
              <w:rPr>
                <w:rFonts w:asciiTheme="minorHAnsi" w:hAnsiTheme="minorHAnsi" w:cstheme="minorHAnsi"/>
              </w:rPr>
              <w:t xml:space="preserve"> </w:t>
            </w:r>
            <w:r w:rsidR="00D13D74">
              <w:rPr>
                <w:rFonts w:asciiTheme="minorHAnsi" w:hAnsiTheme="minorHAnsi" w:cstheme="minorHAnsi"/>
              </w:rPr>
              <w:t xml:space="preserve">and </w:t>
            </w:r>
            <w:r w:rsidR="005F3737">
              <w:rPr>
                <w:rFonts w:asciiTheme="minorHAnsi" w:hAnsiTheme="minorHAnsi" w:cstheme="minorHAnsi"/>
              </w:rPr>
              <w:t>Māori</w:t>
            </w:r>
            <w:r w:rsidR="00D13D74">
              <w:rPr>
                <w:rFonts w:asciiTheme="minorHAnsi" w:hAnsiTheme="minorHAnsi" w:cstheme="minorHAnsi"/>
              </w:rPr>
              <w:t xml:space="preserve"> native food </w:t>
            </w:r>
            <w:r w:rsidR="009A4178">
              <w:rPr>
                <w:rFonts w:asciiTheme="minorHAnsi" w:hAnsiTheme="minorHAnsi" w:cstheme="minorHAnsi"/>
              </w:rPr>
              <w:t>sector is $8m</w:t>
            </w:r>
            <w:r w:rsidR="00960D8E">
              <w:rPr>
                <w:rFonts w:asciiTheme="minorHAnsi" w:hAnsiTheme="minorHAnsi" w:cstheme="minorHAnsi"/>
              </w:rPr>
              <w:t xml:space="preserve"> and $2.2m respectively</w:t>
            </w:r>
            <w:r w:rsidR="00235A9D">
              <w:rPr>
                <w:rFonts w:ascii="ZWAdobeF" w:hAnsi="ZWAdobeF" w:cs="ZWAdobeF"/>
                <w:sz w:val="2"/>
                <w:szCs w:val="2"/>
              </w:rPr>
              <w:t>51F</w:t>
            </w:r>
            <w:r w:rsidR="00791CDC">
              <w:rPr>
                <w:rStyle w:val="FootnoteReference"/>
                <w:rFonts w:asciiTheme="minorHAnsi" w:hAnsiTheme="minorHAnsi" w:cstheme="minorHAnsi"/>
              </w:rPr>
              <w:footnoteReference w:id="61"/>
            </w:r>
            <w:r w:rsidR="00235A9D">
              <w:rPr>
                <w:rFonts w:ascii="ZWAdobeF" w:hAnsi="ZWAdobeF" w:cs="ZWAdobeF"/>
                <w:sz w:val="2"/>
                <w:szCs w:val="2"/>
              </w:rPr>
              <w:t>52F</w:t>
            </w:r>
            <w:r w:rsidR="004E7B82">
              <w:rPr>
                <w:rStyle w:val="FootnoteReference"/>
                <w:rFonts w:asciiTheme="minorHAnsi" w:hAnsiTheme="minorHAnsi" w:cstheme="minorHAnsi"/>
              </w:rPr>
              <w:footnoteReference w:id="62"/>
            </w:r>
          </w:p>
        </w:tc>
      </w:tr>
      <w:tr w:rsidR="005E2D1E" w14:paraId="57CBB9E5" w14:textId="77777777">
        <w:trPr>
          <w:cnfStyle w:val="000000100000" w:firstRow="0" w:lastRow="0" w:firstColumn="0" w:lastColumn="0" w:oddVBand="0" w:evenVBand="0" w:oddHBand="1" w:evenHBand="0" w:firstRowFirstColumn="0" w:firstRowLastColumn="0" w:lastRowFirstColumn="0" w:lastRowLastColumn="0"/>
        </w:trPr>
        <w:tc>
          <w:tcPr>
            <w:tcW w:w="3159" w:type="dxa"/>
          </w:tcPr>
          <w:p w14:paraId="0369C279" w14:textId="135656D4" w:rsidR="005E2D1E" w:rsidRDefault="006A736E">
            <w:pPr>
              <w:rPr>
                <w:rFonts w:asciiTheme="minorHAnsi" w:hAnsiTheme="minorHAnsi" w:cstheme="minorHAnsi"/>
              </w:rPr>
            </w:pPr>
            <w:r w:rsidRPr="006A736E">
              <w:rPr>
                <w:rFonts w:asciiTheme="minorHAnsi" w:hAnsiTheme="minorHAnsi" w:cstheme="minorHAnsi"/>
              </w:rPr>
              <w:t xml:space="preserve">Growth rate of Aboriginal, Torres Strait Islander and Māori traditional foods industry </w:t>
            </w:r>
          </w:p>
        </w:tc>
        <w:tc>
          <w:tcPr>
            <w:tcW w:w="1377" w:type="dxa"/>
          </w:tcPr>
          <w:p w14:paraId="0B566158" w14:textId="679C7B88" w:rsidR="005E2D1E" w:rsidRDefault="006A736E">
            <w:pPr>
              <w:jc w:val="right"/>
              <w:rPr>
                <w:rFonts w:asciiTheme="minorHAnsi" w:hAnsiTheme="minorHAnsi" w:cstheme="minorHAnsi"/>
              </w:rPr>
            </w:pPr>
            <w:r>
              <w:rPr>
                <w:rFonts w:asciiTheme="minorHAnsi" w:hAnsiTheme="minorHAnsi" w:cstheme="minorHAnsi"/>
              </w:rPr>
              <w:t>10%</w:t>
            </w:r>
          </w:p>
        </w:tc>
        <w:tc>
          <w:tcPr>
            <w:tcW w:w="4394" w:type="dxa"/>
          </w:tcPr>
          <w:p w14:paraId="0BE12817" w14:textId="4B0D0FF7" w:rsidR="005E2D1E" w:rsidRPr="00393815" w:rsidRDefault="00380E1A">
            <w:pPr>
              <w:rPr>
                <w:rFonts w:asciiTheme="minorHAnsi" w:hAnsiTheme="minorHAnsi" w:cstheme="minorHAnsi"/>
              </w:rPr>
            </w:pPr>
            <w:r>
              <w:rPr>
                <w:rFonts w:asciiTheme="minorHAnsi" w:hAnsiTheme="minorHAnsi" w:cstheme="minorHAnsi"/>
              </w:rPr>
              <w:t xml:space="preserve">Market value projected to double </w:t>
            </w:r>
            <w:r w:rsidR="0026124A">
              <w:rPr>
                <w:rFonts w:asciiTheme="minorHAnsi" w:hAnsiTheme="minorHAnsi" w:cstheme="minorHAnsi"/>
              </w:rPr>
              <w:t>from 2020 to 2025</w:t>
            </w:r>
            <w:r w:rsidR="00F1080A">
              <w:rPr>
                <w:rFonts w:asciiTheme="minorHAnsi" w:hAnsiTheme="minorHAnsi" w:cstheme="minorHAnsi"/>
              </w:rPr>
              <w:t xml:space="preserve"> with a growth rate of </w:t>
            </w:r>
            <w:r w:rsidR="00AC145B">
              <w:rPr>
                <w:rFonts w:asciiTheme="minorHAnsi" w:hAnsiTheme="minorHAnsi" w:cstheme="minorHAnsi"/>
              </w:rPr>
              <w:t>16</w:t>
            </w:r>
            <w:r w:rsidR="003A69D5">
              <w:rPr>
                <w:rFonts w:asciiTheme="minorHAnsi" w:hAnsiTheme="minorHAnsi" w:cstheme="minorHAnsi"/>
              </w:rPr>
              <w:t>% per annum. Assumed lower bound growth rate of 10% per annum</w:t>
            </w:r>
          </w:p>
        </w:tc>
      </w:tr>
      <w:tr w:rsidR="00097262" w14:paraId="6CECF3DE" w14:textId="77777777">
        <w:trPr>
          <w:cnfStyle w:val="000000010000" w:firstRow="0" w:lastRow="0" w:firstColumn="0" w:lastColumn="0" w:oddVBand="0" w:evenVBand="0" w:oddHBand="0" w:evenHBand="1" w:firstRowFirstColumn="0" w:firstRowLastColumn="0" w:lastRowFirstColumn="0" w:lastRowLastColumn="0"/>
        </w:trPr>
        <w:tc>
          <w:tcPr>
            <w:tcW w:w="3159" w:type="dxa"/>
          </w:tcPr>
          <w:p w14:paraId="69ACFA51" w14:textId="4B7AA73D" w:rsidR="00097262" w:rsidRDefault="004F3D10">
            <w:pPr>
              <w:rPr>
                <w:rFonts w:asciiTheme="minorHAnsi" w:hAnsiTheme="minorHAnsi" w:cstheme="minorHAnsi"/>
              </w:rPr>
            </w:pPr>
            <w:r w:rsidRPr="004F3D10">
              <w:rPr>
                <w:rFonts w:asciiTheme="minorHAnsi" w:hAnsiTheme="minorHAnsi" w:cstheme="minorHAnsi"/>
              </w:rPr>
              <w:t>Cost recovery levy</w:t>
            </w:r>
          </w:p>
        </w:tc>
        <w:tc>
          <w:tcPr>
            <w:tcW w:w="1377" w:type="dxa"/>
          </w:tcPr>
          <w:p w14:paraId="2C0BE8E4" w14:textId="75A44CEB" w:rsidR="00097262" w:rsidRDefault="004F3D10">
            <w:pPr>
              <w:jc w:val="right"/>
              <w:rPr>
                <w:rFonts w:asciiTheme="minorHAnsi" w:hAnsiTheme="minorHAnsi" w:cstheme="minorHAnsi"/>
              </w:rPr>
            </w:pPr>
            <w:r>
              <w:rPr>
                <w:rFonts w:asciiTheme="minorHAnsi" w:hAnsiTheme="minorHAnsi" w:cstheme="minorHAnsi"/>
              </w:rPr>
              <w:t>10</w:t>
            </w:r>
          </w:p>
        </w:tc>
        <w:tc>
          <w:tcPr>
            <w:tcW w:w="4394" w:type="dxa"/>
          </w:tcPr>
          <w:p w14:paraId="5FF24925" w14:textId="360EDB9B" w:rsidR="00097262" w:rsidRDefault="00393815">
            <w:pPr>
              <w:rPr>
                <w:rFonts w:asciiTheme="minorHAnsi" w:hAnsiTheme="minorHAnsi" w:cstheme="minorHAnsi"/>
              </w:rPr>
            </w:pPr>
            <w:r w:rsidRPr="00393815">
              <w:rPr>
                <w:rFonts w:asciiTheme="minorHAnsi" w:hAnsiTheme="minorHAnsi" w:cstheme="minorHAnsi"/>
              </w:rPr>
              <w:t>Assum</w:t>
            </w:r>
            <w:r w:rsidR="00432333">
              <w:rPr>
                <w:rFonts w:asciiTheme="minorHAnsi" w:hAnsiTheme="minorHAnsi" w:cstheme="minorHAnsi"/>
              </w:rPr>
              <w:t>e</w:t>
            </w:r>
            <w:r w:rsidRPr="00393815">
              <w:rPr>
                <w:rFonts w:asciiTheme="minorHAnsi" w:hAnsiTheme="minorHAnsi" w:cstheme="minorHAnsi"/>
              </w:rPr>
              <w:t xml:space="preserve"> there are 5000 large businesses captured by a FSANZ levy, $2,000 each would generate $10 million</w:t>
            </w:r>
          </w:p>
        </w:tc>
      </w:tr>
      <w:tr w:rsidR="00097262" w14:paraId="39FB0E7E" w14:textId="77777777">
        <w:trPr>
          <w:cnfStyle w:val="000000100000" w:firstRow="0" w:lastRow="0" w:firstColumn="0" w:lastColumn="0" w:oddVBand="0" w:evenVBand="0" w:oddHBand="1" w:evenHBand="0" w:firstRowFirstColumn="0" w:firstRowLastColumn="0" w:lastRowFirstColumn="0" w:lastRowLastColumn="0"/>
        </w:trPr>
        <w:tc>
          <w:tcPr>
            <w:tcW w:w="3159" w:type="dxa"/>
          </w:tcPr>
          <w:p w14:paraId="59548D46" w14:textId="73DFB960" w:rsidR="00097262" w:rsidRDefault="00527E57">
            <w:pPr>
              <w:rPr>
                <w:rFonts w:asciiTheme="minorHAnsi" w:hAnsiTheme="minorHAnsi" w:cstheme="minorHAnsi"/>
              </w:rPr>
            </w:pPr>
            <w:r w:rsidRPr="00527E57">
              <w:rPr>
                <w:rFonts w:asciiTheme="minorHAnsi" w:hAnsiTheme="minorHAnsi" w:cstheme="minorHAnsi"/>
              </w:rPr>
              <w:t xml:space="preserve">Cost recovery </w:t>
            </w:r>
            <w:r w:rsidR="00AC566E">
              <w:rPr>
                <w:rFonts w:asciiTheme="minorHAnsi" w:hAnsiTheme="minorHAnsi" w:cstheme="minorHAnsi"/>
              </w:rPr>
              <w:t>from</w:t>
            </w:r>
            <w:r w:rsidRPr="00527E57">
              <w:rPr>
                <w:rFonts w:asciiTheme="minorHAnsi" w:hAnsiTheme="minorHAnsi" w:cstheme="minorHAnsi"/>
              </w:rPr>
              <w:t xml:space="preserve"> jurisdictions</w:t>
            </w:r>
            <w:r w:rsidR="00AC566E">
              <w:rPr>
                <w:rFonts w:asciiTheme="minorHAnsi" w:hAnsiTheme="minorHAnsi" w:cstheme="minorHAnsi"/>
              </w:rPr>
              <w:t xml:space="preserve"> for projects</w:t>
            </w:r>
          </w:p>
        </w:tc>
        <w:tc>
          <w:tcPr>
            <w:tcW w:w="1377" w:type="dxa"/>
          </w:tcPr>
          <w:p w14:paraId="1BBC9990" w14:textId="56019FCB" w:rsidR="00097262" w:rsidRDefault="00527E57">
            <w:pPr>
              <w:jc w:val="right"/>
              <w:rPr>
                <w:rFonts w:asciiTheme="minorHAnsi" w:hAnsiTheme="minorHAnsi" w:cstheme="minorHAnsi"/>
              </w:rPr>
            </w:pPr>
            <w:r>
              <w:rPr>
                <w:rFonts w:asciiTheme="minorHAnsi" w:hAnsiTheme="minorHAnsi" w:cstheme="minorHAnsi"/>
              </w:rPr>
              <w:t>6.3</w:t>
            </w:r>
          </w:p>
        </w:tc>
        <w:tc>
          <w:tcPr>
            <w:tcW w:w="4394" w:type="dxa"/>
          </w:tcPr>
          <w:p w14:paraId="2D5BE8B4" w14:textId="77777777" w:rsidR="00097262" w:rsidRDefault="00097262">
            <w:pPr>
              <w:rPr>
                <w:rFonts w:asciiTheme="minorHAnsi" w:hAnsiTheme="minorHAnsi" w:cstheme="minorHAnsi"/>
              </w:rPr>
            </w:pPr>
          </w:p>
        </w:tc>
      </w:tr>
      <w:tr w:rsidR="00AC566E" w14:paraId="50A6B907" w14:textId="77777777">
        <w:trPr>
          <w:cnfStyle w:val="000000010000" w:firstRow="0" w:lastRow="0" w:firstColumn="0" w:lastColumn="0" w:oddVBand="0" w:evenVBand="0" w:oddHBand="0" w:evenHBand="1" w:firstRowFirstColumn="0" w:firstRowLastColumn="0" w:lastRowFirstColumn="0" w:lastRowLastColumn="0"/>
        </w:trPr>
        <w:tc>
          <w:tcPr>
            <w:tcW w:w="3159" w:type="dxa"/>
          </w:tcPr>
          <w:p w14:paraId="00A728C3" w14:textId="16E22A11" w:rsidR="00AC566E" w:rsidRPr="00527E57" w:rsidRDefault="00AC566E" w:rsidP="00AC566E">
            <w:pPr>
              <w:rPr>
                <w:rFonts w:asciiTheme="minorHAnsi" w:hAnsiTheme="minorHAnsi" w:cstheme="minorHAnsi"/>
              </w:rPr>
            </w:pPr>
            <w:r w:rsidRPr="00527E57">
              <w:rPr>
                <w:rFonts w:asciiTheme="minorHAnsi" w:hAnsiTheme="minorHAnsi" w:cstheme="minorHAnsi"/>
              </w:rPr>
              <w:t xml:space="preserve">Cost recovery </w:t>
            </w:r>
            <w:r>
              <w:rPr>
                <w:rFonts w:asciiTheme="minorHAnsi" w:hAnsiTheme="minorHAnsi" w:cstheme="minorHAnsi"/>
              </w:rPr>
              <w:t>from</w:t>
            </w:r>
            <w:r w:rsidRPr="00527E57">
              <w:rPr>
                <w:rFonts w:asciiTheme="minorHAnsi" w:hAnsiTheme="minorHAnsi" w:cstheme="minorHAnsi"/>
              </w:rPr>
              <w:t xml:space="preserve"> jurisdictions</w:t>
            </w:r>
            <w:r>
              <w:rPr>
                <w:rFonts w:asciiTheme="minorHAnsi" w:hAnsiTheme="minorHAnsi" w:cstheme="minorHAnsi"/>
              </w:rPr>
              <w:t xml:space="preserve"> from food recall coordination </w:t>
            </w:r>
          </w:p>
        </w:tc>
        <w:tc>
          <w:tcPr>
            <w:tcW w:w="1377" w:type="dxa"/>
          </w:tcPr>
          <w:p w14:paraId="27D363D5" w14:textId="01B8E2E9" w:rsidR="00AC566E" w:rsidRDefault="00AC566E" w:rsidP="00AC566E">
            <w:pPr>
              <w:jc w:val="right"/>
              <w:rPr>
                <w:rFonts w:asciiTheme="minorHAnsi" w:hAnsiTheme="minorHAnsi" w:cstheme="minorHAnsi"/>
              </w:rPr>
            </w:pPr>
            <w:r>
              <w:rPr>
                <w:rFonts w:asciiTheme="minorHAnsi" w:hAnsiTheme="minorHAnsi" w:cstheme="minorHAnsi"/>
              </w:rPr>
              <w:t>1.5</w:t>
            </w:r>
          </w:p>
        </w:tc>
        <w:tc>
          <w:tcPr>
            <w:tcW w:w="4394" w:type="dxa"/>
          </w:tcPr>
          <w:p w14:paraId="73A9B58C" w14:textId="77777777" w:rsidR="00AC566E" w:rsidRDefault="00AC566E" w:rsidP="00AC566E">
            <w:pPr>
              <w:rPr>
                <w:rFonts w:asciiTheme="minorHAnsi" w:hAnsiTheme="minorHAnsi" w:cstheme="minorHAnsi"/>
              </w:rPr>
            </w:pPr>
          </w:p>
        </w:tc>
      </w:tr>
    </w:tbl>
    <w:p w14:paraId="1900D2CA" w14:textId="77777777" w:rsidR="00097262" w:rsidRPr="00E06D7D" w:rsidRDefault="00097262" w:rsidP="00097262">
      <w:pPr>
        <w:rPr>
          <w:rFonts w:asciiTheme="majorHAnsi" w:hAnsiTheme="majorHAnsi" w:cstheme="majorHAnsi"/>
        </w:rPr>
      </w:pPr>
    </w:p>
    <w:p w14:paraId="6D8EE88A" w14:textId="77777777" w:rsidR="00923BE4" w:rsidRDefault="00923BE4" w:rsidP="006C0D3F">
      <w:pPr>
        <w:pStyle w:val="xAppendixLevel1"/>
        <w:tabs>
          <w:tab w:val="left" w:pos="3119"/>
        </w:tabs>
        <w:ind w:left="2410" w:hanging="2410"/>
      </w:pPr>
      <w:bookmarkStart w:id="167" w:name="_Ref142419066"/>
      <w:bookmarkStart w:id="168" w:name="_Toc157599150"/>
      <w:r>
        <w:lastRenderedPageBreak/>
        <w:t>Application of proposed risk framework</w:t>
      </w:r>
      <w:bookmarkEnd w:id="167"/>
      <w:bookmarkEnd w:id="168"/>
    </w:p>
    <w:p w14:paraId="1E7BF896" w14:textId="77777777" w:rsidR="00923BE4" w:rsidRDefault="00923BE4" w:rsidP="00923BE4">
      <w:pPr>
        <w:rPr>
          <w:lang w:eastAsia="en-AU"/>
        </w:rPr>
      </w:pPr>
      <w:r>
        <w:rPr>
          <w:lang w:eastAsia="en-AU"/>
        </w:rPr>
        <w:t xml:space="preserve">This section considers how three examples of applications or proposals could be assessed using the framework above. The application of the criteria to the examples is indicative only.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923BE4" w14:paraId="2E73BCFD" w14:textId="77777777" w:rsidTr="00134136">
        <w:tc>
          <w:tcPr>
            <w:tcW w:w="9151" w:type="dxa"/>
          </w:tcPr>
          <w:p w14:paraId="14FC4F1D" w14:textId="1841F390" w:rsidR="00923BE4" w:rsidRPr="00BE62A0" w:rsidRDefault="00923BE4" w:rsidP="00134136">
            <w:pPr>
              <w:pStyle w:val="longformcalloutnumber"/>
              <w:numPr>
                <w:ilvl w:val="0"/>
                <w:numId w:val="0"/>
              </w:numPr>
              <w:rPr>
                <w:b/>
              </w:rPr>
            </w:pPr>
            <w:r>
              <w:rPr>
                <w:b/>
              </w:rPr>
              <w:t xml:space="preserve">Case study 1 (Low risk) | </w:t>
            </w:r>
            <w:r w:rsidRPr="00605EAB">
              <w:rPr>
                <w:bCs/>
              </w:rPr>
              <w:t>An application to allow an existing enzyme processing aid to be produced from a new microbial source. The enzyme has a long history of safe use and is already approved to be sourced from other micro-organisms.</w:t>
            </w:r>
            <w:r w:rsidR="00235A9D">
              <w:rPr>
                <w:rFonts w:ascii="ZWAdobeF" w:hAnsi="ZWAdobeF" w:cs="ZWAdobeF"/>
                <w:bCs/>
                <w:color w:val="auto"/>
                <w:sz w:val="2"/>
                <w:szCs w:val="2"/>
              </w:rPr>
              <w:t>53F</w:t>
            </w:r>
            <w:r>
              <w:rPr>
                <w:rStyle w:val="FootnoteReference"/>
              </w:rPr>
              <w:footnoteReference w:id="63"/>
            </w:r>
            <w:r>
              <w:rPr>
                <w:b/>
              </w:rPr>
              <w:t xml:space="preserve"> </w:t>
            </w:r>
          </w:p>
        </w:tc>
      </w:tr>
    </w:tbl>
    <w:p w14:paraId="29260B41" w14:textId="77777777" w:rsidR="00923BE4" w:rsidRPr="005D38E0" w:rsidRDefault="00923BE4" w:rsidP="00923BE4">
      <w:pPr>
        <w:rPr>
          <w:lang w:eastAsia="en-AU"/>
        </w:rPr>
      </w:pPr>
      <w:r w:rsidRPr="005D38E0">
        <w:rPr>
          <w:lang w:eastAsia="en-AU"/>
        </w:rPr>
        <w:t xml:space="preserve">This example could be subject to the following risk assessment: </w:t>
      </w:r>
    </w:p>
    <w:p w14:paraId="338A922F" w14:textId="77777777" w:rsidR="00923BE4" w:rsidRPr="00D046E6" w:rsidRDefault="00923BE4" w:rsidP="00A40875">
      <w:pPr>
        <w:pStyle w:val="Bullet"/>
        <w:numPr>
          <w:ilvl w:val="0"/>
          <w:numId w:val="11"/>
        </w:numPr>
        <w:rPr>
          <w:u w:val="single"/>
        </w:rPr>
      </w:pPr>
      <w:r>
        <w:t xml:space="preserve">The application is not aligned to FMM strategic priorities related to food safety, public health, innovation and/or economic activity </w:t>
      </w:r>
      <w:r w:rsidRPr="00D046E6">
        <w:rPr>
          <w:i/>
          <w:iCs/>
          <w:u w:val="single"/>
        </w:rPr>
        <w:t>(</w:t>
      </w:r>
      <w:r>
        <w:rPr>
          <w:i/>
          <w:iCs/>
          <w:u w:val="single"/>
        </w:rPr>
        <w:t xml:space="preserve">criterion 1: </w:t>
      </w:r>
      <w:r w:rsidRPr="00D046E6">
        <w:rPr>
          <w:i/>
          <w:iCs/>
          <w:u w:val="single"/>
        </w:rPr>
        <w:t>low strategic alignment)</w:t>
      </w:r>
      <w:r>
        <w:rPr>
          <w:i/>
          <w:iCs/>
          <w:u w:val="single"/>
        </w:rPr>
        <w:t>.</w:t>
      </w:r>
      <w:r w:rsidRPr="00D046E6">
        <w:rPr>
          <w:i/>
          <w:iCs/>
          <w:u w:val="single"/>
        </w:rPr>
        <w:t xml:space="preserve"> </w:t>
      </w:r>
    </w:p>
    <w:p w14:paraId="6616D92F" w14:textId="77777777" w:rsidR="00923BE4" w:rsidRDefault="00923BE4" w:rsidP="00A40875">
      <w:pPr>
        <w:pStyle w:val="Bullet"/>
        <w:numPr>
          <w:ilvl w:val="0"/>
          <w:numId w:val="11"/>
        </w:numPr>
      </w:pPr>
      <w:r>
        <w:t xml:space="preserve">The application requires technical expertise to assess any health or safety issues related to the new microbial source for the enzyme processing aid. There are no broader policy imperatives or considerations that this application would impact </w:t>
      </w:r>
      <w:r w:rsidRPr="00D046E6">
        <w:rPr>
          <w:i/>
          <w:iCs/>
          <w:u w:val="single"/>
        </w:rPr>
        <w:t>(</w:t>
      </w:r>
      <w:r>
        <w:rPr>
          <w:i/>
          <w:iCs/>
          <w:u w:val="single"/>
        </w:rPr>
        <w:t xml:space="preserve">criterion 2: </w:t>
      </w:r>
      <w:r w:rsidRPr="00D046E6">
        <w:rPr>
          <w:i/>
          <w:iCs/>
          <w:u w:val="single"/>
        </w:rPr>
        <w:t xml:space="preserve">technical expertise only </w:t>
      </w:r>
      <w:r>
        <w:rPr>
          <w:i/>
          <w:iCs/>
          <w:u w:val="single"/>
        </w:rPr>
        <w:t xml:space="preserve">required). </w:t>
      </w:r>
    </w:p>
    <w:p w14:paraId="1596BE30" w14:textId="77777777" w:rsidR="00923BE4" w:rsidRPr="00701703" w:rsidRDefault="00923BE4" w:rsidP="00A40875">
      <w:pPr>
        <w:pStyle w:val="Bullet"/>
        <w:numPr>
          <w:ilvl w:val="0"/>
          <w:numId w:val="11"/>
        </w:numPr>
      </w:pPr>
      <w:r>
        <w:t xml:space="preserve">The enzyme strain is neither toxigenic nor pathogenic and there are no identified public health and safety concerns based on initial assessment </w:t>
      </w:r>
      <w:r w:rsidRPr="00D046E6">
        <w:rPr>
          <w:i/>
          <w:iCs/>
          <w:u w:val="single"/>
        </w:rPr>
        <w:t>(</w:t>
      </w:r>
      <w:r>
        <w:rPr>
          <w:i/>
          <w:iCs/>
          <w:u w:val="single"/>
        </w:rPr>
        <w:t xml:space="preserve">criterion 3: </w:t>
      </w:r>
      <w:r w:rsidRPr="00D046E6">
        <w:rPr>
          <w:i/>
          <w:iCs/>
          <w:u w:val="single"/>
        </w:rPr>
        <w:t>low extent of risk)</w:t>
      </w:r>
      <w:r>
        <w:rPr>
          <w:i/>
          <w:iCs/>
          <w:u w:val="single"/>
        </w:rPr>
        <w:t>.</w:t>
      </w:r>
      <w:r w:rsidRPr="00D046E6">
        <w:rPr>
          <w:i/>
          <w:iCs/>
          <w:u w:val="single"/>
        </w:rPr>
        <w:t xml:space="preserve"> </w:t>
      </w:r>
    </w:p>
    <w:p w14:paraId="530AF04F" w14:textId="77777777" w:rsidR="00923BE4" w:rsidRDefault="00923BE4" w:rsidP="00A40875">
      <w:pPr>
        <w:pStyle w:val="Bullet"/>
        <w:numPr>
          <w:ilvl w:val="0"/>
          <w:numId w:val="11"/>
        </w:numPr>
      </w:pPr>
      <w:r>
        <w:t xml:space="preserve">The application primarily seeks to reduce industry confusion and provide greater regulatory certainty – since approval of previous microbial source for enzyme in the Code, it has been re-classified in the microbiological literature as a different species. Likely to be limited positive impact for industry and no material social or health impacts </w:t>
      </w:r>
      <w:r>
        <w:rPr>
          <w:i/>
          <w:iCs/>
        </w:rPr>
        <w:t>(</w:t>
      </w:r>
      <w:r w:rsidRPr="00E7675F">
        <w:rPr>
          <w:i/>
          <w:iCs/>
          <w:u w:val="single"/>
        </w:rPr>
        <w:t>criterion 4: limited scope of impacts</w:t>
      </w:r>
      <w:r>
        <w:rPr>
          <w:i/>
          <w:iCs/>
          <w:u w:val="single"/>
        </w:rPr>
        <w:t>).</w:t>
      </w:r>
    </w:p>
    <w:p w14:paraId="65B1DB5E" w14:textId="5A054326" w:rsidR="00923BE4" w:rsidRPr="005D38E0" w:rsidRDefault="00923BE4" w:rsidP="00A40875">
      <w:pPr>
        <w:pStyle w:val="Bullet"/>
        <w:numPr>
          <w:ilvl w:val="0"/>
          <w:numId w:val="11"/>
        </w:numPr>
      </w:pPr>
      <w:r>
        <w:t xml:space="preserve">The enzyme meets international purity specifications and is permitted for use in food production in the USA, France, </w:t>
      </w:r>
      <w:proofErr w:type="gramStart"/>
      <w:r>
        <w:t>Canada</w:t>
      </w:r>
      <w:proofErr w:type="gramEnd"/>
      <w:r>
        <w:t xml:space="preserve"> and Japan </w:t>
      </w:r>
      <w:r w:rsidRPr="00D046E6">
        <w:rPr>
          <w:u w:val="single"/>
        </w:rPr>
        <w:t>(</w:t>
      </w:r>
      <w:r w:rsidRPr="00D046E6">
        <w:rPr>
          <w:i/>
          <w:iCs/>
          <w:u w:val="single"/>
        </w:rPr>
        <w:t>criterion 5</w:t>
      </w:r>
      <w:r>
        <w:rPr>
          <w:i/>
          <w:iCs/>
          <w:u w:val="single"/>
        </w:rPr>
        <w:t>: strong existing evidence base</w:t>
      </w:r>
      <w:r w:rsidRPr="00D046E6">
        <w:rPr>
          <w:i/>
          <w:iCs/>
          <w:u w:val="single"/>
        </w:rPr>
        <w:t>)</w:t>
      </w:r>
      <w:r>
        <w:rPr>
          <w:i/>
          <w:iCs/>
          <w:u w:val="single"/>
        </w:rPr>
        <w:t>.</w:t>
      </w:r>
      <w:r>
        <w:rPr>
          <w:i/>
          <w:iCs/>
        </w:rPr>
        <w:t xml:space="preserve"> </w:t>
      </w:r>
    </w:p>
    <w:p w14:paraId="733988BA" w14:textId="3614393A" w:rsidR="00923BE4" w:rsidRDefault="00923BE4" w:rsidP="00923BE4">
      <w:pPr>
        <w:rPr>
          <w:lang w:eastAsia="en-AU"/>
        </w:rPr>
      </w:pPr>
      <w:r w:rsidRPr="008D6176">
        <w:rPr>
          <w:lang w:eastAsia="en-AU"/>
        </w:rPr>
        <w:t xml:space="preserve">Based on this assessment, the application would be classified as low (or very low) risk and could be subject to truncated decision-making arrangements enabled by proposed reforms to Part 3 of the Act.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923BE4" w14:paraId="703ED04D" w14:textId="77777777" w:rsidTr="00134136">
        <w:tc>
          <w:tcPr>
            <w:tcW w:w="9151" w:type="dxa"/>
          </w:tcPr>
          <w:p w14:paraId="013F30C6" w14:textId="35299502" w:rsidR="00923BE4" w:rsidRPr="00B22CC0" w:rsidRDefault="00923BE4" w:rsidP="00130238">
            <w:pPr>
              <w:pStyle w:val="longformcalloutnumber"/>
              <w:numPr>
                <w:ilvl w:val="0"/>
                <w:numId w:val="0"/>
              </w:numPr>
              <w:rPr>
                <w:bCs/>
              </w:rPr>
            </w:pPr>
            <w:r>
              <w:rPr>
                <w:b/>
              </w:rPr>
              <w:t>Case study 2 (</w:t>
            </w:r>
            <w:r w:rsidR="004E4D63">
              <w:rPr>
                <w:b/>
              </w:rPr>
              <w:t>Moderate</w:t>
            </w:r>
            <w:r>
              <w:rPr>
                <w:b/>
              </w:rPr>
              <w:t xml:space="preserve"> risk) | </w:t>
            </w:r>
            <w:r>
              <w:rPr>
                <w:bCs/>
              </w:rPr>
              <w:t>An application to vary Standard 1.5.2 of the Code to permit the sale and use of a food derived from a new food produced using gene technology. The food has been genetically modified for protection from insect pests.</w:t>
            </w:r>
            <w:r w:rsidR="00235A9D">
              <w:rPr>
                <w:rFonts w:ascii="ZWAdobeF" w:hAnsi="ZWAdobeF" w:cs="ZWAdobeF"/>
                <w:bCs/>
                <w:color w:val="auto"/>
                <w:sz w:val="2"/>
                <w:szCs w:val="2"/>
              </w:rPr>
              <w:t>54F</w:t>
            </w:r>
            <w:r>
              <w:rPr>
                <w:rStyle w:val="FootnoteReference"/>
              </w:rPr>
              <w:footnoteReference w:id="64"/>
            </w:r>
          </w:p>
        </w:tc>
      </w:tr>
    </w:tbl>
    <w:p w14:paraId="34CA18E7" w14:textId="77777777" w:rsidR="00923BE4" w:rsidRDefault="00923BE4" w:rsidP="00923BE4">
      <w:pPr>
        <w:rPr>
          <w:lang w:eastAsia="en-AU"/>
        </w:rPr>
      </w:pPr>
      <w:r w:rsidRPr="005D38E0">
        <w:rPr>
          <w:lang w:eastAsia="en-AU"/>
        </w:rPr>
        <w:t xml:space="preserve">This example could be subject to the following risk assessment: </w:t>
      </w:r>
    </w:p>
    <w:p w14:paraId="482A2FC2" w14:textId="437233B2" w:rsidR="00923BE4" w:rsidRPr="00D012CE" w:rsidRDefault="00923BE4" w:rsidP="00A40875">
      <w:pPr>
        <w:pStyle w:val="Bullet"/>
        <w:numPr>
          <w:ilvl w:val="0"/>
          <w:numId w:val="11"/>
        </w:numPr>
        <w:rPr>
          <w:u w:val="single"/>
        </w:rPr>
      </w:pPr>
      <w:r w:rsidRPr="00D012CE">
        <w:t xml:space="preserve">The application is not closely aligned to current FMM strategic priorities, however genetically modified foods are a politically sensitive issue for some groups in Australia and New Zealand </w:t>
      </w:r>
      <w:r w:rsidRPr="00D012CE">
        <w:rPr>
          <w:i/>
          <w:iCs/>
          <w:u w:val="single"/>
        </w:rPr>
        <w:t xml:space="preserve">(criterion 1: moderate strategic alignment). </w:t>
      </w:r>
    </w:p>
    <w:p w14:paraId="1576F727" w14:textId="17464253" w:rsidR="00923BE4" w:rsidRPr="00D012CE" w:rsidRDefault="00923BE4" w:rsidP="00A40875">
      <w:pPr>
        <w:pStyle w:val="Bullet"/>
        <w:numPr>
          <w:ilvl w:val="0"/>
          <w:numId w:val="11"/>
        </w:numPr>
      </w:pPr>
      <w:r w:rsidRPr="00D012CE">
        <w:t>The application requires technical expertise to assess food safety and nutritional issues in relation to the new genetically modified foods. Risks to environment and non-human animals of cultivating the new food in Australia or New Zealand would be considered separately</w:t>
      </w:r>
      <w:r w:rsidR="00235A9D">
        <w:rPr>
          <w:rFonts w:ascii="ZWAdobeF" w:hAnsi="ZWAdobeF" w:cs="ZWAdobeF"/>
          <w:sz w:val="2"/>
          <w:szCs w:val="2"/>
        </w:rPr>
        <w:t>55F</w:t>
      </w:r>
      <w:r w:rsidRPr="00D012CE">
        <w:rPr>
          <w:rStyle w:val="FootnoteReference"/>
        </w:rPr>
        <w:footnoteReference w:id="65"/>
      </w:r>
      <w:r w:rsidRPr="00D012CE">
        <w:t xml:space="preserve"> and not as part of this </w:t>
      </w:r>
      <w:r w:rsidRPr="00D012CE">
        <w:lastRenderedPageBreak/>
        <w:t xml:space="preserve">application. This application </w:t>
      </w:r>
      <w:r>
        <w:t xml:space="preserve">could potentially </w:t>
      </w:r>
      <w:r w:rsidRPr="00D012CE">
        <w:t xml:space="preserve">require </w:t>
      </w:r>
      <w:r>
        <w:t xml:space="preserve">the </w:t>
      </w:r>
      <w:r w:rsidRPr="00D012CE">
        <w:t xml:space="preserve">development of community communications strategy to address public concern </w:t>
      </w:r>
      <w:r w:rsidRPr="00D012CE">
        <w:rPr>
          <w:i/>
          <w:iCs/>
          <w:u w:val="single"/>
        </w:rPr>
        <w:t>(criterion 2: technical expertise mainly required</w:t>
      </w:r>
      <w:r w:rsidRPr="00206ACA">
        <w:rPr>
          <w:i/>
          <w:iCs/>
        </w:rPr>
        <w:t>)</w:t>
      </w:r>
      <w:r w:rsidR="00C31248" w:rsidRPr="00206ACA">
        <w:rPr>
          <w:i/>
          <w:iCs/>
        </w:rPr>
        <w:t>.</w:t>
      </w:r>
      <w:r w:rsidRPr="00D012CE">
        <w:rPr>
          <w:i/>
          <w:iCs/>
        </w:rPr>
        <w:t xml:space="preserve">  </w:t>
      </w:r>
    </w:p>
    <w:p w14:paraId="0FF44633" w14:textId="2C5F76D7" w:rsidR="00923BE4" w:rsidRPr="00D012CE" w:rsidRDefault="00923BE4" w:rsidP="00A40875">
      <w:pPr>
        <w:pStyle w:val="Bullet"/>
        <w:numPr>
          <w:ilvl w:val="0"/>
          <w:numId w:val="11"/>
        </w:numPr>
      </w:pPr>
      <w:r w:rsidRPr="00D012CE">
        <w:t xml:space="preserve">The application is likely to require a GM food assessment of less than average complexity. Existing data and evidence suggest no public health and safety issues relating to the new food, and that it is as safe for human consumption as food derived from non-GM sources </w:t>
      </w:r>
      <w:r w:rsidRPr="00D012CE">
        <w:rPr>
          <w:i/>
          <w:iCs/>
          <w:u w:val="single"/>
        </w:rPr>
        <w:t>(criterion 3: moderate extent of risk</w:t>
      </w:r>
      <w:r>
        <w:rPr>
          <w:i/>
          <w:iCs/>
          <w:u w:val="single"/>
        </w:rPr>
        <w:t xml:space="preserve">; less than average </w:t>
      </w:r>
      <w:r w:rsidRPr="00D012CE">
        <w:rPr>
          <w:i/>
          <w:iCs/>
          <w:u w:val="single"/>
        </w:rPr>
        <w:t>complexity of risk assessment)</w:t>
      </w:r>
      <w:r>
        <w:rPr>
          <w:i/>
          <w:iCs/>
          <w:u w:val="single"/>
        </w:rPr>
        <w:t>.</w:t>
      </w:r>
      <w:r w:rsidRPr="00D012CE">
        <w:rPr>
          <w:i/>
          <w:iCs/>
          <w:u w:val="single"/>
        </w:rPr>
        <w:t xml:space="preserve"> </w:t>
      </w:r>
    </w:p>
    <w:p w14:paraId="2935BA64" w14:textId="77777777" w:rsidR="00923BE4" w:rsidRPr="00D012CE" w:rsidRDefault="00923BE4" w:rsidP="00A40875">
      <w:pPr>
        <w:pStyle w:val="Bullet"/>
        <w:numPr>
          <w:ilvl w:val="0"/>
          <w:numId w:val="11"/>
        </w:numPr>
      </w:pPr>
      <w:r w:rsidRPr="00D012CE">
        <w:t xml:space="preserve">The application </w:t>
      </w:r>
      <w:r>
        <w:t xml:space="preserve">would permit sale and use of a new food which would impact many consumers that consume maize products (increasing choice). The application would have some impacts for industry (by enhancing market opportunities) and would likely have limited impact on international trade </w:t>
      </w:r>
      <w:r w:rsidRPr="00D012CE">
        <w:rPr>
          <w:i/>
          <w:iCs/>
          <w:u w:val="single"/>
        </w:rPr>
        <w:t>(criterion 4: moderate scope of impacts)</w:t>
      </w:r>
      <w:r>
        <w:rPr>
          <w:i/>
          <w:iCs/>
          <w:u w:val="single"/>
        </w:rPr>
        <w:t>.</w:t>
      </w:r>
      <w:r w:rsidRPr="00D012CE">
        <w:t xml:space="preserve"> </w:t>
      </w:r>
    </w:p>
    <w:p w14:paraId="0D3C5A16" w14:textId="77777777" w:rsidR="00923BE4" w:rsidRPr="00D012CE" w:rsidRDefault="00923BE4" w:rsidP="00A40875">
      <w:pPr>
        <w:pStyle w:val="Bullet"/>
        <w:numPr>
          <w:ilvl w:val="0"/>
          <w:numId w:val="11"/>
        </w:numPr>
      </w:pPr>
      <w:r w:rsidRPr="00D012CE">
        <w:t xml:space="preserve">The application is being considered and/or has been approved in other jurisdictions and there is a reasonable existing evidence base (provided as part of the application) regarding the food safety impacts of the GM food </w:t>
      </w:r>
      <w:r w:rsidRPr="00D012CE">
        <w:rPr>
          <w:i/>
          <w:iCs/>
          <w:u w:val="single"/>
        </w:rPr>
        <w:t>(criterion 5: moderate existing evidence base).</w:t>
      </w:r>
    </w:p>
    <w:p w14:paraId="5F58A39B" w14:textId="5AD131FA" w:rsidR="00923BE4" w:rsidRDefault="00923BE4" w:rsidP="00A3126C">
      <w:pPr>
        <w:spacing w:line="240" w:lineRule="auto"/>
        <w:rPr>
          <w:lang w:eastAsia="en-AU"/>
        </w:rPr>
      </w:pPr>
      <w:r w:rsidRPr="008D6176">
        <w:rPr>
          <w:lang w:eastAsia="en-AU"/>
        </w:rPr>
        <w:t xml:space="preserve">Based on this assessment, the application would be classified as </w:t>
      </w:r>
      <w:r w:rsidR="004E4D63">
        <w:rPr>
          <w:lang w:eastAsia="en-AU"/>
        </w:rPr>
        <w:t>moderate</w:t>
      </w:r>
      <w:r>
        <w:rPr>
          <w:lang w:eastAsia="en-AU"/>
        </w:rPr>
        <w:t xml:space="preserve"> </w:t>
      </w:r>
      <w:r w:rsidRPr="008D6176">
        <w:rPr>
          <w:lang w:eastAsia="en-AU"/>
        </w:rPr>
        <w:t>risk and could be subject to truncated decision-making arrangements enabled by proposed reforms to Part 3 of the Act</w:t>
      </w:r>
      <w:r>
        <w:rPr>
          <w:lang w:eastAsia="en-AU"/>
        </w:rPr>
        <w:t xml:space="preserve"> based on a case-by-case assessment by the FSANZ Board and the FMM</w:t>
      </w:r>
      <w:r w:rsidRPr="008D6176">
        <w:rPr>
          <w:lang w:eastAsia="en-AU"/>
        </w:rPr>
        <w:t xml:space="preserve">.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923BE4" w14:paraId="01507D70" w14:textId="77777777" w:rsidTr="005E51D8">
        <w:tc>
          <w:tcPr>
            <w:tcW w:w="8818" w:type="dxa"/>
          </w:tcPr>
          <w:p w14:paraId="3D22F652" w14:textId="7D6B2066" w:rsidR="00923BE4" w:rsidRPr="00BE62A0" w:rsidRDefault="00923BE4" w:rsidP="00134136">
            <w:pPr>
              <w:pStyle w:val="longformcalloutnumber"/>
              <w:numPr>
                <w:ilvl w:val="0"/>
                <w:numId w:val="0"/>
              </w:numPr>
              <w:rPr>
                <w:b/>
              </w:rPr>
            </w:pPr>
            <w:r>
              <w:rPr>
                <w:b/>
              </w:rPr>
              <w:t xml:space="preserve">Case study 3 (High risk) | </w:t>
            </w:r>
            <w:r w:rsidRPr="00605EAB">
              <w:rPr>
                <w:bCs/>
              </w:rPr>
              <w:t xml:space="preserve">A proposal to revise and clarify standard relating to infant formula (for use from birth to 12 months of age), including category definitions, composition, labelling and representation of products. This includes all products regulated by Standard 2.9.1 of the Code, including infant formula, follow-on </w:t>
            </w:r>
            <w:proofErr w:type="gramStart"/>
            <w:r w:rsidRPr="00605EAB">
              <w:rPr>
                <w:bCs/>
              </w:rPr>
              <w:t>formula</w:t>
            </w:r>
            <w:proofErr w:type="gramEnd"/>
            <w:r w:rsidRPr="00605EAB">
              <w:rPr>
                <w:bCs/>
              </w:rPr>
              <w:t xml:space="preserve"> and infant formula for special dietary use.</w:t>
            </w:r>
            <w:r w:rsidR="00235A9D">
              <w:rPr>
                <w:rFonts w:ascii="ZWAdobeF" w:hAnsi="ZWAdobeF" w:cs="ZWAdobeF"/>
                <w:bCs/>
                <w:color w:val="auto"/>
                <w:sz w:val="2"/>
                <w:szCs w:val="2"/>
              </w:rPr>
              <w:t>56F</w:t>
            </w:r>
            <w:r>
              <w:rPr>
                <w:rStyle w:val="FootnoteReference"/>
              </w:rPr>
              <w:footnoteReference w:id="66"/>
            </w:r>
            <w:r w:rsidRPr="00605EAB">
              <w:rPr>
                <w:bCs/>
              </w:rPr>
              <w:t xml:space="preserve"> </w:t>
            </w:r>
          </w:p>
        </w:tc>
      </w:tr>
    </w:tbl>
    <w:p w14:paraId="07E8D668" w14:textId="77777777" w:rsidR="00923BE4" w:rsidRPr="005D38E0" w:rsidRDefault="00923BE4" w:rsidP="00923BE4">
      <w:pPr>
        <w:rPr>
          <w:lang w:eastAsia="en-AU"/>
        </w:rPr>
      </w:pPr>
      <w:r w:rsidRPr="005D38E0">
        <w:rPr>
          <w:lang w:eastAsia="en-AU"/>
        </w:rPr>
        <w:t xml:space="preserve">This example could be subject to the following risk assessment: </w:t>
      </w:r>
    </w:p>
    <w:p w14:paraId="0A760769" w14:textId="77777777" w:rsidR="00923BE4" w:rsidRDefault="00923BE4" w:rsidP="00A40875">
      <w:pPr>
        <w:pStyle w:val="Bullet"/>
        <w:numPr>
          <w:ilvl w:val="0"/>
          <w:numId w:val="11"/>
        </w:numPr>
      </w:pPr>
      <w:r>
        <w:t xml:space="preserve">This proposal is a holistic review of the standard for infant formula and involves developing new principles to guide and underpin the framework for regulating composition, use and access to infant formula products. There are considerable likely economic and health impacts (see criterion 3 below) and alignment with FMM strategic priorities. There is an existing Ministerial Policy Guideline on the </w:t>
      </w:r>
      <w:r>
        <w:rPr>
          <w:i/>
          <w:iCs/>
        </w:rPr>
        <w:t>Regulation of Infant Formula Products (</w:t>
      </w:r>
      <w:r>
        <w:rPr>
          <w:i/>
          <w:iCs/>
          <w:u w:val="single"/>
        </w:rPr>
        <w:t xml:space="preserve">criterion 1: high strategic alignment). </w:t>
      </w:r>
    </w:p>
    <w:p w14:paraId="6D070BE4" w14:textId="29C66363" w:rsidR="00923BE4" w:rsidRPr="00E32DBA" w:rsidRDefault="00923BE4" w:rsidP="00A40875">
      <w:pPr>
        <w:pStyle w:val="Bullet"/>
        <w:numPr>
          <w:ilvl w:val="0"/>
          <w:numId w:val="11"/>
        </w:numPr>
      </w:pPr>
      <w:r>
        <w:t>This proposal covers all aspects of Standard 2.9.1 – including category definitions, composition, labelling and representation of products – and includes interface with other standards. This involves technical assessment (</w:t>
      </w:r>
      <w:proofErr w:type="gramStart"/>
      <w:r w:rsidR="00783105">
        <w:t>e.g.</w:t>
      </w:r>
      <w:proofErr w:type="gramEnd"/>
      <w:r>
        <w:t xml:space="preserve"> for compositional requirements) and broader social science and policy expertise (</w:t>
      </w:r>
      <w:r w:rsidR="00783105">
        <w:t>e.g.</w:t>
      </w:r>
      <w:r>
        <w:t xml:space="preserve"> for labelling and information for parents/carers to make informed choice) </w:t>
      </w:r>
      <w:r w:rsidRPr="00381A01">
        <w:rPr>
          <w:i/>
          <w:iCs/>
          <w:u w:val="single"/>
        </w:rPr>
        <w:t xml:space="preserve">(criterion </w:t>
      </w:r>
      <w:r>
        <w:rPr>
          <w:i/>
          <w:iCs/>
          <w:u w:val="single"/>
        </w:rPr>
        <w:t>2</w:t>
      </w:r>
      <w:r w:rsidRPr="00381A01">
        <w:rPr>
          <w:i/>
          <w:iCs/>
          <w:u w:val="single"/>
        </w:rPr>
        <w:t>:</w:t>
      </w:r>
      <w:r>
        <w:rPr>
          <w:i/>
          <w:iCs/>
          <w:u w:val="single"/>
        </w:rPr>
        <w:t xml:space="preserve"> broad technical and policy expertise required</w:t>
      </w:r>
      <w:r w:rsidRPr="00381A01">
        <w:rPr>
          <w:i/>
          <w:iCs/>
          <w:u w:val="single"/>
        </w:rPr>
        <w:t>)</w:t>
      </w:r>
      <w:r>
        <w:rPr>
          <w:i/>
          <w:iCs/>
          <w:u w:val="single"/>
        </w:rPr>
        <w:t>.</w:t>
      </w:r>
    </w:p>
    <w:p w14:paraId="426009A0" w14:textId="77777777" w:rsidR="00923BE4" w:rsidRPr="00E32DBA" w:rsidRDefault="00923BE4" w:rsidP="00A40875">
      <w:pPr>
        <w:pStyle w:val="Bullet"/>
        <w:numPr>
          <w:ilvl w:val="0"/>
          <w:numId w:val="11"/>
        </w:numPr>
      </w:pPr>
      <w:r>
        <w:t xml:space="preserve">The proposal considers all infant formula products regulated by Standard 2.9.1 of the Code and all aspects of the standard, including category definitions, composition, labelling and representation of products. It is recognised that regulation of breastmilk substitutes, such as infant formula, has implications for health outcomes for all infants </w:t>
      </w:r>
      <w:r w:rsidRPr="00381A01">
        <w:rPr>
          <w:i/>
          <w:iCs/>
          <w:u w:val="single"/>
        </w:rPr>
        <w:t>(criterion 3: complex risk assessment with significant potential risks to public health and safety)</w:t>
      </w:r>
      <w:r>
        <w:rPr>
          <w:i/>
          <w:iCs/>
          <w:u w:val="single"/>
        </w:rPr>
        <w:t>.</w:t>
      </w:r>
    </w:p>
    <w:p w14:paraId="795E0E9F" w14:textId="0236F5FC" w:rsidR="00923BE4" w:rsidRDefault="00923BE4" w:rsidP="00A40875">
      <w:pPr>
        <w:pStyle w:val="Bullet"/>
        <w:numPr>
          <w:ilvl w:val="0"/>
          <w:numId w:val="11"/>
        </w:numPr>
      </w:pPr>
      <w:r>
        <w:t xml:space="preserve">The proposal considers all regulated infant formula products, including infant formula (for newborns), follow-on formula (for use from 6-12 month of age) and infant formula for special dietary use. Changes to composition and labelling requirements would impact industry costs and practices </w:t>
      </w:r>
      <w:r w:rsidRPr="00D24C5E">
        <w:rPr>
          <w:i/>
          <w:iCs/>
        </w:rPr>
        <w:t>(</w:t>
      </w:r>
      <w:r w:rsidRPr="00D24C5E">
        <w:rPr>
          <w:i/>
          <w:iCs/>
          <w:u w:val="single"/>
        </w:rPr>
        <w:t xml:space="preserve">criterion 4: broad reaching social, </w:t>
      </w:r>
      <w:proofErr w:type="gramStart"/>
      <w:r w:rsidRPr="00D24C5E">
        <w:rPr>
          <w:i/>
          <w:iCs/>
          <w:u w:val="single"/>
        </w:rPr>
        <w:t>health</w:t>
      </w:r>
      <w:proofErr w:type="gramEnd"/>
      <w:r w:rsidRPr="00D24C5E">
        <w:rPr>
          <w:i/>
          <w:iCs/>
          <w:u w:val="single"/>
        </w:rPr>
        <w:t xml:space="preserve"> and economic impacts). </w:t>
      </w:r>
    </w:p>
    <w:p w14:paraId="2863DF40" w14:textId="40DE7C00" w:rsidR="00923BE4" w:rsidRDefault="00923BE4" w:rsidP="00A40875">
      <w:pPr>
        <w:pStyle w:val="Bullet"/>
        <w:numPr>
          <w:ilvl w:val="0"/>
          <w:numId w:val="11"/>
        </w:numPr>
      </w:pPr>
      <w:r>
        <w:lastRenderedPageBreak/>
        <w:t xml:space="preserve">FSANZ has previously identified there is a limited evidence base on some aspects of this </w:t>
      </w:r>
      <w:proofErr w:type="gramStart"/>
      <w:r>
        <w:t>proposal,</w:t>
      </w:r>
      <w:r w:rsidR="00A93F19">
        <w:t xml:space="preserve">  </w:t>
      </w:r>
      <w:r w:rsidR="00783105">
        <w:t>e.g.</w:t>
      </w:r>
      <w:proofErr w:type="gramEnd"/>
      <w:r>
        <w:t xml:space="preserve"> limited published literature on infant feeding practice and use of infant formula. Internationally, requirements for infant formula product vary significantly </w:t>
      </w:r>
      <w:r w:rsidRPr="00963BEF">
        <w:rPr>
          <w:i/>
          <w:iCs/>
          <w:u w:val="single"/>
        </w:rPr>
        <w:t>(criterion 5: limited existing evidence base)</w:t>
      </w:r>
      <w:r>
        <w:rPr>
          <w:i/>
          <w:iCs/>
          <w:u w:val="single"/>
        </w:rPr>
        <w:t>.</w:t>
      </w:r>
      <w:r>
        <w:rPr>
          <w:i/>
          <w:iCs/>
        </w:rPr>
        <w:t xml:space="preserve"> </w:t>
      </w:r>
    </w:p>
    <w:p w14:paraId="1A786CE6" w14:textId="77777777" w:rsidR="00923BE4" w:rsidRDefault="00923BE4" w:rsidP="00923BE4">
      <w:pPr>
        <w:pStyle w:val="Bullet"/>
        <w:numPr>
          <w:ilvl w:val="0"/>
          <w:numId w:val="0"/>
        </w:numPr>
      </w:pPr>
      <w:r w:rsidRPr="008D6176">
        <w:t xml:space="preserve">Based on this assessment, the application would be classified as </w:t>
      </w:r>
      <w:r>
        <w:t xml:space="preserve">high </w:t>
      </w:r>
      <w:r w:rsidRPr="008D6176">
        <w:t xml:space="preserve">(or very </w:t>
      </w:r>
      <w:r>
        <w:t>high</w:t>
      </w:r>
      <w:r w:rsidRPr="008D6176">
        <w:t xml:space="preserve">) risk and </w:t>
      </w:r>
      <w:r>
        <w:t xml:space="preserve">would likely be subject to rigorous consideration and decision-making arrangements by the FSANZ Board and the FMM. </w:t>
      </w:r>
    </w:p>
    <w:p w14:paraId="18F67472" w14:textId="6097E95E" w:rsidR="00923BE4" w:rsidRDefault="00923BE4" w:rsidP="00923BE4">
      <w:pPr>
        <w:pStyle w:val="Heading4"/>
      </w:pPr>
      <w:r>
        <w:t xml:space="preserve">Implications for decision-making arrangements </w:t>
      </w:r>
    </w:p>
    <w:p w14:paraId="41DDF86E" w14:textId="2E1A1E0D" w:rsidR="00923BE4" w:rsidRDefault="00923BE4" w:rsidP="00923BE4">
      <w:pPr>
        <w:spacing w:after="165"/>
      </w:pPr>
      <w:r>
        <w:t xml:space="preserve">The decision-making arrangements for development and variation of food regulatory measures would vary based on the risk level through a graduated, risk-tiered approach. This would be enabled by other reforms proposed as part of </w:t>
      </w:r>
      <w:r w:rsidR="00DE65C9">
        <w:t>the</w:t>
      </w:r>
      <w:r>
        <w:t xml:space="preserve"> Review, namely those that provide for: </w:t>
      </w:r>
    </w:p>
    <w:p w14:paraId="7B906495" w14:textId="4E09B605" w:rsidR="00923BE4" w:rsidRDefault="00923BE4" w:rsidP="00A40875">
      <w:pPr>
        <w:pStyle w:val="Bullet"/>
        <w:numPr>
          <w:ilvl w:val="0"/>
          <w:numId w:val="11"/>
        </w:numPr>
      </w:pPr>
      <w:r>
        <w:t>the FSANZ Board to delegate decision-making responsibilities to the FSANZ CEO</w:t>
      </w:r>
    </w:p>
    <w:p w14:paraId="6D6F930D" w14:textId="77777777" w:rsidR="00923BE4" w:rsidRDefault="00923BE4" w:rsidP="00A40875">
      <w:pPr>
        <w:pStyle w:val="Bullet"/>
        <w:numPr>
          <w:ilvl w:val="0"/>
          <w:numId w:val="11"/>
        </w:numPr>
      </w:pPr>
      <w:r>
        <w:t>the FMM to delegate decision-making responsibilities to departmental officials.</w:t>
      </w:r>
    </w:p>
    <w:p w14:paraId="6C693B5A" w14:textId="55266973" w:rsidR="00923BE4" w:rsidRDefault="00923BE4" w:rsidP="00923BE4">
      <w:pPr>
        <w:pStyle w:val="Bullet"/>
        <w:numPr>
          <w:ilvl w:val="0"/>
          <w:numId w:val="0"/>
        </w:numPr>
      </w:pPr>
      <w:r>
        <w:t>These reforms would be supplemented by other legislative changes that would streamline the processes for assessing applications and proposals where there is a low risk. This includes enabling FSANZ to accept risk assessments from comparable overseas jurisdictions and creating a new minimal check pathway for low-risk applications</w:t>
      </w:r>
      <w:r w:rsidR="00750060">
        <w:t xml:space="preserve">. </w:t>
      </w:r>
    </w:p>
    <w:p w14:paraId="1C16DF9D" w14:textId="13510429" w:rsidR="00923BE4" w:rsidRDefault="00923BE4" w:rsidP="00923BE4">
      <w:pPr>
        <w:pStyle w:val="Bullet"/>
        <w:numPr>
          <w:ilvl w:val="0"/>
          <w:numId w:val="0"/>
        </w:numPr>
      </w:pPr>
      <w:r>
        <w:t xml:space="preserve">The intention of these reforms is to provide flexibility regarding the decision-making arrangements and processes for applications and proposals to create or vary food regulatory measures. This recognises that different stakeholders may have different risk appetites and/or different perspectives about the level of risk involved in an application or proposal. </w:t>
      </w:r>
    </w:p>
    <w:p w14:paraId="348D3D83" w14:textId="77777777" w:rsidR="00923BE4" w:rsidRDefault="00923BE4" w:rsidP="00923BE4">
      <w:pPr>
        <w:pStyle w:val="Bullet"/>
        <w:numPr>
          <w:ilvl w:val="0"/>
          <w:numId w:val="0"/>
        </w:numPr>
      </w:pPr>
      <w:r>
        <w:t xml:space="preserve">Under a risk-tiered approach, the following decision-making arrangements could apply (subject to the determination of Ministers and the FSANZ Board about whether to delegate decision making authority): </w:t>
      </w:r>
    </w:p>
    <w:p w14:paraId="297D9C43" w14:textId="74BB2773" w:rsidR="00923BE4" w:rsidRDefault="00923BE4" w:rsidP="00A40875">
      <w:pPr>
        <w:pStyle w:val="Bullet"/>
        <w:numPr>
          <w:ilvl w:val="0"/>
          <w:numId w:val="11"/>
        </w:numPr>
      </w:pPr>
      <w:r>
        <w:t>For low-risk applications and proposals, the default approach could be for the FSANZ Board to delegate decision</w:t>
      </w:r>
      <w:r w:rsidR="005452EA" w:rsidRPr="00206ACA">
        <w:t>-</w:t>
      </w:r>
      <w:r>
        <w:t xml:space="preserve">making responsibility to the FSANZ CEO and for FMM Ministers to delegate to departmental officials. </w:t>
      </w:r>
    </w:p>
    <w:p w14:paraId="52E08FBA" w14:textId="441B3E29" w:rsidR="00923BE4" w:rsidRDefault="00923BE4" w:rsidP="00D551F1">
      <w:pPr>
        <w:pStyle w:val="Bullet"/>
        <w:numPr>
          <w:ilvl w:val="0"/>
          <w:numId w:val="11"/>
        </w:numPr>
        <w:spacing w:line="240" w:lineRule="auto"/>
      </w:pPr>
      <w:r>
        <w:t xml:space="preserve">For </w:t>
      </w:r>
      <w:r w:rsidR="004E4D63">
        <w:t>moderate</w:t>
      </w:r>
      <w:r>
        <w:t xml:space="preserve">-risk applications and proposals, the default approach could be a case-by-case assessment by the FSANZ Board and FMM about whether delegation of decision-making would be appropriate. </w:t>
      </w:r>
    </w:p>
    <w:p w14:paraId="0BF6C72A" w14:textId="362E8C2E" w:rsidR="00923BE4" w:rsidRDefault="00923BE4" w:rsidP="00A40875">
      <w:pPr>
        <w:pStyle w:val="Bullet"/>
        <w:numPr>
          <w:ilvl w:val="0"/>
          <w:numId w:val="11"/>
        </w:numPr>
      </w:pPr>
      <w:r>
        <w:t xml:space="preserve">For high-risk applications and proposals, the default approach could be that the FSANZ Board and the FMM would continue to ratify changes to food regulatory measures (as under the current framework). </w:t>
      </w:r>
    </w:p>
    <w:p w14:paraId="15433BA6" w14:textId="3BCBA07F" w:rsidR="00923BE4" w:rsidRPr="000D5671" w:rsidRDefault="00923BE4" w:rsidP="00923BE4">
      <w:pPr>
        <w:pStyle w:val="Bullet"/>
        <w:numPr>
          <w:ilvl w:val="0"/>
          <w:numId w:val="0"/>
        </w:numPr>
        <w:rPr>
          <w:i/>
          <w:iCs/>
        </w:rPr>
      </w:pPr>
      <w:r w:rsidRPr="000D5671">
        <w:rPr>
          <w:i/>
          <w:iCs/>
        </w:rPr>
        <w:t xml:space="preserve">Note that while the </w:t>
      </w:r>
      <w:r>
        <w:rPr>
          <w:i/>
          <w:iCs/>
        </w:rPr>
        <w:t xml:space="preserve">dot points above refer to a ‘default approach’ for each risk-tier, the FSANZ Board and Ministers would always retain the prerogative to make the decision whether to approve, amend or reject a draft standard or draft variation. </w:t>
      </w:r>
    </w:p>
    <w:p w14:paraId="405D2D78" w14:textId="5B49F069" w:rsidR="00B10DF3" w:rsidRDefault="00E53D97">
      <w:pPr>
        <w:spacing w:after="165"/>
        <w:rPr>
          <w:rFonts w:asciiTheme="majorHAnsi" w:eastAsiaTheme="majorEastAsia" w:hAnsiTheme="majorHAnsi" w:cstheme="majorBidi"/>
          <w:color w:val="EA0006" w:themeColor="accent1" w:themeShade="BF"/>
          <w:sz w:val="32"/>
          <w:szCs w:val="32"/>
          <w:lang w:eastAsia="en-AU"/>
        </w:rPr>
      </w:pPr>
      <w:r>
        <w:rPr>
          <w:lang w:eastAsia="en-AU"/>
        </w:rPr>
        <w:br w:type="page"/>
      </w:r>
      <w:r>
        <w:rPr>
          <w:noProof/>
          <w:lang w:eastAsia="en-AU"/>
        </w:rPr>
        <w:lastRenderedPageBreak/>
        <w:drawing>
          <wp:anchor distT="0" distB="0" distL="114300" distR="114300" simplePos="0" relativeHeight="251658260" behindDoc="0" locked="0" layoutInCell="1" allowOverlap="1" wp14:anchorId="20B82312" wp14:editId="4FD43CFF">
            <wp:simplePos x="0" y="0"/>
            <wp:positionH relativeFrom="column">
              <wp:posOffset>-985520</wp:posOffset>
            </wp:positionH>
            <wp:positionV relativeFrom="paragraph">
              <wp:posOffset>1270</wp:posOffset>
            </wp:positionV>
            <wp:extent cx="7563332" cy="9787442"/>
            <wp:effectExtent l="0" t="0" r="0" b="4445"/>
            <wp:wrapNone/>
            <wp:docPr id="27860" name="Picture 27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0" name="Picture 27860">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B10DF3" w:rsidSect="008E5F5B">
      <w:pgSz w:w="11907" w:h="16839" w:code="9"/>
      <w:pgMar w:top="1418" w:right="1418" w:bottom="1418"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45744" w14:textId="77777777" w:rsidR="000068D8" w:rsidRDefault="000068D8" w:rsidP="00302076">
      <w:pPr>
        <w:spacing w:after="0"/>
      </w:pPr>
      <w:r>
        <w:separator/>
      </w:r>
    </w:p>
  </w:endnote>
  <w:endnote w:type="continuationSeparator" w:id="0">
    <w:p w14:paraId="05468155" w14:textId="77777777" w:rsidR="000068D8" w:rsidRDefault="000068D8" w:rsidP="00302076">
      <w:pPr>
        <w:spacing w:after="0"/>
      </w:pPr>
      <w:r>
        <w:continuationSeparator/>
      </w:r>
    </w:p>
  </w:endnote>
  <w:endnote w:type="continuationNotice" w:id="1">
    <w:p w14:paraId="2A9BED37" w14:textId="77777777" w:rsidR="000068D8" w:rsidRDefault="000068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imSun-ExtB">
    <w:charset w:val="86"/>
    <w:family w:val="modern"/>
    <w:pitch w:val="fixed"/>
    <w:sig w:usb0="00000003" w:usb1="0A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Segoe MDL2 Assets">
    <w:panose1 w:val="050A0102010101010101"/>
    <w:charset w:val="00"/>
    <w:family w:val="roman"/>
    <w:pitch w:val="variable"/>
    <w:sig w:usb0="00000003" w:usb1="10000000" w:usb2="00000000" w:usb3="00000000" w:csb0="00000001" w:csb1="00000000"/>
  </w:font>
  <w:font w:name="@MS UI Gothic">
    <w:charset w:val="80"/>
    <w:family w:val="swiss"/>
    <w:pitch w:val="variable"/>
    <w:sig w:usb0="E00002FF" w:usb1="6AC7FDFB" w:usb2="08000012" w:usb3="00000000" w:csb0="0002009F" w:csb1="00000000"/>
  </w:font>
  <w:font w:name="Sitka Banner">
    <w:panose1 w:val="02000505000000020004"/>
    <w:charset w:val="00"/>
    <w:family w:val="auto"/>
    <w:pitch w:val="variable"/>
    <w:sig w:usb0="A00002EF" w:usb1="4000204B" w:usb2="00000000" w:usb3="00000000" w:csb0="0000019F" w:csb1="00000000"/>
  </w:font>
  <w:font w:name="@NSimSun">
    <w:charset w:val="86"/>
    <w:family w:val="modern"/>
    <w:pitch w:val="fixed"/>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3D6AF" w14:textId="292465A0" w:rsidR="00DF3601" w:rsidRDefault="00DF3601" w:rsidP="00037553">
    <w:pPr>
      <w:pStyle w:val="NousFooter"/>
    </w:pPr>
    <w:r w:rsidRPr="008A55C6">
      <w:t xml:space="preserve">Nous Group | </w:t>
    </w:r>
    <w:sdt>
      <w:sdtPr>
        <w:alias w:val="Title"/>
        <w:id w:val="-2083981517"/>
        <w:dataBinding w:prefixMappings="xmlns:ns0='http://purl.org/dc/elements/1.1/' xmlns:ns1='http://schemas.openxmlformats.org/package/2006/metadata/core-properties' " w:xpath="/ns1:coreProperties[1]/ns0:title[1]" w:storeItemID="{6C3C8BC8-F283-45AE-878A-BAB7291924A1}"/>
        <w:text/>
      </w:sdtPr>
      <w:sdtContent>
        <w:r>
          <w:t>Modernising the Food Standards Australia New Zealand Act 1991</w:t>
        </w:r>
      </w:sdtContent>
    </w:sdt>
    <w:r w:rsidRPr="008A55C6">
      <w:t xml:space="preserve"> | </w:t>
    </w:r>
    <w:sdt>
      <w:sdtPr>
        <w:alias w:val="Publish Date"/>
        <w:id w:val="-773317934"/>
        <w:dataBinding w:prefixMappings="xmlns:ns0='http://schemas.microsoft.com/office/2006/coverPageProps' " w:xpath="/ns0:CoverPageProperties[1]/ns0:PublishDate[1]" w:storeItemID="{55AF091B-3C7A-41E3-B477-F2FDAA23CFDA}"/>
        <w:date w:fullDate="2024-01-25T00:00:00Z">
          <w:dateFormat w:val="d MMMM yyyy"/>
          <w:lid w:val="en-AU"/>
          <w:storeMappedDataAs w:val="dateTime"/>
          <w:calendar w:val="gregorian"/>
        </w:date>
      </w:sdtPr>
      <w:sdtContent>
        <w:r w:rsidR="00E17EE3">
          <w:t>25 January 2024</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AF62F2">
      <w:rPr>
        <w:noProof/>
      </w:rPr>
      <w:t>10</w:t>
    </w:r>
    <w:r>
      <w:fldChar w:fldCharType="end"/>
    </w:r>
    <w:r>
      <w:t xml:space="preserve"> </w:t>
    </w:r>
    <w:r w:rsidRPr="008A55C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00DF3601" w14:paraId="28F51B20" w14:textId="77777777" w:rsidTr="2B19800F">
      <w:tc>
        <w:tcPr>
          <w:tcW w:w="2975" w:type="dxa"/>
        </w:tcPr>
        <w:p w14:paraId="0889AB88" w14:textId="77777777" w:rsidR="00DF3601" w:rsidRDefault="00DF3601" w:rsidP="2B19800F">
          <w:pPr>
            <w:pStyle w:val="Header"/>
            <w:ind w:left="-115"/>
            <w:rPr>
              <w:rFonts w:eastAsia="Segoe UI"/>
              <w:szCs w:val="19"/>
            </w:rPr>
          </w:pPr>
        </w:p>
      </w:tc>
      <w:tc>
        <w:tcPr>
          <w:tcW w:w="2975" w:type="dxa"/>
        </w:tcPr>
        <w:p w14:paraId="24864318" w14:textId="77777777" w:rsidR="00DF3601" w:rsidRDefault="00DF3601" w:rsidP="2B19800F">
          <w:pPr>
            <w:pStyle w:val="Header"/>
            <w:jc w:val="center"/>
            <w:rPr>
              <w:rFonts w:eastAsia="Segoe UI"/>
              <w:szCs w:val="19"/>
            </w:rPr>
          </w:pPr>
        </w:p>
      </w:tc>
      <w:tc>
        <w:tcPr>
          <w:tcW w:w="2975" w:type="dxa"/>
        </w:tcPr>
        <w:p w14:paraId="4DC8BC85" w14:textId="77777777" w:rsidR="00DF3601" w:rsidRDefault="00DF3601" w:rsidP="2B19800F">
          <w:pPr>
            <w:pStyle w:val="Header"/>
            <w:ind w:right="-115"/>
            <w:jc w:val="right"/>
            <w:rPr>
              <w:rFonts w:eastAsia="Segoe UI"/>
              <w:szCs w:val="19"/>
            </w:rPr>
          </w:pPr>
        </w:p>
      </w:tc>
    </w:tr>
  </w:tbl>
  <w:p w14:paraId="5E1E682D" w14:textId="77777777" w:rsidR="00DF3601" w:rsidRDefault="00DF360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8D29" w14:textId="6BB71E99" w:rsidR="00DF3601" w:rsidRPr="00B1316A" w:rsidRDefault="00DF3601" w:rsidP="00C06FD0">
    <w:pPr>
      <w:pStyle w:val="NousFooter"/>
      <w:rPr>
        <w:color w:val="000000" w:themeColor="text1"/>
      </w:rPr>
    </w:pPr>
    <w:r w:rsidRPr="00B1316A">
      <w:rPr>
        <w:color w:val="000000" w:themeColor="text1"/>
      </w:rPr>
      <w:t xml:space="preserve">Nous Group | </w:t>
    </w:r>
    <w:sdt>
      <w:sdtPr>
        <w:rPr>
          <w:color w:val="000000" w:themeColor="text1"/>
        </w:rPr>
        <w:alias w:val="Title"/>
        <w:id w:val="-1068491406"/>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Modernising the Food Standards Australia New Zealand Act 1991</w:t>
        </w:r>
      </w:sdtContent>
    </w:sdt>
    <w:r w:rsidRPr="00B1316A">
      <w:rPr>
        <w:color w:val="000000" w:themeColor="text1"/>
      </w:rPr>
      <w:t xml:space="preserve"> | </w:t>
    </w:r>
    <w:sdt>
      <w:sdtPr>
        <w:rPr>
          <w:color w:val="000000" w:themeColor="text1"/>
        </w:rPr>
        <w:alias w:val="Publish Date"/>
        <w:id w:val="-646126005"/>
        <w:dataBinding w:prefixMappings="xmlns:ns0='http://schemas.microsoft.com/office/2006/coverPageProps' " w:xpath="/ns0:CoverPageProperties[1]/ns0:PublishDate[1]" w:storeItemID="{55AF091B-3C7A-41E3-B477-F2FDAA23CFDA}"/>
        <w:date w:fullDate="2024-01-25T00:00:00Z">
          <w:dateFormat w:val="d MMMM yyyy"/>
          <w:lid w:val="en-AU"/>
          <w:storeMappedDataAs w:val="dateTime"/>
          <w:calendar w:val="gregorian"/>
        </w:date>
      </w:sdtPr>
      <w:sdtContent>
        <w:r w:rsidR="00E17EE3">
          <w:rPr>
            <w:color w:val="000000" w:themeColor="text1"/>
          </w:rPr>
          <w:t>25 January 2024</w:t>
        </w:r>
      </w:sdtContent>
    </w:sdt>
    <w:r w:rsidRPr="00B1316A">
      <w:rPr>
        <w:color w:val="000000" w:themeColor="text1"/>
      </w:rPr>
      <w:ptab w:relativeTo="margin" w:alignment="right" w:leader="none"/>
    </w:r>
    <w:r w:rsidRPr="00B1316A">
      <w:rPr>
        <w:color w:val="000000" w:themeColor="text1"/>
      </w:rPr>
      <w:t xml:space="preserve">| </w:t>
    </w:r>
    <w:r w:rsidRPr="00B1316A">
      <w:rPr>
        <w:color w:val="000000" w:themeColor="text1"/>
      </w:rPr>
      <w:fldChar w:fldCharType="begin"/>
    </w:r>
    <w:r w:rsidRPr="00B1316A">
      <w:rPr>
        <w:color w:val="000000" w:themeColor="text1"/>
      </w:rPr>
      <w:instrText xml:space="preserve"> PAGE  \* Arabic  \* MERGEFORMAT </w:instrText>
    </w:r>
    <w:r w:rsidRPr="00B1316A">
      <w:rPr>
        <w:color w:val="000000" w:themeColor="text1"/>
      </w:rPr>
      <w:fldChar w:fldCharType="separate"/>
    </w:r>
    <w:r w:rsidR="00AF62F2">
      <w:rPr>
        <w:noProof/>
        <w:color w:val="000000" w:themeColor="text1"/>
      </w:rPr>
      <w:t>50</w:t>
    </w:r>
    <w:r w:rsidRPr="00B1316A">
      <w:rPr>
        <w:color w:val="000000" w:themeColor="text1"/>
      </w:rPr>
      <w:fldChar w:fldCharType="end"/>
    </w:r>
    <w:r w:rsidRPr="00B1316A">
      <w:rPr>
        <w:color w:val="000000" w:themeColor="text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5A26" w14:textId="36B0B70B" w:rsidR="00DF3601" w:rsidRPr="00B1316A" w:rsidRDefault="00DF3601" w:rsidP="00C06FD0">
    <w:pPr>
      <w:pStyle w:val="NousFooter"/>
      <w:rPr>
        <w:color w:val="000000" w:themeColor="text1"/>
      </w:rPr>
    </w:pPr>
    <w:r w:rsidRPr="00B1316A">
      <w:rPr>
        <w:color w:val="000000" w:themeColor="text1"/>
      </w:rPr>
      <w:t xml:space="preserve">Nous Group | </w:t>
    </w:r>
    <w:sdt>
      <w:sdtPr>
        <w:rPr>
          <w:color w:val="000000" w:themeColor="text1"/>
        </w:rPr>
        <w:alias w:val="Title"/>
        <w:id w:val="1643927930"/>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Modernising the Food Standards Australia New Zealand Act 1991</w:t>
        </w:r>
      </w:sdtContent>
    </w:sdt>
    <w:r w:rsidRPr="00B1316A">
      <w:rPr>
        <w:color w:val="000000" w:themeColor="text1"/>
      </w:rPr>
      <w:t xml:space="preserve"> | </w:t>
    </w:r>
    <w:sdt>
      <w:sdtPr>
        <w:rPr>
          <w:color w:val="000000" w:themeColor="text1"/>
        </w:rPr>
        <w:alias w:val="Publish Date"/>
        <w:id w:val="29467234"/>
        <w:dataBinding w:prefixMappings="xmlns:ns0='http://schemas.microsoft.com/office/2006/coverPageProps' " w:xpath="/ns0:CoverPageProperties[1]/ns0:PublishDate[1]" w:storeItemID="{55AF091B-3C7A-41E3-B477-F2FDAA23CFDA}"/>
        <w:date w:fullDate="2024-01-25T00:00:00Z">
          <w:dateFormat w:val="d MMMM yyyy"/>
          <w:lid w:val="en-AU"/>
          <w:storeMappedDataAs w:val="dateTime"/>
          <w:calendar w:val="gregorian"/>
        </w:date>
      </w:sdtPr>
      <w:sdtContent>
        <w:r w:rsidR="00E17EE3">
          <w:rPr>
            <w:color w:val="000000" w:themeColor="text1"/>
          </w:rPr>
          <w:t>25 January 2024</w:t>
        </w:r>
      </w:sdtContent>
    </w:sdt>
    <w:r w:rsidRPr="00B1316A">
      <w:rPr>
        <w:color w:val="000000" w:themeColor="text1"/>
      </w:rPr>
      <w:ptab w:relativeTo="margin" w:alignment="right" w:leader="none"/>
    </w:r>
    <w:r w:rsidRPr="00B1316A">
      <w:rPr>
        <w:color w:val="000000" w:themeColor="text1"/>
      </w:rPr>
      <w:t xml:space="preserve">| </w:t>
    </w:r>
    <w:r w:rsidRPr="00B1316A">
      <w:rPr>
        <w:color w:val="000000" w:themeColor="text1"/>
      </w:rPr>
      <w:fldChar w:fldCharType="begin"/>
    </w:r>
    <w:r w:rsidRPr="00B1316A">
      <w:rPr>
        <w:color w:val="000000" w:themeColor="text1"/>
      </w:rPr>
      <w:instrText xml:space="preserve"> PAGE  \* Arabic  \* MERGEFORMAT </w:instrText>
    </w:r>
    <w:r w:rsidRPr="00B1316A">
      <w:rPr>
        <w:color w:val="000000" w:themeColor="text1"/>
      </w:rPr>
      <w:fldChar w:fldCharType="separate"/>
    </w:r>
    <w:r w:rsidR="00AF62F2">
      <w:rPr>
        <w:noProof/>
        <w:color w:val="000000" w:themeColor="text1"/>
      </w:rPr>
      <w:t>47</w:t>
    </w:r>
    <w:r w:rsidRPr="00B1316A">
      <w:rPr>
        <w:color w:val="000000" w:themeColor="text1"/>
      </w:rPr>
      <w:fldChar w:fldCharType="end"/>
    </w:r>
    <w:r w:rsidRPr="00B1316A">
      <w:rPr>
        <w:color w:val="000000" w:themeColor="tex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05199" w14:textId="77777777" w:rsidR="000068D8" w:rsidRDefault="000068D8" w:rsidP="00302076">
      <w:pPr>
        <w:spacing w:after="0"/>
      </w:pPr>
      <w:r>
        <w:separator/>
      </w:r>
    </w:p>
  </w:footnote>
  <w:footnote w:type="continuationSeparator" w:id="0">
    <w:p w14:paraId="52231AE5" w14:textId="77777777" w:rsidR="000068D8" w:rsidRDefault="000068D8" w:rsidP="00302076">
      <w:pPr>
        <w:spacing w:after="0"/>
      </w:pPr>
      <w:r>
        <w:continuationSeparator/>
      </w:r>
    </w:p>
  </w:footnote>
  <w:footnote w:type="continuationNotice" w:id="1">
    <w:p w14:paraId="48235B49" w14:textId="77777777" w:rsidR="000068D8" w:rsidRDefault="000068D8">
      <w:pPr>
        <w:spacing w:after="0" w:line="240" w:lineRule="auto"/>
      </w:pPr>
    </w:p>
  </w:footnote>
  <w:footnote w:id="2">
    <w:p w14:paraId="717F3459" w14:textId="3064EB7D"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Attorney General Department 2020, available at: </w:t>
      </w:r>
      <w:hyperlink r:id="rId1" w:history="1">
        <w:r w:rsidRPr="00F34490">
          <w:rPr>
            <w:rStyle w:val="Hyperlink"/>
            <w:szCs w:val="15"/>
          </w:rPr>
          <w:t>&lt;https://www.ag.gov.au/rights-and-protections/human-rights-and-anti-discrimination/human-rights-scrutiny/public-sector-guidance-sheets/right-adequate-standard-living-including-food-water-and-housing#what-is-the-right-to-an-adequate-standard-of-living&gt;</w:t>
        </w:r>
      </w:hyperlink>
    </w:p>
  </w:footnote>
  <w:footnote w:id="3">
    <w:p w14:paraId="38083AD6" w14:textId="2A59BF7A"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Australian Food and Grocery Council 202</w:t>
      </w:r>
      <w:r w:rsidR="008E572B">
        <w:rPr>
          <w:szCs w:val="15"/>
        </w:rPr>
        <w:t>2</w:t>
      </w:r>
      <w:r w:rsidRPr="00EE039F">
        <w:rPr>
          <w:szCs w:val="15"/>
        </w:rPr>
        <w:t xml:space="preserve">, </w:t>
      </w:r>
      <w:r w:rsidRPr="00EE039F">
        <w:rPr>
          <w:i/>
          <w:szCs w:val="15"/>
        </w:rPr>
        <w:t>AFGC 20</w:t>
      </w:r>
      <w:r w:rsidR="00C332D8">
        <w:rPr>
          <w:i/>
          <w:szCs w:val="15"/>
        </w:rPr>
        <w:t xml:space="preserve">20-21 </w:t>
      </w:r>
      <w:r w:rsidRPr="00EE039F">
        <w:rPr>
          <w:i/>
          <w:szCs w:val="15"/>
        </w:rPr>
        <w:t xml:space="preserve">9 State of the Industry, </w:t>
      </w:r>
      <w:r w:rsidRPr="00EE039F">
        <w:rPr>
          <w:szCs w:val="15"/>
        </w:rPr>
        <w:t xml:space="preserve">available at: </w:t>
      </w:r>
      <w:r w:rsidR="00681AE2">
        <w:rPr>
          <w:szCs w:val="15"/>
        </w:rPr>
        <w:t>&lt;</w:t>
      </w:r>
      <w:r w:rsidR="00681AE2" w:rsidRPr="00681AE2">
        <w:t xml:space="preserve"> </w:t>
      </w:r>
      <w:r w:rsidR="00681AE2" w:rsidRPr="00681AE2">
        <w:rPr>
          <w:szCs w:val="15"/>
        </w:rPr>
        <w:t>https://www.afgc.org.au/industry-resources/state-of-the-industry</w:t>
      </w:r>
      <w:r w:rsidR="00681AE2">
        <w:rPr>
          <w:szCs w:val="15"/>
        </w:rPr>
        <w:t>&gt;</w:t>
      </w:r>
    </w:p>
  </w:footnote>
  <w:footnote w:id="4">
    <w:p w14:paraId="2EC5EB00" w14:textId="77777777"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Ministry of Business, Innovation &amp; Employment 2018, </w:t>
      </w:r>
      <w:r w:rsidRPr="00EE039F">
        <w:rPr>
          <w:i/>
          <w:szCs w:val="15"/>
        </w:rPr>
        <w:t xml:space="preserve">Emerging growth opportunities in New Zealand Food &amp; Beverage, </w:t>
      </w:r>
      <w:r w:rsidRPr="00EE039F">
        <w:rPr>
          <w:szCs w:val="15"/>
        </w:rPr>
        <w:t>available at: &lt;</w:t>
      </w:r>
      <w:hyperlink r:id="rId2" w:history="1">
        <w:r w:rsidRPr="00EE039F">
          <w:rPr>
            <w:rStyle w:val="Hyperlink"/>
            <w:rFonts w:asciiTheme="minorHAnsi" w:hAnsiTheme="minorHAnsi" w:cstheme="minorHAnsi"/>
            <w:szCs w:val="15"/>
          </w:rPr>
          <w:t>https://www.mbie.govt.nz/dmsdocument/2209-emerging-growth-opportunities-nz-food-beverage-pdf</w:t>
        </w:r>
      </w:hyperlink>
      <w:r w:rsidRPr="00EE039F">
        <w:rPr>
          <w:rStyle w:val="Hyperlink"/>
          <w:rFonts w:asciiTheme="minorHAnsi" w:hAnsiTheme="minorHAnsi" w:cstheme="minorHAnsi"/>
          <w:szCs w:val="15"/>
        </w:rPr>
        <w:t>&gt;</w:t>
      </w:r>
    </w:p>
  </w:footnote>
  <w:footnote w:id="5">
    <w:p w14:paraId="69F30312" w14:textId="3CAF42D2" w:rsidR="00A4086E" w:rsidRDefault="00A4086E">
      <w:pPr>
        <w:pStyle w:val="FootnoteText"/>
      </w:pPr>
      <w:r>
        <w:rPr>
          <w:rStyle w:val="FootnoteReference"/>
        </w:rPr>
        <w:footnoteRef/>
      </w:r>
      <w:r>
        <w:t xml:space="preserve"> </w:t>
      </w:r>
      <w:r w:rsidR="003B4F64">
        <w:t xml:space="preserve">Sustaining Australia: Food and Grocery Manufacturing 2030. Available at: </w:t>
      </w:r>
      <w:hyperlink r:id="rId3" w:history="1">
        <w:r w:rsidR="00372070" w:rsidRPr="00B96D0F">
          <w:rPr>
            <w:rStyle w:val="Hyperlink"/>
          </w:rPr>
          <w:t xml:space="preserve"> </w:t>
        </w:r>
        <w:r w:rsidR="00896ACE" w:rsidRPr="00B96D0F">
          <w:rPr>
            <w:rStyle w:val="Hyperlink"/>
          </w:rPr>
          <w:t>https://www.afgc.org.au/industry-resources/sustaining-australia-food-and-grocery-manufacturing-2030</w:t>
        </w:r>
      </w:hyperlink>
    </w:p>
  </w:footnote>
  <w:footnote w:id="6">
    <w:p w14:paraId="3A08E54D" w14:textId="1EAD632D" w:rsidR="00DF3601" w:rsidRPr="00D64236" w:rsidRDefault="00DF3601" w:rsidP="00923BE4">
      <w:pPr>
        <w:pStyle w:val="FootnoteText"/>
        <w:rPr>
          <w:szCs w:val="15"/>
        </w:rPr>
      </w:pPr>
      <w:r w:rsidRPr="00D64236">
        <w:rPr>
          <w:rStyle w:val="FootnoteReference"/>
          <w:szCs w:val="15"/>
        </w:rPr>
        <w:footnoteRef/>
      </w:r>
      <w:r w:rsidRPr="00D64236">
        <w:rPr>
          <w:szCs w:val="15"/>
        </w:rPr>
        <w:t xml:space="preserve"> Growing the food and beverage sector, New Zealand Ministry of Business, Innovation, and Employment. Available at </w:t>
      </w:r>
      <w:hyperlink r:id="rId4" w:history="1">
        <w:r w:rsidRPr="001C1D06">
          <w:rPr>
            <w:rStyle w:val="Hyperlink"/>
            <w:szCs w:val="15"/>
          </w:rPr>
          <w:t>https://www.mbie.govt.nz/business-and-employment/economic-development/growing-the-food-and-beverage-sector/</w:t>
        </w:r>
      </w:hyperlink>
    </w:p>
  </w:footnote>
  <w:footnote w:id="7">
    <w:p w14:paraId="025184B5" w14:textId="663CD950" w:rsidR="00DF3601" w:rsidRDefault="00DF3601" w:rsidP="00923BE4">
      <w:pPr>
        <w:pStyle w:val="FootnoteText"/>
      </w:pPr>
      <w:r>
        <w:rPr>
          <w:rStyle w:val="FootnoteReference"/>
        </w:rPr>
        <w:footnoteRef/>
      </w:r>
      <w:r>
        <w:t xml:space="preserve"> FSANZ. The FMM (2021). Available at: </w:t>
      </w:r>
      <w:hyperlink r:id="rId5" w:anchor=":~:text=The%20Food%20Ministers'%20Meeting%20(the,of%20the%20implementation%20of%20standards" w:history="1">
        <w:r w:rsidR="005824DE" w:rsidRPr="005824DE">
          <w:rPr>
            <w:rStyle w:val="Hyperlink"/>
          </w:rPr>
          <w:t>https://www.foodstandards.gov.au/code/fofr/pages/default.aspx#:~:text=The%20Food%20Ministers'%20Meeting%20(the,of%20the%20implementation%20of%20standards</w:t>
        </w:r>
      </w:hyperlink>
    </w:p>
  </w:footnote>
  <w:footnote w:id="8">
    <w:p w14:paraId="40AFE6B6" w14:textId="2483BAAE"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For example, a 2005 Review of the F</w:t>
      </w:r>
      <w:r>
        <w:rPr>
          <w:szCs w:val="15"/>
        </w:rPr>
        <w:t>ood Regulation Agreement</w:t>
      </w:r>
      <w:r w:rsidRPr="00EE039F">
        <w:rPr>
          <w:szCs w:val="15"/>
        </w:rPr>
        <w:t xml:space="preserve"> found that the Agreement has made a positive contribution to the development of a national approach to food regulation within Australia, including through its co-operative structure, improved communications between portfolios and clearer administrative arrangements. A 2006 review of the Food Treaty found that most stakeholders consider the </w:t>
      </w:r>
      <w:r>
        <w:rPr>
          <w:szCs w:val="15"/>
        </w:rPr>
        <w:t xml:space="preserve">Food </w:t>
      </w:r>
      <w:r w:rsidRPr="00EE039F">
        <w:rPr>
          <w:szCs w:val="15"/>
        </w:rPr>
        <w:t xml:space="preserve">Treaty has been successful in reducing barriers to trade. A 2018 Food Export Review found </w:t>
      </w:r>
      <w:r>
        <w:rPr>
          <w:szCs w:val="15"/>
        </w:rPr>
        <w:t>‘</w:t>
      </w:r>
      <w:r w:rsidRPr="00EE039F">
        <w:rPr>
          <w:szCs w:val="15"/>
        </w:rPr>
        <w:t>the Australian food system is performing reasonably well</w:t>
      </w:r>
      <w:r>
        <w:rPr>
          <w:szCs w:val="15"/>
        </w:rPr>
        <w:t>’</w:t>
      </w:r>
      <w:r w:rsidRPr="00EE039F">
        <w:rPr>
          <w:szCs w:val="15"/>
        </w:rPr>
        <w:t xml:space="preserve"> and </w:t>
      </w:r>
      <w:r>
        <w:rPr>
          <w:szCs w:val="15"/>
        </w:rPr>
        <w:t>‘</w:t>
      </w:r>
      <w:r w:rsidRPr="00EE039F">
        <w:rPr>
          <w:szCs w:val="15"/>
        </w:rPr>
        <w:t>has to date been reasonably well-functioning and have provided a competitive advantage to Australia’s food exports.</w:t>
      </w:r>
      <w:r>
        <w:rPr>
          <w:szCs w:val="15"/>
        </w:rPr>
        <w:t>’</w:t>
      </w:r>
    </w:p>
  </w:footnote>
  <w:footnote w:id="9">
    <w:p w14:paraId="5DFE1C16" w14:textId="1CB25D57" w:rsidR="00DF3601" w:rsidRDefault="00DF3601">
      <w:pPr>
        <w:pStyle w:val="FootnoteText"/>
      </w:pPr>
      <w:r>
        <w:rPr>
          <w:rStyle w:val="FootnoteReference"/>
        </w:rPr>
        <w:footnoteRef/>
      </w:r>
      <w:r>
        <w:t xml:space="preserve"> Section 11. Food Safety Authority of Ireland Act 1991. Available online at </w:t>
      </w:r>
      <w:hyperlink r:id="rId6" w:history="1">
        <w:r w:rsidRPr="00811E7F">
          <w:rPr>
            <w:rStyle w:val="Hyperlink"/>
          </w:rPr>
          <w:t>https://www.irishstatutebook.ie/eli/1998/act/29/enacted/en/pdf</w:t>
        </w:r>
      </w:hyperlink>
    </w:p>
  </w:footnote>
  <w:footnote w:id="10">
    <w:p w14:paraId="3732AA5C" w14:textId="5E46D85F" w:rsidR="00DF3601" w:rsidRPr="00D64236" w:rsidRDefault="00DF3601" w:rsidP="00923BE4">
      <w:pPr>
        <w:pStyle w:val="FootnoteText"/>
        <w:rPr>
          <w:szCs w:val="15"/>
        </w:rPr>
      </w:pPr>
      <w:r w:rsidRPr="00D64236">
        <w:rPr>
          <w:rStyle w:val="FootnoteReference"/>
          <w:szCs w:val="15"/>
        </w:rPr>
        <w:footnoteRef/>
      </w:r>
      <w:r w:rsidRPr="00D64236">
        <w:rPr>
          <w:szCs w:val="15"/>
        </w:rPr>
        <w:t xml:space="preserve"> Food Law General Principles, European Commission. Available at: </w:t>
      </w:r>
      <w:hyperlink r:id="rId7" w:history="1">
        <w:r w:rsidRPr="005B6214">
          <w:rPr>
            <w:rStyle w:val="Hyperlink"/>
            <w:szCs w:val="15"/>
          </w:rPr>
          <w:t>https://ec.europa.eu/food/safety/general_food_law/principles_en</w:t>
        </w:r>
      </w:hyperlink>
    </w:p>
  </w:footnote>
  <w:footnote w:id="11">
    <w:p w14:paraId="6096555E" w14:textId="4ABC9967" w:rsidR="00DF3601" w:rsidRDefault="00DF3601">
      <w:pPr>
        <w:pStyle w:val="FootnoteText"/>
      </w:pPr>
      <w:r>
        <w:rPr>
          <w:rStyle w:val="FootnoteReference"/>
        </w:rPr>
        <w:footnoteRef/>
      </w:r>
      <w:r>
        <w:t xml:space="preserve"> Food and Agriculture Organization of the United Nations. Codex Alimentarius: About Codex Alimentarius. Available online at: </w:t>
      </w:r>
      <w:hyperlink r:id="rId8" w:history="1">
        <w:r w:rsidRPr="00FC61CD">
          <w:rPr>
            <w:rStyle w:val="Hyperlink"/>
          </w:rPr>
          <w:t>https://www.fao.org/fao-who-codexalimentarius/about-codex/en/#c453333</w:t>
        </w:r>
      </w:hyperlink>
    </w:p>
  </w:footnote>
  <w:footnote w:id="12">
    <w:p w14:paraId="4BC191F6" w14:textId="693FBABF" w:rsidR="00DF3601" w:rsidRDefault="00DF3601">
      <w:pPr>
        <w:pStyle w:val="FootnoteText"/>
      </w:pPr>
      <w:r>
        <w:rPr>
          <w:rStyle w:val="FootnoteReference"/>
        </w:rPr>
        <w:footnoteRef/>
      </w:r>
      <w:r>
        <w:t xml:space="preserve"> Australia and Aotearoa-New Zealand Indigenous Collaboration Arrangement (2020). Available online at: </w:t>
      </w:r>
      <w:hyperlink r:id="rId9" w:history="1">
        <w:r w:rsidRPr="00531111">
          <w:rPr>
            <w:rStyle w:val="Hyperlink"/>
          </w:rPr>
          <w:t>https://www.niaa.gov.au/resource-centre/indigenous-affairs/australia-and-aotearoa-new-zealand-indigenous-collaboration-arrangement</w:t>
        </w:r>
      </w:hyperlink>
      <w:r>
        <w:t xml:space="preserve"> </w:t>
      </w:r>
    </w:p>
  </w:footnote>
  <w:footnote w:id="13">
    <w:p w14:paraId="0971D910" w14:textId="64E56168" w:rsidR="00DF3601" w:rsidRPr="006D2D45" w:rsidRDefault="00DF3601">
      <w:pPr>
        <w:pStyle w:val="FootnoteText"/>
      </w:pPr>
      <w:r>
        <w:rPr>
          <w:rStyle w:val="FootnoteReference"/>
        </w:rPr>
        <w:footnoteRef/>
      </w:r>
      <w:r>
        <w:t xml:space="preserve"> Guidance: Indigenous Knowledge under the </w:t>
      </w:r>
      <w:r>
        <w:rPr>
          <w:i/>
          <w:iCs/>
        </w:rPr>
        <w:t xml:space="preserve">Impact Assessment Act. </w:t>
      </w:r>
      <w:r>
        <w:t xml:space="preserve">Government of Canada. Available online at: </w:t>
      </w:r>
      <w:hyperlink r:id="rId10" w:history="1">
        <w:r w:rsidRPr="002A444A">
          <w:rPr>
            <w:rStyle w:val="Hyperlink"/>
          </w:rPr>
          <w:t>https://www.canada.ca/en/impact-assessment-agency/services/policy-guidance/practitioners-guide-impact-assessment-act/indigenous-knowledge-under-the-impact-assessment-act.html</w:t>
        </w:r>
      </w:hyperlink>
      <w:r>
        <w:t xml:space="preserve"> </w:t>
      </w:r>
    </w:p>
  </w:footnote>
  <w:footnote w:id="14">
    <w:p w14:paraId="13006A85" w14:textId="4296A157" w:rsidR="00DF3601" w:rsidRPr="007E6DD2" w:rsidRDefault="00DF3601">
      <w:pPr>
        <w:pStyle w:val="FootnoteText"/>
      </w:pPr>
      <w:r>
        <w:rPr>
          <w:rStyle w:val="FootnoteReference"/>
        </w:rPr>
        <w:footnoteRef/>
      </w:r>
      <w:r>
        <w:t xml:space="preserve"> For example, see the </w:t>
      </w:r>
      <w:r w:rsidRPr="007F7722">
        <w:rPr>
          <w:i/>
          <w:iCs/>
        </w:rPr>
        <w:t>Therapeutic Goods Act 1989</w:t>
      </w:r>
      <w:r>
        <w:t xml:space="preserve"> and the </w:t>
      </w:r>
      <w:r w:rsidRPr="007F7722">
        <w:rPr>
          <w:i/>
          <w:iCs/>
        </w:rPr>
        <w:t>Agricultural and Veterinary Chemicals (Administration) Act 1992</w:t>
      </w:r>
      <w:r>
        <w:t xml:space="preserve"> in Australia, and the </w:t>
      </w:r>
      <w:r w:rsidRPr="007F7722">
        <w:rPr>
          <w:i/>
          <w:iCs/>
        </w:rPr>
        <w:t xml:space="preserve">Medicines Act 1981 </w:t>
      </w:r>
      <w:r>
        <w:t xml:space="preserve">and the </w:t>
      </w:r>
      <w:r w:rsidRPr="007F7722">
        <w:rPr>
          <w:i/>
          <w:iCs/>
        </w:rPr>
        <w:t xml:space="preserve">Hazardous Substances and New Organisms Act 1996 </w:t>
      </w:r>
      <w:r>
        <w:t xml:space="preserve">for New Zealand. </w:t>
      </w:r>
    </w:p>
  </w:footnote>
  <w:footnote w:id="15">
    <w:p w14:paraId="2DBE67E3" w14:textId="77777777" w:rsidR="00DF3601" w:rsidRPr="00D64236" w:rsidRDefault="00DF3601" w:rsidP="00923BE4">
      <w:pPr>
        <w:pStyle w:val="FootnoteText"/>
        <w:rPr>
          <w:szCs w:val="15"/>
        </w:rPr>
      </w:pPr>
      <w:r w:rsidRPr="00D64236">
        <w:rPr>
          <w:rStyle w:val="FootnoteReference"/>
          <w:szCs w:val="15"/>
        </w:rPr>
        <w:footnoteRef/>
      </w:r>
      <w:r w:rsidRPr="00D64236">
        <w:rPr>
          <w:szCs w:val="15"/>
        </w:rPr>
        <w:t xml:space="preserve"> Health Canada Decision-Making Framework for Identifying, Assessing, and Managing Health </w:t>
      </w:r>
      <w:r>
        <w:rPr>
          <w:szCs w:val="15"/>
        </w:rPr>
        <w:t>Ris</w:t>
      </w:r>
      <w:r w:rsidRPr="00D64236">
        <w:rPr>
          <w:szCs w:val="15"/>
        </w:rPr>
        <w:t xml:space="preserve">ks, August 2000, Health Canada. Available at: </w:t>
      </w:r>
    </w:p>
    <w:p w14:paraId="7CA4287B" w14:textId="3DB84C54" w:rsidR="00DF3601" w:rsidRPr="00D64236" w:rsidRDefault="00000000" w:rsidP="00923BE4">
      <w:pPr>
        <w:pStyle w:val="FootnoteText"/>
        <w:rPr>
          <w:szCs w:val="15"/>
        </w:rPr>
      </w:pPr>
      <w:hyperlink r:id="rId11" w:history="1">
        <w:r w:rsidR="00DF3601" w:rsidRPr="005B6214">
          <w:rPr>
            <w:rStyle w:val="Hyperlink"/>
            <w:szCs w:val="15"/>
          </w:rPr>
          <w:t>https://www.canada.ca/en/health-canada/corporate/about-health-canada/reports-publications/health-products-food-branch/health-canada-decision-making-framework-identifying-assessing-managing-health-risks.html</w:t>
        </w:r>
      </w:hyperlink>
    </w:p>
  </w:footnote>
  <w:footnote w:id="16">
    <w:p w14:paraId="10B6E2CF" w14:textId="4DB3189B" w:rsidR="00DF3601" w:rsidRDefault="00DF3601">
      <w:pPr>
        <w:pStyle w:val="FootnoteText"/>
      </w:pPr>
      <w:r>
        <w:rPr>
          <w:rStyle w:val="FootnoteReference"/>
        </w:rPr>
        <w:footnoteRef/>
      </w:r>
      <w:r>
        <w:t xml:space="preserve"> Working Party on Standardization of Perishable Produce (1986). UNECE Standard concerning the marketing and commercial quality control of Hens egg products for use in the food industry. Available at: </w:t>
      </w:r>
      <w:hyperlink r:id="rId12" w:history="1">
        <w:r w:rsidRPr="002A62C1">
          <w:rPr>
            <w:rStyle w:val="Hyperlink"/>
          </w:rPr>
          <w:t>https://unece.org/DAM/trade/agr/standard/eggs/e/63produc.pdf</w:t>
        </w:r>
      </w:hyperlink>
    </w:p>
  </w:footnote>
  <w:footnote w:id="17">
    <w:p w14:paraId="5478982C" w14:textId="19AAADE4" w:rsidR="00DF3601" w:rsidRDefault="00DF3601">
      <w:pPr>
        <w:pStyle w:val="FootnoteText"/>
      </w:pPr>
      <w:r>
        <w:rPr>
          <w:rStyle w:val="FootnoteReference"/>
        </w:rPr>
        <w:footnoteRef/>
      </w:r>
      <w:r>
        <w:t xml:space="preserve"> CAC/RCP (1976) Code of Hygienic practice for eggs and egg products. Available at:</w:t>
      </w:r>
      <w:hyperlink r:id="rId13" w:history="1">
        <w:r w:rsidRPr="002A62C1">
          <w:rPr>
            <w:rStyle w:val="Hyperlink"/>
          </w:rPr>
          <w:t xml:space="preserve"> https://www.fao.org/fao-who-codexalimentarius/sh-proxy/en/?lnk=1&amp;url=https%253A%252F%252Fworkspace.fao.org%252Fsites%252Fcodex%252FStandards%252FCXC%2B15-1976%252FCXP_015e.pdf</w:t>
        </w:r>
      </w:hyperlink>
    </w:p>
  </w:footnote>
  <w:footnote w:id="18">
    <w:p w14:paraId="42B193C3" w14:textId="0DB5F8FB" w:rsidR="00DF3601" w:rsidRDefault="00DF3601">
      <w:pPr>
        <w:pStyle w:val="FootnoteText"/>
      </w:pPr>
      <w:r>
        <w:rPr>
          <w:rStyle w:val="FootnoteReference"/>
        </w:rPr>
        <w:footnoteRef/>
      </w:r>
      <w:r>
        <w:t xml:space="preserve"> For example, Mangalam, S., Hodges, C., &amp; </w:t>
      </w:r>
      <w:proofErr w:type="spellStart"/>
      <w:r>
        <w:t>Sharpington</w:t>
      </w:r>
      <w:proofErr w:type="spellEnd"/>
      <w:r>
        <w:t xml:space="preserve">, L (2020). Theory Paper on Contemporary Regulatory </w:t>
      </w:r>
      <w:proofErr w:type="gramStart"/>
      <w:r>
        <w:t>Models’</w:t>
      </w:r>
      <w:proofErr w:type="gramEnd"/>
      <w:r>
        <w:t xml:space="preserve"> prepared by PIAM Institute for Safe Food Production Queensland. This paper has been developed as part of the jurisdictional consistency project being undertaken as part of the P3 reform program. It was provided to Nous by the Australian Department of Health. </w:t>
      </w:r>
    </w:p>
  </w:footnote>
  <w:footnote w:id="19">
    <w:p w14:paraId="07A98502" w14:textId="77777777" w:rsidR="00DF3601" w:rsidRDefault="00DF3601" w:rsidP="00923BE4">
      <w:pPr>
        <w:pStyle w:val="FootnoteText"/>
      </w:pPr>
      <w:r>
        <w:rPr>
          <w:rStyle w:val="FootnoteReference"/>
        </w:rPr>
        <w:footnoteRef/>
      </w:r>
      <w:r>
        <w:t xml:space="preserve"> Food Standards Australia and New Zealand, July 2021. Overview paper on all 4 Core Areas.</w:t>
      </w:r>
    </w:p>
  </w:footnote>
  <w:footnote w:id="20">
    <w:p w14:paraId="2E887F13" w14:textId="2157C601" w:rsidR="008031AC" w:rsidRDefault="008031AC">
      <w:pPr>
        <w:pStyle w:val="FootnoteText"/>
      </w:pPr>
      <w:r>
        <w:rPr>
          <w:rStyle w:val="FootnoteReference"/>
        </w:rPr>
        <w:footnoteRef/>
      </w:r>
      <w:r>
        <w:t xml:space="preserve"> The National Boards are responsible for setting the standards that all registered health professionals in the 16 registered health professions must meet. </w:t>
      </w:r>
    </w:p>
  </w:footnote>
  <w:footnote w:id="21">
    <w:p w14:paraId="033C9873" w14:textId="0C1DF136" w:rsidR="00DF3601" w:rsidRDefault="00DF3601">
      <w:pPr>
        <w:pStyle w:val="FootnoteText"/>
      </w:pPr>
      <w:r>
        <w:rPr>
          <w:rStyle w:val="FootnoteReference"/>
        </w:rPr>
        <w:footnoteRef/>
      </w:r>
      <w:r>
        <w:t xml:space="preserve"> Food and Drug Administration (2021).</w:t>
      </w:r>
      <w:r w:rsidR="00A93F19">
        <w:t xml:space="preserve">  </w:t>
      </w:r>
      <w:r>
        <w:t xml:space="preserve">FDA Adverse Event reporting System (FAERS) Public Dashboard. Available at: </w:t>
      </w:r>
      <w:hyperlink r:id="rId14" w:history="1">
        <w:r w:rsidRPr="007C2CC1">
          <w:rPr>
            <w:rStyle w:val="Hyperlink"/>
          </w:rPr>
          <w:t>https://www.fda.gov/drugs/questions-and-answers-fdas-adverse-event-reporting-system-faers/fda-adverse-event-reporting-system-faers-public-dashboard</w:t>
        </w:r>
      </w:hyperlink>
    </w:p>
  </w:footnote>
  <w:footnote w:id="22">
    <w:p w14:paraId="36F720B9" w14:textId="40285266" w:rsidR="00DF3601" w:rsidRDefault="00DF3601">
      <w:pPr>
        <w:pStyle w:val="FootnoteText"/>
      </w:pPr>
      <w:r>
        <w:rPr>
          <w:rStyle w:val="FootnoteReference"/>
        </w:rPr>
        <w:footnoteRef/>
      </w:r>
      <w:r>
        <w:t xml:space="preserve"> European Food Safety Authority (2022). Food consumption data. Available at:</w:t>
      </w:r>
      <w:hyperlink r:id="rId15" w:history="1">
        <w:r w:rsidRPr="007C2CC1">
          <w:rPr>
            <w:rStyle w:val="Hyperlink"/>
          </w:rPr>
          <w:t xml:space="preserve"> https://www.efsa.europa.eu/en/data-report/food-consumption-data</w:t>
        </w:r>
      </w:hyperlink>
    </w:p>
  </w:footnote>
  <w:footnote w:id="23">
    <w:p w14:paraId="4F74FED2" w14:textId="3F11C3C9" w:rsidR="00DF3601" w:rsidRPr="00D64236" w:rsidRDefault="00DF3601" w:rsidP="002F601B">
      <w:pPr>
        <w:pStyle w:val="FootnoteText"/>
        <w:rPr>
          <w:szCs w:val="15"/>
        </w:rPr>
      </w:pPr>
      <w:r w:rsidRPr="00D64236">
        <w:rPr>
          <w:rStyle w:val="FootnoteReference"/>
          <w:szCs w:val="15"/>
        </w:rPr>
        <w:footnoteRef/>
      </w:r>
      <w:r w:rsidRPr="00D64236">
        <w:rPr>
          <w:szCs w:val="15"/>
        </w:rPr>
        <w:t xml:space="preserve"> Work to develop a vision for the system (and its overarching objectives) is currently underway and changes will be ultimately captured in a revised Food Regulation Agreement. </w:t>
      </w:r>
    </w:p>
  </w:footnote>
  <w:footnote w:id="24">
    <w:p w14:paraId="1F4DE5ED" w14:textId="172D2525" w:rsidR="00F00E90" w:rsidRDefault="00F00E90">
      <w:pPr>
        <w:pStyle w:val="FootnoteText"/>
      </w:pPr>
      <w:r>
        <w:rPr>
          <w:rStyle w:val="FootnoteReference"/>
        </w:rPr>
        <w:footnoteRef/>
      </w:r>
      <w:r>
        <w:t xml:space="preserve"> It should be acknowledged</w:t>
      </w:r>
      <w:r w:rsidRPr="00F00E90">
        <w:t xml:space="preserve"> that</w:t>
      </w:r>
      <w:r>
        <w:t>,</w:t>
      </w:r>
      <w:r w:rsidRPr="00F00E90">
        <w:t xml:space="preserve"> a</w:t>
      </w:r>
      <w:r w:rsidRPr="00633137">
        <w:t xml:space="preserve">lthough the ultimate decision by Ministers is usually not to review, there is often significant pre-work, </w:t>
      </w:r>
      <w:r w:rsidR="00CD3DC4" w:rsidRPr="00633137">
        <w:t>discussion,</w:t>
      </w:r>
      <w:r w:rsidRPr="00633137">
        <w:t xml:space="preserve"> and debate at FRSC level prior to this occurring</w:t>
      </w:r>
      <w:r w:rsidR="00DB554C">
        <w:t>.</w:t>
      </w:r>
    </w:p>
  </w:footnote>
  <w:footnote w:id="25">
    <w:p w14:paraId="3AAC5759" w14:textId="4D4541BA"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FSANZ 2020, </w:t>
      </w:r>
      <w:r w:rsidRPr="00EE039F">
        <w:rPr>
          <w:i/>
          <w:szCs w:val="15"/>
        </w:rPr>
        <w:t xml:space="preserve">A position paper on </w:t>
      </w:r>
      <w:r w:rsidR="00B63384">
        <w:rPr>
          <w:i/>
          <w:szCs w:val="15"/>
        </w:rPr>
        <w:t>FSANZ’</w:t>
      </w:r>
      <w:r w:rsidR="00BD02D8">
        <w:rPr>
          <w:i/>
          <w:szCs w:val="15"/>
        </w:rPr>
        <w:t>s</w:t>
      </w:r>
      <w:r w:rsidRPr="00EE039F">
        <w:rPr>
          <w:i/>
          <w:szCs w:val="15"/>
        </w:rPr>
        <w:t xml:space="preserve"> resourcing.</w:t>
      </w:r>
      <w:r w:rsidRPr="00EE039F">
        <w:rPr>
          <w:szCs w:val="15"/>
        </w:rPr>
        <w:t xml:space="preserve"> Unpublished position paper.</w:t>
      </w:r>
    </w:p>
  </w:footnote>
  <w:footnote w:id="26">
    <w:p w14:paraId="3E91615E" w14:textId="2A0A9AD5" w:rsidR="00DF3601" w:rsidRDefault="00DF3601">
      <w:pPr>
        <w:pStyle w:val="FootnoteText"/>
      </w:pPr>
      <w:r>
        <w:rPr>
          <w:rStyle w:val="FootnoteReference"/>
        </w:rPr>
        <w:footnoteRef/>
      </w:r>
      <w:r>
        <w:t xml:space="preserve"> </w:t>
      </w:r>
      <w:proofErr w:type="spellStart"/>
      <w:r>
        <w:t>Sambu</w:t>
      </w:r>
      <w:proofErr w:type="spellEnd"/>
      <w:r>
        <w:t xml:space="preserve">, S., </w:t>
      </w:r>
      <w:proofErr w:type="spellStart"/>
      <w:r>
        <w:t>Hemaram</w:t>
      </w:r>
      <w:proofErr w:type="spellEnd"/>
      <w:r>
        <w:t xml:space="preserve">, U., Murugan, R., &amp; </w:t>
      </w:r>
      <w:proofErr w:type="spellStart"/>
      <w:r>
        <w:t>Alsofi</w:t>
      </w:r>
      <w:proofErr w:type="spellEnd"/>
      <w:r>
        <w:t xml:space="preserve">, A. (2022). Toxicological and Teratogenic Effects of Various Food Additives: An Updated Review. </w:t>
      </w:r>
      <w:r w:rsidRPr="007F7722">
        <w:rPr>
          <w:i/>
          <w:iCs/>
        </w:rPr>
        <w:t>Biomed Research International</w:t>
      </w:r>
      <w:r>
        <w:t xml:space="preserve">. Published online at: </w:t>
      </w:r>
      <w:hyperlink r:id="rId16" w:history="1">
        <w:r w:rsidRPr="002A0FAF">
          <w:rPr>
            <w:rStyle w:val="Hyperlink"/>
          </w:rPr>
          <w:t>https://www.ncbi.nlm.nih.gov/pmc/articles/PMC9249520/#:~:text=According%20to%20several%20studies%2C%20health,and%20influences%20growth%20and%20development.</w:t>
        </w:r>
      </w:hyperlink>
    </w:p>
  </w:footnote>
  <w:footnote w:id="27">
    <w:p w14:paraId="0CBF943A" w14:textId="77777777"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Per s 116(1)(f) and (g), the Minister must seek appointment nominations from certain organisations and public bodies prescribed in the Regulations to determine if the person is suitably qualified for the appointment.</w:t>
      </w:r>
    </w:p>
  </w:footnote>
  <w:footnote w:id="28">
    <w:p w14:paraId="2CA61E2C" w14:textId="0D2A2873"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Mangalam, S, Hodges, C &amp; </w:t>
      </w:r>
      <w:proofErr w:type="spellStart"/>
      <w:r w:rsidRPr="00EE039F">
        <w:rPr>
          <w:szCs w:val="15"/>
        </w:rPr>
        <w:t>Sharpington</w:t>
      </w:r>
      <w:proofErr w:type="spellEnd"/>
      <w:r w:rsidRPr="00EE039F">
        <w:rPr>
          <w:szCs w:val="15"/>
        </w:rPr>
        <w:t>, L 2020 ‘Theory Paper on Contemporary Regulatory Models’ prepared by PRISM Institute, Canada for Safe Food Production Queensland. This paper has been developed as part of the jurisdictional consistency project being undertaken as part of the P3 reform program. It was provided to Nous by the Australian Department of Health</w:t>
      </w:r>
      <w:r>
        <w:rPr>
          <w:szCs w:val="15"/>
        </w:rPr>
        <w:t xml:space="preserve"> and Aged Care</w:t>
      </w:r>
      <w:r w:rsidRPr="00EE039F">
        <w:rPr>
          <w:szCs w:val="15"/>
        </w:rPr>
        <w:t>.</w:t>
      </w:r>
    </w:p>
  </w:footnote>
  <w:footnote w:id="29">
    <w:p w14:paraId="7BE03671" w14:textId="76864DEE" w:rsidR="00DF3601" w:rsidRPr="00D64236" w:rsidRDefault="00DF3601" w:rsidP="00923BE4">
      <w:pPr>
        <w:pStyle w:val="FootnoteText"/>
        <w:rPr>
          <w:szCs w:val="15"/>
        </w:rPr>
      </w:pPr>
      <w:r w:rsidRPr="00D64236">
        <w:rPr>
          <w:rStyle w:val="FootnoteReference"/>
          <w:szCs w:val="15"/>
        </w:rPr>
        <w:footnoteRef/>
      </w:r>
      <w:r w:rsidRPr="00D64236">
        <w:rPr>
          <w:szCs w:val="15"/>
        </w:rPr>
        <w:t xml:space="preserve"> Position paper on FSANZ resourcing, The FSANZ Act Review, FSANZ, 2021.</w:t>
      </w:r>
      <w:r w:rsidR="00706B1C">
        <w:rPr>
          <w:szCs w:val="15"/>
        </w:rPr>
        <w:t xml:space="preserve"> (Not public). </w:t>
      </w:r>
    </w:p>
  </w:footnote>
  <w:footnote w:id="30">
    <w:p w14:paraId="1103499A" w14:textId="77777777" w:rsidR="00D834BC" w:rsidRDefault="00D834BC" w:rsidP="00D834BC">
      <w:pPr>
        <w:pStyle w:val="FootnoteText"/>
      </w:pPr>
      <w:r>
        <w:rPr>
          <w:rStyle w:val="FootnoteReference"/>
        </w:rPr>
        <w:footnoteRef/>
      </w:r>
      <w:r>
        <w:t xml:space="preserve"> FSANZ Annual Report 2022-23. Total cost recovery fees = $909,000; Total revenue = $23,600,000; </w:t>
      </w:r>
      <w:proofErr w:type="gramStart"/>
      <w:r>
        <w:t>therefore</w:t>
      </w:r>
      <w:proofErr w:type="gramEnd"/>
      <w:r>
        <w:t xml:space="preserve"> cost recovery represents 4% of total revenue. </w:t>
      </w:r>
    </w:p>
  </w:footnote>
  <w:footnote w:id="31">
    <w:p w14:paraId="77B4025C" w14:textId="77777777"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Currently the Australian Minister for Health as set out in the Common of Australia Administrative Arrangements Order. </w:t>
      </w:r>
    </w:p>
  </w:footnote>
  <w:footnote w:id="32">
    <w:p w14:paraId="4FCB8832" w14:textId="77777777"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Food Safety Alliance Concept note (prepared by Dr Anne </w:t>
      </w:r>
      <w:proofErr w:type="spellStart"/>
      <w:r w:rsidRPr="00EE039F">
        <w:rPr>
          <w:szCs w:val="15"/>
        </w:rPr>
        <w:t>Astin</w:t>
      </w:r>
      <w:proofErr w:type="spellEnd"/>
      <w:r w:rsidRPr="00EE039F">
        <w:rPr>
          <w:szCs w:val="15"/>
        </w:rPr>
        <w:t xml:space="preserve"> PSM), provided by FSANZ. </w:t>
      </w:r>
    </w:p>
  </w:footnote>
  <w:footnote w:id="33">
    <w:p w14:paraId="4E34BAE8" w14:textId="77777777"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This is less of an issue for New Zealand as all food businesses are regulated by a single institution, the Ministry for Primary Industries. Food that is manufactured in New Zealand and meets New Zealand requirements can be legally sold in Australia under the Trans-Tasman Mutual Agreement (and vice versa). </w:t>
      </w:r>
    </w:p>
    <w:p w14:paraId="57F340D4" w14:textId="77777777" w:rsidR="00DF3601" w:rsidRPr="00EE039F" w:rsidRDefault="00DF3601" w:rsidP="00923BE4">
      <w:pPr>
        <w:pStyle w:val="FootnoteText"/>
        <w:rPr>
          <w:szCs w:val="15"/>
        </w:rPr>
      </w:pPr>
      <w:r w:rsidRPr="00EE039F">
        <w:rPr>
          <w:szCs w:val="15"/>
        </w:rPr>
        <w:t xml:space="preserve">While inconsistency between Australia and New Zealand are not explicitly barriers to economic opportunities, it represents an important fragmentation of the joint </w:t>
      </w:r>
      <w:r>
        <w:rPr>
          <w:szCs w:val="15"/>
        </w:rPr>
        <w:t xml:space="preserve">food standards </w:t>
      </w:r>
      <w:r w:rsidRPr="00EE039F">
        <w:rPr>
          <w:szCs w:val="15"/>
        </w:rPr>
        <w:t>system.</w:t>
      </w:r>
    </w:p>
  </w:footnote>
  <w:footnote w:id="34">
    <w:p w14:paraId="65A1C053" w14:textId="6306137A" w:rsidR="00AB2AE1" w:rsidRDefault="00AB2AE1" w:rsidP="00BD74DF">
      <w:pPr>
        <w:pStyle w:val="FootnoteText"/>
      </w:pPr>
      <w:r>
        <w:rPr>
          <w:rStyle w:val="FootnoteReference"/>
        </w:rPr>
        <w:footnoteRef/>
      </w:r>
      <w:r>
        <w:t xml:space="preserve"> Adapted from </w:t>
      </w:r>
      <w:r w:rsidR="003D7D1B">
        <w:t>MP</w:t>
      </w:r>
      <w:r w:rsidR="00B71046">
        <w:t xml:space="preserve"> Consulting</w:t>
      </w:r>
      <w:r w:rsidR="007B67FF">
        <w:t>, ‘</w:t>
      </w:r>
      <w:r w:rsidR="00BD74DF">
        <w:t xml:space="preserve">Key areas of inconsistency in food regulation’, </w:t>
      </w:r>
      <w:r w:rsidR="003254FC" w:rsidRPr="003254FC">
        <w:t>26 February 2021</w:t>
      </w:r>
      <w:r w:rsidR="003254FC">
        <w:t>.</w:t>
      </w:r>
    </w:p>
  </w:footnote>
  <w:footnote w:id="35">
    <w:p w14:paraId="24A95DBB" w14:textId="3B78C739" w:rsidR="008636B8" w:rsidRPr="00EE039F" w:rsidRDefault="008636B8" w:rsidP="008636B8">
      <w:pPr>
        <w:pStyle w:val="FootnoteText"/>
        <w:rPr>
          <w:szCs w:val="15"/>
        </w:rPr>
      </w:pPr>
      <w:r w:rsidRPr="00EE039F">
        <w:rPr>
          <w:rStyle w:val="FootnoteReference"/>
          <w:szCs w:val="15"/>
        </w:rPr>
        <w:footnoteRef/>
      </w:r>
      <w:r w:rsidRPr="00EE039F">
        <w:rPr>
          <w:szCs w:val="15"/>
        </w:rPr>
        <w:t xml:space="preserve"> The scoping paper published as part of this review (from 5 October to 16 November 2020) asked stakeholders whether there was still a case for regulating food. Responses from 9</w:t>
      </w:r>
      <w:r>
        <w:rPr>
          <w:szCs w:val="15"/>
        </w:rPr>
        <w:t>2</w:t>
      </w:r>
      <w:r w:rsidRPr="00EE039F">
        <w:rPr>
          <w:szCs w:val="15"/>
        </w:rPr>
        <w:t xml:space="preserve"> submissions universally acknowledged there was still a relevant case for regulating food. </w:t>
      </w:r>
    </w:p>
  </w:footnote>
  <w:footnote w:id="36">
    <w:p w14:paraId="0ED06782" w14:textId="37D9D02A"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Currently the Act, the </w:t>
      </w:r>
      <w:r>
        <w:rPr>
          <w:szCs w:val="15"/>
        </w:rPr>
        <w:t>Food Regulation Agreement</w:t>
      </w:r>
      <w:r w:rsidRPr="00EE039F">
        <w:rPr>
          <w:szCs w:val="15"/>
        </w:rPr>
        <w:t xml:space="preserve">, and the </w:t>
      </w:r>
      <w:r>
        <w:rPr>
          <w:szCs w:val="15"/>
        </w:rPr>
        <w:t xml:space="preserve">Food </w:t>
      </w:r>
      <w:r w:rsidRPr="00EE039F">
        <w:rPr>
          <w:szCs w:val="15"/>
        </w:rPr>
        <w:t>Treaty use different wording around the objectives of food regulation. Once clarifications are made to the Act, these changes may also be carried through to these other foundational documents.</w:t>
      </w:r>
    </w:p>
  </w:footnote>
  <w:footnote w:id="37">
    <w:p w14:paraId="4E871D2E" w14:textId="77777777" w:rsidR="00DF3601" w:rsidRPr="0063213E" w:rsidRDefault="00DF3601" w:rsidP="0061537C">
      <w:pPr>
        <w:pStyle w:val="FootnoteText"/>
      </w:pPr>
      <w:r>
        <w:rPr>
          <w:rStyle w:val="FootnoteReference"/>
        </w:rPr>
        <w:footnoteRef/>
      </w:r>
      <w:r>
        <w:t xml:space="preserve"> Australian Government, Department of Prime </w:t>
      </w:r>
      <w:proofErr w:type="gramStart"/>
      <w:r>
        <w:t>Minister</w:t>
      </w:r>
      <w:proofErr w:type="gramEnd"/>
      <w:r>
        <w:t xml:space="preserve"> and Cabinet (2014). </w:t>
      </w:r>
      <w:r w:rsidRPr="00973956">
        <w:rPr>
          <w:i/>
          <w:iCs/>
        </w:rPr>
        <w:t>Industry Innovation and Competitiveness Agenda: An Action Plan for a Stronger Australia</w:t>
      </w:r>
      <w:r>
        <w:rPr>
          <w:i/>
          <w:iCs/>
        </w:rPr>
        <w:t xml:space="preserve">. </w:t>
      </w:r>
      <w:r>
        <w:t xml:space="preserve">Available online at: </w:t>
      </w:r>
      <w:hyperlink r:id="rId17" w:history="1">
        <w:r w:rsidRPr="006E1EB4">
          <w:rPr>
            <w:rStyle w:val="Hyperlink"/>
          </w:rPr>
          <w:t>https://webarchive.nla.gov.au/awa/20151020202248/http://www.dpmc.gov.au/pmc/publication/industry-innovation-and-competitiveness-agenda-report-action-plan-stronger-australia</w:t>
        </w:r>
      </w:hyperlink>
      <w:r>
        <w:t xml:space="preserve"> </w:t>
      </w:r>
    </w:p>
  </w:footnote>
  <w:footnote w:id="38">
    <w:p w14:paraId="30774A79" w14:textId="77777777" w:rsidR="00DF3601" w:rsidRPr="00973956" w:rsidRDefault="00DF3601" w:rsidP="0061537C">
      <w:pPr>
        <w:pStyle w:val="FootnoteText"/>
        <w:rPr>
          <w:b/>
          <w:bCs/>
        </w:rPr>
      </w:pPr>
      <w:r>
        <w:rPr>
          <w:rStyle w:val="FootnoteReference"/>
        </w:rPr>
        <w:footnoteRef/>
      </w:r>
      <w:r>
        <w:t xml:space="preserve"> Australian Government, the Treasury (2019). </w:t>
      </w:r>
      <w:r>
        <w:rPr>
          <w:i/>
          <w:iCs/>
        </w:rPr>
        <w:t xml:space="preserve">Aligning with international standards and risk assessments. </w:t>
      </w:r>
      <w:r>
        <w:t xml:space="preserve">Available online at: </w:t>
      </w:r>
      <w:hyperlink r:id="rId18" w:history="1">
        <w:r w:rsidRPr="004C5E94">
          <w:rPr>
            <w:rStyle w:val="Hyperlink"/>
          </w:rPr>
          <w:t>https://treasury.gov.au/the-department/accountability-reporting/aligning-with-international-standards</w:t>
        </w:r>
      </w:hyperlink>
      <w:r>
        <w:t xml:space="preserve"> </w:t>
      </w:r>
    </w:p>
  </w:footnote>
  <w:footnote w:id="39">
    <w:p w14:paraId="6C1FA564" w14:textId="3729903E"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Note that </w:t>
      </w:r>
      <w:r>
        <w:rPr>
          <w:szCs w:val="15"/>
        </w:rPr>
        <w:t>‘Generally Regarded as Safe’ (GRAS)</w:t>
      </w:r>
      <w:r w:rsidRPr="00EE039F">
        <w:rPr>
          <w:szCs w:val="15"/>
        </w:rPr>
        <w:t xml:space="preserve"> Affirmations and GRAS Notifications do not constitute approval by the </w:t>
      </w:r>
      <w:proofErr w:type="gramStart"/>
      <w:r w:rsidRPr="00EE039F">
        <w:rPr>
          <w:szCs w:val="15"/>
        </w:rPr>
        <w:t>USFDA</w:t>
      </w:r>
      <w:proofErr w:type="gramEnd"/>
    </w:p>
  </w:footnote>
  <w:footnote w:id="40">
    <w:p w14:paraId="1518CBE4" w14:textId="77777777" w:rsidR="00DF3601" w:rsidRPr="00EE039F" w:rsidRDefault="00DF3601" w:rsidP="00923BE4">
      <w:pPr>
        <w:pStyle w:val="FootnoteText"/>
        <w:rPr>
          <w:szCs w:val="15"/>
        </w:rPr>
      </w:pPr>
      <w:r w:rsidRPr="00EE039F">
        <w:rPr>
          <w:rStyle w:val="FootnoteReference"/>
          <w:szCs w:val="15"/>
        </w:rPr>
        <w:footnoteRef/>
      </w:r>
      <w:r w:rsidRPr="00EE039F">
        <w:rPr>
          <w:szCs w:val="15"/>
        </w:rPr>
        <w:t xml:space="preserve"> This arrangement could also be achieved by amending the F</w:t>
      </w:r>
      <w:r>
        <w:rPr>
          <w:szCs w:val="15"/>
        </w:rPr>
        <w:t>ood Regulation Agreement</w:t>
      </w:r>
      <w:r w:rsidRPr="00EE039F">
        <w:rPr>
          <w:szCs w:val="15"/>
        </w:rPr>
        <w:t xml:space="preserve"> to include the ability to delegate. </w:t>
      </w:r>
    </w:p>
  </w:footnote>
  <w:footnote w:id="41">
    <w:p w14:paraId="32540517" w14:textId="77777777" w:rsidR="00DF3601" w:rsidRDefault="00DF3601" w:rsidP="00923BE4">
      <w:pPr>
        <w:pStyle w:val="FootnoteText"/>
      </w:pPr>
      <w:r>
        <w:rPr>
          <w:rStyle w:val="FootnoteReference"/>
        </w:rPr>
        <w:footnoteRef/>
      </w:r>
      <w:r>
        <w:t xml:space="preserve"> Food Standards Australia New Zealand Regulations 1994 (Compilation date 1 July 2019). Part 3, 6A Organisations and public bodies from which nominations for Board members may be sought. </w:t>
      </w:r>
    </w:p>
  </w:footnote>
  <w:footnote w:id="42">
    <w:p w14:paraId="2A039BB1" w14:textId="09F1776F" w:rsidR="00665101" w:rsidRDefault="00665101">
      <w:pPr>
        <w:pStyle w:val="FootnoteText"/>
      </w:pPr>
      <w:r>
        <w:rPr>
          <w:rStyle w:val="FootnoteReference"/>
        </w:rPr>
        <w:footnoteRef/>
      </w:r>
      <w:r>
        <w:t xml:space="preserve"> </w:t>
      </w:r>
      <w:r w:rsidR="00C60573">
        <w:t xml:space="preserve">At FMM04 on 25 November 2022, </w:t>
      </w:r>
      <w:r w:rsidR="00733060">
        <w:t>Ministers agreed to further examination of the r</w:t>
      </w:r>
      <w:r w:rsidR="00452CA1">
        <w:t xml:space="preserve">emoval of </w:t>
      </w:r>
      <w:r w:rsidR="00C60573" w:rsidRPr="00C60573">
        <w:t>expedited applications to address workload prioritisatio</w:t>
      </w:r>
      <w:r w:rsidR="00733060">
        <w:t xml:space="preserve">n. </w:t>
      </w:r>
    </w:p>
  </w:footnote>
  <w:footnote w:id="43">
    <w:p w14:paraId="66BBC4D0" w14:textId="39330577" w:rsidR="00733060" w:rsidRDefault="00733060">
      <w:pPr>
        <w:pStyle w:val="FootnoteText"/>
      </w:pPr>
      <w:r>
        <w:rPr>
          <w:rStyle w:val="FootnoteReference"/>
        </w:rPr>
        <w:footnoteRef/>
      </w:r>
      <w:r>
        <w:t xml:space="preserve"> </w:t>
      </w:r>
      <w:r w:rsidR="004F2005">
        <w:t>At FMM04 on 25 November 2022, Ministers agreed to further</w:t>
      </w:r>
      <w:r w:rsidR="00F754FD" w:rsidRPr="00F754FD">
        <w:t xml:space="preserve"> consider cost recovery models for FSANZ for industry-initiated work.</w:t>
      </w:r>
    </w:p>
  </w:footnote>
  <w:footnote w:id="44">
    <w:p w14:paraId="44C27B7D" w14:textId="77777777" w:rsidR="00DF3601" w:rsidRDefault="00DF3601" w:rsidP="00923BE4">
      <w:pPr>
        <w:pStyle w:val="FootnoteText"/>
      </w:pPr>
      <w:r>
        <w:rPr>
          <w:rStyle w:val="FootnoteReference"/>
        </w:rPr>
        <w:footnoteRef/>
      </w:r>
      <w:r>
        <w:t xml:space="preserve"> Australian Government, Department of Finance (2021). </w:t>
      </w:r>
      <w:r>
        <w:rPr>
          <w:i/>
          <w:iCs/>
        </w:rPr>
        <w:t xml:space="preserve">Australian Government Cost Recovery Policy. </w:t>
      </w:r>
      <w:r>
        <w:t xml:space="preserve">Available online at: </w:t>
      </w:r>
      <w:hyperlink r:id="rId19" w:history="1">
        <w:r w:rsidRPr="005A578F">
          <w:rPr>
            <w:rStyle w:val="Hyperlink"/>
          </w:rPr>
          <w:t>https://www.finance.gov.au/government/managing-commonwealth-resources/implementing-charging-framework-rmg-302/australian-government-cost-recovery-policy</w:t>
        </w:r>
      </w:hyperlink>
      <w:r>
        <w:t xml:space="preserve"> </w:t>
      </w:r>
      <w:hyperlink r:id="rId20" w:history="1">
        <w:r>
          <w:rPr>
            <w:rStyle w:val="Hyperlink"/>
          </w:rPr>
          <w:t>https://www.finance.gov.au/government/managing-commonwealth-resources/implementing-charging-framework-rmg-302/australian-government-cost-recovery-policy</w:t>
        </w:r>
      </w:hyperlink>
      <w:r>
        <w:t xml:space="preserve"> </w:t>
      </w:r>
    </w:p>
  </w:footnote>
  <w:footnote w:id="45">
    <w:p w14:paraId="74084825" w14:textId="77777777" w:rsidR="00DF3601" w:rsidRDefault="00DF3601" w:rsidP="00923BE4">
      <w:pPr>
        <w:pStyle w:val="FootnoteText"/>
      </w:pPr>
      <w:r>
        <w:rPr>
          <w:rStyle w:val="FootnoteReference"/>
        </w:rPr>
        <w:footnoteRef/>
      </w:r>
      <w:r>
        <w:t xml:space="preserve"> New Zealand Government, The Treasury (2017). </w:t>
      </w:r>
      <w:r>
        <w:rPr>
          <w:i/>
          <w:iCs/>
        </w:rPr>
        <w:t>Guidelines for Setting Charges in the Public Sector</w:t>
      </w:r>
      <w:r>
        <w:t xml:space="preserve">. Available online at: </w:t>
      </w:r>
      <w:hyperlink r:id="rId21" w:history="1">
        <w:r w:rsidRPr="005A578F">
          <w:rPr>
            <w:rStyle w:val="Hyperlink"/>
          </w:rPr>
          <w:t>https://www.treasury.govt.nz/publications/guide/guidelines-setting-charges-public-sector</w:t>
        </w:r>
      </w:hyperlink>
      <w:r>
        <w:t xml:space="preserve"> </w:t>
      </w:r>
    </w:p>
  </w:footnote>
  <w:footnote w:id="46">
    <w:p w14:paraId="352305A2" w14:textId="2F43EEE5" w:rsidR="000C3467" w:rsidRDefault="000C3467">
      <w:pPr>
        <w:pStyle w:val="FootnoteText"/>
      </w:pPr>
      <w:r>
        <w:rPr>
          <w:rStyle w:val="FootnoteReference"/>
        </w:rPr>
        <w:footnoteRef/>
      </w:r>
      <w:r>
        <w:t xml:space="preserve"> </w:t>
      </w:r>
      <w:proofErr w:type="spellStart"/>
      <w:r w:rsidR="00E94DCA">
        <w:t>Kerin</w:t>
      </w:r>
      <w:proofErr w:type="spellEnd"/>
      <w:r w:rsidR="00E94DCA">
        <w:t xml:space="preserve">, J. (2001). </w:t>
      </w:r>
      <w:proofErr w:type="spellStart"/>
      <w:r w:rsidR="00E94DCA">
        <w:t>SafeFood</w:t>
      </w:r>
      <w:proofErr w:type="spellEnd"/>
      <w:r w:rsidR="00E94DCA">
        <w:t xml:space="preserve"> NSW </w:t>
      </w:r>
      <w:proofErr w:type="spellStart"/>
      <w:r w:rsidR="00E94DCA">
        <w:t>Kerin</w:t>
      </w:r>
      <w:proofErr w:type="spellEnd"/>
      <w:r w:rsidR="00E94DCA">
        <w:t xml:space="preserve"> Funding Review Final Report. Available online at: </w:t>
      </w:r>
      <w:r w:rsidR="009276E3" w:rsidRPr="009276E3">
        <w:t>https://www.foodauthority.nsw.gov.au/sites/default/files/_Documents/corporate/kerin_funding_review.pdf</w:t>
      </w:r>
    </w:p>
  </w:footnote>
  <w:footnote w:id="47">
    <w:p w14:paraId="7CC49632" w14:textId="0F7AFB39" w:rsidR="00DF3601" w:rsidRPr="004D27AB" w:rsidRDefault="00DF3601" w:rsidP="00923BE4">
      <w:r>
        <w:rPr>
          <w:rStyle w:val="FootnoteReference"/>
        </w:rPr>
        <w:footnoteRef/>
      </w:r>
      <w:r>
        <w:t xml:space="preserve"> </w:t>
      </w:r>
      <w:r w:rsidRPr="004D27AB">
        <w:rPr>
          <w:sz w:val="16"/>
          <w:szCs w:val="16"/>
        </w:rPr>
        <w:t xml:space="preserve">This would align with the October 2020 Review of COAG Councils and Ministerial Forums which has recommended that the </w:t>
      </w:r>
      <w:r>
        <w:rPr>
          <w:sz w:val="16"/>
          <w:szCs w:val="16"/>
        </w:rPr>
        <w:t>FMM</w:t>
      </w:r>
      <w:r w:rsidRPr="004D27AB">
        <w:rPr>
          <w:sz w:val="16"/>
          <w:szCs w:val="16"/>
        </w:rPr>
        <w:t xml:space="preserve"> (then the Forum) maintains a workplan of actions that sunset after 12 months.</w:t>
      </w:r>
    </w:p>
    <w:p w14:paraId="1CC2E597" w14:textId="77777777" w:rsidR="00DF3601" w:rsidRDefault="00DF3601" w:rsidP="00923BE4">
      <w:pPr>
        <w:pStyle w:val="FootnoteText"/>
      </w:pPr>
    </w:p>
  </w:footnote>
  <w:footnote w:id="48">
    <w:p w14:paraId="548A8963" w14:textId="77777777" w:rsidR="00DF3601" w:rsidRDefault="00DF3601" w:rsidP="00927DD5">
      <w:pPr>
        <w:pStyle w:val="FootnoteText"/>
      </w:pPr>
      <w:r>
        <w:rPr>
          <w:rStyle w:val="FootnoteReference"/>
        </w:rPr>
        <w:footnoteRef/>
      </w:r>
      <w:r>
        <w:t xml:space="preserve"> FSANZ Position – Core Area 3</w:t>
      </w:r>
    </w:p>
  </w:footnote>
  <w:footnote w:id="49">
    <w:p w14:paraId="4E986DC8" w14:textId="019D3F61" w:rsidR="00DF3601" w:rsidRPr="00271D6B" w:rsidRDefault="00DF3601">
      <w:pPr>
        <w:pStyle w:val="FootnoteText"/>
      </w:pPr>
      <w:r>
        <w:rPr>
          <w:rStyle w:val="FootnoteReference"/>
        </w:rPr>
        <w:footnoteRef/>
      </w:r>
      <w:r>
        <w:t xml:space="preserve"> FSANZ, FSANZ </w:t>
      </w:r>
      <w:r>
        <w:rPr>
          <w:i/>
          <w:iCs/>
        </w:rPr>
        <w:t xml:space="preserve">Annual Report 2021-22, </w:t>
      </w:r>
      <w:hyperlink r:id="rId22" w:history="1">
        <w:r w:rsidRPr="00E2414A">
          <w:rPr>
            <w:rStyle w:val="Hyperlink"/>
            <w:i/>
            <w:iCs/>
          </w:rPr>
          <w:t>https://www.foodstandards.gov.au/publications/Documents/FSANZ%20Annual%20Report%202021-22.pdf</w:t>
        </w:r>
      </w:hyperlink>
    </w:p>
  </w:footnote>
  <w:footnote w:id="50">
    <w:p w14:paraId="38709FDE" w14:textId="17F580DA" w:rsidR="00915EE7" w:rsidRDefault="00915EE7">
      <w:pPr>
        <w:pStyle w:val="FootnoteText"/>
      </w:pPr>
      <w:r>
        <w:rPr>
          <w:rStyle w:val="FootnoteReference"/>
        </w:rPr>
        <w:footnoteRef/>
      </w:r>
      <w:r>
        <w:t xml:space="preserve"> Regulation of food standards is carried out at a jurisdictional level </w:t>
      </w:r>
      <w:r w:rsidR="00E061F0">
        <w:t xml:space="preserve">with the costs borne by jurisdictional governments. </w:t>
      </w:r>
    </w:p>
  </w:footnote>
  <w:footnote w:id="51">
    <w:p w14:paraId="47F17E2C" w14:textId="46399526" w:rsidR="00DF3601" w:rsidRDefault="00DF3601">
      <w:pPr>
        <w:pStyle w:val="FootnoteText"/>
      </w:pPr>
      <w:r>
        <w:rPr>
          <w:rStyle w:val="FootnoteReference"/>
        </w:rPr>
        <w:footnoteRef/>
      </w:r>
      <w:r>
        <w:t xml:space="preserve"> FSANZ resourcing from the Australian Government was AUD $17.5 million in 2022. For the purposes of the cost-benefit analysis, this has been included as cost to FSANZ itself, recognising the resource requirements of all FSANZ’</w:t>
      </w:r>
      <w:r w:rsidR="00BD02D8">
        <w:t>s</w:t>
      </w:r>
      <w:r>
        <w:t xml:space="preserve"> operations. </w:t>
      </w:r>
    </w:p>
  </w:footnote>
  <w:footnote w:id="52">
    <w:p w14:paraId="0652DBA7" w14:textId="56C86672" w:rsidR="00364A23" w:rsidRDefault="00364A23">
      <w:pPr>
        <w:pStyle w:val="FootnoteText"/>
      </w:pPr>
      <w:r>
        <w:rPr>
          <w:rStyle w:val="FootnoteReference"/>
        </w:rPr>
        <w:footnoteRef/>
      </w:r>
      <w:r>
        <w:t xml:space="preserve"> </w:t>
      </w:r>
      <w:r w:rsidR="00A00175">
        <w:t xml:space="preserve">This is a working assumption. Actual changes to government contributions would need to be explored and agreed as part of broader negotiations for the food regulatory </w:t>
      </w:r>
      <w:proofErr w:type="gramStart"/>
      <w:r w:rsidR="00A00175">
        <w:t>system</w:t>
      </w:r>
      <w:proofErr w:type="gramEnd"/>
    </w:p>
  </w:footnote>
  <w:footnote w:id="53">
    <w:p w14:paraId="3328ADDC" w14:textId="43EDA913" w:rsidR="00C96F10" w:rsidRDefault="00C96F10">
      <w:pPr>
        <w:pStyle w:val="FootnoteText"/>
      </w:pPr>
      <w:r>
        <w:rPr>
          <w:rStyle w:val="FootnoteReference"/>
        </w:rPr>
        <w:footnoteRef/>
      </w:r>
      <w:r w:rsidR="00DD26D7">
        <w:t xml:space="preserve"> </w:t>
      </w:r>
      <w:r w:rsidR="00691B08">
        <w:t xml:space="preserve">Australian Government, </w:t>
      </w:r>
      <w:r w:rsidR="00691B08">
        <w:rPr>
          <w:i/>
          <w:iCs/>
        </w:rPr>
        <w:t>Industry Innovation and Competitiveness Agenda: An action plan for a stronger Australia</w:t>
      </w:r>
      <w:r w:rsidR="00691B08">
        <w:t xml:space="preserve">, </w:t>
      </w:r>
      <w:hyperlink r:id="rId23" w:history="1">
        <w:r w:rsidR="00FD3CC3" w:rsidRPr="00510F07">
          <w:rPr>
            <w:rStyle w:val="Hyperlink"/>
          </w:rPr>
          <w:t>https://www.dewr.gov.au/download/2913/competitiveness-agenda/4035/document/pdf</w:t>
        </w:r>
      </w:hyperlink>
      <w:r w:rsidR="00FD3CC3">
        <w:t xml:space="preserve"> </w:t>
      </w:r>
    </w:p>
  </w:footnote>
  <w:footnote w:id="54">
    <w:p w14:paraId="5677D69E" w14:textId="4A3F6B0F" w:rsidR="00C96F10" w:rsidRPr="00801FCE" w:rsidRDefault="00C96F10">
      <w:pPr>
        <w:pStyle w:val="FootnoteText"/>
      </w:pPr>
      <w:r>
        <w:rPr>
          <w:rStyle w:val="FootnoteReference"/>
        </w:rPr>
        <w:footnoteRef/>
      </w:r>
      <w:r>
        <w:t xml:space="preserve"> </w:t>
      </w:r>
      <w:r w:rsidR="00801FCE">
        <w:t xml:space="preserve">Ministry for Primary Industries, </w:t>
      </w:r>
      <w:r w:rsidR="00801FCE">
        <w:rPr>
          <w:i/>
          <w:iCs/>
        </w:rPr>
        <w:t>New Zealand’s Strategic Objectives in Codex 2022-2026</w:t>
      </w:r>
      <w:r w:rsidR="00801FCE">
        <w:t xml:space="preserve">, </w:t>
      </w:r>
      <w:hyperlink r:id="rId24" w:anchor=":~:text=The%20SPS%20Agreement%20provides%20a,to%20the%20maximum%20extent%20possible" w:history="1">
        <w:r w:rsidR="00801FCE" w:rsidRPr="00510F07">
          <w:rPr>
            <w:rStyle w:val="Hyperlink"/>
          </w:rPr>
          <w:t>https://www.mpi.govt.nz/dmsdocument/9596/direct#:~:text=The%20SPS%20Agreement%20provides%20a,to%20the%20maximum%20extent%20possible</w:t>
        </w:r>
      </w:hyperlink>
      <w:r w:rsidR="00801FCE" w:rsidRPr="00801FCE">
        <w:t>.</w:t>
      </w:r>
      <w:r w:rsidR="00801FCE">
        <w:t xml:space="preserve"> </w:t>
      </w:r>
    </w:p>
  </w:footnote>
  <w:footnote w:id="55">
    <w:p w14:paraId="7F8FAFD6" w14:textId="77777777" w:rsidR="00DF3601" w:rsidRPr="00D64236" w:rsidRDefault="00DF3601" w:rsidP="00FD6119">
      <w:pPr>
        <w:pStyle w:val="FootnoteText"/>
        <w:rPr>
          <w:szCs w:val="15"/>
        </w:rPr>
      </w:pPr>
      <w:r w:rsidRPr="00D64236">
        <w:rPr>
          <w:rStyle w:val="FootnoteReference"/>
          <w:szCs w:val="15"/>
        </w:rPr>
        <w:footnoteRef/>
      </w:r>
      <w:r w:rsidRPr="00D64236">
        <w:rPr>
          <w:szCs w:val="15"/>
        </w:rPr>
        <w:t xml:space="preserve"> The objectives of the Act should harmonise with the overarching objectives of the food system. Work to develop a vision for the system (and its overarching objectives) is currently underway and changes will be ultimately captured in a revised Food Regulation Agreement. </w:t>
      </w:r>
    </w:p>
  </w:footnote>
  <w:footnote w:id="56">
    <w:p w14:paraId="6026EB7D" w14:textId="151F3051" w:rsidR="00DF3601" w:rsidRDefault="00DF3601">
      <w:pPr>
        <w:pStyle w:val="FootnoteText"/>
      </w:pPr>
      <w:r>
        <w:rPr>
          <w:rStyle w:val="FootnoteReference"/>
        </w:rPr>
        <w:footnoteRef/>
      </w:r>
      <w:r>
        <w:t xml:space="preserve"> Australian Pesticides and Veterinary Medicines Authority, Strategic Review Report – July 2023, Clayton UTZ. Available online at: </w:t>
      </w:r>
      <w:hyperlink r:id="rId25" w:history="1">
        <w:r w:rsidRPr="002A444A">
          <w:rPr>
            <w:rStyle w:val="Hyperlink"/>
          </w:rPr>
          <w:t>https://www.agriculture.gov.au/sites/default/files/documents/APVMA%20-%20Strategic%20Review%20Report.PDF</w:t>
        </w:r>
      </w:hyperlink>
      <w:r>
        <w:t xml:space="preserve"> </w:t>
      </w:r>
    </w:p>
  </w:footnote>
  <w:footnote w:id="57">
    <w:p w14:paraId="7D512061" w14:textId="51074759" w:rsidR="00DF3601" w:rsidRDefault="00DF3601">
      <w:pPr>
        <w:pStyle w:val="FootnoteText"/>
      </w:pPr>
      <w:r>
        <w:rPr>
          <w:rStyle w:val="FootnoteReference"/>
        </w:rPr>
        <w:footnoteRef/>
      </w:r>
      <w:r>
        <w:t xml:space="preserve"> FSANZ response to Nous data request. </w:t>
      </w:r>
    </w:p>
  </w:footnote>
  <w:footnote w:id="58">
    <w:p w14:paraId="649909AE" w14:textId="48741190" w:rsidR="00DF3601" w:rsidRPr="008836DF" w:rsidRDefault="00DF3601">
      <w:pPr>
        <w:pStyle w:val="FootnoteText"/>
      </w:pPr>
      <w:r>
        <w:rPr>
          <w:rStyle w:val="FootnoteReference"/>
        </w:rPr>
        <w:footnoteRef/>
      </w:r>
      <w:r>
        <w:t xml:space="preserve"> Hua et al, ‘</w:t>
      </w:r>
      <w:r w:rsidRPr="00864A44">
        <w:t>Out-of-hospital health care costs of childhood food allergy in Australia: A population-based longitudinal study</w:t>
      </w:r>
      <w:r>
        <w:t>’</w:t>
      </w:r>
      <w:r w:rsidRPr="00864A44">
        <w:t>,</w:t>
      </w:r>
      <w:r>
        <w:rPr>
          <w:i/>
          <w:iCs/>
        </w:rPr>
        <w:t xml:space="preserve"> </w:t>
      </w:r>
      <w:r w:rsidRPr="004D562F">
        <w:rPr>
          <w:i/>
          <w:iCs/>
        </w:rPr>
        <w:t>Paediatric Allergy Immunology</w:t>
      </w:r>
      <w:r>
        <w:t>, 33, 2022. Figure adjusted for population growth. [</w:t>
      </w:r>
      <w:hyperlink r:id="rId26" w:history="1">
        <w:r w:rsidRPr="00FE14D7">
          <w:rPr>
            <w:rStyle w:val="Hyperlink"/>
          </w:rPr>
          <w:t>Link]</w:t>
        </w:r>
      </w:hyperlink>
    </w:p>
  </w:footnote>
  <w:footnote w:id="59">
    <w:p w14:paraId="6F743E0C" w14:textId="4B80C5A2" w:rsidR="00DF3601" w:rsidRPr="000F6C68" w:rsidRDefault="00DF3601" w:rsidP="00F4668D">
      <w:pPr>
        <w:pStyle w:val="FootnoteText"/>
        <w:rPr>
          <w:i/>
          <w:iCs/>
        </w:rPr>
      </w:pPr>
      <w:r>
        <w:rPr>
          <w:rStyle w:val="FootnoteReference"/>
        </w:rPr>
        <w:footnoteRef/>
      </w:r>
      <w:r>
        <w:t xml:space="preserve"> FSANZ, ‘Review of the regulatory management of food allergens,’ 2010. </w:t>
      </w:r>
      <w:hyperlink r:id="rId27" w:history="1">
        <w:r w:rsidRPr="00E170CE">
          <w:rPr>
            <w:rStyle w:val="Hyperlink"/>
          </w:rPr>
          <w:t>[Link]</w:t>
        </w:r>
      </w:hyperlink>
    </w:p>
  </w:footnote>
  <w:footnote w:id="60">
    <w:p w14:paraId="38C79F88" w14:textId="74056E31" w:rsidR="0062278E" w:rsidRDefault="0062278E">
      <w:pPr>
        <w:pStyle w:val="FootnoteText"/>
      </w:pPr>
      <w:r>
        <w:rPr>
          <w:rStyle w:val="FootnoteReference"/>
        </w:rPr>
        <w:footnoteRef/>
      </w:r>
      <w:r>
        <w:t xml:space="preserve"> </w:t>
      </w:r>
      <w:r w:rsidR="00255E3C">
        <w:t xml:space="preserve">The compound wage rate excludes the CEO’s wage. Where initiatives require CEO time, the CEO wage rate of </w:t>
      </w:r>
      <w:proofErr w:type="gramStart"/>
      <w:r w:rsidR="005F3A8B">
        <w:t>$320,000</w:t>
      </w:r>
      <w:proofErr w:type="gramEnd"/>
    </w:p>
  </w:footnote>
  <w:footnote w:id="61">
    <w:p w14:paraId="6CB74951" w14:textId="49AA5F32" w:rsidR="00DF3601" w:rsidRPr="001346FF" w:rsidRDefault="00DF3601" w:rsidP="001346FF">
      <w:pPr>
        <w:pStyle w:val="FootnoteText"/>
        <w:jc w:val="both"/>
        <w:rPr>
          <w:sz w:val="13"/>
          <w:szCs w:val="18"/>
        </w:rPr>
      </w:pPr>
      <w:r>
        <w:rPr>
          <w:rStyle w:val="FootnoteReference"/>
        </w:rPr>
        <w:footnoteRef/>
      </w:r>
      <w:r>
        <w:t xml:space="preserve"> Australian Native Food &amp; Botanicals, ‘</w:t>
      </w:r>
      <w:r>
        <w:rPr>
          <w:i/>
          <w:iCs/>
        </w:rPr>
        <w:t xml:space="preserve">Australian native food and botanicals,’ </w:t>
      </w:r>
      <w:r>
        <w:t xml:space="preserve">2020 </w:t>
      </w:r>
      <w:hyperlink r:id="rId28" w:history="1">
        <w:r w:rsidRPr="001346FF">
          <w:rPr>
            <w:rStyle w:val="Hyperlink"/>
            <w:sz w:val="13"/>
            <w:szCs w:val="18"/>
          </w:rPr>
          <w:t>[Link]</w:t>
        </w:r>
      </w:hyperlink>
    </w:p>
  </w:footnote>
  <w:footnote w:id="62">
    <w:p w14:paraId="4FFAFBAF" w14:textId="2A0C1496" w:rsidR="00DF3601" w:rsidRPr="004E7B82" w:rsidRDefault="00DF3601">
      <w:pPr>
        <w:pStyle w:val="FootnoteText"/>
        <w:rPr>
          <w:i/>
          <w:iCs/>
        </w:rPr>
      </w:pPr>
      <w:r>
        <w:rPr>
          <w:rStyle w:val="FootnoteReference"/>
        </w:rPr>
        <w:footnoteRef/>
      </w:r>
      <w:r>
        <w:t xml:space="preserve"> New Zealand Ministry of Primary Industries, ‘</w:t>
      </w:r>
      <w:r>
        <w:rPr>
          <w:i/>
          <w:iCs/>
        </w:rPr>
        <w:t>The future of Aotearoa New Zealand’s Food Sector’</w:t>
      </w:r>
    </w:p>
  </w:footnote>
  <w:footnote w:id="63">
    <w:p w14:paraId="77DFA2A5" w14:textId="38CAA5B1" w:rsidR="00DF3601" w:rsidRPr="005A53AE" w:rsidRDefault="00DF3601" w:rsidP="00923BE4">
      <w:pPr>
        <w:pStyle w:val="FootnoteText"/>
      </w:pPr>
      <w:r>
        <w:rPr>
          <w:rStyle w:val="FootnoteReference"/>
        </w:rPr>
        <w:footnoteRef/>
      </w:r>
      <w:r>
        <w:t xml:space="preserve"> This case study is based on </w:t>
      </w:r>
      <w:r w:rsidRPr="005A53AE">
        <w:rPr>
          <w:i/>
          <w:iCs/>
        </w:rPr>
        <w:t>A1212 – Beta-</w:t>
      </w:r>
      <w:proofErr w:type="spellStart"/>
      <w:r w:rsidRPr="005A53AE">
        <w:rPr>
          <w:i/>
          <w:iCs/>
        </w:rPr>
        <w:t>fructofuranosidase</w:t>
      </w:r>
      <w:proofErr w:type="spellEnd"/>
      <w:r w:rsidRPr="005A53AE">
        <w:rPr>
          <w:i/>
          <w:iCs/>
        </w:rPr>
        <w:t xml:space="preserve"> enzyme from Aspergillus </w:t>
      </w:r>
      <w:proofErr w:type="spellStart"/>
      <w:r w:rsidRPr="005A53AE">
        <w:rPr>
          <w:i/>
          <w:iCs/>
        </w:rPr>
        <w:t>fijensis</w:t>
      </w:r>
      <w:proofErr w:type="spellEnd"/>
      <w:r>
        <w:rPr>
          <w:i/>
          <w:iCs/>
        </w:rPr>
        <w:t xml:space="preserve">. </w:t>
      </w:r>
      <w:r>
        <w:t xml:space="preserve">Documents available at: </w:t>
      </w:r>
      <w:r>
        <w:br/>
      </w:r>
      <w:hyperlink r:id="rId29" w:history="1">
        <w:r w:rsidRPr="0023349A">
          <w:rPr>
            <w:rStyle w:val="Hyperlink"/>
          </w:rPr>
          <w:t>&lt;https://www.foodstandards.gov.au/code/applications/Pages/a1212.aspx&gt;</w:t>
        </w:r>
      </w:hyperlink>
      <w:r>
        <w:t xml:space="preserve"> </w:t>
      </w:r>
    </w:p>
  </w:footnote>
  <w:footnote w:id="64">
    <w:p w14:paraId="596F8DC6" w14:textId="443D1E5F" w:rsidR="00DF3601" w:rsidRPr="000E0706" w:rsidRDefault="00DF3601" w:rsidP="00923BE4">
      <w:pPr>
        <w:pStyle w:val="FootnoteText"/>
      </w:pPr>
      <w:r w:rsidRPr="000E0706">
        <w:rPr>
          <w:rStyle w:val="FootnoteReference"/>
        </w:rPr>
        <w:footnoteRef/>
      </w:r>
      <w:r w:rsidRPr="000E0706">
        <w:t xml:space="preserve"> This case study is based on </w:t>
      </w:r>
      <w:r w:rsidRPr="000E0706">
        <w:rPr>
          <w:i/>
          <w:iCs/>
        </w:rPr>
        <w:t xml:space="preserve">A1226 – Food derived from insect-protected corn line MON95379, </w:t>
      </w:r>
      <w:r w:rsidRPr="000E0706">
        <w:t>Documents available at:</w:t>
      </w:r>
      <w:hyperlink r:id="rId30" w:history="1">
        <w:r w:rsidR="005F2C95" w:rsidRPr="005F2C95">
          <w:rPr>
            <w:rStyle w:val="Hyperlink"/>
          </w:rPr>
          <w:t>https://www.foodstandards.gov.au/code/applications/Pages/A1226%20-%20Food%20derived%20from%20insect-protecte%20corn%20line%20MON95379.aspx</w:t>
        </w:r>
      </w:hyperlink>
      <w:r w:rsidRPr="000E0706">
        <w:t xml:space="preserve"> </w:t>
      </w:r>
    </w:p>
  </w:footnote>
  <w:footnote w:id="65">
    <w:p w14:paraId="279ECC42" w14:textId="77777777" w:rsidR="00DF3601" w:rsidRDefault="00DF3601" w:rsidP="00923BE4">
      <w:pPr>
        <w:pStyle w:val="FootnoteText"/>
      </w:pPr>
      <w:r w:rsidRPr="000E0706">
        <w:rPr>
          <w:rStyle w:val="FootnoteReference"/>
        </w:rPr>
        <w:footnoteRef/>
      </w:r>
      <w:r w:rsidRPr="000E0706">
        <w:t xml:space="preserve"> This assessment would be by the Gene Technology Regulator in Australia and the Environmental Protection Authority in New Zealand.</w:t>
      </w:r>
    </w:p>
  </w:footnote>
  <w:footnote w:id="66">
    <w:p w14:paraId="120EC5F6" w14:textId="77777777" w:rsidR="00DF3601" w:rsidRPr="009556B2" w:rsidRDefault="00DF3601" w:rsidP="00923BE4">
      <w:pPr>
        <w:pStyle w:val="FootnoteText"/>
      </w:pPr>
      <w:r>
        <w:rPr>
          <w:rStyle w:val="FootnoteReference"/>
        </w:rPr>
        <w:footnoteRef/>
      </w:r>
      <w:r>
        <w:t xml:space="preserve"> This case study is based on </w:t>
      </w:r>
      <w:r>
        <w:rPr>
          <w:i/>
          <w:iCs/>
        </w:rPr>
        <w:t xml:space="preserve">P1028 – Infant Formula. </w:t>
      </w:r>
      <w:r>
        <w:t xml:space="preserve">Information available at: </w:t>
      </w:r>
      <w:r>
        <w:br/>
        <w:t>&lt;</w:t>
      </w:r>
      <w:r w:rsidRPr="00121598">
        <w:t>https://www.foodstandards.gov.au/code/applications/Documents/02%20A1226%20CFS.pdf</w:t>
      </w:r>
      <w:r>
        <w:t xml:space="preserve">&gt; </w:t>
      </w:r>
      <w:r>
        <w:br/>
        <w:t>&lt;</w:t>
      </w:r>
      <w:r w:rsidRPr="007504B3">
        <w:t>https://www.foodstandards.gov.au/code/proposals/Pages/P1028.aspx</w:t>
      </w:r>
      <w:r>
        <w:t xml:space="preserve">&gt;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1159" w14:textId="77777777" w:rsidR="00DF3601" w:rsidRDefault="00DF3601">
    <w:pPr>
      <w:pStyle w:val="Header"/>
    </w:pPr>
  </w:p>
  <w:p w14:paraId="679F928D" w14:textId="77777777" w:rsidR="00DF3601" w:rsidRDefault="00DF36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740B1" w14:textId="77777777" w:rsidR="00DF3601" w:rsidRDefault="00DF3601" w:rsidP="002957E5">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7CBC" w14:textId="3DE0FBB7" w:rsidR="00DF3601" w:rsidRDefault="00DF3601" w:rsidP="009C08CE">
    <w:pPr>
      <w:pStyle w:val="Header"/>
      <w:tabs>
        <w:tab w:val="clear" w:pos="4513"/>
        <w:tab w:val="clear" w:pos="902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5172" w14:textId="77777777" w:rsidR="00DF3601" w:rsidRDefault="00DF3601">
    <w:pPr>
      <w:pStyle w:val="Header"/>
    </w:pPr>
  </w:p>
  <w:p w14:paraId="581555BC" w14:textId="77777777" w:rsidR="00DF3601" w:rsidRDefault="00DF36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B7B0D" w14:textId="1EB78E59" w:rsidR="00DF3601" w:rsidRDefault="00DF36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2840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48A65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21254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648F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3A421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E6AB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B624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986F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6C5B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C0432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315F3"/>
    <w:multiLevelType w:val="multilevel"/>
    <w:tmpl w:val="C8F047BE"/>
    <w:styleLink w:val="Tableexp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1" w15:restartNumberingAfterBreak="0">
    <w:nsid w:val="004C1947"/>
    <w:multiLevelType w:val="hybridMultilevel"/>
    <w:tmpl w:val="02582154"/>
    <w:lvl w:ilvl="0" w:tplc="FC32ADAE">
      <w:start w:val="1"/>
      <w:numFmt w:val="decimal"/>
      <w:pStyle w:val="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0975037"/>
    <w:multiLevelType w:val="hybridMultilevel"/>
    <w:tmpl w:val="470619B0"/>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2F92A78"/>
    <w:multiLevelType w:val="hybridMultilevel"/>
    <w:tmpl w:val="ED1CE166"/>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7E50FD4"/>
    <w:multiLevelType w:val="hybridMultilevel"/>
    <w:tmpl w:val="DBE805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9A31A2"/>
    <w:multiLevelType w:val="multilevel"/>
    <w:tmpl w:val="B608F49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08AE24D4"/>
    <w:multiLevelType w:val="hybridMultilevel"/>
    <w:tmpl w:val="2154DA14"/>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273246"/>
    <w:multiLevelType w:val="hybridMultilevel"/>
    <w:tmpl w:val="D2E89D14"/>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A521A6D"/>
    <w:multiLevelType w:val="hybridMultilevel"/>
    <w:tmpl w:val="A142EAD0"/>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A742CF6"/>
    <w:multiLevelType w:val="hybridMultilevel"/>
    <w:tmpl w:val="F8E2BC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CC1717C"/>
    <w:multiLevelType w:val="hybridMultilevel"/>
    <w:tmpl w:val="D03C317C"/>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1" w15:restartNumberingAfterBreak="0">
    <w:nsid w:val="0D175643"/>
    <w:multiLevelType w:val="hybridMultilevel"/>
    <w:tmpl w:val="40E4F18C"/>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2B96538"/>
    <w:multiLevelType w:val="hybridMultilevel"/>
    <w:tmpl w:val="AED6DE62"/>
    <w:lvl w:ilvl="0" w:tplc="D840C34A">
      <w:start w:val="1"/>
      <w:numFmt w:val="bullet"/>
      <w:lvlText w:val="•"/>
      <w:lvlJc w:val="left"/>
      <w:pPr>
        <w:tabs>
          <w:tab w:val="num" w:pos="720"/>
        </w:tabs>
        <w:ind w:left="720" w:hanging="360"/>
      </w:pPr>
      <w:rPr>
        <w:rFonts w:ascii="Arial" w:hAnsi="Arial" w:hint="default"/>
      </w:rPr>
    </w:lvl>
    <w:lvl w:ilvl="1" w:tplc="955C94FC" w:tentative="1">
      <w:start w:val="1"/>
      <w:numFmt w:val="bullet"/>
      <w:lvlText w:val="•"/>
      <w:lvlJc w:val="left"/>
      <w:pPr>
        <w:tabs>
          <w:tab w:val="num" w:pos="1440"/>
        </w:tabs>
        <w:ind w:left="1440" w:hanging="360"/>
      </w:pPr>
      <w:rPr>
        <w:rFonts w:ascii="Arial" w:hAnsi="Arial" w:hint="default"/>
      </w:rPr>
    </w:lvl>
    <w:lvl w:ilvl="2" w:tplc="2522E5A2" w:tentative="1">
      <w:start w:val="1"/>
      <w:numFmt w:val="bullet"/>
      <w:lvlText w:val="•"/>
      <w:lvlJc w:val="left"/>
      <w:pPr>
        <w:tabs>
          <w:tab w:val="num" w:pos="2160"/>
        </w:tabs>
        <w:ind w:left="2160" w:hanging="360"/>
      </w:pPr>
      <w:rPr>
        <w:rFonts w:ascii="Arial" w:hAnsi="Arial" w:hint="default"/>
      </w:rPr>
    </w:lvl>
    <w:lvl w:ilvl="3" w:tplc="F85C80FE" w:tentative="1">
      <w:start w:val="1"/>
      <w:numFmt w:val="bullet"/>
      <w:lvlText w:val="•"/>
      <w:lvlJc w:val="left"/>
      <w:pPr>
        <w:tabs>
          <w:tab w:val="num" w:pos="2880"/>
        </w:tabs>
        <w:ind w:left="2880" w:hanging="360"/>
      </w:pPr>
      <w:rPr>
        <w:rFonts w:ascii="Arial" w:hAnsi="Arial" w:hint="default"/>
      </w:rPr>
    </w:lvl>
    <w:lvl w:ilvl="4" w:tplc="2ECC9752" w:tentative="1">
      <w:start w:val="1"/>
      <w:numFmt w:val="bullet"/>
      <w:lvlText w:val="•"/>
      <w:lvlJc w:val="left"/>
      <w:pPr>
        <w:tabs>
          <w:tab w:val="num" w:pos="3600"/>
        </w:tabs>
        <w:ind w:left="3600" w:hanging="360"/>
      </w:pPr>
      <w:rPr>
        <w:rFonts w:ascii="Arial" w:hAnsi="Arial" w:hint="default"/>
      </w:rPr>
    </w:lvl>
    <w:lvl w:ilvl="5" w:tplc="9F8401E4" w:tentative="1">
      <w:start w:val="1"/>
      <w:numFmt w:val="bullet"/>
      <w:lvlText w:val="•"/>
      <w:lvlJc w:val="left"/>
      <w:pPr>
        <w:tabs>
          <w:tab w:val="num" w:pos="4320"/>
        </w:tabs>
        <w:ind w:left="4320" w:hanging="360"/>
      </w:pPr>
      <w:rPr>
        <w:rFonts w:ascii="Arial" w:hAnsi="Arial" w:hint="default"/>
      </w:rPr>
    </w:lvl>
    <w:lvl w:ilvl="6" w:tplc="D1FC337C" w:tentative="1">
      <w:start w:val="1"/>
      <w:numFmt w:val="bullet"/>
      <w:lvlText w:val="•"/>
      <w:lvlJc w:val="left"/>
      <w:pPr>
        <w:tabs>
          <w:tab w:val="num" w:pos="5040"/>
        </w:tabs>
        <w:ind w:left="5040" w:hanging="360"/>
      </w:pPr>
      <w:rPr>
        <w:rFonts w:ascii="Arial" w:hAnsi="Arial" w:hint="default"/>
      </w:rPr>
    </w:lvl>
    <w:lvl w:ilvl="7" w:tplc="65AA94FE" w:tentative="1">
      <w:start w:val="1"/>
      <w:numFmt w:val="bullet"/>
      <w:lvlText w:val="•"/>
      <w:lvlJc w:val="left"/>
      <w:pPr>
        <w:tabs>
          <w:tab w:val="num" w:pos="5760"/>
        </w:tabs>
        <w:ind w:left="5760" w:hanging="360"/>
      </w:pPr>
      <w:rPr>
        <w:rFonts w:ascii="Arial" w:hAnsi="Arial" w:hint="default"/>
      </w:rPr>
    </w:lvl>
    <w:lvl w:ilvl="8" w:tplc="7FA6923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B42CB5"/>
    <w:multiLevelType w:val="hybridMultilevel"/>
    <w:tmpl w:val="2BAE1430"/>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5" w15:restartNumberingAfterBreak="0">
    <w:nsid w:val="1EE458E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3E71125"/>
    <w:multiLevelType w:val="hybridMultilevel"/>
    <w:tmpl w:val="C87A980C"/>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45E74CF"/>
    <w:multiLevelType w:val="hybridMultilevel"/>
    <w:tmpl w:val="07A46D5E"/>
    <w:lvl w:ilvl="0" w:tplc="57387436">
      <w:start w:val="1"/>
      <w:numFmt w:val="bullet"/>
      <w:lvlText w:val=""/>
      <w:lvlJc w:val="left"/>
      <w:pPr>
        <w:ind w:left="227" w:hanging="227"/>
      </w:pPr>
      <w:rPr>
        <w:rFonts w:ascii="Symbol" w:hAnsi="Symbol" w:hint="default"/>
        <w:color w:val="auto"/>
        <w:position w:val="4"/>
        <w:sz w:val="16"/>
      </w:rPr>
    </w:lvl>
    <w:lvl w:ilvl="1" w:tplc="0C090001">
      <w:start w:val="1"/>
      <w:numFmt w:val="bullet"/>
      <w:lvlText w:val=""/>
      <w:lvlJc w:val="left"/>
      <w:pPr>
        <w:ind w:left="510" w:hanging="226"/>
      </w:pPr>
      <w:rPr>
        <w:rFonts w:ascii="Symbol" w:hAnsi="Symbol" w:hint="default"/>
        <w:color w:val="auto"/>
        <w:position w:val="4"/>
        <w:sz w:val="16"/>
      </w:rPr>
    </w:lvl>
    <w:lvl w:ilvl="2" w:tplc="CC349246">
      <w:start w:val="1"/>
      <w:numFmt w:val="bullet"/>
      <w:lvlText w:val=""/>
      <w:lvlJc w:val="left"/>
      <w:pPr>
        <w:ind w:left="794" w:hanging="227"/>
      </w:pPr>
      <w:rPr>
        <w:rFonts w:ascii="Symbol" w:hAnsi="Symbol" w:hint="default"/>
        <w:color w:val="auto"/>
        <w:position w:val="4"/>
        <w:sz w:val="16"/>
      </w:rPr>
    </w:lvl>
    <w:lvl w:ilvl="3" w:tplc="0812DDA0">
      <w:start w:val="1"/>
      <w:numFmt w:val="bullet"/>
      <w:lvlText w:val=""/>
      <w:lvlJc w:val="left"/>
      <w:pPr>
        <w:ind w:left="680" w:hanging="170"/>
      </w:pPr>
      <w:rPr>
        <w:rFonts w:ascii="Wingdings 2" w:hAnsi="Wingdings 2" w:hint="default"/>
        <w:color w:val="404040" w:themeColor="text1" w:themeTint="BF"/>
        <w:position w:val="4"/>
        <w:sz w:val="10"/>
      </w:rPr>
    </w:lvl>
    <w:lvl w:ilvl="4" w:tplc="F3EA1DD8">
      <w:start w:val="1"/>
      <w:numFmt w:val="lowerLetter"/>
      <w:lvlText w:val="(%5)"/>
      <w:lvlJc w:val="left"/>
      <w:pPr>
        <w:ind w:left="850" w:hanging="170"/>
      </w:pPr>
      <w:rPr>
        <w:rFonts w:hint="default"/>
      </w:rPr>
    </w:lvl>
    <w:lvl w:ilvl="5" w:tplc="71E60F60">
      <w:start w:val="1"/>
      <w:numFmt w:val="lowerRoman"/>
      <w:lvlText w:val="(%6)"/>
      <w:lvlJc w:val="left"/>
      <w:pPr>
        <w:ind w:left="1020" w:hanging="170"/>
      </w:pPr>
      <w:rPr>
        <w:rFonts w:hint="default"/>
      </w:rPr>
    </w:lvl>
    <w:lvl w:ilvl="6" w:tplc="10DC0C32">
      <w:start w:val="1"/>
      <w:numFmt w:val="decimal"/>
      <w:lvlText w:val="%7."/>
      <w:lvlJc w:val="left"/>
      <w:pPr>
        <w:ind w:left="1190" w:hanging="170"/>
      </w:pPr>
      <w:rPr>
        <w:rFonts w:hint="default"/>
      </w:rPr>
    </w:lvl>
    <w:lvl w:ilvl="7" w:tplc="60948EB6">
      <w:start w:val="1"/>
      <w:numFmt w:val="lowerLetter"/>
      <w:lvlText w:val="%8."/>
      <w:lvlJc w:val="left"/>
      <w:pPr>
        <w:ind w:left="1360" w:hanging="170"/>
      </w:pPr>
      <w:rPr>
        <w:rFonts w:hint="default"/>
      </w:rPr>
    </w:lvl>
    <w:lvl w:ilvl="8" w:tplc="5AE451AC">
      <w:start w:val="1"/>
      <w:numFmt w:val="lowerRoman"/>
      <w:lvlText w:val="%9."/>
      <w:lvlJc w:val="left"/>
      <w:pPr>
        <w:ind w:left="1530" w:hanging="170"/>
      </w:pPr>
      <w:rPr>
        <w:rFonts w:hint="default"/>
      </w:rPr>
    </w:lvl>
  </w:abstractNum>
  <w:abstractNum w:abstractNumId="28" w15:restartNumberingAfterBreak="0">
    <w:nsid w:val="24A75387"/>
    <w:multiLevelType w:val="hybridMultilevel"/>
    <w:tmpl w:val="652226B6"/>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6194384"/>
    <w:multiLevelType w:val="hybridMultilevel"/>
    <w:tmpl w:val="D5A6BF74"/>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3DD75F9"/>
    <w:multiLevelType w:val="hybridMultilevel"/>
    <w:tmpl w:val="18AE22F8"/>
    <w:lvl w:ilvl="0" w:tplc="0C09000F">
      <w:start w:val="1"/>
      <w:numFmt w:val="decimal"/>
      <w:lvlText w:val="%1."/>
      <w:lvlJc w:val="left"/>
      <w:pPr>
        <w:ind w:left="720" w:hanging="360"/>
      </w:pPr>
    </w:lvl>
    <w:lvl w:ilvl="1" w:tplc="4B902480">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4461FA"/>
    <w:multiLevelType w:val="hybridMultilevel"/>
    <w:tmpl w:val="FD485FF0"/>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7562206"/>
    <w:multiLevelType w:val="hybridMultilevel"/>
    <w:tmpl w:val="FB36DB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61096A"/>
    <w:multiLevelType w:val="hybridMultilevel"/>
    <w:tmpl w:val="CE5EA4DE"/>
    <w:lvl w:ilvl="0" w:tplc="77A6A4D2">
      <w:start w:val="1"/>
      <w:numFmt w:val="bullet"/>
      <w:lvlText w:val="•"/>
      <w:lvlJc w:val="left"/>
      <w:pPr>
        <w:tabs>
          <w:tab w:val="num" w:pos="720"/>
        </w:tabs>
        <w:ind w:left="720" w:hanging="360"/>
      </w:pPr>
      <w:rPr>
        <w:rFonts w:ascii="Arial" w:hAnsi="Arial" w:hint="default"/>
      </w:rPr>
    </w:lvl>
    <w:lvl w:ilvl="1" w:tplc="9C525CD2" w:tentative="1">
      <w:start w:val="1"/>
      <w:numFmt w:val="bullet"/>
      <w:lvlText w:val="•"/>
      <w:lvlJc w:val="left"/>
      <w:pPr>
        <w:tabs>
          <w:tab w:val="num" w:pos="1440"/>
        </w:tabs>
        <w:ind w:left="1440" w:hanging="360"/>
      </w:pPr>
      <w:rPr>
        <w:rFonts w:ascii="Arial" w:hAnsi="Arial" w:hint="default"/>
      </w:rPr>
    </w:lvl>
    <w:lvl w:ilvl="2" w:tplc="507AC6FE" w:tentative="1">
      <w:start w:val="1"/>
      <w:numFmt w:val="bullet"/>
      <w:lvlText w:val="•"/>
      <w:lvlJc w:val="left"/>
      <w:pPr>
        <w:tabs>
          <w:tab w:val="num" w:pos="2160"/>
        </w:tabs>
        <w:ind w:left="2160" w:hanging="360"/>
      </w:pPr>
      <w:rPr>
        <w:rFonts w:ascii="Arial" w:hAnsi="Arial" w:hint="default"/>
      </w:rPr>
    </w:lvl>
    <w:lvl w:ilvl="3" w:tplc="8C922898" w:tentative="1">
      <w:start w:val="1"/>
      <w:numFmt w:val="bullet"/>
      <w:lvlText w:val="•"/>
      <w:lvlJc w:val="left"/>
      <w:pPr>
        <w:tabs>
          <w:tab w:val="num" w:pos="2880"/>
        </w:tabs>
        <w:ind w:left="2880" w:hanging="360"/>
      </w:pPr>
      <w:rPr>
        <w:rFonts w:ascii="Arial" w:hAnsi="Arial" w:hint="default"/>
      </w:rPr>
    </w:lvl>
    <w:lvl w:ilvl="4" w:tplc="9A5C21D2" w:tentative="1">
      <w:start w:val="1"/>
      <w:numFmt w:val="bullet"/>
      <w:lvlText w:val="•"/>
      <w:lvlJc w:val="left"/>
      <w:pPr>
        <w:tabs>
          <w:tab w:val="num" w:pos="3600"/>
        </w:tabs>
        <w:ind w:left="3600" w:hanging="360"/>
      </w:pPr>
      <w:rPr>
        <w:rFonts w:ascii="Arial" w:hAnsi="Arial" w:hint="default"/>
      </w:rPr>
    </w:lvl>
    <w:lvl w:ilvl="5" w:tplc="E872110C" w:tentative="1">
      <w:start w:val="1"/>
      <w:numFmt w:val="bullet"/>
      <w:lvlText w:val="•"/>
      <w:lvlJc w:val="left"/>
      <w:pPr>
        <w:tabs>
          <w:tab w:val="num" w:pos="4320"/>
        </w:tabs>
        <w:ind w:left="4320" w:hanging="360"/>
      </w:pPr>
      <w:rPr>
        <w:rFonts w:ascii="Arial" w:hAnsi="Arial" w:hint="default"/>
      </w:rPr>
    </w:lvl>
    <w:lvl w:ilvl="6" w:tplc="4372F87E" w:tentative="1">
      <w:start w:val="1"/>
      <w:numFmt w:val="bullet"/>
      <w:lvlText w:val="•"/>
      <w:lvlJc w:val="left"/>
      <w:pPr>
        <w:tabs>
          <w:tab w:val="num" w:pos="5040"/>
        </w:tabs>
        <w:ind w:left="5040" w:hanging="360"/>
      </w:pPr>
      <w:rPr>
        <w:rFonts w:ascii="Arial" w:hAnsi="Arial" w:hint="default"/>
      </w:rPr>
    </w:lvl>
    <w:lvl w:ilvl="7" w:tplc="961C3B64" w:tentative="1">
      <w:start w:val="1"/>
      <w:numFmt w:val="bullet"/>
      <w:lvlText w:val="•"/>
      <w:lvlJc w:val="left"/>
      <w:pPr>
        <w:tabs>
          <w:tab w:val="num" w:pos="5760"/>
        </w:tabs>
        <w:ind w:left="5760" w:hanging="360"/>
      </w:pPr>
      <w:rPr>
        <w:rFonts w:ascii="Arial" w:hAnsi="Arial" w:hint="default"/>
      </w:rPr>
    </w:lvl>
    <w:lvl w:ilvl="8" w:tplc="E09C67B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5" w15:restartNumberingAfterBreak="0">
    <w:nsid w:val="3DBA3888"/>
    <w:multiLevelType w:val="hybridMultilevel"/>
    <w:tmpl w:val="E5A6B9FC"/>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E6E3A5A"/>
    <w:multiLevelType w:val="hybridMultilevel"/>
    <w:tmpl w:val="77EC0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37A5DE8"/>
    <w:multiLevelType w:val="hybridMultilevel"/>
    <w:tmpl w:val="9D66D56C"/>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8511A7"/>
    <w:multiLevelType w:val="hybridMultilevel"/>
    <w:tmpl w:val="C310D366"/>
    <w:lvl w:ilvl="0" w:tplc="8B20BE0A">
      <w:start w:val="1"/>
      <w:numFmt w:val="bullet"/>
      <w:pStyle w:val="Rec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516F49F0"/>
    <w:multiLevelType w:val="hybridMultilevel"/>
    <w:tmpl w:val="6BBA502E"/>
    <w:lvl w:ilvl="0" w:tplc="47A884E2">
      <w:start w:val="1"/>
      <w:numFmt w:val="bullet"/>
      <w:lvlText w:val="•"/>
      <w:lvlJc w:val="left"/>
      <w:pPr>
        <w:tabs>
          <w:tab w:val="num" w:pos="720"/>
        </w:tabs>
        <w:ind w:left="720" w:hanging="360"/>
      </w:pPr>
      <w:rPr>
        <w:rFonts w:ascii="Arial" w:hAnsi="Arial" w:hint="default"/>
      </w:rPr>
    </w:lvl>
    <w:lvl w:ilvl="1" w:tplc="3AF64D48" w:tentative="1">
      <w:start w:val="1"/>
      <w:numFmt w:val="bullet"/>
      <w:lvlText w:val="•"/>
      <w:lvlJc w:val="left"/>
      <w:pPr>
        <w:tabs>
          <w:tab w:val="num" w:pos="1440"/>
        </w:tabs>
        <w:ind w:left="1440" w:hanging="360"/>
      </w:pPr>
      <w:rPr>
        <w:rFonts w:ascii="Arial" w:hAnsi="Arial" w:hint="default"/>
      </w:rPr>
    </w:lvl>
    <w:lvl w:ilvl="2" w:tplc="49DCCFFA" w:tentative="1">
      <w:start w:val="1"/>
      <w:numFmt w:val="bullet"/>
      <w:lvlText w:val="•"/>
      <w:lvlJc w:val="left"/>
      <w:pPr>
        <w:tabs>
          <w:tab w:val="num" w:pos="2160"/>
        </w:tabs>
        <w:ind w:left="2160" w:hanging="360"/>
      </w:pPr>
      <w:rPr>
        <w:rFonts w:ascii="Arial" w:hAnsi="Arial" w:hint="default"/>
      </w:rPr>
    </w:lvl>
    <w:lvl w:ilvl="3" w:tplc="659EE652" w:tentative="1">
      <w:start w:val="1"/>
      <w:numFmt w:val="bullet"/>
      <w:lvlText w:val="•"/>
      <w:lvlJc w:val="left"/>
      <w:pPr>
        <w:tabs>
          <w:tab w:val="num" w:pos="2880"/>
        </w:tabs>
        <w:ind w:left="2880" w:hanging="360"/>
      </w:pPr>
      <w:rPr>
        <w:rFonts w:ascii="Arial" w:hAnsi="Arial" w:hint="default"/>
      </w:rPr>
    </w:lvl>
    <w:lvl w:ilvl="4" w:tplc="7C5067D0" w:tentative="1">
      <w:start w:val="1"/>
      <w:numFmt w:val="bullet"/>
      <w:lvlText w:val="•"/>
      <w:lvlJc w:val="left"/>
      <w:pPr>
        <w:tabs>
          <w:tab w:val="num" w:pos="3600"/>
        </w:tabs>
        <w:ind w:left="3600" w:hanging="360"/>
      </w:pPr>
      <w:rPr>
        <w:rFonts w:ascii="Arial" w:hAnsi="Arial" w:hint="default"/>
      </w:rPr>
    </w:lvl>
    <w:lvl w:ilvl="5" w:tplc="0E4E121E" w:tentative="1">
      <w:start w:val="1"/>
      <w:numFmt w:val="bullet"/>
      <w:lvlText w:val="•"/>
      <w:lvlJc w:val="left"/>
      <w:pPr>
        <w:tabs>
          <w:tab w:val="num" w:pos="4320"/>
        </w:tabs>
        <w:ind w:left="4320" w:hanging="360"/>
      </w:pPr>
      <w:rPr>
        <w:rFonts w:ascii="Arial" w:hAnsi="Arial" w:hint="default"/>
      </w:rPr>
    </w:lvl>
    <w:lvl w:ilvl="6" w:tplc="6090CE86" w:tentative="1">
      <w:start w:val="1"/>
      <w:numFmt w:val="bullet"/>
      <w:lvlText w:val="•"/>
      <w:lvlJc w:val="left"/>
      <w:pPr>
        <w:tabs>
          <w:tab w:val="num" w:pos="5040"/>
        </w:tabs>
        <w:ind w:left="5040" w:hanging="360"/>
      </w:pPr>
      <w:rPr>
        <w:rFonts w:ascii="Arial" w:hAnsi="Arial" w:hint="default"/>
      </w:rPr>
    </w:lvl>
    <w:lvl w:ilvl="7" w:tplc="AAD65340" w:tentative="1">
      <w:start w:val="1"/>
      <w:numFmt w:val="bullet"/>
      <w:lvlText w:val="•"/>
      <w:lvlJc w:val="left"/>
      <w:pPr>
        <w:tabs>
          <w:tab w:val="num" w:pos="5760"/>
        </w:tabs>
        <w:ind w:left="5760" w:hanging="360"/>
      </w:pPr>
      <w:rPr>
        <w:rFonts w:ascii="Arial" w:hAnsi="Arial" w:hint="default"/>
      </w:rPr>
    </w:lvl>
    <w:lvl w:ilvl="8" w:tplc="1C7E913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4AF0D57"/>
    <w:multiLevelType w:val="hybridMultilevel"/>
    <w:tmpl w:val="B8809DEE"/>
    <w:lvl w:ilvl="0" w:tplc="0409000F">
      <w:start w:val="1"/>
      <w:numFmt w:val="decimal"/>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4"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56F4550"/>
    <w:multiLevelType w:val="hybridMultilevel"/>
    <w:tmpl w:val="2E467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A60114"/>
    <w:multiLevelType w:val="hybridMultilevel"/>
    <w:tmpl w:val="0AB2A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6570B17"/>
    <w:multiLevelType w:val="hybridMultilevel"/>
    <w:tmpl w:val="9724D4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86E45BB"/>
    <w:multiLevelType w:val="hybridMultilevel"/>
    <w:tmpl w:val="990CD080"/>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9"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5B883CAC"/>
    <w:multiLevelType w:val="hybridMultilevel"/>
    <w:tmpl w:val="C0342C3A"/>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51" w15:restartNumberingAfterBreak="0">
    <w:nsid w:val="680F5920"/>
    <w:multiLevelType w:val="hybridMultilevel"/>
    <w:tmpl w:val="AE043A76"/>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8572986"/>
    <w:multiLevelType w:val="hybridMultilevel"/>
    <w:tmpl w:val="85489B26"/>
    <w:lvl w:ilvl="0" w:tplc="9CC019A0">
      <w:start w:val="1"/>
      <w:numFmt w:val="bullet"/>
      <w:lvlText w:val="•"/>
      <w:lvlJc w:val="left"/>
      <w:pPr>
        <w:tabs>
          <w:tab w:val="num" w:pos="720"/>
        </w:tabs>
        <w:ind w:left="720" w:hanging="360"/>
      </w:pPr>
      <w:rPr>
        <w:rFonts w:ascii="Arial" w:hAnsi="Arial" w:hint="default"/>
      </w:rPr>
    </w:lvl>
    <w:lvl w:ilvl="1" w:tplc="7D1C22AA">
      <w:start w:val="1"/>
      <w:numFmt w:val="bullet"/>
      <w:lvlText w:val="•"/>
      <w:lvlJc w:val="left"/>
      <w:pPr>
        <w:tabs>
          <w:tab w:val="num" w:pos="1440"/>
        </w:tabs>
        <w:ind w:left="1440" w:hanging="360"/>
      </w:pPr>
      <w:rPr>
        <w:rFonts w:ascii="Arial" w:hAnsi="Arial" w:hint="default"/>
      </w:rPr>
    </w:lvl>
    <w:lvl w:ilvl="2" w:tplc="1C125A5E" w:tentative="1">
      <w:start w:val="1"/>
      <w:numFmt w:val="bullet"/>
      <w:lvlText w:val="•"/>
      <w:lvlJc w:val="left"/>
      <w:pPr>
        <w:tabs>
          <w:tab w:val="num" w:pos="2160"/>
        </w:tabs>
        <w:ind w:left="2160" w:hanging="360"/>
      </w:pPr>
      <w:rPr>
        <w:rFonts w:ascii="Arial" w:hAnsi="Arial" w:hint="default"/>
      </w:rPr>
    </w:lvl>
    <w:lvl w:ilvl="3" w:tplc="4AE6EFF4" w:tentative="1">
      <w:start w:val="1"/>
      <w:numFmt w:val="bullet"/>
      <w:lvlText w:val="•"/>
      <w:lvlJc w:val="left"/>
      <w:pPr>
        <w:tabs>
          <w:tab w:val="num" w:pos="2880"/>
        </w:tabs>
        <w:ind w:left="2880" w:hanging="360"/>
      </w:pPr>
      <w:rPr>
        <w:rFonts w:ascii="Arial" w:hAnsi="Arial" w:hint="default"/>
      </w:rPr>
    </w:lvl>
    <w:lvl w:ilvl="4" w:tplc="1CA8C2E0" w:tentative="1">
      <w:start w:val="1"/>
      <w:numFmt w:val="bullet"/>
      <w:lvlText w:val="•"/>
      <w:lvlJc w:val="left"/>
      <w:pPr>
        <w:tabs>
          <w:tab w:val="num" w:pos="3600"/>
        </w:tabs>
        <w:ind w:left="3600" w:hanging="360"/>
      </w:pPr>
      <w:rPr>
        <w:rFonts w:ascii="Arial" w:hAnsi="Arial" w:hint="default"/>
      </w:rPr>
    </w:lvl>
    <w:lvl w:ilvl="5" w:tplc="C38C880E" w:tentative="1">
      <w:start w:val="1"/>
      <w:numFmt w:val="bullet"/>
      <w:lvlText w:val="•"/>
      <w:lvlJc w:val="left"/>
      <w:pPr>
        <w:tabs>
          <w:tab w:val="num" w:pos="4320"/>
        </w:tabs>
        <w:ind w:left="4320" w:hanging="360"/>
      </w:pPr>
      <w:rPr>
        <w:rFonts w:ascii="Arial" w:hAnsi="Arial" w:hint="default"/>
      </w:rPr>
    </w:lvl>
    <w:lvl w:ilvl="6" w:tplc="2B0CCE82" w:tentative="1">
      <w:start w:val="1"/>
      <w:numFmt w:val="bullet"/>
      <w:lvlText w:val="•"/>
      <w:lvlJc w:val="left"/>
      <w:pPr>
        <w:tabs>
          <w:tab w:val="num" w:pos="5040"/>
        </w:tabs>
        <w:ind w:left="5040" w:hanging="360"/>
      </w:pPr>
      <w:rPr>
        <w:rFonts w:ascii="Arial" w:hAnsi="Arial" w:hint="default"/>
      </w:rPr>
    </w:lvl>
    <w:lvl w:ilvl="7" w:tplc="0AD01BE8" w:tentative="1">
      <w:start w:val="1"/>
      <w:numFmt w:val="bullet"/>
      <w:lvlText w:val="•"/>
      <w:lvlJc w:val="left"/>
      <w:pPr>
        <w:tabs>
          <w:tab w:val="num" w:pos="5760"/>
        </w:tabs>
        <w:ind w:left="5760" w:hanging="360"/>
      </w:pPr>
      <w:rPr>
        <w:rFonts w:ascii="Arial" w:hAnsi="Arial" w:hint="default"/>
      </w:rPr>
    </w:lvl>
    <w:lvl w:ilvl="8" w:tplc="119861E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91B035F"/>
    <w:multiLevelType w:val="hybridMultilevel"/>
    <w:tmpl w:val="F70E765C"/>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A225C58"/>
    <w:multiLevelType w:val="hybridMultilevel"/>
    <w:tmpl w:val="8AE27B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A4C418D"/>
    <w:multiLevelType w:val="hybridMultilevel"/>
    <w:tmpl w:val="226AB4BE"/>
    <w:lvl w:ilvl="0" w:tplc="0EC8513C">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A620EA8"/>
    <w:multiLevelType w:val="hybridMultilevel"/>
    <w:tmpl w:val="09DA541E"/>
    <w:lvl w:ilvl="0" w:tplc="04090017">
      <w:start w:val="1"/>
      <w:numFmt w:val="lowerLetter"/>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57" w15:restartNumberingAfterBreak="0">
    <w:nsid w:val="6E41102B"/>
    <w:multiLevelType w:val="hybridMultilevel"/>
    <w:tmpl w:val="DA72DF92"/>
    <w:lvl w:ilvl="0" w:tplc="A9329068">
      <w:start w:val="1"/>
      <w:numFmt w:val="bullet"/>
      <w:lvlText w:val="•"/>
      <w:lvlJc w:val="left"/>
      <w:pPr>
        <w:tabs>
          <w:tab w:val="num" w:pos="720"/>
        </w:tabs>
        <w:ind w:left="720" w:hanging="360"/>
      </w:pPr>
      <w:rPr>
        <w:rFonts w:ascii="Arial" w:hAnsi="Arial" w:hint="default"/>
      </w:rPr>
    </w:lvl>
    <w:lvl w:ilvl="1" w:tplc="7A7414F6" w:tentative="1">
      <w:start w:val="1"/>
      <w:numFmt w:val="bullet"/>
      <w:lvlText w:val="•"/>
      <w:lvlJc w:val="left"/>
      <w:pPr>
        <w:tabs>
          <w:tab w:val="num" w:pos="1440"/>
        </w:tabs>
        <w:ind w:left="1440" w:hanging="360"/>
      </w:pPr>
      <w:rPr>
        <w:rFonts w:ascii="Arial" w:hAnsi="Arial" w:hint="default"/>
      </w:rPr>
    </w:lvl>
    <w:lvl w:ilvl="2" w:tplc="85C43914" w:tentative="1">
      <w:start w:val="1"/>
      <w:numFmt w:val="bullet"/>
      <w:lvlText w:val="•"/>
      <w:lvlJc w:val="left"/>
      <w:pPr>
        <w:tabs>
          <w:tab w:val="num" w:pos="2160"/>
        </w:tabs>
        <w:ind w:left="2160" w:hanging="360"/>
      </w:pPr>
      <w:rPr>
        <w:rFonts w:ascii="Arial" w:hAnsi="Arial" w:hint="default"/>
      </w:rPr>
    </w:lvl>
    <w:lvl w:ilvl="3" w:tplc="0756A778" w:tentative="1">
      <w:start w:val="1"/>
      <w:numFmt w:val="bullet"/>
      <w:lvlText w:val="•"/>
      <w:lvlJc w:val="left"/>
      <w:pPr>
        <w:tabs>
          <w:tab w:val="num" w:pos="2880"/>
        </w:tabs>
        <w:ind w:left="2880" w:hanging="360"/>
      </w:pPr>
      <w:rPr>
        <w:rFonts w:ascii="Arial" w:hAnsi="Arial" w:hint="default"/>
      </w:rPr>
    </w:lvl>
    <w:lvl w:ilvl="4" w:tplc="36FA928E" w:tentative="1">
      <w:start w:val="1"/>
      <w:numFmt w:val="bullet"/>
      <w:lvlText w:val="•"/>
      <w:lvlJc w:val="left"/>
      <w:pPr>
        <w:tabs>
          <w:tab w:val="num" w:pos="3600"/>
        </w:tabs>
        <w:ind w:left="3600" w:hanging="360"/>
      </w:pPr>
      <w:rPr>
        <w:rFonts w:ascii="Arial" w:hAnsi="Arial" w:hint="default"/>
      </w:rPr>
    </w:lvl>
    <w:lvl w:ilvl="5" w:tplc="C31A48DE" w:tentative="1">
      <w:start w:val="1"/>
      <w:numFmt w:val="bullet"/>
      <w:lvlText w:val="•"/>
      <w:lvlJc w:val="left"/>
      <w:pPr>
        <w:tabs>
          <w:tab w:val="num" w:pos="4320"/>
        </w:tabs>
        <w:ind w:left="4320" w:hanging="360"/>
      </w:pPr>
      <w:rPr>
        <w:rFonts w:ascii="Arial" w:hAnsi="Arial" w:hint="default"/>
      </w:rPr>
    </w:lvl>
    <w:lvl w:ilvl="6" w:tplc="D0E6A192" w:tentative="1">
      <w:start w:val="1"/>
      <w:numFmt w:val="bullet"/>
      <w:lvlText w:val="•"/>
      <w:lvlJc w:val="left"/>
      <w:pPr>
        <w:tabs>
          <w:tab w:val="num" w:pos="5040"/>
        </w:tabs>
        <w:ind w:left="5040" w:hanging="360"/>
      </w:pPr>
      <w:rPr>
        <w:rFonts w:ascii="Arial" w:hAnsi="Arial" w:hint="default"/>
      </w:rPr>
    </w:lvl>
    <w:lvl w:ilvl="7" w:tplc="D06C689C" w:tentative="1">
      <w:start w:val="1"/>
      <w:numFmt w:val="bullet"/>
      <w:lvlText w:val="•"/>
      <w:lvlJc w:val="left"/>
      <w:pPr>
        <w:tabs>
          <w:tab w:val="num" w:pos="5760"/>
        </w:tabs>
        <w:ind w:left="5760" w:hanging="360"/>
      </w:pPr>
      <w:rPr>
        <w:rFonts w:ascii="Arial" w:hAnsi="Arial" w:hint="default"/>
      </w:rPr>
    </w:lvl>
    <w:lvl w:ilvl="8" w:tplc="A11E701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059434A"/>
    <w:multiLevelType w:val="hybridMultilevel"/>
    <w:tmpl w:val="2DB02376"/>
    <w:lvl w:ilvl="0" w:tplc="6E0E745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59" w15:restartNumberingAfterBreak="0">
    <w:nsid w:val="71A16EBA"/>
    <w:multiLevelType w:val="multilevel"/>
    <w:tmpl w:val="C49E73C4"/>
    <w:lvl w:ilvl="0">
      <w:start w:val="1"/>
      <w:numFmt w:val="upperLetter"/>
      <w:pStyle w:val="xAppendixLevel1"/>
      <w:lvlText w:val="Appendix %1"/>
      <w:lvlJc w:val="left"/>
      <w:pPr>
        <w:ind w:left="4820"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9C12F97"/>
    <w:multiLevelType w:val="hybridMultilevel"/>
    <w:tmpl w:val="05FE64EC"/>
    <w:lvl w:ilvl="0" w:tplc="04090017">
      <w:start w:val="1"/>
      <w:numFmt w:val="lowerLetter"/>
      <w:lvlText w:val="%1)"/>
      <w:lvlJc w:val="left"/>
      <w:pPr>
        <w:ind w:left="890" w:hanging="360"/>
      </w:pPr>
    </w:lvl>
    <w:lvl w:ilvl="1" w:tplc="0686912C">
      <w:start w:val="1"/>
      <w:numFmt w:val="decimal"/>
      <w:lvlText w:val="%2."/>
      <w:lvlJc w:val="left"/>
      <w:pPr>
        <w:ind w:left="1805" w:hanging="555"/>
      </w:pPr>
      <w:rPr>
        <w:rFonts w:hint="default"/>
      </w:r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62" w15:restartNumberingAfterBreak="0">
    <w:nsid w:val="7B665E52"/>
    <w:multiLevelType w:val="hybridMultilevel"/>
    <w:tmpl w:val="7004CF6C"/>
    <w:lvl w:ilvl="0" w:tplc="EF32F540">
      <w:start w:val="1"/>
      <w:numFmt w:val="bullet"/>
      <w:lvlText w:val="•"/>
      <w:lvlJc w:val="left"/>
      <w:pPr>
        <w:tabs>
          <w:tab w:val="num" w:pos="720"/>
        </w:tabs>
        <w:ind w:left="720" w:hanging="360"/>
      </w:pPr>
      <w:rPr>
        <w:rFonts w:ascii="Arial" w:hAnsi="Arial" w:hint="default"/>
      </w:rPr>
    </w:lvl>
    <w:lvl w:ilvl="1" w:tplc="2FFE6AF6" w:tentative="1">
      <w:start w:val="1"/>
      <w:numFmt w:val="bullet"/>
      <w:lvlText w:val="•"/>
      <w:lvlJc w:val="left"/>
      <w:pPr>
        <w:tabs>
          <w:tab w:val="num" w:pos="1440"/>
        </w:tabs>
        <w:ind w:left="1440" w:hanging="360"/>
      </w:pPr>
      <w:rPr>
        <w:rFonts w:ascii="Arial" w:hAnsi="Arial" w:hint="default"/>
      </w:rPr>
    </w:lvl>
    <w:lvl w:ilvl="2" w:tplc="F3ACA5A4" w:tentative="1">
      <w:start w:val="1"/>
      <w:numFmt w:val="bullet"/>
      <w:lvlText w:val="•"/>
      <w:lvlJc w:val="left"/>
      <w:pPr>
        <w:tabs>
          <w:tab w:val="num" w:pos="2160"/>
        </w:tabs>
        <w:ind w:left="2160" w:hanging="360"/>
      </w:pPr>
      <w:rPr>
        <w:rFonts w:ascii="Arial" w:hAnsi="Arial" w:hint="default"/>
      </w:rPr>
    </w:lvl>
    <w:lvl w:ilvl="3" w:tplc="05E6B4A6" w:tentative="1">
      <w:start w:val="1"/>
      <w:numFmt w:val="bullet"/>
      <w:lvlText w:val="•"/>
      <w:lvlJc w:val="left"/>
      <w:pPr>
        <w:tabs>
          <w:tab w:val="num" w:pos="2880"/>
        </w:tabs>
        <w:ind w:left="2880" w:hanging="360"/>
      </w:pPr>
      <w:rPr>
        <w:rFonts w:ascii="Arial" w:hAnsi="Arial" w:hint="default"/>
      </w:rPr>
    </w:lvl>
    <w:lvl w:ilvl="4" w:tplc="B51EB466" w:tentative="1">
      <w:start w:val="1"/>
      <w:numFmt w:val="bullet"/>
      <w:lvlText w:val="•"/>
      <w:lvlJc w:val="left"/>
      <w:pPr>
        <w:tabs>
          <w:tab w:val="num" w:pos="3600"/>
        </w:tabs>
        <w:ind w:left="3600" w:hanging="360"/>
      </w:pPr>
      <w:rPr>
        <w:rFonts w:ascii="Arial" w:hAnsi="Arial" w:hint="default"/>
      </w:rPr>
    </w:lvl>
    <w:lvl w:ilvl="5" w:tplc="51F227EA" w:tentative="1">
      <w:start w:val="1"/>
      <w:numFmt w:val="bullet"/>
      <w:lvlText w:val="•"/>
      <w:lvlJc w:val="left"/>
      <w:pPr>
        <w:tabs>
          <w:tab w:val="num" w:pos="4320"/>
        </w:tabs>
        <w:ind w:left="4320" w:hanging="360"/>
      </w:pPr>
      <w:rPr>
        <w:rFonts w:ascii="Arial" w:hAnsi="Arial" w:hint="default"/>
      </w:rPr>
    </w:lvl>
    <w:lvl w:ilvl="6" w:tplc="A6E8C1BE" w:tentative="1">
      <w:start w:val="1"/>
      <w:numFmt w:val="bullet"/>
      <w:lvlText w:val="•"/>
      <w:lvlJc w:val="left"/>
      <w:pPr>
        <w:tabs>
          <w:tab w:val="num" w:pos="5040"/>
        </w:tabs>
        <w:ind w:left="5040" w:hanging="360"/>
      </w:pPr>
      <w:rPr>
        <w:rFonts w:ascii="Arial" w:hAnsi="Arial" w:hint="default"/>
      </w:rPr>
    </w:lvl>
    <w:lvl w:ilvl="7" w:tplc="2A986F60" w:tentative="1">
      <w:start w:val="1"/>
      <w:numFmt w:val="bullet"/>
      <w:lvlText w:val="•"/>
      <w:lvlJc w:val="left"/>
      <w:pPr>
        <w:tabs>
          <w:tab w:val="num" w:pos="5760"/>
        </w:tabs>
        <w:ind w:left="5760" w:hanging="360"/>
      </w:pPr>
      <w:rPr>
        <w:rFonts w:ascii="Arial" w:hAnsi="Arial" w:hint="default"/>
      </w:rPr>
    </w:lvl>
    <w:lvl w:ilvl="8" w:tplc="45D8CB7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EDC0B2E"/>
    <w:multiLevelType w:val="hybridMultilevel"/>
    <w:tmpl w:val="4C049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1767024">
    <w:abstractNumId w:val="34"/>
  </w:num>
  <w:num w:numId="2" w16cid:durableId="2013796255">
    <w:abstractNumId w:val="60"/>
  </w:num>
  <w:num w:numId="3" w16cid:durableId="297150215">
    <w:abstractNumId w:val="61"/>
  </w:num>
  <w:num w:numId="4" w16cid:durableId="633368527">
    <w:abstractNumId w:val="56"/>
  </w:num>
  <w:num w:numId="5" w16cid:durableId="1215702420">
    <w:abstractNumId w:val="58"/>
  </w:num>
  <w:num w:numId="6" w16cid:durableId="1101486561">
    <w:abstractNumId w:val="43"/>
  </w:num>
  <w:num w:numId="7" w16cid:durableId="1955864208">
    <w:abstractNumId w:val="48"/>
  </w:num>
  <w:num w:numId="8" w16cid:durableId="586423343">
    <w:abstractNumId w:val="20"/>
  </w:num>
  <w:num w:numId="9" w16cid:durableId="625696718">
    <w:abstractNumId w:val="24"/>
  </w:num>
  <w:num w:numId="10" w16cid:durableId="541752729">
    <w:abstractNumId w:val="50"/>
  </w:num>
  <w:num w:numId="11" w16cid:durableId="10478037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360616">
    <w:abstractNumId w:val="44"/>
  </w:num>
  <w:num w:numId="13" w16cid:durableId="96219032">
    <w:abstractNumId w:val="41"/>
  </w:num>
  <w:num w:numId="14" w16cid:durableId="2051176065">
    <w:abstractNumId w:val="37"/>
  </w:num>
  <w:num w:numId="15" w16cid:durableId="1093207753">
    <w:abstractNumId w:val="40"/>
  </w:num>
  <w:num w:numId="16" w16cid:durableId="244538732">
    <w:abstractNumId w:val="23"/>
  </w:num>
  <w:num w:numId="17" w16cid:durableId="935942948">
    <w:abstractNumId w:val="49"/>
  </w:num>
  <w:num w:numId="18" w16cid:durableId="530218679">
    <w:abstractNumId w:val="59"/>
  </w:num>
  <w:num w:numId="19" w16cid:durableId="1579360775">
    <w:abstractNumId w:val="10"/>
  </w:num>
  <w:num w:numId="20" w16cid:durableId="125395315">
    <w:abstractNumId w:val="39"/>
  </w:num>
  <w:num w:numId="21" w16cid:durableId="1779565522">
    <w:abstractNumId w:val="46"/>
  </w:num>
  <w:num w:numId="22" w16cid:durableId="662513981">
    <w:abstractNumId w:val="33"/>
  </w:num>
  <w:num w:numId="23" w16cid:durableId="1865290689">
    <w:abstractNumId w:val="42"/>
  </w:num>
  <w:num w:numId="24" w16cid:durableId="1484808646">
    <w:abstractNumId w:val="62"/>
  </w:num>
  <w:num w:numId="25" w16cid:durableId="1984702065">
    <w:abstractNumId w:val="27"/>
  </w:num>
  <w:num w:numId="26" w16cid:durableId="400251094">
    <w:abstractNumId w:val="36"/>
  </w:num>
  <w:num w:numId="27" w16cid:durableId="388843195">
    <w:abstractNumId w:val="52"/>
  </w:num>
  <w:num w:numId="28" w16cid:durableId="806240299">
    <w:abstractNumId w:val="57"/>
  </w:num>
  <w:num w:numId="29" w16cid:durableId="382867637">
    <w:abstractNumId w:val="22"/>
  </w:num>
  <w:num w:numId="30" w16cid:durableId="218978533">
    <w:abstractNumId w:val="13"/>
  </w:num>
  <w:num w:numId="31" w16cid:durableId="1284387584">
    <w:abstractNumId w:val="29"/>
  </w:num>
  <w:num w:numId="32" w16cid:durableId="1719166341">
    <w:abstractNumId w:val="26"/>
  </w:num>
  <w:num w:numId="33" w16cid:durableId="1363434367">
    <w:abstractNumId w:val="12"/>
  </w:num>
  <w:num w:numId="34" w16cid:durableId="1851605500">
    <w:abstractNumId w:val="31"/>
  </w:num>
  <w:num w:numId="35" w16cid:durableId="220751761">
    <w:abstractNumId w:val="18"/>
  </w:num>
  <w:num w:numId="36" w16cid:durableId="1997486442">
    <w:abstractNumId w:val="51"/>
  </w:num>
  <w:num w:numId="37" w16cid:durableId="1122578841">
    <w:abstractNumId w:val="17"/>
  </w:num>
  <w:num w:numId="38" w16cid:durableId="1480146675">
    <w:abstractNumId w:val="19"/>
  </w:num>
  <w:num w:numId="39" w16cid:durableId="2046328761">
    <w:abstractNumId w:val="21"/>
  </w:num>
  <w:num w:numId="40" w16cid:durableId="1991515389">
    <w:abstractNumId w:val="53"/>
  </w:num>
  <w:num w:numId="41" w16cid:durableId="1329669100">
    <w:abstractNumId w:val="35"/>
  </w:num>
  <w:num w:numId="42" w16cid:durableId="1840076894">
    <w:abstractNumId w:val="28"/>
  </w:num>
  <w:num w:numId="43" w16cid:durableId="1180662914">
    <w:abstractNumId w:val="55"/>
  </w:num>
  <w:num w:numId="44" w16cid:durableId="1840004887">
    <w:abstractNumId w:val="38"/>
  </w:num>
  <w:num w:numId="45" w16cid:durableId="1835993197">
    <w:abstractNumId w:val="16"/>
  </w:num>
  <w:num w:numId="46" w16cid:durableId="1007513695">
    <w:abstractNumId w:val="15"/>
  </w:num>
  <w:num w:numId="47" w16cid:durableId="1325206021">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979193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243766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18034217">
    <w:abstractNumId w:val="54"/>
  </w:num>
  <w:num w:numId="51" w16cid:durableId="1837380875">
    <w:abstractNumId w:val="9"/>
  </w:num>
  <w:num w:numId="52" w16cid:durableId="840660470">
    <w:abstractNumId w:val="7"/>
  </w:num>
  <w:num w:numId="53" w16cid:durableId="548035061">
    <w:abstractNumId w:val="6"/>
  </w:num>
  <w:num w:numId="54" w16cid:durableId="1695686520">
    <w:abstractNumId w:val="5"/>
  </w:num>
  <w:num w:numId="55" w16cid:durableId="68819675">
    <w:abstractNumId w:val="4"/>
  </w:num>
  <w:num w:numId="56" w16cid:durableId="2017658777">
    <w:abstractNumId w:val="8"/>
  </w:num>
  <w:num w:numId="57" w16cid:durableId="997340685">
    <w:abstractNumId w:val="3"/>
  </w:num>
  <w:num w:numId="58" w16cid:durableId="1540318173">
    <w:abstractNumId w:val="2"/>
  </w:num>
  <w:num w:numId="59" w16cid:durableId="1731997066">
    <w:abstractNumId w:val="1"/>
  </w:num>
  <w:num w:numId="60" w16cid:durableId="1280648587">
    <w:abstractNumId w:val="0"/>
  </w:num>
  <w:num w:numId="61" w16cid:durableId="92013876">
    <w:abstractNumId w:val="47"/>
  </w:num>
  <w:num w:numId="62" w16cid:durableId="1979603548">
    <w:abstractNumId w:val="45"/>
  </w:num>
  <w:num w:numId="63" w16cid:durableId="635183794">
    <w:abstractNumId w:val="32"/>
  </w:num>
  <w:num w:numId="64" w16cid:durableId="1814907998">
    <w:abstractNumId w:val="14"/>
  </w:num>
  <w:num w:numId="65" w16cid:durableId="1127965492">
    <w:abstractNumId w:val="11"/>
  </w:num>
  <w:num w:numId="66" w16cid:durableId="1013533771">
    <w:abstractNumId w:val="11"/>
    <w:lvlOverride w:ilvl="0">
      <w:startOverride w:val="1"/>
    </w:lvlOverride>
  </w:num>
  <w:num w:numId="67" w16cid:durableId="596057627">
    <w:abstractNumId w:val="30"/>
  </w:num>
  <w:num w:numId="68" w16cid:durableId="1222866438">
    <w:abstractNumId w:val="25"/>
  </w:num>
  <w:num w:numId="69" w16cid:durableId="1094665153">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C44"/>
    <w:rsid w:val="00000127"/>
    <w:rsid w:val="000003AB"/>
    <w:rsid w:val="000003CA"/>
    <w:rsid w:val="000003CE"/>
    <w:rsid w:val="000003FE"/>
    <w:rsid w:val="0000041F"/>
    <w:rsid w:val="00000430"/>
    <w:rsid w:val="000004A7"/>
    <w:rsid w:val="000005D1"/>
    <w:rsid w:val="0000073B"/>
    <w:rsid w:val="000007DE"/>
    <w:rsid w:val="000007E2"/>
    <w:rsid w:val="0000081A"/>
    <w:rsid w:val="000008EF"/>
    <w:rsid w:val="000009A6"/>
    <w:rsid w:val="000009C2"/>
    <w:rsid w:val="00000A9B"/>
    <w:rsid w:val="00000B11"/>
    <w:rsid w:val="00000B2E"/>
    <w:rsid w:val="00000BB0"/>
    <w:rsid w:val="00000C3D"/>
    <w:rsid w:val="00000C4C"/>
    <w:rsid w:val="00000D1C"/>
    <w:rsid w:val="00000D8B"/>
    <w:rsid w:val="00000DBD"/>
    <w:rsid w:val="00000E3A"/>
    <w:rsid w:val="00000EF9"/>
    <w:rsid w:val="0000100F"/>
    <w:rsid w:val="0000106B"/>
    <w:rsid w:val="00001124"/>
    <w:rsid w:val="00001127"/>
    <w:rsid w:val="000011B5"/>
    <w:rsid w:val="000012F4"/>
    <w:rsid w:val="00001363"/>
    <w:rsid w:val="00001425"/>
    <w:rsid w:val="00001546"/>
    <w:rsid w:val="00001791"/>
    <w:rsid w:val="000017C8"/>
    <w:rsid w:val="00001A2C"/>
    <w:rsid w:val="00001A53"/>
    <w:rsid w:val="00001A95"/>
    <w:rsid w:val="00001BD3"/>
    <w:rsid w:val="00001C5D"/>
    <w:rsid w:val="00001CDF"/>
    <w:rsid w:val="00001D06"/>
    <w:rsid w:val="00001DEB"/>
    <w:rsid w:val="00001DF8"/>
    <w:rsid w:val="00001F27"/>
    <w:rsid w:val="00002074"/>
    <w:rsid w:val="000020CB"/>
    <w:rsid w:val="000021B3"/>
    <w:rsid w:val="00002203"/>
    <w:rsid w:val="0000222D"/>
    <w:rsid w:val="00002257"/>
    <w:rsid w:val="000023CA"/>
    <w:rsid w:val="000024EA"/>
    <w:rsid w:val="0000261F"/>
    <w:rsid w:val="000028AC"/>
    <w:rsid w:val="000028F2"/>
    <w:rsid w:val="000029DC"/>
    <w:rsid w:val="00002A71"/>
    <w:rsid w:val="00002C0A"/>
    <w:rsid w:val="0000300B"/>
    <w:rsid w:val="00003060"/>
    <w:rsid w:val="000030C5"/>
    <w:rsid w:val="000030EB"/>
    <w:rsid w:val="00003163"/>
    <w:rsid w:val="00003179"/>
    <w:rsid w:val="0000318E"/>
    <w:rsid w:val="000031A7"/>
    <w:rsid w:val="000031F4"/>
    <w:rsid w:val="00003218"/>
    <w:rsid w:val="000033D2"/>
    <w:rsid w:val="000033D7"/>
    <w:rsid w:val="00003560"/>
    <w:rsid w:val="0000358F"/>
    <w:rsid w:val="000035C3"/>
    <w:rsid w:val="0000364F"/>
    <w:rsid w:val="0000366D"/>
    <w:rsid w:val="000036B3"/>
    <w:rsid w:val="00003718"/>
    <w:rsid w:val="000037B7"/>
    <w:rsid w:val="00003801"/>
    <w:rsid w:val="000038BF"/>
    <w:rsid w:val="000039D9"/>
    <w:rsid w:val="000039F3"/>
    <w:rsid w:val="00003B5A"/>
    <w:rsid w:val="00003BE8"/>
    <w:rsid w:val="00003C41"/>
    <w:rsid w:val="00003CE2"/>
    <w:rsid w:val="00003D22"/>
    <w:rsid w:val="00003E11"/>
    <w:rsid w:val="00003E2A"/>
    <w:rsid w:val="00003E31"/>
    <w:rsid w:val="00003E4A"/>
    <w:rsid w:val="00003F6D"/>
    <w:rsid w:val="00003FEE"/>
    <w:rsid w:val="00003FFC"/>
    <w:rsid w:val="0000420E"/>
    <w:rsid w:val="00004282"/>
    <w:rsid w:val="0000430B"/>
    <w:rsid w:val="00004340"/>
    <w:rsid w:val="00004387"/>
    <w:rsid w:val="00004436"/>
    <w:rsid w:val="00004468"/>
    <w:rsid w:val="000044C3"/>
    <w:rsid w:val="00004529"/>
    <w:rsid w:val="000045D9"/>
    <w:rsid w:val="00004664"/>
    <w:rsid w:val="000046A6"/>
    <w:rsid w:val="00004762"/>
    <w:rsid w:val="000047A5"/>
    <w:rsid w:val="0000481B"/>
    <w:rsid w:val="00004880"/>
    <w:rsid w:val="00004881"/>
    <w:rsid w:val="0000497D"/>
    <w:rsid w:val="0000498D"/>
    <w:rsid w:val="00004B24"/>
    <w:rsid w:val="00004C02"/>
    <w:rsid w:val="00004C43"/>
    <w:rsid w:val="00004C96"/>
    <w:rsid w:val="00004EA3"/>
    <w:rsid w:val="00004F7A"/>
    <w:rsid w:val="00005001"/>
    <w:rsid w:val="000050B2"/>
    <w:rsid w:val="0000524B"/>
    <w:rsid w:val="00005259"/>
    <w:rsid w:val="0000525F"/>
    <w:rsid w:val="00005328"/>
    <w:rsid w:val="000053CA"/>
    <w:rsid w:val="00005619"/>
    <w:rsid w:val="0000566D"/>
    <w:rsid w:val="000056C0"/>
    <w:rsid w:val="000057F2"/>
    <w:rsid w:val="000059D6"/>
    <w:rsid w:val="000059E0"/>
    <w:rsid w:val="00005A55"/>
    <w:rsid w:val="00005AAA"/>
    <w:rsid w:val="00005B41"/>
    <w:rsid w:val="00005C6C"/>
    <w:rsid w:val="00005C6D"/>
    <w:rsid w:val="00005D70"/>
    <w:rsid w:val="00005D9F"/>
    <w:rsid w:val="00005DC5"/>
    <w:rsid w:val="00005E62"/>
    <w:rsid w:val="00005ED6"/>
    <w:rsid w:val="00005F28"/>
    <w:rsid w:val="00005F48"/>
    <w:rsid w:val="00005F9A"/>
    <w:rsid w:val="00006104"/>
    <w:rsid w:val="000061BA"/>
    <w:rsid w:val="0000627B"/>
    <w:rsid w:val="000062C6"/>
    <w:rsid w:val="000063C2"/>
    <w:rsid w:val="000063C7"/>
    <w:rsid w:val="00006452"/>
    <w:rsid w:val="000064AC"/>
    <w:rsid w:val="00006553"/>
    <w:rsid w:val="000065C4"/>
    <w:rsid w:val="0000667A"/>
    <w:rsid w:val="000066EE"/>
    <w:rsid w:val="0000673F"/>
    <w:rsid w:val="000067C5"/>
    <w:rsid w:val="000067DE"/>
    <w:rsid w:val="000068D8"/>
    <w:rsid w:val="0000699B"/>
    <w:rsid w:val="00006A86"/>
    <w:rsid w:val="00006AF0"/>
    <w:rsid w:val="00006BAB"/>
    <w:rsid w:val="00006C65"/>
    <w:rsid w:val="00006C81"/>
    <w:rsid w:val="00006D90"/>
    <w:rsid w:val="00006E2B"/>
    <w:rsid w:val="00007046"/>
    <w:rsid w:val="0000715B"/>
    <w:rsid w:val="000071C8"/>
    <w:rsid w:val="0000727E"/>
    <w:rsid w:val="00007287"/>
    <w:rsid w:val="0000728F"/>
    <w:rsid w:val="0000741C"/>
    <w:rsid w:val="00007469"/>
    <w:rsid w:val="00007489"/>
    <w:rsid w:val="00007515"/>
    <w:rsid w:val="000075FF"/>
    <w:rsid w:val="00007642"/>
    <w:rsid w:val="0000767B"/>
    <w:rsid w:val="000076DC"/>
    <w:rsid w:val="000077B2"/>
    <w:rsid w:val="000077E4"/>
    <w:rsid w:val="000077FA"/>
    <w:rsid w:val="000078DD"/>
    <w:rsid w:val="0000794F"/>
    <w:rsid w:val="000079EB"/>
    <w:rsid w:val="00007A2F"/>
    <w:rsid w:val="00007AF4"/>
    <w:rsid w:val="00007B13"/>
    <w:rsid w:val="00007B9D"/>
    <w:rsid w:val="00007BC2"/>
    <w:rsid w:val="00007BC6"/>
    <w:rsid w:val="00007D49"/>
    <w:rsid w:val="00007EB4"/>
    <w:rsid w:val="00010229"/>
    <w:rsid w:val="000102E0"/>
    <w:rsid w:val="000103EC"/>
    <w:rsid w:val="00010534"/>
    <w:rsid w:val="000105FD"/>
    <w:rsid w:val="00010752"/>
    <w:rsid w:val="0001075F"/>
    <w:rsid w:val="00010781"/>
    <w:rsid w:val="000107DA"/>
    <w:rsid w:val="000107F2"/>
    <w:rsid w:val="00010860"/>
    <w:rsid w:val="0001090F"/>
    <w:rsid w:val="000109D1"/>
    <w:rsid w:val="000109E7"/>
    <w:rsid w:val="00010B74"/>
    <w:rsid w:val="00010BA6"/>
    <w:rsid w:val="00010BAC"/>
    <w:rsid w:val="00010BDA"/>
    <w:rsid w:val="00010BEB"/>
    <w:rsid w:val="00010E0F"/>
    <w:rsid w:val="000110AD"/>
    <w:rsid w:val="000110CE"/>
    <w:rsid w:val="00011164"/>
    <w:rsid w:val="00011215"/>
    <w:rsid w:val="00011281"/>
    <w:rsid w:val="0001133F"/>
    <w:rsid w:val="0001146C"/>
    <w:rsid w:val="00011509"/>
    <w:rsid w:val="00011518"/>
    <w:rsid w:val="00011606"/>
    <w:rsid w:val="00011670"/>
    <w:rsid w:val="00011718"/>
    <w:rsid w:val="0001184A"/>
    <w:rsid w:val="000118D5"/>
    <w:rsid w:val="00011918"/>
    <w:rsid w:val="0001192E"/>
    <w:rsid w:val="00011B52"/>
    <w:rsid w:val="00011B92"/>
    <w:rsid w:val="00011BCB"/>
    <w:rsid w:val="00011C7E"/>
    <w:rsid w:val="00011D1B"/>
    <w:rsid w:val="00011E33"/>
    <w:rsid w:val="00011E3C"/>
    <w:rsid w:val="00011E9A"/>
    <w:rsid w:val="00011F2E"/>
    <w:rsid w:val="00011F8E"/>
    <w:rsid w:val="00012108"/>
    <w:rsid w:val="0001215F"/>
    <w:rsid w:val="000121D9"/>
    <w:rsid w:val="00012236"/>
    <w:rsid w:val="000122E8"/>
    <w:rsid w:val="00012457"/>
    <w:rsid w:val="0001250E"/>
    <w:rsid w:val="0001259F"/>
    <w:rsid w:val="0001268B"/>
    <w:rsid w:val="000126C6"/>
    <w:rsid w:val="0001291A"/>
    <w:rsid w:val="00012967"/>
    <w:rsid w:val="0001298C"/>
    <w:rsid w:val="000129C3"/>
    <w:rsid w:val="00012A9B"/>
    <w:rsid w:val="00012AE4"/>
    <w:rsid w:val="00012B0E"/>
    <w:rsid w:val="00012B6F"/>
    <w:rsid w:val="00012CC2"/>
    <w:rsid w:val="00012D04"/>
    <w:rsid w:val="00012DE9"/>
    <w:rsid w:val="00012E35"/>
    <w:rsid w:val="00013067"/>
    <w:rsid w:val="00013122"/>
    <w:rsid w:val="0001312E"/>
    <w:rsid w:val="0001316A"/>
    <w:rsid w:val="0001317E"/>
    <w:rsid w:val="000132C4"/>
    <w:rsid w:val="000132D1"/>
    <w:rsid w:val="00013319"/>
    <w:rsid w:val="00013385"/>
    <w:rsid w:val="000133E9"/>
    <w:rsid w:val="00013483"/>
    <w:rsid w:val="000134BA"/>
    <w:rsid w:val="0001357F"/>
    <w:rsid w:val="000136F3"/>
    <w:rsid w:val="00013757"/>
    <w:rsid w:val="0001378F"/>
    <w:rsid w:val="00013849"/>
    <w:rsid w:val="000139DC"/>
    <w:rsid w:val="00013A1A"/>
    <w:rsid w:val="00013A73"/>
    <w:rsid w:val="00013B15"/>
    <w:rsid w:val="00013BE1"/>
    <w:rsid w:val="00013BEE"/>
    <w:rsid w:val="00013DB6"/>
    <w:rsid w:val="00013E63"/>
    <w:rsid w:val="00013F33"/>
    <w:rsid w:val="00014076"/>
    <w:rsid w:val="0001412B"/>
    <w:rsid w:val="00014355"/>
    <w:rsid w:val="00014526"/>
    <w:rsid w:val="000145BA"/>
    <w:rsid w:val="0001472F"/>
    <w:rsid w:val="00014768"/>
    <w:rsid w:val="00014971"/>
    <w:rsid w:val="0001497E"/>
    <w:rsid w:val="00014A29"/>
    <w:rsid w:val="00014A99"/>
    <w:rsid w:val="00014BBE"/>
    <w:rsid w:val="00014CC1"/>
    <w:rsid w:val="00014D20"/>
    <w:rsid w:val="00014DBE"/>
    <w:rsid w:val="00014E0B"/>
    <w:rsid w:val="00014E26"/>
    <w:rsid w:val="00014E91"/>
    <w:rsid w:val="00014FBB"/>
    <w:rsid w:val="00015198"/>
    <w:rsid w:val="00015205"/>
    <w:rsid w:val="0001522C"/>
    <w:rsid w:val="000152FA"/>
    <w:rsid w:val="000153EC"/>
    <w:rsid w:val="0001542E"/>
    <w:rsid w:val="00015454"/>
    <w:rsid w:val="000155FC"/>
    <w:rsid w:val="0001568A"/>
    <w:rsid w:val="000156CC"/>
    <w:rsid w:val="0001591D"/>
    <w:rsid w:val="00015937"/>
    <w:rsid w:val="0001593B"/>
    <w:rsid w:val="00015970"/>
    <w:rsid w:val="000159DC"/>
    <w:rsid w:val="00015A0B"/>
    <w:rsid w:val="00015A2B"/>
    <w:rsid w:val="00015B00"/>
    <w:rsid w:val="00015B74"/>
    <w:rsid w:val="00015CC4"/>
    <w:rsid w:val="00015CC5"/>
    <w:rsid w:val="00015D23"/>
    <w:rsid w:val="00015E09"/>
    <w:rsid w:val="00016122"/>
    <w:rsid w:val="000161F8"/>
    <w:rsid w:val="00016400"/>
    <w:rsid w:val="0001660F"/>
    <w:rsid w:val="0001673C"/>
    <w:rsid w:val="000167A4"/>
    <w:rsid w:val="000167AE"/>
    <w:rsid w:val="000167FB"/>
    <w:rsid w:val="0001685F"/>
    <w:rsid w:val="000168DB"/>
    <w:rsid w:val="000168DF"/>
    <w:rsid w:val="0001690A"/>
    <w:rsid w:val="00016AB2"/>
    <w:rsid w:val="00016AC0"/>
    <w:rsid w:val="00016ACE"/>
    <w:rsid w:val="00016C39"/>
    <w:rsid w:val="00016CEC"/>
    <w:rsid w:val="00016D80"/>
    <w:rsid w:val="00016DE9"/>
    <w:rsid w:val="00016E14"/>
    <w:rsid w:val="00016EA9"/>
    <w:rsid w:val="00016ECA"/>
    <w:rsid w:val="00016EE0"/>
    <w:rsid w:val="000171C1"/>
    <w:rsid w:val="0001722A"/>
    <w:rsid w:val="0001736A"/>
    <w:rsid w:val="000173F7"/>
    <w:rsid w:val="00017478"/>
    <w:rsid w:val="00017499"/>
    <w:rsid w:val="000174DF"/>
    <w:rsid w:val="000174FD"/>
    <w:rsid w:val="00017602"/>
    <w:rsid w:val="00017611"/>
    <w:rsid w:val="000177B2"/>
    <w:rsid w:val="000177D7"/>
    <w:rsid w:val="00017816"/>
    <w:rsid w:val="0001783D"/>
    <w:rsid w:val="000178F2"/>
    <w:rsid w:val="00017918"/>
    <w:rsid w:val="000179A2"/>
    <w:rsid w:val="00017B26"/>
    <w:rsid w:val="00017BB5"/>
    <w:rsid w:val="00017CBD"/>
    <w:rsid w:val="00017DDA"/>
    <w:rsid w:val="00017E90"/>
    <w:rsid w:val="00017F00"/>
    <w:rsid w:val="00017FD3"/>
    <w:rsid w:val="00020075"/>
    <w:rsid w:val="0002014A"/>
    <w:rsid w:val="00020178"/>
    <w:rsid w:val="000201B6"/>
    <w:rsid w:val="000201C6"/>
    <w:rsid w:val="0002022A"/>
    <w:rsid w:val="0002029C"/>
    <w:rsid w:val="000204E8"/>
    <w:rsid w:val="0002052B"/>
    <w:rsid w:val="00020622"/>
    <w:rsid w:val="00020671"/>
    <w:rsid w:val="00020693"/>
    <w:rsid w:val="0002072B"/>
    <w:rsid w:val="000207DC"/>
    <w:rsid w:val="000207FA"/>
    <w:rsid w:val="0002091D"/>
    <w:rsid w:val="000209B2"/>
    <w:rsid w:val="000209FE"/>
    <w:rsid w:val="00020A89"/>
    <w:rsid w:val="00020AA4"/>
    <w:rsid w:val="00020B60"/>
    <w:rsid w:val="00020C0F"/>
    <w:rsid w:val="00020C20"/>
    <w:rsid w:val="00020C3E"/>
    <w:rsid w:val="00020C3F"/>
    <w:rsid w:val="00020D87"/>
    <w:rsid w:val="00020D9D"/>
    <w:rsid w:val="00020DD8"/>
    <w:rsid w:val="00020F2B"/>
    <w:rsid w:val="00020FCB"/>
    <w:rsid w:val="00021091"/>
    <w:rsid w:val="00021177"/>
    <w:rsid w:val="000211C8"/>
    <w:rsid w:val="000212CD"/>
    <w:rsid w:val="000214B2"/>
    <w:rsid w:val="00021534"/>
    <w:rsid w:val="00021562"/>
    <w:rsid w:val="0002169B"/>
    <w:rsid w:val="00021773"/>
    <w:rsid w:val="000217CE"/>
    <w:rsid w:val="000217E7"/>
    <w:rsid w:val="00021802"/>
    <w:rsid w:val="0002181D"/>
    <w:rsid w:val="00021859"/>
    <w:rsid w:val="0002186D"/>
    <w:rsid w:val="0002187C"/>
    <w:rsid w:val="000218E8"/>
    <w:rsid w:val="00021A2E"/>
    <w:rsid w:val="00021A68"/>
    <w:rsid w:val="00021AFC"/>
    <w:rsid w:val="00021B2C"/>
    <w:rsid w:val="00021BCE"/>
    <w:rsid w:val="00021CE5"/>
    <w:rsid w:val="00021DEC"/>
    <w:rsid w:val="00021E31"/>
    <w:rsid w:val="00021E5E"/>
    <w:rsid w:val="00021F62"/>
    <w:rsid w:val="00021FD3"/>
    <w:rsid w:val="00021FD5"/>
    <w:rsid w:val="000220AE"/>
    <w:rsid w:val="00022110"/>
    <w:rsid w:val="000222F4"/>
    <w:rsid w:val="000223F6"/>
    <w:rsid w:val="00022437"/>
    <w:rsid w:val="0002263B"/>
    <w:rsid w:val="00022713"/>
    <w:rsid w:val="0002273D"/>
    <w:rsid w:val="000228DD"/>
    <w:rsid w:val="000228E3"/>
    <w:rsid w:val="00022AB6"/>
    <w:rsid w:val="00022AD5"/>
    <w:rsid w:val="00022BD3"/>
    <w:rsid w:val="00022BEB"/>
    <w:rsid w:val="00022BF6"/>
    <w:rsid w:val="00022CB0"/>
    <w:rsid w:val="00022CFF"/>
    <w:rsid w:val="00022D00"/>
    <w:rsid w:val="00022D8D"/>
    <w:rsid w:val="00022D9C"/>
    <w:rsid w:val="00022F0E"/>
    <w:rsid w:val="00022F27"/>
    <w:rsid w:val="00022F9D"/>
    <w:rsid w:val="00022FA1"/>
    <w:rsid w:val="00022FAA"/>
    <w:rsid w:val="00022FAF"/>
    <w:rsid w:val="00022FC5"/>
    <w:rsid w:val="00022FC8"/>
    <w:rsid w:val="00022FEF"/>
    <w:rsid w:val="000230D5"/>
    <w:rsid w:val="000230DB"/>
    <w:rsid w:val="0002317C"/>
    <w:rsid w:val="00023303"/>
    <w:rsid w:val="000233D4"/>
    <w:rsid w:val="0002348F"/>
    <w:rsid w:val="000235BE"/>
    <w:rsid w:val="000235DD"/>
    <w:rsid w:val="000235EF"/>
    <w:rsid w:val="000235FA"/>
    <w:rsid w:val="00023611"/>
    <w:rsid w:val="00023719"/>
    <w:rsid w:val="000238D4"/>
    <w:rsid w:val="000239DA"/>
    <w:rsid w:val="000239FA"/>
    <w:rsid w:val="00023A28"/>
    <w:rsid w:val="00023ADB"/>
    <w:rsid w:val="00023BB0"/>
    <w:rsid w:val="00023CBD"/>
    <w:rsid w:val="00023CC9"/>
    <w:rsid w:val="00023CFF"/>
    <w:rsid w:val="00023D1A"/>
    <w:rsid w:val="00023D6B"/>
    <w:rsid w:val="00023DA8"/>
    <w:rsid w:val="00023F55"/>
    <w:rsid w:val="00023F99"/>
    <w:rsid w:val="00023FC0"/>
    <w:rsid w:val="00023FE1"/>
    <w:rsid w:val="00023FE6"/>
    <w:rsid w:val="00024027"/>
    <w:rsid w:val="00024213"/>
    <w:rsid w:val="00024306"/>
    <w:rsid w:val="0002431F"/>
    <w:rsid w:val="0002439F"/>
    <w:rsid w:val="000244F7"/>
    <w:rsid w:val="00024625"/>
    <w:rsid w:val="000246B9"/>
    <w:rsid w:val="00024708"/>
    <w:rsid w:val="0002470E"/>
    <w:rsid w:val="0002473C"/>
    <w:rsid w:val="000247A7"/>
    <w:rsid w:val="0002481E"/>
    <w:rsid w:val="0002497B"/>
    <w:rsid w:val="0002498A"/>
    <w:rsid w:val="00024C8D"/>
    <w:rsid w:val="00024CF6"/>
    <w:rsid w:val="00024D4A"/>
    <w:rsid w:val="00024D65"/>
    <w:rsid w:val="00024D8C"/>
    <w:rsid w:val="00024DA3"/>
    <w:rsid w:val="00024E8F"/>
    <w:rsid w:val="00024F36"/>
    <w:rsid w:val="00024F42"/>
    <w:rsid w:val="00024F84"/>
    <w:rsid w:val="0002503E"/>
    <w:rsid w:val="000250FA"/>
    <w:rsid w:val="000251E1"/>
    <w:rsid w:val="000252B9"/>
    <w:rsid w:val="00025360"/>
    <w:rsid w:val="0002537B"/>
    <w:rsid w:val="00025398"/>
    <w:rsid w:val="000253C9"/>
    <w:rsid w:val="000255E0"/>
    <w:rsid w:val="00025613"/>
    <w:rsid w:val="00025773"/>
    <w:rsid w:val="000257C3"/>
    <w:rsid w:val="00025862"/>
    <w:rsid w:val="00025943"/>
    <w:rsid w:val="0002594F"/>
    <w:rsid w:val="0002598E"/>
    <w:rsid w:val="00025A3B"/>
    <w:rsid w:val="00025A74"/>
    <w:rsid w:val="00025AC4"/>
    <w:rsid w:val="00025AFD"/>
    <w:rsid w:val="00025B73"/>
    <w:rsid w:val="00025B94"/>
    <w:rsid w:val="00025BE8"/>
    <w:rsid w:val="00025D6D"/>
    <w:rsid w:val="00025DCF"/>
    <w:rsid w:val="00025E14"/>
    <w:rsid w:val="00025E47"/>
    <w:rsid w:val="00025F14"/>
    <w:rsid w:val="00025F3F"/>
    <w:rsid w:val="00026043"/>
    <w:rsid w:val="000261E3"/>
    <w:rsid w:val="00026287"/>
    <w:rsid w:val="000262A6"/>
    <w:rsid w:val="000262AB"/>
    <w:rsid w:val="000262AE"/>
    <w:rsid w:val="000263D6"/>
    <w:rsid w:val="00026826"/>
    <w:rsid w:val="0002684F"/>
    <w:rsid w:val="000268D4"/>
    <w:rsid w:val="00026937"/>
    <w:rsid w:val="00026A84"/>
    <w:rsid w:val="00026A9A"/>
    <w:rsid w:val="00026AB4"/>
    <w:rsid w:val="00026B4F"/>
    <w:rsid w:val="00026C35"/>
    <w:rsid w:val="00026C4E"/>
    <w:rsid w:val="00026E04"/>
    <w:rsid w:val="00026E14"/>
    <w:rsid w:val="00026F03"/>
    <w:rsid w:val="00026F0F"/>
    <w:rsid w:val="00026F88"/>
    <w:rsid w:val="0002704B"/>
    <w:rsid w:val="00027051"/>
    <w:rsid w:val="00027163"/>
    <w:rsid w:val="00027194"/>
    <w:rsid w:val="000272A9"/>
    <w:rsid w:val="000272E5"/>
    <w:rsid w:val="00027408"/>
    <w:rsid w:val="00027424"/>
    <w:rsid w:val="00027437"/>
    <w:rsid w:val="0002743B"/>
    <w:rsid w:val="00027629"/>
    <w:rsid w:val="0002766B"/>
    <w:rsid w:val="000276D1"/>
    <w:rsid w:val="000276D5"/>
    <w:rsid w:val="00027729"/>
    <w:rsid w:val="00027884"/>
    <w:rsid w:val="00027885"/>
    <w:rsid w:val="00027907"/>
    <w:rsid w:val="000279FA"/>
    <w:rsid w:val="00027A4D"/>
    <w:rsid w:val="00027B73"/>
    <w:rsid w:val="00027C44"/>
    <w:rsid w:val="00027CC7"/>
    <w:rsid w:val="00027CD3"/>
    <w:rsid w:val="00027CFA"/>
    <w:rsid w:val="00027DC4"/>
    <w:rsid w:val="00027DCC"/>
    <w:rsid w:val="00027E03"/>
    <w:rsid w:val="00027EA2"/>
    <w:rsid w:val="00027FCD"/>
    <w:rsid w:val="0003000D"/>
    <w:rsid w:val="0003003D"/>
    <w:rsid w:val="00030079"/>
    <w:rsid w:val="0003007B"/>
    <w:rsid w:val="000300BC"/>
    <w:rsid w:val="00030351"/>
    <w:rsid w:val="000303A4"/>
    <w:rsid w:val="000304C9"/>
    <w:rsid w:val="000304E9"/>
    <w:rsid w:val="00030577"/>
    <w:rsid w:val="00030594"/>
    <w:rsid w:val="0003059C"/>
    <w:rsid w:val="00030608"/>
    <w:rsid w:val="00030682"/>
    <w:rsid w:val="000306BE"/>
    <w:rsid w:val="000306D3"/>
    <w:rsid w:val="00030777"/>
    <w:rsid w:val="000307D5"/>
    <w:rsid w:val="000307E7"/>
    <w:rsid w:val="00030849"/>
    <w:rsid w:val="0003096D"/>
    <w:rsid w:val="000309B3"/>
    <w:rsid w:val="00030AAC"/>
    <w:rsid w:val="00030C51"/>
    <w:rsid w:val="00030CD9"/>
    <w:rsid w:val="00030D02"/>
    <w:rsid w:val="00030D84"/>
    <w:rsid w:val="00030F34"/>
    <w:rsid w:val="0003104F"/>
    <w:rsid w:val="00031084"/>
    <w:rsid w:val="00031089"/>
    <w:rsid w:val="000310B0"/>
    <w:rsid w:val="0003120A"/>
    <w:rsid w:val="00031274"/>
    <w:rsid w:val="000312D5"/>
    <w:rsid w:val="00031310"/>
    <w:rsid w:val="00031329"/>
    <w:rsid w:val="00031395"/>
    <w:rsid w:val="00031397"/>
    <w:rsid w:val="00031403"/>
    <w:rsid w:val="0003149C"/>
    <w:rsid w:val="00031520"/>
    <w:rsid w:val="00031566"/>
    <w:rsid w:val="000315E7"/>
    <w:rsid w:val="000316A3"/>
    <w:rsid w:val="00031771"/>
    <w:rsid w:val="00031816"/>
    <w:rsid w:val="0003185F"/>
    <w:rsid w:val="0003188E"/>
    <w:rsid w:val="00031896"/>
    <w:rsid w:val="0003195F"/>
    <w:rsid w:val="000319A7"/>
    <w:rsid w:val="00031A16"/>
    <w:rsid w:val="00031A69"/>
    <w:rsid w:val="00031A7C"/>
    <w:rsid w:val="00031ADE"/>
    <w:rsid w:val="00031B4A"/>
    <w:rsid w:val="00031BE1"/>
    <w:rsid w:val="00031C53"/>
    <w:rsid w:val="00031E39"/>
    <w:rsid w:val="00031E51"/>
    <w:rsid w:val="00031EF1"/>
    <w:rsid w:val="00031F05"/>
    <w:rsid w:val="00032083"/>
    <w:rsid w:val="00032174"/>
    <w:rsid w:val="0003222C"/>
    <w:rsid w:val="000322DA"/>
    <w:rsid w:val="00032364"/>
    <w:rsid w:val="000323B6"/>
    <w:rsid w:val="000324E2"/>
    <w:rsid w:val="000324F6"/>
    <w:rsid w:val="000324FB"/>
    <w:rsid w:val="00032538"/>
    <w:rsid w:val="0003265E"/>
    <w:rsid w:val="000326A5"/>
    <w:rsid w:val="000326D8"/>
    <w:rsid w:val="00032730"/>
    <w:rsid w:val="0003280D"/>
    <w:rsid w:val="0003286D"/>
    <w:rsid w:val="00032ABF"/>
    <w:rsid w:val="00032BFE"/>
    <w:rsid w:val="00032EB6"/>
    <w:rsid w:val="00032EDE"/>
    <w:rsid w:val="00032F2F"/>
    <w:rsid w:val="00033160"/>
    <w:rsid w:val="0003320A"/>
    <w:rsid w:val="00033247"/>
    <w:rsid w:val="000332F5"/>
    <w:rsid w:val="00033393"/>
    <w:rsid w:val="0003339D"/>
    <w:rsid w:val="000333E3"/>
    <w:rsid w:val="0003365C"/>
    <w:rsid w:val="000336B7"/>
    <w:rsid w:val="00033878"/>
    <w:rsid w:val="000338A9"/>
    <w:rsid w:val="000338DC"/>
    <w:rsid w:val="0003394E"/>
    <w:rsid w:val="000339DE"/>
    <w:rsid w:val="00033A4A"/>
    <w:rsid w:val="00033A6A"/>
    <w:rsid w:val="00033AEA"/>
    <w:rsid w:val="00033BCE"/>
    <w:rsid w:val="00033BE3"/>
    <w:rsid w:val="00033C2A"/>
    <w:rsid w:val="00033CF4"/>
    <w:rsid w:val="00033D1D"/>
    <w:rsid w:val="00033D7D"/>
    <w:rsid w:val="00033F7D"/>
    <w:rsid w:val="00033FC8"/>
    <w:rsid w:val="00034002"/>
    <w:rsid w:val="00034053"/>
    <w:rsid w:val="0003408C"/>
    <w:rsid w:val="00034172"/>
    <w:rsid w:val="00034379"/>
    <w:rsid w:val="00034449"/>
    <w:rsid w:val="00034505"/>
    <w:rsid w:val="00034511"/>
    <w:rsid w:val="0003459E"/>
    <w:rsid w:val="000345D9"/>
    <w:rsid w:val="0003460F"/>
    <w:rsid w:val="000346AC"/>
    <w:rsid w:val="00034702"/>
    <w:rsid w:val="0003476B"/>
    <w:rsid w:val="00034876"/>
    <w:rsid w:val="000349C0"/>
    <w:rsid w:val="00034A6F"/>
    <w:rsid w:val="00034B58"/>
    <w:rsid w:val="00034B8D"/>
    <w:rsid w:val="00034BD4"/>
    <w:rsid w:val="00034C5A"/>
    <w:rsid w:val="00034CE6"/>
    <w:rsid w:val="00034D16"/>
    <w:rsid w:val="00034E12"/>
    <w:rsid w:val="00034E56"/>
    <w:rsid w:val="00034E57"/>
    <w:rsid w:val="00034E7E"/>
    <w:rsid w:val="00034EE1"/>
    <w:rsid w:val="00034F0D"/>
    <w:rsid w:val="00034F2D"/>
    <w:rsid w:val="000351BD"/>
    <w:rsid w:val="00035445"/>
    <w:rsid w:val="00035457"/>
    <w:rsid w:val="0003545B"/>
    <w:rsid w:val="00035551"/>
    <w:rsid w:val="000355AA"/>
    <w:rsid w:val="000357BD"/>
    <w:rsid w:val="000358B9"/>
    <w:rsid w:val="000358BB"/>
    <w:rsid w:val="000358DF"/>
    <w:rsid w:val="000358F6"/>
    <w:rsid w:val="00035961"/>
    <w:rsid w:val="0003598E"/>
    <w:rsid w:val="00035A98"/>
    <w:rsid w:val="00035A9D"/>
    <w:rsid w:val="00035B92"/>
    <w:rsid w:val="00035BE4"/>
    <w:rsid w:val="00035BFA"/>
    <w:rsid w:val="00035C3E"/>
    <w:rsid w:val="00035CC0"/>
    <w:rsid w:val="00035D0B"/>
    <w:rsid w:val="00035D0D"/>
    <w:rsid w:val="00035D8E"/>
    <w:rsid w:val="0003605B"/>
    <w:rsid w:val="0003608D"/>
    <w:rsid w:val="000360F2"/>
    <w:rsid w:val="000362B8"/>
    <w:rsid w:val="000362FD"/>
    <w:rsid w:val="000363B5"/>
    <w:rsid w:val="000363B7"/>
    <w:rsid w:val="000363CE"/>
    <w:rsid w:val="000363D3"/>
    <w:rsid w:val="00036433"/>
    <w:rsid w:val="00036459"/>
    <w:rsid w:val="0003652D"/>
    <w:rsid w:val="0003652F"/>
    <w:rsid w:val="00036581"/>
    <w:rsid w:val="000365E4"/>
    <w:rsid w:val="00036679"/>
    <w:rsid w:val="000367E0"/>
    <w:rsid w:val="000367F0"/>
    <w:rsid w:val="00036884"/>
    <w:rsid w:val="000368E3"/>
    <w:rsid w:val="0003697E"/>
    <w:rsid w:val="00036A2E"/>
    <w:rsid w:val="00036A7D"/>
    <w:rsid w:val="00036AFD"/>
    <w:rsid w:val="00036B38"/>
    <w:rsid w:val="00036BC6"/>
    <w:rsid w:val="00036C57"/>
    <w:rsid w:val="00036E16"/>
    <w:rsid w:val="00036E56"/>
    <w:rsid w:val="00036F97"/>
    <w:rsid w:val="000370D4"/>
    <w:rsid w:val="000370E7"/>
    <w:rsid w:val="000371EB"/>
    <w:rsid w:val="000372C1"/>
    <w:rsid w:val="0003744D"/>
    <w:rsid w:val="000374EE"/>
    <w:rsid w:val="00037553"/>
    <w:rsid w:val="0003757A"/>
    <w:rsid w:val="000375A0"/>
    <w:rsid w:val="000375AB"/>
    <w:rsid w:val="00037665"/>
    <w:rsid w:val="0003779A"/>
    <w:rsid w:val="000377B4"/>
    <w:rsid w:val="000378A7"/>
    <w:rsid w:val="000378C9"/>
    <w:rsid w:val="000378EA"/>
    <w:rsid w:val="00037A03"/>
    <w:rsid w:val="00037A63"/>
    <w:rsid w:val="00037B4E"/>
    <w:rsid w:val="00037B8E"/>
    <w:rsid w:val="00037CA5"/>
    <w:rsid w:val="00037CE1"/>
    <w:rsid w:val="00037EAE"/>
    <w:rsid w:val="00037EB4"/>
    <w:rsid w:val="00037F41"/>
    <w:rsid w:val="0004013B"/>
    <w:rsid w:val="0004022A"/>
    <w:rsid w:val="0004031C"/>
    <w:rsid w:val="00040337"/>
    <w:rsid w:val="000403A5"/>
    <w:rsid w:val="000404A0"/>
    <w:rsid w:val="000404F1"/>
    <w:rsid w:val="00040536"/>
    <w:rsid w:val="00040555"/>
    <w:rsid w:val="0004062C"/>
    <w:rsid w:val="0004072A"/>
    <w:rsid w:val="0004076D"/>
    <w:rsid w:val="000407BB"/>
    <w:rsid w:val="000407CB"/>
    <w:rsid w:val="00040870"/>
    <w:rsid w:val="000409B2"/>
    <w:rsid w:val="000409F3"/>
    <w:rsid w:val="00040A18"/>
    <w:rsid w:val="00040AA2"/>
    <w:rsid w:val="00040AE8"/>
    <w:rsid w:val="00040B8E"/>
    <w:rsid w:val="00040BA0"/>
    <w:rsid w:val="00040C33"/>
    <w:rsid w:val="00040C3C"/>
    <w:rsid w:val="00040CCE"/>
    <w:rsid w:val="00040CFE"/>
    <w:rsid w:val="00040D87"/>
    <w:rsid w:val="00040E1B"/>
    <w:rsid w:val="00040E4F"/>
    <w:rsid w:val="00040E8A"/>
    <w:rsid w:val="00040F39"/>
    <w:rsid w:val="00040F3C"/>
    <w:rsid w:val="00040F88"/>
    <w:rsid w:val="00040FA8"/>
    <w:rsid w:val="00040FF4"/>
    <w:rsid w:val="00041009"/>
    <w:rsid w:val="00041049"/>
    <w:rsid w:val="00041092"/>
    <w:rsid w:val="000410B8"/>
    <w:rsid w:val="00041192"/>
    <w:rsid w:val="0004127F"/>
    <w:rsid w:val="00041474"/>
    <w:rsid w:val="000414D6"/>
    <w:rsid w:val="000416F6"/>
    <w:rsid w:val="0004174B"/>
    <w:rsid w:val="000417F2"/>
    <w:rsid w:val="00041910"/>
    <w:rsid w:val="0004198B"/>
    <w:rsid w:val="000419B0"/>
    <w:rsid w:val="000419B3"/>
    <w:rsid w:val="000419C2"/>
    <w:rsid w:val="00041AA2"/>
    <w:rsid w:val="00041B4C"/>
    <w:rsid w:val="00041BF4"/>
    <w:rsid w:val="00041C19"/>
    <w:rsid w:val="00041C38"/>
    <w:rsid w:val="00041DB0"/>
    <w:rsid w:val="00041EA8"/>
    <w:rsid w:val="00041F4C"/>
    <w:rsid w:val="00041FA2"/>
    <w:rsid w:val="0004217C"/>
    <w:rsid w:val="0004217F"/>
    <w:rsid w:val="00042195"/>
    <w:rsid w:val="000421F6"/>
    <w:rsid w:val="000424B9"/>
    <w:rsid w:val="000427B2"/>
    <w:rsid w:val="00042866"/>
    <w:rsid w:val="000428CB"/>
    <w:rsid w:val="0004297A"/>
    <w:rsid w:val="00042AE2"/>
    <w:rsid w:val="00042B81"/>
    <w:rsid w:val="00042D28"/>
    <w:rsid w:val="00042D40"/>
    <w:rsid w:val="00042D54"/>
    <w:rsid w:val="00042EDC"/>
    <w:rsid w:val="00042FFD"/>
    <w:rsid w:val="00043063"/>
    <w:rsid w:val="00043079"/>
    <w:rsid w:val="000430B6"/>
    <w:rsid w:val="00043266"/>
    <w:rsid w:val="00043440"/>
    <w:rsid w:val="0004346E"/>
    <w:rsid w:val="00043487"/>
    <w:rsid w:val="000434A5"/>
    <w:rsid w:val="00043584"/>
    <w:rsid w:val="00043591"/>
    <w:rsid w:val="0004360E"/>
    <w:rsid w:val="00043655"/>
    <w:rsid w:val="00043656"/>
    <w:rsid w:val="000436AE"/>
    <w:rsid w:val="0004371F"/>
    <w:rsid w:val="000437F5"/>
    <w:rsid w:val="00043814"/>
    <w:rsid w:val="0004383B"/>
    <w:rsid w:val="000438F2"/>
    <w:rsid w:val="00043981"/>
    <w:rsid w:val="000439E7"/>
    <w:rsid w:val="00043A40"/>
    <w:rsid w:val="00043AC7"/>
    <w:rsid w:val="00043BED"/>
    <w:rsid w:val="00043CE5"/>
    <w:rsid w:val="00043E60"/>
    <w:rsid w:val="00043EAB"/>
    <w:rsid w:val="00043F5B"/>
    <w:rsid w:val="00043FAB"/>
    <w:rsid w:val="000442B8"/>
    <w:rsid w:val="000442F0"/>
    <w:rsid w:val="00044553"/>
    <w:rsid w:val="0004456B"/>
    <w:rsid w:val="0004459D"/>
    <w:rsid w:val="00044615"/>
    <w:rsid w:val="0004471C"/>
    <w:rsid w:val="00044776"/>
    <w:rsid w:val="000447CC"/>
    <w:rsid w:val="0004487B"/>
    <w:rsid w:val="00044886"/>
    <w:rsid w:val="00044913"/>
    <w:rsid w:val="00044978"/>
    <w:rsid w:val="000449AB"/>
    <w:rsid w:val="00044A59"/>
    <w:rsid w:val="00044B3F"/>
    <w:rsid w:val="00044B6C"/>
    <w:rsid w:val="00044B98"/>
    <w:rsid w:val="00044CCF"/>
    <w:rsid w:val="00044D5B"/>
    <w:rsid w:val="00044D94"/>
    <w:rsid w:val="00044E16"/>
    <w:rsid w:val="00044E49"/>
    <w:rsid w:val="00044EB0"/>
    <w:rsid w:val="00044EE0"/>
    <w:rsid w:val="00044F23"/>
    <w:rsid w:val="0004502B"/>
    <w:rsid w:val="000450DE"/>
    <w:rsid w:val="000451E1"/>
    <w:rsid w:val="00045281"/>
    <w:rsid w:val="00045291"/>
    <w:rsid w:val="000452FD"/>
    <w:rsid w:val="00045305"/>
    <w:rsid w:val="0004535E"/>
    <w:rsid w:val="0004544F"/>
    <w:rsid w:val="0004546C"/>
    <w:rsid w:val="000454CD"/>
    <w:rsid w:val="000454F2"/>
    <w:rsid w:val="000454F3"/>
    <w:rsid w:val="00045599"/>
    <w:rsid w:val="0004559A"/>
    <w:rsid w:val="00045790"/>
    <w:rsid w:val="000457B5"/>
    <w:rsid w:val="000457EC"/>
    <w:rsid w:val="0004584A"/>
    <w:rsid w:val="000458F6"/>
    <w:rsid w:val="00045988"/>
    <w:rsid w:val="0004598D"/>
    <w:rsid w:val="00045A1A"/>
    <w:rsid w:val="00045A3D"/>
    <w:rsid w:val="00045ACE"/>
    <w:rsid w:val="00045B2B"/>
    <w:rsid w:val="00045B34"/>
    <w:rsid w:val="00045B5B"/>
    <w:rsid w:val="00045B5F"/>
    <w:rsid w:val="00045BDA"/>
    <w:rsid w:val="00045EAD"/>
    <w:rsid w:val="00045FBF"/>
    <w:rsid w:val="00045FCD"/>
    <w:rsid w:val="00046005"/>
    <w:rsid w:val="00046068"/>
    <w:rsid w:val="00046154"/>
    <w:rsid w:val="000461F4"/>
    <w:rsid w:val="0004629B"/>
    <w:rsid w:val="00046312"/>
    <w:rsid w:val="000464A0"/>
    <w:rsid w:val="000465DC"/>
    <w:rsid w:val="000466A6"/>
    <w:rsid w:val="000468ED"/>
    <w:rsid w:val="0004693F"/>
    <w:rsid w:val="00046950"/>
    <w:rsid w:val="000469C0"/>
    <w:rsid w:val="00046B6F"/>
    <w:rsid w:val="00046BA4"/>
    <w:rsid w:val="00046C73"/>
    <w:rsid w:val="00046E41"/>
    <w:rsid w:val="00046F0A"/>
    <w:rsid w:val="00046F47"/>
    <w:rsid w:val="00046F52"/>
    <w:rsid w:val="00046FB5"/>
    <w:rsid w:val="00046FEE"/>
    <w:rsid w:val="000470B1"/>
    <w:rsid w:val="000471EC"/>
    <w:rsid w:val="000471F3"/>
    <w:rsid w:val="00047211"/>
    <w:rsid w:val="0004725D"/>
    <w:rsid w:val="000473CE"/>
    <w:rsid w:val="000474E4"/>
    <w:rsid w:val="000474F9"/>
    <w:rsid w:val="000474FB"/>
    <w:rsid w:val="000476BA"/>
    <w:rsid w:val="00047786"/>
    <w:rsid w:val="000477DF"/>
    <w:rsid w:val="000478B1"/>
    <w:rsid w:val="00047903"/>
    <w:rsid w:val="000479E9"/>
    <w:rsid w:val="00047A4D"/>
    <w:rsid w:val="00047ACA"/>
    <w:rsid w:val="00047B0E"/>
    <w:rsid w:val="00047C6D"/>
    <w:rsid w:val="00047D01"/>
    <w:rsid w:val="00047E48"/>
    <w:rsid w:val="00047E58"/>
    <w:rsid w:val="00047E94"/>
    <w:rsid w:val="00047EE8"/>
    <w:rsid w:val="00047FDF"/>
    <w:rsid w:val="00047FE6"/>
    <w:rsid w:val="000500CC"/>
    <w:rsid w:val="000501B6"/>
    <w:rsid w:val="000501E3"/>
    <w:rsid w:val="0005028D"/>
    <w:rsid w:val="00050347"/>
    <w:rsid w:val="000504FB"/>
    <w:rsid w:val="00050554"/>
    <w:rsid w:val="000505DC"/>
    <w:rsid w:val="000505F7"/>
    <w:rsid w:val="0005067D"/>
    <w:rsid w:val="0005068C"/>
    <w:rsid w:val="00050714"/>
    <w:rsid w:val="000507E8"/>
    <w:rsid w:val="000508FE"/>
    <w:rsid w:val="00050A84"/>
    <w:rsid w:val="00050B0A"/>
    <w:rsid w:val="00050BE9"/>
    <w:rsid w:val="00050C20"/>
    <w:rsid w:val="00050DA7"/>
    <w:rsid w:val="00050DC5"/>
    <w:rsid w:val="00050DD0"/>
    <w:rsid w:val="00050DE4"/>
    <w:rsid w:val="00050E04"/>
    <w:rsid w:val="00050E1F"/>
    <w:rsid w:val="00050E7E"/>
    <w:rsid w:val="00050EFA"/>
    <w:rsid w:val="00050F4A"/>
    <w:rsid w:val="00050FAD"/>
    <w:rsid w:val="0005102D"/>
    <w:rsid w:val="000510DC"/>
    <w:rsid w:val="000510FE"/>
    <w:rsid w:val="000511BC"/>
    <w:rsid w:val="0005128E"/>
    <w:rsid w:val="00051348"/>
    <w:rsid w:val="000513AE"/>
    <w:rsid w:val="00051705"/>
    <w:rsid w:val="00051791"/>
    <w:rsid w:val="0005195D"/>
    <w:rsid w:val="000519C7"/>
    <w:rsid w:val="00051A6D"/>
    <w:rsid w:val="00051AB1"/>
    <w:rsid w:val="00051B50"/>
    <w:rsid w:val="00051B55"/>
    <w:rsid w:val="00051C0D"/>
    <w:rsid w:val="00051D53"/>
    <w:rsid w:val="00051D5A"/>
    <w:rsid w:val="00051DE7"/>
    <w:rsid w:val="00051E6B"/>
    <w:rsid w:val="00051EA2"/>
    <w:rsid w:val="00051F08"/>
    <w:rsid w:val="00051F36"/>
    <w:rsid w:val="00051F49"/>
    <w:rsid w:val="00051FDC"/>
    <w:rsid w:val="0005202A"/>
    <w:rsid w:val="0005213F"/>
    <w:rsid w:val="00052155"/>
    <w:rsid w:val="00052288"/>
    <w:rsid w:val="00052504"/>
    <w:rsid w:val="000525C3"/>
    <w:rsid w:val="00052685"/>
    <w:rsid w:val="00052686"/>
    <w:rsid w:val="00052740"/>
    <w:rsid w:val="00052744"/>
    <w:rsid w:val="000528A8"/>
    <w:rsid w:val="00052973"/>
    <w:rsid w:val="00052AB1"/>
    <w:rsid w:val="00052B4B"/>
    <w:rsid w:val="00052B8D"/>
    <w:rsid w:val="00052D26"/>
    <w:rsid w:val="00052DC9"/>
    <w:rsid w:val="00052FC7"/>
    <w:rsid w:val="0005306D"/>
    <w:rsid w:val="0005307D"/>
    <w:rsid w:val="00053168"/>
    <w:rsid w:val="000531AE"/>
    <w:rsid w:val="000532C5"/>
    <w:rsid w:val="00053464"/>
    <w:rsid w:val="000534DE"/>
    <w:rsid w:val="00053635"/>
    <w:rsid w:val="000536A4"/>
    <w:rsid w:val="00053708"/>
    <w:rsid w:val="00053815"/>
    <w:rsid w:val="000538E8"/>
    <w:rsid w:val="000539A8"/>
    <w:rsid w:val="00053A29"/>
    <w:rsid w:val="00053A2A"/>
    <w:rsid w:val="00053A38"/>
    <w:rsid w:val="00053BB5"/>
    <w:rsid w:val="00053BDD"/>
    <w:rsid w:val="00053CC2"/>
    <w:rsid w:val="00053D28"/>
    <w:rsid w:val="00053D5C"/>
    <w:rsid w:val="00053D64"/>
    <w:rsid w:val="00053DAD"/>
    <w:rsid w:val="00053E10"/>
    <w:rsid w:val="00053EA7"/>
    <w:rsid w:val="00053EB9"/>
    <w:rsid w:val="00053EDD"/>
    <w:rsid w:val="00053F07"/>
    <w:rsid w:val="000540B4"/>
    <w:rsid w:val="000540F7"/>
    <w:rsid w:val="0005421A"/>
    <w:rsid w:val="00054276"/>
    <w:rsid w:val="000543AB"/>
    <w:rsid w:val="0005449F"/>
    <w:rsid w:val="000544A1"/>
    <w:rsid w:val="0005451A"/>
    <w:rsid w:val="000545A1"/>
    <w:rsid w:val="000546E3"/>
    <w:rsid w:val="00054782"/>
    <w:rsid w:val="000547E0"/>
    <w:rsid w:val="000547F6"/>
    <w:rsid w:val="0005485C"/>
    <w:rsid w:val="00054872"/>
    <w:rsid w:val="00054A42"/>
    <w:rsid w:val="00054ACD"/>
    <w:rsid w:val="00054AD4"/>
    <w:rsid w:val="00054AF7"/>
    <w:rsid w:val="00054AF8"/>
    <w:rsid w:val="00054CBF"/>
    <w:rsid w:val="00054D42"/>
    <w:rsid w:val="00054D7C"/>
    <w:rsid w:val="00054D86"/>
    <w:rsid w:val="00054DA5"/>
    <w:rsid w:val="00054E60"/>
    <w:rsid w:val="00054EA4"/>
    <w:rsid w:val="00054ED2"/>
    <w:rsid w:val="00054EF1"/>
    <w:rsid w:val="00054F26"/>
    <w:rsid w:val="00054FFD"/>
    <w:rsid w:val="000550D8"/>
    <w:rsid w:val="0005510F"/>
    <w:rsid w:val="0005528A"/>
    <w:rsid w:val="0005546F"/>
    <w:rsid w:val="00055490"/>
    <w:rsid w:val="00055569"/>
    <w:rsid w:val="000555B8"/>
    <w:rsid w:val="000556D1"/>
    <w:rsid w:val="0005575C"/>
    <w:rsid w:val="00055872"/>
    <w:rsid w:val="000558B2"/>
    <w:rsid w:val="00055931"/>
    <w:rsid w:val="000559FF"/>
    <w:rsid w:val="00055A16"/>
    <w:rsid w:val="00055A33"/>
    <w:rsid w:val="00055A40"/>
    <w:rsid w:val="00055AEF"/>
    <w:rsid w:val="00055B2E"/>
    <w:rsid w:val="00055B5B"/>
    <w:rsid w:val="00055C28"/>
    <w:rsid w:val="00055C91"/>
    <w:rsid w:val="00055CB5"/>
    <w:rsid w:val="00055DA9"/>
    <w:rsid w:val="00055F05"/>
    <w:rsid w:val="00055F3D"/>
    <w:rsid w:val="0005605D"/>
    <w:rsid w:val="000561B7"/>
    <w:rsid w:val="000561CB"/>
    <w:rsid w:val="00056262"/>
    <w:rsid w:val="000563AE"/>
    <w:rsid w:val="000563BC"/>
    <w:rsid w:val="00056427"/>
    <w:rsid w:val="00056444"/>
    <w:rsid w:val="0005644F"/>
    <w:rsid w:val="00056585"/>
    <w:rsid w:val="000566B3"/>
    <w:rsid w:val="000566E1"/>
    <w:rsid w:val="00056855"/>
    <w:rsid w:val="000568DB"/>
    <w:rsid w:val="000568E7"/>
    <w:rsid w:val="00056A38"/>
    <w:rsid w:val="00056A3A"/>
    <w:rsid w:val="00056AB8"/>
    <w:rsid w:val="00056B13"/>
    <w:rsid w:val="00056BC3"/>
    <w:rsid w:val="00056BED"/>
    <w:rsid w:val="00056C46"/>
    <w:rsid w:val="00056C4A"/>
    <w:rsid w:val="00056CCA"/>
    <w:rsid w:val="00056CD0"/>
    <w:rsid w:val="00056D5E"/>
    <w:rsid w:val="00056E43"/>
    <w:rsid w:val="00056F3E"/>
    <w:rsid w:val="00056FAE"/>
    <w:rsid w:val="00056FF4"/>
    <w:rsid w:val="000570C1"/>
    <w:rsid w:val="00057121"/>
    <w:rsid w:val="000572F5"/>
    <w:rsid w:val="00057313"/>
    <w:rsid w:val="000573C1"/>
    <w:rsid w:val="0005747D"/>
    <w:rsid w:val="000575DE"/>
    <w:rsid w:val="0005761B"/>
    <w:rsid w:val="000576A1"/>
    <w:rsid w:val="000576B5"/>
    <w:rsid w:val="000576F2"/>
    <w:rsid w:val="000577EF"/>
    <w:rsid w:val="000577F9"/>
    <w:rsid w:val="0005789D"/>
    <w:rsid w:val="000578A6"/>
    <w:rsid w:val="000578A9"/>
    <w:rsid w:val="00057945"/>
    <w:rsid w:val="00057A6B"/>
    <w:rsid w:val="00057AB0"/>
    <w:rsid w:val="00057AC6"/>
    <w:rsid w:val="00057B37"/>
    <w:rsid w:val="00057B62"/>
    <w:rsid w:val="00057C66"/>
    <w:rsid w:val="00057C89"/>
    <w:rsid w:val="00057CAE"/>
    <w:rsid w:val="00057D64"/>
    <w:rsid w:val="00057D9F"/>
    <w:rsid w:val="00057E0B"/>
    <w:rsid w:val="00057E44"/>
    <w:rsid w:val="00057FAB"/>
    <w:rsid w:val="00057FBC"/>
    <w:rsid w:val="0006027F"/>
    <w:rsid w:val="000602C3"/>
    <w:rsid w:val="000602C8"/>
    <w:rsid w:val="000602EA"/>
    <w:rsid w:val="0006031C"/>
    <w:rsid w:val="00060334"/>
    <w:rsid w:val="00060487"/>
    <w:rsid w:val="00060591"/>
    <w:rsid w:val="00060627"/>
    <w:rsid w:val="00060660"/>
    <w:rsid w:val="000608A3"/>
    <w:rsid w:val="000608B1"/>
    <w:rsid w:val="0006090A"/>
    <w:rsid w:val="00060B6F"/>
    <w:rsid w:val="00060C6F"/>
    <w:rsid w:val="00060CA2"/>
    <w:rsid w:val="00060CC9"/>
    <w:rsid w:val="00060CFD"/>
    <w:rsid w:val="00060ED5"/>
    <w:rsid w:val="00060F11"/>
    <w:rsid w:val="00060FD1"/>
    <w:rsid w:val="00061007"/>
    <w:rsid w:val="000610D4"/>
    <w:rsid w:val="000611A4"/>
    <w:rsid w:val="000611C0"/>
    <w:rsid w:val="00061204"/>
    <w:rsid w:val="00061367"/>
    <w:rsid w:val="0006138D"/>
    <w:rsid w:val="0006144C"/>
    <w:rsid w:val="0006144D"/>
    <w:rsid w:val="00061475"/>
    <w:rsid w:val="0006153E"/>
    <w:rsid w:val="0006153F"/>
    <w:rsid w:val="000616AC"/>
    <w:rsid w:val="00061767"/>
    <w:rsid w:val="00061885"/>
    <w:rsid w:val="000618BF"/>
    <w:rsid w:val="000618C0"/>
    <w:rsid w:val="000619C8"/>
    <w:rsid w:val="00061A0F"/>
    <w:rsid w:val="00061A52"/>
    <w:rsid w:val="00061BC6"/>
    <w:rsid w:val="00061CD1"/>
    <w:rsid w:val="00061CE8"/>
    <w:rsid w:val="00061D0D"/>
    <w:rsid w:val="00061D68"/>
    <w:rsid w:val="00061D9C"/>
    <w:rsid w:val="00061E0C"/>
    <w:rsid w:val="00061F1D"/>
    <w:rsid w:val="00061F5B"/>
    <w:rsid w:val="00061FCF"/>
    <w:rsid w:val="00061FE0"/>
    <w:rsid w:val="00062118"/>
    <w:rsid w:val="0006215A"/>
    <w:rsid w:val="000621B8"/>
    <w:rsid w:val="0006222E"/>
    <w:rsid w:val="00062289"/>
    <w:rsid w:val="0006243C"/>
    <w:rsid w:val="000624A6"/>
    <w:rsid w:val="000624C9"/>
    <w:rsid w:val="000624CF"/>
    <w:rsid w:val="0006251E"/>
    <w:rsid w:val="000625D8"/>
    <w:rsid w:val="000625E9"/>
    <w:rsid w:val="000625F5"/>
    <w:rsid w:val="0006267A"/>
    <w:rsid w:val="0006277B"/>
    <w:rsid w:val="00062802"/>
    <w:rsid w:val="0006280C"/>
    <w:rsid w:val="00062958"/>
    <w:rsid w:val="00062A4E"/>
    <w:rsid w:val="00062AB7"/>
    <w:rsid w:val="00062B11"/>
    <w:rsid w:val="00062BC6"/>
    <w:rsid w:val="00062CAA"/>
    <w:rsid w:val="00062DC2"/>
    <w:rsid w:val="00062E7B"/>
    <w:rsid w:val="00062E9B"/>
    <w:rsid w:val="00062ECF"/>
    <w:rsid w:val="0006304F"/>
    <w:rsid w:val="0006312B"/>
    <w:rsid w:val="00063147"/>
    <w:rsid w:val="00063219"/>
    <w:rsid w:val="0006330C"/>
    <w:rsid w:val="00063310"/>
    <w:rsid w:val="000633F4"/>
    <w:rsid w:val="00063406"/>
    <w:rsid w:val="00063522"/>
    <w:rsid w:val="00063579"/>
    <w:rsid w:val="000635A1"/>
    <w:rsid w:val="00063650"/>
    <w:rsid w:val="000636CF"/>
    <w:rsid w:val="0006372A"/>
    <w:rsid w:val="000637DE"/>
    <w:rsid w:val="0006388D"/>
    <w:rsid w:val="00063945"/>
    <w:rsid w:val="00063BE1"/>
    <w:rsid w:val="00063BFC"/>
    <w:rsid w:val="00063C0A"/>
    <w:rsid w:val="00063D4E"/>
    <w:rsid w:val="00063D86"/>
    <w:rsid w:val="00063E2B"/>
    <w:rsid w:val="00063FA4"/>
    <w:rsid w:val="00064215"/>
    <w:rsid w:val="0006433D"/>
    <w:rsid w:val="0006438C"/>
    <w:rsid w:val="00064455"/>
    <w:rsid w:val="000644B2"/>
    <w:rsid w:val="000644B6"/>
    <w:rsid w:val="00064597"/>
    <w:rsid w:val="00064601"/>
    <w:rsid w:val="000647C4"/>
    <w:rsid w:val="00064821"/>
    <w:rsid w:val="0006482F"/>
    <w:rsid w:val="000648B9"/>
    <w:rsid w:val="000649F9"/>
    <w:rsid w:val="00064A75"/>
    <w:rsid w:val="00064ACF"/>
    <w:rsid w:val="00064BF9"/>
    <w:rsid w:val="00064C03"/>
    <w:rsid w:val="00064C0F"/>
    <w:rsid w:val="00064C89"/>
    <w:rsid w:val="00064D09"/>
    <w:rsid w:val="00064D1E"/>
    <w:rsid w:val="00064F73"/>
    <w:rsid w:val="00064FAE"/>
    <w:rsid w:val="00065131"/>
    <w:rsid w:val="0006528F"/>
    <w:rsid w:val="00065484"/>
    <w:rsid w:val="00065558"/>
    <w:rsid w:val="000655BF"/>
    <w:rsid w:val="00065638"/>
    <w:rsid w:val="00065696"/>
    <w:rsid w:val="000656A3"/>
    <w:rsid w:val="00065822"/>
    <w:rsid w:val="00065A6B"/>
    <w:rsid w:val="00065AD9"/>
    <w:rsid w:val="00065B73"/>
    <w:rsid w:val="00065D00"/>
    <w:rsid w:val="00065D8D"/>
    <w:rsid w:val="00065EC6"/>
    <w:rsid w:val="00065F20"/>
    <w:rsid w:val="00065F95"/>
    <w:rsid w:val="000660AF"/>
    <w:rsid w:val="000660CE"/>
    <w:rsid w:val="0006623F"/>
    <w:rsid w:val="00066248"/>
    <w:rsid w:val="00066274"/>
    <w:rsid w:val="000662E9"/>
    <w:rsid w:val="0006634D"/>
    <w:rsid w:val="000664B6"/>
    <w:rsid w:val="000664D1"/>
    <w:rsid w:val="000664E0"/>
    <w:rsid w:val="000665B1"/>
    <w:rsid w:val="000665D4"/>
    <w:rsid w:val="000665F4"/>
    <w:rsid w:val="000666AE"/>
    <w:rsid w:val="000666D0"/>
    <w:rsid w:val="000667C9"/>
    <w:rsid w:val="000667D9"/>
    <w:rsid w:val="00066820"/>
    <w:rsid w:val="0006683F"/>
    <w:rsid w:val="000668F6"/>
    <w:rsid w:val="000669B7"/>
    <w:rsid w:val="000669B9"/>
    <w:rsid w:val="00066A8C"/>
    <w:rsid w:val="00066A96"/>
    <w:rsid w:val="00066AE0"/>
    <w:rsid w:val="00066BA2"/>
    <w:rsid w:val="00066C57"/>
    <w:rsid w:val="00066CB8"/>
    <w:rsid w:val="00066CC1"/>
    <w:rsid w:val="00066CFB"/>
    <w:rsid w:val="00066D9E"/>
    <w:rsid w:val="00066ECB"/>
    <w:rsid w:val="00066EE9"/>
    <w:rsid w:val="00066F12"/>
    <w:rsid w:val="00066F2D"/>
    <w:rsid w:val="00066F2E"/>
    <w:rsid w:val="0006700E"/>
    <w:rsid w:val="00067069"/>
    <w:rsid w:val="000670FF"/>
    <w:rsid w:val="0006711B"/>
    <w:rsid w:val="000672D0"/>
    <w:rsid w:val="00067358"/>
    <w:rsid w:val="000673DA"/>
    <w:rsid w:val="000674BA"/>
    <w:rsid w:val="00067621"/>
    <w:rsid w:val="00067650"/>
    <w:rsid w:val="000676D9"/>
    <w:rsid w:val="000676E9"/>
    <w:rsid w:val="000677A9"/>
    <w:rsid w:val="00067809"/>
    <w:rsid w:val="00067888"/>
    <w:rsid w:val="00067946"/>
    <w:rsid w:val="00067955"/>
    <w:rsid w:val="00067965"/>
    <w:rsid w:val="00067A41"/>
    <w:rsid w:val="00067A67"/>
    <w:rsid w:val="00067ACC"/>
    <w:rsid w:val="00067BBB"/>
    <w:rsid w:val="00067BF1"/>
    <w:rsid w:val="00067C3A"/>
    <w:rsid w:val="00067CDA"/>
    <w:rsid w:val="00067CEC"/>
    <w:rsid w:val="00067D15"/>
    <w:rsid w:val="00067D25"/>
    <w:rsid w:val="00067D97"/>
    <w:rsid w:val="00067DD2"/>
    <w:rsid w:val="00067E8A"/>
    <w:rsid w:val="00067FE9"/>
    <w:rsid w:val="0007021F"/>
    <w:rsid w:val="00070371"/>
    <w:rsid w:val="0007042B"/>
    <w:rsid w:val="0007049E"/>
    <w:rsid w:val="000704C4"/>
    <w:rsid w:val="000704CC"/>
    <w:rsid w:val="00070505"/>
    <w:rsid w:val="000705F1"/>
    <w:rsid w:val="000707E0"/>
    <w:rsid w:val="000708FF"/>
    <w:rsid w:val="000709C1"/>
    <w:rsid w:val="00070A90"/>
    <w:rsid w:val="00070BAE"/>
    <w:rsid w:val="00070D2F"/>
    <w:rsid w:val="00070D35"/>
    <w:rsid w:val="00070DA4"/>
    <w:rsid w:val="00070DBF"/>
    <w:rsid w:val="00070DC7"/>
    <w:rsid w:val="00070E01"/>
    <w:rsid w:val="00070EE2"/>
    <w:rsid w:val="00070FAA"/>
    <w:rsid w:val="0007100A"/>
    <w:rsid w:val="00071025"/>
    <w:rsid w:val="000710A4"/>
    <w:rsid w:val="00071110"/>
    <w:rsid w:val="00071176"/>
    <w:rsid w:val="0007120E"/>
    <w:rsid w:val="000712E6"/>
    <w:rsid w:val="000712F4"/>
    <w:rsid w:val="0007135D"/>
    <w:rsid w:val="000713AF"/>
    <w:rsid w:val="00071435"/>
    <w:rsid w:val="000714A9"/>
    <w:rsid w:val="000716CB"/>
    <w:rsid w:val="00071849"/>
    <w:rsid w:val="00071D1D"/>
    <w:rsid w:val="00071D4A"/>
    <w:rsid w:val="00071D6B"/>
    <w:rsid w:val="00071F19"/>
    <w:rsid w:val="00071FA0"/>
    <w:rsid w:val="00071FBE"/>
    <w:rsid w:val="00072156"/>
    <w:rsid w:val="0007224F"/>
    <w:rsid w:val="0007228A"/>
    <w:rsid w:val="000722B8"/>
    <w:rsid w:val="000722F4"/>
    <w:rsid w:val="0007237F"/>
    <w:rsid w:val="0007249B"/>
    <w:rsid w:val="000724BF"/>
    <w:rsid w:val="000724FA"/>
    <w:rsid w:val="000726ED"/>
    <w:rsid w:val="00072767"/>
    <w:rsid w:val="0007277E"/>
    <w:rsid w:val="000727FB"/>
    <w:rsid w:val="00072841"/>
    <w:rsid w:val="000728B9"/>
    <w:rsid w:val="000728C5"/>
    <w:rsid w:val="00072966"/>
    <w:rsid w:val="000729BF"/>
    <w:rsid w:val="000729C9"/>
    <w:rsid w:val="000729F6"/>
    <w:rsid w:val="00072A21"/>
    <w:rsid w:val="00072B0B"/>
    <w:rsid w:val="00072B72"/>
    <w:rsid w:val="00072C61"/>
    <w:rsid w:val="00072C86"/>
    <w:rsid w:val="00072D37"/>
    <w:rsid w:val="00072D4E"/>
    <w:rsid w:val="00072DE5"/>
    <w:rsid w:val="00072E8B"/>
    <w:rsid w:val="000730FE"/>
    <w:rsid w:val="00073114"/>
    <w:rsid w:val="000731BA"/>
    <w:rsid w:val="0007320F"/>
    <w:rsid w:val="0007322F"/>
    <w:rsid w:val="000732B2"/>
    <w:rsid w:val="000732B8"/>
    <w:rsid w:val="0007337D"/>
    <w:rsid w:val="0007343F"/>
    <w:rsid w:val="000734DD"/>
    <w:rsid w:val="000736AD"/>
    <w:rsid w:val="00073717"/>
    <w:rsid w:val="00073749"/>
    <w:rsid w:val="000737B7"/>
    <w:rsid w:val="00073869"/>
    <w:rsid w:val="00073920"/>
    <w:rsid w:val="00073ACA"/>
    <w:rsid w:val="00073B20"/>
    <w:rsid w:val="00073B57"/>
    <w:rsid w:val="00073CD2"/>
    <w:rsid w:val="00073DA7"/>
    <w:rsid w:val="00073EA7"/>
    <w:rsid w:val="00074056"/>
    <w:rsid w:val="00074057"/>
    <w:rsid w:val="000740D4"/>
    <w:rsid w:val="0007410E"/>
    <w:rsid w:val="00074173"/>
    <w:rsid w:val="00074235"/>
    <w:rsid w:val="0007423B"/>
    <w:rsid w:val="000742A0"/>
    <w:rsid w:val="00074334"/>
    <w:rsid w:val="0007458C"/>
    <w:rsid w:val="00074642"/>
    <w:rsid w:val="00074685"/>
    <w:rsid w:val="000747FF"/>
    <w:rsid w:val="00074834"/>
    <w:rsid w:val="00074852"/>
    <w:rsid w:val="00074A8F"/>
    <w:rsid w:val="00074BAE"/>
    <w:rsid w:val="00074C37"/>
    <w:rsid w:val="00074C59"/>
    <w:rsid w:val="00074C99"/>
    <w:rsid w:val="00074D44"/>
    <w:rsid w:val="00074D75"/>
    <w:rsid w:val="00074D84"/>
    <w:rsid w:val="00074DAF"/>
    <w:rsid w:val="00074DDA"/>
    <w:rsid w:val="00074DF4"/>
    <w:rsid w:val="00074E1E"/>
    <w:rsid w:val="00074E2C"/>
    <w:rsid w:val="00074E7A"/>
    <w:rsid w:val="00074F6E"/>
    <w:rsid w:val="00075233"/>
    <w:rsid w:val="000752AE"/>
    <w:rsid w:val="00075331"/>
    <w:rsid w:val="00075350"/>
    <w:rsid w:val="000754AD"/>
    <w:rsid w:val="000754E5"/>
    <w:rsid w:val="0007553A"/>
    <w:rsid w:val="00075562"/>
    <w:rsid w:val="000755C2"/>
    <w:rsid w:val="000756EE"/>
    <w:rsid w:val="000757C1"/>
    <w:rsid w:val="000757ED"/>
    <w:rsid w:val="000758D3"/>
    <w:rsid w:val="000759E0"/>
    <w:rsid w:val="00075B62"/>
    <w:rsid w:val="00075B80"/>
    <w:rsid w:val="00075C0B"/>
    <w:rsid w:val="00075C3B"/>
    <w:rsid w:val="00075D7D"/>
    <w:rsid w:val="00075DDA"/>
    <w:rsid w:val="00075DE7"/>
    <w:rsid w:val="00075F04"/>
    <w:rsid w:val="00075F0F"/>
    <w:rsid w:val="00075F63"/>
    <w:rsid w:val="00075F67"/>
    <w:rsid w:val="0007601A"/>
    <w:rsid w:val="000760C0"/>
    <w:rsid w:val="0007628F"/>
    <w:rsid w:val="000763F3"/>
    <w:rsid w:val="00076486"/>
    <w:rsid w:val="0007656C"/>
    <w:rsid w:val="0007657C"/>
    <w:rsid w:val="00076597"/>
    <w:rsid w:val="000765A7"/>
    <w:rsid w:val="00076748"/>
    <w:rsid w:val="0007677C"/>
    <w:rsid w:val="00076795"/>
    <w:rsid w:val="00076819"/>
    <w:rsid w:val="000768B0"/>
    <w:rsid w:val="000768DC"/>
    <w:rsid w:val="00076A13"/>
    <w:rsid w:val="00076A60"/>
    <w:rsid w:val="00076A79"/>
    <w:rsid w:val="00076C12"/>
    <w:rsid w:val="00076CA8"/>
    <w:rsid w:val="00076CEE"/>
    <w:rsid w:val="00076D66"/>
    <w:rsid w:val="00076D9B"/>
    <w:rsid w:val="00076DF2"/>
    <w:rsid w:val="00076ED8"/>
    <w:rsid w:val="00076F58"/>
    <w:rsid w:val="00077086"/>
    <w:rsid w:val="0007708E"/>
    <w:rsid w:val="000770E3"/>
    <w:rsid w:val="0007712E"/>
    <w:rsid w:val="0007737A"/>
    <w:rsid w:val="0007738D"/>
    <w:rsid w:val="000773B3"/>
    <w:rsid w:val="0007749D"/>
    <w:rsid w:val="0007759D"/>
    <w:rsid w:val="000775F2"/>
    <w:rsid w:val="0007764B"/>
    <w:rsid w:val="000776E9"/>
    <w:rsid w:val="0007775A"/>
    <w:rsid w:val="000778C4"/>
    <w:rsid w:val="00077918"/>
    <w:rsid w:val="00077A84"/>
    <w:rsid w:val="00077AAF"/>
    <w:rsid w:val="00077B62"/>
    <w:rsid w:val="00077BE4"/>
    <w:rsid w:val="00077C8A"/>
    <w:rsid w:val="00077D92"/>
    <w:rsid w:val="00077DB3"/>
    <w:rsid w:val="00077E00"/>
    <w:rsid w:val="00080059"/>
    <w:rsid w:val="000800BD"/>
    <w:rsid w:val="000801DF"/>
    <w:rsid w:val="0008024B"/>
    <w:rsid w:val="00080455"/>
    <w:rsid w:val="00080536"/>
    <w:rsid w:val="0008064E"/>
    <w:rsid w:val="00080705"/>
    <w:rsid w:val="0008070D"/>
    <w:rsid w:val="00080748"/>
    <w:rsid w:val="000808C8"/>
    <w:rsid w:val="00080935"/>
    <w:rsid w:val="00080980"/>
    <w:rsid w:val="00080ACA"/>
    <w:rsid w:val="00080AED"/>
    <w:rsid w:val="00080BAD"/>
    <w:rsid w:val="00080BBF"/>
    <w:rsid w:val="00080D3F"/>
    <w:rsid w:val="00080DB9"/>
    <w:rsid w:val="00080E94"/>
    <w:rsid w:val="0008121B"/>
    <w:rsid w:val="00081244"/>
    <w:rsid w:val="00081262"/>
    <w:rsid w:val="00081271"/>
    <w:rsid w:val="00081357"/>
    <w:rsid w:val="0008144F"/>
    <w:rsid w:val="00081519"/>
    <w:rsid w:val="00081660"/>
    <w:rsid w:val="00081718"/>
    <w:rsid w:val="00081780"/>
    <w:rsid w:val="000817DA"/>
    <w:rsid w:val="000818C0"/>
    <w:rsid w:val="00081910"/>
    <w:rsid w:val="00081925"/>
    <w:rsid w:val="0008193D"/>
    <w:rsid w:val="00081953"/>
    <w:rsid w:val="000819BE"/>
    <w:rsid w:val="00081A48"/>
    <w:rsid w:val="00081A71"/>
    <w:rsid w:val="00081ABB"/>
    <w:rsid w:val="00081B0E"/>
    <w:rsid w:val="00081B12"/>
    <w:rsid w:val="00081C70"/>
    <w:rsid w:val="00081CB1"/>
    <w:rsid w:val="00081D4E"/>
    <w:rsid w:val="00081EA3"/>
    <w:rsid w:val="00081F81"/>
    <w:rsid w:val="00081FBE"/>
    <w:rsid w:val="00082120"/>
    <w:rsid w:val="000822B0"/>
    <w:rsid w:val="00082393"/>
    <w:rsid w:val="00082409"/>
    <w:rsid w:val="0008253C"/>
    <w:rsid w:val="00082554"/>
    <w:rsid w:val="0008258E"/>
    <w:rsid w:val="000825A3"/>
    <w:rsid w:val="0008260C"/>
    <w:rsid w:val="00082645"/>
    <w:rsid w:val="0008268A"/>
    <w:rsid w:val="000826B1"/>
    <w:rsid w:val="000826D6"/>
    <w:rsid w:val="00082709"/>
    <w:rsid w:val="00082746"/>
    <w:rsid w:val="00082799"/>
    <w:rsid w:val="0008292B"/>
    <w:rsid w:val="00082931"/>
    <w:rsid w:val="00082979"/>
    <w:rsid w:val="000829C9"/>
    <w:rsid w:val="00082A66"/>
    <w:rsid w:val="00082CA7"/>
    <w:rsid w:val="00082CBE"/>
    <w:rsid w:val="00082CCA"/>
    <w:rsid w:val="00082E1C"/>
    <w:rsid w:val="00082ECD"/>
    <w:rsid w:val="00082F01"/>
    <w:rsid w:val="00083023"/>
    <w:rsid w:val="00083051"/>
    <w:rsid w:val="000830F4"/>
    <w:rsid w:val="000832B8"/>
    <w:rsid w:val="00083317"/>
    <w:rsid w:val="00083453"/>
    <w:rsid w:val="000834FC"/>
    <w:rsid w:val="00083519"/>
    <w:rsid w:val="0008352F"/>
    <w:rsid w:val="0008356A"/>
    <w:rsid w:val="00083573"/>
    <w:rsid w:val="00083575"/>
    <w:rsid w:val="000835EE"/>
    <w:rsid w:val="00083697"/>
    <w:rsid w:val="000836C7"/>
    <w:rsid w:val="000836E6"/>
    <w:rsid w:val="000838B2"/>
    <w:rsid w:val="000838DF"/>
    <w:rsid w:val="00083925"/>
    <w:rsid w:val="00083963"/>
    <w:rsid w:val="00083992"/>
    <w:rsid w:val="00083A27"/>
    <w:rsid w:val="00083A8F"/>
    <w:rsid w:val="00083B89"/>
    <w:rsid w:val="00083B97"/>
    <w:rsid w:val="00083C1E"/>
    <w:rsid w:val="00083C26"/>
    <w:rsid w:val="00083C44"/>
    <w:rsid w:val="00083D09"/>
    <w:rsid w:val="00083D15"/>
    <w:rsid w:val="00083E64"/>
    <w:rsid w:val="00083E70"/>
    <w:rsid w:val="00084000"/>
    <w:rsid w:val="0008408F"/>
    <w:rsid w:val="000841AC"/>
    <w:rsid w:val="000841C8"/>
    <w:rsid w:val="0008426A"/>
    <w:rsid w:val="000842E1"/>
    <w:rsid w:val="0008431C"/>
    <w:rsid w:val="00084376"/>
    <w:rsid w:val="000843C9"/>
    <w:rsid w:val="00084447"/>
    <w:rsid w:val="00084472"/>
    <w:rsid w:val="000844CF"/>
    <w:rsid w:val="000844DF"/>
    <w:rsid w:val="000844E8"/>
    <w:rsid w:val="0008457F"/>
    <w:rsid w:val="000847B3"/>
    <w:rsid w:val="0008480D"/>
    <w:rsid w:val="000848E7"/>
    <w:rsid w:val="00084A84"/>
    <w:rsid w:val="00084AB4"/>
    <w:rsid w:val="00084B21"/>
    <w:rsid w:val="00084B5F"/>
    <w:rsid w:val="00084C83"/>
    <w:rsid w:val="00084D48"/>
    <w:rsid w:val="00084DD7"/>
    <w:rsid w:val="00084E21"/>
    <w:rsid w:val="00084EA6"/>
    <w:rsid w:val="00084F2F"/>
    <w:rsid w:val="00084FC0"/>
    <w:rsid w:val="00084FE7"/>
    <w:rsid w:val="00085035"/>
    <w:rsid w:val="00085052"/>
    <w:rsid w:val="000850B3"/>
    <w:rsid w:val="00085106"/>
    <w:rsid w:val="0008515F"/>
    <w:rsid w:val="000852A9"/>
    <w:rsid w:val="00085438"/>
    <w:rsid w:val="000854C1"/>
    <w:rsid w:val="00085512"/>
    <w:rsid w:val="0008554B"/>
    <w:rsid w:val="000855CB"/>
    <w:rsid w:val="00085638"/>
    <w:rsid w:val="0008563F"/>
    <w:rsid w:val="00085667"/>
    <w:rsid w:val="00085668"/>
    <w:rsid w:val="00085671"/>
    <w:rsid w:val="0008572B"/>
    <w:rsid w:val="0008579A"/>
    <w:rsid w:val="000857B6"/>
    <w:rsid w:val="0008591E"/>
    <w:rsid w:val="00085921"/>
    <w:rsid w:val="00085932"/>
    <w:rsid w:val="00085A67"/>
    <w:rsid w:val="00085ACF"/>
    <w:rsid w:val="00085B0A"/>
    <w:rsid w:val="00085B95"/>
    <w:rsid w:val="00085BE7"/>
    <w:rsid w:val="00085C39"/>
    <w:rsid w:val="00085C99"/>
    <w:rsid w:val="00085CAC"/>
    <w:rsid w:val="00085CBE"/>
    <w:rsid w:val="00085D19"/>
    <w:rsid w:val="00085D66"/>
    <w:rsid w:val="00085D70"/>
    <w:rsid w:val="00085D9D"/>
    <w:rsid w:val="00085E72"/>
    <w:rsid w:val="00085EE9"/>
    <w:rsid w:val="00085F08"/>
    <w:rsid w:val="0008618A"/>
    <w:rsid w:val="0008618F"/>
    <w:rsid w:val="00086286"/>
    <w:rsid w:val="000862C6"/>
    <w:rsid w:val="00086302"/>
    <w:rsid w:val="00086310"/>
    <w:rsid w:val="0008639B"/>
    <w:rsid w:val="000864DC"/>
    <w:rsid w:val="0008669F"/>
    <w:rsid w:val="0008683C"/>
    <w:rsid w:val="00086864"/>
    <w:rsid w:val="00086897"/>
    <w:rsid w:val="0008694C"/>
    <w:rsid w:val="00086969"/>
    <w:rsid w:val="00086A16"/>
    <w:rsid w:val="00086A95"/>
    <w:rsid w:val="00086B2B"/>
    <w:rsid w:val="00086BA2"/>
    <w:rsid w:val="00086BB8"/>
    <w:rsid w:val="00086C89"/>
    <w:rsid w:val="00086D9F"/>
    <w:rsid w:val="00086E35"/>
    <w:rsid w:val="00086FCA"/>
    <w:rsid w:val="00086FEE"/>
    <w:rsid w:val="0008705D"/>
    <w:rsid w:val="00087131"/>
    <w:rsid w:val="00087255"/>
    <w:rsid w:val="0008729C"/>
    <w:rsid w:val="0008733D"/>
    <w:rsid w:val="00087540"/>
    <w:rsid w:val="000875B5"/>
    <w:rsid w:val="0008762B"/>
    <w:rsid w:val="00087666"/>
    <w:rsid w:val="0008766A"/>
    <w:rsid w:val="0008772F"/>
    <w:rsid w:val="0008773F"/>
    <w:rsid w:val="0008774E"/>
    <w:rsid w:val="00087849"/>
    <w:rsid w:val="0008792E"/>
    <w:rsid w:val="00087931"/>
    <w:rsid w:val="00087981"/>
    <w:rsid w:val="0008799B"/>
    <w:rsid w:val="00087A46"/>
    <w:rsid w:val="00087A6A"/>
    <w:rsid w:val="00087B6A"/>
    <w:rsid w:val="00087B8C"/>
    <w:rsid w:val="00087BBB"/>
    <w:rsid w:val="00087D49"/>
    <w:rsid w:val="00087D50"/>
    <w:rsid w:val="00087E00"/>
    <w:rsid w:val="00090067"/>
    <w:rsid w:val="00090078"/>
    <w:rsid w:val="0009007C"/>
    <w:rsid w:val="000900CF"/>
    <w:rsid w:val="00090129"/>
    <w:rsid w:val="00090233"/>
    <w:rsid w:val="0009025A"/>
    <w:rsid w:val="000902EE"/>
    <w:rsid w:val="000903B5"/>
    <w:rsid w:val="00090613"/>
    <w:rsid w:val="00090641"/>
    <w:rsid w:val="00090744"/>
    <w:rsid w:val="00090750"/>
    <w:rsid w:val="00090753"/>
    <w:rsid w:val="000907EA"/>
    <w:rsid w:val="00090871"/>
    <w:rsid w:val="000908A5"/>
    <w:rsid w:val="000908C6"/>
    <w:rsid w:val="00090A97"/>
    <w:rsid w:val="00090ACB"/>
    <w:rsid w:val="00090B84"/>
    <w:rsid w:val="00090B99"/>
    <w:rsid w:val="00090D2C"/>
    <w:rsid w:val="00090DDE"/>
    <w:rsid w:val="00091194"/>
    <w:rsid w:val="000911E7"/>
    <w:rsid w:val="000911EC"/>
    <w:rsid w:val="000912D1"/>
    <w:rsid w:val="0009131E"/>
    <w:rsid w:val="0009137A"/>
    <w:rsid w:val="000915B4"/>
    <w:rsid w:val="00091672"/>
    <w:rsid w:val="0009176B"/>
    <w:rsid w:val="00091848"/>
    <w:rsid w:val="00091924"/>
    <w:rsid w:val="000919AF"/>
    <w:rsid w:val="00091A80"/>
    <w:rsid w:val="00091B11"/>
    <w:rsid w:val="00091B53"/>
    <w:rsid w:val="00091C6B"/>
    <w:rsid w:val="00091D2F"/>
    <w:rsid w:val="00091D55"/>
    <w:rsid w:val="00091D5A"/>
    <w:rsid w:val="00091D7B"/>
    <w:rsid w:val="00091DDF"/>
    <w:rsid w:val="00091E4E"/>
    <w:rsid w:val="00091EF3"/>
    <w:rsid w:val="00091EF6"/>
    <w:rsid w:val="00091FBD"/>
    <w:rsid w:val="00092136"/>
    <w:rsid w:val="0009216D"/>
    <w:rsid w:val="00092241"/>
    <w:rsid w:val="00092276"/>
    <w:rsid w:val="0009229C"/>
    <w:rsid w:val="000923C9"/>
    <w:rsid w:val="000923FF"/>
    <w:rsid w:val="0009246F"/>
    <w:rsid w:val="00092563"/>
    <w:rsid w:val="00092692"/>
    <w:rsid w:val="00092693"/>
    <w:rsid w:val="000928C5"/>
    <w:rsid w:val="00092988"/>
    <w:rsid w:val="0009299B"/>
    <w:rsid w:val="00092A5A"/>
    <w:rsid w:val="00092A74"/>
    <w:rsid w:val="00092AB4"/>
    <w:rsid w:val="00092BA0"/>
    <w:rsid w:val="00092BDC"/>
    <w:rsid w:val="00092C29"/>
    <w:rsid w:val="00092D5F"/>
    <w:rsid w:val="00092D6F"/>
    <w:rsid w:val="00092D9B"/>
    <w:rsid w:val="00092DD0"/>
    <w:rsid w:val="00092E09"/>
    <w:rsid w:val="00092E59"/>
    <w:rsid w:val="00092EAD"/>
    <w:rsid w:val="00092F52"/>
    <w:rsid w:val="000931D4"/>
    <w:rsid w:val="00093227"/>
    <w:rsid w:val="000932D0"/>
    <w:rsid w:val="00093323"/>
    <w:rsid w:val="00093444"/>
    <w:rsid w:val="000934A7"/>
    <w:rsid w:val="000935F8"/>
    <w:rsid w:val="0009379F"/>
    <w:rsid w:val="000937B7"/>
    <w:rsid w:val="000937CD"/>
    <w:rsid w:val="000937FB"/>
    <w:rsid w:val="0009382E"/>
    <w:rsid w:val="000938C7"/>
    <w:rsid w:val="00093987"/>
    <w:rsid w:val="00093A25"/>
    <w:rsid w:val="00093A53"/>
    <w:rsid w:val="00093B2B"/>
    <w:rsid w:val="00093BC5"/>
    <w:rsid w:val="00093BFD"/>
    <w:rsid w:val="00093C17"/>
    <w:rsid w:val="00093C4A"/>
    <w:rsid w:val="00093C88"/>
    <w:rsid w:val="00093CF2"/>
    <w:rsid w:val="00093D13"/>
    <w:rsid w:val="00093D6C"/>
    <w:rsid w:val="00093D97"/>
    <w:rsid w:val="00093DC0"/>
    <w:rsid w:val="00093E0D"/>
    <w:rsid w:val="00093EA1"/>
    <w:rsid w:val="00093FA7"/>
    <w:rsid w:val="00093FA9"/>
    <w:rsid w:val="00093FDA"/>
    <w:rsid w:val="000940A2"/>
    <w:rsid w:val="000940B8"/>
    <w:rsid w:val="000940E9"/>
    <w:rsid w:val="00094120"/>
    <w:rsid w:val="0009419B"/>
    <w:rsid w:val="000941FE"/>
    <w:rsid w:val="0009420B"/>
    <w:rsid w:val="0009432C"/>
    <w:rsid w:val="00094362"/>
    <w:rsid w:val="0009437C"/>
    <w:rsid w:val="00094395"/>
    <w:rsid w:val="000944E9"/>
    <w:rsid w:val="000945D3"/>
    <w:rsid w:val="000945E4"/>
    <w:rsid w:val="000946A1"/>
    <w:rsid w:val="00094715"/>
    <w:rsid w:val="00094733"/>
    <w:rsid w:val="0009474D"/>
    <w:rsid w:val="00094770"/>
    <w:rsid w:val="0009479A"/>
    <w:rsid w:val="000949A6"/>
    <w:rsid w:val="000949B7"/>
    <w:rsid w:val="00094A68"/>
    <w:rsid w:val="00094AB5"/>
    <w:rsid w:val="00094C17"/>
    <w:rsid w:val="00094CA1"/>
    <w:rsid w:val="00094CE7"/>
    <w:rsid w:val="00094FB4"/>
    <w:rsid w:val="0009506B"/>
    <w:rsid w:val="000950A7"/>
    <w:rsid w:val="00095139"/>
    <w:rsid w:val="0009515D"/>
    <w:rsid w:val="0009521C"/>
    <w:rsid w:val="00095285"/>
    <w:rsid w:val="000952A0"/>
    <w:rsid w:val="000952D2"/>
    <w:rsid w:val="000953D9"/>
    <w:rsid w:val="0009541F"/>
    <w:rsid w:val="00095455"/>
    <w:rsid w:val="0009551E"/>
    <w:rsid w:val="0009562B"/>
    <w:rsid w:val="00095748"/>
    <w:rsid w:val="000959A1"/>
    <w:rsid w:val="00095A24"/>
    <w:rsid w:val="00095A49"/>
    <w:rsid w:val="00095BC3"/>
    <w:rsid w:val="00095C65"/>
    <w:rsid w:val="00095CA8"/>
    <w:rsid w:val="00095D96"/>
    <w:rsid w:val="00095DAB"/>
    <w:rsid w:val="00095DD6"/>
    <w:rsid w:val="00095E0D"/>
    <w:rsid w:val="00096081"/>
    <w:rsid w:val="000960C9"/>
    <w:rsid w:val="000960E7"/>
    <w:rsid w:val="000961D4"/>
    <w:rsid w:val="00096392"/>
    <w:rsid w:val="000965C8"/>
    <w:rsid w:val="0009667B"/>
    <w:rsid w:val="0009681F"/>
    <w:rsid w:val="000968CF"/>
    <w:rsid w:val="00096916"/>
    <w:rsid w:val="0009695B"/>
    <w:rsid w:val="00096AF9"/>
    <w:rsid w:val="00096CE8"/>
    <w:rsid w:val="00096CEE"/>
    <w:rsid w:val="00096F88"/>
    <w:rsid w:val="00097262"/>
    <w:rsid w:val="000972D1"/>
    <w:rsid w:val="00097305"/>
    <w:rsid w:val="000973D5"/>
    <w:rsid w:val="00097415"/>
    <w:rsid w:val="000974E9"/>
    <w:rsid w:val="00097533"/>
    <w:rsid w:val="000975A2"/>
    <w:rsid w:val="00097612"/>
    <w:rsid w:val="00097671"/>
    <w:rsid w:val="0009769A"/>
    <w:rsid w:val="00097770"/>
    <w:rsid w:val="00097784"/>
    <w:rsid w:val="00097787"/>
    <w:rsid w:val="000979E5"/>
    <w:rsid w:val="00097A00"/>
    <w:rsid w:val="00097B67"/>
    <w:rsid w:val="00097C28"/>
    <w:rsid w:val="00097D19"/>
    <w:rsid w:val="00097DC9"/>
    <w:rsid w:val="00097DDE"/>
    <w:rsid w:val="00097E23"/>
    <w:rsid w:val="00097F7B"/>
    <w:rsid w:val="00097FF2"/>
    <w:rsid w:val="000A0014"/>
    <w:rsid w:val="000A001F"/>
    <w:rsid w:val="000A00D5"/>
    <w:rsid w:val="000A00F6"/>
    <w:rsid w:val="000A03AF"/>
    <w:rsid w:val="000A042F"/>
    <w:rsid w:val="000A0476"/>
    <w:rsid w:val="000A04CF"/>
    <w:rsid w:val="000A0534"/>
    <w:rsid w:val="000A06BF"/>
    <w:rsid w:val="000A06D6"/>
    <w:rsid w:val="000A07FF"/>
    <w:rsid w:val="000A0876"/>
    <w:rsid w:val="000A08FD"/>
    <w:rsid w:val="000A0900"/>
    <w:rsid w:val="000A091B"/>
    <w:rsid w:val="000A095D"/>
    <w:rsid w:val="000A0A26"/>
    <w:rsid w:val="000A0B0D"/>
    <w:rsid w:val="000A0B61"/>
    <w:rsid w:val="000A0C6E"/>
    <w:rsid w:val="000A0DD9"/>
    <w:rsid w:val="000A0E8E"/>
    <w:rsid w:val="000A0EDA"/>
    <w:rsid w:val="000A0EF1"/>
    <w:rsid w:val="000A0F0F"/>
    <w:rsid w:val="000A0F21"/>
    <w:rsid w:val="000A0F31"/>
    <w:rsid w:val="000A0F42"/>
    <w:rsid w:val="000A0FB1"/>
    <w:rsid w:val="000A0FBE"/>
    <w:rsid w:val="000A1114"/>
    <w:rsid w:val="000A1132"/>
    <w:rsid w:val="000A1147"/>
    <w:rsid w:val="000A11FC"/>
    <w:rsid w:val="000A1273"/>
    <w:rsid w:val="000A1311"/>
    <w:rsid w:val="000A1359"/>
    <w:rsid w:val="000A13C3"/>
    <w:rsid w:val="000A13F0"/>
    <w:rsid w:val="000A1456"/>
    <w:rsid w:val="000A1574"/>
    <w:rsid w:val="000A15C7"/>
    <w:rsid w:val="000A16F6"/>
    <w:rsid w:val="000A1703"/>
    <w:rsid w:val="000A1819"/>
    <w:rsid w:val="000A186C"/>
    <w:rsid w:val="000A1908"/>
    <w:rsid w:val="000A19F0"/>
    <w:rsid w:val="000A1AA8"/>
    <w:rsid w:val="000A1AAB"/>
    <w:rsid w:val="000A1B09"/>
    <w:rsid w:val="000A1B84"/>
    <w:rsid w:val="000A1CFC"/>
    <w:rsid w:val="000A1DD4"/>
    <w:rsid w:val="000A1F25"/>
    <w:rsid w:val="000A2037"/>
    <w:rsid w:val="000A2068"/>
    <w:rsid w:val="000A2158"/>
    <w:rsid w:val="000A22DE"/>
    <w:rsid w:val="000A2437"/>
    <w:rsid w:val="000A248D"/>
    <w:rsid w:val="000A25AD"/>
    <w:rsid w:val="000A2632"/>
    <w:rsid w:val="000A2798"/>
    <w:rsid w:val="000A27FA"/>
    <w:rsid w:val="000A29AA"/>
    <w:rsid w:val="000A29BE"/>
    <w:rsid w:val="000A29F1"/>
    <w:rsid w:val="000A2A89"/>
    <w:rsid w:val="000A2AB9"/>
    <w:rsid w:val="000A2BDF"/>
    <w:rsid w:val="000A2C1D"/>
    <w:rsid w:val="000A2CE7"/>
    <w:rsid w:val="000A2DDB"/>
    <w:rsid w:val="000A2E85"/>
    <w:rsid w:val="000A2F9D"/>
    <w:rsid w:val="000A3001"/>
    <w:rsid w:val="000A3105"/>
    <w:rsid w:val="000A31A5"/>
    <w:rsid w:val="000A32E7"/>
    <w:rsid w:val="000A331C"/>
    <w:rsid w:val="000A3356"/>
    <w:rsid w:val="000A3477"/>
    <w:rsid w:val="000A3530"/>
    <w:rsid w:val="000A3633"/>
    <w:rsid w:val="000A36A1"/>
    <w:rsid w:val="000A3703"/>
    <w:rsid w:val="000A386B"/>
    <w:rsid w:val="000A38C7"/>
    <w:rsid w:val="000A38C8"/>
    <w:rsid w:val="000A394D"/>
    <w:rsid w:val="000A39CD"/>
    <w:rsid w:val="000A3A33"/>
    <w:rsid w:val="000A3A45"/>
    <w:rsid w:val="000A3AC8"/>
    <w:rsid w:val="000A3BFF"/>
    <w:rsid w:val="000A3D23"/>
    <w:rsid w:val="000A3DBA"/>
    <w:rsid w:val="000A3E3B"/>
    <w:rsid w:val="000A3F15"/>
    <w:rsid w:val="000A3FD8"/>
    <w:rsid w:val="000A4037"/>
    <w:rsid w:val="000A4117"/>
    <w:rsid w:val="000A41F2"/>
    <w:rsid w:val="000A4277"/>
    <w:rsid w:val="000A42BF"/>
    <w:rsid w:val="000A435D"/>
    <w:rsid w:val="000A43C7"/>
    <w:rsid w:val="000A4403"/>
    <w:rsid w:val="000A4414"/>
    <w:rsid w:val="000A44A5"/>
    <w:rsid w:val="000A4571"/>
    <w:rsid w:val="000A4577"/>
    <w:rsid w:val="000A46D5"/>
    <w:rsid w:val="000A470E"/>
    <w:rsid w:val="000A4711"/>
    <w:rsid w:val="000A4874"/>
    <w:rsid w:val="000A4A35"/>
    <w:rsid w:val="000A4B8C"/>
    <w:rsid w:val="000A4BD2"/>
    <w:rsid w:val="000A4C36"/>
    <w:rsid w:val="000A4C52"/>
    <w:rsid w:val="000A4DCA"/>
    <w:rsid w:val="000A4E5E"/>
    <w:rsid w:val="000A515A"/>
    <w:rsid w:val="000A51C3"/>
    <w:rsid w:val="000A5250"/>
    <w:rsid w:val="000A52EC"/>
    <w:rsid w:val="000A53C3"/>
    <w:rsid w:val="000A53E4"/>
    <w:rsid w:val="000A5566"/>
    <w:rsid w:val="000A55A9"/>
    <w:rsid w:val="000A563D"/>
    <w:rsid w:val="000A563E"/>
    <w:rsid w:val="000A564F"/>
    <w:rsid w:val="000A5670"/>
    <w:rsid w:val="000A5708"/>
    <w:rsid w:val="000A5898"/>
    <w:rsid w:val="000A590C"/>
    <w:rsid w:val="000A5ADA"/>
    <w:rsid w:val="000A5B04"/>
    <w:rsid w:val="000A5BF2"/>
    <w:rsid w:val="000A5CCE"/>
    <w:rsid w:val="000A5CD8"/>
    <w:rsid w:val="000A5D7B"/>
    <w:rsid w:val="000A5DF4"/>
    <w:rsid w:val="000A5E36"/>
    <w:rsid w:val="000A5E49"/>
    <w:rsid w:val="000A5F2E"/>
    <w:rsid w:val="000A5F3A"/>
    <w:rsid w:val="000A600D"/>
    <w:rsid w:val="000A60DF"/>
    <w:rsid w:val="000A61E6"/>
    <w:rsid w:val="000A6252"/>
    <w:rsid w:val="000A62E0"/>
    <w:rsid w:val="000A63F7"/>
    <w:rsid w:val="000A640A"/>
    <w:rsid w:val="000A647E"/>
    <w:rsid w:val="000A65CB"/>
    <w:rsid w:val="000A6606"/>
    <w:rsid w:val="000A66ED"/>
    <w:rsid w:val="000A6721"/>
    <w:rsid w:val="000A672C"/>
    <w:rsid w:val="000A676E"/>
    <w:rsid w:val="000A67CD"/>
    <w:rsid w:val="000A67DE"/>
    <w:rsid w:val="000A67E2"/>
    <w:rsid w:val="000A68A7"/>
    <w:rsid w:val="000A693F"/>
    <w:rsid w:val="000A694D"/>
    <w:rsid w:val="000A6B94"/>
    <w:rsid w:val="000A6BDD"/>
    <w:rsid w:val="000A6BE5"/>
    <w:rsid w:val="000A6BF8"/>
    <w:rsid w:val="000A6D7E"/>
    <w:rsid w:val="000A6DD6"/>
    <w:rsid w:val="000A6E35"/>
    <w:rsid w:val="000A6F6D"/>
    <w:rsid w:val="000A6F8D"/>
    <w:rsid w:val="000A6FD5"/>
    <w:rsid w:val="000A7027"/>
    <w:rsid w:val="000A70AC"/>
    <w:rsid w:val="000A70BA"/>
    <w:rsid w:val="000A7142"/>
    <w:rsid w:val="000A7175"/>
    <w:rsid w:val="000A7351"/>
    <w:rsid w:val="000A736A"/>
    <w:rsid w:val="000A7398"/>
    <w:rsid w:val="000A7568"/>
    <w:rsid w:val="000A7635"/>
    <w:rsid w:val="000A76F2"/>
    <w:rsid w:val="000A77D8"/>
    <w:rsid w:val="000A7870"/>
    <w:rsid w:val="000A78DC"/>
    <w:rsid w:val="000A7B1B"/>
    <w:rsid w:val="000A7B38"/>
    <w:rsid w:val="000A7BCD"/>
    <w:rsid w:val="000A7BE7"/>
    <w:rsid w:val="000A7BF9"/>
    <w:rsid w:val="000A7C03"/>
    <w:rsid w:val="000A7C08"/>
    <w:rsid w:val="000A7C18"/>
    <w:rsid w:val="000A7CC2"/>
    <w:rsid w:val="000A7D43"/>
    <w:rsid w:val="000A7EB6"/>
    <w:rsid w:val="000A7F46"/>
    <w:rsid w:val="000A7F48"/>
    <w:rsid w:val="000A7F7D"/>
    <w:rsid w:val="000B00D6"/>
    <w:rsid w:val="000B00DA"/>
    <w:rsid w:val="000B0122"/>
    <w:rsid w:val="000B0174"/>
    <w:rsid w:val="000B02CF"/>
    <w:rsid w:val="000B031F"/>
    <w:rsid w:val="000B03EA"/>
    <w:rsid w:val="000B03F0"/>
    <w:rsid w:val="000B0401"/>
    <w:rsid w:val="000B05F8"/>
    <w:rsid w:val="000B0622"/>
    <w:rsid w:val="000B0647"/>
    <w:rsid w:val="000B0732"/>
    <w:rsid w:val="000B0772"/>
    <w:rsid w:val="000B077E"/>
    <w:rsid w:val="000B0799"/>
    <w:rsid w:val="000B087E"/>
    <w:rsid w:val="000B08B3"/>
    <w:rsid w:val="000B097D"/>
    <w:rsid w:val="000B0ACA"/>
    <w:rsid w:val="000B0AE6"/>
    <w:rsid w:val="000B0C67"/>
    <w:rsid w:val="000B0D4E"/>
    <w:rsid w:val="000B0D70"/>
    <w:rsid w:val="000B0E12"/>
    <w:rsid w:val="000B0E4E"/>
    <w:rsid w:val="000B0ED8"/>
    <w:rsid w:val="000B0EFB"/>
    <w:rsid w:val="000B0F68"/>
    <w:rsid w:val="000B0FAF"/>
    <w:rsid w:val="000B0FCA"/>
    <w:rsid w:val="000B0FCB"/>
    <w:rsid w:val="000B102D"/>
    <w:rsid w:val="000B1139"/>
    <w:rsid w:val="000B1183"/>
    <w:rsid w:val="000B11DC"/>
    <w:rsid w:val="000B121F"/>
    <w:rsid w:val="000B13DA"/>
    <w:rsid w:val="000B13F2"/>
    <w:rsid w:val="000B15B5"/>
    <w:rsid w:val="000B16ED"/>
    <w:rsid w:val="000B190C"/>
    <w:rsid w:val="000B1945"/>
    <w:rsid w:val="000B19DE"/>
    <w:rsid w:val="000B1A01"/>
    <w:rsid w:val="000B1A7A"/>
    <w:rsid w:val="000B1A8A"/>
    <w:rsid w:val="000B1A9C"/>
    <w:rsid w:val="000B1B33"/>
    <w:rsid w:val="000B1B77"/>
    <w:rsid w:val="000B1CCD"/>
    <w:rsid w:val="000B1D79"/>
    <w:rsid w:val="000B1E1C"/>
    <w:rsid w:val="000B1E9F"/>
    <w:rsid w:val="000B1FBA"/>
    <w:rsid w:val="000B2201"/>
    <w:rsid w:val="000B2298"/>
    <w:rsid w:val="000B22B2"/>
    <w:rsid w:val="000B2356"/>
    <w:rsid w:val="000B2485"/>
    <w:rsid w:val="000B24DF"/>
    <w:rsid w:val="000B2509"/>
    <w:rsid w:val="000B2511"/>
    <w:rsid w:val="000B253B"/>
    <w:rsid w:val="000B25EE"/>
    <w:rsid w:val="000B2662"/>
    <w:rsid w:val="000B26C1"/>
    <w:rsid w:val="000B26CC"/>
    <w:rsid w:val="000B2750"/>
    <w:rsid w:val="000B2B03"/>
    <w:rsid w:val="000B2BB2"/>
    <w:rsid w:val="000B2BD2"/>
    <w:rsid w:val="000B2C7E"/>
    <w:rsid w:val="000B2D3A"/>
    <w:rsid w:val="000B2D4A"/>
    <w:rsid w:val="000B2D8E"/>
    <w:rsid w:val="000B2E47"/>
    <w:rsid w:val="000B305B"/>
    <w:rsid w:val="000B3089"/>
    <w:rsid w:val="000B30D4"/>
    <w:rsid w:val="000B31A0"/>
    <w:rsid w:val="000B31D3"/>
    <w:rsid w:val="000B31DE"/>
    <w:rsid w:val="000B32C5"/>
    <w:rsid w:val="000B32D2"/>
    <w:rsid w:val="000B33A0"/>
    <w:rsid w:val="000B3496"/>
    <w:rsid w:val="000B357E"/>
    <w:rsid w:val="000B35E9"/>
    <w:rsid w:val="000B363D"/>
    <w:rsid w:val="000B37AF"/>
    <w:rsid w:val="000B37BD"/>
    <w:rsid w:val="000B37C4"/>
    <w:rsid w:val="000B381E"/>
    <w:rsid w:val="000B382A"/>
    <w:rsid w:val="000B390B"/>
    <w:rsid w:val="000B3924"/>
    <w:rsid w:val="000B39E2"/>
    <w:rsid w:val="000B3A86"/>
    <w:rsid w:val="000B3B07"/>
    <w:rsid w:val="000B3B33"/>
    <w:rsid w:val="000B3BC8"/>
    <w:rsid w:val="000B3C44"/>
    <w:rsid w:val="000B3D66"/>
    <w:rsid w:val="000B3E08"/>
    <w:rsid w:val="000B3EF6"/>
    <w:rsid w:val="000B3F08"/>
    <w:rsid w:val="000B3FD3"/>
    <w:rsid w:val="000B4148"/>
    <w:rsid w:val="000B41FF"/>
    <w:rsid w:val="000B420C"/>
    <w:rsid w:val="000B42DA"/>
    <w:rsid w:val="000B43C3"/>
    <w:rsid w:val="000B4434"/>
    <w:rsid w:val="000B446B"/>
    <w:rsid w:val="000B4567"/>
    <w:rsid w:val="000B45CD"/>
    <w:rsid w:val="000B45E0"/>
    <w:rsid w:val="000B45ED"/>
    <w:rsid w:val="000B467C"/>
    <w:rsid w:val="000B474C"/>
    <w:rsid w:val="000B478A"/>
    <w:rsid w:val="000B47CE"/>
    <w:rsid w:val="000B497E"/>
    <w:rsid w:val="000B4A5A"/>
    <w:rsid w:val="000B4A74"/>
    <w:rsid w:val="000B4BA2"/>
    <w:rsid w:val="000B4C1C"/>
    <w:rsid w:val="000B4C71"/>
    <w:rsid w:val="000B4DE4"/>
    <w:rsid w:val="000B4E0C"/>
    <w:rsid w:val="000B4ECD"/>
    <w:rsid w:val="000B5138"/>
    <w:rsid w:val="000B5278"/>
    <w:rsid w:val="000B54B2"/>
    <w:rsid w:val="000B54BF"/>
    <w:rsid w:val="000B5554"/>
    <w:rsid w:val="000B5563"/>
    <w:rsid w:val="000B55CA"/>
    <w:rsid w:val="000B5706"/>
    <w:rsid w:val="000B57A2"/>
    <w:rsid w:val="000B57B1"/>
    <w:rsid w:val="000B57C3"/>
    <w:rsid w:val="000B580E"/>
    <w:rsid w:val="000B5891"/>
    <w:rsid w:val="000B58C7"/>
    <w:rsid w:val="000B59D3"/>
    <w:rsid w:val="000B5AB7"/>
    <w:rsid w:val="000B5B11"/>
    <w:rsid w:val="000B5B45"/>
    <w:rsid w:val="000B5B5E"/>
    <w:rsid w:val="000B5B86"/>
    <w:rsid w:val="000B5BCD"/>
    <w:rsid w:val="000B5BF7"/>
    <w:rsid w:val="000B5C74"/>
    <w:rsid w:val="000B5CA0"/>
    <w:rsid w:val="000B5D05"/>
    <w:rsid w:val="000B5D2C"/>
    <w:rsid w:val="000B5D45"/>
    <w:rsid w:val="000B639C"/>
    <w:rsid w:val="000B63E9"/>
    <w:rsid w:val="000B6541"/>
    <w:rsid w:val="000B6584"/>
    <w:rsid w:val="000B65F8"/>
    <w:rsid w:val="000B6754"/>
    <w:rsid w:val="000B6768"/>
    <w:rsid w:val="000B67D3"/>
    <w:rsid w:val="000B69B3"/>
    <w:rsid w:val="000B69D7"/>
    <w:rsid w:val="000B6AD9"/>
    <w:rsid w:val="000B6AFA"/>
    <w:rsid w:val="000B6BBB"/>
    <w:rsid w:val="000B6C44"/>
    <w:rsid w:val="000B6C54"/>
    <w:rsid w:val="000B6D4D"/>
    <w:rsid w:val="000B6DA6"/>
    <w:rsid w:val="000B6DFB"/>
    <w:rsid w:val="000B6E12"/>
    <w:rsid w:val="000B6E63"/>
    <w:rsid w:val="000B6E76"/>
    <w:rsid w:val="000B6F57"/>
    <w:rsid w:val="000B6FC6"/>
    <w:rsid w:val="000B7063"/>
    <w:rsid w:val="000B70B4"/>
    <w:rsid w:val="000B711E"/>
    <w:rsid w:val="000B718B"/>
    <w:rsid w:val="000B71A3"/>
    <w:rsid w:val="000B732E"/>
    <w:rsid w:val="000B7333"/>
    <w:rsid w:val="000B7380"/>
    <w:rsid w:val="000B7476"/>
    <w:rsid w:val="000B74C9"/>
    <w:rsid w:val="000B74E4"/>
    <w:rsid w:val="000B7504"/>
    <w:rsid w:val="000B7664"/>
    <w:rsid w:val="000B766B"/>
    <w:rsid w:val="000B76DE"/>
    <w:rsid w:val="000B77AC"/>
    <w:rsid w:val="000B782F"/>
    <w:rsid w:val="000B793E"/>
    <w:rsid w:val="000B7971"/>
    <w:rsid w:val="000B7AB5"/>
    <w:rsid w:val="000B7CA6"/>
    <w:rsid w:val="000B7CBB"/>
    <w:rsid w:val="000B7F2D"/>
    <w:rsid w:val="000B7F3A"/>
    <w:rsid w:val="000B7F8D"/>
    <w:rsid w:val="000B7F90"/>
    <w:rsid w:val="000C0025"/>
    <w:rsid w:val="000C00D1"/>
    <w:rsid w:val="000C017A"/>
    <w:rsid w:val="000C03E6"/>
    <w:rsid w:val="000C0413"/>
    <w:rsid w:val="000C0458"/>
    <w:rsid w:val="000C0555"/>
    <w:rsid w:val="000C0556"/>
    <w:rsid w:val="000C0656"/>
    <w:rsid w:val="000C0679"/>
    <w:rsid w:val="000C06B3"/>
    <w:rsid w:val="000C0766"/>
    <w:rsid w:val="000C0789"/>
    <w:rsid w:val="000C0883"/>
    <w:rsid w:val="000C09C3"/>
    <w:rsid w:val="000C09E3"/>
    <w:rsid w:val="000C0A2A"/>
    <w:rsid w:val="000C0ABF"/>
    <w:rsid w:val="000C0C41"/>
    <w:rsid w:val="000C0C99"/>
    <w:rsid w:val="000C0CDC"/>
    <w:rsid w:val="000C0D5F"/>
    <w:rsid w:val="000C0D69"/>
    <w:rsid w:val="000C0D95"/>
    <w:rsid w:val="000C0E13"/>
    <w:rsid w:val="000C0E31"/>
    <w:rsid w:val="000C0EA0"/>
    <w:rsid w:val="000C1021"/>
    <w:rsid w:val="000C10EA"/>
    <w:rsid w:val="000C114E"/>
    <w:rsid w:val="000C11A0"/>
    <w:rsid w:val="000C1282"/>
    <w:rsid w:val="000C12D8"/>
    <w:rsid w:val="000C1347"/>
    <w:rsid w:val="000C13B2"/>
    <w:rsid w:val="000C13B9"/>
    <w:rsid w:val="000C13F0"/>
    <w:rsid w:val="000C1484"/>
    <w:rsid w:val="000C149D"/>
    <w:rsid w:val="000C14F4"/>
    <w:rsid w:val="000C153C"/>
    <w:rsid w:val="000C15FD"/>
    <w:rsid w:val="000C16B2"/>
    <w:rsid w:val="000C175F"/>
    <w:rsid w:val="000C17E7"/>
    <w:rsid w:val="000C18C4"/>
    <w:rsid w:val="000C1A15"/>
    <w:rsid w:val="000C1A5A"/>
    <w:rsid w:val="000C1AE9"/>
    <w:rsid w:val="000C1B4A"/>
    <w:rsid w:val="000C1B59"/>
    <w:rsid w:val="000C1B6D"/>
    <w:rsid w:val="000C1C05"/>
    <w:rsid w:val="000C1CF6"/>
    <w:rsid w:val="000C1CFE"/>
    <w:rsid w:val="000C1DA4"/>
    <w:rsid w:val="000C1F4B"/>
    <w:rsid w:val="000C1F76"/>
    <w:rsid w:val="000C1F8A"/>
    <w:rsid w:val="000C2010"/>
    <w:rsid w:val="000C2036"/>
    <w:rsid w:val="000C20AA"/>
    <w:rsid w:val="000C2124"/>
    <w:rsid w:val="000C2157"/>
    <w:rsid w:val="000C216D"/>
    <w:rsid w:val="000C21AA"/>
    <w:rsid w:val="000C2291"/>
    <w:rsid w:val="000C22BA"/>
    <w:rsid w:val="000C24CD"/>
    <w:rsid w:val="000C2550"/>
    <w:rsid w:val="000C2665"/>
    <w:rsid w:val="000C268D"/>
    <w:rsid w:val="000C26C3"/>
    <w:rsid w:val="000C272C"/>
    <w:rsid w:val="000C27AD"/>
    <w:rsid w:val="000C27BD"/>
    <w:rsid w:val="000C2805"/>
    <w:rsid w:val="000C282B"/>
    <w:rsid w:val="000C28C5"/>
    <w:rsid w:val="000C28DF"/>
    <w:rsid w:val="000C296A"/>
    <w:rsid w:val="000C2AC6"/>
    <w:rsid w:val="000C2AD7"/>
    <w:rsid w:val="000C2BFA"/>
    <w:rsid w:val="000C2CCA"/>
    <w:rsid w:val="000C2DBE"/>
    <w:rsid w:val="000C2DC8"/>
    <w:rsid w:val="000C2DFA"/>
    <w:rsid w:val="000C2F58"/>
    <w:rsid w:val="000C3157"/>
    <w:rsid w:val="000C31A0"/>
    <w:rsid w:val="000C329A"/>
    <w:rsid w:val="000C331B"/>
    <w:rsid w:val="000C33A0"/>
    <w:rsid w:val="000C343B"/>
    <w:rsid w:val="000C3467"/>
    <w:rsid w:val="000C34D9"/>
    <w:rsid w:val="000C351F"/>
    <w:rsid w:val="000C356A"/>
    <w:rsid w:val="000C35A2"/>
    <w:rsid w:val="000C35A8"/>
    <w:rsid w:val="000C3632"/>
    <w:rsid w:val="000C36A8"/>
    <w:rsid w:val="000C36B7"/>
    <w:rsid w:val="000C372B"/>
    <w:rsid w:val="000C38F5"/>
    <w:rsid w:val="000C3A62"/>
    <w:rsid w:val="000C3AB2"/>
    <w:rsid w:val="000C3D7F"/>
    <w:rsid w:val="000C3DB3"/>
    <w:rsid w:val="000C3E23"/>
    <w:rsid w:val="000C3F49"/>
    <w:rsid w:val="000C3F69"/>
    <w:rsid w:val="000C3FBC"/>
    <w:rsid w:val="000C4044"/>
    <w:rsid w:val="000C406A"/>
    <w:rsid w:val="000C4097"/>
    <w:rsid w:val="000C41A5"/>
    <w:rsid w:val="000C456D"/>
    <w:rsid w:val="000C45B5"/>
    <w:rsid w:val="000C45F8"/>
    <w:rsid w:val="000C472A"/>
    <w:rsid w:val="000C474D"/>
    <w:rsid w:val="000C485C"/>
    <w:rsid w:val="000C4861"/>
    <w:rsid w:val="000C48D4"/>
    <w:rsid w:val="000C4AB0"/>
    <w:rsid w:val="000C4AD5"/>
    <w:rsid w:val="000C4B1F"/>
    <w:rsid w:val="000C4B2B"/>
    <w:rsid w:val="000C4B82"/>
    <w:rsid w:val="000C4BA3"/>
    <w:rsid w:val="000C4BEC"/>
    <w:rsid w:val="000C4BFB"/>
    <w:rsid w:val="000C4CA4"/>
    <w:rsid w:val="000C4CC1"/>
    <w:rsid w:val="000C4D2D"/>
    <w:rsid w:val="000C4E8C"/>
    <w:rsid w:val="000C4FBE"/>
    <w:rsid w:val="000C4FC6"/>
    <w:rsid w:val="000C5131"/>
    <w:rsid w:val="000C51A2"/>
    <w:rsid w:val="000C5314"/>
    <w:rsid w:val="000C5513"/>
    <w:rsid w:val="000C552B"/>
    <w:rsid w:val="000C55BC"/>
    <w:rsid w:val="000C55D2"/>
    <w:rsid w:val="000C56DB"/>
    <w:rsid w:val="000C57F9"/>
    <w:rsid w:val="000C58D7"/>
    <w:rsid w:val="000C5921"/>
    <w:rsid w:val="000C592C"/>
    <w:rsid w:val="000C5991"/>
    <w:rsid w:val="000C5ADF"/>
    <w:rsid w:val="000C5AE6"/>
    <w:rsid w:val="000C5C29"/>
    <w:rsid w:val="000C5C87"/>
    <w:rsid w:val="000C5C90"/>
    <w:rsid w:val="000C5CD3"/>
    <w:rsid w:val="000C5D10"/>
    <w:rsid w:val="000C5D9B"/>
    <w:rsid w:val="000C5DBF"/>
    <w:rsid w:val="000C5E88"/>
    <w:rsid w:val="000C5EEF"/>
    <w:rsid w:val="000C5EF9"/>
    <w:rsid w:val="000C5F48"/>
    <w:rsid w:val="000C5F8B"/>
    <w:rsid w:val="000C6006"/>
    <w:rsid w:val="000C600E"/>
    <w:rsid w:val="000C60A4"/>
    <w:rsid w:val="000C60C7"/>
    <w:rsid w:val="000C60D4"/>
    <w:rsid w:val="000C6142"/>
    <w:rsid w:val="000C6177"/>
    <w:rsid w:val="000C6186"/>
    <w:rsid w:val="000C62B3"/>
    <w:rsid w:val="000C62C0"/>
    <w:rsid w:val="000C631E"/>
    <w:rsid w:val="000C643F"/>
    <w:rsid w:val="000C661A"/>
    <w:rsid w:val="000C6629"/>
    <w:rsid w:val="000C66E7"/>
    <w:rsid w:val="000C6750"/>
    <w:rsid w:val="000C677D"/>
    <w:rsid w:val="000C6897"/>
    <w:rsid w:val="000C698A"/>
    <w:rsid w:val="000C69C1"/>
    <w:rsid w:val="000C6A0B"/>
    <w:rsid w:val="000C6A44"/>
    <w:rsid w:val="000C6A98"/>
    <w:rsid w:val="000C6A9E"/>
    <w:rsid w:val="000C6B35"/>
    <w:rsid w:val="000C6EB6"/>
    <w:rsid w:val="000C6ED3"/>
    <w:rsid w:val="000C7049"/>
    <w:rsid w:val="000C70B1"/>
    <w:rsid w:val="000C713C"/>
    <w:rsid w:val="000C715F"/>
    <w:rsid w:val="000C71E5"/>
    <w:rsid w:val="000C71EA"/>
    <w:rsid w:val="000C7220"/>
    <w:rsid w:val="000C7223"/>
    <w:rsid w:val="000C723E"/>
    <w:rsid w:val="000C726C"/>
    <w:rsid w:val="000C7276"/>
    <w:rsid w:val="000C730D"/>
    <w:rsid w:val="000C7415"/>
    <w:rsid w:val="000C75C8"/>
    <w:rsid w:val="000C761C"/>
    <w:rsid w:val="000C7688"/>
    <w:rsid w:val="000C774E"/>
    <w:rsid w:val="000C77D0"/>
    <w:rsid w:val="000C7926"/>
    <w:rsid w:val="000C7950"/>
    <w:rsid w:val="000C7A61"/>
    <w:rsid w:val="000C7A80"/>
    <w:rsid w:val="000C7AAB"/>
    <w:rsid w:val="000C7AC9"/>
    <w:rsid w:val="000C7BAA"/>
    <w:rsid w:val="000C7C14"/>
    <w:rsid w:val="000C7CA4"/>
    <w:rsid w:val="000C7D7A"/>
    <w:rsid w:val="000C7D8D"/>
    <w:rsid w:val="000C7E9A"/>
    <w:rsid w:val="000C7EEE"/>
    <w:rsid w:val="000C7F61"/>
    <w:rsid w:val="000C7FAB"/>
    <w:rsid w:val="000C7FC0"/>
    <w:rsid w:val="000C7FD4"/>
    <w:rsid w:val="000D0034"/>
    <w:rsid w:val="000D010C"/>
    <w:rsid w:val="000D0178"/>
    <w:rsid w:val="000D01C6"/>
    <w:rsid w:val="000D0214"/>
    <w:rsid w:val="000D0264"/>
    <w:rsid w:val="000D038C"/>
    <w:rsid w:val="000D044D"/>
    <w:rsid w:val="000D04BF"/>
    <w:rsid w:val="000D04E5"/>
    <w:rsid w:val="000D04F2"/>
    <w:rsid w:val="000D0509"/>
    <w:rsid w:val="000D0583"/>
    <w:rsid w:val="000D0607"/>
    <w:rsid w:val="000D063F"/>
    <w:rsid w:val="000D065D"/>
    <w:rsid w:val="000D0694"/>
    <w:rsid w:val="000D06C0"/>
    <w:rsid w:val="000D07EB"/>
    <w:rsid w:val="000D09B2"/>
    <w:rsid w:val="000D09FF"/>
    <w:rsid w:val="000D0A0A"/>
    <w:rsid w:val="000D0B1F"/>
    <w:rsid w:val="000D0BC5"/>
    <w:rsid w:val="000D0C39"/>
    <w:rsid w:val="000D0CB4"/>
    <w:rsid w:val="000D0D30"/>
    <w:rsid w:val="000D0D6A"/>
    <w:rsid w:val="000D0EA9"/>
    <w:rsid w:val="000D0F70"/>
    <w:rsid w:val="000D1028"/>
    <w:rsid w:val="000D1081"/>
    <w:rsid w:val="000D108F"/>
    <w:rsid w:val="000D109C"/>
    <w:rsid w:val="000D10F3"/>
    <w:rsid w:val="000D114B"/>
    <w:rsid w:val="000D121A"/>
    <w:rsid w:val="000D129F"/>
    <w:rsid w:val="000D131F"/>
    <w:rsid w:val="000D1344"/>
    <w:rsid w:val="000D13D5"/>
    <w:rsid w:val="000D1551"/>
    <w:rsid w:val="000D1714"/>
    <w:rsid w:val="000D17BC"/>
    <w:rsid w:val="000D17DC"/>
    <w:rsid w:val="000D18F1"/>
    <w:rsid w:val="000D1900"/>
    <w:rsid w:val="000D1A0E"/>
    <w:rsid w:val="000D1A3C"/>
    <w:rsid w:val="000D1AE2"/>
    <w:rsid w:val="000D1B02"/>
    <w:rsid w:val="000D1B7C"/>
    <w:rsid w:val="000D1CC2"/>
    <w:rsid w:val="000D1CDD"/>
    <w:rsid w:val="000D1E7F"/>
    <w:rsid w:val="000D20A4"/>
    <w:rsid w:val="000D219E"/>
    <w:rsid w:val="000D22C7"/>
    <w:rsid w:val="000D232B"/>
    <w:rsid w:val="000D2461"/>
    <w:rsid w:val="000D24B0"/>
    <w:rsid w:val="000D24DB"/>
    <w:rsid w:val="000D24FB"/>
    <w:rsid w:val="000D25F0"/>
    <w:rsid w:val="000D26FA"/>
    <w:rsid w:val="000D27B9"/>
    <w:rsid w:val="000D27FE"/>
    <w:rsid w:val="000D291D"/>
    <w:rsid w:val="000D294E"/>
    <w:rsid w:val="000D2AF8"/>
    <w:rsid w:val="000D2C9D"/>
    <w:rsid w:val="000D2CAC"/>
    <w:rsid w:val="000D2D1B"/>
    <w:rsid w:val="000D2D3B"/>
    <w:rsid w:val="000D2DA9"/>
    <w:rsid w:val="000D2DB6"/>
    <w:rsid w:val="000D2E35"/>
    <w:rsid w:val="000D2E66"/>
    <w:rsid w:val="000D2E89"/>
    <w:rsid w:val="000D2F10"/>
    <w:rsid w:val="000D3031"/>
    <w:rsid w:val="000D304C"/>
    <w:rsid w:val="000D30B6"/>
    <w:rsid w:val="000D31DD"/>
    <w:rsid w:val="000D325F"/>
    <w:rsid w:val="000D3267"/>
    <w:rsid w:val="000D32B8"/>
    <w:rsid w:val="000D3403"/>
    <w:rsid w:val="000D3445"/>
    <w:rsid w:val="000D3474"/>
    <w:rsid w:val="000D348F"/>
    <w:rsid w:val="000D358C"/>
    <w:rsid w:val="000D35AB"/>
    <w:rsid w:val="000D3653"/>
    <w:rsid w:val="000D370F"/>
    <w:rsid w:val="000D378F"/>
    <w:rsid w:val="000D37E8"/>
    <w:rsid w:val="000D3806"/>
    <w:rsid w:val="000D3826"/>
    <w:rsid w:val="000D3828"/>
    <w:rsid w:val="000D39D9"/>
    <w:rsid w:val="000D3B5A"/>
    <w:rsid w:val="000D3C18"/>
    <w:rsid w:val="000D3C42"/>
    <w:rsid w:val="000D3C88"/>
    <w:rsid w:val="000D3CD7"/>
    <w:rsid w:val="000D3DD0"/>
    <w:rsid w:val="000D3EC2"/>
    <w:rsid w:val="000D3F4D"/>
    <w:rsid w:val="000D3F89"/>
    <w:rsid w:val="000D3FA8"/>
    <w:rsid w:val="000D4195"/>
    <w:rsid w:val="000D423A"/>
    <w:rsid w:val="000D4279"/>
    <w:rsid w:val="000D43AF"/>
    <w:rsid w:val="000D43EE"/>
    <w:rsid w:val="000D4484"/>
    <w:rsid w:val="000D4555"/>
    <w:rsid w:val="000D45BC"/>
    <w:rsid w:val="000D462B"/>
    <w:rsid w:val="000D47C0"/>
    <w:rsid w:val="000D483B"/>
    <w:rsid w:val="000D4846"/>
    <w:rsid w:val="000D486C"/>
    <w:rsid w:val="000D486E"/>
    <w:rsid w:val="000D48D4"/>
    <w:rsid w:val="000D491F"/>
    <w:rsid w:val="000D4D50"/>
    <w:rsid w:val="000D4D7A"/>
    <w:rsid w:val="000D4DAA"/>
    <w:rsid w:val="000D4E04"/>
    <w:rsid w:val="000D4FDA"/>
    <w:rsid w:val="000D507E"/>
    <w:rsid w:val="000D515F"/>
    <w:rsid w:val="000D5199"/>
    <w:rsid w:val="000D52C3"/>
    <w:rsid w:val="000D535C"/>
    <w:rsid w:val="000D5383"/>
    <w:rsid w:val="000D538F"/>
    <w:rsid w:val="000D53E3"/>
    <w:rsid w:val="000D53F9"/>
    <w:rsid w:val="000D5480"/>
    <w:rsid w:val="000D5608"/>
    <w:rsid w:val="000D56B2"/>
    <w:rsid w:val="000D56E3"/>
    <w:rsid w:val="000D5708"/>
    <w:rsid w:val="000D57F0"/>
    <w:rsid w:val="000D5854"/>
    <w:rsid w:val="000D587B"/>
    <w:rsid w:val="000D58B4"/>
    <w:rsid w:val="000D58C7"/>
    <w:rsid w:val="000D58DE"/>
    <w:rsid w:val="000D5904"/>
    <w:rsid w:val="000D5905"/>
    <w:rsid w:val="000D5908"/>
    <w:rsid w:val="000D59A9"/>
    <w:rsid w:val="000D59C7"/>
    <w:rsid w:val="000D5A1E"/>
    <w:rsid w:val="000D5B81"/>
    <w:rsid w:val="000D5C01"/>
    <w:rsid w:val="000D5CDA"/>
    <w:rsid w:val="000D5CE3"/>
    <w:rsid w:val="000D5CF9"/>
    <w:rsid w:val="000D5E09"/>
    <w:rsid w:val="000D5E57"/>
    <w:rsid w:val="000D5EC4"/>
    <w:rsid w:val="000D5F26"/>
    <w:rsid w:val="000D5F70"/>
    <w:rsid w:val="000D5F92"/>
    <w:rsid w:val="000D5FDB"/>
    <w:rsid w:val="000D5FEE"/>
    <w:rsid w:val="000D60AF"/>
    <w:rsid w:val="000D60D1"/>
    <w:rsid w:val="000D6191"/>
    <w:rsid w:val="000D6198"/>
    <w:rsid w:val="000D61A6"/>
    <w:rsid w:val="000D625C"/>
    <w:rsid w:val="000D627C"/>
    <w:rsid w:val="000D62F2"/>
    <w:rsid w:val="000D62FC"/>
    <w:rsid w:val="000D64B9"/>
    <w:rsid w:val="000D64F2"/>
    <w:rsid w:val="000D6594"/>
    <w:rsid w:val="000D6636"/>
    <w:rsid w:val="000D6742"/>
    <w:rsid w:val="000D67A7"/>
    <w:rsid w:val="000D6813"/>
    <w:rsid w:val="000D6937"/>
    <w:rsid w:val="000D697A"/>
    <w:rsid w:val="000D69F8"/>
    <w:rsid w:val="000D6AD2"/>
    <w:rsid w:val="000D6B36"/>
    <w:rsid w:val="000D6BB1"/>
    <w:rsid w:val="000D6C63"/>
    <w:rsid w:val="000D6CAF"/>
    <w:rsid w:val="000D6D1C"/>
    <w:rsid w:val="000D6DC5"/>
    <w:rsid w:val="000D6E5B"/>
    <w:rsid w:val="000D6FE9"/>
    <w:rsid w:val="000D714F"/>
    <w:rsid w:val="000D71EB"/>
    <w:rsid w:val="000D7205"/>
    <w:rsid w:val="000D7228"/>
    <w:rsid w:val="000D7245"/>
    <w:rsid w:val="000D7253"/>
    <w:rsid w:val="000D72A1"/>
    <w:rsid w:val="000D73D5"/>
    <w:rsid w:val="000D74AD"/>
    <w:rsid w:val="000D758E"/>
    <w:rsid w:val="000D7661"/>
    <w:rsid w:val="000D7695"/>
    <w:rsid w:val="000D7785"/>
    <w:rsid w:val="000D77CB"/>
    <w:rsid w:val="000D77F6"/>
    <w:rsid w:val="000D7885"/>
    <w:rsid w:val="000D78EC"/>
    <w:rsid w:val="000D79BA"/>
    <w:rsid w:val="000D79CF"/>
    <w:rsid w:val="000D7A10"/>
    <w:rsid w:val="000D7ABE"/>
    <w:rsid w:val="000D7BA6"/>
    <w:rsid w:val="000D7C93"/>
    <w:rsid w:val="000D7D98"/>
    <w:rsid w:val="000D7DF4"/>
    <w:rsid w:val="000D7E2D"/>
    <w:rsid w:val="000D7E42"/>
    <w:rsid w:val="000D7E60"/>
    <w:rsid w:val="000D7E87"/>
    <w:rsid w:val="000D7EC4"/>
    <w:rsid w:val="000D7EFD"/>
    <w:rsid w:val="000D7F40"/>
    <w:rsid w:val="000E001F"/>
    <w:rsid w:val="000E011F"/>
    <w:rsid w:val="000E0209"/>
    <w:rsid w:val="000E02DC"/>
    <w:rsid w:val="000E02F6"/>
    <w:rsid w:val="000E0445"/>
    <w:rsid w:val="000E0449"/>
    <w:rsid w:val="000E06EF"/>
    <w:rsid w:val="000E07A4"/>
    <w:rsid w:val="000E07C0"/>
    <w:rsid w:val="000E0865"/>
    <w:rsid w:val="000E0A06"/>
    <w:rsid w:val="000E0CB3"/>
    <w:rsid w:val="000E0D7B"/>
    <w:rsid w:val="000E0DCA"/>
    <w:rsid w:val="000E1054"/>
    <w:rsid w:val="000E10BD"/>
    <w:rsid w:val="000E114C"/>
    <w:rsid w:val="000E118A"/>
    <w:rsid w:val="000E11C9"/>
    <w:rsid w:val="000E11D3"/>
    <w:rsid w:val="000E1213"/>
    <w:rsid w:val="000E1225"/>
    <w:rsid w:val="000E12FB"/>
    <w:rsid w:val="000E1428"/>
    <w:rsid w:val="000E1528"/>
    <w:rsid w:val="000E15C2"/>
    <w:rsid w:val="000E15ED"/>
    <w:rsid w:val="000E16E1"/>
    <w:rsid w:val="000E17D2"/>
    <w:rsid w:val="000E18D6"/>
    <w:rsid w:val="000E18F1"/>
    <w:rsid w:val="000E194D"/>
    <w:rsid w:val="000E1960"/>
    <w:rsid w:val="000E1973"/>
    <w:rsid w:val="000E19F4"/>
    <w:rsid w:val="000E19FC"/>
    <w:rsid w:val="000E1A5C"/>
    <w:rsid w:val="000E1A6D"/>
    <w:rsid w:val="000E1ABF"/>
    <w:rsid w:val="000E1BFC"/>
    <w:rsid w:val="000E1C1F"/>
    <w:rsid w:val="000E1C51"/>
    <w:rsid w:val="000E1C7E"/>
    <w:rsid w:val="000E1D80"/>
    <w:rsid w:val="000E1D82"/>
    <w:rsid w:val="000E1E79"/>
    <w:rsid w:val="000E1EC4"/>
    <w:rsid w:val="000E1FCB"/>
    <w:rsid w:val="000E2051"/>
    <w:rsid w:val="000E2209"/>
    <w:rsid w:val="000E24AD"/>
    <w:rsid w:val="000E24B6"/>
    <w:rsid w:val="000E24C5"/>
    <w:rsid w:val="000E24C9"/>
    <w:rsid w:val="000E24D5"/>
    <w:rsid w:val="000E2700"/>
    <w:rsid w:val="000E2724"/>
    <w:rsid w:val="000E27F4"/>
    <w:rsid w:val="000E294E"/>
    <w:rsid w:val="000E2A6E"/>
    <w:rsid w:val="000E2BBD"/>
    <w:rsid w:val="000E2C8C"/>
    <w:rsid w:val="000E2D2B"/>
    <w:rsid w:val="000E2D2D"/>
    <w:rsid w:val="000E2D3C"/>
    <w:rsid w:val="000E2D88"/>
    <w:rsid w:val="000E2DE2"/>
    <w:rsid w:val="000E2E1F"/>
    <w:rsid w:val="000E2EE2"/>
    <w:rsid w:val="000E2F35"/>
    <w:rsid w:val="000E2F69"/>
    <w:rsid w:val="000E2F8C"/>
    <w:rsid w:val="000E2FFF"/>
    <w:rsid w:val="000E306F"/>
    <w:rsid w:val="000E30F8"/>
    <w:rsid w:val="000E3129"/>
    <w:rsid w:val="000E328E"/>
    <w:rsid w:val="000E338A"/>
    <w:rsid w:val="000E3499"/>
    <w:rsid w:val="000E35DB"/>
    <w:rsid w:val="000E3609"/>
    <w:rsid w:val="000E375D"/>
    <w:rsid w:val="000E37E5"/>
    <w:rsid w:val="000E3812"/>
    <w:rsid w:val="000E3821"/>
    <w:rsid w:val="000E3826"/>
    <w:rsid w:val="000E3841"/>
    <w:rsid w:val="000E3872"/>
    <w:rsid w:val="000E38AF"/>
    <w:rsid w:val="000E3940"/>
    <w:rsid w:val="000E39BA"/>
    <w:rsid w:val="000E3ABC"/>
    <w:rsid w:val="000E3B64"/>
    <w:rsid w:val="000E3B6B"/>
    <w:rsid w:val="000E3E0E"/>
    <w:rsid w:val="000E3E11"/>
    <w:rsid w:val="000E3E84"/>
    <w:rsid w:val="000E3EBF"/>
    <w:rsid w:val="000E3FA3"/>
    <w:rsid w:val="000E4026"/>
    <w:rsid w:val="000E4088"/>
    <w:rsid w:val="000E4134"/>
    <w:rsid w:val="000E41B2"/>
    <w:rsid w:val="000E41ED"/>
    <w:rsid w:val="000E420E"/>
    <w:rsid w:val="000E4220"/>
    <w:rsid w:val="000E4243"/>
    <w:rsid w:val="000E4276"/>
    <w:rsid w:val="000E42D3"/>
    <w:rsid w:val="000E434B"/>
    <w:rsid w:val="000E43C1"/>
    <w:rsid w:val="000E43E9"/>
    <w:rsid w:val="000E442A"/>
    <w:rsid w:val="000E4486"/>
    <w:rsid w:val="000E4489"/>
    <w:rsid w:val="000E4533"/>
    <w:rsid w:val="000E4576"/>
    <w:rsid w:val="000E465B"/>
    <w:rsid w:val="000E46B0"/>
    <w:rsid w:val="000E4804"/>
    <w:rsid w:val="000E48DF"/>
    <w:rsid w:val="000E491B"/>
    <w:rsid w:val="000E4970"/>
    <w:rsid w:val="000E49D9"/>
    <w:rsid w:val="000E4BF5"/>
    <w:rsid w:val="000E4C3D"/>
    <w:rsid w:val="000E4C96"/>
    <w:rsid w:val="000E4CA4"/>
    <w:rsid w:val="000E4CB4"/>
    <w:rsid w:val="000E4E2B"/>
    <w:rsid w:val="000E4E63"/>
    <w:rsid w:val="000E4F19"/>
    <w:rsid w:val="000E513A"/>
    <w:rsid w:val="000E5152"/>
    <w:rsid w:val="000E5176"/>
    <w:rsid w:val="000E5185"/>
    <w:rsid w:val="000E518A"/>
    <w:rsid w:val="000E51C2"/>
    <w:rsid w:val="000E52B6"/>
    <w:rsid w:val="000E5331"/>
    <w:rsid w:val="000E5335"/>
    <w:rsid w:val="000E54E6"/>
    <w:rsid w:val="000E5607"/>
    <w:rsid w:val="000E5625"/>
    <w:rsid w:val="000E567B"/>
    <w:rsid w:val="000E57BA"/>
    <w:rsid w:val="000E5864"/>
    <w:rsid w:val="000E5914"/>
    <w:rsid w:val="000E5932"/>
    <w:rsid w:val="000E5B04"/>
    <w:rsid w:val="000E5BAC"/>
    <w:rsid w:val="000E5CC8"/>
    <w:rsid w:val="000E5DA5"/>
    <w:rsid w:val="000E5E6A"/>
    <w:rsid w:val="000E5EA3"/>
    <w:rsid w:val="000E5F53"/>
    <w:rsid w:val="000E5FB6"/>
    <w:rsid w:val="000E5FC2"/>
    <w:rsid w:val="000E6008"/>
    <w:rsid w:val="000E601F"/>
    <w:rsid w:val="000E6045"/>
    <w:rsid w:val="000E6048"/>
    <w:rsid w:val="000E607D"/>
    <w:rsid w:val="000E6089"/>
    <w:rsid w:val="000E60BB"/>
    <w:rsid w:val="000E60EF"/>
    <w:rsid w:val="000E6163"/>
    <w:rsid w:val="000E61FA"/>
    <w:rsid w:val="000E6301"/>
    <w:rsid w:val="000E633A"/>
    <w:rsid w:val="000E63FB"/>
    <w:rsid w:val="000E6497"/>
    <w:rsid w:val="000E64C2"/>
    <w:rsid w:val="000E65E8"/>
    <w:rsid w:val="000E6624"/>
    <w:rsid w:val="000E6679"/>
    <w:rsid w:val="000E676A"/>
    <w:rsid w:val="000E67CE"/>
    <w:rsid w:val="000E67EE"/>
    <w:rsid w:val="000E6939"/>
    <w:rsid w:val="000E69C1"/>
    <w:rsid w:val="000E6A4C"/>
    <w:rsid w:val="000E6B85"/>
    <w:rsid w:val="000E6DCB"/>
    <w:rsid w:val="000E6E0E"/>
    <w:rsid w:val="000E6ED5"/>
    <w:rsid w:val="000E7022"/>
    <w:rsid w:val="000E7134"/>
    <w:rsid w:val="000E7150"/>
    <w:rsid w:val="000E721F"/>
    <w:rsid w:val="000E724A"/>
    <w:rsid w:val="000E730A"/>
    <w:rsid w:val="000E739E"/>
    <w:rsid w:val="000E73B8"/>
    <w:rsid w:val="000E7709"/>
    <w:rsid w:val="000E7729"/>
    <w:rsid w:val="000E7747"/>
    <w:rsid w:val="000E7B28"/>
    <w:rsid w:val="000E7BB9"/>
    <w:rsid w:val="000E7C3F"/>
    <w:rsid w:val="000E7C6B"/>
    <w:rsid w:val="000E7D18"/>
    <w:rsid w:val="000E7D43"/>
    <w:rsid w:val="000E7DBE"/>
    <w:rsid w:val="000E7E84"/>
    <w:rsid w:val="000E7ED2"/>
    <w:rsid w:val="000E7F6F"/>
    <w:rsid w:val="000E7F89"/>
    <w:rsid w:val="000E7FA0"/>
    <w:rsid w:val="000E7FE3"/>
    <w:rsid w:val="000F0089"/>
    <w:rsid w:val="000F00AE"/>
    <w:rsid w:val="000F00C3"/>
    <w:rsid w:val="000F00D0"/>
    <w:rsid w:val="000F013C"/>
    <w:rsid w:val="000F018C"/>
    <w:rsid w:val="000F01B2"/>
    <w:rsid w:val="000F01C5"/>
    <w:rsid w:val="000F01E4"/>
    <w:rsid w:val="000F0212"/>
    <w:rsid w:val="000F021A"/>
    <w:rsid w:val="000F0338"/>
    <w:rsid w:val="000F03DB"/>
    <w:rsid w:val="000F04A7"/>
    <w:rsid w:val="000F050A"/>
    <w:rsid w:val="000F0526"/>
    <w:rsid w:val="000F0682"/>
    <w:rsid w:val="000F0765"/>
    <w:rsid w:val="000F0899"/>
    <w:rsid w:val="000F08ED"/>
    <w:rsid w:val="000F09F8"/>
    <w:rsid w:val="000F0A9B"/>
    <w:rsid w:val="000F0BD3"/>
    <w:rsid w:val="000F0CE7"/>
    <w:rsid w:val="000F0EC3"/>
    <w:rsid w:val="000F0EEE"/>
    <w:rsid w:val="000F0EFD"/>
    <w:rsid w:val="000F0F00"/>
    <w:rsid w:val="000F0F31"/>
    <w:rsid w:val="000F0F54"/>
    <w:rsid w:val="000F0FA0"/>
    <w:rsid w:val="000F108B"/>
    <w:rsid w:val="000F10D3"/>
    <w:rsid w:val="000F10D7"/>
    <w:rsid w:val="000F1227"/>
    <w:rsid w:val="000F129A"/>
    <w:rsid w:val="000F12E3"/>
    <w:rsid w:val="000F12FF"/>
    <w:rsid w:val="000F1337"/>
    <w:rsid w:val="000F1345"/>
    <w:rsid w:val="000F1507"/>
    <w:rsid w:val="000F1554"/>
    <w:rsid w:val="000F16C8"/>
    <w:rsid w:val="000F16E2"/>
    <w:rsid w:val="000F1736"/>
    <w:rsid w:val="000F17F5"/>
    <w:rsid w:val="000F1825"/>
    <w:rsid w:val="000F1958"/>
    <w:rsid w:val="000F1964"/>
    <w:rsid w:val="000F1A9F"/>
    <w:rsid w:val="000F1AA6"/>
    <w:rsid w:val="000F1AFD"/>
    <w:rsid w:val="000F1B6E"/>
    <w:rsid w:val="000F1BCD"/>
    <w:rsid w:val="000F1D22"/>
    <w:rsid w:val="000F1D94"/>
    <w:rsid w:val="000F1E21"/>
    <w:rsid w:val="000F1ED2"/>
    <w:rsid w:val="000F1F0A"/>
    <w:rsid w:val="000F200C"/>
    <w:rsid w:val="000F204B"/>
    <w:rsid w:val="000F2146"/>
    <w:rsid w:val="000F21F1"/>
    <w:rsid w:val="000F21F4"/>
    <w:rsid w:val="000F2333"/>
    <w:rsid w:val="000F237C"/>
    <w:rsid w:val="000F2382"/>
    <w:rsid w:val="000F24A1"/>
    <w:rsid w:val="000F2700"/>
    <w:rsid w:val="000F270A"/>
    <w:rsid w:val="000F2732"/>
    <w:rsid w:val="000F2781"/>
    <w:rsid w:val="000F2799"/>
    <w:rsid w:val="000F2851"/>
    <w:rsid w:val="000F28C6"/>
    <w:rsid w:val="000F28FC"/>
    <w:rsid w:val="000F295F"/>
    <w:rsid w:val="000F29AC"/>
    <w:rsid w:val="000F29B3"/>
    <w:rsid w:val="000F29CB"/>
    <w:rsid w:val="000F29E6"/>
    <w:rsid w:val="000F29FA"/>
    <w:rsid w:val="000F2A74"/>
    <w:rsid w:val="000F2AAD"/>
    <w:rsid w:val="000F2B21"/>
    <w:rsid w:val="000F2B58"/>
    <w:rsid w:val="000F2B97"/>
    <w:rsid w:val="000F2C69"/>
    <w:rsid w:val="000F2CE8"/>
    <w:rsid w:val="000F2DB5"/>
    <w:rsid w:val="000F2F1F"/>
    <w:rsid w:val="000F2FFF"/>
    <w:rsid w:val="000F3025"/>
    <w:rsid w:val="000F30BB"/>
    <w:rsid w:val="000F30C5"/>
    <w:rsid w:val="000F31A1"/>
    <w:rsid w:val="000F31C2"/>
    <w:rsid w:val="000F326E"/>
    <w:rsid w:val="000F32DB"/>
    <w:rsid w:val="000F32FE"/>
    <w:rsid w:val="000F3329"/>
    <w:rsid w:val="000F33C4"/>
    <w:rsid w:val="000F3565"/>
    <w:rsid w:val="000F366F"/>
    <w:rsid w:val="000F36C5"/>
    <w:rsid w:val="000F372F"/>
    <w:rsid w:val="000F3734"/>
    <w:rsid w:val="000F37B6"/>
    <w:rsid w:val="000F3859"/>
    <w:rsid w:val="000F3885"/>
    <w:rsid w:val="000F3896"/>
    <w:rsid w:val="000F38E6"/>
    <w:rsid w:val="000F391D"/>
    <w:rsid w:val="000F3983"/>
    <w:rsid w:val="000F39F7"/>
    <w:rsid w:val="000F3B5A"/>
    <w:rsid w:val="000F3BC7"/>
    <w:rsid w:val="000F3C64"/>
    <w:rsid w:val="000F3D42"/>
    <w:rsid w:val="000F3DF4"/>
    <w:rsid w:val="000F3E9E"/>
    <w:rsid w:val="000F3F51"/>
    <w:rsid w:val="000F40A1"/>
    <w:rsid w:val="000F41A9"/>
    <w:rsid w:val="000F4326"/>
    <w:rsid w:val="000F4370"/>
    <w:rsid w:val="000F43A5"/>
    <w:rsid w:val="000F43E1"/>
    <w:rsid w:val="000F4606"/>
    <w:rsid w:val="000F465A"/>
    <w:rsid w:val="000F46BE"/>
    <w:rsid w:val="000F471F"/>
    <w:rsid w:val="000F49D5"/>
    <w:rsid w:val="000F4A01"/>
    <w:rsid w:val="000F4BC8"/>
    <w:rsid w:val="000F4C54"/>
    <w:rsid w:val="000F4C64"/>
    <w:rsid w:val="000F4CB6"/>
    <w:rsid w:val="000F4CD7"/>
    <w:rsid w:val="000F4D8C"/>
    <w:rsid w:val="000F4E70"/>
    <w:rsid w:val="000F4EE8"/>
    <w:rsid w:val="000F4FE4"/>
    <w:rsid w:val="000F50AD"/>
    <w:rsid w:val="000F5175"/>
    <w:rsid w:val="000F51C7"/>
    <w:rsid w:val="000F5229"/>
    <w:rsid w:val="000F5309"/>
    <w:rsid w:val="000F5339"/>
    <w:rsid w:val="000F536F"/>
    <w:rsid w:val="000F5389"/>
    <w:rsid w:val="000F55B4"/>
    <w:rsid w:val="000F55C0"/>
    <w:rsid w:val="000F569F"/>
    <w:rsid w:val="000F575A"/>
    <w:rsid w:val="000F579D"/>
    <w:rsid w:val="000F57A1"/>
    <w:rsid w:val="000F5BB5"/>
    <w:rsid w:val="000F5C74"/>
    <w:rsid w:val="000F5C8A"/>
    <w:rsid w:val="000F5C98"/>
    <w:rsid w:val="000F5D6A"/>
    <w:rsid w:val="000F5DEE"/>
    <w:rsid w:val="000F5EC2"/>
    <w:rsid w:val="000F5F42"/>
    <w:rsid w:val="000F5FBA"/>
    <w:rsid w:val="000F604D"/>
    <w:rsid w:val="000F6208"/>
    <w:rsid w:val="000F6252"/>
    <w:rsid w:val="000F62EA"/>
    <w:rsid w:val="000F62F8"/>
    <w:rsid w:val="000F6346"/>
    <w:rsid w:val="000F636C"/>
    <w:rsid w:val="000F6385"/>
    <w:rsid w:val="000F63C7"/>
    <w:rsid w:val="000F63F6"/>
    <w:rsid w:val="000F64EB"/>
    <w:rsid w:val="000F6736"/>
    <w:rsid w:val="000F67EF"/>
    <w:rsid w:val="000F6868"/>
    <w:rsid w:val="000F6AAA"/>
    <w:rsid w:val="000F6B11"/>
    <w:rsid w:val="000F6B5E"/>
    <w:rsid w:val="000F6B79"/>
    <w:rsid w:val="000F6B9A"/>
    <w:rsid w:val="000F6BF9"/>
    <w:rsid w:val="000F6C68"/>
    <w:rsid w:val="000F6DB0"/>
    <w:rsid w:val="000F6DD4"/>
    <w:rsid w:val="000F7002"/>
    <w:rsid w:val="000F7085"/>
    <w:rsid w:val="000F715C"/>
    <w:rsid w:val="000F7172"/>
    <w:rsid w:val="000F7174"/>
    <w:rsid w:val="000F7472"/>
    <w:rsid w:val="000F747E"/>
    <w:rsid w:val="000F7564"/>
    <w:rsid w:val="000F75F3"/>
    <w:rsid w:val="000F76E4"/>
    <w:rsid w:val="000F7799"/>
    <w:rsid w:val="000F77A9"/>
    <w:rsid w:val="000F77DE"/>
    <w:rsid w:val="000F780E"/>
    <w:rsid w:val="000F784E"/>
    <w:rsid w:val="000F7913"/>
    <w:rsid w:val="000F7950"/>
    <w:rsid w:val="000F796C"/>
    <w:rsid w:val="000F79C9"/>
    <w:rsid w:val="000F7A51"/>
    <w:rsid w:val="000F7AF7"/>
    <w:rsid w:val="000F7B33"/>
    <w:rsid w:val="000F7C0F"/>
    <w:rsid w:val="000F7D2E"/>
    <w:rsid w:val="000F7D69"/>
    <w:rsid w:val="000F7D77"/>
    <w:rsid w:val="000F7D8D"/>
    <w:rsid w:val="000F7E55"/>
    <w:rsid w:val="000F7F30"/>
    <w:rsid w:val="000F7FB9"/>
    <w:rsid w:val="000F7FE6"/>
    <w:rsid w:val="00100041"/>
    <w:rsid w:val="001000C9"/>
    <w:rsid w:val="0010016E"/>
    <w:rsid w:val="001001CF"/>
    <w:rsid w:val="0010021F"/>
    <w:rsid w:val="00100232"/>
    <w:rsid w:val="00100293"/>
    <w:rsid w:val="00100307"/>
    <w:rsid w:val="0010033B"/>
    <w:rsid w:val="001004C3"/>
    <w:rsid w:val="001004FE"/>
    <w:rsid w:val="0010061D"/>
    <w:rsid w:val="00100828"/>
    <w:rsid w:val="0010082E"/>
    <w:rsid w:val="0010086A"/>
    <w:rsid w:val="0010089E"/>
    <w:rsid w:val="00100934"/>
    <w:rsid w:val="00100970"/>
    <w:rsid w:val="00100A1B"/>
    <w:rsid w:val="00100B7A"/>
    <w:rsid w:val="00100CB3"/>
    <w:rsid w:val="00100D47"/>
    <w:rsid w:val="00100D51"/>
    <w:rsid w:val="00100EA4"/>
    <w:rsid w:val="00100EC7"/>
    <w:rsid w:val="00100EEF"/>
    <w:rsid w:val="00100F60"/>
    <w:rsid w:val="00100F85"/>
    <w:rsid w:val="0010109C"/>
    <w:rsid w:val="001010A2"/>
    <w:rsid w:val="0010110E"/>
    <w:rsid w:val="00101115"/>
    <w:rsid w:val="00101123"/>
    <w:rsid w:val="001011C3"/>
    <w:rsid w:val="0010122E"/>
    <w:rsid w:val="001012CE"/>
    <w:rsid w:val="0010153E"/>
    <w:rsid w:val="0010155E"/>
    <w:rsid w:val="001015A5"/>
    <w:rsid w:val="00101630"/>
    <w:rsid w:val="001016AA"/>
    <w:rsid w:val="001017E3"/>
    <w:rsid w:val="00101800"/>
    <w:rsid w:val="00101934"/>
    <w:rsid w:val="00101A28"/>
    <w:rsid w:val="00101C40"/>
    <w:rsid w:val="00101E0F"/>
    <w:rsid w:val="00101E17"/>
    <w:rsid w:val="00101ED3"/>
    <w:rsid w:val="00101EE3"/>
    <w:rsid w:val="00101FE3"/>
    <w:rsid w:val="0010212F"/>
    <w:rsid w:val="00102185"/>
    <w:rsid w:val="001021F3"/>
    <w:rsid w:val="0010224C"/>
    <w:rsid w:val="00102296"/>
    <w:rsid w:val="00102423"/>
    <w:rsid w:val="00102443"/>
    <w:rsid w:val="001024A8"/>
    <w:rsid w:val="0010267B"/>
    <w:rsid w:val="00102688"/>
    <w:rsid w:val="0010268F"/>
    <w:rsid w:val="0010278A"/>
    <w:rsid w:val="00102812"/>
    <w:rsid w:val="00102934"/>
    <w:rsid w:val="00102B63"/>
    <w:rsid w:val="00102B78"/>
    <w:rsid w:val="00102CC3"/>
    <w:rsid w:val="00102D7A"/>
    <w:rsid w:val="00102DD2"/>
    <w:rsid w:val="00102F74"/>
    <w:rsid w:val="00102FD4"/>
    <w:rsid w:val="0010303C"/>
    <w:rsid w:val="0010307E"/>
    <w:rsid w:val="00103199"/>
    <w:rsid w:val="001031B7"/>
    <w:rsid w:val="00103251"/>
    <w:rsid w:val="00103346"/>
    <w:rsid w:val="001033A2"/>
    <w:rsid w:val="00103537"/>
    <w:rsid w:val="00103541"/>
    <w:rsid w:val="00103545"/>
    <w:rsid w:val="0010376F"/>
    <w:rsid w:val="0010385B"/>
    <w:rsid w:val="00103865"/>
    <w:rsid w:val="001038A4"/>
    <w:rsid w:val="00103955"/>
    <w:rsid w:val="00103A77"/>
    <w:rsid w:val="00103AFB"/>
    <w:rsid w:val="00103B88"/>
    <w:rsid w:val="00103BAD"/>
    <w:rsid w:val="00103BBB"/>
    <w:rsid w:val="00103D54"/>
    <w:rsid w:val="00103E71"/>
    <w:rsid w:val="00103EA3"/>
    <w:rsid w:val="00103FAC"/>
    <w:rsid w:val="00103FD9"/>
    <w:rsid w:val="0010414D"/>
    <w:rsid w:val="0010415B"/>
    <w:rsid w:val="00104160"/>
    <w:rsid w:val="00104286"/>
    <w:rsid w:val="001042B6"/>
    <w:rsid w:val="001043B7"/>
    <w:rsid w:val="001044BB"/>
    <w:rsid w:val="00104572"/>
    <w:rsid w:val="0010462B"/>
    <w:rsid w:val="00104866"/>
    <w:rsid w:val="00104961"/>
    <w:rsid w:val="00104AD1"/>
    <w:rsid w:val="00104AEA"/>
    <w:rsid w:val="00104BB3"/>
    <w:rsid w:val="00104DEA"/>
    <w:rsid w:val="00104E8B"/>
    <w:rsid w:val="00104EB1"/>
    <w:rsid w:val="00104EB6"/>
    <w:rsid w:val="00104F6D"/>
    <w:rsid w:val="00104F7E"/>
    <w:rsid w:val="00104F82"/>
    <w:rsid w:val="00104F96"/>
    <w:rsid w:val="00104FA5"/>
    <w:rsid w:val="00105082"/>
    <w:rsid w:val="0010527E"/>
    <w:rsid w:val="0010541F"/>
    <w:rsid w:val="001054C2"/>
    <w:rsid w:val="00105564"/>
    <w:rsid w:val="00105617"/>
    <w:rsid w:val="001056ED"/>
    <w:rsid w:val="0010575A"/>
    <w:rsid w:val="00105813"/>
    <w:rsid w:val="0010581B"/>
    <w:rsid w:val="00105865"/>
    <w:rsid w:val="001058BE"/>
    <w:rsid w:val="001058E1"/>
    <w:rsid w:val="00105961"/>
    <w:rsid w:val="00105968"/>
    <w:rsid w:val="00105A01"/>
    <w:rsid w:val="00105A18"/>
    <w:rsid w:val="00105A80"/>
    <w:rsid w:val="00105BFC"/>
    <w:rsid w:val="00105C21"/>
    <w:rsid w:val="00105C72"/>
    <w:rsid w:val="00105CEC"/>
    <w:rsid w:val="00105D14"/>
    <w:rsid w:val="00105DA2"/>
    <w:rsid w:val="00105DB9"/>
    <w:rsid w:val="00105DE3"/>
    <w:rsid w:val="00105F60"/>
    <w:rsid w:val="00105FDD"/>
    <w:rsid w:val="00106164"/>
    <w:rsid w:val="001061D9"/>
    <w:rsid w:val="00106216"/>
    <w:rsid w:val="00106268"/>
    <w:rsid w:val="00106275"/>
    <w:rsid w:val="00106345"/>
    <w:rsid w:val="0010639D"/>
    <w:rsid w:val="001063F9"/>
    <w:rsid w:val="0010643E"/>
    <w:rsid w:val="0010647C"/>
    <w:rsid w:val="0010649D"/>
    <w:rsid w:val="0010650B"/>
    <w:rsid w:val="0010661F"/>
    <w:rsid w:val="0010664C"/>
    <w:rsid w:val="0010671E"/>
    <w:rsid w:val="001067F2"/>
    <w:rsid w:val="001069A0"/>
    <w:rsid w:val="00106AC7"/>
    <w:rsid w:val="00106B06"/>
    <w:rsid w:val="00106B4A"/>
    <w:rsid w:val="00106B53"/>
    <w:rsid w:val="00106BBB"/>
    <w:rsid w:val="00106C47"/>
    <w:rsid w:val="00106E00"/>
    <w:rsid w:val="00106F4A"/>
    <w:rsid w:val="00107015"/>
    <w:rsid w:val="001070E6"/>
    <w:rsid w:val="001070ED"/>
    <w:rsid w:val="00107165"/>
    <w:rsid w:val="00107205"/>
    <w:rsid w:val="00107224"/>
    <w:rsid w:val="00107237"/>
    <w:rsid w:val="00107275"/>
    <w:rsid w:val="00107286"/>
    <w:rsid w:val="001072D4"/>
    <w:rsid w:val="00107364"/>
    <w:rsid w:val="0010751F"/>
    <w:rsid w:val="0010760B"/>
    <w:rsid w:val="00107639"/>
    <w:rsid w:val="0010772F"/>
    <w:rsid w:val="0010775F"/>
    <w:rsid w:val="00107760"/>
    <w:rsid w:val="00107767"/>
    <w:rsid w:val="001077F7"/>
    <w:rsid w:val="00107819"/>
    <w:rsid w:val="0010786A"/>
    <w:rsid w:val="0010789F"/>
    <w:rsid w:val="00107BBB"/>
    <w:rsid w:val="00107C15"/>
    <w:rsid w:val="00107C5D"/>
    <w:rsid w:val="00107DE4"/>
    <w:rsid w:val="00107E71"/>
    <w:rsid w:val="00107E9D"/>
    <w:rsid w:val="00107EFF"/>
    <w:rsid w:val="00107F0A"/>
    <w:rsid w:val="00107FA7"/>
    <w:rsid w:val="00110003"/>
    <w:rsid w:val="0011004B"/>
    <w:rsid w:val="0011033A"/>
    <w:rsid w:val="001103C8"/>
    <w:rsid w:val="00110417"/>
    <w:rsid w:val="0011048E"/>
    <w:rsid w:val="001104CB"/>
    <w:rsid w:val="00110561"/>
    <w:rsid w:val="001105A7"/>
    <w:rsid w:val="001106AA"/>
    <w:rsid w:val="00110791"/>
    <w:rsid w:val="00110796"/>
    <w:rsid w:val="001108B4"/>
    <w:rsid w:val="00110950"/>
    <w:rsid w:val="001109B5"/>
    <w:rsid w:val="00110AAC"/>
    <w:rsid w:val="00110B20"/>
    <w:rsid w:val="00110BB0"/>
    <w:rsid w:val="00110BB8"/>
    <w:rsid w:val="00110BE2"/>
    <w:rsid w:val="00110C2A"/>
    <w:rsid w:val="00110D2C"/>
    <w:rsid w:val="00110DC7"/>
    <w:rsid w:val="00110E63"/>
    <w:rsid w:val="00110F17"/>
    <w:rsid w:val="0011109B"/>
    <w:rsid w:val="00111117"/>
    <w:rsid w:val="001111E6"/>
    <w:rsid w:val="00111224"/>
    <w:rsid w:val="001112BE"/>
    <w:rsid w:val="00111356"/>
    <w:rsid w:val="00111387"/>
    <w:rsid w:val="001113CE"/>
    <w:rsid w:val="0011177A"/>
    <w:rsid w:val="0011178C"/>
    <w:rsid w:val="00111835"/>
    <w:rsid w:val="00111943"/>
    <w:rsid w:val="00111A61"/>
    <w:rsid w:val="00111AE3"/>
    <w:rsid w:val="00111B55"/>
    <w:rsid w:val="00111BDD"/>
    <w:rsid w:val="00111D02"/>
    <w:rsid w:val="00111D4E"/>
    <w:rsid w:val="00111DFD"/>
    <w:rsid w:val="00111E34"/>
    <w:rsid w:val="00111E43"/>
    <w:rsid w:val="00111F48"/>
    <w:rsid w:val="0011203B"/>
    <w:rsid w:val="00112054"/>
    <w:rsid w:val="00112074"/>
    <w:rsid w:val="00112163"/>
    <w:rsid w:val="001121F6"/>
    <w:rsid w:val="00112226"/>
    <w:rsid w:val="001122A2"/>
    <w:rsid w:val="001122A9"/>
    <w:rsid w:val="00112333"/>
    <w:rsid w:val="0011241B"/>
    <w:rsid w:val="00112442"/>
    <w:rsid w:val="001124FA"/>
    <w:rsid w:val="001128D6"/>
    <w:rsid w:val="001128D9"/>
    <w:rsid w:val="00112943"/>
    <w:rsid w:val="00112948"/>
    <w:rsid w:val="001129E8"/>
    <w:rsid w:val="00112A73"/>
    <w:rsid w:val="00112ACF"/>
    <w:rsid w:val="00112DE1"/>
    <w:rsid w:val="00112E1B"/>
    <w:rsid w:val="00112E4B"/>
    <w:rsid w:val="00112E59"/>
    <w:rsid w:val="00112F2A"/>
    <w:rsid w:val="00113001"/>
    <w:rsid w:val="0011302C"/>
    <w:rsid w:val="00113093"/>
    <w:rsid w:val="00113111"/>
    <w:rsid w:val="00113114"/>
    <w:rsid w:val="001131A3"/>
    <w:rsid w:val="001131FF"/>
    <w:rsid w:val="00113236"/>
    <w:rsid w:val="001133AD"/>
    <w:rsid w:val="00113476"/>
    <w:rsid w:val="001134A3"/>
    <w:rsid w:val="001134B8"/>
    <w:rsid w:val="00113652"/>
    <w:rsid w:val="00113675"/>
    <w:rsid w:val="00113689"/>
    <w:rsid w:val="0011388B"/>
    <w:rsid w:val="00113906"/>
    <w:rsid w:val="001139FE"/>
    <w:rsid w:val="00113A55"/>
    <w:rsid w:val="00113ACA"/>
    <w:rsid w:val="00113B81"/>
    <w:rsid w:val="00113BF8"/>
    <w:rsid w:val="00113CD0"/>
    <w:rsid w:val="00113CF0"/>
    <w:rsid w:val="00113DA0"/>
    <w:rsid w:val="00113DD5"/>
    <w:rsid w:val="00113F3F"/>
    <w:rsid w:val="00113F91"/>
    <w:rsid w:val="00113FA6"/>
    <w:rsid w:val="00113FFF"/>
    <w:rsid w:val="00114006"/>
    <w:rsid w:val="0011406F"/>
    <w:rsid w:val="0011407D"/>
    <w:rsid w:val="00114087"/>
    <w:rsid w:val="00114109"/>
    <w:rsid w:val="0011415F"/>
    <w:rsid w:val="00114208"/>
    <w:rsid w:val="001142D0"/>
    <w:rsid w:val="001143A5"/>
    <w:rsid w:val="00114498"/>
    <w:rsid w:val="00114692"/>
    <w:rsid w:val="001146DB"/>
    <w:rsid w:val="001147B1"/>
    <w:rsid w:val="001147D5"/>
    <w:rsid w:val="00114814"/>
    <w:rsid w:val="0011486F"/>
    <w:rsid w:val="001148F9"/>
    <w:rsid w:val="00114930"/>
    <w:rsid w:val="001149C1"/>
    <w:rsid w:val="00114A3E"/>
    <w:rsid w:val="00114BA4"/>
    <w:rsid w:val="00114C2A"/>
    <w:rsid w:val="00114C51"/>
    <w:rsid w:val="00114C54"/>
    <w:rsid w:val="00114D9F"/>
    <w:rsid w:val="00114E42"/>
    <w:rsid w:val="00114EDF"/>
    <w:rsid w:val="00114FD3"/>
    <w:rsid w:val="001151E3"/>
    <w:rsid w:val="00115282"/>
    <w:rsid w:val="001152F9"/>
    <w:rsid w:val="001153A9"/>
    <w:rsid w:val="00115429"/>
    <w:rsid w:val="00115677"/>
    <w:rsid w:val="001157EE"/>
    <w:rsid w:val="0011580C"/>
    <w:rsid w:val="0011582B"/>
    <w:rsid w:val="0011591B"/>
    <w:rsid w:val="0011594E"/>
    <w:rsid w:val="001159AE"/>
    <w:rsid w:val="00115A1E"/>
    <w:rsid w:val="00115ABA"/>
    <w:rsid w:val="00115B8E"/>
    <w:rsid w:val="00115C40"/>
    <w:rsid w:val="00115C8E"/>
    <w:rsid w:val="00115E59"/>
    <w:rsid w:val="00115E72"/>
    <w:rsid w:val="00115FAD"/>
    <w:rsid w:val="00116178"/>
    <w:rsid w:val="00116187"/>
    <w:rsid w:val="00116188"/>
    <w:rsid w:val="001161D3"/>
    <w:rsid w:val="00116215"/>
    <w:rsid w:val="00116230"/>
    <w:rsid w:val="0011641E"/>
    <w:rsid w:val="00116460"/>
    <w:rsid w:val="0011651C"/>
    <w:rsid w:val="001165A5"/>
    <w:rsid w:val="001165B3"/>
    <w:rsid w:val="001165BB"/>
    <w:rsid w:val="001165F9"/>
    <w:rsid w:val="0011664D"/>
    <w:rsid w:val="00116731"/>
    <w:rsid w:val="0011678A"/>
    <w:rsid w:val="001167F3"/>
    <w:rsid w:val="00116983"/>
    <w:rsid w:val="00116990"/>
    <w:rsid w:val="00116A01"/>
    <w:rsid w:val="00116A1C"/>
    <w:rsid w:val="00116BC9"/>
    <w:rsid w:val="00116BDF"/>
    <w:rsid w:val="00116C45"/>
    <w:rsid w:val="00116C6A"/>
    <w:rsid w:val="00116C93"/>
    <w:rsid w:val="00116CB4"/>
    <w:rsid w:val="00116DBF"/>
    <w:rsid w:val="00116E03"/>
    <w:rsid w:val="00116E41"/>
    <w:rsid w:val="00116E57"/>
    <w:rsid w:val="00116E76"/>
    <w:rsid w:val="00116E9D"/>
    <w:rsid w:val="00116EF6"/>
    <w:rsid w:val="00116FF2"/>
    <w:rsid w:val="00117033"/>
    <w:rsid w:val="00117046"/>
    <w:rsid w:val="0011707B"/>
    <w:rsid w:val="0011717F"/>
    <w:rsid w:val="00117193"/>
    <w:rsid w:val="0011722D"/>
    <w:rsid w:val="00117258"/>
    <w:rsid w:val="00117261"/>
    <w:rsid w:val="00117267"/>
    <w:rsid w:val="0011733A"/>
    <w:rsid w:val="00117376"/>
    <w:rsid w:val="00117448"/>
    <w:rsid w:val="001174D7"/>
    <w:rsid w:val="00117572"/>
    <w:rsid w:val="00117629"/>
    <w:rsid w:val="0011779E"/>
    <w:rsid w:val="001177D0"/>
    <w:rsid w:val="0011782B"/>
    <w:rsid w:val="00117863"/>
    <w:rsid w:val="0011787E"/>
    <w:rsid w:val="001179DC"/>
    <w:rsid w:val="00117A39"/>
    <w:rsid w:val="00117AF0"/>
    <w:rsid w:val="00117C98"/>
    <w:rsid w:val="00117CB6"/>
    <w:rsid w:val="00117DF8"/>
    <w:rsid w:val="00120003"/>
    <w:rsid w:val="00120084"/>
    <w:rsid w:val="001200B7"/>
    <w:rsid w:val="001201CA"/>
    <w:rsid w:val="0012020E"/>
    <w:rsid w:val="00120361"/>
    <w:rsid w:val="001203B2"/>
    <w:rsid w:val="00120462"/>
    <w:rsid w:val="0012051D"/>
    <w:rsid w:val="00120539"/>
    <w:rsid w:val="00120549"/>
    <w:rsid w:val="0012059B"/>
    <w:rsid w:val="0012083E"/>
    <w:rsid w:val="001209F0"/>
    <w:rsid w:val="00120C7D"/>
    <w:rsid w:val="00120CBF"/>
    <w:rsid w:val="00120D45"/>
    <w:rsid w:val="00120D8B"/>
    <w:rsid w:val="00120DAA"/>
    <w:rsid w:val="00120EAE"/>
    <w:rsid w:val="00121022"/>
    <w:rsid w:val="00121028"/>
    <w:rsid w:val="001212FB"/>
    <w:rsid w:val="00121380"/>
    <w:rsid w:val="001213A9"/>
    <w:rsid w:val="001215A0"/>
    <w:rsid w:val="001215E1"/>
    <w:rsid w:val="001215EA"/>
    <w:rsid w:val="00121608"/>
    <w:rsid w:val="00121786"/>
    <w:rsid w:val="001218D2"/>
    <w:rsid w:val="001218EA"/>
    <w:rsid w:val="00121916"/>
    <w:rsid w:val="001219D1"/>
    <w:rsid w:val="00121A2B"/>
    <w:rsid w:val="00121AAA"/>
    <w:rsid w:val="00121B85"/>
    <w:rsid w:val="00121BCC"/>
    <w:rsid w:val="00121C97"/>
    <w:rsid w:val="00121CDD"/>
    <w:rsid w:val="00121D25"/>
    <w:rsid w:val="00121DD5"/>
    <w:rsid w:val="00121EE7"/>
    <w:rsid w:val="00121FAE"/>
    <w:rsid w:val="001222D9"/>
    <w:rsid w:val="001223B5"/>
    <w:rsid w:val="00122424"/>
    <w:rsid w:val="0012247B"/>
    <w:rsid w:val="00122490"/>
    <w:rsid w:val="00122538"/>
    <w:rsid w:val="001225F1"/>
    <w:rsid w:val="0012260A"/>
    <w:rsid w:val="00122662"/>
    <w:rsid w:val="001226AB"/>
    <w:rsid w:val="001226E0"/>
    <w:rsid w:val="00122894"/>
    <w:rsid w:val="001228F9"/>
    <w:rsid w:val="00122A1B"/>
    <w:rsid w:val="00122D12"/>
    <w:rsid w:val="00122D5F"/>
    <w:rsid w:val="00122D9B"/>
    <w:rsid w:val="00122DBF"/>
    <w:rsid w:val="00122EAB"/>
    <w:rsid w:val="00122F6A"/>
    <w:rsid w:val="00122F93"/>
    <w:rsid w:val="00122FA1"/>
    <w:rsid w:val="00122FF9"/>
    <w:rsid w:val="00123026"/>
    <w:rsid w:val="00123040"/>
    <w:rsid w:val="00123066"/>
    <w:rsid w:val="00123068"/>
    <w:rsid w:val="00123073"/>
    <w:rsid w:val="00123089"/>
    <w:rsid w:val="001230D8"/>
    <w:rsid w:val="00123334"/>
    <w:rsid w:val="00123344"/>
    <w:rsid w:val="001233E0"/>
    <w:rsid w:val="0012344C"/>
    <w:rsid w:val="00123459"/>
    <w:rsid w:val="00123483"/>
    <w:rsid w:val="0012351F"/>
    <w:rsid w:val="0012356F"/>
    <w:rsid w:val="001235C1"/>
    <w:rsid w:val="001235FA"/>
    <w:rsid w:val="0012375D"/>
    <w:rsid w:val="00123806"/>
    <w:rsid w:val="0012386F"/>
    <w:rsid w:val="001239C4"/>
    <w:rsid w:val="00123B47"/>
    <w:rsid w:val="00123BCE"/>
    <w:rsid w:val="00123BDB"/>
    <w:rsid w:val="00123D8B"/>
    <w:rsid w:val="00123EEE"/>
    <w:rsid w:val="00123F5C"/>
    <w:rsid w:val="001240CF"/>
    <w:rsid w:val="001240DC"/>
    <w:rsid w:val="001241F6"/>
    <w:rsid w:val="00124240"/>
    <w:rsid w:val="00124397"/>
    <w:rsid w:val="001244DA"/>
    <w:rsid w:val="001244EE"/>
    <w:rsid w:val="0012451D"/>
    <w:rsid w:val="00124584"/>
    <w:rsid w:val="001245F3"/>
    <w:rsid w:val="00124606"/>
    <w:rsid w:val="0012462F"/>
    <w:rsid w:val="00124982"/>
    <w:rsid w:val="001249D6"/>
    <w:rsid w:val="001249E2"/>
    <w:rsid w:val="00124ABE"/>
    <w:rsid w:val="00124AD9"/>
    <w:rsid w:val="00124BB1"/>
    <w:rsid w:val="00124BD1"/>
    <w:rsid w:val="00124C3B"/>
    <w:rsid w:val="00124D25"/>
    <w:rsid w:val="00124DB6"/>
    <w:rsid w:val="00124DE5"/>
    <w:rsid w:val="00124E1F"/>
    <w:rsid w:val="00124F5B"/>
    <w:rsid w:val="00125088"/>
    <w:rsid w:val="001250A7"/>
    <w:rsid w:val="0012529F"/>
    <w:rsid w:val="001252C7"/>
    <w:rsid w:val="00125323"/>
    <w:rsid w:val="00125471"/>
    <w:rsid w:val="00125563"/>
    <w:rsid w:val="0012561E"/>
    <w:rsid w:val="0012567C"/>
    <w:rsid w:val="0012574B"/>
    <w:rsid w:val="001257A1"/>
    <w:rsid w:val="001257AD"/>
    <w:rsid w:val="00125845"/>
    <w:rsid w:val="00125871"/>
    <w:rsid w:val="001258C6"/>
    <w:rsid w:val="00125A00"/>
    <w:rsid w:val="00125BAD"/>
    <w:rsid w:val="00125BAF"/>
    <w:rsid w:val="00125CE3"/>
    <w:rsid w:val="00125D44"/>
    <w:rsid w:val="00125D53"/>
    <w:rsid w:val="00125E37"/>
    <w:rsid w:val="00125E74"/>
    <w:rsid w:val="00125E7F"/>
    <w:rsid w:val="00125E8E"/>
    <w:rsid w:val="00125E94"/>
    <w:rsid w:val="00125E9B"/>
    <w:rsid w:val="00125F2D"/>
    <w:rsid w:val="00125FC9"/>
    <w:rsid w:val="00126073"/>
    <w:rsid w:val="001260AB"/>
    <w:rsid w:val="001260B0"/>
    <w:rsid w:val="00126177"/>
    <w:rsid w:val="001261C0"/>
    <w:rsid w:val="00126200"/>
    <w:rsid w:val="001262A5"/>
    <w:rsid w:val="001263B1"/>
    <w:rsid w:val="00126518"/>
    <w:rsid w:val="00126604"/>
    <w:rsid w:val="0012673B"/>
    <w:rsid w:val="00126755"/>
    <w:rsid w:val="0012675E"/>
    <w:rsid w:val="0012682C"/>
    <w:rsid w:val="001268B0"/>
    <w:rsid w:val="001268EB"/>
    <w:rsid w:val="00126934"/>
    <w:rsid w:val="00126937"/>
    <w:rsid w:val="00126A40"/>
    <w:rsid w:val="00126BE5"/>
    <w:rsid w:val="00126BEE"/>
    <w:rsid w:val="00126C1B"/>
    <w:rsid w:val="00126EB8"/>
    <w:rsid w:val="00126EC4"/>
    <w:rsid w:val="00126FDC"/>
    <w:rsid w:val="00127049"/>
    <w:rsid w:val="00127055"/>
    <w:rsid w:val="001270BD"/>
    <w:rsid w:val="001270F2"/>
    <w:rsid w:val="00127140"/>
    <w:rsid w:val="00127159"/>
    <w:rsid w:val="001271F5"/>
    <w:rsid w:val="001273A5"/>
    <w:rsid w:val="001273A7"/>
    <w:rsid w:val="0012747D"/>
    <w:rsid w:val="001274F8"/>
    <w:rsid w:val="00127678"/>
    <w:rsid w:val="001276E0"/>
    <w:rsid w:val="001278AE"/>
    <w:rsid w:val="001278C6"/>
    <w:rsid w:val="001278FB"/>
    <w:rsid w:val="001279DE"/>
    <w:rsid w:val="00127A0E"/>
    <w:rsid w:val="00127A13"/>
    <w:rsid w:val="00127A14"/>
    <w:rsid w:val="00127AEC"/>
    <w:rsid w:val="00127C95"/>
    <w:rsid w:val="00127CFE"/>
    <w:rsid w:val="00127D18"/>
    <w:rsid w:val="00127D55"/>
    <w:rsid w:val="00127DD3"/>
    <w:rsid w:val="00127E12"/>
    <w:rsid w:val="00127E20"/>
    <w:rsid w:val="00127EAD"/>
    <w:rsid w:val="00127F0E"/>
    <w:rsid w:val="00127F1B"/>
    <w:rsid w:val="00127F3D"/>
    <w:rsid w:val="00127F59"/>
    <w:rsid w:val="00127FEA"/>
    <w:rsid w:val="00127FFB"/>
    <w:rsid w:val="0013006A"/>
    <w:rsid w:val="0013013A"/>
    <w:rsid w:val="001301BE"/>
    <w:rsid w:val="00130238"/>
    <w:rsid w:val="001303DA"/>
    <w:rsid w:val="00130589"/>
    <w:rsid w:val="001305BF"/>
    <w:rsid w:val="001306FE"/>
    <w:rsid w:val="001307B9"/>
    <w:rsid w:val="001307DB"/>
    <w:rsid w:val="0013082A"/>
    <w:rsid w:val="0013082E"/>
    <w:rsid w:val="001308AC"/>
    <w:rsid w:val="001308FB"/>
    <w:rsid w:val="001308FF"/>
    <w:rsid w:val="00130930"/>
    <w:rsid w:val="00130CB6"/>
    <w:rsid w:val="00130DE6"/>
    <w:rsid w:val="00130E8D"/>
    <w:rsid w:val="00130F72"/>
    <w:rsid w:val="0013106A"/>
    <w:rsid w:val="001310B6"/>
    <w:rsid w:val="001310E6"/>
    <w:rsid w:val="0013111F"/>
    <w:rsid w:val="00131185"/>
    <w:rsid w:val="00131349"/>
    <w:rsid w:val="0013155E"/>
    <w:rsid w:val="0013169B"/>
    <w:rsid w:val="001316D7"/>
    <w:rsid w:val="00131863"/>
    <w:rsid w:val="00131939"/>
    <w:rsid w:val="00131956"/>
    <w:rsid w:val="001319A6"/>
    <w:rsid w:val="00131A8E"/>
    <w:rsid w:val="00131B59"/>
    <w:rsid w:val="00131B9E"/>
    <w:rsid w:val="00131CF4"/>
    <w:rsid w:val="00131D65"/>
    <w:rsid w:val="00131E1F"/>
    <w:rsid w:val="00131E67"/>
    <w:rsid w:val="0013205C"/>
    <w:rsid w:val="001320E2"/>
    <w:rsid w:val="00132394"/>
    <w:rsid w:val="001323C1"/>
    <w:rsid w:val="0013244A"/>
    <w:rsid w:val="00132499"/>
    <w:rsid w:val="00132506"/>
    <w:rsid w:val="00132547"/>
    <w:rsid w:val="00132568"/>
    <w:rsid w:val="00132630"/>
    <w:rsid w:val="00132748"/>
    <w:rsid w:val="00132803"/>
    <w:rsid w:val="0013286A"/>
    <w:rsid w:val="00132941"/>
    <w:rsid w:val="00132957"/>
    <w:rsid w:val="001329C4"/>
    <w:rsid w:val="001329FE"/>
    <w:rsid w:val="00132A70"/>
    <w:rsid w:val="00132AAD"/>
    <w:rsid w:val="00132AE2"/>
    <w:rsid w:val="00132AF4"/>
    <w:rsid w:val="00132B6D"/>
    <w:rsid w:val="00132C38"/>
    <w:rsid w:val="00132C79"/>
    <w:rsid w:val="00132CB5"/>
    <w:rsid w:val="00132CD0"/>
    <w:rsid w:val="00132D94"/>
    <w:rsid w:val="00132E63"/>
    <w:rsid w:val="00132E8B"/>
    <w:rsid w:val="00132EED"/>
    <w:rsid w:val="00132F86"/>
    <w:rsid w:val="00132F95"/>
    <w:rsid w:val="00133064"/>
    <w:rsid w:val="001330A1"/>
    <w:rsid w:val="00133138"/>
    <w:rsid w:val="0013315E"/>
    <w:rsid w:val="00133178"/>
    <w:rsid w:val="00133216"/>
    <w:rsid w:val="00133221"/>
    <w:rsid w:val="00133376"/>
    <w:rsid w:val="001334E9"/>
    <w:rsid w:val="001334F0"/>
    <w:rsid w:val="00133523"/>
    <w:rsid w:val="001335CE"/>
    <w:rsid w:val="00133726"/>
    <w:rsid w:val="0013376A"/>
    <w:rsid w:val="001337D6"/>
    <w:rsid w:val="00133824"/>
    <w:rsid w:val="00133843"/>
    <w:rsid w:val="001338D0"/>
    <w:rsid w:val="0013390A"/>
    <w:rsid w:val="001339DB"/>
    <w:rsid w:val="00133A22"/>
    <w:rsid w:val="00133B6A"/>
    <w:rsid w:val="00133C1B"/>
    <w:rsid w:val="00133D0E"/>
    <w:rsid w:val="00133DEE"/>
    <w:rsid w:val="00133E31"/>
    <w:rsid w:val="00133E8E"/>
    <w:rsid w:val="00133E9B"/>
    <w:rsid w:val="00134014"/>
    <w:rsid w:val="001340E6"/>
    <w:rsid w:val="00134104"/>
    <w:rsid w:val="00134136"/>
    <w:rsid w:val="00134197"/>
    <w:rsid w:val="001341A4"/>
    <w:rsid w:val="00134294"/>
    <w:rsid w:val="001342C6"/>
    <w:rsid w:val="00134666"/>
    <w:rsid w:val="001346FF"/>
    <w:rsid w:val="00134781"/>
    <w:rsid w:val="001348EE"/>
    <w:rsid w:val="00134989"/>
    <w:rsid w:val="0013498D"/>
    <w:rsid w:val="00134AF0"/>
    <w:rsid w:val="00134B0F"/>
    <w:rsid w:val="00134B2C"/>
    <w:rsid w:val="00134CF7"/>
    <w:rsid w:val="00134E75"/>
    <w:rsid w:val="00134F93"/>
    <w:rsid w:val="0013510D"/>
    <w:rsid w:val="0013510E"/>
    <w:rsid w:val="00135143"/>
    <w:rsid w:val="001351DA"/>
    <w:rsid w:val="0013526E"/>
    <w:rsid w:val="001352C1"/>
    <w:rsid w:val="0013541A"/>
    <w:rsid w:val="0013555E"/>
    <w:rsid w:val="0013573F"/>
    <w:rsid w:val="0013575F"/>
    <w:rsid w:val="00135835"/>
    <w:rsid w:val="0013593B"/>
    <w:rsid w:val="0013594E"/>
    <w:rsid w:val="00135ADE"/>
    <w:rsid w:val="00135B6D"/>
    <w:rsid w:val="00135B85"/>
    <w:rsid w:val="00135B86"/>
    <w:rsid w:val="00135BC9"/>
    <w:rsid w:val="00135D06"/>
    <w:rsid w:val="00135E32"/>
    <w:rsid w:val="00135E80"/>
    <w:rsid w:val="00135EF5"/>
    <w:rsid w:val="00135F9A"/>
    <w:rsid w:val="00135FCC"/>
    <w:rsid w:val="0013607B"/>
    <w:rsid w:val="0013619B"/>
    <w:rsid w:val="0013620A"/>
    <w:rsid w:val="001362AE"/>
    <w:rsid w:val="001362F0"/>
    <w:rsid w:val="0013631C"/>
    <w:rsid w:val="0013634C"/>
    <w:rsid w:val="0013637D"/>
    <w:rsid w:val="001363CA"/>
    <w:rsid w:val="00136436"/>
    <w:rsid w:val="0013646F"/>
    <w:rsid w:val="00136546"/>
    <w:rsid w:val="0013658F"/>
    <w:rsid w:val="001365C8"/>
    <w:rsid w:val="00136652"/>
    <w:rsid w:val="00136717"/>
    <w:rsid w:val="00136720"/>
    <w:rsid w:val="001367B7"/>
    <w:rsid w:val="001368D4"/>
    <w:rsid w:val="0013691A"/>
    <w:rsid w:val="0013692C"/>
    <w:rsid w:val="00136979"/>
    <w:rsid w:val="00136AF7"/>
    <w:rsid w:val="00136B0E"/>
    <w:rsid w:val="00136BF6"/>
    <w:rsid w:val="00136C68"/>
    <w:rsid w:val="00136CBA"/>
    <w:rsid w:val="00136E56"/>
    <w:rsid w:val="00136E98"/>
    <w:rsid w:val="00136EB9"/>
    <w:rsid w:val="00136F51"/>
    <w:rsid w:val="0013708B"/>
    <w:rsid w:val="00137242"/>
    <w:rsid w:val="00137280"/>
    <w:rsid w:val="00137283"/>
    <w:rsid w:val="0013728E"/>
    <w:rsid w:val="001374F4"/>
    <w:rsid w:val="001377C0"/>
    <w:rsid w:val="001377EA"/>
    <w:rsid w:val="00137870"/>
    <w:rsid w:val="001378F3"/>
    <w:rsid w:val="00137A82"/>
    <w:rsid w:val="00137AF5"/>
    <w:rsid w:val="00137B78"/>
    <w:rsid w:val="00137BB1"/>
    <w:rsid w:val="00137BD2"/>
    <w:rsid w:val="00137BDD"/>
    <w:rsid w:val="00137BE4"/>
    <w:rsid w:val="00137C3E"/>
    <w:rsid w:val="00137EEE"/>
    <w:rsid w:val="00137EEF"/>
    <w:rsid w:val="00140043"/>
    <w:rsid w:val="001400CB"/>
    <w:rsid w:val="001400FE"/>
    <w:rsid w:val="001401BF"/>
    <w:rsid w:val="001402C1"/>
    <w:rsid w:val="001402D2"/>
    <w:rsid w:val="001402D4"/>
    <w:rsid w:val="001404CA"/>
    <w:rsid w:val="0014072D"/>
    <w:rsid w:val="0014084F"/>
    <w:rsid w:val="0014087A"/>
    <w:rsid w:val="001408CD"/>
    <w:rsid w:val="001408E6"/>
    <w:rsid w:val="001408F7"/>
    <w:rsid w:val="001409E1"/>
    <w:rsid w:val="00140AB6"/>
    <w:rsid w:val="00140B2C"/>
    <w:rsid w:val="00140BF5"/>
    <w:rsid w:val="00140D79"/>
    <w:rsid w:val="00140DD0"/>
    <w:rsid w:val="00140E59"/>
    <w:rsid w:val="00140E82"/>
    <w:rsid w:val="00140F84"/>
    <w:rsid w:val="00141077"/>
    <w:rsid w:val="00141147"/>
    <w:rsid w:val="0014127A"/>
    <w:rsid w:val="001412F8"/>
    <w:rsid w:val="001413B1"/>
    <w:rsid w:val="0014142A"/>
    <w:rsid w:val="001414D9"/>
    <w:rsid w:val="00141545"/>
    <w:rsid w:val="001415C5"/>
    <w:rsid w:val="00141643"/>
    <w:rsid w:val="00141817"/>
    <w:rsid w:val="00141878"/>
    <w:rsid w:val="001418A6"/>
    <w:rsid w:val="001418AF"/>
    <w:rsid w:val="00141A30"/>
    <w:rsid w:val="00141A78"/>
    <w:rsid w:val="00141B5C"/>
    <w:rsid w:val="00141B9F"/>
    <w:rsid w:val="00141BDF"/>
    <w:rsid w:val="00141BFA"/>
    <w:rsid w:val="00141C65"/>
    <w:rsid w:val="00141D12"/>
    <w:rsid w:val="00141D30"/>
    <w:rsid w:val="00141D62"/>
    <w:rsid w:val="00141F41"/>
    <w:rsid w:val="00141FA1"/>
    <w:rsid w:val="00142029"/>
    <w:rsid w:val="001420CB"/>
    <w:rsid w:val="00142104"/>
    <w:rsid w:val="0014229C"/>
    <w:rsid w:val="00142350"/>
    <w:rsid w:val="0014237F"/>
    <w:rsid w:val="001423B7"/>
    <w:rsid w:val="001423F1"/>
    <w:rsid w:val="001425A4"/>
    <w:rsid w:val="001425DC"/>
    <w:rsid w:val="00142695"/>
    <w:rsid w:val="0014273A"/>
    <w:rsid w:val="00142AAE"/>
    <w:rsid w:val="00142B2C"/>
    <w:rsid w:val="00142BA2"/>
    <w:rsid w:val="00142C83"/>
    <w:rsid w:val="00142CBA"/>
    <w:rsid w:val="00142E16"/>
    <w:rsid w:val="00142E20"/>
    <w:rsid w:val="00142EC6"/>
    <w:rsid w:val="001430A1"/>
    <w:rsid w:val="001431E1"/>
    <w:rsid w:val="00143283"/>
    <w:rsid w:val="001432E2"/>
    <w:rsid w:val="0014339C"/>
    <w:rsid w:val="00143483"/>
    <w:rsid w:val="0014349C"/>
    <w:rsid w:val="001434BD"/>
    <w:rsid w:val="001435F3"/>
    <w:rsid w:val="00143652"/>
    <w:rsid w:val="001436D3"/>
    <w:rsid w:val="0014377F"/>
    <w:rsid w:val="001438D0"/>
    <w:rsid w:val="00143BB9"/>
    <w:rsid w:val="00143C23"/>
    <w:rsid w:val="00143E85"/>
    <w:rsid w:val="00144085"/>
    <w:rsid w:val="0014413E"/>
    <w:rsid w:val="0014428B"/>
    <w:rsid w:val="0014428C"/>
    <w:rsid w:val="001442F4"/>
    <w:rsid w:val="001443FD"/>
    <w:rsid w:val="00144554"/>
    <w:rsid w:val="00144558"/>
    <w:rsid w:val="00144560"/>
    <w:rsid w:val="001445B4"/>
    <w:rsid w:val="0014466A"/>
    <w:rsid w:val="001447F0"/>
    <w:rsid w:val="00144867"/>
    <w:rsid w:val="0014490F"/>
    <w:rsid w:val="001449FB"/>
    <w:rsid w:val="00144A26"/>
    <w:rsid w:val="00144A50"/>
    <w:rsid w:val="00144A7C"/>
    <w:rsid w:val="00144BBA"/>
    <w:rsid w:val="00144C75"/>
    <w:rsid w:val="00144CFB"/>
    <w:rsid w:val="00144DBA"/>
    <w:rsid w:val="00144DD9"/>
    <w:rsid w:val="00144E5F"/>
    <w:rsid w:val="00144E76"/>
    <w:rsid w:val="00144F1F"/>
    <w:rsid w:val="00145077"/>
    <w:rsid w:val="00145196"/>
    <w:rsid w:val="001451BF"/>
    <w:rsid w:val="0014522D"/>
    <w:rsid w:val="00145245"/>
    <w:rsid w:val="00145465"/>
    <w:rsid w:val="0014548B"/>
    <w:rsid w:val="00145563"/>
    <w:rsid w:val="0014560B"/>
    <w:rsid w:val="0014562E"/>
    <w:rsid w:val="00145673"/>
    <w:rsid w:val="001456E0"/>
    <w:rsid w:val="00145713"/>
    <w:rsid w:val="0014579A"/>
    <w:rsid w:val="00145835"/>
    <w:rsid w:val="00145848"/>
    <w:rsid w:val="0014592B"/>
    <w:rsid w:val="001459C1"/>
    <w:rsid w:val="00145A0A"/>
    <w:rsid w:val="00145B2E"/>
    <w:rsid w:val="00145B32"/>
    <w:rsid w:val="00145C3B"/>
    <w:rsid w:val="00145CFA"/>
    <w:rsid w:val="00145D06"/>
    <w:rsid w:val="00146000"/>
    <w:rsid w:val="00146002"/>
    <w:rsid w:val="00146109"/>
    <w:rsid w:val="0014610E"/>
    <w:rsid w:val="0014617F"/>
    <w:rsid w:val="00146234"/>
    <w:rsid w:val="0014639F"/>
    <w:rsid w:val="001463BB"/>
    <w:rsid w:val="0014642A"/>
    <w:rsid w:val="001464CC"/>
    <w:rsid w:val="001466E2"/>
    <w:rsid w:val="00146708"/>
    <w:rsid w:val="0014671D"/>
    <w:rsid w:val="00146731"/>
    <w:rsid w:val="001467AA"/>
    <w:rsid w:val="001467CE"/>
    <w:rsid w:val="001467E2"/>
    <w:rsid w:val="00146804"/>
    <w:rsid w:val="0014685C"/>
    <w:rsid w:val="0014699A"/>
    <w:rsid w:val="001469E7"/>
    <w:rsid w:val="00146A8F"/>
    <w:rsid w:val="00146B2A"/>
    <w:rsid w:val="00146B79"/>
    <w:rsid w:val="00146B7B"/>
    <w:rsid w:val="00146B9A"/>
    <w:rsid w:val="00146CDF"/>
    <w:rsid w:val="00146D41"/>
    <w:rsid w:val="00146D68"/>
    <w:rsid w:val="00146E4E"/>
    <w:rsid w:val="00146E53"/>
    <w:rsid w:val="00146E66"/>
    <w:rsid w:val="00146EFC"/>
    <w:rsid w:val="00147011"/>
    <w:rsid w:val="0014708C"/>
    <w:rsid w:val="00147272"/>
    <w:rsid w:val="001472B5"/>
    <w:rsid w:val="001472F7"/>
    <w:rsid w:val="0014730D"/>
    <w:rsid w:val="001473DA"/>
    <w:rsid w:val="001473EA"/>
    <w:rsid w:val="00147480"/>
    <w:rsid w:val="001474F0"/>
    <w:rsid w:val="0014751F"/>
    <w:rsid w:val="00147532"/>
    <w:rsid w:val="00147541"/>
    <w:rsid w:val="0014754D"/>
    <w:rsid w:val="001475AD"/>
    <w:rsid w:val="001475C8"/>
    <w:rsid w:val="00147603"/>
    <w:rsid w:val="00147691"/>
    <w:rsid w:val="001476CE"/>
    <w:rsid w:val="00147738"/>
    <w:rsid w:val="00147883"/>
    <w:rsid w:val="001478A1"/>
    <w:rsid w:val="00147957"/>
    <w:rsid w:val="00147972"/>
    <w:rsid w:val="001479AE"/>
    <w:rsid w:val="001479BE"/>
    <w:rsid w:val="001479F7"/>
    <w:rsid w:val="00147A01"/>
    <w:rsid w:val="00147A12"/>
    <w:rsid w:val="00147A14"/>
    <w:rsid w:val="00147A94"/>
    <w:rsid w:val="00147A96"/>
    <w:rsid w:val="00147A9E"/>
    <w:rsid w:val="00147B0C"/>
    <w:rsid w:val="00147B3B"/>
    <w:rsid w:val="00147B79"/>
    <w:rsid w:val="00147C0A"/>
    <w:rsid w:val="00147C3E"/>
    <w:rsid w:val="00147CF4"/>
    <w:rsid w:val="00147D6F"/>
    <w:rsid w:val="00147D7A"/>
    <w:rsid w:val="00147E26"/>
    <w:rsid w:val="00147E67"/>
    <w:rsid w:val="00147F4B"/>
    <w:rsid w:val="001502E6"/>
    <w:rsid w:val="001502F6"/>
    <w:rsid w:val="0015032E"/>
    <w:rsid w:val="00150360"/>
    <w:rsid w:val="0015047A"/>
    <w:rsid w:val="001504FF"/>
    <w:rsid w:val="00150596"/>
    <w:rsid w:val="001505C8"/>
    <w:rsid w:val="001506E1"/>
    <w:rsid w:val="001507DE"/>
    <w:rsid w:val="0015084F"/>
    <w:rsid w:val="001508F5"/>
    <w:rsid w:val="0015091A"/>
    <w:rsid w:val="0015094A"/>
    <w:rsid w:val="001509A2"/>
    <w:rsid w:val="001509F7"/>
    <w:rsid w:val="00150A1D"/>
    <w:rsid w:val="00150AE3"/>
    <w:rsid w:val="00150AE4"/>
    <w:rsid w:val="00150B41"/>
    <w:rsid w:val="00150B9F"/>
    <w:rsid w:val="00150BD4"/>
    <w:rsid w:val="00150C0A"/>
    <w:rsid w:val="00150C3C"/>
    <w:rsid w:val="00150C55"/>
    <w:rsid w:val="00150E4F"/>
    <w:rsid w:val="00150E98"/>
    <w:rsid w:val="00150EBC"/>
    <w:rsid w:val="00150F40"/>
    <w:rsid w:val="0015107C"/>
    <w:rsid w:val="001511DE"/>
    <w:rsid w:val="00151248"/>
    <w:rsid w:val="0015133E"/>
    <w:rsid w:val="0015136E"/>
    <w:rsid w:val="001513B4"/>
    <w:rsid w:val="001515C3"/>
    <w:rsid w:val="001515D0"/>
    <w:rsid w:val="00151635"/>
    <w:rsid w:val="001516B8"/>
    <w:rsid w:val="001516F4"/>
    <w:rsid w:val="001516FA"/>
    <w:rsid w:val="00151779"/>
    <w:rsid w:val="0015194D"/>
    <w:rsid w:val="00151960"/>
    <w:rsid w:val="001519C9"/>
    <w:rsid w:val="00151AAA"/>
    <w:rsid w:val="00151AF1"/>
    <w:rsid w:val="00151BB9"/>
    <w:rsid w:val="00151C49"/>
    <w:rsid w:val="00151C84"/>
    <w:rsid w:val="00151E05"/>
    <w:rsid w:val="00151E53"/>
    <w:rsid w:val="00151F08"/>
    <w:rsid w:val="0015203C"/>
    <w:rsid w:val="001520DE"/>
    <w:rsid w:val="00152148"/>
    <w:rsid w:val="001521A0"/>
    <w:rsid w:val="00152214"/>
    <w:rsid w:val="00152303"/>
    <w:rsid w:val="0015232F"/>
    <w:rsid w:val="0015246A"/>
    <w:rsid w:val="001524D2"/>
    <w:rsid w:val="0015250E"/>
    <w:rsid w:val="001525B0"/>
    <w:rsid w:val="00152627"/>
    <w:rsid w:val="001527FA"/>
    <w:rsid w:val="0015280A"/>
    <w:rsid w:val="00152880"/>
    <w:rsid w:val="0015290A"/>
    <w:rsid w:val="0015295B"/>
    <w:rsid w:val="00152962"/>
    <w:rsid w:val="00152A8A"/>
    <w:rsid w:val="00152B10"/>
    <w:rsid w:val="00152BB4"/>
    <w:rsid w:val="00152BC3"/>
    <w:rsid w:val="00152CB7"/>
    <w:rsid w:val="00152CE4"/>
    <w:rsid w:val="00152D08"/>
    <w:rsid w:val="00152F37"/>
    <w:rsid w:val="00153003"/>
    <w:rsid w:val="0015308B"/>
    <w:rsid w:val="001530DE"/>
    <w:rsid w:val="001530E2"/>
    <w:rsid w:val="001531AC"/>
    <w:rsid w:val="00153245"/>
    <w:rsid w:val="00153247"/>
    <w:rsid w:val="001532E9"/>
    <w:rsid w:val="001532EA"/>
    <w:rsid w:val="0015330F"/>
    <w:rsid w:val="00153476"/>
    <w:rsid w:val="00153563"/>
    <w:rsid w:val="001535D6"/>
    <w:rsid w:val="001535E2"/>
    <w:rsid w:val="001537B7"/>
    <w:rsid w:val="001537FA"/>
    <w:rsid w:val="001538DE"/>
    <w:rsid w:val="00153941"/>
    <w:rsid w:val="001539E5"/>
    <w:rsid w:val="00153BE3"/>
    <w:rsid w:val="00153CD4"/>
    <w:rsid w:val="00153D5E"/>
    <w:rsid w:val="00153DD5"/>
    <w:rsid w:val="00153E3B"/>
    <w:rsid w:val="00153F4C"/>
    <w:rsid w:val="00153F6C"/>
    <w:rsid w:val="00153F97"/>
    <w:rsid w:val="0015411E"/>
    <w:rsid w:val="0015419B"/>
    <w:rsid w:val="00154238"/>
    <w:rsid w:val="0015424E"/>
    <w:rsid w:val="00154272"/>
    <w:rsid w:val="0015429B"/>
    <w:rsid w:val="00154409"/>
    <w:rsid w:val="0015456B"/>
    <w:rsid w:val="0015461F"/>
    <w:rsid w:val="00154622"/>
    <w:rsid w:val="001546B7"/>
    <w:rsid w:val="00154747"/>
    <w:rsid w:val="00154777"/>
    <w:rsid w:val="00154819"/>
    <w:rsid w:val="00154AC9"/>
    <w:rsid w:val="00154AD1"/>
    <w:rsid w:val="00154B96"/>
    <w:rsid w:val="00154BBD"/>
    <w:rsid w:val="00154BC3"/>
    <w:rsid w:val="00154CB9"/>
    <w:rsid w:val="00154E23"/>
    <w:rsid w:val="00154F6D"/>
    <w:rsid w:val="00154F73"/>
    <w:rsid w:val="00154FE4"/>
    <w:rsid w:val="001550AD"/>
    <w:rsid w:val="001550B3"/>
    <w:rsid w:val="001551CE"/>
    <w:rsid w:val="001551DD"/>
    <w:rsid w:val="001551DF"/>
    <w:rsid w:val="0015521E"/>
    <w:rsid w:val="00155236"/>
    <w:rsid w:val="0015523A"/>
    <w:rsid w:val="00155259"/>
    <w:rsid w:val="0015537E"/>
    <w:rsid w:val="0015541F"/>
    <w:rsid w:val="0015542D"/>
    <w:rsid w:val="0015548E"/>
    <w:rsid w:val="001554EF"/>
    <w:rsid w:val="00155501"/>
    <w:rsid w:val="001556C3"/>
    <w:rsid w:val="001556FB"/>
    <w:rsid w:val="00155719"/>
    <w:rsid w:val="00155811"/>
    <w:rsid w:val="001559E5"/>
    <w:rsid w:val="00155A17"/>
    <w:rsid w:val="00155A51"/>
    <w:rsid w:val="00155A7A"/>
    <w:rsid w:val="00155BDA"/>
    <w:rsid w:val="00155C8D"/>
    <w:rsid w:val="00155C99"/>
    <w:rsid w:val="00155EF7"/>
    <w:rsid w:val="00155F62"/>
    <w:rsid w:val="00155F8B"/>
    <w:rsid w:val="0015611B"/>
    <w:rsid w:val="001562C2"/>
    <w:rsid w:val="0015636B"/>
    <w:rsid w:val="001563AA"/>
    <w:rsid w:val="001563F6"/>
    <w:rsid w:val="001563FB"/>
    <w:rsid w:val="0015642E"/>
    <w:rsid w:val="001564A8"/>
    <w:rsid w:val="001564B7"/>
    <w:rsid w:val="001565EE"/>
    <w:rsid w:val="00156639"/>
    <w:rsid w:val="00156643"/>
    <w:rsid w:val="0015669E"/>
    <w:rsid w:val="0015681F"/>
    <w:rsid w:val="00156875"/>
    <w:rsid w:val="001569C4"/>
    <w:rsid w:val="00156A9C"/>
    <w:rsid w:val="00156B4C"/>
    <w:rsid w:val="00156CC0"/>
    <w:rsid w:val="00156CEE"/>
    <w:rsid w:val="00156D7F"/>
    <w:rsid w:val="00156E1D"/>
    <w:rsid w:val="00156ECB"/>
    <w:rsid w:val="00156F1D"/>
    <w:rsid w:val="00156F6A"/>
    <w:rsid w:val="00156FE2"/>
    <w:rsid w:val="00157108"/>
    <w:rsid w:val="00157357"/>
    <w:rsid w:val="001573C7"/>
    <w:rsid w:val="0015759F"/>
    <w:rsid w:val="001575B8"/>
    <w:rsid w:val="0015766D"/>
    <w:rsid w:val="00157730"/>
    <w:rsid w:val="001577CB"/>
    <w:rsid w:val="00157813"/>
    <w:rsid w:val="00157886"/>
    <w:rsid w:val="00157969"/>
    <w:rsid w:val="0015796C"/>
    <w:rsid w:val="001579DD"/>
    <w:rsid w:val="001579E1"/>
    <w:rsid w:val="00157BA2"/>
    <w:rsid w:val="00157C11"/>
    <w:rsid w:val="00157C48"/>
    <w:rsid w:val="00157CBF"/>
    <w:rsid w:val="00157DBE"/>
    <w:rsid w:val="00157E41"/>
    <w:rsid w:val="00157EB6"/>
    <w:rsid w:val="00157EBA"/>
    <w:rsid w:val="00157FC8"/>
    <w:rsid w:val="00157FF5"/>
    <w:rsid w:val="00160036"/>
    <w:rsid w:val="001600E1"/>
    <w:rsid w:val="00160107"/>
    <w:rsid w:val="001602BD"/>
    <w:rsid w:val="001602C8"/>
    <w:rsid w:val="001602DE"/>
    <w:rsid w:val="001602F8"/>
    <w:rsid w:val="0016031B"/>
    <w:rsid w:val="00160352"/>
    <w:rsid w:val="0016036D"/>
    <w:rsid w:val="0016039F"/>
    <w:rsid w:val="00160403"/>
    <w:rsid w:val="00160509"/>
    <w:rsid w:val="001605F5"/>
    <w:rsid w:val="0016066D"/>
    <w:rsid w:val="0016069A"/>
    <w:rsid w:val="001606B4"/>
    <w:rsid w:val="001607F7"/>
    <w:rsid w:val="00160846"/>
    <w:rsid w:val="00160875"/>
    <w:rsid w:val="001608D8"/>
    <w:rsid w:val="00160999"/>
    <w:rsid w:val="00160A5C"/>
    <w:rsid w:val="00160AC1"/>
    <w:rsid w:val="00160B13"/>
    <w:rsid w:val="00160B56"/>
    <w:rsid w:val="00160E74"/>
    <w:rsid w:val="00161101"/>
    <w:rsid w:val="00161325"/>
    <w:rsid w:val="0016132B"/>
    <w:rsid w:val="0016132E"/>
    <w:rsid w:val="00161334"/>
    <w:rsid w:val="001613AB"/>
    <w:rsid w:val="001613D8"/>
    <w:rsid w:val="00161457"/>
    <w:rsid w:val="001614DE"/>
    <w:rsid w:val="001614E7"/>
    <w:rsid w:val="001615E7"/>
    <w:rsid w:val="001615EE"/>
    <w:rsid w:val="00161681"/>
    <w:rsid w:val="00161728"/>
    <w:rsid w:val="0016181C"/>
    <w:rsid w:val="0016189C"/>
    <w:rsid w:val="001618B0"/>
    <w:rsid w:val="001618F8"/>
    <w:rsid w:val="00161906"/>
    <w:rsid w:val="001619F4"/>
    <w:rsid w:val="00161A07"/>
    <w:rsid w:val="00161A5C"/>
    <w:rsid w:val="00161B80"/>
    <w:rsid w:val="00161BE6"/>
    <w:rsid w:val="00161C06"/>
    <w:rsid w:val="00161C0C"/>
    <w:rsid w:val="00161C1D"/>
    <w:rsid w:val="00161D3E"/>
    <w:rsid w:val="00161DBD"/>
    <w:rsid w:val="00161EC2"/>
    <w:rsid w:val="00161F01"/>
    <w:rsid w:val="00161F31"/>
    <w:rsid w:val="001620C1"/>
    <w:rsid w:val="00162150"/>
    <w:rsid w:val="00162292"/>
    <w:rsid w:val="0016240C"/>
    <w:rsid w:val="001624F2"/>
    <w:rsid w:val="00162646"/>
    <w:rsid w:val="0016269F"/>
    <w:rsid w:val="001627B5"/>
    <w:rsid w:val="001627CD"/>
    <w:rsid w:val="001628D3"/>
    <w:rsid w:val="001628FD"/>
    <w:rsid w:val="0016294E"/>
    <w:rsid w:val="0016295E"/>
    <w:rsid w:val="001629C8"/>
    <w:rsid w:val="00162AC6"/>
    <w:rsid w:val="00162C35"/>
    <w:rsid w:val="00162C56"/>
    <w:rsid w:val="00162C9C"/>
    <w:rsid w:val="00162CEE"/>
    <w:rsid w:val="00162DDF"/>
    <w:rsid w:val="00162DF3"/>
    <w:rsid w:val="00162F02"/>
    <w:rsid w:val="00162F6E"/>
    <w:rsid w:val="00162F87"/>
    <w:rsid w:val="00162FD5"/>
    <w:rsid w:val="001632F8"/>
    <w:rsid w:val="00163327"/>
    <w:rsid w:val="00163385"/>
    <w:rsid w:val="001633F8"/>
    <w:rsid w:val="0016342F"/>
    <w:rsid w:val="00163646"/>
    <w:rsid w:val="001636E0"/>
    <w:rsid w:val="00163722"/>
    <w:rsid w:val="0016373D"/>
    <w:rsid w:val="00163874"/>
    <w:rsid w:val="00163899"/>
    <w:rsid w:val="001638B6"/>
    <w:rsid w:val="00163918"/>
    <w:rsid w:val="001639CB"/>
    <w:rsid w:val="001639D1"/>
    <w:rsid w:val="00163B18"/>
    <w:rsid w:val="00163B44"/>
    <w:rsid w:val="00163BDF"/>
    <w:rsid w:val="00163C74"/>
    <w:rsid w:val="00163CF1"/>
    <w:rsid w:val="00163D3B"/>
    <w:rsid w:val="00163F09"/>
    <w:rsid w:val="001640AD"/>
    <w:rsid w:val="001640B0"/>
    <w:rsid w:val="001640BC"/>
    <w:rsid w:val="001640D5"/>
    <w:rsid w:val="001642C0"/>
    <w:rsid w:val="00164332"/>
    <w:rsid w:val="001643B1"/>
    <w:rsid w:val="0016449C"/>
    <w:rsid w:val="00164547"/>
    <w:rsid w:val="00164676"/>
    <w:rsid w:val="001647A3"/>
    <w:rsid w:val="00164890"/>
    <w:rsid w:val="0016496B"/>
    <w:rsid w:val="001649A2"/>
    <w:rsid w:val="001649BF"/>
    <w:rsid w:val="001649DC"/>
    <w:rsid w:val="00164A5B"/>
    <w:rsid w:val="00164A86"/>
    <w:rsid w:val="00164D44"/>
    <w:rsid w:val="00164D4A"/>
    <w:rsid w:val="00164E23"/>
    <w:rsid w:val="00164E68"/>
    <w:rsid w:val="00164F1E"/>
    <w:rsid w:val="00165066"/>
    <w:rsid w:val="00165073"/>
    <w:rsid w:val="0016508E"/>
    <w:rsid w:val="00165135"/>
    <w:rsid w:val="00165199"/>
    <w:rsid w:val="00165235"/>
    <w:rsid w:val="00165321"/>
    <w:rsid w:val="0016533E"/>
    <w:rsid w:val="00165340"/>
    <w:rsid w:val="00165476"/>
    <w:rsid w:val="001654C1"/>
    <w:rsid w:val="0016556D"/>
    <w:rsid w:val="001655CE"/>
    <w:rsid w:val="001655D5"/>
    <w:rsid w:val="00165767"/>
    <w:rsid w:val="001657C9"/>
    <w:rsid w:val="00165833"/>
    <w:rsid w:val="001658E3"/>
    <w:rsid w:val="001659D4"/>
    <w:rsid w:val="00165A45"/>
    <w:rsid w:val="00165AE2"/>
    <w:rsid w:val="00165C18"/>
    <w:rsid w:val="00165C97"/>
    <w:rsid w:val="00165DC2"/>
    <w:rsid w:val="00165DDD"/>
    <w:rsid w:val="00165EA7"/>
    <w:rsid w:val="00165EA8"/>
    <w:rsid w:val="00165EB2"/>
    <w:rsid w:val="00165ED2"/>
    <w:rsid w:val="00165F75"/>
    <w:rsid w:val="00165F81"/>
    <w:rsid w:val="00165FCD"/>
    <w:rsid w:val="00165FE0"/>
    <w:rsid w:val="00166056"/>
    <w:rsid w:val="00166075"/>
    <w:rsid w:val="001660AB"/>
    <w:rsid w:val="001660B6"/>
    <w:rsid w:val="001660FD"/>
    <w:rsid w:val="00166183"/>
    <w:rsid w:val="0016620A"/>
    <w:rsid w:val="00166330"/>
    <w:rsid w:val="00166355"/>
    <w:rsid w:val="00166439"/>
    <w:rsid w:val="00166466"/>
    <w:rsid w:val="001664EB"/>
    <w:rsid w:val="001665F6"/>
    <w:rsid w:val="00166715"/>
    <w:rsid w:val="0016672E"/>
    <w:rsid w:val="001667AF"/>
    <w:rsid w:val="001667C5"/>
    <w:rsid w:val="00166857"/>
    <w:rsid w:val="00166883"/>
    <w:rsid w:val="00166885"/>
    <w:rsid w:val="001668AE"/>
    <w:rsid w:val="001668E0"/>
    <w:rsid w:val="001668E6"/>
    <w:rsid w:val="00166910"/>
    <w:rsid w:val="00166923"/>
    <w:rsid w:val="001669AB"/>
    <w:rsid w:val="001669B5"/>
    <w:rsid w:val="001669B8"/>
    <w:rsid w:val="00166A46"/>
    <w:rsid w:val="00166A79"/>
    <w:rsid w:val="00166B9B"/>
    <w:rsid w:val="00166C53"/>
    <w:rsid w:val="00166E18"/>
    <w:rsid w:val="00166F0E"/>
    <w:rsid w:val="00166F0F"/>
    <w:rsid w:val="00166F83"/>
    <w:rsid w:val="0016700E"/>
    <w:rsid w:val="00167085"/>
    <w:rsid w:val="001670B7"/>
    <w:rsid w:val="001670C5"/>
    <w:rsid w:val="00167118"/>
    <w:rsid w:val="001672DF"/>
    <w:rsid w:val="001674BC"/>
    <w:rsid w:val="001675C7"/>
    <w:rsid w:val="0016761F"/>
    <w:rsid w:val="00167693"/>
    <w:rsid w:val="00167729"/>
    <w:rsid w:val="0016777E"/>
    <w:rsid w:val="00167813"/>
    <w:rsid w:val="001678F8"/>
    <w:rsid w:val="0016791C"/>
    <w:rsid w:val="001679D1"/>
    <w:rsid w:val="00167A3D"/>
    <w:rsid w:val="00167AE4"/>
    <w:rsid w:val="00167C2F"/>
    <w:rsid w:val="00167C61"/>
    <w:rsid w:val="00167CAF"/>
    <w:rsid w:val="00167CB5"/>
    <w:rsid w:val="00167D2C"/>
    <w:rsid w:val="00167E64"/>
    <w:rsid w:val="00167E74"/>
    <w:rsid w:val="00167EE5"/>
    <w:rsid w:val="00167F26"/>
    <w:rsid w:val="00170017"/>
    <w:rsid w:val="0017003E"/>
    <w:rsid w:val="001700CA"/>
    <w:rsid w:val="00170172"/>
    <w:rsid w:val="0017029D"/>
    <w:rsid w:val="001702C6"/>
    <w:rsid w:val="001702D9"/>
    <w:rsid w:val="001702F6"/>
    <w:rsid w:val="0017031E"/>
    <w:rsid w:val="00170450"/>
    <w:rsid w:val="0017066E"/>
    <w:rsid w:val="001706AF"/>
    <w:rsid w:val="001706C0"/>
    <w:rsid w:val="00170789"/>
    <w:rsid w:val="001708A8"/>
    <w:rsid w:val="00170922"/>
    <w:rsid w:val="001709BA"/>
    <w:rsid w:val="00170A00"/>
    <w:rsid w:val="00170A0E"/>
    <w:rsid w:val="00170A57"/>
    <w:rsid w:val="00170AAE"/>
    <w:rsid w:val="00170AB6"/>
    <w:rsid w:val="00170C29"/>
    <w:rsid w:val="00170D94"/>
    <w:rsid w:val="00170EA9"/>
    <w:rsid w:val="00170EB8"/>
    <w:rsid w:val="00171030"/>
    <w:rsid w:val="0017103A"/>
    <w:rsid w:val="00171390"/>
    <w:rsid w:val="00171500"/>
    <w:rsid w:val="00171767"/>
    <w:rsid w:val="001717EE"/>
    <w:rsid w:val="00171953"/>
    <w:rsid w:val="00171B07"/>
    <w:rsid w:val="00171B5A"/>
    <w:rsid w:val="00171B77"/>
    <w:rsid w:val="00171BB5"/>
    <w:rsid w:val="00171C41"/>
    <w:rsid w:val="00171C7C"/>
    <w:rsid w:val="00171DA7"/>
    <w:rsid w:val="00171F24"/>
    <w:rsid w:val="00171F43"/>
    <w:rsid w:val="00171F62"/>
    <w:rsid w:val="00171F67"/>
    <w:rsid w:val="00171F7B"/>
    <w:rsid w:val="00171FD3"/>
    <w:rsid w:val="00171FEA"/>
    <w:rsid w:val="00172079"/>
    <w:rsid w:val="0017207E"/>
    <w:rsid w:val="001720BE"/>
    <w:rsid w:val="001720D9"/>
    <w:rsid w:val="00172150"/>
    <w:rsid w:val="001721B4"/>
    <w:rsid w:val="001723F1"/>
    <w:rsid w:val="00172407"/>
    <w:rsid w:val="001724F7"/>
    <w:rsid w:val="00172544"/>
    <w:rsid w:val="00172589"/>
    <w:rsid w:val="001727BD"/>
    <w:rsid w:val="00172800"/>
    <w:rsid w:val="0017285D"/>
    <w:rsid w:val="001728CD"/>
    <w:rsid w:val="0017292B"/>
    <w:rsid w:val="00172A9C"/>
    <w:rsid w:val="00172AA2"/>
    <w:rsid w:val="00172BA3"/>
    <w:rsid w:val="00172C88"/>
    <w:rsid w:val="00172CC8"/>
    <w:rsid w:val="00172ECD"/>
    <w:rsid w:val="00172EDB"/>
    <w:rsid w:val="0017315F"/>
    <w:rsid w:val="001731A4"/>
    <w:rsid w:val="00173364"/>
    <w:rsid w:val="00173398"/>
    <w:rsid w:val="001734D8"/>
    <w:rsid w:val="00173501"/>
    <w:rsid w:val="00173502"/>
    <w:rsid w:val="0017359F"/>
    <w:rsid w:val="00173686"/>
    <w:rsid w:val="001737F8"/>
    <w:rsid w:val="0017388A"/>
    <w:rsid w:val="00173952"/>
    <w:rsid w:val="001739B4"/>
    <w:rsid w:val="00173A34"/>
    <w:rsid w:val="00173A70"/>
    <w:rsid w:val="00173A81"/>
    <w:rsid w:val="00173AB1"/>
    <w:rsid w:val="00173AD4"/>
    <w:rsid w:val="00173BA4"/>
    <w:rsid w:val="00173C7F"/>
    <w:rsid w:val="00173D51"/>
    <w:rsid w:val="00173DF2"/>
    <w:rsid w:val="00173E49"/>
    <w:rsid w:val="00173F34"/>
    <w:rsid w:val="00174091"/>
    <w:rsid w:val="0017409F"/>
    <w:rsid w:val="00174278"/>
    <w:rsid w:val="001743DA"/>
    <w:rsid w:val="001743DE"/>
    <w:rsid w:val="001744DB"/>
    <w:rsid w:val="001745E9"/>
    <w:rsid w:val="0017465F"/>
    <w:rsid w:val="0017468E"/>
    <w:rsid w:val="001746D0"/>
    <w:rsid w:val="00174720"/>
    <w:rsid w:val="001747AF"/>
    <w:rsid w:val="001748A3"/>
    <w:rsid w:val="001748DE"/>
    <w:rsid w:val="0017496F"/>
    <w:rsid w:val="0017497E"/>
    <w:rsid w:val="001749B7"/>
    <w:rsid w:val="00174A4E"/>
    <w:rsid w:val="00174AE3"/>
    <w:rsid w:val="00174AE8"/>
    <w:rsid w:val="00174B1D"/>
    <w:rsid w:val="00174B33"/>
    <w:rsid w:val="00174D45"/>
    <w:rsid w:val="00174E90"/>
    <w:rsid w:val="00174EF7"/>
    <w:rsid w:val="0017524E"/>
    <w:rsid w:val="001752B5"/>
    <w:rsid w:val="001752F3"/>
    <w:rsid w:val="00175337"/>
    <w:rsid w:val="00175353"/>
    <w:rsid w:val="001755BD"/>
    <w:rsid w:val="0017567C"/>
    <w:rsid w:val="001756C2"/>
    <w:rsid w:val="0017576D"/>
    <w:rsid w:val="001757AA"/>
    <w:rsid w:val="0017588F"/>
    <w:rsid w:val="001758F6"/>
    <w:rsid w:val="00175993"/>
    <w:rsid w:val="001759B8"/>
    <w:rsid w:val="001759CC"/>
    <w:rsid w:val="001759E3"/>
    <w:rsid w:val="00175A66"/>
    <w:rsid w:val="00175AB9"/>
    <w:rsid w:val="00175B71"/>
    <w:rsid w:val="00175C40"/>
    <w:rsid w:val="00175C58"/>
    <w:rsid w:val="00175C59"/>
    <w:rsid w:val="0017604F"/>
    <w:rsid w:val="0017606C"/>
    <w:rsid w:val="001760D8"/>
    <w:rsid w:val="001760E5"/>
    <w:rsid w:val="0017610E"/>
    <w:rsid w:val="001761A2"/>
    <w:rsid w:val="0017620F"/>
    <w:rsid w:val="00176211"/>
    <w:rsid w:val="00176218"/>
    <w:rsid w:val="001762FE"/>
    <w:rsid w:val="00176355"/>
    <w:rsid w:val="0017659E"/>
    <w:rsid w:val="001765FB"/>
    <w:rsid w:val="0017668A"/>
    <w:rsid w:val="001766AB"/>
    <w:rsid w:val="00176861"/>
    <w:rsid w:val="001768A2"/>
    <w:rsid w:val="001768AE"/>
    <w:rsid w:val="00176954"/>
    <w:rsid w:val="00176A31"/>
    <w:rsid w:val="00176A72"/>
    <w:rsid w:val="00176AE9"/>
    <w:rsid w:val="00176C15"/>
    <w:rsid w:val="00176CB6"/>
    <w:rsid w:val="00176CE7"/>
    <w:rsid w:val="00176D0E"/>
    <w:rsid w:val="00176DC2"/>
    <w:rsid w:val="00176E32"/>
    <w:rsid w:val="00176E74"/>
    <w:rsid w:val="00176F01"/>
    <w:rsid w:val="00177037"/>
    <w:rsid w:val="00177185"/>
    <w:rsid w:val="00177318"/>
    <w:rsid w:val="0017735F"/>
    <w:rsid w:val="00177455"/>
    <w:rsid w:val="00177563"/>
    <w:rsid w:val="00177682"/>
    <w:rsid w:val="001776B8"/>
    <w:rsid w:val="00177864"/>
    <w:rsid w:val="0017786B"/>
    <w:rsid w:val="001778AF"/>
    <w:rsid w:val="00177A8E"/>
    <w:rsid w:val="00177A96"/>
    <w:rsid w:val="00177A9F"/>
    <w:rsid w:val="00177B5E"/>
    <w:rsid w:val="00177EE2"/>
    <w:rsid w:val="00177F23"/>
    <w:rsid w:val="00177F7F"/>
    <w:rsid w:val="00177FA5"/>
    <w:rsid w:val="001800BB"/>
    <w:rsid w:val="001800E0"/>
    <w:rsid w:val="001802C9"/>
    <w:rsid w:val="0018036F"/>
    <w:rsid w:val="00180571"/>
    <w:rsid w:val="0018058F"/>
    <w:rsid w:val="00180660"/>
    <w:rsid w:val="00180760"/>
    <w:rsid w:val="0018098F"/>
    <w:rsid w:val="001809CC"/>
    <w:rsid w:val="001809D2"/>
    <w:rsid w:val="00180A27"/>
    <w:rsid w:val="00180A8F"/>
    <w:rsid w:val="00180B0A"/>
    <w:rsid w:val="00180B4C"/>
    <w:rsid w:val="00180C1C"/>
    <w:rsid w:val="00180D80"/>
    <w:rsid w:val="00180DBB"/>
    <w:rsid w:val="00180DDA"/>
    <w:rsid w:val="00180DDC"/>
    <w:rsid w:val="00180ED7"/>
    <w:rsid w:val="00180FA1"/>
    <w:rsid w:val="00180FD2"/>
    <w:rsid w:val="00181026"/>
    <w:rsid w:val="0018109C"/>
    <w:rsid w:val="0018113C"/>
    <w:rsid w:val="001811B9"/>
    <w:rsid w:val="00181278"/>
    <w:rsid w:val="001812A1"/>
    <w:rsid w:val="001812B4"/>
    <w:rsid w:val="00181359"/>
    <w:rsid w:val="0018135B"/>
    <w:rsid w:val="00181367"/>
    <w:rsid w:val="001813A1"/>
    <w:rsid w:val="001813D3"/>
    <w:rsid w:val="001813D4"/>
    <w:rsid w:val="001813F1"/>
    <w:rsid w:val="00181411"/>
    <w:rsid w:val="001814D4"/>
    <w:rsid w:val="001814F5"/>
    <w:rsid w:val="001814F9"/>
    <w:rsid w:val="001814FE"/>
    <w:rsid w:val="0018156B"/>
    <w:rsid w:val="0018156E"/>
    <w:rsid w:val="0018158B"/>
    <w:rsid w:val="00181643"/>
    <w:rsid w:val="001816CA"/>
    <w:rsid w:val="00181865"/>
    <w:rsid w:val="0018195D"/>
    <w:rsid w:val="001819EE"/>
    <w:rsid w:val="00181A44"/>
    <w:rsid w:val="00181AC5"/>
    <w:rsid w:val="00181AED"/>
    <w:rsid w:val="00181B84"/>
    <w:rsid w:val="00181E49"/>
    <w:rsid w:val="00181E84"/>
    <w:rsid w:val="00181F71"/>
    <w:rsid w:val="00181F85"/>
    <w:rsid w:val="0018211C"/>
    <w:rsid w:val="0018218D"/>
    <w:rsid w:val="001821CE"/>
    <w:rsid w:val="0018227F"/>
    <w:rsid w:val="00182340"/>
    <w:rsid w:val="00182345"/>
    <w:rsid w:val="00182383"/>
    <w:rsid w:val="0018239B"/>
    <w:rsid w:val="00182557"/>
    <w:rsid w:val="0018255B"/>
    <w:rsid w:val="0018264F"/>
    <w:rsid w:val="001826AB"/>
    <w:rsid w:val="00182710"/>
    <w:rsid w:val="00182725"/>
    <w:rsid w:val="0018272A"/>
    <w:rsid w:val="001827BB"/>
    <w:rsid w:val="001828C0"/>
    <w:rsid w:val="001828C7"/>
    <w:rsid w:val="00182B6D"/>
    <w:rsid w:val="00182B98"/>
    <w:rsid w:val="00182BBA"/>
    <w:rsid w:val="00182C0A"/>
    <w:rsid w:val="00182D55"/>
    <w:rsid w:val="00182D7E"/>
    <w:rsid w:val="00182EAD"/>
    <w:rsid w:val="00182EE4"/>
    <w:rsid w:val="00182F09"/>
    <w:rsid w:val="00182F0A"/>
    <w:rsid w:val="00182F0F"/>
    <w:rsid w:val="0018302E"/>
    <w:rsid w:val="0018304B"/>
    <w:rsid w:val="00183160"/>
    <w:rsid w:val="00183161"/>
    <w:rsid w:val="001832F2"/>
    <w:rsid w:val="00183327"/>
    <w:rsid w:val="001833A1"/>
    <w:rsid w:val="00183434"/>
    <w:rsid w:val="0018367D"/>
    <w:rsid w:val="0018367E"/>
    <w:rsid w:val="00183722"/>
    <w:rsid w:val="00183725"/>
    <w:rsid w:val="0018380F"/>
    <w:rsid w:val="0018384B"/>
    <w:rsid w:val="00183888"/>
    <w:rsid w:val="00183939"/>
    <w:rsid w:val="00183981"/>
    <w:rsid w:val="001839CC"/>
    <w:rsid w:val="001839F3"/>
    <w:rsid w:val="001839FA"/>
    <w:rsid w:val="00183A3A"/>
    <w:rsid w:val="00183C17"/>
    <w:rsid w:val="00183DD0"/>
    <w:rsid w:val="00183E2F"/>
    <w:rsid w:val="00183E5E"/>
    <w:rsid w:val="00183E74"/>
    <w:rsid w:val="00183EC5"/>
    <w:rsid w:val="00183F19"/>
    <w:rsid w:val="00183F43"/>
    <w:rsid w:val="00183FD2"/>
    <w:rsid w:val="00184046"/>
    <w:rsid w:val="0018408D"/>
    <w:rsid w:val="00184163"/>
    <w:rsid w:val="001843C3"/>
    <w:rsid w:val="0018444E"/>
    <w:rsid w:val="0018459B"/>
    <w:rsid w:val="001847A5"/>
    <w:rsid w:val="00184AE9"/>
    <w:rsid w:val="00184BEE"/>
    <w:rsid w:val="00184C3E"/>
    <w:rsid w:val="00184C9A"/>
    <w:rsid w:val="00184CC5"/>
    <w:rsid w:val="00184CDA"/>
    <w:rsid w:val="00184D52"/>
    <w:rsid w:val="00184DB0"/>
    <w:rsid w:val="00184FD4"/>
    <w:rsid w:val="00185014"/>
    <w:rsid w:val="0018513B"/>
    <w:rsid w:val="00185179"/>
    <w:rsid w:val="0018523E"/>
    <w:rsid w:val="0018523F"/>
    <w:rsid w:val="00185361"/>
    <w:rsid w:val="001853D6"/>
    <w:rsid w:val="00185419"/>
    <w:rsid w:val="00185660"/>
    <w:rsid w:val="00185690"/>
    <w:rsid w:val="001856D9"/>
    <w:rsid w:val="001857C5"/>
    <w:rsid w:val="00185823"/>
    <w:rsid w:val="0018584B"/>
    <w:rsid w:val="001858AE"/>
    <w:rsid w:val="00185AB5"/>
    <w:rsid w:val="00185ACC"/>
    <w:rsid w:val="00185CCC"/>
    <w:rsid w:val="00185D97"/>
    <w:rsid w:val="00185F36"/>
    <w:rsid w:val="00185FFF"/>
    <w:rsid w:val="0018601B"/>
    <w:rsid w:val="00186133"/>
    <w:rsid w:val="0018617C"/>
    <w:rsid w:val="00186251"/>
    <w:rsid w:val="0018637D"/>
    <w:rsid w:val="00186434"/>
    <w:rsid w:val="0018662E"/>
    <w:rsid w:val="00186646"/>
    <w:rsid w:val="00186756"/>
    <w:rsid w:val="0018679D"/>
    <w:rsid w:val="001869F2"/>
    <w:rsid w:val="00186A23"/>
    <w:rsid w:val="00186A54"/>
    <w:rsid w:val="00186B60"/>
    <w:rsid w:val="00186C17"/>
    <w:rsid w:val="00186ED5"/>
    <w:rsid w:val="00186EF1"/>
    <w:rsid w:val="00186EFE"/>
    <w:rsid w:val="00186F5B"/>
    <w:rsid w:val="00186F87"/>
    <w:rsid w:val="00187042"/>
    <w:rsid w:val="00187084"/>
    <w:rsid w:val="00187088"/>
    <w:rsid w:val="001870EC"/>
    <w:rsid w:val="00187108"/>
    <w:rsid w:val="00187129"/>
    <w:rsid w:val="00187131"/>
    <w:rsid w:val="00187288"/>
    <w:rsid w:val="001872C0"/>
    <w:rsid w:val="00187342"/>
    <w:rsid w:val="001873B1"/>
    <w:rsid w:val="0018748C"/>
    <w:rsid w:val="00187631"/>
    <w:rsid w:val="001876A9"/>
    <w:rsid w:val="00187713"/>
    <w:rsid w:val="00187877"/>
    <w:rsid w:val="00187910"/>
    <w:rsid w:val="00187959"/>
    <w:rsid w:val="0018795E"/>
    <w:rsid w:val="001879B3"/>
    <w:rsid w:val="001879E3"/>
    <w:rsid w:val="00187A8D"/>
    <w:rsid w:val="00187BBA"/>
    <w:rsid w:val="00187BE4"/>
    <w:rsid w:val="00187C2F"/>
    <w:rsid w:val="00187C3D"/>
    <w:rsid w:val="00187C65"/>
    <w:rsid w:val="00187D73"/>
    <w:rsid w:val="00187DE6"/>
    <w:rsid w:val="00187DFD"/>
    <w:rsid w:val="00187F78"/>
    <w:rsid w:val="00187FAF"/>
    <w:rsid w:val="00187FD0"/>
    <w:rsid w:val="00190189"/>
    <w:rsid w:val="0019022C"/>
    <w:rsid w:val="001902B6"/>
    <w:rsid w:val="001902D6"/>
    <w:rsid w:val="001904F1"/>
    <w:rsid w:val="00190551"/>
    <w:rsid w:val="001905A9"/>
    <w:rsid w:val="00190711"/>
    <w:rsid w:val="001907E5"/>
    <w:rsid w:val="00190832"/>
    <w:rsid w:val="00190871"/>
    <w:rsid w:val="00190B94"/>
    <w:rsid w:val="00190BD0"/>
    <w:rsid w:val="00190BE8"/>
    <w:rsid w:val="00190C74"/>
    <w:rsid w:val="00190C76"/>
    <w:rsid w:val="00190C95"/>
    <w:rsid w:val="00190D6F"/>
    <w:rsid w:val="00190DB7"/>
    <w:rsid w:val="00190EFA"/>
    <w:rsid w:val="00190FBA"/>
    <w:rsid w:val="00190FE6"/>
    <w:rsid w:val="001910E6"/>
    <w:rsid w:val="001910F4"/>
    <w:rsid w:val="00191195"/>
    <w:rsid w:val="0019127E"/>
    <w:rsid w:val="001912EA"/>
    <w:rsid w:val="00191364"/>
    <w:rsid w:val="00191372"/>
    <w:rsid w:val="001913C5"/>
    <w:rsid w:val="001913F4"/>
    <w:rsid w:val="001913F9"/>
    <w:rsid w:val="00191692"/>
    <w:rsid w:val="0019171B"/>
    <w:rsid w:val="00191731"/>
    <w:rsid w:val="001917C6"/>
    <w:rsid w:val="001917FF"/>
    <w:rsid w:val="0019182C"/>
    <w:rsid w:val="00191830"/>
    <w:rsid w:val="001918A7"/>
    <w:rsid w:val="001918AC"/>
    <w:rsid w:val="0019192F"/>
    <w:rsid w:val="001919B5"/>
    <w:rsid w:val="00191A2A"/>
    <w:rsid w:val="00191A48"/>
    <w:rsid w:val="00191AB4"/>
    <w:rsid w:val="00191AB6"/>
    <w:rsid w:val="00191AD6"/>
    <w:rsid w:val="00191AF8"/>
    <w:rsid w:val="00191BD8"/>
    <w:rsid w:val="00191BDC"/>
    <w:rsid w:val="00191C6B"/>
    <w:rsid w:val="00191D43"/>
    <w:rsid w:val="00191D72"/>
    <w:rsid w:val="00191D75"/>
    <w:rsid w:val="00191E17"/>
    <w:rsid w:val="001921DE"/>
    <w:rsid w:val="00192235"/>
    <w:rsid w:val="0019226F"/>
    <w:rsid w:val="0019234E"/>
    <w:rsid w:val="00192457"/>
    <w:rsid w:val="001926BA"/>
    <w:rsid w:val="0019277E"/>
    <w:rsid w:val="001928FB"/>
    <w:rsid w:val="00192934"/>
    <w:rsid w:val="00192963"/>
    <w:rsid w:val="001929F1"/>
    <w:rsid w:val="00192A9C"/>
    <w:rsid w:val="00192AEA"/>
    <w:rsid w:val="00192B14"/>
    <w:rsid w:val="00192CB1"/>
    <w:rsid w:val="00192D6E"/>
    <w:rsid w:val="00192D8B"/>
    <w:rsid w:val="00192D8D"/>
    <w:rsid w:val="00192DB5"/>
    <w:rsid w:val="00192DF1"/>
    <w:rsid w:val="00192E16"/>
    <w:rsid w:val="00192E59"/>
    <w:rsid w:val="00193082"/>
    <w:rsid w:val="001930C3"/>
    <w:rsid w:val="001930C7"/>
    <w:rsid w:val="001930E5"/>
    <w:rsid w:val="00193119"/>
    <w:rsid w:val="00193256"/>
    <w:rsid w:val="001932E7"/>
    <w:rsid w:val="001933CC"/>
    <w:rsid w:val="001933CE"/>
    <w:rsid w:val="0019343F"/>
    <w:rsid w:val="001934A2"/>
    <w:rsid w:val="001934A3"/>
    <w:rsid w:val="001934E2"/>
    <w:rsid w:val="001934EA"/>
    <w:rsid w:val="00193556"/>
    <w:rsid w:val="001935CF"/>
    <w:rsid w:val="00193717"/>
    <w:rsid w:val="00193740"/>
    <w:rsid w:val="00193756"/>
    <w:rsid w:val="00193808"/>
    <w:rsid w:val="00193845"/>
    <w:rsid w:val="00193860"/>
    <w:rsid w:val="00193930"/>
    <w:rsid w:val="00193990"/>
    <w:rsid w:val="00193ABD"/>
    <w:rsid w:val="00193B59"/>
    <w:rsid w:val="00193D87"/>
    <w:rsid w:val="00193E0D"/>
    <w:rsid w:val="00193FA3"/>
    <w:rsid w:val="001941C0"/>
    <w:rsid w:val="001942AC"/>
    <w:rsid w:val="001943CD"/>
    <w:rsid w:val="001943E5"/>
    <w:rsid w:val="00194537"/>
    <w:rsid w:val="00194567"/>
    <w:rsid w:val="00194600"/>
    <w:rsid w:val="00194661"/>
    <w:rsid w:val="00194670"/>
    <w:rsid w:val="00194676"/>
    <w:rsid w:val="001947E8"/>
    <w:rsid w:val="001947F4"/>
    <w:rsid w:val="00194836"/>
    <w:rsid w:val="00194851"/>
    <w:rsid w:val="00194A2D"/>
    <w:rsid w:val="00194A6C"/>
    <w:rsid w:val="00194B49"/>
    <w:rsid w:val="00194B6A"/>
    <w:rsid w:val="00194C2D"/>
    <w:rsid w:val="00194CA2"/>
    <w:rsid w:val="00194D88"/>
    <w:rsid w:val="00194E6C"/>
    <w:rsid w:val="00194EF2"/>
    <w:rsid w:val="00194FD3"/>
    <w:rsid w:val="001950D4"/>
    <w:rsid w:val="001950FA"/>
    <w:rsid w:val="0019512D"/>
    <w:rsid w:val="00195276"/>
    <w:rsid w:val="001952B6"/>
    <w:rsid w:val="00195340"/>
    <w:rsid w:val="00195553"/>
    <w:rsid w:val="00195620"/>
    <w:rsid w:val="001956B1"/>
    <w:rsid w:val="0019576A"/>
    <w:rsid w:val="0019577D"/>
    <w:rsid w:val="00195799"/>
    <w:rsid w:val="00195819"/>
    <w:rsid w:val="00195AAA"/>
    <w:rsid w:val="00195B00"/>
    <w:rsid w:val="00195B7D"/>
    <w:rsid w:val="00195B8A"/>
    <w:rsid w:val="00195C17"/>
    <w:rsid w:val="00195C4C"/>
    <w:rsid w:val="00195E21"/>
    <w:rsid w:val="00195E38"/>
    <w:rsid w:val="00195E5D"/>
    <w:rsid w:val="00195E99"/>
    <w:rsid w:val="00195FB4"/>
    <w:rsid w:val="00195FC1"/>
    <w:rsid w:val="00196003"/>
    <w:rsid w:val="00196025"/>
    <w:rsid w:val="001961E6"/>
    <w:rsid w:val="00196264"/>
    <w:rsid w:val="00196357"/>
    <w:rsid w:val="0019664D"/>
    <w:rsid w:val="0019667E"/>
    <w:rsid w:val="001966AD"/>
    <w:rsid w:val="0019674F"/>
    <w:rsid w:val="0019684D"/>
    <w:rsid w:val="00196868"/>
    <w:rsid w:val="001968FD"/>
    <w:rsid w:val="00196958"/>
    <w:rsid w:val="00196986"/>
    <w:rsid w:val="00196991"/>
    <w:rsid w:val="001969A1"/>
    <w:rsid w:val="00196A6D"/>
    <w:rsid w:val="00196AAA"/>
    <w:rsid w:val="00196BE5"/>
    <w:rsid w:val="00196C21"/>
    <w:rsid w:val="00196C96"/>
    <w:rsid w:val="00196CD9"/>
    <w:rsid w:val="00196D58"/>
    <w:rsid w:val="00196DA9"/>
    <w:rsid w:val="00196DDF"/>
    <w:rsid w:val="00196E84"/>
    <w:rsid w:val="00196E9A"/>
    <w:rsid w:val="00196E9D"/>
    <w:rsid w:val="00196EAA"/>
    <w:rsid w:val="00196EE5"/>
    <w:rsid w:val="00196F2D"/>
    <w:rsid w:val="0019707A"/>
    <w:rsid w:val="001970D3"/>
    <w:rsid w:val="001970FB"/>
    <w:rsid w:val="0019717D"/>
    <w:rsid w:val="001971D8"/>
    <w:rsid w:val="00197245"/>
    <w:rsid w:val="00197280"/>
    <w:rsid w:val="00197294"/>
    <w:rsid w:val="00197393"/>
    <w:rsid w:val="001973B4"/>
    <w:rsid w:val="001974AC"/>
    <w:rsid w:val="001974BE"/>
    <w:rsid w:val="001974CE"/>
    <w:rsid w:val="00197568"/>
    <w:rsid w:val="00197606"/>
    <w:rsid w:val="001976E9"/>
    <w:rsid w:val="001977E5"/>
    <w:rsid w:val="00197817"/>
    <w:rsid w:val="00197926"/>
    <w:rsid w:val="0019799D"/>
    <w:rsid w:val="001979FE"/>
    <w:rsid w:val="00197A47"/>
    <w:rsid w:val="00197A90"/>
    <w:rsid w:val="00197B38"/>
    <w:rsid w:val="00197BBF"/>
    <w:rsid w:val="00197BC1"/>
    <w:rsid w:val="00197F08"/>
    <w:rsid w:val="001A026D"/>
    <w:rsid w:val="001A029A"/>
    <w:rsid w:val="001A02FF"/>
    <w:rsid w:val="001A0329"/>
    <w:rsid w:val="001A0343"/>
    <w:rsid w:val="001A0346"/>
    <w:rsid w:val="001A0481"/>
    <w:rsid w:val="001A04CD"/>
    <w:rsid w:val="001A04F7"/>
    <w:rsid w:val="001A0536"/>
    <w:rsid w:val="001A055F"/>
    <w:rsid w:val="001A05BD"/>
    <w:rsid w:val="001A0662"/>
    <w:rsid w:val="001A069C"/>
    <w:rsid w:val="001A072C"/>
    <w:rsid w:val="001A0913"/>
    <w:rsid w:val="001A094E"/>
    <w:rsid w:val="001A09AF"/>
    <w:rsid w:val="001A09BD"/>
    <w:rsid w:val="001A0A7C"/>
    <w:rsid w:val="001A0C6F"/>
    <w:rsid w:val="001A0D2E"/>
    <w:rsid w:val="001A0D60"/>
    <w:rsid w:val="001A0E40"/>
    <w:rsid w:val="001A0EA7"/>
    <w:rsid w:val="001A0EA8"/>
    <w:rsid w:val="001A10D0"/>
    <w:rsid w:val="001A12D6"/>
    <w:rsid w:val="001A1335"/>
    <w:rsid w:val="001A134A"/>
    <w:rsid w:val="001A1408"/>
    <w:rsid w:val="001A153E"/>
    <w:rsid w:val="001A15E3"/>
    <w:rsid w:val="001A1661"/>
    <w:rsid w:val="001A1701"/>
    <w:rsid w:val="001A1744"/>
    <w:rsid w:val="001A17DE"/>
    <w:rsid w:val="001A17F5"/>
    <w:rsid w:val="001A1809"/>
    <w:rsid w:val="001A1A0F"/>
    <w:rsid w:val="001A1AFA"/>
    <w:rsid w:val="001A1B97"/>
    <w:rsid w:val="001A1DF1"/>
    <w:rsid w:val="001A1F48"/>
    <w:rsid w:val="001A20A7"/>
    <w:rsid w:val="001A214D"/>
    <w:rsid w:val="001A21A5"/>
    <w:rsid w:val="001A2283"/>
    <w:rsid w:val="001A22BD"/>
    <w:rsid w:val="001A23ED"/>
    <w:rsid w:val="001A24BA"/>
    <w:rsid w:val="001A25B6"/>
    <w:rsid w:val="001A26CB"/>
    <w:rsid w:val="001A2A0C"/>
    <w:rsid w:val="001A2B63"/>
    <w:rsid w:val="001A2C50"/>
    <w:rsid w:val="001A2C95"/>
    <w:rsid w:val="001A2CD9"/>
    <w:rsid w:val="001A2D56"/>
    <w:rsid w:val="001A2DD5"/>
    <w:rsid w:val="001A2E65"/>
    <w:rsid w:val="001A2F1A"/>
    <w:rsid w:val="001A2F4A"/>
    <w:rsid w:val="001A2F93"/>
    <w:rsid w:val="001A2FB8"/>
    <w:rsid w:val="001A30CD"/>
    <w:rsid w:val="001A3146"/>
    <w:rsid w:val="001A31FC"/>
    <w:rsid w:val="001A3394"/>
    <w:rsid w:val="001A3473"/>
    <w:rsid w:val="001A354A"/>
    <w:rsid w:val="001A366C"/>
    <w:rsid w:val="001A37E7"/>
    <w:rsid w:val="001A3822"/>
    <w:rsid w:val="001A3A63"/>
    <w:rsid w:val="001A3BC7"/>
    <w:rsid w:val="001A3BF8"/>
    <w:rsid w:val="001A3C78"/>
    <w:rsid w:val="001A3CBD"/>
    <w:rsid w:val="001A3DA8"/>
    <w:rsid w:val="001A3EA0"/>
    <w:rsid w:val="001A3EB7"/>
    <w:rsid w:val="001A3FBC"/>
    <w:rsid w:val="001A3FDB"/>
    <w:rsid w:val="001A403E"/>
    <w:rsid w:val="001A4114"/>
    <w:rsid w:val="001A4146"/>
    <w:rsid w:val="001A41B5"/>
    <w:rsid w:val="001A422F"/>
    <w:rsid w:val="001A42C8"/>
    <w:rsid w:val="001A42E6"/>
    <w:rsid w:val="001A42E7"/>
    <w:rsid w:val="001A432D"/>
    <w:rsid w:val="001A4578"/>
    <w:rsid w:val="001A45B5"/>
    <w:rsid w:val="001A45E6"/>
    <w:rsid w:val="001A462A"/>
    <w:rsid w:val="001A46A0"/>
    <w:rsid w:val="001A4765"/>
    <w:rsid w:val="001A477F"/>
    <w:rsid w:val="001A47A3"/>
    <w:rsid w:val="001A4842"/>
    <w:rsid w:val="001A48CC"/>
    <w:rsid w:val="001A48FF"/>
    <w:rsid w:val="001A4900"/>
    <w:rsid w:val="001A495D"/>
    <w:rsid w:val="001A4C43"/>
    <w:rsid w:val="001A4D32"/>
    <w:rsid w:val="001A4D95"/>
    <w:rsid w:val="001A4E15"/>
    <w:rsid w:val="001A4E98"/>
    <w:rsid w:val="001A4F01"/>
    <w:rsid w:val="001A4F62"/>
    <w:rsid w:val="001A4F6C"/>
    <w:rsid w:val="001A4F8E"/>
    <w:rsid w:val="001A5112"/>
    <w:rsid w:val="001A516A"/>
    <w:rsid w:val="001A5185"/>
    <w:rsid w:val="001A52BE"/>
    <w:rsid w:val="001A53A2"/>
    <w:rsid w:val="001A5421"/>
    <w:rsid w:val="001A5451"/>
    <w:rsid w:val="001A545F"/>
    <w:rsid w:val="001A5588"/>
    <w:rsid w:val="001A5616"/>
    <w:rsid w:val="001A5630"/>
    <w:rsid w:val="001A568B"/>
    <w:rsid w:val="001A568E"/>
    <w:rsid w:val="001A5698"/>
    <w:rsid w:val="001A56EB"/>
    <w:rsid w:val="001A5702"/>
    <w:rsid w:val="001A5755"/>
    <w:rsid w:val="001A58E6"/>
    <w:rsid w:val="001A5914"/>
    <w:rsid w:val="001A59A4"/>
    <w:rsid w:val="001A5B15"/>
    <w:rsid w:val="001A5B8F"/>
    <w:rsid w:val="001A5BCC"/>
    <w:rsid w:val="001A5C4C"/>
    <w:rsid w:val="001A5C5C"/>
    <w:rsid w:val="001A5D3B"/>
    <w:rsid w:val="001A5D65"/>
    <w:rsid w:val="001A5D74"/>
    <w:rsid w:val="001A5E37"/>
    <w:rsid w:val="001A5E41"/>
    <w:rsid w:val="001A5F96"/>
    <w:rsid w:val="001A6058"/>
    <w:rsid w:val="001A60DC"/>
    <w:rsid w:val="001A60DF"/>
    <w:rsid w:val="001A6129"/>
    <w:rsid w:val="001A61C0"/>
    <w:rsid w:val="001A63C4"/>
    <w:rsid w:val="001A6617"/>
    <w:rsid w:val="001A663E"/>
    <w:rsid w:val="001A668D"/>
    <w:rsid w:val="001A670B"/>
    <w:rsid w:val="001A674A"/>
    <w:rsid w:val="001A67F0"/>
    <w:rsid w:val="001A6A3B"/>
    <w:rsid w:val="001A6AD7"/>
    <w:rsid w:val="001A6B2E"/>
    <w:rsid w:val="001A6B90"/>
    <w:rsid w:val="001A6C02"/>
    <w:rsid w:val="001A702C"/>
    <w:rsid w:val="001A706F"/>
    <w:rsid w:val="001A70BB"/>
    <w:rsid w:val="001A7128"/>
    <w:rsid w:val="001A7283"/>
    <w:rsid w:val="001A736C"/>
    <w:rsid w:val="001A7410"/>
    <w:rsid w:val="001A7437"/>
    <w:rsid w:val="001A7494"/>
    <w:rsid w:val="001A75D9"/>
    <w:rsid w:val="001A75F2"/>
    <w:rsid w:val="001A7739"/>
    <w:rsid w:val="001A77B2"/>
    <w:rsid w:val="001A7990"/>
    <w:rsid w:val="001A79D3"/>
    <w:rsid w:val="001A7A01"/>
    <w:rsid w:val="001A7A3D"/>
    <w:rsid w:val="001A7A7E"/>
    <w:rsid w:val="001A7B66"/>
    <w:rsid w:val="001A7BE5"/>
    <w:rsid w:val="001A7C5B"/>
    <w:rsid w:val="001A7C65"/>
    <w:rsid w:val="001A7C6D"/>
    <w:rsid w:val="001A7CF2"/>
    <w:rsid w:val="001A7D72"/>
    <w:rsid w:val="001A7EAB"/>
    <w:rsid w:val="001A7FA1"/>
    <w:rsid w:val="001B007C"/>
    <w:rsid w:val="001B0122"/>
    <w:rsid w:val="001B016F"/>
    <w:rsid w:val="001B02DB"/>
    <w:rsid w:val="001B0354"/>
    <w:rsid w:val="001B04BC"/>
    <w:rsid w:val="001B0728"/>
    <w:rsid w:val="001B094B"/>
    <w:rsid w:val="001B0970"/>
    <w:rsid w:val="001B09A8"/>
    <w:rsid w:val="001B0A8C"/>
    <w:rsid w:val="001B0ABD"/>
    <w:rsid w:val="001B0B01"/>
    <w:rsid w:val="001B0B14"/>
    <w:rsid w:val="001B0B79"/>
    <w:rsid w:val="001B0B7A"/>
    <w:rsid w:val="001B0B83"/>
    <w:rsid w:val="001B0BB0"/>
    <w:rsid w:val="001B0C2B"/>
    <w:rsid w:val="001B0D91"/>
    <w:rsid w:val="001B0ED7"/>
    <w:rsid w:val="001B0F7F"/>
    <w:rsid w:val="001B0FAE"/>
    <w:rsid w:val="001B1029"/>
    <w:rsid w:val="001B104E"/>
    <w:rsid w:val="001B1077"/>
    <w:rsid w:val="001B111B"/>
    <w:rsid w:val="001B1231"/>
    <w:rsid w:val="001B130B"/>
    <w:rsid w:val="001B135B"/>
    <w:rsid w:val="001B13E7"/>
    <w:rsid w:val="001B14A1"/>
    <w:rsid w:val="001B151F"/>
    <w:rsid w:val="001B1613"/>
    <w:rsid w:val="001B1636"/>
    <w:rsid w:val="001B1799"/>
    <w:rsid w:val="001B17EF"/>
    <w:rsid w:val="001B185C"/>
    <w:rsid w:val="001B1890"/>
    <w:rsid w:val="001B18AA"/>
    <w:rsid w:val="001B19A5"/>
    <w:rsid w:val="001B19DB"/>
    <w:rsid w:val="001B1A10"/>
    <w:rsid w:val="001B1AA3"/>
    <w:rsid w:val="001B1CB7"/>
    <w:rsid w:val="001B1CF7"/>
    <w:rsid w:val="001B1E00"/>
    <w:rsid w:val="001B1E83"/>
    <w:rsid w:val="001B1F33"/>
    <w:rsid w:val="001B1F4B"/>
    <w:rsid w:val="001B1F5C"/>
    <w:rsid w:val="001B2005"/>
    <w:rsid w:val="001B219F"/>
    <w:rsid w:val="001B21E9"/>
    <w:rsid w:val="001B2266"/>
    <w:rsid w:val="001B2299"/>
    <w:rsid w:val="001B22A8"/>
    <w:rsid w:val="001B2376"/>
    <w:rsid w:val="001B23C7"/>
    <w:rsid w:val="001B240B"/>
    <w:rsid w:val="001B2435"/>
    <w:rsid w:val="001B247A"/>
    <w:rsid w:val="001B24C2"/>
    <w:rsid w:val="001B24F3"/>
    <w:rsid w:val="001B2532"/>
    <w:rsid w:val="001B2560"/>
    <w:rsid w:val="001B25DA"/>
    <w:rsid w:val="001B25F8"/>
    <w:rsid w:val="001B2650"/>
    <w:rsid w:val="001B2711"/>
    <w:rsid w:val="001B27BF"/>
    <w:rsid w:val="001B280E"/>
    <w:rsid w:val="001B29FE"/>
    <w:rsid w:val="001B2AE1"/>
    <w:rsid w:val="001B2B93"/>
    <w:rsid w:val="001B2C93"/>
    <w:rsid w:val="001B2CA4"/>
    <w:rsid w:val="001B2CF4"/>
    <w:rsid w:val="001B2F12"/>
    <w:rsid w:val="001B2F3B"/>
    <w:rsid w:val="001B2F74"/>
    <w:rsid w:val="001B2FD8"/>
    <w:rsid w:val="001B318E"/>
    <w:rsid w:val="001B320E"/>
    <w:rsid w:val="001B3333"/>
    <w:rsid w:val="001B3384"/>
    <w:rsid w:val="001B36B4"/>
    <w:rsid w:val="001B37ED"/>
    <w:rsid w:val="001B388D"/>
    <w:rsid w:val="001B388F"/>
    <w:rsid w:val="001B3B91"/>
    <w:rsid w:val="001B3BAC"/>
    <w:rsid w:val="001B3BCA"/>
    <w:rsid w:val="001B3C30"/>
    <w:rsid w:val="001B3C58"/>
    <w:rsid w:val="001B3C6C"/>
    <w:rsid w:val="001B3E90"/>
    <w:rsid w:val="001B3F07"/>
    <w:rsid w:val="001B3F5A"/>
    <w:rsid w:val="001B4047"/>
    <w:rsid w:val="001B422F"/>
    <w:rsid w:val="001B4265"/>
    <w:rsid w:val="001B4328"/>
    <w:rsid w:val="001B4378"/>
    <w:rsid w:val="001B43FE"/>
    <w:rsid w:val="001B44AB"/>
    <w:rsid w:val="001B44AE"/>
    <w:rsid w:val="001B451A"/>
    <w:rsid w:val="001B4521"/>
    <w:rsid w:val="001B45A0"/>
    <w:rsid w:val="001B45C2"/>
    <w:rsid w:val="001B469B"/>
    <w:rsid w:val="001B478F"/>
    <w:rsid w:val="001B4795"/>
    <w:rsid w:val="001B47D8"/>
    <w:rsid w:val="001B490D"/>
    <w:rsid w:val="001B49D5"/>
    <w:rsid w:val="001B4BCE"/>
    <w:rsid w:val="001B4C56"/>
    <w:rsid w:val="001B4D65"/>
    <w:rsid w:val="001B4D69"/>
    <w:rsid w:val="001B4FD5"/>
    <w:rsid w:val="001B5221"/>
    <w:rsid w:val="001B532B"/>
    <w:rsid w:val="001B534D"/>
    <w:rsid w:val="001B542D"/>
    <w:rsid w:val="001B5448"/>
    <w:rsid w:val="001B54A9"/>
    <w:rsid w:val="001B54CF"/>
    <w:rsid w:val="001B54D0"/>
    <w:rsid w:val="001B54EC"/>
    <w:rsid w:val="001B5523"/>
    <w:rsid w:val="001B553C"/>
    <w:rsid w:val="001B5550"/>
    <w:rsid w:val="001B558F"/>
    <w:rsid w:val="001B5602"/>
    <w:rsid w:val="001B57B8"/>
    <w:rsid w:val="001B581C"/>
    <w:rsid w:val="001B58D4"/>
    <w:rsid w:val="001B5943"/>
    <w:rsid w:val="001B595D"/>
    <w:rsid w:val="001B5A6C"/>
    <w:rsid w:val="001B5A8D"/>
    <w:rsid w:val="001B5B33"/>
    <w:rsid w:val="001B5B54"/>
    <w:rsid w:val="001B5C04"/>
    <w:rsid w:val="001B5C50"/>
    <w:rsid w:val="001B5D65"/>
    <w:rsid w:val="001B5DDE"/>
    <w:rsid w:val="001B5E03"/>
    <w:rsid w:val="001B5FD8"/>
    <w:rsid w:val="001B6058"/>
    <w:rsid w:val="001B6061"/>
    <w:rsid w:val="001B608C"/>
    <w:rsid w:val="001B61BE"/>
    <w:rsid w:val="001B61EA"/>
    <w:rsid w:val="001B622A"/>
    <w:rsid w:val="001B6437"/>
    <w:rsid w:val="001B6466"/>
    <w:rsid w:val="001B64B3"/>
    <w:rsid w:val="001B64D6"/>
    <w:rsid w:val="001B64D8"/>
    <w:rsid w:val="001B656F"/>
    <w:rsid w:val="001B663D"/>
    <w:rsid w:val="001B66E7"/>
    <w:rsid w:val="001B66F6"/>
    <w:rsid w:val="001B66F7"/>
    <w:rsid w:val="001B6806"/>
    <w:rsid w:val="001B6825"/>
    <w:rsid w:val="001B6845"/>
    <w:rsid w:val="001B685F"/>
    <w:rsid w:val="001B6878"/>
    <w:rsid w:val="001B6983"/>
    <w:rsid w:val="001B69E1"/>
    <w:rsid w:val="001B6A65"/>
    <w:rsid w:val="001B6A66"/>
    <w:rsid w:val="001B6AA1"/>
    <w:rsid w:val="001B6AD3"/>
    <w:rsid w:val="001B6B4D"/>
    <w:rsid w:val="001B6B8A"/>
    <w:rsid w:val="001B6BA7"/>
    <w:rsid w:val="001B6BC4"/>
    <w:rsid w:val="001B6BC6"/>
    <w:rsid w:val="001B6D5F"/>
    <w:rsid w:val="001B6E64"/>
    <w:rsid w:val="001B6EF0"/>
    <w:rsid w:val="001B6EF5"/>
    <w:rsid w:val="001B6F3C"/>
    <w:rsid w:val="001B702F"/>
    <w:rsid w:val="001B7122"/>
    <w:rsid w:val="001B713D"/>
    <w:rsid w:val="001B718A"/>
    <w:rsid w:val="001B72A2"/>
    <w:rsid w:val="001B737A"/>
    <w:rsid w:val="001B73B9"/>
    <w:rsid w:val="001B73C5"/>
    <w:rsid w:val="001B7430"/>
    <w:rsid w:val="001B7487"/>
    <w:rsid w:val="001B748E"/>
    <w:rsid w:val="001B7609"/>
    <w:rsid w:val="001B7680"/>
    <w:rsid w:val="001B76D4"/>
    <w:rsid w:val="001B76E2"/>
    <w:rsid w:val="001B7707"/>
    <w:rsid w:val="001B7798"/>
    <w:rsid w:val="001B7813"/>
    <w:rsid w:val="001B784B"/>
    <w:rsid w:val="001B7869"/>
    <w:rsid w:val="001B78A9"/>
    <w:rsid w:val="001B78E3"/>
    <w:rsid w:val="001B7B34"/>
    <w:rsid w:val="001B7BFB"/>
    <w:rsid w:val="001B7C31"/>
    <w:rsid w:val="001B7C7C"/>
    <w:rsid w:val="001B7C99"/>
    <w:rsid w:val="001B7C9C"/>
    <w:rsid w:val="001B7CB7"/>
    <w:rsid w:val="001B7D46"/>
    <w:rsid w:val="001B7D4A"/>
    <w:rsid w:val="001B7D87"/>
    <w:rsid w:val="001B7DA9"/>
    <w:rsid w:val="001B7DBB"/>
    <w:rsid w:val="001B7DC9"/>
    <w:rsid w:val="001B7E0F"/>
    <w:rsid w:val="001B7E83"/>
    <w:rsid w:val="001B7EC7"/>
    <w:rsid w:val="001B7F44"/>
    <w:rsid w:val="001C0022"/>
    <w:rsid w:val="001C002B"/>
    <w:rsid w:val="001C0173"/>
    <w:rsid w:val="001C02DA"/>
    <w:rsid w:val="001C040C"/>
    <w:rsid w:val="001C04D2"/>
    <w:rsid w:val="001C0532"/>
    <w:rsid w:val="001C06A4"/>
    <w:rsid w:val="001C076D"/>
    <w:rsid w:val="001C07DC"/>
    <w:rsid w:val="001C087C"/>
    <w:rsid w:val="001C0A6D"/>
    <w:rsid w:val="001C0AA5"/>
    <w:rsid w:val="001C0ABC"/>
    <w:rsid w:val="001C0AED"/>
    <w:rsid w:val="001C0AFA"/>
    <w:rsid w:val="001C0C1C"/>
    <w:rsid w:val="001C0CEF"/>
    <w:rsid w:val="001C0D64"/>
    <w:rsid w:val="001C0E17"/>
    <w:rsid w:val="001C0E19"/>
    <w:rsid w:val="001C0E6A"/>
    <w:rsid w:val="001C0EF8"/>
    <w:rsid w:val="001C0F3F"/>
    <w:rsid w:val="001C0FD9"/>
    <w:rsid w:val="001C1060"/>
    <w:rsid w:val="001C1176"/>
    <w:rsid w:val="001C1179"/>
    <w:rsid w:val="001C11B2"/>
    <w:rsid w:val="001C11B8"/>
    <w:rsid w:val="001C12C9"/>
    <w:rsid w:val="001C131B"/>
    <w:rsid w:val="001C1333"/>
    <w:rsid w:val="001C13F1"/>
    <w:rsid w:val="001C151D"/>
    <w:rsid w:val="001C1530"/>
    <w:rsid w:val="001C1552"/>
    <w:rsid w:val="001C15B1"/>
    <w:rsid w:val="001C16B5"/>
    <w:rsid w:val="001C16EE"/>
    <w:rsid w:val="001C1723"/>
    <w:rsid w:val="001C176B"/>
    <w:rsid w:val="001C184F"/>
    <w:rsid w:val="001C1921"/>
    <w:rsid w:val="001C19FA"/>
    <w:rsid w:val="001C1A19"/>
    <w:rsid w:val="001C1AEA"/>
    <w:rsid w:val="001C1BF5"/>
    <w:rsid w:val="001C1CA2"/>
    <w:rsid w:val="001C1D06"/>
    <w:rsid w:val="001C1DC7"/>
    <w:rsid w:val="001C1F23"/>
    <w:rsid w:val="001C1F5B"/>
    <w:rsid w:val="001C1F6A"/>
    <w:rsid w:val="001C1F6E"/>
    <w:rsid w:val="001C207D"/>
    <w:rsid w:val="001C21D7"/>
    <w:rsid w:val="001C21F0"/>
    <w:rsid w:val="001C2219"/>
    <w:rsid w:val="001C22AF"/>
    <w:rsid w:val="001C22CC"/>
    <w:rsid w:val="001C2432"/>
    <w:rsid w:val="001C24DA"/>
    <w:rsid w:val="001C2519"/>
    <w:rsid w:val="001C2632"/>
    <w:rsid w:val="001C2648"/>
    <w:rsid w:val="001C2686"/>
    <w:rsid w:val="001C277A"/>
    <w:rsid w:val="001C277B"/>
    <w:rsid w:val="001C27C6"/>
    <w:rsid w:val="001C2897"/>
    <w:rsid w:val="001C28E7"/>
    <w:rsid w:val="001C2904"/>
    <w:rsid w:val="001C2914"/>
    <w:rsid w:val="001C298D"/>
    <w:rsid w:val="001C2A7F"/>
    <w:rsid w:val="001C2A9E"/>
    <w:rsid w:val="001C2B31"/>
    <w:rsid w:val="001C2B91"/>
    <w:rsid w:val="001C2C18"/>
    <w:rsid w:val="001C2C82"/>
    <w:rsid w:val="001C2D41"/>
    <w:rsid w:val="001C2DA3"/>
    <w:rsid w:val="001C2E42"/>
    <w:rsid w:val="001C2EED"/>
    <w:rsid w:val="001C2EEE"/>
    <w:rsid w:val="001C2FE4"/>
    <w:rsid w:val="001C30B7"/>
    <w:rsid w:val="001C30BD"/>
    <w:rsid w:val="001C30FC"/>
    <w:rsid w:val="001C32F3"/>
    <w:rsid w:val="001C3397"/>
    <w:rsid w:val="001C3463"/>
    <w:rsid w:val="001C3512"/>
    <w:rsid w:val="001C3634"/>
    <w:rsid w:val="001C37F6"/>
    <w:rsid w:val="001C384B"/>
    <w:rsid w:val="001C386E"/>
    <w:rsid w:val="001C38D2"/>
    <w:rsid w:val="001C39C0"/>
    <w:rsid w:val="001C3A7B"/>
    <w:rsid w:val="001C3BB8"/>
    <w:rsid w:val="001C3BEC"/>
    <w:rsid w:val="001C3E5C"/>
    <w:rsid w:val="001C3E95"/>
    <w:rsid w:val="001C3E99"/>
    <w:rsid w:val="001C3E9A"/>
    <w:rsid w:val="001C3FCC"/>
    <w:rsid w:val="001C3FFE"/>
    <w:rsid w:val="001C42B1"/>
    <w:rsid w:val="001C437A"/>
    <w:rsid w:val="001C43CF"/>
    <w:rsid w:val="001C4403"/>
    <w:rsid w:val="001C441F"/>
    <w:rsid w:val="001C443E"/>
    <w:rsid w:val="001C44CA"/>
    <w:rsid w:val="001C4639"/>
    <w:rsid w:val="001C4773"/>
    <w:rsid w:val="001C47A7"/>
    <w:rsid w:val="001C48DF"/>
    <w:rsid w:val="001C4957"/>
    <w:rsid w:val="001C49CD"/>
    <w:rsid w:val="001C49DA"/>
    <w:rsid w:val="001C4A26"/>
    <w:rsid w:val="001C4AAD"/>
    <w:rsid w:val="001C4ACE"/>
    <w:rsid w:val="001C4AD5"/>
    <w:rsid w:val="001C4AF3"/>
    <w:rsid w:val="001C4B62"/>
    <w:rsid w:val="001C4B79"/>
    <w:rsid w:val="001C4BA6"/>
    <w:rsid w:val="001C4C8D"/>
    <w:rsid w:val="001C4DC0"/>
    <w:rsid w:val="001C4DDD"/>
    <w:rsid w:val="001C4F18"/>
    <w:rsid w:val="001C4F7C"/>
    <w:rsid w:val="001C5030"/>
    <w:rsid w:val="001C508F"/>
    <w:rsid w:val="001C523A"/>
    <w:rsid w:val="001C53ED"/>
    <w:rsid w:val="001C54E8"/>
    <w:rsid w:val="001C55FF"/>
    <w:rsid w:val="001C5624"/>
    <w:rsid w:val="001C56CB"/>
    <w:rsid w:val="001C5737"/>
    <w:rsid w:val="001C5AB2"/>
    <w:rsid w:val="001C5AC5"/>
    <w:rsid w:val="001C5B5D"/>
    <w:rsid w:val="001C5B7B"/>
    <w:rsid w:val="001C5C25"/>
    <w:rsid w:val="001C5DAA"/>
    <w:rsid w:val="001C5EC8"/>
    <w:rsid w:val="001C6118"/>
    <w:rsid w:val="001C618C"/>
    <w:rsid w:val="001C61AD"/>
    <w:rsid w:val="001C6228"/>
    <w:rsid w:val="001C640B"/>
    <w:rsid w:val="001C6425"/>
    <w:rsid w:val="001C651A"/>
    <w:rsid w:val="001C653B"/>
    <w:rsid w:val="001C66A2"/>
    <w:rsid w:val="001C67AF"/>
    <w:rsid w:val="001C680E"/>
    <w:rsid w:val="001C682B"/>
    <w:rsid w:val="001C6837"/>
    <w:rsid w:val="001C685F"/>
    <w:rsid w:val="001C689E"/>
    <w:rsid w:val="001C68E7"/>
    <w:rsid w:val="001C6921"/>
    <w:rsid w:val="001C6A23"/>
    <w:rsid w:val="001C6A5A"/>
    <w:rsid w:val="001C6C4B"/>
    <w:rsid w:val="001C6C4C"/>
    <w:rsid w:val="001C6DF3"/>
    <w:rsid w:val="001C6E82"/>
    <w:rsid w:val="001C6F83"/>
    <w:rsid w:val="001C6F89"/>
    <w:rsid w:val="001C6FE4"/>
    <w:rsid w:val="001C702D"/>
    <w:rsid w:val="001C70B3"/>
    <w:rsid w:val="001C7183"/>
    <w:rsid w:val="001C71B0"/>
    <w:rsid w:val="001C71B1"/>
    <w:rsid w:val="001C71BC"/>
    <w:rsid w:val="001C7239"/>
    <w:rsid w:val="001C72D5"/>
    <w:rsid w:val="001C736D"/>
    <w:rsid w:val="001C750C"/>
    <w:rsid w:val="001C7586"/>
    <w:rsid w:val="001C75C3"/>
    <w:rsid w:val="001C7660"/>
    <w:rsid w:val="001C767A"/>
    <w:rsid w:val="001C76FE"/>
    <w:rsid w:val="001C773B"/>
    <w:rsid w:val="001C77A2"/>
    <w:rsid w:val="001C77CF"/>
    <w:rsid w:val="001C7865"/>
    <w:rsid w:val="001C7884"/>
    <w:rsid w:val="001C7925"/>
    <w:rsid w:val="001C7955"/>
    <w:rsid w:val="001C7AE1"/>
    <w:rsid w:val="001C7B0C"/>
    <w:rsid w:val="001C7B27"/>
    <w:rsid w:val="001C7BEC"/>
    <w:rsid w:val="001C7C14"/>
    <w:rsid w:val="001C7EB5"/>
    <w:rsid w:val="001C7F3D"/>
    <w:rsid w:val="001D0018"/>
    <w:rsid w:val="001D0020"/>
    <w:rsid w:val="001D008B"/>
    <w:rsid w:val="001D0118"/>
    <w:rsid w:val="001D016D"/>
    <w:rsid w:val="001D01D1"/>
    <w:rsid w:val="001D0284"/>
    <w:rsid w:val="001D02B5"/>
    <w:rsid w:val="001D02CF"/>
    <w:rsid w:val="001D03B1"/>
    <w:rsid w:val="001D03EB"/>
    <w:rsid w:val="001D0477"/>
    <w:rsid w:val="001D0585"/>
    <w:rsid w:val="001D05A4"/>
    <w:rsid w:val="001D0618"/>
    <w:rsid w:val="001D068F"/>
    <w:rsid w:val="001D06FA"/>
    <w:rsid w:val="001D0825"/>
    <w:rsid w:val="001D08B6"/>
    <w:rsid w:val="001D08B8"/>
    <w:rsid w:val="001D0924"/>
    <w:rsid w:val="001D09D8"/>
    <w:rsid w:val="001D0A81"/>
    <w:rsid w:val="001D0AF6"/>
    <w:rsid w:val="001D0BBF"/>
    <w:rsid w:val="001D0BDC"/>
    <w:rsid w:val="001D0BE9"/>
    <w:rsid w:val="001D0D2E"/>
    <w:rsid w:val="001D0D4C"/>
    <w:rsid w:val="001D0D9B"/>
    <w:rsid w:val="001D0E00"/>
    <w:rsid w:val="001D0E2A"/>
    <w:rsid w:val="001D0E42"/>
    <w:rsid w:val="001D0E62"/>
    <w:rsid w:val="001D0EAE"/>
    <w:rsid w:val="001D0FF3"/>
    <w:rsid w:val="001D101D"/>
    <w:rsid w:val="001D114D"/>
    <w:rsid w:val="001D12E0"/>
    <w:rsid w:val="001D1341"/>
    <w:rsid w:val="001D1381"/>
    <w:rsid w:val="001D149D"/>
    <w:rsid w:val="001D153F"/>
    <w:rsid w:val="001D1548"/>
    <w:rsid w:val="001D163C"/>
    <w:rsid w:val="001D190E"/>
    <w:rsid w:val="001D193F"/>
    <w:rsid w:val="001D195C"/>
    <w:rsid w:val="001D19E7"/>
    <w:rsid w:val="001D1AE2"/>
    <w:rsid w:val="001D1C5E"/>
    <w:rsid w:val="001D1D9B"/>
    <w:rsid w:val="001D1DC4"/>
    <w:rsid w:val="001D1F1E"/>
    <w:rsid w:val="001D1F41"/>
    <w:rsid w:val="001D1F7D"/>
    <w:rsid w:val="001D1FCE"/>
    <w:rsid w:val="001D1FFD"/>
    <w:rsid w:val="001D20A0"/>
    <w:rsid w:val="001D20D0"/>
    <w:rsid w:val="001D217C"/>
    <w:rsid w:val="001D2290"/>
    <w:rsid w:val="001D230B"/>
    <w:rsid w:val="001D24A5"/>
    <w:rsid w:val="001D254F"/>
    <w:rsid w:val="001D258C"/>
    <w:rsid w:val="001D2663"/>
    <w:rsid w:val="001D2734"/>
    <w:rsid w:val="001D2806"/>
    <w:rsid w:val="001D2840"/>
    <w:rsid w:val="001D2904"/>
    <w:rsid w:val="001D2993"/>
    <w:rsid w:val="001D2AA1"/>
    <w:rsid w:val="001D2AC4"/>
    <w:rsid w:val="001D2B1A"/>
    <w:rsid w:val="001D2B84"/>
    <w:rsid w:val="001D2C8E"/>
    <w:rsid w:val="001D2CF5"/>
    <w:rsid w:val="001D2D6B"/>
    <w:rsid w:val="001D2E98"/>
    <w:rsid w:val="001D2ED4"/>
    <w:rsid w:val="001D2ED9"/>
    <w:rsid w:val="001D2F1B"/>
    <w:rsid w:val="001D2F60"/>
    <w:rsid w:val="001D2F62"/>
    <w:rsid w:val="001D2FCC"/>
    <w:rsid w:val="001D3008"/>
    <w:rsid w:val="001D3016"/>
    <w:rsid w:val="001D3040"/>
    <w:rsid w:val="001D3075"/>
    <w:rsid w:val="001D3148"/>
    <w:rsid w:val="001D325F"/>
    <w:rsid w:val="001D3269"/>
    <w:rsid w:val="001D3306"/>
    <w:rsid w:val="001D3333"/>
    <w:rsid w:val="001D3349"/>
    <w:rsid w:val="001D334C"/>
    <w:rsid w:val="001D33FD"/>
    <w:rsid w:val="001D342C"/>
    <w:rsid w:val="001D3588"/>
    <w:rsid w:val="001D35EF"/>
    <w:rsid w:val="001D360D"/>
    <w:rsid w:val="001D361D"/>
    <w:rsid w:val="001D36AB"/>
    <w:rsid w:val="001D3797"/>
    <w:rsid w:val="001D383D"/>
    <w:rsid w:val="001D391A"/>
    <w:rsid w:val="001D3920"/>
    <w:rsid w:val="001D392B"/>
    <w:rsid w:val="001D3945"/>
    <w:rsid w:val="001D3ABE"/>
    <w:rsid w:val="001D3BEB"/>
    <w:rsid w:val="001D3C58"/>
    <w:rsid w:val="001D3C75"/>
    <w:rsid w:val="001D3D2C"/>
    <w:rsid w:val="001D3D71"/>
    <w:rsid w:val="001D3E49"/>
    <w:rsid w:val="001D3E6C"/>
    <w:rsid w:val="001D3F46"/>
    <w:rsid w:val="001D3FA7"/>
    <w:rsid w:val="001D4099"/>
    <w:rsid w:val="001D4121"/>
    <w:rsid w:val="001D41A4"/>
    <w:rsid w:val="001D4240"/>
    <w:rsid w:val="001D42AE"/>
    <w:rsid w:val="001D42B9"/>
    <w:rsid w:val="001D4351"/>
    <w:rsid w:val="001D4381"/>
    <w:rsid w:val="001D4485"/>
    <w:rsid w:val="001D44FA"/>
    <w:rsid w:val="001D45C9"/>
    <w:rsid w:val="001D46F6"/>
    <w:rsid w:val="001D4756"/>
    <w:rsid w:val="001D478D"/>
    <w:rsid w:val="001D47CB"/>
    <w:rsid w:val="001D486E"/>
    <w:rsid w:val="001D4977"/>
    <w:rsid w:val="001D497B"/>
    <w:rsid w:val="001D4A6B"/>
    <w:rsid w:val="001D4ABF"/>
    <w:rsid w:val="001D4B8C"/>
    <w:rsid w:val="001D4CC9"/>
    <w:rsid w:val="001D4CF6"/>
    <w:rsid w:val="001D4D49"/>
    <w:rsid w:val="001D4DEC"/>
    <w:rsid w:val="001D4E13"/>
    <w:rsid w:val="001D4EF7"/>
    <w:rsid w:val="001D4F24"/>
    <w:rsid w:val="001D4F6A"/>
    <w:rsid w:val="001D4FA2"/>
    <w:rsid w:val="001D4FFF"/>
    <w:rsid w:val="001D5001"/>
    <w:rsid w:val="001D500B"/>
    <w:rsid w:val="001D5115"/>
    <w:rsid w:val="001D511A"/>
    <w:rsid w:val="001D5161"/>
    <w:rsid w:val="001D52F3"/>
    <w:rsid w:val="001D53C0"/>
    <w:rsid w:val="001D5565"/>
    <w:rsid w:val="001D55A8"/>
    <w:rsid w:val="001D5928"/>
    <w:rsid w:val="001D5A20"/>
    <w:rsid w:val="001D5A8B"/>
    <w:rsid w:val="001D5B84"/>
    <w:rsid w:val="001D5BCB"/>
    <w:rsid w:val="001D5C7C"/>
    <w:rsid w:val="001D5D4C"/>
    <w:rsid w:val="001D5E30"/>
    <w:rsid w:val="001D5E7B"/>
    <w:rsid w:val="001D5EA8"/>
    <w:rsid w:val="001D5F5D"/>
    <w:rsid w:val="001D6012"/>
    <w:rsid w:val="001D60BF"/>
    <w:rsid w:val="001D60FD"/>
    <w:rsid w:val="001D643E"/>
    <w:rsid w:val="001D64DE"/>
    <w:rsid w:val="001D656F"/>
    <w:rsid w:val="001D65C7"/>
    <w:rsid w:val="001D65D8"/>
    <w:rsid w:val="001D66F7"/>
    <w:rsid w:val="001D673E"/>
    <w:rsid w:val="001D67A1"/>
    <w:rsid w:val="001D68D7"/>
    <w:rsid w:val="001D68E7"/>
    <w:rsid w:val="001D69CB"/>
    <w:rsid w:val="001D6AA3"/>
    <w:rsid w:val="001D6BA3"/>
    <w:rsid w:val="001D6C04"/>
    <w:rsid w:val="001D6FEC"/>
    <w:rsid w:val="001D717B"/>
    <w:rsid w:val="001D71E7"/>
    <w:rsid w:val="001D726C"/>
    <w:rsid w:val="001D738A"/>
    <w:rsid w:val="001D742F"/>
    <w:rsid w:val="001D7460"/>
    <w:rsid w:val="001D7499"/>
    <w:rsid w:val="001D7619"/>
    <w:rsid w:val="001D7624"/>
    <w:rsid w:val="001D766A"/>
    <w:rsid w:val="001D770A"/>
    <w:rsid w:val="001D78D3"/>
    <w:rsid w:val="001D78D6"/>
    <w:rsid w:val="001D7946"/>
    <w:rsid w:val="001D7A67"/>
    <w:rsid w:val="001D7ABF"/>
    <w:rsid w:val="001D7AD6"/>
    <w:rsid w:val="001D7AD7"/>
    <w:rsid w:val="001D7B01"/>
    <w:rsid w:val="001D7B37"/>
    <w:rsid w:val="001D7C0E"/>
    <w:rsid w:val="001D7C21"/>
    <w:rsid w:val="001D7C81"/>
    <w:rsid w:val="001D7FD4"/>
    <w:rsid w:val="001E0000"/>
    <w:rsid w:val="001E0172"/>
    <w:rsid w:val="001E01A7"/>
    <w:rsid w:val="001E01E4"/>
    <w:rsid w:val="001E022A"/>
    <w:rsid w:val="001E0265"/>
    <w:rsid w:val="001E033B"/>
    <w:rsid w:val="001E03E0"/>
    <w:rsid w:val="001E0571"/>
    <w:rsid w:val="001E0791"/>
    <w:rsid w:val="001E09B4"/>
    <w:rsid w:val="001E09FF"/>
    <w:rsid w:val="001E0B15"/>
    <w:rsid w:val="001E0B71"/>
    <w:rsid w:val="001E0BE3"/>
    <w:rsid w:val="001E0C98"/>
    <w:rsid w:val="001E0CB5"/>
    <w:rsid w:val="001E0CC8"/>
    <w:rsid w:val="001E0F92"/>
    <w:rsid w:val="001E10D7"/>
    <w:rsid w:val="001E10FD"/>
    <w:rsid w:val="001E12AF"/>
    <w:rsid w:val="001E13EA"/>
    <w:rsid w:val="001E1545"/>
    <w:rsid w:val="001E1591"/>
    <w:rsid w:val="001E161D"/>
    <w:rsid w:val="001E1645"/>
    <w:rsid w:val="001E1940"/>
    <w:rsid w:val="001E1A50"/>
    <w:rsid w:val="001E1A73"/>
    <w:rsid w:val="001E1ADD"/>
    <w:rsid w:val="001E1C25"/>
    <w:rsid w:val="001E1C43"/>
    <w:rsid w:val="001E1C9E"/>
    <w:rsid w:val="001E1D01"/>
    <w:rsid w:val="001E1D71"/>
    <w:rsid w:val="001E1DB1"/>
    <w:rsid w:val="001E1EE0"/>
    <w:rsid w:val="001E1F5E"/>
    <w:rsid w:val="001E1FFC"/>
    <w:rsid w:val="001E2136"/>
    <w:rsid w:val="001E2270"/>
    <w:rsid w:val="001E238D"/>
    <w:rsid w:val="001E244A"/>
    <w:rsid w:val="001E25EE"/>
    <w:rsid w:val="001E260A"/>
    <w:rsid w:val="001E2751"/>
    <w:rsid w:val="001E27D6"/>
    <w:rsid w:val="001E2850"/>
    <w:rsid w:val="001E28FE"/>
    <w:rsid w:val="001E29BF"/>
    <w:rsid w:val="001E2A2A"/>
    <w:rsid w:val="001E2B6F"/>
    <w:rsid w:val="001E2D3D"/>
    <w:rsid w:val="001E2D65"/>
    <w:rsid w:val="001E2F18"/>
    <w:rsid w:val="001E2F8F"/>
    <w:rsid w:val="001E302B"/>
    <w:rsid w:val="001E3148"/>
    <w:rsid w:val="001E31F0"/>
    <w:rsid w:val="001E3264"/>
    <w:rsid w:val="001E32C9"/>
    <w:rsid w:val="001E32CA"/>
    <w:rsid w:val="001E3560"/>
    <w:rsid w:val="001E356C"/>
    <w:rsid w:val="001E3580"/>
    <w:rsid w:val="001E3592"/>
    <w:rsid w:val="001E371F"/>
    <w:rsid w:val="001E3769"/>
    <w:rsid w:val="001E3802"/>
    <w:rsid w:val="001E38EB"/>
    <w:rsid w:val="001E390E"/>
    <w:rsid w:val="001E391A"/>
    <w:rsid w:val="001E3A31"/>
    <w:rsid w:val="001E3A81"/>
    <w:rsid w:val="001E3A90"/>
    <w:rsid w:val="001E3AE0"/>
    <w:rsid w:val="001E3BBB"/>
    <w:rsid w:val="001E3C48"/>
    <w:rsid w:val="001E3DA4"/>
    <w:rsid w:val="001E3E09"/>
    <w:rsid w:val="001E3E70"/>
    <w:rsid w:val="001E3EA8"/>
    <w:rsid w:val="001E3EC2"/>
    <w:rsid w:val="001E3F26"/>
    <w:rsid w:val="001E3F80"/>
    <w:rsid w:val="001E3FC9"/>
    <w:rsid w:val="001E40E5"/>
    <w:rsid w:val="001E4122"/>
    <w:rsid w:val="001E419F"/>
    <w:rsid w:val="001E4246"/>
    <w:rsid w:val="001E4401"/>
    <w:rsid w:val="001E4459"/>
    <w:rsid w:val="001E457D"/>
    <w:rsid w:val="001E4616"/>
    <w:rsid w:val="001E469E"/>
    <w:rsid w:val="001E4713"/>
    <w:rsid w:val="001E4744"/>
    <w:rsid w:val="001E4748"/>
    <w:rsid w:val="001E4778"/>
    <w:rsid w:val="001E49E5"/>
    <w:rsid w:val="001E49F2"/>
    <w:rsid w:val="001E4A17"/>
    <w:rsid w:val="001E4AB0"/>
    <w:rsid w:val="001E4B59"/>
    <w:rsid w:val="001E4C2F"/>
    <w:rsid w:val="001E4C38"/>
    <w:rsid w:val="001E4CCC"/>
    <w:rsid w:val="001E4D4C"/>
    <w:rsid w:val="001E4D6B"/>
    <w:rsid w:val="001E4E4F"/>
    <w:rsid w:val="001E4EBC"/>
    <w:rsid w:val="001E4ED2"/>
    <w:rsid w:val="001E4F0A"/>
    <w:rsid w:val="001E4F15"/>
    <w:rsid w:val="001E4F74"/>
    <w:rsid w:val="001E5131"/>
    <w:rsid w:val="001E513E"/>
    <w:rsid w:val="001E5191"/>
    <w:rsid w:val="001E5197"/>
    <w:rsid w:val="001E51CB"/>
    <w:rsid w:val="001E5211"/>
    <w:rsid w:val="001E528C"/>
    <w:rsid w:val="001E540C"/>
    <w:rsid w:val="001E541E"/>
    <w:rsid w:val="001E5537"/>
    <w:rsid w:val="001E56CC"/>
    <w:rsid w:val="001E5719"/>
    <w:rsid w:val="001E5823"/>
    <w:rsid w:val="001E59BB"/>
    <w:rsid w:val="001E59FB"/>
    <w:rsid w:val="001E5C6A"/>
    <w:rsid w:val="001E5E44"/>
    <w:rsid w:val="001E5E7F"/>
    <w:rsid w:val="001E5E9B"/>
    <w:rsid w:val="001E5F47"/>
    <w:rsid w:val="001E5FC3"/>
    <w:rsid w:val="001E6040"/>
    <w:rsid w:val="001E607A"/>
    <w:rsid w:val="001E60FA"/>
    <w:rsid w:val="001E6159"/>
    <w:rsid w:val="001E6171"/>
    <w:rsid w:val="001E61DA"/>
    <w:rsid w:val="001E629C"/>
    <w:rsid w:val="001E6302"/>
    <w:rsid w:val="001E6332"/>
    <w:rsid w:val="001E6445"/>
    <w:rsid w:val="001E64BF"/>
    <w:rsid w:val="001E6509"/>
    <w:rsid w:val="001E6559"/>
    <w:rsid w:val="001E65C7"/>
    <w:rsid w:val="001E66AC"/>
    <w:rsid w:val="001E6711"/>
    <w:rsid w:val="001E674C"/>
    <w:rsid w:val="001E6788"/>
    <w:rsid w:val="001E6829"/>
    <w:rsid w:val="001E68AA"/>
    <w:rsid w:val="001E693E"/>
    <w:rsid w:val="001E699A"/>
    <w:rsid w:val="001E6A07"/>
    <w:rsid w:val="001E6AF2"/>
    <w:rsid w:val="001E6B50"/>
    <w:rsid w:val="001E6BD1"/>
    <w:rsid w:val="001E6BE6"/>
    <w:rsid w:val="001E6C5E"/>
    <w:rsid w:val="001E6C8D"/>
    <w:rsid w:val="001E6DFE"/>
    <w:rsid w:val="001E6E74"/>
    <w:rsid w:val="001E6EA1"/>
    <w:rsid w:val="001E6ED5"/>
    <w:rsid w:val="001E6F47"/>
    <w:rsid w:val="001E6F62"/>
    <w:rsid w:val="001E6F65"/>
    <w:rsid w:val="001E7099"/>
    <w:rsid w:val="001E71D2"/>
    <w:rsid w:val="001E721F"/>
    <w:rsid w:val="001E7221"/>
    <w:rsid w:val="001E722C"/>
    <w:rsid w:val="001E72AE"/>
    <w:rsid w:val="001E7466"/>
    <w:rsid w:val="001E7557"/>
    <w:rsid w:val="001E7603"/>
    <w:rsid w:val="001E76B9"/>
    <w:rsid w:val="001E76BB"/>
    <w:rsid w:val="001E7769"/>
    <w:rsid w:val="001E7AA8"/>
    <w:rsid w:val="001E7AAA"/>
    <w:rsid w:val="001E7B08"/>
    <w:rsid w:val="001E7B89"/>
    <w:rsid w:val="001E7C89"/>
    <w:rsid w:val="001E7DA3"/>
    <w:rsid w:val="001E7E57"/>
    <w:rsid w:val="001E7F97"/>
    <w:rsid w:val="001E7FC4"/>
    <w:rsid w:val="001F0045"/>
    <w:rsid w:val="001F0146"/>
    <w:rsid w:val="001F025B"/>
    <w:rsid w:val="001F05DA"/>
    <w:rsid w:val="001F0613"/>
    <w:rsid w:val="001F071A"/>
    <w:rsid w:val="001F0779"/>
    <w:rsid w:val="001F0814"/>
    <w:rsid w:val="001F096A"/>
    <w:rsid w:val="001F0A33"/>
    <w:rsid w:val="001F0B47"/>
    <w:rsid w:val="001F0B81"/>
    <w:rsid w:val="001F0C23"/>
    <w:rsid w:val="001F0C80"/>
    <w:rsid w:val="001F0CC4"/>
    <w:rsid w:val="001F0DC9"/>
    <w:rsid w:val="001F0E6D"/>
    <w:rsid w:val="001F0EB4"/>
    <w:rsid w:val="001F0F0E"/>
    <w:rsid w:val="001F0FD5"/>
    <w:rsid w:val="001F1026"/>
    <w:rsid w:val="001F10C3"/>
    <w:rsid w:val="001F10FD"/>
    <w:rsid w:val="001F1130"/>
    <w:rsid w:val="001F11EA"/>
    <w:rsid w:val="001F125E"/>
    <w:rsid w:val="001F12FD"/>
    <w:rsid w:val="001F1410"/>
    <w:rsid w:val="001F14B1"/>
    <w:rsid w:val="001F16B1"/>
    <w:rsid w:val="001F179B"/>
    <w:rsid w:val="001F1829"/>
    <w:rsid w:val="001F185F"/>
    <w:rsid w:val="001F190D"/>
    <w:rsid w:val="001F1964"/>
    <w:rsid w:val="001F1990"/>
    <w:rsid w:val="001F19D7"/>
    <w:rsid w:val="001F19FB"/>
    <w:rsid w:val="001F1ADB"/>
    <w:rsid w:val="001F1BEF"/>
    <w:rsid w:val="001F1C1D"/>
    <w:rsid w:val="001F1C8F"/>
    <w:rsid w:val="001F1DB3"/>
    <w:rsid w:val="001F1E9D"/>
    <w:rsid w:val="001F1EAB"/>
    <w:rsid w:val="001F1FAD"/>
    <w:rsid w:val="001F2035"/>
    <w:rsid w:val="001F214F"/>
    <w:rsid w:val="001F2176"/>
    <w:rsid w:val="001F2190"/>
    <w:rsid w:val="001F2318"/>
    <w:rsid w:val="001F23FE"/>
    <w:rsid w:val="001F24BF"/>
    <w:rsid w:val="001F2712"/>
    <w:rsid w:val="001F2802"/>
    <w:rsid w:val="001F2877"/>
    <w:rsid w:val="001F28B8"/>
    <w:rsid w:val="001F298E"/>
    <w:rsid w:val="001F2BCD"/>
    <w:rsid w:val="001F2C50"/>
    <w:rsid w:val="001F2D7E"/>
    <w:rsid w:val="001F2E98"/>
    <w:rsid w:val="001F2EC0"/>
    <w:rsid w:val="001F2F0B"/>
    <w:rsid w:val="001F2FD2"/>
    <w:rsid w:val="001F3112"/>
    <w:rsid w:val="001F311A"/>
    <w:rsid w:val="001F3284"/>
    <w:rsid w:val="001F3297"/>
    <w:rsid w:val="001F3393"/>
    <w:rsid w:val="001F33A1"/>
    <w:rsid w:val="001F34A5"/>
    <w:rsid w:val="001F355A"/>
    <w:rsid w:val="001F3595"/>
    <w:rsid w:val="001F3596"/>
    <w:rsid w:val="001F3614"/>
    <w:rsid w:val="001F361A"/>
    <w:rsid w:val="001F3648"/>
    <w:rsid w:val="001F36DB"/>
    <w:rsid w:val="001F375C"/>
    <w:rsid w:val="001F38B8"/>
    <w:rsid w:val="001F39AD"/>
    <w:rsid w:val="001F3AC9"/>
    <w:rsid w:val="001F3ADD"/>
    <w:rsid w:val="001F3B09"/>
    <w:rsid w:val="001F3B5A"/>
    <w:rsid w:val="001F3C8C"/>
    <w:rsid w:val="001F3D8C"/>
    <w:rsid w:val="001F3EC8"/>
    <w:rsid w:val="001F3F4B"/>
    <w:rsid w:val="001F4025"/>
    <w:rsid w:val="001F4229"/>
    <w:rsid w:val="001F4326"/>
    <w:rsid w:val="001F435E"/>
    <w:rsid w:val="001F44F0"/>
    <w:rsid w:val="001F45FD"/>
    <w:rsid w:val="001F4623"/>
    <w:rsid w:val="001F46E0"/>
    <w:rsid w:val="001F47F0"/>
    <w:rsid w:val="001F4809"/>
    <w:rsid w:val="001F4AF8"/>
    <w:rsid w:val="001F4C45"/>
    <w:rsid w:val="001F4CBD"/>
    <w:rsid w:val="001F4E99"/>
    <w:rsid w:val="001F4F0A"/>
    <w:rsid w:val="001F4F28"/>
    <w:rsid w:val="001F5037"/>
    <w:rsid w:val="001F5105"/>
    <w:rsid w:val="001F5154"/>
    <w:rsid w:val="001F5297"/>
    <w:rsid w:val="001F5351"/>
    <w:rsid w:val="001F541E"/>
    <w:rsid w:val="001F554C"/>
    <w:rsid w:val="001F56A5"/>
    <w:rsid w:val="001F5739"/>
    <w:rsid w:val="001F5748"/>
    <w:rsid w:val="001F5937"/>
    <w:rsid w:val="001F59CE"/>
    <w:rsid w:val="001F5A02"/>
    <w:rsid w:val="001F5A03"/>
    <w:rsid w:val="001F5B1F"/>
    <w:rsid w:val="001F5C5F"/>
    <w:rsid w:val="001F5DEF"/>
    <w:rsid w:val="001F5E07"/>
    <w:rsid w:val="001F5E77"/>
    <w:rsid w:val="001F5F8C"/>
    <w:rsid w:val="001F5FE0"/>
    <w:rsid w:val="001F6181"/>
    <w:rsid w:val="001F63CB"/>
    <w:rsid w:val="001F6401"/>
    <w:rsid w:val="001F64E0"/>
    <w:rsid w:val="001F64F9"/>
    <w:rsid w:val="001F650D"/>
    <w:rsid w:val="001F6697"/>
    <w:rsid w:val="001F669D"/>
    <w:rsid w:val="001F669F"/>
    <w:rsid w:val="001F66E8"/>
    <w:rsid w:val="001F671C"/>
    <w:rsid w:val="001F6729"/>
    <w:rsid w:val="001F679A"/>
    <w:rsid w:val="001F6834"/>
    <w:rsid w:val="001F689A"/>
    <w:rsid w:val="001F68C4"/>
    <w:rsid w:val="001F6934"/>
    <w:rsid w:val="001F6A77"/>
    <w:rsid w:val="001F6B91"/>
    <w:rsid w:val="001F6B9A"/>
    <w:rsid w:val="001F6BE3"/>
    <w:rsid w:val="001F6C16"/>
    <w:rsid w:val="001F6C25"/>
    <w:rsid w:val="001F6D9A"/>
    <w:rsid w:val="001F6DE6"/>
    <w:rsid w:val="001F6E15"/>
    <w:rsid w:val="001F6FAB"/>
    <w:rsid w:val="001F70D8"/>
    <w:rsid w:val="001F70E1"/>
    <w:rsid w:val="001F711A"/>
    <w:rsid w:val="001F7137"/>
    <w:rsid w:val="001F713C"/>
    <w:rsid w:val="001F71AE"/>
    <w:rsid w:val="001F72B5"/>
    <w:rsid w:val="001F7418"/>
    <w:rsid w:val="001F74CA"/>
    <w:rsid w:val="001F7506"/>
    <w:rsid w:val="001F7558"/>
    <w:rsid w:val="001F7694"/>
    <w:rsid w:val="001F779B"/>
    <w:rsid w:val="001F781C"/>
    <w:rsid w:val="001F7A71"/>
    <w:rsid w:val="001F7B0D"/>
    <w:rsid w:val="001F7B46"/>
    <w:rsid w:val="001F7C82"/>
    <w:rsid w:val="001F7D2B"/>
    <w:rsid w:val="001F7D68"/>
    <w:rsid w:val="001F7D6E"/>
    <w:rsid w:val="001F7DAC"/>
    <w:rsid w:val="001F7DB6"/>
    <w:rsid w:val="001F7DDF"/>
    <w:rsid w:val="001F7F1A"/>
    <w:rsid w:val="001F7F2A"/>
    <w:rsid w:val="001F7FBC"/>
    <w:rsid w:val="0020000D"/>
    <w:rsid w:val="00200030"/>
    <w:rsid w:val="002001C1"/>
    <w:rsid w:val="002002E1"/>
    <w:rsid w:val="0020037E"/>
    <w:rsid w:val="00200392"/>
    <w:rsid w:val="002003B3"/>
    <w:rsid w:val="00200412"/>
    <w:rsid w:val="002004DC"/>
    <w:rsid w:val="0020053A"/>
    <w:rsid w:val="00200576"/>
    <w:rsid w:val="00200646"/>
    <w:rsid w:val="00200661"/>
    <w:rsid w:val="002008FB"/>
    <w:rsid w:val="00200974"/>
    <w:rsid w:val="002009A4"/>
    <w:rsid w:val="002009E6"/>
    <w:rsid w:val="00200AEC"/>
    <w:rsid w:val="00200B56"/>
    <w:rsid w:val="00200B75"/>
    <w:rsid w:val="00200B94"/>
    <w:rsid w:val="00200B96"/>
    <w:rsid w:val="00200BBC"/>
    <w:rsid w:val="00200BD6"/>
    <w:rsid w:val="00200BD8"/>
    <w:rsid w:val="00200C1E"/>
    <w:rsid w:val="00200CD3"/>
    <w:rsid w:val="00200D99"/>
    <w:rsid w:val="00200DBC"/>
    <w:rsid w:val="00200F9A"/>
    <w:rsid w:val="00200FC0"/>
    <w:rsid w:val="00200FDF"/>
    <w:rsid w:val="00200FE5"/>
    <w:rsid w:val="00201059"/>
    <w:rsid w:val="002010EE"/>
    <w:rsid w:val="00201219"/>
    <w:rsid w:val="00201273"/>
    <w:rsid w:val="00201297"/>
    <w:rsid w:val="00201337"/>
    <w:rsid w:val="00201391"/>
    <w:rsid w:val="002013C0"/>
    <w:rsid w:val="002013CC"/>
    <w:rsid w:val="00201471"/>
    <w:rsid w:val="0020150B"/>
    <w:rsid w:val="002016B8"/>
    <w:rsid w:val="002016D4"/>
    <w:rsid w:val="002017D1"/>
    <w:rsid w:val="0020188C"/>
    <w:rsid w:val="002018EC"/>
    <w:rsid w:val="00201929"/>
    <w:rsid w:val="00201987"/>
    <w:rsid w:val="002019DE"/>
    <w:rsid w:val="00201A0C"/>
    <w:rsid w:val="00201A37"/>
    <w:rsid w:val="00201A63"/>
    <w:rsid w:val="00201B91"/>
    <w:rsid w:val="00201D99"/>
    <w:rsid w:val="00201DCB"/>
    <w:rsid w:val="00201E26"/>
    <w:rsid w:val="00201ECF"/>
    <w:rsid w:val="00201F1D"/>
    <w:rsid w:val="00201F9A"/>
    <w:rsid w:val="0020200A"/>
    <w:rsid w:val="002020DF"/>
    <w:rsid w:val="00202104"/>
    <w:rsid w:val="0020214A"/>
    <w:rsid w:val="0020218F"/>
    <w:rsid w:val="00202210"/>
    <w:rsid w:val="002022A5"/>
    <w:rsid w:val="002022DD"/>
    <w:rsid w:val="0020231A"/>
    <w:rsid w:val="0020232D"/>
    <w:rsid w:val="00202494"/>
    <w:rsid w:val="00202570"/>
    <w:rsid w:val="002025A8"/>
    <w:rsid w:val="002026C3"/>
    <w:rsid w:val="002027A7"/>
    <w:rsid w:val="002028B6"/>
    <w:rsid w:val="00202992"/>
    <w:rsid w:val="002029D3"/>
    <w:rsid w:val="00202A54"/>
    <w:rsid w:val="00202B27"/>
    <w:rsid w:val="00202B83"/>
    <w:rsid w:val="00202BE4"/>
    <w:rsid w:val="00202C5F"/>
    <w:rsid w:val="00202C70"/>
    <w:rsid w:val="00202D99"/>
    <w:rsid w:val="00202E24"/>
    <w:rsid w:val="00202FE4"/>
    <w:rsid w:val="002031B2"/>
    <w:rsid w:val="002031B9"/>
    <w:rsid w:val="00203287"/>
    <w:rsid w:val="002033C4"/>
    <w:rsid w:val="002033ED"/>
    <w:rsid w:val="00203429"/>
    <w:rsid w:val="00203440"/>
    <w:rsid w:val="00203484"/>
    <w:rsid w:val="002034A5"/>
    <w:rsid w:val="002034AB"/>
    <w:rsid w:val="002034FB"/>
    <w:rsid w:val="0020369B"/>
    <w:rsid w:val="002036AB"/>
    <w:rsid w:val="0020372D"/>
    <w:rsid w:val="002037D5"/>
    <w:rsid w:val="00203859"/>
    <w:rsid w:val="0020395C"/>
    <w:rsid w:val="00203981"/>
    <w:rsid w:val="00203996"/>
    <w:rsid w:val="00203B83"/>
    <w:rsid w:val="00203BA1"/>
    <w:rsid w:val="00203C9F"/>
    <w:rsid w:val="00203CB0"/>
    <w:rsid w:val="00203D19"/>
    <w:rsid w:val="00203DE7"/>
    <w:rsid w:val="00203E16"/>
    <w:rsid w:val="00203E58"/>
    <w:rsid w:val="00203E7D"/>
    <w:rsid w:val="00203F88"/>
    <w:rsid w:val="00203FA3"/>
    <w:rsid w:val="00204022"/>
    <w:rsid w:val="00204046"/>
    <w:rsid w:val="00204064"/>
    <w:rsid w:val="00204093"/>
    <w:rsid w:val="002040E6"/>
    <w:rsid w:val="0020422B"/>
    <w:rsid w:val="00204585"/>
    <w:rsid w:val="002045A0"/>
    <w:rsid w:val="00204662"/>
    <w:rsid w:val="00204721"/>
    <w:rsid w:val="002047A7"/>
    <w:rsid w:val="002047DA"/>
    <w:rsid w:val="002047E6"/>
    <w:rsid w:val="002047FB"/>
    <w:rsid w:val="002047FE"/>
    <w:rsid w:val="002048AE"/>
    <w:rsid w:val="002049D2"/>
    <w:rsid w:val="00204B47"/>
    <w:rsid w:val="00204C2B"/>
    <w:rsid w:val="00204C2F"/>
    <w:rsid w:val="00204CBB"/>
    <w:rsid w:val="00204CD9"/>
    <w:rsid w:val="00204D3E"/>
    <w:rsid w:val="00204EA4"/>
    <w:rsid w:val="00204F33"/>
    <w:rsid w:val="00204F48"/>
    <w:rsid w:val="00204FD7"/>
    <w:rsid w:val="00205097"/>
    <w:rsid w:val="002051FD"/>
    <w:rsid w:val="00205234"/>
    <w:rsid w:val="002053F3"/>
    <w:rsid w:val="00205482"/>
    <w:rsid w:val="0020565D"/>
    <w:rsid w:val="0020567E"/>
    <w:rsid w:val="0020583D"/>
    <w:rsid w:val="0020586D"/>
    <w:rsid w:val="002058B5"/>
    <w:rsid w:val="00205ABF"/>
    <w:rsid w:val="00205B1A"/>
    <w:rsid w:val="00205C12"/>
    <w:rsid w:val="00205C98"/>
    <w:rsid w:val="00205CB8"/>
    <w:rsid w:val="00205CDD"/>
    <w:rsid w:val="00205DFF"/>
    <w:rsid w:val="00205E79"/>
    <w:rsid w:val="00205F10"/>
    <w:rsid w:val="00205FD4"/>
    <w:rsid w:val="00205FFB"/>
    <w:rsid w:val="00206008"/>
    <w:rsid w:val="00206095"/>
    <w:rsid w:val="0020616D"/>
    <w:rsid w:val="0020618D"/>
    <w:rsid w:val="0020629B"/>
    <w:rsid w:val="00206346"/>
    <w:rsid w:val="00206419"/>
    <w:rsid w:val="0020646C"/>
    <w:rsid w:val="002064CA"/>
    <w:rsid w:val="002064E8"/>
    <w:rsid w:val="002064EF"/>
    <w:rsid w:val="002065E4"/>
    <w:rsid w:val="00206658"/>
    <w:rsid w:val="00206691"/>
    <w:rsid w:val="0020670F"/>
    <w:rsid w:val="00206722"/>
    <w:rsid w:val="00206747"/>
    <w:rsid w:val="00206790"/>
    <w:rsid w:val="00206798"/>
    <w:rsid w:val="00206882"/>
    <w:rsid w:val="002068F4"/>
    <w:rsid w:val="00206986"/>
    <w:rsid w:val="0020698A"/>
    <w:rsid w:val="002069BD"/>
    <w:rsid w:val="00206ACA"/>
    <w:rsid w:val="00206C70"/>
    <w:rsid w:val="00206CA6"/>
    <w:rsid w:val="00206DFF"/>
    <w:rsid w:val="00206FB2"/>
    <w:rsid w:val="00207024"/>
    <w:rsid w:val="00207049"/>
    <w:rsid w:val="00207083"/>
    <w:rsid w:val="002070E6"/>
    <w:rsid w:val="0020710E"/>
    <w:rsid w:val="002071B2"/>
    <w:rsid w:val="002071D2"/>
    <w:rsid w:val="002072A1"/>
    <w:rsid w:val="002072CC"/>
    <w:rsid w:val="002072D9"/>
    <w:rsid w:val="00207381"/>
    <w:rsid w:val="00207396"/>
    <w:rsid w:val="00207550"/>
    <w:rsid w:val="0020756D"/>
    <w:rsid w:val="00207673"/>
    <w:rsid w:val="0020785C"/>
    <w:rsid w:val="002078A2"/>
    <w:rsid w:val="0020791F"/>
    <w:rsid w:val="00207988"/>
    <w:rsid w:val="00207AA3"/>
    <w:rsid w:val="00207B5E"/>
    <w:rsid w:val="00207C63"/>
    <w:rsid w:val="00207C6E"/>
    <w:rsid w:val="00207D05"/>
    <w:rsid w:val="00207D13"/>
    <w:rsid w:val="00207D37"/>
    <w:rsid w:val="00207D3B"/>
    <w:rsid w:val="00207E18"/>
    <w:rsid w:val="00207EE3"/>
    <w:rsid w:val="00207F05"/>
    <w:rsid w:val="00207F20"/>
    <w:rsid w:val="00207F39"/>
    <w:rsid w:val="00207FF1"/>
    <w:rsid w:val="0021006E"/>
    <w:rsid w:val="002100CC"/>
    <w:rsid w:val="002100EE"/>
    <w:rsid w:val="0021011F"/>
    <w:rsid w:val="00210164"/>
    <w:rsid w:val="00210175"/>
    <w:rsid w:val="002101F9"/>
    <w:rsid w:val="00210273"/>
    <w:rsid w:val="002102FD"/>
    <w:rsid w:val="002104B1"/>
    <w:rsid w:val="002104B3"/>
    <w:rsid w:val="002104CA"/>
    <w:rsid w:val="00210560"/>
    <w:rsid w:val="00210586"/>
    <w:rsid w:val="002105A3"/>
    <w:rsid w:val="00210624"/>
    <w:rsid w:val="00210628"/>
    <w:rsid w:val="00210684"/>
    <w:rsid w:val="002106A4"/>
    <w:rsid w:val="00210785"/>
    <w:rsid w:val="0021079C"/>
    <w:rsid w:val="002107D7"/>
    <w:rsid w:val="0021089C"/>
    <w:rsid w:val="002109B4"/>
    <w:rsid w:val="00210AFF"/>
    <w:rsid w:val="00210BD1"/>
    <w:rsid w:val="00210BD9"/>
    <w:rsid w:val="00210C30"/>
    <w:rsid w:val="00210CD5"/>
    <w:rsid w:val="00210E85"/>
    <w:rsid w:val="0021113C"/>
    <w:rsid w:val="00211212"/>
    <w:rsid w:val="00211369"/>
    <w:rsid w:val="00211443"/>
    <w:rsid w:val="002114DB"/>
    <w:rsid w:val="002114F4"/>
    <w:rsid w:val="0021154E"/>
    <w:rsid w:val="00211597"/>
    <w:rsid w:val="002115F3"/>
    <w:rsid w:val="00211613"/>
    <w:rsid w:val="00211755"/>
    <w:rsid w:val="00211786"/>
    <w:rsid w:val="002117EF"/>
    <w:rsid w:val="002118A8"/>
    <w:rsid w:val="002118A9"/>
    <w:rsid w:val="002119BC"/>
    <w:rsid w:val="00211A14"/>
    <w:rsid w:val="00211BA4"/>
    <w:rsid w:val="00211BC7"/>
    <w:rsid w:val="00211D6C"/>
    <w:rsid w:val="00211DA4"/>
    <w:rsid w:val="00211E22"/>
    <w:rsid w:val="00212073"/>
    <w:rsid w:val="002120C7"/>
    <w:rsid w:val="00212195"/>
    <w:rsid w:val="002121E0"/>
    <w:rsid w:val="0021228D"/>
    <w:rsid w:val="00212341"/>
    <w:rsid w:val="0021242A"/>
    <w:rsid w:val="0021251F"/>
    <w:rsid w:val="00212554"/>
    <w:rsid w:val="00212579"/>
    <w:rsid w:val="002125AA"/>
    <w:rsid w:val="00212691"/>
    <w:rsid w:val="00212741"/>
    <w:rsid w:val="00212760"/>
    <w:rsid w:val="00212764"/>
    <w:rsid w:val="002127BF"/>
    <w:rsid w:val="00212967"/>
    <w:rsid w:val="0021299D"/>
    <w:rsid w:val="0021299F"/>
    <w:rsid w:val="002129A9"/>
    <w:rsid w:val="002129CD"/>
    <w:rsid w:val="002129E5"/>
    <w:rsid w:val="00212AA0"/>
    <w:rsid w:val="00212BB2"/>
    <w:rsid w:val="00212BE0"/>
    <w:rsid w:val="00212BEE"/>
    <w:rsid w:val="00212C65"/>
    <w:rsid w:val="00212D25"/>
    <w:rsid w:val="00212DE5"/>
    <w:rsid w:val="00212DF7"/>
    <w:rsid w:val="00212E2D"/>
    <w:rsid w:val="00212F3A"/>
    <w:rsid w:val="00212F92"/>
    <w:rsid w:val="00213000"/>
    <w:rsid w:val="0021305B"/>
    <w:rsid w:val="002130EF"/>
    <w:rsid w:val="00213106"/>
    <w:rsid w:val="002131F3"/>
    <w:rsid w:val="00213310"/>
    <w:rsid w:val="00213334"/>
    <w:rsid w:val="00213634"/>
    <w:rsid w:val="0021364C"/>
    <w:rsid w:val="002136C8"/>
    <w:rsid w:val="002136D2"/>
    <w:rsid w:val="002136EC"/>
    <w:rsid w:val="0021374D"/>
    <w:rsid w:val="002137B2"/>
    <w:rsid w:val="002137B4"/>
    <w:rsid w:val="00213866"/>
    <w:rsid w:val="002139B6"/>
    <w:rsid w:val="00213A08"/>
    <w:rsid w:val="00213ADF"/>
    <w:rsid w:val="00213BCF"/>
    <w:rsid w:val="00213BEB"/>
    <w:rsid w:val="00213C64"/>
    <w:rsid w:val="00213CB6"/>
    <w:rsid w:val="00213D7C"/>
    <w:rsid w:val="00213E83"/>
    <w:rsid w:val="00213F51"/>
    <w:rsid w:val="00213F98"/>
    <w:rsid w:val="0021400F"/>
    <w:rsid w:val="00214063"/>
    <w:rsid w:val="002141F0"/>
    <w:rsid w:val="002141F7"/>
    <w:rsid w:val="0021452F"/>
    <w:rsid w:val="00214596"/>
    <w:rsid w:val="00214668"/>
    <w:rsid w:val="002146AF"/>
    <w:rsid w:val="00214A39"/>
    <w:rsid w:val="00214A9C"/>
    <w:rsid w:val="00214C07"/>
    <w:rsid w:val="00214C33"/>
    <w:rsid w:val="00214C7D"/>
    <w:rsid w:val="00214C96"/>
    <w:rsid w:val="00214D19"/>
    <w:rsid w:val="00214DC4"/>
    <w:rsid w:val="00214E5F"/>
    <w:rsid w:val="00214FC0"/>
    <w:rsid w:val="00215009"/>
    <w:rsid w:val="002150B0"/>
    <w:rsid w:val="002153CD"/>
    <w:rsid w:val="002153CE"/>
    <w:rsid w:val="002154F8"/>
    <w:rsid w:val="002155F0"/>
    <w:rsid w:val="00215792"/>
    <w:rsid w:val="002157E3"/>
    <w:rsid w:val="002157E6"/>
    <w:rsid w:val="00215863"/>
    <w:rsid w:val="00215906"/>
    <w:rsid w:val="00215A1C"/>
    <w:rsid w:val="00215A57"/>
    <w:rsid w:val="00215B62"/>
    <w:rsid w:val="00215BB6"/>
    <w:rsid w:val="00215BED"/>
    <w:rsid w:val="00215C4A"/>
    <w:rsid w:val="00215CC4"/>
    <w:rsid w:val="00215DAD"/>
    <w:rsid w:val="00215E51"/>
    <w:rsid w:val="00215F2E"/>
    <w:rsid w:val="00215F92"/>
    <w:rsid w:val="002160E5"/>
    <w:rsid w:val="0021612E"/>
    <w:rsid w:val="0021618F"/>
    <w:rsid w:val="002161D2"/>
    <w:rsid w:val="00216209"/>
    <w:rsid w:val="00216259"/>
    <w:rsid w:val="00216352"/>
    <w:rsid w:val="0021638E"/>
    <w:rsid w:val="00216392"/>
    <w:rsid w:val="00216496"/>
    <w:rsid w:val="00216583"/>
    <w:rsid w:val="00216634"/>
    <w:rsid w:val="00216661"/>
    <w:rsid w:val="0021670F"/>
    <w:rsid w:val="00216723"/>
    <w:rsid w:val="002168CF"/>
    <w:rsid w:val="00216912"/>
    <w:rsid w:val="00216939"/>
    <w:rsid w:val="00216B2F"/>
    <w:rsid w:val="00216C0D"/>
    <w:rsid w:val="00216D6E"/>
    <w:rsid w:val="00216E1C"/>
    <w:rsid w:val="00216EA8"/>
    <w:rsid w:val="00216EFB"/>
    <w:rsid w:val="00216F1E"/>
    <w:rsid w:val="00216F50"/>
    <w:rsid w:val="0021713A"/>
    <w:rsid w:val="0021715E"/>
    <w:rsid w:val="002171E4"/>
    <w:rsid w:val="002172ED"/>
    <w:rsid w:val="00217320"/>
    <w:rsid w:val="0021734B"/>
    <w:rsid w:val="002173B0"/>
    <w:rsid w:val="0021741D"/>
    <w:rsid w:val="002174F9"/>
    <w:rsid w:val="00217591"/>
    <w:rsid w:val="002175F9"/>
    <w:rsid w:val="0021760F"/>
    <w:rsid w:val="002176FA"/>
    <w:rsid w:val="00217787"/>
    <w:rsid w:val="002177EA"/>
    <w:rsid w:val="00217828"/>
    <w:rsid w:val="00217866"/>
    <w:rsid w:val="00217970"/>
    <w:rsid w:val="002179A4"/>
    <w:rsid w:val="00217CB0"/>
    <w:rsid w:val="00217E88"/>
    <w:rsid w:val="00217EA2"/>
    <w:rsid w:val="00217F16"/>
    <w:rsid w:val="00220128"/>
    <w:rsid w:val="00220168"/>
    <w:rsid w:val="002201C6"/>
    <w:rsid w:val="002201CA"/>
    <w:rsid w:val="002201E9"/>
    <w:rsid w:val="0022023C"/>
    <w:rsid w:val="002203DD"/>
    <w:rsid w:val="00220404"/>
    <w:rsid w:val="0022045F"/>
    <w:rsid w:val="00220505"/>
    <w:rsid w:val="00220585"/>
    <w:rsid w:val="0022058D"/>
    <w:rsid w:val="0022078F"/>
    <w:rsid w:val="00220930"/>
    <w:rsid w:val="00220967"/>
    <w:rsid w:val="00220A91"/>
    <w:rsid w:val="00220B66"/>
    <w:rsid w:val="00220BBD"/>
    <w:rsid w:val="00220BD7"/>
    <w:rsid w:val="00220C17"/>
    <w:rsid w:val="00220D51"/>
    <w:rsid w:val="00220D7C"/>
    <w:rsid w:val="00220DAF"/>
    <w:rsid w:val="00220DD7"/>
    <w:rsid w:val="00221020"/>
    <w:rsid w:val="002210B3"/>
    <w:rsid w:val="0022121D"/>
    <w:rsid w:val="00221230"/>
    <w:rsid w:val="0022126D"/>
    <w:rsid w:val="002212F2"/>
    <w:rsid w:val="00221411"/>
    <w:rsid w:val="002214D3"/>
    <w:rsid w:val="00221512"/>
    <w:rsid w:val="002215E7"/>
    <w:rsid w:val="00221608"/>
    <w:rsid w:val="0022161A"/>
    <w:rsid w:val="0022170B"/>
    <w:rsid w:val="00221724"/>
    <w:rsid w:val="00221AF4"/>
    <w:rsid w:val="00221B79"/>
    <w:rsid w:val="00221B96"/>
    <w:rsid w:val="00221BC0"/>
    <w:rsid w:val="00221D0F"/>
    <w:rsid w:val="00221D81"/>
    <w:rsid w:val="00221E74"/>
    <w:rsid w:val="00221EEE"/>
    <w:rsid w:val="00221F2E"/>
    <w:rsid w:val="00221F3F"/>
    <w:rsid w:val="00221F8F"/>
    <w:rsid w:val="00222090"/>
    <w:rsid w:val="002220BB"/>
    <w:rsid w:val="002220C6"/>
    <w:rsid w:val="0022210A"/>
    <w:rsid w:val="0022227B"/>
    <w:rsid w:val="00222331"/>
    <w:rsid w:val="0022237C"/>
    <w:rsid w:val="0022248C"/>
    <w:rsid w:val="00222580"/>
    <w:rsid w:val="00222613"/>
    <w:rsid w:val="00222642"/>
    <w:rsid w:val="0022269A"/>
    <w:rsid w:val="002226EE"/>
    <w:rsid w:val="0022284A"/>
    <w:rsid w:val="00222892"/>
    <w:rsid w:val="00222900"/>
    <w:rsid w:val="00222A34"/>
    <w:rsid w:val="00222B6E"/>
    <w:rsid w:val="00222C2D"/>
    <w:rsid w:val="00222CC9"/>
    <w:rsid w:val="00222CDB"/>
    <w:rsid w:val="00222D10"/>
    <w:rsid w:val="00222D87"/>
    <w:rsid w:val="00222E57"/>
    <w:rsid w:val="00222F15"/>
    <w:rsid w:val="00222F16"/>
    <w:rsid w:val="00223034"/>
    <w:rsid w:val="00223087"/>
    <w:rsid w:val="002230CE"/>
    <w:rsid w:val="002230EB"/>
    <w:rsid w:val="002230F8"/>
    <w:rsid w:val="00223140"/>
    <w:rsid w:val="002233A8"/>
    <w:rsid w:val="002233F8"/>
    <w:rsid w:val="00223427"/>
    <w:rsid w:val="002234AA"/>
    <w:rsid w:val="00223536"/>
    <w:rsid w:val="00223666"/>
    <w:rsid w:val="0022366E"/>
    <w:rsid w:val="002236A1"/>
    <w:rsid w:val="002236A5"/>
    <w:rsid w:val="00223701"/>
    <w:rsid w:val="00223778"/>
    <w:rsid w:val="002237BB"/>
    <w:rsid w:val="002237CA"/>
    <w:rsid w:val="002237EA"/>
    <w:rsid w:val="002238F9"/>
    <w:rsid w:val="00223A28"/>
    <w:rsid w:val="00223B80"/>
    <w:rsid w:val="00223B81"/>
    <w:rsid w:val="00223B90"/>
    <w:rsid w:val="00223CB7"/>
    <w:rsid w:val="00223E24"/>
    <w:rsid w:val="00223E6E"/>
    <w:rsid w:val="00223E7B"/>
    <w:rsid w:val="00223F97"/>
    <w:rsid w:val="00223FAD"/>
    <w:rsid w:val="0022401C"/>
    <w:rsid w:val="00224143"/>
    <w:rsid w:val="00224355"/>
    <w:rsid w:val="00224363"/>
    <w:rsid w:val="002243BA"/>
    <w:rsid w:val="002244BC"/>
    <w:rsid w:val="002246CD"/>
    <w:rsid w:val="002246EF"/>
    <w:rsid w:val="0022470F"/>
    <w:rsid w:val="00224803"/>
    <w:rsid w:val="00224836"/>
    <w:rsid w:val="0022489C"/>
    <w:rsid w:val="002248F1"/>
    <w:rsid w:val="00224957"/>
    <w:rsid w:val="00224B64"/>
    <w:rsid w:val="00224B7B"/>
    <w:rsid w:val="00224BE1"/>
    <w:rsid w:val="00224BE6"/>
    <w:rsid w:val="00224D04"/>
    <w:rsid w:val="00224E3F"/>
    <w:rsid w:val="00224EC0"/>
    <w:rsid w:val="00224F39"/>
    <w:rsid w:val="00225052"/>
    <w:rsid w:val="0022507F"/>
    <w:rsid w:val="002252D4"/>
    <w:rsid w:val="00225312"/>
    <w:rsid w:val="00225387"/>
    <w:rsid w:val="0022538A"/>
    <w:rsid w:val="0022539C"/>
    <w:rsid w:val="002254F6"/>
    <w:rsid w:val="0022553B"/>
    <w:rsid w:val="00225550"/>
    <w:rsid w:val="00225813"/>
    <w:rsid w:val="0022581D"/>
    <w:rsid w:val="0022592D"/>
    <w:rsid w:val="0022595F"/>
    <w:rsid w:val="00225AE2"/>
    <w:rsid w:val="00225B90"/>
    <w:rsid w:val="00225CD3"/>
    <w:rsid w:val="00225D68"/>
    <w:rsid w:val="00225D70"/>
    <w:rsid w:val="00225DD6"/>
    <w:rsid w:val="00225E5D"/>
    <w:rsid w:val="00225EA1"/>
    <w:rsid w:val="00225FD1"/>
    <w:rsid w:val="00226129"/>
    <w:rsid w:val="002263BD"/>
    <w:rsid w:val="002264D9"/>
    <w:rsid w:val="0022653A"/>
    <w:rsid w:val="00226693"/>
    <w:rsid w:val="002266BF"/>
    <w:rsid w:val="00226733"/>
    <w:rsid w:val="002267AC"/>
    <w:rsid w:val="002267DF"/>
    <w:rsid w:val="0022681C"/>
    <w:rsid w:val="0022696E"/>
    <w:rsid w:val="002269D9"/>
    <w:rsid w:val="002269EC"/>
    <w:rsid w:val="00226B33"/>
    <w:rsid w:val="00226C21"/>
    <w:rsid w:val="00226C26"/>
    <w:rsid w:val="00226CC4"/>
    <w:rsid w:val="00226D8D"/>
    <w:rsid w:val="00226DE8"/>
    <w:rsid w:val="00226F4C"/>
    <w:rsid w:val="00226FC4"/>
    <w:rsid w:val="00226FFA"/>
    <w:rsid w:val="0022712F"/>
    <w:rsid w:val="00227172"/>
    <w:rsid w:val="00227180"/>
    <w:rsid w:val="002271A8"/>
    <w:rsid w:val="002272CB"/>
    <w:rsid w:val="00227353"/>
    <w:rsid w:val="00227356"/>
    <w:rsid w:val="0022754B"/>
    <w:rsid w:val="002275BB"/>
    <w:rsid w:val="00227601"/>
    <w:rsid w:val="00227654"/>
    <w:rsid w:val="00227695"/>
    <w:rsid w:val="0022769B"/>
    <w:rsid w:val="002276A0"/>
    <w:rsid w:val="00227737"/>
    <w:rsid w:val="00227800"/>
    <w:rsid w:val="00227977"/>
    <w:rsid w:val="00227A08"/>
    <w:rsid w:val="00227A24"/>
    <w:rsid w:val="00227AB5"/>
    <w:rsid w:val="00227ABC"/>
    <w:rsid w:val="00227ACD"/>
    <w:rsid w:val="00227B9C"/>
    <w:rsid w:val="00227C3B"/>
    <w:rsid w:val="00227D00"/>
    <w:rsid w:val="00227E41"/>
    <w:rsid w:val="00227E8C"/>
    <w:rsid w:val="00230083"/>
    <w:rsid w:val="00230103"/>
    <w:rsid w:val="00230204"/>
    <w:rsid w:val="00230205"/>
    <w:rsid w:val="002303E0"/>
    <w:rsid w:val="002305B6"/>
    <w:rsid w:val="002305BA"/>
    <w:rsid w:val="002305E8"/>
    <w:rsid w:val="0023066D"/>
    <w:rsid w:val="00230800"/>
    <w:rsid w:val="002308B1"/>
    <w:rsid w:val="002308FD"/>
    <w:rsid w:val="00230931"/>
    <w:rsid w:val="00230947"/>
    <w:rsid w:val="00230975"/>
    <w:rsid w:val="00230AC0"/>
    <w:rsid w:val="00230BBB"/>
    <w:rsid w:val="00230C5E"/>
    <w:rsid w:val="00230C66"/>
    <w:rsid w:val="00230CCA"/>
    <w:rsid w:val="00230D82"/>
    <w:rsid w:val="00230E33"/>
    <w:rsid w:val="00230F09"/>
    <w:rsid w:val="00230FC4"/>
    <w:rsid w:val="002312EC"/>
    <w:rsid w:val="00231407"/>
    <w:rsid w:val="00231444"/>
    <w:rsid w:val="00231659"/>
    <w:rsid w:val="002316D9"/>
    <w:rsid w:val="0023176B"/>
    <w:rsid w:val="00231816"/>
    <w:rsid w:val="002318A2"/>
    <w:rsid w:val="002318F7"/>
    <w:rsid w:val="00231963"/>
    <w:rsid w:val="00231A41"/>
    <w:rsid w:val="00231A77"/>
    <w:rsid w:val="00231A9D"/>
    <w:rsid w:val="00231BDF"/>
    <w:rsid w:val="00231C93"/>
    <w:rsid w:val="00231CA8"/>
    <w:rsid w:val="00231DB0"/>
    <w:rsid w:val="00231DD2"/>
    <w:rsid w:val="00231DEE"/>
    <w:rsid w:val="00231EBC"/>
    <w:rsid w:val="00231F8D"/>
    <w:rsid w:val="00231F9D"/>
    <w:rsid w:val="00231FD5"/>
    <w:rsid w:val="00232013"/>
    <w:rsid w:val="002320AF"/>
    <w:rsid w:val="00232169"/>
    <w:rsid w:val="0023216E"/>
    <w:rsid w:val="002322A4"/>
    <w:rsid w:val="002322A5"/>
    <w:rsid w:val="002323AA"/>
    <w:rsid w:val="00232453"/>
    <w:rsid w:val="0023248E"/>
    <w:rsid w:val="00232550"/>
    <w:rsid w:val="002325CD"/>
    <w:rsid w:val="002327B0"/>
    <w:rsid w:val="002328EB"/>
    <w:rsid w:val="00232A58"/>
    <w:rsid w:val="00232BA5"/>
    <w:rsid w:val="00232C16"/>
    <w:rsid w:val="00232CB0"/>
    <w:rsid w:val="00232DCF"/>
    <w:rsid w:val="00232E2D"/>
    <w:rsid w:val="00232E66"/>
    <w:rsid w:val="00232F5D"/>
    <w:rsid w:val="00232FC2"/>
    <w:rsid w:val="0023303A"/>
    <w:rsid w:val="00233094"/>
    <w:rsid w:val="002330AD"/>
    <w:rsid w:val="0023313D"/>
    <w:rsid w:val="0023322E"/>
    <w:rsid w:val="00233413"/>
    <w:rsid w:val="0023346F"/>
    <w:rsid w:val="0023349A"/>
    <w:rsid w:val="002334C3"/>
    <w:rsid w:val="002334DC"/>
    <w:rsid w:val="0023353D"/>
    <w:rsid w:val="0023361E"/>
    <w:rsid w:val="0023381E"/>
    <w:rsid w:val="00233969"/>
    <w:rsid w:val="00233972"/>
    <w:rsid w:val="00233986"/>
    <w:rsid w:val="002339A3"/>
    <w:rsid w:val="002339C9"/>
    <w:rsid w:val="00233A28"/>
    <w:rsid w:val="00233A71"/>
    <w:rsid w:val="00233AA6"/>
    <w:rsid w:val="00233B08"/>
    <w:rsid w:val="00233B95"/>
    <w:rsid w:val="00233BC8"/>
    <w:rsid w:val="00233C70"/>
    <w:rsid w:val="00233C78"/>
    <w:rsid w:val="00233CA8"/>
    <w:rsid w:val="00233D95"/>
    <w:rsid w:val="00233E22"/>
    <w:rsid w:val="00233E3B"/>
    <w:rsid w:val="00233F6F"/>
    <w:rsid w:val="00233F91"/>
    <w:rsid w:val="00233FD0"/>
    <w:rsid w:val="0023407F"/>
    <w:rsid w:val="0023418A"/>
    <w:rsid w:val="0023418B"/>
    <w:rsid w:val="002344A0"/>
    <w:rsid w:val="0023452B"/>
    <w:rsid w:val="0023453F"/>
    <w:rsid w:val="002346DF"/>
    <w:rsid w:val="002347E3"/>
    <w:rsid w:val="0023480B"/>
    <w:rsid w:val="00234816"/>
    <w:rsid w:val="0023488C"/>
    <w:rsid w:val="002348E5"/>
    <w:rsid w:val="00234BED"/>
    <w:rsid w:val="00234C25"/>
    <w:rsid w:val="00234C44"/>
    <w:rsid w:val="00234C56"/>
    <w:rsid w:val="00234DB5"/>
    <w:rsid w:val="00234DB6"/>
    <w:rsid w:val="00234E6B"/>
    <w:rsid w:val="00234ED4"/>
    <w:rsid w:val="00234EDB"/>
    <w:rsid w:val="00234EEC"/>
    <w:rsid w:val="00234F0A"/>
    <w:rsid w:val="00234F39"/>
    <w:rsid w:val="00234F58"/>
    <w:rsid w:val="00234F66"/>
    <w:rsid w:val="0023506E"/>
    <w:rsid w:val="00235081"/>
    <w:rsid w:val="0023524B"/>
    <w:rsid w:val="0023527E"/>
    <w:rsid w:val="0023528C"/>
    <w:rsid w:val="002353DE"/>
    <w:rsid w:val="00235460"/>
    <w:rsid w:val="00235547"/>
    <w:rsid w:val="00235613"/>
    <w:rsid w:val="0023561E"/>
    <w:rsid w:val="00235664"/>
    <w:rsid w:val="002356C6"/>
    <w:rsid w:val="00235739"/>
    <w:rsid w:val="002357AA"/>
    <w:rsid w:val="0023582B"/>
    <w:rsid w:val="0023583D"/>
    <w:rsid w:val="00235888"/>
    <w:rsid w:val="00235890"/>
    <w:rsid w:val="0023589B"/>
    <w:rsid w:val="0023595B"/>
    <w:rsid w:val="002359D8"/>
    <w:rsid w:val="00235A9D"/>
    <w:rsid w:val="00235AF5"/>
    <w:rsid w:val="00235B1C"/>
    <w:rsid w:val="00235B2B"/>
    <w:rsid w:val="00235BB5"/>
    <w:rsid w:val="00235BFF"/>
    <w:rsid w:val="00235DF9"/>
    <w:rsid w:val="00235EEF"/>
    <w:rsid w:val="00235F5F"/>
    <w:rsid w:val="00235F64"/>
    <w:rsid w:val="00236006"/>
    <w:rsid w:val="00236047"/>
    <w:rsid w:val="0023608E"/>
    <w:rsid w:val="002360F7"/>
    <w:rsid w:val="00236180"/>
    <w:rsid w:val="002361C0"/>
    <w:rsid w:val="002362E5"/>
    <w:rsid w:val="00236404"/>
    <w:rsid w:val="0023640E"/>
    <w:rsid w:val="00236444"/>
    <w:rsid w:val="002364E0"/>
    <w:rsid w:val="002365B1"/>
    <w:rsid w:val="00236689"/>
    <w:rsid w:val="00236790"/>
    <w:rsid w:val="002367DC"/>
    <w:rsid w:val="002368F2"/>
    <w:rsid w:val="00236953"/>
    <w:rsid w:val="002369AE"/>
    <w:rsid w:val="002369E2"/>
    <w:rsid w:val="00236B15"/>
    <w:rsid w:val="00236BA5"/>
    <w:rsid w:val="00236BB1"/>
    <w:rsid w:val="00236BCE"/>
    <w:rsid w:val="00236CD6"/>
    <w:rsid w:val="00236DF7"/>
    <w:rsid w:val="00236E09"/>
    <w:rsid w:val="00236E72"/>
    <w:rsid w:val="00236E93"/>
    <w:rsid w:val="00236EE0"/>
    <w:rsid w:val="00236F38"/>
    <w:rsid w:val="00236F53"/>
    <w:rsid w:val="00236FF0"/>
    <w:rsid w:val="00236FF7"/>
    <w:rsid w:val="0023708C"/>
    <w:rsid w:val="002370AC"/>
    <w:rsid w:val="002370CF"/>
    <w:rsid w:val="00237109"/>
    <w:rsid w:val="002371EC"/>
    <w:rsid w:val="0023738F"/>
    <w:rsid w:val="002373E4"/>
    <w:rsid w:val="002377B4"/>
    <w:rsid w:val="002377D1"/>
    <w:rsid w:val="002377E0"/>
    <w:rsid w:val="002378A1"/>
    <w:rsid w:val="00237AC6"/>
    <w:rsid w:val="00237B53"/>
    <w:rsid w:val="00237DF5"/>
    <w:rsid w:val="00237E25"/>
    <w:rsid w:val="0024000D"/>
    <w:rsid w:val="00240018"/>
    <w:rsid w:val="00240022"/>
    <w:rsid w:val="00240035"/>
    <w:rsid w:val="00240256"/>
    <w:rsid w:val="0024030C"/>
    <w:rsid w:val="00240338"/>
    <w:rsid w:val="00240532"/>
    <w:rsid w:val="00240545"/>
    <w:rsid w:val="002405A2"/>
    <w:rsid w:val="002406F5"/>
    <w:rsid w:val="00240808"/>
    <w:rsid w:val="00240841"/>
    <w:rsid w:val="002408F2"/>
    <w:rsid w:val="0024097E"/>
    <w:rsid w:val="002409DF"/>
    <w:rsid w:val="00240AFF"/>
    <w:rsid w:val="00240CA4"/>
    <w:rsid w:val="00240E38"/>
    <w:rsid w:val="00240E91"/>
    <w:rsid w:val="00240E97"/>
    <w:rsid w:val="00240FBD"/>
    <w:rsid w:val="00240FCD"/>
    <w:rsid w:val="002411ED"/>
    <w:rsid w:val="002413B8"/>
    <w:rsid w:val="002413DA"/>
    <w:rsid w:val="002413FF"/>
    <w:rsid w:val="0024147E"/>
    <w:rsid w:val="00241540"/>
    <w:rsid w:val="002415C5"/>
    <w:rsid w:val="002416AC"/>
    <w:rsid w:val="00241743"/>
    <w:rsid w:val="002417BF"/>
    <w:rsid w:val="002418AF"/>
    <w:rsid w:val="002418B0"/>
    <w:rsid w:val="00241A3C"/>
    <w:rsid w:val="00241A88"/>
    <w:rsid w:val="00241AE1"/>
    <w:rsid w:val="00241B1D"/>
    <w:rsid w:val="00241B67"/>
    <w:rsid w:val="00241B94"/>
    <w:rsid w:val="00241BC9"/>
    <w:rsid w:val="00241BE2"/>
    <w:rsid w:val="00241C92"/>
    <w:rsid w:val="00241D12"/>
    <w:rsid w:val="00241D96"/>
    <w:rsid w:val="00241DBF"/>
    <w:rsid w:val="00241E19"/>
    <w:rsid w:val="00241F1F"/>
    <w:rsid w:val="00242093"/>
    <w:rsid w:val="0024210B"/>
    <w:rsid w:val="002421A6"/>
    <w:rsid w:val="0024222A"/>
    <w:rsid w:val="0024248E"/>
    <w:rsid w:val="002424CE"/>
    <w:rsid w:val="002424DB"/>
    <w:rsid w:val="00242625"/>
    <w:rsid w:val="0024262B"/>
    <w:rsid w:val="00242648"/>
    <w:rsid w:val="002426A9"/>
    <w:rsid w:val="00242793"/>
    <w:rsid w:val="00242864"/>
    <w:rsid w:val="00242981"/>
    <w:rsid w:val="00242996"/>
    <w:rsid w:val="00242A39"/>
    <w:rsid w:val="00242B36"/>
    <w:rsid w:val="00242B96"/>
    <w:rsid w:val="00242CA9"/>
    <w:rsid w:val="00242D16"/>
    <w:rsid w:val="00242D41"/>
    <w:rsid w:val="00242DAD"/>
    <w:rsid w:val="00242F3D"/>
    <w:rsid w:val="00242F52"/>
    <w:rsid w:val="00242F7E"/>
    <w:rsid w:val="00243173"/>
    <w:rsid w:val="00243245"/>
    <w:rsid w:val="002432AD"/>
    <w:rsid w:val="002432C9"/>
    <w:rsid w:val="002432E7"/>
    <w:rsid w:val="002432F1"/>
    <w:rsid w:val="0024330D"/>
    <w:rsid w:val="0024334B"/>
    <w:rsid w:val="00243595"/>
    <w:rsid w:val="002435AA"/>
    <w:rsid w:val="00243656"/>
    <w:rsid w:val="00243703"/>
    <w:rsid w:val="0024370F"/>
    <w:rsid w:val="002437BA"/>
    <w:rsid w:val="0024381E"/>
    <w:rsid w:val="00243877"/>
    <w:rsid w:val="00243882"/>
    <w:rsid w:val="00243AB3"/>
    <w:rsid w:val="00243C05"/>
    <w:rsid w:val="00243C4C"/>
    <w:rsid w:val="00243C7F"/>
    <w:rsid w:val="00243D33"/>
    <w:rsid w:val="00243E01"/>
    <w:rsid w:val="00243E99"/>
    <w:rsid w:val="00243FC2"/>
    <w:rsid w:val="00244020"/>
    <w:rsid w:val="00244064"/>
    <w:rsid w:val="002441D1"/>
    <w:rsid w:val="002441EA"/>
    <w:rsid w:val="00244505"/>
    <w:rsid w:val="00244553"/>
    <w:rsid w:val="002445AD"/>
    <w:rsid w:val="002446E4"/>
    <w:rsid w:val="00244749"/>
    <w:rsid w:val="00244776"/>
    <w:rsid w:val="00244842"/>
    <w:rsid w:val="002448B2"/>
    <w:rsid w:val="0024490D"/>
    <w:rsid w:val="00244A3B"/>
    <w:rsid w:val="00244A57"/>
    <w:rsid w:val="00244B96"/>
    <w:rsid w:val="00244C04"/>
    <w:rsid w:val="00244C87"/>
    <w:rsid w:val="00244D37"/>
    <w:rsid w:val="00244D56"/>
    <w:rsid w:val="00244EFE"/>
    <w:rsid w:val="00244F48"/>
    <w:rsid w:val="00245006"/>
    <w:rsid w:val="00245040"/>
    <w:rsid w:val="002451C3"/>
    <w:rsid w:val="00245212"/>
    <w:rsid w:val="00245217"/>
    <w:rsid w:val="00245266"/>
    <w:rsid w:val="0024526F"/>
    <w:rsid w:val="002452E9"/>
    <w:rsid w:val="0024538E"/>
    <w:rsid w:val="0024539C"/>
    <w:rsid w:val="0024541E"/>
    <w:rsid w:val="00245480"/>
    <w:rsid w:val="0024562B"/>
    <w:rsid w:val="00245670"/>
    <w:rsid w:val="00245675"/>
    <w:rsid w:val="0024585E"/>
    <w:rsid w:val="00245903"/>
    <w:rsid w:val="00245A27"/>
    <w:rsid w:val="00245AC3"/>
    <w:rsid w:val="00245B12"/>
    <w:rsid w:val="00245B85"/>
    <w:rsid w:val="00245B86"/>
    <w:rsid w:val="00245B91"/>
    <w:rsid w:val="00245BB6"/>
    <w:rsid w:val="00245BF2"/>
    <w:rsid w:val="00245C51"/>
    <w:rsid w:val="00245C5E"/>
    <w:rsid w:val="00245DAD"/>
    <w:rsid w:val="00245E01"/>
    <w:rsid w:val="00245E1F"/>
    <w:rsid w:val="00245F72"/>
    <w:rsid w:val="00245F9B"/>
    <w:rsid w:val="00246061"/>
    <w:rsid w:val="002460C2"/>
    <w:rsid w:val="00246196"/>
    <w:rsid w:val="00246205"/>
    <w:rsid w:val="00246277"/>
    <w:rsid w:val="00246295"/>
    <w:rsid w:val="002462D9"/>
    <w:rsid w:val="002462FC"/>
    <w:rsid w:val="0024631D"/>
    <w:rsid w:val="0024632C"/>
    <w:rsid w:val="0024634F"/>
    <w:rsid w:val="00246372"/>
    <w:rsid w:val="0024639C"/>
    <w:rsid w:val="00246516"/>
    <w:rsid w:val="0024676D"/>
    <w:rsid w:val="002467A9"/>
    <w:rsid w:val="002467CF"/>
    <w:rsid w:val="00246928"/>
    <w:rsid w:val="00246962"/>
    <w:rsid w:val="0024696C"/>
    <w:rsid w:val="00246A70"/>
    <w:rsid w:val="00246B27"/>
    <w:rsid w:val="00246BD9"/>
    <w:rsid w:val="00246C20"/>
    <w:rsid w:val="00246C8E"/>
    <w:rsid w:val="00246D1C"/>
    <w:rsid w:val="00246D27"/>
    <w:rsid w:val="00247011"/>
    <w:rsid w:val="002471D5"/>
    <w:rsid w:val="00247302"/>
    <w:rsid w:val="00247583"/>
    <w:rsid w:val="002475CF"/>
    <w:rsid w:val="002476AB"/>
    <w:rsid w:val="002476E4"/>
    <w:rsid w:val="00247701"/>
    <w:rsid w:val="00247708"/>
    <w:rsid w:val="00247822"/>
    <w:rsid w:val="00247891"/>
    <w:rsid w:val="00247A0F"/>
    <w:rsid w:val="00247A21"/>
    <w:rsid w:val="00247A5B"/>
    <w:rsid w:val="00247A78"/>
    <w:rsid w:val="00247A80"/>
    <w:rsid w:val="00247BA0"/>
    <w:rsid w:val="00247BA4"/>
    <w:rsid w:val="00247CB2"/>
    <w:rsid w:val="00247CD3"/>
    <w:rsid w:val="00247CEB"/>
    <w:rsid w:val="00247D09"/>
    <w:rsid w:val="00247D67"/>
    <w:rsid w:val="00247E1E"/>
    <w:rsid w:val="0025008E"/>
    <w:rsid w:val="0025016C"/>
    <w:rsid w:val="00250172"/>
    <w:rsid w:val="00250185"/>
    <w:rsid w:val="002501CF"/>
    <w:rsid w:val="002501DA"/>
    <w:rsid w:val="002502B2"/>
    <w:rsid w:val="00250446"/>
    <w:rsid w:val="00250468"/>
    <w:rsid w:val="002504A7"/>
    <w:rsid w:val="00250560"/>
    <w:rsid w:val="00250562"/>
    <w:rsid w:val="002506BE"/>
    <w:rsid w:val="0025072B"/>
    <w:rsid w:val="0025079D"/>
    <w:rsid w:val="002507C1"/>
    <w:rsid w:val="002507ED"/>
    <w:rsid w:val="002508B3"/>
    <w:rsid w:val="00250BBA"/>
    <w:rsid w:val="00250BFD"/>
    <w:rsid w:val="00250D0D"/>
    <w:rsid w:val="00250D26"/>
    <w:rsid w:val="00250EAC"/>
    <w:rsid w:val="00250F00"/>
    <w:rsid w:val="00250FBE"/>
    <w:rsid w:val="0025103D"/>
    <w:rsid w:val="0025111F"/>
    <w:rsid w:val="00251132"/>
    <w:rsid w:val="0025119A"/>
    <w:rsid w:val="00251202"/>
    <w:rsid w:val="0025121F"/>
    <w:rsid w:val="0025127C"/>
    <w:rsid w:val="002512FD"/>
    <w:rsid w:val="00251367"/>
    <w:rsid w:val="002513BA"/>
    <w:rsid w:val="0025176C"/>
    <w:rsid w:val="002518AC"/>
    <w:rsid w:val="00251996"/>
    <w:rsid w:val="00251A52"/>
    <w:rsid w:val="00251A98"/>
    <w:rsid w:val="00251B0C"/>
    <w:rsid w:val="00251BCB"/>
    <w:rsid w:val="00251C7B"/>
    <w:rsid w:val="00251D33"/>
    <w:rsid w:val="00251DB2"/>
    <w:rsid w:val="00251E1D"/>
    <w:rsid w:val="00251E97"/>
    <w:rsid w:val="00251ECD"/>
    <w:rsid w:val="00251F23"/>
    <w:rsid w:val="00251F71"/>
    <w:rsid w:val="00251FFE"/>
    <w:rsid w:val="00252051"/>
    <w:rsid w:val="002520E0"/>
    <w:rsid w:val="00252284"/>
    <w:rsid w:val="002522AE"/>
    <w:rsid w:val="002522DC"/>
    <w:rsid w:val="002523F9"/>
    <w:rsid w:val="00252413"/>
    <w:rsid w:val="0025244A"/>
    <w:rsid w:val="0025244F"/>
    <w:rsid w:val="0025251E"/>
    <w:rsid w:val="002526A0"/>
    <w:rsid w:val="002526BD"/>
    <w:rsid w:val="00252760"/>
    <w:rsid w:val="002528B4"/>
    <w:rsid w:val="00252A3E"/>
    <w:rsid w:val="00252B3A"/>
    <w:rsid w:val="00252B80"/>
    <w:rsid w:val="00252B98"/>
    <w:rsid w:val="00252B9C"/>
    <w:rsid w:val="00252C3F"/>
    <w:rsid w:val="00252CBC"/>
    <w:rsid w:val="00252CFC"/>
    <w:rsid w:val="00252D4C"/>
    <w:rsid w:val="00252E2C"/>
    <w:rsid w:val="00252ED7"/>
    <w:rsid w:val="00252F30"/>
    <w:rsid w:val="00252F94"/>
    <w:rsid w:val="00253001"/>
    <w:rsid w:val="00253018"/>
    <w:rsid w:val="0025308C"/>
    <w:rsid w:val="002530FE"/>
    <w:rsid w:val="00253157"/>
    <w:rsid w:val="00253265"/>
    <w:rsid w:val="002533EC"/>
    <w:rsid w:val="0025348B"/>
    <w:rsid w:val="002535A4"/>
    <w:rsid w:val="0025363F"/>
    <w:rsid w:val="0025374A"/>
    <w:rsid w:val="0025374C"/>
    <w:rsid w:val="0025394D"/>
    <w:rsid w:val="002539A0"/>
    <w:rsid w:val="00253A2D"/>
    <w:rsid w:val="00253A96"/>
    <w:rsid w:val="00253C06"/>
    <w:rsid w:val="00253C20"/>
    <w:rsid w:val="00253C27"/>
    <w:rsid w:val="00253CB7"/>
    <w:rsid w:val="00253D13"/>
    <w:rsid w:val="00253DDC"/>
    <w:rsid w:val="00253ED5"/>
    <w:rsid w:val="00253F2F"/>
    <w:rsid w:val="00253F75"/>
    <w:rsid w:val="00254124"/>
    <w:rsid w:val="00254142"/>
    <w:rsid w:val="00254149"/>
    <w:rsid w:val="00254157"/>
    <w:rsid w:val="00254299"/>
    <w:rsid w:val="00254522"/>
    <w:rsid w:val="00254554"/>
    <w:rsid w:val="0025456A"/>
    <w:rsid w:val="00254635"/>
    <w:rsid w:val="0025468C"/>
    <w:rsid w:val="002546A9"/>
    <w:rsid w:val="002547C0"/>
    <w:rsid w:val="0025480E"/>
    <w:rsid w:val="002548E9"/>
    <w:rsid w:val="00254A7D"/>
    <w:rsid w:val="00254AC5"/>
    <w:rsid w:val="00254AF5"/>
    <w:rsid w:val="00254B45"/>
    <w:rsid w:val="00254BB0"/>
    <w:rsid w:val="00254BFF"/>
    <w:rsid w:val="00254C1F"/>
    <w:rsid w:val="00254C70"/>
    <w:rsid w:val="00254D94"/>
    <w:rsid w:val="00254DCA"/>
    <w:rsid w:val="00254E60"/>
    <w:rsid w:val="00254EAD"/>
    <w:rsid w:val="00254F0B"/>
    <w:rsid w:val="00254F98"/>
    <w:rsid w:val="00255098"/>
    <w:rsid w:val="00255211"/>
    <w:rsid w:val="00255247"/>
    <w:rsid w:val="002552DF"/>
    <w:rsid w:val="0025554E"/>
    <w:rsid w:val="002558FC"/>
    <w:rsid w:val="002558FF"/>
    <w:rsid w:val="00255921"/>
    <w:rsid w:val="002559CF"/>
    <w:rsid w:val="00255A55"/>
    <w:rsid w:val="00255A82"/>
    <w:rsid w:val="00255AD6"/>
    <w:rsid w:val="00255B6E"/>
    <w:rsid w:val="00255C34"/>
    <w:rsid w:val="00255C5E"/>
    <w:rsid w:val="00255C64"/>
    <w:rsid w:val="00255CAA"/>
    <w:rsid w:val="00255D5B"/>
    <w:rsid w:val="00255DE0"/>
    <w:rsid w:val="00255DE3"/>
    <w:rsid w:val="00255E3C"/>
    <w:rsid w:val="00255E67"/>
    <w:rsid w:val="00255EC6"/>
    <w:rsid w:val="00255F0C"/>
    <w:rsid w:val="00255F86"/>
    <w:rsid w:val="00255FAA"/>
    <w:rsid w:val="00256112"/>
    <w:rsid w:val="002561BD"/>
    <w:rsid w:val="002561C5"/>
    <w:rsid w:val="002561CB"/>
    <w:rsid w:val="00256200"/>
    <w:rsid w:val="00256224"/>
    <w:rsid w:val="002562CD"/>
    <w:rsid w:val="00256392"/>
    <w:rsid w:val="002564E5"/>
    <w:rsid w:val="0025658F"/>
    <w:rsid w:val="0025665D"/>
    <w:rsid w:val="0025667E"/>
    <w:rsid w:val="002566D6"/>
    <w:rsid w:val="00256704"/>
    <w:rsid w:val="0025676F"/>
    <w:rsid w:val="00256920"/>
    <w:rsid w:val="002569D8"/>
    <w:rsid w:val="002569FA"/>
    <w:rsid w:val="00256A20"/>
    <w:rsid w:val="00256A84"/>
    <w:rsid w:val="00256A9D"/>
    <w:rsid w:val="00256AFF"/>
    <w:rsid w:val="00256BA2"/>
    <w:rsid w:val="00256D36"/>
    <w:rsid w:val="00256DE0"/>
    <w:rsid w:val="00256E3D"/>
    <w:rsid w:val="00256E49"/>
    <w:rsid w:val="00256F00"/>
    <w:rsid w:val="00256F05"/>
    <w:rsid w:val="00256FF3"/>
    <w:rsid w:val="00257051"/>
    <w:rsid w:val="00257073"/>
    <w:rsid w:val="00257223"/>
    <w:rsid w:val="0025728A"/>
    <w:rsid w:val="002574D1"/>
    <w:rsid w:val="002574DA"/>
    <w:rsid w:val="00257518"/>
    <w:rsid w:val="002575ED"/>
    <w:rsid w:val="002576F8"/>
    <w:rsid w:val="002577CA"/>
    <w:rsid w:val="00257802"/>
    <w:rsid w:val="0025785F"/>
    <w:rsid w:val="002578A4"/>
    <w:rsid w:val="002578AF"/>
    <w:rsid w:val="0025793F"/>
    <w:rsid w:val="002579FE"/>
    <w:rsid w:val="00257A16"/>
    <w:rsid w:val="00257A7A"/>
    <w:rsid w:val="00257B21"/>
    <w:rsid w:val="00257B44"/>
    <w:rsid w:val="00257B5D"/>
    <w:rsid w:val="00257B88"/>
    <w:rsid w:val="00257C8E"/>
    <w:rsid w:val="00257D90"/>
    <w:rsid w:val="00257DB5"/>
    <w:rsid w:val="00257DC4"/>
    <w:rsid w:val="00257E66"/>
    <w:rsid w:val="00257EC1"/>
    <w:rsid w:val="00257ED8"/>
    <w:rsid w:val="00257EF4"/>
    <w:rsid w:val="00257FF5"/>
    <w:rsid w:val="00260040"/>
    <w:rsid w:val="0026008A"/>
    <w:rsid w:val="002600FA"/>
    <w:rsid w:val="0026013F"/>
    <w:rsid w:val="00260155"/>
    <w:rsid w:val="0026018C"/>
    <w:rsid w:val="0026024D"/>
    <w:rsid w:val="0026035C"/>
    <w:rsid w:val="00260386"/>
    <w:rsid w:val="00260428"/>
    <w:rsid w:val="00260439"/>
    <w:rsid w:val="00260508"/>
    <w:rsid w:val="00260650"/>
    <w:rsid w:val="002606C6"/>
    <w:rsid w:val="002607D7"/>
    <w:rsid w:val="002608FD"/>
    <w:rsid w:val="00260936"/>
    <w:rsid w:val="00260969"/>
    <w:rsid w:val="002609FA"/>
    <w:rsid w:val="00260B0D"/>
    <w:rsid w:val="00260B63"/>
    <w:rsid w:val="00260B87"/>
    <w:rsid w:val="00260BFF"/>
    <w:rsid w:val="00260DB4"/>
    <w:rsid w:val="00260E1D"/>
    <w:rsid w:val="00260EAD"/>
    <w:rsid w:val="00260FF1"/>
    <w:rsid w:val="00261018"/>
    <w:rsid w:val="00261131"/>
    <w:rsid w:val="0026122C"/>
    <w:rsid w:val="00261249"/>
    <w:rsid w:val="0026124A"/>
    <w:rsid w:val="0026132C"/>
    <w:rsid w:val="002613C9"/>
    <w:rsid w:val="002613FE"/>
    <w:rsid w:val="002614DB"/>
    <w:rsid w:val="00261579"/>
    <w:rsid w:val="002615E7"/>
    <w:rsid w:val="002617A4"/>
    <w:rsid w:val="002617BC"/>
    <w:rsid w:val="002617DB"/>
    <w:rsid w:val="0026183D"/>
    <w:rsid w:val="00261861"/>
    <w:rsid w:val="00261863"/>
    <w:rsid w:val="00261999"/>
    <w:rsid w:val="002619F9"/>
    <w:rsid w:val="00261AA9"/>
    <w:rsid w:val="00261C63"/>
    <w:rsid w:val="00261D2A"/>
    <w:rsid w:val="00261DD9"/>
    <w:rsid w:val="00261EE9"/>
    <w:rsid w:val="00261EEE"/>
    <w:rsid w:val="00261EFE"/>
    <w:rsid w:val="00261F41"/>
    <w:rsid w:val="0026203B"/>
    <w:rsid w:val="00262060"/>
    <w:rsid w:val="00262074"/>
    <w:rsid w:val="0026208E"/>
    <w:rsid w:val="00262209"/>
    <w:rsid w:val="00262263"/>
    <w:rsid w:val="002622B1"/>
    <w:rsid w:val="002622FC"/>
    <w:rsid w:val="0026230F"/>
    <w:rsid w:val="00262349"/>
    <w:rsid w:val="0026244D"/>
    <w:rsid w:val="002624D5"/>
    <w:rsid w:val="00262525"/>
    <w:rsid w:val="002625CB"/>
    <w:rsid w:val="00262641"/>
    <w:rsid w:val="0026275A"/>
    <w:rsid w:val="0026277B"/>
    <w:rsid w:val="00262786"/>
    <w:rsid w:val="0026278B"/>
    <w:rsid w:val="002627B7"/>
    <w:rsid w:val="002627C5"/>
    <w:rsid w:val="0026283B"/>
    <w:rsid w:val="00262879"/>
    <w:rsid w:val="002628EB"/>
    <w:rsid w:val="00262921"/>
    <w:rsid w:val="00262A58"/>
    <w:rsid w:val="00262A90"/>
    <w:rsid w:val="00262AA4"/>
    <w:rsid w:val="00262AB1"/>
    <w:rsid w:val="00262AB2"/>
    <w:rsid w:val="00262EDE"/>
    <w:rsid w:val="00262FA2"/>
    <w:rsid w:val="00262FA5"/>
    <w:rsid w:val="00262FF3"/>
    <w:rsid w:val="0026305E"/>
    <w:rsid w:val="00263061"/>
    <w:rsid w:val="002630B1"/>
    <w:rsid w:val="0026314D"/>
    <w:rsid w:val="00263224"/>
    <w:rsid w:val="00263255"/>
    <w:rsid w:val="002632B1"/>
    <w:rsid w:val="002632E4"/>
    <w:rsid w:val="002633BE"/>
    <w:rsid w:val="00263408"/>
    <w:rsid w:val="00263418"/>
    <w:rsid w:val="00263487"/>
    <w:rsid w:val="002634F0"/>
    <w:rsid w:val="00263576"/>
    <w:rsid w:val="0026358B"/>
    <w:rsid w:val="00263597"/>
    <w:rsid w:val="002636DC"/>
    <w:rsid w:val="002639B1"/>
    <w:rsid w:val="002639BD"/>
    <w:rsid w:val="002639C1"/>
    <w:rsid w:val="00263B0D"/>
    <w:rsid w:val="00263B1C"/>
    <w:rsid w:val="00263BE2"/>
    <w:rsid w:val="00263C6D"/>
    <w:rsid w:val="00263C95"/>
    <w:rsid w:val="00263CAB"/>
    <w:rsid w:val="00263D08"/>
    <w:rsid w:val="00263DFE"/>
    <w:rsid w:val="00263EC5"/>
    <w:rsid w:val="00263EEE"/>
    <w:rsid w:val="00263F0D"/>
    <w:rsid w:val="0026427C"/>
    <w:rsid w:val="00264302"/>
    <w:rsid w:val="00264397"/>
    <w:rsid w:val="002643A7"/>
    <w:rsid w:val="002644B2"/>
    <w:rsid w:val="0026468B"/>
    <w:rsid w:val="002646D0"/>
    <w:rsid w:val="0026471E"/>
    <w:rsid w:val="00264752"/>
    <w:rsid w:val="00264759"/>
    <w:rsid w:val="002647D5"/>
    <w:rsid w:val="00264803"/>
    <w:rsid w:val="0026492D"/>
    <w:rsid w:val="00264A6E"/>
    <w:rsid w:val="00264AEF"/>
    <w:rsid w:val="00264B0F"/>
    <w:rsid w:val="00264B1E"/>
    <w:rsid w:val="00264B2C"/>
    <w:rsid w:val="00264BD0"/>
    <w:rsid w:val="00264C27"/>
    <w:rsid w:val="00264C3B"/>
    <w:rsid w:val="00264D81"/>
    <w:rsid w:val="00264E15"/>
    <w:rsid w:val="00264F3E"/>
    <w:rsid w:val="00264FC6"/>
    <w:rsid w:val="00265270"/>
    <w:rsid w:val="0026534C"/>
    <w:rsid w:val="0026539B"/>
    <w:rsid w:val="0026546D"/>
    <w:rsid w:val="00265470"/>
    <w:rsid w:val="0026547D"/>
    <w:rsid w:val="0026549B"/>
    <w:rsid w:val="0026554B"/>
    <w:rsid w:val="0026567B"/>
    <w:rsid w:val="002657C4"/>
    <w:rsid w:val="002657D5"/>
    <w:rsid w:val="00265872"/>
    <w:rsid w:val="002658CE"/>
    <w:rsid w:val="00265919"/>
    <w:rsid w:val="00265A02"/>
    <w:rsid w:val="00265AB8"/>
    <w:rsid w:val="00265AC1"/>
    <w:rsid w:val="00265D05"/>
    <w:rsid w:val="00265DDA"/>
    <w:rsid w:val="00265F9D"/>
    <w:rsid w:val="00265FA0"/>
    <w:rsid w:val="00265FC6"/>
    <w:rsid w:val="00266108"/>
    <w:rsid w:val="0026621A"/>
    <w:rsid w:val="00266239"/>
    <w:rsid w:val="002662BE"/>
    <w:rsid w:val="0026655A"/>
    <w:rsid w:val="002667B7"/>
    <w:rsid w:val="00266811"/>
    <w:rsid w:val="00266816"/>
    <w:rsid w:val="00266884"/>
    <w:rsid w:val="00266934"/>
    <w:rsid w:val="002669BB"/>
    <w:rsid w:val="002669CE"/>
    <w:rsid w:val="00266A68"/>
    <w:rsid w:val="00266B98"/>
    <w:rsid w:val="00266BD4"/>
    <w:rsid w:val="00266C64"/>
    <w:rsid w:val="00266CA9"/>
    <w:rsid w:val="00266E15"/>
    <w:rsid w:val="00266F5B"/>
    <w:rsid w:val="00267008"/>
    <w:rsid w:val="00267020"/>
    <w:rsid w:val="00267094"/>
    <w:rsid w:val="0026723B"/>
    <w:rsid w:val="002672B4"/>
    <w:rsid w:val="00267311"/>
    <w:rsid w:val="0026737B"/>
    <w:rsid w:val="002674DE"/>
    <w:rsid w:val="002675D3"/>
    <w:rsid w:val="00267781"/>
    <w:rsid w:val="00267789"/>
    <w:rsid w:val="00267797"/>
    <w:rsid w:val="002677AA"/>
    <w:rsid w:val="002677D5"/>
    <w:rsid w:val="00267807"/>
    <w:rsid w:val="00267811"/>
    <w:rsid w:val="0026785C"/>
    <w:rsid w:val="00267892"/>
    <w:rsid w:val="002678FF"/>
    <w:rsid w:val="00267942"/>
    <w:rsid w:val="002679C0"/>
    <w:rsid w:val="00267A84"/>
    <w:rsid w:val="00267A8B"/>
    <w:rsid w:val="00267ADB"/>
    <w:rsid w:val="00267B16"/>
    <w:rsid w:val="00267B89"/>
    <w:rsid w:val="00267C0F"/>
    <w:rsid w:val="00267C19"/>
    <w:rsid w:val="00267CD4"/>
    <w:rsid w:val="00267D7B"/>
    <w:rsid w:val="00267E43"/>
    <w:rsid w:val="00267E71"/>
    <w:rsid w:val="00267F03"/>
    <w:rsid w:val="00267F7B"/>
    <w:rsid w:val="0027009C"/>
    <w:rsid w:val="002700A0"/>
    <w:rsid w:val="00270176"/>
    <w:rsid w:val="002701E7"/>
    <w:rsid w:val="0027022F"/>
    <w:rsid w:val="002702BB"/>
    <w:rsid w:val="002703B2"/>
    <w:rsid w:val="002703B8"/>
    <w:rsid w:val="0027040C"/>
    <w:rsid w:val="00270559"/>
    <w:rsid w:val="00270759"/>
    <w:rsid w:val="002707C7"/>
    <w:rsid w:val="002708C5"/>
    <w:rsid w:val="00270932"/>
    <w:rsid w:val="002709FF"/>
    <w:rsid w:val="00270B78"/>
    <w:rsid w:val="00270C53"/>
    <w:rsid w:val="00270CA0"/>
    <w:rsid w:val="00270D24"/>
    <w:rsid w:val="00270D68"/>
    <w:rsid w:val="00270DA2"/>
    <w:rsid w:val="00270DC6"/>
    <w:rsid w:val="00270EBC"/>
    <w:rsid w:val="00271070"/>
    <w:rsid w:val="002711DB"/>
    <w:rsid w:val="0027131A"/>
    <w:rsid w:val="0027132A"/>
    <w:rsid w:val="00271584"/>
    <w:rsid w:val="00271586"/>
    <w:rsid w:val="002715CB"/>
    <w:rsid w:val="002715DB"/>
    <w:rsid w:val="0027162A"/>
    <w:rsid w:val="00271658"/>
    <w:rsid w:val="00271789"/>
    <w:rsid w:val="00271861"/>
    <w:rsid w:val="00271875"/>
    <w:rsid w:val="00271883"/>
    <w:rsid w:val="00271912"/>
    <w:rsid w:val="00271934"/>
    <w:rsid w:val="0027197E"/>
    <w:rsid w:val="00271A12"/>
    <w:rsid w:val="00271B70"/>
    <w:rsid w:val="00271BF5"/>
    <w:rsid w:val="00271C24"/>
    <w:rsid w:val="00271CDA"/>
    <w:rsid w:val="00271D6B"/>
    <w:rsid w:val="00271DF9"/>
    <w:rsid w:val="00271E85"/>
    <w:rsid w:val="00271E94"/>
    <w:rsid w:val="00271F35"/>
    <w:rsid w:val="0027203C"/>
    <w:rsid w:val="002720B9"/>
    <w:rsid w:val="0027213A"/>
    <w:rsid w:val="00272165"/>
    <w:rsid w:val="002722A8"/>
    <w:rsid w:val="00272390"/>
    <w:rsid w:val="002723C1"/>
    <w:rsid w:val="00272465"/>
    <w:rsid w:val="0027248E"/>
    <w:rsid w:val="002726B8"/>
    <w:rsid w:val="0027271C"/>
    <w:rsid w:val="00272775"/>
    <w:rsid w:val="00272787"/>
    <w:rsid w:val="002729DC"/>
    <w:rsid w:val="00272B22"/>
    <w:rsid w:val="00272B2C"/>
    <w:rsid w:val="00272C5C"/>
    <w:rsid w:val="00272DD5"/>
    <w:rsid w:val="00272DE1"/>
    <w:rsid w:val="00272E07"/>
    <w:rsid w:val="00272F8D"/>
    <w:rsid w:val="00272FBC"/>
    <w:rsid w:val="00272FCD"/>
    <w:rsid w:val="0027308D"/>
    <w:rsid w:val="0027323A"/>
    <w:rsid w:val="00273270"/>
    <w:rsid w:val="002732B0"/>
    <w:rsid w:val="0027333D"/>
    <w:rsid w:val="002733F5"/>
    <w:rsid w:val="00273440"/>
    <w:rsid w:val="002734BD"/>
    <w:rsid w:val="002735DD"/>
    <w:rsid w:val="002735F7"/>
    <w:rsid w:val="00273717"/>
    <w:rsid w:val="0027375B"/>
    <w:rsid w:val="002738FE"/>
    <w:rsid w:val="00273967"/>
    <w:rsid w:val="00273A25"/>
    <w:rsid w:val="00273AAE"/>
    <w:rsid w:val="00273B45"/>
    <w:rsid w:val="00273BE5"/>
    <w:rsid w:val="00273D16"/>
    <w:rsid w:val="00273D45"/>
    <w:rsid w:val="00273DBA"/>
    <w:rsid w:val="00273E1A"/>
    <w:rsid w:val="00274061"/>
    <w:rsid w:val="00274135"/>
    <w:rsid w:val="002741AC"/>
    <w:rsid w:val="002741CE"/>
    <w:rsid w:val="0027423D"/>
    <w:rsid w:val="002742B1"/>
    <w:rsid w:val="002743A7"/>
    <w:rsid w:val="002744A9"/>
    <w:rsid w:val="00274579"/>
    <w:rsid w:val="002745E8"/>
    <w:rsid w:val="002747E2"/>
    <w:rsid w:val="00274810"/>
    <w:rsid w:val="00274853"/>
    <w:rsid w:val="002748C7"/>
    <w:rsid w:val="002748FC"/>
    <w:rsid w:val="00274A07"/>
    <w:rsid w:val="00274A3B"/>
    <w:rsid w:val="00274A4A"/>
    <w:rsid w:val="00274AD3"/>
    <w:rsid w:val="00274B2A"/>
    <w:rsid w:val="00274C93"/>
    <w:rsid w:val="00274CDE"/>
    <w:rsid w:val="00274E2C"/>
    <w:rsid w:val="00274E45"/>
    <w:rsid w:val="00275011"/>
    <w:rsid w:val="002751CB"/>
    <w:rsid w:val="00275202"/>
    <w:rsid w:val="00275203"/>
    <w:rsid w:val="0027524E"/>
    <w:rsid w:val="00275273"/>
    <w:rsid w:val="002752C0"/>
    <w:rsid w:val="00275319"/>
    <w:rsid w:val="002754A4"/>
    <w:rsid w:val="002754D9"/>
    <w:rsid w:val="00275690"/>
    <w:rsid w:val="002756F4"/>
    <w:rsid w:val="0027589A"/>
    <w:rsid w:val="00275949"/>
    <w:rsid w:val="00275986"/>
    <w:rsid w:val="00275AA1"/>
    <w:rsid w:val="00275B14"/>
    <w:rsid w:val="00275B18"/>
    <w:rsid w:val="00275B3C"/>
    <w:rsid w:val="00275B8D"/>
    <w:rsid w:val="00275B9C"/>
    <w:rsid w:val="00275C7A"/>
    <w:rsid w:val="00275C8D"/>
    <w:rsid w:val="00275D38"/>
    <w:rsid w:val="00275D52"/>
    <w:rsid w:val="00275D79"/>
    <w:rsid w:val="00275E10"/>
    <w:rsid w:val="00275E82"/>
    <w:rsid w:val="00275E95"/>
    <w:rsid w:val="00275EDD"/>
    <w:rsid w:val="00275F28"/>
    <w:rsid w:val="00275FB4"/>
    <w:rsid w:val="00275FE5"/>
    <w:rsid w:val="0027615F"/>
    <w:rsid w:val="0027618F"/>
    <w:rsid w:val="002761AF"/>
    <w:rsid w:val="002761B4"/>
    <w:rsid w:val="002761CD"/>
    <w:rsid w:val="00276285"/>
    <w:rsid w:val="0027629E"/>
    <w:rsid w:val="00276372"/>
    <w:rsid w:val="00276376"/>
    <w:rsid w:val="00276380"/>
    <w:rsid w:val="002763E1"/>
    <w:rsid w:val="00276468"/>
    <w:rsid w:val="002764D6"/>
    <w:rsid w:val="002766B2"/>
    <w:rsid w:val="0027678C"/>
    <w:rsid w:val="002768B0"/>
    <w:rsid w:val="002768B3"/>
    <w:rsid w:val="002769CE"/>
    <w:rsid w:val="00276ABA"/>
    <w:rsid w:val="00276B38"/>
    <w:rsid w:val="00276B5D"/>
    <w:rsid w:val="00276BF0"/>
    <w:rsid w:val="00276BF1"/>
    <w:rsid w:val="00276BF3"/>
    <w:rsid w:val="00276DF3"/>
    <w:rsid w:val="00276E1E"/>
    <w:rsid w:val="00276E22"/>
    <w:rsid w:val="00276E8F"/>
    <w:rsid w:val="00276FDA"/>
    <w:rsid w:val="0027701A"/>
    <w:rsid w:val="002770F7"/>
    <w:rsid w:val="002770FE"/>
    <w:rsid w:val="00277140"/>
    <w:rsid w:val="00277216"/>
    <w:rsid w:val="0027722E"/>
    <w:rsid w:val="0027743D"/>
    <w:rsid w:val="002774F1"/>
    <w:rsid w:val="002775E8"/>
    <w:rsid w:val="00277657"/>
    <w:rsid w:val="002776C9"/>
    <w:rsid w:val="0027776D"/>
    <w:rsid w:val="00277836"/>
    <w:rsid w:val="0027784B"/>
    <w:rsid w:val="00277874"/>
    <w:rsid w:val="002778D6"/>
    <w:rsid w:val="00277903"/>
    <w:rsid w:val="00277C6A"/>
    <w:rsid w:val="00277C89"/>
    <w:rsid w:val="00277CAF"/>
    <w:rsid w:val="00277D10"/>
    <w:rsid w:val="00277D78"/>
    <w:rsid w:val="00277D92"/>
    <w:rsid w:val="00277D95"/>
    <w:rsid w:val="00277DBF"/>
    <w:rsid w:val="00277E54"/>
    <w:rsid w:val="00277EBF"/>
    <w:rsid w:val="002801DB"/>
    <w:rsid w:val="0028020C"/>
    <w:rsid w:val="0028021C"/>
    <w:rsid w:val="0028031A"/>
    <w:rsid w:val="0028043E"/>
    <w:rsid w:val="00280583"/>
    <w:rsid w:val="0028063B"/>
    <w:rsid w:val="002806AC"/>
    <w:rsid w:val="002807AC"/>
    <w:rsid w:val="00280805"/>
    <w:rsid w:val="0028082E"/>
    <w:rsid w:val="00280962"/>
    <w:rsid w:val="00280CDA"/>
    <w:rsid w:val="00280D8E"/>
    <w:rsid w:val="00280DB8"/>
    <w:rsid w:val="00280DE7"/>
    <w:rsid w:val="00280E24"/>
    <w:rsid w:val="00280F24"/>
    <w:rsid w:val="00280FF1"/>
    <w:rsid w:val="00281085"/>
    <w:rsid w:val="00281141"/>
    <w:rsid w:val="0028116C"/>
    <w:rsid w:val="00281259"/>
    <w:rsid w:val="002812E2"/>
    <w:rsid w:val="002812F2"/>
    <w:rsid w:val="00281427"/>
    <w:rsid w:val="00281439"/>
    <w:rsid w:val="0028146E"/>
    <w:rsid w:val="00281522"/>
    <w:rsid w:val="002815C0"/>
    <w:rsid w:val="0028162E"/>
    <w:rsid w:val="0028170E"/>
    <w:rsid w:val="00281744"/>
    <w:rsid w:val="00281816"/>
    <w:rsid w:val="00281931"/>
    <w:rsid w:val="0028194B"/>
    <w:rsid w:val="0028194C"/>
    <w:rsid w:val="00281A24"/>
    <w:rsid w:val="00281AB4"/>
    <w:rsid w:val="00281ACD"/>
    <w:rsid w:val="00281B28"/>
    <w:rsid w:val="00281C3D"/>
    <w:rsid w:val="00281D1E"/>
    <w:rsid w:val="00281D42"/>
    <w:rsid w:val="00281EE7"/>
    <w:rsid w:val="00281F0D"/>
    <w:rsid w:val="00281F61"/>
    <w:rsid w:val="00281F72"/>
    <w:rsid w:val="00282126"/>
    <w:rsid w:val="0028219D"/>
    <w:rsid w:val="002821A3"/>
    <w:rsid w:val="0028232C"/>
    <w:rsid w:val="00282366"/>
    <w:rsid w:val="0028238B"/>
    <w:rsid w:val="00282546"/>
    <w:rsid w:val="00282590"/>
    <w:rsid w:val="00282705"/>
    <w:rsid w:val="002827A0"/>
    <w:rsid w:val="00282879"/>
    <w:rsid w:val="00282891"/>
    <w:rsid w:val="00282A5E"/>
    <w:rsid w:val="00282ACD"/>
    <w:rsid w:val="00282AD3"/>
    <w:rsid w:val="00282B6E"/>
    <w:rsid w:val="00282C7E"/>
    <w:rsid w:val="00282E42"/>
    <w:rsid w:val="00282FBD"/>
    <w:rsid w:val="0028302E"/>
    <w:rsid w:val="00283159"/>
    <w:rsid w:val="0028316D"/>
    <w:rsid w:val="002831CC"/>
    <w:rsid w:val="0028321C"/>
    <w:rsid w:val="00283355"/>
    <w:rsid w:val="0028346E"/>
    <w:rsid w:val="00283612"/>
    <w:rsid w:val="00283620"/>
    <w:rsid w:val="00283684"/>
    <w:rsid w:val="00283689"/>
    <w:rsid w:val="002837CE"/>
    <w:rsid w:val="002837D4"/>
    <w:rsid w:val="002839D4"/>
    <w:rsid w:val="002839F1"/>
    <w:rsid w:val="00283A84"/>
    <w:rsid w:val="00283C02"/>
    <w:rsid w:val="00283D47"/>
    <w:rsid w:val="00283D9D"/>
    <w:rsid w:val="00283DED"/>
    <w:rsid w:val="00283ED3"/>
    <w:rsid w:val="00283F49"/>
    <w:rsid w:val="00283FD6"/>
    <w:rsid w:val="00283FDD"/>
    <w:rsid w:val="00283FED"/>
    <w:rsid w:val="00284096"/>
    <w:rsid w:val="0028413B"/>
    <w:rsid w:val="002841AB"/>
    <w:rsid w:val="0028421D"/>
    <w:rsid w:val="002842AB"/>
    <w:rsid w:val="00284354"/>
    <w:rsid w:val="00284389"/>
    <w:rsid w:val="0028442A"/>
    <w:rsid w:val="00284464"/>
    <w:rsid w:val="00284560"/>
    <w:rsid w:val="00284634"/>
    <w:rsid w:val="0028465D"/>
    <w:rsid w:val="0028468D"/>
    <w:rsid w:val="0028475D"/>
    <w:rsid w:val="002847D7"/>
    <w:rsid w:val="00284877"/>
    <w:rsid w:val="0028490B"/>
    <w:rsid w:val="002849DD"/>
    <w:rsid w:val="00284B74"/>
    <w:rsid w:val="00284BAB"/>
    <w:rsid w:val="00284BC4"/>
    <w:rsid w:val="00284C64"/>
    <w:rsid w:val="00284C65"/>
    <w:rsid w:val="00284C76"/>
    <w:rsid w:val="00284D2E"/>
    <w:rsid w:val="00284DBA"/>
    <w:rsid w:val="00284DE3"/>
    <w:rsid w:val="00284E6E"/>
    <w:rsid w:val="00284ED0"/>
    <w:rsid w:val="00285021"/>
    <w:rsid w:val="00285131"/>
    <w:rsid w:val="00285252"/>
    <w:rsid w:val="0028536B"/>
    <w:rsid w:val="00285374"/>
    <w:rsid w:val="002854A1"/>
    <w:rsid w:val="0028564F"/>
    <w:rsid w:val="00285687"/>
    <w:rsid w:val="002856D5"/>
    <w:rsid w:val="002857EC"/>
    <w:rsid w:val="0028580C"/>
    <w:rsid w:val="00285861"/>
    <w:rsid w:val="0028589C"/>
    <w:rsid w:val="00285B7E"/>
    <w:rsid w:val="00285C53"/>
    <w:rsid w:val="00285DE5"/>
    <w:rsid w:val="00285E00"/>
    <w:rsid w:val="00285E37"/>
    <w:rsid w:val="00285E8B"/>
    <w:rsid w:val="00285E9E"/>
    <w:rsid w:val="00285EE6"/>
    <w:rsid w:val="00285F0B"/>
    <w:rsid w:val="00285F99"/>
    <w:rsid w:val="00285FAF"/>
    <w:rsid w:val="00285FE3"/>
    <w:rsid w:val="00286087"/>
    <w:rsid w:val="002860DD"/>
    <w:rsid w:val="0028621F"/>
    <w:rsid w:val="002862BF"/>
    <w:rsid w:val="00286334"/>
    <w:rsid w:val="00286386"/>
    <w:rsid w:val="0028642A"/>
    <w:rsid w:val="00286451"/>
    <w:rsid w:val="0028647D"/>
    <w:rsid w:val="00286482"/>
    <w:rsid w:val="002864F3"/>
    <w:rsid w:val="00286538"/>
    <w:rsid w:val="0028657D"/>
    <w:rsid w:val="0028665A"/>
    <w:rsid w:val="00286692"/>
    <w:rsid w:val="002866CC"/>
    <w:rsid w:val="00286726"/>
    <w:rsid w:val="002867F9"/>
    <w:rsid w:val="00286AA6"/>
    <w:rsid w:val="00286AC2"/>
    <w:rsid w:val="00286ADB"/>
    <w:rsid w:val="00286AF8"/>
    <w:rsid w:val="00286B44"/>
    <w:rsid w:val="00286BF1"/>
    <w:rsid w:val="00286C13"/>
    <w:rsid w:val="00286C7F"/>
    <w:rsid w:val="00286CB6"/>
    <w:rsid w:val="00286D35"/>
    <w:rsid w:val="00286D9F"/>
    <w:rsid w:val="00286DA2"/>
    <w:rsid w:val="00286E35"/>
    <w:rsid w:val="00286F29"/>
    <w:rsid w:val="002870A9"/>
    <w:rsid w:val="002872CA"/>
    <w:rsid w:val="0028739C"/>
    <w:rsid w:val="002873C0"/>
    <w:rsid w:val="002873E4"/>
    <w:rsid w:val="00287595"/>
    <w:rsid w:val="0028759A"/>
    <w:rsid w:val="002875DA"/>
    <w:rsid w:val="0028761B"/>
    <w:rsid w:val="0028763C"/>
    <w:rsid w:val="002876E6"/>
    <w:rsid w:val="00287747"/>
    <w:rsid w:val="002877B1"/>
    <w:rsid w:val="00287815"/>
    <w:rsid w:val="0028787C"/>
    <w:rsid w:val="002878F1"/>
    <w:rsid w:val="00287A7C"/>
    <w:rsid w:val="00287BF1"/>
    <w:rsid w:val="00287C3B"/>
    <w:rsid w:val="00287C5B"/>
    <w:rsid w:val="00287F5B"/>
    <w:rsid w:val="00287FF9"/>
    <w:rsid w:val="0029009D"/>
    <w:rsid w:val="002900D9"/>
    <w:rsid w:val="002902AB"/>
    <w:rsid w:val="002902B8"/>
    <w:rsid w:val="002902E0"/>
    <w:rsid w:val="00290559"/>
    <w:rsid w:val="002905FD"/>
    <w:rsid w:val="002905FE"/>
    <w:rsid w:val="00290633"/>
    <w:rsid w:val="0029069A"/>
    <w:rsid w:val="00290730"/>
    <w:rsid w:val="0029074A"/>
    <w:rsid w:val="00290807"/>
    <w:rsid w:val="0029080B"/>
    <w:rsid w:val="0029084B"/>
    <w:rsid w:val="0029085C"/>
    <w:rsid w:val="00290897"/>
    <w:rsid w:val="002909D5"/>
    <w:rsid w:val="00290A96"/>
    <w:rsid w:val="00290B4E"/>
    <w:rsid w:val="00290B66"/>
    <w:rsid w:val="00290BDF"/>
    <w:rsid w:val="00290C4C"/>
    <w:rsid w:val="00290CA8"/>
    <w:rsid w:val="00290E84"/>
    <w:rsid w:val="00290E98"/>
    <w:rsid w:val="00290F16"/>
    <w:rsid w:val="0029105C"/>
    <w:rsid w:val="002910C5"/>
    <w:rsid w:val="002910D5"/>
    <w:rsid w:val="00291107"/>
    <w:rsid w:val="00291126"/>
    <w:rsid w:val="0029121C"/>
    <w:rsid w:val="002912A4"/>
    <w:rsid w:val="002913EC"/>
    <w:rsid w:val="0029140A"/>
    <w:rsid w:val="0029143C"/>
    <w:rsid w:val="0029144D"/>
    <w:rsid w:val="00291479"/>
    <w:rsid w:val="002914FE"/>
    <w:rsid w:val="0029150D"/>
    <w:rsid w:val="002915AE"/>
    <w:rsid w:val="00291653"/>
    <w:rsid w:val="00291681"/>
    <w:rsid w:val="002916FB"/>
    <w:rsid w:val="00291768"/>
    <w:rsid w:val="002917DD"/>
    <w:rsid w:val="002917F8"/>
    <w:rsid w:val="00291831"/>
    <w:rsid w:val="00291837"/>
    <w:rsid w:val="002918F4"/>
    <w:rsid w:val="00291944"/>
    <w:rsid w:val="002919AE"/>
    <w:rsid w:val="00291AB2"/>
    <w:rsid w:val="00291AE8"/>
    <w:rsid w:val="00291BC4"/>
    <w:rsid w:val="00291C03"/>
    <w:rsid w:val="00291C24"/>
    <w:rsid w:val="00291D2F"/>
    <w:rsid w:val="00291E46"/>
    <w:rsid w:val="00291EAA"/>
    <w:rsid w:val="00291FF5"/>
    <w:rsid w:val="00292079"/>
    <w:rsid w:val="00292138"/>
    <w:rsid w:val="002921DF"/>
    <w:rsid w:val="002922C6"/>
    <w:rsid w:val="00292331"/>
    <w:rsid w:val="00292399"/>
    <w:rsid w:val="0029248F"/>
    <w:rsid w:val="002925F1"/>
    <w:rsid w:val="00292698"/>
    <w:rsid w:val="002926B1"/>
    <w:rsid w:val="00292826"/>
    <w:rsid w:val="002928A3"/>
    <w:rsid w:val="002928AD"/>
    <w:rsid w:val="00292902"/>
    <w:rsid w:val="00292910"/>
    <w:rsid w:val="00292957"/>
    <w:rsid w:val="00292A56"/>
    <w:rsid w:val="00292A77"/>
    <w:rsid w:val="00292BB3"/>
    <w:rsid w:val="00292C75"/>
    <w:rsid w:val="00292CC7"/>
    <w:rsid w:val="00292D3A"/>
    <w:rsid w:val="00292D63"/>
    <w:rsid w:val="00292DAF"/>
    <w:rsid w:val="00292E4D"/>
    <w:rsid w:val="00292EA2"/>
    <w:rsid w:val="00292EAD"/>
    <w:rsid w:val="00292F08"/>
    <w:rsid w:val="00292F45"/>
    <w:rsid w:val="00292F66"/>
    <w:rsid w:val="00292FEA"/>
    <w:rsid w:val="00292FFE"/>
    <w:rsid w:val="00293044"/>
    <w:rsid w:val="00293048"/>
    <w:rsid w:val="00293141"/>
    <w:rsid w:val="002931B9"/>
    <w:rsid w:val="0029320C"/>
    <w:rsid w:val="002932D8"/>
    <w:rsid w:val="002932E3"/>
    <w:rsid w:val="0029334E"/>
    <w:rsid w:val="002933D0"/>
    <w:rsid w:val="00293563"/>
    <w:rsid w:val="00293572"/>
    <w:rsid w:val="002937EF"/>
    <w:rsid w:val="00293859"/>
    <w:rsid w:val="002938CD"/>
    <w:rsid w:val="002938DD"/>
    <w:rsid w:val="002938FD"/>
    <w:rsid w:val="00293931"/>
    <w:rsid w:val="002939BD"/>
    <w:rsid w:val="00293BD3"/>
    <w:rsid w:val="00293C5C"/>
    <w:rsid w:val="00293C84"/>
    <w:rsid w:val="00293C90"/>
    <w:rsid w:val="00293CAA"/>
    <w:rsid w:val="00293D06"/>
    <w:rsid w:val="00293D86"/>
    <w:rsid w:val="00293DB9"/>
    <w:rsid w:val="00293DFC"/>
    <w:rsid w:val="00293ED5"/>
    <w:rsid w:val="00293EF1"/>
    <w:rsid w:val="00293F73"/>
    <w:rsid w:val="00293F7F"/>
    <w:rsid w:val="00293F86"/>
    <w:rsid w:val="00293F8F"/>
    <w:rsid w:val="00294073"/>
    <w:rsid w:val="0029413E"/>
    <w:rsid w:val="0029426E"/>
    <w:rsid w:val="0029431C"/>
    <w:rsid w:val="0029432B"/>
    <w:rsid w:val="0029432F"/>
    <w:rsid w:val="00294363"/>
    <w:rsid w:val="0029439B"/>
    <w:rsid w:val="00294538"/>
    <w:rsid w:val="002946DE"/>
    <w:rsid w:val="0029474E"/>
    <w:rsid w:val="002947EB"/>
    <w:rsid w:val="0029497E"/>
    <w:rsid w:val="00294A33"/>
    <w:rsid w:val="00294C93"/>
    <w:rsid w:val="00294CB0"/>
    <w:rsid w:val="00294CC9"/>
    <w:rsid w:val="00294D09"/>
    <w:rsid w:val="00294D4F"/>
    <w:rsid w:val="00294D62"/>
    <w:rsid w:val="00294EDE"/>
    <w:rsid w:val="00294F18"/>
    <w:rsid w:val="00294F55"/>
    <w:rsid w:val="00294FD8"/>
    <w:rsid w:val="00295137"/>
    <w:rsid w:val="0029514B"/>
    <w:rsid w:val="002951B0"/>
    <w:rsid w:val="0029522A"/>
    <w:rsid w:val="00295427"/>
    <w:rsid w:val="002954F1"/>
    <w:rsid w:val="002956DD"/>
    <w:rsid w:val="002956FF"/>
    <w:rsid w:val="00295700"/>
    <w:rsid w:val="002957D8"/>
    <w:rsid w:val="002957E5"/>
    <w:rsid w:val="00295851"/>
    <w:rsid w:val="00295A23"/>
    <w:rsid w:val="00295B25"/>
    <w:rsid w:val="00295B49"/>
    <w:rsid w:val="00295B62"/>
    <w:rsid w:val="00295D0B"/>
    <w:rsid w:val="00295D20"/>
    <w:rsid w:val="00295E1D"/>
    <w:rsid w:val="00295E5B"/>
    <w:rsid w:val="00295E91"/>
    <w:rsid w:val="00295EA3"/>
    <w:rsid w:val="00295EBC"/>
    <w:rsid w:val="00296001"/>
    <w:rsid w:val="00296046"/>
    <w:rsid w:val="0029615E"/>
    <w:rsid w:val="0029618B"/>
    <w:rsid w:val="002962AC"/>
    <w:rsid w:val="002962F4"/>
    <w:rsid w:val="00296434"/>
    <w:rsid w:val="00296673"/>
    <w:rsid w:val="00296782"/>
    <w:rsid w:val="00296870"/>
    <w:rsid w:val="002968C7"/>
    <w:rsid w:val="0029699C"/>
    <w:rsid w:val="00296A6D"/>
    <w:rsid w:val="00296A76"/>
    <w:rsid w:val="00296AA5"/>
    <w:rsid w:val="00296ADE"/>
    <w:rsid w:val="00296C8F"/>
    <w:rsid w:val="00296E7B"/>
    <w:rsid w:val="00296E9B"/>
    <w:rsid w:val="00296EE2"/>
    <w:rsid w:val="00296F5B"/>
    <w:rsid w:val="002970F8"/>
    <w:rsid w:val="0029711C"/>
    <w:rsid w:val="0029711D"/>
    <w:rsid w:val="002971DF"/>
    <w:rsid w:val="00297227"/>
    <w:rsid w:val="002972E2"/>
    <w:rsid w:val="002972E7"/>
    <w:rsid w:val="002973ED"/>
    <w:rsid w:val="00297425"/>
    <w:rsid w:val="002974E7"/>
    <w:rsid w:val="00297533"/>
    <w:rsid w:val="0029754F"/>
    <w:rsid w:val="002975C1"/>
    <w:rsid w:val="002975E1"/>
    <w:rsid w:val="002975F4"/>
    <w:rsid w:val="0029763C"/>
    <w:rsid w:val="002976AF"/>
    <w:rsid w:val="00297790"/>
    <w:rsid w:val="00297869"/>
    <w:rsid w:val="00297893"/>
    <w:rsid w:val="00297A3F"/>
    <w:rsid w:val="00297AB3"/>
    <w:rsid w:val="00297ABA"/>
    <w:rsid w:val="00297AC5"/>
    <w:rsid w:val="00297AC8"/>
    <w:rsid w:val="00297B12"/>
    <w:rsid w:val="00297B2A"/>
    <w:rsid w:val="00297C41"/>
    <w:rsid w:val="00297C53"/>
    <w:rsid w:val="00297CF2"/>
    <w:rsid w:val="00297D42"/>
    <w:rsid w:val="00297D96"/>
    <w:rsid w:val="00297DA7"/>
    <w:rsid w:val="00297F2F"/>
    <w:rsid w:val="00297F44"/>
    <w:rsid w:val="002A0145"/>
    <w:rsid w:val="002A01B3"/>
    <w:rsid w:val="002A01D8"/>
    <w:rsid w:val="002A029A"/>
    <w:rsid w:val="002A0302"/>
    <w:rsid w:val="002A0324"/>
    <w:rsid w:val="002A0451"/>
    <w:rsid w:val="002A0662"/>
    <w:rsid w:val="002A069C"/>
    <w:rsid w:val="002A06D5"/>
    <w:rsid w:val="002A06D6"/>
    <w:rsid w:val="002A06F9"/>
    <w:rsid w:val="002A0731"/>
    <w:rsid w:val="002A0742"/>
    <w:rsid w:val="002A0787"/>
    <w:rsid w:val="002A0801"/>
    <w:rsid w:val="002A08B7"/>
    <w:rsid w:val="002A09B6"/>
    <w:rsid w:val="002A0A24"/>
    <w:rsid w:val="002A0A73"/>
    <w:rsid w:val="002A0BE2"/>
    <w:rsid w:val="002A0C59"/>
    <w:rsid w:val="002A0D8E"/>
    <w:rsid w:val="002A0DAD"/>
    <w:rsid w:val="002A0EFF"/>
    <w:rsid w:val="002A0F8D"/>
    <w:rsid w:val="002A0FAF"/>
    <w:rsid w:val="002A0FF2"/>
    <w:rsid w:val="002A1003"/>
    <w:rsid w:val="002A111D"/>
    <w:rsid w:val="002A1193"/>
    <w:rsid w:val="002A11B3"/>
    <w:rsid w:val="002A11EC"/>
    <w:rsid w:val="002A1225"/>
    <w:rsid w:val="002A12C7"/>
    <w:rsid w:val="002A144D"/>
    <w:rsid w:val="002A1491"/>
    <w:rsid w:val="002A14EB"/>
    <w:rsid w:val="002A14F1"/>
    <w:rsid w:val="002A152A"/>
    <w:rsid w:val="002A1631"/>
    <w:rsid w:val="002A164A"/>
    <w:rsid w:val="002A169C"/>
    <w:rsid w:val="002A16A3"/>
    <w:rsid w:val="002A16B7"/>
    <w:rsid w:val="002A1782"/>
    <w:rsid w:val="002A180D"/>
    <w:rsid w:val="002A1890"/>
    <w:rsid w:val="002A1911"/>
    <w:rsid w:val="002A194A"/>
    <w:rsid w:val="002A196E"/>
    <w:rsid w:val="002A1A14"/>
    <w:rsid w:val="002A1AF7"/>
    <w:rsid w:val="002A1BE8"/>
    <w:rsid w:val="002A1C24"/>
    <w:rsid w:val="002A1CBE"/>
    <w:rsid w:val="002A1CEE"/>
    <w:rsid w:val="002A1DC4"/>
    <w:rsid w:val="002A1DF5"/>
    <w:rsid w:val="002A1EE6"/>
    <w:rsid w:val="002A1FCD"/>
    <w:rsid w:val="002A203B"/>
    <w:rsid w:val="002A205D"/>
    <w:rsid w:val="002A2180"/>
    <w:rsid w:val="002A2238"/>
    <w:rsid w:val="002A2245"/>
    <w:rsid w:val="002A240D"/>
    <w:rsid w:val="002A2505"/>
    <w:rsid w:val="002A254E"/>
    <w:rsid w:val="002A256A"/>
    <w:rsid w:val="002A25F9"/>
    <w:rsid w:val="002A2644"/>
    <w:rsid w:val="002A2654"/>
    <w:rsid w:val="002A2782"/>
    <w:rsid w:val="002A27C1"/>
    <w:rsid w:val="002A28AE"/>
    <w:rsid w:val="002A28CF"/>
    <w:rsid w:val="002A2968"/>
    <w:rsid w:val="002A2B6E"/>
    <w:rsid w:val="002A2C26"/>
    <w:rsid w:val="002A2F06"/>
    <w:rsid w:val="002A2FBA"/>
    <w:rsid w:val="002A304D"/>
    <w:rsid w:val="002A3079"/>
    <w:rsid w:val="002A30BD"/>
    <w:rsid w:val="002A31A7"/>
    <w:rsid w:val="002A31F3"/>
    <w:rsid w:val="002A3261"/>
    <w:rsid w:val="002A33F0"/>
    <w:rsid w:val="002A3451"/>
    <w:rsid w:val="002A3462"/>
    <w:rsid w:val="002A3471"/>
    <w:rsid w:val="002A347E"/>
    <w:rsid w:val="002A3492"/>
    <w:rsid w:val="002A34EB"/>
    <w:rsid w:val="002A360E"/>
    <w:rsid w:val="002A363D"/>
    <w:rsid w:val="002A3718"/>
    <w:rsid w:val="002A3741"/>
    <w:rsid w:val="002A37AC"/>
    <w:rsid w:val="002A387A"/>
    <w:rsid w:val="002A3A86"/>
    <w:rsid w:val="002A3AB1"/>
    <w:rsid w:val="002A3B2B"/>
    <w:rsid w:val="002A3B81"/>
    <w:rsid w:val="002A3C55"/>
    <w:rsid w:val="002A3CA7"/>
    <w:rsid w:val="002A3CC6"/>
    <w:rsid w:val="002A3E6E"/>
    <w:rsid w:val="002A3E93"/>
    <w:rsid w:val="002A3F4A"/>
    <w:rsid w:val="002A3F93"/>
    <w:rsid w:val="002A40D5"/>
    <w:rsid w:val="002A433B"/>
    <w:rsid w:val="002A4356"/>
    <w:rsid w:val="002A4427"/>
    <w:rsid w:val="002A45BF"/>
    <w:rsid w:val="002A461D"/>
    <w:rsid w:val="002A4632"/>
    <w:rsid w:val="002A464C"/>
    <w:rsid w:val="002A4780"/>
    <w:rsid w:val="002A4858"/>
    <w:rsid w:val="002A48A7"/>
    <w:rsid w:val="002A49C3"/>
    <w:rsid w:val="002A49CB"/>
    <w:rsid w:val="002A49DA"/>
    <w:rsid w:val="002A4A41"/>
    <w:rsid w:val="002A4ABD"/>
    <w:rsid w:val="002A4B94"/>
    <w:rsid w:val="002A4BA6"/>
    <w:rsid w:val="002A4C0F"/>
    <w:rsid w:val="002A4C38"/>
    <w:rsid w:val="002A4CF4"/>
    <w:rsid w:val="002A4F0E"/>
    <w:rsid w:val="002A4FB6"/>
    <w:rsid w:val="002A505E"/>
    <w:rsid w:val="002A5092"/>
    <w:rsid w:val="002A50A7"/>
    <w:rsid w:val="002A50F3"/>
    <w:rsid w:val="002A5168"/>
    <w:rsid w:val="002A521D"/>
    <w:rsid w:val="002A5225"/>
    <w:rsid w:val="002A52E7"/>
    <w:rsid w:val="002A536A"/>
    <w:rsid w:val="002A538D"/>
    <w:rsid w:val="002A5432"/>
    <w:rsid w:val="002A54D4"/>
    <w:rsid w:val="002A55AD"/>
    <w:rsid w:val="002A564C"/>
    <w:rsid w:val="002A567D"/>
    <w:rsid w:val="002A56BA"/>
    <w:rsid w:val="002A56C3"/>
    <w:rsid w:val="002A56C9"/>
    <w:rsid w:val="002A57E0"/>
    <w:rsid w:val="002A5987"/>
    <w:rsid w:val="002A5B17"/>
    <w:rsid w:val="002A5BD9"/>
    <w:rsid w:val="002A5CBA"/>
    <w:rsid w:val="002A5CD1"/>
    <w:rsid w:val="002A5D84"/>
    <w:rsid w:val="002A5DC0"/>
    <w:rsid w:val="002A5E49"/>
    <w:rsid w:val="002A5E93"/>
    <w:rsid w:val="002A5E9C"/>
    <w:rsid w:val="002A5F2C"/>
    <w:rsid w:val="002A5F65"/>
    <w:rsid w:val="002A6010"/>
    <w:rsid w:val="002A6032"/>
    <w:rsid w:val="002A606C"/>
    <w:rsid w:val="002A606F"/>
    <w:rsid w:val="002A6083"/>
    <w:rsid w:val="002A60DA"/>
    <w:rsid w:val="002A619F"/>
    <w:rsid w:val="002A61C5"/>
    <w:rsid w:val="002A62C1"/>
    <w:rsid w:val="002A63CC"/>
    <w:rsid w:val="002A640A"/>
    <w:rsid w:val="002A6429"/>
    <w:rsid w:val="002A6665"/>
    <w:rsid w:val="002A66BA"/>
    <w:rsid w:val="002A67D2"/>
    <w:rsid w:val="002A6816"/>
    <w:rsid w:val="002A681B"/>
    <w:rsid w:val="002A6829"/>
    <w:rsid w:val="002A6860"/>
    <w:rsid w:val="002A6877"/>
    <w:rsid w:val="002A69BB"/>
    <w:rsid w:val="002A6A2E"/>
    <w:rsid w:val="002A6BC5"/>
    <w:rsid w:val="002A6D15"/>
    <w:rsid w:val="002A6D81"/>
    <w:rsid w:val="002A6DCC"/>
    <w:rsid w:val="002A6E09"/>
    <w:rsid w:val="002A6E1A"/>
    <w:rsid w:val="002A6E1F"/>
    <w:rsid w:val="002A6F76"/>
    <w:rsid w:val="002A6FF7"/>
    <w:rsid w:val="002A70AB"/>
    <w:rsid w:val="002A71DD"/>
    <w:rsid w:val="002A7245"/>
    <w:rsid w:val="002A724B"/>
    <w:rsid w:val="002A72FC"/>
    <w:rsid w:val="002A7314"/>
    <w:rsid w:val="002A7335"/>
    <w:rsid w:val="002A7470"/>
    <w:rsid w:val="002A757D"/>
    <w:rsid w:val="002A75FA"/>
    <w:rsid w:val="002A765F"/>
    <w:rsid w:val="002A77BA"/>
    <w:rsid w:val="002A787A"/>
    <w:rsid w:val="002A7880"/>
    <w:rsid w:val="002A78CA"/>
    <w:rsid w:val="002A796E"/>
    <w:rsid w:val="002A799F"/>
    <w:rsid w:val="002A7A0E"/>
    <w:rsid w:val="002A7A7A"/>
    <w:rsid w:val="002A7AFC"/>
    <w:rsid w:val="002A7C73"/>
    <w:rsid w:val="002A7C9B"/>
    <w:rsid w:val="002A7D27"/>
    <w:rsid w:val="002A7DBF"/>
    <w:rsid w:val="002A7E51"/>
    <w:rsid w:val="002A7E61"/>
    <w:rsid w:val="002A7E79"/>
    <w:rsid w:val="002A7F46"/>
    <w:rsid w:val="002B0034"/>
    <w:rsid w:val="002B0099"/>
    <w:rsid w:val="002B0247"/>
    <w:rsid w:val="002B0282"/>
    <w:rsid w:val="002B02CB"/>
    <w:rsid w:val="002B02D4"/>
    <w:rsid w:val="002B041E"/>
    <w:rsid w:val="002B054D"/>
    <w:rsid w:val="002B073C"/>
    <w:rsid w:val="002B0906"/>
    <w:rsid w:val="002B0A17"/>
    <w:rsid w:val="002B0B22"/>
    <w:rsid w:val="002B0B5D"/>
    <w:rsid w:val="002B0BAC"/>
    <w:rsid w:val="002B0C27"/>
    <w:rsid w:val="002B0D3D"/>
    <w:rsid w:val="002B0DB0"/>
    <w:rsid w:val="002B0E72"/>
    <w:rsid w:val="002B0EBD"/>
    <w:rsid w:val="002B0F82"/>
    <w:rsid w:val="002B0FA2"/>
    <w:rsid w:val="002B0FC9"/>
    <w:rsid w:val="002B0FD7"/>
    <w:rsid w:val="002B1041"/>
    <w:rsid w:val="002B1049"/>
    <w:rsid w:val="002B10FE"/>
    <w:rsid w:val="002B1181"/>
    <w:rsid w:val="002B122D"/>
    <w:rsid w:val="002B12B3"/>
    <w:rsid w:val="002B15F7"/>
    <w:rsid w:val="002B17E5"/>
    <w:rsid w:val="002B1813"/>
    <w:rsid w:val="002B183F"/>
    <w:rsid w:val="002B1874"/>
    <w:rsid w:val="002B1965"/>
    <w:rsid w:val="002B19A5"/>
    <w:rsid w:val="002B1A29"/>
    <w:rsid w:val="002B1A39"/>
    <w:rsid w:val="002B1A86"/>
    <w:rsid w:val="002B1A94"/>
    <w:rsid w:val="002B1AC7"/>
    <w:rsid w:val="002B1AFA"/>
    <w:rsid w:val="002B1B44"/>
    <w:rsid w:val="002B1BFA"/>
    <w:rsid w:val="002B1EA6"/>
    <w:rsid w:val="002B2103"/>
    <w:rsid w:val="002B210E"/>
    <w:rsid w:val="002B21A7"/>
    <w:rsid w:val="002B2249"/>
    <w:rsid w:val="002B22C6"/>
    <w:rsid w:val="002B22ED"/>
    <w:rsid w:val="002B23C2"/>
    <w:rsid w:val="002B240C"/>
    <w:rsid w:val="002B2440"/>
    <w:rsid w:val="002B26A3"/>
    <w:rsid w:val="002B26C5"/>
    <w:rsid w:val="002B271B"/>
    <w:rsid w:val="002B2760"/>
    <w:rsid w:val="002B2768"/>
    <w:rsid w:val="002B2797"/>
    <w:rsid w:val="002B291B"/>
    <w:rsid w:val="002B2977"/>
    <w:rsid w:val="002B2B7F"/>
    <w:rsid w:val="002B2C0E"/>
    <w:rsid w:val="002B2C61"/>
    <w:rsid w:val="002B2D04"/>
    <w:rsid w:val="002B2D88"/>
    <w:rsid w:val="002B2D8C"/>
    <w:rsid w:val="002B2E26"/>
    <w:rsid w:val="002B2EDC"/>
    <w:rsid w:val="002B2F08"/>
    <w:rsid w:val="002B2F8F"/>
    <w:rsid w:val="002B3116"/>
    <w:rsid w:val="002B3120"/>
    <w:rsid w:val="002B3349"/>
    <w:rsid w:val="002B3471"/>
    <w:rsid w:val="002B35A6"/>
    <w:rsid w:val="002B3798"/>
    <w:rsid w:val="002B37EE"/>
    <w:rsid w:val="002B3949"/>
    <w:rsid w:val="002B3973"/>
    <w:rsid w:val="002B39C0"/>
    <w:rsid w:val="002B3A2C"/>
    <w:rsid w:val="002B3A44"/>
    <w:rsid w:val="002B3B82"/>
    <w:rsid w:val="002B3BA2"/>
    <w:rsid w:val="002B3BA7"/>
    <w:rsid w:val="002B3C6C"/>
    <w:rsid w:val="002B3CBE"/>
    <w:rsid w:val="002B3CE2"/>
    <w:rsid w:val="002B3EB6"/>
    <w:rsid w:val="002B3EED"/>
    <w:rsid w:val="002B4002"/>
    <w:rsid w:val="002B40CC"/>
    <w:rsid w:val="002B40D6"/>
    <w:rsid w:val="002B40D8"/>
    <w:rsid w:val="002B4110"/>
    <w:rsid w:val="002B41A0"/>
    <w:rsid w:val="002B41E7"/>
    <w:rsid w:val="002B41EC"/>
    <w:rsid w:val="002B4203"/>
    <w:rsid w:val="002B4240"/>
    <w:rsid w:val="002B430F"/>
    <w:rsid w:val="002B4456"/>
    <w:rsid w:val="002B46D7"/>
    <w:rsid w:val="002B475B"/>
    <w:rsid w:val="002B477C"/>
    <w:rsid w:val="002B47F3"/>
    <w:rsid w:val="002B4827"/>
    <w:rsid w:val="002B4833"/>
    <w:rsid w:val="002B494D"/>
    <w:rsid w:val="002B4B46"/>
    <w:rsid w:val="002B4BC4"/>
    <w:rsid w:val="002B4BCC"/>
    <w:rsid w:val="002B4EF2"/>
    <w:rsid w:val="002B4F72"/>
    <w:rsid w:val="002B4FB4"/>
    <w:rsid w:val="002B500A"/>
    <w:rsid w:val="002B5119"/>
    <w:rsid w:val="002B5188"/>
    <w:rsid w:val="002B5258"/>
    <w:rsid w:val="002B5299"/>
    <w:rsid w:val="002B532E"/>
    <w:rsid w:val="002B5363"/>
    <w:rsid w:val="002B5375"/>
    <w:rsid w:val="002B5472"/>
    <w:rsid w:val="002B562F"/>
    <w:rsid w:val="002B5688"/>
    <w:rsid w:val="002B57D3"/>
    <w:rsid w:val="002B5822"/>
    <w:rsid w:val="002B582E"/>
    <w:rsid w:val="002B5AB2"/>
    <w:rsid w:val="002B5ADC"/>
    <w:rsid w:val="002B5B33"/>
    <w:rsid w:val="002B5BD9"/>
    <w:rsid w:val="002B5C54"/>
    <w:rsid w:val="002B5F8E"/>
    <w:rsid w:val="002B61F0"/>
    <w:rsid w:val="002B61F8"/>
    <w:rsid w:val="002B636E"/>
    <w:rsid w:val="002B640E"/>
    <w:rsid w:val="002B650D"/>
    <w:rsid w:val="002B6529"/>
    <w:rsid w:val="002B65FA"/>
    <w:rsid w:val="002B66E5"/>
    <w:rsid w:val="002B672E"/>
    <w:rsid w:val="002B6894"/>
    <w:rsid w:val="002B68DD"/>
    <w:rsid w:val="002B693C"/>
    <w:rsid w:val="002B6973"/>
    <w:rsid w:val="002B6A11"/>
    <w:rsid w:val="002B6B72"/>
    <w:rsid w:val="002B6CA5"/>
    <w:rsid w:val="002B6CC8"/>
    <w:rsid w:val="002B6E20"/>
    <w:rsid w:val="002B6E64"/>
    <w:rsid w:val="002B6FE8"/>
    <w:rsid w:val="002B7020"/>
    <w:rsid w:val="002B708E"/>
    <w:rsid w:val="002B71B0"/>
    <w:rsid w:val="002B71B3"/>
    <w:rsid w:val="002B71EC"/>
    <w:rsid w:val="002B727E"/>
    <w:rsid w:val="002B7290"/>
    <w:rsid w:val="002B7347"/>
    <w:rsid w:val="002B745F"/>
    <w:rsid w:val="002B7544"/>
    <w:rsid w:val="002B7608"/>
    <w:rsid w:val="002B771D"/>
    <w:rsid w:val="002B7A66"/>
    <w:rsid w:val="002B7A6E"/>
    <w:rsid w:val="002B7B08"/>
    <w:rsid w:val="002B7D11"/>
    <w:rsid w:val="002B7D31"/>
    <w:rsid w:val="002B7D95"/>
    <w:rsid w:val="002B7F68"/>
    <w:rsid w:val="002C007C"/>
    <w:rsid w:val="002C00C6"/>
    <w:rsid w:val="002C0188"/>
    <w:rsid w:val="002C0271"/>
    <w:rsid w:val="002C02D5"/>
    <w:rsid w:val="002C04AC"/>
    <w:rsid w:val="002C04C4"/>
    <w:rsid w:val="002C0511"/>
    <w:rsid w:val="002C07DC"/>
    <w:rsid w:val="002C085E"/>
    <w:rsid w:val="002C09E9"/>
    <w:rsid w:val="002C0A72"/>
    <w:rsid w:val="002C0B0C"/>
    <w:rsid w:val="002C0BEB"/>
    <w:rsid w:val="002C0BEE"/>
    <w:rsid w:val="002C0C4A"/>
    <w:rsid w:val="002C0C7E"/>
    <w:rsid w:val="002C0CA6"/>
    <w:rsid w:val="002C0CB8"/>
    <w:rsid w:val="002C0CD4"/>
    <w:rsid w:val="002C0D4B"/>
    <w:rsid w:val="002C0E05"/>
    <w:rsid w:val="002C0E20"/>
    <w:rsid w:val="002C0E61"/>
    <w:rsid w:val="002C0E8B"/>
    <w:rsid w:val="002C0FF7"/>
    <w:rsid w:val="002C109E"/>
    <w:rsid w:val="002C10C5"/>
    <w:rsid w:val="002C10D0"/>
    <w:rsid w:val="002C1134"/>
    <w:rsid w:val="002C11AE"/>
    <w:rsid w:val="002C126A"/>
    <w:rsid w:val="002C12D7"/>
    <w:rsid w:val="002C12DD"/>
    <w:rsid w:val="002C1328"/>
    <w:rsid w:val="002C13C3"/>
    <w:rsid w:val="002C1452"/>
    <w:rsid w:val="002C1480"/>
    <w:rsid w:val="002C14A3"/>
    <w:rsid w:val="002C14C9"/>
    <w:rsid w:val="002C1691"/>
    <w:rsid w:val="002C17A2"/>
    <w:rsid w:val="002C189F"/>
    <w:rsid w:val="002C18A1"/>
    <w:rsid w:val="002C1952"/>
    <w:rsid w:val="002C19F6"/>
    <w:rsid w:val="002C1A17"/>
    <w:rsid w:val="002C1A5D"/>
    <w:rsid w:val="002C1A98"/>
    <w:rsid w:val="002C1AA1"/>
    <w:rsid w:val="002C1AD6"/>
    <w:rsid w:val="002C1AFF"/>
    <w:rsid w:val="002C1B15"/>
    <w:rsid w:val="002C1B88"/>
    <w:rsid w:val="002C1BBC"/>
    <w:rsid w:val="002C1BCE"/>
    <w:rsid w:val="002C1CC2"/>
    <w:rsid w:val="002C1D32"/>
    <w:rsid w:val="002C1E77"/>
    <w:rsid w:val="002C1F43"/>
    <w:rsid w:val="002C1FA9"/>
    <w:rsid w:val="002C1FAE"/>
    <w:rsid w:val="002C2067"/>
    <w:rsid w:val="002C2089"/>
    <w:rsid w:val="002C2215"/>
    <w:rsid w:val="002C237C"/>
    <w:rsid w:val="002C23E4"/>
    <w:rsid w:val="002C2417"/>
    <w:rsid w:val="002C2512"/>
    <w:rsid w:val="002C2608"/>
    <w:rsid w:val="002C26AC"/>
    <w:rsid w:val="002C26CC"/>
    <w:rsid w:val="002C2748"/>
    <w:rsid w:val="002C2856"/>
    <w:rsid w:val="002C28A2"/>
    <w:rsid w:val="002C28F3"/>
    <w:rsid w:val="002C2A12"/>
    <w:rsid w:val="002C2A17"/>
    <w:rsid w:val="002C2A62"/>
    <w:rsid w:val="002C2AA0"/>
    <w:rsid w:val="002C2B5F"/>
    <w:rsid w:val="002C2B95"/>
    <w:rsid w:val="002C2B9D"/>
    <w:rsid w:val="002C2BE4"/>
    <w:rsid w:val="002C2D5C"/>
    <w:rsid w:val="002C2E58"/>
    <w:rsid w:val="002C2E65"/>
    <w:rsid w:val="002C2FD3"/>
    <w:rsid w:val="002C3051"/>
    <w:rsid w:val="002C3105"/>
    <w:rsid w:val="002C3218"/>
    <w:rsid w:val="002C323D"/>
    <w:rsid w:val="002C32C0"/>
    <w:rsid w:val="002C33D0"/>
    <w:rsid w:val="002C345C"/>
    <w:rsid w:val="002C3486"/>
    <w:rsid w:val="002C34B4"/>
    <w:rsid w:val="002C350B"/>
    <w:rsid w:val="002C3592"/>
    <w:rsid w:val="002C3606"/>
    <w:rsid w:val="002C3690"/>
    <w:rsid w:val="002C369C"/>
    <w:rsid w:val="002C372E"/>
    <w:rsid w:val="002C3829"/>
    <w:rsid w:val="002C382F"/>
    <w:rsid w:val="002C3A6A"/>
    <w:rsid w:val="002C3B2C"/>
    <w:rsid w:val="002C3BCD"/>
    <w:rsid w:val="002C3C21"/>
    <w:rsid w:val="002C3D7A"/>
    <w:rsid w:val="002C3D7D"/>
    <w:rsid w:val="002C3EB2"/>
    <w:rsid w:val="002C3ED2"/>
    <w:rsid w:val="002C3FDC"/>
    <w:rsid w:val="002C4351"/>
    <w:rsid w:val="002C43D6"/>
    <w:rsid w:val="002C44CF"/>
    <w:rsid w:val="002C4546"/>
    <w:rsid w:val="002C4563"/>
    <w:rsid w:val="002C457F"/>
    <w:rsid w:val="002C45A9"/>
    <w:rsid w:val="002C468F"/>
    <w:rsid w:val="002C4709"/>
    <w:rsid w:val="002C497B"/>
    <w:rsid w:val="002C49DA"/>
    <w:rsid w:val="002C49E5"/>
    <w:rsid w:val="002C4A3C"/>
    <w:rsid w:val="002C4A61"/>
    <w:rsid w:val="002C4B05"/>
    <w:rsid w:val="002C4B7E"/>
    <w:rsid w:val="002C4B8D"/>
    <w:rsid w:val="002C4BE1"/>
    <w:rsid w:val="002C4CD3"/>
    <w:rsid w:val="002C52B0"/>
    <w:rsid w:val="002C5321"/>
    <w:rsid w:val="002C5387"/>
    <w:rsid w:val="002C53FC"/>
    <w:rsid w:val="002C5461"/>
    <w:rsid w:val="002C556A"/>
    <w:rsid w:val="002C56E8"/>
    <w:rsid w:val="002C5711"/>
    <w:rsid w:val="002C5749"/>
    <w:rsid w:val="002C57D5"/>
    <w:rsid w:val="002C57DC"/>
    <w:rsid w:val="002C5949"/>
    <w:rsid w:val="002C5A01"/>
    <w:rsid w:val="002C5A1D"/>
    <w:rsid w:val="002C5ACA"/>
    <w:rsid w:val="002C5B2A"/>
    <w:rsid w:val="002C5BCA"/>
    <w:rsid w:val="002C5C66"/>
    <w:rsid w:val="002C5CFF"/>
    <w:rsid w:val="002C5DE2"/>
    <w:rsid w:val="002C5DFF"/>
    <w:rsid w:val="002C5F69"/>
    <w:rsid w:val="002C5F8E"/>
    <w:rsid w:val="002C6089"/>
    <w:rsid w:val="002C63ED"/>
    <w:rsid w:val="002C6514"/>
    <w:rsid w:val="002C652D"/>
    <w:rsid w:val="002C6596"/>
    <w:rsid w:val="002C66E7"/>
    <w:rsid w:val="002C6712"/>
    <w:rsid w:val="002C671E"/>
    <w:rsid w:val="002C676F"/>
    <w:rsid w:val="002C67B0"/>
    <w:rsid w:val="002C6864"/>
    <w:rsid w:val="002C696B"/>
    <w:rsid w:val="002C6989"/>
    <w:rsid w:val="002C699A"/>
    <w:rsid w:val="002C6A30"/>
    <w:rsid w:val="002C6A74"/>
    <w:rsid w:val="002C6AA0"/>
    <w:rsid w:val="002C6AFD"/>
    <w:rsid w:val="002C6BA0"/>
    <w:rsid w:val="002C6C6B"/>
    <w:rsid w:val="002C6D0E"/>
    <w:rsid w:val="002C6D5F"/>
    <w:rsid w:val="002C6F63"/>
    <w:rsid w:val="002C6F85"/>
    <w:rsid w:val="002C7186"/>
    <w:rsid w:val="002C71AD"/>
    <w:rsid w:val="002C71F4"/>
    <w:rsid w:val="002C7294"/>
    <w:rsid w:val="002C734E"/>
    <w:rsid w:val="002C737F"/>
    <w:rsid w:val="002C7388"/>
    <w:rsid w:val="002C7467"/>
    <w:rsid w:val="002C7480"/>
    <w:rsid w:val="002C7486"/>
    <w:rsid w:val="002C751D"/>
    <w:rsid w:val="002C753E"/>
    <w:rsid w:val="002C75E4"/>
    <w:rsid w:val="002C7627"/>
    <w:rsid w:val="002C7717"/>
    <w:rsid w:val="002C7852"/>
    <w:rsid w:val="002C78C0"/>
    <w:rsid w:val="002C7955"/>
    <w:rsid w:val="002C7A8D"/>
    <w:rsid w:val="002C7ACB"/>
    <w:rsid w:val="002C7AF2"/>
    <w:rsid w:val="002C7B98"/>
    <w:rsid w:val="002C7CB0"/>
    <w:rsid w:val="002C7D14"/>
    <w:rsid w:val="002C7DCD"/>
    <w:rsid w:val="002C7E03"/>
    <w:rsid w:val="002D000E"/>
    <w:rsid w:val="002D0177"/>
    <w:rsid w:val="002D01EE"/>
    <w:rsid w:val="002D0256"/>
    <w:rsid w:val="002D0329"/>
    <w:rsid w:val="002D046B"/>
    <w:rsid w:val="002D05BA"/>
    <w:rsid w:val="002D0663"/>
    <w:rsid w:val="002D06D9"/>
    <w:rsid w:val="002D07AB"/>
    <w:rsid w:val="002D07CB"/>
    <w:rsid w:val="002D0849"/>
    <w:rsid w:val="002D0928"/>
    <w:rsid w:val="002D0A10"/>
    <w:rsid w:val="002D0A22"/>
    <w:rsid w:val="002D0A76"/>
    <w:rsid w:val="002D0AC9"/>
    <w:rsid w:val="002D0B25"/>
    <w:rsid w:val="002D0BC4"/>
    <w:rsid w:val="002D0BC8"/>
    <w:rsid w:val="002D0C29"/>
    <w:rsid w:val="002D0C3F"/>
    <w:rsid w:val="002D0C92"/>
    <w:rsid w:val="002D0C94"/>
    <w:rsid w:val="002D0D5B"/>
    <w:rsid w:val="002D0DC6"/>
    <w:rsid w:val="002D0E00"/>
    <w:rsid w:val="002D0E6B"/>
    <w:rsid w:val="002D0F3C"/>
    <w:rsid w:val="002D0FA2"/>
    <w:rsid w:val="002D1148"/>
    <w:rsid w:val="002D12B3"/>
    <w:rsid w:val="002D137A"/>
    <w:rsid w:val="002D13EA"/>
    <w:rsid w:val="002D14F8"/>
    <w:rsid w:val="002D1633"/>
    <w:rsid w:val="002D1660"/>
    <w:rsid w:val="002D1724"/>
    <w:rsid w:val="002D1809"/>
    <w:rsid w:val="002D1895"/>
    <w:rsid w:val="002D18F5"/>
    <w:rsid w:val="002D19A8"/>
    <w:rsid w:val="002D19D8"/>
    <w:rsid w:val="002D1A3D"/>
    <w:rsid w:val="002D1BCD"/>
    <w:rsid w:val="002D1C3F"/>
    <w:rsid w:val="002D1D86"/>
    <w:rsid w:val="002D1D8F"/>
    <w:rsid w:val="002D1D99"/>
    <w:rsid w:val="002D1ECC"/>
    <w:rsid w:val="002D1F04"/>
    <w:rsid w:val="002D20A8"/>
    <w:rsid w:val="002D2113"/>
    <w:rsid w:val="002D223E"/>
    <w:rsid w:val="002D235B"/>
    <w:rsid w:val="002D23A9"/>
    <w:rsid w:val="002D23D0"/>
    <w:rsid w:val="002D241A"/>
    <w:rsid w:val="002D2449"/>
    <w:rsid w:val="002D24D5"/>
    <w:rsid w:val="002D24F9"/>
    <w:rsid w:val="002D252E"/>
    <w:rsid w:val="002D26C7"/>
    <w:rsid w:val="002D2763"/>
    <w:rsid w:val="002D27D0"/>
    <w:rsid w:val="002D27FD"/>
    <w:rsid w:val="002D298F"/>
    <w:rsid w:val="002D2AAE"/>
    <w:rsid w:val="002D2BB7"/>
    <w:rsid w:val="002D2BF9"/>
    <w:rsid w:val="002D2D7B"/>
    <w:rsid w:val="002D2D8C"/>
    <w:rsid w:val="002D2DC7"/>
    <w:rsid w:val="002D2DD7"/>
    <w:rsid w:val="002D2EBB"/>
    <w:rsid w:val="002D2F95"/>
    <w:rsid w:val="002D2F9F"/>
    <w:rsid w:val="002D2FA7"/>
    <w:rsid w:val="002D3021"/>
    <w:rsid w:val="002D3075"/>
    <w:rsid w:val="002D30C9"/>
    <w:rsid w:val="002D3189"/>
    <w:rsid w:val="002D31CB"/>
    <w:rsid w:val="002D3240"/>
    <w:rsid w:val="002D3247"/>
    <w:rsid w:val="002D3537"/>
    <w:rsid w:val="002D360D"/>
    <w:rsid w:val="002D3666"/>
    <w:rsid w:val="002D36CE"/>
    <w:rsid w:val="002D3787"/>
    <w:rsid w:val="002D3A22"/>
    <w:rsid w:val="002D3A25"/>
    <w:rsid w:val="002D3A30"/>
    <w:rsid w:val="002D3C9F"/>
    <w:rsid w:val="002D3E3A"/>
    <w:rsid w:val="002D40BD"/>
    <w:rsid w:val="002D4100"/>
    <w:rsid w:val="002D4141"/>
    <w:rsid w:val="002D4148"/>
    <w:rsid w:val="002D449A"/>
    <w:rsid w:val="002D44C1"/>
    <w:rsid w:val="002D45B7"/>
    <w:rsid w:val="002D45D6"/>
    <w:rsid w:val="002D46A9"/>
    <w:rsid w:val="002D48FF"/>
    <w:rsid w:val="002D4967"/>
    <w:rsid w:val="002D4AF1"/>
    <w:rsid w:val="002D4C45"/>
    <w:rsid w:val="002D4C55"/>
    <w:rsid w:val="002D4CF1"/>
    <w:rsid w:val="002D4EC5"/>
    <w:rsid w:val="002D4EFA"/>
    <w:rsid w:val="002D4F13"/>
    <w:rsid w:val="002D4F98"/>
    <w:rsid w:val="002D4FFF"/>
    <w:rsid w:val="002D5013"/>
    <w:rsid w:val="002D502A"/>
    <w:rsid w:val="002D50AE"/>
    <w:rsid w:val="002D511A"/>
    <w:rsid w:val="002D5159"/>
    <w:rsid w:val="002D52CF"/>
    <w:rsid w:val="002D54BF"/>
    <w:rsid w:val="002D55A9"/>
    <w:rsid w:val="002D55CD"/>
    <w:rsid w:val="002D5617"/>
    <w:rsid w:val="002D562F"/>
    <w:rsid w:val="002D568C"/>
    <w:rsid w:val="002D57CA"/>
    <w:rsid w:val="002D57F0"/>
    <w:rsid w:val="002D5806"/>
    <w:rsid w:val="002D593A"/>
    <w:rsid w:val="002D5B3A"/>
    <w:rsid w:val="002D5B4F"/>
    <w:rsid w:val="002D5BA1"/>
    <w:rsid w:val="002D5BFE"/>
    <w:rsid w:val="002D5CD8"/>
    <w:rsid w:val="002D5D60"/>
    <w:rsid w:val="002D5E7C"/>
    <w:rsid w:val="002D5EFD"/>
    <w:rsid w:val="002D5F27"/>
    <w:rsid w:val="002D5F64"/>
    <w:rsid w:val="002D5FA5"/>
    <w:rsid w:val="002D6080"/>
    <w:rsid w:val="002D608A"/>
    <w:rsid w:val="002D6094"/>
    <w:rsid w:val="002D60B1"/>
    <w:rsid w:val="002D612D"/>
    <w:rsid w:val="002D6189"/>
    <w:rsid w:val="002D62CD"/>
    <w:rsid w:val="002D636A"/>
    <w:rsid w:val="002D646D"/>
    <w:rsid w:val="002D65B7"/>
    <w:rsid w:val="002D65FA"/>
    <w:rsid w:val="002D66A9"/>
    <w:rsid w:val="002D6709"/>
    <w:rsid w:val="002D674A"/>
    <w:rsid w:val="002D6763"/>
    <w:rsid w:val="002D67BB"/>
    <w:rsid w:val="002D69ED"/>
    <w:rsid w:val="002D6BD7"/>
    <w:rsid w:val="002D6CAF"/>
    <w:rsid w:val="002D6D1C"/>
    <w:rsid w:val="002D6F13"/>
    <w:rsid w:val="002D6FE6"/>
    <w:rsid w:val="002D7152"/>
    <w:rsid w:val="002D7183"/>
    <w:rsid w:val="002D729F"/>
    <w:rsid w:val="002D72BD"/>
    <w:rsid w:val="002D72F2"/>
    <w:rsid w:val="002D7378"/>
    <w:rsid w:val="002D73BA"/>
    <w:rsid w:val="002D73C2"/>
    <w:rsid w:val="002D7415"/>
    <w:rsid w:val="002D7470"/>
    <w:rsid w:val="002D7645"/>
    <w:rsid w:val="002D77AC"/>
    <w:rsid w:val="002D77D7"/>
    <w:rsid w:val="002D77F0"/>
    <w:rsid w:val="002D7820"/>
    <w:rsid w:val="002D78F8"/>
    <w:rsid w:val="002D794A"/>
    <w:rsid w:val="002D798B"/>
    <w:rsid w:val="002D79A5"/>
    <w:rsid w:val="002D7A4F"/>
    <w:rsid w:val="002D7BCC"/>
    <w:rsid w:val="002D7C56"/>
    <w:rsid w:val="002D7C81"/>
    <w:rsid w:val="002D7CA9"/>
    <w:rsid w:val="002D7CB4"/>
    <w:rsid w:val="002D7D44"/>
    <w:rsid w:val="002D7D46"/>
    <w:rsid w:val="002D7D48"/>
    <w:rsid w:val="002E002D"/>
    <w:rsid w:val="002E015E"/>
    <w:rsid w:val="002E01C5"/>
    <w:rsid w:val="002E025C"/>
    <w:rsid w:val="002E026A"/>
    <w:rsid w:val="002E02DF"/>
    <w:rsid w:val="002E02E8"/>
    <w:rsid w:val="002E052B"/>
    <w:rsid w:val="002E0557"/>
    <w:rsid w:val="002E0582"/>
    <w:rsid w:val="002E05DF"/>
    <w:rsid w:val="002E05F7"/>
    <w:rsid w:val="002E066D"/>
    <w:rsid w:val="002E067E"/>
    <w:rsid w:val="002E06AB"/>
    <w:rsid w:val="002E07A9"/>
    <w:rsid w:val="002E084A"/>
    <w:rsid w:val="002E08B6"/>
    <w:rsid w:val="002E08D5"/>
    <w:rsid w:val="002E0996"/>
    <w:rsid w:val="002E09D4"/>
    <w:rsid w:val="002E0A33"/>
    <w:rsid w:val="002E0A3A"/>
    <w:rsid w:val="002E0B86"/>
    <w:rsid w:val="002E0C31"/>
    <w:rsid w:val="002E0D59"/>
    <w:rsid w:val="002E0E1C"/>
    <w:rsid w:val="002E0E2B"/>
    <w:rsid w:val="002E0EFA"/>
    <w:rsid w:val="002E0F96"/>
    <w:rsid w:val="002E11C5"/>
    <w:rsid w:val="002E128B"/>
    <w:rsid w:val="002E1306"/>
    <w:rsid w:val="002E1349"/>
    <w:rsid w:val="002E13F9"/>
    <w:rsid w:val="002E145C"/>
    <w:rsid w:val="002E14F1"/>
    <w:rsid w:val="002E15F2"/>
    <w:rsid w:val="002E1626"/>
    <w:rsid w:val="002E169E"/>
    <w:rsid w:val="002E1815"/>
    <w:rsid w:val="002E189F"/>
    <w:rsid w:val="002E18F7"/>
    <w:rsid w:val="002E1992"/>
    <w:rsid w:val="002E1A14"/>
    <w:rsid w:val="002E1A27"/>
    <w:rsid w:val="002E1A3E"/>
    <w:rsid w:val="002E1AD7"/>
    <w:rsid w:val="002E1C9D"/>
    <w:rsid w:val="002E1D09"/>
    <w:rsid w:val="002E1D6B"/>
    <w:rsid w:val="002E1DDC"/>
    <w:rsid w:val="002E1FF1"/>
    <w:rsid w:val="002E2015"/>
    <w:rsid w:val="002E217B"/>
    <w:rsid w:val="002E21C9"/>
    <w:rsid w:val="002E2294"/>
    <w:rsid w:val="002E22A6"/>
    <w:rsid w:val="002E22DF"/>
    <w:rsid w:val="002E234F"/>
    <w:rsid w:val="002E2361"/>
    <w:rsid w:val="002E23E0"/>
    <w:rsid w:val="002E2537"/>
    <w:rsid w:val="002E2567"/>
    <w:rsid w:val="002E25D1"/>
    <w:rsid w:val="002E25DB"/>
    <w:rsid w:val="002E2624"/>
    <w:rsid w:val="002E2628"/>
    <w:rsid w:val="002E268F"/>
    <w:rsid w:val="002E2701"/>
    <w:rsid w:val="002E27F4"/>
    <w:rsid w:val="002E2849"/>
    <w:rsid w:val="002E2B18"/>
    <w:rsid w:val="002E2BC5"/>
    <w:rsid w:val="002E2BF6"/>
    <w:rsid w:val="002E2C58"/>
    <w:rsid w:val="002E2D12"/>
    <w:rsid w:val="002E2D91"/>
    <w:rsid w:val="002E2E5E"/>
    <w:rsid w:val="002E2E8E"/>
    <w:rsid w:val="002E2FE5"/>
    <w:rsid w:val="002E3072"/>
    <w:rsid w:val="002E30A8"/>
    <w:rsid w:val="002E3132"/>
    <w:rsid w:val="002E31F9"/>
    <w:rsid w:val="002E32C7"/>
    <w:rsid w:val="002E3353"/>
    <w:rsid w:val="002E3370"/>
    <w:rsid w:val="002E33D7"/>
    <w:rsid w:val="002E33FF"/>
    <w:rsid w:val="002E342E"/>
    <w:rsid w:val="002E3469"/>
    <w:rsid w:val="002E34E3"/>
    <w:rsid w:val="002E354C"/>
    <w:rsid w:val="002E365A"/>
    <w:rsid w:val="002E36B4"/>
    <w:rsid w:val="002E37E8"/>
    <w:rsid w:val="002E3816"/>
    <w:rsid w:val="002E3B73"/>
    <w:rsid w:val="002E3CC9"/>
    <w:rsid w:val="002E3D0F"/>
    <w:rsid w:val="002E3D19"/>
    <w:rsid w:val="002E3D87"/>
    <w:rsid w:val="002E3DA0"/>
    <w:rsid w:val="002E3EBE"/>
    <w:rsid w:val="002E4031"/>
    <w:rsid w:val="002E4034"/>
    <w:rsid w:val="002E4205"/>
    <w:rsid w:val="002E421E"/>
    <w:rsid w:val="002E4238"/>
    <w:rsid w:val="002E4274"/>
    <w:rsid w:val="002E434E"/>
    <w:rsid w:val="002E43D5"/>
    <w:rsid w:val="002E4407"/>
    <w:rsid w:val="002E4506"/>
    <w:rsid w:val="002E45ED"/>
    <w:rsid w:val="002E4741"/>
    <w:rsid w:val="002E4761"/>
    <w:rsid w:val="002E483C"/>
    <w:rsid w:val="002E48D4"/>
    <w:rsid w:val="002E49A7"/>
    <w:rsid w:val="002E4BC9"/>
    <w:rsid w:val="002E4C44"/>
    <w:rsid w:val="002E4C47"/>
    <w:rsid w:val="002E4C57"/>
    <w:rsid w:val="002E4CC3"/>
    <w:rsid w:val="002E4CC8"/>
    <w:rsid w:val="002E4D38"/>
    <w:rsid w:val="002E4DFF"/>
    <w:rsid w:val="002E4ED2"/>
    <w:rsid w:val="002E4EF2"/>
    <w:rsid w:val="002E4F35"/>
    <w:rsid w:val="002E4F7F"/>
    <w:rsid w:val="002E4FA0"/>
    <w:rsid w:val="002E5064"/>
    <w:rsid w:val="002E50CB"/>
    <w:rsid w:val="002E5136"/>
    <w:rsid w:val="002E51C6"/>
    <w:rsid w:val="002E51FC"/>
    <w:rsid w:val="002E5213"/>
    <w:rsid w:val="002E5230"/>
    <w:rsid w:val="002E5359"/>
    <w:rsid w:val="002E53D3"/>
    <w:rsid w:val="002E5548"/>
    <w:rsid w:val="002E5555"/>
    <w:rsid w:val="002E5654"/>
    <w:rsid w:val="002E566F"/>
    <w:rsid w:val="002E5709"/>
    <w:rsid w:val="002E5753"/>
    <w:rsid w:val="002E5760"/>
    <w:rsid w:val="002E5973"/>
    <w:rsid w:val="002E5A47"/>
    <w:rsid w:val="002E5A9D"/>
    <w:rsid w:val="002E5ACF"/>
    <w:rsid w:val="002E5BB4"/>
    <w:rsid w:val="002E5D87"/>
    <w:rsid w:val="002E5D8A"/>
    <w:rsid w:val="002E5E67"/>
    <w:rsid w:val="002E5E9B"/>
    <w:rsid w:val="002E606B"/>
    <w:rsid w:val="002E60E5"/>
    <w:rsid w:val="002E616F"/>
    <w:rsid w:val="002E6171"/>
    <w:rsid w:val="002E6293"/>
    <w:rsid w:val="002E6309"/>
    <w:rsid w:val="002E6410"/>
    <w:rsid w:val="002E6464"/>
    <w:rsid w:val="002E64EC"/>
    <w:rsid w:val="002E650F"/>
    <w:rsid w:val="002E6581"/>
    <w:rsid w:val="002E6594"/>
    <w:rsid w:val="002E66A0"/>
    <w:rsid w:val="002E672F"/>
    <w:rsid w:val="002E6732"/>
    <w:rsid w:val="002E67C3"/>
    <w:rsid w:val="002E6880"/>
    <w:rsid w:val="002E68BF"/>
    <w:rsid w:val="002E697E"/>
    <w:rsid w:val="002E6A5D"/>
    <w:rsid w:val="002E6BB1"/>
    <w:rsid w:val="002E6BB7"/>
    <w:rsid w:val="002E6BB9"/>
    <w:rsid w:val="002E6CC6"/>
    <w:rsid w:val="002E6D10"/>
    <w:rsid w:val="002E6E0B"/>
    <w:rsid w:val="002E6E0C"/>
    <w:rsid w:val="002E6E24"/>
    <w:rsid w:val="002E6EE1"/>
    <w:rsid w:val="002E703B"/>
    <w:rsid w:val="002E7062"/>
    <w:rsid w:val="002E7179"/>
    <w:rsid w:val="002E725E"/>
    <w:rsid w:val="002E7267"/>
    <w:rsid w:val="002E7305"/>
    <w:rsid w:val="002E745F"/>
    <w:rsid w:val="002E7482"/>
    <w:rsid w:val="002E7509"/>
    <w:rsid w:val="002E758C"/>
    <w:rsid w:val="002E75C3"/>
    <w:rsid w:val="002E764F"/>
    <w:rsid w:val="002E76AE"/>
    <w:rsid w:val="002E7A07"/>
    <w:rsid w:val="002E7D14"/>
    <w:rsid w:val="002E7DCF"/>
    <w:rsid w:val="002E7E5E"/>
    <w:rsid w:val="002E7F87"/>
    <w:rsid w:val="002E7FA7"/>
    <w:rsid w:val="002F0030"/>
    <w:rsid w:val="002F003F"/>
    <w:rsid w:val="002F0087"/>
    <w:rsid w:val="002F0136"/>
    <w:rsid w:val="002F0142"/>
    <w:rsid w:val="002F02DF"/>
    <w:rsid w:val="002F0317"/>
    <w:rsid w:val="002F032A"/>
    <w:rsid w:val="002F033A"/>
    <w:rsid w:val="002F035F"/>
    <w:rsid w:val="002F04E5"/>
    <w:rsid w:val="002F060A"/>
    <w:rsid w:val="002F06D9"/>
    <w:rsid w:val="002F06EE"/>
    <w:rsid w:val="002F071C"/>
    <w:rsid w:val="002F07DB"/>
    <w:rsid w:val="002F08C7"/>
    <w:rsid w:val="002F08C8"/>
    <w:rsid w:val="002F096E"/>
    <w:rsid w:val="002F09FA"/>
    <w:rsid w:val="002F0B4B"/>
    <w:rsid w:val="002F0B67"/>
    <w:rsid w:val="002F0BB9"/>
    <w:rsid w:val="002F0BDF"/>
    <w:rsid w:val="002F0CC3"/>
    <w:rsid w:val="002F0CE2"/>
    <w:rsid w:val="002F0EBA"/>
    <w:rsid w:val="002F0EDD"/>
    <w:rsid w:val="002F0F1B"/>
    <w:rsid w:val="002F1127"/>
    <w:rsid w:val="002F1173"/>
    <w:rsid w:val="002F1185"/>
    <w:rsid w:val="002F135E"/>
    <w:rsid w:val="002F136F"/>
    <w:rsid w:val="002F13B9"/>
    <w:rsid w:val="002F13DC"/>
    <w:rsid w:val="002F15A1"/>
    <w:rsid w:val="002F16D5"/>
    <w:rsid w:val="002F1853"/>
    <w:rsid w:val="002F1875"/>
    <w:rsid w:val="002F1882"/>
    <w:rsid w:val="002F192D"/>
    <w:rsid w:val="002F19A2"/>
    <w:rsid w:val="002F1EAA"/>
    <w:rsid w:val="002F1EE7"/>
    <w:rsid w:val="002F1EEE"/>
    <w:rsid w:val="002F1F37"/>
    <w:rsid w:val="002F1F8C"/>
    <w:rsid w:val="002F1FB2"/>
    <w:rsid w:val="002F20DA"/>
    <w:rsid w:val="002F2211"/>
    <w:rsid w:val="002F2275"/>
    <w:rsid w:val="002F22AE"/>
    <w:rsid w:val="002F2479"/>
    <w:rsid w:val="002F24F2"/>
    <w:rsid w:val="002F250D"/>
    <w:rsid w:val="002F2596"/>
    <w:rsid w:val="002F25B0"/>
    <w:rsid w:val="002F2642"/>
    <w:rsid w:val="002F26CD"/>
    <w:rsid w:val="002F26FF"/>
    <w:rsid w:val="002F2741"/>
    <w:rsid w:val="002F275F"/>
    <w:rsid w:val="002F27D1"/>
    <w:rsid w:val="002F286D"/>
    <w:rsid w:val="002F28E1"/>
    <w:rsid w:val="002F2945"/>
    <w:rsid w:val="002F2A41"/>
    <w:rsid w:val="002F2A50"/>
    <w:rsid w:val="002F2A98"/>
    <w:rsid w:val="002F2B0C"/>
    <w:rsid w:val="002F2B63"/>
    <w:rsid w:val="002F2C8B"/>
    <w:rsid w:val="002F2FA4"/>
    <w:rsid w:val="002F3037"/>
    <w:rsid w:val="002F306E"/>
    <w:rsid w:val="002F30C6"/>
    <w:rsid w:val="002F30D5"/>
    <w:rsid w:val="002F319D"/>
    <w:rsid w:val="002F31C0"/>
    <w:rsid w:val="002F3290"/>
    <w:rsid w:val="002F3355"/>
    <w:rsid w:val="002F3479"/>
    <w:rsid w:val="002F34E0"/>
    <w:rsid w:val="002F355E"/>
    <w:rsid w:val="002F358B"/>
    <w:rsid w:val="002F35EA"/>
    <w:rsid w:val="002F3638"/>
    <w:rsid w:val="002F36E5"/>
    <w:rsid w:val="002F36F8"/>
    <w:rsid w:val="002F3741"/>
    <w:rsid w:val="002F38E8"/>
    <w:rsid w:val="002F3968"/>
    <w:rsid w:val="002F399D"/>
    <w:rsid w:val="002F39EA"/>
    <w:rsid w:val="002F3A6B"/>
    <w:rsid w:val="002F3AFA"/>
    <w:rsid w:val="002F3AFB"/>
    <w:rsid w:val="002F3B7C"/>
    <w:rsid w:val="002F3BAF"/>
    <w:rsid w:val="002F3C70"/>
    <w:rsid w:val="002F3C9E"/>
    <w:rsid w:val="002F3D81"/>
    <w:rsid w:val="002F3E95"/>
    <w:rsid w:val="002F3F98"/>
    <w:rsid w:val="002F3F9F"/>
    <w:rsid w:val="002F40AB"/>
    <w:rsid w:val="002F412B"/>
    <w:rsid w:val="002F4175"/>
    <w:rsid w:val="002F41A1"/>
    <w:rsid w:val="002F4328"/>
    <w:rsid w:val="002F43D1"/>
    <w:rsid w:val="002F4459"/>
    <w:rsid w:val="002F45E9"/>
    <w:rsid w:val="002F46EC"/>
    <w:rsid w:val="002F46F9"/>
    <w:rsid w:val="002F46FF"/>
    <w:rsid w:val="002F4732"/>
    <w:rsid w:val="002F47F5"/>
    <w:rsid w:val="002F4823"/>
    <w:rsid w:val="002F483E"/>
    <w:rsid w:val="002F4956"/>
    <w:rsid w:val="002F4ADB"/>
    <w:rsid w:val="002F4AF3"/>
    <w:rsid w:val="002F4BE2"/>
    <w:rsid w:val="002F4C26"/>
    <w:rsid w:val="002F4C6C"/>
    <w:rsid w:val="002F4D80"/>
    <w:rsid w:val="002F4DDC"/>
    <w:rsid w:val="002F4E40"/>
    <w:rsid w:val="002F4E42"/>
    <w:rsid w:val="002F4E8F"/>
    <w:rsid w:val="002F4EB4"/>
    <w:rsid w:val="002F5021"/>
    <w:rsid w:val="002F5082"/>
    <w:rsid w:val="002F508F"/>
    <w:rsid w:val="002F51B2"/>
    <w:rsid w:val="002F524E"/>
    <w:rsid w:val="002F5257"/>
    <w:rsid w:val="002F527C"/>
    <w:rsid w:val="002F5378"/>
    <w:rsid w:val="002F5385"/>
    <w:rsid w:val="002F53C2"/>
    <w:rsid w:val="002F5470"/>
    <w:rsid w:val="002F548C"/>
    <w:rsid w:val="002F54B1"/>
    <w:rsid w:val="002F54C6"/>
    <w:rsid w:val="002F559C"/>
    <w:rsid w:val="002F55BA"/>
    <w:rsid w:val="002F56AF"/>
    <w:rsid w:val="002F56FA"/>
    <w:rsid w:val="002F5722"/>
    <w:rsid w:val="002F5770"/>
    <w:rsid w:val="002F589B"/>
    <w:rsid w:val="002F5A95"/>
    <w:rsid w:val="002F5B9C"/>
    <w:rsid w:val="002F5BF1"/>
    <w:rsid w:val="002F5D8A"/>
    <w:rsid w:val="002F5DA9"/>
    <w:rsid w:val="002F5F46"/>
    <w:rsid w:val="002F5F6F"/>
    <w:rsid w:val="002F5FF1"/>
    <w:rsid w:val="002F601B"/>
    <w:rsid w:val="002F6190"/>
    <w:rsid w:val="002F61F6"/>
    <w:rsid w:val="002F6273"/>
    <w:rsid w:val="002F62AF"/>
    <w:rsid w:val="002F6357"/>
    <w:rsid w:val="002F63A0"/>
    <w:rsid w:val="002F63D2"/>
    <w:rsid w:val="002F6503"/>
    <w:rsid w:val="002F652F"/>
    <w:rsid w:val="002F6663"/>
    <w:rsid w:val="002F66C2"/>
    <w:rsid w:val="002F66C6"/>
    <w:rsid w:val="002F676C"/>
    <w:rsid w:val="002F67C3"/>
    <w:rsid w:val="002F67C8"/>
    <w:rsid w:val="002F67E1"/>
    <w:rsid w:val="002F6B9C"/>
    <w:rsid w:val="002F6BAB"/>
    <w:rsid w:val="002F6BF5"/>
    <w:rsid w:val="002F6CB8"/>
    <w:rsid w:val="002F6D2E"/>
    <w:rsid w:val="002F6D40"/>
    <w:rsid w:val="002F6FC8"/>
    <w:rsid w:val="002F6FC9"/>
    <w:rsid w:val="002F703A"/>
    <w:rsid w:val="002F7063"/>
    <w:rsid w:val="002F707C"/>
    <w:rsid w:val="002F7380"/>
    <w:rsid w:val="002F73EF"/>
    <w:rsid w:val="002F7432"/>
    <w:rsid w:val="002F7460"/>
    <w:rsid w:val="002F7475"/>
    <w:rsid w:val="002F74B8"/>
    <w:rsid w:val="002F7685"/>
    <w:rsid w:val="002F76F3"/>
    <w:rsid w:val="002F772C"/>
    <w:rsid w:val="002F78C9"/>
    <w:rsid w:val="002F7924"/>
    <w:rsid w:val="002F795A"/>
    <w:rsid w:val="002F7A1E"/>
    <w:rsid w:val="002F7A44"/>
    <w:rsid w:val="002F7A86"/>
    <w:rsid w:val="002F7B18"/>
    <w:rsid w:val="002F7B81"/>
    <w:rsid w:val="002F7EF7"/>
    <w:rsid w:val="00300025"/>
    <w:rsid w:val="00300026"/>
    <w:rsid w:val="0030004F"/>
    <w:rsid w:val="00300178"/>
    <w:rsid w:val="00300285"/>
    <w:rsid w:val="00300381"/>
    <w:rsid w:val="003003A5"/>
    <w:rsid w:val="0030041A"/>
    <w:rsid w:val="0030041E"/>
    <w:rsid w:val="0030043E"/>
    <w:rsid w:val="003004F6"/>
    <w:rsid w:val="0030050B"/>
    <w:rsid w:val="0030053E"/>
    <w:rsid w:val="0030055B"/>
    <w:rsid w:val="0030060F"/>
    <w:rsid w:val="003006BA"/>
    <w:rsid w:val="0030073B"/>
    <w:rsid w:val="0030079E"/>
    <w:rsid w:val="003007CA"/>
    <w:rsid w:val="0030083F"/>
    <w:rsid w:val="003008FC"/>
    <w:rsid w:val="00300930"/>
    <w:rsid w:val="00300A1D"/>
    <w:rsid w:val="00300A89"/>
    <w:rsid w:val="00300AF7"/>
    <w:rsid w:val="00300C89"/>
    <w:rsid w:val="00300DC0"/>
    <w:rsid w:val="00300DD6"/>
    <w:rsid w:val="00300F29"/>
    <w:rsid w:val="00301092"/>
    <w:rsid w:val="003010B9"/>
    <w:rsid w:val="003011A8"/>
    <w:rsid w:val="00301338"/>
    <w:rsid w:val="00301371"/>
    <w:rsid w:val="00301403"/>
    <w:rsid w:val="00301416"/>
    <w:rsid w:val="003015CE"/>
    <w:rsid w:val="0030163B"/>
    <w:rsid w:val="00301658"/>
    <w:rsid w:val="0030165A"/>
    <w:rsid w:val="00301763"/>
    <w:rsid w:val="0030176E"/>
    <w:rsid w:val="00301A18"/>
    <w:rsid w:val="00301A27"/>
    <w:rsid w:val="00301AB3"/>
    <w:rsid w:val="00301BDE"/>
    <w:rsid w:val="00301BF3"/>
    <w:rsid w:val="00301C74"/>
    <w:rsid w:val="00301CD5"/>
    <w:rsid w:val="00301D12"/>
    <w:rsid w:val="00301D30"/>
    <w:rsid w:val="00301D99"/>
    <w:rsid w:val="00301DA1"/>
    <w:rsid w:val="00301DB0"/>
    <w:rsid w:val="00302009"/>
    <w:rsid w:val="00302076"/>
    <w:rsid w:val="00302091"/>
    <w:rsid w:val="003020CD"/>
    <w:rsid w:val="00302306"/>
    <w:rsid w:val="00302490"/>
    <w:rsid w:val="0030249C"/>
    <w:rsid w:val="00302646"/>
    <w:rsid w:val="00302741"/>
    <w:rsid w:val="003027AC"/>
    <w:rsid w:val="003027BD"/>
    <w:rsid w:val="0030285F"/>
    <w:rsid w:val="003028E9"/>
    <w:rsid w:val="00302A88"/>
    <w:rsid w:val="00302B26"/>
    <w:rsid w:val="00302B53"/>
    <w:rsid w:val="00302BD1"/>
    <w:rsid w:val="00302CF5"/>
    <w:rsid w:val="00302D0C"/>
    <w:rsid w:val="00302D39"/>
    <w:rsid w:val="00302F38"/>
    <w:rsid w:val="00303098"/>
    <w:rsid w:val="003030B4"/>
    <w:rsid w:val="003030E0"/>
    <w:rsid w:val="0030311D"/>
    <w:rsid w:val="00303217"/>
    <w:rsid w:val="00303233"/>
    <w:rsid w:val="003032BB"/>
    <w:rsid w:val="00303389"/>
    <w:rsid w:val="00303636"/>
    <w:rsid w:val="00303694"/>
    <w:rsid w:val="003036CB"/>
    <w:rsid w:val="003036FA"/>
    <w:rsid w:val="0030386F"/>
    <w:rsid w:val="00303908"/>
    <w:rsid w:val="0030393C"/>
    <w:rsid w:val="00303977"/>
    <w:rsid w:val="003039E3"/>
    <w:rsid w:val="00303A35"/>
    <w:rsid w:val="00303A4F"/>
    <w:rsid w:val="00303AC9"/>
    <w:rsid w:val="00303B16"/>
    <w:rsid w:val="00303B76"/>
    <w:rsid w:val="00303D67"/>
    <w:rsid w:val="00303E09"/>
    <w:rsid w:val="00303E3E"/>
    <w:rsid w:val="00303EAD"/>
    <w:rsid w:val="00303ED9"/>
    <w:rsid w:val="00303F0F"/>
    <w:rsid w:val="00304004"/>
    <w:rsid w:val="003040B2"/>
    <w:rsid w:val="0030412C"/>
    <w:rsid w:val="00304289"/>
    <w:rsid w:val="003042D0"/>
    <w:rsid w:val="00304316"/>
    <w:rsid w:val="003043C6"/>
    <w:rsid w:val="00304485"/>
    <w:rsid w:val="00304638"/>
    <w:rsid w:val="0030468B"/>
    <w:rsid w:val="003046AF"/>
    <w:rsid w:val="003047AC"/>
    <w:rsid w:val="003047D3"/>
    <w:rsid w:val="003047F0"/>
    <w:rsid w:val="003049D1"/>
    <w:rsid w:val="00304AF6"/>
    <w:rsid w:val="00304BB7"/>
    <w:rsid w:val="00304C9F"/>
    <w:rsid w:val="00304D22"/>
    <w:rsid w:val="00304D4D"/>
    <w:rsid w:val="00304EB6"/>
    <w:rsid w:val="00304EC2"/>
    <w:rsid w:val="00304EE2"/>
    <w:rsid w:val="00304EF8"/>
    <w:rsid w:val="00304F5A"/>
    <w:rsid w:val="00304FB9"/>
    <w:rsid w:val="00305073"/>
    <w:rsid w:val="003050B8"/>
    <w:rsid w:val="003051B6"/>
    <w:rsid w:val="00305208"/>
    <w:rsid w:val="00305209"/>
    <w:rsid w:val="003053C4"/>
    <w:rsid w:val="003053F8"/>
    <w:rsid w:val="0030546E"/>
    <w:rsid w:val="0030557F"/>
    <w:rsid w:val="00305859"/>
    <w:rsid w:val="00305941"/>
    <w:rsid w:val="0030597F"/>
    <w:rsid w:val="00305985"/>
    <w:rsid w:val="0030599A"/>
    <w:rsid w:val="00305A03"/>
    <w:rsid w:val="00305AC0"/>
    <w:rsid w:val="00305B59"/>
    <w:rsid w:val="00305D45"/>
    <w:rsid w:val="00305D6B"/>
    <w:rsid w:val="00305D91"/>
    <w:rsid w:val="00305DA7"/>
    <w:rsid w:val="00305EB4"/>
    <w:rsid w:val="00305EEF"/>
    <w:rsid w:val="00305F02"/>
    <w:rsid w:val="00305F60"/>
    <w:rsid w:val="00305F94"/>
    <w:rsid w:val="0030600A"/>
    <w:rsid w:val="00306032"/>
    <w:rsid w:val="00306085"/>
    <w:rsid w:val="0030612A"/>
    <w:rsid w:val="003063B4"/>
    <w:rsid w:val="00306662"/>
    <w:rsid w:val="00306681"/>
    <w:rsid w:val="003067F9"/>
    <w:rsid w:val="0030687E"/>
    <w:rsid w:val="003068E1"/>
    <w:rsid w:val="00306934"/>
    <w:rsid w:val="00306967"/>
    <w:rsid w:val="00306A00"/>
    <w:rsid w:val="00306A49"/>
    <w:rsid w:val="00306BE4"/>
    <w:rsid w:val="00306C00"/>
    <w:rsid w:val="00306C34"/>
    <w:rsid w:val="00306C90"/>
    <w:rsid w:val="00306C91"/>
    <w:rsid w:val="00306F2B"/>
    <w:rsid w:val="00307090"/>
    <w:rsid w:val="003071A7"/>
    <w:rsid w:val="003071FB"/>
    <w:rsid w:val="00307254"/>
    <w:rsid w:val="0030730F"/>
    <w:rsid w:val="003073CF"/>
    <w:rsid w:val="0030750D"/>
    <w:rsid w:val="0030770B"/>
    <w:rsid w:val="0030778F"/>
    <w:rsid w:val="0030783E"/>
    <w:rsid w:val="0030787E"/>
    <w:rsid w:val="00307889"/>
    <w:rsid w:val="00307ADE"/>
    <w:rsid w:val="00307AEB"/>
    <w:rsid w:val="00307D75"/>
    <w:rsid w:val="00307DA7"/>
    <w:rsid w:val="00307E56"/>
    <w:rsid w:val="00307EA9"/>
    <w:rsid w:val="00307EB9"/>
    <w:rsid w:val="00307F84"/>
    <w:rsid w:val="003100EE"/>
    <w:rsid w:val="003100FB"/>
    <w:rsid w:val="00310147"/>
    <w:rsid w:val="0031038C"/>
    <w:rsid w:val="003103E7"/>
    <w:rsid w:val="003103E9"/>
    <w:rsid w:val="00310444"/>
    <w:rsid w:val="003104B0"/>
    <w:rsid w:val="003104B9"/>
    <w:rsid w:val="003104CC"/>
    <w:rsid w:val="003104D3"/>
    <w:rsid w:val="0031052F"/>
    <w:rsid w:val="0031057F"/>
    <w:rsid w:val="003106B0"/>
    <w:rsid w:val="00310754"/>
    <w:rsid w:val="00310775"/>
    <w:rsid w:val="003107EE"/>
    <w:rsid w:val="00310831"/>
    <w:rsid w:val="00310848"/>
    <w:rsid w:val="00310875"/>
    <w:rsid w:val="003108B1"/>
    <w:rsid w:val="003109DF"/>
    <w:rsid w:val="00310A22"/>
    <w:rsid w:val="00310A36"/>
    <w:rsid w:val="00310A5C"/>
    <w:rsid w:val="00310AA4"/>
    <w:rsid w:val="00310AB1"/>
    <w:rsid w:val="00310AF7"/>
    <w:rsid w:val="00310C85"/>
    <w:rsid w:val="00310C98"/>
    <w:rsid w:val="00310D1B"/>
    <w:rsid w:val="00310DF9"/>
    <w:rsid w:val="00310E10"/>
    <w:rsid w:val="00310E33"/>
    <w:rsid w:val="00310E3C"/>
    <w:rsid w:val="00310FBB"/>
    <w:rsid w:val="00311015"/>
    <w:rsid w:val="00311020"/>
    <w:rsid w:val="003110C1"/>
    <w:rsid w:val="00311147"/>
    <w:rsid w:val="00311188"/>
    <w:rsid w:val="003111F1"/>
    <w:rsid w:val="00311226"/>
    <w:rsid w:val="0031122F"/>
    <w:rsid w:val="00311232"/>
    <w:rsid w:val="00311266"/>
    <w:rsid w:val="00311294"/>
    <w:rsid w:val="003112EF"/>
    <w:rsid w:val="003112FF"/>
    <w:rsid w:val="0031137D"/>
    <w:rsid w:val="0031140F"/>
    <w:rsid w:val="00311478"/>
    <w:rsid w:val="003114B3"/>
    <w:rsid w:val="003115A6"/>
    <w:rsid w:val="003115B9"/>
    <w:rsid w:val="003116BA"/>
    <w:rsid w:val="00311935"/>
    <w:rsid w:val="003119C4"/>
    <w:rsid w:val="003119F2"/>
    <w:rsid w:val="00311A00"/>
    <w:rsid w:val="00311AA3"/>
    <w:rsid w:val="00311B26"/>
    <w:rsid w:val="00311E60"/>
    <w:rsid w:val="00311E71"/>
    <w:rsid w:val="00311EA9"/>
    <w:rsid w:val="00311F0D"/>
    <w:rsid w:val="003120D9"/>
    <w:rsid w:val="003121DB"/>
    <w:rsid w:val="0031235B"/>
    <w:rsid w:val="00312467"/>
    <w:rsid w:val="0031254F"/>
    <w:rsid w:val="003125ED"/>
    <w:rsid w:val="003127B2"/>
    <w:rsid w:val="003127C6"/>
    <w:rsid w:val="003127CA"/>
    <w:rsid w:val="00312868"/>
    <w:rsid w:val="0031288B"/>
    <w:rsid w:val="003128EC"/>
    <w:rsid w:val="00312918"/>
    <w:rsid w:val="00312AA2"/>
    <w:rsid w:val="00312B9C"/>
    <w:rsid w:val="00312C68"/>
    <w:rsid w:val="00312C98"/>
    <w:rsid w:val="00312D5A"/>
    <w:rsid w:val="00312D9D"/>
    <w:rsid w:val="00312E67"/>
    <w:rsid w:val="00312EF4"/>
    <w:rsid w:val="00312F61"/>
    <w:rsid w:val="00313057"/>
    <w:rsid w:val="003130C8"/>
    <w:rsid w:val="003130ED"/>
    <w:rsid w:val="0031317B"/>
    <w:rsid w:val="003131C9"/>
    <w:rsid w:val="0031324B"/>
    <w:rsid w:val="00313332"/>
    <w:rsid w:val="00313343"/>
    <w:rsid w:val="003133B1"/>
    <w:rsid w:val="00313403"/>
    <w:rsid w:val="00313412"/>
    <w:rsid w:val="0031347B"/>
    <w:rsid w:val="003136A0"/>
    <w:rsid w:val="00313731"/>
    <w:rsid w:val="0031380D"/>
    <w:rsid w:val="003138F7"/>
    <w:rsid w:val="00313920"/>
    <w:rsid w:val="0031398C"/>
    <w:rsid w:val="00313A20"/>
    <w:rsid w:val="00313A7E"/>
    <w:rsid w:val="00313A8B"/>
    <w:rsid w:val="00313B3A"/>
    <w:rsid w:val="00313CD7"/>
    <w:rsid w:val="00313D71"/>
    <w:rsid w:val="00313E70"/>
    <w:rsid w:val="00313F9A"/>
    <w:rsid w:val="00313FD6"/>
    <w:rsid w:val="003140DD"/>
    <w:rsid w:val="00314280"/>
    <w:rsid w:val="003142FC"/>
    <w:rsid w:val="0031433D"/>
    <w:rsid w:val="00314424"/>
    <w:rsid w:val="00314482"/>
    <w:rsid w:val="00314550"/>
    <w:rsid w:val="003145A3"/>
    <w:rsid w:val="003147C9"/>
    <w:rsid w:val="00314815"/>
    <w:rsid w:val="00314970"/>
    <w:rsid w:val="00314974"/>
    <w:rsid w:val="00314A54"/>
    <w:rsid w:val="00314BB3"/>
    <w:rsid w:val="00314C2B"/>
    <w:rsid w:val="00314C77"/>
    <w:rsid w:val="00314D0E"/>
    <w:rsid w:val="00314E25"/>
    <w:rsid w:val="00314E71"/>
    <w:rsid w:val="00314EC3"/>
    <w:rsid w:val="00314F61"/>
    <w:rsid w:val="003150C1"/>
    <w:rsid w:val="00315190"/>
    <w:rsid w:val="00315209"/>
    <w:rsid w:val="00315238"/>
    <w:rsid w:val="00315251"/>
    <w:rsid w:val="00315284"/>
    <w:rsid w:val="00315401"/>
    <w:rsid w:val="003154C2"/>
    <w:rsid w:val="0031557E"/>
    <w:rsid w:val="003155B5"/>
    <w:rsid w:val="00315683"/>
    <w:rsid w:val="0031568E"/>
    <w:rsid w:val="003156A9"/>
    <w:rsid w:val="0031571D"/>
    <w:rsid w:val="0031594B"/>
    <w:rsid w:val="0031596D"/>
    <w:rsid w:val="003159C5"/>
    <w:rsid w:val="00315AB3"/>
    <w:rsid w:val="00315BC3"/>
    <w:rsid w:val="00315D31"/>
    <w:rsid w:val="00315D97"/>
    <w:rsid w:val="00315EE7"/>
    <w:rsid w:val="00315F35"/>
    <w:rsid w:val="00316076"/>
    <w:rsid w:val="00316266"/>
    <w:rsid w:val="00316323"/>
    <w:rsid w:val="00316326"/>
    <w:rsid w:val="0031641C"/>
    <w:rsid w:val="0031650B"/>
    <w:rsid w:val="0031655D"/>
    <w:rsid w:val="00316635"/>
    <w:rsid w:val="00316837"/>
    <w:rsid w:val="0031685C"/>
    <w:rsid w:val="003168FE"/>
    <w:rsid w:val="00316955"/>
    <w:rsid w:val="00316959"/>
    <w:rsid w:val="003169FD"/>
    <w:rsid w:val="00316A7B"/>
    <w:rsid w:val="00316B65"/>
    <w:rsid w:val="00316B80"/>
    <w:rsid w:val="00316C16"/>
    <w:rsid w:val="00316D3A"/>
    <w:rsid w:val="00316D71"/>
    <w:rsid w:val="00316D8A"/>
    <w:rsid w:val="00316F43"/>
    <w:rsid w:val="00316F5E"/>
    <w:rsid w:val="00317011"/>
    <w:rsid w:val="00317067"/>
    <w:rsid w:val="003170C9"/>
    <w:rsid w:val="00317197"/>
    <w:rsid w:val="00317289"/>
    <w:rsid w:val="0031729C"/>
    <w:rsid w:val="003174DA"/>
    <w:rsid w:val="003174EE"/>
    <w:rsid w:val="003175C5"/>
    <w:rsid w:val="003175EE"/>
    <w:rsid w:val="00317767"/>
    <w:rsid w:val="00317775"/>
    <w:rsid w:val="003177C7"/>
    <w:rsid w:val="00317822"/>
    <w:rsid w:val="0031787E"/>
    <w:rsid w:val="003178E7"/>
    <w:rsid w:val="00317909"/>
    <w:rsid w:val="0031799E"/>
    <w:rsid w:val="00317A3F"/>
    <w:rsid w:val="00317DC6"/>
    <w:rsid w:val="00317DF2"/>
    <w:rsid w:val="00317EC4"/>
    <w:rsid w:val="00317F77"/>
    <w:rsid w:val="0032000E"/>
    <w:rsid w:val="00320045"/>
    <w:rsid w:val="003200EE"/>
    <w:rsid w:val="003200F2"/>
    <w:rsid w:val="003201C7"/>
    <w:rsid w:val="003202ED"/>
    <w:rsid w:val="0032030F"/>
    <w:rsid w:val="00320349"/>
    <w:rsid w:val="00320399"/>
    <w:rsid w:val="00320505"/>
    <w:rsid w:val="00320541"/>
    <w:rsid w:val="003205C9"/>
    <w:rsid w:val="00320603"/>
    <w:rsid w:val="00320616"/>
    <w:rsid w:val="0032067B"/>
    <w:rsid w:val="00320705"/>
    <w:rsid w:val="0032078A"/>
    <w:rsid w:val="003207AA"/>
    <w:rsid w:val="003208B1"/>
    <w:rsid w:val="0032099F"/>
    <w:rsid w:val="00320A06"/>
    <w:rsid w:val="00320A47"/>
    <w:rsid w:val="00320A6B"/>
    <w:rsid w:val="00320A73"/>
    <w:rsid w:val="00320B5D"/>
    <w:rsid w:val="00320C10"/>
    <w:rsid w:val="00320C7D"/>
    <w:rsid w:val="00320CCA"/>
    <w:rsid w:val="00320CDA"/>
    <w:rsid w:val="00320D74"/>
    <w:rsid w:val="00320DC8"/>
    <w:rsid w:val="00320E37"/>
    <w:rsid w:val="00320E4C"/>
    <w:rsid w:val="00320E70"/>
    <w:rsid w:val="00320E98"/>
    <w:rsid w:val="00320EB5"/>
    <w:rsid w:val="00320EF8"/>
    <w:rsid w:val="00320F18"/>
    <w:rsid w:val="00320F9E"/>
    <w:rsid w:val="003210B0"/>
    <w:rsid w:val="003210C4"/>
    <w:rsid w:val="0032111A"/>
    <w:rsid w:val="0032118B"/>
    <w:rsid w:val="003211D3"/>
    <w:rsid w:val="003212F3"/>
    <w:rsid w:val="0032143A"/>
    <w:rsid w:val="003214D2"/>
    <w:rsid w:val="00321595"/>
    <w:rsid w:val="003215F1"/>
    <w:rsid w:val="0032161D"/>
    <w:rsid w:val="00321639"/>
    <w:rsid w:val="003217BA"/>
    <w:rsid w:val="003217DA"/>
    <w:rsid w:val="00321822"/>
    <w:rsid w:val="0032183C"/>
    <w:rsid w:val="003218EE"/>
    <w:rsid w:val="003218F3"/>
    <w:rsid w:val="00321AE2"/>
    <w:rsid w:val="00321AF0"/>
    <w:rsid w:val="00321B60"/>
    <w:rsid w:val="00321C3A"/>
    <w:rsid w:val="00321CA7"/>
    <w:rsid w:val="00321CEC"/>
    <w:rsid w:val="00321D43"/>
    <w:rsid w:val="00321D6A"/>
    <w:rsid w:val="00321D98"/>
    <w:rsid w:val="00321D9B"/>
    <w:rsid w:val="00321E0C"/>
    <w:rsid w:val="00321E83"/>
    <w:rsid w:val="00321F9B"/>
    <w:rsid w:val="00321FB4"/>
    <w:rsid w:val="003224C3"/>
    <w:rsid w:val="003226BF"/>
    <w:rsid w:val="00322796"/>
    <w:rsid w:val="00322838"/>
    <w:rsid w:val="00322946"/>
    <w:rsid w:val="003229B6"/>
    <w:rsid w:val="003229F9"/>
    <w:rsid w:val="00322A59"/>
    <w:rsid w:val="00322A60"/>
    <w:rsid w:val="00322AC6"/>
    <w:rsid w:val="00322B2B"/>
    <w:rsid w:val="00322B6B"/>
    <w:rsid w:val="00322C0E"/>
    <w:rsid w:val="00322D31"/>
    <w:rsid w:val="00322D80"/>
    <w:rsid w:val="00322ED4"/>
    <w:rsid w:val="00322F43"/>
    <w:rsid w:val="00322F7E"/>
    <w:rsid w:val="0032303A"/>
    <w:rsid w:val="00323106"/>
    <w:rsid w:val="003231FE"/>
    <w:rsid w:val="00323283"/>
    <w:rsid w:val="003232BA"/>
    <w:rsid w:val="003232DB"/>
    <w:rsid w:val="0032331E"/>
    <w:rsid w:val="0032344D"/>
    <w:rsid w:val="00323460"/>
    <w:rsid w:val="003234D7"/>
    <w:rsid w:val="00323509"/>
    <w:rsid w:val="0032359E"/>
    <w:rsid w:val="003235C4"/>
    <w:rsid w:val="003235FE"/>
    <w:rsid w:val="00323668"/>
    <w:rsid w:val="00323809"/>
    <w:rsid w:val="00323846"/>
    <w:rsid w:val="00323977"/>
    <w:rsid w:val="003239C8"/>
    <w:rsid w:val="00323B73"/>
    <w:rsid w:val="00323C75"/>
    <w:rsid w:val="00323CCB"/>
    <w:rsid w:val="00323D4E"/>
    <w:rsid w:val="00323E16"/>
    <w:rsid w:val="00323F06"/>
    <w:rsid w:val="00323FF5"/>
    <w:rsid w:val="00324125"/>
    <w:rsid w:val="00324184"/>
    <w:rsid w:val="00324202"/>
    <w:rsid w:val="00324351"/>
    <w:rsid w:val="003244D3"/>
    <w:rsid w:val="0032453E"/>
    <w:rsid w:val="00324588"/>
    <w:rsid w:val="003245BA"/>
    <w:rsid w:val="003246BA"/>
    <w:rsid w:val="00324753"/>
    <w:rsid w:val="0032487D"/>
    <w:rsid w:val="00324903"/>
    <w:rsid w:val="00324907"/>
    <w:rsid w:val="00324957"/>
    <w:rsid w:val="00324AB9"/>
    <w:rsid w:val="00324B46"/>
    <w:rsid w:val="00324C19"/>
    <w:rsid w:val="00324CA7"/>
    <w:rsid w:val="00324DA2"/>
    <w:rsid w:val="00324DA9"/>
    <w:rsid w:val="00324E3E"/>
    <w:rsid w:val="00324EFB"/>
    <w:rsid w:val="00324F25"/>
    <w:rsid w:val="00324FA3"/>
    <w:rsid w:val="00325033"/>
    <w:rsid w:val="003250B8"/>
    <w:rsid w:val="003250BB"/>
    <w:rsid w:val="0032512E"/>
    <w:rsid w:val="00325256"/>
    <w:rsid w:val="00325340"/>
    <w:rsid w:val="00325381"/>
    <w:rsid w:val="003254F7"/>
    <w:rsid w:val="003254FC"/>
    <w:rsid w:val="00325519"/>
    <w:rsid w:val="00325664"/>
    <w:rsid w:val="003256C0"/>
    <w:rsid w:val="00325784"/>
    <w:rsid w:val="00325922"/>
    <w:rsid w:val="0032594B"/>
    <w:rsid w:val="00325B58"/>
    <w:rsid w:val="00325B86"/>
    <w:rsid w:val="00325C45"/>
    <w:rsid w:val="00325C96"/>
    <w:rsid w:val="00325D2A"/>
    <w:rsid w:val="00325EC4"/>
    <w:rsid w:val="00325FC0"/>
    <w:rsid w:val="00326026"/>
    <w:rsid w:val="0032604E"/>
    <w:rsid w:val="003260C3"/>
    <w:rsid w:val="00326114"/>
    <w:rsid w:val="00326218"/>
    <w:rsid w:val="0032623C"/>
    <w:rsid w:val="003262BF"/>
    <w:rsid w:val="00326332"/>
    <w:rsid w:val="003263D8"/>
    <w:rsid w:val="003266E3"/>
    <w:rsid w:val="00326875"/>
    <w:rsid w:val="0032691B"/>
    <w:rsid w:val="00326941"/>
    <w:rsid w:val="00326A59"/>
    <w:rsid w:val="00326A5C"/>
    <w:rsid w:val="00326AB9"/>
    <w:rsid w:val="00326AFB"/>
    <w:rsid w:val="00326B2E"/>
    <w:rsid w:val="00326C2E"/>
    <w:rsid w:val="00326E78"/>
    <w:rsid w:val="00326EEE"/>
    <w:rsid w:val="00326FAB"/>
    <w:rsid w:val="0032701B"/>
    <w:rsid w:val="0032704D"/>
    <w:rsid w:val="0032708D"/>
    <w:rsid w:val="00327099"/>
    <w:rsid w:val="003270AA"/>
    <w:rsid w:val="003271B0"/>
    <w:rsid w:val="003271EC"/>
    <w:rsid w:val="00327232"/>
    <w:rsid w:val="003272D3"/>
    <w:rsid w:val="003272DC"/>
    <w:rsid w:val="0032735C"/>
    <w:rsid w:val="003273B8"/>
    <w:rsid w:val="00327409"/>
    <w:rsid w:val="00327508"/>
    <w:rsid w:val="0032758A"/>
    <w:rsid w:val="003275C1"/>
    <w:rsid w:val="00327643"/>
    <w:rsid w:val="003276AC"/>
    <w:rsid w:val="00327820"/>
    <w:rsid w:val="00327871"/>
    <w:rsid w:val="00327904"/>
    <w:rsid w:val="00327A19"/>
    <w:rsid w:val="00327A2C"/>
    <w:rsid w:val="00327A81"/>
    <w:rsid w:val="00327B16"/>
    <w:rsid w:val="00327B6C"/>
    <w:rsid w:val="00327BAA"/>
    <w:rsid w:val="00327BE4"/>
    <w:rsid w:val="00327C09"/>
    <w:rsid w:val="00327C5C"/>
    <w:rsid w:val="00327C90"/>
    <w:rsid w:val="00327CD6"/>
    <w:rsid w:val="00327D2B"/>
    <w:rsid w:val="00327DE6"/>
    <w:rsid w:val="00327F74"/>
    <w:rsid w:val="00327F9E"/>
    <w:rsid w:val="0033003D"/>
    <w:rsid w:val="00330137"/>
    <w:rsid w:val="003301B7"/>
    <w:rsid w:val="003301F3"/>
    <w:rsid w:val="00330348"/>
    <w:rsid w:val="0033036F"/>
    <w:rsid w:val="00330439"/>
    <w:rsid w:val="003304CA"/>
    <w:rsid w:val="00330540"/>
    <w:rsid w:val="00330673"/>
    <w:rsid w:val="003306CF"/>
    <w:rsid w:val="0033070F"/>
    <w:rsid w:val="00330726"/>
    <w:rsid w:val="00330758"/>
    <w:rsid w:val="00330776"/>
    <w:rsid w:val="0033077F"/>
    <w:rsid w:val="00330805"/>
    <w:rsid w:val="00330818"/>
    <w:rsid w:val="00330939"/>
    <w:rsid w:val="00330977"/>
    <w:rsid w:val="003309FE"/>
    <w:rsid w:val="00330BD1"/>
    <w:rsid w:val="00330C88"/>
    <w:rsid w:val="00330CA3"/>
    <w:rsid w:val="00330D29"/>
    <w:rsid w:val="00330F13"/>
    <w:rsid w:val="00330F83"/>
    <w:rsid w:val="003310C0"/>
    <w:rsid w:val="003311B0"/>
    <w:rsid w:val="003313C4"/>
    <w:rsid w:val="003313C8"/>
    <w:rsid w:val="00331408"/>
    <w:rsid w:val="003314AC"/>
    <w:rsid w:val="0033157B"/>
    <w:rsid w:val="003315D2"/>
    <w:rsid w:val="00331648"/>
    <w:rsid w:val="00331653"/>
    <w:rsid w:val="003316C7"/>
    <w:rsid w:val="00331757"/>
    <w:rsid w:val="003317FA"/>
    <w:rsid w:val="00331868"/>
    <w:rsid w:val="00331871"/>
    <w:rsid w:val="0033187E"/>
    <w:rsid w:val="003319F0"/>
    <w:rsid w:val="00331B39"/>
    <w:rsid w:val="00331C23"/>
    <w:rsid w:val="00331CB6"/>
    <w:rsid w:val="00331D58"/>
    <w:rsid w:val="00331DA6"/>
    <w:rsid w:val="00331E90"/>
    <w:rsid w:val="00331F9F"/>
    <w:rsid w:val="00331FB8"/>
    <w:rsid w:val="00332064"/>
    <w:rsid w:val="0033208D"/>
    <w:rsid w:val="00332095"/>
    <w:rsid w:val="00332097"/>
    <w:rsid w:val="0033213B"/>
    <w:rsid w:val="00332194"/>
    <w:rsid w:val="003321A7"/>
    <w:rsid w:val="00332232"/>
    <w:rsid w:val="00332240"/>
    <w:rsid w:val="0033228B"/>
    <w:rsid w:val="003322F2"/>
    <w:rsid w:val="003323B4"/>
    <w:rsid w:val="00332464"/>
    <w:rsid w:val="003324C0"/>
    <w:rsid w:val="0033254E"/>
    <w:rsid w:val="00332568"/>
    <w:rsid w:val="0033264A"/>
    <w:rsid w:val="00332658"/>
    <w:rsid w:val="003328A3"/>
    <w:rsid w:val="0033291D"/>
    <w:rsid w:val="00332972"/>
    <w:rsid w:val="00332A03"/>
    <w:rsid w:val="00332A20"/>
    <w:rsid w:val="00332A4B"/>
    <w:rsid w:val="00332A6A"/>
    <w:rsid w:val="00332A73"/>
    <w:rsid w:val="00332B30"/>
    <w:rsid w:val="00332C06"/>
    <w:rsid w:val="00332C84"/>
    <w:rsid w:val="00332C94"/>
    <w:rsid w:val="00332CE0"/>
    <w:rsid w:val="00332D77"/>
    <w:rsid w:val="00332D80"/>
    <w:rsid w:val="00332D8C"/>
    <w:rsid w:val="00332E46"/>
    <w:rsid w:val="00332EA9"/>
    <w:rsid w:val="003330D6"/>
    <w:rsid w:val="00333159"/>
    <w:rsid w:val="003331C5"/>
    <w:rsid w:val="00333249"/>
    <w:rsid w:val="00333346"/>
    <w:rsid w:val="00333561"/>
    <w:rsid w:val="0033357E"/>
    <w:rsid w:val="0033367E"/>
    <w:rsid w:val="00333682"/>
    <w:rsid w:val="0033378C"/>
    <w:rsid w:val="0033379D"/>
    <w:rsid w:val="003338A7"/>
    <w:rsid w:val="003338D3"/>
    <w:rsid w:val="003338D8"/>
    <w:rsid w:val="0033395B"/>
    <w:rsid w:val="0033399C"/>
    <w:rsid w:val="003339DC"/>
    <w:rsid w:val="003339E4"/>
    <w:rsid w:val="003339F6"/>
    <w:rsid w:val="00333A11"/>
    <w:rsid w:val="00333A7C"/>
    <w:rsid w:val="00333AE9"/>
    <w:rsid w:val="00333B6A"/>
    <w:rsid w:val="00333B71"/>
    <w:rsid w:val="00333B8F"/>
    <w:rsid w:val="00333BC4"/>
    <w:rsid w:val="00333E16"/>
    <w:rsid w:val="00333EBE"/>
    <w:rsid w:val="00333F61"/>
    <w:rsid w:val="00333FEC"/>
    <w:rsid w:val="00334112"/>
    <w:rsid w:val="0033417C"/>
    <w:rsid w:val="003341F2"/>
    <w:rsid w:val="00334288"/>
    <w:rsid w:val="003343A4"/>
    <w:rsid w:val="00334418"/>
    <w:rsid w:val="00334509"/>
    <w:rsid w:val="00334541"/>
    <w:rsid w:val="0033458F"/>
    <w:rsid w:val="0033460E"/>
    <w:rsid w:val="0033471C"/>
    <w:rsid w:val="0033472F"/>
    <w:rsid w:val="00334773"/>
    <w:rsid w:val="00334800"/>
    <w:rsid w:val="00334816"/>
    <w:rsid w:val="0033488F"/>
    <w:rsid w:val="003349A2"/>
    <w:rsid w:val="00334A38"/>
    <w:rsid w:val="00334A56"/>
    <w:rsid w:val="00334A98"/>
    <w:rsid w:val="00334C1A"/>
    <w:rsid w:val="00334CB9"/>
    <w:rsid w:val="00334D50"/>
    <w:rsid w:val="00334DBB"/>
    <w:rsid w:val="00334DCE"/>
    <w:rsid w:val="00334E68"/>
    <w:rsid w:val="00334E7C"/>
    <w:rsid w:val="00334F8A"/>
    <w:rsid w:val="00334FE7"/>
    <w:rsid w:val="0033503C"/>
    <w:rsid w:val="0033518A"/>
    <w:rsid w:val="00335324"/>
    <w:rsid w:val="00335358"/>
    <w:rsid w:val="0033538D"/>
    <w:rsid w:val="0033538E"/>
    <w:rsid w:val="003353D6"/>
    <w:rsid w:val="00335412"/>
    <w:rsid w:val="003355C5"/>
    <w:rsid w:val="0033564F"/>
    <w:rsid w:val="00335835"/>
    <w:rsid w:val="00335886"/>
    <w:rsid w:val="0033588B"/>
    <w:rsid w:val="003358B0"/>
    <w:rsid w:val="00335931"/>
    <w:rsid w:val="003359CE"/>
    <w:rsid w:val="003359FC"/>
    <w:rsid w:val="00335A5F"/>
    <w:rsid w:val="00335C18"/>
    <w:rsid w:val="00335CA1"/>
    <w:rsid w:val="00335CD8"/>
    <w:rsid w:val="00335CED"/>
    <w:rsid w:val="00335D23"/>
    <w:rsid w:val="00335D93"/>
    <w:rsid w:val="00335E60"/>
    <w:rsid w:val="00335F57"/>
    <w:rsid w:val="00335FE2"/>
    <w:rsid w:val="00336053"/>
    <w:rsid w:val="003361D7"/>
    <w:rsid w:val="00336238"/>
    <w:rsid w:val="00336244"/>
    <w:rsid w:val="0033626A"/>
    <w:rsid w:val="003362A9"/>
    <w:rsid w:val="003362BA"/>
    <w:rsid w:val="0033635F"/>
    <w:rsid w:val="003363BB"/>
    <w:rsid w:val="0033643A"/>
    <w:rsid w:val="00336591"/>
    <w:rsid w:val="0033663C"/>
    <w:rsid w:val="0033676B"/>
    <w:rsid w:val="003367B2"/>
    <w:rsid w:val="00336831"/>
    <w:rsid w:val="0033685D"/>
    <w:rsid w:val="0033699B"/>
    <w:rsid w:val="00336A2E"/>
    <w:rsid w:val="00336A68"/>
    <w:rsid w:val="00336B5B"/>
    <w:rsid w:val="00336B90"/>
    <w:rsid w:val="00336C15"/>
    <w:rsid w:val="00336CBA"/>
    <w:rsid w:val="00336D64"/>
    <w:rsid w:val="00336D6F"/>
    <w:rsid w:val="00336D76"/>
    <w:rsid w:val="00336DC2"/>
    <w:rsid w:val="00336DE0"/>
    <w:rsid w:val="00336E41"/>
    <w:rsid w:val="00336F63"/>
    <w:rsid w:val="00336FDA"/>
    <w:rsid w:val="0033720D"/>
    <w:rsid w:val="00337219"/>
    <w:rsid w:val="003372C4"/>
    <w:rsid w:val="003372DA"/>
    <w:rsid w:val="003372E5"/>
    <w:rsid w:val="00337385"/>
    <w:rsid w:val="003373F4"/>
    <w:rsid w:val="0033743A"/>
    <w:rsid w:val="00337449"/>
    <w:rsid w:val="00337595"/>
    <w:rsid w:val="003376E9"/>
    <w:rsid w:val="0033771B"/>
    <w:rsid w:val="00337819"/>
    <w:rsid w:val="00337832"/>
    <w:rsid w:val="003378FA"/>
    <w:rsid w:val="0033798F"/>
    <w:rsid w:val="00337A2F"/>
    <w:rsid w:val="00337ABA"/>
    <w:rsid w:val="00337BFB"/>
    <w:rsid w:val="00337CC9"/>
    <w:rsid w:val="00337CD9"/>
    <w:rsid w:val="00337EC2"/>
    <w:rsid w:val="0034006D"/>
    <w:rsid w:val="00340164"/>
    <w:rsid w:val="00340174"/>
    <w:rsid w:val="0034020B"/>
    <w:rsid w:val="00340297"/>
    <w:rsid w:val="003402AC"/>
    <w:rsid w:val="0034037E"/>
    <w:rsid w:val="003403C4"/>
    <w:rsid w:val="00340675"/>
    <w:rsid w:val="003406D4"/>
    <w:rsid w:val="003406E6"/>
    <w:rsid w:val="0034072E"/>
    <w:rsid w:val="0034089A"/>
    <w:rsid w:val="003408E6"/>
    <w:rsid w:val="0034094B"/>
    <w:rsid w:val="003409B6"/>
    <w:rsid w:val="003409D4"/>
    <w:rsid w:val="00340A09"/>
    <w:rsid w:val="00340A44"/>
    <w:rsid w:val="00340B35"/>
    <w:rsid w:val="00340B3D"/>
    <w:rsid w:val="00340B6A"/>
    <w:rsid w:val="00340CCB"/>
    <w:rsid w:val="00340D14"/>
    <w:rsid w:val="00340D56"/>
    <w:rsid w:val="00340DD9"/>
    <w:rsid w:val="00340DF2"/>
    <w:rsid w:val="00340E97"/>
    <w:rsid w:val="00340F44"/>
    <w:rsid w:val="00340F75"/>
    <w:rsid w:val="00340FEA"/>
    <w:rsid w:val="00341017"/>
    <w:rsid w:val="0034112E"/>
    <w:rsid w:val="0034123F"/>
    <w:rsid w:val="0034126E"/>
    <w:rsid w:val="00341296"/>
    <w:rsid w:val="003412AC"/>
    <w:rsid w:val="003412B1"/>
    <w:rsid w:val="00341303"/>
    <w:rsid w:val="003413B4"/>
    <w:rsid w:val="003413F5"/>
    <w:rsid w:val="0034151B"/>
    <w:rsid w:val="0034152C"/>
    <w:rsid w:val="0034167D"/>
    <w:rsid w:val="0034167E"/>
    <w:rsid w:val="00341898"/>
    <w:rsid w:val="003418B9"/>
    <w:rsid w:val="003418E8"/>
    <w:rsid w:val="003419E1"/>
    <w:rsid w:val="00341A57"/>
    <w:rsid w:val="00341A94"/>
    <w:rsid w:val="00341AB5"/>
    <w:rsid w:val="00341ACA"/>
    <w:rsid w:val="00341B7B"/>
    <w:rsid w:val="00341B90"/>
    <w:rsid w:val="00341BE6"/>
    <w:rsid w:val="00341E0E"/>
    <w:rsid w:val="00341E66"/>
    <w:rsid w:val="00341F01"/>
    <w:rsid w:val="00341F42"/>
    <w:rsid w:val="00341FF0"/>
    <w:rsid w:val="0034202B"/>
    <w:rsid w:val="00342068"/>
    <w:rsid w:val="003420AB"/>
    <w:rsid w:val="003420D8"/>
    <w:rsid w:val="003421F6"/>
    <w:rsid w:val="00342404"/>
    <w:rsid w:val="003425C4"/>
    <w:rsid w:val="0034262D"/>
    <w:rsid w:val="0034269B"/>
    <w:rsid w:val="00342784"/>
    <w:rsid w:val="003427BD"/>
    <w:rsid w:val="003429E1"/>
    <w:rsid w:val="00342A4B"/>
    <w:rsid w:val="00342A64"/>
    <w:rsid w:val="00342B9E"/>
    <w:rsid w:val="00342BC9"/>
    <w:rsid w:val="00342BDB"/>
    <w:rsid w:val="00342CF4"/>
    <w:rsid w:val="00342DCC"/>
    <w:rsid w:val="00342F88"/>
    <w:rsid w:val="00342FDF"/>
    <w:rsid w:val="00343051"/>
    <w:rsid w:val="003431F5"/>
    <w:rsid w:val="00343204"/>
    <w:rsid w:val="0034320B"/>
    <w:rsid w:val="003432DB"/>
    <w:rsid w:val="00343410"/>
    <w:rsid w:val="0034343F"/>
    <w:rsid w:val="0034351F"/>
    <w:rsid w:val="0034357F"/>
    <w:rsid w:val="003435DB"/>
    <w:rsid w:val="00343648"/>
    <w:rsid w:val="003436E4"/>
    <w:rsid w:val="003437A7"/>
    <w:rsid w:val="003439E4"/>
    <w:rsid w:val="00343A1A"/>
    <w:rsid w:val="00343A7B"/>
    <w:rsid w:val="00343A8F"/>
    <w:rsid w:val="00343ADE"/>
    <w:rsid w:val="00343AFF"/>
    <w:rsid w:val="00343B3E"/>
    <w:rsid w:val="00343C55"/>
    <w:rsid w:val="00343CA2"/>
    <w:rsid w:val="00343D8A"/>
    <w:rsid w:val="00343DF4"/>
    <w:rsid w:val="00343E0A"/>
    <w:rsid w:val="00343E44"/>
    <w:rsid w:val="00343E57"/>
    <w:rsid w:val="00344017"/>
    <w:rsid w:val="00344079"/>
    <w:rsid w:val="003441C4"/>
    <w:rsid w:val="00344231"/>
    <w:rsid w:val="003442A3"/>
    <w:rsid w:val="00344351"/>
    <w:rsid w:val="00344394"/>
    <w:rsid w:val="0034441D"/>
    <w:rsid w:val="003444A7"/>
    <w:rsid w:val="00344515"/>
    <w:rsid w:val="003445DB"/>
    <w:rsid w:val="003445ED"/>
    <w:rsid w:val="003446A9"/>
    <w:rsid w:val="00344715"/>
    <w:rsid w:val="003448DE"/>
    <w:rsid w:val="003449B3"/>
    <w:rsid w:val="003449E1"/>
    <w:rsid w:val="00344A80"/>
    <w:rsid w:val="00344B2A"/>
    <w:rsid w:val="00344B43"/>
    <w:rsid w:val="00344B7C"/>
    <w:rsid w:val="00344BAE"/>
    <w:rsid w:val="00344BD6"/>
    <w:rsid w:val="00344BE4"/>
    <w:rsid w:val="00344C3A"/>
    <w:rsid w:val="00344C72"/>
    <w:rsid w:val="00344CE5"/>
    <w:rsid w:val="00344D04"/>
    <w:rsid w:val="00344D0C"/>
    <w:rsid w:val="00344D21"/>
    <w:rsid w:val="00344D27"/>
    <w:rsid w:val="00344D80"/>
    <w:rsid w:val="00344E86"/>
    <w:rsid w:val="00344F7A"/>
    <w:rsid w:val="00344F85"/>
    <w:rsid w:val="00344FE1"/>
    <w:rsid w:val="00345043"/>
    <w:rsid w:val="0034507C"/>
    <w:rsid w:val="0034510F"/>
    <w:rsid w:val="003452AF"/>
    <w:rsid w:val="00345357"/>
    <w:rsid w:val="0034539A"/>
    <w:rsid w:val="0034539D"/>
    <w:rsid w:val="003453B2"/>
    <w:rsid w:val="003453D8"/>
    <w:rsid w:val="003453E3"/>
    <w:rsid w:val="00345403"/>
    <w:rsid w:val="0034550E"/>
    <w:rsid w:val="0034554C"/>
    <w:rsid w:val="00345613"/>
    <w:rsid w:val="0034566E"/>
    <w:rsid w:val="0034566F"/>
    <w:rsid w:val="00345686"/>
    <w:rsid w:val="00345711"/>
    <w:rsid w:val="003457D9"/>
    <w:rsid w:val="003457F8"/>
    <w:rsid w:val="0034583C"/>
    <w:rsid w:val="0034585A"/>
    <w:rsid w:val="00345951"/>
    <w:rsid w:val="003459B4"/>
    <w:rsid w:val="00345A1F"/>
    <w:rsid w:val="00345B04"/>
    <w:rsid w:val="00345B2E"/>
    <w:rsid w:val="00345B79"/>
    <w:rsid w:val="00345E11"/>
    <w:rsid w:val="00345E1E"/>
    <w:rsid w:val="00345FAE"/>
    <w:rsid w:val="0034603D"/>
    <w:rsid w:val="00346051"/>
    <w:rsid w:val="00346075"/>
    <w:rsid w:val="0034623E"/>
    <w:rsid w:val="00346259"/>
    <w:rsid w:val="0034631C"/>
    <w:rsid w:val="0034638D"/>
    <w:rsid w:val="003463A1"/>
    <w:rsid w:val="003463FE"/>
    <w:rsid w:val="00346474"/>
    <w:rsid w:val="003464F0"/>
    <w:rsid w:val="00346615"/>
    <w:rsid w:val="003466CC"/>
    <w:rsid w:val="00346779"/>
    <w:rsid w:val="00346972"/>
    <w:rsid w:val="003469CB"/>
    <w:rsid w:val="00346B30"/>
    <w:rsid w:val="00346B6D"/>
    <w:rsid w:val="00346BBF"/>
    <w:rsid w:val="00346C68"/>
    <w:rsid w:val="0034704B"/>
    <w:rsid w:val="00347210"/>
    <w:rsid w:val="003472C2"/>
    <w:rsid w:val="00347328"/>
    <w:rsid w:val="00347345"/>
    <w:rsid w:val="003474D9"/>
    <w:rsid w:val="00347569"/>
    <w:rsid w:val="0034757E"/>
    <w:rsid w:val="003475E5"/>
    <w:rsid w:val="00347689"/>
    <w:rsid w:val="0034771C"/>
    <w:rsid w:val="0034773F"/>
    <w:rsid w:val="003477A2"/>
    <w:rsid w:val="003477A5"/>
    <w:rsid w:val="003477C6"/>
    <w:rsid w:val="003478DF"/>
    <w:rsid w:val="00347920"/>
    <w:rsid w:val="003479D9"/>
    <w:rsid w:val="00347A28"/>
    <w:rsid w:val="00347A48"/>
    <w:rsid w:val="00347B98"/>
    <w:rsid w:val="00347BEE"/>
    <w:rsid w:val="00347D56"/>
    <w:rsid w:val="00347DA3"/>
    <w:rsid w:val="0035000E"/>
    <w:rsid w:val="0035003D"/>
    <w:rsid w:val="00350119"/>
    <w:rsid w:val="00350147"/>
    <w:rsid w:val="0035037C"/>
    <w:rsid w:val="003503F7"/>
    <w:rsid w:val="0035045F"/>
    <w:rsid w:val="003504E3"/>
    <w:rsid w:val="0035056E"/>
    <w:rsid w:val="003505E6"/>
    <w:rsid w:val="0035065A"/>
    <w:rsid w:val="00350673"/>
    <w:rsid w:val="003506C8"/>
    <w:rsid w:val="003506ED"/>
    <w:rsid w:val="003508B5"/>
    <w:rsid w:val="003508C8"/>
    <w:rsid w:val="003508D5"/>
    <w:rsid w:val="00350907"/>
    <w:rsid w:val="00350915"/>
    <w:rsid w:val="00350937"/>
    <w:rsid w:val="00350B8D"/>
    <w:rsid w:val="00350B8F"/>
    <w:rsid w:val="00350BD6"/>
    <w:rsid w:val="00350BDF"/>
    <w:rsid w:val="00350C04"/>
    <w:rsid w:val="00350C5A"/>
    <w:rsid w:val="00350D34"/>
    <w:rsid w:val="00350D79"/>
    <w:rsid w:val="00350D8B"/>
    <w:rsid w:val="00350DD9"/>
    <w:rsid w:val="00350E31"/>
    <w:rsid w:val="00350EC8"/>
    <w:rsid w:val="00350EFF"/>
    <w:rsid w:val="00350F15"/>
    <w:rsid w:val="00350F4E"/>
    <w:rsid w:val="003510E2"/>
    <w:rsid w:val="003511A3"/>
    <w:rsid w:val="00351242"/>
    <w:rsid w:val="003512ED"/>
    <w:rsid w:val="003512F5"/>
    <w:rsid w:val="003513A5"/>
    <w:rsid w:val="00351520"/>
    <w:rsid w:val="003516FF"/>
    <w:rsid w:val="00351723"/>
    <w:rsid w:val="00351744"/>
    <w:rsid w:val="0035178F"/>
    <w:rsid w:val="00351836"/>
    <w:rsid w:val="0035186C"/>
    <w:rsid w:val="00351911"/>
    <w:rsid w:val="00351940"/>
    <w:rsid w:val="0035196F"/>
    <w:rsid w:val="003519A7"/>
    <w:rsid w:val="003519D3"/>
    <w:rsid w:val="003519F8"/>
    <w:rsid w:val="00351B44"/>
    <w:rsid w:val="00351B99"/>
    <w:rsid w:val="00351BFB"/>
    <w:rsid w:val="00351C1B"/>
    <w:rsid w:val="00351DEA"/>
    <w:rsid w:val="00351E06"/>
    <w:rsid w:val="00351EA2"/>
    <w:rsid w:val="00352110"/>
    <w:rsid w:val="003521B2"/>
    <w:rsid w:val="003522F4"/>
    <w:rsid w:val="003524A9"/>
    <w:rsid w:val="00352712"/>
    <w:rsid w:val="00352825"/>
    <w:rsid w:val="00352915"/>
    <w:rsid w:val="0035292A"/>
    <w:rsid w:val="003529CE"/>
    <w:rsid w:val="003529F2"/>
    <w:rsid w:val="00352A27"/>
    <w:rsid w:val="00352A4B"/>
    <w:rsid w:val="00352AD3"/>
    <w:rsid w:val="00352C43"/>
    <w:rsid w:val="00352CA8"/>
    <w:rsid w:val="00352EC4"/>
    <w:rsid w:val="00352EFB"/>
    <w:rsid w:val="00352F9B"/>
    <w:rsid w:val="0035325D"/>
    <w:rsid w:val="00353295"/>
    <w:rsid w:val="00353305"/>
    <w:rsid w:val="0035332E"/>
    <w:rsid w:val="00353330"/>
    <w:rsid w:val="003533F6"/>
    <w:rsid w:val="00353401"/>
    <w:rsid w:val="00353488"/>
    <w:rsid w:val="003534B2"/>
    <w:rsid w:val="00353514"/>
    <w:rsid w:val="00353697"/>
    <w:rsid w:val="003536EE"/>
    <w:rsid w:val="0035378B"/>
    <w:rsid w:val="0035380D"/>
    <w:rsid w:val="00353837"/>
    <w:rsid w:val="00353843"/>
    <w:rsid w:val="0035387D"/>
    <w:rsid w:val="0035387F"/>
    <w:rsid w:val="003538B7"/>
    <w:rsid w:val="003538EF"/>
    <w:rsid w:val="00353A88"/>
    <w:rsid w:val="00353B56"/>
    <w:rsid w:val="00353BA8"/>
    <w:rsid w:val="00353C69"/>
    <w:rsid w:val="00353CCD"/>
    <w:rsid w:val="00353DA0"/>
    <w:rsid w:val="00353DB1"/>
    <w:rsid w:val="00353DFE"/>
    <w:rsid w:val="00353E3C"/>
    <w:rsid w:val="00353E7A"/>
    <w:rsid w:val="00353E93"/>
    <w:rsid w:val="00353F20"/>
    <w:rsid w:val="00353F31"/>
    <w:rsid w:val="00353FD1"/>
    <w:rsid w:val="00354139"/>
    <w:rsid w:val="00354165"/>
    <w:rsid w:val="0035424B"/>
    <w:rsid w:val="003543D8"/>
    <w:rsid w:val="00354474"/>
    <w:rsid w:val="003545D9"/>
    <w:rsid w:val="003545EF"/>
    <w:rsid w:val="0035462A"/>
    <w:rsid w:val="003548F5"/>
    <w:rsid w:val="00354A45"/>
    <w:rsid w:val="00354C5A"/>
    <w:rsid w:val="00354C60"/>
    <w:rsid w:val="00354DB5"/>
    <w:rsid w:val="00354F11"/>
    <w:rsid w:val="00354FAB"/>
    <w:rsid w:val="0035501A"/>
    <w:rsid w:val="003550A9"/>
    <w:rsid w:val="003550EC"/>
    <w:rsid w:val="00355192"/>
    <w:rsid w:val="00355264"/>
    <w:rsid w:val="0035528E"/>
    <w:rsid w:val="00355290"/>
    <w:rsid w:val="003553C4"/>
    <w:rsid w:val="003553D5"/>
    <w:rsid w:val="003553F2"/>
    <w:rsid w:val="00355429"/>
    <w:rsid w:val="003556AA"/>
    <w:rsid w:val="00355742"/>
    <w:rsid w:val="003557B9"/>
    <w:rsid w:val="003557D9"/>
    <w:rsid w:val="003557FE"/>
    <w:rsid w:val="00355899"/>
    <w:rsid w:val="0035593F"/>
    <w:rsid w:val="00355958"/>
    <w:rsid w:val="0035596F"/>
    <w:rsid w:val="00355980"/>
    <w:rsid w:val="00355A09"/>
    <w:rsid w:val="00355ACF"/>
    <w:rsid w:val="00355AE3"/>
    <w:rsid w:val="00355B2D"/>
    <w:rsid w:val="00355B96"/>
    <w:rsid w:val="00355E2B"/>
    <w:rsid w:val="00355E5C"/>
    <w:rsid w:val="00355EAA"/>
    <w:rsid w:val="00355F3A"/>
    <w:rsid w:val="00355F51"/>
    <w:rsid w:val="0035606C"/>
    <w:rsid w:val="00356096"/>
    <w:rsid w:val="003560CE"/>
    <w:rsid w:val="0035617A"/>
    <w:rsid w:val="003561F2"/>
    <w:rsid w:val="0035630E"/>
    <w:rsid w:val="003563D2"/>
    <w:rsid w:val="00356435"/>
    <w:rsid w:val="0035652D"/>
    <w:rsid w:val="0035664A"/>
    <w:rsid w:val="0035676B"/>
    <w:rsid w:val="0035676D"/>
    <w:rsid w:val="0035682E"/>
    <w:rsid w:val="0035686B"/>
    <w:rsid w:val="0035689E"/>
    <w:rsid w:val="003568A4"/>
    <w:rsid w:val="0035699F"/>
    <w:rsid w:val="003569E4"/>
    <w:rsid w:val="00356A4E"/>
    <w:rsid w:val="00356A6A"/>
    <w:rsid w:val="00356AD3"/>
    <w:rsid w:val="00356B4D"/>
    <w:rsid w:val="00356C8C"/>
    <w:rsid w:val="00356DE6"/>
    <w:rsid w:val="00356E90"/>
    <w:rsid w:val="00357176"/>
    <w:rsid w:val="0035723C"/>
    <w:rsid w:val="0035729F"/>
    <w:rsid w:val="003572A8"/>
    <w:rsid w:val="0035730D"/>
    <w:rsid w:val="003574F2"/>
    <w:rsid w:val="00357510"/>
    <w:rsid w:val="0035752A"/>
    <w:rsid w:val="003575A8"/>
    <w:rsid w:val="00357670"/>
    <w:rsid w:val="0035778D"/>
    <w:rsid w:val="0035780A"/>
    <w:rsid w:val="00357832"/>
    <w:rsid w:val="00357854"/>
    <w:rsid w:val="00357880"/>
    <w:rsid w:val="003578E2"/>
    <w:rsid w:val="00357A2C"/>
    <w:rsid w:val="00357ADA"/>
    <w:rsid w:val="00357B07"/>
    <w:rsid w:val="00357C5B"/>
    <w:rsid w:val="00357C5F"/>
    <w:rsid w:val="00357D0D"/>
    <w:rsid w:val="00357F53"/>
    <w:rsid w:val="00357FAA"/>
    <w:rsid w:val="00357FF2"/>
    <w:rsid w:val="00360048"/>
    <w:rsid w:val="00360134"/>
    <w:rsid w:val="00360164"/>
    <w:rsid w:val="0036019D"/>
    <w:rsid w:val="003602E7"/>
    <w:rsid w:val="00360321"/>
    <w:rsid w:val="003603B4"/>
    <w:rsid w:val="00360491"/>
    <w:rsid w:val="00360632"/>
    <w:rsid w:val="0036068D"/>
    <w:rsid w:val="00360702"/>
    <w:rsid w:val="00360735"/>
    <w:rsid w:val="0036075E"/>
    <w:rsid w:val="0036081E"/>
    <w:rsid w:val="00360987"/>
    <w:rsid w:val="003609E8"/>
    <w:rsid w:val="00360A2F"/>
    <w:rsid w:val="00360A5D"/>
    <w:rsid w:val="00360A9C"/>
    <w:rsid w:val="00360B21"/>
    <w:rsid w:val="00360BC5"/>
    <w:rsid w:val="00360BD6"/>
    <w:rsid w:val="00360EE6"/>
    <w:rsid w:val="0036105F"/>
    <w:rsid w:val="0036108D"/>
    <w:rsid w:val="003610F9"/>
    <w:rsid w:val="003611EF"/>
    <w:rsid w:val="003611FB"/>
    <w:rsid w:val="00361232"/>
    <w:rsid w:val="00361295"/>
    <w:rsid w:val="003612CE"/>
    <w:rsid w:val="003612F8"/>
    <w:rsid w:val="003613BB"/>
    <w:rsid w:val="0036142C"/>
    <w:rsid w:val="003614B5"/>
    <w:rsid w:val="003614ED"/>
    <w:rsid w:val="00361539"/>
    <w:rsid w:val="003615AB"/>
    <w:rsid w:val="0036166D"/>
    <w:rsid w:val="003617A1"/>
    <w:rsid w:val="003617DC"/>
    <w:rsid w:val="003618CD"/>
    <w:rsid w:val="00361941"/>
    <w:rsid w:val="00361951"/>
    <w:rsid w:val="0036196C"/>
    <w:rsid w:val="00361A32"/>
    <w:rsid w:val="00361A65"/>
    <w:rsid w:val="00361AA8"/>
    <w:rsid w:val="00361B36"/>
    <w:rsid w:val="00361B45"/>
    <w:rsid w:val="00361BE3"/>
    <w:rsid w:val="00361C51"/>
    <w:rsid w:val="00361CDD"/>
    <w:rsid w:val="00361D2D"/>
    <w:rsid w:val="00361D54"/>
    <w:rsid w:val="00361D7A"/>
    <w:rsid w:val="00361DEB"/>
    <w:rsid w:val="00361E13"/>
    <w:rsid w:val="00361E9E"/>
    <w:rsid w:val="00361EA4"/>
    <w:rsid w:val="00361F76"/>
    <w:rsid w:val="00361FD0"/>
    <w:rsid w:val="00362067"/>
    <w:rsid w:val="003620EC"/>
    <w:rsid w:val="00362186"/>
    <w:rsid w:val="003621D0"/>
    <w:rsid w:val="0036225F"/>
    <w:rsid w:val="0036229F"/>
    <w:rsid w:val="00362311"/>
    <w:rsid w:val="0036237E"/>
    <w:rsid w:val="00362434"/>
    <w:rsid w:val="00362454"/>
    <w:rsid w:val="003625A9"/>
    <w:rsid w:val="003627D7"/>
    <w:rsid w:val="003628A5"/>
    <w:rsid w:val="003628CD"/>
    <w:rsid w:val="0036290D"/>
    <w:rsid w:val="00362954"/>
    <w:rsid w:val="0036298E"/>
    <w:rsid w:val="003629C8"/>
    <w:rsid w:val="00362A1C"/>
    <w:rsid w:val="00362A25"/>
    <w:rsid w:val="00362B6D"/>
    <w:rsid w:val="00362BBF"/>
    <w:rsid w:val="00362D6D"/>
    <w:rsid w:val="00362D9A"/>
    <w:rsid w:val="00362E97"/>
    <w:rsid w:val="00362F51"/>
    <w:rsid w:val="003630C7"/>
    <w:rsid w:val="003630D4"/>
    <w:rsid w:val="003631C8"/>
    <w:rsid w:val="00363243"/>
    <w:rsid w:val="00363364"/>
    <w:rsid w:val="003633F3"/>
    <w:rsid w:val="00363505"/>
    <w:rsid w:val="00363519"/>
    <w:rsid w:val="0036351C"/>
    <w:rsid w:val="00363538"/>
    <w:rsid w:val="00363545"/>
    <w:rsid w:val="003635FB"/>
    <w:rsid w:val="0036380C"/>
    <w:rsid w:val="003639C1"/>
    <w:rsid w:val="00363A0A"/>
    <w:rsid w:val="00363A76"/>
    <w:rsid w:val="00363AA3"/>
    <w:rsid w:val="00363B21"/>
    <w:rsid w:val="00363BCD"/>
    <w:rsid w:val="00363BD9"/>
    <w:rsid w:val="00363CC5"/>
    <w:rsid w:val="00363D18"/>
    <w:rsid w:val="00363D70"/>
    <w:rsid w:val="00363E2C"/>
    <w:rsid w:val="00363ED7"/>
    <w:rsid w:val="00364020"/>
    <w:rsid w:val="003641C5"/>
    <w:rsid w:val="003641F2"/>
    <w:rsid w:val="0036428B"/>
    <w:rsid w:val="003642FF"/>
    <w:rsid w:val="00364327"/>
    <w:rsid w:val="0036434B"/>
    <w:rsid w:val="0036434E"/>
    <w:rsid w:val="0036445E"/>
    <w:rsid w:val="0036448E"/>
    <w:rsid w:val="00364565"/>
    <w:rsid w:val="003645B1"/>
    <w:rsid w:val="003645CA"/>
    <w:rsid w:val="003645D8"/>
    <w:rsid w:val="003645F8"/>
    <w:rsid w:val="0036463A"/>
    <w:rsid w:val="00364713"/>
    <w:rsid w:val="00364777"/>
    <w:rsid w:val="00364792"/>
    <w:rsid w:val="003647C6"/>
    <w:rsid w:val="00364835"/>
    <w:rsid w:val="00364866"/>
    <w:rsid w:val="003648AE"/>
    <w:rsid w:val="003648E9"/>
    <w:rsid w:val="003648FC"/>
    <w:rsid w:val="003649A0"/>
    <w:rsid w:val="003649CF"/>
    <w:rsid w:val="00364A23"/>
    <w:rsid w:val="00364A87"/>
    <w:rsid w:val="00364AF6"/>
    <w:rsid w:val="00364C83"/>
    <w:rsid w:val="00364CA2"/>
    <w:rsid w:val="00364CFF"/>
    <w:rsid w:val="00364E07"/>
    <w:rsid w:val="00364E67"/>
    <w:rsid w:val="00364FB5"/>
    <w:rsid w:val="00364FBE"/>
    <w:rsid w:val="00364FD4"/>
    <w:rsid w:val="00364FF8"/>
    <w:rsid w:val="00365038"/>
    <w:rsid w:val="00365047"/>
    <w:rsid w:val="00365058"/>
    <w:rsid w:val="003650E1"/>
    <w:rsid w:val="0036519B"/>
    <w:rsid w:val="00365288"/>
    <w:rsid w:val="003652C4"/>
    <w:rsid w:val="00365365"/>
    <w:rsid w:val="003653B0"/>
    <w:rsid w:val="003654CB"/>
    <w:rsid w:val="0036553A"/>
    <w:rsid w:val="00365708"/>
    <w:rsid w:val="00365756"/>
    <w:rsid w:val="003657CE"/>
    <w:rsid w:val="003657D4"/>
    <w:rsid w:val="00365868"/>
    <w:rsid w:val="0036589C"/>
    <w:rsid w:val="0036597C"/>
    <w:rsid w:val="00365A8D"/>
    <w:rsid w:val="00365AD8"/>
    <w:rsid w:val="00365B6C"/>
    <w:rsid w:val="00365B83"/>
    <w:rsid w:val="00365C21"/>
    <w:rsid w:val="00365C38"/>
    <w:rsid w:val="00365CA1"/>
    <w:rsid w:val="00365CBF"/>
    <w:rsid w:val="00365D50"/>
    <w:rsid w:val="00365D56"/>
    <w:rsid w:val="00365DB0"/>
    <w:rsid w:val="00365DBB"/>
    <w:rsid w:val="00365EAA"/>
    <w:rsid w:val="00365F99"/>
    <w:rsid w:val="003660E9"/>
    <w:rsid w:val="0036629F"/>
    <w:rsid w:val="003662FC"/>
    <w:rsid w:val="00366439"/>
    <w:rsid w:val="00366462"/>
    <w:rsid w:val="00366499"/>
    <w:rsid w:val="00366514"/>
    <w:rsid w:val="0036653C"/>
    <w:rsid w:val="00366575"/>
    <w:rsid w:val="0036658C"/>
    <w:rsid w:val="00366651"/>
    <w:rsid w:val="00366665"/>
    <w:rsid w:val="003666E2"/>
    <w:rsid w:val="00366750"/>
    <w:rsid w:val="0036677A"/>
    <w:rsid w:val="003667B4"/>
    <w:rsid w:val="00366879"/>
    <w:rsid w:val="003668C6"/>
    <w:rsid w:val="003668E5"/>
    <w:rsid w:val="0036696A"/>
    <w:rsid w:val="00366BE8"/>
    <w:rsid w:val="00366C2A"/>
    <w:rsid w:val="00366C44"/>
    <w:rsid w:val="00366DA5"/>
    <w:rsid w:val="00366E53"/>
    <w:rsid w:val="00366F66"/>
    <w:rsid w:val="00366FFE"/>
    <w:rsid w:val="003670F4"/>
    <w:rsid w:val="003671D6"/>
    <w:rsid w:val="0036721A"/>
    <w:rsid w:val="00367262"/>
    <w:rsid w:val="0036731F"/>
    <w:rsid w:val="003673B1"/>
    <w:rsid w:val="00367480"/>
    <w:rsid w:val="00367508"/>
    <w:rsid w:val="0036758E"/>
    <w:rsid w:val="00367610"/>
    <w:rsid w:val="0036764B"/>
    <w:rsid w:val="00367682"/>
    <w:rsid w:val="0036769D"/>
    <w:rsid w:val="00367726"/>
    <w:rsid w:val="00367755"/>
    <w:rsid w:val="003677A1"/>
    <w:rsid w:val="003677FC"/>
    <w:rsid w:val="0036786F"/>
    <w:rsid w:val="003679EA"/>
    <w:rsid w:val="00367B20"/>
    <w:rsid w:val="00367B33"/>
    <w:rsid w:val="00367B95"/>
    <w:rsid w:val="00367C0A"/>
    <w:rsid w:val="00367C48"/>
    <w:rsid w:val="00367C57"/>
    <w:rsid w:val="00367C64"/>
    <w:rsid w:val="00367C8E"/>
    <w:rsid w:val="00367CF0"/>
    <w:rsid w:val="00367D8B"/>
    <w:rsid w:val="00367D90"/>
    <w:rsid w:val="00367DFC"/>
    <w:rsid w:val="00367E9C"/>
    <w:rsid w:val="00370029"/>
    <w:rsid w:val="0037018F"/>
    <w:rsid w:val="003702A9"/>
    <w:rsid w:val="0037033F"/>
    <w:rsid w:val="00370397"/>
    <w:rsid w:val="003703DB"/>
    <w:rsid w:val="00370448"/>
    <w:rsid w:val="0037058D"/>
    <w:rsid w:val="003705CD"/>
    <w:rsid w:val="00370706"/>
    <w:rsid w:val="003709C7"/>
    <w:rsid w:val="00370A35"/>
    <w:rsid w:val="00370B45"/>
    <w:rsid w:val="00370B75"/>
    <w:rsid w:val="00370C31"/>
    <w:rsid w:val="00370CB5"/>
    <w:rsid w:val="00370CF3"/>
    <w:rsid w:val="00370DC5"/>
    <w:rsid w:val="00370EC4"/>
    <w:rsid w:val="0037108D"/>
    <w:rsid w:val="00371127"/>
    <w:rsid w:val="00371143"/>
    <w:rsid w:val="00371198"/>
    <w:rsid w:val="00371199"/>
    <w:rsid w:val="003711B3"/>
    <w:rsid w:val="00371278"/>
    <w:rsid w:val="003712D7"/>
    <w:rsid w:val="003713BB"/>
    <w:rsid w:val="003713D3"/>
    <w:rsid w:val="003713DE"/>
    <w:rsid w:val="003714B5"/>
    <w:rsid w:val="003715C6"/>
    <w:rsid w:val="0037163D"/>
    <w:rsid w:val="003716D0"/>
    <w:rsid w:val="0037175B"/>
    <w:rsid w:val="0037176A"/>
    <w:rsid w:val="0037176B"/>
    <w:rsid w:val="003717A6"/>
    <w:rsid w:val="003718DB"/>
    <w:rsid w:val="003719C7"/>
    <w:rsid w:val="003719CC"/>
    <w:rsid w:val="00371CC6"/>
    <w:rsid w:val="00371D85"/>
    <w:rsid w:val="00371E6A"/>
    <w:rsid w:val="00371F45"/>
    <w:rsid w:val="00372067"/>
    <w:rsid w:val="00372070"/>
    <w:rsid w:val="00372094"/>
    <w:rsid w:val="003720BC"/>
    <w:rsid w:val="003720D5"/>
    <w:rsid w:val="003721EC"/>
    <w:rsid w:val="0037221B"/>
    <w:rsid w:val="00372234"/>
    <w:rsid w:val="003722D6"/>
    <w:rsid w:val="003722EE"/>
    <w:rsid w:val="00372573"/>
    <w:rsid w:val="00372770"/>
    <w:rsid w:val="00372809"/>
    <w:rsid w:val="00372815"/>
    <w:rsid w:val="0037294C"/>
    <w:rsid w:val="0037298E"/>
    <w:rsid w:val="003729C9"/>
    <w:rsid w:val="003729CA"/>
    <w:rsid w:val="00372A7E"/>
    <w:rsid w:val="00372BEC"/>
    <w:rsid w:val="00372C16"/>
    <w:rsid w:val="00372C5E"/>
    <w:rsid w:val="00372D26"/>
    <w:rsid w:val="00372E16"/>
    <w:rsid w:val="00372E31"/>
    <w:rsid w:val="00372E5A"/>
    <w:rsid w:val="00372E72"/>
    <w:rsid w:val="00372F0D"/>
    <w:rsid w:val="00372F93"/>
    <w:rsid w:val="003730B6"/>
    <w:rsid w:val="0037329E"/>
    <w:rsid w:val="003733AC"/>
    <w:rsid w:val="003733EB"/>
    <w:rsid w:val="0037344C"/>
    <w:rsid w:val="0037348F"/>
    <w:rsid w:val="003735BB"/>
    <w:rsid w:val="0037362C"/>
    <w:rsid w:val="0037367C"/>
    <w:rsid w:val="003736B0"/>
    <w:rsid w:val="00373756"/>
    <w:rsid w:val="0037379C"/>
    <w:rsid w:val="003737D2"/>
    <w:rsid w:val="00373817"/>
    <w:rsid w:val="003738E6"/>
    <w:rsid w:val="00373915"/>
    <w:rsid w:val="00373979"/>
    <w:rsid w:val="00373A9B"/>
    <w:rsid w:val="00373AB5"/>
    <w:rsid w:val="00373ADC"/>
    <w:rsid w:val="00373B3F"/>
    <w:rsid w:val="00373B7E"/>
    <w:rsid w:val="00373BC9"/>
    <w:rsid w:val="00373C71"/>
    <w:rsid w:val="00373CA5"/>
    <w:rsid w:val="00373D02"/>
    <w:rsid w:val="00373D9A"/>
    <w:rsid w:val="00373DA0"/>
    <w:rsid w:val="00373E6F"/>
    <w:rsid w:val="00373EAB"/>
    <w:rsid w:val="00373EEC"/>
    <w:rsid w:val="00373F99"/>
    <w:rsid w:val="00373FA6"/>
    <w:rsid w:val="00373FD6"/>
    <w:rsid w:val="003740DA"/>
    <w:rsid w:val="003740DE"/>
    <w:rsid w:val="0037418F"/>
    <w:rsid w:val="003741E9"/>
    <w:rsid w:val="00374285"/>
    <w:rsid w:val="003743B3"/>
    <w:rsid w:val="003744CD"/>
    <w:rsid w:val="003744EF"/>
    <w:rsid w:val="00374587"/>
    <w:rsid w:val="0037460C"/>
    <w:rsid w:val="003746E7"/>
    <w:rsid w:val="003746ED"/>
    <w:rsid w:val="00374700"/>
    <w:rsid w:val="003747A0"/>
    <w:rsid w:val="003748D8"/>
    <w:rsid w:val="00374935"/>
    <w:rsid w:val="0037493E"/>
    <w:rsid w:val="0037494D"/>
    <w:rsid w:val="00374A0D"/>
    <w:rsid w:val="00374A7B"/>
    <w:rsid w:val="00374C0E"/>
    <w:rsid w:val="00374C6A"/>
    <w:rsid w:val="00374C8A"/>
    <w:rsid w:val="00374CAA"/>
    <w:rsid w:val="00374D47"/>
    <w:rsid w:val="00374E83"/>
    <w:rsid w:val="00374EAE"/>
    <w:rsid w:val="00374ED8"/>
    <w:rsid w:val="00374EF6"/>
    <w:rsid w:val="00374FE2"/>
    <w:rsid w:val="003750A1"/>
    <w:rsid w:val="00375154"/>
    <w:rsid w:val="0037526D"/>
    <w:rsid w:val="0037545F"/>
    <w:rsid w:val="003754EF"/>
    <w:rsid w:val="00375516"/>
    <w:rsid w:val="00375520"/>
    <w:rsid w:val="003755A4"/>
    <w:rsid w:val="00375687"/>
    <w:rsid w:val="00375750"/>
    <w:rsid w:val="0037580F"/>
    <w:rsid w:val="003758AB"/>
    <w:rsid w:val="003759F8"/>
    <w:rsid w:val="00375A85"/>
    <w:rsid w:val="00375AA5"/>
    <w:rsid w:val="00375B1E"/>
    <w:rsid w:val="00375B22"/>
    <w:rsid w:val="00375BBA"/>
    <w:rsid w:val="00375BF7"/>
    <w:rsid w:val="00375CA1"/>
    <w:rsid w:val="00375DE1"/>
    <w:rsid w:val="00375EB5"/>
    <w:rsid w:val="00375F2A"/>
    <w:rsid w:val="00375FFC"/>
    <w:rsid w:val="00376047"/>
    <w:rsid w:val="003760A7"/>
    <w:rsid w:val="003761BA"/>
    <w:rsid w:val="003762A6"/>
    <w:rsid w:val="00376312"/>
    <w:rsid w:val="00376323"/>
    <w:rsid w:val="00376353"/>
    <w:rsid w:val="003763A1"/>
    <w:rsid w:val="003763CF"/>
    <w:rsid w:val="003764C9"/>
    <w:rsid w:val="00376556"/>
    <w:rsid w:val="00376589"/>
    <w:rsid w:val="00376598"/>
    <w:rsid w:val="003765B6"/>
    <w:rsid w:val="0037666B"/>
    <w:rsid w:val="0037668B"/>
    <w:rsid w:val="003766A5"/>
    <w:rsid w:val="00376788"/>
    <w:rsid w:val="00376840"/>
    <w:rsid w:val="0037689B"/>
    <w:rsid w:val="003768EC"/>
    <w:rsid w:val="00376905"/>
    <w:rsid w:val="003769DB"/>
    <w:rsid w:val="00376ABB"/>
    <w:rsid w:val="00376ABC"/>
    <w:rsid w:val="00376AF0"/>
    <w:rsid w:val="00376C8C"/>
    <w:rsid w:val="00376CB3"/>
    <w:rsid w:val="00376CE6"/>
    <w:rsid w:val="00376D8C"/>
    <w:rsid w:val="00376DC6"/>
    <w:rsid w:val="00376DC8"/>
    <w:rsid w:val="00376DC9"/>
    <w:rsid w:val="00376E26"/>
    <w:rsid w:val="00376F94"/>
    <w:rsid w:val="00376F95"/>
    <w:rsid w:val="0037701C"/>
    <w:rsid w:val="0037707F"/>
    <w:rsid w:val="003770F1"/>
    <w:rsid w:val="00377193"/>
    <w:rsid w:val="003771BD"/>
    <w:rsid w:val="003771CD"/>
    <w:rsid w:val="003771D2"/>
    <w:rsid w:val="0037722F"/>
    <w:rsid w:val="003773E7"/>
    <w:rsid w:val="003775B0"/>
    <w:rsid w:val="003777FB"/>
    <w:rsid w:val="0037780C"/>
    <w:rsid w:val="00377844"/>
    <w:rsid w:val="00377904"/>
    <w:rsid w:val="00377B70"/>
    <w:rsid w:val="00377C2F"/>
    <w:rsid w:val="00377C8D"/>
    <w:rsid w:val="00377CCD"/>
    <w:rsid w:val="00377D4C"/>
    <w:rsid w:val="00377E32"/>
    <w:rsid w:val="00377E49"/>
    <w:rsid w:val="00377E50"/>
    <w:rsid w:val="00377F48"/>
    <w:rsid w:val="00377FB4"/>
    <w:rsid w:val="00377FD8"/>
    <w:rsid w:val="0038005C"/>
    <w:rsid w:val="003800E1"/>
    <w:rsid w:val="0038017E"/>
    <w:rsid w:val="003801AD"/>
    <w:rsid w:val="00380259"/>
    <w:rsid w:val="00380267"/>
    <w:rsid w:val="0038034E"/>
    <w:rsid w:val="0038036E"/>
    <w:rsid w:val="003803A0"/>
    <w:rsid w:val="003803B6"/>
    <w:rsid w:val="00380409"/>
    <w:rsid w:val="00380444"/>
    <w:rsid w:val="0038048A"/>
    <w:rsid w:val="00380609"/>
    <w:rsid w:val="0038060B"/>
    <w:rsid w:val="00380688"/>
    <w:rsid w:val="003807A5"/>
    <w:rsid w:val="003807E9"/>
    <w:rsid w:val="00380A2F"/>
    <w:rsid w:val="00380AC3"/>
    <w:rsid w:val="00380B05"/>
    <w:rsid w:val="00380C5B"/>
    <w:rsid w:val="00380D8D"/>
    <w:rsid w:val="00380E1A"/>
    <w:rsid w:val="00380E70"/>
    <w:rsid w:val="00380FE1"/>
    <w:rsid w:val="0038104D"/>
    <w:rsid w:val="0038108A"/>
    <w:rsid w:val="003810D0"/>
    <w:rsid w:val="003810D3"/>
    <w:rsid w:val="00381101"/>
    <w:rsid w:val="003812D2"/>
    <w:rsid w:val="00381720"/>
    <w:rsid w:val="00381802"/>
    <w:rsid w:val="00381877"/>
    <w:rsid w:val="003818BD"/>
    <w:rsid w:val="003818E3"/>
    <w:rsid w:val="0038195F"/>
    <w:rsid w:val="00381964"/>
    <w:rsid w:val="00381A7D"/>
    <w:rsid w:val="00381AAC"/>
    <w:rsid w:val="00381B27"/>
    <w:rsid w:val="00381BD2"/>
    <w:rsid w:val="00381C2C"/>
    <w:rsid w:val="00381CBD"/>
    <w:rsid w:val="00381D39"/>
    <w:rsid w:val="00381D93"/>
    <w:rsid w:val="00381E4F"/>
    <w:rsid w:val="00381F21"/>
    <w:rsid w:val="00381F4F"/>
    <w:rsid w:val="00382016"/>
    <w:rsid w:val="0038206A"/>
    <w:rsid w:val="00382100"/>
    <w:rsid w:val="0038211D"/>
    <w:rsid w:val="00382173"/>
    <w:rsid w:val="0038223E"/>
    <w:rsid w:val="00382277"/>
    <w:rsid w:val="0038227A"/>
    <w:rsid w:val="00382301"/>
    <w:rsid w:val="00382750"/>
    <w:rsid w:val="00382773"/>
    <w:rsid w:val="00382781"/>
    <w:rsid w:val="0038279D"/>
    <w:rsid w:val="003827FF"/>
    <w:rsid w:val="0038282C"/>
    <w:rsid w:val="0038289A"/>
    <w:rsid w:val="003828A9"/>
    <w:rsid w:val="003828CC"/>
    <w:rsid w:val="00382A68"/>
    <w:rsid w:val="00382ABD"/>
    <w:rsid w:val="00382B41"/>
    <w:rsid w:val="00382B7C"/>
    <w:rsid w:val="00382C2C"/>
    <w:rsid w:val="00382D06"/>
    <w:rsid w:val="00382DDE"/>
    <w:rsid w:val="00382E1D"/>
    <w:rsid w:val="00382FB4"/>
    <w:rsid w:val="00382FB5"/>
    <w:rsid w:val="00382FB6"/>
    <w:rsid w:val="00383022"/>
    <w:rsid w:val="00383087"/>
    <w:rsid w:val="003830AD"/>
    <w:rsid w:val="003831DA"/>
    <w:rsid w:val="00383204"/>
    <w:rsid w:val="00383273"/>
    <w:rsid w:val="00383354"/>
    <w:rsid w:val="00383381"/>
    <w:rsid w:val="003834BD"/>
    <w:rsid w:val="003835C6"/>
    <w:rsid w:val="00383628"/>
    <w:rsid w:val="00383673"/>
    <w:rsid w:val="003838D4"/>
    <w:rsid w:val="00383909"/>
    <w:rsid w:val="0038394D"/>
    <w:rsid w:val="0038398D"/>
    <w:rsid w:val="003839AB"/>
    <w:rsid w:val="003839E9"/>
    <w:rsid w:val="00383AEA"/>
    <w:rsid w:val="00383C2E"/>
    <w:rsid w:val="00383CED"/>
    <w:rsid w:val="00383CF9"/>
    <w:rsid w:val="00383DEE"/>
    <w:rsid w:val="00384028"/>
    <w:rsid w:val="0038405B"/>
    <w:rsid w:val="003840B4"/>
    <w:rsid w:val="003840D6"/>
    <w:rsid w:val="003840D7"/>
    <w:rsid w:val="003841E2"/>
    <w:rsid w:val="0038421D"/>
    <w:rsid w:val="00384364"/>
    <w:rsid w:val="003843D9"/>
    <w:rsid w:val="00384491"/>
    <w:rsid w:val="003844E1"/>
    <w:rsid w:val="0038458C"/>
    <w:rsid w:val="00384691"/>
    <w:rsid w:val="003846DA"/>
    <w:rsid w:val="00384725"/>
    <w:rsid w:val="00384775"/>
    <w:rsid w:val="003847EE"/>
    <w:rsid w:val="00384808"/>
    <w:rsid w:val="00384818"/>
    <w:rsid w:val="003848B0"/>
    <w:rsid w:val="003848F2"/>
    <w:rsid w:val="00384901"/>
    <w:rsid w:val="00384A67"/>
    <w:rsid w:val="00384AE6"/>
    <w:rsid w:val="00384B5E"/>
    <w:rsid w:val="00384C8C"/>
    <w:rsid w:val="00384CC5"/>
    <w:rsid w:val="00384D65"/>
    <w:rsid w:val="00385028"/>
    <w:rsid w:val="0038523E"/>
    <w:rsid w:val="003852A6"/>
    <w:rsid w:val="0038540B"/>
    <w:rsid w:val="00385483"/>
    <w:rsid w:val="003854E0"/>
    <w:rsid w:val="00385528"/>
    <w:rsid w:val="003855D7"/>
    <w:rsid w:val="00385798"/>
    <w:rsid w:val="0038585F"/>
    <w:rsid w:val="00385974"/>
    <w:rsid w:val="0038597F"/>
    <w:rsid w:val="003859DC"/>
    <w:rsid w:val="00385CA4"/>
    <w:rsid w:val="00385DC4"/>
    <w:rsid w:val="00385E05"/>
    <w:rsid w:val="00385ECF"/>
    <w:rsid w:val="00385EF4"/>
    <w:rsid w:val="00385FBF"/>
    <w:rsid w:val="00385FCB"/>
    <w:rsid w:val="00386004"/>
    <w:rsid w:val="0038669A"/>
    <w:rsid w:val="003866CD"/>
    <w:rsid w:val="0038670B"/>
    <w:rsid w:val="00386771"/>
    <w:rsid w:val="003867BE"/>
    <w:rsid w:val="003868F3"/>
    <w:rsid w:val="00386ACA"/>
    <w:rsid w:val="00386B99"/>
    <w:rsid w:val="00386C4E"/>
    <w:rsid w:val="00386CAA"/>
    <w:rsid w:val="00386DE5"/>
    <w:rsid w:val="00386DE8"/>
    <w:rsid w:val="00386E44"/>
    <w:rsid w:val="00386EB7"/>
    <w:rsid w:val="003870DC"/>
    <w:rsid w:val="00387161"/>
    <w:rsid w:val="003871CD"/>
    <w:rsid w:val="0038722C"/>
    <w:rsid w:val="00387234"/>
    <w:rsid w:val="003872B9"/>
    <w:rsid w:val="00387418"/>
    <w:rsid w:val="00387440"/>
    <w:rsid w:val="00387564"/>
    <w:rsid w:val="00387581"/>
    <w:rsid w:val="00387620"/>
    <w:rsid w:val="00387677"/>
    <w:rsid w:val="003876AA"/>
    <w:rsid w:val="00387830"/>
    <w:rsid w:val="00387841"/>
    <w:rsid w:val="003878E9"/>
    <w:rsid w:val="00387916"/>
    <w:rsid w:val="00387A57"/>
    <w:rsid w:val="00387A8D"/>
    <w:rsid w:val="00387AB6"/>
    <w:rsid w:val="00387B0F"/>
    <w:rsid w:val="00387B28"/>
    <w:rsid w:val="00387BBB"/>
    <w:rsid w:val="00387C99"/>
    <w:rsid w:val="00387CBF"/>
    <w:rsid w:val="00387DB0"/>
    <w:rsid w:val="00387FAC"/>
    <w:rsid w:val="00387FE2"/>
    <w:rsid w:val="00390073"/>
    <w:rsid w:val="003901AB"/>
    <w:rsid w:val="0039020B"/>
    <w:rsid w:val="003902C1"/>
    <w:rsid w:val="003903A2"/>
    <w:rsid w:val="00390403"/>
    <w:rsid w:val="00390491"/>
    <w:rsid w:val="003904E9"/>
    <w:rsid w:val="003904EF"/>
    <w:rsid w:val="00390551"/>
    <w:rsid w:val="00390660"/>
    <w:rsid w:val="0039067C"/>
    <w:rsid w:val="003906EC"/>
    <w:rsid w:val="0039077C"/>
    <w:rsid w:val="003907AE"/>
    <w:rsid w:val="0039095D"/>
    <w:rsid w:val="0039098D"/>
    <w:rsid w:val="003909B6"/>
    <w:rsid w:val="003909DC"/>
    <w:rsid w:val="00390B04"/>
    <w:rsid w:val="00390B0A"/>
    <w:rsid w:val="00390B98"/>
    <w:rsid w:val="00390C67"/>
    <w:rsid w:val="00390CD9"/>
    <w:rsid w:val="00390D35"/>
    <w:rsid w:val="00390D46"/>
    <w:rsid w:val="00390E0B"/>
    <w:rsid w:val="00390E3D"/>
    <w:rsid w:val="00390F45"/>
    <w:rsid w:val="00390F61"/>
    <w:rsid w:val="00390FA9"/>
    <w:rsid w:val="003910EE"/>
    <w:rsid w:val="00391171"/>
    <w:rsid w:val="00391265"/>
    <w:rsid w:val="0039129B"/>
    <w:rsid w:val="00391369"/>
    <w:rsid w:val="0039136B"/>
    <w:rsid w:val="00391460"/>
    <w:rsid w:val="0039157F"/>
    <w:rsid w:val="003915C6"/>
    <w:rsid w:val="00391613"/>
    <w:rsid w:val="003916BC"/>
    <w:rsid w:val="00391807"/>
    <w:rsid w:val="0039180A"/>
    <w:rsid w:val="003919DC"/>
    <w:rsid w:val="00391A17"/>
    <w:rsid w:val="00391A9A"/>
    <w:rsid w:val="00391B11"/>
    <w:rsid w:val="00391B26"/>
    <w:rsid w:val="00391C04"/>
    <w:rsid w:val="00391D49"/>
    <w:rsid w:val="00391D6F"/>
    <w:rsid w:val="00391E22"/>
    <w:rsid w:val="00391F25"/>
    <w:rsid w:val="00391FF6"/>
    <w:rsid w:val="0039208C"/>
    <w:rsid w:val="003920DA"/>
    <w:rsid w:val="003922BA"/>
    <w:rsid w:val="00392398"/>
    <w:rsid w:val="003923DF"/>
    <w:rsid w:val="00392447"/>
    <w:rsid w:val="0039257D"/>
    <w:rsid w:val="00392618"/>
    <w:rsid w:val="00392675"/>
    <w:rsid w:val="003926F4"/>
    <w:rsid w:val="0039272A"/>
    <w:rsid w:val="0039273E"/>
    <w:rsid w:val="003927C8"/>
    <w:rsid w:val="0039287A"/>
    <w:rsid w:val="0039289C"/>
    <w:rsid w:val="00392919"/>
    <w:rsid w:val="00392A21"/>
    <w:rsid w:val="00392A4F"/>
    <w:rsid w:val="00392AAF"/>
    <w:rsid w:val="00392E51"/>
    <w:rsid w:val="00392EC6"/>
    <w:rsid w:val="00392ED6"/>
    <w:rsid w:val="00392ED9"/>
    <w:rsid w:val="00392EF2"/>
    <w:rsid w:val="00392F04"/>
    <w:rsid w:val="00392F82"/>
    <w:rsid w:val="00392F95"/>
    <w:rsid w:val="00392F9E"/>
    <w:rsid w:val="00392FB4"/>
    <w:rsid w:val="00392FCA"/>
    <w:rsid w:val="003930BC"/>
    <w:rsid w:val="003930F8"/>
    <w:rsid w:val="00393100"/>
    <w:rsid w:val="003931B6"/>
    <w:rsid w:val="003931CF"/>
    <w:rsid w:val="003932F5"/>
    <w:rsid w:val="003933CD"/>
    <w:rsid w:val="0039342E"/>
    <w:rsid w:val="00393481"/>
    <w:rsid w:val="003934B2"/>
    <w:rsid w:val="003934ED"/>
    <w:rsid w:val="00393513"/>
    <w:rsid w:val="003935A2"/>
    <w:rsid w:val="003935DF"/>
    <w:rsid w:val="00393609"/>
    <w:rsid w:val="0039378A"/>
    <w:rsid w:val="00393815"/>
    <w:rsid w:val="00393826"/>
    <w:rsid w:val="0039382B"/>
    <w:rsid w:val="0039384E"/>
    <w:rsid w:val="003938F6"/>
    <w:rsid w:val="00393AA1"/>
    <w:rsid w:val="00393B78"/>
    <w:rsid w:val="00393C8D"/>
    <w:rsid w:val="00393CFB"/>
    <w:rsid w:val="00393D72"/>
    <w:rsid w:val="00393DBD"/>
    <w:rsid w:val="00393E64"/>
    <w:rsid w:val="00393E7E"/>
    <w:rsid w:val="00393E89"/>
    <w:rsid w:val="00393EF4"/>
    <w:rsid w:val="00393FA6"/>
    <w:rsid w:val="00393FD0"/>
    <w:rsid w:val="00394066"/>
    <w:rsid w:val="00394095"/>
    <w:rsid w:val="003940CA"/>
    <w:rsid w:val="003940D3"/>
    <w:rsid w:val="0039412F"/>
    <w:rsid w:val="0039435F"/>
    <w:rsid w:val="0039450B"/>
    <w:rsid w:val="00394588"/>
    <w:rsid w:val="0039460F"/>
    <w:rsid w:val="003946B4"/>
    <w:rsid w:val="003947DC"/>
    <w:rsid w:val="00394981"/>
    <w:rsid w:val="00394ACD"/>
    <w:rsid w:val="00394AD8"/>
    <w:rsid w:val="00394BC6"/>
    <w:rsid w:val="00394BEB"/>
    <w:rsid w:val="00394C04"/>
    <w:rsid w:val="00394D78"/>
    <w:rsid w:val="00394D7B"/>
    <w:rsid w:val="00394ECA"/>
    <w:rsid w:val="00394ED7"/>
    <w:rsid w:val="00394F5A"/>
    <w:rsid w:val="00394F95"/>
    <w:rsid w:val="00394FC1"/>
    <w:rsid w:val="00395079"/>
    <w:rsid w:val="003950CF"/>
    <w:rsid w:val="00395131"/>
    <w:rsid w:val="0039514D"/>
    <w:rsid w:val="003952DF"/>
    <w:rsid w:val="0039534B"/>
    <w:rsid w:val="003954E3"/>
    <w:rsid w:val="00395597"/>
    <w:rsid w:val="003955C6"/>
    <w:rsid w:val="00395640"/>
    <w:rsid w:val="0039564F"/>
    <w:rsid w:val="00395764"/>
    <w:rsid w:val="0039577C"/>
    <w:rsid w:val="0039578E"/>
    <w:rsid w:val="003958A5"/>
    <w:rsid w:val="00395A07"/>
    <w:rsid w:val="00395A4A"/>
    <w:rsid w:val="00395A7A"/>
    <w:rsid w:val="00395A80"/>
    <w:rsid w:val="00395BA7"/>
    <w:rsid w:val="00395D18"/>
    <w:rsid w:val="00395D5E"/>
    <w:rsid w:val="00395E4A"/>
    <w:rsid w:val="00395EAF"/>
    <w:rsid w:val="00395EE3"/>
    <w:rsid w:val="00395F8D"/>
    <w:rsid w:val="00396153"/>
    <w:rsid w:val="00396350"/>
    <w:rsid w:val="00396394"/>
    <w:rsid w:val="00396401"/>
    <w:rsid w:val="003964B3"/>
    <w:rsid w:val="0039658E"/>
    <w:rsid w:val="003965ED"/>
    <w:rsid w:val="00396608"/>
    <w:rsid w:val="003966DA"/>
    <w:rsid w:val="0039671E"/>
    <w:rsid w:val="0039671F"/>
    <w:rsid w:val="0039678A"/>
    <w:rsid w:val="003967A0"/>
    <w:rsid w:val="00396802"/>
    <w:rsid w:val="0039689A"/>
    <w:rsid w:val="003969DB"/>
    <w:rsid w:val="00396ACA"/>
    <w:rsid w:val="00396B15"/>
    <w:rsid w:val="00396B68"/>
    <w:rsid w:val="00396B98"/>
    <w:rsid w:val="00396C12"/>
    <w:rsid w:val="00396C42"/>
    <w:rsid w:val="00396C50"/>
    <w:rsid w:val="00396D5D"/>
    <w:rsid w:val="00396DC2"/>
    <w:rsid w:val="00396DDA"/>
    <w:rsid w:val="00396EA9"/>
    <w:rsid w:val="00397186"/>
    <w:rsid w:val="003971FC"/>
    <w:rsid w:val="003972D1"/>
    <w:rsid w:val="00397356"/>
    <w:rsid w:val="003973B7"/>
    <w:rsid w:val="003973E4"/>
    <w:rsid w:val="003974C0"/>
    <w:rsid w:val="0039758A"/>
    <w:rsid w:val="0039764A"/>
    <w:rsid w:val="00397793"/>
    <w:rsid w:val="0039779B"/>
    <w:rsid w:val="00397863"/>
    <w:rsid w:val="00397A45"/>
    <w:rsid w:val="00397B59"/>
    <w:rsid w:val="00397BEC"/>
    <w:rsid w:val="00397CF2"/>
    <w:rsid w:val="00397E64"/>
    <w:rsid w:val="00397F1A"/>
    <w:rsid w:val="00397F81"/>
    <w:rsid w:val="00397FEF"/>
    <w:rsid w:val="003A004A"/>
    <w:rsid w:val="003A0075"/>
    <w:rsid w:val="003A0086"/>
    <w:rsid w:val="003A00E5"/>
    <w:rsid w:val="003A00FE"/>
    <w:rsid w:val="003A01B3"/>
    <w:rsid w:val="003A02B0"/>
    <w:rsid w:val="003A02E8"/>
    <w:rsid w:val="003A0372"/>
    <w:rsid w:val="003A0466"/>
    <w:rsid w:val="003A0585"/>
    <w:rsid w:val="003A05F2"/>
    <w:rsid w:val="003A0731"/>
    <w:rsid w:val="003A0793"/>
    <w:rsid w:val="003A0810"/>
    <w:rsid w:val="003A0883"/>
    <w:rsid w:val="003A08C7"/>
    <w:rsid w:val="003A09A5"/>
    <w:rsid w:val="003A09F7"/>
    <w:rsid w:val="003A0B2B"/>
    <w:rsid w:val="003A0C05"/>
    <w:rsid w:val="003A0C3D"/>
    <w:rsid w:val="003A0C6B"/>
    <w:rsid w:val="003A0CFE"/>
    <w:rsid w:val="003A0DF8"/>
    <w:rsid w:val="003A0F91"/>
    <w:rsid w:val="003A0FB2"/>
    <w:rsid w:val="003A1075"/>
    <w:rsid w:val="003A111E"/>
    <w:rsid w:val="003A1173"/>
    <w:rsid w:val="003A117E"/>
    <w:rsid w:val="003A11D6"/>
    <w:rsid w:val="003A121D"/>
    <w:rsid w:val="003A125F"/>
    <w:rsid w:val="003A12E3"/>
    <w:rsid w:val="003A1559"/>
    <w:rsid w:val="003A1581"/>
    <w:rsid w:val="003A15B3"/>
    <w:rsid w:val="003A15CB"/>
    <w:rsid w:val="003A1653"/>
    <w:rsid w:val="003A1975"/>
    <w:rsid w:val="003A19A9"/>
    <w:rsid w:val="003A19B0"/>
    <w:rsid w:val="003A1A3D"/>
    <w:rsid w:val="003A1AF5"/>
    <w:rsid w:val="003A1B19"/>
    <w:rsid w:val="003A1B38"/>
    <w:rsid w:val="003A1C42"/>
    <w:rsid w:val="003A1CBE"/>
    <w:rsid w:val="003A1DB4"/>
    <w:rsid w:val="003A1E6E"/>
    <w:rsid w:val="003A1E9D"/>
    <w:rsid w:val="003A1EA9"/>
    <w:rsid w:val="003A1ED0"/>
    <w:rsid w:val="003A1EE7"/>
    <w:rsid w:val="003A1F8D"/>
    <w:rsid w:val="003A203B"/>
    <w:rsid w:val="003A2079"/>
    <w:rsid w:val="003A212F"/>
    <w:rsid w:val="003A2200"/>
    <w:rsid w:val="003A2239"/>
    <w:rsid w:val="003A224F"/>
    <w:rsid w:val="003A23C9"/>
    <w:rsid w:val="003A240A"/>
    <w:rsid w:val="003A246E"/>
    <w:rsid w:val="003A24A8"/>
    <w:rsid w:val="003A24FB"/>
    <w:rsid w:val="003A2630"/>
    <w:rsid w:val="003A2697"/>
    <w:rsid w:val="003A26AF"/>
    <w:rsid w:val="003A26F2"/>
    <w:rsid w:val="003A272E"/>
    <w:rsid w:val="003A2737"/>
    <w:rsid w:val="003A28C0"/>
    <w:rsid w:val="003A28DE"/>
    <w:rsid w:val="003A292E"/>
    <w:rsid w:val="003A29A2"/>
    <w:rsid w:val="003A2A74"/>
    <w:rsid w:val="003A2B01"/>
    <w:rsid w:val="003A2B60"/>
    <w:rsid w:val="003A2B63"/>
    <w:rsid w:val="003A2BBF"/>
    <w:rsid w:val="003A2BF6"/>
    <w:rsid w:val="003A2CEB"/>
    <w:rsid w:val="003A2CF7"/>
    <w:rsid w:val="003A2D23"/>
    <w:rsid w:val="003A2E45"/>
    <w:rsid w:val="003A2E4C"/>
    <w:rsid w:val="003A2ECA"/>
    <w:rsid w:val="003A2EED"/>
    <w:rsid w:val="003A3027"/>
    <w:rsid w:val="003A3064"/>
    <w:rsid w:val="003A30CB"/>
    <w:rsid w:val="003A3114"/>
    <w:rsid w:val="003A3173"/>
    <w:rsid w:val="003A31CF"/>
    <w:rsid w:val="003A32D2"/>
    <w:rsid w:val="003A33BC"/>
    <w:rsid w:val="003A34A4"/>
    <w:rsid w:val="003A3803"/>
    <w:rsid w:val="003A38BB"/>
    <w:rsid w:val="003A3985"/>
    <w:rsid w:val="003A3997"/>
    <w:rsid w:val="003A3A02"/>
    <w:rsid w:val="003A3AAC"/>
    <w:rsid w:val="003A3AF6"/>
    <w:rsid w:val="003A3B14"/>
    <w:rsid w:val="003A3B32"/>
    <w:rsid w:val="003A3B93"/>
    <w:rsid w:val="003A3C0D"/>
    <w:rsid w:val="003A3C22"/>
    <w:rsid w:val="003A3C83"/>
    <w:rsid w:val="003A3D58"/>
    <w:rsid w:val="003A3D63"/>
    <w:rsid w:val="003A3D86"/>
    <w:rsid w:val="003A3E43"/>
    <w:rsid w:val="003A3EBD"/>
    <w:rsid w:val="003A3FAD"/>
    <w:rsid w:val="003A4007"/>
    <w:rsid w:val="003A4050"/>
    <w:rsid w:val="003A4054"/>
    <w:rsid w:val="003A41F4"/>
    <w:rsid w:val="003A41FD"/>
    <w:rsid w:val="003A4280"/>
    <w:rsid w:val="003A42A7"/>
    <w:rsid w:val="003A4595"/>
    <w:rsid w:val="003A46B8"/>
    <w:rsid w:val="003A46CF"/>
    <w:rsid w:val="003A46E7"/>
    <w:rsid w:val="003A470C"/>
    <w:rsid w:val="003A4721"/>
    <w:rsid w:val="003A4786"/>
    <w:rsid w:val="003A4846"/>
    <w:rsid w:val="003A4878"/>
    <w:rsid w:val="003A49FF"/>
    <w:rsid w:val="003A4AD9"/>
    <w:rsid w:val="003A4D51"/>
    <w:rsid w:val="003A4D9E"/>
    <w:rsid w:val="003A4EBB"/>
    <w:rsid w:val="003A4F17"/>
    <w:rsid w:val="003A4F2B"/>
    <w:rsid w:val="003A4F3B"/>
    <w:rsid w:val="003A5106"/>
    <w:rsid w:val="003A5107"/>
    <w:rsid w:val="003A512E"/>
    <w:rsid w:val="003A515E"/>
    <w:rsid w:val="003A51CA"/>
    <w:rsid w:val="003A5240"/>
    <w:rsid w:val="003A5280"/>
    <w:rsid w:val="003A5355"/>
    <w:rsid w:val="003A5392"/>
    <w:rsid w:val="003A5415"/>
    <w:rsid w:val="003A55E1"/>
    <w:rsid w:val="003A55F4"/>
    <w:rsid w:val="003A5607"/>
    <w:rsid w:val="003A579C"/>
    <w:rsid w:val="003A57F5"/>
    <w:rsid w:val="003A5804"/>
    <w:rsid w:val="003A59A0"/>
    <w:rsid w:val="003A5A42"/>
    <w:rsid w:val="003A5AC3"/>
    <w:rsid w:val="003A5ADA"/>
    <w:rsid w:val="003A5D9E"/>
    <w:rsid w:val="003A5EDD"/>
    <w:rsid w:val="003A5FBD"/>
    <w:rsid w:val="003A6030"/>
    <w:rsid w:val="003A6031"/>
    <w:rsid w:val="003A60BF"/>
    <w:rsid w:val="003A613E"/>
    <w:rsid w:val="003A616D"/>
    <w:rsid w:val="003A62C0"/>
    <w:rsid w:val="003A647F"/>
    <w:rsid w:val="003A6505"/>
    <w:rsid w:val="003A6551"/>
    <w:rsid w:val="003A668F"/>
    <w:rsid w:val="003A67D0"/>
    <w:rsid w:val="003A683F"/>
    <w:rsid w:val="003A687E"/>
    <w:rsid w:val="003A6921"/>
    <w:rsid w:val="003A69D5"/>
    <w:rsid w:val="003A6AAB"/>
    <w:rsid w:val="003A6C51"/>
    <w:rsid w:val="003A6C99"/>
    <w:rsid w:val="003A6CDD"/>
    <w:rsid w:val="003A6DAA"/>
    <w:rsid w:val="003A6DD3"/>
    <w:rsid w:val="003A6E30"/>
    <w:rsid w:val="003A6E38"/>
    <w:rsid w:val="003A6EBF"/>
    <w:rsid w:val="003A6F59"/>
    <w:rsid w:val="003A703E"/>
    <w:rsid w:val="003A7073"/>
    <w:rsid w:val="003A7097"/>
    <w:rsid w:val="003A70F9"/>
    <w:rsid w:val="003A719A"/>
    <w:rsid w:val="003A71A5"/>
    <w:rsid w:val="003A72B6"/>
    <w:rsid w:val="003A7383"/>
    <w:rsid w:val="003A7388"/>
    <w:rsid w:val="003A7495"/>
    <w:rsid w:val="003A7639"/>
    <w:rsid w:val="003A7687"/>
    <w:rsid w:val="003A769A"/>
    <w:rsid w:val="003A7709"/>
    <w:rsid w:val="003A7804"/>
    <w:rsid w:val="003A7836"/>
    <w:rsid w:val="003A7854"/>
    <w:rsid w:val="003A7884"/>
    <w:rsid w:val="003A78CA"/>
    <w:rsid w:val="003A78D1"/>
    <w:rsid w:val="003A796A"/>
    <w:rsid w:val="003A79C4"/>
    <w:rsid w:val="003A7A4F"/>
    <w:rsid w:val="003A7A6E"/>
    <w:rsid w:val="003A7B04"/>
    <w:rsid w:val="003A7B4D"/>
    <w:rsid w:val="003A7B74"/>
    <w:rsid w:val="003A7BBD"/>
    <w:rsid w:val="003A7C2A"/>
    <w:rsid w:val="003A7EBF"/>
    <w:rsid w:val="003B0074"/>
    <w:rsid w:val="003B00F8"/>
    <w:rsid w:val="003B0181"/>
    <w:rsid w:val="003B020A"/>
    <w:rsid w:val="003B02D1"/>
    <w:rsid w:val="003B02F1"/>
    <w:rsid w:val="003B03B4"/>
    <w:rsid w:val="003B0473"/>
    <w:rsid w:val="003B04A1"/>
    <w:rsid w:val="003B0558"/>
    <w:rsid w:val="003B0564"/>
    <w:rsid w:val="003B0634"/>
    <w:rsid w:val="003B06A1"/>
    <w:rsid w:val="003B06C0"/>
    <w:rsid w:val="003B075F"/>
    <w:rsid w:val="003B07EC"/>
    <w:rsid w:val="003B086B"/>
    <w:rsid w:val="003B090F"/>
    <w:rsid w:val="003B09A4"/>
    <w:rsid w:val="003B09A8"/>
    <w:rsid w:val="003B09B8"/>
    <w:rsid w:val="003B0A24"/>
    <w:rsid w:val="003B0BBD"/>
    <w:rsid w:val="003B0BC0"/>
    <w:rsid w:val="003B0C2B"/>
    <w:rsid w:val="003B0E24"/>
    <w:rsid w:val="003B100F"/>
    <w:rsid w:val="003B10CA"/>
    <w:rsid w:val="003B10D7"/>
    <w:rsid w:val="003B11A3"/>
    <w:rsid w:val="003B12E3"/>
    <w:rsid w:val="003B1344"/>
    <w:rsid w:val="003B13BD"/>
    <w:rsid w:val="003B13D3"/>
    <w:rsid w:val="003B1423"/>
    <w:rsid w:val="003B1428"/>
    <w:rsid w:val="003B14BD"/>
    <w:rsid w:val="003B151A"/>
    <w:rsid w:val="003B157B"/>
    <w:rsid w:val="003B1588"/>
    <w:rsid w:val="003B176B"/>
    <w:rsid w:val="003B18F6"/>
    <w:rsid w:val="003B1BF4"/>
    <w:rsid w:val="003B1C97"/>
    <w:rsid w:val="003B1F48"/>
    <w:rsid w:val="003B1F77"/>
    <w:rsid w:val="003B1FAC"/>
    <w:rsid w:val="003B2062"/>
    <w:rsid w:val="003B2121"/>
    <w:rsid w:val="003B21BD"/>
    <w:rsid w:val="003B2307"/>
    <w:rsid w:val="003B2325"/>
    <w:rsid w:val="003B2420"/>
    <w:rsid w:val="003B24D8"/>
    <w:rsid w:val="003B24E6"/>
    <w:rsid w:val="003B25AA"/>
    <w:rsid w:val="003B25F6"/>
    <w:rsid w:val="003B2761"/>
    <w:rsid w:val="003B2798"/>
    <w:rsid w:val="003B2875"/>
    <w:rsid w:val="003B2A79"/>
    <w:rsid w:val="003B2B1C"/>
    <w:rsid w:val="003B2D90"/>
    <w:rsid w:val="003B2DA7"/>
    <w:rsid w:val="003B2E4C"/>
    <w:rsid w:val="003B2EBF"/>
    <w:rsid w:val="003B2ED1"/>
    <w:rsid w:val="003B304B"/>
    <w:rsid w:val="003B3099"/>
    <w:rsid w:val="003B3147"/>
    <w:rsid w:val="003B3317"/>
    <w:rsid w:val="003B3360"/>
    <w:rsid w:val="003B34B0"/>
    <w:rsid w:val="003B34E9"/>
    <w:rsid w:val="003B34FA"/>
    <w:rsid w:val="003B35DD"/>
    <w:rsid w:val="003B3612"/>
    <w:rsid w:val="003B3727"/>
    <w:rsid w:val="003B372F"/>
    <w:rsid w:val="003B3776"/>
    <w:rsid w:val="003B3783"/>
    <w:rsid w:val="003B3893"/>
    <w:rsid w:val="003B38F9"/>
    <w:rsid w:val="003B3970"/>
    <w:rsid w:val="003B39F5"/>
    <w:rsid w:val="003B3B4F"/>
    <w:rsid w:val="003B3C79"/>
    <w:rsid w:val="003B3D65"/>
    <w:rsid w:val="003B3DF1"/>
    <w:rsid w:val="003B3E90"/>
    <w:rsid w:val="003B3EC6"/>
    <w:rsid w:val="003B3F96"/>
    <w:rsid w:val="003B406D"/>
    <w:rsid w:val="003B4093"/>
    <w:rsid w:val="003B4098"/>
    <w:rsid w:val="003B40F6"/>
    <w:rsid w:val="003B4218"/>
    <w:rsid w:val="003B42F7"/>
    <w:rsid w:val="003B4334"/>
    <w:rsid w:val="003B445D"/>
    <w:rsid w:val="003B448A"/>
    <w:rsid w:val="003B448B"/>
    <w:rsid w:val="003B44A9"/>
    <w:rsid w:val="003B4578"/>
    <w:rsid w:val="003B45C5"/>
    <w:rsid w:val="003B460B"/>
    <w:rsid w:val="003B463E"/>
    <w:rsid w:val="003B46F8"/>
    <w:rsid w:val="003B489B"/>
    <w:rsid w:val="003B4964"/>
    <w:rsid w:val="003B4A68"/>
    <w:rsid w:val="003B4AA1"/>
    <w:rsid w:val="003B4ABF"/>
    <w:rsid w:val="003B4B20"/>
    <w:rsid w:val="003B4C20"/>
    <w:rsid w:val="003B4C36"/>
    <w:rsid w:val="003B4C4C"/>
    <w:rsid w:val="003B4C7D"/>
    <w:rsid w:val="003B4D3F"/>
    <w:rsid w:val="003B4EBB"/>
    <w:rsid w:val="003B4EDE"/>
    <w:rsid w:val="003B4F64"/>
    <w:rsid w:val="003B50B6"/>
    <w:rsid w:val="003B5109"/>
    <w:rsid w:val="003B519B"/>
    <w:rsid w:val="003B51AE"/>
    <w:rsid w:val="003B5214"/>
    <w:rsid w:val="003B5217"/>
    <w:rsid w:val="003B5345"/>
    <w:rsid w:val="003B53D1"/>
    <w:rsid w:val="003B5517"/>
    <w:rsid w:val="003B5599"/>
    <w:rsid w:val="003B55B5"/>
    <w:rsid w:val="003B55C6"/>
    <w:rsid w:val="003B5693"/>
    <w:rsid w:val="003B5898"/>
    <w:rsid w:val="003B58D8"/>
    <w:rsid w:val="003B5956"/>
    <w:rsid w:val="003B5B0B"/>
    <w:rsid w:val="003B5C93"/>
    <w:rsid w:val="003B5CF9"/>
    <w:rsid w:val="003B5D0C"/>
    <w:rsid w:val="003B5E94"/>
    <w:rsid w:val="003B5EC9"/>
    <w:rsid w:val="003B5F5B"/>
    <w:rsid w:val="003B5F7A"/>
    <w:rsid w:val="003B6007"/>
    <w:rsid w:val="003B609D"/>
    <w:rsid w:val="003B60DD"/>
    <w:rsid w:val="003B6145"/>
    <w:rsid w:val="003B6234"/>
    <w:rsid w:val="003B6241"/>
    <w:rsid w:val="003B6349"/>
    <w:rsid w:val="003B6367"/>
    <w:rsid w:val="003B63E2"/>
    <w:rsid w:val="003B6437"/>
    <w:rsid w:val="003B652F"/>
    <w:rsid w:val="003B65A9"/>
    <w:rsid w:val="003B65BC"/>
    <w:rsid w:val="003B6641"/>
    <w:rsid w:val="003B684B"/>
    <w:rsid w:val="003B6858"/>
    <w:rsid w:val="003B68C6"/>
    <w:rsid w:val="003B690D"/>
    <w:rsid w:val="003B692F"/>
    <w:rsid w:val="003B69BB"/>
    <w:rsid w:val="003B69D7"/>
    <w:rsid w:val="003B6A0D"/>
    <w:rsid w:val="003B6A6A"/>
    <w:rsid w:val="003B6B12"/>
    <w:rsid w:val="003B6D1C"/>
    <w:rsid w:val="003B6D30"/>
    <w:rsid w:val="003B6DBC"/>
    <w:rsid w:val="003B6FE9"/>
    <w:rsid w:val="003B6FF9"/>
    <w:rsid w:val="003B713E"/>
    <w:rsid w:val="003B72B0"/>
    <w:rsid w:val="003B7300"/>
    <w:rsid w:val="003B7341"/>
    <w:rsid w:val="003B7345"/>
    <w:rsid w:val="003B7354"/>
    <w:rsid w:val="003B7425"/>
    <w:rsid w:val="003B746A"/>
    <w:rsid w:val="003B75F7"/>
    <w:rsid w:val="003B765A"/>
    <w:rsid w:val="003B769D"/>
    <w:rsid w:val="003B772D"/>
    <w:rsid w:val="003B7750"/>
    <w:rsid w:val="003B77B4"/>
    <w:rsid w:val="003B77B7"/>
    <w:rsid w:val="003B78A6"/>
    <w:rsid w:val="003B7905"/>
    <w:rsid w:val="003B7982"/>
    <w:rsid w:val="003B7986"/>
    <w:rsid w:val="003B7A61"/>
    <w:rsid w:val="003B7A83"/>
    <w:rsid w:val="003B7BC2"/>
    <w:rsid w:val="003B7CF9"/>
    <w:rsid w:val="003B7EE9"/>
    <w:rsid w:val="003B7F0F"/>
    <w:rsid w:val="003B7F3F"/>
    <w:rsid w:val="003B7F5B"/>
    <w:rsid w:val="003B7F69"/>
    <w:rsid w:val="003B7FCF"/>
    <w:rsid w:val="003C00EA"/>
    <w:rsid w:val="003C01CB"/>
    <w:rsid w:val="003C0259"/>
    <w:rsid w:val="003C0264"/>
    <w:rsid w:val="003C0356"/>
    <w:rsid w:val="003C042C"/>
    <w:rsid w:val="003C04FC"/>
    <w:rsid w:val="003C05AA"/>
    <w:rsid w:val="003C05FD"/>
    <w:rsid w:val="003C0684"/>
    <w:rsid w:val="003C0696"/>
    <w:rsid w:val="003C06FE"/>
    <w:rsid w:val="003C0921"/>
    <w:rsid w:val="003C0990"/>
    <w:rsid w:val="003C09C8"/>
    <w:rsid w:val="003C0A19"/>
    <w:rsid w:val="003C0A4A"/>
    <w:rsid w:val="003C0A71"/>
    <w:rsid w:val="003C0A7C"/>
    <w:rsid w:val="003C0C7D"/>
    <w:rsid w:val="003C0DBB"/>
    <w:rsid w:val="003C0E32"/>
    <w:rsid w:val="003C0E54"/>
    <w:rsid w:val="003C0E7C"/>
    <w:rsid w:val="003C0F0D"/>
    <w:rsid w:val="003C0F5A"/>
    <w:rsid w:val="003C0FEA"/>
    <w:rsid w:val="003C108A"/>
    <w:rsid w:val="003C109F"/>
    <w:rsid w:val="003C1138"/>
    <w:rsid w:val="003C134C"/>
    <w:rsid w:val="003C13A4"/>
    <w:rsid w:val="003C144A"/>
    <w:rsid w:val="003C1648"/>
    <w:rsid w:val="003C169D"/>
    <w:rsid w:val="003C170F"/>
    <w:rsid w:val="003C175A"/>
    <w:rsid w:val="003C17C6"/>
    <w:rsid w:val="003C1900"/>
    <w:rsid w:val="003C1A3D"/>
    <w:rsid w:val="003C1ACE"/>
    <w:rsid w:val="003C1B3E"/>
    <w:rsid w:val="003C1BB2"/>
    <w:rsid w:val="003C1BB3"/>
    <w:rsid w:val="003C1BDF"/>
    <w:rsid w:val="003C1C44"/>
    <w:rsid w:val="003C1C6A"/>
    <w:rsid w:val="003C1D53"/>
    <w:rsid w:val="003C1DC8"/>
    <w:rsid w:val="003C1E2C"/>
    <w:rsid w:val="003C1ED7"/>
    <w:rsid w:val="003C1F06"/>
    <w:rsid w:val="003C1F0B"/>
    <w:rsid w:val="003C1F54"/>
    <w:rsid w:val="003C1FD3"/>
    <w:rsid w:val="003C204D"/>
    <w:rsid w:val="003C20D2"/>
    <w:rsid w:val="003C2222"/>
    <w:rsid w:val="003C22D4"/>
    <w:rsid w:val="003C22FF"/>
    <w:rsid w:val="003C24A0"/>
    <w:rsid w:val="003C263D"/>
    <w:rsid w:val="003C2662"/>
    <w:rsid w:val="003C2682"/>
    <w:rsid w:val="003C26CC"/>
    <w:rsid w:val="003C270F"/>
    <w:rsid w:val="003C2819"/>
    <w:rsid w:val="003C2944"/>
    <w:rsid w:val="003C29FB"/>
    <w:rsid w:val="003C2AEC"/>
    <w:rsid w:val="003C2AFC"/>
    <w:rsid w:val="003C2BD4"/>
    <w:rsid w:val="003C2C96"/>
    <w:rsid w:val="003C2CBD"/>
    <w:rsid w:val="003C2D34"/>
    <w:rsid w:val="003C2E52"/>
    <w:rsid w:val="003C2E99"/>
    <w:rsid w:val="003C30E8"/>
    <w:rsid w:val="003C31FB"/>
    <w:rsid w:val="003C31FC"/>
    <w:rsid w:val="003C332C"/>
    <w:rsid w:val="003C3336"/>
    <w:rsid w:val="003C3342"/>
    <w:rsid w:val="003C33C4"/>
    <w:rsid w:val="003C34B8"/>
    <w:rsid w:val="003C34CD"/>
    <w:rsid w:val="003C3512"/>
    <w:rsid w:val="003C3644"/>
    <w:rsid w:val="003C36A6"/>
    <w:rsid w:val="003C36AE"/>
    <w:rsid w:val="003C3764"/>
    <w:rsid w:val="003C37DD"/>
    <w:rsid w:val="003C3839"/>
    <w:rsid w:val="003C3847"/>
    <w:rsid w:val="003C3884"/>
    <w:rsid w:val="003C3B8C"/>
    <w:rsid w:val="003C3C47"/>
    <w:rsid w:val="003C3CBD"/>
    <w:rsid w:val="003C3DDA"/>
    <w:rsid w:val="003C3EE0"/>
    <w:rsid w:val="003C3F42"/>
    <w:rsid w:val="003C3FB7"/>
    <w:rsid w:val="003C3FF0"/>
    <w:rsid w:val="003C406D"/>
    <w:rsid w:val="003C40CE"/>
    <w:rsid w:val="003C4182"/>
    <w:rsid w:val="003C422C"/>
    <w:rsid w:val="003C425F"/>
    <w:rsid w:val="003C4305"/>
    <w:rsid w:val="003C43EA"/>
    <w:rsid w:val="003C444F"/>
    <w:rsid w:val="003C44A8"/>
    <w:rsid w:val="003C45A6"/>
    <w:rsid w:val="003C4696"/>
    <w:rsid w:val="003C47C4"/>
    <w:rsid w:val="003C48EE"/>
    <w:rsid w:val="003C4B4F"/>
    <w:rsid w:val="003C4C12"/>
    <w:rsid w:val="003C4D59"/>
    <w:rsid w:val="003C4E32"/>
    <w:rsid w:val="003C5098"/>
    <w:rsid w:val="003C51D5"/>
    <w:rsid w:val="003C52B4"/>
    <w:rsid w:val="003C5300"/>
    <w:rsid w:val="003C535F"/>
    <w:rsid w:val="003C53C2"/>
    <w:rsid w:val="003C53C8"/>
    <w:rsid w:val="003C549B"/>
    <w:rsid w:val="003C55CE"/>
    <w:rsid w:val="003C574F"/>
    <w:rsid w:val="003C5779"/>
    <w:rsid w:val="003C579D"/>
    <w:rsid w:val="003C586A"/>
    <w:rsid w:val="003C589D"/>
    <w:rsid w:val="003C5A7E"/>
    <w:rsid w:val="003C5AB0"/>
    <w:rsid w:val="003C5B0B"/>
    <w:rsid w:val="003C5B73"/>
    <w:rsid w:val="003C5C70"/>
    <w:rsid w:val="003C5D4E"/>
    <w:rsid w:val="003C5DB3"/>
    <w:rsid w:val="003C5DF5"/>
    <w:rsid w:val="003C5EF1"/>
    <w:rsid w:val="003C5F02"/>
    <w:rsid w:val="003C5F34"/>
    <w:rsid w:val="003C5F35"/>
    <w:rsid w:val="003C5F69"/>
    <w:rsid w:val="003C60F5"/>
    <w:rsid w:val="003C61C6"/>
    <w:rsid w:val="003C6341"/>
    <w:rsid w:val="003C6354"/>
    <w:rsid w:val="003C63D3"/>
    <w:rsid w:val="003C63E6"/>
    <w:rsid w:val="003C6502"/>
    <w:rsid w:val="003C661F"/>
    <w:rsid w:val="003C6650"/>
    <w:rsid w:val="003C66A9"/>
    <w:rsid w:val="003C671E"/>
    <w:rsid w:val="003C6788"/>
    <w:rsid w:val="003C6844"/>
    <w:rsid w:val="003C693B"/>
    <w:rsid w:val="003C6965"/>
    <w:rsid w:val="003C6AE7"/>
    <w:rsid w:val="003C6C3D"/>
    <w:rsid w:val="003C6C7A"/>
    <w:rsid w:val="003C6C96"/>
    <w:rsid w:val="003C6CAF"/>
    <w:rsid w:val="003C6D21"/>
    <w:rsid w:val="003C6D8C"/>
    <w:rsid w:val="003C6E13"/>
    <w:rsid w:val="003C6E21"/>
    <w:rsid w:val="003C6F61"/>
    <w:rsid w:val="003C6FD3"/>
    <w:rsid w:val="003C706E"/>
    <w:rsid w:val="003C70F5"/>
    <w:rsid w:val="003C72E2"/>
    <w:rsid w:val="003C73C5"/>
    <w:rsid w:val="003C7401"/>
    <w:rsid w:val="003C7443"/>
    <w:rsid w:val="003C75B8"/>
    <w:rsid w:val="003C76A9"/>
    <w:rsid w:val="003C7707"/>
    <w:rsid w:val="003C773F"/>
    <w:rsid w:val="003C775C"/>
    <w:rsid w:val="003C77A2"/>
    <w:rsid w:val="003C7826"/>
    <w:rsid w:val="003C7937"/>
    <w:rsid w:val="003C7A36"/>
    <w:rsid w:val="003C7A86"/>
    <w:rsid w:val="003C7A9A"/>
    <w:rsid w:val="003C7AFC"/>
    <w:rsid w:val="003C7BDB"/>
    <w:rsid w:val="003C7C61"/>
    <w:rsid w:val="003C7D10"/>
    <w:rsid w:val="003C7D2B"/>
    <w:rsid w:val="003C7FA7"/>
    <w:rsid w:val="003C7FE2"/>
    <w:rsid w:val="003D014A"/>
    <w:rsid w:val="003D01F9"/>
    <w:rsid w:val="003D0473"/>
    <w:rsid w:val="003D0664"/>
    <w:rsid w:val="003D06C5"/>
    <w:rsid w:val="003D06F3"/>
    <w:rsid w:val="003D0709"/>
    <w:rsid w:val="003D091A"/>
    <w:rsid w:val="003D09A8"/>
    <w:rsid w:val="003D09BE"/>
    <w:rsid w:val="003D0B40"/>
    <w:rsid w:val="003D0B96"/>
    <w:rsid w:val="003D0BC7"/>
    <w:rsid w:val="003D0C48"/>
    <w:rsid w:val="003D0CBF"/>
    <w:rsid w:val="003D0CCF"/>
    <w:rsid w:val="003D0E47"/>
    <w:rsid w:val="003D0F0F"/>
    <w:rsid w:val="003D1082"/>
    <w:rsid w:val="003D10F0"/>
    <w:rsid w:val="003D1186"/>
    <w:rsid w:val="003D1190"/>
    <w:rsid w:val="003D11D9"/>
    <w:rsid w:val="003D11E7"/>
    <w:rsid w:val="003D11F7"/>
    <w:rsid w:val="003D1232"/>
    <w:rsid w:val="003D1271"/>
    <w:rsid w:val="003D139D"/>
    <w:rsid w:val="003D13B1"/>
    <w:rsid w:val="003D13B4"/>
    <w:rsid w:val="003D1405"/>
    <w:rsid w:val="003D1595"/>
    <w:rsid w:val="003D15AF"/>
    <w:rsid w:val="003D15C4"/>
    <w:rsid w:val="003D1670"/>
    <w:rsid w:val="003D16A5"/>
    <w:rsid w:val="003D16D4"/>
    <w:rsid w:val="003D18D6"/>
    <w:rsid w:val="003D1936"/>
    <w:rsid w:val="003D19AB"/>
    <w:rsid w:val="003D1A22"/>
    <w:rsid w:val="003D1A58"/>
    <w:rsid w:val="003D1B30"/>
    <w:rsid w:val="003D1B77"/>
    <w:rsid w:val="003D1BCE"/>
    <w:rsid w:val="003D1C16"/>
    <w:rsid w:val="003D1C75"/>
    <w:rsid w:val="003D1CED"/>
    <w:rsid w:val="003D1D76"/>
    <w:rsid w:val="003D1D83"/>
    <w:rsid w:val="003D1D99"/>
    <w:rsid w:val="003D1EA9"/>
    <w:rsid w:val="003D1F0F"/>
    <w:rsid w:val="003D1F1D"/>
    <w:rsid w:val="003D1FC3"/>
    <w:rsid w:val="003D2134"/>
    <w:rsid w:val="003D21B5"/>
    <w:rsid w:val="003D21C6"/>
    <w:rsid w:val="003D21D8"/>
    <w:rsid w:val="003D21F4"/>
    <w:rsid w:val="003D226A"/>
    <w:rsid w:val="003D2336"/>
    <w:rsid w:val="003D23F9"/>
    <w:rsid w:val="003D2458"/>
    <w:rsid w:val="003D2495"/>
    <w:rsid w:val="003D24D3"/>
    <w:rsid w:val="003D24F8"/>
    <w:rsid w:val="003D2523"/>
    <w:rsid w:val="003D26CF"/>
    <w:rsid w:val="003D26D0"/>
    <w:rsid w:val="003D26D3"/>
    <w:rsid w:val="003D2811"/>
    <w:rsid w:val="003D2941"/>
    <w:rsid w:val="003D2A06"/>
    <w:rsid w:val="003D2A87"/>
    <w:rsid w:val="003D2AF5"/>
    <w:rsid w:val="003D2C0A"/>
    <w:rsid w:val="003D2CA7"/>
    <w:rsid w:val="003D2CAB"/>
    <w:rsid w:val="003D2D0F"/>
    <w:rsid w:val="003D2E74"/>
    <w:rsid w:val="003D2E78"/>
    <w:rsid w:val="003D2F4D"/>
    <w:rsid w:val="003D2FC6"/>
    <w:rsid w:val="003D30E0"/>
    <w:rsid w:val="003D31B3"/>
    <w:rsid w:val="003D31BD"/>
    <w:rsid w:val="003D3216"/>
    <w:rsid w:val="003D321D"/>
    <w:rsid w:val="003D32B9"/>
    <w:rsid w:val="003D3300"/>
    <w:rsid w:val="003D3338"/>
    <w:rsid w:val="003D334A"/>
    <w:rsid w:val="003D3355"/>
    <w:rsid w:val="003D339F"/>
    <w:rsid w:val="003D33FB"/>
    <w:rsid w:val="003D348A"/>
    <w:rsid w:val="003D34E5"/>
    <w:rsid w:val="003D3529"/>
    <w:rsid w:val="003D3551"/>
    <w:rsid w:val="003D3698"/>
    <w:rsid w:val="003D3745"/>
    <w:rsid w:val="003D3832"/>
    <w:rsid w:val="003D397F"/>
    <w:rsid w:val="003D3B06"/>
    <w:rsid w:val="003D3C07"/>
    <w:rsid w:val="003D3C93"/>
    <w:rsid w:val="003D3E4F"/>
    <w:rsid w:val="003D3E8E"/>
    <w:rsid w:val="003D3EA4"/>
    <w:rsid w:val="003D3F2B"/>
    <w:rsid w:val="003D40A0"/>
    <w:rsid w:val="003D41D7"/>
    <w:rsid w:val="003D42A1"/>
    <w:rsid w:val="003D4397"/>
    <w:rsid w:val="003D43F0"/>
    <w:rsid w:val="003D4425"/>
    <w:rsid w:val="003D447A"/>
    <w:rsid w:val="003D44CB"/>
    <w:rsid w:val="003D4586"/>
    <w:rsid w:val="003D4605"/>
    <w:rsid w:val="003D485B"/>
    <w:rsid w:val="003D4A8E"/>
    <w:rsid w:val="003D4AA8"/>
    <w:rsid w:val="003D4AE3"/>
    <w:rsid w:val="003D4B45"/>
    <w:rsid w:val="003D4BE0"/>
    <w:rsid w:val="003D4C5F"/>
    <w:rsid w:val="003D4D3B"/>
    <w:rsid w:val="003D4D7D"/>
    <w:rsid w:val="003D4D91"/>
    <w:rsid w:val="003D4E77"/>
    <w:rsid w:val="003D4ED5"/>
    <w:rsid w:val="003D4EF1"/>
    <w:rsid w:val="003D4EFC"/>
    <w:rsid w:val="003D4EFD"/>
    <w:rsid w:val="003D4FC9"/>
    <w:rsid w:val="003D5023"/>
    <w:rsid w:val="003D515F"/>
    <w:rsid w:val="003D5162"/>
    <w:rsid w:val="003D53B3"/>
    <w:rsid w:val="003D53C6"/>
    <w:rsid w:val="003D543B"/>
    <w:rsid w:val="003D5485"/>
    <w:rsid w:val="003D550E"/>
    <w:rsid w:val="003D56BB"/>
    <w:rsid w:val="003D5724"/>
    <w:rsid w:val="003D5750"/>
    <w:rsid w:val="003D5788"/>
    <w:rsid w:val="003D57E4"/>
    <w:rsid w:val="003D58EA"/>
    <w:rsid w:val="003D58F1"/>
    <w:rsid w:val="003D58F6"/>
    <w:rsid w:val="003D5990"/>
    <w:rsid w:val="003D5A00"/>
    <w:rsid w:val="003D5A3C"/>
    <w:rsid w:val="003D5A3D"/>
    <w:rsid w:val="003D5AF0"/>
    <w:rsid w:val="003D5B01"/>
    <w:rsid w:val="003D5B1F"/>
    <w:rsid w:val="003D5B45"/>
    <w:rsid w:val="003D5C00"/>
    <w:rsid w:val="003D5CEC"/>
    <w:rsid w:val="003D5F3E"/>
    <w:rsid w:val="003D5F4D"/>
    <w:rsid w:val="003D5F6D"/>
    <w:rsid w:val="003D607C"/>
    <w:rsid w:val="003D608A"/>
    <w:rsid w:val="003D61D7"/>
    <w:rsid w:val="003D625F"/>
    <w:rsid w:val="003D62D7"/>
    <w:rsid w:val="003D635C"/>
    <w:rsid w:val="003D6398"/>
    <w:rsid w:val="003D6399"/>
    <w:rsid w:val="003D6407"/>
    <w:rsid w:val="003D6577"/>
    <w:rsid w:val="003D65AB"/>
    <w:rsid w:val="003D688A"/>
    <w:rsid w:val="003D689C"/>
    <w:rsid w:val="003D690C"/>
    <w:rsid w:val="003D6954"/>
    <w:rsid w:val="003D6B3C"/>
    <w:rsid w:val="003D6BC5"/>
    <w:rsid w:val="003D6BFB"/>
    <w:rsid w:val="003D6C17"/>
    <w:rsid w:val="003D6C29"/>
    <w:rsid w:val="003D6C2E"/>
    <w:rsid w:val="003D6C8B"/>
    <w:rsid w:val="003D6D4A"/>
    <w:rsid w:val="003D6F14"/>
    <w:rsid w:val="003D6F40"/>
    <w:rsid w:val="003D6F9E"/>
    <w:rsid w:val="003D6FDF"/>
    <w:rsid w:val="003D706C"/>
    <w:rsid w:val="003D70B4"/>
    <w:rsid w:val="003D7173"/>
    <w:rsid w:val="003D71F7"/>
    <w:rsid w:val="003D7224"/>
    <w:rsid w:val="003D735B"/>
    <w:rsid w:val="003D7417"/>
    <w:rsid w:val="003D74B8"/>
    <w:rsid w:val="003D74DC"/>
    <w:rsid w:val="003D7557"/>
    <w:rsid w:val="003D789C"/>
    <w:rsid w:val="003D7993"/>
    <w:rsid w:val="003D79BA"/>
    <w:rsid w:val="003D79F0"/>
    <w:rsid w:val="003D7A24"/>
    <w:rsid w:val="003D7A4A"/>
    <w:rsid w:val="003D7A58"/>
    <w:rsid w:val="003D7D1B"/>
    <w:rsid w:val="003D7D3E"/>
    <w:rsid w:val="003D7E35"/>
    <w:rsid w:val="003D7F07"/>
    <w:rsid w:val="003D7F21"/>
    <w:rsid w:val="003E0033"/>
    <w:rsid w:val="003E0124"/>
    <w:rsid w:val="003E01A2"/>
    <w:rsid w:val="003E0351"/>
    <w:rsid w:val="003E036D"/>
    <w:rsid w:val="003E0385"/>
    <w:rsid w:val="003E04C8"/>
    <w:rsid w:val="003E04D5"/>
    <w:rsid w:val="003E0505"/>
    <w:rsid w:val="003E0517"/>
    <w:rsid w:val="003E0558"/>
    <w:rsid w:val="003E05C4"/>
    <w:rsid w:val="003E05DC"/>
    <w:rsid w:val="003E064F"/>
    <w:rsid w:val="003E06BE"/>
    <w:rsid w:val="003E073E"/>
    <w:rsid w:val="003E0867"/>
    <w:rsid w:val="003E0871"/>
    <w:rsid w:val="003E0883"/>
    <w:rsid w:val="003E0888"/>
    <w:rsid w:val="003E088A"/>
    <w:rsid w:val="003E0996"/>
    <w:rsid w:val="003E09B7"/>
    <w:rsid w:val="003E09D8"/>
    <w:rsid w:val="003E0B95"/>
    <w:rsid w:val="003E0BFE"/>
    <w:rsid w:val="003E0D45"/>
    <w:rsid w:val="003E0D5F"/>
    <w:rsid w:val="003E0DDE"/>
    <w:rsid w:val="003E0E84"/>
    <w:rsid w:val="003E0F0E"/>
    <w:rsid w:val="003E114E"/>
    <w:rsid w:val="003E1226"/>
    <w:rsid w:val="003E1248"/>
    <w:rsid w:val="003E12F2"/>
    <w:rsid w:val="003E13D9"/>
    <w:rsid w:val="003E1469"/>
    <w:rsid w:val="003E148B"/>
    <w:rsid w:val="003E154D"/>
    <w:rsid w:val="003E1587"/>
    <w:rsid w:val="003E16DC"/>
    <w:rsid w:val="003E1905"/>
    <w:rsid w:val="003E1A80"/>
    <w:rsid w:val="003E1BC3"/>
    <w:rsid w:val="003E1C2C"/>
    <w:rsid w:val="003E1D40"/>
    <w:rsid w:val="003E1D55"/>
    <w:rsid w:val="003E1DEF"/>
    <w:rsid w:val="003E1EAE"/>
    <w:rsid w:val="003E1F4E"/>
    <w:rsid w:val="003E2215"/>
    <w:rsid w:val="003E222F"/>
    <w:rsid w:val="003E2231"/>
    <w:rsid w:val="003E22D1"/>
    <w:rsid w:val="003E23D0"/>
    <w:rsid w:val="003E2437"/>
    <w:rsid w:val="003E24F9"/>
    <w:rsid w:val="003E258C"/>
    <w:rsid w:val="003E25AC"/>
    <w:rsid w:val="003E2615"/>
    <w:rsid w:val="003E268C"/>
    <w:rsid w:val="003E26DE"/>
    <w:rsid w:val="003E2781"/>
    <w:rsid w:val="003E27D3"/>
    <w:rsid w:val="003E2864"/>
    <w:rsid w:val="003E2988"/>
    <w:rsid w:val="003E2A12"/>
    <w:rsid w:val="003E2A3F"/>
    <w:rsid w:val="003E2BAD"/>
    <w:rsid w:val="003E2BCE"/>
    <w:rsid w:val="003E2BDD"/>
    <w:rsid w:val="003E2C32"/>
    <w:rsid w:val="003E2D43"/>
    <w:rsid w:val="003E2E83"/>
    <w:rsid w:val="003E2F09"/>
    <w:rsid w:val="003E2F23"/>
    <w:rsid w:val="003E2F5C"/>
    <w:rsid w:val="003E2FB8"/>
    <w:rsid w:val="003E3032"/>
    <w:rsid w:val="003E3036"/>
    <w:rsid w:val="003E32B7"/>
    <w:rsid w:val="003E33A4"/>
    <w:rsid w:val="003E33D1"/>
    <w:rsid w:val="003E33DB"/>
    <w:rsid w:val="003E343F"/>
    <w:rsid w:val="003E346C"/>
    <w:rsid w:val="003E349B"/>
    <w:rsid w:val="003E34C8"/>
    <w:rsid w:val="003E3517"/>
    <w:rsid w:val="003E35F0"/>
    <w:rsid w:val="003E361F"/>
    <w:rsid w:val="003E368E"/>
    <w:rsid w:val="003E36A2"/>
    <w:rsid w:val="003E380F"/>
    <w:rsid w:val="003E3854"/>
    <w:rsid w:val="003E38BA"/>
    <w:rsid w:val="003E391A"/>
    <w:rsid w:val="003E39EF"/>
    <w:rsid w:val="003E3A6E"/>
    <w:rsid w:val="003E3AC3"/>
    <w:rsid w:val="003E3AF2"/>
    <w:rsid w:val="003E3B40"/>
    <w:rsid w:val="003E3B73"/>
    <w:rsid w:val="003E3C15"/>
    <w:rsid w:val="003E3C3C"/>
    <w:rsid w:val="003E3D26"/>
    <w:rsid w:val="003E3EF5"/>
    <w:rsid w:val="003E4021"/>
    <w:rsid w:val="003E415C"/>
    <w:rsid w:val="003E4192"/>
    <w:rsid w:val="003E41A6"/>
    <w:rsid w:val="003E43A4"/>
    <w:rsid w:val="003E4436"/>
    <w:rsid w:val="003E445C"/>
    <w:rsid w:val="003E446E"/>
    <w:rsid w:val="003E450B"/>
    <w:rsid w:val="003E45A0"/>
    <w:rsid w:val="003E4638"/>
    <w:rsid w:val="003E4664"/>
    <w:rsid w:val="003E46BA"/>
    <w:rsid w:val="003E46F9"/>
    <w:rsid w:val="003E473C"/>
    <w:rsid w:val="003E480F"/>
    <w:rsid w:val="003E48C7"/>
    <w:rsid w:val="003E499B"/>
    <w:rsid w:val="003E4A18"/>
    <w:rsid w:val="003E4B16"/>
    <w:rsid w:val="003E4B85"/>
    <w:rsid w:val="003E4B93"/>
    <w:rsid w:val="003E4D52"/>
    <w:rsid w:val="003E4DE7"/>
    <w:rsid w:val="003E501B"/>
    <w:rsid w:val="003E5030"/>
    <w:rsid w:val="003E526E"/>
    <w:rsid w:val="003E5281"/>
    <w:rsid w:val="003E52FC"/>
    <w:rsid w:val="003E5410"/>
    <w:rsid w:val="003E5413"/>
    <w:rsid w:val="003E5464"/>
    <w:rsid w:val="003E54E3"/>
    <w:rsid w:val="003E553D"/>
    <w:rsid w:val="003E55EC"/>
    <w:rsid w:val="003E575B"/>
    <w:rsid w:val="003E57AA"/>
    <w:rsid w:val="003E5803"/>
    <w:rsid w:val="003E5869"/>
    <w:rsid w:val="003E58E7"/>
    <w:rsid w:val="003E59D2"/>
    <w:rsid w:val="003E5A99"/>
    <w:rsid w:val="003E5B37"/>
    <w:rsid w:val="003E5B63"/>
    <w:rsid w:val="003E5B82"/>
    <w:rsid w:val="003E5BF5"/>
    <w:rsid w:val="003E5D24"/>
    <w:rsid w:val="003E5DA4"/>
    <w:rsid w:val="003E5E18"/>
    <w:rsid w:val="003E5E22"/>
    <w:rsid w:val="003E5F71"/>
    <w:rsid w:val="003E607E"/>
    <w:rsid w:val="003E60A3"/>
    <w:rsid w:val="003E60D1"/>
    <w:rsid w:val="003E614B"/>
    <w:rsid w:val="003E61E4"/>
    <w:rsid w:val="003E6280"/>
    <w:rsid w:val="003E62A9"/>
    <w:rsid w:val="003E62DA"/>
    <w:rsid w:val="003E62FA"/>
    <w:rsid w:val="003E63DE"/>
    <w:rsid w:val="003E6426"/>
    <w:rsid w:val="003E66A7"/>
    <w:rsid w:val="003E6700"/>
    <w:rsid w:val="003E6766"/>
    <w:rsid w:val="003E68A7"/>
    <w:rsid w:val="003E6903"/>
    <w:rsid w:val="003E6ADA"/>
    <w:rsid w:val="003E6AE6"/>
    <w:rsid w:val="003E6B0E"/>
    <w:rsid w:val="003E6B27"/>
    <w:rsid w:val="003E6DBC"/>
    <w:rsid w:val="003E6F9D"/>
    <w:rsid w:val="003E6FB1"/>
    <w:rsid w:val="003E714C"/>
    <w:rsid w:val="003E719F"/>
    <w:rsid w:val="003E71EA"/>
    <w:rsid w:val="003E7205"/>
    <w:rsid w:val="003E7333"/>
    <w:rsid w:val="003E73B3"/>
    <w:rsid w:val="003E73F6"/>
    <w:rsid w:val="003E7450"/>
    <w:rsid w:val="003E74A2"/>
    <w:rsid w:val="003E7536"/>
    <w:rsid w:val="003E7680"/>
    <w:rsid w:val="003E7696"/>
    <w:rsid w:val="003E76E3"/>
    <w:rsid w:val="003E7723"/>
    <w:rsid w:val="003E7743"/>
    <w:rsid w:val="003E776A"/>
    <w:rsid w:val="003E77BA"/>
    <w:rsid w:val="003E7832"/>
    <w:rsid w:val="003E789E"/>
    <w:rsid w:val="003E78B4"/>
    <w:rsid w:val="003E79C5"/>
    <w:rsid w:val="003E7AAF"/>
    <w:rsid w:val="003E7B3C"/>
    <w:rsid w:val="003E7B41"/>
    <w:rsid w:val="003E7CC7"/>
    <w:rsid w:val="003E7CF6"/>
    <w:rsid w:val="003E7D0A"/>
    <w:rsid w:val="003E7E78"/>
    <w:rsid w:val="003E7EEE"/>
    <w:rsid w:val="003E7F64"/>
    <w:rsid w:val="003F00C5"/>
    <w:rsid w:val="003F01DA"/>
    <w:rsid w:val="003F031F"/>
    <w:rsid w:val="003F0372"/>
    <w:rsid w:val="003F0417"/>
    <w:rsid w:val="003F0473"/>
    <w:rsid w:val="003F04DF"/>
    <w:rsid w:val="003F04F2"/>
    <w:rsid w:val="003F04F7"/>
    <w:rsid w:val="003F0553"/>
    <w:rsid w:val="003F06A4"/>
    <w:rsid w:val="003F06FD"/>
    <w:rsid w:val="003F071D"/>
    <w:rsid w:val="003F0857"/>
    <w:rsid w:val="003F08FE"/>
    <w:rsid w:val="003F091C"/>
    <w:rsid w:val="003F0927"/>
    <w:rsid w:val="003F0A4D"/>
    <w:rsid w:val="003F0AD9"/>
    <w:rsid w:val="003F0B71"/>
    <w:rsid w:val="003F0C0E"/>
    <w:rsid w:val="003F0C9D"/>
    <w:rsid w:val="003F0D15"/>
    <w:rsid w:val="003F0DC2"/>
    <w:rsid w:val="003F0E09"/>
    <w:rsid w:val="003F0E67"/>
    <w:rsid w:val="003F1004"/>
    <w:rsid w:val="003F101C"/>
    <w:rsid w:val="003F1052"/>
    <w:rsid w:val="003F107C"/>
    <w:rsid w:val="003F13C2"/>
    <w:rsid w:val="003F1464"/>
    <w:rsid w:val="003F159D"/>
    <w:rsid w:val="003F15B1"/>
    <w:rsid w:val="003F15C3"/>
    <w:rsid w:val="003F1649"/>
    <w:rsid w:val="003F16DD"/>
    <w:rsid w:val="003F1835"/>
    <w:rsid w:val="003F18A1"/>
    <w:rsid w:val="003F18F6"/>
    <w:rsid w:val="003F190C"/>
    <w:rsid w:val="003F1943"/>
    <w:rsid w:val="003F1A22"/>
    <w:rsid w:val="003F1A88"/>
    <w:rsid w:val="003F1DF5"/>
    <w:rsid w:val="003F1E38"/>
    <w:rsid w:val="003F1F2E"/>
    <w:rsid w:val="003F1F6C"/>
    <w:rsid w:val="003F2031"/>
    <w:rsid w:val="003F20F9"/>
    <w:rsid w:val="003F214A"/>
    <w:rsid w:val="003F214F"/>
    <w:rsid w:val="003F2165"/>
    <w:rsid w:val="003F2211"/>
    <w:rsid w:val="003F22AB"/>
    <w:rsid w:val="003F2302"/>
    <w:rsid w:val="003F2308"/>
    <w:rsid w:val="003F2314"/>
    <w:rsid w:val="003F2488"/>
    <w:rsid w:val="003F24CA"/>
    <w:rsid w:val="003F24E3"/>
    <w:rsid w:val="003F251D"/>
    <w:rsid w:val="003F2529"/>
    <w:rsid w:val="003F262C"/>
    <w:rsid w:val="003F2668"/>
    <w:rsid w:val="003F2757"/>
    <w:rsid w:val="003F27DB"/>
    <w:rsid w:val="003F288E"/>
    <w:rsid w:val="003F293D"/>
    <w:rsid w:val="003F2A77"/>
    <w:rsid w:val="003F2B06"/>
    <w:rsid w:val="003F2B2C"/>
    <w:rsid w:val="003F2B49"/>
    <w:rsid w:val="003F2B9D"/>
    <w:rsid w:val="003F2BDD"/>
    <w:rsid w:val="003F2C48"/>
    <w:rsid w:val="003F2D02"/>
    <w:rsid w:val="003F2D28"/>
    <w:rsid w:val="003F2F19"/>
    <w:rsid w:val="003F2F8D"/>
    <w:rsid w:val="003F2FB1"/>
    <w:rsid w:val="003F3066"/>
    <w:rsid w:val="003F30C2"/>
    <w:rsid w:val="003F30F4"/>
    <w:rsid w:val="003F3118"/>
    <w:rsid w:val="003F335A"/>
    <w:rsid w:val="003F33B5"/>
    <w:rsid w:val="003F347A"/>
    <w:rsid w:val="003F3490"/>
    <w:rsid w:val="003F3496"/>
    <w:rsid w:val="003F349F"/>
    <w:rsid w:val="003F351C"/>
    <w:rsid w:val="003F353A"/>
    <w:rsid w:val="003F3574"/>
    <w:rsid w:val="003F35E8"/>
    <w:rsid w:val="003F38DC"/>
    <w:rsid w:val="003F3976"/>
    <w:rsid w:val="003F39C6"/>
    <w:rsid w:val="003F3A19"/>
    <w:rsid w:val="003F3A31"/>
    <w:rsid w:val="003F3CF8"/>
    <w:rsid w:val="003F3D08"/>
    <w:rsid w:val="003F3E23"/>
    <w:rsid w:val="003F3E2C"/>
    <w:rsid w:val="003F3E7A"/>
    <w:rsid w:val="003F3F52"/>
    <w:rsid w:val="003F3F93"/>
    <w:rsid w:val="003F4185"/>
    <w:rsid w:val="003F4233"/>
    <w:rsid w:val="003F4433"/>
    <w:rsid w:val="003F444A"/>
    <w:rsid w:val="003F4733"/>
    <w:rsid w:val="003F4749"/>
    <w:rsid w:val="003F478F"/>
    <w:rsid w:val="003F4877"/>
    <w:rsid w:val="003F4919"/>
    <w:rsid w:val="003F4947"/>
    <w:rsid w:val="003F4997"/>
    <w:rsid w:val="003F4A41"/>
    <w:rsid w:val="003F4AA8"/>
    <w:rsid w:val="003F4AC4"/>
    <w:rsid w:val="003F4C4F"/>
    <w:rsid w:val="003F4C62"/>
    <w:rsid w:val="003F4CC3"/>
    <w:rsid w:val="003F4CD0"/>
    <w:rsid w:val="003F4E19"/>
    <w:rsid w:val="003F4F27"/>
    <w:rsid w:val="003F4FF6"/>
    <w:rsid w:val="003F5021"/>
    <w:rsid w:val="003F50D6"/>
    <w:rsid w:val="003F5295"/>
    <w:rsid w:val="003F52E2"/>
    <w:rsid w:val="003F52E5"/>
    <w:rsid w:val="003F5346"/>
    <w:rsid w:val="003F5348"/>
    <w:rsid w:val="003F53B4"/>
    <w:rsid w:val="003F53E1"/>
    <w:rsid w:val="003F540E"/>
    <w:rsid w:val="003F54AE"/>
    <w:rsid w:val="003F55DC"/>
    <w:rsid w:val="003F5679"/>
    <w:rsid w:val="003F56C7"/>
    <w:rsid w:val="003F5763"/>
    <w:rsid w:val="003F59EB"/>
    <w:rsid w:val="003F59FF"/>
    <w:rsid w:val="003F5A20"/>
    <w:rsid w:val="003F5A48"/>
    <w:rsid w:val="003F5A7E"/>
    <w:rsid w:val="003F5B35"/>
    <w:rsid w:val="003F5C28"/>
    <w:rsid w:val="003F5C46"/>
    <w:rsid w:val="003F5C4F"/>
    <w:rsid w:val="003F5DAD"/>
    <w:rsid w:val="003F5E17"/>
    <w:rsid w:val="003F5F3F"/>
    <w:rsid w:val="003F611D"/>
    <w:rsid w:val="003F61B3"/>
    <w:rsid w:val="003F61DD"/>
    <w:rsid w:val="003F6210"/>
    <w:rsid w:val="003F621C"/>
    <w:rsid w:val="003F627F"/>
    <w:rsid w:val="003F629A"/>
    <w:rsid w:val="003F630B"/>
    <w:rsid w:val="003F631D"/>
    <w:rsid w:val="003F6497"/>
    <w:rsid w:val="003F64D6"/>
    <w:rsid w:val="003F6514"/>
    <w:rsid w:val="003F6552"/>
    <w:rsid w:val="003F6655"/>
    <w:rsid w:val="003F67C8"/>
    <w:rsid w:val="003F67D8"/>
    <w:rsid w:val="003F6912"/>
    <w:rsid w:val="003F6946"/>
    <w:rsid w:val="003F69C2"/>
    <w:rsid w:val="003F69C3"/>
    <w:rsid w:val="003F69F5"/>
    <w:rsid w:val="003F6A7C"/>
    <w:rsid w:val="003F6B99"/>
    <w:rsid w:val="003F6BE0"/>
    <w:rsid w:val="003F6C82"/>
    <w:rsid w:val="003F6CF2"/>
    <w:rsid w:val="003F6D05"/>
    <w:rsid w:val="003F6D3C"/>
    <w:rsid w:val="003F6D5B"/>
    <w:rsid w:val="003F6D5F"/>
    <w:rsid w:val="003F7163"/>
    <w:rsid w:val="003F7171"/>
    <w:rsid w:val="003F71D4"/>
    <w:rsid w:val="003F7224"/>
    <w:rsid w:val="003F737A"/>
    <w:rsid w:val="003F73F2"/>
    <w:rsid w:val="003F7652"/>
    <w:rsid w:val="003F76F5"/>
    <w:rsid w:val="003F779E"/>
    <w:rsid w:val="003F77C5"/>
    <w:rsid w:val="003F77CF"/>
    <w:rsid w:val="003F782F"/>
    <w:rsid w:val="003F78E9"/>
    <w:rsid w:val="003F79AC"/>
    <w:rsid w:val="003F7AAB"/>
    <w:rsid w:val="003F7B11"/>
    <w:rsid w:val="003F7B92"/>
    <w:rsid w:val="003F7BAC"/>
    <w:rsid w:val="003F7C59"/>
    <w:rsid w:val="003F7C7B"/>
    <w:rsid w:val="003F7C99"/>
    <w:rsid w:val="003F7CC8"/>
    <w:rsid w:val="003F7D40"/>
    <w:rsid w:val="003F7E20"/>
    <w:rsid w:val="003F7E32"/>
    <w:rsid w:val="003F7F7A"/>
    <w:rsid w:val="003F7FC1"/>
    <w:rsid w:val="00400141"/>
    <w:rsid w:val="004001EB"/>
    <w:rsid w:val="00400524"/>
    <w:rsid w:val="004005A2"/>
    <w:rsid w:val="00400662"/>
    <w:rsid w:val="004006CA"/>
    <w:rsid w:val="004009C6"/>
    <w:rsid w:val="00400D26"/>
    <w:rsid w:val="00400D5A"/>
    <w:rsid w:val="00400DDE"/>
    <w:rsid w:val="00400E54"/>
    <w:rsid w:val="00400E8D"/>
    <w:rsid w:val="00400F78"/>
    <w:rsid w:val="004010B3"/>
    <w:rsid w:val="0040117F"/>
    <w:rsid w:val="00401255"/>
    <w:rsid w:val="0040147C"/>
    <w:rsid w:val="004015E5"/>
    <w:rsid w:val="004015F4"/>
    <w:rsid w:val="0040163C"/>
    <w:rsid w:val="004016C9"/>
    <w:rsid w:val="004016F8"/>
    <w:rsid w:val="004018A6"/>
    <w:rsid w:val="004018DF"/>
    <w:rsid w:val="00401995"/>
    <w:rsid w:val="0040199E"/>
    <w:rsid w:val="004019F3"/>
    <w:rsid w:val="00401B53"/>
    <w:rsid w:val="00401CD1"/>
    <w:rsid w:val="00401D85"/>
    <w:rsid w:val="00401E13"/>
    <w:rsid w:val="00401EF6"/>
    <w:rsid w:val="00402024"/>
    <w:rsid w:val="00402094"/>
    <w:rsid w:val="00402193"/>
    <w:rsid w:val="004021EF"/>
    <w:rsid w:val="00402293"/>
    <w:rsid w:val="00402382"/>
    <w:rsid w:val="004023A4"/>
    <w:rsid w:val="004023CF"/>
    <w:rsid w:val="004024D9"/>
    <w:rsid w:val="004024E2"/>
    <w:rsid w:val="004026BA"/>
    <w:rsid w:val="004026BC"/>
    <w:rsid w:val="00402769"/>
    <w:rsid w:val="0040276B"/>
    <w:rsid w:val="004027E3"/>
    <w:rsid w:val="004027E8"/>
    <w:rsid w:val="00402882"/>
    <w:rsid w:val="004028BC"/>
    <w:rsid w:val="004028EE"/>
    <w:rsid w:val="0040291E"/>
    <w:rsid w:val="00402997"/>
    <w:rsid w:val="00402A37"/>
    <w:rsid w:val="00402A4B"/>
    <w:rsid w:val="00402B7F"/>
    <w:rsid w:val="00402BD7"/>
    <w:rsid w:val="00402D51"/>
    <w:rsid w:val="00402E7E"/>
    <w:rsid w:val="00402EF4"/>
    <w:rsid w:val="00402F27"/>
    <w:rsid w:val="00402FE2"/>
    <w:rsid w:val="004030B2"/>
    <w:rsid w:val="004030EF"/>
    <w:rsid w:val="004031BC"/>
    <w:rsid w:val="00403267"/>
    <w:rsid w:val="00403388"/>
    <w:rsid w:val="00403474"/>
    <w:rsid w:val="004034B4"/>
    <w:rsid w:val="004034CC"/>
    <w:rsid w:val="004034EB"/>
    <w:rsid w:val="00403504"/>
    <w:rsid w:val="0040352F"/>
    <w:rsid w:val="00403551"/>
    <w:rsid w:val="004035A9"/>
    <w:rsid w:val="0040372E"/>
    <w:rsid w:val="00403741"/>
    <w:rsid w:val="004037AF"/>
    <w:rsid w:val="00403A0E"/>
    <w:rsid w:val="00403AA1"/>
    <w:rsid w:val="00403ACE"/>
    <w:rsid w:val="00403B1D"/>
    <w:rsid w:val="00403BB2"/>
    <w:rsid w:val="00403C3C"/>
    <w:rsid w:val="00403C58"/>
    <w:rsid w:val="00403CC5"/>
    <w:rsid w:val="00403CFD"/>
    <w:rsid w:val="00403DC0"/>
    <w:rsid w:val="00403E18"/>
    <w:rsid w:val="00403F7A"/>
    <w:rsid w:val="00403FAE"/>
    <w:rsid w:val="0040401B"/>
    <w:rsid w:val="0040401E"/>
    <w:rsid w:val="0040426F"/>
    <w:rsid w:val="004042B3"/>
    <w:rsid w:val="004042D5"/>
    <w:rsid w:val="004042FC"/>
    <w:rsid w:val="00404430"/>
    <w:rsid w:val="00404449"/>
    <w:rsid w:val="004044F7"/>
    <w:rsid w:val="0040456A"/>
    <w:rsid w:val="00404641"/>
    <w:rsid w:val="00404752"/>
    <w:rsid w:val="00404919"/>
    <w:rsid w:val="00404B5F"/>
    <w:rsid w:val="00404C70"/>
    <w:rsid w:val="00404EE9"/>
    <w:rsid w:val="004050A5"/>
    <w:rsid w:val="00405109"/>
    <w:rsid w:val="004052D9"/>
    <w:rsid w:val="0040534F"/>
    <w:rsid w:val="004053C3"/>
    <w:rsid w:val="004053E3"/>
    <w:rsid w:val="004053FC"/>
    <w:rsid w:val="0040560C"/>
    <w:rsid w:val="00405669"/>
    <w:rsid w:val="004056D0"/>
    <w:rsid w:val="004056D7"/>
    <w:rsid w:val="00405823"/>
    <w:rsid w:val="004058E5"/>
    <w:rsid w:val="004058E6"/>
    <w:rsid w:val="0040592A"/>
    <w:rsid w:val="0040593F"/>
    <w:rsid w:val="004059C9"/>
    <w:rsid w:val="00405A60"/>
    <w:rsid w:val="00405C28"/>
    <w:rsid w:val="00405C61"/>
    <w:rsid w:val="00405C73"/>
    <w:rsid w:val="00405DD5"/>
    <w:rsid w:val="00405E22"/>
    <w:rsid w:val="00405E2E"/>
    <w:rsid w:val="00405EE1"/>
    <w:rsid w:val="00405F6D"/>
    <w:rsid w:val="00405FC1"/>
    <w:rsid w:val="00406087"/>
    <w:rsid w:val="004060C0"/>
    <w:rsid w:val="004062B6"/>
    <w:rsid w:val="00406628"/>
    <w:rsid w:val="0040666A"/>
    <w:rsid w:val="004066B7"/>
    <w:rsid w:val="004066E1"/>
    <w:rsid w:val="004066F1"/>
    <w:rsid w:val="00406741"/>
    <w:rsid w:val="00406819"/>
    <w:rsid w:val="00406826"/>
    <w:rsid w:val="0040685E"/>
    <w:rsid w:val="004068BE"/>
    <w:rsid w:val="00406911"/>
    <w:rsid w:val="0040693C"/>
    <w:rsid w:val="0040695F"/>
    <w:rsid w:val="0040698E"/>
    <w:rsid w:val="004069FB"/>
    <w:rsid w:val="00406A14"/>
    <w:rsid w:val="00406AFC"/>
    <w:rsid w:val="00406B25"/>
    <w:rsid w:val="00406B79"/>
    <w:rsid w:val="00406C66"/>
    <w:rsid w:val="00406D23"/>
    <w:rsid w:val="00406D63"/>
    <w:rsid w:val="00406EAB"/>
    <w:rsid w:val="00406ECA"/>
    <w:rsid w:val="00407025"/>
    <w:rsid w:val="00407041"/>
    <w:rsid w:val="00407092"/>
    <w:rsid w:val="00407134"/>
    <w:rsid w:val="0040715C"/>
    <w:rsid w:val="00407208"/>
    <w:rsid w:val="0040720D"/>
    <w:rsid w:val="004072E2"/>
    <w:rsid w:val="004073DF"/>
    <w:rsid w:val="00407459"/>
    <w:rsid w:val="00407481"/>
    <w:rsid w:val="004074C4"/>
    <w:rsid w:val="00407552"/>
    <w:rsid w:val="004076DF"/>
    <w:rsid w:val="004076E0"/>
    <w:rsid w:val="0040774F"/>
    <w:rsid w:val="00407760"/>
    <w:rsid w:val="00407863"/>
    <w:rsid w:val="00407894"/>
    <w:rsid w:val="004078AC"/>
    <w:rsid w:val="004078CF"/>
    <w:rsid w:val="00407A0D"/>
    <w:rsid w:val="00407A5D"/>
    <w:rsid w:val="00407A64"/>
    <w:rsid w:val="00407C00"/>
    <w:rsid w:val="00407C5E"/>
    <w:rsid w:val="00407D73"/>
    <w:rsid w:val="00407DC1"/>
    <w:rsid w:val="00407DE3"/>
    <w:rsid w:val="00407E04"/>
    <w:rsid w:val="00407EAC"/>
    <w:rsid w:val="00407F2E"/>
    <w:rsid w:val="00410041"/>
    <w:rsid w:val="004102B0"/>
    <w:rsid w:val="0041056F"/>
    <w:rsid w:val="004105C0"/>
    <w:rsid w:val="00410632"/>
    <w:rsid w:val="0041068B"/>
    <w:rsid w:val="004106A8"/>
    <w:rsid w:val="004107A7"/>
    <w:rsid w:val="0041083E"/>
    <w:rsid w:val="00410854"/>
    <w:rsid w:val="0041086C"/>
    <w:rsid w:val="00410885"/>
    <w:rsid w:val="004108CC"/>
    <w:rsid w:val="0041097B"/>
    <w:rsid w:val="004109D9"/>
    <w:rsid w:val="00410A40"/>
    <w:rsid w:val="00410B87"/>
    <w:rsid w:val="00410BCA"/>
    <w:rsid w:val="00410CD4"/>
    <w:rsid w:val="00410DAE"/>
    <w:rsid w:val="00410DD4"/>
    <w:rsid w:val="00410E09"/>
    <w:rsid w:val="00410F4B"/>
    <w:rsid w:val="00410FBB"/>
    <w:rsid w:val="00410FD1"/>
    <w:rsid w:val="0041109E"/>
    <w:rsid w:val="00411232"/>
    <w:rsid w:val="0041130E"/>
    <w:rsid w:val="0041132E"/>
    <w:rsid w:val="00411655"/>
    <w:rsid w:val="00411791"/>
    <w:rsid w:val="00411871"/>
    <w:rsid w:val="0041190C"/>
    <w:rsid w:val="004119E5"/>
    <w:rsid w:val="00411A04"/>
    <w:rsid w:val="00411A7D"/>
    <w:rsid w:val="00411B8E"/>
    <w:rsid w:val="00411BB9"/>
    <w:rsid w:val="00411BFE"/>
    <w:rsid w:val="00411C01"/>
    <w:rsid w:val="00411C3F"/>
    <w:rsid w:val="00411C5D"/>
    <w:rsid w:val="00411CC8"/>
    <w:rsid w:val="00411D6C"/>
    <w:rsid w:val="00411DBE"/>
    <w:rsid w:val="00411EBD"/>
    <w:rsid w:val="00411ED1"/>
    <w:rsid w:val="00411EE9"/>
    <w:rsid w:val="00411F1D"/>
    <w:rsid w:val="00411F3D"/>
    <w:rsid w:val="004120BA"/>
    <w:rsid w:val="004120D6"/>
    <w:rsid w:val="00412133"/>
    <w:rsid w:val="00412165"/>
    <w:rsid w:val="00412181"/>
    <w:rsid w:val="00412219"/>
    <w:rsid w:val="0041222E"/>
    <w:rsid w:val="00412245"/>
    <w:rsid w:val="004122C0"/>
    <w:rsid w:val="0041234B"/>
    <w:rsid w:val="004123CB"/>
    <w:rsid w:val="004123D2"/>
    <w:rsid w:val="0041250A"/>
    <w:rsid w:val="004126A9"/>
    <w:rsid w:val="004126C2"/>
    <w:rsid w:val="00412B8A"/>
    <w:rsid w:val="00412C76"/>
    <w:rsid w:val="00412CB7"/>
    <w:rsid w:val="00412CD9"/>
    <w:rsid w:val="00412D04"/>
    <w:rsid w:val="00412D42"/>
    <w:rsid w:val="00412DF1"/>
    <w:rsid w:val="00412E49"/>
    <w:rsid w:val="00412F0C"/>
    <w:rsid w:val="00412F4E"/>
    <w:rsid w:val="00413007"/>
    <w:rsid w:val="00413075"/>
    <w:rsid w:val="00413076"/>
    <w:rsid w:val="00413313"/>
    <w:rsid w:val="00413349"/>
    <w:rsid w:val="00413369"/>
    <w:rsid w:val="00413485"/>
    <w:rsid w:val="00413501"/>
    <w:rsid w:val="00413529"/>
    <w:rsid w:val="004136AC"/>
    <w:rsid w:val="0041374D"/>
    <w:rsid w:val="004137E5"/>
    <w:rsid w:val="00413950"/>
    <w:rsid w:val="0041396C"/>
    <w:rsid w:val="004139A9"/>
    <w:rsid w:val="004139B2"/>
    <w:rsid w:val="00413A1D"/>
    <w:rsid w:val="00413A52"/>
    <w:rsid w:val="00413A7A"/>
    <w:rsid w:val="00413B24"/>
    <w:rsid w:val="00413B54"/>
    <w:rsid w:val="00413C22"/>
    <w:rsid w:val="00413C47"/>
    <w:rsid w:val="00413CF9"/>
    <w:rsid w:val="00413EF5"/>
    <w:rsid w:val="00413F90"/>
    <w:rsid w:val="00413FAF"/>
    <w:rsid w:val="00413FFC"/>
    <w:rsid w:val="00414007"/>
    <w:rsid w:val="0041411A"/>
    <w:rsid w:val="004141B4"/>
    <w:rsid w:val="00414205"/>
    <w:rsid w:val="0041430A"/>
    <w:rsid w:val="0041433A"/>
    <w:rsid w:val="004143E4"/>
    <w:rsid w:val="004144A1"/>
    <w:rsid w:val="0041477C"/>
    <w:rsid w:val="0041479F"/>
    <w:rsid w:val="004147BD"/>
    <w:rsid w:val="00414B0E"/>
    <w:rsid w:val="00414B4B"/>
    <w:rsid w:val="00414C5C"/>
    <w:rsid w:val="00414C6A"/>
    <w:rsid w:val="00414C6F"/>
    <w:rsid w:val="00414CC0"/>
    <w:rsid w:val="00414D0B"/>
    <w:rsid w:val="00414D39"/>
    <w:rsid w:val="00414D69"/>
    <w:rsid w:val="00414DAB"/>
    <w:rsid w:val="00415048"/>
    <w:rsid w:val="004151AB"/>
    <w:rsid w:val="004151E0"/>
    <w:rsid w:val="00415263"/>
    <w:rsid w:val="00415373"/>
    <w:rsid w:val="00415505"/>
    <w:rsid w:val="00415526"/>
    <w:rsid w:val="0041555D"/>
    <w:rsid w:val="00415625"/>
    <w:rsid w:val="0041575D"/>
    <w:rsid w:val="0041576E"/>
    <w:rsid w:val="004158BC"/>
    <w:rsid w:val="00415951"/>
    <w:rsid w:val="00415A69"/>
    <w:rsid w:val="00415A77"/>
    <w:rsid w:val="00415C1B"/>
    <w:rsid w:val="00415C2F"/>
    <w:rsid w:val="00415CC0"/>
    <w:rsid w:val="00415ECA"/>
    <w:rsid w:val="00415EE4"/>
    <w:rsid w:val="00415F11"/>
    <w:rsid w:val="00415F2B"/>
    <w:rsid w:val="00415F30"/>
    <w:rsid w:val="00415F5A"/>
    <w:rsid w:val="0041619C"/>
    <w:rsid w:val="0041619D"/>
    <w:rsid w:val="0041621D"/>
    <w:rsid w:val="00416508"/>
    <w:rsid w:val="0041668E"/>
    <w:rsid w:val="0041674F"/>
    <w:rsid w:val="0041677D"/>
    <w:rsid w:val="0041680E"/>
    <w:rsid w:val="00416A09"/>
    <w:rsid w:val="00416A59"/>
    <w:rsid w:val="00416AA8"/>
    <w:rsid w:val="00416B1A"/>
    <w:rsid w:val="00416C27"/>
    <w:rsid w:val="00416CA4"/>
    <w:rsid w:val="00416DB2"/>
    <w:rsid w:val="00416DE9"/>
    <w:rsid w:val="0041700B"/>
    <w:rsid w:val="0041708B"/>
    <w:rsid w:val="004170B0"/>
    <w:rsid w:val="0041711C"/>
    <w:rsid w:val="00417159"/>
    <w:rsid w:val="00417163"/>
    <w:rsid w:val="00417205"/>
    <w:rsid w:val="0041731F"/>
    <w:rsid w:val="0041740D"/>
    <w:rsid w:val="004175CE"/>
    <w:rsid w:val="00417641"/>
    <w:rsid w:val="004176EC"/>
    <w:rsid w:val="004177BD"/>
    <w:rsid w:val="00417AFA"/>
    <w:rsid w:val="00417B1A"/>
    <w:rsid w:val="00417B67"/>
    <w:rsid w:val="00417C5B"/>
    <w:rsid w:val="00417C6C"/>
    <w:rsid w:val="00417F98"/>
    <w:rsid w:val="00417FDD"/>
    <w:rsid w:val="00420062"/>
    <w:rsid w:val="0042006C"/>
    <w:rsid w:val="00420109"/>
    <w:rsid w:val="0042014F"/>
    <w:rsid w:val="00420205"/>
    <w:rsid w:val="00420249"/>
    <w:rsid w:val="00420273"/>
    <w:rsid w:val="004202E0"/>
    <w:rsid w:val="0042033E"/>
    <w:rsid w:val="00420350"/>
    <w:rsid w:val="00420454"/>
    <w:rsid w:val="0042050D"/>
    <w:rsid w:val="00420586"/>
    <w:rsid w:val="004205DE"/>
    <w:rsid w:val="004206F9"/>
    <w:rsid w:val="00420719"/>
    <w:rsid w:val="00420728"/>
    <w:rsid w:val="004207E0"/>
    <w:rsid w:val="0042091D"/>
    <w:rsid w:val="004209C1"/>
    <w:rsid w:val="004209C5"/>
    <w:rsid w:val="00420BE9"/>
    <w:rsid w:val="00420C1A"/>
    <w:rsid w:val="00420C94"/>
    <w:rsid w:val="00420C97"/>
    <w:rsid w:val="00420CBB"/>
    <w:rsid w:val="00420CCB"/>
    <w:rsid w:val="00420CF5"/>
    <w:rsid w:val="00420DFE"/>
    <w:rsid w:val="00420E06"/>
    <w:rsid w:val="00420E5C"/>
    <w:rsid w:val="00420FDC"/>
    <w:rsid w:val="004210B0"/>
    <w:rsid w:val="00421137"/>
    <w:rsid w:val="004211C5"/>
    <w:rsid w:val="00421219"/>
    <w:rsid w:val="00421225"/>
    <w:rsid w:val="004212DF"/>
    <w:rsid w:val="004212FA"/>
    <w:rsid w:val="00421317"/>
    <w:rsid w:val="00421413"/>
    <w:rsid w:val="0042144C"/>
    <w:rsid w:val="004214F5"/>
    <w:rsid w:val="004215B3"/>
    <w:rsid w:val="004215CD"/>
    <w:rsid w:val="00421669"/>
    <w:rsid w:val="00421752"/>
    <w:rsid w:val="004217C1"/>
    <w:rsid w:val="00421880"/>
    <w:rsid w:val="00421973"/>
    <w:rsid w:val="00421A20"/>
    <w:rsid w:val="00421A3E"/>
    <w:rsid w:val="00421A6F"/>
    <w:rsid w:val="00421BF9"/>
    <w:rsid w:val="00421C13"/>
    <w:rsid w:val="00421D0F"/>
    <w:rsid w:val="00421E15"/>
    <w:rsid w:val="00421E61"/>
    <w:rsid w:val="00421EDA"/>
    <w:rsid w:val="00421EDB"/>
    <w:rsid w:val="00421EFD"/>
    <w:rsid w:val="00422036"/>
    <w:rsid w:val="0042203F"/>
    <w:rsid w:val="004220C2"/>
    <w:rsid w:val="00422232"/>
    <w:rsid w:val="00422363"/>
    <w:rsid w:val="004224FF"/>
    <w:rsid w:val="004225D4"/>
    <w:rsid w:val="004226F9"/>
    <w:rsid w:val="004227B2"/>
    <w:rsid w:val="004228B0"/>
    <w:rsid w:val="00422922"/>
    <w:rsid w:val="00422B92"/>
    <w:rsid w:val="00422D43"/>
    <w:rsid w:val="00422D53"/>
    <w:rsid w:val="00422E11"/>
    <w:rsid w:val="00422FF8"/>
    <w:rsid w:val="00423048"/>
    <w:rsid w:val="00423096"/>
    <w:rsid w:val="0042313D"/>
    <w:rsid w:val="00423160"/>
    <w:rsid w:val="004231D5"/>
    <w:rsid w:val="00423231"/>
    <w:rsid w:val="00423404"/>
    <w:rsid w:val="004234C5"/>
    <w:rsid w:val="004235D6"/>
    <w:rsid w:val="00423612"/>
    <w:rsid w:val="00423738"/>
    <w:rsid w:val="00423796"/>
    <w:rsid w:val="004238DB"/>
    <w:rsid w:val="0042390F"/>
    <w:rsid w:val="00423A46"/>
    <w:rsid w:val="00423A5B"/>
    <w:rsid w:val="00423AC1"/>
    <w:rsid w:val="00423AEF"/>
    <w:rsid w:val="00423CDC"/>
    <w:rsid w:val="00423CFE"/>
    <w:rsid w:val="00423E5C"/>
    <w:rsid w:val="00423F6A"/>
    <w:rsid w:val="00424095"/>
    <w:rsid w:val="004240DC"/>
    <w:rsid w:val="004241F0"/>
    <w:rsid w:val="004242CF"/>
    <w:rsid w:val="00424300"/>
    <w:rsid w:val="004243A9"/>
    <w:rsid w:val="004243EE"/>
    <w:rsid w:val="00424412"/>
    <w:rsid w:val="004244BF"/>
    <w:rsid w:val="00424566"/>
    <w:rsid w:val="004245F2"/>
    <w:rsid w:val="00424628"/>
    <w:rsid w:val="00424631"/>
    <w:rsid w:val="00424827"/>
    <w:rsid w:val="004248B3"/>
    <w:rsid w:val="004248F6"/>
    <w:rsid w:val="00424940"/>
    <w:rsid w:val="00424A6B"/>
    <w:rsid w:val="00424A70"/>
    <w:rsid w:val="00424B15"/>
    <w:rsid w:val="00424C2B"/>
    <w:rsid w:val="00424C3D"/>
    <w:rsid w:val="00424D2C"/>
    <w:rsid w:val="00424D51"/>
    <w:rsid w:val="00424D62"/>
    <w:rsid w:val="00424DB0"/>
    <w:rsid w:val="00424DD9"/>
    <w:rsid w:val="00424F02"/>
    <w:rsid w:val="00425100"/>
    <w:rsid w:val="004251CD"/>
    <w:rsid w:val="004251D1"/>
    <w:rsid w:val="00425210"/>
    <w:rsid w:val="0042529B"/>
    <w:rsid w:val="004252B7"/>
    <w:rsid w:val="004252CC"/>
    <w:rsid w:val="004253A8"/>
    <w:rsid w:val="004254BC"/>
    <w:rsid w:val="0042554E"/>
    <w:rsid w:val="004255DA"/>
    <w:rsid w:val="00425750"/>
    <w:rsid w:val="0042582B"/>
    <w:rsid w:val="004258C7"/>
    <w:rsid w:val="00425921"/>
    <w:rsid w:val="00425985"/>
    <w:rsid w:val="00425AB7"/>
    <w:rsid w:val="00425ADA"/>
    <w:rsid w:val="00425AE2"/>
    <w:rsid w:val="00425AFF"/>
    <w:rsid w:val="00425B15"/>
    <w:rsid w:val="00425B1E"/>
    <w:rsid w:val="00425BCA"/>
    <w:rsid w:val="00425BE2"/>
    <w:rsid w:val="00425CD7"/>
    <w:rsid w:val="00425E48"/>
    <w:rsid w:val="00425E96"/>
    <w:rsid w:val="00425F7C"/>
    <w:rsid w:val="00425FA3"/>
    <w:rsid w:val="00425FB6"/>
    <w:rsid w:val="0042606A"/>
    <w:rsid w:val="004260C9"/>
    <w:rsid w:val="004260FB"/>
    <w:rsid w:val="004262CB"/>
    <w:rsid w:val="00426677"/>
    <w:rsid w:val="0042668D"/>
    <w:rsid w:val="0042686A"/>
    <w:rsid w:val="0042693C"/>
    <w:rsid w:val="00426961"/>
    <w:rsid w:val="004269E8"/>
    <w:rsid w:val="004269EE"/>
    <w:rsid w:val="00426AEC"/>
    <w:rsid w:val="00426B19"/>
    <w:rsid w:val="00426BB0"/>
    <w:rsid w:val="00426C67"/>
    <w:rsid w:val="00426CDB"/>
    <w:rsid w:val="00426E2E"/>
    <w:rsid w:val="00426FBE"/>
    <w:rsid w:val="00427096"/>
    <w:rsid w:val="004270A1"/>
    <w:rsid w:val="00427137"/>
    <w:rsid w:val="00427188"/>
    <w:rsid w:val="00427287"/>
    <w:rsid w:val="00427300"/>
    <w:rsid w:val="00427434"/>
    <w:rsid w:val="00427661"/>
    <w:rsid w:val="004276EA"/>
    <w:rsid w:val="00427782"/>
    <w:rsid w:val="004277BB"/>
    <w:rsid w:val="00427866"/>
    <w:rsid w:val="004278F8"/>
    <w:rsid w:val="004279AE"/>
    <w:rsid w:val="004279FC"/>
    <w:rsid w:val="00427A09"/>
    <w:rsid w:val="00427A8E"/>
    <w:rsid w:val="00427AC0"/>
    <w:rsid w:val="00427AF4"/>
    <w:rsid w:val="00427E2C"/>
    <w:rsid w:val="00427E3A"/>
    <w:rsid w:val="00427EED"/>
    <w:rsid w:val="00427FAF"/>
    <w:rsid w:val="00427FC7"/>
    <w:rsid w:val="00427FCA"/>
    <w:rsid w:val="0043001B"/>
    <w:rsid w:val="004300D5"/>
    <w:rsid w:val="004300ED"/>
    <w:rsid w:val="0043011E"/>
    <w:rsid w:val="0043017D"/>
    <w:rsid w:val="0043018A"/>
    <w:rsid w:val="00430224"/>
    <w:rsid w:val="00430284"/>
    <w:rsid w:val="004302DA"/>
    <w:rsid w:val="004304D1"/>
    <w:rsid w:val="004304D5"/>
    <w:rsid w:val="0043066E"/>
    <w:rsid w:val="004307AB"/>
    <w:rsid w:val="004307EC"/>
    <w:rsid w:val="00430829"/>
    <w:rsid w:val="004309C2"/>
    <w:rsid w:val="00430A6C"/>
    <w:rsid w:val="00430A72"/>
    <w:rsid w:val="00430AAB"/>
    <w:rsid w:val="00430ADE"/>
    <w:rsid w:val="00430AEE"/>
    <w:rsid w:val="00430B36"/>
    <w:rsid w:val="00430B78"/>
    <w:rsid w:val="00430C87"/>
    <w:rsid w:val="00430E1C"/>
    <w:rsid w:val="00430F17"/>
    <w:rsid w:val="00430F2A"/>
    <w:rsid w:val="00430F74"/>
    <w:rsid w:val="00430FC1"/>
    <w:rsid w:val="00430FC2"/>
    <w:rsid w:val="00430FFB"/>
    <w:rsid w:val="0043112A"/>
    <w:rsid w:val="00431159"/>
    <w:rsid w:val="00431175"/>
    <w:rsid w:val="00431258"/>
    <w:rsid w:val="004312D8"/>
    <w:rsid w:val="0043131F"/>
    <w:rsid w:val="00431437"/>
    <w:rsid w:val="004314E7"/>
    <w:rsid w:val="004314ED"/>
    <w:rsid w:val="00431525"/>
    <w:rsid w:val="00431589"/>
    <w:rsid w:val="0043163B"/>
    <w:rsid w:val="00431681"/>
    <w:rsid w:val="00431705"/>
    <w:rsid w:val="004317D8"/>
    <w:rsid w:val="0043191B"/>
    <w:rsid w:val="00431A24"/>
    <w:rsid w:val="00431D10"/>
    <w:rsid w:val="00431D58"/>
    <w:rsid w:val="00431DAF"/>
    <w:rsid w:val="00431E4E"/>
    <w:rsid w:val="00431F7F"/>
    <w:rsid w:val="00431F92"/>
    <w:rsid w:val="00432033"/>
    <w:rsid w:val="0043214F"/>
    <w:rsid w:val="004321C9"/>
    <w:rsid w:val="004321E7"/>
    <w:rsid w:val="0043224A"/>
    <w:rsid w:val="00432319"/>
    <w:rsid w:val="00432321"/>
    <w:rsid w:val="00432333"/>
    <w:rsid w:val="00432429"/>
    <w:rsid w:val="004325A6"/>
    <w:rsid w:val="00432667"/>
    <w:rsid w:val="00432785"/>
    <w:rsid w:val="004329D4"/>
    <w:rsid w:val="00432B43"/>
    <w:rsid w:val="00432C6F"/>
    <w:rsid w:val="00432E5C"/>
    <w:rsid w:val="00432EAE"/>
    <w:rsid w:val="00432F38"/>
    <w:rsid w:val="00432FBA"/>
    <w:rsid w:val="00432FDB"/>
    <w:rsid w:val="00432FE0"/>
    <w:rsid w:val="00433182"/>
    <w:rsid w:val="004331C0"/>
    <w:rsid w:val="004332EF"/>
    <w:rsid w:val="0043335A"/>
    <w:rsid w:val="004334E9"/>
    <w:rsid w:val="004334F3"/>
    <w:rsid w:val="004334FF"/>
    <w:rsid w:val="00433539"/>
    <w:rsid w:val="00433595"/>
    <w:rsid w:val="00433619"/>
    <w:rsid w:val="0043369C"/>
    <w:rsid w:val="0043376F"/>
    <w:rsid w:val="00433A03"/>
    <w:rsid w:val="00433A4C"/>
    <w:rsid w:val="00433AD5"/>
    <w:rsid w:val="00433B45"/>
    <w:rsid w:val="00433BD4"/>
    <w:rsid w:val="00433C05"/>
    <w:rsid w:val="00433C40"/>
    <w:rsid w:val="00433D53"/>
    <w:rsid w:val="00433DE4"/>
    <w:rsid w:val="00433DF9"/>
    <w:rsid w:val="00433EB5"/>
    <w:rsid w:val="00433FF6"/>
    <w:rsid w:val="00434072"/>
    <w:rsid w:val="00434085"/>
    <w:rsid w:val="00434503"/>
    <w:rsid w:val="00434542"/>
    <w:rsid w:val="0043454F"/>
    <w:rsid w:val="00434564"/>
    <w:rsid w:val="00434591"/>
    <w:rsid w:val="00434611"/>
    <w:rsid w:val="00434626"/>
    <w:rsid w:val="004346F4"/>
    <w:rsid w:val="0043470B"/>
    <w:rsid w:val="004347B9"/>
    <w:rsid w:val="004347C5"/>
    <w:rsid w:val="00434840"/>
    <w:rsid w:val="004349F1"/>
    <w:rsid w:val="00434AE7"/>
    <w:rsid w:val="00434C8A"/>
    <w:rsid w:val="00434CBC"/>
    <w:rsid w:val="00434CD5"/>
    <w:rsid w:val="00434DB8"/>
    <w:rsid w:val="00434E7D"/>
    <w:rsid w:val="00434F2F"/>
    <w:rsid w:val="00434FC3"/>
    <w:rsid w:val="00434FFA"/>
    <w:rsid w:val="0043509B"/>
    <w:rsid w:val="00435166"/>
    <w:rsid w:val="00435333"/>
    <w:rsid w:val="0043536A"/>
    <w:rsid w:val="004353F7"/>
    <w:rsid w:val="0043544A"/>
    <w:rsid w:val="00435514"/>
    <w:rsid w:val="00435585"/>
    <w:rsid w:val="004355A9"/>
    <w:rsid w:val="004355B0"/>
    <w:rsid w:val="00435667"/>
    <w:rsid w:val="00435672"/>
    <w:rsid w:val="004356D2"/>
    <w:rsid w:val="00435713"/>
    <w:rsid w:val="00435766"/>
    <w:rsid w:val="00435783"/>
    <w:rsid w:val="004357CD"/>
    <w:rsid w:val="004358C7"/>
    <w:rsid w:val="0043596E"/>
    <w:rsid w:val="004359F3"/>
    <w:rsid w:val="00435ABC"/>
    <w:rsid w:val="00435AE1"/>
    <w:rsid w:val="00435AF4"/>
    <w:rsid w:val="00435B0D"/>
    <w:rsid w:val="00435B7F"/>
    <w:rsid w:val="00435BC2"/>
    <w:rsid w:val="00435BCB"/>
    <w:rsid w:val="00435CB1"/>
    <w:rsid w:val="00435CC9"/>
    <w:rsid w:val="00435D0F"/>
    <w:rsid w:val="00435D3F"/>
    <w:rsid w:val="00435D44"/>
    <w:rsid w:val="00435E4A"/>
    <w:rsid w:val="00435E75"/>
    <w:rsid w:val="00435E8A"/>
    <w:rsid w:val="00435E9E"/>
    <w:rsid w:val="00435FA6"/>
    <w:rsid w:val="00435FC3"/>
    <w:rsid w:val="00436008"/>
    <w:rsid w:val="0043602B"/>
    <w:rsid w:val="0043603C"/>
    <w:rsid w:val="004360F8"/>
    <w:rsid w:val="00436101"/>
    <w:rsid w:val="0043616B"/>
    <w:rsid w:val="00436236"/>
    <w:rsid w:val="00436344"/>
    <w:rsid w:val="0043640E"/>
    <w:rsid w:val="00436430"/>
    <w:rsid w:val="004364BE"/>
    <w:rsid w:val="00436505"/>
    <w:rsid w:val="0043653F"/>
    <w:rsid w:val="0043659B"/>
    <w:rsid w:val="0043662E"/>
    <w:rsid w:val="0043676C"/>
    <w:rsid w:val="0043678E"/>
    <w:rsid w:val="0043681E"/>
    <w:rsid w:val="0043684F"/>
    <w:rsid w:val="004368DB"/>
    <w:rsid w:val="004369F4"/>
    <w:rsid w:val="00436A05"/>
    <w:rsid w:val="00436B2A"/>
    <w:rsid w:val="00436B71"/>
    <w:rsid w:val="00436B7C"/>
    <w:rsid w:val="00436C15"/>
    <w:rsid w:val="00436CDB"/>
    <w:rsid w:val="00436DC9"/>
    <w:rsid w:val="00436DD2"/>
    <w:rsid w:val="00436DEE"/>
    <w:rsid w:val="00436E82"/>
    <w:rsid w:val="00436F8D"/>
    <w:rsid w:val="00436FC5"/>
    <w:rsid w:val="004370D0"/>
    <w:rsid w:val="0043713C"/>
    <w:rsid w:val="004371A5"/>
    <w:rsid w:val="004371C3"/>
    <w:rsid w:val="00437677"/>
    <w:rsid w:val="004376D4"/>
    <w:rsid w:val="0043770A"/>
    <w:rsid w:val="0043776A"/>
    <w:rsid w:val="00437788"/>
    <w:rsid w:val="004377BA"/>
    <w:rsid w:val="00437936"/>
    <w:rsid w:val="00437AD4"/>
    <w:rsid w:val="00437B61"/>
    <w:rsid w:val="00437B87"/>
    <w:rsid w:val="00437FF8"/>
    <w:rsid w:val="00440206"/>
    <w:rsid w:val="0044024C"/>
    <w:rsid w:val="004402A1"/>
    <w:rsid w:val="004402C9"/>
    <w:rsid w:val="004402FE"/>
    <w:rsid w:val="00440323"/>
    <w:rsid w:val="0044038A"/>
    <w:rsid w:val="004404C6"/>
    <w:rsid w:val="004404D8"/>
    <w:rsid w:val="00440577"/>
    <w:rsid w:val="004406DC"/>
    <w:rsid w:val="004406EE"/>
    <w:rsid w:val="00440720"/>
    <w:rsid w:val="00440773"/>
    <w:rsid w:val="0044093B"/>
    <w:rsid w:val="00440969"/>
    <w:rsid w:val="00440ABF"/>
    <w:rsid w:val="00440AC2"/>
    <w:rsid w:val="00440AEB"/>
    <w:rsid w:val="00440BD2"/>
    <w:rsid w:val="00440C7C"/>
    <w:rsid w:val="00440C85"/>
    <w:rsid w:val="00440D09"/>
    <w:rsid w:val="00440FE8"/>
    <w:rsid w:val="004411F2"/>
    <w:rsid w:val="0044127B"/>
    <w:rsid w:val="00441298"/>
    <w:rsid w:val="004412D3"/>
    <w:rsid w:val="004412FC"/>
    <w:rsid w:val="0044135E"/>
    <w:rsid w:val="004413C6"/>
    <w:rsid w:val="004414D1"/>
    <w:rsid w:val="004414D2"/>
    <w:rsid w:val="00441523"/>
    <w:rsid w:val="0044158C"/>
    <w:rsid w:val="004415CB"/>
    <w:rsid w:val="00441665"/>
    <w:rsid w:val="00441669"/>
    <w:rsid w:val="004416B7"/>
    <w:rsid w:val="00441837"/>
    <w:rsid w:val="00441950"/>
    <w:rsid w:val="004419F7"/>
    <w:rsid w:val="00441A44"/>
    <w:rsid w:val="00441ACB"/>
    <w:rsid w:val="00441ADE"/>
    <w:rsid w:val="00441C0D"/>
    <w:rsid w:val="00441D14"/>
    <w:rsid w:val="00441D9F"/>
    <w:rsid w:val="00441DC7"/>
    <w:rsid w:val="00441F31"/>
    <w:rsid w:val="00441F3A"/>
    <w:rsid w:val="00441F98"/>
    <w:rsid w:val="00441FAC"/>
    <w:rsid w:val="00441FB7"/>
    <w:rsid w:val="00442106"/>
    <w:rsid w:val="004422FB"/>
    <w:rsid w:val="00442419"/>
    <w:rsid w:val="0044243E"/>
    <w:rsid w:val="00442443"/>
    <w:rsid w:val="004424F8"/>
    <w:rsid w:val="004424FE"/>
    <w:rsid w:val="004427F7"/>
    <w:rsid w:val="004428D0"/>
    <w:rsid w:val="00442BEA"/>
    <w:rsid w:val="00442CEC"/>
    <w:rsid w:val="00442D9E"/>
    <w:rsid w:val="0044304A"/>
    <w:rsid w:val="004430B1"/>
    <w:rsid w:val="004431DA"/>
    <w:rsid w:val="004432D3"/>
    <w:rsid w:val="004432F9"/>
    <w:rsid w:val="00443338"/>
    <w:rsid w:val="00443557"/>
    <w:rsid w:val="00443653"/>
    <w:rsid w:val="00443676"/>
    <w:rsid w:val="004436F1"/>
    <w:rsid w:val="0044375B"/>
    <w:rsid w:val="004439D1"/>
    <w:rsid w:val="00443B02"/>
    <w:rsid w:val="00443B05"/>
    <w:rsid w:val="00443B74"/>
    <w:rsid w:val="00443BDC"/>
    <w:rsid w:val="00443CA2"/>
    <w:rsid w:val="00443CAC"/>
    <w:rsid w:val="00443D76"/>
    <w:rsid w:val="00443D7B"/>
    <w:rsid w:val="00443DFB"/>
    <w:rsid w:val="00443EA6"/>
    <w:rsid w:val="00443F97"/>
    <w:rsid w:val="00443FB8"/>
    <w:rsid w:val="00443FCF"/>
    <w:rsid w:val="00444194"/>
    <w:rsid w:val="00444196"/>
    <w:rsid w:val="004441CC"/>
    <w:rsid w:val="00444303"/>
    <w:rsid w:val="004443A8"/>
    <w:rsid w:val="004443CC"/>
    <w:rsid w:val="00444416"/>
    <w:rsid w:val="0044447D"/>
    <w:rsid w:val="004444ED"/>
    <w:rsid w:val="0044450C"/>
    <w:rsid w:val="0044451B"/>
    <w:rsid w:val="004445A7"/>
    <w:rsid w:val="004445B3"/>
    <w:rsid w:val="0044461A"/>
    <w:rsid w:val="00444678"/>
    <w:rsid w:val="0044468F"/>
    <w:rsid w:val="00444773"/>
    <w:rsid w:val="0044484B"/>
    <w:rsid w:val="00444870"/>
    <w:rsid w:val="004448BD"/>
    <w:rsid w:val="004448C3"/>
    <w:rsid w:val="00444953"/>
    <w:rsid w:val="00444A1A"/>
    <w:rsid w:val="00444B28"/>
    <w:rsid w:val="00444B7D"/>
    <w:rsid w:val="00444BE8"/>
    <w:rsid w:val="00444C21"/>
    <w:rsid w:val="00444CB8"/>
    <w:rsid w:val="00444CEF"/>
    <w:rsid w:val="00444CF5"/>
    <w:rsid w:val="00444DA8"/>
    <w:rsid w:val="00444F94"/>
    <w:rsid w:val="00444FB0"/>
    <w:rsid w:val="00444FF9"/>
    <w:rsid w:val="0044509B"/>
    <w:rsid w:val="004450EF"/>
    <w:rsid w:val="0044513A"/>
    <w:rsid w:val="0044516A"/>
    <w:rsid w:val="00445223"/>
    <w:rsid w:val="0044528B"/>
    <w:rsid w:val="0044530C"/>
    <w:rsid w:val="0044534F"/>
    <w:rsid w:val="00445375"/>
    <w:rsid w:val="004453B1"/>
    <w:rsid w:val="0044541D"/>
    <w:rsid w:val="004454D9"/>
    <w:rsid w:val="00445669"/>
    <w:rsid w:val="004456FD"/>
    <w:rsid w:val="004458D6"/>
    <w:rsid w:val="004458E4"/>
    <w:rsid w:val="0044591C"/>
    <w:rsid w:val="0044593A"/>
    <w:rsid w:val="00445A02"/>
    <w:rsid w:val="00445A44"/>
    <w:rsid w:val="00445AF9"/>
    <w:rsid w:val="00445C01"/>
    <w:rsid w:val="00445C85"/>
    <w:rsid w:val="00445CA7"/>
    <w:rsid w:val="00445CAC"/>
    <w:rsid w:val="00445CC7"/>
    <w:rsid w:val="00445CDB"/>
    <w:rsid w:val="00445F46"/>
    <w:rsid w:val="00445F88"/>
    <w:rsid w:val="004460AF"/>
    <w:rsid w:val="004460E1"/>
    <w:rsid w:val="0044611B"/>
    <w:rsid w:val="00446149"/>
    <w:rsid w:val="004461D5"/>
    <w:rsid w:val="00446221"/>
    <w:rsid w:val="004462A9"/>
    <w:rsid w:val="00446315"/>
    <w:rsid w:val="004463AF"/>
    <w:rsid w:val="00446405"/>
    <w:rsid w:val="00446515"/>
    <w:rsid w:val="004466D0"/>
    <w:rsid w:val="00446741"/>
    <w:rsid w:val="00446779"/>
    <w:rsid w:val="004467AA"/>
    <w:rsid w:val="004467EB"/>
    <w:rsid w:val="00446831"/>
    <w:rsid w:val="00446889"/>
    <w:rsid w:val="00446981"/>
    <w:rsid w:val="00446999"/>
    <w:rsid w:val="004469C0"/>
    <w:rsid w:val="00446BDE"/>
    <w:rsid w:val="00446BE5"/>
    <w:rsid w:val="00446D56"/>
    <w:rsid w:val="00446DEF"/>
    <w:rsid w:val="00446E3C"/>
    <w:rsid w:val="00446E40"/>
    <w:rsid w:val="00446E46"/>
    <w:rsid w:val="00446EC4"/>
    <w:rsid w:val="004471EC"/>
    <w:rsid w:val="00447242"/>
    <w:rsid w:val="00447245"/>
    <w:rsid w:val="00447248"/>
    <w:rsid w:val="004472CA"/>
    <w:rsid w:val="00447373"/>
    <w:rsid w:val="00447386"/>
    <w:rsid w:val="00447486"/>
    <w:rsid w:val="004476AB"/>
    <w:rsid w:val="0044770E"/>
    <w:rsid w:val="0044776A"/>
    <w:rsid w:val="004477E3"/>
    <w:rsid w:val="00447849"/>
    <w:rsid w:val="00447887"/>
    <w:rsid w:val="004478B5"/>
    <w:rsid w:val="004478ED"/>
    <w:rsid w:val="00447978"/>
    <w:rsid w:val="004479F0"/>
    <w:rsid w:val="00447A2B"/>
    <w:rsid w:val="00447A8E"/>
    <w:rsid w:val="00447AD8"/>
    <w:rsid w:val="00447AFC"/>
    <w:rsid w:val="00447B95"/>
    <w:rsid w:val="00447BF6"/>
    <w:rsid w:val="00447D4D"/>
    <w:rsid w:val="00447DC1"/>
    <w:rsid w:val="00447DDD"/>
    <w:rsid w:val="004500C3"/>
    <w:rsid w:val="00450189"/>
    <w:rsid w:val="0045029C"/>
    <w:rsid w:val="00450309"/>
    <w:rsid w:val="00450372"/>
    <w:rsid w:val="004503D2"/>
    <w:rsid w:val="0045041A"/>
    <w:rsid w:val="004504AA"/>
    <w:rsid w:val="00450527"/>
    <w:rsid w:val="00450549"/>
    <w:rsid w:val="0045061A"/>
    <w:rsid w:val="0045074D"/>
    <w:rsid w:val="0045084A"/>
    <w:rsid w:val="0045087F"/>
    <w:rsid w:val="00450939"/>
    <w:rsid w:val="004509A6"/>
    <w:rsid w:val="004509E4"/>
    <w:rsid w:val="00450B2B"/>
    <w:rsid w:val="00450C64"/>
    <w:rsid w:val="00450C9D"/>
    <w:rsid w:val="00450F26"/>
    <w:rsid w:val="004510E1"/>
    <w:rsid w:val="0045112A"/>
    <w:rsid w:val="0045117A"/>
    <w:rsid w:val="00451452"/>
    <w:rsid w:val="004514A0"/>
    <w:rsid w:val="00451541"/>
    <w:rsid w:val="004515AF"/>
    <w:rsid w:val="004515B8"/>
    <w:rsid w:val="0045162A"/>
    <w:rsid w:val="004517BC"/>
    <w:rsid w:val="00451817"/>
    <w:rsid w:val="00451A31"/>
    <w:rsid w:val="00451B24"/>
    <w:rsid w:val="00451BB9"/>
    <w:rsid w:val="00451BEA"/>
    <w:rsid w:val="00451C8D"/>
    <w:rsid w:val="00451CEF"/>
    <w:rsid w:val="00451DE4"/>
    <w:rsid w:val="00451E64"/>
    <w:rsid w:val="00451EC9"/>
    <w:rsid w:val="00451EE7"/>
    <w:rsid w:val="00452039"/>
    <w:rsid w:val="00452130"/>
    <w:rsid w:val="004521A3"/>
    <w:rsid w:val="004521A6"/>
    <w:rsid w:val="0045221D"/>
    <w:rsid w:val="00452252"/>
    <w:rsid w:val="00452339"/>
    <w:rsid w:val="00452374"/>
    <w:rsid w:val="004523A1"/>
    <w:rsid w:val="00452423"/>
    <w:rsid w:val="00452461"/>
    <w:rsid w:val="00452517"/>
    <w:rsid w:val="00452532"/>
    <w:rsid w:val="00452582"/>
    <w:rsid w:val="0045273C"/>
    <w:rsid w:val="00452747"/>
    <w:rsid w:val="00452990"/>
    <w:rsid w:val="00452AFE"/>
    <w:rsid w:val="00452B86"/>
    <w:rsid w:val="00452BDE"/>
    <w:rsid w:val="00452C3F"/>
    <w:rsid w:val="00452C4B"/>
    <w:rsid w:val="00452C95"/>
    <w:rsid w:val="00452C9B"/>
    <w:rsid w:val="00452CA1"/>
    <w:rsid w:val="00452DAB"/>
    <w:rsid w:val="00452DEC"/>
    <w:rsid w:val="00452E76"/>
    <w:rsid w:val="00452F76"/>
    <w:rsid w:val="00452FEC"/>
    <w:rsid w:val="00453038"/>
    <w:rsid w:val="00453097"/>
    <w:rsid w:val="004530A5"/>
    <w:rsid w:val="004530E2"/>
    <w:rsid w:val="0045319C"/>
    <w:rsid w:val="00453356"/>
    <w:rsid w:val="0045337A"/>
    <w:rsid w:val="004533CC"/>
    <w:rsid w:val="00453432"/>
    <w:rsid w:val="004534D0"/>
    <w:rsid w:val="004534EA"/>
    <w:rsid w:val="00453515"/>
    <w:rsid w:val="00453568"/>
    <w:rsid w:val="0045367E"/>
    <w:rsid w:val="004536E1"/>
    <w:rsid w:val="00453798"/>
    <w:rsid w:val="004537D2"/>
    <w:rsid w:val="004537DD"/>
    <w:rsid w:val="00453866"/>
    <w:rsid w:val="00453909"/>
    <w:rsid w:val="00453921"/>
    <w:rsid w:val="0045394E"/>
    <w:rsid w:val="004539C2"/>
    <w:rsid w:val="00453A01"/>
    <w:rsid w:val="00453AE4"/>
    <w:rsid w:val="00453BDE"/>
    <w:rsid w:val="00453C90"/>
    <w:rsid w:val="00453D69"/>
    <w:rsid w:val="00453D9A"/>
    <w:rsid w:val="00453DD1"/>
    <w:rsid w:val="00453E74"/>
    <w:rsid w:val="00453EBB"/>
    <w:rsid w:val="00454016"/>
    <w:rsid w:val="00454070"/>
    <w:rsid w:val="00454086"/>
    <w:rsid w:val="00454297"/>
    <w:rsid w:val="004543E0"/>
    <w:rsid w:val="00454421"/>
    <w:rsid w:val="0045442A"/>
    <w:rsid w:val="00454471"/>
    <w:rsid w:val="00454489"/>
    <w:rsid w:val="004545FA"/>
    <w:rsid w:val="00454662"/>
    <w:rsid w:val="004546F1"/>
    <w:rsid w:val="00454715"/>
    <w:rsid w:val="0045473D"/>
    <w:rsid w:val="00454740"/>
    <w:rsid w:val="00454768"/>
    <w:rsid w:val="00454884"/>
    <w:rsid w:val="004548C3"/>
    <w:rsid w:val="00454915"/>
    <w:rsid w:val="00454A0F"/>
    <w:rsid w:val="00454ADE"/>
    <w:rsid w:val="00454B13"/>
    <w:rsid w:val="00454B44"/>
    <w:rsid w:val="00454BDF"/>
    <w:rsid w:val="00454C44"/>
    <w:rsid w:val="00454C76"/>
    <w:rsid w:val="00454CF7"/>
    <w:rsid w:val="00454D3E"/>
    <w:rsid w:val="00454D4B"/>
    <w:rsid w:val="00454D6F"/>
    <w:rsid w:val="00454E11"/>
    <w:rsid w:val="00454E56"/>
    <w:rsid w:val="00454F03"/>
    <w:rsid w:val="00454F24"/>
    <w:rsid w:val="00454FB9"/>
    <w:rsid w:val="004550EC"/>
    <w:rsid w:val="004551F8"/>
    <w:rsid w:val="0045526A"/>
    <w:rsid w:val="004552C7"/>
    <w:rsid w:val="0045542D"/>
    <w:rsid w:val="004555D0"/>
    <w:rsid w:val="0045568A"/>
    <w:rsid w:val="00455777"/>
    <w:rsid w:val="004557F0"/>
    <w:rsid w:val="00455870"/>
    <w:rsid w:val="004558A6"/>
    <w:rsid w:val="004558CC"/>
    <w:rsid w:val="00455934"/>
    <w:rsid w:val="004559B7"/>
    <w:rsid w:val="00455A21"/>
    <w:rsid w:val="00455A41"/>
    <w:rsid w:val="00455A44"/>
    <w:rsid w:val="00455AF9"/>
    <w:rsid w:val="00455B9C"/>
    <w:rsid w:val="00455BD5"/>
    <w:rsid w:val="00455C4A"/>
    <w:rsid w:val="00455CDD"/>
    <w:rsid w:val="00455E1E"/>
    <w:rsid w:val="00455EAF"/>
    <w:rsid w:val="00455EDB"/>
    <w:rsid w:val="00455F86"/>
    <w:rsid w:val="00455FC8"/>
    <w:rsid w:val="00456036"/>
    <w:rsid w:val="004560D1"/>
    <w:rsid w:val="0045612C"/>
    <w:rsid w:val="00456193"/>
    <w:rsid w:val="004561C1"/>
    <w:rsid w:val="00456220"/>
    <w:rsid w:val="004562A0"/>
    <w:rsid w:val="004562C5"/>
    <w:rsid w:val="004562CE"/>
    <w:rsid w:val="004562D8"/>
    <w:rsid w:val="004563FE"/>
    <w:rsid w:val="0045640B"/>
    <w:rsid w:val="0045651D"/>
    <w:rsid w:val="00456531"/>
    <w:rsid w:val="00456590"/>
    <w:rsid w:val="00456730"/>
    <w:rsid w:val="004567CE"/>
    <w:rsid w:val="00456841"/>
    <w:rsid w:val="00456931"/>
    <w:rsid w:val="00456A10"/>
    <w:rsid w:val="00456B15"/>
    <w:rsid w:val="00456CD5"/>
    <w:rsid w:val="00456CFB"/>
    <w:rsid w:val="00456D0D"/>
    <w:rsid w:val="00456D59"/>
    <w:rsid w:val="00456D92"/>
    <w:rsid w:val="00456DD9"/>
    <w:rsid w:val="00456E69"/>
    <w:rsid w:val="00456F7D"/>
    <w:rsid w:val="00456FBA"/>
    <w:rsid w:val="00456FD2"/>
    <w:rsid w:val="00457035"/>
    <w:rsid w:val="00457086"/>
    <w:rsid w:val="0045708E"/>
    <w:rsid w:val="004570AF"/>
    <w:rsid w:val="0045710D"/>
    <w:rsid w:val="00457193"/>
    <w:rsid w:val="00457247"/>
    <w:rsid w:val="004572F0"/>
    <w:rsid w:val="0045734A"/>
    <w:rsid w:val="004573C1"/>
    <w:rsid w:val="00457435"/>
    <w:rsid w:val="0045745A"/>
    <w:rsid w:val="004577A2"/>
    <w:rsid w:val="004577D2"/>
    <w:rsid w:val="00457860"/>
    <w:rsid w:val="00457862"/>
    <w:rsid w:val="004578EE"/>
    <w:rsid w:val="004578FC"/>
    <w:rsid w:val="00457918"/>
    <w:rsid w:val="00457A1E"/>
    <w:rsid w:val="00457AD9"/>
    <w:rsid w:val="00457B19"/>
    <w:rsid w:val="00457C64"/>
    <w:rsid w:val="00457DB8"/>
    <w:rsid w:val="00457DC8"/>
    <w:rsid w:val="00457DF0"/>
    <w:rsid w:val="00457EE9"/>
    <w:rsid w:val="00457F4D"/>
    <w:rsid w:val="00457F5F"/>
    <w:rsid w:val="00457F8A"/>
    <w:rsid w:val="00460010"/>
    <w:rsid w:val="004600EB"/>
    <w:rsid w:val="004601D0"/>
    <w:rsid w:val="004602C1"/>
    <w:rsid w:val="00460479"/>
    <w:rsid w:val="004604BC"/>
    <w:rsid w:val="00460565"/>
    <w:rsid w:val="00460656"/>
    <w:rsid w:val="00460661"/>
    <w:rsid w:val="004606A8"/>
    <w:rsid w:val="004606FB"/>
    <w:rsid w:val="00460773"/>
    <w:rsid w:val="00460898"/>
    <w:rsid w:val="004608C0"/>
    <w:rsid w:val="004608D1"/>
    <w:rsid w:val="00460AD7"/>
    <w:rsid w:val="00460AE7"/>
    <w:rsid w:val="00460AF7"/>
    <w:rsid w:val="00460AFB"/>
    <w:rsid w:val="00460CCB"/>
    <w:rsid w:val="00460CCF"/>
    <w:rsid w:val="00460CEC"/>
    <w:rsid w:val="00460D2E"/>
    <w:rsid w:val="00460FB5"/>
    <w:rsid w:val="00461002"/>
    <w:rsid w:val="00461151"/>
    <w:rsid w:val="00461258"/>
    <w:rsid w:val="00461261"/>
    <w:rsid w:val="0046138B"/>
    <w:rsid w:val="00461396"/>
    <w:rsid w:val="0046147B"/>
    <w:rsid w:val="00461560"/>
    <w:rsid w:val="0046157A"/>
    <w:rsid w:val="004615A6"/>
    <w:rsid w:val="004615B0"/>
    <w:rsid w:val="0046172D"/>
    <w:rsid w:val="004617A8"/>
    <w:rsid w:val="00461807"/>
    <w:rsid w:val="00461A0B"/>
    <w:rsid w:val="00461A33"/>
    <w:rsid w:val="00461B01"/>
    <w:rsid w:val="00461B37"/>
    <w:rsid w:val="00461B4B"/>
    <w:rsid w:val="00461BD5"/>
    <w:rsid w:val="00461D4F"/>
    <w:rsid w:val="00461D51"/>
    <w:rsid w:val="00461DB7"/>
    <w:rsid w:val="00461DD9"/>
    <w:rsid w:val="00461E06"/>
    <w:rsid w:val="00461E0F"/>
    <w:rsid w:val="00461E45"/>
    <w:rsid w:val="00461F3D"/>
    <w:rsid w:val="00461F65"/>
    <w:rsid w:val="00461F7E"/>
    <w:rsid w:val="00461F83"/>
    <w:rsid w:val="00461FD3"/>
    <w:rsid w:val="004620EF"/>
    <w:rsid w:val="00462224"/>
    <w:rsid w:val="004622C3"/>
    <w:rsid w:val="004622DD"/>
    <w:rsid w:val="00462405"/>
    <w:rsid w:val="00462412"/>
    <w:rsid w:val="00462416"/>
    <w:rsid w:val="00462564"/>
    <w:rsid w:val="004625E1"/>
    <w:rsid w:val="00462620"/>
    <w:rsid w:val="00462737"/>
    <w:rsid w:val="00462755"/>
    <w:rsid w:val="0046277C"/>
    <w:rsid w:val="00462805"/>
    <w:rsid w:val="0046283E"/>
    <w:rsid w:val="00462858"/>
    <w:rsid w:val="0046295F"/>
    <w:rsid w:val="0046298C"/>
    <w:rsid w:val="004629C8"/>
    <w:rsid w:val="004629E9"/>
    <w:rsid w:val="00462A3C"/>
    <w:rsid w:val="00462C17"/>
    <w:rsid w:val="00462DFD"/>
    <w:rsid w:val="00462E17"/>
    <w:rsid w:val="00462E7E"/>
    <w:rsid w:val="00462E9A"/>
    <w:rsid w:val="00462EB1"/>
    <w:rsid w:val="00462F12"/>
    <w:rsid w:val="00462F48"/>
    <w:rsid w:val="00462FB3"/>
    <w:rsid w:val="00462FE4"/>
    <w:rsid w:val="00463002"/>
    <w:rsid w:val="004631EA"/>
    <w:rsid w:val="00463271"/>
    <w:rsid w:val="004632B5"/>
    <w:rsid w:val="004633FA"/>
    <w:rsid w:val="00463411"/>
    <w:rsid w:val="0046342C"/>
    <w:rsid w:val="00463461"/>
    <w:rsid w:val="00463543"/>
    <w:rsid w:val="00463599"/>
    <w:rsid w:val="00463688"/>
    <w:rsid w:val="00463879"/>
    <w:rsid w:val="004638DA"/>
    <w:rsid w:val="00463970"/>
    <w:rsid w:val="00463A78"/>
    <w:rsid w:val="00463B29"/>
    <w:rsid w:val="00463B97"/>
    <w:rsid w:val="00463CD3"/>
    <w:rsid w:val="00463D37"/>
    <w:rsid w:val="00463E62"/>
    <w:rsid w:val="00463F5B"/>
    <w:rsid w:val="00463F82"/>
    <w:rsid w:val="004641BA"/>
    <w:rsid w:val="0046441E"/>
    <w:rsid w:val="0046443D"/>
    <w:rsid w:val="00464498"/>
    <w:rsid w:val="0046449F"/>
    <w:rsid w:val="004644F3"/>
    <w:rsid w:val="004645E7"/>
    <w:rsid w:val="00464869"/>
    <w:rsid w:val="0046489D"/>
    <w:rsid w:val="00464948"/>
    <w:rsid w:val="00464B49"/>
    <w:rsid w:val="00464C36"/>
    <w:rsid w:val="00464C7B"/>
    <w:rsid w:val="00464D10"/>
    <w:rsid w:val="00464D6A"/>
    <w:rsid w:val="00464DEF"/>
    <w:rsid w:val="00464E1D"/>
    <w:rsid w:val="00464E45"/>
    <w:rsid w:val="0046503E"/>
    <w:rsid w:val="00465110"/>
    <w:rsid w:val="004651AB"/>
    <w:rsid w:val="004652A2"/>
    <w:rsid w:val="004653FD"/>
    <w:rsid w:val="00465424"/>
    <w:rsid w:val="0046555A"/>
    <w:rsid w:val="00465585"/>
    <w:rsid w:val="004656B3"/>
    <w:rsid w:val="004656B7"/>
    <w:rsid w:val="004656CA"/>
    <w:rsid w:val="00465749"/>
    <w:rsid w:val="0046574D"/>
    <w:rsid w:val="00465755"/>
    <w:rsid w:val="0046581C"/>
    <w:rsid w:val="004658BE"/>
    <w:rsid w:val="0046598C"/>
    <w:rsid w:val="00465A1B"/>
    <w:rsid w:val="00465A2F"/>
    <w:rsid w:val="00465A79"/>
    <w:rsid w:val="00465A97"/>
    <w:rsid w:val="00465B15"/>
    <w:rsid w:val="00465BD6"/>
    <w:rsid w:val="00465D7B"/>
    <w:rsid w:val="00465E5F"/>
    <w:rsid w:val="004660A6"/>
    <w:rsid w:val="004660DA"/>
    <w:rsid w:val="0046626B"/>
    <w:rsid w:val="004662E9"/>
    <w:rsid w:val="00466318"/>
    <w:rsid w:val="0046640C"/>
    <w:rsid w:val="00466449"/>
    <w:rsid w:val="00466451"/>
    <w:rsid w:val="0046659D"/>
    <w:rsid w:val="004665AF"/>
    <w:rsid w:val="00466684"/>
    <w:rsid w:val="00466796"/>
    <w:rsid w:val="004667D9"/>
    <w:rsid w:val="00466895"/>
    <w:rsid w:val="00466982"/>
    <w:rsid w:val="00466A6A"/>
    <w:rsid w:val="00466C2E"/>
    <w:rsid w:val="00466C36"/>
    <w:rsid w:val="00466EA0"/>
    <w:rsid w:val="00466ED3"/>
    <w:rsid w:val="00466F36"/>
    <w:rsid w:val="00467024"/>
    <w:rsid w:val="0046702C"/>
    <w:rsid w:val="0046719D"/>
    <w:rsid w:val="004671A5"/>
    <w:rsid w:val="004672A0"/>
    <w:rsid w:val="0046730F"/>
    <w:rsid w:val="00467387"/>
    <w:rsid w:val="004673D7"/>
    <w:rsid w:val="00467482"/>
    <w:rsid w:val="004674EA"/>
    <w:rsid w:val="0046753F"/>
    <w:rsid w:val="00467568"/>
    <w:rsid w:val="004675ED"/>
    <w:rsid w:val="00467620"/>
    <w:rsid w:val="00467635"/>
    <w:rsid w:val="004676AF"/>
    <w:rsid w:val="0046770C"/>
    <w:rsid w:val="00467790"/>
    <w:rsid w:val="0046796C"/>
    <w:rsid w:val="004679A0"/>
    <w:rsid w:val="00467B61"/>
    <w:rsid w:val="00467B63"/>
    <w:rsid w:val="00467BAD"/>
    <w:rsid w:val="00467CEB"/>
    <w:rsid w:val="00467EC0"/>
    <w:rsid w:val="00467EC7"/>
    <w:rsid w:val="00467F1A"/>
    <w:rsid w:val="00467FE7"/>
    <w:rsid w:val="00470069"/>
    <w:rsid w:val="004700F8"/>
    <w:rsid w:val="00470142"/>
    <w:rsid w:val="004703D0"/>
    <w:rsid w:val="00470470"/>
    <w:rsid w:val="0047048D"/>
    <w:rsid w:val="004705D3"/>
    <w:rsid w:val="00470648"/>
    <w:rsid w:val="00470660"/>
    <w:rsid w:val="00470755"/>
    <w:rsid w:val="004707A9"/>
    <w:rsid w:val="004707B0"/>
    <w:rsid w:val="00470837"/>
    <w:rsid w:val="0047098F"/>
    <w:rsid w:val="00470AA5"/>
    <w:rsid w:val="00470AAE"/>
    <w:rsid w:val="00470B55"/>
    <w:rsid w:val="00470D99"/>
    <w:rsid w:val="00470DE0"/>
    <w:rsid w:val="00470FA8"/>
    <w:rsid w:val="00470FCC"/>
    <w:rsid w:val="00471051"/>
    <w:rsid w:val="004710E4"/>
    <w:rsid w:val="004711DD"/>
    <w:rsid w:val="00471285"/>
    <w:rsid w:val="00471302"/>
    <w:rsid w:val="0047132B"/>
    <w:rsid w:val="0047134E"/>
    <w:rsid w:val="0047137B"/>
    <w:rsid w:val="00471381"/>
    <w:rsid w:val="00471387"/>
    <w:rsid w:val="00471434"/>
    <w:rsid w:val="00471476"/>
    <w:rsid w:val="00471483"/>
    <w:rsid w:val="004714D9"/>
    <w:rsid w:val="004715CF"/>
    <w:rsid w:val="00471695"/>
    <w:rsid w:val="00471757"/>
    <w:rsid w:val="00471779"/>
    <w:rsid w:val="004717E5"/>
    <w:rsid w:val="0047182E"/>
    <w:rsid w:val="004719F7"/>
    <w:rsid w:val="00471A25"/>
    <w:rsid w:val="00471A68"/>
    <w:rsid w:val="00471AD1"/>
    <w:rsid w:val="00471B18"/>
    <w:rsid w:val="00471B35"/>
    <w:rsid w:val="00471C23"/>
    <w:rsid w:val="00471C6D"/>
    <w:rsid w:val="00471CB7"/>
    <w:rsid w:val="00471CD8"/>
    <w:rsid w:val="00471CE4"/>
    <w:rsid w:val="00471D64"/>
    <w:rsid w:val="00471E22"/>
    <w:rsid w:val="00471E93"/>
    <w:rsid w:val="00471EA7"/>
    <w:rsid w:val="0047201A"/>
    <w:rsid w:val="00472105"/>
    <w:rsid w:val="0047225B"/>
    <w:rsid w:val="00472459"/>
    <w:rsid w:val="00472505"/>
    <w:rsid w:val="00472677"/>
    <w:rsid w:val="004727D0"/>
    <w:rsid w:val="004728DA"/>
    <w:rsid w:val="00472904"/>
    <w:rsid w:val="00472914"/>
    <w:rsid w:val="0047294D"/>
    <w:rsid w:val="004729CE"/>
    <w:rsid w:val="00472A40"/>
    <w:rsid w:val="00472B0A"/>
    <w:rsid w:val="00472B57"/>
    <w:rsid w:val="00472B7C"/>
    <w:rsid w:val="00472DB6"/>
    <w:rsid w:val="00472DB8"/>
    <w:rsid w:val="00472DC6"/>
    <w:rsid w:val="00472DF7"/>
    <w:rsid w:val="00472E30"/>
    <w:rsid w:val="00472F28"/>
    <w:rsid w:val="004731F1"/>
    <w:rsid w:val="004731FF"/>
    <w:rsid w:val="0047335A"/>
    <w:rsid w:val="00473397"/>
    <w:rsid w:val="00473478"/>
    <w:rsid w:val="0047356E"/>
    <w:rsid w:val="0047358E"/>
    <w:rsid w:val="004736D0"/>
    <w:rsid w:val="004737F4"/>
    <w:rsid w:val="00473867"/>
    <w:rsid w:val="00473878"/>
    <w:rsid w:val="004738A5"/>
    <w:rsid w:val="0047394F"/>
    <w:rsid w:val="00473A59"/>
    <w:rsid w:val="00473AAE"/>
    <w:rsid w:val="00473ABF"/>
    <w:rsid w:val="00473B43"/>
    <w:rsid w:val="00473B60"/>
    <w:rsid w:val="00473BD3"/>
    <w:rsid w:val="00473CD6"/>
    <w:rsid w:val="00473D1E"/>
    <w:rsid w:val="00473D30"/>
    <w:rsid w:val="00473DD2"/>
    <w:rsid w:val="00473E34"/>
    <w:rsid w:val="00473F95"/>
    <w:rsid w:val="00473FBF"/>
    <w:rsid w:val="00473FDD"/>
    <w:rsid w:val="00474002"/>
    <w:rsid w:val="0047414D"/>
    <w:rsid w:val="0047416F"/>
    <w:rsid w:val="00474300"/>
    <w:rsid w:val="0047431F"/>
    <w:rsid w:val="00474343"/>
    <w:rsid w:val="0047438C"/>
    <w:rsid w:val="004743B9"/>
    <w:rsid w:val="004743F1"/>
    <w:rsid w:val="00474583"/>
    <w:rsid w:val="00474599"/>
    <w:rsid w:val="0047459C"/>
    <w:rsid w:val="004745FC"/>
    <w:rsid w:val="0047466F"/>
    <w:rsid w:val="0047467D"/>
    <w:rsid w:val="004746BB"/>
    <w:rsid w:val="004747A0"/>
    <w:rsid w:val="004747FB"/>
    <w:rsid w:val="00474BA3"/>
    <w:rsid w:val="00474C96"/>
    <w:rsid w:val="00474CF7"/>
    <w:rsid w:val="00474D14"/>
    <w:rsid w:val="00474D1A"/>
    <w:rsid w:val="00474D7E"/>
    <w:rsid w:val="00474E00"/>
    <w:rsid w:val="00474E4A"/>
    <w:rsid w:val="00474E6D"/>
    <w:rsid w:val="00474E8F"/>
    <w:rsid w:val="00474F22"/>
    <w:rsid w:val="00475024"/>
    <w:rsid w:val="004750CF"/>
    <w:rsid w:val="004750E5"/>
    <w:rsid w:val="00475119"/>
    <w:rsid w:val="00475168"/>
    <w:rsid w:val="004751D0"/>
    <w:rsid w:val="00475209"/>
    <w:rsid w:val="00475263"/>
    <w:rsid w:val="00475268"/>
    <w:rsid w:val="00475296"/>
    <w:rsid w:val="00475397"/>
    <w:rsid w:val="00475422"/>
    <w:rsid w:val="0047546E"/>
    <w:rsid w:val="004754A9"/>
    <w:rsid w:val="004754BA"/>
    <w:rsid w:val="004755E9"/>
    <w:rsid w:val="00475615"/>
    <w:rsid w:val="0047564A"/>
    <w:rsid w:val="004756F6"/>
    <w:rsid w:val="004757A3"/>
    <w:rsid w:val="004758A7"/>
    <w:rsid w:val="004758BF"/>
    <w:rsid w:val="004758CC"/>
    <w:rsid w:val="0047594F"/>
    <w:rsid w:val="004759A9"/>
    <w:rsid w:val="00475AA5"/>
    <w:rsid w:val="00475AAF"/>
    <w:rsid w:val="00475AC8"/>
    <w:rsid w:val="00475BB8"/>
    <w:rsid w:val="00475BE7"/>
    <w:rsid w:val="00475D4C"/>
    <w:rsid w:val="00475D5E"/>
    <w:rsid w:val="00475D80"/>
    <w:rsid w:val="00475DC5"/>
    <w:rsid w:val="00475DD9"/>
    <w:rsid w:val="00475E4D"/>
    <w:rsid w:val="00475F21"/>
    <w:rsid w:val="00475FE6"/>
    <w:rsid w:val="00476038"/>
    <w:rsid w:val="004761BA"/>
    <w:rsid w:val="004762BC"/>
    <w:rsid w:val="004762DF"/>
    <w:rsid w:val="00476301"/>
    <w:rsid w:val="00476325"/>
    <w:rsid w:val="00476398"/>
    <w:rsid w:val="004763CC"/>
    <w:rsid w:val="00476475"/>
    <w:rsid w:val="00476483"/>
    <w:rsid w:val="004764FB"/>
    <w:rsid w:val="00476509"/>
    <w:rsid w:val="004765A4"/>
    <w:rsid w:val="004765E3"/>
    <w:rsid w:val="004768EE"/>
    <w:rsid w:val="0047699B"/>
    <w:rsid w:val="004769A1"/>
    <w:rsid w:val="00476AA3"/>
    <w:rsid w:val="00476B1F"/>
    <w:rsid w:val="00476B8A"/>
    <w:rsid w:val="00476B8B"/>
    <w:rsid w:val="00476C3F"/>
    <w:rsid w:val="00476E19"/>
    <w:rsid w:val="00476F9D"/>
    <w:rsid w:val="00476FC3"/>
    <w:rsid w:val="00476FED"/>
    <w:rsid w:val="004770A4"/>
    <w:rsid w:val="004770EC"/>
    <w:rsid w:val="0047711F"/>
    <w:rsid w:val="004771FC"/>
    <w:rsid w:val="0047722E"/>
    <w:rsid w:val="004772A4"/>
    <w:rsid w:val="004772D3"/>
    <w:rsid w:val="004772ED"/>
    <w:rsid w:val="00477415"/>
    <w:rsid w:val="0047741D"/>
    <w:rsid w:val="00477495"/>
    <w:rsid w:val="004774AD"/>
    <w:rsid w:val="004774F8"/>
    <w:rsid w:val="00477522"/>
    <w:rsid w:val="004775D3"/>
    <w:rsid w:val="004776AA"/>
    <w:rsid w:val="00477762"/>
    <w:rsid w:val="00477777"/>
    <w:rsid w:val="0047780B"/>
    <w:rsid w:val="00477AD3"/>
    <w:rsid w:val="00477B2B"/>
    <w:rsid w:val="00477C7F"/>
    <w:rsid w:val="00477DE4"/>
    <w:rsid w:val="00477E1C"/>
    <w:rsid w:val="00477E1E"/>
    <w:rsid w:val="00477E62"/>
    <w:rsid w:val="00477EB9"/>
    <w:rsid w:val="00477EC6"/>
    <w:rsid w:val="00477F13"/>
    <w:rsid w:val="00477F1C"/>
    <w:rsid w:val="00480052"/>
    <w:rsid w:val="004800A8"/>
    <w:rsid w:val="004800D6"/>
    <w:rsid w:val="00480111"/>
    <w:rsid w:val="004801F5"/>
    <w:rsid w:val="00480213"/>
    <w:rsid w:val="00480219"/>
    <w:rsid w:val="004802FD"/>
    <w:rsid w:val="00480379"/>
    <w:rsid w:val="004803A1"/>
    <w:rsid w:val="004803BA"/>
    <w:rsid w:val="004804C1"/>
    <w:rsid w:val="004805D5"/>
    <w:rsid w:val="004805DE"/>
    <w:rsid w:val="00480776"/>
    <w:rsid w:val="004807C2"/>
    <w:rsid w:val="00480A5C"/>
    <w:rsid w:val="00480AD2"/>
    <w:rsid w:val="00480B9B"/>
    <w:rsid w:val="00480BC4"/>
    <w:rsid w:val="00480D05"/>
    <w:rsid w:val="00480E95"/>
    <w:rsid w:val="00480F41"/>
    <w:rsid w:val="004810A1"/>
    <w:rsid w:val="004810E2"/>
    <w:rsid w:val="004811DC"/>
    <w:rsid w:val="0048124B"/>
    <w:rsid w:val="004812DE"/>
    <w:rsid w:val="00481411"/>
    <w:rsid w:val="00481426"/>
    <w:rsid w:val="004814A4"/>
    <w:rsid w:val="00481725"/>
    <w:rsid w:val="00481747"/>
    <w:rsid w:val="004817F8"/>
    <w:rsid w:val="004818B3"/>
    <w:rsid w:val="00481C3C"/>
    <w:rsid w:val="00481D71"/>
    <w:rsid w:val="00481E8A"/>
    <w:rsid w:val="00481F6B"/>
    <w:rsid w:val="00481F78"/>
    <w:rsid w:val="00482012"/>
    <w:rsid w:val="0048214B"/>
    <w:rsid w:val="004821CF"/>
    <w:rsid w:val="0048225B"/>
    <w:rsid w:val="00482359"/>
    <w:rsid w:val="00482391"/>
    <w:rsid w:val="004824C2"/>
    <w:rsid w:val="004824D9"/>
    <w:rsid w:val="0048259F"/>
    <w:rsid w:val="004826B8"/>
    <w:rsid w:val="0048271B"/>
    <w:rsid w:val="00482792"/>
    <w:rsid w:val="00482864"/>
    <w:rsid w:val="0048288E"/>
    <w:rsid w:val="004828B2"/>
    <w:rsid w:val="00482920"/>
    <w:rsid w:val="00482A64"/>
    <w:rsid w:val="00482AB8"/>
    <w:rsid w:val="00482B5C"/>
    <w:rsid w:val="00482B78"/>
    <w:rsid w:val="00482BAA"/>
    <w:rsid w:val="00482BE2"/>
    <w:rsid w:val="00482DD8"/>
    <w:rsid w:val="00482E71"/>
    <w:rsid w:val="00482FA3"/>
    <w:rsid w:val="00483060"/>
    <w:rsid w:val="004830E3"/>
    <w:rsid w:val="0048321D"/>
    <w:rsid w:val="0048321F"/>
    <w:rsid w:val="0048323D"/>
    <w:rsid w:val="004832CB"/>
    <w:rsid w:val="0048330B"/>
    <w:rsid w:val="00483354"/>
    <w:rsid w:val="00483382"/>
    <w:rsid w:val="00483471"/>
    <w:rsid w:val="004834CB"/>
    <w:rsid w:val="004834CD"/>
    <w:rsid w:val="0048368C"/>
    <w:rsid w:val="0048369F"/>
    <w:rsid w:val="004836CD"/>
    <w:rsid w:val="004837C6"/>
    <w:rsid w:val="004837C8"/>
    <w:rsid w:val="00483888"/>
    <w:rsid w:val="004838E9"/>
    <w:rsid w:val="0048391C"/>
    <w:rsid w:val="00483A25"/>
    <w:rsid w:val="00483A27"/>
    <w:rsid w:val="00483A3A"/>
    <w:rsid w:val="00483BBA"/>
    <w:rsid w:val="00483C35"/>
    <w:rsid w:val="00483CDA"/>
    <w:rsid w:val="00483D07"/>
    <w:rsid w:val="00483D46"/>
    <w:rsid w:val="00483DF8"/>
    <w:rsid w:val="00483E44"/>
    <w:rsid w:val="00483EB1"/>
    <w:rsid w:val="00483F14"/>
    <w:rsid w:val="00483F31"/>
    <w:rsid w:val="00484047"/>
    <w:rsid w:val="0048418F"/>
    <w:rsid w:val="00484279"/>
    <w:rsid w:val="0048431F"/>
    <w:rsid w:val="0048432D"/>
    <w:rsid w:val="00484357"/>
    <w:rsid w:val="0048438B"/>
    <w:rsid w:val="00484425"/>
    <w:rsid w:val="00484551"/>
    <w:rsid w:val="0048470A"/>
    <w:rsid w:val="004847F0"/>
    <w:rsid w:val="00484865"/>
    <w:rsid w:val="0048492C"/>
    <w:rsid w:val="00484946"/>
    <w:rsid w:val="00484A35"/>
    <w:rsid w:val="00484BA3"/>
    <w:rsid w:val="00484BE8"/>
    <w:rsid w:val="00484CA4"/>
    <w:rsid w:val="00484D8F"/>
    <w:rsid w:val="00484E26"/>
    <w:rsid w:val="00484EA5"/>
    <w:rsid w:val="00484EB5"/>
    <w:rsid w:val="00484EF1"/>
    <w:rsid w:val="00484F16"/>
    <w:rsid w:val="00484F2D"/>
    <w:rsid w:val="00484F3C"/>
    <w:rsid w:val="00484FA7"/>
    <w:rsid w:val="00485095"/>
    <w:rsid w:val="0048509C"/>
    <w:rsid w:val="004850DB"/>
    <w:rsid w:val="0048513B"/>
    <w:rsid w:val="004851CE"/>
    <w:rsid w:val="00485323"/>
    <w:rsid w:val="004853A4"/>
    <w:rsid w:val="004853B0"/>
    <w:rsid w:val="00485474"/>
    <w:rsid w:val="0048559C"/>
    <w:rsid w:val="0048567B"/>
    <w:rsid w:val="004856D8"/>
    <w:rsid w:val="00485743"/>
    <w:rsid w:val="0048574F"/>
    <w:rsid w:val="004857F9"/>
    <w:rsid w:val="00485804"/>
    <w:rsid w:val="00485806"/>
    <w:rsid w:val="0048588F"/>
    <w:rsid w:val="004858CF"/>
    <w:rsid w:val="00485982"/>
    <w:rsid w:val="00485B72"/>
    <w:rsid w:val="00485BEC"/>
    <w:rsid w:val="00485C2A"/>
    <w:rsid w:val="00485DC1"/>
    <w:rsid w:val="00485DE5"/>
    <w:rsid w:val="00485E29"/>
    <w:rsid w:val="00485E43"/>
    <w:rsid w:val="00485F76"/>
    <w:rsid w:val="00486047"/>
    <w:rsid w:val="00486063"/>
    <w:rsid w:val="00486117"/>
    <w:rsid w:val="00486163"/>
    <w:rsid w:val="004863F7"/>
    <w:rsid w:val="00486405"/>
    <w:rsid w:val="00486446"/>
    <w:rsid w:val="00486670"/>
    <w:rsid w:val="00486694"/>
    <w:rsid w:val="00486865"/>
    <w:rsid w:val="004868EC"/>
    <w:rsid w:val="004869BD"/>
    <w:rsid w:val="00486AB3"/>
    <w:rsid w:val="00486B13"/>
    <w:rsid w:val="00486B46"/>
    <w:rsid w:val="00486BD6"/>
    <w:rsid w:val="00486BDA"/>
    <w:rsid w:val="00486D4E"/>
    <w:rsid w:val="00486DBF"/>
    <w:rsid w:val="00486EB2"/>
    <w:rsid w:val="00486ED4"/>
    <w:rsid w:val="00486F56"/>
    <w:rsid w:val="00486FB8"/>
    <w:rsid w:val="00486FCC"/>
    <w:rsid w:val="00486FD5"/>
    <w:rsid w:val="0048714F"/>
    <w:rsid w:val="004872BE"/>
    <w:rsid w:val="004872F4"/>
    <w:rsid w:val="004873E5"/>
    <w:rsid w:val="004874E2"/>
    <w:rsid w:val="004875A7"/>
    <w:rsid w:val="004875B5"/>
    <w:rsid w:val="004875EC"/>
    <w:rsid w:val="004876D8"/>
    <w:rsid w:val="004876F4"/>
    <w:rsid w:val="004878D9"/>
    <w:rsid w:val="00487930"/>
    <w:rsid w:val="00487B5C"/>
    <w:rsid w:val="00487BB6"/>
    <w:rsid w:val="00487C1F"/>
    <w:rsid w:val="00487C87"/>
    <w:rsid w:val="00487D24"/>
    <w:rsid w:val="00487D7C"/>
    <w:rsid w:val="00487E3D"/>
    <w:rsid w:val="00487EC6"/>
    <w:rsid w:val="00487ECE"/>
    <w:rsid w:val="00487F92"/>
    <w:rsid w:val="00490126"/>
    <w:rsid w:val="00490187"/>
    <w:rsid w:val="00490198"/>
    <w:rsid w:val="004901D1"/>
    <w:rsid w:val="00490284"/>
    <w:rsid w:val="00490416"/>
    <w:rsid w:val="00490425"/>
    <w:rsid w:val="0049052F"/>
    <w:rsid w:val="0049054B"/>
    <w:rsid w:val="004905BE"/>
    <w:rsid w:val="00490698"/>
    <w:rsid w:val="004906B0"/>
    <w:rsid w:val="0049093C"/>
    <w:rsid w:val="004909FF"/>
    <w:rsid w:val="00490A21"/>
    <w:rsid w:val="00490A5B"/>
    <w:rsid w:val="00490B32"/>
    <w:rsid w:val="00490BAC"/>
    <w:rsid w:val="00490C7E"/>
    <w:rsid w:val="00490CAD"/>
    <w:rsid w:val="00490CD0"/>
    <w:rsid w:val="00490D43"/>
    <w:rsid w:val="00490D89"/>
    <w:rsid w:val="00490DE2"/>
    <w:rsid w:val="00490E99"/>
    <w:rsid w:val="00490EF7"/>
    <w:rsid w:val="00490F54"/>
    <w:rsid w:val="00490F5B"/>
    <w:rsid w:val="00491020"/>
    <w:rsid w:val="0049102A"/>
    <w:rsid w:val="004910E1"/>
    <w:rsid w:val="004910FE"/>
    <w:rsid w:val="00491100"/>
    <w:rsid w:val="0049121E"/>
    <w:rsid w:val="00491242"/>
    <w:rsid w:val="0049124A"/>
    <w:rsid w:val="00491283"/>
    <w:rsid w:val="004913DE"/>
    <w:rsid w:val="004914DC"/>
    <w:rsid w:val="00491542"/>
    <w:rsid w:val="004916CC"/>
    <w:rsid w:val="00491711"/>
    <w:rsid w:val="004917B3"/>
    <w:rsid w:val="004917FE"/>
    <w:rsid w:val="0049180B"/>
    <w:rsid w:val="004918D0"/>
    <w:rsid w:val="004918D2"/>
    <w:rsid w:val="00491A17"/>
    <w:rsid w:val="00491A2C"/>
    <w:rsid w:val="00491A87"/>
    <w:rsid w:val="00491BB5"/>
    <w:rsid w:val="00491BBB"/>
    <w:rsid w:val="00491BF0"/>
    <w:rsid w:val="00491D2F"/>
    <w:rsid w:val="00491D8D"/>
    <w:rsid w:val="00491E3B"/>
    <w:rsid w:val="00491E7C"/>
    <w:rsid w:val="00491EB3"/>
    <w:rsid w:val="00491F1D"/>
    <w:rsid w:val="00491F93"/>
    <w:rsid w:val="00492016"/>
    <w:rsid w:val="00492050"/>
    <w:rsid w:val="004922F7"/>
    <w:rsid w:val="00492367"/>
    <w:rsid w:val="004923A6"/>
    <w:rsid w:val="00492457"/>
    <w:rsid w:val="004924B9"/>
    <w:rsid w:val="004924D3"/>
    <w:rsid w:val="004924FF"/>
    <w:rsid w:val="00492504"/>
    <w:rsid w:val="0049269D"/>
    <w:rsid w:val="004926CF"/>
    <w:rsid w:val="00492727"/>
    <w:rsid w:val="00492744"/>
    <w:rsid w:val="004927C0"/>
    <w:rsid w:val="004927CE"/>
    <w:rsid w:val="004927E8"/>
    <w:rsid w:val="0049289A"/>
    <w:rsid w:val="00492979"/>
    <w:rsid w:val="004929B0"/>
    <w:rsid w:val="004929B7"/>
    <w:rsid w:val="00492A91"/>
    <w:rsid w:val="00492B4D"/>
    <w:rsid w:val="00492BB7"/>
    <w:rsid w:val="00492C05"/>
    <w:rsid w:val="00492C3B"/>
    <w:rsid w:val="00492CCF"/>
    <w:rsid w:val="00492D1A"/>
    <w:rsid w:val="00492DD1"/>
    <w:rsid w:val="00492F42"/>
    <w:rsid w:val="00493071"/>
    <w:rsid w:val="0049311B"/>
    <w:rsid w:val="00493397"/>
    <w:rsid w:val="00493446"/>
    <w:rsid w:val="0049355F"/>
    <w:rsid w:val="00493689"/>
    <w:rsid w:val="0049370D"/>
    <w:rsid w:val="0049394C"/>
    <w:rsid w:val="004939A1"/>
    <w:rsid w:val="00493AB7"/>
    <w:rsid w:val="00493BFD"/>
    <w:rsid w:val="00493C28"/>
    <w:rsid w:val="00493CC5"/>
    <w:rsid w:val="00493CF0"/>
    <w:rsid w:val="00493E2B"/>
    <w:rsid w:val="00493E5C"/>
    <w:rsid w:val="00493F1E"/>
    <w:rsid w:val="00493FEC"/>
    <w:rsid w:val="00494164"/>
    <w:rsid w:val="004941F5"/>
    <w:rsid w:val="00494352"/>
    <w:rsid w:val="004945B5"/>
    <w:rsid w:val="004945B9"/>
    <w:rsid w:val="00494654"/>
    <w:rsid w:val="00494776"/>
    <w:rsid w:val="0049483B"/>
    <w:rsid w:val="00494944"/>
    <w:rsid w:val="00494BBE"/>
    <w:rsid w:val="00494C8B"/>
    <w:rsid w:val="00494CE7"/>
    <w:rsid w:val="00494DD1"/>
    <w:rsid w:val="00494E77"/>
    <w:rsid w:val="0049503A"/>
    <w:rsid w:val="004950CD"/>
    <w:rsid w:val="00495234"/>
    <w:rsid w:val="004952A8"/>
    <w:rsid w:val="004952CE"/>
    <w:rsid w:val="00495378"/>
    <w:rsid w:val="00495509"/>
    <w:rsid w:val="00495560"/>
    <w:rsid w:val="00495633"/>
    <w:rsid w:val="0049564C"/>
    <w:rsid w:val="0049572B"/>
    <w:rsid w:val="004957BF"/>
    <w:rsid w:val="004957C7"/>
    <w:rsid w:val="0049587F"/>
    <w:rsid w:val="004958AD"/>
    <w:rsid w:val="004958E6"/>
    <w:rsid w:val="004958EA"/>
    <w:rsid w:val="00495A3E"/>
    <w:rsid w:val="00495BD3"/>
    <w:rsid w:val="00495BE8"/>
    <w:rsid w:val="00495C17"/>
    <w:rsid w:val="00495CFD"/>
    <w:rsid w:val="00495D1A"/>
    <w:rsid w:val="00495DB1"/>
    <w:rsid w:val="00495E27"/>
    <w:rsid w:val="00495E76"/>
    <w:rsid w:val="00495E9E"/>
    <w:rsid w:val="00495EF4"/>
    <w:rsid w:val="00495F0D"/>
    <w:rsid w:val="00495FBB"/>
    <w:rsid w:val="00495FE8"/>
    <w:rsid w:val="00496012"/>
    <w:rsid w:val="00496063"/>
    <w:rsid w:val="00496070"/>
    <w:rsid w:val="004960E4"/>
    <w:rsid w:val="0049622B"/>
    <w:rsid w:val="0049629A"/>
    <w:rsid w:val="00496367"/>
    <w:rsid w:val="0049643E"/>
    <w:rsid w:val="004964AD"/>
    <w:rsid w:val="00496585"/>
    <w:rsid w:val="00496675"/>
    <w:rsid w:val="004966E5"/>
    <w:rsid w:val="004967CF"/>
    <w:rsid w:val="0049685E"/>
    <w:rsid w:val="00496897"/>
    <w:rsid w:val="00496A38"/>
    <w:rsid w:val="00496A94"/>
    <w:rsid w:val="00496B14"/>
    <w:rsid w:val="00496BF3"/>
    <w:rsid w:val="00496E38"/>
    <w:rsid w:val="00496FA5"/>
    <w:rsid w:val="00496FD0"/>
    <w:rsid w:val="00497046"/>
    <w:rsid w:val="00497060"/>
    <w:rsid w:val="00497064"/>
    <w:rsid w:val="0049717C"/>
    <w:rsid w:val="004971DD"/>
    <w:rsid w:val="00497212"/>
    <w:rsid w:val="0049724E"/>
    <w:rsid w:val="0049726A"/>
    <w:rsid w:val="00497408"/>
    <w:rsid w:val="00497433"/>
    <w:rsid w:val="00497555"/>
    <w:rsid w:val="004975FE"/>
    <w:rsid w:val="00497692"/>
    <w:rsid w:val="00497702"/>
    <w:rsid w:val="004977EC"/>
    <w:rsid w:val="0049789A"/>
    <w:rsid w:val="004978F6"/>
    <w:rsid w:val="0049790F"/>
    <w:rsid w:val="00497931"/>
    <w:rsid w:val="00497986"/>
    <w:rsid w:val="004979A1"/>
    <w:rsid w:val="00497A28"/>
    <w:rsid w:val="00497A33"/>
    <w:rsid w:val="00497A35"/>
    <w:rsid w:val="00497B30"/>
    <w:rsid w:val="00497B4A"/>
    <w:rsid w:val="00497CBB"/>
    <w:rsid w:val="00497D4A"/>
    <w:rsid w:val="00497DB6"/>
    <w:rsid w:val="00497E12"/>
    <w:rsid w:val="00497E20"/>
    <w:rsid w:val="00497EA1"/>
    <w:rsid w:val="00497EF7"/>
    <w:rsid w:val="00497F41"/>
    <w:rsid w:val="004A0282"/>
    <w:rsid w:val="004A0353"/>
    <w:rsid w:val="004A0357"/>
    <w:rsid w:val="004A036C"/>
    <w:rsid w:val="004A0378"/>
    <w:rsid w:val="004A0394"/>
    <w:rsid w:val="004A03D9"/>
    <w:rsid w:val="004A041E"/>
    <w:rsid w:val="004A0440"/>
    <w:rsid w:val="004A0456"/>
    <w:rsid w:val="004A04C6"/>
    <w:rsid w:val="004A0522"/>
    <w:rsid w:val="004A0586"/>
    <w:rsid w:val="004A0656"/>
    <w:rsid w:val="004A070E"/>
    <w:rsid w:val="004A085B"/>
    <w:rsid w:val="004A09FD"/>
    <w:rsid w:val="004A0B01"/>
    <w:rsid w:val="004A0B36"/>
    <w:rsid w:val="004A0B8B"/>
    <w:rsid w:val="004A0BCC"/>
    <w:rsid w:val="004A0BEE"/>
    <w:rsid w:val="004A0BF4"/>
    <w:rsid w:val="004A0C07"/>
    <w:rsid w:val="004A0DA3"/>
    <w:rsid w:val="004A0E40"/>
    <w:rsid w:val="004A0E62"/>
    <w:rsid w:val="004A0EC6"/>
    <w:rsid w:val="004A0EDA"/>
    <w:rsid w:val="004A0F44"/>
    <w:rsid w:val="004A0F9A"/>
    <w:rsid w:val="004A0FB8"/>
    <w:rsid w:val="004A1001"/>
    <w:rsid w:val="004A1044"/>
    <w:rsid w:val="004A1088"/>
    <w:rsid w:val="004A10DB"/>
    <w:rsid w:val="004A10FF"/>
    <w:rsid w:val="004A116E"/>
    <w:rsid w:val="004A1171"/>
    <w:rsid w:val="004A1172"/>
    <w:rsid w:val="004A11CC"/>
    <w:rsid w:val="004A11F7"/>
    <w:rsid w:val="004A1261"/>
    <w:rsid w:val="004A12D9"/>
    <w:rsid w:val="004A1365"/>
    <w:rsid w:val="004A1384"/>
    <w:rsid w:val="004A13B6"/>
    <w:rsid w:val="004A13F5"/>
    <w:rsid w:val="004A1446"/>
    <w:rsid w:val="004A14B3"/>
    <w:rsid w:val="004A14EF"/>
    <w:rsid w:val="004A15AC"/>
    <w:rsid w:val="004A15E9"/>
    <w:rsid w:val="004A1673"/>
    <w:rsid w:val="004A16E5"/>
    <w:rsid w:val="004A1705"/>
    <w:rsid w:val="004A173F"/>
    <w:rsid w:val="004A1789"/>
    <w:rsid w:val="004A179A"/>
    <w:rsid w:val="004A1907"/>
    <w:rsid w:val="004A1920"/>
    <w:rsid w:val="004A1922"/>
    <w:rsid w:val="004A19DD"/>
    <w:rsid w:val="004A1A3C"/>
    <w:rsid w:val="004A1A55"/>
    <w:rsid w:val="004A1B04"/>
    <w:rsid w:val="004A1BE6"/>
    <w:rsid w:val="004A1C0D"/>
    <w:rsid w:val="004A1C71"/>
    <w:rsid w:val="004A1D51"/>
    <w:rsid w:val="004A1D5A"/>
    <w:rsid w:val="004A1DE2"/>
    <w:rsid w:val="004A1EE1"/>
    <w:rsid w:val="004A1FAE"/>
    <w:rsid w:val="004A1FC8"/>
    <w:rsid w:val="004A2079"/>
    <w:rsid w:val="004A2129"/>
    <w:rsid w:val="004A2236"/>
    <w:rsid w:val="004A2246"/>
    <w:rsid w:val="004A22A9"/>
    <w:rsid w:val="004A254F"/>
    <w:rsid w:val="004A25F1"/>
    <w:rsid w:val="004A2671"/>
    <w:rsid w:val="004A2708"/>
    <w:rsid w:val="004A2795"/>
    <w:rsid w:val="004A27DC"/>
    <w:rsid w:val="004A2821"/>
    <w:rsid w:val="004A2865"/>
    <w:rsid w:val="004A28AC"/>
    <w:rsid w:val="004A290A"/>
    <w:rsid w:val="004A2934"/>
    <w:rsid w:val="004A2946"/>
    <w:rsid w:val="004A2994"/>
    <w:rsid w:val="004A29A5"/>
    <w:rsid w:val="004A2B4D"/>
    <w:rsid w:val="004A2C82"/>
    <w:rsid w:val="004A2D3E"/>
    <w:rsid w:val="004A2DA3"/>
    <w:rsid w:val="004A2DD7"/>
    <w:rsid w:val="004A2E1F"/>
    <w:rsid w:val="004A2E6C"/>
    <w:rsid w:val="004A2E73"/>
    <w:rsid w:val="004A2F34"/>
    <w:rsid w:val="004A2F40"/>
    <w:rsid w:val="004A301E"/>
    <w:rsid w:val="004A3049"/>
    <w:rsid w:val="004A3084"/>
    <w:rsid w:val="004A30C6"/>
    <w:rsid w:val="004A30DB"/>
    <w:rsid w:val="004A3155"/>
    <w:rsid w:val="004A31A6"/>
    <w:rsid w:val="004A3297"/>
    <w:rsid w:val="004A32FA"/>
    <w:rsid w:val="004A331D"/>
    <w:rsid w:val="004A336B"/>
    <w:rsid w:val="004A3371"/>
    <w:rsid w:val="004A33C0"/>
    <w:rsid w:val="004A3611"/>
    <w:rsid w:val="004A375B"/>
    <w:rsid w:val="004A37A2"/>
    <w:rsid w:val="004A3889"/>
    <w:rsid w:val="004A38EF"/>
    <w:rsid w:val="004A391A"/>
    <w:rsid w:val="004A3A0E"/>
    <w:rsid w:val="004A3A81"/>
    <w:rsid w:val="004A3BDB"/>
    <w:rsid w:val="004A3C05"/>
    <w:rsid w:val="004A3C1A"/>
    <w:rsid w:val="004A3D09"/>
    <w:rsid w:val="004A3DD1"/>
    <w:rsid w:val="004A3EEA"/>
    <w:rsid w:val="004A3FE6"/>
    <w:rsid w:val="004A3FE7"/>
    <w:rsid w:val="004A40DE"/>
    <w:rsid w:val="004A41F6"/>
    <w:rsid w:val="004A426C"/>
    <w:rsid w:val="004A4311"/>
    <w:rsid w:val="004A4460"/>
    <w:rsid w:val="004A4529"/>
    <w:rsid w:val="004A4587"/>
    <w:rsid w:val="004A45B1"/>
    <w:rsid w:val="004A47F8"/>
    <w:rsid w:val="004A4906"/>
    <w:rsid w:val="004A4985"/>
    <w:rsid w:val="004A4A79"/>
    <w:rsid w:val="004A4A9C"/>
    <w:rsid w:val="004A4B71"/>
    <w:rsid w:val="004A4B81"/>
    <w:rsid w:val="004A4BC5"/>
    <w:rsid w:val="004A4BED"/>
    <w:rsid w:val="004A4C41"/>
    <w:rsid w:val="004A4D5C"/>
    <w:rsid w:val="004A4DD4"/>
    <w:rsid w:val="004A4DE2"/>
    <w:rsid w:val="004A4E83"/>
    <w:rsid w:val="004A4EAA"/>
    <w:rsid w:val="004A4F7E"/>
    <w:rsid w:val="004A5143"/>
    <w:rsid w:val="004A5205"/>
    <w:rsid w:val="004A521F"/>
    <w:rsid w:val="004A52EF"/>
    <w:rsid w:val="004A52FA"/>
    <w:rsid w:val="004A54A7"/>
    <w:rsid w:val="004A5549"/>
    <w:rsid w:val="004A56F3"/>
    <w:rsid w:val="004A5747"/>
    <w:rsid w:val="004A5879"/>
    <w:rsid w:val="004A58C3"/>
    <w:rsid w:val="004A593E"/>
    <w:rsid w:val="004A597F"/>
    <w:rsid w:val="004A59AA"/>
    <w:rsid w:val="004A5AA9"/>
    <w:rsid w:val="004A5AFD"/>
    <w:rsid w:val="004A5C1D"/>
    <w:rsid w:val="004A5C62"/>
    <w:rsid w:val="004A5CBE"/>
    <w:rsid w:val="004A5F2C"/>
    <w:rsid w:val="004A608E"/>
    <w:rsid w:val="004A61A4"/>
    <w:rsid w:val="004A6287"/>
    <w:rsid w:val="004A63BE"/>
    <w:rsid w:val="004A6439"/>
    <w:rsid w:val="004A64BE"/>
    <w:rsid w:val="004A64C8"/>
    <w:rsid w:val="004A65D9"/>
    <w:rsid w:val="004A6639"/>
    <w:rsid w:val="004A67DA"/>
    <w:rsid w:val="004A680F"/>
    <w:rsid w:val="004A6841"/>
    <w:rsid w:val="004A6993"/>
    <w:rsid w:val="004A6ACE"/>
    <w:rsid w:val="004A6ACF"/>
    <w:rsid w:val="004A6C22"/>
    <w:rsid w:val="004A6C78"/>
    <w:rsid w:val="004A6D17"/>
    <w:rsid w:val="004A6EB0"/>
    <w:rsid w:val="004A6EC9"/>
    <w:rsid w:val="004A70AE"/>
    <w:rsid w:val="004A7107"/>
    <w:rsid w:val="004A7137"/>
    <w:rsid w:val="004A71E7"/>
    <w:rsid w:val="004A729D"/>
    <w:rsid w:val="004A737C"/>
    <w:rsid w:val="004A73A0"/>
    <w:rsid w:val="004A743A"/>
    <w:rsid w:val="004A75D1"/>
    <w:rsid w:val="004A7639"/>
    <w:rsid w:val="004A7656"/>
    <w:rsid w:val="004A76BF"/>
    <w:rsid w:val="004A7776"/>
    <w:rsid w:val="004A7791"/>
    <w:rsid w:val="004A7AB0"/>
    <w:rsid w:val="004A7AEF"/>
    <w:rsid w:val="004A7B65"/>
    <w:rsid w:val="004A7FEA"/>
    <w:rsid w:val="004A7FFA"/>
    <w:rsid w:val="004B006B"/>
    <w:rsid w:val="004B0083"/>
    <w:rsid w:val="004B00F8"/>
    <w:rsid w:val="004B01BB"/>
    <w:rsid w:val="004B01EA"/>
    <w:rsid w:val="004B0280"/>
    <w:rsid w:val="004B02A7"/>
    <w:rsid w:val="004B036E"/>
    <w:rsid w:val="004B03D8"/>
    <w:rsid w:val="004B04D2"/>
    <w:rsid w:val="004B064D"/>
    <w:rsid w:val="004B0706"/>
    <w:rsid w:val="004B0727"/>
    <w:rsid w:val="004B0775"/>
    <w:rsid w:val="004B08A2"/>
    <w:rsid w:val="004B08F9"/>
    <w:rsid w:val="004B09C3"/>
    <w:rsid w:val="004B09D1"/>
    <w:rsid w:val="004B0A34"/>
    <w:rsid w:val="004B0A61"/>
    <w:rsid w:val="004B0ADC"/>
    <w:rsid w:val="004B0B0E"/>
    <w:rsid w:val="004B0CCA"/>
    <w:rsid w:val="004B0DE5"/>
    <w:rsid w:val="004B0DE6"/>
    <w:rsid w:val="004B0E61"/>
    <w:rsid w:val="004B0EDD"/>
    <w:rsid w:val="004B0EEB"/>
    <w:rsid w:val="004B0F1F"/>
    <w:rsid w:val="004B0F68"/>
    <w:rsid w:val="004B0FD0"/>
    <w:rsid w:val="004B0FD1"/>
    <w:rsid w:val="004B1013"/>
    <w:rsid w:val="004B10B0"/>
    <w:rsid w:val="004B10C5"/>
    <w:rsid w:val="004B1218"/>
    <w:rsid w:val="004B12C5"/>
    <w:rsid w:val="004B13BE"/>
    <w:rsid w:val="004B13D3"/>
    <w:rsid w:val="004B146B"/>
    <w:rsid w:val="004B155E"/>
    <w:rsid w:val="004B15E9"/>
    <w:rsid w:val="004B1626"/>
    <w:rsid w:val="004B1676"/>
    <w:rsid w:val="004B16D7"/>
    <w:rsid w:val="004B16D9"/>
    <w:rsid w:val="004B1791"/>
    <w:rsid w:val="004B1855"/>
    <w:rsid w:val="004B195B"/>
    <w:rsid w:val="004B1962"/>
    <w:rsid w:val="004B1AAF"/>
    <w:rsid w:val="004B1AC3"/>
    <w:rsid w:val="004B1B9E"/>
    <w:rsid w:val="004B1BD5"/>
    <w:rsid w:val="004B1BF6"/>
    <w:rsid w:val="004B1CC6"/>
    <w:rsid w:val="004B1CD6"/>
    <w:rsid w:val="004B1D40"/>
    <w:rsid w:val="004B1DAE"/>
    <w:rsid w:val="004B1F7A"/>
    <w:rsid w:val="004B201B"/>
    <w:rsid w:val="004B207A"/>
    <w:rsid w:val="004B20F1"/>
    <w:rsid w:val="004B218C"/>
    <w:rsid w:val="004B2379"/>
    <w:rsid w:val="004B244C"/>
    <w:rsid w:val="004B2482"/>
    <w:rsid w:val="004B253B"/>
    <w:rsid w:val="004B2545"/>
    <w:rsid w:val="004B2598"/>
    <w:rsid w:val="004B262A"/>
    <w:rsid w:val="004B26D3"/>
    <w:rsid w:val="004B275B"/>
    <w:rsid w:val="004B28C0"/>
    <w:rsid w:val="004B2A1C"/>
    <w:rsid w:val="004B2CDB"/>
    <w:rsid w:val="004B2D28"/>
    <w:rsid w:val="004B2DDD"/>
    <w:rsid w:val="004B2DE7"/>
    <w:rsid w:val="004B2E41"/>
    <w:rsid w:val="004B2EFE"/>
    <w:rsid w:val="004B2F02"/>
    <w:rsid w:val="004B309B"/>
    <w:rsid w:val="004B329F"/>
    <w:rsid w:val="004B3397"/>
    <w:rsid w:val="004B33EB"/>
    <w:rsid w:val="004B34F0"/>
    <w:rsid w:val="004B3524"/>
    <w:rsid w:val="004B367A"/>
    <w:rsid w:val="004B36FA"/>
    <w:rsid w:val="004B3790"/>
    <w:rsid w:val="004B37CA"/>
    <w:rsid w:val="004B3947"/>
    <w:rsid w:val="004B397C"/>
    <w:rsid w:val="004B39E9"/>
    <w:rsid w:val="004B3A02"/>
    <w:rsid w:val="004B3ADD"/>
    <w:rsid w:val="004B3B40"/>
    <w:rsid w:val="004B3B59"/>
    <w:rsid w:val="004B3C2D"/>
    <w:rsid w:val="004B3DFB"/>
    <w:rsid w:val="004B3E24"/>
    <w:rsid w:val="004B3E91"/>
    <w:rsid w:val="004B3F12"/>
    <w:rsid w:val="004B3F75"/>
    <w:rsid w:val="004B3FB3"/>
    <w:rsid w:val="004B3FD4"/>
    <w:rsid w:val="004B3FF5"/>
    <w:rsid w:val="004B40D3"/>
    <w:rsid w:val="004B4167"/>
    <w:rsid w:val="004B4239"/>
    <w:rsid w:val="004B42AE"/>
    <w:rsid w:val="004B42FC"/>
    <w:rsid w:val="004B4427"/>
    <w:rsid w:val="004B4499"/>
    <w:rsid w:val="004B44A4"/>
    <w:rsid w:val="004B4511"/>
    <w:rsid w:val="004B457C"/>
    <w:rsid w:val="004B4685"/>
    <w:rsid w:val="004B47B1"/>
    <w:rsid w:val="004B494B"/>
    <w:rsid w:val="004B4951"/>
    <w:rsid w:val="004B4993"/>
    <w:rsid w:val="004B4A1D"/>
    <w:rsid w:val="004B4AA6"/>
    <w:rsid w:val="004B4B30"/>
    <w:rsid w:val="004B4CBB"/>
    <w:rsid w:val="004B4DA4"/>
    <w:rsid w:val="004B5057"/>
    <w:rsid w:val="004B5080"/>
    <w:rsid w:val="004B5184"/>
    <w:rsid w:val="004B525D"/>
    <w:rsid w:val="004B5293"/>
    <w:rsid w:val="004B5386"/>
    <w:rsid w:val="004B53D1"/>
    <w:rsid w:val="004B552F"/>
    <w:rsid w:val="004B553F"/>
    <w:rsid w:val="004B555A"/>
    <w:rsid w:val="004B55B6"/>
    <w:rsid w:val="004B55DA"/>
    <w:rsid w:val="004B5623"/>
    <w:rsid w:val="004B5648"/>
    <w:rsid w:val="004B582C"/>
    <w:rsid w:val="004B591E"/>
    <w:rsid w:val="004B5923"/>
    <w:rsid w:val="004B5950"/>
    <w:rsid w:val="004B59E6"/>
    <w:rsid w:val="004B5A3A"/>
    <w:rsid w:val="004B5B03"/>
    <w:rsid w:val="004B5B99"/>
    <w:rsid w:val="004B5D04"/>
    <w:rsid w:val="004B5D7B"/>
    <w:rsid w:val="004B5E06"/>
    <w:rsid w:val="004B5E3A"/>
    <w:rsid w:val="004B5E5C"/>
    <w:rsid w:val="004B5E78"/>
    <w:rsid w:val="004B5EBF"/>
    <w:rsid w:val="004B60D4"/>
    <w:rsid w:val="004B60FC"/>
    <w:rsid w:val="004B61F7"/>
    <w:rsid w:val="004B6416"/>
    <w:rsid w:val="004B6424"/>
    <w:rsid w:val="004B655C"/>
    <w:rsid w:val="004B656D"/>
    <w:rsid w:val="004B667B"/>
    <w:rsid w:val="004B66F4"/>
    <w:rsid w:val="004B6790"/>
    <w:rsid w:val="004B67DA"/>
    <w:rsid w:val="004B6896"/>
    <w:rsid w:val="004B6A22"/>
    <w:rsid w:val="004B6A9D"/>
    <w:rsid w:val="004B6AB8"/>
    <w:rsid w:val="004B6B6A"/>
    <w:rsid w:val="004B6BB2"/>
    <w:rsid w:val="004B6BEB"/>
    <w:rsid w:val="004B6D28"/>
    <w:rsid w:val="004B6E27"/>
    <w:rsid w:val="004B6E35"/>
    <w:rsid w:val="004B6E89"/>
    <w:rsid w:val="004B6EA5"/>
    <w:rsid w:val="004B6EC0"/>
    <w:rsid w:val="004B6EF8"/>
    <w:rsid w:val="004B6F07"/>
    <w:rsid w:val="004B6F65"/>
    <w:rsid w:val="004B6F66"/>
    <w:rsid w:val="004B6F81"/>
    <w:rsid w:val="004B6FCE"/>
    <w:rsid w:val="004B7074"/>
    <w:rsid w:val="004B7101"/>
    <w:rsid w:val="004B713B"/>
    <w:rsid w:val="004B7191"/>
    <w:rsid w:val="004B7269"/>
    <w:rsid w:val="004B726B"/>
    <w:rsid w:val="004B7279"/>
    <w:rsid w:val="004B7345"/>
    <w:rsid w:val="004B7482"/>
    <w:rsid w:val="004B753E"/>
    <w:rsid w:val="004B75CC"/>
    <w:rsid w:val="004B77FD"/>
    <w:rsid w:val="004B7969"/>
    <w:rsid w:val="004B79BA"/>
    <w:rsid w:val="004B7A60"/>
    <w:rsid w:val="004B7A90"/>
    <w:rsid w:val="004B7AEE"/>
    <w:rsid w:val="004B7B58"/>
    <w:rsid w:val="004B7D53"/>
    <w:rsid w:val="004B7E17"/>
    <w:rsid w:val="004B7E46"/>
    <w:rsid w:val="004B7E82"/>
    <w:rsid w:val="004B7E98"/>
    <w:rsid w:val="004B7FAC"/>
    <w:rsid w:val="004C0018"/>
    <w:rsid w:val="004C0073"/>
    <w:rsid w:val="004C00C5"/>
    <w:rsid w:val="004C017A"/>
    <w:rsid w:val="004C02E1"/>
    <w:rsid w:val="004C02E3"/>
    <w:rsid w:val="004C0349"/>
    <w:rsid w:val="004C0386"/>
    <w:rsid w:val="004C051A"/>
    <w:rsid w:val="004C0752"/>
    <w:rsid w:val="004C07D2"/>
    <w:rsid w:val="004C0995"/>
    <w:rsid w:val="004C0ABC"/>
    <w:rsid w:val="004C0B7A"/>
    <w:rsid w:val="004C0C50"/>
    <w:rsid w:val="004C0CB0"/>
    <w:rsid w:val="004C0CBA"/>
    <w:rsid w:val="004C0DE3"/>
    <w:rsid w:val="004C0EE8"/>
    <w:rsid w:val="004C0F05"/>
    <w:rsid w:val="004C0FA6"/>
    <w:rsid w:val="004C110B"/>
    <w:rsid w:val="004C114D"/>
    <w:rsid w:val="004C139E"/>
    <w:rsid w:val="004C1415"/>
    <w:rsid w:val="004C1446"/>
    <w:rsid w:val="004C144F"/>
    <w:rsid w:val="004C148E"/>
    <w:rsid w:val="004C167D"/>
    <w:rsid w:val="004C17C2"/>
    <w:rsid w:val="004C18A4"/>
    <w:rsid w:val="004C18CC"/>
    <w:rsid w:val="004C1959"/>
    <w:rsid w:val="004C1A7E"/>
    <w:rsid w:val="004C1B4B"/>
    <w:rsid w:val="004C1B93"/>
    <w:rsid w:val="004C1CE5"/>
    <w:rsid w:val="004C1D64"/>
    <w:rsid w:val="004C1DCC"/>
    <w:rsid w:val="004C1EDB"/>
    <w:rsid w:val="004C210A"/>
    <w:rsid w:val="004C2131"/>
    <w:rsid w:val="004C213B"/>
    <w:rsid w:val="004C2175"/>
    <w:rsid w:val="004C21CB"/>
    <w:rsid w:val="004C2241"/>
    <w:rsid w:val="004C2321"/>
    <w:rsid w:val="004C233A"/>
    <w:rsid w:val="004C2725"/>
    <w:rsid w:val="004C27A9"/>
    <w:rsid w:val="004C27E8"/>
    <w:rsid w:val="004C284B"/>
    <w:rsid w:val="004C2957"/>
    <w:rsid w:val="004C2986"/>
    <w:rsid w:val="004C2B1E"/>
    <w:rsid w:val="004C2B28"/>
    <w:rsid w:val="004C2C3D"/>
    <w:rsid w:val="004C2CC2"/>
    <w:rsid w:val="004C2DC5"/>
    <w:rsid w:val="004C2E9D"/>
    <w:rsid w:val="004C3038"/>
    <w:rsid w:val="004C309F"/>
    <w:rsid w:val="004C3197"/>
    <w:rsid w:val="004C3301"/>
    <w:rsid w:val="004C332E"/>
    <w:rsid w:val="004C334B"/>
    <w:rsid w:val="004C3417"/>
    <w:rsid w:val="004C343D"/>
    <w:rsid w:val="004C3527"/>
    <w:rsid w:val="004C353A"/>
    <w:rsid w:val="004C359A"/>
    <w:rsid w:val="004C361F"/>
    <w:rsid w:val="004C3645"/>
    <w:rsid w:val="004C3790"/>
    <w:rsid w:val="004C37C6"/>
    <w:rsid w:val="004C38F9"/>
    <w:rsid w:val="004C39A2"/>
    <w:rsid w:val="004C3A2D"/>
    <w:rsid w:val="004C3A86"/>
    <w:rsid w:val="004C3BD2"/>
    <w:rsid w:val="004C3CC4"/>
    <w:rsid w:val="004C3E0D"/>
    <w:rsid w:val="004C3E9D"/>
    <w:rsid w:val="004C3F2A"/>
    <w:rsid w:val="004C4101"/>
    <w:rsid w:val="004C4115"/>
    <w:rsid w:val="004C4117"/>
    <w:rsid w:val="004C415A"/>
    <w:rsid w:val="004C4192"/>
    <w:rsid w:val="004C41FA"/>
    <w:rsid w:val="004C424A"/>
    <w:rsid w:val="004C425B"/>
    <w:rsid w:val="004C42C5"/>
    <w:rsid w:val="004C4311"/>
    <w:rsid w:val="004C43B0"/>
    <w:rsid w:val="004C4424"/>
    <w:rsid w:val="004C4450"/>
    <w:rsid w:val="004C44C8"/>
    <w:rsid w:val="004C44D0"/>
    <w:rsid w:val="004C4561"/>
    <w:rsid w:val="004C46EC"/>
    <w:rsid w:val="004C4801"/>
    <w:rsid w:val="004C4804"/>
    <w:rsid w:val="004C4861"/>
    <w:rsid w:val="004C4866"/>
    <w:rsid w:val="004C4917"/>
    <w:rsid w:val="004C4941"/>
    <w:rsid w:val="004C4A0D"/>
    <w:rsid w:val="004C4A76"/>
    <w:rsid w:val="004C4AAF"/>
    <w:rsid w:val="004C4C27"/>
    <w:rsid w:val="004C4C85"/>
    <w:rsid w:val="004C4D78"/>
    <w:rsid w:val="004C4D93"/>
    <w:rsid w:val="004C4E36"/>
    <w:rsid w:val="004C4E48"/>
    <w:rsid w:val="004C4EBC"/>
    <w:rsid w:val="004C502F"/>
    <w:rsid w:val="004C508B"/>
    <w:rsid w:val="004C508D"/>
    <w:rsid w:val="004C5214"/>
    <w:rsid w:val="004C525A"/>
    <w:rsid w:val="004C5365"/>
    <w:rsid w:val="004C5367"/>
    <w:rsid w:val="004C54DB"/>
    <w:rsid w:val="004C563D"/>
    <w:rsid w:val="004C56F5"/>
    <w:rsid w:val="004C56FD"/>
    <w:rsid w:val="004C5737"/>
    <w:rsid w:val="004C577B"/>
    <w:rsid w:val="004C579F"/>
    <w:rsid w:val="004C590D"/>
    <w:rsid w:val="004C599D"/>
    <w:rsid w:val="004C59A8"/>
    <w:rsid w:val="004C5A5C"/>
    <w:rsid w:val="004C5ADD"/>
    <w:rsid w:val="004C5C10"/>
    <w:rsid w:val="004C5C21"/>
    <w:rsid w:val="004C5C2E"/>
    <w:rsid w:val="004C5C40"/>
    <w:rsid w:val="004C5CC9"/>
    <w:rsid w:val="004C5D2D"/>
    <w:rsid w:val="004C5DAF"/>
    <w:rsid w:val="004C5DBA"/>
    <w:rsid w:val="004C5E34"/>
    <w:rsid w:val="004C6125"/>
    <w:rsid w:val="004C61B2"/>
    <w:rsid w:val="004C6206"/>
    <w:rsid w:val="004C624E"/>
    <w:rsid w:val="004C634A"/>
    <w:rsid w:val="004C6359"/>
    <w:rsid w:val="004C6367"/>
    <w:rsid w:val="004C6417"/>
    <w:rsid w:val="004C645E"/>
    <w:rsid w:val="004C6464"/>
    <w:rsid w:val="004C6482"/>
    <w:rsid w:val="004C6565"/>
    <w:rsid w:val="004C6592"/>
    <w:rsid w:val="004C6644"/>
    <w:rsid w:val="004C67F3"/>
    <w:rsid w:val="004C6817"/>
    <w:rsid w:val="004C68B1"/>
    <w:rsid w:val="004C69BF"/>
    <w:rsid w:val="004C6B46"/>
    <w:rsid w:val="004C6C3A"/>
    <w:rsid w:val="004C6C82"/>
    <w:rsid w:val="004C6DDA"/>
    <w:rsid w:val="004C6E42"/>
    <w:rsid w:val="004C6EAD"/>
    <w:rsid w:val="004C6F12"/>
    <w:rsid w:val="004C6F76"/>
    <w:rsid w:val="004C7032"/>
    <w:rsid w:val="004C7047"/>
    <w:rsid w:val="004C707C"/>
    <w:rsid w:val="004C70A0"/>
    <w:rsid w:val="004C7112"/>
    <w:rsid w:val="004C717E"/>
    <w:rsid w:val="004C71BA"/>
    <w:rsid w:val="004C71BD"/>
    <w:rsid w:val="004C72C9"/>
    <w:rsid w:val="004C7306"/>
    <w:rsid w:val="004C73B6"/>
    <w:rsid w:val="004C7400"/>
    <w:rsid w:val="004C74FB"/>
    <w:rsid w:val="004C7646"/>
    <w:rsid w:val="004C7717"/>
    <w:rsid w:val="004C77BF"/>
    <w:rsid w:val="004C78C5"/>
    <w:rsid w:val="004C796E"/>
    <w:rsid w:val="004C79B0"/>
    <w:rsid w:val="004C7ADE"/>
    <w:rsid w:val="004C7BA5"/>
    <w:rsid w:val="004C7C84"/>
    <w:rsid w:val="004C7D68"/>
    <w:rsid w:val="004C7E6C"/>
    <w:rsid w:val="004C7E79"/>
    <w:rsid w:val="004C7EE7"/>
    <w:rsid w:val="004C7F8D"/>
    <w:rsid w:val="004D016E"/>
    <w:rsid w:val="004D018E"/>
    <w:rsid w:val="004D01DD"/>
    <w:rsid w:val="004D01F4"/>
    <w:rsid w:val="004D0228"/>
    <w:rsid w:val="004D0250"/>
    <w:rsid w:val="004D0481"/>
    <w:rsid w:val="004D0559"/>
    <w:rsid w:val="004D061B"/>
    <w:rsid w:val="004D075D"/>
    <w:rsid w:val="004D0797"/>
    <w:rsid w:val="004D0931"/>
    <w:rsid w:val="004D0953"/>
    <w:rsid w:val="004D095A"/>
    <w:rsid w:val="004D0973"/>
    <w:rsid w:val="004D09F8"/>
    <w:rsid w:val="004D0B4F"/>
    <w:rsid w:val="004D0B57"/>
    <w:rsid w:val="004D0C31"/>
    <w:rsid w:val="004D0D49"/>
    <w:rsid w:val="004D0DC0"/>
    <w:rsid w:val="004D0E0B"/>
    <w:rsid w:val="004D0E6E"/>
    <w:rsid w:val="004D0EAC"/>
    <w:rsid w:val="004D0F2F"/>
    <w:rsid w:val="004D0F91"/>
    <w:rsid w:val="004D100F"/>
    <w:rsid w:val="004D1059"/>
    <w:rsid w:val="004D113D"/>
    <w:rsid w:val="004D13C9"/>
    <w:rsid w:val="004D14EF"/>
    <w:rsid w:val="004D1625"/>
    <w:rsid w:val="004D1755"/>
    <w:rsid w:val="004D18C8"/>
    <w:rsid w:val="004D1A3A"/>
    <w:rsid w:val="004D1B15"/>
    <w:rsid w:val="004D1CFE"/>
    <w:rsid w:val="004D1D4B"/>
    <w:rsid w:val="004D1D7A"/>
    <w:rsid w:val="004D1DC4"/>
    <w:rsid w:val="004D1F3A"/>
    <w:rsid w:val="004D1FE7"/>
    <w:rsid w:val="004D2118"/>
    <w:rsid w:val="004D2309"/>
    <w:rsid w:val="004D235C"/>
    <w:rsid w:val="004D238B"/>
    <w:rsid w:val="004D23C7"/>
    <w:rsid w:val="004D2458"/>
    <w:rsid w:val="004D249E"/>
    <w:rsid w:val="004D2516"/>
    <w:rsid w:val="004D2582"/>
    <w:rsid w:val="004D26D9"/>
    <w:rsid w:val="004D27AB"/>
    <w:rsid w:val="004D27C5"/>
    <w:rsid w:val="004D27EF"/>
    <w:rsid w:val="004D2984"/>
    <w:rsid w:val="004D2B93"/>
    <w:rsid w:val="004D2C2A"/>
    <w:rsid w:val="004D2C4E"/>
    <w:rsid w:val="004D2C79"/>
    <w:rsid w:val="004D2E66"/>
    <w:rsid w:val="004D2E69"/>
    <w:rsid w:val="004D2EE1"/>
    <w:rsid w:val="004D2F11"/>
    <w:rsid w:val="004D2F32"/>
    <w:rsid w:val="004D2F88"/>
    <w:rsid w:val="004D2FAC"/>
    <w:rsid w:val="004D3017"/>
    <w:rsid w:val="004D3052"/>
    <w:rsid w:val="004D3084"/>
    <w:rsid w:val="004D30C8"/>
    <w:rsid w:val="004D3108"/>
    <w:rsid w:val="004D3121"/>
    <w:rsid w:val="004D318E"/>
    <w:rsid w:val="004D31C4"/>
    <w:rsid w:val="004D3424"/>
    <w:rsid w:val="004D34A5"/>
    <w:rsid w:val="004D34B2"/>
    <w:rsid w:val="004D3543"/>
    <w:rsid w:val="004D360F"/>
    <w:rsid w:val="004D369E"/>
    <w:rsid w:val="004D36B3"/>
    <w:rsid w:val="004D375C"/>
    <w:rsid w:val="004D382B"/>
    <w:rsid w:val="004D3872"/>
    <w:rsid w:val="004D39D4"/>
    <w:rsid w:val="004D39E3"/>
    <w:rsid w:val="004D3A0E"/>
    <w:rsid w:val="004D3AFE"/>
    <w:rsid w:val="004D3B01"/>
    <w:rsid w:val="004D3BB0"/>
    <w:rsid w:val="004D3C35"/>
    <w:rsid w:val="004D3C4A"/>
    <w:rsid w:val="004D3CF3"/>
    <w:rsid w:val="004D3CF6"/>
    <w:rsid w:val="004D3D37"/>
    <w:rsid w:val="004D3EAF"/>
    <w:rsid w:val="004D3EEA"/>
    <w:rsid w:val="004D3FB6"/>
    <w:rsid w:val="004D413F"/>
    <w:rsid w:val="004D414A"/>
    <w:rsid w:val="004D41BB"/>
    <w:rsid w:val="004D41E7"/>
    <w:rsid w:val="004D41ED"/>
    <w:rsid w:val="004D41FD"/>
    <w:rsid w:val="004D4210"/>
    <w:rsid w:val="004D42B4"/>
    <w:rsid w:val="004D4476"/>
    <w:rsid w:val="004D4564"/>
    <w:rsid w:val="004D4570"/>
    <w:rsid w:val="004D461B"/>
    <w:rsid w:val="004D4720"/>
    <w:rsid w:val="004D481C"/>
    <w:rsid w:val="004D4856"/>
    <w:rsid w:val="004D4891"/>
    <w:rsid w:val="004D4893"/>
    <w:rsid w:val="004D48E2"/>
    <w:rsid w:val="004D4907"/>
    <w:rsid w:val="004D4A46"/>
    <w:rsid w:val="004D4A6B"/>
    <w:rsid w:val="004D4AA1"/>
    <w:rsid w:val="004D4ABB"/>
    <w:rsid w:val="004D4AF2"/>
    <w:rsid w:val="004D4BF1"/>
    <w:rsid w:val="004D4CF3"/>
    <w:rsid w:val="004D4D38"/>
    <w:rsid w:val="004D4DAC"/>
    <w:rsid w:val="004D4F3F"/>
    <w:rsid w:val="004D4F4B"/>
    <w:rsid w:val="004D4F5D"/>
    <w:rsid w:val="004D4F84"/>
    <w:rsid w:val="004D50AA"/>
    <w:rsid w:val="004D51F2"/>
    <w:rsid w:val="004D51F6"/>
    <w:rsid w:val="004D5318"/>
    <w:rsid w:val="004D53D5"/>
    <w:rsid w:val="004D5414"/>
    <w:rsid w:val="004D546E"/>
    <w:rsid w:val="004D55B1"/>
    <w:rsid w:val="004D562F"/>
    <w:rsid w:val="004D566E"/>
    <w:rsid w:val="004D5693"/>
    <w:rsid w:val="004D56E7"/>
    <w:rsid w:val="004D5789"/>
    <w:rsid w:val="004D57AD"/>
    <w:rsid w:val="004D57E1"/>
    <w:rsid w:val="004D58A0"/>
    <w:rsid w:val="004D5930"/>
    <w:rsid w:val="004D5959"/>
    <w:rsid w:val="004D5AF7"/>
    <w:rsid w:val="004D5B9A"/>
    <w:rsid w:val="004D5C65"/>
    <w:rsid w:val="004D5CAF"/>
    <w:rsid w:val="004D5D1A"/>
    <w:rsid w:val="004D5D99"/>
    <w:rsid w:val="004D5DB0"/>
    <w:rsid w:val="004D5E04"/>
    <w:rsid w:val="004D5E05"/>
    <w:rsid w:val="004D5E86"/>
    <w:rsid w:val="004D5EE3"/>
    <w:rsid w:val="004D5F27"/>
    <w:rsid w:val="004D5F3E"/>
    <w:rsid w:val="004D5FE0"/>
    <w:rsid w:val="004D6023"/>
    <w:rsid w:val="004D604B"/>
    <w:rsid w:val="004D60A2"/>
    <w:rsid w:val="004D60B4"/>
    <w:rsid w:val="004D61F2"/>
    <w:rsid w:val="004D624E"/>
    <w:rsid w:val="004D63E0"/>
    <w:rsid w:val="004D6591"/>
    <w:rsid w:val="004D65CE"/>
    <w:rsid w:val="004D65D8"/>
    <w:rsid w:val="004D6609"/>
    <w:rsid w:val="004D66ED"/>
    <w:rsid w:val="004D675E"/>
    <w:rsid w:val="004D687E"/>
    <w:rsid w:val="004D6999"/>
    <w:rsid w:val="004D69E1"/>
    <w:rsid w:val="004D6A05"/>
    <w:rsid w:val="004D6BC0"/>
    <w:rsid w:val="004D6CB4"/>
    <w:rsid w:val="004D6D0D"/>
    <w:rsid w:val="004D6DF4"/>
    <w:rsid w:val="004D6E05"/>
    <w:rsid w:val="004D6E9F"/>
    <w:rsid w:val="004D6F42"/>
    <w:rsid w:val="004D6FC1"/>
    <w:rsid w:val="004D70B2"/>
    <w:rsid w:val="004D71C9"/>
    <w:rsid w:val="004D724D"/>
    <w:rsid w:val="004D7318"/>
    <w:rsid w:val="004D73FB"/>
    <w:rsid w:val="004D74A1"/>
    <w:rsid w:val="004D74E8"/>
    <w:rsid w:val="004D75A2"/>
    <w:rsid w:val="004D75C2"/>
    <w:rsid w:val="004D7765"/>
    <w:rsid w:val="004D776C"/>
    <w:rsid w:val="004D7781"/>
    <w:rsid w:val="004D79E1"/>
    <w:rsid w:val="004D7AF2"/>
    <w:rsid w:val="004D7B56"/>
    <w:rsid w:val="004D7BDA"/>
    <w:rsid w:val="004D7BEA"/>
    <w:rsid w:val="004D7BEB"/>
    <w:rsid w:val="004D7D23"/>
    <w:rsid w:val="004D7F3D"/>
    <w:rsid w:val="004D7FC9"/>
    <w:rsid w:val="004D7FD1"/>
    <w:rsid w:val="004E0064"/>
    <w:rsid w:val="004E007E"/>
    <w:rsid w:val="004E0161"/>
    <w:rsid w:val="004E02B7"/>
    <w:rsid w:val="004E0332"/>
    <w:rsid w:val="004E0344"/>
    <w:rsid w:val="004E0359"/>
    <w:rsid w:val="004E0512"/>
    <w:rsid w:val="004E0587"/>
    <w:rsid w:val="004E0604"/>
    <w:rsid w:val="004E0647"/>
    <w:rsid w:val="004E065E"/>
    <w:rsid w:val="004E06FF"/>
    <w:rsid w:val="004E0762"/>
    <w:rsid w:val="004E0767"/>
    <w:rsid w:val="004E0857"/>
    <w:rsid w:val="004E08DF"/>
    <w:rsid w:val="004E096D"/>
    <w:rsid w:val="004E0B14"/>
    <w:rsid w:val="004E0B1A"/>
    <w:rsid w:val="004E0B3F"/>
    <w:rsid w:val="004E0B68"/>
    <w:rsid w:val="004E0BB1"/>
    <w:rsid w:val="004E0BD7"/>
    <w:rsid w:val="004E0C3A"/>
    <w:rsid w:val="004E0F0B"/>
    <w:rsid w:val="004E0F60"/>
    <w:rsid w:val="004E0FEB"/>
    <w:rsid w:val="004E10B0"/>
    <w:rsid w:val="004E11E1"/>
    <w:rsid w:val="004E11F3"/>
    <w:rsid w:val="004E1308"/>
    <w:rsid w:val="004E1476"/>
    <w:rsid w:val="004E14DC"/>
    <w:rsid w:val="004E152D"/>
    <w:rsid w:val="004E1554"/>
    <w:rsid w:val="004E1560"/>
    <w:rsid w:val="004E15AD"/>
    <w:rsid w:val="004E15C8"/>
    <w:rsid w:val="004E1729"/>
    <w:rsid w:val="004E1752"/>
    <w:rsid w:val="004E1782"/>
    <w:rsid w:val="004E1A50"/>
    <w:rsid w:val="004E1AE8"/>
    <w:rsid w:val="004E1B84"/>
    <w:rsid w:val="004E1B87"/>
    <w:rsid w:val="004E1D44"/>
    <w:rsid w:val="004E1DB5"/>
    <w:rsid w:val="004E1DDD"/>
    <w:rsid w:val="004E1EDE"/>
    <w:rsid w:val="004E1EE0"/>
    <w:rsid w:val="004E1FAF"/>
    <w:rsid w:val="004E21EF"/>
    <w:rsid w:val="004E2269"/>
    <w:rsid w:val="004E235C"/>
    <w:rsid w:val="004E240A"/>
    <w:rsid w:val="004E2425"/>
    <w:rsid w:val="004E24B0"/>
    <w:rsid w:val="004E25B9"/>
    <w:rsid w:val="004E267C"/>
    <w:rsid w:val="004E2680"/>
    <w:rsid w:val="004E26C8"/>
    <w:rsid w:val="004E26E9"/>
    <w:rsid w:val="004E27D1"/>
    <w:rsid w:val="004E2886"/>
    <w:rsid w:val="004E28D8"/>
    <w:rsid w:val="004E2A0D"/>
    <w:rsid w:val="004E2A6E"/>
    <w:rsid w:val="004E2C8B"/>
    <w:rsid w:val="004E2CBF"/>
    <w:rsid w:val="004E2D0D"/>
    <w:rsid w:val="004E2D24"/>
    <w:rsid w:val="004E2D60"/>
    <w:rsid w:val="004E2DF5"/>
    <w:rsid w:val="004E2E84"/>
    <w:rsid w:val="004E2ECB"/>
    <w:rsid w:val="004E2FE8"/>
    <w:rsid w:val="004E3033"/>
    <w:rsid w:val="004E3083"/>
    <w:rsid w:val="004E3153"/>
    <w:rsid w:val="004E31A3"/>
    <w:rsid w:val="004E3255"/>
    <w:rsid w:val="004E32C7"/>
    <w:rsid w:val="004E3371"/>
    <w:rsid w:val="004E33F5"/>
    <w:rsid w:val="004E34A1"/>
    <w:rsid w:val="004E35E1"/>
    <w:rsid w:val="004E35E6"/>
    <w:rsid w:val="004E36AD"/>
    <w:rsid w:val="004E370F"/>
    <w:rsid w:val="004E3729"/>
    <w:rsid w:val="004E381C"/>
    <w:rsid w:val="004E38FC"/>
    <w:rsid w:val="004E38FD"/>
    <w:rsid w:val="004E3A4C"/>
    <w:rsid w:val="004E3A65"/>
    <w:rsid w:val="004E3AA3"/>
    <w:rsid w:val="004E3C07"/>
    <w:rsid w:val="004E3C2A"/>
    <w:rsid w:val="004E3D95"/>
    <w:rsid w:val="004E3F09"/>
    <w:rsid w:val="004E3F1F"/>
    <w:rsid w:val="004E3FAC"/>
    <w:rsid w:val="004E3FB0"/>
    <w:rsid w:val="004E4033"/>
    <w:rsid w:val="004E4084"/>
    <w:rsid w:val="004E410F"/>
    <w:rsid w:val="004E4128"/>
    <w:rsid w:val="004E415B"/>
    <w:rsid w:val="004E416C"/>
    <w:rsid w:val="004E42C3"/>
    <w:rsid w:val="004E43B6"/>
    <w:rsid w:val="004E444F"/>
    <w:rsid w:val="004E4538"/>
    <w:rsid w:val="004E4549"/>
    <w:rsid w:val="004E4591"/>
    <w:rsid w:val="004E466E"/>
    <w:rsid w:val="004E46D9"/>
    <w:rsid w:val="004E4725"/>
    <w:rsid w:val="004E47BD"/>
    <w:rsid w:val="004E495F"/>
    <w:rsid w:val="004E4A5E"/>
    <w:rsid w:val="004E4BC8"/>
    <w:rsid w:val="004E4D26"/>
    <w:rsid w:val="004E4D2D"/>
    <w:rsid w:val="004E4D63"/>
    <w:rsid w:val="004E4F6A"/>
    <w:rsid w:val="004E4FAD"/>
    <w:rsid w:val="004E513E"/>
    <w:rsid w:val="004E51BB"/>
    <w:rsid w:val="004E534D"/>
    <w:rsid w:val="004E53A3"/>
    <w:rsid w:val="004E53E8"/>
    <w:rsid w:val="004E5403"/>
    <w:rsid w:val="004E54F5"/>
    <w:rsid w:val="004E550C"/>
    <w:rsid w:val="004E5547"/>
    <w:rsid w:val="004E556D"/>
    <w:rsid w:val="004E5599"/>
    <w:rsid w:val="004E55D2"/>
    <w:rsid w:val="004E56E4"/>
    <w:rsid w:val="004E57B3"/>
    <w:rsid w:val="004E5814"/>
    <w:rsid w:val="004E58F3"/>
    <w:rsid w:val="004E5A6E"/>
    <w:rsid w:val="004E5B35"/>
    <w:rsid w:val="004E5B5C"/>
    <w:rsid w:val="004E5C50"/>
    <w:rsid w:val="004E5C66"/>
    <w:rsid w:val="004E5D3B"/>
    <w:rsid w:val="004E5D8B"/>
    <w:rsid w:val="004E5E31"/>
    <w:rsid w:val="004E5E7B"/>
    <w:rsid w:val="004E5F8B"/>
    <w:rsid w:val="004E6024"/>
    <w:rsid w:val="004E60D4"/>
    <w:rsid w:val="004E612A"/>
    <w:rsid w:val="004E6135"/>
    <w:rsid w:val="004E6152"/>
    <w:rsid w:val="004E62F4"/>
    <w:rsid w:val="004E6460"/>
    <w:rsid w:val="004E651C"/>
    <w:rsid w:val="004E65BD"/>
    <w:rsid w:val="004E6647"/>
    <w:rsid w:val="004E6873"/>
    <w:rsid w:val="004E68D2"/>
    <w:rsid w:val="004E695B"/>
    <w:rsid w:val="004E69F2"/>
    <w:rsid w:val="004E6AE1"/>
    <w:rsid w:val="004E6B50"/>
    <w:rsid w:val="004E6DF2"/>
    <w:rsid w:val="004E6DF9"/>
    <w:rsid w:val="004E6E0C"/>
    <w:rsid w:val="004E6F20"/>
    <w:rsid w:val="004E70AD"/>
    <w:rsid w:val="004E70B0"/>
    <w:rsid w:val="004E70D0"/>
    <w:rsid w:val="004E713B"/>
    <w:rsid w:val="004E71CB"/>
    <w:rsid w:val="004E72BA"/>
    <w:rsid w:val="004E72EE"/>
    <w:rsid w:val="004E73CD"/>
    <w:rsid w:val="004E73EA"/>
    <w:rsid w:val="004E7429"/>
    <w:rsid w:val="004E7563"/>
    <w:rsid w:val="004E7581"/>
    <w:rsid w:val="004E7660"/>
    <w:rsid w:val="004E76C9"/>
    <w:rsid w:val="004E76F2"/>
    <w:rsid w:val="004E7728"/>
    <w:rsid w:val="004E775C"/>
    <w:rsid w:val="004E782E"/>
    <w:rsid w:val="004E7886"/>
    <w:rsid w:val="004E7888"/>
    <w:rsid w:val="004E78C1"/>
    <w:rsid w:val="004E792A"/>
    <w:rsid w:val="004E7A31"/>
    <w:rsid w:val="004E7A9F"/>
    <w:rsid w:val="004E7AD4"/>
    <w:rsid w:val="004E7B40"/>
    <w:rsid w:val="004E7B82"/>
    <w:rsid w:val="004E7BC3"/>
    <w:rsid w:val="004E7CE1"/>
    <w:rsid w:val="004E7CE2"/>
    <w:rsid w:val="004E7D7B"/>
    <w:rsid w:val="004E7D9C"/>
    <w:rsid w:val="004E7D9D"/>
    <w:rsid w:val="004E7FF9"/>
    <w:rsid w:val="004F0064"/>
    <w:rsid w:val="004F009E"/>
    <w:rsid w:val="004F014B"/>
    <w:rsid w:val="004F01B9"/>
    <w:rsid w:val="004F0208"/>
    <w:rsid w:val="004F028A"/>
    <w:rsid w:val="004F02A6"/>
    <w:rsid w:val="004F02EF"/>
    <w:rsid w:val="004F033D"/>
    <w:rsid w:val="004F037A"/>
    <w:rsid w:val="004F0394"/>
    <w:rsid w:val="004F03C1"/>
    <w:rsid w:val="004F03D2"/>
    <w:rsid w:val="004F04AD"/>
    <w:rsid w:val="004F04BE"/>
    <w:rsid w:val="004F0597"/>
    <w:rsid w:val="004F05B7"/>
    <w:rsid w:val="004F064F"/>
    <w:rsid w:val="004F0652"/>
    <w:rsid w:val="004F0757"/>
    <w:rsid w:val="004F07A5"/>
    <w:rsid w:val="004F082C"/>
    <w:rsid w:val="004F088B"/>
    <w:rsid w:val="004F08BA"/>
    <w:rsid w:val="004F0941"/>
    <w:rsid w:val="004F0975"/>
    <w:rsid w:val="004F09DB"/>
    <w:rsid w:val="004F0AE7"/>
    <w:rsid w:val="004F0BE3"/>
    <w:rsid w:val="004F0C0E"/>
    <w:rsid w:val="004F0C6B"/>
    <w:rsid w:val="004F0C76"/>
    <w:rsid w:val="004F0D4F"/>
    <w:rsid w:val="004F0DDD"/>
    <w:rsid w:val="004F0E68"/>
    <w:rsid w:val="004F1004"/>
    <w:rsid w:val="004F10A0"/>
    <w:rsid w:val="004F10D8"/>
    <w:rsid w:val="004F1108"/>
    <w:rsid w:val="004F129F"/>
    <w:rsid w:val="004F131D"/>
    <w:rsid w:val="004F1423"/>
    <w:rsid w:val="004F14BA"/>
    <w:rsid w:val="004F156F"/>
    <w:rsid w:val="004F1577"/>
    <w:rsid w:val="004F159E"/>
    <w:rsid w:val="004F15A5"/>
    <w:rsid w:val="004F15F7"/>
    <w:rsid w:val="004F1647"/>
    <w:rsid w:val="004F184A"/>
    <w:rsid w:val="004F1936"/>
    <w:rsid w:val="004F1997"/>
    <w:rsid w:val="004F1AB6"/>
    <w:rsid w:val="004F1BE2"/>
    <w:rsid w:val="004F1D01"/>
    <w:rsid w:val="004F1D30"/>
    <w:rsid w:val="004F1D8F"/>
    <w:rsid w:val="004F1E0E"/>
    <w:rsid w:val="004F1FCE"/>
    <w:rsid w:val="004F2005"/>
    <w:rsid w:val="004F201E"/>
    <w:rsid w:val="004F2137"/>
    <w:rsid w:val="004F2174"/>
    <w:rsid w:val="004F217B"/>
    <w:rsid w:val="004F21B9"/>
    <w:rsid w:val="004F21C5"/>
    <w:rsid w:val="004F21C8"/>
    <w:rsid w:val="004F21D0"/>
    <w:rsid w:val="004F21D1"/>
    <w:rsid w:val="004F21F2"/>
    <w:rsid w:val="004F22CA"/>
    <w:rsid w:val="004F22E6"/>
    <w:rsid w:val="004F242B"/>
    <w:rsid w:val="004F2487"/>
    <w:rsid w:val="004F24A8"/>
    <w:rsid w:val="004F2505"/>
    <w:rsid w:val="004F2552"/>
    <w:rsid w:val="004F267C"/>
    <w:rsid w:val="004F2697"/>
    <w:rsid w:val="004F2856"/>
    <w:rsid w:val="004F29C4"/>
    <w:rsid w:val="004F29E5"/>
    <w:rsid w:val="004F2B53"/>
    <w:rsid w:val="004F2B56"/>
    <w:rsid w:val="004F2BA0"/>
    <w:rsid w:val="004F2BD0"/>
    <w:rsid w:val="004F2C65"/>
    <w:rsid w:val="004F2C69"/>
    <w:rsid w:val="004F2D13"/>
    <w:rsid w:val="004F2D5F"/>
    <w:rsid w:val="004F2E69"/>
    <w:rsid w:val="004F2E77"/>
    <w:rsid w:val="004F2EB4"/>
    <w:rsid w:val="004F2EC4"/>
    <w:rsid w:val="004F2EC6"/>
    <w:rsid w:val="004F2EE9"/>
    <w:rsid w:val="004F2EEF"/>
    <w:rsid w:val="004F2F50"/>
    <w:rsid w:val="004F2F58"/>
    <w:rsid w:val="004F3100"/>
    <w:rsid w:val="004F34C1"/>
    <w:rsid w:val="004F34D6"/>
    <w:rsid w:val="004F372A"/>
    <w:rsid w:val="004F3840"/>
    <w:rsid w:val="004F39E7"/>
    <w:rsid w:val="004F3A79"/>
    <w:rsid w:val="004F3B84"/>
    <w:rsid w:val="004F3C0E"/>
    <w:rsid w:val="004F3D10"/>
    <w:rsid w:val="004F3D1B"/>
    <w:rsid w:val="004F3DFD"/>
    <w:rsid w:val="004F3F97"/>
    <w:rsid w:val="004F3F9A"/>
    <w:rsid w:val="004F4009"/>
    <w:rsid w:val="004F4041"/>
    <w:rsid w:val="004F4049"/>
    <w:rsid w:val="004F4057"/>
    <w:rsid w:val="004F40CA"/>
    <w:rsid w:val="004F40FA"/>
    <w:rsid w:val="004F416C"/>
    <w:rsid w:val="004F41C9"/>
    <w:rsid w:val="004F41E8"/>
    <w:rsid w:val="004F420E"/>
    <w:rsid w:val="004F421A"/>
    <w:rsid w:val="004F428C"/>
    <w:rsid w:val="004F43EA"/>
    <w:rsid w:val="004F443E"/>
    <w:rsid w:val="004F443F"/>
    <w:rsid w:val="004F46FD"/>
    <w:rsid w:val="004F47B5"/>
    <w:rsid w:val="004F4819"/>
    <w:rsid w:val="004F4888"/>
    <w:rsid w:val="004F48DD"/>
    <w:rsid w:val="004F4924"/>
    <w:rsid w:val="004F4AE4"/>
    <w:rsid w:val="004F4BAD"/>
    <w:rsid w:val="004F4BE4"/>
    <w:rsid w:val="004F4D41"/>
    <w:rsid w:val="004F4D5A"/>
    <w:rsid w:val="004F4DDA"/>
    <w:rsid w:val="004F4EA3"/>
    <w:rsid w:val="004F4EBA"/>
    <w:rsid w:val="004F4F5D"/>
    <w:rsid w:val="004F4FB7"/>
    <w:rsid w:val="004F5001"/>
    <w:rsid w:val="004F50F0"/>
    <w:rsid w:val="004F5286"/>
    <w:rsid w:val="004F532A"/>
    <w:rsid w:val="004F547B"/>
    <w:rsid w:val="004F5486"/>
    <w:rsid w:val="004F5515"/>
    <w:rsid w:val="004F55AF"/>
    <w:rsid w:val="004F561B"/>
    <w:rsid w:val="004F57B2"/>
    <w:rsid w:val="004F585A"/>
    <w:rsid w:val="004F5880"/>
    <w:rsid w:val="004F58A9"/>
    <w:rsid w:val="004F59AC"/>
    <w:rsid w:val="004F59E1"/>
    <w:rsid w:val="004F5A9E"/>
    <w:rsid w:val="004F5AF9"/>
    <w:rsid w:val="004F5B24"/>
    <w:rsid w:val="004F5B59"/>
    <w:rsid w:val="004F5C31"/>
    <w:rsid w:val="004F5DA4"/>
    <w:rsid w:val="004F5DFE"/>
    <w:rsid w:val="004F5E13"/>
    <w:rsid w:val="004F5E2A"/>
    <w:rsid w:val="004F600F"/>
    <w:rsid w:val="004F6014"/>
    <w:rsid w:val="004F60F0"/>
    <w:rsid w:val="004F60FC"/>
    <w:rsid w:val="004F6421"/>
    <w:rsid w:val="004F6518"/>
    <w:rsid w:val="004F6578"/>
    <w:rsid w:val="004F65E6"/>
    <w:rsid w:val="004F66FF"/>
    <w:rsid w:val="004F6757"/>
    <w:rsid w:val="004F6759"/>
    <w:rsid w:val="004F678C"/>
    <w:rsid w:val="004F67B1"/>
    <w:rsid w:val="004F67CB"/>
    <w:rsid w:val="004F68B6"/>
    <w:rsid w:val="004F68C4"/>
    <w:rsid w:val="004F6B60"/>
    <w:rsid w:val="004F6B63"/>
    <w:rsid w:val="004F6BD5"/>
    <w:rsid w:val="004F6C06"/>
    <w:rsid w:val="004F6C1B"/>
    <w:rsid w:val="004F6D7F"/>
    <w:rsid w:val="004F6DCF"/>
    <w:rsid w:val="004F6EEA"/>
    <w:rsid w:val="004F6EFF"/>
    <w:rsid w:val="004F6F3B"/>
    <w:rsid w:val="004F6F60"/>
    <w:rsid w:val="004F6FFA"/>
    <w:rsid w:val="004F7008"/>
    <w:rsid w:val="004F714E"/>
    <w:rsid w:val="004F71F7"/>
    <w:rsid w:val="004F71F9"/>
    <w:rsid w:val="004F7280"/>
    <w:rsid w:val="004F72C0"/>
    <w:rsid w:val="004F7344"/>
    <w:rsid w:val="004F7363"/>
    <w:rsid w:val="004F741B"/>
    <w:rsid w:val="004F747A"/>
    <w:rsid w:val="004F74BC"/>
    <w:rsid w:val="004F75C5"/>
    <w:rsid w:val="004F75C9"/>
    <w:rsid w:val="004F772A"/>
    <w:rsid w:val="004F78BC"/>
    <w:rsid w:val="004F78C8"/>
    <w:rsid w:val="004F78F8"/>
    <w:rsid w:val="004F7979"/>
    <w:rsid w:val="004F79BA"/>
    <w:rsid w:val="004F7A61"/>
    <w:rsid w:val="004F7B5D"/>
    <w:rsid w:val="004F7BA2"/>
    <w:rsid w:val="004F7C73"/>
    <w:rsid w:val="004F7D1A"/>
    <w:rsid w:val="004F7D77"/>
    <w:rsid w:val="004F7D9E"/>
    <w:rsid w:val="004F7DEF"/>
    <w:rsid w:val="004F7EC9"/>
    <w:rsid w:val="004F7F4F"/>
    <w:rsid w:val="0050002F"/>
    <w:rsid w:val="0050007C"/>
    <w:rsid w:val="00500094"/>
    <w:rsid w:val="005000CD"/>
    <w:rsid w:val="00500166"/>
    <w:rsid w:val="00500234"/>
    <w:rsid w:val="0050026D"/>
    <w:rsid w:val="005002EF"/>
    <w:rsid w:val="0050038E"/>
    <w:rsid w:val="0050039C"/>
    <w:rsid w:val="005003C6"/>
    <w:rsid w:val="005004B0"/>
    <w:rsid w:val="005004E1"/>
    <w:rsid w:val="005004ED"/>
    <w:rsid w:val="005004EE"/>
    <w:rsid w:val="0050054A"/>
    <w:rsid w:val="005005CF"/>
    <w:rsid w:val="00500683"/>
    <w:rsid w:val="005006A8"/>
    <w:rsid w:val="005006ED"/>
    <w:rsid w:val="005008BA"/>
    <w:rsid w:val="005009A5"/>
    <w:rsid w:val="00500A62"/>
    <w:rsid w:val="00500ABF"/>
    <w:rsid w:val="00500D42"/>
    <w:rsid w:val="00500DE1"/>
    <w:rsid w:val="00500E06"/>
    <w:rsid w:val="00500E17"/>
    <w:rsid w:val="00500E81"/>
    <w:rsid w:val="00500E8C"/>
    <w:rsid w:val="00500EAF"/>
    <w:rsid w:val="00500ED7"/>
    <w:rsid w:val="00500F99"/>
    <w:rsid w:val="00500FEF"/>
    <w:rsid w:val="00501098"/>
    <w:rsid w:val="005010A7"/>
    <w:rsid w:val="005011AD"/>
    <w:rsid w:val="0050124A"/>
    <w:rsid w:val="00501306"/>
    <w:rsid w:val="00501466"/>
    <w:rsid w:val="005014D7"/>
    <w:rsid w:val="00501530"/>
    <w:rsid w:val="00501567"/>
    <w:rsid w:val="005015FC"/>
    <w:rsid w:val="0050162C"/>
    <w:rsid w:val="00501754"/>
    <w:rsid w:val="00501914"/>
    <w:rsid w:val="00501950"/>
    <w:rsid w:val="00501AD5"/>
    <w:rsid w:val="00501B81"/>
    <w:rsid w:val="00501C39"/>
    <w:rsid w:val="00501C86"/>
    <w:rsid w:val="00501CAF"/>
    <w:rsid w:val="00501DCF"/>
    <w:rsid w:val="00501DEA"/>
    <w:rsid w:val="00501E71"/>
    <w:rsid w:val="00501F2E"/>
    <w:rsid w:val="00501FFB"/>
    <w:rsid w:val="00502001"/>
    <w:rsid w:val="00502071"/>
    <w:rsid w:val="00502160"/>
    <w:rsid w:val="00502190"/>
    <w:rsid w:val="00502223"/>
    <w:rsid w:val="00502310"/>
    <w:rsid w:val="00502393"/>
    <w:rsid w:val="005025DD"/>
    <w:rsid w:val="00502621"/>
    <w:rsid w:val="00502627"/>
    <w:rsid w:val="0050269D"/>
    <w:rsid w:val="005026D0"/>
    <w:rsid w:val="00502727"/>
    <w:rsid w:val="00502782"/>
    <w:rsid w:val="005028C4"/>
    <w:rsid w:val="00502929"/>
    <w:rsid w:val="0050292E"/>
    <w:rsid w:val="0050293A"/>
    <w:rsid w:val="00502A6E"/>
    <w:rsid w:val="00502A9E"/>
    <w:rsid w:val="00502AB2"/>
    <w:rsid w:val="00502B75"/>
    <w:rsid w:val="00502B94"/>
    <w:rsid w:val="00502BED"/>
    <w:rsid w:val="00502CB0"/>
    <w:rsid w:val="00502CC7"/>
    <w:rsid w:val="00502CEB"/>
    <w:rsid w:val="00502DC0"/>
    <w:rsid w:val="00502E25"/>
    <w:rsid w:val="00502E31"/>
    <w:rsid w:val="00502F4A"/>
    <w:rsid w:val="00502F8B"/>
    <w:rsid w:val="00503041"/>
    <w:rsid w:val="00503075"/>
    <w:rsid w:val="00503118"/>
    <w:rsid w:val="005031CA"/>
    <w:rsid w:val="005032ED"/>
    <w:rsid w:val="00503314"/>
    <w:rsid w:val="0050339C"/>
    <w:rsid w:val="00503419"/>
    <w:rsid w:val="005035D7"/>
    <w:rsid w:val="00503658"/>
    <w:rsid w:val="00503678"/>
    <w:rsid w:val="00503689"/>
    <w:rsid w:val="00503713"/>
    <w:rsid w:val="0050383D"/>
    <w:rsid w:val="005038CF"/>
    <w:rsid w:val="005038FA"/>
    <w:rsid w:val="00503902"/>
    <w:rsid w:val="00503A5B"/>
    <w:rsid w:val="00503A83"/>
    <w:rsid w:val="00503AC3"/>
    <w:rsid w:val="00503B43"/>
    <w:rsid w:val="00503B7B"/>
    <w:rsid w:val="00503C01"/>
    <w:rsid w:val="00503C1B"/>
    <w:rsid w:val="00503C72"/>
    <w:rsid w:val="00503CF0"/>
    <w:rsid w:val="00503D18"/>
    <w:rsid w:val="00503D39"/>
    <w:rsid w:val="00503E25"/>
    <w:rsid w:val="00503EF4"/>
    <w:rsid w:val="00503F80"/>
    <w:rsid w:val="0050412A"/>
    <w:rsid w:val="00504165"/>
    <w:rsid w:val="0050418C"/>
    <w:rsid w:val="0050428E"/>
    <w:rsid w:val="0050439B"/>
    <w:rsid w:val="0050444B"/>
    <w:rsid w:val="005044C4"/>
    <w:rsid w:val="0050450C"/>
    <w:rsid w:val="005045DD"/>
    <w:rsid w:val="0050461D"/>
    <w:rsid w:val="00504681"/>
    <w:rsid w:val="005046C4"/>
    <w:rsid w:val="0050471F"/>
    <w:rsid w:val="0050476D"/>
    <w:rsid w:val="00504791"/>
    <w:rsid w:val="005047A7"/>
    <w:rsid w:val="005048B9"/>
    <w:rsid w:val="00504A30"/>
    <w:rsid w:val="00504A8B"/>
    <w:rsid w:val="00504B42"/>
    <w:rsid w:val="00504B88"/>
    <w:rsid w:val="00504C2A"/>
    <w:rsid w:val="00504C34"/>
    <w:rsid w:val="00504CE3"/>
    <w:rsid w:val="00504D81"/>
    <w:rsid w:val="00504E76"/>
    <w:rsid w:val="00505004"/>
    <w:rsid w:val="00505033"/>
    <w:rsid w:val="00505108"/>
    <w:rsid w:val="0050512E"/>
    <w:rsid w:val="00505248"/>
    <w:rsid w:val="00505416"/>
    <w:rsid w:val="005056CD"/>
    <w:rsid w:val="005058AA"/>
    <w:rsid w:val="005058BA"/>
    <w:rsid w:val="005058BD"/>
    <w:rsid w:val="005058F8"/>
    <w:rsid w:val="0050590E"/>
    <w:rsid w:val="0050593C"/>
    <w:rsid w:val="00505949"/>
    <w:rsid w:val="00505A6F"/>
    <w:rsid w:val="00505BDC"/>
    <w:rsid w:val="00505C86"/>
    <w:rsid w:val="00505C98"/>
    <w:rsid w:val="00505D6C"/>
    <w:rsid w:val="00505D78"/>
    <w:rsid w:val="00505D82"/>
    <w:rsid w:val="00505E1F"/>
    <w:rsid w:val="00505F25"/>
    <w:rsid w:val="00505FF5"/>
    <w:rsid w:val="00505FFF"/>
    <w:rsid w:val="00506109"/>
    <w:rsid w:val="00506394"/>
    <w:rsid w:val="00506409"/>
    <w:rsid w:val="0050644F"/>
    <w:rsid w:val="0050650E"/>
    <w:rsid w:val="0050657E"/>
    <w:rsid w:val="005065C2"/>
    <w:rsid w:val="005065E1"/>
    <w:rsid w:val="005065ED"/>
    <w:rsid w:val="00506741"/>
    <w:rsid w:val="005068F0"/>
    <w:rsid w:val="0050690F"/>
    <w:rsid w:val="00506C37"/>
    <w:rsid w:val="00506CEB"/>
    <w:rsid w:val="00506D43"/>
    <w:rsid w:val="00506DC0"/>
    <w:rsid w:val="00506EA9"/>
    <w:rsid w:val="00506FF8"/>
    <w:rsid w:val="005070F6"/>
    <w:rsid w:val="0050712D"/>
    <w:rsid w:val="005071CB"/>
    <w:rsid w:val="005071D2"/>
    <w:rsid w:val="0050721D"/>
    <w:rsid w:val="00507221"/>
    <w:rsid w:val="00507242"/>
    <w:rsid w:val="005072AB"/>
    <w:rsid w:val="00507314"/>
    <w:rsid w:val="00507325"/>
    <w:rsid w:val="00507340"/>
    <w:rsid w:val="005073A8"/>
    <w:rsid w:val="00507486"/>
    <w:rsid w:val="005074EA"/>
    <w:rsid w:val="005075C0"/>
    <w:rsid w:val="00507798"/>
    <w:rsid w:val="005077C7"/>
    <w:rsid w:val="005077EF"/>
    <w:rsid w:val="005077FA"/>
    <w:rsid w:val="005078C5"/>
    <w:rsid w:val="005078DC"/>
    <w:rsid w:val="005078E4"/>
    <w:rsid w:val="00507941"/>
    <w:rsid w:val="00507A14"/>
    <w:rsid w:val="00507A7F"/>
    <w:rsid w:val="00507AA0"/>
    <w:rsid w:val="00507AA9"/>
    <w:rsid w:val="00507AFD"/>
    <w:rsid w:val="00507B43"/>
    <w:rsid w:val="00507B62"/>
    <w:rsid w:val="00507CAB"/>
    <w:rsid w:val="00507CBA"/>
    <w:rsid w:val="00507DD3"/>
    <w:rsid w:val="00507DE1"/>
    <w:rsid w:val="00507E27"/>
    <w:rsid w:val="00507EFF"/>
    <w:rsid w:val="00507F10"/>
    <w:rsid w:val="00507F6B"/>
    <w:rsid w:val="00507FF7"/>
    <w:rsid w:val="00510038"/>
    <w:rsid w:val="0051013E"/>
    <w:rsid w:val="00510244"/>
    <w:rsid w:val="00510299"/>
    <w:rsid w:val="005102DB"/>
    <w:rsid w:val="0051048B"/>
    <w:rsid w:val="005105D6"/>
    <w:rsid w:val="00510660"/>
    <w:rsid w:val="00510661"/>
    <w:rsid w:val="00510746"/>
    <w:rsid w:val="00510842"/>
    <w:rsid w:val="0051089D"/>
    <w:rsid w:val="0051094E"/>
    <w:rsid w:val="00510988"/>
    <w:rsid w:val="00510B54"/>
    <w:rsid w:val="00510C12"/>
    <w:rsid w:val="00510D11"/>
    <w:rsid w:val="00510DE8"/>
    <w:rsid w:val="00510EF2"/>
    <w:rsid w:val="00510F32"/>
    <w:rsid w:val="00510F36"/>
    <w:rsid w:val="00510F96"/>
    <w:rsid w:val="00511179"/>
    <w:rsid w:val="005111C5"/>
    <w:rsid w:val="00511209"/>
    <w:rsid w:val="00511292"/>
    <w:rsid w:val="005112F0"/>
    <w:rsid w:val="0051139B"/>
    <w:rsid w:val="005113D7"/>
    <w:rsid w:val="005113DD"/>
    <w:rsid w:val="00511447"/>
    <w:rsid w:val="0051145A"/>
    <w:rsid w:val="005115D9"/>
    <w:rsid w:val="00511626"/>
    <w:rsid w:val="00511657"/>
    <w:rsid w:val="005116EB"/>
    <w:rsid w:val="0051174E"/>
    <w:rsid w:val="005117E0"/>
    <w:rsid w:val="00511829"/>
    <w:rsid w:val="00511849"/>
    <w:rsid w:val="00511927"/>
    <w:rsid w:val="00511968"/>
    <w:rsid w:val="00511985"/>
    <w:rsid w:val="00511991"/>
    <w:rsid w:val="00511B34"/>
    <w:rsid w:val="00511B3B"/>
    <w:rsid w:val="00511CA5"/>
    <w:rsid w:val="00511D68"/>
    <w:rsid w:val="00511DA1"/>
    <w:rsid w:val="00511DA7"/>
    <w:rsid w:val="00511DED"/>
    <w:rsid w:val="00512017"/>
    <w:rsid w:val="00512036"/>
    <w:rsid w:val="00512239"/>
    <w:rsid w:val="0051232A"/>
    <w:rsid w:val="005123C8"/>
    <w:rsid w:val="005123D1"/>
    <w:rsid w:val="005123FB"/>
    <w:rsid w:val="00512509"/>
    <w:rsid w:val="00512679"/>
    <w:rsid w:val="00512759"/>
    <w:rsid w:val="00512771"/>
    <w:rsid w:val="0051279E"/>
    <w:rsid w:val="005128F1"/>
    <w:rsid w:val="005129C3"/>
    <w:rsid w:val="00512A2F"/>
    <w:rsid w:val="00512A54"/>
    <w:rsid w:val="00512A69"/>
    <w:rsid w:val="00512A85"/>
    <w:rsid w:val="00512A98"/>
    <w:rsid w:val="00512AAE"/>
    <w:rsid w:val="00512BCE"/>
    <w:rsid w:val="00512BE8"/>
    <w:rsid w:val="00512DC7"/>
    <w:rsid w:val="00512FDB"/>
    <w:rsid w:val="005130D9"/>
    <w:rsid w:val="00513150"/>
    <w:rsid w:val="0051315D"/>
    <w:rsid w:val="005131D1"/>
    <w:rsid w:val="005131E9"/>
    <w:rsid w:val="0051335F"/>
    <w:rsid w:val="00513495"/>
    <w:rsid w:val="005134DD"/>
    <w:rsid w:val="0051357A"/>
    <w:rsid w:val="00513716"/>
    <w:rsid w:val="00513739"/>
    <w:rsid w:val="00513860"/>
    <w:rsid w:val="005138E8"/>
    <w:rsid w:val="00513999"/>
    <w:rsid w:val="00513A0E"/>
    <w:rsid w:val="00513AC6"/>
    <w:rsid w:val="00513B7E"/>
    <w:rsid w:val="00513C02"/>
    <w:rsid w:val="00513D83"/>
    <w:rsid w:val="00513D8B"/>
    <w:rsid w:val="00513FA3"/>
    <w:rsid w:val="0051401E"/>
    <w:rsid w:val="00514025"/>
    <w:rsid w:val="005141E9"/>
    <w:rsid w:val="005142AC"/>
    <w:rsid w:val="005142AF"/>
    <w:rsid w:val="005142B8"/>
    <w:rsid w:val="0051445F"/>
    <w:rsid w:val="00514460"/>
    <w:rsid w:val="00514461"/>
    <w:rsid w:val="005144BE"/>
    <w:rsid w:val="005144C6"/>
    <w:rsid w:val="005144CA"/>
    <w:rsid w:val="005144DD"/>
    <w:rsid w:val="005144E1"/>
    <w:rsid w:val="00514541"/>
    <w:rsid w:val="005145F9"/>
    <w:rsid w:val="0051462A"/>
    <w:rsid w:val="0051468B"/>
    <w:rsid w:val="005146B5"/>
    <w:rsid w:val="00514812"/>
    <w:rsid w:val="005148A0"/>
    <w:rsid w:val="00514932"/>
    <w:rsid w:val="005149EC"/>
    <w:rsid w:val="00514AA3"/>
    <w:rsid w:val="00514AA6"/>
    <w:rsid w:val="00514AD9"/>
    <w:rsid w:val="00514DB1"/>
    <w:rsid w:val="00514E42"/>
    <w:rsid w:val="00514E86"/>
    <w:rsid w:val="00514EE4"/>
    <w:rsid w:val="00514F84"/>
    <w:rsid w:val="005150FB"/>
    <w:rsid w:val="00515275"/>
    <w:rsid w:val="005152F3"/>
    <w:rsid w:val="005153F4"/>
    <w:rsid w:val="0051541B"/>
    <w:rsid w:val="00515440"/>
    <w:rsid w:val="005154A5"/>
    <w:rsid w:val="00515509"/>
    <w:rsid w:val="005155F2"/>
    <w:rsid w:val="0051574A"/>
    <w:rsid w:val="005157E7"/>
    <w:rsid w:val="005157F5"/>
    <w:rsid w:val="005158D2"/>
    <w:rsid w:val="0051592B"/>
    <w:rsid w:val="00515963"/>
    <w:rsid w:val="005159E3"/>
    <w:rsid w:val="00515A72"/>
    <w:rsid w:val="00515BE8"/>
    <w:rsid w:val="00515CC5"/>
    <w:rsid w:val="00515D88"/>
    <w:rsid w:val="00515E91"/>
    <w:rsid w:val="00515ED6"/>
    <w:rsid w:val="00515F90"/>
    <w:rsid w:val="00515FF5"/>
    <w:rsid w:val="00516095"/>
    <w:rsid w:val="0051609D"/>
    <w:rsid w:val="005160D7"/>
    <w:rsid w:val="0051610E"/>
    <w:rsid w:val="00516227"/>
    <w:rsid w:val="005163BA"/>
    <w:rsid w:val="005163F7"/>
    <w:rsid w:val="0051640F"/>
    <w:rsid w:val="00516469"/>
    <w:rsid w:val="0051654D"/>
    <w:rsid w:val="005165B6"/>
    <w:rsid w:val="005165CA"/>
    <w:rsid w:val="005165D1"/>
    <w:rsid w:val="00516612"/>
    <w:rsid w:val="0051664E"/>
    <w:rsid w:val="00516676"/>
    <w:rsid w:val="0051678E"/>
    <w:rsid w:val="005167A6"/>
    <w:rsid w:val="005167C6"/>
    <w:rsid w:val="00516863"/>
    <w:rsid w:val="005168EC"/>
    <w:rsid w:val="00516910"/>
    <w:rsid w:val="0051697D"/>
    <w:rsid w:val="005169D5"/>
    <w:rsid w:val="005169F9"/>
    <w:rsid w:val="00516AFD"/>
    <w:rsid w:val="00516B9F"/>
    <w:rsid w:val="00516DB6"/>
    <w:rsid w:val="00516E16"/>
    <w:rsid w:val="00516F8B"/>
    <w:rsid w:val="0051702B"/>
    <w:rsid w:val="0051707E"/>
    <w:rsid w:val="005171C1"/>
    <w:rsid w:val="005171D4"/>
    <w:rsid w:val="00517267"/>
    <w:rsid w:val="0051729A"/>
    <w:rsid w:val="005172E3"/>
    <w:rsid w:val="00517355"/>
    <w:rsid w:val="00517362"/>
    <w:rsid w:val="005173F5"/>
    <w:rsid w:val="005174C1"/>
    <w:rsid w:val="0051765C"/>
    <w:rsid w:val="0051774A"/>
    <w:rsid w:val="005177A0"/>
    <w:rsid w:val="005177D4"/>
    <w:rsid w:val="005177D5"/>
    <w:rsid w:val="00517916"/>
    <w:rsid w:val="005179DC"/>
    <w:rsid w:val="00517AD1"/>
    <w:rsid w:val="00517AE8"/>
    <w:rsid w:val="00517B51"/>
    <w:rsid w:val="00517BA4"/>
    <w:rsid w:val="00517BC6"/>
    <w:rsid w:val="00517C19"/>
    <w:rsid w:val="00517C69"/>
    <w:rsid w:val="00517CE4"/>
    <w:rsid w:val="00517CF3"/>
    <w:rsid w:val="00517D62"/>
    <w:rsid w:val="00517E43"/>
    <w:rsid w:val="00517FB2"/>
    <w:rsid w:val="0052019C"/>
    <w:rsid w:val="005201F1"/>
    <w:rsid w:val="00520303"/>
    <w:rsid w:val="00520317"/>
    <w:rsid w:val="0052034F"/>
    <w:rsid w:val="0052041E"/>
    <w:rsid w:val="00520453"/>
    <w:rsid w:val="00520482"/>
    <w:rsid w:val="00520497"/>
    <w:rsid w:val="0052058A"/>
    <w:rsid w:val="00520591"/>
    <w:rsid w:val="005207C1"/>
    <w:rsid w:val="0052083C"/>
    <w:rsid w:val="00520929"/>
    <w:rsid w:val="00520957"/>
    <w:rsid w:val="005209A2"/>
    <w:rsid w:val="00520A4E"/>
    <w:rsid w:val="00520A80"/>
    <w:rsid w:val="00520A8B"/>
    <w:rsid w:val="00520BA4"/>
    <w:rsid w:val="00520C0A"/>
    <w:rsid w:val="00520C47"/>
    <w:rsid w:val="00520C64"/>
    <w:rsid w:val="00520E0D"/>
    <w:rsid w:val="00520E32"/>
    <w:rsid w:val="00520E3C"/>
    <w:rsid w:val="00520FD4"/>
    <w:rsid w:val="005210EA"/>
    <w:rsid w:val="00521194"/>
    <w:rsid w:val="00521245"/>
    <w:rsid w:val="005212C4"/>
    <w:rsid w:val="005212D1"/>
    <w:rsid w:val="005212DA"/>
    <w:rsid w:val="00521363"/>
    <w:rsid w:val="00521383"/>
    <w:rsid w:val="0052155A"/>
    <w:rsid w:val="005215C7"/>
    <w:rsid w:val="005215D3"/>
    <w:rsid w:val="005215DC"/>
    <w:rsid w:val="00521617"/>
    <w:rsid w:val="005216BC"/>
    <w:rsid w:val="00521711"/>
    <w:rsid w:val="0052177D"/>
    <w:rsid w:val="00521951"/>
    <w:rsid w:val="0052197D"/>
    <w:rsid w:val="00521A81"/>
    <w:rsid w:val="00521B33"/>
    <w:rsid w:val="00521B6C"/>
    <w:rsid w:val="00521D23"/>
    <w:rsid w:val="00521E06"/>
    <w:rsid w:val="00521E28"/>
    <w:rsid w:val="00521E7F"/>
    <w:rsid w:val="00521F0B"/>
    <w:rsid w:val="00521F93"/>
    <w:rsid w:val="00521FEF"/>
    <w:rsid w:val="0052208C"/>
    <w:rsid w:val="005220C7"/>
    <w:rsid w:val="005220F1"/>
    <w:rsid w:val="005221F3"/>
    <w:rsid w:val="005224DD"/>
    <w:rsid w:val="00522521"/>
    <w:rsid w:val="0052266D"/>
    <w:rsid w:val="005226BC"/>
    <w:rsid w:val="005227F4"/>
    <w:rsid w:val="00522963"/>
    <w:rsid w:val="00522A05"/>
    <w:rsid w:val="00522A32"/>
    <w:rsid w:val="00522A7E"/>
    <w:rsid w:val="00522AD4"/>
    <w:rsid w:val="00522BE2"/>
    <w:rsid w:val="00522BF4"/>
    <w:rsid w:val="00522C26"/>
    <w:rsid w:val="00522CBE"/>
    <w:rsid w:val="00522D44"/>
    <w:rsid w:val="00522E01"/>
    <w:rsid w:val="00522E09"/>
    <w:rsid w:val="00522E18"/>
    <w:rsid w:val="00522F2D"/>
    <w:rsid w:val="00522F80"/>
    <w:rsid w:val="00522F98"/>
    <w:rsid w:val="00522FF9"/>
    <w:rsid w:val="00523156"/>
    <w:rsid w:val="005231A2"/>
    <w:rsid w:val="00523226"/>
    <w:rsid w:val="00523446"/>
    <w:rsid w:val="005234B3"/>
    <w:rsid w:val="0052356E"/>
    <w:rsid w:val="00523589"/>
    <w:rsid w:val="005235A5"/>
    <w:rsid w:val="005235E1"/>
    <w:rsid w:val="00523639"/>
    <w:rsid w:val="00523651"/>
    <w:rsid w:val="005236DF"/>
    <w:rsid w:val="005236FF"/>
    <w:rsid w:val="005238F9"/>
    <w:rsid w:val="00523955"/>
    <w:rsid w:val="0052395A"/>
    <w:rsid w:val="00523998"/>
    <w:rsid w:val="005239D5"/>
    <w:rsid w:val="00523A58"/>
    <w:rsid w:val="00523BA4"/>
    <w:rsid w:val="00523BF2"/>
    <w:rsid w:val="00523C95"/>
    <w:rsid w:val="00523CCC"/>
    <w:rsid w:val="00523D4F"/>
    <w:rsid w:val="00523E04"/>
    <w:rsid w:val="00523F74"/>
    <w:rsid w:val="00523F7F"/>
    <w:rsid w:val="00524290"/>
    <w:rsid w:val="00524293"/>
    <w:rsid w:val="00524353"/>
    <w:rsid w:val="00524394"/>
    <w:rsid w:val="00524454"/>
    <w:rsid w:val="00524832"/>
    <w:rsid w:val="00524842"/>
    <w:rsid w:val="005248B4"/>
    <w:rsid w:val="00524A3C"/>
    <w:rsid w:val="00524A65"/>
    <w:rsid w:val="00524AF4"/>
    <w:rsid w:val="00524B1D"/>
    <w:rsid w:val="00524B35"/>
    <w:rsid w:val="00524C64"/>
    <w:rsid w:val="00524D56"/>
    <w:rsid w:val="00524D85"/>
    <w:rsid w:val="00524DFA"/>
    <w:rsid w:val="00524E2F"/>
    <w:rsid w:val="00524E6A"/>
    <w:rsid w:val="00524EB9"/>
    <w:rsid w:val="00525000"/>
    <w:rsid w:val="00525052"/>
    <w:rsid w:val="005251AC"/>
    <w:rsid w:val="00525266"/>
    <w:rsid w:val="005252AE"/>
    <w:rsid w:val="005252D4"/>
    <w:rsid w:val="0052536F"/>
    <w:rsid w:val="005253C3"/>
    <w:rsid w:val="00525547"/>
    <w:rsid w:val="005255AC"/>
    <w:rsid w:val="00525678"/>
    <w:rsid w:val="0052574E"/>
    <w:rsid w:val="005257E6"/>
    <w:rsid w:val="005258BB"/>
    <w:rsid w:val="00525912"/>
    <w:rsid w:val="0052595C"/>
    <w:rsid w:val="0052599D"/>
    <w:rsid w:val="005259F9"/>
    <w:rsid w:val="00525B98"/>
    <w:rsid w:val="00525BF3"/>
    <w:rsid w:val="00525D98"/>
    <w:rsid w:val="00525E75"/>
    <w:rsid w:val="00525EA3"/>
    <w:rsid w:val="00525F06"/>
    <w:rsid w:val="00525FB0"/>
    <w:rsid w:val="005260A5"/>
    <w:rsid w:val="00526155"/>
    <w:rsid w:val="00526175"/>
    <w:rsid w:val="0052617A"/>
    <w:rsid w:val="0052624D"/>
    <w:rsid w:val="0052625B"/>
    <w:rsid w:val="00526280"/>
    <w:rsid w:val="005263C3"/>
    <w:rsid w:val="0052643E"/>
    <w:rsid w:val="0052653D"/>
    <w:rsid w:val="005265C0"/>
    <w:rsid w:val="0052677F"/>
    <w:rsid w:val="005268F3"/>
    <w:rsid w:val="00526958"/>
    <w:rsid w:val="005269A8"/>
    <w:rsid w:val="00526A88"/>
    <w:rsid w:val="00526A8D"/>
    <w:rsid w:val="00526AA5"/>
    <w:rsid w:val="00526B5B"/>
    <w:rsid w:val="00526BC7"/>
    <w:rsid w:val="00526BE0"/>
    <w:rsid w:val="00526DB1"/>
    <w:rsid w:val="00526F71"/>
    <w:rsid w:val="00526FCE"/>
    <w:rsid w:val="005270C4"/>
    <w:rsid w:val="0052721F"/>
    <w:rsid w:val="0052731E"/>
    <w:rsid w:val="00527435"/>
    <w:rsid w:val="0052744B"/>
    <w:rsid w:val="0052749A"/>
    <w:rsid w:val="00527526"/>
    <w:rsid w:val="0052753A"/>
    <w:rsid w:val="0052761F"/>
    <w:rsid w:val="0052767B"/>
    <w:rsid w:val="00527762"/>
    <w:rsid w:val="00527767"/>
    <w:rsid w:val="005277AD"/>
    <w:rsid w:val="0052785D"/>
    <w:rsid w:val="005278F7"/>
    <w:rsid w:val="005279A4"/>
    <w:rsid w:val="005279C4"/>
    <w:rsid w:val="00527A83"/>
    <w:rsid w:val="00527AB2"/>
    <w:rsid w:val="00527B84"/>
    <w:rsid w:val="00527B9B"/>
    <w:rsid w:val="00527E0A"/>
    <w:rsid w:val="00527E57"/>
    <w:rsid w:val="00527E5B"/>
    <w:rsid w:val="00530055"/>
    <w:rsid w:val="0053007A"/>
    <w:rsid w:val="00530095"/>
    <w:rsid w:val="00530117"/>
    <w:rsid w:val="0053011F"/>
    <w:rsid w:val="00530187"/>
    <w:rsid w:val="005301C9"/>
    <w:rsid w:val="005301DA"/>
    <w:rsid w:val="00530325"/>
    <w:rsid w:val="0053035C"/>
    <w:rsid w:val="005303B3"/>
    <w:rsid w:val="00530571"/>
    <w:rsid w:val="00530635"/>
    <w:rsid w:val="005306BE"/>
    <w:rsid w:val="005306D8"/>
    <w:rsid w:val="005306F1"/>
    <w:rsid w:val="00530761"/>
    <w:rsid w:val="00530862"/>
    <w:rsid w:val="005308DE"/>
    <w:rsid w:val="00530912"/>
    <w:rsid w:val="00530A7E"/>
    <w:rsid w:val="00530AEA"/>
    <w:rsid w:val="00530C42"/>
    <w:rsid w:val="00530CA0"/>
    <w:rsid w:val="00530D3D"/>
    <w:rsid w:val="00530D42"/>
    <w:rsid w:val="00530E97"/>
    <w:rsid w:val="00530EFF"/>
    <w:rsid w:val="00530F3B"/>
    <w:rsid w:val="005311AA"/>
    <w:rsid w:val="005311FE"/>
    <w:rsid w:val="005312A4"/>
    <w:rsid w:val="00531313"/>
    <w:rsid w:val="005313E9"/>
    <w:rsid w:val="00531401"/>
    <w:rsid w:val="0053140A"/>
    <w:rsid w:val="00531530"/>
    <w:rsid w:val="0053174B"/>
    <w:rsid w:val="00531860"/>
    <w:rsid w:val="00531890"/>
    <w:rsid w:val="005318F5"/>
    <w:rsid w:val="0053191C"/>
    <w:rsid w:val="005319F8"/>
    <w:rsid w:val="00531AFC"/>
    <w:rsid w:val="00531B10"/>
    <w:rsid w:val="00531F64"/>
    <w:rsid w:val="00531F9A"/>
    <w:rsid w:val="00531FD4"/>
    <w:rsid w:val="00531FED"/>
    <w:rsid w:val="005320EB"/>
    <w:rsid w:val="0053220B"/>
    <w:rsid w:val="0053221E"/>
    <w:rsid w:val="005322AD"/>
    <w:rsid w:val="005322F9"/>
    <w:rsid w:val="00532355"/>
    <w:rsid w:val="0053235F"/>
    <w:rsid w:val="0053240C"/>
    <w:rsid w:val="00532470"/>
    <w:rsid w:val="00532607"/>
    <w:rsid w:val="00532640"/>
    <w:rsid w:val="00532652"/>
    <w:rsid w:val="005326D5"/>
    <w:rsid w:val="00532758"/>
    <w:rsid w:val="0053279C"/>
    <w:rsid w:val="0053294D"/>
    <w:rsid w:val="00532A64"/>
    <w:rsid w:val="00532B01"/>
    <w:rsid w:val="00532B22"/>
    <w:rsid w:val="00532B79"/>
    <w:rsid w:val="00532D46"/>
    <w:rsid w:val="00532D8F"/>
    <w:rsid w:val="00532E42"/>
    <w:rsid w:val="00532E5A"/>
    <w:rsid w:val="00532E74"/>
    <w:rsid w:val="00532F2A"/>
    <w:rsid w:val="0053302A"/>
    <w:rsid w:val="00533037"/>
    <w:rsid w:val="0053303D"/>
    <w:rsid w:val="00533109"/>
    <w:rsid w:val="00533133"/>
    <w:rsid w:val="0053316E"/>
    <w:rsid w:val="0053325C"/>
    <w:rsid w:val="005332FA"/>
    <w:rsid w:val="00533496"/>
    <w:rsid w:val="005336AC"/>
    <w:rsid w:val="0053378F"/>
    <w:rsid w:val="005337BA"/>
    <w:rsid w:val="005337C3"/>
    <w:rsid w:val="00533835"/>
    <w:rsid w:val="00533859"/>
    <w:rsid w:val="00533A61"/>
    <w:rsid w:val="00533AA3"/>
    <w:rsid w:val="00533B91"/>
    <w:rsid w:val="00533BC1"/>
    <w:rsid w:val="00533CA0"/>
    <w:rsid w:val="00533CBB"/>
    <w:rsid w:val="00533E1C"/>
    <w:rsid w:val="00533EFA"/>
    <w:rsid w:val="00533F11"/>
    <w:rsid w:val="0053401D"/>
    <w:rsid w:val="00534045"/>
    <w:rsid w:val="005340B0"/>
    <w:rsid w:val="00534202"/>
    <w:rsid w:val="00534264"/>
    <w:rsid w:val="005342D9"/>
    <w:rsid w:val="00534394"/>
    <w:rsid w:val="0053442C"/>
    <w:rsid w:val="0053448E"/>
    <w:rsid w:val="0053453D"/>
    <w:rsid w:val="0053459E"/>
    <w:rsid w:val="005345EA"/>
    <w:rsid w:val="005345F0"/>
    <w:rsid w:val="00534638"/>
    <w:rsid w:val="00534906"/>
    <w:rsid w:val="00534912"/>
    <w:rsid w:val="005349D7"/>
    <w:rsid w:val="00534AA9"/>
    <w:rsid w:val="00534B31"/>
    <w:rsid w:val="00534CE8"/>
    <w:rsid w:val="00534D32"/>
    <w:rsid w:val="00534D65"/>
    <w:rsid w:val="00534DA0"/>
    <w:rsid w:val="00534E69"/>
    <w:rsid w:val="00534E92"/>
    <w:rsid w:val="00534E97"/>
    <w:rsid w:val="00534ED2"/>
    <w:rsid w:val="0053501D"/>
    <w:rsid w:val="00535025"/>
    <w:rsid w:val="00535062"/>
    <w:rsid w:val="00535078"/>
    <w:rsid w:val="005350D1"/>
    <w:rsid w:val="0053519E"/>
    <w:rsid w:val="005351E8"/>
    <w:rsid w:val="0053521A"/>
    <w:rsid w:val="0053524B"/>
    <w:rsid w:val="00535314"/>
    <w:rsid w:val="00535418"/>
    <w:rsid w:val="0053543A"/>
    <w:rsid w:val="0053544D"/>
    <w:rsid w:val="005354E2"/>
    <w:rsid w:val="00535564"/>
    <w:rsid w:val="00535628"/>
    <w:rsid w:val="00535638"/>
    <w:rsid w:val="005356D1"/>
    <w:rsid w:val="005357B1"/>
    <w:rsid w:val="005358B5"/>
    <w:rsid w:val="005358E9"/>
    <w:rsid w:val="00535917"/>
    <w:rsid w:val="00535952"/>
    <w:rsid w:val="00535C54"/>
    <w:rsid w:val="00535CAA"/>
    <w:rsid w:val="00535DD2"/>
    <w:rsid w:val="00535DDB"/>
    <w:rsid w:val="00535E22"/>
    <w:rsid w:val="00535ED9"/>
    <w:rsid w:val="00535EF2"/>
    <w:rsid w:val="005360A0"/>
    <w:rsid w:val="005360D0"/>
    <w:rsid w:val="005361B4"/>
    <w:rsid w:val="005361E6"/>
    <w:rsid w:val="005361FE"/>
    <w:rsid w:val="00536230"/>
    <w:rsid w:val="00536294"/>
    <w:rsid w:val="005363F7"/>
    <w:rsid w:val="00536535"/>
    <w:rsid w:val="00536655"/>
    <w:rsid w:val="00536749"/>
    <w:rsid w:val="0053674A"/>
    <w:rsid w:val="0053691E"/>
    <w:rsid w:val="00536996"/>
    <w:rsid w:val="005369A5"/>
    <w:rsid w:val="00536AA4"/>
    <w:rsid w:val="00536AE3"/>
    <w:rsid w:val="00536B8B"/>
    <w:rsid w:val="00536CB6"/>
    <w:rsid w:val="00536CC4"/>
    <w:rsid w:val="00536CCA"/>
    <w:rsid w:val="00536D0F"/>
    <w:rsid w:val="00536E2C"/>
    <w:rsid w:val="00536E3D"/>
    <w:rsid w:val="00536E4A"/>
    <w:rsid w:val="00536E51"/>
    <w:rsid w:val="00536EE8"/>
    <w:rsid w:val="00536F8F"/>
    <w:rsid w:val="00536FA0"/>
    <w:rsid w:val="00537222"/>
    <w:rsid w:val="005372C8"/>
    <w:rsid w:val="00537323"/>
    <w:rsid w:val="005374AC"/>
    <w:rsid w:val="00537540"/>
    <w:rsid w:val="00537555"/>
    <w:rsid w:val="005375B9"/>
    <w:rsid w:val="005376BA"/>
    <w:rsid w:val="00537836"/>
    <w:rsid w:val="0053795C"/>
    <w:rsid w:val="00537A3E"/>
    <w:rsid w:val="00537A3F"/>
    <w:rsid w:val="00537AF1"/>
    <w:rsid w:val="00537B6B"/>
    <w:rsid w:val="00537BC1"/>
    <w:rsid w:val="00537C3C"/>
    <w:rsid w:val="00537CE4"/>
    <w:rsid w:val="00537D2D"/>
    <w:rsid w:val="00537EE1"/>
    <w:rsid w:val="00537F79"/>
    <w:rsid w:val="005401E2"/>
    <w:rsid w:val="005402FB"/>
    <w:rsid w:val="00540309"/>
    <w:rsid w:val="0054030D"/>
    <w:rsid w:val="00540382"/>
    <w:rsid w:val="005403A4"/>
    <w:rsid w:val="005404BD"/>
    <w:rsid w:val="005404C1"/>
    <w:rsid w:val="005404E2"/>
    <w:rsid w:val="005404ED"/>
    <w:rsid w:val="00540606"/>
    <w:rsid w:val="0054060D"/>
    <w:rsid w:val="0054061D"/>
    <w:rsid w:val="005406BE"/>
    <w:rsid w:val="005406C4"/>
    <w:rsid w:val="00540750"/>
    <w:rsid w:val="00540784"/>
    <w:rsid w:val="00540885"/>
    <w:rsid w:val="0054088D"/>
    <w:rsid w:val="005408EC"/>
    <w:rsid w:val="005409EB"/>
    <w:rsid w:val="005409F3"/>
    <w:rsid w:val="00540A10"/>
    <w:rsid w:val="00540A42"/>
    <w:rsid w:val="00540B30"/>
    <w:rsid w:val="00540B45"/>
    <w:rsid w:val="00540C0D"/>
    <w:rsid w:val="00540C4E"/>
    <w:rsid w:val="00540C55"/>
    <w:rsid w:val="00540C8A"/>
    <w:rsid w:val="00540D9F"/>
    <w:rsid w:val="00540EA5"/>
    <w:rsid w:val="00540EC1"/>
    <w:rsid w:val="00540F76"/>
    <w:rsid w:val="00541058"/>
    <w:rsid w:val="005410AD"/>
    <w:rsid w:val="005410FB"/>
    <w:rsid w:val="00541155"/>
    <w:rsid w:val="005411D9"/>
    <w:rsid w:val="0054141C"/>
    <w:rsid w:val="005414B3"/>
    <w:rsid w:val="005414EC"/>
    <w:rsid w:val="00541521"/>
    <w:rsid w:val="0054165B"/>
    <w:rsid w:val="005417B8"/>
    <w:rsid w:val="0054180C"/>
    <w:rsid w:val="00541872"/>
    <w:rsid w:val="005419BC"/>
    <w:rsid w:val="005419CF"/>
    <w:rsid w:val="00541A76"/>
    <w:rsid w:val="00541AD1"/>
    <w:rsid w:val="00541BBD"/>
    <w:rsid w:val="00541BCE"/>
    <w:rsid w:val="00541D0C"/>
    <w:rsid w:val="00541FE6"/>
    <w:rsid w:val="0054218D"/>
    <w:rsid w:val="005421DC"/>
    <w:rsid w:val="0054223D"/>
    <w:rsid w:val="005422F3"/>
    <w:rsid w:val="0054232F"/>
    <w:rsid w:val="0054235B"/>
    <w:rsid w:val="0054246E"/>
    <w:rsid w:val="005425BF"/>
    <w:rsid w:val="0054268E"/>
    <w:rsid w:val="005427C8"/>
    <w:rsid w:val="005427F4"/>
    <w:rsid w:val="00542803"/>
    <w:rsid w:val="005429F7"/>
    <w:rsid w:val="00542A53"/>
    <w:rsid w:val="00542AB4"/>
    <w:rsid w:val="00542B13"/>
    <w:rsid w:val="00542B4D"/>
    <w:rsid w:val="00542B53"/>
    <w:rsid w:val="00542BB4"/>
    <w:rsid w:val="00542BE0"/>
    <w:rsid w:val="00542D11"/>
    <w:rsid w:val="00542DF6"/>
    <w:rsid w:val="00542EB3"/>
    <w:rsid w:val="00542F71"/>
    <w:rsid w:val="0054307E"/>
    <w:rsid w:val="005430EC"/>
    <w:rsid w:val="005431A4"/>
    <w:rsid w:val="0054329A"/>
    <w:rsid w:val="005432A2"/>
    <w:rsid w:val="0054331C"/>
    <w:rsid w:val="00543435"/>
    <w:rsid w:val="0054345C"/>
    <w:rsid w:val="0054366B"/>
    <w:rsid w:val="00543827"/>
    <w:rsid w:val="0054399D"/>
    <w:rsid w:val="005439E6"/>
    <w:rsid w:val="00543A4E"/>
    <w:rsid w:val="00543B18"/>
    <w:rsid w:val="00543E1E"/>
    <w:rsid w:val="00543EC7"/>
    <w:rsid w:val="00543F10"/>
    <w:rsid w:val="00543FB9"/>
    <w:rsid w:val="00544093"/>
    <w:rsid w:val="005440BC"/>
    <w:rsid w:val="00544196"/>
    <w:rsid w:val="005441CC"/>
    <w:rsid w:val="005441F8"/>
    <w:rsid w:val="005443F2"/>
    <w:rsid w:val="0054442A"/>
    <w:rsid w:val="00544472"/>
    <w:rsid w:val="005445FD"/>
    <w:rsid w:val="0054467E"/>
    <w:rsid w:val="005446F5"/>
    <w:rsid w:val="0054476B"/>
    <w:rsid w:val="00544880"/>
    <w:rsid w:val="00544899"/>
    <w:rsid w:val="00544955"/>
    <w:rsid w:val="0054498B"/>
    <w:rsid w:val="005449B8"/>
    <w:rsid w:val="00544AAE"/>
    <w:rsid w:val="00544AB5"/>
    <w:rsid w:val="00544ABF"/>
    <w:rsid w:val="00544C07"/>
    <w:rsid w:val="00544C57"/>
    <w:rsid w:val="00544CA6"/>
    <w:rsid w:val="00544E38"/>
    <w:rsid w:val="00544EC0"/>
    <w:rsid w:val="00544F50"/>
    <w:rsid w:val="00545056"/>
    <w:rsid w:val="005450C3"/>
    <w:rsid w:val="00545140"/>
    <w:rsid w:val="005452EA"/>
    <w:rsid w:val="00545306"/>
    <w:rsid w:val="005453E3"/>
    <w:rsid w:val="0054566E"/>
    <w:rsid w:val="0054568E"/>
    <w:rsid w:val="005456EF"/>
    <w:rsid w:val="0054570D"/>
    <w:rsid w:val="00545752"/>
    <w:rsid w:val="0054588E"/>
    <w:rsid w:val="005458AD"/>
    <w:rsid w:val="0054598C"/>
    <w:rsid w:val="005459AC"/>
    <w:rsid w:val="00545A48"/>
    <w:rsid w:val="00545B6B"/>
    <w:rsid w:val="00545BE7"/>
    <w:rsid w:val="00545BEF"/>
    <w:rsid w:val="00545D2D"/>
    <w:rsid w:val="00545D32"/>
    <w:rsid w:val="00545D72"/>
    <w:rsid w:val="00545E79"/>
    <w:rsid w:val="00545EC3"/>
    <w:rsid w:val="00545FD9"/>
    <w:rsid w:val="00546034"/>
    <w:rsid w:val="00546039"/>
    <w:rsid w:val="00546078"/>
    <w:rsid w:val="0054613C"/>
    <w:rsid w:val="0054616C"/>
    <w:rsid w:val="00546177"/>
    <w:rsid w:val="00546199"/>
    <w:rsid w:val="0054619B"/>
    <w:rsid w:val="0054627C"/>
    <w:rsid w:val="00546311"/>
    <w:rsid w:val="00546379"/>
    <w:rsid w:val="005463C2"/>
    <w:rsid w:val="005463D4"/>
    <w:rsid w:val="005463E8"/>
    <w:rsid w:val="00546628"/>
    <w:rsid w:val="00546722"/>
    <w:rsid w:val="00546805"/>
    <w:rsid w:val="00546861"/>
    <w:rsid w:val="0054689C"/>
    <w:rsid w:val="00546B1D"/>
    <w:rsid w:val="00546BC7"/>
    <w:rsid w:val="00546C4D"/>
    <w:rsid w:val="00546D90"/>
    <w:rsid w:val="00546DD7"/>
    <w:rsid w:val="00546EBB"/>
    <w:rsid w:val="00546F40"/>
    <w:rsid w:val="00546F43"/>
    <w:rsid w:val="00546F76"/>
    <w:rsid w:val="005472F1"/>
    <w:rsid w:val="00547314"/>
    <w:rsid w:val="005473A9"/>
    <w:rsid w:val="005473FC"/>
    <w:rsid w:val="00547521"/>
    <w:rsid w:val="00547549"/>
    <w:rsid w:val="0054756A"/>
    <w:rsid w:val="0054761A"/>
    <w:rsid w:val="00547806"/>
    <w:rsid w:val="00547828"/>
    <w:rsid w:val="0054788B"/>
    <w:rsid w:val="005478A0"/>
    <w:rsid w:val="005478D0"/>
    <w:rsid w:val="00547939"/>
    <w:rsid w:val="0054798C"/>
    <w:rsid w:val="005479BB"/>
    <w:rsid w:val="005479C3"/>
    <w:rsid w:val="005479D7"/>
    <w:rsid w:val="00547A5B"/>
    <w:rsid w:val="00547B25"/>
    <w:rsid w:val="00547C1C"/>
    <w:rsid w:val="00547CE9"/>
    <w:rsid w:val="00547D3D"/>
    <w:rsid w:val="00547D9C"/>
    <w:rsid w:val="00547DB6"/>
    <w:rsid w:val="00547DC1"/>
    <w:rsid w:val="00547EA9"/>
    <w:rsid w:val="00547EE2"/>
    <w:rsid w:val="00550169"/>
    <w:rsid w:val="00550290"/>
    <w:rsid w:val="005502A0"/>
    <w:rsid w:val="005502B8"/>
    <w:rsid w:val="00550352"/>
    <w:rsid w:val="005503BC"/>
    <w:rsid w:val="005504A8"/>
    <w:rsid w:val="005504BE"/>
    <w:rsid w:val="005504C9"/>
    <w:rsid w:val="0055057A"/>
    <w:rsid w:val="00550681"/>
    <w:rsid w:val="00550781"/>
    <w:rsid w:val="005507AD"/>
    <w:rsid w:val="005507D2"/>
    <w:rsid w:val="005508F4"/>
    <w:rsid w:val="005509BF"/>
    <w:rsid w:val="00550A19"/>
    <w:rsid w:val="00550A33"/>
    <w:rsid w:val="00550A72"/>
    <w:rsid w:val="00550B43"/>
    <w:rsid w:val="00550B52"/>
    <w:rsid w:val="00550C3C"/>
    <w:rsid w:val="00550C94"/>
    <w:rsid w:val="00550C95"/>
    <w:rsid w:val="00550CF5"/>
    <w:rsid w:val="00550D59"/>
    <w:rsid w:val="00550F6C"/>
    <w:rsid w:val="00550F82"/>
    <w:rsid w:val="00551027"/>
    <w:rsid w:val="00551074"/>
    <w:rsid w:val="005510D7"/>
    <w:rsid w:val="00551130"/>
    <w:rsid w:val="0055117F"/>
    <w:rsid w:val="005512DD"/>
    <w:rsid w:val="00551364"/>
    <w:rsid w:val="0055154C"/>
    <w:rsid w:val="0055168E"/>
    <w:rsid w:val="00551690"/>
    <w:rsid w:val="005516C8"/>
    <w:rsid w:val="00551787"/>
    <w:rsid w:val="0055192D"/>
    <w:rsid w:val="00551952"/>
    <w:rsid w:val="005519C0"/>
    <w:rsid w:val="005519DC"/>
    <w:rsid w:val="00551A57"/>
    <w:rsid w:val="00551A6C"/>
    <w:rsid w:val="00551AB4"/>
    <w:rsid w:val="00551AB6"/>
    <w:rsid w:val="00551C44"/>
    <w:rsid w:val="00551C5A"/>
    <w:rsid w:val="00551C8E"/>
    <w:rsid w:val="00551CCD"/>
    <w:rsid w:val="00551D19"/>
    <w:rsid w:val="00551D39"/>
    <w:rsid w:val="00551D73"/>
    <w:rsid w:val="00551E11"/>
    <w:rsid w:val="00551E76"/>
    <w:rsid w:val="00551E86"/>
    <w:rsid w:val="00551F01"/>
    <w:rsid w:val="00551F64"/>
    <w:rsid w:val="00552109"/>
    <w:rsid w:val="0055215C"/>
    <w:rsid w:val="0055220A"/>
    <w:rsid w:val="005522F3"/>
    <w:rsid w:val="0055232E"/>
    <w:rsid w:val="00552363"/>
    <w:rsid w:val="00552367"/>
    <w:rsid w:val="00552390"/>
    <w:rsid w:val="005523A2"/>
    <w:rsid w:val="0055243C"/>
    <w:rsid w:val="005524F1"/>
    <w:rsid w:val="005525BB"/>
    <w:rsid w:val="00552604"/>
    <w:rsid w:val="0055269B"/>
    <w:rsid w:val="005526AD"/>
    <w:rsid w:val="005526BD"/>
    <w:rsid w:val="00552771"/>
    <w:rsid w:val="0055290D"/>
    <w:rsid w:val="005529A2"/>
    <w:rsid w:val="00552AF3"/>
    <w:rsid w:val="00552BE3"/>
    <w:rsid w:val="00552BFD"/>
    <w:rsid w:val="00552CAE"/>
    <w:rsid w:val="00552D14"/>
    <w:rsid w:val="00552D4B"/>
    <w:rsid w:val="00552E26"/>
    <w:rsid w:val="00552E57"/>
    <w:rsid w:val="00552E9A"/>
    <w:rsid w:val="00552F0C"/>
    <w:rsid w:val="00552F62"/>
    <w:rsid w:val="00552FE7"/>
    <w:rsid w:val="00553141"/>
    <w:rsid w:val="00553182"/>
    <w:rsid w:val="00553191"/>
    <w:rsid w:val="00553207"/>
    <w:rsid w:val="0055323F"/>
    <w:rsid w:val="0055329E"/>
    <w:rsid w:val="00553448"/>
    <w:rsid w:val="005535A4"/>
    <w:rsid w:val="005535F6"/>
    <w:rsid w:val="005535FE"/>
    <w:rsid w:val="0055364C"/>
    <w:rsid w:val="00553773"/>
    <w:rsid w:val="005537AC"/>
    <w:rsid w:val="00553830"/>
    <w:rsid w:val="005538A1"/>
    <w:rsid w:val="0055395E"/>
    <w:rsid w:val="00553A3B"/>
    <w:rsid w:val="00553ADF"/>
    <w:rsid w:val="00553B42"/>
    <w:rsid w:val="00553BDA"/>
    <w:rsid w:val="00553BDF"/>
    <w:rsid w:val="00553BF7"/>
    <w:rsid w:val="00553CAC"/>
    <w:rsid w:val="00553CC5"/>
    <w:rsid w:val="00553E9B"/>
    <w:rsid w:val="00553F02"/>
    <w:rsid w:val="00553F7F"/>
    <w:rsid w:val="00554032"/>
    <w:rsid w:val="00554094"/>
    <w:rsid w:val="00554210"/>
    <w:rsid w:val="0055428C"/>
    <w:rsid w:val="005542AD"/>
    <w:rsid w:val="0055438C"/>
    <w:rsid w:val="005544A1"/>
    <w:rsid w:val="005544D5"/>
    <w:rsid w:val="00554650"/>
    <w:rsid w:val="0055469A"/>
    <w:rsid w:val="0055474D"/>
    <w:rsid w:val="0055476B"/>
    <w:rsid w:val="005547C1"/>
    <w:rsid w:val="00554930"/>
    <w:rsid w:val="005549B0"/>
    <w:rsid w:val="00554A42"/>
    <w:rsid w:val="00554A7E"/>
    <w:rsid w:val="00554A84"/>
    <w:rsid w:val="00554AEF"/>
    <w:rsid w:val="00554B42"/>
    <w:rsid w:val="00554B74"/>
    <w:rsid w:val="00554B77"/>
    <w:rsid w:val="00554B84"/>
    <w:rsid w:val="00554CB7"/>
    <w:rsid w:val="00554D85"/>
    <w:rsid w:val="00554DF3"/>
    <w:rsid w:val="00554E36"/>
    <w:rsid w:val="00554EDA"/>
    <w:rsid w:val="0055501F"/>
    <w:rsid w:val="00555122"/>
    <w:rsid w:val="00555199"/>
    <w:rsid w:val="0055519F"/>
    <w:rsid w:val="00555244"/>
    <w:rsid w:val="00555268"/>
    <w:rsid w:val="00555279"/>
    <w:rsid w:val="0055527E"/>
    <w:rsid w:val="00555384"/>
    <w:rsid w:val="005553BA"/>
    <w:rsid w:val="0055541C"/>
    <w:rsid w:val="0055546D"/>
    <w:rsid w:val="00555548"/>
    <w:rsid w:val="0055557A"/>
    <w:rsid w:val="00555614"/>
    <w:rsid w:val="00555635"/>
    <w:rsid w:val="00555652"/>
    <w:rsid w:val="005556C1"/>
    <w:rsid w:val="00555768"/>
    <w:rsid w:val="0055582A"/>
    <w:rsid w:val="0055584E"/>
    <w:rsid w:val="00555859"/>
    <w:rsid w:val="00555870"/>
    <w:rsid w:val="005558F4"/>
    <w:rsid w:val="005559A1"/>
    <w:rsid w:val="005559F0"/>
    <w:rsid w:val="00555A4C"/>
    <w:rsid w:val="00555A74"/>
    <w:rsid w:val="00555BD7"/>
    <w:rsid w:val="00555C06"/>
    <w:rsid w:val="00555E3C"/>
    <w:rsid w:val="00555EA0"/>
    <w:rsid w:val="00555ECC"/>
    <w:rsid w:val="00555F22"/>
    <w:rsid w:val="00555F3D"/>
    <w:rsid w:val="00555F9B"/>
    <w:rsid w:val="0055610A"/>
    <w:rsid w:val="0055614E"/>
    <w:rsid w:val="00556150"/>
    <w:rsid w:val="005561DC"/>
    <w:rsid w:val="00556341"/>
    <w:rsid w:val="005563A6"/>
    <w:rsid w:val="005563EE"/>
    <w:rsid w:val="0055644B"/>
    <w:rsid w:val="00556471"/>
    <w:rsid w:val="00556487"/>
    <w:rsid w:val="005565D6"/>
    <w:rsid w:val="0055662D"/>
    <w:rsid w:val="005566D1"/>
    <w:rsid w:val="00556717"/>
    <w:rsid w:val="005567C2"/>
    <w:rsid w:val="005567DF"/>
    <w:rsid w:val="00556813"/>
    <w:rsid w:val="0055685A"/>
    <w:rsid w:val="005568AA"/>
    <w:rsid w:val="00556A58"/>
    <w:rsid w:val="00556BD9"/>
    <w:rsid w:val="00556CA9"/>
    <w:rsid w:val="00556CD3"/>
    <w:rsid w:val="00556CFC"/>
    <w:rsid w:val="00556CFE"/>
    <w:rsid w:val="00556DF4"/>
    <w:rsid w:val="00556E12"/>
    <w:rsid w:val="00556EE4"/>
    <w:rsid w:val="00556F7F"/>
    <w:rsid w:val="00557045"/>
    <w:rsid w:val="00557130"/>
    <w:rsid w:val="00557208"/>
    <w:rsid w:val="0055725E"/>
    <w:rsid w:val="00557266"/>
    <w:rsid w:val="0055741F"/>
    <w:rsid w:val="0055745C"/>
    <w:rsid w:val="005574E0"/>
    <w:rsid w:val="0055753C"/>
    <w:rsid w:val="005575FF"/>
    <w:rsid w:val="00557681"/>
    <w:rsid w:val="005576CB"/>
    <w:rsid w:val="005577E3"/>
    <w:rsid w:val="00557850"/>
    <w:rsid w:val="005578C2"/>
    <w:rsid w:val="00557955"/>
    <w:rsid w:val="005579B1"/>
    <w:rsid w:val="005579D0"/>
    <w:rsid w:val="00557A3E"/>
    <w:rsid w:val="00557C43"/>
    <w:rsid w:val="00557CD2"/>
    <w:rsid w:val="00557D29"/>
    <w:rsid w:val="00557DB1"/>
    <w:rsid w:val="00557DBD"/>
    <w:rsid w:val="00557DC3"/>
    <w:rsid w:val="00557DEC"/>
    <w:rsid w:val="00557E0C"/>
    <w:rsid w:val="00557F52"/>
    <w:rsid w:val="00560076"/>
    <w:rsid w:val="005600D0"/>
    <w:rsid w:val="00560235"/>
    <w:rsid w:val="005603F3"/>
    <w:rsid w:val="00560473"/>
    <w:rsid w:val="00560481"/>
    <w:rsid w:val="00560673"/>
    <w:rsid w:val="0056068D"/>
    <w:rsid w:val="00560739"/>
    <w:rsid w:val="0056079C"/>
    <w:rsid w:val="005608B5"/>
    <w:rsid w:val="005608E0"/>
    <w:rsid w:val="00560AAD"/>
    <w:rsid w:val="00560B51"/>
    <w:rsid w:val="00560B64"/>
    <w:rsid w:val="00560BA3"/>
    <w:rsid w:val="00560C07"/>
    <w:rsid w:val="00560C46"/>
    <w:rsid w:val="00560C97"/>
    <w:rsid w:val="00560E1B"/>
    <w:rsid w:val="00560F16"/>
    <w:rsid w:val="00560FAF"/>
    <w:rsid w:val="00560FBE"/>
    <w:rsid w:val="00560FDD"/>
    <w:rsid w:val="00561019"/>
    <w:rsid w:val="00561035"/>
    <w:rsid w:val="005610B1"/>
    <w:rsid w:val="005612EA"/>
    <w:rsid w:val="0056135F"/>
    <w:rsid w:val="0056145A"/>
    <w:rsid w:val="005614AF"/>
    <w:rsid w:val="00561511"/>
    <w:rsid w:val="0056168C"/>
    <w:rsid w:val="0056177C"/>
    <w:rsid w:val="00561823"/>
    <w:rsid w:val="005618B6"/>
    <w:rsid w:val="005618D1"/>
    <w:rsid w:val="005619C2"/>
    <w:rsid w:val="005619DB"/>
    <w:rsid w:val="005619E7"/>
    <w:rsid w:val="00561AA5"/>
    <w:rsid w:val="00561AFE"/>
    <w:rsid w:val="00561BDA"/>
    <w:rsid w:val="00561BE1"/>
    <w:rsid w:val="00561C2F"/>
    <w:rsid w:val="00561C3D"/>
    <w:rsid w:val="00561C64"/>
    <w:rsid w:val="00561CC5"/>
    <w:rsid w:val="00561CE4"/>
    <w:rsid w:val="00561DB8"/>
    <w:rsid w:val="00561F26"/>
    <w:rsid w:val="00561FA4"/>
    <w:rsid w:val="00561FFA"/>
    <w:rsid w:val="00562014"/>
    <w:rsid w:val="00562033"/>
    <w:rsid w:val="00562044"/>
    <w:rsid w:val="00562103"/>
    <w:rsid w:val="00562116"/>
    <w:rsid w:val="0056215C"/>
    <w:rsid w:val="0056219F"/>
    <w:rsid w:val="00562278"/>
    <w:rsid w:val="00562476"/>
    <w:rsid w:val="0056247A"/>
    <w:rsid w:val="005624E5"/>
    <w:rsid w:val="005624E9"/>
    <w:rsid w:val="00562554"/>
    <w:rsid w:val="0056276A"/>
    <w:rsid w:val="005627FB"/>
    <w:rsid w:val="0056289E"/>
    <w:rsid w:val="005628B1"/>
    <w:rsid w:val="00562A46"/>
    <w:rsid w:val="00562BDB"/>
    <w:rsid w:val="00562D0A"/>
    <w:rsid w:val="00562D75"/>
    <w:rsid w:val="00562DA2"/>
    <w:rsid w:val="00562E31"/>
    <w:rsid w:val="00562E5B"/>
    <w:rsid w:val="00562F37"/>
    <w:rsid w:val="0056302C"/>
    <w:rsid w:val="005630AA"/>
    <w:rsid w:val="005632E6"/>
    <w:rsid w:val="00563445"/>
    <w:rsid w:val="005635FF"/>
    <w:rsid w:val="00563622"/>
    <w:rsid w:val="00563739"/>
    <w:rsid w:val="005637E8"/>
    <w:rsid w:val="00563880"/>
    <w:rsid w:val="00563938"/>
    <w:rsid w:val="00563974"/>
    <w:rsid w:val="005639A4"/>
    <w:rsid w:val="005639F4"/>
    <w:rsid w:val="00563A4E"/>
    <w:rsid w:val="00563A9C"/>
    <w:rsid w:val="00563AAA"/>
    <w:rsid w:val="00563AB0"/>
    <w:rsid w:val="00563BA7"/>
    <w:rsid w:val="00563BBC"/>
    <w:rsid w:val="00563BC4"/>
    <w:rsid w:val="00563BD1"/>
    <w:rsid w:val="00563CCB"/>
    <w:rsid w:val="00563D9F"/>
    <w:rsid w:val="00563DB0"/>
    <w:rsid w:val="00563ED8"/>
    <w:rsid w:val="00563F7F"/>
    <w:rsid w:val="00563FD1"/>
    <w:rsid w:val="0056403E"/>
    <w:rsid w:val="0056406F"/>
    <w:rsid w:val="00564091"/>
    <w:rsid w:val="005640B1"/>
    <w:rsid w:val="005640C2"/>
    <w:rsid w:val="005640F4"/>
    <w:rsid w:val="005641D1"/>
    <w:rsid w:val="00564566"/>
    <w:rsid w:val="005646AC"/>
    <w:rsid w:val="00564874"/>
    <w:rsid w:val="005648D5"/>
    <w:rsid w:val="005648FD"/>
    <w:rsid w:val="0056497D"/>
    <w:rsid w:val="0056497F"/>
    <w:rsid w:val="005649BE"/>
    <w:rsid w:val="005649C0"/>
    <w:rsid w:val="005649DC"/>
    <w:rsid w:val="005649E3"/>
    <w:rsid w:val="00564A08"/>
    <w:rsid w:val="00564A5C"/>
    <w:rsid w:val="00564B1A"/>
    <w:rsid w:val="00564B33"/>
    <w:rsid w:val="00564B52"/>
    <w:rsid w:val="00564C86"/>
    <w:rsid w:val="00564D7F"/>
    <w:rsid w:val="00564D98"/>
    <w:rsid w:val="00564DB1"/>
    <w:rsid w:val="00564DE3"/>
    <w:rsid w:val="00564F37"/>
    <w:rsid w:val="00564F4A"/>
    <w:rsid w:val="00564F8E"/>
    <w:rsid w:val="00564FD9"/>
    <w:rsid w:val="0056529C"/>
    <w:rsid w:val="005652D2"/>
    <w:rsid w:val="00565330"/>
    <w:rsid w:val="00565384"/>
    <w:rsid w:val="00565414"/>
    <w:rsid w:val="00565459"/>
    <w:rsid w:val="0056547E"/>
    <w:rsid w:val="00565496"/>
    <w:rsid w:val="005654D0"/>
    <w:rsid w:val="005654F6"/>
    <w:rsid w:val="00565560"/>
    <w:rsid w:val="0056558C"/>
    <w:rsid w:val="005656F5"/>
    <w:rsid w:val="005657B5"/>
    <w:rsid w:val="005657E9"/>
    <w:rsid w:val="005658A6"/>
    <w:rsid w:val="00565D59"/>
    <w:rsid w:val="00565DAA"/>
    <w:rsid w:val="00565F2E"/>
    <w:rsid w:val="00566067"/>
    <w:rsid w:val="005660FA"/>
    <w:rsid w:val="005660FC"/>
    <w:rsid w:val="00566128"/>
    <w:rsid w:val="00566193"/>
    <w:rsid w:val="005661A9"/>
    <w:rsid w:val="0056620E"/>
    <w:rsid w:val="0056629A"/>
    <w:rsid w:val="005662F4"/>
    <w:rsid w:val="00566343"/>
    <w:rsid w:val="00566351"/>
    <w:rsid w:val="005663D3"/>
    <w:rsid w:val="005664F4"/>
    <w:rsid w:val="005666AC"/>
    <w:rsid w:val="00566703"/>
    <w:rsid w:val="0056675A"/>
    <w:rsid w:val="005667BC"/>
    <w:rsid w:val="005667C4"/>
    <w:rsid w:val="0056687F"/>
    <w:rsid w:val="00566885"/>
    <w:rsid w:val="005669CB"/>
    <w:rsid w:val="00566AF1"/>
    <w:rsid w:val="00566D49"/>
    <w:rsid w:val="00566DBF"/>
    <w:rsid w:val="00566DDA"/>
    <w:rsid w:val="00566E31"/>
    <w:rsid w:val="00566E9E"/>
    <w:rsid w:val="00567052"/>
    <w:rsid w:val="00567070"/>
    <w:rsid w:val="0056707B"/>
    <w:rsid w:val="00567091"/>
    <w:rsid w:val="005670A6"/>
    <w:rsid w:val="005670B4"/>
    <w:rsid w:val="005670E8"/>
    <w:rsid w:val="00567120"/>
    <w:rsid w:val="00567201"/>
    <w:rsid w:val="00567205"/>
    <w:rsid w:val="0056723A"/>
    <w:rsid w:val="00567243"/>
    <w:rsid w:val="005672FD"/>
    <w:rsid w:val="005673A9"/>
    <w:rsid w:val="005673FF"/>
    <w:rsid w:val="00567401"/>
    <w:rsid w:val="00567467"/>
    <w:rsid w:val="005674C4"/>
    <w:rsid w:val="005675D7"/>
    <w:rsid w:val="005675D9"/>
    <w:rsid w:val="0056773C"/>
    <w:rsid w:val="00567786"/>
    <w:rsid w:val="005677A0"/>
    <w:rsid w:val="005677B0"/>
    <w:rsid w:val="0056783D"/>
    <w:rsid w:val="00567927"/>
    <w:rsid w:val="0056799D"/>
    <w:rsid w:val="00567B00"/>
    <w:rsid w:val="00567D1D"/>
    <w:rsid w:val="00567F10"/>
    <w:rsid w:val="005700A1"/>
    <w:rsid w:val="005700A3"/>
    <w:rsid w:val="00570105"/>
    <w:rsid w:val="00570151"/>
    <w:rsid w:val="005701AC"/>
    <w:rsid w:val="00570240"/>
    <w:rsid w:val="00570249"/>
    <w:rsid w:val="00570315"/>
    <w:rsid w:val="00570374"/>
    <w:rsid w:val="005703B5"/>
    <w:rsid w:val="00570482"/>
    <w:rsid w:val="00570531"/>
    <w:rsid w:val="005705CA"/>
    <w:rsid w:val="005706CE"/>
    <w:rsid w:val="00570788"/>
    <w:rsid w:val="00570793"/>
    <w:rsid w:val="005707D0"/>
    <w:rsid w:val="005707F9"/>
    <w:rsid w:val="0057080D"/>
    <w:rsid w:val="00570938"/>
    <w:rsid w:val="00570945"/>
    <w:rsid w:val="00570963"/>
    <w:rsid w:val="0057097F"/>
    <w:rsid w:val="005709A3"/>
    <w:rsid w:val="00570D1A"/>
    <w:rsid w:val="00570DFB"/>
    <w:rsid w:val="00570F7C"/>
    <w:rsid w:val="0057101B"/>
    <w:rsid w:val="0057104B"/>
    <w:rsid w:val="0057105E"/>
    <w:rsid w:val="005711E0"/>
    <w:rsid w:val="005711FE"/>
    <w:rsid w:val="005713E8"/>
    <w:rsid w:val="005713EF"/>
    <w:rsid w:val="005715B6"/>
    <w:rsid w:val="00571764"/>
    <w:rsid w:val="0057176E"/>
    <w:rsid w:val="005717A1"/>
    <w:rsid w:val="005717C7"/>
    <w:rsid w:val="0057184C"/>
    <w:rsid w:val="005718BC"/>
    <w:rsid w:val="005718F7"/>
    <w:rsid w:val="00571915"/>
    <w:rsid w:val="00571A0D"/>
    <w:rsid w:val="00571ABA"/>
    <w:rsid w:val="00571C7A"/>
    <w:rsid w:val="00571CE1"/>
    <w:rsid w:val="00571CE8"/>
    <w:rsid w:val="00571D7E"/>
    <w:rsid w:val="00571D7F"/>
    <w:rsid w:val="00571D8F"/>
    <w:rsid w:val="00571E18"/>
    <w:rsid w:val="00572046"/>
    <w:rsid w:val="00572190"/>
    <w:rsid w:val="005721F4"/>
    <w:rsid w:val="0057222F"/>
    <w:rsid w:val="00572334"/>
    <w:rsid w:val="00572389"/>
    <w:rsid w:val="005723A1"/>
    <w:rsid w:val="00572432"/>
    <w:rsid w:val="005725B2"/>
    <w:rsid w:val="00572639"/>
    <w:rsid w:val="00572704"/>
    <w:rsid w:val="0057273B"/>
    <w:rsid w:val="005727EC"/>
    <w:rsid w:val="00572896"/>
    <w:rsid w:val="00572947"/>
    <w:rsid w:val="005729AD"/>
    <w:rsid w:val="00572A8C"/>
    <w:rsid w:val="00572AD9"/>
    <w:rsid w:val="00572C40"/>
    <w:rsid w:val="00572C75"/>
    <w:rsid w:val="00572D4E"/>
    <w:rsid w:val="00572D7B"/>
    <w:rsid w:val="00572EBB"/>
    <w:rsid w:val="00572F23"/>
    <w:rsid w:val="00572F68"/>
    <w:rsid w:val="00572FC2"/>
    <w:rsid w:val="005730C7"/>
    <w:rsid w:val="0057311E"/>
    <w:rsid w:val="0057314B"/>
    <w:rsid w:val="0057336F"/>
    <w:rsid w:val="005733E3"/>
    <w:rsid w:val="0057345D"/>
    <w:rsid w:val="005735A7"/>
    <w:rsid w:val="005735D2"/>
    <w:rsid w:val="00573612"/>
    <w:rsid w:val="00573662"/>
    <w:rsid w:val="0057384D"/>
    <w:rsid w:val="00573855"/>
    <w:rsid w:val="00573865"/>
    <w:rsid w:val="00573914"/>
    <w:rsid w:val="005739C3"/>
    <w:rsid w:val="005739EC"/>
    <w:rsid w:val="00573A06"/>
    <w:rsid w:val="00573AF2"/>
    <w:rsid w:val="00573BF9"/>
    <w:rsid w:val="00573C30"/>
    <w:rsid w:val="00573CE7"/>
    <w:rsid w:val="00573D90"/>
    <w:rsid w:val="00573DF4"/>
    <w:rsid w:val="00573EB6"/>
    <w:rsid w:val="00573EF5"/>
    <w:rsid w:val="00573F1A"/>
    <w:rsid w:val="00573FC1"/>
    <w:rsid w:val="005740D3"/>
    <w:rsid w:val="00574173"/>
    <w:rsid w:val="00574277"/>
    <w:rsid w:val="005742F8"/>
    <w:rsid w:val="005744E5"/>
    <w:rsid w:val="00574542"/>
    <w:rsid w:val="00574599"/>
    <w:rsid w:val="005745C5"/>
    <w:rsid w:val="00574649"/>
    <w:rsid w:val="005747B6"/>
    <w:rsid w:val="00574918"/>
    <w:rsid w:val="00574B3E"/>
    <w:rsid w:val="00574B97"/>
    <w:rsid w:val="00574D5E"/>
    <w:rsid w:val="00574D79"/>
    <w:rsid w:val="00574E3A"/>
    <w:rsid w:val="00574E92"/>
    <w:rsid w:val="00574F28"/>
    <w:rsid w:val="00574F88"/>
    <w:rsid w:val="005750AA"/>
    <w:rsid w:val="005751F6"/>
    <w:rsid w:val="005752E9"/>
    <w:rsid w:val="005753BE"/>
    <w:rsid w:val="005754BD"/>
    <w:rsid w:val="0057551E"/>
    <w:rsid w:val="00575547"/>
    <w:rsid w:val="0057557A"/>
    <w:rsid w:val="0057576C"/>
    <w:rsid w:val="00575798"/>
    <w:rsid w:val="005757E2"/>
    <w:rsid w:val="0057593D"/>
    <w:rsid w:val="0057596B"/>
    <w:rsid w:val="005759A6"/>
    <w:rsid w:val="005759FF"/>
    <w:rsid w:val="00575A2E"/>
    <w:rsid w:val="00575AA0"/>
    <w:rsid w:val="00575C39"/>
    <w:rsid w:val="00575C58"/>
    <w:rsid w:val="00575C7D"/>
    <w:rsid w:val="00575C94"/>
    <w:rsid w:val="00575C96"/>
    <w:rsid w:val="00575EA2"/>
    <w:rsid w:val="00575EBD"/>
    <w:rsid w:val="00575F3F"/>
    <w:rsid w:val="00575F85"/>
    <w:rsid w:val="00575FED"/>
    <w:rsid w:val="0057607E"/>
    <w:rsid w:val="0057608C"/>
    <w:rsid w:val="00576161"/>
    <w:rsid w:val="0057616E"/>
    <w:rsid w:val="00576174"/>
    <w:rsid w:val="00576228"/>
    <w:rsid w:val="005762B4"/>
    <w:rsid w:val="005763BA"/>
    <w:rsid w:val="005763C9"/>
    <w:rsid w:val="005763F1"/>
    <w:rsid w:val="0057644D"/>
    <w:rsid w:val="005764A6"/>
    <w:rsid w:val="00576550"/>
    <w:rsid w:val="00576557"/>
    <w:rsid w:val="005765B1"/>
    <w:rsid w:val="005765FE"/>
    <w:rsid w:val="0057660A"/>
    <w:rsid w:val="00576645"/>
    <w:rsid w:val="00576778"/>
    <w:rsid w:val="005767EF"/>
    <w:rsid w:val="0057682D"/>
    <w:rsid w:val="0057686F"/>
    <w:rsid w:val="005768D5"/>
    <w:rsid w:val="00576965"/>
    <w:rsid w:val="0057699C"/>
    <w:rsid w:val="00576A04"/>
    <w:rsid w:val="00576A8B"/>
    <w:rsid w:val="00576CBC"/>
    <w:rsid w:val="00576D4F"/>
    <w:rsid w:val="00576DB3"/>
    <w:rsid w:val="00576E3D"/>
    <w:rsid w:val="00576EA6"/>
    <w:rsid w:val="00576FD8"/>
    <w:rsid w:val="00576FFC"/>
    <w:rsid w:val="005770EF"/>
    <w:rsid w:val="00577121"/>
    <w:rsid w:val="0057741C"/>
    <w:rsid w:val="00577448"/>
    <w:rsid w:val="0057744D"/>
    <w:rsid w:val="005774DD"/>
    <w:rsid w:val="00577510"/>
    <w:rsid w:val="00577572"/>
    <w:rsid w:val="00577769"/>
    <w:rsid w:val="0057777F"/>
    <w:rsid w:val="00577794"/>
    <w:rsid w:val="0057787F"/>
    <w:rsid w:val="005778E7"/>
    <w:rsid w:val="00577953"/>
    <w:rsid w:val="005779F1"/>
    <w:rsid w:val="00577B1A"/>
    <w:rsid w:val="00577F34"/>
    <w:rsid w:val="00577FC4"/>
    <w:rsid w:val="0058000E"/>
    <w:rsid w:val="0058010B"/>
    <w:rsid w:val="0058018C"/>
    <w:rsid w:val="005801BE"/>
    <w:rsid w:val="00580287"/>
    <w:rsid w:val="00580419"/>
    <w:rsid w:val="005804A6"/>
    <w:rsid w:val="005804DA"/>
    <w:rsid w:val="00580591"/>
    <w:rsid w:val="00580596"/>
    <w:rsid w:val="0058065D"/>
    <w:rsid w:val="005806C6"/>
    <w:rsid w:val="005807F6"/>
    <w:rsid w:val="00580850"/>
    <w:rsid w:val="0058091C"/>
    <w:rsid w:val="00580A74"/>
    <w:rsid w:val="00580AFF"/>
    <w:rsid w:val="00580B00"/>
    <w:rsid w:val="00580B3F"/>
    <w:rsid w:val="00580CE4"/>
    <w:rsid w:val="00580DA3"/>
    <w:rsid w:val="00580E9A"/>
    <w:rsid w:val="00580F1C"/>
    <w:rsid w:val="00580FC0"/>
    <w:rsid w:val="00581007"/>
    <w:rsid w:val="00581022"/>
    <w:rsid w:val="00581062"/>
    <w:rsid w:val="005810AF"/>
    <w:rsid w:val="005811BE"/>
    <w:rsid w:val="00581270"/>
    <w:rsid w:val="005812D8"/>
    <w:rsid w:val="005812E3"/>
    <w:rsid w:val="00581393"/>
    <w:rsid w:val="00581418"/>
    <w:rsid w:val="00581473"/>
    <w:rsid w:val="005814EE"/>
    <w:rsid w:val="00581583"/>
    <w:rsid w:val="005815F5"/>
    <w:rsid w:val="005816F4"/>
    <w:rsid w:val="00581726"/>
    <w:rsid w:val="00581768"/>
    <w:rsid w:val="0058178E"/>
    <w:rsid w:val="00581862"/>
    <w:rsid w:val="0058187B"/>
    <w:rsid w:val="00581A58"/>
    <w:rsid w:val="00581B14"/>
    <w:rsid w:val="00581B3A"/>
    <w:rsid w:val="00581BB4"/>
    <w:rsid w:val="00581BC5"/>
    <w:rsid w:val="00581C29"/>
    <w:rsid w:val="00581E3D"/>
    <w:rsid w:val="00581EEC"/>
    <w:rsid w:val="00581F67"/>
    <w:rsid w:val="00581FD4"/>
    <w:rsid w:val="00582013"/>
    <w:rsid w:val="0058213B"/>
    <w:rsid w:val="0058215D"/>
    <w:rsid w:val="00582184"/>
    <w:rsid w:val="0058225B"/>
    <w:rsid w:val="00582297"/>
    <w:rsid w:val="005822BA"/>
    <w:rsid w:val="005822EC"/>
    <w:rsid w:val="00582387"/>
    <w:rsid w:val="005823D7"/>
    <w:rsid w:val="00582448"/>
    <w:rsid w:val="00582491"/>
    <w:rsid w:val="005824DE"/>
    <w:rsid w:val="0058250E"/>
    <w:rsid w:val="00582672"/>
    <w:rsid w:val="0058281C"/>
    <w:rsid w:val="0058287F"/>
    <w:rsid w:val="005828B9"/>
    <w:rsid w:val="00582934"/>
    <w:rsid w:val="00582946"/>
    <w:rsid w:val="0058296F"/>
    <w:rsid w:val="005829C3"/>
    <w:rsid w:val="005829C5"/>
    <w:rsid w:val="005829CB"/>
    <w:rsid w:val="00582A1C"/>
    <w:rsid w:val="00582D4C"/>
    <w:rsid w:val="00582D5D"/>
    <w:rsid w:val="00582D81"/>
    <w:rsid w:val="00582D9F"/>
    <w:rsid w:val="00582DB2"/>
    <w:rsid w:val="00582DE7"/>
    <w:rsid w:val="00582E5A"/>
    <w:rsid w:val="005831E3"/>
    <w:rsid w:val="00583213"/>
    <w:rsid w:val="00583296"/>
    <w:rsid w:val="00583339"/>
    <w:rsid w:val="0058347B"/>
    <w:rsid w:val="005834BE"/>
    <w:rsid w:val="005834CF"/>
    <w:rsid w:val="00583510"/>
    <w:rsid w:val="005835E0"/>
    <w:rsid w:val="005836E9"/>
    <w:rsid w:val="0058379A"/>
    <w:rsid w:val="005837C7"/>
    <w:rsid w:val="005837D9"/>
    <w:rsid w:val="005837FC"/>
    <w:rsid w:val="00583804"/>
    <w:rsid w:val="00583866"/>
    <w:rsid w:val="00583953"/>
    <w:rsid w:val="00583977"/>
    <w:rsid w:val="00583A69"/>
    <w:rsid w:val="00583A8E"/>
    <w:rsid w:val="00583D43"/>
    <w:rsid w:val="00583D53"/>
    <w:rsid w:val="00583E0F"/>
    <w:rsid w:val="00583F3C"/>
    <w:rsid w:val="00583F9E"/>
    <w:rsid w:val="00583FBC"/>
    <w:rsid w:val="00583FC4"/>
    <w:rsid w:val="0058407C"/>
    <w:rsid w:val="005841A6"/>
    <w:rsid w:val="005842EA"/>
    <w:rsid w:val="00584522"/>
    <w:rsid w:val="0058456A"/>
    <w:rsid w:val="005846F6"/>
    <w:rsid w:val="00584702"/>
    <w:rsid w:val="005847B7"/>
    <w:rsid w:val="00584820"/>
    <w:rsid w:val="00584859"/>
    <w:rsid w:val="005848E7"/>
    <w:rsid w:val="005848F4"/>
    <w:rsid w:val="0058490B"/>
    <w:rsid w:val="00584B66"/>
    <w:rsid w:val="00584C54"/>
    <w:rsid w:val="00584CBB"/>
    <w:rsid w:val="00584CC0"/>
    <w:rsid w:val="00584D22"/>
    <w:rsid w:val="00584D41"/>
    <w:rsid w:val="00584DCB"/>
    <w:rsid w:val="00584E1F"/>
    <w:rsid w:val="00584E42"/>
    <w:rsid w:val="00584F0C"/>
    <w:rsid w:val="00584F30"/>
    <w:rsid w:val="00585005"/>
    <w:rsid w:val="0058500B"/>
    <w:rsid w:val="00585063"/>
    <w:rsid w:val="005850C5"/>
    <w:rsid w:val="005851A3"/>
    <w:rsid w:val="0058520F"/>
    <w:rsid w:val="0058527D"/>
    <w:rsid w:val="005852E3"/>
    <w:rsid w:val="00585352"/>
    <w:rsid w:val="005853A7"/>
    <w:rsid w:val="005853BB"/>
    <w:rsid w:val="005853FF"/>
    <w:rsid w:val="00585419"/>
    <w:rsid w:val="0058543F"/>
    <w:rsid w:val="00585654"/>
    <w:rsid w:val="005856C7"/>
    <w:rsid w:val="005856D1"/>
    <w:rsid w:val="0058573D"/>
    <w:rsid w:val="0058573F"/>
    <w:rsid w:val="00585803"/>
    <w:rsid w:val="00585824"/>
    <w:rsid w:val="00585840"/>
    <w:rsid w:val="005859E5"/>
    <w:rsid w:val="005859F7"/>
    <w:rsid w:val="00585A0E"/>
    <w:rsid w:val="00585B18"/>
    <w:rsid w:val="00585BD2"/>
    <w:rsid w:val="00585BDA"/>
    <w:rsid w:val="00585BF6"/>
    <w:rsid w:val="00585C44"/>
    <w:rsid w:val="00585CCD"/>
    <w:rsid w:val="00585DD0"/>
    <w:rsid w:val="00585DF4"/>
    <w:rsid w:val="00585F37"/>
    <w:rsid w:val="00585F3D"/>
    <w:rsid w:val="00585F9C"/>
    <w:rsid w:val="005860BD"/>
    <w:rsid w:val="0058610B"/>
    <w:rsid w:val="005861EF"/>
    <w:rsid w:val="005861F8"/>
    <w:rsid w:val="005864F6"/>
    <w:rsid w:val="005865AD"/>
    <w:rsid w:val="0058660E"/>
    <w:rsid w:val="0058670B"/>
    <w:rsid w:val="00586714"/>
    <w:rsid w:val="0058673A"/>
    <w:rsid w:val="00586751"/>
    <w:rsid w:val="00586797"/>
    <w:rsid w:val="005867B0"/>
    <w:rsid w:val="005867CF"/>
    <w:rsid w:val="005868C7"/>
    <w:rsid w:val="005868E7"/>
    <w:rsid w:val="0058692A"/>
    <w:rsid w:val="00586A25"/>
    <w:rsid w:val="00586A96"/>
    <w:rsid w:val="00586ABA"/>
    <w:rsid w:val="00586BC3"/>
    <w:rsid w:val="00586CD5"/>
    <w:rsid w:val="00586CF2"/>
    <w:rsid w:val="00586DD7"/>
    <w:rsid w:val="00586E61"/>
    <w:rsid w:val="00586FAF"/>
    <w:rsid w:val="0058700D"/>
    <w:rsid w:val="0058702E"/>
    <w:rsid w:val="005870AC"/>
    <w:rsid w:val="005871A6"/>
    <w:rsid w:val="005872B2"/>
    <w:rsid w:val="005872D0"/>
    <w:rsid w:val="005872F2"/>
    <w:rsid w:val="005872FD"/>
    <w:rsid w:val="00587356"/>
    <w:rsid w:val="0058737D"/>
    <w:rsid w:val="005873D9"/>
    <w:rsid w:val="00587486"/>
    <w:rsid w:val="00587544"/>
    <w:rsid w:val="0058756B"/>
    <w:rsid w:val="005875C2"/>
    <w:rsid w:val="005876D3"/>
    <w:rsid w:val="00587801"/>
    <w:rsid w:val="00587810"/>
    <w:rsid w:val="00587935"/>
    <w:rsid w:val="0058795D"/>
    <w:rsid w:val="005879F5"/>
    <w:rsid w:val="00587A8B"/>
    <w:rsid w:val="00587B51"/>
    <w:rsid w:val="00587B5A"/>
    <w:rsid w:val="00587B74"/>
    <w:rsid w:val="00587B82"/>
    <w:rsid w:val="00587B8B"/>
    <w:rsid w:val="00587BE6"/>
    <w:rsid w:val="00587C86"/>
    <w:rsid w:val="00587D69"/>
    <w:rsid w:val="00587DAD"/>
    <w:rsid w:val="00587EB2"/>
    <w:rsid w:val="00587FA5"/>
    <w:rsid w:val="00587FD1"/>
    <w:rsid w:val="00587FEC"/>
    <w:rsid w:val="00590279"/>
    <w:rsid w:val="0059029F"/>
    <w:rsid w:val="00590343"/>
    <w:rsid w:val="0059034B"/>
    <w:rsid w:val="00590397"/>
    <w:rsid w:val="00590429"/>
    <w:rsid w:val="005904E3"/>
    <w:rsid w:val="0059065C"/>
    <w:rsid w:val="00590687"/>
    <w:rsid w:val="005906AF"/>
    <w:rsid w:val="0059075C"/>
    <w:rsid w:val="005907F0"/>
    <w:rsid w:val="00590803"/>
    <w:rsid w:val="00590819"/>
    <w:rsid w:val="005908EB"/>
    <w:rsid w:val="0059096D"/>
    <w:rsid w:val="00590A69"/>
    <w:rsid w:val="00590B2A"/>
    <w:rsid w:val="00590BB7"/>
    <w:rsid w:val="00590C03"/>
    <w:rsid w:val="00590C4E"/>
    <w:rsid w:val="00590CF3"/>
    <w:rsid w:val="00590DB0"/>
    <w:rsid w:val="00590DEF"/>
    <w:rsid w:val="00590E0C"/>
    <w:rsid w:val="00590E41"/>
    <w:rsid w:val="00590E85"/>
    <w:rsid w:val="00590EFB"/>
    <w:rsid w:val="00590F90"/>
    <w:rsid w:val="00590F94"/>
    <w:rsid w:val="00590FC1"/>
    <w:rsid w:val="00591024"/>
    <w:rsid w:val="0059105F"/>
    <w:rsid w:val="00591151"/>
    <w:rsid w:val="00591295"/>
    <w:rsid w:val="005913A4"/>
    <w:rsid w:val="005915AA"/>
    <w:rsid w:val="005915EC"/>
    <w:rsid w:val="0059164D"/>
    <w:rsid w:val="00591741"/>
    <w:rsid w:val="0059177D"/>
    <w:rsid w:val="005917BD"/>
    <w:rsid w:val="005917E8"/>
    <w:rsid w:val="00591808"/>
    <w:rsid w:val="0059181E"/>
    <w:rsid w:val="005918DD"/>
    <w:rsid w:val="00591903"/>
    <w:rsid w:val="0059195C"/>
    <w:rsid w:val="00591A17"/>
    <w:rsid w:val="00591A55"/>
    <w:rsid w:val="00591A72"/>
    <w:rsid w:val="00591B7C"/>
    <w:rsid w:val="00591DF4"/>
    <w:rsid w:val="00591E77"/>
    <w:rsid w:val="00591EF4"/>
    <w:rsid w:val="005920AA"/>
    <w:rsid w:val="00592171"/>
    <w:rsid w:val="00592259"/>
    <w:rsid w:val="005923B3"/>
    <w:rsid w:val="005923D0"/>
    <w:rsid w:val="0059245B"/>
    <w:rsid w:val="005924E0"/>
    <w:rsid w:val="0059258D"/>
    <w:rsid w:val="005925CB"/>
    <w:rsid w:val="0059263E"/>
    <w:rsid w:val="00592915"/>
    <w:rsid w:val="00592937"/>
    <w:rsid w:val="005929DA"/>
    <w:rsid w:val="00592A5E"/>
    <w:rsid w:val="00592B22"/>
    <w:rsid w:val="00592C12"/>
    <w:rsid w:val="00592E31"/>
    <w:rsid w:val="00592F50"/>
    <w:rsid w:val="00592F96"/>
    <w:rsid w:val="00592FA6"/>
    <w:rsid w:val="005930F3"/>
    <w:rsid w:val="005931A5"/>
    <w:rsid w:val="00593318"/>
    <w:rsid w:val="0059334B"/>
    <w:rsid w:val="005933B5"/>
    <w:rsid w:val="00593453"/>
    <w:rsid w:val="00593520"/>
    <w:rsid w:val="00593529"/>
    <w:rsid w:val="0059353D"/>
    <w:rsid w:val="00593780"/>
    <w:rsid w:val="00593808"/>
    <w:rsid w:val="0059380D"/>
    <w:rsid w:val="00593948"/>
    <w:rsid w:val="005939E6"/>
    <w:rsid w:val="00593BA6"/>
    <w:rsid w:val="00593BC2"/>
    <w:rsid w:val="00593C0C"/>
    <w:rsid w:val="00593C2F"/>
    <w:rsid w:val="00593C31"/>
    <w:rsid w:val="00593C86"/>
    <w:rsid w:val="00593D89"/>
    <w:rsid w:val="00593E07"/>
    <w:rsid w:val="00593E75"/>
    <w:rsid w:val="00594020"/>
    <w:rsid w:val="0059402F"/>
    <w:rsid w:val="00594075"/>
    <w:rsid w:val="005940C2"/>
    <w:rsid w:val="00594124"/>
    <w:rsid w:val="00594192"/>
    <w:rsid w:val="005942AF"/>
    <w:rsid w:val="005942EA"/>
    <w:rsid w:val="0059433E"/>
    <w:rsid w:val="0059451E"/>
    <w:rsid w:val="005945D2"/>
    <w:rsid w:val="005945FF"/>
    <w:rsid w:val="00594685"/>
    <w:rsid w:val="0059472F"/>
    <w:rsid w:val="00594749"/>
    <w:rsid w:val="00594899"/>
    <w:rsid w:val="0059496B"/>
    <w:rsid w:val="005949CC"/>
    <w:rsid w:val="005949D5"/>
    <w:rsid w:val="00594A13"/>
    <w:rsid w:val="00594A99"/>
    <w:rsid w:val="00594C0C"/>
    <w:rsid w:val="00594C71"/>
    <w:rsid w:val="00594DAF"/>
    <w:rsid w:val="00594DBE"/>
    <w:rsid w:val="00594DF3"/>
    <w:rsid w:val="00594E60"/>
    <w:rsid w:val="00594FBC"/>
    <w:rsid w:val="00595048"/>
    <w:rsid w:val="005951EA"/>
    <w:rsid w:val="0059529D"/>
    <w:rsid w:val="00595434"/>
    <w:rsid w:val="005954DC"/>
    <w:rsid w:val="005955BF"/>
    <w:rsid w:val="005955DC"/>
    <w:rsid w:val="005956A1"/>
    <w:rsid w:val="0059587C"/>
    <w:rsid w:val="0059588B"/>
    <w:rsid w:val="005959AD"/>
    <w:rsid w:val="00595AF6"/>
    <w:rsid w:val="00595B12"/>
    <w:rsid w:val="00595B25"/>
    <w:rsid w:val="00595B3A"/>
    <w:rsid w:val="00595B3B"/>
    <w:rsid w:val="00595B78"/>
    <w:rsid w:val="00595BC5"/>
    <w:rsid w:val="00595C89"/>
    <w:rsid w:val="00595CC7"/>
    <w:rsid w:val="00595D65"/>
    <w:rsid w:val="00595E9D"/>
    <w:rsid w:val="00595F55"/>
    <w:rsid w:val="00596026"/>
    <w:rsid w:val="0059603C"/>
    <w:rsid w:val="0059609E"/>
    <w:rsid w:val="005960B6"/>
    <w:rsid w:val="005960D4"/>
    <w:rsid w:val="005960FB"/>
    <w:rsid w:val="00596141"/>
    <w:rsid w:val="0059623C"/>
    <w:rsid w:val="00596367"/>
    <w:rsid w:val="00596477"/>
    <w:rsid w:val="005965AF"/>
    <w:rsid w:val="0059666B"/>
    <w:rsid w:val="00596691"/>
    <w:rsid w:val="005966DA"/>
    <w:rsid w:val="00596732"/>
    <w:rsid w:val="00596772"/>
    <w:rsid w:val="005967B4"/>
    <w:rsid w:val="00596808"/>
    <w:rsid w:val="005969A0"/>
    <w:rsid w:val="00596A5E"/>
    <w:rsid w:val="00596AD4"/>
    <w:rsid w:val="00596B15"/>
    <w:rsid w:val="00596B47"/>
    <w:rsid w:val="00596B79"/>
    <w:rsid w:val="00596B90"/>
    <w:rsid w:val="00596BB2"/>
    <w:rsid w:val="00596D91"/>
    <w:rsid w:val="00596F79"/>
    <w:rsid w:val="00596F97"/>
    <w:rsid w:val="00596FF5"/>
    <w:rsid w:val="00597055"/>
    <w:rsid w:val="0059705B"/>
    <w:rsid w:val="00597121"/>
    <w:rsid w:val="0059716C"/>
    <w:rsid w:val="0059727C"/>
    <w:rsid w:val="005973BE"/>
    <w:rsid w:val="00597415"/>
    <w:rsid w:val="00597444"/>
    <w:rsid w:val="00597452"/>
    <w:rsid w:val="00597456"/>
    <w:rsid w:val="00597483"/>
    <w:rsid w:val="005974D5"/>
    <w:rsid w:val="00597549"/>
    <w:rsid w:val="00597591"/>
    <w:rsid w:val="00597595"/>
    <w:rsid w:val="00597712"/>
    <w:rsid w:val="005978DE"/>
    <w:rsid w:val="005979AD"/>
    <w:rsid w:val="00597A5E"/>
    <w:rsid w:val="00597A90"/>
    <w:rsid w:val="00597AE8"/>
    <w:rsid w:val="00597B38"/>
    <w:rsid w:val="00597B8E"/>
    <w:rsid w:val="00597BD6"/>
    <w:rsid w:val="00597C66"/>
    <w:rsid w:val="00597CA0"/>
    <w:rsid w:val="00597CBC"/>
    <w:rsid w:val="00597CF9"/>
    <w:rsid w:val="00597D04"/>
    <w:rsid w:val="00597D3A"/>
    <w:rsid w:val="00597DFB"/>
    <w:rsid w:val="00597E9E"/>
    <w:rsid w:val="00597EFE"/>
    <w:rsid w:val="005A0010"/>
    <w:rsid w:val="005A00A0"/>
    <w:rsid w:val="005A00EA"/>
    <w:rsid w:val="005A025C"/>
    <w:rsid w:val="005A02E7"/>
    <w:rsid w:val="005A0382"/>
    <w:rsid w:val="005A038E"/>
    <w:rsid w:val="005A03C5"/>
    <w:rsid w:val="005A040D"/>
    <w:rsid w:val="005A0548"/>
    <w:rsid w:val="005A0549"/>
    <w:rsid w:val="005A05D1"/>
    <w:rsid w:val="005A05DC"/>
    <w:rsid w:val="005A0670"/>
    <w:rsid w:val="005A06CC"/>
    <w:rsid w:val="005A075B"/>
    <w:rsid w:val="005A07EC"/>
    <w:rsid w:val="005A0884"/>
    <w:rsid w:val="005A08AC"/>
    <w:rsid w:val="005A08E7"/>
    <w:rsid w:val="005A0A08"/>
    <w:rsid w:val="005A0A29"/>
    <w:rsid w:val="005A0B16"/>
    <w:rsid w:val="005A0B9B"/>
    <w:rsid w:val="005A0C68"/>
    <w:rsid w:val="005A0CDA"/>
    <w:rsid w:val="005A0D0E"/>
    <w:rsid w:val="005A0D5A"/>
    <w:rsid w:val="005A0D64"/>
    <w:rsid w:val="005A0DBB"/>
    <w:rsid w:val="005A0DF1"/>
    <w:rsid w:val="005A0F52"/>
    <w:rsid w:val="005A10BD"/>
    <w:rsid w:val="005A112D"/>
    <w:rsid w:val="005A11D8"/>
    <w:rsid w:val="005A1299"/>
    <w:rsid w:val="005A1474"/>
    <w:rsid w:val="005A14AB"/>
    <w:rsid w:val="005A15CA"/>
    <w:rsid w:val="005A1641"/>
    <w:rsid w:val="005A1642"/>
    <w:rsid w:val="005A1817"/>
    <w:rsid w:val="005A1AC4"/>
    <w:rsid w:val="005A1C54"/>
    <w:rsid w:val="005A1CBF"/>
    <w:rsid w:val="005A1D9C"/>
    <w:rsid w:val="005A1E36"/>
    <w:rsid w:val="005A1E3F"/>
    <w:rsid w:val="005A1EB1"/>
    <w:rsid w:val="005A1F96"/>
    <w:rsid w:val="005A1FBA"/>
    <w:rsid w:val="005A20B8"/>
    <w:rsid w:val="005A212F"/>
    <w:rsid w:val="005A2166"/>
    <w:rsid w:val="005A2197"/>
    <w:rsid w:val="005A21B4"/>
    <w:rsid w:val="005A2463"/>
    <w:rsid w:val="005A2537"/>
    <w:rsid w:val="005A25BA"/>
    <w:rsid w:val="005A25C6"/>
    <w:rsid w:val="005A2608"/>
    <w:rsid w:val="005A267E"/>
    <w:rsid w:val="005A27B9"/>
    <w:rsid w:val="005A27BB"/>
    <w:rsid w:val="005A2803"/>
    <w:rsid w:val="005A282A"/>
    <w:rsid w:val="005A285B"/>
    <w:rsid w:val="005A288C"/>
    <w:rsid w:val="005A28F4"/>
    <w:rsid w:val="005A2974"/>
    <w:rsid w:val="005A298A"/>
    <w:rsid w:val="005A29D2"/>
    <w:rsid w:val="005A2AC9"/>
    <w:rsid w:val="005A2C48"/>
    <w:rsid w:val="005A2CC9"/>
    <w:rsid w:val="005A2D28"/>
    <w:rsid w:val="005A2D87"/>
    <w:rsid w:val="005A2E2D"/>
    <w:rsid w:val="005A2E55"/>
    <w:rsid w:val="005A2F1D"/>
    <w:rsid w:val="005A30CA"/>
    <w:rsid w:val="005A31AA"/>
    <w:rsid w:val="005A3225"/>
    <w:rsid w:val="005A3443"/>
    <w:rsid w:val="005A344F"/>
    <w:rsid w:val="005A3454"/>
    <w:rsid w:val="005A34D0"/>
    <w:rsid w:val="005A3560"/>
    <w:rsid w:val="005A35D1"/>
    <w:rsid w:val="005A35D7"/>
    <w:rsid w:val="005A369C"/>
    <w:rsid w:val="005A36D0"/>
    <w:rsid w:val="005A36F5"/>
    <w:rsid w:val="005A37E2"/>
    <w:rsid w:val="005A3933"/>
    <w:rsid w:val="005A3970"/>
    <w:rsid w:val="005A3B87"/>
    <w:rsid w:val="005A3B91"/>
    <w:rsid w:val="005A3BA0"/>
    <w:rsid w:val="005A3BDA"/>
    <w:rsid w:val="005A3C56"/>
    <w:rsid w:val="005A3CEE"/>
    <w:rsid w:val="005A3EBA"/>
    <w:rsid w:val="005A3FD4"/>
    <w:rsid w:val="005A4040"/>
    <w:rsid w:val="005A404E"/>
    <w:rsid w:val="005A4118"/>
    <w:rsid w:val="005A414A"/>
    <w:rsid w:val="005A4186"/>
    <w:rsid w:val="005A419E"/>
    <w:rsid w:val="005A41BA"/>
    <w:rsid w:val="005A41D1"/>
    <w:rsid w:val="005A41F4"/>
    <w:rsid w:val="005A426F"/>
    <w:rsid w:val="005A42AC"/>
    <w:rsid w:val="005A45D2"/>
    <w:rsid w:val="005A45DF"/>
    <w:rsid w:val="005A4764"/>
    <w:rsid w:val="005A4832"/>
    <w:rsid w:val="005A4A02"/>
    <w:rsid w:val="005A4A9E"/>
    <w:rsid w:val="005A4AAD"/>
    <w:rsid w:val="005A4B03"/>
    <w:rsid w:val="005A4B82"/>
    <w:rsid w:val="005A4B89"/>
    <w:rsid w:val="005A4BD9"/>
    <w:rsid w:val="005A4C93"/>
    <w:rsid w:val="005A4CF1"/>
    <w:rsid w:val="005A4D79"/>
    <w:rsid w:val="005A4F79"/>
    <w:rsid w:val="005A4FF2"/>
    <w:rsid w:val="005A50C7"/>
    <w:rsid w:val="005A518B"/>
    <w:rsid w:val="005A5260"/>
    <w:rsid w:val="005A529B"/>
    <w:rsid w:val="005A52B2"/>
    <w:rsid w:val="005A535C"/>
    <w:rsid w:val="005A539F"/>
    <w:rsid w:val="005A553C"/>
    <w:rsid w:val="005A555B"/>
    <w:rsid w:val="005A56C3"/>
    <w:rsid w:val="005A5846"/>
    <w:rsid w:val="005A5851"/>
    <w:rsid w:val="005A5980"/>
    <w:rsid w:val="005A59FD"/>
    <w:rsid w:val="005A5B34"/>
    <w:rsid w:val="005A5C29"/>
    <w:rsid w:val="005A5C5B"/>
    <w:rsid w:val="005A5C7E"/>
    <w:rsid w:val="005A5DAB"/>
    <w:rsid w:val="005A5DED"/>
    <w:rsid w:val="005A6022"/>
    <w:rsid w:val="005A603D"/>
    <w:rsid w:val="005A6073"/>
    <w:rsid w:val="005A607C"/>
    <w:rsid w:val="005A6115"/>
    <w:rsid w:val="005A62D8"/>
    <w:rsid w:val="005A631E"/>
    <w:rsid w:val="005A640C"/>
    <w:rsid w:val="005A64C8"/>
    <w:rsid w:val="005A64D4"/>
    <w:rsid w:val="005A64F3"/>
    <w:rsid w:val="005A6554"/>
    <w:rsid w:val="005A6582"/>
    <w:rsid w:val="005A65B8"/>
    <w:rsid w:val="005A667C"/>
    <w:rsid w:val="005A6689"/>
    <w:rsid w:val="005A66C7"/>
    <w:rsid w:val="005A6726"/>
    <w:rsid w:val="005A674E"/>
    <w:rsid w:val="005A676B"/>
    <w:rsid w:val="005A6817"/>
    <w:rsid w:val="005A6882"/>
    <w:rsid w:val="005A68B2"/>
    <w:rsid w:val="005A6902"/>
    <w:rsid w:val="005A6A3B"/>
    <w:rsid w:val="005A6BDB"/>
    <w:rsid w:val="005A6C34"/>
    <w:rsid w:val="005A6C54"/>
    <w:rsid w:val="005A6CB8"/>
    <w:rsid w:val="005A6CDE"/>
    <w:rsid w:val="005A6D37"/>
    <w:rsid w:val="005A6FEF"/>
    <w:rsid w:val="005A701D"/>
    <w:rsid w:val="005A7188"/>
    <w:rsid w:val="005A71A1"/>
    <w:rsid w:val="005A722E"/>
    <w:rsid w:val="005A726B"/>
    <w:rsid w:val="005A72FB"/>
    <w:rsid w:val="005A73AD"/>
    <w:rsid w:val="005A73C9"/>
    <w:rsid w:val="005A73FE"/>
    <w:rsid w:val="005A7436"/>
    <w:rsid w:val="005A74C8"/>
    <w:rsid w:val="005A7588"/>
    <w:rsid w:val="005A75B1"/>
    <w:rsid w:val="005A75CC"/>
    <w:rsid w:val="005A75DF"/>
    <w:rsid w:val="005A75F1"/>
    <w:rsid w:val="005A7602"/>
    <w:rsid w:val="005A7639"/>
    <w:rsid w:val="005A7727"/>
    <w:rsid w:val="005A789A"/>
    <w:rsid w:val="005A7A04"/>
    <w:rsid w:val="005A7AEB"/>
    <w:rsid w:val="005A7C67"/>
    <w:rsid w:val="005A7D45"/>
    <w:rsid w:val="005A7D98"/>
    <w:rsid w:val="005A7DB9"/>
    <w:rsid w:val="005A7DD1"/>
    <w:rsid w:val="005A7EF1"/>
    <w:rsid w:val="005A7F24"/>
    <w:rsid w:val="005A7FB1"/>
    <w:rsid w:val="005B00FE"/>
    <w:rsid w:val="005B0111"/>
    <w:rsid w:val="005B0127"/>
    <w:rsid w:val="005B0150"/>
    <w:rsid w:val="005B016D"/>
    <w:rsid w:val="005B02B9"/>
    <w:rsid w:val="005B02D4"/>
    <w:rsid w:val="005B03B9"/>
    <w:rsid w:val="005B0483"/>
    <w:rsid w:val="005B04D8"/>
    <w:rsid w:val="005B0636"/>
    <w:rsid w:val="005B0662"/>
    <w:rsid w:val="005B069F"/>
    <w:rsid w:val="005B06DD"/>
    <w:rsid w:val="005B0790"/>
    <w:rsid w:val="005B07F0"/>
    <w:rsid w:val="005B0884"/>
    <w:rsid w:val="005B08BB"/>
    <w:rsid w:val="005B08E5"/>
    <w:rsid w:val="005B0916"/>
    <w:rsid w:val="005B092C"/>
    <w:rsid w:val="005B09B0"/>
    <w:rsid w:val="005B0B55"/>
    <w:rsid w:val="005B0BB4"/>
    <w:rsid w:val="005B0CB8"/>
    <w:rsid w:val="005B0CC2"/>
    <w:rsid w:val="005B0DAD"/>
    <w:rsid w:val="005B0DB1"/>
    <w:rsid w:val="005B0EE7"/>
    <w:rsid w:val="005B0EFE"/>
    <w:rsid w:val="005B0FC6"/>
    <w:rsid w:val="005B1032"/>
    <w:rsid w:val="005B10E8"/>
    <w:rsid w:val="005B1111"/>
    <w:rsid w:val="005B1333"/>
    <w:rsid w:val="005B13AB"/>
    <w:rsid w:val="005B13BE"/>
    <w:rsid w:val="005B149C"/>
    <w:rsid w:val="005B15A1"/>
    <w:rsid w:val="005B16B2"/>
    <w:rsid w:val="005B1730"/>
    <w:rsid w:val="005B174F"/>
    <w:rsid w:val="005B1792"/>
    <w:rsid w:val="005B182F"/>
    <w:rsid w:val="005B188F"/>
    <w:rsid w:val="005B18B3"/>
    <w:rsid w:val="005B1925"/>
    <w:rsid w:val="005B1940"/>
    <w:rsid w:val="005B1995"/>
    <w:rsid w:val="005B19CD"/>
    <w:rsid w:val="005B19EB"/>
    <w:rsid w:val="005B1A46"/>
    <w:rsid w:val="005B1A56"/>
    <w:rsid w:val="005B1B0D"/>
    <w:rsid w:val="005B1B5D"/>
    <w:rsid w:val="005B1C71"/>
    <w:rsid w:val="005B1CC9"/>
    <w:rsid w:val="005B1D28"/>
    <w:rsid w:val="005B1DF0"/>
    <w:rsid w:val="005B1E50"/>
    <w:rsid w:val="005B1E63"/>
    <w:rsid w:val="005B1F9C"/>
    <w:rsid w:val="005B204A"/>
    <w:rsid w:val="005B20D5"/>
    <w:rsid w:val="005B20EE"/>
    <w:rsid w:val="005B2126"/>
    <w:rsid w:val="005B2181"/>
    <w:rsid w:val="005B227A"/>
    <w:rsid w:val="005B227F"/>
    <w:rsid w:val="005B22D0"/>
    <w:rsid w:val="005B231B"/>
    <w:rsid w:val="005B23A2"/>
    <w:rsid w:val="005B248E"/>
    <w:rsid w:val="005B252D"/>
    <w:rsid w:val="005B25B7"/>
    <w:rsid w:val="005B25CE"/>
    <w:rsid w:val="005B25DE"/>
    <w:rsid w:val="005B2631"/>
    <w:rsid w:val="005B269D"/>
    <w:rsid w:val="005B26CA"/>
    <w:rsid w:val="005B2701"/>
    <w:rsid w:val="005B2859"/>
    <w:rsid w:val="005B2992"/>
    <w:rsid w:val="005B29E5"/>
    <w:rsid w:val="005B2A45"/>
    <w:rsid w:val="005B2AE7"/>
    <w:rsid w:val="005B2CDF"/>
    <w:rsid w:val="005B2EB7"/>
    <w:rsid w:val="005B2EF6"/>
    <w:rsid w:val="005B2F45"/>
    <w:rsid w:val="005B2F4E"/>
    <w:rsid w:val="005B3071"/>
    <w:rsid w:val="005B3084"/>
    <w:rsid w:val="005B3095"/>
    <w:rsid w:val="005B31C7"/>
    <w:rsid w:val="005B31DB"/>
    <w:rsid w:val="005B31F3"/>
    <w:rsid w:val="005B3262"/>
    <w:rsid w:val="005B328E"/>
    <w:rsid w:val="005B32CA"/>
    <w:rsid w:val="005B3328"/>
    <w:rsid w:val="005B33D6"/>
    <w:rsid w:val="005B3423"/>
    <w:rsid w:val="005B3464"/>
    <w:rsid w:val="005B349B"/>
    <w:rsid w:val="005B3552"/>
    <w:rsid w:val="005B35B9"/>
    <w:rsid w:val="005B363B"/>
    <w:rsid w:val="005B36A6"/>
    <w:rsid w:val="005B3796"/>
    <w:rsid w:val="005B38FC"/>
    <w:rsid w:val="005B3907"/>
    <w:rsid w:val="005B398F"/>
    <w:rsid w:val="005B3A1D"/>
    <w:rsid w:val="005B3A7E"/>
    <w:rsid w:val="005B3A8B"/>
    <w:rsid w:val="005B3AB4"/>
    <w:rsid w:val="005B3AF2"/>
    <w:rsid w:val="005B3AFC"/>
    <w:rsid w:val="005B3B8C"/>
    <w:rsid w:val="005B3D30"/>
    <w:rsid w:val="005B3DA5"/>
    <w:rsid w:val="005B3E3A"/>
    <w:rsid w:val="005B3E54"/>
    <w:rsid w:val="005B3E5B"/>
    <w:rsid w:val="005B3E5C"/>
    <w:rsid w:val="005B3F63"/>
    <w:rsid w:val="005B405A"/>
    <w:rsid w:val="005B40E5"/>
    <w:rsid w:val="005B4136"/>
    <w:rsid w:val="005B423B"/>
    <w:rsid w:val="005B42F6"/>
    <w:rsid w:val="005B435D"/>
    <w:rsid w:val="005B4416"/>
    <w:rsid w:val="005B4518"/>
    <w:rsid w:val="005B4664"/>
    <w:rsid w:val="005B4770"/>
    <w:rsid w:val="005B489C"/>
    <w:rsid w:val="005B4952"/>
    <w:rsid w:val="005B4961"/>
    <w:rsid w:val="005B49EA"/>
    <w:rsid w:val="005B4A73"/>
    <w:rsid w:val="005B4B63"/>
    <w:rsid w:val="005B4B6E"/>
    <w:rsid w:val="005B4B6F"/>
    <w:rsid w:val="005B4BF7"/>
    <w:rsid w:val="005B4C71"/>
    <w:rsid w:val="005B4CFA"/>
    <w:rsid w:val="005B4D22"/>
    <w:rsid w:val="005B4E9E"/>
    <w:rsid w:val="005B501F"/>
    <w:rsid w:val="005B5277"/>
    <w:rsid w:val="005B531A"/>
    <w:rsid w:val="005B5437"/>
    <w:rsid w:val="005B556E"/>
    <w:rsid w:val="005B5574"/>
    <w:rsid w:val="005B5602"/>
    <w:rsid w:val="005B562A"/>
    <w:rsid w:val="005B571B"/>
    <w:rsid w:val="005B5905"/>
    <w:rsid w:val="005B5A1B"/>
    <w:rsid w:val="005B5A2A"/>
    <w:rsid w:val="005B5A55"/>
    <w:rsid w:val="005B5B1D"/>
    <w:rsid w:val="005B5B8A"/>
    <w:rsid w:val="005B5C90"/>
    <w:rsid w:val="005B5D3B"/>
    <w:rsid w:val="005B5DBD"/>
    <w:rsid w:val="005B5E7D"/>
    <w:rsid w:val="005B5ED1"/>
    <w:rsid w:val="005B5ED2"/>
    <w:rsid w:val="005B5F92"/>
    <w:rsid w:val="005B5F9F"/>
    <w:rsid w:val="005B6088"/>
    <w:rsid w:val="005B60E5"/>
    <w:rsid w:val="005B616F"/>
    <w:rsid w:val="005B6250"/>
    <w:rsid w:val="005B628B"/>
    <w:rsid w:val="005B6299"/>
    <w:rsid w:val="005B6342"/>
    <w:rsid w:val="005B63A0"/>
    <w:rsid w:val="005B63BF"/>
    <w:rsid w:val="005B65FA"/>
    <w:rsid w:val="005B65FD"/>
    <w:rsid w:val="005B6679"/>
    <w:rsid w:val="005B66BB"/>
    <w:rsid w:val="005B675B"/>
    <w:rsid w:val="005B67B6"/>
    <w:rsid w:val="005B6870"/>
    <w:rsid w:val="005B6948"/>
    <w:rsid w:val="005B696D"/>
    <w:rsid w:val="005B6A46"/>
    <w:rsid w:val="005B6AD9"/>
    <w:rsid w:val="005B6B9D"/>
    <w:rsid w:val="005B6C9A"/>
    <w:rsid w:val="005B6D8F"/>
    <w:rsid w:val="005B6DA7"/>
    <w:rsid w:val="005B6FAF"/>
    <w:rsid w:val="005B7158"/>
    <w:rsid w:val="005B71C7"/>
    <w:rsid w:val="005B7258"/>
    <w:rsid w:val="005B7268"/>
    <w:rsid w:val="005B730D"/>
    <w:rsid w:val="005B73BD"/>
    <w:rsid w:val="005B7520"/>
    <w:rsid w:val="005B7562"/>
    <w:rsid w:val="005B7578"/>
    <w:rsid w:val="005B758D"/>
    <w:rsid w:val="005B75D2"/>
    <w:rsid w:val="005B76AB"/>
    <w:rsid w:val="005B7775"/>
    <w:rsid w:val="005B7798"/>
    <w:rsid w:val="005B77BF"/>
    <w:rsid w:val="005B7B13"/>
    <w:rsid w:val="005B7BF5"/>
    <w:rsid w:val="005B7BF6"/>
    <w:rsid w:val="005B7D35"/>
    <w:rsid w:val="005C0021"/>
    <w:rsid w:val="005C0074"/>
    <w:rsid w:val="005C0106"/>
    <w:rsid w:val="005C0177"/>
    <w:rsid w:val="005C0188"/>
    <w:rsid w:val="005C0358"/>
    <w:rsid w:val="005C0377"/>
    <w:rsid w:val="005C0379"/>
    <w:rsid w:val="005C0398"/>
    <w:rsid w:val="005C039E"/>
    <w:rsid w:val="005C03E2"/>
    <w:rsid w:val="005C04A4"/>
    <w:rsid w:val="005C0524"/>
    <w:rsid w:val="005C054C"/>
    <w:rsid w:val="005C0551"/>
    <w:rsid w:val="005C0576"/>
    <w:rsid w:val="005C0649"/>
    <w:rsid w:val="005C066A"/>
    <w:rsid w:val="005C06B1"/>
    <w:rsid w:val="005C06D8"/>
    <w:rsid w:val="005C06FA"/>
    <w:rsid w:val="005C0755"/>
    <w:rsid w:val="005C0770"/>
    <w:rsid w:val="005C085A"/>
    <w:rsid w:val="005C094A"/>
    <w:rsid w:val="005C09EB"/>
    <w:rsid w:val="005C09F2"/>
    <w:rsid w:val="005C0A4B"/>
    <w:rsid w:val="005C0A70"/>
    <w:rsid w:val="005C0ABF"/>
    <w:rsid w:val="005C0BB8"/>
    <w:rsid w:val="005C0CC6"/>
    <w:rsid w:val="005C0CED"/>
    <w:rsid w:val="005C0CEE"/>
    <w:rsid w:val="005C0EEC"/>
    <w:rsid w:val="005C0F18"/>
    <w:rsid w:val="005C1149"/>
    <w:rsid w:val="005C1213"/>
    <w:rsid w:val="005C1251"/>
    <w:rsid w:val="005C1265"/>
    <w:rsid w:val="005C128A"/>
    <w:rsid w:val="005C13EB"/>
    <w:rsid w:val="005C143C"/>
    <w:rsid w:val="005C16FF"/>
    <w:rsid w:val="005C17D2"/>
    <w:rsid w:val="005C17FF"/>
    <w:rsid w:val="005C18A8"/>
    <w:rsid w:val="005C19A6"/>
    <w:rsid w:val="005C1A3B"/>
    <w:rsid w:val="005C1BD7"/>
    <w:rsid w:val="005C1C85"/>
    <w:rsid w:val="005C1EC6"/>
    <w:rsid w:val="005C1F80"/>
    <w:rsid w:val="005C1F93"/>
    <w:rsid w:val="005C1FD8"/>
    <w:rsid w:val="005C1FE3"/>
    <w:rsid w:val="005C208B"/>
    <w:rsid w:val="005C212F"/>
    <w:rsid w:val="005C21C2"/>
    <w:rsid w:val="005C2238"/>
    <w:rsid w:val="005C22A0"/>
    <w:rsid w:val="005C22DF"/>
    <w:rsid w:val="005C231F"/>
    <w:rsid w:val="005C2324"/>
    <w:rsid w:val="005C2382"/>
    <w:rsid w:val="005C241B"/>
    <w:rsid w:val="005C253A"/>
    <w:rsid w:val="005C26D3"/>
    <w:rsid w:val="005C26F0"/>
    <w:rsid w:val="005C2739"/>
    <w:rsid w:val="005C294F"/>
    <w:rsid w:val="005C29A8"/>
    <w:rsid w:val="005C29C3"/>
    <w:rsid w:val="005C2A26"/>
    <w:rsid w:val="005C2B95"/>
    <w:rsid w:val="005C2C53"/>
    <w:rsid w:val="005C2C7D"/>
    <w:rsid w:val="005C2CBB"/>
    <w:rsid w:val="005C2F24"/>
    <w:rsid w:val="005C2F60"/>
    <w:rsid w:val="005C2F9F"/>
    <w:rsid w:val="005C30AB"/>
    <w:rsid w:val="005C30CE"/>
    <w:rsid w:val="005C31E5"/>
    <w:rsid w:val="005C32AE"/>
    <w:rsid w:val="005C3397"/>
    <w:rsid w:val="005C3440"/>
    <w:rsid w:val="005C3529"/>
    <w:rsid w:val="005C35AE"/>
    <w:rsid w:val="005C35B8"/>
    <w:rsid w:val="005C35E5"/>
    <w:rsid w:val="005C361E"/>
    <w:rsid w:val="005C3668"/>
    <w:rsid w:val="005C36B8"/>
    <w:rsid w:val="005C3714"/>
    <w:rsid w:val="005C3767"/>
    <w:rsid w:val="005C379B"/>
    <w:rsid w:val="005C3871"/>
    <w:rsid w:val="005C3955"/>
    <w:rsid w:val="005C3990"/>
    <w:rsid w:val="005C39CF"/>
    <w:rsid w:val="005C3C9C"/>
    <w:rsid w:val="005C3D17"/>
    <w:rsid w:val="005C3D1C"/>
    <w:rsid w:val="005C3D40"/>
    <w:rsid w:val="005C3D55"/>
    <w:rsid w:val="005C3F6E"/>
    <w:rsid w:val="005C3FA2"/>
    <w:rsid w:val="005C4088"/>
    <w:rsid w:val="005C417A"/>
    <w:rsid w:val="005C4302"/>
    <w:rsid w:val="005C4310"/>
    <w:rsid w:val="005C4443"/>
    <w:rsid w:val="005C4729"/>
    <w:rsid w:val="005C4730"/>
    <w:rsid w:val="005C481B"/>
    <w:rsid w:val="005C4832"/>
    <w:rsid w:val="005C48F1"/>
    <w:rsid w:val="005C491D"/>
    <w:rsid w:val="005C49EC"/>
    <w:rsid w:val="005C4B09"/>
    <w:rsid w:val="005C4B84"/>
    <w:rsid w:val="005C4D06"/>
    <w:rsid w:val="005C4D8B"/>
    <w:rsid w:val="005C4D9E"/>
    <w:rsid w:val="005C4E02"/>
    <w:rsid w:val="005C4F46"/>
    <w:rsid w:val="005C508A"/>
    <w:rsid w:val="005C512C"/>
    <w:rsid w:val="005C5230"/>
    <w:rsid w:val="005C526C"/>
    <w:rsid w:val="005C52A0"/>
    <w:rsid w:val="005C5337"/>
    <w:rsid w:val="005C54A4"/>
    <w:rsid w:val="005C54F6"/>
    <w:rsid w:val="005C55BA"/>
    <w:rsid w:val="005C57D0"/>
    <w:rsid w:val="005C585B"/>
    <w:rsid w:val="005C5872"/>
    <w:rsid w:val="005C58FC"/>
    <w:rsid w:val="005C5913"/>
    <w:rsid w:val="005C595D"/>
    <w:rsid w:val="005C5A21"/>
    <w:rsid w:val="005C5AC2"/>
    <w:rsid w:val="005C5DA7"/>
    <w:rsid w:val="005C5F61"/>
    <w:rsid w:val="005C5F86"/>
    <w:rsid w:val="005C5F8E"/>
    <w:rsid w:val="005C61F3"/>
    <w:rsid w:val="005C6225"/>
    <w:rsid w:val="005C6269"/>
    <w:rsid w:val="005C62CC"/>
    <w:rsid w:val="005C6499"/>
    <w:rsid w:val="005C6541"/>
    <w:rsid w:val="005C660A"/>
    <w:rsid w:val="005C671E"/>
    <w:rsid w:val="005C6804"/>
    <w:rsid w:val="005C6807"/>
    <w:rsid w:val="005C6870"/>
    <w:rsid w:val="005C6912"/>
    <w:rsid w:val="005C6924"/>
    <w:rsid w:val="005C699A"/>
    <w:rsid w:val="005C69DC"/>
    <w:rsid w:val="005C6AC0"/>
    <w:rsid w:val="005C6C98"/>
    <w:rsid w:val="005C6CEB"/>
    <w:rsid w:val="005C6D22"/>
    <w:rsid w:val="005C6DB9"/>
    <w:rsid w:val="005C6DE6"/>
    <w:rsid w:val="005C6E8E"/>
    <w:rsid w:val="005C6EE7"/>
    <w:rsid w:val="005C6F33"/>
    <w:rsid w:val="005C6F99"/>
    <w:rsid w:val="005C6FDD"/>
    <w:rsid w:val="005C700A"/>
    <w:rsid w:val="005C70D2"/>
    <w:rsid w:val="005C71EC"/>
    <w:rsid w:val="005C7295"/>
    <w:rsid w:val="005C73E0"/>
    <w:rsid w:val="005C74BB"/>
    <w:rsid w:val="005C7513"/>
    <w:rsid w:val="005C758A"/>
    <w:rsid w:val="005C768A"/>
    <w:rsid w:val="005C77F7"/>
    <w:rsid w:val="005C7831"/>
    <w:rsid w:val="005C7918"/>
    <w:rsid w:val="005C799C"/>
    <w:rsid w:val="005C79A0"/>
    <w:rsid w:val="005C79CF"/>
    <w:rsid w:val="005C7A21"/>
    <w:rsid w:val="005C7A98"/>
    <w:rsid w:val="005C7AB3"/>
    <w:rsid w:val="005C7C85"/>
    <w:rsid w:val="005C7CDB"/>
    <w:rsid w:val="005C7D2C"/>
    <w:rsid w:val="005C7D46"/>
    <w:rsid w:val="005C7FED"/>
    <w:rsid w:val="005D0043"/>
    <w:rsid w:val="005D0049"/>
    <w:rsid w:val="005D004E"/>
    <w:rsid w:val="005D0051"/>
    <w:rsid w:val="005D0082"/>
    <w:rsid w:val="005D0380"/>
    <w:rsid w:val="005D03C3"/>
    <w:rsid w:val="005D0494"/>
    <w:rsid w:val="005D04C2"/>
    <w:rsid w:val="005D04DB"/>
    <w:rsid w:val="005D0516"/>
    <w:rsid w:val="005D0718"/>
    <w:rsid w:val="005D0823"/>
    <w:rsid w:val="005D0919"/>
    <w:rsid w:val="005D0973"/>
    <w:rsid w:val="005D099A"/>
    <w:rsid w:val="005D09DD"/>
    <w:rsid w:val="005D0A6F"/>
    <w:rsid w:val="005D0A8F"/>
    <w:rsid w:val="005D0B9F"/>
    <w:rsid w:val="005D0BAE"/>
    <w:rsid w:val="005D0BD5"/>
    <w:rsid w:val="005D0D6D"/>
    <w:rsid w:val="005D0DDA"/>
    <w:rsid w:val="005D0DFD"/>
    <w:rsid w:val="005D0EAA"/>
    <w:rsid w:val="005D0F37"/>
    <w:rsid w:val="005D105D"/>
    <w:rsid w:val="005D110D"/>
    <w:rsid w:val="005D11AC"/>
    <w:rsid w:val="005D11F1"/>
    <w:rsid w:val="005D12BF"/>
    <w:rsid w:val="005D1382"/>
    <w:rsid w:val="005D13B5"/>
    <w:rsid w:val="005D14ED"/>
    <w:rsid w:val="005D14F7"/>
    <w:rsid w:val="005D1625"/>
    <w:rsid w:val="005D1635"/>
    <w:rsid w:val="005D1645"/>
    <w:rsid w:val="005D1698"/>
    <w:rsid w:val="005D16A9"/>
    <w:rsid w:val="005D16E1"/>
    <w:rsid w:val="005D190E"/>
    <w:rsid w:val="005D191E"/>
    <w:rsid w:val="005D1983"/>
    <w:rsid w:val="005D1A7D"/>
    <w:rsid w:val="005D1AE8"/>
    <w:rsid w:val="005D1B81"/>
    <w:rsid w:val="005D1BAC"/>
    <w:rsid w:val="005D1BE7"/>
    <w:rsid w:val="005D1C18"/>
    <w:rsid w:val="005D1CE7"/>
    <w:rsid w:val="005D1DEF"/>
    <w:rsid w:val="005D1E2E"/>
    <w:rsid w:val="005D1EF2"/>
    <w:rsid w:val="005D1F4A"/>
    <w:rsid w:val="005D20CC"/>
    <w:rsid w:val="005D2142"/>
    <w:rsid w:val="005D2151"/>
    <w:rsid w:val="005D21FA"/>
    <w:rsid w:val="005D2235"/>
    <w:rsid w:val="005D22B4"/>
    <w:rsid w:val="005D2370"/>
    <w:rsid w:val="005D239A"/>
    <w:rsid w:val="005D23B5"/>
    <w:rsid w:val="005D23D4"/>
    <w:rsid w:val="005D23E6"/>
    <w:rsid w:val="005D245D"/>
    <w:rsid w:val="005D24C3"/>
    <w:rsid w:val="005D2574"/>
    <w:rsid w:val="005D25E3"/>
    <w:rsid w:val="005D2640"/>
    <w:rsid w:val="005D2674"/>
    <w:rsid w:val="005D2709"/>
    <w:rsid w:val="005D2711"/>
    <w:rsid w:val="005D27B5"/>
    <w:rsid w:val="005D27C0"/>
    <w:rsid w:val="005D280E"/>
    <w:rsid w:val="005D286B"/>
    <w:rsid w:val="005D28F4"/>
    <w:rsid w:val="005D2991"/>
    <w:rsid w:val="005D2A3C"/>
    <w:rsid w:val="005D2C11"/>
    <w:rsid w:val="005D2C8A"/>
    <w:rsid w:val="005D2D1E"/>
    <w:rsid w:val="005D2D56"/>
    <w:rsid w:val="005D2DA9"/>
    <w:rsid w:val="005D2E8A"/>
    <w:rsid w:val="005D2EBC"/>
    <w:rsid w:val="005D2FAA"/>
    <w:rsid w:val="005D307D"/>
    <w:rsid w:val="005D319E"/>
    <w:rsid w:val="005D31C6"/>
    <w:rsid w:val="005D31D8"/>
    <w:rsid w:val="005D320D"/>
    <w:rsid w:val="005D3269"/>
    <w:rsid w:val="005D32A5"/>
    <w:rsid w:val="005D335C"/>
    <w:rsid w:val="005D3372"/>
    <w:rsid w:val="005D337F"/>
    <w:rsid w:val="005D33D9"/>
    <w:rsid w:val="005D3492"/>
    <w:rsid w:val="005D3606"/>
    <w:rsid w:val="005D378C"/>
    <w:rsid w:val="005D38BE"/>
    <w:rsid w:val="005D390E"/>
    <w:rsid w:val="005D397B"/>
    <w:rsid w:val="005D39C6"/>
    <w:rsid w:val="005D39CD"/>
    <w:rsid w:val="005D39E4"/>
    <w:rsid w:val="005D3AAB"/>
    <w:rsid w:val="005D3AC1"/>
    <w:rsid w:val="005D3B09"/>
    <w:rsid w:val="005D3C24"/>
    <w:rsid w:val="005D3CDE"/>
    <w:rsid w:val="005D3E41"/>
    <w:rsid w:val="005D3ECC"/>
    <w:rsid w:val="005D40A1"/>
    <w:rsid w:val="005D40EC"/>
    <w:rsid w:val="005D4101"/>
    <w:rsid w:val="005D414E"/>
    <w:rsid w:val="005D4169"/>
    <w:rsid w:val="005D4260"/>
    <w:rsid w:val="005D42B2"/>
    <w:rsid w:val="005D42CE"/>
    <w:rsid w:val="005D42F4"/>
    <w:rsid w:val="005D438C"/>
    <w:rsid w:val="005D4415"/>
    <w:rsid w:val="005D44A6"/>
    <w:rsid w:val="005D4505"/>
    <w:rsid w:val="005D4567"/>
    <w:rsid w:val="005D459F"/>
    <w:rsid w:val="005D4611"/>
    <w:rsid w:val="005D465F"/>
    <w:rsid w:val="005D4678"/>
    <w:rsid w:val="005D46C8"/>
    <w:rsid w:val="005D471D"/>
    <w:rsid w:val="005D48A9"/>
    <w:rsid w:val="005D4934"/>
    <w:rsid w:val="005D49DD"/>
    <w:rsid w:val="005D49EB"/>
    <w:rsid w:val="005D4ADA"/>
    <w:rsid w:val="005D4B38"/>
    <w:rsid w:val="005D4BBA"/>
    <w:rsid w:val="005D4C76"/>
    <w:rsid w:val="005D4CDE"/>
    <w:rsid w:val="005D4D1F"/>
    <w:rsid w:val="005D4D3D"/>
    <w:rsid w:val="005D4D58"/>
    <w:rsid w:val="005D4E08"/>
    <w:rsid w:val="005D4E34"/>
    <w:rsid w:val="005D4EEA"/>
    <w:rsid w:val="005D4FA7"/>
    <w:rsid w:val="005D4FB0"/>
    <w:rsid w:val="005D50F9"/>
    <w:rsid w:val="005D518F"/>
    <w:rsid w:val="005D51CA"/>
    <w:rsid w:val="005D5200"/>
    <w:rsid w:val="005D520A"/>
    <w:rsid w:val="005D5228"/>
    <w:rsid w:val="005D524A"/>
    <w:rsid w:val="005D5304"/>
    <w:rsid w:val="005D54C7"/>
    <w:rsid w:val="005D5537"/>
    <w:rsid w:val="005D5575"/>
    <w:rsid w:val="005D5631"/>
    <w:rsid w:val="005D567F"/>
    <w:rsid w:val="005D56E9"/>
    <w:rsid w:val="005D578A"/>
    <w:rsid w:val="005D5811"/>
    <w:rsid w:val="005D59BE"/>
    <w:rsid w:val="005D5A06"/>
    <w:rsid w:val="005D5A77"/>
    <w:rsid w:val="005D5AEB"/>
    <w:rsid w:val="005D5AFE"/>
    <w:rsid w:val="005D5B12"/>
    <w:rsid w:val="005D5B5B"/>
    <w:rsid w:val="005D5F94"/>
    <w:rsid w:val="005D6015"/>
    <w:rsid w:val="005D603D"/>
    <w:rsid w:val="005D6067"/>
    <w:rsid w:val="005D62D9"/>
    <w:rsid w:val="005D6311"/>
    <w:rsid w:val="005D631E"/>
    <w:rsid w:val="005D6326"/>
    <w:rsid w:val="005D6379"/>
    <w:rsid w:val="005D652F"/>
    <w:rsid w:val="005D653D"/>
    <w:rsid w:val="005D654C"/>
    <w:rsid w:val="005D65CC"/>
    <w:rsid w:val="005D6612"/>
    <w:rsid w:val="005D66BD"/>
    <w:rsid w:val="005D66E7"/>
    <w:rsid w:val="005D670D"/>
    <w:rsid w:val="005D6740"/>
    <w:rsid w:val="005D6774"/>
    <w:rsid w:val="005D68BB"/>
    <w:rsid w:val="005D6933"/>
    <w:rsid w:val="005D695D"/>
    <w:rsid w:val="005D6967"/>
    <w:rsid w:val="005D6A31"/>
    <w:rsid w:val="005D6AEE"/>
    <w:rsid w:val="005D6B1A"/>
    <w:rsid w:val="005D6BE3"/>
    <w:rsid w:val="005D6D71"/>
    <w:rsid w:val="005D6DCA"/>
    <w:rsid w:val="005D6DF9"/>
    <w:rsid w:val="005D6E30"/>
    <w:rsid w:val="005D6EE1"/>
    <w:rsid w:val="005D6F7E"/>
    <w:rsid w:val="005D6FDC"/>
    <w:rsid w:val="005D708D"/>
    <w:rsid w:val="005D7122"/>
    <w:rsid w:val="005D72F2"/>
    <w:rsid w:val="005D73B3"/>
    <w:rsid w:val="005D73C9"/>
    <w:rsid w:val="005D73E3"/>
    <w:rsid w:val="005D74BD"/>
    <w:rsid w:val="005D7543"/>
    <w:rsid w:val="005D7635"/>
    <w:rsid w:val="005D7710"/>
    <w:rsid w:val="005D78B5"/>
    <w:rsid w:val="005D79C7"/>
    <w:rsid w:val="005D79E2"/>
    <w:rsid w:val="005D7A35"/>
    <w:rsid w:val="005D7A49"/>
    <w:rsid w:val="005D7AC1"/>
    <w:rsid w:val="005D7B17"/>
    <w:rsid w:val="005D7B38"/>
    <w:rsid w:val="005D7B72"/>
    <w:rsid w:val="005D7BA5"/>
    <w:rsid w:val="005D7BA6"/>
    <w:rsid w:val="005D7C34"/>
    <w:rsid w:val="005D7C80"/>
    <w:rsid w:val="005D7D7A"/>
    <w:rsid w:val="005D7D9B"/>
    <w:rsid w:val="005D7E0F"/>
    <w:rsid w:val="005D7E26"/>
    <w:rsid w:val="005D7E88"/>
    <w:rsid w:val="005D7F78"/>
    <w:rsid w:val="005D7FA9"/>
    <w:rsid w:val="005E0084"/>
    <w:rsid w:val="005E00FC"/>
    <w:rsid w:val="005E029B"/>
    <w:rsid w:val="005E03D5"/>
    <w:rsid w:val="005E0489"/>
    <w:rsid w:val="005E04B0"/>
    <w:rsid w:val="005E04BE"/>
    <w:rsid w:val="005E053A"/>
    <w:rsid w:val="005E058B"/>
    <w:rsid w:val="005E0708"/>
    <w:rsid w:val="005E0758"/>
    <w:rsid w:val="005E077C"/>
    <w:rsid w:val="005E081C"/>
    <w:rsid w:val="005E0829"/>
    <w:rsid w:val="005E0917"/>
    <w:rsid w:val="005E0AA1"/>
    <w:rsid w:val="005E0AF5"/>
    <w:rsid w:val="005E0B12"/>
    <w:rsid w:val="005E0B3C"/>
    <w:rsid w:val="005E0C05"/>
    <w:rsid w:val="005E0C3A"/>
    <w:rsid w:val="005E0C64"/>
    <w:rsid w:val="005E0D2B"/>
    <w:rsid w:val="005E0D62"/>
    <w:rsid w:val="005E0D63"/>
    <w:rsid w:val="005E0D87"/>
    <w:rsid w:val="005E0E91"/>
    <w:rsid w:val="005E0E97"/>
    <w:rsid w:val="005E0EEC"/>
    <w:rsid w:val="005E0F2A"/>
    <w:rsid w:val="005E0FA0"/>
    <w:rsid w:val="005E0FC5"/>
    <w:rsid w:val="005E1212"/>
    <w:rsid w:val="005E1253"/>
    <w:rsid w:val="005E1371"/>
    <w:rsid w:val="005E13F8"/>
    <w:rsid w:val="005E1493"/>
    <w:rsid w:val="005E1497"/>
    <w:rsid w:val="005E14AF"/>
    <w:rsid w:val="005E15DC"/>
    <w:rsid w:val="005E1611"/>
    <w:rsid w:val="005E1619"/>
    <w:rsid w:val="005E163F"/>
    <w:rsid w:val="005E1799"/>
    <w:rsid w:val="005E17EC"/>
    <w:rsid w:val="005E193A"/>
    <w:rsid w:val="005E19C8"/>
    <w:rsid w:val="005E19DB"/>
    <w:rsid w:val="005E1A9D"/>
    <w:rsid w:val="005E1B4E"/>
    <w:rsid w:val="005E1B6D"/>
    <w:rsid w:val="005E1B79"/>
    <w:rsid w:val="005E1C74"/>
    <w:rsid w:val="005E1D30"/>
    <w:rsid w:val="005E1D72"/>
    <w:rsid w:val="005E1D96"/>
    <w:rsid w:val="005E1E25"/>
    <w:rsid w:val="005E1E49"/>
    <w:rsid w:val="005E1FA3"/>
    <w:rsid w:val="005E2130"/>
    <w:rsid w:val="005E22AA"/>
    <w:rsid w:val="005E24E5"/>
    <w:rsid w:val="005E26D9"/>
    <w:rsid w:val="005E27DA"/>
    <w:rsid w:val="005E297C"/>
    <w:rsid w:val="005E2C67"/>
    <w:rsid w:val="005E2CF7"/>
    <w:rsid w:val="005E2D1E"/>
    <w:rsid w:val="005E2D28"/>
    <w:rsid w:val="005E2E7A"/>
    <w:rsid w:val="005E2FDD"/>
    <w:rsid w:val="005E3281"/>
    <w:rsid w:val="005E344F"/>
    <w:rsid w:val="005E34C8"/>
    <w:rsid w:val="005E35E2"/>
    <w:rsid w:val="005E35E3"/>
    <w:rsid w:val="005E3667"/>
    <w:rsid w:val="005E36FF"/>
    <w:rsid w:val="005E375B"/>
    <w:rsid w:val="005E3779"/>
    <w:rsid w:val="005E37C9"/>
    <w:rsid w:val="005E38FE"/>
    <w:rsid w:val="005E390B"/>
    <w:rsid w:val="005E390C"/>
    <w:rsid w:val="005E391F"/>
    <w:rsid w:val="005E3953"/>
    <w:rsid w:val="005E397B"/>
    <w:rsid w:val="005E397C"/>
    <w:rsid w:val="005E3A8C"/>
    <w:rsid w:val="005E3BD9"/>
    <w:rsid w:val="005E3CE8"/>
    <w:rsid w:val="005E3D0F"/>
    <w:rsid w:val="005E3D4C"/>
    <w:rsid w:val="005E3DC1"/>
    <w:rsid w:val="005E3EE8"/>
    <w:rsid w:val="005E3EEF"/>
    <w:rsid w:val="005E4036"/>
    <w:rsid w:val="005E415E"/>
    <w:rsid w:val="005E4179"/>
    <w:rsid w:val="005E4225"/>
    <w:rsid w:val="005E4297"/>
    <w:rsid w:val="005E42A8"/>
    <w:rsid w:val="005E430A"/>
    <w:rsid w:val="005E4506"/>
    <w:rsid w:val="005E4546"/>
    <w:rsid w:val="005E45AE"/>
    <w:rsid w:val="005E45B2"/>
    <w:rsid w:val="005E45CB"/>
    <w:rsid w:val="005E45CD"/>
    <w:rsid w:val="005E45CF"/>
    <w:rsid w:val="005E45D0"/>
    <w:rsid w:val="005E4604"/>
    <w:rsid w:val="005E4613"/>
    <w:rsid w:val="005E4643"/>
    <w:rsid w:val="005E469B"/>
    <w:rsid w:val="005E475F"/>
    <w:rsid w:val="005E47DD"/>
    <w:rsid w:val="005E482D"/>
    <w:rsid w:val="005E4890"/>
    <w:rsid w:val="005E48B4"/>
    <w:rsid w:val="005E48C7"/>
    <w:rsid w:val="005E49C3"/>
    <w:rsid w:val="005E4A8E"/>
    <w:rsid w:val="005E4A90"/>
    <w:rsid w:val="005E4B15"/>
    <w:rsid w:val="005E4B57"/>
    <w:rsid w:val="005E4BF9"/>
    <w:rsid w:val="005E4C85"/>
    <w:rsid w:val="005E4D67"/>
    <w:rsid w:val="005E4D98"/>
    <w:rsid w:val="005E4E24"/>
    <w:rsid w:val="005E4E42"/>
    <w:rsid w:val="005E4EA3"/>
    <w:rsid w:val="005E4EE9"/>
    <w:rsid w:val="005E4EF7"/>
    <w:rsid w:val="005E4F2B"/>
    <w:rsid w:val="005E4F8D"/>
    <w:rsid w:val="005E4FFA"/>
    <w:rsid w:val="005E5098"/>
    <w:rsid w:val="005E516E"/>
    <w:rsid w:val="005E517E"/>
    <w:rsid w:val="005E51D8"/>
    <w:rsid w:val="005E51D9"/>
    <w:rsid w:val="005E5269"/>
    <w:rsid w:val="005E53AF"/>
    <w:rsid w:val="005E54D5"/>
    <w:rsid w:val="005E552E"/>
    <w:rsid w:val="005E554E"/>
    <w:rsid w:val="005E5621"/>
    <w:rsid w:val="005E57F2"/>
    <w:rsid w:val="005E5821"/>
    <w:rsid w:val="005E588E"/>
    <w:rsid w:val="005E5906"/>
    <w:rsid w:val="005E5996"/>
    <w:rsid w:val="005E59EA"/>
    <w:rsid w:val="005E5A87"/>
    <w:rsid w:val="005E5ADF"/>
    <w:rsid w:val="005E5B8C"/>
    <w:rsid w:val="005E5BD0"/>
    <w:rsid w:val="005E5C5E"/>
    <w:rsid w:val="005E5D5B"/>
    <w:rsid w:val="005E5E1C"/>
    <w:rsid w:val="005E5E5A"/>
    <w:rsid w:val="005E5F72"/>
    <w:rsid w:val="005E5FDB"/>
    <w:rsid w:val="005E614A"/>
    <w:rsid w:val="005E63DB"/>
    <w:rsid w:val="005E6446"/>
    <w:rsid w:val="005E65D1"/>
    <w:rsid w:val="005E662F"/>
    <w:rsid w:val="005E6655"/>
    <w:rsid w:val="005E6656"/>
    <w:rsid w:val="005E66FD"/>
    <w:rsid w:val="005E6760"/>
    <w:rsid w:val="005E679A"/>
    <w:rsid w:val="005E67F2"/>
    <w:rsid w:val="005E68A4"/>
    <w:rsid w:val="005E6A67"/>
    <w:rsid w:val="005E6AB2"/>
    <w:rsid w:val="005E6AE0"/>
    <w:rsid w:val="005E6B59"/>
    <w:rsid w:val="005E6BE7"/>
    <w:rsid w:val="005E6C0A"/>
    <w:rsid w:val="005E6C30"/>
    <w:rsid w:val="005E6CB9"/>
    <w:rsid w:val="005E6D1C"/>
    <w:rsid w:val="005E6DBA"/>
    <w:rsid w:val="005E6E13"/>
    <w:rsid w:val="005E6E4F"/>
    <w:rsid w:val="005E6F48"/>
    <w:rsid w:val="005E6FD3"/>
    <w:rsid w:val="005E7159"/>
    <w:rsid w:val="005E72E5"/>
    <w:rsid w:val="005E7395"/>
    <w:rsid w:val="005E74B9"/>
    <w:rsid w:val="005E759F"/>
    <w:rsid w:val="005E7699"/>
    <w:rsid w:val="005E77A4"/>
    <w:rsid w:val="005E78E4"/>
    <w:rsid w:val="005E7982"/>
    <w:rsid w:val="005E7990"/>
    <w:rsid w:val="005E7A3A"/>
    <w:rsid w:val="005E7A8A"/>
    <w:rsid w:val="005E7AED"/>
    <w:rsid w:val="005E7BE9"/>
    <w:rsid w:val="005E7C01"/>
    <w:rsid w:val="005E7C17"/>
    <w:rsid w:val="005E7C25"/>
    <w:rsid w:val="005E7CDE"/>
    <w:rsid w:val="005E7D05"/>
    <w:rsid w:val="005E7D0C"/>
    <w:rsid w:val="005E7DC8"/>
    <w:rsid w:val="005E7E71"/>
    <w:rsid w:val="005E7E92"/>
    <w:rsid w:val="005E7F69"/>
    <w:rsid w:val="005E7F7A"/>
    <w:rsid w:val="005F0039"/>
    <w:rsid w:val="005F003A"/>
    <w:rsid w:val="005F00FA"/>
    <w:rsid w:val="005F00FE"/>
    <w:rsid w:val="005F011A"/>
    <w:rsid w:val="005F027A"/>
    <w:rsid w:val="005F02EF"/>
    <w:rsid w:val="005F030C"/>
    <w:rsid w:val="005F0379"/>
    <w:rsid w:val="005F0390"/>
    <w:rsid w:val="005F0404"/>
    <w:rsid w:val="005F0412"/>
    <w:rsid w:val="005F048C"/>
    <w:rsid w:val="005F0574"/>
    <w:rsid w:val="005F0665"/>
    <w:rsid w:val="005F0710"/>
    <w:rsid w:val="005F0878"/>
    <w:rsid w:val="005F0958"/>
    <w:rsid w:val="005F0A7A"/>
    <w:rsid w:val="005F0BE9"/>
    <w:rsid w:val="005F0BF9"/>
    <w:rsid w:val="005F0C0C"/>
    <w:rsid w:val="005F0C67"/>
    <w:rsid w:val="005F0CDE"/>
    <w:rsid w:val="005F0D48"/>
    <w:rsid w:val="005F0D60"/>
    <w:rsid w:val="005F0F3A"/>
    <w:rsid w:val="005F0F49"/>
    <w:rsid w:val="005F0F90"/>
    <w:rsid w:val="005F0FB7"/>
    <w:rsid w:val="005F0FC3"/>
    <w:rsid w:val="005F1064"/>
    <w:rsid w:val="005F1084"/>
    <w:rsid w:val="005F108D"/>
    <w:rsid w:val="005F10BF"/>
    <w:rsid w:val="005F113D"/>
    <w:rsid w:val="005F12B5"/>
    <w:rsid w:val="005F13B9"/>
    <w:rsid w:val="005F1451"/>
    <w:rsid w:val="005F1465"/>
    <w:rsid w:val="005F14B8"/>
    <w:rsid w:val="005F152E"/>
    <w:rsid w:val="005F1537"/>
    <w:rsid w:val="005F1599"/>
    <w:rsid w:val="005F15D0"/>
    <w:rsid w:val="005F1667"/>
    <w:rsid w:val="005F16AA"/>
    <w:rsid w:val="005F16C4"/>
    <w:rsid w:val="005F16C5"/>
    <w:rsid w:val="005F1729"/>
    <w:rsid w:val="005F181B"/>
    <w:rsid w:val="005F18A1"/>
    <w:rsid w:val="005F18DC"/>
    <w:rsid w:val="005F19E9"/>
    <w:rsid w:val="005F1A6E"/>
    <w:rsid w:val="005F1A72"/>
    <w:rsid w:val="005F1BA9"/>
    <w:rsid w:val="005F1BEC"/>
    <w:rsid w:val="005F1C0A"/>
    <w:rsid w:val="005F1C25"/>
    <w:rsid w:val="005F1C61"/>
    <w:rsid w:val="005F1C81"/>
    <w:rsid w:val="005F1DAA"/>
    <w:rsid w:val="005F1E1E"/>
    <w:rsid w:val="005F1FFC"/>
    <w:rsid w:val="005F20F4"/>
    <w:rsid w:val="005F2113"/>
    <w:rsid w:val="005F21A6"/>
    <w:rsid w:val="005F21DA"/>
    <w:rsid w:val="005F2298"/>
    <w:rsid w:val="005F231A"/>
    <w:rsid w:val="005F2465"/>
    <w:rsid w:val="005F2542"/>
    <w:rsid w:val="005F2566"/>
    <w:rsid w:val="005F26DE"/>
    <w:rsid w:val="005F2709"/>
    <w:rsid w:val="005F2714"/>
    <w:rsid w:val="005F28BB"/>
    <w:rsid w:val="005F29EE"/>
    <w:rsid w:val="005F2A28"/>
    <w:rsid w:val="005F2A69"/>
    <w:rsid w:val="005F2B66"/>
    <w:rsid w:val="005F2B6C"/>
    <w:rsid w:val="005F2C1F"/>
    <w:rsid w:val="005F2C95"/>
    <w:rsid w:val="005F2CCB"/>
    <w:rsid w:val="005F2DCC"/>
    <w:rsid w:val="005F2EB9"/>
    <w:rsid w:val="005F3041"/>
    <w:rsid w:val="005F3042"/>
    <w:rsid w:val="005F3050"/>
    <w:rsid w:val="005F3109"/>
    <w:rsid w:val="005F328A"/>
    <w:rsid w:val="005F329F"/>
    <w:rsid w:val="005F32C6"/>
    <w:rsid w:val="005F32E5"/>
    <w:rsid w:val="005F32E8"/>
    <w:rsid w:val="005F336F"/>
    <w:rsid w:val="005F3431"/>
    <w:rsid w:val="005F34AA"/>
    <w:rsid w:val="005F34C7"/>
    <w:rsid w:val="005F34FB"/>
    <w:rsid w:val="005F353B"/>
    <w:rsid w:val="005F3594"/>
    <w:rsid w:val="005F3682"/>
    <w:rsid w:val="005F3737"/>
    <w:rsid w:val="005F3755"/>
    <w:rsid w:val="005F37A3"/>
    <w:rsid w:val="005F382F"/>
    <w:rsid w:val="005F3856"/>
    <w:rsid w:val="005F39A6"/>
    <w:rsid w:val="005F39CA"/>
    <w:rsid w:val="005F3A8B"/>
    <w:rsid w:val="005F3B6D"/>
    <w:rsid w:val="005F3BA4"/>
    <w:rsid w:val="005F3D9C"/>
    <w:rsid w:val="005F3F26"/>
    <w:rsid w:val="005F3F67"/>
    <w:rsid w:val="005F4011"/>
    <w:rsid w:val="005F4042"/>
    <w:rsid w:val="005F4044"/>
    <w:rsid w:val="005F4047"/>
    <w:rsid w:val="005F419C"/>
    <w:rsid w:val="005F41F4"/>
    <w:rsid w:val="005F424E"/>
    <w:rsid w:val="005F4294"/>
    <w:rsid w:val="005F42D9"/>
    <w:rsid w:val="005F4391"/>
    <w:rsid w:val="005F4434"/>
    <w:rsid w:val="005F445D"/>
    <w:rsid w:val="005F4584"/>
    <w:rsid w:val="005F4589"/>
    <w:rsid w:val="005F45F7"/>
    <w:rsid w:val="005F472C"/>
    <w:rsid w:val="005F4733"/>
    <w:rsid w:val="005F478F"/>
    <w:rsid w:val="005F4807"/>
    <w:rsid w:val="005F4809"/>
    <w:rsid w:val="005F4844"/>
    <w:rsid w:val="005F487C"/>
    <w:rsid w:val="005F49D4"/>
    <w:rsid w:val="005F49E8"/>
    <w:rsid w:val="005F4AC1"/>
    <w:rsid w:val="005F4C21"/>
    <w:rsid w:val="005F4C2C"/>
    <w:rsid w:val="005F4D2F"/>
    <w:rsid w:val="005F4E34"/>
    <w:rsid w:val="005F4E72"/>
    <w:rsid w:val="005F4FE6"/>
    <w:rsid w:val="005F50B4"/>
    <w:rsid w:val="005F5139"/>
    <w:rsid w:val="005F516C"/>
    <w:rsid w:val="005F5334"/>
    <w:rsid w:val="005F53AA"/>
    <w:rsid w:val="005F53C9"/>
    <w:rsid w:val="005F5426"/>
    <w:rsid w:val="005F54F0"/>
    <w:rsid w:val="005F559D"/>
    <w:rsid w:val="005F56BB"/>
    <w:rsid w:val="005F581C"/>
    <w:rsid w:val="005F59EF"/>
    <w:rsid w:val="005F5AA2"/>
    <w:rsid w:val="005F5B0C"/>
    <w:rsid w:val="005F5BCC"/>
    <w:rsid w:val="005F5BE9"/>
    <w:rsid w:val="005F5C75"/>
    <w:rsid w:val="005F5C8D"/>
    <w:rsid w:val="005F5C9E"/>
    <w:rsid w:val="005F5ED3"/>
    <w:rsid w:val="005F5F47"/>
    <w:rsid w:val="005F5FCE"/>
    <w:rsid w:val="005F6000"/>
    <w:rsid w:val="005F6029"/>
    <w:rsid w:val="005F60C5"/>
    <w:rsid w:val="005F60D7"/>
    <w:rsid w:val="005F61FD"/>
    <w:rsid w:val="005F640C"/>
    <w:rsid w:val="005F65B8"/>
    <w:rsid w:val="005F65CF"/>
    <w:rsid w:val="005F65E1"/>
    <w:rsid w:val="005F667A"/>
    <w:rsid w:val="005F6680"/>
    <w:rsid w:val="005F669C"/>
    <w:rsid w:val="005F6740"/>
    <w:rsid w:val="005F6862"/>
    <w:rsid w:val="005F6AD8"/>
    <w:rsid w:val="005F6B88"/>
    <w:rsid w:val="005F6BA4"/>
    <w:rsid w:val="005F6BD6"/>
    <w:rsid w:val="005F6C0E"/>
    <w:rsid w:val="005F6D51"/>
    <w:rsid w:val="005F6E51"/>
    <w:rsid w:val="005F6ED0"/>
    <w:rsid w:val="005F6F2D"/>
    <w:rsid w:val="005F700F"/>
    <w:rsid w:val="005F7091"/>
    <w:rsid w:val="005F70BC"/>
    <w:rsid w:val="005F7102"/>
    <w:rsid w:val="005F71A0"/>
    <w:rsid w:val="005F7224"/>
    <w:rsid w:val="005F7340"/>
    <w:rsid w:val="005F7364"/>
    <w:rsid w:val="005F73C8"/>
    <w:rsid w:val="005F74B7"/>
    <w:rsid w:val="005F751C"/>
    <w:rsid w:val="005F7614"/>
    <w:rsid w:val="005F7638"/>
    <w:rsid w:val="005F7663"/>
    <w:rsid w:val="005F77A7"/>
    <w:rsid w:val="005F78F5"/>
    <w:rsid w:val="005F7A83"/>
    <w:rsid w:val="005F7B56"/>
    <w:rsid w:val="005F7BD6"/>
    <w:rsid w:val="005F7BDD"/>
    <w:rsid w:val="005F7C6D"/>
    <w:rsid w:val="005F7CCA"/>
    <w:rsid w:val="005F7D13"/>
    <w:rsid w:val="005F7D85"/>
    <w:rsid w:val="005F7D8A"/>
    <w:rsid w:val="005F7D9F"/>
    <w:rsid w:val="005F7E65"/>
    <w:rsid w:val="005F7F01"/>
    <w:rsid w:val="00600001"/>
    <w:rsid w:val="006000B5"/>
    <w:rsid w:val="00600186"/>
    <w:rsid w:val="006002C5"/>
    <w:rsid w:val="006002D6"/>
    <w:rsid w:val="00600339"/>
    <w:rsid w:val="00600344"/>
    <w:rsid w:val="006003C7"/>
    <w:rsid w:val="0060045B"/>
    <w:rsid w:val="00600493"/>
    <w:rsid w:val="006004F6"/>
    <w:rsid w:val="006005AA"/>
    <w:rsid w:val="006005ED"/>
    <w:rsid w:val="00600618"/>
    <w:rsid w:val="0060069C"/>
    <w:rsid w:val="006006E7"/>
    <w:rsid w:val="0060075B"/>
    <w:rsid w:val="00600796"/>
    <w:rsid w:val="00600968"/>
    <w:rsid w:val="0060098B"/>
    <w:rsid w:val="006009AB"/>
    <w:rsid w:val="00600A8C"/>
    <w:rsid w:val="00600BD6"/>
    <w:rsid w:val="00600BFA"/>
    <w:rsid w:val="00600C83"/>
    <w:rsid w:val="00600E10"/>
    <w:rsid w:val="00600ED8"/>
    <w:rsid w:val="00600FD2"/>
    <w:rsid w:val="00600FE5"/>
    <w:rsid w:val="00601054"/>
    <w:rsid w:val="0060108D"/>
    <w:rsid w:val="00601155"/>
    <w:rsid w:val="0060121C"/>
    <w:rsid w:val="00601317"/>
    <w:rsid w:val="00601326"/>
    <w:rsid w:val="006013EC"/>
    <w:rsid w:val="0060144E"/>
    <w:rsid w:val="006014A6"/>
    <w:rsid w:val="00601512"/>
    <w:rsid w:val="0060151B"/>
    <w:rsid w:val="006015CB"/>
    <w:rsid w:val="006016A5"/>
    <w:rsid w:val="006016B3"/>
    <w:rsid w:val="00601715"/>
    <w:rsid w:val="0060171F"/>
    <w:rsid w:val="00601769"/>
    <w:rsid w:val="00601786"/>
    <w:rsid w:val="006017C9"/>
    <w:rsid w:val="00601818"/>
    <w:rsid w:val="006018A2"/>
    <w:rsid w:val="00601959"/>
    <w:rsid w:val="00601960"/>
    <w:rsid w:val="00601971"/>
    <w:rsid w:val="006019F0"/>
    <w:rsid w:val="00601A30"/>
    <w:rsid w:val="00601C4A"/>
    <w:rsid w:val="00601CF2"/>
    <w:rsid w:val="00601DCB"/>
    <w:rsid w:val="00601DEB"/>
    <w:rsid w:val="00601EA0"/>
    <w:rsid w:val="00601EFE"/>
    <w:rsid w:val="00601F10"/>
    <w:rsid w:val="00601FB4"/>
    <w:rsid w:val="00601FBD"/>
    <w:rsid w:val="00602016"/>
    <w:rsid w:val="0060202E"/>
    <w:rsid w:val="00602094"/>
    <w:rsid w:val="00602120"/>
    <w:rsid w:val="00602132"/>
    <w:rsid w:val="00602181"/>
    <w:rsid w:val="0060226E"/>
    <w:rsid w:val="00602297"/>
    <w:rsid w:val="006022D6"/>
    <w:rsid w:val="0060233E"/>
    <w:rsid w:val="0060251C"/>
    <w:rsid w:val="00602606"/>
    <w:rsid w:val="0060285E"/>
    <w:rsid w:val="00602AB9"/>
    <w:rsid w:val="00602AD2"/>
    <w:rsid w:val="00602B1E"/>
    <w:rsid w:val="00602CBB"/>
    <w:rsid w:val="00602D1F"/>
    <w:rsid w:val="00602DA1"/>
    <w:rsid w:val="00602F0A"/>
    <w:rsid w:val="00602FB3"/>
    <w:rsid w:val="00603082"/>
    <w:rsid w:val="006030F4"/>
    <w:rsid w:val="0060316D"/>
    <w:rsid w:val="006031C6"/>
    <w:rsid w:val="00603208"/>
    <w:rsid w:val="006032F2"/>
    <w:rsid w:val="00603544"/>
    <w:rsid w:val="0060374E"/>
    <w:rsid w:val="00603796"/>
    <w:rsid w:val="006037D0"/>
    <w:rsid w:val="0060389F"/>
    <w:rsid w:val="006038F1"/>
    <w:rsid w:val="00603925"/>
    <w:rsid w:val="006039C1"/>
    <w:rsid w:val="00603B6F"/>
    <w:rsid w:val="00603C76"/>
    <w:rsid w:val="00603D6E"/>
    <w:rsid w:val="00603D7C"/>
    <w:rsid w:val="00603E24"/>
    <w:rsid w:val="00603F69"/>
    <w:rsid w:val="006045C2"/>
    <w:rsid w:val="006045DB"/>
    <w:rsid w:val="00604665"/>
    <w:rsid w:val="006047F4"/>
    <w:rsid w:val="0060485D"/>
    <w:rsid w:val="00604884"/>
    <w:rsid w:val="006048FC"/>
    <w:rsid w:val="00604902"/>
    <w:rsid w:val="00604922"/>
    <w:rsid w:val="00604946"/>
    <w:rsid w:val="00604B01"/>
    <w:rsid w:val="00604BAF"/>
    <w:rsid w:val="00604BE2"/>
    <w:rsid w:val="00604CCF"/>
    <w:rsid w:val="00604CF8"/>
    <w:rsid w:val="00604EC1"/>
    <w:rsid w:val="0060508C"/>
    <w:rsid w:val="006050B8"/>
    <w:rsid w:val="006050E2"/>
    <w:rsid w:val="00605152"/>
    <w:rsid w:val="0060521E"/>
    <w:rsid w:val="0060525A"/>
    <w:rsid w:val="006052BC"/>
    <w:rsid w:val="006053CE"/>
    <w:rsid w:val="006054D3"/>
    <w:rsid w:val="00605581"/>
    <w:rsid w:val="006055B9"/>
    <w:rsid w:val="006056E3"/>
    <w:rsid w:val="00605752"/>
    <w:rsid w:val="006057D1"/>
    <w:rsid w:val="006057EE"/>
    <w:rsid w:val="00605811"/>
    <w:rsid w:val="006058D8"/>
    <w:rsid w:val="00605A3B"/>
    <w:rsid w:val="00605A43"/>
    <w:rsid w:val="00605A81"/>
    <w:rsid w:val="00605AF4"/>
    <w:rsid w:val="00605B29"/>
    <w:rsid w:val="00605BD9"/>
    <w:rsid w:val="00605C5C"/>
    <w:rsid w:val="00605C9D"/>
    <w:rsid w:val="00605CA2"/>
    <w:rsid w:val="00605CB5"/>
    <w:rsid w:val="00605D98"/>
    <w:rsid w:val="00605DCC"/>
    <w:rsid w:val="00605E31"/>
    <w:rsid w:val="00605ED6"/>
    <w:rsid w:val="00605EF5"/>
    <w:rsid w:val="006060A6"/>
    <w:rsid w:val="006060AE"/>
    <w:rsid w:val="0060622A"/>
    <w:rsid w:val="00606278"/>
    <w:rsid w:val="00606378"/>
    <w:rsid w:val="00606428"/>
    <w:rsid w:val="0060648B"/>
    <w:rsid w:val="006064A7"/>
    <w:rsid w:val="00606832"/>
    <w:rsid w:val="00606984"/>
    <w:rsid w:val="006069DC"/>
    <w:rsid w:val="00606A60"/>
    <w:rsid w:val="00606AA4"/>
    <w:rsid w:val="00606AF4"/>
    <w:rsid w:val="00606B7A"/>
    <w:rsid w:val="00606BA2"/>
    <w:rsid w:val="00606C86"/>
    <w:rsid w:val="00606C89"/>
    <w:rsid w:val="00606CB1"/>
    <w:rsid w:val="00606E0A"/>
    <w:rsid w:val="00606E76"/>
    <w:rsid w:val="00606EFB"/>
    <w:rsid w:val="00606F3E"/>
    <w:rsid w:val="00606F59"/>
    <w:rsid w:val="00606F69"/>
    <w:rsid w:val="0060702B"/>
    <w:rsid w:val="00607031"/>
    <w:rsid w:val="00607059"/>
    <w:rsid w:val="006070DA"/>
    <w:rsid w:val="006070F5"/>
    <w:rsid w:val="00607149"/>
    <w:rsid w:val="006071D9"/>
    <w:rsid w:val="006071DC"/>
    <w:rsid w:val="0060727C"/>
    <w:rsid w:val="00607322"/>
    <w:rsid w:val="006073A2"/>
    <w:rsid w:val="006073CD"/>
    <w:rsid w:val="00607497"/>
    <w:rsid w:val="0060751D"/>
    <w:rsid w:val="00607547"/>
    <w:rsid w:val="00607656"/>
    <w:rsid w:val="00607657"/>
    <w:rsid w:val="0060765F"/>
    <w:rsid w:val="0060768C"/>
    <w:rsid w:val="00607735"/>
    <w:rsid w:val="0060775B"/>
    <w:rsid w:val="006077F3"/>
    <w:rsid w:val="0060782D"/>
    <w:rsid w:val="0060793B"/>
    <w:rsid w:val="006079B7"/>
    <w:rsid w:val="00607A21"/>
    <w:rsid w:val="00607A65"/>
    <w:rsid w:val="00607A7F"/>
    <w:rsid w:val="00607A89"/>
    <w:rsid w:val="00607B52"/>
    <w:rsid w:val="00607C8D"/>
    <w:rsid w:val="00607CA7"/>
    <w:rsid w:val="00607DFE"/>
    <w:rsid w:val="00607E3B"/>
    <w:rsid w:val="00607E77"/>
    <w:rsid w:val="00607EE0"/>
    <w:rsid w:val="00607F4E"/>
    <w:rsid w:val="00610205"/>
    <w:rsid w:val="0061022A"/>
    <w:rsid w:val="00610377"/>
    <w:rsid w:val="00610455"/>
    <w:rsid w:val="00610463"/>
    <w:rsid w:val="00610511"/>
    <w:rsid w:val="00610633"/>
    <w:rsid w:val="0061076D"/>
    <w:rsid w:val="0061080A"/>
    <w:rsid w:val="006108C7"/>
    <w:rsid w:val="00610920"/>
    <w:rsid w:val="00610C74"/>
    <w:rsid w:val="00610D46"/>
    <w:rsid w:val="00610E7B"/>
    <w:rsid w:val="00610E91"/>
    <w:rsid w:val="00610F1E"/>
    <w:rsid w:val="00610FC2"/>
    <w:rsid w:val="00610FE1"/>
    <w:rsid w:val="0061109F"/>
    <w:rsid w:val="006110B6"/>
    <w:rsid w:val="00611122"/>
    <w:rsid w:val="006111AA"/>
    <w:rsid w:val="00611250"/>
    <w:rsid w:val="00611257"/>
    <w:rsid w:val="0061127E"/>
    <w:rsid w:val="006112B1"/>
    <w:rsid w:val="006113DC"/>
    <w:rsid w:val="00611407"/>
    <w:rsid w:val="0061145B"/>
    <w:rsid w:val="006114BF"/>
    <w:rsid w:val="00611583"/>
    <w:rsid w:val="00611673"/>
    <w:rsid w:val="00611694"/>
    <w:rsid w:val="0061174F"/>
    <w:rsid w:val="00611888"/>
    <w:rsid w:val="006118C0"/>
    <w:rsid w:val="006118CC"/>
    <w:rsid w:val="0061197B"/>
    <w:rsid w:val="00611A8C"/>
    <w:rsid w:val="00611B83"/>
    <w:rsid w:val="00611BB3"/>
    <w:rsid w:val="00611BB8"/>
    <w:rsid w:val="00611C6F"/>
    <w:rsid w:val="00611CD0"/>
    <w:rsid w:val="00611E50"/>
    <w:rsid w:val="00611E56"/>
    <w:rsid w:val="00612057"/>
    <w:rsid w:val="00612159"/>
    <w:rsid w:val="00612173"/>
    <w:rsid w:val="006122D3"/>
    <w:rsid w:val="0061233C"/>
    <w:rsid w:val="00612440"/>
    <w:rsid w:val="00612452"/>
    <w:rsid w:val="00612513"/>
    <w:rsid w:val="00612576"/>
    <w:rsid w:val="0061267D"/>
    <w:rsid w:val="00612696"/>
    <w:rsid w:val="006126D0"/>
    <w:rsid w:val="006126DC"/>
    <w:rsid w:val="006126F7"/>
    <w:rsid w:val="00612744"/>
    <w:rsid w:val="006127BF"/>
    <w:rsid w:val="0061286A"/>
    <w:rsid w:val="00612890"/>
    <w:rsid w:val="00612898"/>
    <w:rsid w:val="00612A6A"/>
    <w:rsid w:val="00612B56"/>
    <w:rsid w:val="00612B6D"/>
    <w:rsid w:val="00612BF6"/>
    <w:rsid w:val="00612CA4"/>
    <w:rsid w:val="00612CB6"/>
    <w:rsid w:val="00612CBC"/>
    <w:rsid w:val="00612DBE"/>
    <w:rsid w:val="00612EAC"/>
    <w:rsid w:val="00612EE7"/>
    <w:rsid w:val="00612EE9"/>
    <w:rsid w:val="00612F3E"/>
    <w:rsid w:val="00612F70"/>
    <w:rsid w:val="00613042"/>
    <w:rsid w:val="0061305C"/>
    <w:rsid w:val="00613067"/>
    <w:rsid w:val="006130C0"/>
    <w:rsid w:val="0061314F"/>
    <w:rsid w:val="006131A5"/>
    <w:rsid w:val="006131B4"/>
    <w:rsid w:val="006131B5"/>
    <w:rsid w:val="006131CD"/>
    <w:rsid w:val="006132A2"/>
    <w:rsid w:val="00613320"/>
    <w:rsid w:val="006133A1"/>
    <w:rsid w:val="00613533"/>
    <w:rsid w:val="006136EF"/>
    <w:rsid w:val="006137A2"/>
    <w:rsid w:val="0061391E"/>
    <w:rsid w:val="0061395A"/>
    <w:rsid w:val="006139E3"/>
    <w:rsid w:val="00613B27"/>
    <w:rsid w:val="00613B4F"/>
    <w:rsid w:val="00613E2E"/>
    <w:rsid w:val="00613EA2"/>
    <w:rsid w:val="00613EDF"/>
    <w:rsid w:val="00613F30"/>
    <w:rsid w:val="00613F95"/>
    <w:rsid w:val="00613FC3"/>
    <w:rsid w:val="0061401A"/>
    <w:rsid w:val="0061403D"/>
    <w:rsid w:val="006140F2"/>
    <w:rsid w:val="00614116"/>
    <w:rsid w:val="00614167"/>
    <w:rsid w:val="00614170"/>
    <w:rsid w:val="0061423A"/>
    <w:rsid w:val="00614259"/>
    <w:rsid w:val="00614463"/>
    <w:rsid w:val="0061446F"/>
    <w:rsid w:val="006145DE"/>
    <w:rsid w:val="00614689"/>
    <w:rsid w:val="006146AF"/>
    <w:rsid w:val="006146DC"/>
    <w:rsid w:val="00614786"/>
    <w:rsid w:val="0061482C"/>
    <w:rsid w:val="006148AA"/>
    <w:rsid w:val="00614996"/>
    <w:rsid w:val="00614AA2"/>
    <w:rsid w:val="00614B07"/>
    <w:rsid w:val="00614BA3"/>
    <w:rsid w:val="00614D32"/>
    <w:rsid w:val="00614DA7"/>
    <w:rsid w:val="00614DEA"/>
    <w:rsid w:val="00614E86"/>
    <w:rsid w:val="00614E90"/>
    <w:rsid w:val="00614EAA"/>
    <w:rsid w:val="00614F26"/>
    <w:rsid w:val="00614FDE"/>
    <w:rsid w:val="00615082"/>
    <w:rsid w:val="00615174"/>
    <w:rsid w:val="0061521D"/>
    <w:rsid w:val="00615227"/>
    <w:rsid w:val="0061537C"/>
    <w:rsid w:val="006153A6"/>
    <w:rsid w:val="00615442"/>
    <w:rsid w:val="006154AC"/>
    <w:rsid w:val="006154CD"/>
    <w:rsid w:val="0061550B"/>
    <w:rsid w:val="00615591"/>
    <w:rsid w:val="0061568B"/>
    <w:rsid w:val="00615759"/>
    <w:rsid w:val="006158B0"/>
    <w:rsid w:val="006158C2"/>
    <w:rsid w:val="006158D6"/>
    <w:rsid w:val="006158EB"/>
    <w:rsid w:val="0061594A"/>
    <w:rsid w:val="006159D2"/>
    <w:rsid w:val="00615A44"/>
    <w:rsid w:val="00615A7F"/>
    <w:rsid w:val="00615AB1"/>
    <w:rsid w:val="00615B3F"/>
    <w:rsid w:val="00615F8C"/>
    <w:rsid w:val="00616011"/>
    <w:rsid w:val="00616027"/>
    <w:rsid w:val="00616059"/>
    <w:rsid w:val="00616127"/>
    <w:rsid w:val="006161C2"/>
    <w:rsid w:val="006162B3"/>
    <w:rsid w:val="006162F5"/>
    <w:rsid w:val="0061633F"/>
    <w:rsid w:val="006163E2"/>
    <w:rsid w:val="00616417"/>
    <w:rsid w:val="0061646E"/>
    <w:rsid w:val="0061653D"/>
    <w:rsid w:val="0061655C"/>
    <w:rsid w:val="0061660C"/>
    <w:rsid w:val="00616641"/>
    <w:rsid w:val="0061681C"/>
    <w:rsid w:val="006168C6"/>
    <w:rsid w:val="00616908"/>
    <w:rsid w:val="00616959"/>
    <w:rsid w:val="00616A8A"/>
    <w:rsid w:val="00616BEC"/>
    <w:rsid w:val="00616CFA"/>
    <w:rsid w:val="00616D1D"/>
    <w:rsid w:val="00616E26"/>
    <w:rsid w:val="00616EAF"/>
    <w:rsid w:val="00616EB6"/>
    <w:rsid w:val="00616ED8"/>
    <w:rsid w:val="00616F78"/>
    <w:rsid w:val="00616FD5"/>
    <w:rsid w:val="0061703A"/>
    <w:rsid w:val="0061705C"/>
    <w:rsid w:val="00617067"/>
    <w:rsid w:val="006170D9"/>
    <w:rsid w:val="006170E4"/>
    <w:rsid w:val="00617150"/>
    <w:rsid w:val="00617199"/>
    <w:rsid w:val="00617346"/>
    <w:rsid w:val="00617362"/>
    <w:rsid w:val="00617390"/>
    <w:rsid w:val="00617474"/>
    <w:rsid w:val="00617570"/>
    <w:rsid w:val="006175CD"/>
    <w:rsid w:val="0061765D"/>
    <w:rsid w:val="00617788"/>
    <w:rsid w:val="006177B1"/>
    <w:rsid w:val="00617896"/>
    <w:rsid w:val="00617A37"/>
    <w:rsid w:val="00617BD8"/>
    <w:rsid w:val="00617BF3"/>
    <w:rsid w:val="00617C08"/>
    <w:rsid w:val="00617C35"/>
    <w:rsid w:val="00617C85"/>
    <w:rsid w:val="00617D74"/>
    <w:rsid w:val="00617E50"/>
    <w:rsid w:val="00617EA4"/>
    <w:rsid w:val="00617EB4"/>
    <w:rsid w:val="00617F1D"/>
    <w:rsid w:val="00617F54"/>
    <w:rsid w:val="0062004C"/>
    <w:rsid w:val="00620091"/>
    <w:rsid w:val="00620224"/>
    <w:rsid w:val="0062028E"/>
    <w:rsid w:val="00620377"/>
    <w:rsid w:val="00620385"/>
    <w:rsid w:val="0062039B"/>
    <w:rsid w:val="0062040E"/>
    <w:rsid w:val="0062058F"/>
    <w:rsid w:val="006205A8"/>
    <w:rsid w:val="006205F0"/>
    <w:rsid w:val="0062064F"/>
    <w:rsid w:val="00620680"/>
    <w:rsid w:val="00620726"/>
    <w:rsid w:val="00620743"/>
    <w:rsid w:val="00620799"/>
    <w:rsid w:val="0062093E"/>
    <w:rsid w:val="00620AB3"/>
    <w:rsid w:val="00620ADA"/>
    <w:rsid w:val="00620B95"/>
    <w:rsid w:val="00620BBC"/>
    <w:rsid w:val="00620E85"/>
    <w:rsid w:val="00620EA3"/>
    <w:rsid w:val="00620EC3"/>
    <w:rsid w:val="0062113C"/>
    <w:rsid w:val="006212BD"/>
    <w:rsid w:val="0062139F"/>
    <w:rsid w:val="006214F1"/>
    <w:rsid w:val="006215F7"/>
    <w:rsid w:val="0062160D"/>
    <w:rsid w:val="0062165D"/>
    <w:rsid w:val="006216CD"/>
    <w:rsid w:val="0062175C"/>
    <w:rsid w:val="00621829"/>
    <w:rsid w:val="0062189E"/>
    <w:rsid w:val="006218B6"/>
    <w:rsid w:val="00621902"/>
    <w:rsid w:val="00621A4F"/>
    <w:rsid w:val="00621A77"/>
    <w:rsid w:val="00621A8D"/>
    <w:rsid w:val="00621AC2"/>
    <w:rsid w:val="00621C16"/>
    <w:rsid w:val="00621C46"/>
    <w:rsid w:val="00621E61"/>
    <w:rsid w:val="00622065"/>
    <w:rsid w:val="00622265"/>
    <w:rsid w:val="00622286"/>
    <w:rsid w:val="006222D9"/>
    <w:rsid w:val="00622314"/>
    <w:rsid w:val="00622546"/>
    <w:rsid w:val="00622718"/>
    <w:rsid w:val="0062278E"/>
    <w:rsid w:val="00622813"/>
    <w:rsid w:val="0062282F"/>
    <w:rsid w:val="00622939"/>
    <w:rsid w:val="00622A38"/>
    <w:rsid w:val="00622AB5"/>
    <w:rsid w:val="00622B77"/>
    <w:rsid w:val="00622BEA"/>
    <w:rsid w:val="00622C5D"/>
    <w:rsid w:val="00622CCC"/>
    <w:rsid w:val="00622D1C"/>
    <w:rsid w:val="00622D27"/>
    <w:rsid w:val="00622D84"/>
    <w:rsid w:val="00622EDE"/>
    <w:rsid w:val="00622F0E"/>
    <w:rsid w:val="00622F1F"/>
    <w:rsid w:val="00622FD4"/>
    <w:rsid w:val="006230AA"/>
    <w:rsid w:val="006230C3"/>
    <w:rsid w:val="00623125"/>
    <w:rsid w:val="006232B9"/>
    <w:rsid w:val="006232D7"/>
    <w:rsid w:val="006233DE"/>
    <w:rsid w:val="0062351C"/>
    <w:rsid w:val="0062352C"/>
    <w:rsid w:val="0062354D"/>
    <w:rsid w:val="006235DE"/>
    <w:rsid w:val="006236C5"/>
    <w:rsid w:val="006236CA"/>
    <w:rsid w:val="006236CD"/>
    <w:rsid w:val="00623769"/>
    <w:rsid w:val="0062379A"/>
    <w:rsid w:val="006237A4"/>
    <w:rsid w:val="006237D0"/>
    <w:rsid w:val="00623894"/>
    <w:rsid w:val="0062397D"/>
    <w:rsid w:val="00623993"/>
    <w:rsid w:val="00623ACF"/>
    <w:rsid w:val="00623B16"/>
    <w:rsid w:val="00623B56"/>
    <w:rsid w:val="00623B79"/>
    <w:rsid w:val="00623C12"/>
    <w:rsid w:val="00623C84"/>
    <w:rsid w:val="00623CAA"/>
    <w:rsid w:val="00623D48"/>
    <w:rsid w:val="00623DC3"/>
    <w:rsid w:val="00623DD9"/>
    <w:rsid w:val="00623E41"/>
    <w:rsid w:val="00623F2A"/>
    <w:rsid w:val="00624074"/>
    <w:rsid w:val="00624172"/>
    <w:rsid w:val="00624197"/>
    <w:rsid w:val="006242E9"/>
    <w:rsid w:val="00624406"/>
    <w:rsid w:val="00624499"/>
    <w:rsid w:val="006245F6"/>
    <w:rsid w:val="00624609"/>
    <w:rsid w:val="0062469E"/>
    <w:rsid w:val="006246CE"/>
    <w:rsid w:val="006246E7"/>
    <w:rsid w:val="00624A0D"/>
    <w:rsid w:val="00624A68"/>
    <w:rsid w:val="00624B1D"/>
    <w:rsid w:val="00624BB4"/>
    <w:rsid w:val="00624BEF"/>
    <w:rsid w:val="00624C6B"/>
    <w:rsid w:val="00624E06"/>
    <w:rsid w:val="00624EEA"/>
    <w:rsid w:val="006250A5"/>
    <w:rsid w:val="006251C8"/>
    <w:rsid w:val="00625270"/>
    <w:rsid w:val="006252FE"/>
    <w:rsid w:val="00625384"/>
    <w:rsid w:val="00625540"/>
    <w:rsid w:val="0062561D"/>
    <w:rsid w:val="0062568F"/>
    <w:rsid w:val="00625691"/>
    <w:rsid w:val="00625738"/>
    <w:rsid w:val="0062575D"/>
    <w:rsid w:val="006257CC"/>
    <w:rsid w:val="00625848"/>
    <w:rsid w:val="0062595B"/>
    <w:rsid w:val="006259D5"/>
    <w:rsid w:val="00625B6A"/>
    <w:rsid w:val="00625B6C"/>
    <w:rsid w:val="00625BB9"/>
    <w:rsid w:val="00625C92"/>
    <w:rsid w:val="00625D28"/>
    <w:rsid w:val="00625D31"/>
    <w:rsid w:val="00625E35"/>
    <w:rsid w:val="00625E59"/>
    <w:rsid w:val="00625EC7"/>
    <w:rsid w:val="00625F14"/>
    <w:rsid w:val="00625FC5"/>
    <w:rsid w:val="00625FCC"/>
    <w:rsid w:val="00626004"/>
    <w:rsid w:val="006260B3"/>
    <w:rsid w:val="00626175"/>
    <w:rsid w:val="00626259"/>
    <w:rsid w:val="006263A1"/>
    <w:rsid w:val="006263BF"/>
    <w:rsid w:val="0062641E"/>
    <w:rsid w:val="0062651D"/>
    <w:rsid w:val="006265EA"/>
    <w:rsid w:val="0062665E"/>
    <w:rsid w:val="0062674D"/>
    <w:rsid w:val="0062683B"/>
    <w:rsid w:val="00626878"/>
    <w:rsid w:val="00626915"/>
    <w:rsid w:val="00626A07"/>
    <w:rsid w:val="00626BA3"/>
    <w:rsid w:val="00626D02"/>
    <w:rsid w:val="00626DB7"/>
    <w:rsid w:val="00626E81"/>
    <w:rsid w:val="00626E96"/>
    <w:rsid w:val="00626EE3"/>
    <w:rsid w:val="0062717C"/>
    <w:rsid w:val="00627367"/>
    <w:rsid w:val="00627442"/>
    <w:rsid w:val="00627529"/>
    <w:rsid w:val="00627568"/>
    <w:rsid w:val="00627619"/>
    <w:rsid w:val="006276E3"/>
    <w:rsid w:val="00627747"/>
    <w:rsid w:val="00627819"/>
    <w:rsid w:val="00627820"/>
    <w:rsid w:val="0062788A"/>
    <w:rsid w:val="00627932"/>
    <w:rsid w:val="00627943"/>
    <w:rsid w:val="00627955"/>
    <w:rsid w:val="006279F3"/>
    <w:rsid w:val="00627A9F"/>
    <w:rsid w:val="00627AEA"/>
    <w:rsid w:val="00627BE8"/>
    <w:rsid w:val="00627C11"/>
    <w:rsid w:val="00627E34"/>
    <w:rsid w:val="00627EFD"/>
    <w:rsid w:val="00627F11"/>
    <w:rsid w:val="00627F17"/>
    <w:rsid w:val="00630070"/>
    <w:rsid w:val="006300C2"/>
    <w:rsid w:val="006300D6"/>
    <w:rsid w:val="006301FC"/>
    <w:rsid w:val="00630287"/>
    <w:rsid w:val="00630308"/>
    <w:rsid w:val="0063065B"/>
    <w:rsid w:val="006306C3"/>
    <w:rsid w:val="006306CD"/>
    <w:rsid w:val="006309C3"/>
    <w:rsid w:val="00630A60"/>
    <w:rsid w:val="00630B82"/>
    <w:rsid w:val="00630BB7"/>
    <w:rsid w:val="00630BD2"/>
    <w:rsid w:val="00630C6C"/>
    <w:rsid w:val="00630C9F"/>
    <w:rsid w:val="00630CD4"/>
    <w:rsid w:val="00630D61"/>
    <w:rsid w:val="00630D7E"/>
    <w:rsid w:val="00630D92"/>
    <w:rsid w:val="00630DB3"/>
    <w:rsid w:val="00630DC8"/>
    <w:rsid w:val="00630E86"/>
    <w:rsid w:val="00630EE5"/>
    <w:rsid w:val="00630F01"/>
    <w:rsid w:val="00630F1A"/>
    <w:rsid w:val="00630F66"/>
    <w:rsid w:val="0063102C"/>
    <w:rsid w:val="00631081"/>
    <w:rsid w:val="00631089"/>
    <w:rsid w:val="00631133"/>
    <w:rsid w:val="006311C4"/>
    <w:rsid w:val="006311D2"/>
    <w:rsid w:val="0063129D"/>
    <w:rsid w:val="006312C2"/>
    <w:rsid w:val="0063138B"/>
    <w:rsid w:val="0063139D"/>
    <w:rsid w:val="0063141E"/>
    <w:rsid w:val="0063148D"/>
    <w:rsid w:val="00631496"/>
    <w:rsid w:val="00631570"/>
    <w:rsid w:val="00631689"/>
    <w:rsid w:val="006317DE"/>
    <w:rsid w:val="0063180E"/>
    <w:rsid w:val="0063184C"/>
    <w:rsid w:val="006318CD"/>
    <w:rsid w:val="00631970"/>
    <w:rsid w:val="00631A4F"/>
    <w:rsid w:val="00631B08"/>
    <w:rsid w:val="00631C11"/>
    <w:rsid w:val="00631D32"/>
    <w:rsid w:val="00631DE7"/>
    <w:rsid w:val="00631E1C"/>
    <w:rsid w:val="00631EAD"/>
    <w:rsid w:val="00631F64"/>
    <w:rsid w:val="00631FFA"/>
    <w:rsid w:val="00632012"/>
    <w:rsid w:val="00632022"/>
    <w:rsid w:val="0063208C"/>
    <w:rsid w:val="0063217D"/>
    <w:rsid w:val="006321E9"/>
    <w:rsid w:val="00632215"/>
    <w:rsid w:val="006322C8"/>
    <w:rsid w:val="006323B7"/>
    <w:rsid w:val="0063245F"/>
    <w:rsid w:val="0063246E"/>
    <w:rsid w:val="00632504"/>
    <w:rsid w:val="00632530"/>
    <w:rsid w:val="006325A3"/>
    <w:rsid w:val="006325C5"/>
    <w:rsid w:val="006327CF"/>
    <w:rsid w:val="006328DE"/>
    <w:rsid w:val="006328E4"/>
    <w:rsid w:val="006329FA"/>
    <w:rsid w:val="00632AEF"/>
    <w:rsid w:val="00632B9F"/>
    <w:rsid w:val="00632D5D"/>
    <w:rsid w:val="00632E5B"/>
    <w:rsid w:val="00632E68"/>
    <w:rsid w:val="00632E6B"/>
    <w:rsid w:val="00632F30"/>
    <w:rsid w:val="006330DE"/>
    <w:rsid w:val="006334C6"/>
    <w:rsid w:val="006334CE"/>
    <w:rsid w:val="006334D5"/>
    <w:rsid w:val="006334F7"/>
    <w:rsid w:val="0063352F"/>
    <w:rsid w:val="006335BE"/>
    <w:rsid w:val="00633731"/>
    <w:rsid w:val="00633837"/>
    <w:rsid w:val="0063384D"/>
    <w:rsid w:val="00633939"/>
    <w:rsid w:val="0063397E"/>
    <w:rsid w:val="00633AB7"/>
    <w:rsid w:val="00633AC8"/>
    <w:rsid w:val="00633B84"/>
    <w:rsid w:val="00633BB3"/>
    <w:rsid w:val="00633C03"/>
    <w:rsid w:val="00633D48"/>
    <w:rsid w:val="00633DBB"/>
    <w:rsid w:val="00633E55"/>
    <w:rsid w:val="00633ED0"/>
    <w:rsid w:val="006340DA"/>
    <w:rsid w:val="0063415A"/>
    <w:rsid w:val="006342CB"/>
    <w:rsid w:val="00634359"/>
    <w:rsid w:val="006343E1"/>
    <w:rsid w:val="0063450D"/>
    <w:rsid w:val="00634525"/>
    <w:rsid w:val="006345C0"/>
    <w:rsid w:val="0063473D"/>
    <w:rsid w:val="0063473E"/>
    <w:rsid w:val="00634851"/>
    <w:rsid w:val="00634898"/>
    <w:rsid w:val="006348AB"/>
    <w:rsid w:val="00634937"/>
    <w:rsid w:val="00634998"/>
    <w:rsid w:val="006349E4"/>
    <w:rsid w:val="006349EB"/>
    <w:rsid w:val="006349F2"/>
    <w:rsid w:val="00634A45"/>
    <w:rsid w:val="00634A8A"/>
    <w:rsid w:val="00634AA9"/>
    <w:rsid w:val="00634C07"/>
    <w:rsid w:val="00634C24"/>
    <w:rsid w:val="00634D2C"/>
    <w:rsid w:val="00634DCF"/>
    <w:rsid w:val="00634E43"/>
    <w:rsid w:val="00634F32"/>
    <w:rsid w:val="00634F73"/>
    <w:rsid w:val="00634F84"/>
    <w:rsid w:val="00635103"/>
    <w:rsid w:val="006351FF"/>
    <w:rsid w:val="00635247"/>
    <w:rsid w:val="006353AE"/>
    <w:rsid w:val="00635459"/>
    <w:rsid w:val="0063549E"/>
    <w:rsid w:val="00635601"/>
    <w:rsid w:val="00635691"/>
    <w:rsid w:val="006356DC"/>
    <w:rsid w:val="00635707"/>
    <w:rsid w:val="0063572E"/>
    <w:rsid w:val="0063573D"/>
    <w:rsid w:val="006357FC"/>
    <w:rsid w:val="0063583F"/>
    <w:rsid w:val="006358CA"/>
    <w:rsid w:val="00635AB1"/>
    <w:rsid w:val="00635AD0"/>
    <w:rsid w:val="00635B3A"/>
    <w:rsid w:val="00635B56"/>
    <w:rsid w:val="00635B5C"/>
    <w:rsid w:val="00635B91"/>
    <w:rsid w:val="00635BE8"/>
    <w:rsid w:val="00635C45"/>
    <w:rsid w:val="00635C82"/>
    <w:rsid w:val="00635CD3"/>
    <w:rsid w:val="00635D49"/>
    <w:rsid w:val="00635D5F"/>
    <w:rsid w:val="00635E10"/>
    <w:rsid w:val="00635E58"/>
    <w:rsid w:val="0063628B"/>
    <w:rsid w:val="0063633C"/>
    <w:rsid w:val="00636434"/>
    <w:rsid w:val="00636484"/>
    <w:rsid w:val="00636592"/>
    <w:rsid w:val="00636757"/>
    <w:rsid w:val="00636762"/>
    <w:rsid w:val="00636850"/>
    <w:rsid w:val="006369C4"/>
    <w:rsid w:val="00636B1E"/>
    <w:rsid w:val="00636C06"/>
    <w:rsid w:val="00636C19"/>
    <w:rsid w:val="00636D94"/>
    <w:rsid w:val="00636F6E"/>
    <w:rsid w:val="0063706D"/>
    <w:rsid w:val="006370D3"/>
    <w:rsid w:val="006370E3"/>
    <w:rsid w:val="00637107"/>
    <w:rsid w:val="0063713C"/>
    <w:rsid w:val="00637157"/>
    <w:rsid w:val="0063730C"/>
    <w:rsid w:val="0063730E"/>
    <w:rsid w:val="006373BD"/>
    <w:rsid w:val="006373DC"/>
    <w:rsid w:val="00637443"/>
    <w:rsid w:val="00637535"/>
    <w:rsid w:val="0063755F"/>
    <w:rsid w:val="006375A5"/>
    <w:rsid w:val="006375D7"/>
    <w:rsid w:val="006377A3"/>
    <w:rsid w:val="0063783F"/>
    <w:rsid w:val="00637941"/>
    <w:rsid w:val="006379BE"/>
    <w:rsid w:val="006379EF"/>
    <w:rsid w:val="00637A20"/>
    <w:rsid w:val="00637B7A"/>
    <w:rsid w:val="00637BA9"/>
    <w:rsid w:val="00637C3F"/>
    <w:rsid w:val="00637C68"/>
    <w:rsid w:val="00637C70"/>
    <w:rsid w:val="00637C9F"/>
    <w:rsid w:val="00637CBB"/>
    <w:rsid w:val="00637D0A"/>
    <w:rsid w:val="00637DD8"/>
    <w:rsid w:val="00637DFF"/>
    <w:rsid w:val="00637E0D"/>
    <w:rsid w:val="00637E30"/>
    <w:rsid w:val="00637E3B"/>
    <w:rsid w:val="00637EBC"/>
    <w:rsid w:val="00637EEF"/>
    <w:rsid w:val="00637F2B"/>
    <w:rsid w:val="00637F49"/>
    <w:rsid w:val="00637F94"/>
    <w:rsid w:val="00637FCA"/>
    <w:rsid w:val="00637FD2"/>
    <w:rsid w:val="00640064"/>
    <w:rsid w:val="00640088"/>
    <w:rsid w:val="006400F9"/>
    <w:rsid w:val="006402EC"/>
    <w:rsid w:val="00640353"/>
    <w:rsid w:val="00640392"/>
    <w:rsid w:val="006403BA"/>
    <w:rsid w:val="00640516"/>
    <w:rsid w:val="0064054E"/>
    <w:rsid w:val="0064055F"/>
    <w:rsid w:val="006405B1"/>
    <w:rsid w:val="0064062C"/>
    <w:rsid w:val="0064064A"/>
    <w:rsid w:val="00640674"/>
    <w:rsid w:val="00640688"/>
    <w:rsid w:val="006406D4"/>
    <w:rsid w:val="00640757"/>
    <w:rsid w:val="00640843"/>
    <w:rsid w:val="00640975"/>
    <w:rsid w:val="006409A2"/>
    <w:rsid w:val="00640A29"/>
    <w:rsid w:val="00640A88"/>
    <w:rsid w:val="00640A93"/>
    <w:rsid w:val="00640B0D"/>
    <w:rsid w:val="00640DEF"/>
    <w:rsid w:val="00640E80"/>
    <w:rsid w:val="00640F03"/>
    <w:rsid w:val="00640F2C"/>
    <w:rsid w:val="00640FAC"/>
    <w:rsid w:val="00640FD9"/>
    <w:rsid w:val="00640FE6"/>
    <w:rsid w:val="0064101A"/>
    <w:rsid w:val="006410B3"/>
    <w:rsid w:val="006410B5"/>
    <w:rsid w:val="006410FB"/>
    <w:rsid w:val="00641161"/>
    <w:rsid w:val="006411FC"/>
    <w:rsid w:val="00641281"/>
    <w:rsid w:val="00641444"/>
    <w:rsid w:val="00641452"/>
    <w:rsid w:val="0064154D"/>
    <w:rsid w:val="006415B7"/>
    <w:rsid w:val="006416BE"/>
    <w:rsid w:val="006416D5"/>
    <w:rsid w:val="006416F1"/>
    <w:rsid w:val="006417C2"/>
    <w:rsid w:val="0064180D"/>
    <w:rsid w:val="0064184F"/>
    <w:rsid w:val="00641918"/>
    <w:rsid w:val="00641A44"/>
    <w:rsid w:val="00641A63"/>
    <w:rsid w:val="00641AD4"/>
    <w:rsid w:val="00641BDA"/>
    <w:rsid w:val="00641C64"/>
    <w:rsid w:val="00641E1E"/>
    <w:rsid w:val="00641E39"/>
    <w:rsid w:val="00641F92"/>
    <w:rsid w:val="00642004"/>
    <w:rsid w:val="0064219D"/>
    <w:rsid w:val="00642228"/>
    <w:rsid w:val="0064222E"/>
    <w:rsid w:val="0064223C"/>
    <w:rsid w:val="006422B1"/>
    <w:rsid w:val="00642364"/>
    <w:rsid w:val="0064238B"/>
    <w:rsid w:val="0064238F"/>
    <w:rsid w:val="006423EE"/>
    <w:rsid w:val="0064242B"/>
    <w:rsid w:val="006424B4"/>
    <w:rsid w:val="006425A0"/>
    <w:rsid w:val="006425A4"/>
    <w:rsid w:val="00642803"/>
    <w:rsid w:val="0064284C"/>
    <w:rsid w:val="0064284D"/>
    <w:rsid w:val="00642862"/>
    <w:rsid w:val="006428D6"/>
    <w:rsid w:val="00642922"/>
    <w:rsid w:val="00642A7B"/>
    <w:rsid w:val="00642A8A"/>
    <w:rsid w:val="00642B2A"/>
    <w:rsid w:val="00642C25"/>
    <w:rsid w:val="00642C59"/>
    <w:rsid w:val="00642C73"/>
    <w:rsid w:val="00642D25"/>
    <w:rsid w:val="00642D4A"/>
    <w:rsid w:val="00642D5A"/>
    <w:rsid w:val="00642E2A"/>
    <w:rsid w:val="00642E5A"/>
    <w:rsid w:val="00642E83"/>
    <w:rsid w:val="00642EEE"/>
    <w:rsid w:val="00642F8A"/>
    <w:rsid w:val="0064302E"/>
    <w:rsid w:val="006430CD"/>
    <w:rsid w:val="0064316A"/>
    <w:rsid w:val="00643266"/>
    <w:rsid w:val="006432E6"/>
    <w:rsid w:val="0064338F"/>
    <w:rsid w:val="006433E1"/>
    <w:rsid w:val="006435A7"/>
    <w:rsid w:val="00643603"/>
    <w:rsid w:val="006436BA"/>
    <w:rsid w:val="0064372F"/>
    <w:rsid w:val="0064397F"/>
    <w:rsid w:val="00643A26"/>
    <w:rsid w:val="00643B35"/>
    <w:rsid w:val="00643B60"/>
    <w:rsid w:val="00643C5E"/>
    <w:rsid w:val="00643CF7"/>
    <w:rsid w:val="00643E37"/>
    <w:rsid w:val="00643E7B"/>
    <w:rsid w:val="00643EF1"/>
    <w:rsid w:val="00643F62"/>
    <w:rsid w:val="00643F86"/>
    <w:rsid w:val="00643FCE"/>
    <w:rsid w:val="0064405F"/>
    <w:rsid w:val="006441B4"/>
    <w:rsid w:val="006441FA"/>
    <w:rsid w:val="00644211"/>
    <w:rsid w:val="00644255"/>
    <w:rsid w:val="00644279"/>
    <w:rsid w:val="006442E4"/>
    <w:rsid w:val="0064451E"/>
    <w:rsid w:val="0064454C"/>
    <w:rsid w:val="00644560"/>
    <w:rsid w:val="00644604"/>
    <w:rsid w:val="0064462B"/>
    <w:rsid w:val="006446D6"/>
    <w:rsid w:val="006446DD"/>
    <w:rsid w:val="0064473A"/>
    <w:rsid w:val="00644764"/>
    <w:rsid w:val="006447B1"/>
    <w:rsid w:val="0064481C"/>
    <w:rsid w:val="006448A3"/>
    <w:rsid w:val="0064491D"/>
    <w:rsid w:val="00644BC4"/>
    <w:rsid w:val="00644C43"/>
    <w:rsid w:val="00644C5F"/>
    <w:rsid w:val="00644CE8"/>
    <w:rsid w:val="00644D70"/>
    <w:rsid w:val="00644D81"/>
    <w:rsid w:val="00644F61"/>
    <w:rsid w:val="00644F87"/>
    <w:rsid w:val="00644F99"/>
    <w:rsid w:val="00644FE8"/>
    <w:rsid w:val="00645090"/>
    <w:rsid w:val="0064509C"/>
    <w:rsid w:val="006450A8"/>
    <w:rsid w:val="006451CA"/>
    <w:rsid w:val="0064522E"/>
    <w:rsid w:val="00645283"/>
    <w:rsid w:val="0064534D"/>
    <w:rsid w:val="00645424"/>
    <w:rsid w:val="006454AD"/>
    <w:rsid w:val="006454C6"/>
    <w:rsid w:val="006454DB"/>
    <w:rsid w:val="006455F9"/>
    <w:rsid w:val="00645627"/>
    <w:rsid w:val="00645696"/>
    <w:rsid w:val="0064581C"/>
    <w:rsid w:val="00645855"/>
    <w:rsid w:val="00645B1E"/>
    <w:rsid w:val="00645B71"/>
    <w:rsid w:val="00645B98"/>
    <w:rsid w:val="00645D90"/>
    <w:rsid w:val="00645DDB"/>
    <w:rsid w:val="00645DF0"/>
    <w:rsid w:val="00645E6F"/>
    <w:rsid w:val="00645FD8"/>
    <w:rsid w:val="0064601C"/>
    <w:rsid w:val="00646091"/>
    <w:rsid w:val="006460FE"/>
    <w:rsid w:val="00646235"/>
    <w:rsid w:val="0064649C"/>
    <w:rsid w:val="00646516"/>
    <w:rsid w:val="00646517"/>
    <w:rsid w:val="006465B0"/>
    <w:rsid w:val="00646673"/>
    <w:rsid w:val="0064669F"/>
    <w:rsid w:val="0064675D"/>
    <w:rsid w:val="006467AA"/>
    <w:rsid w:val="006467CC"/>
    <w:rsid w:val="006468F8"/>
    <w:rsid w:val="006469FE"/>
    <w:rsid w:val="00646A2C"/>
    <w:rsid w:val="00646A5F"/>
    <w:rsid w:val="00646A6B"/>
    <w:rsid w:val="00646B1E"/>
    <w:rsid w:val="00646B2C"/>
    <w:rsid w:val="00646B99"/>
    <w:rsid w:val="00646BA7"/>
    <w:rsid w:val="00646BE1"/>
    <w:rsid w:val="00646BEA"/>
    <w:rsid w:val="00646C50"/>
    <w:rsid w:val="00646C61"/>
    <w:rsid w:val="00646D61"/>
    <w:rsid w:val="00646D92"/>
    <w:rsid w:val="00646DCB"/>
    <w:rsid w:val="00646DEA"/>
    <w:rsid w:val="00646E2F"/>
    <w:rsid w:val="00646EE6"/>
    <w:rsid w:val="00646FB7"/>
    <w:rsid w:val="0064700F"/>
    <w:rsid w:val="0064701A"/>
    <w:rsid w:val="0064712A"/>
    <w:rsid w:val="00647148"/>
    <w:rsid w:val="00647172"/>
    <w:rsid w:val="006472CE"/>
    <w:rsid w:val="00647305"/>
    <w:rsid w:val="0064734E"/>
    <w:rsid w:val="00647363"/>
    <w:rsid w:val="006473D2"/>
    <w:rsid w:val="006474B4"/>
    <w:rsid w:val="00647500"/>
    <w:rsid w:val="006477D6"/>
    <w:rsid w:val="00647841"/>
    <w:rsid w:val="006478EA"/>
    <w:rsid w:val="006479C6"/>
    <w:rsid w:val="00647A41"/>
    <w:rsid w:val="00647AEF"/>
    <w:rsid w:val="00647C8C"/>
    <w:rsid w:val="00647D14"/>
    <w:rsid w:val="00647EF2"/>
    <w:rsid w:val="00647FD2"/>
    <w:rsid w:val="0065001F"/>
    <w:rsid w:val="006500FD"/>
    <w:rsid w:val="0065011E"/>
    <w:rsid w:val="00650152"/>
    <w:rsid w:val="00650155"/>
    <w:rsid w:val="0065017C"/>
    <w:rsid w:val="0065022F"/>
    <w:rsid w:val="0065026A"/>
    <w:rsid w:val="00650358"/>
    <w:rsid w:val="0065047C"/>
    <w:rsid w:val="00650480"/>
    <w:rsid w:val="006504A6"/>
    <w:rsid w:val="00650551"/>
    <w:rsid w:val="00650581"/>
    <w:rsid w:val="00650688"/>
    <w:rsid w:val="00650697"/>
    <w:rsid w:val="006506AF"/>
    <w:rsid w:val="006506B7"/>
    <w:rsid w:val="00650737"/>
    <w:rsid w:val="006507CA"/>
    <w:rsid w:val="0065082C"/>
    <w:rsid w:val="00650877"/>
    <w:rsid w:val="006508BF"/>
    <w:rsid w:val="00650941"/>
    <w:rsid w:val="006509B7"/>
    <w:rsid w:val="006509EE"/>
    <w:rsid w:val="00650A7A"/>
    <w:rsid w:val="00650A95"/>
    <w:rsid w:val="00650CD6"/>
    <w:rsid w:val="00650D2F"/>
    <w:rsid w:val="00650DD0"/>
    <w:rsid w:val="00650EA0"/>
    <w:rsid w:val="00650F3B"/>
    <w:rsid w:val="00650F70"/>
    <w:rsid w:val="00651013"/>
    <w:rsid w:val="00651105"/>
    <w:rsid w:val="006511A8"/>
    <w:rsid w:val="00651547"/>
    <w:rsid w:val="006515F2"/>
    <w:rsid w:val="00651792"/>
    <w:rsid w:val="006517D5"/>
    <w:rsid w:val="0065188D"/>
    <w:rsid w:val="006518C3"/>
    <w:rsid w:val="00651934"/>
    <w:rsid w:val="006519E7"/>
    <w:rsid w:val="00651A59"/>
    <w:rsid w:val="00651A98"/>
    <w:rsid w:val="00651ADC"/>
    <w:rsid w:val="00651BDD"/>
    <w:rsid w:val="00651E18"/>
    <w:rsid w:val="00651E4F"/>
    <w:rsid w:val="00651EB5"/>
    <w:rsid w:val="006520A1"/>
    <w:rsid w:val="006520DE"/>
    <w:rsid w:val="006521F6"/>
    <w:rsid w:val="00652381"/>
    <w:rsid w:val="00652448"/>
    <w:rsid w:val="006524DF"/>
    <w:rsid w:val="00652520"/>
    <w:rsid w:val="006525F4"/>
    <w:rsid w:val="0065261E"/>
    <w:rsid w:val="0065262B"/>
    <w:rsid w:val="0065277E"/>
    <w:rsid w:val="006527B0"/>
    <w:rsid w:val="00652821"/>
    <w:rsid w:val="0065282F"/>
    <w:rsid w:val="006528B3"/>
    <w:rsid w:val="006528F0"/>
    <w:rsid w:val="006529A2"/>
    <w:rsid w:val="00652B41"/>
    <w:rsid w:val="00652E2F"/>
    <w:rsid w:val="00652EE5"/>
    <w:rsid w:val="00652F50"/>
    <w:rsid w:val="00652F84"/>
    <w:rsid w:val="006530F8"/>
    <w:rsid w:val="0065311B"/>
    <w:rsid w:val="006531CC"/>
    <w:rsid w:val="006531CF"/>
    <w:rsid w:val="0065321C"/>
    <w:rsid w:val="006532D8"/>
    <w:rsid w:val="0065335E"/>
    <w:rsid w:val="00653369"/>
    <w:rsid w:val="0065336F"/>
    <w:rsid w:val="006533DF"/>
    <w:rsid w:val="006535EA"/>
    <w:rsid w:val="00653621"/>
    <w:rsid w:val="0065364C"/>
    <w:rsid w:val="00653657"/>
    <w:rsid w:val="00653678"/>
    <w:rsid w:val="0065370B"/>
    <w:rsid w:val="006537CD"/>
    <w:rsid w:val="00653802"/>
    <w:rsid w:val="00653867"/>
    <w:rsid w:val="006538B1"/>
    <w:rsid w:val="006538D2"/>
    <w:rsid w:val="00653916"/>
    <w:rsid w:val="00653A28"/>
    <w:rsid w:val="00653A9A"/>
    <w:rsid w:val="00653BF0"/>
    <w:rsid w:val="00653C21"/>
    <w:rsid w:val="00653D5E"/>
    <w:rsid w:val="00653E43"/>
    <w:rsid w:val="00653E65"/>
    <w:rsid w:val="00653EB2"/>
    <w:rsid w:val="00653EDD"/>
    <w:rsid w:val="00653F12"/>
    <w:rsid w:val="00653FE4"/>
    <w:rsid w:val="006540A6"/>
    <w:rsid w:val="006541D3"/>
    <w:rsid w:val="00654233"/>
    <w:rsid w:val="0065424C"/>
    <w:rsid w:val="006542E9"/>
    <w:rsid w:val="006544FF"/>
    <w:rsid w:val="006545CF"/>
    <w:rsid w:val="006545F3"/>
    <w:rsid w:val="00654733"/>
    <w:rsid w:val="0065474F"/>
    <w:rsid w:val="0065475E"/>
    <w:rsid w:val="00654922"/>
    <w:rsid w:val="006549DF"/>
    <w:rsid w:val="006549EF"/>
    <w:rsid w:val="00654A8B"/>
    <w:rsid w:val="00654AF8"/>
    <w:rsid w:val="00654B23"/>
    <w:rsid w:val="00654C34"/>
    <w:rsid w:val="00654CC2"/>
    <w:rsid w:val="00654D02"/>
    <w:rsid w:val="00654DD8"/>
    <w:rsid w:val="00654F11"/>
    <w:rsid w:val="00654F22"/>
    <w:rsid w:val="00654F6C"/>
    <w:rsid w:val="0065506A"/>
    <w:rsid w:val="006550F6"/>
    <w:rsid w:val="00655245"/>
    <w:rsid w:val="0065524D"/>
    <w:rsid w:val="006552F8"/>
    <w:rsid w:val="00655364"/>
    <w:rsid w:val="006553B3"/>
    <w:rsid w:val="006553BF"/>
    <w:rsid w:val="006553C4"/>
    <w:rsid w:val="00655404"/>
    <w:rsid w:val="00655499"/>
    <w:rsid w:val="0065560D"/>
    <w:rsid w:val="00655775"/>
    <w:rsid w:val="006557E0"/>
    <w:rsid w:val="0065585F"/>
    <w:rsid w:val="00655864"/>
    <w:rsid w:val="00655868"/>
    <w:rsid w:val="006559EC"/>
    <w:rsid w:val="00655A39"/>
    <w:rsid w:val="00655A71"/>
    <w:rsid w:val="00655C26"/>
    <w:rsid w:val="00655DB3"/>
    <w:rsid w:val="00655F28"/>
    <w:rsid w:val="006560A7"/>
    <w:rsid w:val="0065624A"/>
    <w:rsid w:val="0065628E"/>
    <w:rsid w:val="0065628F"/>
    <w:rsid w:val="006562A2"/>
    <w:rsid w:val="006562AF"/>
    <w:rsid w:val="006562EB"/>
    <w:rsid w:val="0065641B"/>
    <w:rsid w:val="0065645D"/>
    <w:rsid w:val="00656477"/>
    <w:rsid w:val="006564D0"/>
    <w:rsid w:val="00656521"/>
    <w:rsid w:val="00656524"/>
    <w:rsid w:val="00656576"/>
    <w:rsid w:val="006566B8"/>
    <w:rsid w:val="006567D0"/>
    <w:rsid w:val="00656803"/>
    <w:rsid w:val="00656838"/>
    <w:rsid w:val="00656858"/>
    <w:rsid w:val="00656862"/>
    <w:rsid w:val="00656936"/>
    <w:rsid w:val="00656A8A"/>
    <w:rsid w:val="00656AE6"/>
    <w:rsid w:val="00656B5E"/>
    <w:rsid w:val="00656C44"/>
    <w:rsid w:val="00656DAA"/>
    <w:rsid w:val="00656F01"/>
    <w:rsid w:val="00656FD4"/>
    <w:rsid w:val="00656FF9"/>
    <w:rsid w:val="0065705B"/>
    <w:rsid w:val="00657089"/>
    <w:rsid w:val="006570E3"/>
    <w:rsid w:val="006570E4"/>
    <w:rsid w:val="006571C3"/>
    <w:rsid w:val="006571E3"/>
    <w:rsid w:val="0065728B"/>
    <w:rsid w:val="00657329"/>
    <w:rsid w:val="00657375"/>
    <w:rsid w:val="00657427"/>
    <w:rsid w:val="0065747F"/>
    <w:rsid w:val="006575DF"/>
    <w:rsid w:val="006575F0"/>
    <w:rsid w:val="00657708"/>
    <w:rsid w:val="00657711"/>
    <w:rsid w:val="0065792A"/>
    <w:rsid w:val="00657974"/>
    <w:rsid w:val="00657B30"/>
    <w:rsid w:val="00657C26"/>
    <w:rsid w:val="00657C38"/>
    <w:rsid w:val="00657D73"/>
    <w:rsid w:val="00657DAC"/>
    <w:rsid w:val="00657DFE"/>
    <w:rsid w:val="00660081"/>
    <w:rsid w:val="0066010E"/>
    <w:rsid w:val="00660145"/>
    <w:rsid w:val="0066014E"/>
    <w:rsid w:val="00660168"/>
    <w:rsid w:val="00660169"/>
    <w:rsid w:val="006601B2"/>
    <w:rsid w:val="00660201"/>
    <w:rsid w:val="00660222"/>
    <w:rsid w:val="00660232"/>
    <w:rsid w:val="00660250"/>
    <w:rsid w:val="00660301"/>
    <w:rsid w:val="006603E3"/>
    <w:rsid w:val="00660570"/>
    <w:rsid w:val="00660638"/>
    <w:rsid w:val="00660718"/>
    <w:rsid w:val="0066072C"/>
    <w:rsid w:val="00660943"/>
    <w:rsid w:val="006609C1"/>
    <w:rsid w:val="006609DF"/>
    <w:rsid w:val="00660B90"/>
    <w:rsid w:val="00660BBD"/>
    <w:rsid w:val="00660CBF"/>
    <w:rsid w:val="00660DA3"/>
    <w:rsid w:val="00660E92"/>
    <w:rsid w:val="0066102F"/>
    <w:rsid w:val="006611EB"/>
    <w:rsid w:val="00661205"/>
    <w:rsid w:val="0066127C"/>
    <w:rsid w:val="006612CB"/>
    <w:rsid w:val="006612D6"/>
    <w:rsid w:val="006613CA"/>
    <w:rsid w:val="00661434"/>
    <w:rsid w:val="00661439"/>
    <w:rsid w:val="00661457"/>
    <w:rsid w:val="0066148C"/>
    <w:rsid w:val="0066167D"/>
    <w:rsid w:val="00661696"/>
    <w:rsid w:val="00661715"/>
    <w:rsid w:val="00661754"/>
    <w:rsid w:val="0066177D"/>
    <w:rsid w:val="00661813"/>
    <w:rsid w:val="00661863"/>
    <w:rsid w:val="00661980"/>
    <w:rsid w:val="006619A6"/>
    <w:rsid w:val="006619A9"/>
    <w:rsid w:val="00661A0E"/>
    <w:rsid w:val="00661A76"/>
    <w:rsid w:val="00661B07"/>
    <w:rsid w:val="00661C14"/>
    <w:rsid w:val="00661C35"/>
    <w:rsid w:val="00661D73"/>
    <w:rsid w:val="00661DD2"/>
    <w:rsid w:val="00661DF9"/>
    <w:rsid w:val="00661E2B"/>
    <w:rsid w:val="00661F5D"/>
    <w:rsid w:val="00661F77"/>
    <w:rsid w:val="0066205F"/>
    <w:rsid w:val="00662092"/>
    <w:rsid w:val="006622E6"/>
    <w:rsid w:val="00662365"/>
    <w:rsid w:val="0066241F"/>
    <w:rsid w:val="00662A16"/>
    <w:rsid w:val="00662AEA"/>
    <w:rsid w:val="00662B21"/>
    <w:rsid w:val="00662C24"/>
    <w:rsid w:val="00662C81"/>
    <w:rsid w:val="00662D4A"/>
    <w:rsid w:val="00662DCC"/>
    <w:rsid w:val="00662EC3"/>
    <w:rsid w:val="00662ED3"/>
    <w:rsid w:val="00662EDB"/>
    <w:rsid w:val="00662F0E"/>
    <w:rsid w:val="0066303E"/>
    <w:rsid w:val="006630A2"/>
    <w:rsid w:val="006631DE"/>
    <w:rsid w:val="006631F4"/>
    <w:rsid w:val="00663295"/>
    <w:rsid w:val="006632CB"/>
    <w:rsid w:val="006632F5"/>
    <w:rsid w:val="006633AF"/>
    <w:rsid w:val="00663489"/>
    <w:rsid w:val="00663497"/>
    <w:rsid w:val="00663585"/>
    <w:rsid w:val="00663714"/>
    <w:rsid w:val="00663787"/>
    <w:rsid w:val="006637EF"/>
    <w:rsid w:val="00663832"/>
    <w:rsid w:val="00663837"/>
    <w:rsid w:val="00663860"/>
    <w:rsid w:val="006639A0"/>
    <w:rsid w:val="00663A3D"/>
    <w:rsid w:val="00663A73"/>
    <w:rsid w:val="00663B1B"/>
    <w:rsid w:val="00663C34"/>
    <w:rsid w:val="00663CA8"/>
    <w:rsid w:val="00663D49"/>
    <w:rsid w:val="00663D55"/>
    <w:rsid w:val="00663D7E"/>
    <w:rsid w:val="00663DEA"/>
    <w:rsid w:val="00663E2E"/>
    <w:rsid w:val="00663F0C"/>
    <w:rsid w:val="0066401E"/>
    <w:rsid w:val="00664048"/>
    <w:rsid w:val="00664081"/>
    <w:rsid w:val="00664239"/>
    <w:rsid w:val="0066434C"/>
    <w:rsid w:val="0066446B"/>
    <w:rsid w:val="0066452D"/>
    <w:rsid w:val="006645A2"/>
    <w:rsid w:val="006645F6"/>
    <w:rsid w:val="006646EE"/>
    <w:rsid w:val="0066477B"/>
    <w:rsid w:val="0066497C"/>
    <w:rsid w:val="0066498B"/>
    <w:rsid w:val="006649EA"/>
    <w:rsid w:val="00664A20"/>
    <w:rsid w:val="00664A3F"/>
    <w:rsid w:val="00664B50"/>
    <w:rsid w:val="00664CAC"/>
    <w:rsid w:val="00664D32"/>
    <w:rsid w:val="00664D37"/>
    <w:rsid w:val="00664DCD"/>
    <w:rsid w:val="00664DE1"/>
    <w:rsid w:val="00664E39"/>
    <w:rsid w:val="00664E7F"/>
    <w:rsid w:val="00664F80"/>
    <w:rsid w:val="00664F93"/>
    <w:rsid w:val="00664FF0"/>
    <w:rsid w:val="00665054"/>
    <w:rsid w:val="00665101"/>
    <w:rsid w:val="00665122"/>
    <w:rsid w:val="006651CB"/>
    <w:rsid w:val="006652D0"/>
    <w:rsid w:val="00665455"/>
    <w:rsid w:val="006654AF"/>
    <w:rsid w:val="006654EB"/>
    <w:rsid w:val="006655A1"/>
    <w:rsid w:val="006656DE"/>
    <w:rsid w:val="0066571C"/>
    <w:rsid w:val="00665746"/>
    <w:rsid w:val="00665776"/>
    <w:rsid w:val="0066578F"/>
    <w:rsid w:val="006657A6"/>
    <w:rsid w:val="006657EE"/>
    <w:rsid w:val="006658EF"/>
    <w:rsid w:val="006658F6"/>
    <w:rsid w:val="006658FC"/>
    <w:rsid w:val="00665911"/>
    <w:rsid w:val="00665926"/>
    <w:rsid w:val="006659A3"/>
    <w:rsid w:val="006659F9"/>
    <w:rsid w:val="00665A63"/>
    <w:rsid w:val="00665A9F"/>
    <w:rsid w:val="00665B04"/>
    <w:rsid w:val="00665B58"/>
    <w:rsid w:val="00665B88"/>
    <w:rsid w:val="00665C64"/>
    <w:rsid w:val="00665C9C"/>
    <w:rsid w:val="00665CD9"/>
    <w:rsid w:val="00665DA8"/>
    <w:rsid w:val="00665DE4"/>
    <w:rsid w:val="00665DE8"/>
    <w:rsid w:val="00665E9F"/>
    <w:rsid w:val="00665F5E"/>
    <w:rsid w:val="00666229"/>
    <w:rsid w:val="006663D5"/>
    <w:rsid w:val="00666456"/>
    <w:rsid w:val="0066648C"/>
    <w:rsid w:val="00666554"/>
    <w:rsid w:val="0066663C"/>
    <w:rsid w:val="00666644"/>
    <w:rsid w:val="00666652"/>
    <w:rsid w:val="00666844"/>
    <w:rsid w:val="006668D6"/>
    <w:rsid w:val="006668E5"/>
    <w:rsid w:val="006669FD"/>
    <w:rsid w:val="00666A48"/>
    <w:rsid w:val="00666A50"/>
    <w:rsid w:val="00666BB3"/>
    <w:rsid w:val="00666C2E"/>
    <w:rsid w:val="00666C87"/>
    <w:rsid w:val="00666CF3"/>
    <w:rsid w:val="00666D31"/>
    <w:rsid w:val="00666DE1"/>
    <w:rsid w:val="00666DFC"/>
    <w:rsid w:val="00666E4A"/>
    <w:rsid w:val="00666F48"/>
    <w:rsid w:val="00666F5C"/>
    <w:rsid w:val="00667017"/>
    <w:rsid w:val="006670FF"/>
    <w:rsid w:val="00667113"/>
    <w:rsid w:val="0066714E"/>
    <w:rsid w:val="006671B5"/>
    <w:rsid w:val="006671FB"/>
    <w:rsid w:val="00667207"/>
    <w:rsid w:val="00667214"/>
    <w:rsid w:val="006672C9"/>
    <w:rsid w:val="00667322"/>
    <w:rsid w:val="006673FB"/>
    <w:rsid w:val="0066756C"/>
    <w:rsid w:val="00667578"/>
    <w:rsid w:val="006675EB"/>
    <w:rsid w:val="006675FF"/>
    <w:rsid w:val="006676FE"/>
    <w:rsid w:val="0066783A"/>
    <w:rsid w:val="0066786D"/>
    <w:rsid w:val="006678E9"/>
    <w:rsid w:val="006678F8"/>
    <w:rsid w:val="00667922"/>
    <w:rsid w:val="0066795C"/>
    <w:rsid w:val="006679D4"/>
    <w:rsid w:val="00667AD7"/>
    <w:rsid w:val="00667B17"/>
    <w:rsid w:val="00667D2F"/>
    <w:rsid w:val="00667DB0"/>
    <w:rsid w:val="00667E6B"/>
    <w:rsid w:val="00667F1E"/>
    <w:rsid w:val="00667FF2"/>
    <w:rsid w:val="006700C9"/>
    <w:rsid w:val="006701CC"/>
    <w:rsid w:val="006701E1"/>
    <w:rsid w:val="0067026D"/>
    <w:rsid w:val="00670356"/>
    <w:rsid w:val="006703D9"/>
    <w:rsid w:val="00670494"/>
    <w:rsid w:val="00670518"/>
    <w:rsid w:val="00670705"/>
    <w:rsid w:val="0067077A"/>
    <w:rsid w:val="00670788"/>
    <w:rsid w:val="00670813"/>
    <w:rsid w:val="00670868"/>
    <w:rsid w:val="00670936"/>
    <w:rsid w:val="00670A2C"/>
    <w:rsid w:val="00670A5E"/>
    <w:rsid w:val="00670A68"/>
    <w:rsid w:val="00670B04"/>
    <w:rsid w:val="00670B0F"/>
    <w:rsid w:val="00670B57"/>
    <w:rsid w:val="00670D79"/>
    <w:rsid w:val="00670E42"/>
    <w:rsid w:val="00670EA7"/>
    <w:rsid w:val="00670EAB"/>
    <w:rsid w:val="00670F29"/>
    <w:rsid w:val="00670F92"/>
    <w:rsid w:val="00670FBE"/>
    <w:rsid w:val="00670FD1"/>
    <w:rsid w:val="00671049"/>
    <w:rsid w:val="006710E9"/>
    <w:rsid w:val="00671162"/>
    <w:rsid w:val="0067118A"/>
    <w:rsid w:val="006711FF"/>
    <w:rsid w:val="006712B8"/>
    <w:rsid w:val="0067133B"/>
    <w:rsid w:val="006714C3"/>
    <w:rsid w:val="006714CD"/>
    <w:rsid w:val="0067152B"/>
    <w:rsid w:val="00671656"/>
    <w:rsid w:val="00671686"/>
    <w:rsid w:val="006716E4"/>
    <w:rsid w:val="006716E6"/>
    <w:rsid w:val="00671735"/>
    <w:rsid w:val="0067176B"/>
    <w:rsid w:val="006717A6"/>
    <w:rsid w:val="0067187F"/>
    <w:rsid w:val="00671A10"/>
    <w:rsid w:val="00671A11"/>
    <w:rsid w:val="00671A59"/>
    <w:rsid w:val="00671AA2"/>
    <w:rsid w:val="00671BA0"/>
    <w:rsid w:val="00671BE1"/>
    <w:rsid w:val="00671C57"/>
    <w:rsid w:val="00671DF0"/>
    <w:rsid w:val="00671F12"/>
    <w:rsid w:val="00671F65"/>
    <w:rsid w:val="006720CD"/>
    <w:rsid w:val="006720F3"/>
    <w:rsid w:val="0067213F"/>
    <w:rsid w:val="00672146"/>
    <w:rsid w:val="006721D4"/>
    <w:rsid w:val="00672224"/>
    <w:rsid w:val="00672475"/>
    <w:rsid w:val="0067254E"/>
    <w:rsid w:val="0067255D"/>
    <w:rsid w:val="0067256B"/>
    <w:rsid w:val="0067261C"/>
    <w:rsid w:val="00672718"/>
    <w:rsid w:val="0067274E"/>
    <w:rsid w:val="006727F2"/>
    <w:rsid w:val="00672898"/>
    <w:rsid w:val="00672A87"/>
    <w:rsid w:val="00672AC6"/>
    <w:rsid w:val="00672BC7"/>
    <w:rsid w:val="00672BEF"/>
    <w:rsid w:val="00672C07"/>
    <w:rsid w:val="00672D5B"/>
    <w:rsid w:val="00672D65"/>
    <w:rsid w:val="00672E01"/>
    <w:rsid w:val="00672E28"/>
    <w:rsid w:val="00672EC3"/>
    <w:rsid w:val="00672F25"/>
    <w:rsid w:val="00672F90"/>
    <w:rsid w:val="00673075"/>
    <w:rsid w:val="00673144"/>
    <w:rsid w:val="00673151"/>
    <w:rsid w:val="0067319E"/>
    <w:rsid w:val="00673262"/>
    <w:rsid w:val="00673302"/>
    <w:rsid w:val="00673330"/>
    <w:rsid w:val="00673348"/>
    <w:rsid w:val="006733A6"/>
    <w:rsid w:val="006733F1"/>
    <w:rsid w:val="006734B3"/>
    <w:rsid w:val="006734E5"/>
    <w:rsid w:val="00673638"/>
    <w:rsid w:val="0067382B"/>
    <w:rsid w:val="006738B6"/>
    <w:rsid w:val="0067390C"/>
    <w:rsid w:val="0067393A"/>
    <w:rsid w:val="00673A1B"/>
    <w:rsid w:val="00673A6C"/>
    <w:rsid w:val="00673ACF"/>
    <w:rsid w:val="00673B20"/>
    <w:rsid w:val="00673C25"/>
    <w:rsid w:val="00673C71"/>
    <w:rsid w:val="00673CC2"/>
    <w:rsid w:val="00673D52"/>
    <w:rsid w:val="00673E56"/>
    <w:rsid w:val="00673E9A"/>
    <w:rsid w:val="00673F2D"/>
    <w:rsid w:val="00674010"/>
    <w:rsid w:val="0067406C"/>
    <w:rsid w:val="006740C0"/>
    <w:rsid w:val="006740D7"/>
    <w:rsid w:val="006740E2"/>
    <w:rsid w:val="00674140"/>
    <w:rsid w:val="0067420D"/>
    <w:rsid w:val="00674233"/>
    <w:rsid w:val="0067424D"/>
    <w:rsid w:val="00674305"/>
    <w:rsid w:val="00674345"/>
    <w:rsid w:val="00674347"/>
    <w:rsid w:val="0067439F"/>
    <w:rsid w:val="006744A1"/>
    <w:rsid w:val="00674520"/>
    <w:rsid w:val="006745AA"/>
    <w:rsid w:val="00674654"/>
    <w:rsid w:val="0067465F"/>
    <w:rsid w:val="006746DC"/>
    <w:rsid w:val="00674709"/>
    <w:rsid w:val="00674712"/>
    <w:rsid w:val="00674729"/>
    <w:rsid w:val="0067472C"/>
    <w:rsid w:val="00674741"/>
    <w:rsid w:val="00674868"/>
    <w:rsid w:val="00674943"/>
    <w:rsid w:val="00674960"/>
    <w:rsid w:val="00674A3A"/>
    <w:rsid w:val="00674A8D"/>
    <w:rsid w:val="00674AE8"/>
    <w:rsid w:val="00674B91"/>
    <w:rsid w:val="00674D17"/>
    <w:rsid w:val="00674DF5"/>
    <w:rsid w:val="00674EB8"/>
    <w:rsid w:val="00674EC0"/>
    <w:rsid w:val="00674EE5"/>
    <w:rsid w:val="00674F2C"/>
    <w:rsid w:val="0067513E"/>
    <w:rsid w:val="00675142"/>
    <w:rsid w:val="00675164"/>
    <w:rsid w:val="0067516A"/>
    <w:rsid w:val="006751CB"/>
    <w:rsid w:val="00675280"/>
    <w:rsid w:val="0067528A"/>
    <w:rsid w:val="0067529E"/>
    <w:rsid w:val="006752C0"/>
    <w:rsid w:val="00675307"/>
    <w:rsid w:val="00675316"/>
    <w:rsid w:val="00675380"/>
    <w:rsid w:val="006753C9"/>
    <w:rsid w:val="006753D6"/>
    <w:rsid w:val="00675438"/>
    <w:rsid w:val="0067544B"/>
    <w:rsid w:val="006754C2"/>
    <w:rsid w:val="00675646"/>
    <w:rsid w:val="00675671"/>
    <w:rsid w:val="0067572E"/>
    <w:rsid w:val="00675749"/>
    <w:rsid w:val="0067581A"/>
    <w:rsid w:val="00675827"/>
    <w:rsid w:val="00675B49"/>
    <w:rsid w:val="00675BCD"/>
    <w:rsid w:val="00675BD1"/>
    <w:rsid w:val="00675C1F"/>
    <w:rsid w:val="00675C86"/>
    <w:rsid w:val="00675CAA"/>
    <w:rsid w:val="00675E02"/>
    <w:rsid w:val="00675E1A"/>
    <w:rsid w:val="00675E52"/>
    <w:rsid w:val="00675EE2"/>
    <w:rsid w:val="00675F76"/>
    <w:rsid w:val="00675F8D"/>
    <w:rsid w:val="00676002"/>
    <w:rsid w:val="00676013"/>
    <w:rsid w:val="006760ED"/>
    <w:rsid w:val="006760FA"/>
    <w:rsid w:val="00676111"/>
    <w:rsid w:val="00676179"/>
    <w:rsid w:val="006762E4"/>
    <w:rsid w:val="006762EC"/>
    <w:rsid w:val="006763B2"/>
    <w:rsid w:val="00676431"/>
    <w:rsid w:val="006765E5"/>
    <w:rsid w:val="00676619"/>
    <w:rsid w:val="006766A4"/>
    <w:rsid w:val="00676717"/>
    <w:rsid w:val="006767F5"/>
    <w:rsid w:val="00676901"/>
    <w:rsid w:val="00676A0D"/>
    <w:rsid w:val="00676A52"/>
    <w:rsid w:val="00676AB7"/>
    <w:rsid w:val="00676AEA"/>
    <w:rsid w:val="00676C8E"/>
    <w:rsid w:val="00676E32"/>
    <w:rsid w:val="00676E3E"/>
    <w:rsid w:val="00676F7D"/>
    <w:rsid w:val="00676F86"/>
    <w:rsid w:val="0067711B"/>
    <w:rsid w:val="00677132"/>
    <w:rsid w:val="00677214"/>
    <w:rsid w:val="0067727F"/>
    <w:rsid w:val="00677287"/>
    <w:rsid w:val="00677369"/>
    <w:rsid w:val="0067747F"/>
    <w:rsid w:val="00677558"/>
    <w:rsid w:val="0067759E"/>
    <w:rsid w:val="006776B2"/>
    <w:rsid w:val="00677706"/>
    <w:rsid w:val="0067773B"/>
    <w:rsid w:val="0067774E"/>
    <w:rsid w:val="00677811"/>
    <w:rsid w:val="0067789E"/>
    <w:rsid w:val="00677990"/>
    <w:rsid w:val="00677A20"/>
    <w:rsid w:val="00677A7E"/>
    <w:rsid w:val="00677B43"/>
    <w:rsid w:val="00677BE0"/>
    <w:rsid w:val="00677C9A"/>
    <w:rsid w:val="00677D84"/>
    <w:rsid w:val="00677EAF"/>
    <w:rsid w:val="00677F28"/>
    <w:rsid w:val="006800F9"/>
    <w:rsid w:val="006800FE"/>
    <w:rsid w:val="00680164"/>
    <w:rsid w:val="006801C1"/>
    <w:rsid w:val="006801F0"/>
    <w:rsid w:val="00680229"/>
    <w:rsid w:val="00680245"/>
    <w:rsid w:val="006802F6"/>
    <w:rsid w:val="0068031C"/>
    <w:rsid w:val="00680323"/>
    <w:rsid w:val="00680392"/>
    <w:rsid w:val="00680423"/>
    <w:rsid w:val="006806D7"/>
    <w:rsid w:val="006807BA"/>
    <w:rsid w:val="0068082E"/>
    <w:rsid w:val="0068088D"/>
    <w:rsid w:val="00680911"/>
    <w:rsid w:val="006809D3"/>
    <w:rsid w:val="00680A1B"/>
    <w:rsid w:val="00680B3C"/>
    <w:rsid w:val="00680B79"/>
    <w:rsid w:val="00680BDE"/>
    <w:rsid w:val="00680C0B"/>
    <w:rsid w:val="00680C28"/>
    <w:rsid w:val="00680C46"/>
    <w:rsid w:val="00680C92"/>
    <w:rsid w:val="00680CE4"/>
    <w:rsid w:val="00680D36"/>
    <w:rsid w:val="00680DCA"/>
    <w:rsid w:val="00680EBC"/>
    <w:rsid w:val="00680FB8"/>
    <w:rsid w:val="00681036"/>
    <w:rsid w:val="006810FC"/>
    <w:rsid w:val="0068117C"/>
    <w:rsid w:val="006811E6"/>
    <w:rsid w:val="0068122B"/>
    <w:rsid w:val="00681311"/>
    <w:rsid w:val="00681336"/>
    <w:rsid w:val="00681350"/>
    <w:rsid w:val="006814BD"/>
    <w:rsid w:val="006815F7"/>
    <w:rsid w:val="00681652"/>
    <w:rsid w:val="006817AE"/>
    <w:rsid w:val="0068181E"/>
    <w:rsid w:val="00681828"/>
    <w:rsid w:val="00681874"/>
    <w:rsid w:val="00681888"/>
    <w:rsid w:val="006818E9"/>
    <w:rsid w:val="00681956"/>
    <w:rsid w:val="00681979"/>
    <w:rsid w:val="00681AE2"/>
    <w:rsid w:val="00681B3D"/>
    <w:rsid w:val="00681D02"/>
    <w:rsid w:val="00681E0C"/>
    <w:rsid w:val="00681EBF"/>
    <w:rsid w:val="00681F20"/>
    <w:rsid w:val="00681F46"/>
    <w:rsid w:val="00681F5D"/>
    <w:rsid w:val="00681F9D"/>
    <w:rsid w:val="00681FE7"/>
    <w:rsid w:val="0068206B"/>
    <w:rsid w:val="0068223E"/>
    <w:rsid w:val="006822F2"/>
    <w:rsid w:val="00682387"/>
    <w:rsid w:val="0068246C"/>
    <w:rsid w:val="00682593"/>
    <w:rsid w:val="00682608"/>
    <w:rsid w:val="006826CF"/>
    <w:rsid w:val="0068271B"/>
    <w:rsid w:val="006827A0"/>
    <w:rsid w:val="00682937"/>
    <w:rsid w:val="00682984"/>
    <w:rsid w:val="006829B5"/>
    <w:rsid w:val="006829D9"/>
    <w:rsid w:val="006829E7"/>
    <w:rsid w:val="00682A81"/>
    <w:rsid w:val="00682C7F"/>
    <w:rsid w:val="00682DAA"/>
    <w:rsid w:val="00682F1E"/>
    <w:rsid w:val="00682F1F"/>
    <w:rsid w:val="00682F71"/>
    <w:rsid w:val="00682FB6"/>
    <w:rsid w:val="00682FFF"/>
    <w:rsid w:val="00683090"/>
    <w:rsid w:val="00683184"/>
    <w:rsid w:val="00683200"/>
    <w:rsid w:val="0068328B"/>
    <w:rsid w:val="0068338A"/>
    <w:rsid w:val="006833F6"/>
    <w:rsid w:val="00683474"/>
    <w:rsid w:val="006835A9"/>
    <w:rsid w:val="006837E3"/>
    <w:rsid w:val="0068385F"/>
    <w:rsid w:val="00683888"/>
    <w:rsid w:val="00683972"/>
    <w:rsid w:val="00683AF8"/>
    <w:rsid w:val="00683C93"/>
    <w:rsid w:val="00683E6B"/>
    <w:rsid w:val="00683E84"/>
    <w:rsid w:val="00683F86"/>
    <w:rsid w:val="00684001"/>
    <w:rsid w:val="0068401B"/>
    <w:rsid w:val="00684077"/>
    <w:rsid w:val="006840B8"/>
    <w:rsid w:val="006840C5"/>
    <w:rsid w:val="006840E1"/>
    <w:rsid w:val="0068413F"/>
    <w:rsid w:val="00684141"/>
    <w:rsid w:val="00684148"/>
    <w:rsid w:val="006841B2"/>
    <w:rsid w:val="00684278"/>
    <w:rsid w:val="006842E4"/>
    <w:rsid w:val="00684323"/>
    <w:rsid w:val="0068442F"/>
    <w:rsid w:val="00684569"/>
    <w:rsid w:val="0068465D"/>
    <w:rsid w:val="006846B2"/>
    <w:rsid w:val="00684753"/>
    <w:rsid w:val="00684861"/>
    <w:rsid w:val="006848BF"/>
    <w:rsid w:val="0068492E"/>
    <w:rsid w:val="006849DE"/>
    <w:rsid w:val="00684A4D"/>
    <w:rsid w:val="00684B6E"/>
    <w:rsid w:val="00684B6F"/>
    <w:rsid w:val="00684B78"/>
    <w:rsid w:val="00684BBA"/>
    <w:rsid w:val="00684BE5"/>
    <w:rsid w:val="00684C3F"/>
    <w:rsid w:val="00684C82"/>
    <w:rsid w:val="00684F88"/>
    <w:rsid w:val="00684FE2"/>
    <w:rsid w:val="00685097"/>
    <w:rsid w:val="006850D2"/>
    <w:rsid w:val="0068516B"/>
    <w:rsid w:val="006851AA"/>
    <w:rsid w:val="00685210"/>
    <w:rsid w:val="006852A7"/>
    <w:rsid w:val="006853A4"/>
    <w:rsid w:val="006853F2"/>
    <w:rsid w:val="00685469"/>
    <w:rsid w:val="006854F2"/>
    <w:rsid w:val="006855C4"/>
    <w:rsid w:val="006857BE"/>
    <w:rsid w:val="00685915"/>
    <w:rsid w:val="006859C1"/>
    <w:rsid w:val="006859D9"/>
    <w:rsid w:val="00685A04"/>
    <w:rsid w:val="00685A32"/>
    <w:rsid w:val="00685B84"/>
    <w:rsid w:val="00685C01"/>
    <w:rsid w:val="00685C61"/>
    <w:rsid w:val="00685D0E"/>
    <w:rsid w:val="00685DA7"/>
    <w:rsid w:val="00685DD7"/>
    <w:rsid w:val="00685DEB"/>
    <w:rsid w:val="00685E30"/>
    <w:rsid w:val="00685F65"/>
    <w:rsid w:val="00686042"/>
    <w:rsid w:val="00686065"/>
    <w:rsid w:val="006860BB"/>
    <w:rsid w:val="00686166"/>
    <w:rsid w:val="00686253"/>
    <w:rsid w:val="0068628B"/>
    <w:rsid w:val="006862F5"/>
    <w:rsid w:val="006863BF"/>
    <w:rsid w:val="006863F8"/>
    <w:rsid w:val="00686503"/>
    <w:rsid w:val="0068650C"/>
    <w:rsid w:val="00686567"/>
    <w:rsid w:val="006865AA"/>
    <w:rsid w:val="0068665C"/>
    <w:rsid w:val="00686672"/>
    <w:rsid w:val="00686812"/>
    <w:rsid w:val="00686870"/>
    <w:rsid w:val="006868AB"/>
    <w:rsid w:val="006868B7"/>
    <w:rsid w:val="00686918"/>
    <w:rsid w:val="00686994"/>
    <w:rsid w:val="00686A9C"/>
    <w:rsid w:val="00686AEC"/>
    <w:rsid w:val="00686B96"/>
    <w:rsid w:val="00686CE5"/>
    <w:rsid w:val="00686D3F"/>
    <w:rsid w:val="00686E58"/>
    <w:rsid w:val="00686FE2"/>
    <w:rsid w:val="00687021"/>
    <w:rsid w:val="00687022"/>
    <w:rsid w:val="006871DE"/>
    <w:rsid w:val="006872AF"/>
    <w:rsid w:val="00687518"/>
    <w:rsid w:val="0068751F"/>
    <w:rsid w:val="006875F4"/>
    <w:rsid w:val="006876D1"/>
    <w:rsid w:val="00687733"/>
    <w:rsid w:val="0068775A"/>
    <w:rsid w:val="00687801"/>
    <w:rsid w:val="00687860"/>
    <w:rsid w:val="006878AD"/>
    <w:rsid w:val="006878CB"/>
    <w:rsid w:val="006878F1"/>
    <w:rsid w:val="00687AAF"/>
    <w:rsid w:val="00687AC8"/>
    <w:rsid w:val="00687B06"/>
    <w:rsid w:val="00687C48"/>
    <w:rsid w:val="00687C8E"/>
    <w:rsid w:val="00687D42"/>
    <w:rsid w:val="00687DE1"/>
    <w:rsid w:val="00687E0E"/>
    <w:rsid w:val="00687E41"/>
    <w:rsid w:val="00687E45"/>
    <w:rsid w:val="00687EC0"/>
    <w:rsid w:val="00687F34"/>
    <w:rsid w:val="00687F95"/>
    <w:rsid w:val="0069008A"/>
    <w:rsid w:val="0069019E"/>
    <w:rsid w:val="006901DD"/>
    <w:rsid w:val="006901E1"/>
    <w:rsid w:val="006903BF"/>
    <w:rsid w:val="0069043B"/>
    <w:rsid w:val="0069045F"/>
    <w:rsid w:val="00690476"/>
    <w:rsid w:val="006904AE"/>
    <w:rsid w:val="00690576"/>
    <w:rsid w:val="0069058F"/>
    <w:rsid w:val="006905C0"/>
    <w:rsid w:val="00690764"/>
    <w:rsid w:val="006907D4"/>
    <w:rsid w:val="0069080B"/>
    <w:rsid w:val="0069091F"/>
    <w:rsid w:val="00690995"/>
    <w:rsid w:val="006909EE"/>
    <w:rsid w:val="006909FC"/>
    <w:rsid w:val="006909FF"/>
    <w:rsid w:val="00690A37"/>
    <w:rsid w:val="00690A54"/>
    <w:rsid w:val="00690A56"/>
    <w:rsid w:val="00690B94"/>
    <w:rsid w:val="00690C20"/>
    <w:rsid w:val="00690D4E"/>
    <w:rsid w:val="00690DB1"/>
    <w:rsid w:val="00690E2E"/>
    <w:rsid w:val="00690E3C"/>
    <w:rsid w:val="00690ED4"/>
    <w:rsid w:val="00690EF4"/>
    <w:rsid w:val="00690F43"/>
    <w:rsid w:val="00690FEF"/>
    <w:rsid w:val="0069102E"/>
    <w:rsid w:val="00691086"/>
    <w:rsid w:val="006910B3"/>
    <w:rsid w:val="006912FD"/>
    <w:rsid w:val="00691489"/>
    <w:rsid w:val="006914F2"/>
    <w:rsid w:val="00691587"/>
    <w:rsid w:val="006916FE"/>
    <w:rsid w:val="0069177A"/>
    <w:rsid w:val="0069178D"/>
    <w:rsid w:val="006917D6"/>
    <w:rsid w:val="006918A7"/>
    <w:rsid w:val="0069197D"/>
    <w:rsid w:val="006919E9"/>
    <w:rsid w:val="00691AD1"/>
    <w:rsid w:val="00691AEC"/>
    <w:rsid w:val="00691B08"/>
    <w:rsid w:val="00691B0D"/>
    <w:rsid w:val="00691D03"/>
    <w:rsid w:val="00691DE3"/>
    <w:rsid w:val="00691E04"/>
    <w:rsid w:val="00691E28"/>
    <w:rsid w:val="00691EB4"/>
    <w:rsid w:val="006921D6"/>
    <w:rsid w:val="00692330"/>
    <w:rsid w:val="00692531"/>
    <w:rsid w:val="006925BB"/>
    <w:rsid w:val="00692657"/>
    <w:rsid w:val="0069282E"/>
    <w:rsid w:val="0069287D"/>
    <w:rsid w:val="00692914"/>
    <w:rsid w:val="006929B6"/>
    <w:rsid w:val="006929D5"/>
    <w:rsid w:val="006929E3"/>
    <w:rsid w:val="00692A73"/>
    <w:rsid w:val="00692AD5"/>
    <w:rsid w:val="00692CDF"/>
    <w:rsid w:val="00692E22"/>
    <w:rsid w:val="00692E25"/>
    <w:rsid w:val="00693008"/>
    <w:rsid w:val="00693013"/>
    <w:rsid w:val="00693038"/>
    <w:rsid w:val="006930FA"/>
    <w:rsid w:val="0069311E"/>
    <w:rsid w:val="0069313C"/>
    <w:rsid w:val="0069317E"/>
    <w:rsid w:val="00693350"/>
    <w:rsid w:val="00693550"/>
    <w:rsid w:val="006935E7"/>
    <w:rsid w:val="00693656"/>
    <w:rsid w:val="006937EF"/>
    <w:rsid w:val="00693844"/>
    <w:rsid w:val="00693869"/>
    <w:rsid w:val="0069386A"/>
    <w:rsid w:val="006938EE"/>
    <w:rsid w:val="006939EF"/>
    <w:rsid w:val="00693A35"/>
    <w:rsid w:val="00693B2F"/>
    <w:rsid w:val="00693B6C"/>
    <w:rsid w:val="00693C10"/>
    <w:rsid w:val="00693C24"/>
    <w:rsid w:val="00693CAA"/>
    <w:rsid w:val="00693E9E"/>
    <w:rsid w:val="00693F0F"/>
    <w:rsid w:val="0069402A"/>
    <w:rsid w:val="006940E6"/>
    <w:rsid w:val="006941E0"/>
    <w:rsid w:val="006941F8"/>
    <w:rsid w:val="00694294"/>
    <w:rsid w:val="0069430A"/>
    <w:rsid w:val="006944E0"/>
    <w:rsid w:val="006944E8"/>
    <w:rsid w:val="0069455B"/>
    <w:rsid w:val="0069466D"/>
    <w:rsid w:val="006947BD"/>
    <w:rsid w:val="006947C7"/>
    <w:rsid w:val="0069487A"/>
    <w:rsid w:val="00694960"/>
    <w:rsid w:val="00694A27"/>
    <w:rsid w:val="00694A3B"/>
    <w:rsid w:val="00694C1F"/>
    <w:rsid w:val="00694E58"/>
    <w:rsid w:val="00694EBD"/>
    <w:rsid w:val="00694F00"/>
    <w:rsid w:val="00694F31"/>
    <w:rsid w:val="00694F88"/>
    <w:rsid w:val="00694FE7"/>
    <w:rsid w:val="00695187"/>
    <w:rsid w:val="006951F6"/>
    <w:rsid w:val="0069525D"/>
    <w:rsid w:val="006952A5"/>
    <w:rsid w:val="006952C8"/>
    <w:rsid w:val="00695392"/>
    <w:rsid w:val="00695447"/>
    <w:rsid w:val="006955B4"/>
    <w:rsid w:val="00695967"/>
    <w:rsid w:val="006959DE"/>
    <w:rsid w:val="00695A03"/>
    <w:rsid w:val="00695A15"/>
    <w:rsid w:val="00695A20"/>
    <w:rsid w:val="00695AB6"/>
    <w:rsid w:val="00695AB9"/>
    <w:rsid w:val="00695B75"/>
    <w:rsid w:val="00695BC5"/>
    <w:rsid w:val="00695BE9"/>
    <w:rsid w:val="00695C4F"/>
    <w:rsid w:val="00695CD1"/>
    <w:rsid w:val="00695D37"/>
    <w:rsid w:val="00695D8D"/>
    <w:rsid w:val="00695EC4"/>
    <w:rsid w:val="00695F4C"/>
    <w:rsid w:val="00695F5D"/>
    <w:rsid w:val="00695F63"/>
    <w:rsid w:val="00696169"/>
    <w:rsid w:val="006961C3"/>
    <w:rsid w:val="00696276"/>
    <w:rsid w:val="006962A4"/>
    <w:rsid w:val="0069634B"/>
    <w:rsid w:val="00696637"/>
    <w:rsid w:val="006966AB"/>
    <w:rsid w:val="006966CA"/>
    <w:rsid w:val="006966F3"/>
    <w:rsid w:val="0069670E"/>
    <w:rsid w:val="006967D1"/>
    <w:rsid w:val="006967E4"/>
    <w:rsid w:val="0069689C"/>
    <w:rsid w:val="006968E5"/>
    <w:rsid w:val="00696928"/>
    <w:rsid w:val="0069697C"/>
    <w:rsid w:val="00696980"/>
    <w:rsid w:val="006969C4"/>
    <w:rsid w:val="00696A35"/>
    <w:rsid w:val="00696A4C"/>
    <w:rsid w:val="00696B31"/>
    <w:rsid w:val="00696C15"/>
    <w:rsid w:val="00696C64"/>
    <w:rsid w:val="00696D28"/>
    <w:rsid w:val="00696DB7"/>
    <w:rsid w:val="00696E28"/>
    <w:rsid w:val="00696F41"/>
    <w:rsid w:val="006970B4"/>
    <w:rsid w:val="006971DF"/>
    <w:rsid w:val="006973D8"/>
    <w:rsid w:val="00697461"/>
    <w:rsid w:val="00697524"/>
    <w:rsid w:val="006975E7"/>
    <w:rsid w:val="006975E9"/>
    <w:rsid w:val="0069769C"/>
    <w:rsid w:val="006976BA"/>
    <w:rsid w:val="0069776C"/>
    <w:rsid w:val="006977F3"/>
    <w:rsid w:val="00697832"/>
    <w:rsid w:val="00697960"/>
    <w:rsid w:val="006979D0"/>
    <w:rsid w:val="006979E1"/>
    <w:rsid w:val="00697B7D"/>
    <w:rsid w:val="00697BB0"/>
    <w:rsid w:val="00697BBC"/>
    <w:rsid w:val="00697C31"/>
    <w:rsid w:val="00697D35"/>
    <w:rsid w:val="00697D64"/>
    <w:rsid w:val="00697DC7"/>
    <w:rsid w:val="00697DEC"/>
    <w:rsid w:val="00697E67"/>
    <w:rsid w:val="00697EA2"/>
    <w:rsid w:val="00697F2F"/>
    <w:rsid w:val="006A000F"/>
    <w:rsid w:val="006A0010"/>
    <w:rsid w:val="006A00D2"/>
    <w:rsid w:val="006A00F8"/>
    <w:rsid w:val="006A01A6"/>
    <w:rsid w:val="006A0394"/>
    <w:rsid w:val="006A03B6"/>
    <w:rsid w:val="006A044D"/>
    <w:rsid w:val="006A050B"/>
    <w:rsid w:val="006A059D"/>
    <w:rsid w:val="006A0670"/>
    <w:rsid w:val="006A06BE"/>
    <w:rsid w:val="006A0713"/>
    <w:rsid w:val="006A0770"/>
    <w:rsid w:val="006A094E"/>
    <w:rsid w:val="006A0962"/>
    <w:rsid w:val="006A099B"/>
    <w:rsid w:val="006A09CA"/>
    <w:rsid w:val="006A0A37"/>
    <w:rsid w:val="006A0AA3"/>
    <w:rsid w:val="006A0AB6"/>
    <w:rsid w:val="006A0AF4"/>
    <w:rsid w:val="006A0B20"/>
    <w:rsid w:val="006A0BE4"/>
    <w:rsid w:val="006A0CA0"/>
    <w:rsid w:val="006A0D35"/>
    <w:rsid w:val="006A0E4A"/>
    <w:rsid w:val="006A0E73"/>
    <w:rsid w:val="006A0EA8"/>
    <w:rsid w:val="006A0ED2"/>
    <w:rsid w:val="006A0F03"/>
    <w:rsid w:val="006A0F5F"/>
    <w:rsid w:val="006A10BF"/>
    <w:rsid w:val="006A11FB"/>
    <w:rsid w:val="006A1270"/>
    <w:rsid w:val="006A12BE"/>
    <w:rsid w:val="006A13D5"/>
    <w:rsid w:val="006A13F7"/>
    <w:rsid w:val="006A1474"/>
    <w:rsid w:val="006A1476"/>
    <w:rsid w:val="006A14A7"/>
    <w:rsid w:val="006A155C"/>
    <w:rsid w:val="006A163B"/>
    <w:rsid w:val="006A16A3"/>
    <w:rsid w:val="006A1945"/>
    <w:rsid w:val="006A19A9"/>
    <w:rsid w:val="006A19E9"/>
    <w:rsid w:val="006A1A80"/>
    <w:rsid w:val="006A1B1D"/>
    <w:rsid w:val="006A1B8A"/>
    <w:rsid w:val="006A1BBA"/>
    <w:rsid w:val="006A1BBF"/>
    <w:rsid w:val="006A1C1E"/>
    <w:rsid w:val="006A1D55"/>
    <w:rsid w:val="006A1E77"/>
    <w:rsid w:val="006A1EB7"/>
    <w:rsid w:val="006A1EF3"/>
    <w:rsid w:val="006A203D"/>
    <w:rsid w:val="006A20CD"/>
    <w:rsid w:val="006A2118"/>
    <w:rsid w:val="006A217F"/>
    <w:rsid w:val="006A219F"/>
    <w:rsid w:val="006A2208"/>
    <w:rsid w:val="006A2314"/>
    <w:rsid w:val="006A2365"/>
    <w:rsid w:val="006A246C"/>
    <w:rsid w:val="006A2483"/>
    <w:rsid w:val="006A24BD"/>
    <w:rsid w:val="006A2663"/>
    <w:rsid w:val="006A26BE"/>
    <w:rsid w:val="006A26DA"/>
    <w:rsid w:val="006A2715"/>
    <w:rsid w:val="006A2755"/>
    <w:rsid w:val="006A2776"/>
    <w:rsid w:val="006A278A"/>
    <w:rsid w:val="006A29EE"/>
    <w:rsid w:val="006A2A06"/>
    <w:rsid w:val="006A2C5E"/>
    <w:rsid w:val="006A2CA5"/>
    <w:rsid w:val="006A2D70"/>
    <w:rsid w:val="006A2E9D"/>
    <w:rsid w:val="006A30FB"/>
    <w:rsid w:val="006A3137"/>
    <w:rsid w:val="006A334E"/>
    <w:rsid w:val="006A33B3"/>
    <w:rsid w:val="006A340C"/>
    <w:rsid w:val="006A341B"/>
    <w:rsid w:val="006A349F"/>
    <w:rsid w:val="006A34A3"/>
    <w:rsid w:val="006A34B9"/>
    <w:rsid w:val="006A3505"/>
    <w:rsid w:val="006A3708"/>
    <w:rsid w:val="006A375A"/>
    <w:rsid w:val="006A3798"/>
    <w:rsid w:val="006A37B9"/>
    <w:rsid w:val="006A37E2"/>
    <w:rsid w:val="006A388A"/>
    <w:rsid w:val="006A3922"/>
    <w:rsid w:val="006A3984"/>
    <w:rsid w:val="006A39C5"/>
    <w:rsid w:val="006A3A63"/>
    <w:rsid w:val="006A3AB8"/>
    <w:rsid w:val="006A3ADC"/>
    <w:rsid w:val="006A3B1A"/>
    <w:rsid w:val="006A3B5B"/>
    <w:rsid w:val="006A3BAD"/>
    <w:rsid w:val="006A3BD9"/>
    <w:rsid w:val="006A3CB1"/>
    <w:rsid w:val="006A3CE3"/>
    <w:rsid w:val="006A3DA7"/>
    <w:rsid w:val="006A3F25"/>
    <w:rsid w:val="006A3F3C"/>
    <w:rsid w:val="006A3F82"/>
    <w:rsid w:val="006A3F8F"/>
    <w:rsid w:val="006A4016"/>
    <w:rsid w:val="006A4077"/>
    <w:rsid w:val="006A40BC"/>
    <w:rsid w:val="006A40E5"/>
    <w:rsid w:val="006A40F6"/>
    <w:rsid w:val="006A428A"/>
    <w:rsid w:val="006A4450"/>
    <w:rsid w:val="006A44B4"/>
    <w:rsid w:val="006A4525"/>
    <w:rsid w:val="006A45D6"/>
    <w:rsid w:val="006A467A"/>
    <w:rsid w:val="006A470F"/>
    <w:rsid w:val="006A4954"/>
    <w:rsid w:val="006A49AF"/>
    <w:rsid w:val="006A49E1"/>
    <w:rsid w:val="006A4AB0"/>
    <w:rsid w:val="006A4AC7"/>
    <w:rsid w:val="006A4BE9"/>
    <w:rsid w:val="006A4C82"/>
    <w:rsid w:val="006A4C9C"/>
    <w:rsid w:val="006A4CB8"/>
    <w:rsid w:val="006A4E1B"/>
    <w:rsid w:val="006A4E53"/>
    <w:rsid w:val="006A4F09"/>
    <w:rsid w:val="006A4F67"/>
    <w:rsid w:val="006A4F80"/>
    <w:rsid w:val="006A510E"/>
    <w:rsid w:val="006A5150"/>
    <w:rsid w:val="006A519D"/>
    <w:rsid w:val="006A535F"/>
    <w:rsid w:val="006A536E"/>
    <w:rsid w:val="006A559A"/>
    <w:rsid w:val="006A55BC"/>
    <w:rsid w:val="006A5613"/>
    <w:rsid w:val="006A565F"/>
    <w:rsid w:val="006A5691"/>
    <w:rsid w:val="006A56F0"/>
    <w:rsid w:val="006A57AE"/>
    <w:rsid w:val="006A5847"/>
    <w:rsid w:val="006A58B6"/>
    <w:rsid w:val="006A58C5"/>
    <w:rsid w:val="006A5960"/>
    <w:rsid w:val="006A598C"/>
    <w:rsid w:val="006A59CE"/>
    <w:rsid w:val="006A5A18"/>
    <w:rsid w:val="006A5A20"/>
    <w:rsid w:val="006A5AD1"/>
    <w:rsid w:val="006A5ADE"/>
    <w:rsid w:val="006A5AE5"/>
    <w:rsid w:val="006A5C01"/>
    <w:rsid w:val="006A5F67"/>
    <w:rsid w:val="006A5FB8"/>
    <w:rsid w:val="006A5FDE"/>
    <w:rsid w:val="006A609C"/>
    <w:rsid w:val="006A60EA"/>
    <w:rsid w:val="006A612B"/>
    <w:rsid w:val="006A61B0"/>
    <w:rsid w:val="006A6299"/>
    <w:rsid w:val="006A637E"/>
    <w:rsid w:val="006A6382"/>
    <w:rsid w:val="006A6478"/>
    <w:rsid w:val="006A64DE"/>
    <w:rsid w:val="006A64FE"/>
    <w:rsid w:val="006A65B5"/>
    <w:rsid w:val="006A65D0"/>
    <w:rsid w:val="006A660C"/>
    <w:rsid w:val="006A6704"/>
    <w:rsid w:val="006A670F"/>
    <w:rsid w:val="006A681D"/>
    <w:rsid w:val="006A6B1F"/>
    <w:rsid w:val="006A6B3F"/>
    <w:rsid w:val="006A6B40"/>
    <w:rsid w:val="006A6BC9"/>
    <w:rsid w:val="006A6C67"/>
    <w:rsid w:val="006A6CD6"/>
    <w:rsid w:val="006A6D5E"/>
    <w:rsid w:val="006A6D87"/>
    <w:rsid w:val="006A6E30"/>
    <w:rsid w:val="006A6E5A"/>
    <w:rsid w:val="006A6FA5"/>
    <w:rsid w:val="006A7284"/>
    <w:rsid w:val="006A7350"/>
    <w:rsid w:val="006A736E"/>
    <w:rsid w:val="006A737D"/>
    <w:rsid w:val="006A743D"/>
    <w:rsid w:val="006A752C"/>
    <w:rsid w:val="006A7566"/>
    <w:rsid w:val="006A7692"/>
    <w:rsid w:val="006A76EF"/>
    <w:rsid w:val="006A77A4"/>
    <w:rsid w:val="006A77AE"/>
    <w:rsid w:val="006A793F"/>
    <w:rsid w:val="006A7998"/>
    <w:rsid w:val="006A7B1C"/>
    <w:rsid w:val="006A7B8F"/>
    <w:rsid w:val="006A7C6B"/>
    <w:rsid w:val="006A7CCE"/>
    <w:rsid w:val="006A7CD6"/>
    <w:rsid w:val="006A7DA1"/>
    <w:rsid w:val="006A7E57"/>
    <w:rsid w:val="006A7E82"/>
    <w:rsid w:val="006A7FA7"/>
    <w:rsid w:val="006B009D"/>
    <w:rsid w:val="006B0263"/>
    <w:rsid w:val="006B0297"/>
    <w:rsid w:val="006B02C7"/>
    <w:rsid w:val="006B0342"/>
    <w:rsid w:val="006B063E"/>
    <w:rsid w:val="006B0829"/>
    <w:rsid w:val="006B0844"/>
    <w:rsid w:val="006B0967"/>
    <w:rsid w:val="006B09B0"/>
    <w:rsid w:val="006B09EE"/>
    <w:rsid w:val="006B0A6F"/>
    <w:rsid w:val="006B0AA6"/>
    <w:rsid w:val="006B0B6D"/>
    <w:rsid w:val="006B0C9D"/>
    <w:rsid w:val="006B0F3E"/>
    <w:rsid w:val="006B0F51"/>
    <w:rsid w:val="006B1176"/>
    <w:rsid w:val="006B117C"/>
    <w:rsid w:val="006B1194"/>
    <w:rsid w:val="006B12B5"/>
    <w:rsid w:val="006B12FC"/>
    <w:rsid w:val="006B1345"/>
    <w:rsid w:val="006B1350"/>
    <w:rsid w:val="006B13C8"/>
    <w:rsid w:val="006B13CC"/>
    <w:rsid w:val="006B140B"/>
    <w:rsid w:val="006B140C"/>
    <w:rsid w:val="006B14C4"/>
    <w:rsid w:val="006B1786"/>
    <w:rsid w:val="006B19F1"/>
    <w:rsid w:val="006B1A73"/>
    <w:rsid w:val="006B1A85"/>
    <w:rsid w:val="006B1AAA"/>
    <w:rsid w:val="006B1B1A"/>
    <w:rsid w:val="006B1D07"/>
    <w:rsid w:val="006B1D26"/>
    <w:rsid w:val="006B1DDE"/>
    <w:rsid w:val="006B1FBD"/>
    <w:rsid w:val="006B2000"/>
    <w:rsid w:val="006B2008"/>
    <w:rsid w:val="006B200B"/>
    <w:rsid w:val="006B2018"/>
    <w:rsid w:val="006B2123"/>
    <w:rsid w:val="006B21FB"/>
    <w:rsid w:val="006B2223"/>
    <w:rsid w:val="006B2238"/>
    <w:rsid w:val="006B224D"/>
    <w:rsid w:val="006B2272"/>
    <w:rsid w:val="006B2279"/>
    <w:rsid w:val="006B227E"/>
    <w:rsid w:val="006B2346"/>
    <w:rsid w:val="006B23CE"/>
    <w:rsid w:val="006B2485"/>
    <w:rsid w:val="006B249B"/>
    <w:rsid w:val="006B24B9"/>
    <w:rsid w:val="006B255A"/>
    <w:rsid w:val="006B2623"/>
    <w:rsid w:val="006B2742"/>
    <w:rsid w:val="006B2782"/>
    <w:rsid w:val="006B27F3"/>
    <w:rsid w:val="006B287B"/>
    <w:rsid w:val="006B2CFB"/>
    <w:rsid w:val="006B2D6E"/>
    <w:rsid w:val="006B2E02"/>
    <w:rsid w:val="006B2EBF"/>
    <w:rsid w:val="006B2F2C"/>
    <w:rsid w:val="006B2FD2"/>
    <w:rsid w:val="006B3040"/>
    <w:rsid w:val="006B30DA"/>
    <w:rsid w:val="006B319D"/>
    <w:rsid w:val="006B328A"/>
    <w:rsid w:val="006B32F4"/>
    <w:rsid w:val="006B32FD"/>
    <w:rsid w:val="006B335F"/>
    <w:rsid w:val="006B3446"/>
    <w:rsid w:val="006B34A6"/>
    <w:rsid w:val="006B34E6"/>
    <w:rsid w:val="006B352A"/>
    <w:rsid w:val="006B3608"/>
    <w:rsid w:val="006B36EA"/>
    <w:rsid w:val="006B3705"/>
    <w:rsid w:val="006B3773"/>
    <w:rsid w:val="006B37B5"/>
    <w:rsid w:val="006B3826"/>
    <w:rsid w:val="006B38AD"/>
    <w:rsid w:val="006B3908"/>
    <w:rsid w:val="006B395E"/>
    <w:rsid w:val="006B3A4F"/>
    <w:rsid w:val="006B3A53"/>
    <w:rsid w:val="006B3A79"/>
    <w:rsid w:val="006B3A89"/>
    <w:rsid w:val="006B3AF6"/>
    <w:rsid w:val="006B3C4D"/>
    <w:rsid w:val="006B3C91"/>
    <w:rsid w:val="006B3E08"/>
    <w:rsid w:val="006B3F02"/>
    <w:rsid w:val="006B3FCC"/>
    <w:rsid w:val="006B4044"/>
    <w:rsid w:val="006B4067"/>
    <w:rsid w:val="006B407A"/>
    <w:rsid w:val="006B413C"/>
    <w:rsid w:val="006B4195"/>
    <w:rsid w:val="006B4206"/>
    <w:rsid w:val="006B4209"/>
    <w:rsid w:val="006B422A"/>
    <w:rsid w:val="006B4270"/>
    <w:rsid w:val="006B42B2"/>
    <w:rsid w:val="006B42CE"/>
    <w:rsid w:val="006B43FA"/>
    <w:rsid w:val="006B4454"/>
    <w:rsid w:val="006B45AD"/>
    <w:rsid w:val="006B4606"/>
    <w:rsid w:val="006B4726"/>
    <w:rsid w:val="006B4798"/>
    <w:rsid w:val="006B48D8"/>
    <w:rsid w:val="006B4A69"/>
    <w:rsid w:val="006B4ACD"/>
    <w:rsid w:val="006B4BE6"/>
    <w:rsid w:val="006B4C61"/>
    <w:rsid w:val="006B4E16"/>
    <w:rsid w:val="006B4E76"/>
    <w:rsid w:val="006B4F88"/>
    <w:rsid w:val="006B5015"/>
    <w:rsid w:val="006B503D"/>
    <w:rsid w:val="006B50BB"/>
    <w:rsid w:val="006B5198"/>
    <w:rsid w:val="006B51A0"/>
    <w:rsid w:val="006B5214"/>
    <w:rsid w:val="006B5243"/>
    <w:rsid w:val="006B5410"/>
    <w:rsid w:val="006B55CB"/>
    <w:rsid w:val="006B575A"/>
    <w:rsid w:val="006B57E8"/>
    <w:rsid w:val="006B5807"/>
    <w:rsid w:val="006B5928"/>
    <w:rsid w:val="006B5937"/>
    <w:rsid w:val="006B5A19"/>
    <w:rsid w:val="006B5A61"/>
    <w:rsid w:val="006B5D3A"/>
    <w:rsid w:val="006B5D73"/>
    <w:rsid w:val="006B5E76"/>
    <w:rsid w:val="006B5E7B"/>
    <w:rsid w:val="006B5E88"/>
    <w:rsid w:val="006B5F14"/>
    <w:rsid w:val="006B6054"/>
    <w:rsid w:val="006B606C"/>
    <w:rsid w:val="006B60BF"/>
    <w:rsid w:val="006B6198"/>
    <w:rsid w:val="006B61B1"/>
    <w:rsid w:val="006B620A"/>
    <w:rsid w:val="006B626E"/>
    <w:rsid w:val="006B629D"/>
    <w:rsid w:val="006B631D"/>
    <w:rsid w:val="006B63E8"/>
    <w:rsid w:val="006B64E9"/>
    <w:rsid w:val="006B6582"/>
    <w:rsid w:val="006B6585"/>
    <w:rsid w:val="006B658F"/>
    <w:rsid w:val="006B65E8"/>
    <w:rsid w:val="006B6630"/>
    <w:rsid w:val="006B682C"/>
    <w:rsid w:val="006B6923"/>
    <w:rsid w:val="006B693C"/>
    <w:rsid w:val="006B6A04"/>
    <w:rsid w:val="006B6A58"/>
    <w:rsid w:val="006B6A88"/>
    <w:rsid w:val="006B6AD9"/>
    <w:rsid w:val="006B6B18"/>
    <w:rsid w:val="006B6B66"/>
    <w:rsid w:val="006B6C7F"/>
    <w:rsid w:val="006B6CCF"/>
    <w:rsid w:val="006B6D25"/>
    <w:rsid w:val="006B6D27"/>
    <w:rsid w:val="006B6EA5"/>
    <w:rsid w:val="006B6F2D"/>
    <w:rsid w:val="006B6FC6"/>
    <w:rsid w:val="006B701D"/>
    <w:rsid w:val="006B70AF"/>
    <w:rsid w:val="006B70E3"/>
    <w:rsid w:val="006B713E"/>
    <w:rsid w:val="006B71C5"/>
    <w:rsid w:val="006B726D"/>
    <w:rsid w:val="006B72BD"/>
    <w:rsid w:val="006B72D4"/>
    <w:rsid w:val="006B746D"/>
    <w:rsid w:val="006B77A1"/>
    <w:rsid w:val="006B77B0"/>
    <w:rsid w:val="006B77D4"/>
    <w:rsid w:val="006B77E4"/>
    <w:rsid w:val="006B77F4"/>
    <w:rsid w:val="006B7811"/>
    <w:rsid w:val="006B7850"/>
    <w:rsid w:val="006B7852"/>
    <w:rsid w:val="006B785C"/>
    <w:rsid w:val="006B78A2"/>
    <w:rsid w:val="006B79E1"/>
    <w:rsid w:val="006B7AD9"/>
    <w:rsid w:val="006B7CA4"/>
    <w:rsid w:val="006B7CAD"/>
    <w:rsid w:val="006B7E9C"/>
    <w:rsid w:val="006B7F92"/>
    <w:rsid w:val="006B7F97"/>
    <w:rsid w:val="006C002A"/>
    <w:rsid w:val="006C002D"/>
    <w:rsid w:val="006C00F3"/>
    <w:rsid w:val="006C0115"/>
    <w:rsid w:val="006C0251"/>
    <w:rsid w:val="006C02AB"/>
    <w:rsid w:val="006C03D1"/>
    <w:rsid w:val="006C0436"/>
    <w:rsid w:val="006C0455"/>
    <w:rsid w:val="006C0478"/>
    <w:rsid w:val="006C05E4"/>
    <w:rsid w:val="006C0691"/>
    <w:rsid w:val="006C073B"/>
    <w:rsid w:val="006C0866"/>
    <w:rsid w:val="006C08B3"/>
    <w:rsid w:val="006C08CE"/>
    <w:rsid w:val="006C0991"/>
    <w:rsid w:val="006C0A0B"/>
    <w:rsid w:val="006C0A75"/>
    <w:rsid w:val="006C0B51"/>
    <w:rsid w:val="006C0BE4"/>
    <w:rsid w:val="006C0C99"/>
    <w:rsid w:val="006C0CCF"/>
    <w:rsid w:val="006C0D15"/>
    <w:rsid w:val="006C0D3F"/>
    <w:rsid w:val="006C0D5F"/>
    <w:rsid w:val="006C0E5C"/>
    <w:rsid w:val="006C0F04"/>
    <w:rsid w:val="006C0F9A"/>
    <w:rsid w:val="006C1070"/>
    <w:rsid w:val="006C1082"/>
    <w:rsid w:val="006C10F5"/>
    <w:rsid w:val="006C112D"/>
    <w:rsid w:val="006C1189"/>
    <w:rsid w:val="006C118A"/>
    <w:rsid w:val="006C128F"/>
    <w:rsid w:val="006C1293"/>
    <w:rsid w:val="006C1318"/>
    <w:rsid w:val="006C1358"/>
    <w:rsid w:val="006C140F"/>
    <w:rsid w:val="006C14CD"/>
    <w:rsid w:val="006C158F"/>
    <w:rsid w:val="006C15E8"/>
    <w:rsid w:val="006C1665"/>
    <w:rsid w:val="006C1702"/>
    <w:rsid w:val="006C1799"/>
    <w:rsid w:val="006C1949"/>
    <w:rsid w:val="006C1999"/>
    <w:rsid w:val="006C1A46"/>
    <w:rsid w:val="006C1AB4"/>
    <w:rsid w:val="006C1AE6"/>
    <w:rsid w:val="006C1BB4"/>
    <w:rsid w:val="006C1C59"/>
    <w:rsid w:val="006C1C75"/>
    <w:rsid w:val="006C1C7F"/>
    <w:rsid w:val="006C1CDC"/>
    <w:rsid w:val="006C1D24"/>
    <w:rsid w:val="006C1E88"/>
    <w:rsid w:val="006C1ED8"/>
    <w:rsid w:val="006C1EEB"/>
    <w:rsid w:val="006C1F06"/>
    <w:rsid w:val="006C1F55"/>
    <w:rsid w:val="006C1F57"/>
    <w:rsid w:val="006C2008"/>
    <w:rsid w:val="006C204D"/>
    <w:rsid w:val="006C205E"/>
    <w:rsid w:val="006C20E2"/>
    <w:rsid w:val="006C211C"/>
    <w:rsid w:val="006C2196"/>
    <w:rsid w:val="006C2388"/>
    <w:rsid w:val="006C24C0"/>
    <w:rsid w:val="006C24E7"/>
    <w:rsid w:val="006C25FF"/>
    <w:rsid w:val="006C26A2"/>
    <w:rsid w:val="006C2756"/>
    <w:rsid w:val="006C29BB"/>
    <w:rsid w:val="006C2A4F"/>
    <w:rsid w:val="006C2A5C"/>
    <w:rsid w:val="006C2A90"/>
    <w:rsid w:val="006C2ADC"/>
    <w:rsid w:val="006C2C61"/>
    <w:rsid w:val="006C2D5D"/>
    <w:rsid w:val="006C2D99"/>
    <w:rsid w:val="006C2EB2"/>
    <w:rsid w:val="006C2EDF"/>
    <w:rsid w:val="006C2EF3"/>
    <w:rsid w:val="006C2F26"/>
    <w:rsid w:val="006C2FCC"/>
    <w:rsid w:val="006C31B4"/>
    <w:rsid w:val="006C3237"/>
    <w:rsid w:val="006C3264"/>
    <w:rsid w:val="006C3339"/>
    <w:rsid w:val="006C3369"/>
    <w:rsid w:val="006C3392"/>
    <w:rsid w:val="006C33B2"/>
    <w:rsid w:val="006C33EA"/>
    <w:rsid w:val="006C340D"/>
    <w:rsid w:val="006C35D4"/>
    <w:rsid w:val="006C3768"/>
    <w:rsid w:val="006C3832"/>
    <w:rsid w:val="006C389C"/>
    <w:rsid w:val="006C38D7"/>
    <w:rsid w:val="006C3A13"/>
    <w:rsid w:val="006C3AA9"/>
    <w:rsid w:val="006C3B1C"/>
    <w:rsid w:val="006C3B8D"/>
    <w:rsid w:val="006C3BA7"/>
    <w:rsid w:val="006C3C0F"/>
    <w:rsid w:val="006C3CDD"/>
    <w:rsid w:val="006C3D31"/>
    <w:rsid w:val="006C3E53"/>
    <w:rsid w:val="006C3F3B"/>
    <w:rsid w:val="006C3FD3"/>
    <w:rsid w:val="006C4011"/>
    <w:rsid w:val="006C4017"/>
    <w:rsid w:val="006C4099"/>
    <w:rsid w:val="006C41DB"/>
    <w:rsid w:val="006C4250"/>
    <w:rsid w:val="006C4256"/>
    <w:rsid w:val="006C4268"/>
    <w:rsid w:val="006C44A8"/>
    <w:rsid w:val="006C44A9"/>
    <w:rsid w:val="006C44D5"/>
    <w:rsid w:val="006C464A"/>
    <w:rsid w:val="006C465E"/>
    <w:rsid w:val="006C46F2"/>
    <w:rsid w:val="006C4734"/>
    <w:rsid w:val="006C4749"/>
    <w:rsid w:val="006C481C"/>
    <w:rsid w:val="006C4957"/>
    <w:rsid w:val="006C49BC"/>
    <w:rsid w:val="006C49D1"/>
    <w:rsid w:val="006C4A1F"/>
    <w:rsid w:val="006C4BF8"/>
    <w:rsid w:val="006C4C3D"/>
    <w:rsid w:val="006C4E44"/>
    <w:rsid w:val="006C4E72"/>
    <w:rsid w:val="006C4EEA"/>
    <w:rsid w:val="006C4F00"/>
    <w:rsid w:val="006C4F60"/>
    <w:rsid w:val="006C5050"/>
    <w:rsid w:val="006C50B7"/>
    <w:rsid w:val="006C50F8"/>
    <w:rsid w:val="006C5139"/>
    <w:rsid w:val="006C5169"/>
    <w:rsid w:val="006C51FC"/>
    <w:rsid w:val="006C5273"/>
    <w:rsid w:val="006C5380"/>
    <w:rsid w:val="006C5490"/>
    <w:rsid w:val="006C54EC"/>
    <w:rsid w:val="006C5505"/>
    <w:rsid w:val="006C5576"/>
    <w:rsid w:val="006C55C9"/>
    <w:rsid w:val="006C56F1"/>
    <w:rsid w:val="006C57D4"/>
    <w:rsid w:val="006C588B"/>
    <w:rsid w:val="006C58A5"/>
    <w:rsid w:val="006C5999"/>
    <w:rsid w:val="006C59E2"/>
    <w:rsid w:val="006C5AF0"/>
    <w:rsid w:val="006C5C01"/>
    <w:rsid w:val="006C5C0D"/>
    <w:rsid w:val="006C5D98"/>
    <w:rsid w:val="006C5D9C"/>
    <w:rsid w:val="006C5E39"/>
    <w:rsid w:val="006C5ECC"/>
    <w:rsid w:val="006C5FDC"/>
    <w:rsid w:val="006C6026"/>
    <w:rsid w:val="006C62CF"/>
    <w:rsid w:val="006C6325"/>
    <w:rsid w:val="006C63BB"/>
    <w:rsid w:val="006C63D9"/>
    <w:rsid w:val="006C6437"/>
    <w:rsid w:val="006C6440"/>
    <w:rsid w:val="006C6457"/>
    <w:rsid w:val="006C6466"/>
    <w:rsid w:val="006C6496"/>
    <w:rsid w:val="006C649A"/>
    <w:rsid w:val="006C6725"/>
    <w:rsid w:val="006C67FD"/>
    <w:rsid w:val="006C68C9"/>
    <w:rsid w:val="006C68EC"/>
    <w:rsid w:val="006C68F4"/>
    <w:rsid w:val="006C6907"/>
    <w:rsid w:val="006C6C04"/>
    <w:rsid w:val="006C6EC2"/>
    <w:rsid w:val="006C7013"/>
    <w:rsid w:val="006C7050"/>
    <w:rsid w:val="006C7089"/>
    <w:rsid w:val="006C71E8"/>
    <w:rsid w:val="006C7203"/>
    <w:rsid w:val="006C7233"/>
    <w:rsid w:val="006C72B2"/>
    <w:rsid w:val="006C7406"/>
    <w:rsid w:val="006C7438"/>
    <w:rsid w:val="006C75B0"/>
    <w:rsid w:val="006C75BA"/>
    <w:rsid w:val="006C761C"/>
    <w:rsid w:val="006C7694"/>
    <w:rsid w:val="006C76B7"/>
    <w:rsid w:val="006C7753"/>
    <w:rsid w:val="006C7791"/>
    <w:rsid w:val="006C78DC"/>
    <w:rsid w:val="006C793C"/>
    <w:rsid w:val="006C7A89"/>
    <w:rsid w:val="006C7B8A"/>
    <w:rsid w:val="006C7C20"/>
    <w:rsid w:val="006C7D06"/>
    <w:rsid w:val="006C7D7D"/>
    <w:rsid w:val="006C7E6D"/>
    <w:rsid w:val="006C7FF9"/>
    <w:rsid w:val="006D0020"/>
    <w:rsid w:val="006D01FF"/>
    <w:rsid w:val="006D0203"/>
    <w:rsid w:val="006D0259"/>
    <w:rsid w:val="006D031A"/>
    <w:rsid w:val="006D045E"/>
    <w:rsid w:val="006D0483"/>
    <w:rsid w:val="006D04FC"/>
    <w:rsid w:val="006D05A9"/>
    <w:rsid w:val="006D05D7"/>
    <w:rsid w:val="006D07F1"/>
    <w:rsid w:val="006D083E"/>
    <w:rsid w:val="006D0A83"/>
    <w:rsid w:val="006D0B07"/>
    <w:rsid w:val="006D0C82"/>
    <w:rsid w:val="006D0E2E"/>
    <w:rsid w:val="006D0E48"/>
    <w:rsid w:val="006D0F09"/>
    <w:rsid w:val="006D104B"/>
    <w:rsid w:val="006D108E"/>
    <w:rsid w:val="006D11F5"/>
    <w:rsid w:val="006D122B"/>
    <w:rsid w:val="006D1362"/>
    <w:rsid w:val="006D13B9"/>
    <w:rsid w:val="006D15F5"/>
    <w:rsid w:val="006D1897"/>
    <w:rsid w:val="006D1935"/>
    <w:rsid w:val="006D1947"/>
    <w:rsid w:val="006D1949"/>
    <w:rsid w:val="006D19ED"/>
    <w:rsid w:val="006D1A0A"/>
    <w:rsid w:val="006D1A82"/>
    <w:rsid w:val="006D1AFB"/>
    <w:rsid w:val="006D1CBA"/>
    <w:rsid w:val="006D1CDB"/>
    <w:rsid w:val="006D1DE3"/>
    <w:rsid w:val="006D1DF0"/>
    <w:rsid w:val="006D1DFA"/>
    <w:rsid w:val="006D1E05"/>
    <w:rsid w:val="006D1E4F"/>
    <w:rsid w:val="006D1EFD"/>
    <w:rsid w:val="006D1F4D"/>
    <w:rsid w:val="006D1F70"/>
    <w:rsid w:val="006D1F82"/>
    <w:rsid w:val="006D1FB7"/>
    <w:rsid w:val="006D203C"/>
    <w:rsid w:val="006D21A9"/>
    <w:rsid w:val="006D21AB"/>
    <w:rsid w:val="006D2357"/>
    <w:rsid w:val="006D24F1"/>
    <w:rsid w:val="006D255F"/>
    <w:rsid w:val="006D25A0"/>
    <w:rsid w:val="006D2796"/>
    <w:rsid w:val="006D27AD"/>
    <w:rsid w:val="006D281C"/>
    <w:rsid w:val="006D28C3"/>
    <w:rsid w:val="006D2908"/>
    <w:rsid w:val="006D2965"/>
    <w:rsid w:val="006D299F"/>
    <w:rsid w:val="006D29A2"/>
    <w:rsid w:val="006D2A9B"/>
    <w:rsid w:val="006D2B69"/>
    <w:rsid w:val="006D2C03"/>
    <w:rsid w:val="006D2D45"/>
    <w:rsid w:val="006D2D9E"/>
    <w:rsid w:val="006D2E02"/>
    <w:rsid w:val="006D2E5A"/>
    <w:rsid w:val="006D2E60"/>
    <w:rsid w:val="006D2EED"/>
    <w:rsid w:val="006D2F80"/>
    <w:rsid w:val="006D2F8B"/>
    <w:rsid w:val="006D2F8D"/>
    <w:rsid w:val="006D2FCC"/>
    <w:rsid w:val="006D30A5"/>
    <w:rsid w:val="006D30D5"/>
    <w:rsid w:val="006D324E"/>
    <w:rsid w:val="006D3328"/>
    <w:rsid w:val="006D343B"/>
    <w:rsid w:val="006D3605"/>
    <w:rsid w:val="006D368E"/>
    <w:rsid w:val="006D3707"/>
    <w:rsid w:val="006D376E"/>
    <w:rsid w:val="006D3791"/>
    <w:rsid w:val="006D38B6"/>
    <w:rsid w:val="006D39FC"/>
    <w:rsid w:val="006D3A08"/>
    <w:rsid w:val="006D3A2F"/>
    <w:rsid w:val="006D3B26"/>
    <w:rsid w:val="006D3B61"/>
    <w:rsid w:val="006D3C2E"/>
    <w:rsid w:val="006D3CCF"/>
    <w:rsid w:val="006D3DB2"/>
    <w:rsid w:val="006D3F5A"/>
    <w:rsid w:val="006D3FB4"/>
    <w:rsid w:val="006D4017"/>
    <w:rsid w:val="006D4026"/>
    <w:rsid w:val="006D4089"/>
    <w:rsid w:val="006D4188"/>
    <w:rsid w:val="006D41E1"/>
    <w:rsid w:val="006D4338"/>
    <w:rsid w:val="006D441A"/>
    <w:rsid w:val="006D44B2"/>
    <w:rsid w:val="006D44BE"/>
    <w:rsid w:val="006D44F2"/>
    <w:rsid w:val="006D44F9"/>
    <w:rsid w:val="006D4580"/>
    <w:rsid w:val="006D461D"/>
    <w:rsid w:val="006D4667"/>
    <w:rsid w:val="006D467E"/>
    <w:rsid w:val="006D4748"/>
    <w:rsid w:val="006D4836"/>
    <w:rsid w:val="006D48E5"/>
    <w:rsid w:val="006D4A24"/>
    <w:rsid w:val="006D4A6C"/>
    <w:rsid w:val="006D4B0C"/>
    <w:rsid w:val="006D4CFC"/>
    <w:rsid w:val="006D4D0E"/>
    <w:rsid w:val="006D4E0F"/>
    <w:rsid w:val="006D4F09"/>
    <w:rsid w:val="006D4F82"/>
    <w:rsid w:val="006D4FC5"/>
    <w:rsid w:val="006D5070"/>
    <w:rsid w:val="006D5148"/>
    <w:rsid w:val="006D5233"/>
    <w:rsid w:val="006D5251"/>
    <w:rsid w:val="006D5283"/>
    <w:rsid w:val="006D5362"/>
    <w:rsid w:val="006D538D"/>
    <w:rsid w:val="006D5394"/>
    <w:rsid w:val="006D53BE"/>
    <w:rsid w:val="006D54A6"/>
    <w:rsid w:val="006D54B9"/>
    <w:rsid w:val="006D55C3"/>
    <w:rsid w:val="006D55DD"/>
    <w:rsid w:val="006D55F3"/>
    <w:rsid w:val="006D5705"/>
    <w:rsid w:val="006D571A"/>
    <w:rsid w:val="006D571C"/>
    <w:rsid w:val="006D5758"/>
    <w:rsid w:val="006D5980"/>
    <w:rsid w:val="006D59BA"/>
    <w:rsid w:val="006D59E1"/>
    <w:rsid w:val="006D5AE1"/>
    <w:rsid w:val="006D5AF8"/>
    <w:rsid w:val="006D5AFC"/>
    <w:rsid w:val="006D5B85"/>
    <w:rsid w:val="006D5C43"/>
    <w:rsid w:val="006D5CE6"/>
    <w:rsid w:val="006D5D17"/>
    <w:rsid w:val="006D5E79"/>
    <w:rsid w:val="006D5F10"/>
    <w:rsid w:val="006D5F4E"/>
    <w:rsid w:val="006D5F5A"/>
    <w:rsid w:val="006D5F79"/>
    <w:rsid w:val="006D600C"/>
    <w:rsid w:val="006D6059"/>
    <w:rsid w:val="006D60B3"/>
    <w:rsid w:val="006D60CB"/>
    <w:rsid w:val="006D611F"/>
    <w:rsid w:val="006D6192"/>
    <w:rsid w:val="006D619F"/>
    <w:rsid w:val="006D61F7"/>
    <w:rsid w:val="006D6254"/>
    <w:rsid w:val="006D629B"/>
    <w:rsid w:val="006D63C6"/>
    <w:rsid w:val="006D646D"/>
    <w:rsid w:val="006D646F"/>
    <w:rsid w:val="006D651C"/>
    <w:rsid w:val="006D653C"/>
    <w:rsid w:val="006D6567"/>
    <w:rsid w:val="006D6654"/>
    <w:rsid w:val="006D67ED"/>
    <w:rsid w:val="006D698B"/>
    <w:rsid w:val="006D6999"/>
    <w:rsid w:val="006D69BE"/>
    <w:rsid w:val="006D69F1"/>
    <w:rsid w:val="006D6A06"/>
    <w:rsid w:val="006D6A13"/>
    <w:rsid w:val="006D6A51"/>
    <w:rsid w:val="006D6ABC"/>
    <w:rsid w:val="006D6AF4"/>
    <w:rsid w:val="006D6B0C"/>
    <w:rsid w:val="006D6B1C"/>
    <w:rsid w:val="006D6C71"/>
    <w:rsid w:val="006D6D17"/>
    <w:rsid w:val="006D6D50"/>
    <w:rsid w:val="006D6EC5"/>
    <w:rsid w:val="006D6FC0"/>
    <w:rsid w:val="006D6FC3"/>
    <w:rsid w:val="006D708E"/>
    <w:rsid w:val="006D70A1"/>
    <w:rsid w:val="006D70F9"/>
    <w:rsid w:val="006D7122"/>
    <w:rsid w:val="006D7179"/>
    <w:rsid w:val="006D7197"/>
    <w:rsid w:val="006D71BC"/>
    <w:rsid w:val="006D7240"/>
    <w:rsid w:val="006D7273"/>
    <w:rsid w:val="006D727D"/>
    <w:rsid w:val="006D7332"/>
    <w:rsid w:val="006D736B"/>
    <w:rsid w:val="006D7380"/>
    <w:rsid w:val="006D759A"/>
    <w:rsid w:val="006D761C"/>
    <w:rsid w:val="006D77C1"/>
    <w:rsid w:val="006D77C8"/>
    <w:rsid w:val="006D77E1"/>
    <w:rsid w:val="006D7866"/>
    <w:rsid w:val="006D787D"/>
    <w:rsid w:val="006D78CE"/>
    <w:rsid w:val="006D792E"/>
    <w:rsid w:val="006D7A84"/>
    <w:rsid w:val="006D7AA2"/>
    <w:rsid w:val="006D7C0B"/>
    <w:rsid w:val="006D7C7F"/>
    <w:rsid w:val="006D7C97"/>
    <w:rsid w:val="006D7D3E"/>
    <w:rsid w:val="006D7DDB"/>
    <w:rsid w:val="006D7F26"/>
    <w:rsid w:val="006D7FE3"/>
    <w:rsid w:val="006E0081"/>
    <w:rsid w:val="006E00C5"/>
    <w:rsid w:val="006E0100"/>
    <w:rsid w:val="006E02BD"/>
    <w:rsid w:val="006E02E9"/>
    <w:rsid w:val="006E034B"/>
    <w:rsid w:val="006E03E6"/>
    <w:rsid w:val="006E0501"/>
    <w:rsid w:val="006E0691"/>
    <w:rsid w:val="006E06AD"/>
    <w:rsid w:val="006E08D6"/>
    <w:rsid w:val="006E08E5"/>
    <w:rsid w:val="006E098B"/>
    <w:rsid w:val="006E0A67"/>
    <w:rsid w:val="006E0AC4"/>
    <w:rsid w:val="006E0B50"/>
    <w:rsid w:val="006E0BA2"/>
    <w:rsid w:val="006E0CFE"/>
    <w:rsid w:val="006E0D9C"/>
    <w:rsid w:val="006E0DF3"/>
    <w:rsid w:val="006E0E2C"/>
    <w:rsid w:val="006E0F71"/>
    <w:rsid w:val="006E0FF1"/>
    <w:rsid w:val="006E107C"/>
    <w:rsid w:val="006E10C1"/>
    <w:rsid w:val="006E10C9"/>
    <w:rsid w:val="006E1134"/>
    <w:rsid w:val="006E124D"/>
    <w:rsid w:val="006E138C"/>
    <w:rsid w:val="006E13EC"/>
    <w:rsid w:val="006E143D"/>
    <w:rsid w:val="006E1500"/>
    <w:rsid w:val="006E150C"/>
    <w:rsid w:val="006E170A"/>
    <w:rsid w:val="006E176F"/>
    <w:rsid w:val="006E1807"/>
    <w:rsid w:val="006E186B"/>
    <w:rsid w:val="006E18EA"/>
    <w:rsid w:val="006E190F"/>
    <w:rsid w:val="006E1917"/>
    <w:rsid w:val="006E1939"/>
    <w:rsid w:val="006E1A42"/>
    <w:rsid w:val="006E1A4C"/>
    <w:rsid w:val="006E1A6A"/>
    <w:rsid w:val="006E1A84"/>
    <w:rsid w:val="006E1C62"/>
    <w:rsid w:val="006E1D15"/>
    <w:rsid w:val="006E1D41"/>
    <w:rsid w:val="006E1F34"/>
    <w:rsid w:val="006E209A"/>
    <w:rsid w:val="006E2105"/>
    <w:rsid w:val="006E2166"/>
    <w:rsid w:val="006E2254"/>
    <w:rsid w:val="006E2273"/>
    <w:rsid w:val="006E227C"/>
    <w:rsid w:val="006E2449"/>
    <w:rsid w:val="006E24CC"/>
    <w:rsid w:val="006E2512"/>
    <w:rsid w:val="006E27DC"/>
    <w:rsid w:val="006E283F"/>
    <w:rsid w:val="006E28A5"/>
    <w:rsid w:val="006E2910"/>
    <w:rsid w:val="006E2973"/>
    <w:rsid w:val="006E2A7A"/>
    <w:rsid w:val="006E2B22"/>
    <w:rsid w:val="006E2B40"/>
    <w:rsid w:val="006E2B43"/>
    <w:rsid w:val="006E2BC8"/>
    <w:rsid w:val="006E2CDC"/>
    <w:rsid w:val="006E2D19"/>
    <w:rsid w:val="006E2DA2"/>
    <w:rsid w:val="006E2E20"/>
    <w:rsid w:val="006E2EE7"/>
    <w:rsid w:val="006E2FE4"/>
    <w:rsid w:val="006E3041"/>
    <w:rsid w:val="006E3052"/>
    <w:rsid w:val="006E3060"/>
    <w:rsid w:val="006E315C"/>
    <w:rsid w:val="006E33F6"/>
    <w:rsid w:val="006E3492"/>
    <w:rsid w:val="006E34F6"/>
    <w:rsid w:val="006E359D"/>
    <w:rsid w:val="006E375A"/>
    <w:rsid w:val="006E3857"/>
    <w:rsid w:val="006E38F5"/>
    <w:rsid w:val="006E3938"/>
    <w:rsid w:val="006E3A87"/>
    <w:rsid w:val="006E3AA5"/>
    <w:rsid w:val="006E3AD5"/>
    <w:rsid w:val="006E3B20"/>
    <w:rsid w:val="006E3CA6"/>
    <w:rsid w:val="006E3DFB"/>
    <w:rsid w:val="006E3E54"/>
    <w:rsid w:val="006E3F01"/>
    <w:rsid w:val="006E408F"/>
    <w:rsid w:val="006E422A"/>
    <w:rsid w:val="006E42F8"/>
    <w:rsid w:val="006E4332"/>
    <w:rsid w:val="006E434F"/>
    <w:rsid w:val="006E4471"/>
    <w:rsid w:val="006E44AE"/>
    <w:rsid w:val="006E45FE"/>
    <w:rsid w:val="006E462B"/>
    <w:rsid w:val="006E46B3"/>
    <w:rsid w:val="006E4746"/>
    <w:rsid w:val="006E47C1"/>
    <w:rsid w:val="006E4834"/>
    <w:rsid w:val="006E4928"/>
    <w:rsid w:val="006E49B4"/>
    <w:rsid w:val="006E49C4"/>
    <w:rsid w:val="006E4B98"/>
    <w:rsid w:val="006E4C1F"/>
    <w:rsid w:val="006E4C26"/>
    <w:rsid w:val="006E4D92"/>
    <w:rsid w:val="006E4F14"/>
    <w:rsid w:val="006E4FA3"/>
    <w:rsid w:val="006E4FEA"/>
    <w:rsid w:val="006E5062"/>
    <w:rsid w:val="006E5093"/>
    <w:rsid w:val="006E5114"/>
    <w:rsid w:val="006E5122"/>
    <w:rsid w:val="006E51BD"/>
    <w:rsid w:val="006E5279"/>
    <w:rsid w:val="006E5371"/>
    <w:rsid w:val="006E541A"/>
    <w:rsid w:val="006E54A9"/>
    <w:rsid w:val="006E54E3"/>
    <w:rsid w:val="006E5584"/>
    <w:rsid w:val="006E5664"/>
    <w:rsid w:val="006E5718"/>
    <w:rsid w:val="006E579D"/>
    <w:rsid w:val="006E5A40"/>
    <w:rsid w:val="006E5A6E"/>
    <w:rsid w:val="006E5AD8"/>
    <w:rsid w:val="006E5AF7"/>
    <w:rsid w:val="006E5BB5"/>
    <w:rsid w:val="006E5C16"/>
    <w:rsid w:val="006E5C17"/>
    <w:rsid w:val="006E5C23"/>
    <w:rsid w:val="006E5D10"/>
    <w:rsid w:val="006E5E22"/>
    <w:rsid w:val="006E5F64"/>
    <w:rsid w:val="006E5F9F"/>
    <w:rsid w:val="006E6014"/>
    <w:rsid w:val="006E60B3"/>
    <w:rsid w:val="006E60E0"/>
    <w:rsid w:val="006E61A0"/>
    <w:rsid w:val="006E61DC"/>
    <w:rsid w:val="006E62DC"/>
    <w:rsid w:val="006E641D"/>
    <w:rsid w:val="006E65EF"/>
    <w:rsid w:val="006E66A1"/>
    <w:rsid w:val="006E6779"/>
    <w:rsid w:val="006E6803"/>
    <w:rsid w:val="006E688A"/>
    <w:rsid w:val="006E6AD7"/>
    <w:rsid w:val="006E6B7E"/>
    <w:rsid w:val="006E6BC0"/>
    <w:rsid w:val="006E6C3B"/>
    <w:rsid w:val="006E6C47"/>
    <w:rsid w:val="006E6CA0"/>
    <w:rsid w:val="006E6CA4"/>
    <w:rsid w:val="006E6CBD"/>
    <w:rsid w:val="006E7037"/>
    <w:rsid w:val="006E704E"/>
    <w:rsid w:val="006E709E"/>
    <w:rsid w:val="006E70A3"/>
    <w:rsid w:val="006E70D2"/>
    <w:rsid w:val="006E70E3"/>
    <w:rsid w:val="006E7163"/>
    <w:rsid w:val="006E71A4"/>
    <w:rsid w:val="006E72A6"/>
    <w:rsid w:val="006E7328"/>
    <w:rsid w:val="006E7385"/>
    <w:rsid w:val="006E73CC"/>
    <w:rsid w:val="006E7440"/>
    <w:rsid w:val="006E74A2"/>
    <w:rsid w:val="006E74A9"/>
    <w:rsid w:val="006E74FC"/>
    <w:rsid w:val="006E750E"/>
    <w:rsid w:val="006E7534"/>
    <w:rsid w:val="006E75E0"/>
    <w:rsid w:val="006E7654"/>
    <w:rsid w:val="006E771F"/>
    <w:rsid w:val="006E7736"/>
    <w:rsid w:val="006E775E"/>
    <w:rsid w:val="006E7820"/>
    <w:rsid w:val="006E7880"/>
    <w:rsid w:val="006E78A4"/>
    <w:rsid w:val="006E78C6"/>
    <w:rsid w:val="006E7943"/>
    <w:rsid w:val="006E79CD"/>
    <w:rsid w:val="006E7A9C"/>
    <w:rsid w:val="006E7ADD"/>
    <w:rsid w:val="006E7BCB"/>
    <w:rsid w:val="006E7C8B"/>
    <w:rsid w:val="006E7CBC"/>
    <w:rsid w:val="006E7D80"/>
    <w:rsid w:val="006E7ECB"/>
    <w:rsid w:val="006F0046"/>
    <w:rsid w:val="006F00A6"/>
    <w:rsid w:val="006F017A"/>
    <w:rsid w:val="006F01D9"/>
    <w:rsid w:val="006F01DB"/>
    <w:rsid w:val="006F0227"/>
    <w:rsid w:val="006F026A"/>
    <w:rsid w:val="006F02CF"/>
    <w:rsid w:val="006F02FC"/>
    <w:rsid w:val="006F0345"/>
    <w:rsid w:val="006F03DA"/>
    <w:rsid w:val="006F0412"/>
    <w:rsid w:val="006F049A"/>
    <w:rsid w:val="006F04E8"/>
    <w:rsid w:val="006F0574"/>
    <w:rsid w:val="006F05BF"/>
    <w:rsid w:val="006F064A"/>
    <w:rsid w:val="006F071F"/>
    <w:rsid w:val="006F07CD"/>
    <w:rsid w:val="006F07EA"/>
    <w:rsid w:val="006F0808"/>
    <w:rsid w:val="006F08BB"/>
    <w:rsid w:val="006F093D"/>
    <w:rsid w:val="006F09CE"/>
    <w:rsid w:val="006F0ADD"/>
    <w:rsid w:val="006F0BF3"/>
    <w:rsid w:val="006F0D1F"/>
    <w:rsid w:val="006F0D28"/>
    <w:rsid w:val="006F0D46"/>
    <w:rsid w:val="006F0E73"/>
    <w:rsid w:val="006F0F32"/>
    <w:rsid w:val="006F0F6E"/>
    <w:rsid w:val="006F0FF1"/>
    <w:rsid w:val="006F100C"/>
    <w:rsid w:val="006F1056"/>
    <w:rsid w:val="006F1066"/>
    <w:rsid w:val="006F10C3"/>
    <w:rsid w:val="006F120A"/>
    <w:rsid w:val="006F1305"/>
    <w:rsid w:val="006F136E"/>
    <w:rsid w:val="006F138C"/>
    <w:rsid w:val="006F14C4"/>
    <w:rsid w:val="006F15A6"/>
    <w:rsid w:val="006F1605"/>
    <w:rsid w:val="006F1638"/>
    <w:rsid w:val="006F1642"/>
    <w:rsid w:val="006F1736"/>
    <w:rsid w:val="006F1765"/>
    <w:rsid w:val="006F182D"/>
    <w:rsid w:val="006F182E"/>
    <w:rsid w:val="006F18F7"/>
    <w:rsid w:val="006F19D7"/>
    <w:rsid w:val="006F1A13"/>
    <w:rsid w:val="006F1B31"/>
    <w:rsid w:val="006F1B69"/>
    <w:rsid w:val="006F1B8F"/>
    <w:rsid w:val="006F1C0B"/>
    <w:rsid w:val="006F1D90"/>
    <w:rsid w:val="006F1DD5"/>
    <w:rsid w:val="006F1E5A"/>
    <w:rsid w:val="006F1F02"/>
    <w:rsid w:val="006F1F8A"/>
    <w:rsid w:val="006F1FA4"/>
    <w:rsid w:val="006F210D"/>
    <w:rsid w:val="006F2198"/>
    <w:rsid w:val="006F21CE"/>
    <w:rsid w:val="006F21EF"/>
    <w:rsid w:val="006F2603"/>
    <w:rsid w:val="006F27A0"/>
    <w:rsid w:val="006F27D0"/>
    <w:rsid w:val="006F29E6"/>
    <w:rsid w:val="006F2A0A"/>
    <w:rsid w:val="006F2AA1"/>
    <w:rsid w:val="006F2B15"/>
    <w:rsid w:val="006F2B76"/>
    <w:rsid w:val="006F2BCD"/>
    <w:rsid w:val="006F2BE4"/>
    <w:rsid w:val="006F2C17"/>
    <w:rsid w:val="006F2E91"/>
    <w:rsid w:val="006F2EE9"/>
    <w:rsid w:val="006F2F38"/>
    <w:rsid w:val="006F2F97"/>
    <w:rsid w:val="006F2FDA"/>
    <w:rsid w:val="006F307C"/>
    <w:rsid w:val="006F30AB"/>
    <w:rsid w:val="006F30C3"/>
    <w:rsid w:val="006F3100"/>
    <w:rsid w:val="006F3221"/>
    <w:rsid w:val="006F3419"/>
    <w:rsid w:val="006F349D"/>
    <w:rsid w:val="006F34D6"/>
    <w:rsid w:val="006F3553"/>
    <w:rsid w:val="006F3584"/>
    <w:rsid w:val="006F3588"/>
    <w:rsid w:val="006F35E1"/>
    <w:rsid w:val="006F3614"/>
    <w:rsid w:val="006F36AB"/>
    <w:rsid w:val="006F3767"/>
    <w:rsid w:val="006F3777"/>
    <w:rsid w:val="006F38AA"/>
    <w:rsid w:val="006F38E0"/>
    <w:rsid w:val="006F3965"/>
    <w:rsid w:val="006F3986"/>
    <w:rsid w:val="006F3ABE"/>
    <w:rsid w:val="006F3AED"/>
    <w:rsid w:val="006F3B47"/>
    <w:rsid w:val="006F3C0D"/>
    <w:rsid w:val="006F3D0D"/>
    <w:rsid w:val="006F3E27"/>
    <w:rsid w:val="006F3ED5"/>
    <w:rsid w:val="006F3EDE"/>
    <w:rsid w:val="006F4072"/>
    <w:rsid w:val="006F4346"/>
    <w:rsid w:val="006F434A"/>
    <w:rsid w:val="006F4540"/>
    <w:rsid w:val="006F4543"/>
    <w:rsid w:val="006F4570"/>
    <w:rsid w:val="006F47C7"/>
    <w:rsid w:val="006F47D7"/>
    <w:rsid w:val="006F4821"/>
    <w:rsid w:val="006F482B"/>
    <w:rsid w:val="006F4851"/>
    <w:rsid w:val="006F4857"/>
    <w:rsid w:val="006F49EC"/>
    <w:rsid w:val="006F4A7B"/>
    <w:rsid w:val="006F4B19"/>
    <w:rsid w:val="006F4BF6"/>
    <w:rsid w:val="006F4C22"/>
    <w:rsid w:val="006F4C4E"/>
    <w:rsid w:val="006F4CE2"/>
    <w:rsid w:val="006F4F3A"/>
    <w:rsid w:val="006F5064"/>
    <w:rsid w:val="006F5096"/>
    <w:rsid w:val="006F515F"/>
    <w:rsid w:val="006F532E"/>
    <w:rsid w:val="006F535D"/>
    <w:rsid w:val="006F5376"/>
    <w:rsid w:val="006F5383"/>
    <w:rsid w:val="006F55DA"/>
    <w:rsid w:val="006F564A"/>
    <w:rsid w:val="006F56A9"/>
    <w:rsid w:val="006F56CB"/>
    <w:rsid w:val="006F56DA"/>
    <w:rsid w:val="006F57D2"/>
    <w:rsid w:val="006F5859"/>
    <w:rsid w:val="006F597D"/>
    <w:rsid w:val="006F59BC"/>
    <w:rsid w:val="006F5AD5"/>
    <w:rsid w:val="006F5AF1"/>
    <w:rsid w:val="006F5B5A"/>
    <w:rsid w:val="006F5C4B"/>
    <w:rsid w:val="006F5C84"/>
    <w:rsid w:val="006F5DDF"/>
    <w:rsid w:val="006F5E56"/>
    <w:rsid w:val="006F5E70"/>
    <w:rsid w:val="006F5F1C"/>
    <w:rsid w:val="006F5F7F"/>
    <w:rsid w:val="006F5F9C"/>
    <w:rsid w:val="006F5FD8"/>
    <w:rsid w:val="006F6039"/>
    <w:rsid w:val="006F614E"/>
    <w:rsid w:val="006F619E"/>
    <w:rsid w:val="006F62BC"/>
    <w:rsid w:val="006F63FF"/>
    <w:rsid w:val="006F642D"/>
    <w:rsid w:val="006F650B"/>
    <w:rsid w:val="006F65B2"/>
    <w:rsid w:val="006F66CB"/>
    <w:rsid w:val="006F66E6"/>
    <w:rsid w:val="006F689B"/>
    <w:rsid w:val="006F6912"/>
    <w:rsid w:val="006F699B"/>
    <w:rsid w:val="006F69DA"/>
    <w:rsid w:val="006F69E0"/>
    <w:rsid w:val="006F69EC"/>
    <w:rsid w:val="006F69ED"/>
    <w:rsid w:val="006F6B52"/>
    <w:rsid w:val="006F6C48"/>
    <w:rsid w:val="006F6C76"/>
    <w:rsid w:val="006F6EC0"/>
    <w:rsid w:val="006F6ED1"/>
    <w:rsid w:val="006F7003"/>
    <w:rsid w:val="006F7218"/>
    <w:rsid w:val="006F7349"/>
    <w:rsid w:val="006F7431"/>
    <w:rsid w:val="006F7503"/>
    <w:rsid w:val="006F754F"/>
    <w:rsid w:val="006F7572"/>
    <w:rsid w:val="006F7726"/>
    <w:rsid w:val="006F7729"/>
    <w:rsid w:val="006F78EB"/>
    <w:rsid w:val="006F79D6"/>
    <w:rsid w:val="006F7B6A"/>
    <w:rsid w:val="006F7B76"/>
    <w:rsid w:val="006F7C26"/>
    <w:rsid w:val="006F7CA0"/>
    <w:rsid w:val="006F7CE8"/>
    <w:rsid w:val="006F7D84"/>
    <w:rsid w:val="006F7DB9"/>
    <w:rsid w:val="006F7DBD"/>
    <w:rsid w:val="006F7ED8"/>
    <w:rsid w:val="006F7FCA"/>
    <w:rsid w:val="006F7FDD"/>
    <w:rsid w:val="00700032"/>
    <w:rsid w:val="007002F1"/>
    <w:rsid w:val="007003B2"/>
    <w:rsid w:val="00700467"/>
    <w:rsid w:val="00700500"/>
    <w:rsid w:val="0070087C"/>
    <w:rsid w:val="007008C0"/>
    <w:rsid w:val="00700957"/>
    <w:rsid w:val="00700A35"/>
    <w:rsid w:val="00700A5E"/>
    <w:rsid w:val="00700AC5"/>
    <w:rsid w:val="00700B38"/>
    <w:rsid w:val="00700B8A"/>
    <w:rsid w:val="00700DE1"/>
    <w:rsid w:val="00700E24"/>
    <w:rsid w:val="00700F68"/>
    <w:rsid w:val="00700FE7"/>
    <w:rsid w:val="00700FFB"/>
    <w:rsid w:val="0070101F"/>
    <w:rsid w:val="00701066"/>
    <w:rsid w:val="00701090"/>
    <w:rsid w:val="00701125"/>
    <w:rsid w:val="0070115A"/>
    <w:rsid w:val="00701313"/>
    <w:rsid w:val="007013C6"/>
    <w:rsid w:val="0070148C"/>
    <w:rsid w:val="007014A8"/>
    <w:rsid w:val="007014B0"/>
    <w:rsid w:val="007014F9"/>
    <w:rsid w:val="0070156E"/>
    <w:rsid w:val="00701675"/>
    <w:rsid w:val="007016E0"/>
    <w:rsid w:val="0070181E"/>
    <w:rsid w:val="00701A46"/>
    <w:rsid w:val="00701A5B"/>
    <w:rsid w:val="00701A72"/>
    <w:rsid w:val="00701ACB"/>
    <w:rsid w:val="00701B70"/>
    <w:rsid w:val="00701C2B"/>
    <w:rsid w:val="00701CA2"/>
    <w:rsid w:val="00701D35"/>
    <w:rsid w:val="00701D36"/>
    <w:rsid w:val="00701E9B"/>
    <w:rsid w:val="00701EC2"/>
    <w:rsid w:val="0070202C"/>
    <w:rsid w:val="00702030"/>
    <w:rsid w:val="0070203A"/>
    <w:rsid w:val="00702097"/>
    <w:rsid w:val="007022A5"/>
    <w:rsid w:val="0070250F"/>
    <w:rsid w:val="00702510"/>
    <w:rsid w:val="007025C0"/>
    <w:rsid w:val="007025F2"/>
    <w:rsid w:val="0070284D"/>
    <w:rsid w:val="0070297B"/>
    <w:rsid w:val="007029BE"/>
    <w:rsid w:val="00702A9D"/>
    <w:rsid w:val="00702B8C"/>
    <w:rsid w:val="00702B98"/>
    <w:rsid w:val="00702D46"/>
    <w:rsid w:val="00702DB5"/>
    <w:rsid w:val="00702F49"/>
    <w:rsid w:val="007031E3"/>
    <w:rsid w:val="00703246"/>
    <w:rsid w:val="0070326E"/>
    <w:rsid w:val="0070329C"/>
    <w:rsid w:val="007032F7"/>
    <w:rsid w:val="00703335"/>
    <w:rsid w:val="00703362"/>
    <w:rsid w:val="007033D5"/>
    <w:rsid w:val="00703412"/>
    <w:rsid w:val="0070342B"/>
    <w:rsid w:val="007034A4"/>
    <w:rsid w:val="007034E1"/>
    <w:rsid w:val="00703542"/>
    <w:rsid w:val="00703559"/>
    <w:rsid w:val="0070358D"/>
    <w:rsid w:val="007035D4"/>
    <w:rsid w:val="007035EB"/>
    <w:rsid w:val="0070361E"/>
    <w:rsid w:val="007036C3"/>
    <w:rsid w:val="0070371C"/>
    <w:rsid w:val="0070380B"/>
    <w:rsid w:val="00703908"/>
    <w:rsid w:val="007039DC"/>
    <w:rsid w:val="00703D41"/>
    <w:rsid w:val="00703EE4"/>
    <w:rsid w:val="0070400E"/>
    <w:rsid w:val="00704151"/>
    <w:rsid w:val="00704164"/>
    <w:rsid w:val="007041DA"/>
    <w:rsid w:val="00704253"/>
    <w:rsid w:val="00704320"/>
    <w:rsid w:val="0070435B"/>
    <w:rsid w:val="00704365"/>
    <w:rsid w:val="00704369"/>
    <w:rsid w:val="00704376"/>
    <w:rsid w:val="0070439E"/>
    <w:rsid w:val="007043D5"/>
    <w:rsid w:val="00704566"/>
    <w:rsid w:val="007046B5"/>
    <w:rsid w:val="0070471C"/>
    <w:rsid w:val="007047D5"/>
    <w:rsid w:val="00704835"/>
    <w:rsid w:val="00704918"/>
    <w:rsid w:val="00704AFF"/>
    <w:rsid w:val="00704B3A"/>
    <w:rsid w:val="00704BC8"/>
    <w:rsid w:val="00704BFB"/>
    <w:rsid w:val="00704C23"/>
    <w:rsid w:val="00704C79"/>
    <w:rsid w:val="00704CA9"/>
    <w:rsid w:val="00705019"/>
    <w:rsid w:val="0070506D"/>
    <w:rsid w:val="0070514B"/>
    <w:rsid w:val="007052AE"/>
    <w:rsid w:val="007052BA"/>
    <w:rsid w:val="0070534E"/>
    <w:rsid w:val="00705378"/>
    <w:rsid w:val="00705448"/>
    <w:rsid w:val="00705458"/>
    <w:rsid w:val="00705534"/>
    <w:rsid w:val="007055D7"/>
    <w:rsid w:val="007055E5"/>
    <w:rsid w:val="007057C9"/>
    <w:rsid w:val="00705847"/>
    <w:rsid w:val="00705867"/>
    <w:rsid w:val="00705868"/>
    <w:rsid w:val="0070593D"/>
    <w:rsid w:val="007059BB"/>
    <w:rsid w:val="007059E8"/>
    <w:rsid w:val="00705AB3"/>
    <w:rsid w:val="00705B59"/>
    <w:rsid w:val="00705BD8"/>
    <w:rsid w:val="00705D97"/>
    <w:rsid w:val="00705DB9"/>
    <w:rsid w:val="00705F5A"/>
    <w:rsid w:val="00705FBE"/>
    <w:rsid w:val="0070611C"/>
    <w:rsid w:val="00706184"/>
    <w:rsid w:val="0070620D"/>
    <w:rsid w:val="0070635B"/>
    <w:rsid w:val="007063AB"/>
    <w:rsid w:val="007063AC"/>
    <w:rsid w:val="00706433"/>
    <w:rsid w:val="00706434"/>
    <w:rsid w:val="00706438"/>
    <w:rsid w:val="00706474"/>
    <w:rsid w:val="007064C0"/>
    <w:rsid w:val="0070664F"/>
    <w:rsid w:val="0070685A"/>
    <w:rsid w:val="00706889"/>
    <w:rsid w:val="0070688C"/>
    <w:rsid w:val="00706A2D"/>
    <w:rsid w:val="00706ADD"/>
    <w:rsid w:val="00706AF3"/>
    <w:rsid w:val="00706B1C"/>
    <w:rsid w:val="00706B8C"/>
    <w:rsid w:val="00706C6F"/>
    <w:rsid w:val="00706E34"/>
    <w:rsid w:val="00706EB2"/>
    <w:rsid w:val="00706F12"/>
    <w:rsid w:val="00706F95"/>
    <w:rsid w:val="0070704C"/>
    <w:rsid w:val="0070727B"/>
    <w:rsid w:val="007072C1"/>
    <w:rsid w:val="007072D4"/>
    <w:rsid w:val="007072DA"/>
    <w:rsid w:val="007072E9"/>
    <w:rsid w:val="0070735C"/>
    <w:rsid w:val="007073DA"/>
    <w:rsid w:val="0070740A"/>
    <w:rsid w:val="0070747C"/>
    <w:rsid w:val="007075C8"/>
    <w:rsid w:val="007075DD"/>
    <w:rsid w:val="00707733"/>
    <w:rsid w:val="0070776B"/>
    <w:rsid w:val="007078FF"/>
    <w:rsid w:val="00707929"/>
    <w:rsid w:val="007079E7"/>
    <w:rsid w:val="00707A2E"/>
    <w:rsid w:val="00707AED"/>
    <w:rsid w:val="00707B83"/>
    <w:rsid w:val="00707D89"/>
    <w:rsid w:val="00707E1B"/>
    <w:rsid w:val="00707E3C"/>
    <w:rsid w:val="00707E60"/>
    <w:rsid w:val="00707F2D"/>
    <w:rsid w:val="00707FAE"/>
    <w:rsid w:val="007100FE"/>
    <w:rsid w:val="00710144"/>
    <w:rsid w:val="00710160"/>
    <w:rsid w:val="00710187"/>
    <w:rsid w:val="007101D2"/>
    <w:rsid w:val="00710208"/>
    <w:rsid w:val="00710210"/>
    <w:rsid w:val="00710229"/>
    <w:rsid w:val="0071024F"/>
    <w:rsid w:val="0071027D"/>
    <w:rsid w:val="007103AB"/>
    <w:rsid w:val="007103C5"/>
    <w:rsid w:val="007103EF"/>
    <w:rsid w:val="007104D4"/>
    <w:rsid w:val="00710520"/>
    <w:rsid w:val="007106B6"/>
    <w:rsid w:val="0071081B"/>
    <w:rsid w:val="007108E8"/>
    <w:rsid w:val="00710B88"/>
    <w:rsid w:val="00710BD1"/>
    <w:rsid w:val="00710C2A"/>
    <w:rsid w:val="00710CFF"/>
    <w:rsid w:val="00710D03"/>
    <w:rsid w:val="00710D57"/>
    <w:rsid w:val="00710D68"/>
    <w:rsid w:val="00710D98"/>
    <w:rsid w:val="00710E5F"/>
    <w:rsid w:val="00710F7C"/>
    <w:rsid w:val="00710FBD"/>
    <w:rsid w:val="007111F2"/>
    <w:rsid w:val="007112EE"/>
    <w:rsid w:val="00711444"/>
    <w:rsid w:val="007114CA"/>
    <w:rsid w:val="007114DD"/>
    <w:rsid w:val="00711578"/>
    <w:rsid w:val="0071170F"/>
    <w:rsid w:val="00711727"/>
    <w:rsid w:val="007118B5"/>
    <w:rsid w:val="007118FF"/>
    <w:rsid w:val="00711905"/>
    <w:rsid w:val="00711D31"/>
    <w:rsid w:val="00711DE7"/>
    <w:rsid w:val="00711E14"/>
    <w:rsid w:val="00711E72"/>
    <w:rsid w:val="00711F07"/>
    <w:rsid w:val="00711F3C"/>
    <w:rsid w:val="00711F6C"/>
    <w:rsid w:val="00711FBD"/>
    <w:rsid w:val="0071200D"/>
    <w:rsid w:val="007120AC"/>
    <w:rsid w:val="0071229C"/>
    <w:rsid w:val="007122C1"/>
    <w:rsid w:val="0071235F"/>
    <w:rsid w:val="007123A4"/>
    <w:rsid w:val="007123CD"/>
    <w:rsid w:val="00712443"/>
    <w:rsid w:val="007124DB"/>
    <w:rsid w:val="00712584"/>
    <w:rsid w:val="0071260C"/>
    <w:rsid w:val="00712614"/>
    <w:rsid w:val="00712808"/>
    <w:rsid w:val="007128B3"/>
    <w:rsid w:val="007129A9"/>
    <w:rsid w:val="00712A98"/>
    <w:rsid w:val="00712AE3"/>
    <w:rsid w:val="00712B88"/>
    <w:rsid w:val="00712BE6"/>
    <w:rsid w:val="00712D43"/>
    <w:rsid w:val="00712DEE"/>
    <w:rsid w:val="00712ECE"/>
    <w:rsid w:val="00712F02"/>
    <w:rsid w:val="00712FC6"/>
    <w:rsid w:val="00713025"/>
    <w:rsid w:val="0071303C"/>
    <w:rsid w:val="007131AA"/>
    <w:rsid w:val="007131E1"/>
    <w:rsid w:val="00713245"/>
    <w:rsid w:val="007132DA"/>
    <w:rsid w:val="007133C6"/>
    <w:rsid w:val="007133FE"/>
    <w:rsid w:val="00713401"/>
    <w:rsid w:val="0071340D"/>
    <w:rsid w:val="007134D1"/>
    <w:rsid w:val="00713535"/>
    <w:rsid w:val="007135A1"/>
    <w:rsid w:val="00713761"/>
    <w:rsid w:val="007138A8"/>
    <w:rsid w:val="00713961"/>
    <w:rsid w:val="0071397E"/>
    <w:rsid w:val="007139E5"/>
    <w:rsid w:val="00713B0F"/>
    <w:rsid w:val="00713D15"/>
    <w:rsid w:val="00713D9A"/>
    <w:rsid w:val="00713E1A"/>
    <w:rsid w:val="00713E30"/>
    <w:rsid w:val="00713F99"/>
    <w:rsid w:val="007140F7"/>
    <w:rsid w:val="00714169"/>
    <w:rsid w:val="007141A3"/>
    <w:rsid w:val="00714200"/>
    <w:rsid w:val="0071435A"/>
    <w:rsid w:val="00714360"/>
    <w:rsid w:val="00714581"/>
    <w:rsid w:val="0071460B"/>
    <w:rsid w:val="0071472A"/>
    <w:rsid w:val="00714893"/>
    <w:rsid w:val="007148AB"/>
    <w:rsid w:val="00714A82"/>
    <w:rsid w:val="00714B48"/>
    <w:rsid w:val="00714BD2"/>
    <w:rsid w:val="00714BD7"/>
    <w:rsid w:val="00714C3F"/>
    <w:rsid w:val="00714C4D"/>
    <w:rsid w:val="00714CA6"/>
    <w:rsid w:val="00714CEE"/>
    <w:rsid w:val="00714E62"/>
    <w:rsid w:val="00714EAB"/>
    <w:rsid w:val="00714F1F"/>
    <w:rsid w:val="00715039"/>
    <w:rsid w:val="00715076"/>
    <w:rsid w:val="0071514E"/>
    <w:rsid w:val="007152E8"/>
    <w:rsid w:val="00715310"/>
    <w:rsid w:val="007153A1"/>
    <w:rsid w:val="0071541F"/>
    <w:rsid w:val="00715550"/>
    <w:rsid w:val="0071556F"/>
    <w:rsid w:val="00715605"/>
    <w:rsid w:val="00715722"/>
    <w:rsid w:val="00715D4B"/>
    <w:rsid w:val="00715D92"/>
    <w:rsid w:val="00715E2D"/>
    <w:rsid w:val="00715F0B"/>
    <w:rsid w:val="00715F77"/>
    <w:rsid w:val="00715FC8"/>
    <w:rsid w:val="00716024"/>
    <w:rsid w:val="00716043"/>
    <w:rsid w:val="00716148"/>
    <w:rsid w:val="007161C3"/>
    <w:rsid w:val="0071620D"/>
    <w:rsid w:val="0071624F"/>
    <w:rsid w:val="00716283"/>
    <w:rsid w:val="007163EB"/>
    <w:rsid w:val="007163F5"/>
    <w:rsid w:val="00716489"/>
    <w:rsid w:val="007164A2"/>
    <w:rsid w:val="00716537"/>
    <w:rsid w:val="00716570"/>
    <w:rsid w:val="00716674"/>
    <w:rsid w:val="00716695"/>
    <w:rsid w:val="007166EF"/>
    <w:rsid w:val="0071680C"/>
    <w:rsid w:val="00716847"/>
    <w:rsid w:val="007168FE"/>
    <w:rsid w:val="00716921"/>
    <w:rsid w:val="007169AB"/>
    <w:rsid w:val="007169B9"/>
    <w:rsid w:val="00716A2D"/>
    <w:rsid w:val="00716B60"/>
    <w:rsid w:val="00716BA7"/>
    <w:rsid w:val="00716C37"/>
    <w:rsid w:val="00716CD1"/>
    <w:rsid w:val="00716CF3"/>
    <w:rsid w:val="00716D9B"/>
    <w:rsid w:val="00716E2A"/>
    <w:rsid w:val="00716ECB"/>
    <w:rsid w:val="00716F5C"/>
    <w:rsid w:val="0071707F"/>
    <w:rsid w:val="007170B5"/>
    <w:rsid w:val="0071714C"/>
    <w:rsid w:val="007171C7"/>
    <w:rsid w:val="007172B7"/>
    <w:rsid w:val="00717306"/>
    <w:rsid w:val="0071734C"/>
    <w:rsid w:val="00717440"/>
    <w:rsid w:val="00717445"/>
    <w:rsid w:val="00717497"/>
    <w:rsid w:val="007174B2"/>
    <w:rsid w:val="007174F9"/>
    <w:rsid w:val="007175F2"/>
    <w:rsid w:val="0071763E"/>
    <w:rsid w:val="0071764A"/>
    <w:rsid w:val="00717670"/>
    <w:rsid w:val="007177D7"/>
    <w:rsid w:val="007177FA"/>
    <w:rsid w:val="00717807"/>
    <w:rsid w:val="007178F8"/>
    <w:rsid w:val="007178FF"/>
    <w:rsid w:val="007179D5"/>
    <w:rsid w:val="00717C3E"/>
    <w:rsid w:val="00717C40"/>
    <w:rsid w:val="00717C8D"/>
    <w:rsid w:val="00717D8E"/>
    <w:rsid w:val="00717DA8"/>
    <w:rsid w:val="00717E34"/>
    <w:rsid w:val="00717E52"/>
    <w:rsid w:val="00717EE2"/>
    <w:rsid w:val="00717F73"/>
    <w:rsid w:val="0072001F"/>
    <w:rsid w:val="0072003F"/>
    <w:rsid w:val="0072005B"/>
    <w:rsid w:val="00720060"/>
    <w:rsid w:val="00720105"/>
    <w:rsid w:val="0072015A"/>
    <w:rsid w:val="00720208"/>
    <w:rsid w:val="00720271"/>
    <w:rsid w:val="007202D1"/>
    <w:rsid w:val="007203B1"/>
    <w:rsid w:val="007204A2"/>
    <w:rsid w:val="007204D8"/>
    <w:rsid w:val="007204E5"/>
    <w:rsid w:val="0072050A"/>
    <w:rsid w:val="00720637"/>
    <w:rsid w:val="007206B2"/>
    <w:rsid w:val="007206CC"/>
    <w:rsid w:val="0072083C"/>
    <w:rsid w:val="00720AB2"/>
    <w:rsid w:val="00720B8B"/>
    <w:rsid w:val="00720BD5"/>
    <w:rsid w:val="00720C70"/>
    <w:rsid w:val="00720E8C"/>
    <w:rsid w:val="007210B8"/>
    <w:rsid w:val="00721292"/>
    <w:rsid w:val="007212C8"/>
    <w:rsid w:val="007212E4"/>
    <w:rsid w:val="00721480"/>
    <w:rsid w:val="007214A1"/>
    <w:rsid w:val="007214F9"/>
    <w:rsid w:val="0072150B"/>
    <w:rsid w:val="00721792"/>
    <w:rsid w:val="007217B3"/>
    <w:rsid w:val="00721A34"/>
    <w:rsid w:val="00721B24"/>
    <w:rsid w:val="00721B94"/>
    <w:rsid w:val="00721BCA"/>
    <w:rsid w:val="00721C4B"/>
    <w:rsid w:val="00721C55"/>
    <w:rsid w:val="00721D0E"/>
    <w:rsid w:val="00721D1F"/>
    <w:rsid w:val="00721DC9"/>
    <w:rsid w:val="00721E76"/>
    <w:rsid w:val="00721EC1"/>
    <w:rsid w:val="00722096"/>
    <w:rsid w:val="00722172"/>
    <w:rsid w:val="007221AB"/>
    <w:rsid w:val="007221F4"/>
    <w:rsid w:val="007223D8"/>
    <w:rsid w:val="00722401"/>
    <w:rsid w:val="0072242C"/>
    <w:rsid w:val="00722455"/>
    <w:rsid w:val="007224F0"/>
    <w:rsid w:val="00722655"/>
    <w:rsid w:val="00722667"/>
    <w:rsid w:val="0072278F"/>
    <w:rsid w:val="0072279D"/>
    <w:rsid w:val="007228C2"/>
    <w:rsid w:val="0072295A"/>
    <w:rsid w:val="00722974"/>
    <w:rsid w:val="00722A29"/>
    <w:rsid w:val="00722AF2"/>
    <w:rsid w:val="00722C6B"/>
    <w:rsid w:val="00722CFA"/>
    <w:rsid w:val="00722E51"/>
    <w:rsid w:val="00722E57"/>
    <w:rsid w:val="00722ED4"/>
    <w:rsid w:val="007230DE"/>
    <w:rsid w:val="00723177"/>
    <w:rsid w:val="007231B6"/>
    <w:rsid w:val="007231D8"/>
    <w:rsid w:val="007231E3"/>
    <w:rsid w:val="00723356"/>
    <w:rsid w:val="00723358"/>
    <w:rsid w:val="007233A2"/>
    <w:rsid w:val="00723624"/>
    <w:rsid w:val="00723642"/>
    <w:rsid w:val="007236BE"/>
    <w:rsid w:val="007237C5"/>
    <w:rsid w:val="0072383E"/>
    <w:rsid w:val="007238B6"/>
    <w:rsid w:val="007238CD"/>
    <w:rsid w:val="007238DC"/>
    <w:rsid w:val="0072398C"/>
    <w:rsid w:val="007239B1"/>
    <w:rsid w:val="00723A40"/>
    <w:rsid w:val="00723A63"/>
    <w:rsid w:val="00723B8E"/>
    <w:rsid w:val="00723BCF"/>
    <w:rsid w:val="00723C62"/>
    <w:rsid w:val="00723C77"/>
    <w:rsid w:val="00723C83"/>
    <w:rsid w:val="00723DA2"/>
    <w:rsid w:val="00723ECC"/>
    <w:rsid w:val="00723EE3"/>
    <w:rsid w:val="00723EFB"/>
    <w:rsid w:val="00723F2F"/>
    <w:rsid w:val="00723F75"/>
    <w:rsid w:val="00723F9A"/>
    <w:rsid w:val="00723FB9"/>
    <w:rsid w:val="0072402C"/>
    <w:rsid w:val="00724097"/>
    <w:rsid w:val="007242D0"/>
    <w:rsid w:val="00724306"/>
    <w:rsid w:val="0072438B"/>
    <w:rsid w:val="00724425"/>
    <w:rsid w:val="007244B4"/>
    <w:rsid w:val="00724549"/>
    <w:rsid w:val="007247BC"/>
    <w:rsid w:val="007247E8"/>
    <w:rsid w:val="007248CC"/>
    <w:rsid w:val="00724B0B"/>
    <w:rsid w:val="00724B9B"/>
    <w:rsid w:val="00724BB9"/>
    <w:rsid w:val="00724C57"/>
    <w:rsid w:val="00724CDE"/>
    <w:rsid w:val="00724F18"/>
    <w:rsid w:val="00724F2A"/>
    <w:rsid w:val="00724F7B"/>
    <w:rsid w:val="007250E3"/>
    <w:rsid w:val="00725335"/>
    <w:rsid w:val="0072535E"/>
    <w:rsid w:val="00725368"/>
    <w:rsid w:val="00725419"/>
    <w:rsid w:val="007254BE"/>
    <w:rsid w:val="0072561D"/>
    <w:rsid w:val="00725633"/>
    <w:rsid w:val="0072563C"/>
    <w:rsid w:val="0072570A"/>
    <w:rsid w:val="0072581B"/>
    <w:rsid w:val="007258D3"/>
    <w:rsid w:val="007259F3"/>
    <w:rsid w:val="00725AA5"/>
    <w:rsid w:val="00725CB7"/>
    <w:rsid w:val="00725DA8"/>
    <w:rsid w:val="00725DDC"/>
    <w:rsid w:val="00725F0C"/>
    <w:rsid w:val="007260DF"/>
    <w:rsid w:val="00726193"/>
    <w:rsid w:val="00726197"/>
    <w:rsid w:val="007262C7"/>
    <w:rsid w:val="0072639B"/>
    <w:rsid w:val="007263E6"/>
    <w:rsid w:val="00726429"/>
    <w:rsid w:val="007264E3"/>
    <w:rsid w:val="0072651F"/>
    <w:rsid w:val="0072655D"/>
    <w:rsid w:val="0072655E"/>
    <w:rsid w:val="0072656D"/>
    <w:rsid w:val="00726580"/>
    <w:rsid w:val="00726600"/>
    <w:rsid w:val="00726684"/>
    <w:rsid w:val="00726755"/>
    <w:rsid w:val="00726780"/>
    <w:rsid w:val="0072679E"/>
    <w:rsid w:val="00726842"/>
    <w:rsid w:val="00726861"/>
    <w:rsid w:val="00726903"/>
    <w:rsid w:val="00726D1C"/>
    <w:rsid w:val="00726D23"/>
    <w:rsid w:val="00726E67"/>
    <w:rsid w:val="00726E87"/>
    <w:rsid w:val="00726EA5"/>
    <w:rsid w:val="00726EF7"/>
    <w:rsid w:val="00726F5E"/>
    <w:rsid w:val="0072710D"/>
    <w:rsid w:val="0072713E"/>
    <w:rsid w:val="0072723C"/>
    <w:rsid w:val="007272E2"/>
    <w:rsid w:val="007272FB"/>
    <w:rsid w:val="007272FC"/>
    <w:rsid w:val="00727350"/>
    <w:rsid w:val="0072736E"/>
    <w:rsid w:val="007273AD"/>
    <w:rsid w:val="00727570"/>
    <w:rsid w:val="00727605"/>
    <w:rsid w:val="00727641"/>
    <w:rsid w:val="00727720"/>
    <w:rsid w:val="007277BE"/>
    <w:rsid w:val="00727856"/>
    <w:rsid w:val="0072788E"/>
    <w:rsid w:val="00727954"/>
    <w:rsid w:val="0072797F"/>
    <w:rsid w:val="00727A0E"/>
    <w:rsid w:val="00727A55"/>
    <w:rsid w:val="00727A77"/>
    <w:rsid w:val="00727A8F"/>
    <w:rsid w:val="00727B7D"/>
    <w:rsid w:val="00727BE8"/>
    <w:rsid w:val="00727CE8"/>
    <w:rsid w:val="00727E91"/>
    <w:rsid w:val="00727ECC"/>
    <w:rsid w:val="00727F20"/>
    <w:rsid w:val="00727FA0"/>
    <w:rsid w:val="00730089"/>
    <w:rsid w:val="007301BD"/>
    <w:rsid w:val="00730259"/>
    <w:rsid w:val="00730321"/>
    <w:rsid w:val="00730326"/>
    <w:rsid w:val="0073033D"/>
    <w:rsid w:val="0073036C"/>
    <w:rsid w:val="0073042D"/>
    <w:rsid w:val="007304C5"/>
    <w:rsid w:val="007304FD"/>
    <w:rsid w:val="00730615"/>
    <w:rsid w:val="00730696"/>
    <w:rsid w:val="0073074F"/>
    <w:rsid w:val="00730771"/>
    <w:rsid w:val="0073084F"/>
    <w:rsid w:val="007308DC"/>
    <w:rsid w:val="0073092B"/>
    <w:rsid w:val="00730933"/>
    <w:rsid w:val="00730961"/>
    <w:rsid w:val="00730968"/>
    <w:rsid w:val="00730A91"/>
    <w:rsid w:val="00730AFE"/>
    <w:rsid w:val="00730CDD"/>
    <w:rsid w:val="00730D12"/>
    <w:rsid w:val="00730DA1"/>
    <w:rsid w:val="00730EA0"/>
    <w:rsid w:val="00730EBD"/>
    <w:rsid w:val="00730EE3"/>
    <w:rsid w:val="00730F14"/>
    <w:rsid w:val="00731114"/>
    <w:rsid w:val="00731160"/>
    <w:rsid w:val="00731197"/>
    <w:rsid w:val="0073126C"/>
    <w:rsid w:val="00731278"/>
    <w:rsid w:val="00731356"/>
    <w:rsid w:val="007313FD"/>
    <w:rsid w:val="0073155A"/>
    <w:rsid w:val="007315F6"/>
    <w:rsid w:val="0073161E"/>
    <w:rsid w:val="0073166D"/>
    <w:rsid w:val="007316D4"/>
    <w:rsid w:val="007317BA"/>
    <w:rsid w:val="00731885"/>
    <w:rsid w:val="007318FE"/>
    <w:rsid w:val="00731A36"/>
    <w:rsid w:val="00731B0E"/>
    <w:rsid w:val="00731B14"/>
    <w:rsid w:val="00731C23"/>
    <w:rsid w:val="00731C26"/>
    <w:rsid w:val="00731DD0"/>
    <w:rsid w:val="00731E0B"/>
    <w:rsid w:val="00731F1F"/>
    <w:rsid w:val="0073200C"/>
    <w:rsid w:val="007320CA"/>
    <w:rsid w:val="0073212B"/>
    <w:rsid w:val="00732197"/>
    <w:rsid w:val="007321E0"/>
    <w:rsid w:val="007322CF"/>
    <w:rsid w:val="00732372"/>
    <w:rsid w:val="00732417"/>
    <w:rsid w:val="007324D6"/>
    <w:rsid w:val="007324ED"/>
    <w:rsid w:val="00732588"/>
    <w:rsid w:val="00732779"/>
    <w:rsid w:val="007328B3"/>
    <w:rsid w:val="007329E9"/>
    <w:rsid w:val="00732AB3"/>
    <w:rsid w:val="00732B1F"/>
    <w:rsid w:val="00732BCB"/>
    <w:rsid w:val="00732C07"/>
    <w:rsid w:val="00732C8E"/>
    <w:rsid w:val="00732CDE"/>
    <w:rsid w:val="00732CE3"/>
    <w:rsid w:val="00732D68"/>
    <w:rsid w:val="00732E61"/>
    <w:rsid w:val="00733060"/>
    <w:rsid w:val="007330D4"/>
    <w:rsid w:val="007330EA"/>
    <w:rsid w:val="00733145"/>
    <w:rsid w:val="00733177"/>
    <w:rsid w:val="007333E5"/>
    <w:rsid w:val="00733479"/>
    <w:rsid w:val="007335C6"/>
    <w:rsid w:val="00733611"/>
    <w:rsid w:val="00733674"/>
    <w:rsid w:val="00733678"/>
    <w:rsid w:val="007339AE"/>
    <w:rsid w:val="00733B52"/>
    <w:rsid w:val="00733B5E"/>
    <w:rsid w:val="00733B84"/>
    <w:rsid w:val="00733B97"/>
    <w:rsid w:val="00733CFB"/>
    <w:rsid w:val="00733D53"/>
    <w:rsid w:val="00733D59"/>
    <w:rsid w:val="00733E5C"/>
    <w:rsid w:val="00733EFC"/>
    <w:rsid w:val="00733FCB"/>
    <w:rsid w:val="00733FE9"/>
    <w:rsid w:val="00734022"/>
    <w:rsid w:val="00734036"/>
    <w:rsid w:val="00734108"/>
    <w:rsid w:val="00734180"/>
    <w:rsid w:val="00734181"/>
    <w:rsid w:val="00734233"/>
    <w:rsid w:val="007342EB"/>
    <w:rsid w:val="007343D4"/>
    <w:rsid w:val="007344D9"/>
    <w:rsid w:val="00734555"/>
    <w:rsid w:val="00734596"/>
    <w:rsid w:val="007345B6"/>
    <w:rsid w:val="007345F9"/>
    <w:rsid w:val="0073461D"/>
    <w:rsid w:val="0073478A"/>
    <w:rsid w:val="007347E6"/>
    <w:rsid w:val="007348F6"/>
    <w:rsid w:val="00734BF6"/>
    <w:rsid w:val="00734BFC"/>
    <w:rsid w:val="00734C5F"/>
    <w:rsid w:val="00734CAA"/>
    <w:rsid w:val="00734CDF"/>
    <w:rsid w:val="00734CE5"/>
    <w:rsid w:val="00734D29"/>
    <w:rsid w:val="00734F00"/>
    <w:rsid w:val="00734FFB"/>
    <w:rsid w:val="00735028"/>
    <w:rsid w:val="007350B7"/>
    <w:rsid w:val="007352D0"/>
    <w:rsid w:val="0073552F"/>
    <w:rsid w:val="00735594"/>
    <w:rsid w:val="007355D7"/>
    <w:rsid w:val="0073572E"/>
    <w:rsid w:val="007357AE"/>
    <w:rsid w:val="0073588D"/>
    <w:rsid w:val="00735899"/>
    <w:rsid w:val="00735924"/>
    <w:rsid w:val="007359FC"/>
    <w:rsid w:val="00735A1B"/>
    <w:rsid w:val="00735B7D"/>
    <w:rsid w:val="00735BF3"/>
    <w:rsid w:val="00735E16"/>
    <w:rsid w:val="00735E21"/>
    <w:rsid w:val="00735F05"/>
    <w:rsid w:val="00735F3A"/>
    <w:rsid w:val="00736050"/>
    <w:rsid w:val="007360FD"/>
    <w:rsid w:val="00736182"/>
    <w:rsid w:val="00736308"/>
    <w:rsid w:val="00736407"/>
    <w:rsid w:val="0073651E"/>
    <w:rsid w:val="0073654B"/>
    <w:rsid w:val="0073656A"/>
    <w:rsid w:val="007365ED"/>
    <w:rsid w:val="00736830"/>
    <w:rsid w:val="00736913"/>
    <w:rsid w:val="00736980"/>
    <w:rsid w:val="007369D0"/>
    <w:rsid w:val="00736A8C"/>
    <w:rsid w:val="00736B1A"/>
    <w:rsid w:val="00736B98"/>
    <w:rsid w:val="00736C04"/>
    <w:rsid w:val="00736CB5"/>
    <w:rsid w:val="00736CCA"/>
    <w:rsid w:val="00736CFA"/>
    <w:rsid w:val="00736D1C"/>
    <w:rsid w:val="00736D4F"/>
    <w:rsid w:val="00736E30"/>
    <w:rsid w:val="00736EA4"/>
    <w:rsid w:val="00736EDF"/>
    <w:rsid w:val="00736EE6"/>
    <w:rsid w:val="00736FB6"/>
    <w:rsid w:val="007370AD"/>
    <w:rsid w:val="0073730C"/>
    <w:rsid w:val="0073735F"/>
    <w:rsid w:val="00737364"/>
    <w:rsid w:val="007373A9"/>
    <w:rsid w:val="007373EB"/>
    <w:rsid w:val="00737585"/>
    <w:rsid w:val="0073763A"/>
    <w:rsid w:val="00737664"/>
    <w:rsid w:val="0073768C"/>
    <w:rsid w:val="007377EE"/>
    <w:rsid w:val="007378AD"/>
    <w:rsid w:val="007378F8"/>
    <w:rsid w:val="00737957"/>
    <w:rsid w:val="007379A5"/>
    <w:rsid w:val="00737A48"/>
    <w:rsid w:val="00737B9A"/>
    <w:rsid w:val="00737D6B"/>
    <w:rsid w:val="00737D8B"/>
    <w:rsid w:val="00737DB1"/>
    <w:rsid w:val="00737E0D"/>
    <w:rsid w:val="00737F40"/>
    <w:rsid w:val="00737FEE"/>
    <w:rsid w:val="007400C8"/>
    <w:rsid w:val="007400DC"/>
    <w:rsid w:val="00740406"/>
    <w:rsid w:val="007404BD"/>
    <w:rsid w:val="00740542"/>
    <w:rsid w:val="007405FD"/>
    <w:rsid w:val="00740636"/>
    <w:rsid w:val="00740686"/>
    <w:rsid w:val="007406FA"/>
    <w:rsid w:val="00740756"/>
    <w:rsid w:val="007407CB"/>
    <w:rsid w:val="0074080B"/>
    <w:rsid w:val="00740A81"/>
    <w:rsid w:val="00740B51"/>
    <w:rsid w:val="00740BC7"/>
    <w:rsid w:val="00740BDC"/>
    <w:rsid w:val="00740BE6"/>
    <w:rsid w:val="00740C45"/>
    <w:rsid w:val="00740C9A"/>
    <w:rsid w:val="00740DD4"/>
    <w:rsid w:val="00740E25"/>
    <w:rsid w:val="00740F1F"/>
    <w:rsid w:val="007412E9"/>
    <w:rsid w:val="00741305"/>
    <w:rsid w:val="0074131C"/>
    <w:rsid w:val="007413D6"/>
    <w:rsid w:val="0074145F"/>
    <w:rsid w:val="007414C4"/>
    <w:rsid w:val="007414E1"/>
    <w:rsid w:val="00741592"/>
    <w:rsid w:val="007415D5"/>
    <w:rsid w:val="00741618"/>
    <w:rsid w:val="00741762"/>
    <w:rsid w:val="007417AC"/>
    <w:rsid w:val="00741875"/>
    <w:rsid w:val="007418E7"/>
    <w:rsid w:val="007419A6"/>
    <w:rsid w:val="00741A16"/>
    <w:rsid w:val="00741AF8"/>
    <w:rsid w:val="00741BA9"/>
    <w:rsid w:val="00741C62"/>
    <w:rsid w:val="00741C68"/>
    <w:rsid w:val="00741CAC"/>
    <w:rsid w:val="00741CDB"/>
    <w:rsid w:val="00741CEC"/>
    <w:rsid w:val="00741D25"/>
    <w:rsid w:val="00741E09"/>
    <w:rsid w:val="00741E38"/>
    <w:rsid w:val="00741E87"/>
    <w:rsid w:val="00741E8E"/>
    <w:rsid w:val="00741EAC"/>
    <w:rsid w:val="00741EAE"/>
    <w:rsid w:val="00741FB4"/>
    <w:rsid w:val="0074212C"/>
    <w:rsid w:val="00742264"/>
    <w:rsid w:val="007422AD"/>
    <w:rsid w:val="007422BF"/>
    <w:rsid w:val="007422DD"/>
    <w:rsid w:val="00742360"/>
    <w:rsid w:val="007423A3"/>
    <w:rsid w:val="007423D2"/>
    <w:rsid w:val="007423E6"/>
    <w:rsid w:val="0074245A"/>
    <w:rsid w:val="00742473"/>
    <w:rsid w:val="00742480"/>
    <w:rsid w:val="007424E9"/>
    <w:rsid w:val="007425C5"/>
    <w:rsid w:val="007425D5"/>
    <w:rsid w:val="00742686"/>
    <w:rsid w:val="007426C4"/>
    <w:rsid w:val="007426FD"/>
    <w:rsid w:val="0074272D"/>
    <w:rsid w:val="007427D5"/>
    <w:rsid w:val="007427D9"/>
    <w:rsid w:val="0074284E"/>
    <w:rsid w:val="00742950"/>
    <w:rsid w:val="00742B6A"/>
    <w:rsid w:val="00742BF5"/>
    <w:rsid w:val="00742C02"/>
    <w:rsid w:val="00742E51"/>
    <w:rsid w:val="00742E7E"/>
    <w:rsid w:val="00742EC7"/>
    <w:rsid w:val="00742F90"/>
    <w:rsid w:val="00742FAA"/>
    <w:rsid w:val="00743037"/>
    <w:rsid w:val="007432E2"/>
    <w:rsid w:val="0074332F"/>
    <w:rsid w:val="00743386"/>
    <w:rsid w:val="007433AE"/>
    <w:rsid w:val="00743422"/>
    <w:rsid w:val="0074360B"/>
    <w:rsid w:val="00743653"/>
    <w:rsid w:val="007436FB"/>
    <w:rsid w:val="00743708"/>
    <w:rsid w:val="007439B5"/>
    <w:rsid w:val="00743A13"/>
    <w:rsid w:val="00743A77"/>
    <w:rsid w:val="00743B08"/>
    <w:rsid w:val="00743BAF"/>
    <w:rsid w:val="00743DE2"/>
    <w:rsid w:val="007440A3"/>
    <w:rsid w:val="007440C2"/>
    <w:rsid w:val="007440E2"/>
    <w:rsid w:val="00744241"/>
    <w:rsid w:val="007442A1"/>
    <w:rsid w:val="007442A7"/>
    <w:rsid w:val="00744346"/>
    <w:rsid w:val="0074435E"/>
    <w:rsid w:val="007443A3"/>
    <w:rsid w:val="007443EE"/>
    <w:rsid w:val="00744445"/>
    <w:rsid w:val="00744468"/>
    <w:rsid w:val="00744497"/>
    <w:rsid w:val="007444B9"/>
    <w:rsid w:val="00744526"/>
    <w:rsid w:val="00744813"/>
    <w:rsid w:val="00744869"/>
    <w:rsid w:val="00744893"/>
    <w:rsid w:val="007448C7"/>
    <w:rsid w:val="00744B6B"/>
    <w:rsid w:val="00744CCA"/>
    <w:rsid w:val="00744CCC"/>
    <w:rsid w:val="00744CF3"/>
    <w:rsid w:val="00744D83"/>
    <w:rsid w:val="00744DDA"/>
    <w:rsid w:val="00744E70"/>
    <w:rsid w:val="00744E7B"/>
    <w:rsid w:val="00744EE1"/>
    <w:rsid w:val="00744F10"/>
    <w:rsid w:val="00744F16"/>
    <w:rsid w:val="00745068"/>
    <w:rsid w:val="0074514B"/>
    <w:rsid w:val="00745165"/>
    <w:rsid w:val="007451E5"/>
    <w:rsid w:val="0074526D"/>
    <w:rsid w:val="00745357"/>
    <w:rsid w:val="00745399"/>
    <w:rsid w:val="007453AC"/>
    <w:rsid w:val="007453B7"/>
    <w:rsid w:val="00745401"/>
    <w:rsid w:val="00745422"/>
    <w:rsid w:val="0074555F"/>
    <w:rsid w:val="007455A7"/>
    <w:rsid w:val="007455F2"/>
    <w:rsid w:val="007456A8"/>
    <w:rsid w:val="007456D7"/>
    <w:rsid w:val="00745711"/>
    <w:rsid w:val="00745740"/>
    <w:rsid w:val="0074580A"/>
    <w:rsid w:val="00745861"/>
    <w:rsid w:val="007458CA"/>
    <w:rsid w:val="00745A02"/>
    <w:rsid w:val="00745B8E"/>
    <w:rsid w:val="00745C27"/>
    <w:rsid w:val="00745C4C"/>
    <w:rsid w:val="00745D0A"/>
    <w:rsid w:val="00745D82"/>
    <w:rsid w:val="00745DF3"/>
    <w:rsid w:val="00745E4D"/>
    <w:rsid w:val="00745FDB"/>
    <w:rsid w:val="00746016"/>
    <w:rsid w:val="00746160"/>
    <w:rsid w:val="00746180"/>
    <w:rsid w:val="007463B4"/>
    <w:rsid w:val="00746652"/>
    <w:rsid w:val="007466AC"/>
    <w:rsid w:val="00746808"/>
    <w:rsid w:val="007468A4"/>
    <w:rsid w:val="007468CD"/>
    <w:rsid w:val="00746945"/>
    <w:rsid w:val="00746985"/>
    <w:rsid w:val="00746A05"/>
    <w:rsid w:val="00746A36"/>
    <w:rsid w:val="00746B0C"/>
    <w:rsid w:val="00746B1F"/>
    <w:rsid w:val="00746BBC"/>
    <w:rsid w:val="00746C36"/>
    <w:rsid w:val="00746DAD"/>
    <w:rsid w:val="00746E69"/>
    <w:rsid w:val="00746EF9"/>
    <w:rsid w:val="00747051"/>
    <w:rsid w:val="007470A5"/>
    <w:rsid w:val="007470CF"/>
    <w:rsid w:val="007471CB"/>
    <w:rsid w:val="00747200"/>
    <w:rsid w:val="007472C9"/>
    <w:rsid w:val="00747353"/>
    <w:rsid w:val="007473F0"/>
    <w:rsid w:val="0074743A"/>
    <w:rsid w:val="00747501"/>
    <w:rsid w:val="007475AC"/>
    <w:rsid w:val="0074762E"/>
    <w:rsid w:val="00747817"/>
    <w:rsid w:val="00747888"/>
    <w:rsid w:val="00747A09"/>
    <w:rsid w:val="00747B9C"/>
    <w:rsid w:val="00747BB3"/>
    <w:rsid w:val="00747BBC"/>
    <w:rsid w:val="00747BD9"/>
    <w:rsid w:val="00747CC5"/>
    <w:rsid w:val="00747CE1"/>
    <w:rsid w:val="00747DA1"/>
    <w:rsid w:val="00747E17"/>
    <w:rsid w:val="00747F45"/>
    <w:rsid w:val="00747FF7"/>
    <w:rsid w:val="00750060"/>
    <w:rsid w:val="00750083"/>
    <w:rsid w:val="0075012B"/>
    <w:rsid w:val="007501BA"/>
    <w:rsid w:val="0075041D"/>
    <w:rsid w:val="0075041E"/>
    <w:rsid w:val="00750462"/>
    <w:rsid w:val="0075049D"/>
    <w:rsid w:val="007504A8"/>
    <w:rsid w:val="00750673"/>
    <w:rsid w:val="00750767"/>
    <w:rsid w:val="00750837"/>
    <w:rsid w:val="0075085A"/>
    <w:rsid w:val="007508C9"/>
    <w:rsid w:val="00750903"/>
    <w:rsid w:val="007509C6"/>
    <w:rsid w:val="007509CC"/>
    <w:rsid w:val="00750CAF"/>
    <w:rsid w:val="00750DE7"/>
    <w:rsid w:val="00750E82"/>
    <w:rsid w:val="00750ED5"/>
    <w:rsid w:val="00750F15"/>
    <w:rsid w:val="00750F39"/>
    <w:rsid w:val="00750FA0"/>
    <w:rsid w:val="0075101C"/>
    <w:rsid w:val="00751090"/>
    <w:rsid w:val="00751205"/>
    <w:rsid w:val="00751413"/>
    <w:rsid w:val="007514AB"/>
    <w:rsid w:val="00751659"/>
    <w:rsid w:val="007517EC"/>
    <w:rsid w:val="0075180B"/>
    <w:rsid w:val="007518E1"/>
    <w:rsid w:val="00751921"/>
    <w:rsid w:val="00751A08"/>
    <w:rsid w:val="00751A61"/>
    <w:rsid w:val="00751B22"/>
    <w:rsid w:val="00751B93"/>
    <w:rsid w:val="00751C75"/>
    <w:rsid w:val="00751CAC"/>
    <w:rsid w:val="00751D07"/>
    <w:rsid w:val="00751D0F"/>
    <w:rsid w:val="00751E89"/>
    <w:rsid w:val="00751ED9"/>
    <w:rsid w:val="00751EF9"/>
    <w:rsid w:val="00751F81"/>
    <w:rsid w:val="0075204E"/>
    <w:rsid w:val="00752084"/>
    <w:rsid w:val="007520AF"/>
    <w:rsid w:val="007520B0"/>
    <w:rsid w:val="00752148"/>
    <w:rsid w:val="00752178"/>
    <w:rsid w:val="007521C5"/>
    <w:rsid w:val="0075220C"/>
    <w:rsid w:val="007522D1"/>
    <w:rsid w:val="007522FF"/>
    <w:rsid w:val="007523CF"/>
    <w:rsid w:val="007524CA"/>
    <w:rsid w:val="0075257D"/>
    <w:rsid w:val="0075261F"/>
    <w:rsid w:val="00752658"/>
    <w:rsid w:val="0075266F"/>
    <w:rsid w:val="0075267F"/>
    <w:rsid w:val="007526B8"/>
    <w:rsid w:val="00752734"/>
    <w:rsid w:val="0075279D"/>
    <w:rsid w:val="00752845"/>
    <w:rsid w:val="0075285C"/>
    <w:rsid w:val="00752A3A"/>
    <w:rsid w:val="00752A85"/>
    <w:rsid w:val="00752AA7"/>
    <w:rsid w:val="00752C3E"/>
    <w:rsid w:val="00752C63"/>
    <w:rsid w:val="00752DEB"/>
    <w:rsid w:val="00752E98"/>
    <w:rsid w:val="00752F03"/>
    <w:rsid w:val="00752F56"/>
    <w:rsid w:val="00752FDF"/>
    <w:rsid w:val="00753024"/>
    <w:rsid w:val="007531E5"/>
    <w:rsid w:val="00753269"/>
    <w:rsid w:val="0075328B"/>
    <w:rsid w:val="007532CF"/>
    <w:rsid w:val="007533EB"/>
    <w:rsid w:val="007534E5"/>
    <w:rsid w:val="007534E8"/>
    <w:rsid w:val="0075362E"/>
    <w:rsid w:val="00753636"/>
    <w:rsid w:val="00753664"/>
    <w:rsid w:val="007537BA"/>
    <w:rsid w:val="00753997"/>
    <w:rsid w:val="00753AD3"/>
    <w:rsid w:val="00753B9A"/>
    <w:rsid w:val="00753D52"/>
    <w:rsid w:val="00753DFC"/>
    <w:rsid w:val="00753E56"/>
    <w:rsid w:val="00753E82"/>
    <w:rsid w:val="00753FC1"/>
    <w:rsid w:val="00754044"/>
    <w:rsid w:val="0075407D"/>
    <w:rsid w:val="007540A6"/>
    <w:rsid w:val="00754104"/>
    <w:rsid w:val="007541F4"/>
    <w:rsid w:val="007543B7"/>
    <w:rsid w:val="00754538"/>
    <w:rsid w:val="007545DE"/>
    <w:rsid w:val="00754656"/>
    <w:rsid w:val="0075469E"/>
    <w:rsid w:val="007546CC"/>
    <w:rsid w:val="0075471C"/>
    <w:rsid w:val="0075472D"/>
    <w:rsid w:val="00754767"/>
    <w:rsid w:val="0075482A"/>
    <w:rsid w:val="00754843"/>
    <w:rsid w:val="0075486E"/>
    <w:rsid w:val="00754890"/>
    <w:rsid w:val="00754892"/>
    <w:rsid w:val="007548DF"/>
    <w:rsid w:val="0075494B"/>
    <w:rsid w:val="00754980"/>
    <w:rsid w:val="007549B9"/>
    <w:rsid w:val="00754A69"/>
    <w:rsid w:val="00754B27"/>
    <w:rsid w:val="00754B94"/>
    <w:rsid w:val="00754B9B"/>
    <w:rsid w:val="00754DFC"/>
    <w:rsid w:val="00754E1B"/>
    <w:rsid w:val="00754E48"/>
    <w:rsid w:val="00754EA9"/>
    <w:rsid w:val="00754F5C"/>
    <w:rsid w:val="0075507A"/>
    <w:rsid w:val="0075513C"/>
    <w:rsid w:val="00755269"/>
    <w:rsid w:val="00755387"/>
    <w:rsid w:val="007553FA"/>
    <w:rsid w:val="00755445"/>
    <w:rsid w:val="007554E6"/>
    <w:rsid w:val="007554E7"/>
    <w:rsid w:val="0075551B"/>
    <w:rsid w:val="0075554F"/>
    <w:rsid w:val="007556D8"/>
    <w:rsid w:val="00755726"/>
    <w:rsid w:val="007557B7"/>
    <w:rsid w:val="007557BB"/>
    <w:rsid w:val="007558A6"/>
    <w:rsid w:val="007558DF"/>
    <w:rsid w:val="00755972"/>
    <w:rsid w:val="007559DF"/>
    <w:rsid w:val="00755A49"/>
    <w:rsid w:val="00755A65"/>
    <w:rsid w:val="00755A8C"/>
    <w:rsid w:val="00755AB9"/>
    <w:rsid w:val="00755ABE"/>
    <w:rsid w:val="00755B01"/>
    <w:rsid w:val="00755B77"/>
    <w:rsid w:val="00755BE0"/>
    <w:rsid w:val="00755C25"/>
    <w:rsid w:val="00755C71"/>
    <w:rsid w:val="00755CB9"/>
    <w:rsid w:val="00755CC7"/>
    <w:rsid w:val="00755E27"/>
    <w:rsid w:val="00755E3E"/>
    <w:rsid w:val="00755EF2"/>
    <w:rsid w:val="00755F04"/>
    <w:rsid w:val="00755F60"/>
    <w:rsid w:val="00756164"/>
    <w:rsid w:val="00756262"/>
    <w:rsid w:val="0075626D"/>
    <w:rsid w:val="00756362"/>
    <w:rsid w:val="00756380"/>
    <w:rsid w:val="007564FC"/>
    <w:rsid w:val="00756514"/>
    <w:rsid w:val="00756581"/>
    <w:rsid w:val="0075660A"/>
    <w:rsid w:val="007566DC"/>
    <w:rsid w:val="007566E9"/>
    <w:rsid w:val="007567AB"/>
    <w:rsid w:val="00756850"/>
    <w:rsid w:val="00756944"/>
    <w:rsid w:val="00756953"/>
    <w:rsid w:val="00756981"/>
    <w:rsid w:val="007569AF"/>
    <w:rsid w:val="00756A0B"/>
    <w:rsid w:val="00756AF7"/>
    <w:rsid w:val="00756B0C"/>
    <w:rsid w:val="00756B39"/>
    <w:rsid w:val="00756B60"/>
    <w:rsid w:val="00756BCF"/>
    <w:rsid w:val="00756BE8"/>
    <w:rsid w:val="00756CE1"/>
    <w:rsid w:val="00756D5D"/>
    <w:rsid w:val="00756E33"/>
    <w:rsid w:val="00756E56"/>
    <w:rsid w:val="00756E62"/>
    <w:rsid w:val="00756F3C"/>
    <w:rsid w:val="00757008"/>
    <w:rsid w:val="007570F1"/>
    <w:rsid w:val="0075712E"/>
    <w:rsid w:val="007571F7"/>
    <w:rsid w:val="0075723A"/>
    <w:rsid w:val="007572B6"/>
    <w:rsid w:val="0075731B"/>
    <w:rsid w:val="007573E8"/>
    <w:rsid w:val="0075758E"/>
    <w:rsid w:val="00757663"/>
    <w:rsid w:val="007576D5"/>
    <w:rsid w:val="00757779"/>
    <w:rsid w:val="007578B1"/>
    <w:rsid w:val="007579DB"/>
    <w:rsid w:val="00757A1A"/>
    <w:rsid w:val="00757B65"/>
    <w:rsid w:val="00757C96"/>
    <w:rsid w:val="00757DBF"/>
    <w:rsid w:val="00757DF2"/>
    <w:rsid w:val="00757DFE"/>
    <w:rsid w:val="00757EFB"/>
    <w:rsid w:val="00757F6B"/>
    <w:rsid w:val="007602DF"/>
    <w:rsid w:val="00760410"/>
    <w:rsid w:val="00760434"/>
    <w:rsid w:val="00760487"/>
    <w:rsid w:val="007604A4"/>
    <w:rsid w:val="00760599"/>
    <w:rsid w:val="007605B9"/>
    <w:rsid w:val="007606FD"/>
    <w:rsid w:val="0076071B"/>
    <w:rsid w:val="00760892"/>
    <w:rsid w:val="007608D4"/>
    <w:rsid w:val="00760958"/>
    <w:rsid w:val="00760B24"/>
    <w:rsid w:val="00760B59"/>
    <w:rsid w:val="00760C31"/>
    <w:rsid w:val="00760C64"/>
    <w:rsid w:val="00760CD9"/>
    <w:rsid w:val="00760D61"/>
    <w:rsid w:val="00760D62"/>
    <w:rsid w:val="00760D6A"/>
    <w:rsid w:val="00760EFA"/>
    <w:rsid w:val="00760F8F"/>
    <w:rsid w:val="0076101A"/>
    <w:rsid w:val="00761112"/>
    <w:rsid w:val="00761174"/>
    <w:rsid w:val="007611E6"/>
    <w:rsid w:val="007611F7"/>
    <w:rsid w:val="007612F8"/>
    <w:rsid w:val="0076131C"/>
    <w:rsid w:val="00761481"/>
    <w:rsid w:val="00761485"/>
    <w:rsid w:val="007614EE"/>
    <w:rsid w:val="00761593"/>
    <w:rsid w:val="00761714"/>
    <w:rsid w:val="00761771"/>
    <w:rsid w:val="007617A5"/>
    <w:rsid w:val="007618CE"/>
    <w:rsid w:val="007618F5"/>
    <w:rsid w:val="007618F7"/>
    <w:rsid w:val="00761958"/>
    <w:rsid w:val="00761A23"/>
    <w:rsid w:val="00761AE9"/>
    <w:rsid w:val="00761B01"/>
    <w:rsid w:val="00761BFD"/>
    <w:rsid w:val="00761C22"/>
    <w:rsid w:val="00761F99"/>
    <w:rsid w:val="00761FD1"/>
    <w:rsid w:val="00762055"/>
    <w:rsid w:val="00762089"/>
    <w:rsid w:val="007620E7"/>
    <w:rsid w:val="0076213E"/>
    <w:rsid w:val="00762186"/>
    <w:rsid w:val="00762196"/>
    <w:rsid w:val="0076222F"/>
    <w:rsid w:val="0076224B"/>
    <w:rsid w:val="00762282"/>
    <w:rsid w:val="00762461"/>
    <w:rsid w:val="0076253C"/>
    <w:rsid w:val="0076257F"/>
    <w:rsid w:val="00762645"/>
    <w:rsid w:val="007627E9"/>
    <w:rsid w:val="00762830"/>
    <w:rsid w:val="00762875"/>
    <w:rsid w:val="007628A1"/>
    <w:rsid w:val="00762916"/>
    <w:rsid w:val="007629DE"/>
    <w:rsid w:val="007629F0"/>
    <w:rsid w:val="00762A73"/>
    <w:rsid w:val="00762B81"/>
    <w:rsid w:val="00762BB9"/>
    <w:rsid w:val="00762BE4"/>
    <w:rsid w:val="00762C03"/>
    <w:rsid w:val="00762CA1"/>
    <w:rsid w:val="00762DB9"/>
    <w:rsid w:val="00762E40"/>
    <w:rsid w:val="00762E5A"/>
    <w:rsid w:val="00763078"/>
    <w:rsid w:val="00763154"/>
    <w:rsid w:val="0076316A"/>
    <w:rsid w:val="007632FD"/>
    <w:rsid w:val="007633EE"/>
    <w:rsid w:val="007636CE"/>
    <w:rsid w:val="007636FE"/>
    <w:rsid w:val="0076380C"/>
    <w:rsid w:val="00763906"/>
    <w:rsid w:val="00763B1E"/>
    <w:rsid w:val="00763B2A"/>
    <w:rsid w:val="00763CA7"/>
    <w:rsid w:val="00763CF5"/>
    <w:rsid w:val="00763D1F"/>
    <w:rsid w:val="00763DBC"/>
    <w:rsid w:val="00763EA3"/>
    <w:rsid w:val="00763EDD"/>
    <w:rsid w:val="00764036"/>
    <w:rsid w:val="00764045"/>
    <w:rsid w:val="00764073"/>
    <w:rsid w:val="0076417A"/>
    <w:rsid w:val="007641BA"/>
    <w:rsid w:val="007641EB"/>
    <w:rsid w:val="007642CC"/>
    <w:rsid w:val="0076430C"/>
    <w:rsid w:val="00764343"/>
    <w:rsid w:val="00764451"/>
    <w:rsid w:val="00764458"/>
    <w:rsid w:val="007644A1"/>
    <w:rsid w:val="007644D1"/>
    <w:rsid w:val="0076450D"/>
    <w:rsid w:val="00764579"/>
    <w:rsid w:val="00764591"/>
    <w:rsid w:val="007645A2"/>
    <w:rsid w:val="00764678"/>
    <w:rsid w:val="007646CC"/>
    <w:rsid w:val="007646F8"/>
    <w:rsid w:val="00764869"/>
    <w:rsid w:val="00764878"/>
    <w:rsid w:val="00764B19"/>
    <w:rsid w:val="00764B3A"/>
    <w:rsid w:val="00764B6A"/>
    <w:rsid w:val="00764BA4"/>
    <w:rsid w:val="00764BB5"/>
    <w:rsid w:val="00764BEC"/>
    <w:rsid w:val="00764C8A"/>
    <w:rsid w:val="00764C90"/>
    <w:rsid w:val="00764EE2"/>
    <w:rsid w:val="00764F18"/>
    <w:rsid w:val="00764FD1"/>
    <w:rsid w:val="00764FF6"/>
    <w:rsid w:val="007651BA"/>
    <w:rsid w:val="00765237"/>
    <w:rsid w:val="00765257"/>
    <w:rsid w:val="0076529D"/>
    <w:rsid w:val="00765382"/>
    <w:rsid w:val="007653A0"/>
    <w:rsid w:val="00765476"/>
    <w:rsid w:val="007654DB"/>
    <w:rsid w:val="00765548"/>
    <w:rsid w:val="0076554D"/>
    <w:rsid w:val="007655A4"/>
    <w:rsid w:val="0076562F"/>
    <w:rsid w:val="0076567D"/>
    <w:rsid w:val="007656E1"/>
    <w:rsid w:val="007656EA"/>
    <w:rsid w:val="0076571B"/>
    <w:rsid w:val="007657F7"/>
    <w:rsid w:val="007659D1"/>
    <w:rsid w:val="00765A02"/>
    <w:rsid w:val="00765AA7"/>
    <w:rsid w:val="00765AF2"/>
    <w:rsid w:val="00765B86"/>
    <w:rsid w:val="00765B9B"/>
    <w:rsid w:val="00765C95"/>
    <w:rsid w:val="00765D2C"/>
    <w:rsid w:val="00765D71"/>
    <w:rsid w:val="00765D7D"/>
    <w:rsid w:val="00765D88"/>
    <w:rsid w:val="00765D9B"/>
    <w:rsid w:val="00765F06"/>
    <w:rsid w:val="00765FF3"/>
    <w:rsid w:val="00766002"/>
    <w:rsid w:val="0076606F"/>
    <w:rsid w:val="00766125"/>
    <w:rsid w:val="0076612D"/>
    <w:rsid w:val="00766202"/>
    <w:rsid w:val="0076620A"/>
    <w:rsid w:val="00766308"/>
    <w:rsid w:val="007663DC"/>
    <w:rsid w:val="00766444"/>
    <w:rsid w:val="00766519"/>
    <w:rsid w:val="00766570"/>
    <w:rsid w:val="007665E9"/>
    <w:rsid w:val="0076673A"/>
    <w:rsid w:val="007669A5"/>
    <w:rsid w:val="00766A4E"/>
    <w:rsid w:val="00766A9C"/>
    <w:rsid w:val="00766C52"/>
    <w:rsid w:val="00766D24"/>
    <w:rsid w:val="00766D2F"/>
    <w:rsid w:val="00766DF7"/>
    <w:rsid w:val="00766E8E"/>
    <w:rsid w:val="00766EBC"/>
    <w:rsid w:val="00766EBE"/>
    <w:rsid w:val="00766F64"/>
    <w:rsid w:val="00767022"/>
    <w:rsid w:val="0076709E"/>
    <w:rsid w:val="00767136"/>
    <w:rsid w:val="0076714D"/>
    <w:rsid w:val="00767177"/>
    <w:rsid w:val="0076719E"/>
    <w:rsid w:val="007671E4"/>
    <w:rsid w:val="00767216"/>
    <w:rsid w:val="00767255"/>
    <w:rsid w:val="007672A1"/>
    <w:rsid w:val="007672BA"/>
    <w:rsid w:val="007672FC"/>
    <w:rsid w:val="00767330"/>
    <w:rsid w:val="0076746D"/>
    <w:rsid w:val="0076747D"/>
    <w:rsid w:val="007674E3"/>
    <w:rsid w:val="007674EB"/>
    <w:rsid w:val="007674FB"/>
    <w:rsid w:val="00767572"/>
    <w:rsid w:val="0076767C"/>
    <w:rsid w:val="00767680"/>
    <w:rsid w:val="00767761"/>
    <w:rsid w:val="00767769"/>
    <w:rsid w:val="007677BB"/>
    <w:rsid w:val="007678B4"/>
    <w:rsid w:val="00767A49"/>
    <w:rsid w:val="00767B4B"/>
    <w:rsid w:val="00767C04"/>
    <w:rsid w:val="00767C55"/>
    <w:rsid w:val="00767DDF"/>
    <w:rsid w:val="00767DE0"/>
    <w:rsid w:val="00767EF2"/>
    <w:rsid w:val="00767F64"/>
    <w:rsid w:val="00767FDF"/>
    <w:rsid w:val="007700BD"/>
    <w:rsid w:val="007700F7"/>
    <w:rsid w:val="00770141"/>
    <w:rsid w:val="0077027B"/>
    <w:rsid w:val="007702A2"/>
    <w:rsid w:val="0077035C"/>
    <w:rsid w:val="0077036F"/>
    <w:rsid w:val="0077041E"/>
    <w:rsid w:val="00770483"/>
    <w:rsid w:val="00770487"/>
    <w:rsid w:val="00770544"/>
    <w:rsid w:val="007705AD"/>
    <w:rsid w:val="007705B7"/>
    <w:rsid w:val="00770604"/>
    <w:rsid w:val="0077060C"/>
    <w:rsid w:val="00770633"/>
    <w:rsid w:val="00770652"/>
    <w:rsid w:val="00770675"/>
    <w:rsid w:val="00770761"/>
    <w:rsid w:val="00770A42"/>
    <w:rsid w:val="00770A50"/>
    <w:rsid w:val="00770A66"/>
    <w:rsid w:val="00770AFD"/>
    <w:rsid w:val="00770B99"/>
    <w:rsid w:val="00770BB8"/>
    <w:rsid w:val="00770C02"/>
    <w:rsid w:val="00770D56"/>
    <w:rsid w:val="00770DE3"/>
    <w:rsid w:val="00770E1B"/>
    <w:rsid w:val="00770EAB"/>
    <w:rsid w:val="00770EB6"/>
    <w:rsid w:val="00770ECD"/>
    <w:rsid w:val="00770ED5"/>
    <w:rsid w:val="00771061"/>
    <w:rsid w:val="007710B3"/>
    <w:rsid w:val="00771160"/>
    <w:rsid w:val="007711BE"/>
    <w:rsid w:val="00771286"/>
    <w:rsid w:val="007712CE"/>
    <w:rsid w:val="00771362"/>
    <w:rsid w:val="00771432"/>
    <w:rsid w:val="00771472"/>
    <w:rsid w:val="00771488"/>
    <w:rsid w:val="0077153A"/>
    <w:rsid w:val="00771626"/>
    <w:rsid w:val="00771634"/>
    <w:rsid w:val="0077163C"/>
    <w:rsid w:val="007716D1"/>
    <w:rsid w:val="0077173E"/>
    <w:rsid w:val="007717DA"/>
    <w:rsid w:val="00771821"/>
    <w:rsid w:val="00771905"/>
    <w:rsid w:val="007719F3"/>
    <w:rsid w:val="00771B5A"/>
    <w:rsid w:val="00771B63"/>
    <w:rsid w:val="00771C4F"/>
    <w:rsid w:val="00771F09"/>
    <w:rsid w:val="00771F32"/>
    <w:rsid w:val="00771F45"/>
    <w:rsid w:val="00771F92"/>
    <w:rsid w:val="00771FC9"/>
    <w:rsid w:val="00771FDE"/>
    <w:rsid w:val="007720E6"/>
    <w:rsid w:val="00772176"/>
    <w:rsid w:val="00772180"/>
    <w:rsid w:val="00772342"/>
    <w:rsid w:val="0077236A"/>
    <w:rsid w:val="007723E2"/>
    <w:rsid w:val="0077240D"/>
    <w:rsid w:val="0077262D"/>
    <w:rsid w:val="007726E1"/>
    <w:rsid w:val="0077287B"/>
    <w:rsid w:val="007728CB"/>
    <w:rsid w:val="007728E1"/>
    <w:rsid w:val="00772905"/>
    <w:rsid w:val="00772A37"/>
    <w:rsid w:val="00772A7D"/>
    <w:rsid w:val="00772A92"/>
    <w:rsid w:val="00772AF8"/>
    <w:rsid w:val="00772BED"/>
    <w:rsid w:val="00772C66"/>
    <w:rsid w:val="00772C9B"/>
    <w:rsid w:val="00772CC9"/>
    <w:rsid w:val="00772CCE"/>
    <w:rsid w:val="00772DD0"/>
    <w:rsid w:val="00772E77"/>
    <w:rsid w:val="00772E87"/>
    <w:rsid w:val="00772F51"/>
    <w:rsid w:val="0077302D"/>
    <w:rsid w:val="00773030"/>
    <w:rsid w:val="0077306E"/>
    <w:rsid w:val="007730A9"/>
    <w:rsid w:val="007730B6"/>
    <w:rsid w:val="00773199"/>
    <w:rsid w:val="0077324F"/>
    <w:rsid w:val="0077345D"/>
    <w:rsid w:val="007734D3"/>
    <w:rsid w:val="007734FD"/>
    <w:rsid w:val="0077356A"/>
    <w:rsid w:val="0077358B"/>
    <w:rsid w:val="007736CF"/>
    <w:rsid w:val="00773724"/>
    <w:rsid w:val="007737D7"/>
    <w:rsid w:val="007737F1"/>
    <w:rsid w:val="007738D0"/>
    <w:rsid w:val="00773925"/>
    <w:rsid w:val="00773965"/>
    <w:rsid w:val="00773989"/>
    <w:rsid w:val="00773A9D"/>
    <w:rsid w:val="00773BAA"/>
    <w:rsid w:val="00773BBA"/>
    <w:rsid w:val="00773C47"/>
    <w:rsid w:val="00773C5D"/>
    <w:rsid w:val="00773E1C"/>
    <w:rsid w:val="00773E30"/>
    <w:rsid w:val="00773FFB"/>
    <w:rsid w:val="00774000"/>
    <w:rsid w:val="0077400F"/>
    <w:rsid w:val="007740B9"/>
    <w:rsid w:val="007740D3"/>
    <w:rsid w:val="00774157"/>
    <w:rsid w:val="00774229"/>
    <w:rsid w:val="0077422A"/>
    <w:rsid w:val="00774236"/>
    <w:rsid w:val="00774293"/>
    <w:rsid w:val="00774387"/>
    <w:rsid w:val="007743BA"/>
    <w:rsid w:val="0077456A"/>
    <w:rsid w:val="00774930"/>
    <w:rsid w:val="007749F7"/>
    <w:rsid w:val="007749FD"/>
    <w:rsid w:val="00774BF5"/>
    <w:rsid w:val="00774DF7"/>
    <w:rsid w:val="00774F61"/>
    <w:rsid w:val="00775096"/>
    <w:rsid w:val="0077514A"/>
    <w:rsid w:val="00775237"/>
    <w:rsid w:val="007752D7"/>
    <w:rsid w:val="007754F4"/>
    <w:rsid w:val="0077569E"/>
    <w:rsid w:val="007756B9"/>
    <w:rsid w:val="00775753"/>
    <w:rsid w:val="00775858"/>
    <w:rsid w:val="007759B8"/>
    <w:rsid w:val="00775A03"/>
    <w:rsid w:val="00775A4C"/>
    <w:rsid w:val="00775C46"/>
    <w:rsid w:val="00775C4B"/>
    <w:rsid w:val="00775C5E"/>
    <w:rsid w:val="00775CD3"/>
    <w:rsid w:val="00775D50"/>
    <w:rsid w:val="00775DE8"/>
    <w:rsid w:val="00775E42"/>
    <w:rsid w:val="00776207"/>
    <w:rsid w:val="00776295"/>
    <w:rsid w:val="007762D2"/>
    <w:rsid w:val="00776359"/>
    <w:rsid w:val="00776477"/>
    <w:rsid w:val="007764C6"/>
    <w:rsid w:val="007764D8"/>
    <w:rsid w:val="00776573"/>
    <w:rsid w:val="007765A8"/>
    <w:rsid w:val="00776628"/>
    <w:rsid w:val="007767BA"/>
    <w:rsid w:val="00776817"/>
    <w:rsid w:val="00776820"/>
    <w:rsid w:val="00776878"/>
    <w:rsid w:val="007768F8"/>
    <w:rsid w:val="0077692F"/>
    <w:rsid w:val="00776A0C"/>
    <w:rsid w:val="00776B30"/>
    <w:rsid w:val="00776B39"/>
    <w:rsid w:val="00776B3A"/>
    <w:rsid w:val="00776B94"/>
    <w:rsid w:val="00776C00"/>
    <w:rsid w:val="00776C0D"/>
    <w:rsid w:val="00776C5A"/>
    <w:rsid w:val="00776CF4"/>
    <w:rsid w:val="00776E81"/>
    <w:rsid w:val="00776E8B"/>
    <w:rsid w:val="00776F16"/>
    <w:rsid w:val="00776F7D"/>
    <w:rsid w:val="0077702D"/>
    <w:rsid w:val="00777078"/>
    <w:rsid w:val="0077717C"/>
    <w:rsid w:val="007771A5"/>
    <w:rsid w:val="007771B4"/>
    <w:rsid w:val="007773D2"/>
    <w:rsid w:val="0077749F"/>
    <w:rsid w:val="007774C0"/>
    <w:rsid w:val="007774DC"/>
    <w:rsid w:val="007777FE"/>
    <w:rsid w:val="0077780B"/>
    <w:rsid w:val="00777819"/>
    <w:rsid w:val="00777843"/>
    <w:rsid w:val="00777923"/>
    <w:rsid w:val="00777929"/>
    <w:rsid w:val="00777965"/>
    <w:rsid w:val="0077797A"/>
    <w:rsid w:val="00777A66"/>
    <w:rsid w:val="00777A6A"/>
    <w:rsid w:val="00777AAD"/>
    <w:rsid w:val="00777B15"/>
    <w:rsid w:val="00777C5D"/>
    <w:rsid w:val="00777C6C"/>
    <w:rsid w:val="00777C87"/>
    <w:rsid w:val="00777C8D"/>
    <w:rsid w:val="00777CE5"/>
    <w:rsid w:val="00777D91"/>
    <w:rsid w:val="00777E9F"/>
    <w:rsid w:val="00777ED5"/>
    <w:rsid w:val="00777FF2"/>
    <w:rsid w:val="00780119"/>
    <w:rsid w:val="0078016A"/>
    <w:rsid w:val="007801DF"/>
    <w:rsid w:val="007802C4"/>
    <w:rsid w:val="0078030A"/>
    <w:rsid w:val="0078030E"/>
    <w:rsid w:val="0078031A"/>
    <w:rsid w:val="007803F4"/>
    <w:rsid w:val="0078044F"/>
    <w:rsid w:val="00780457"/>
    <w:rsid w:val="00780497"/>
    <w:rsid w:val="007804FB"/>
    <w:rsid w:val="0078054E"/>
    <w:rsid w:val="0078057F"/>
    <w:rsid w:val="007805FE"/>
    <w:rsid w:val="00780631"/>
    <w:rsid w:val="0078065E"/>
    <w:rsid w:val="007806BA"/>
    <w:rsid w:val="0078077C"/>
    <w:rsid w:val="00780816"/>
    <w:rsid w:val="00780837"/>
    <w:rsid w:val="00780938"/>
    <w:rsid w:val="00780988"/>
    <w:rsid w:val="007809B6"/>
    <w:rsid w:val="007809E2"/>
    <w:rsid w:val="007809EC"/>
    <w:rsid w:val="00780A8F"/>
    <w:rsid w:val="00780A9B"/>
    <w:rsid w:val="00780AAC"/>
    <w:rsid w:val="00780BAF"/>
    <w:rsid w:val="00780BCF"/>
    <w:rsid w:val="00780C14"/>
    <w:rsid w:val="00780C22"/>
    <w:rsid w:val="00780D50"/>
    <w:rsid w:val="00780EDC"/>
    <w:rsid w:val="00780F67"/>
    <w:rsid w:val="00781179"/>
    <w:rsid w:val="0078118D"/>
    <w:rsid w:val="00781448"/>
    <w:rsid w:val="007815FD"/>
    <w:rsid w:val="0078168A"/>
    <w:rsid w:val="0078174B"/>
    <w:rsid w:val="0078178D"/>
    <w:rsid w:val="0078198A"/>
    <w:rsid w:val="007819B5"/>
    <w:rsid w:val="00781ADB"/>
    <w:rsid w:val="00781B7A"/>
    <w:rsid w:val="00781C32"/>
    <w:rsid w:val="00781C35"/>
    <w:rsid w:val="00781D59"/>
    <w:rsid w:val="00781D60"/>
    <w:rsid w:val="00781D7C"/>
    <w:rsid w:val="00781DAD"/>
    <w:rsid w:val="00781DF0"/>
    <w:rsid w:val="00781E5C"/>
    <w:rsid w:val="00781EAE"/>
    <w:rsid w:val="00781EC7"/>
    <w:rsid w:val="00781F4D"/>
    <w:rsid w:val="00781F93"/>
    <w:rsid w:val="00782060"/>
    <w:rsid w:val="007820B5"/>
    <w:rsid w:val="0078216C"/>
    <w:rsid w:val="007821E4"/>
    <w:rsid w:val="0078228D"/>
    <w:rsid w:val="007822DD"/>
    <w:rsid w:val="007822E6"/>
    <w:rsid w:val="0078242D"/>
    <w:rsid w:val="0078248D"/>
    <w:rsid w:val="00782554"/>
    <w:rsid w:val="00782596"/>
    <w:rsid w:val="00782708"/>
    <w:rsid w:val="0078287E"/>
    <w:rsid w:val="007828B2"/>
    <w:rsid w:val="0078291E"/>
    <w:rsid w:val="0078292A"/>
    <w:rsid w:val="00782935"/>
    <w:rsid w:val="007829C9"/>
    <w:rsid w:val="00782A50"/>
    <w:rsid w:val="00782B1A"/>
    <w:rsid w:val="00782B8E"/>
    <w:rsid w:val="00782D5D"/>
    <w:rsid w:val="00782D89"/>
    <w:rsid w:val="00782EF7"/>
    <w:rsid w:val="00782F02"/>
    <w:rsid w:val="00782F16"/>
    <w:rsid w:val="00782F28"/>
    <w:rsid w:val="00782F9A"/>
    <w:rsid w:val="00782FD6"/>
    <w:rsid w:val="00782FE2"/>
    <w:rsid w:val="0078302F"/>
    <w:rsid w:val="00783100"/>
    <w:rsid w:val="00783105"/>
    <w:rsid w:val="00783140"/>
    <w:rsid w:val="0078333B"/>
    <w:rsid w:val="0078335A"/>
    <w:rsid w:val="007833B1"/>
    <w:rsid w:val="007833F7"/>
    <w:rsid w:val="00783411"/>
    <w:rsid w:val="00783425"/>
    <w:rsid w:val="0078347A"/>
    <w:rsid w:val="00783531"/>
    <w:rsid w:val="0078356C"/>
    <w:rsid w:val="00783665"/>
    <w:rsid w:val="00783666"/>
    <w:rsid w:val="007836D3"/>
    <w:rsid w:val="007836E7"/>
    <w:rsid w:val="007836FB"/>
    <w:rsid w:val="00783771"/>
    <w:rsid w:val="00783813"/>
    <w:rsid w:val="0078382F"/>
    <w:rsid w:val="0078389E"/>
    <w:rsid w:val="00783925"/>
    <w:rsid w:val="00783932"/>
    <w:rsid w:val="007839DB"/>
    <w:rsid w:val="00783B32"/>
    <w:rsid w:val="00783B91"/>
    <w:rsid w:val="00783BC4"/>
    <w:rsid w:val="00783BE7"/>
    <w:rsid w:val="00783C2D"/>
    <w:rsid w:val="00783C46"/>
    <w:rsid w:val="00783CAA"/>
    <w:rsid w:val="00783EB3"/>
    <w:rsid w:val="00783F82"/>
    <w:rsid w:val="007840D8"/>
    <w:rsid w:val="00784157"/>
    <w:rsid w:val="007841B5"/>
    <w:rsid w:val="007841EB"/>
    <w:rsid w:val="007842C4"/>
    <w:rsid w:val="00784323"/>
    <w:rsid w:val="0078435C"/>
    <w:rsid w:val="0078437C"/>
    <w:rsid w:val="00784499"/>
    <w:rsid w:val="007844F0"/>
    <w:rsid w:val="007845B2"/>
    <w:rsid w:val="007845D6"/>
    <w:rsid w:val="007846B1"/>
    <w:rsid w:val="0078481D"/>
    <w:rsid w:val="0078482F"/>
    <w:rsid w:val="007848C1"/>
    <w:rsid w:val="0078493F"/>
    <w:rsid w:val="007849E8"/>
    <w:rsid w:val="00784A26"/>
    <w:rsid w:val="00784A92"/>
    <w:rsid w:val="00784B5A"/>
    <w:rsid w:val="00784B95"/>
    <w:rsid w:val="00784C39"/>
    <w:rsid w:val="00784CCC"/>
    <w:rsid w:val="00784D27"/>
    <w:rsid w:val="00784D47"/>
    <w:rsid w:val="00784D57"/>
    <w:rsid w:val="00784E7C"/>
    <w:rsid w:val="00784EA7"/>
    <w:rsid w:val="00784F21"/>
    <w:rsid w:val="0078500E"/>
    <w:rsid w:val="007850C5"/>
    <w:rsid w:val="00785136"/>
    <w:rsid w:val="00785243"/>
    <w:rsid w:val="007852BB"/>
    <w:rsid w:val="00785336"/>
    <w:rsid w:val="007853D3"/>
    <w:rsid w:val="007853D4"/>
    <w:rsid w:val="0078543D"/>
    <w:rsid w:val="0078544B"/>
    <w:rsid w:val="0078546E"/>
    <w:rsid w:val="0078557D"/>
    <w:rsid w:val="0078567B"/>
    <w:rsid w:val="00785777"/>
    <w:rsid w:val="007857DE"/>
    <w:rsid w:val="00785A03"/>
    <w:rsid w:val="00785A52"/>
    <w:rsid w:val="00785C26"/>
    <w:rsid w:val="00785C61"/>
    <w:rsid w:val="00785C8A"/>
    <w:rsid w:val="00785DB6"/>
    <w:rsid w:val="00785FBB"/>
    <w:rsid w:val="00785FDB"/>
    <w:rsid w:val="0078601B"/>
    <w:rsid w:val="007860DE"/>
    <w:rsid w:val="007861CE"/>
    <w:rsid w:val="00786206"/>
    <w:rsid w:val="007862B8"/>
    <w:rsid w:val="007862C3"/>
    <w:rsid w:val="007862F4"/>
    <w:rsid w:val="0078631E"/>
    <w:rsid w:val="00786358"/>
    <w:rsid w:val="00786397"/>
    <w:rsid w:val="007863A5"/>
    <w:rsid w:val="007863EE"/>
    <w:rsid w:val="007866F4"/>
    <w:rsid w:val="0078672B"/>
    <w:rsid w:val="0078675F"/>
    <w:rsid w:val="00786868"/>
    <w:rsid w:val="007868B8"/>
    <w:rsid w:val="00786994"/>
    <w:rsid w:val="007869A4"/>
    <w:rsid w:val="00786A54"/>
    <w:rsid w:val="00786A65"/>
    <w:rsid w:val="00786A71"/>
    <w:rsid w:val="00786AEB"/>
    <w:rsid w:val="00786B21"/>
    <w:rsid w:val="00786BDA"/>
    <w:rsid w:val="00786D47"/>
    <w:rsid w:val="00786D71"/>
    <w:rsid w:val="00786D74"/>
    <w:rsid w:val="00786E0B"/>
    <w:rsid w:val="00786E8B"/>
    <w:rsid w:val="00786EAC"/>
    <w:rsid w:val="00786F23"/>
    <w:rsid w:val="00786F5E"/>
    <w:rsid w:val="00786F88"/>
    <w:rsid w:val="00787116"/>
    <w:rsid w:val="00787272"/>
    <w:rsid w:val="0078727F"/>
    <w:rsid w:val="00787477"/>
    <w:rsid w:val="007874F3"/>
    <w:rsid w:val="0078753D"/>
    <w:rsid w:val="007875B4"/>
    <w:rsid w:val="007875E3"/>
    <w:rsid w:val="007875EF"/>
    <w:rsid w:val="0078766C"/>
    <w:rsid w:val="00787689"/>
    <w:rsid w:val="007876A6"/>
    <w:rsid w:val="007876E5"/>
    <w:rsid w:val="00787708"/>
    <w:rsid w:val="0078773B"/>
    <w:rsid w:val="00787928"/>
    <w:rsid w:val="00787939"/>
    <w:rsid w:val="007879C5"/>
    <w:rsid w:val="00787B23"/>
    <w:rsid w:val="00787BAA"/>
    <w:rsid w:val="00787C07"/>
    <w:rsid w:val="00787CA5"/>
    <w:rsid w:val="00787CEF"/>
    <w:rsid w:val="00787D0B"/>
    <w:rsid w:val="00787D1D"/>
    <w:rsid w:val="00787D58"/>
    <w:rsid w:val="00787D7F"/>
    <w:rsid w:val="00787DD9"/>
    <w:rsid w:val="00787F6F"/>
    <w:rsid w:val="007900A4"/>
    <w:rsid w:val="00790177"/>
    <w:rsid w:val="007903D9"/>
    <w:rsid w:val="007903F8"/>
    <w:rsid w:val="0079041E"/>
    <w:rsid w:val="0079043F"/>
    <w:rsid w:val="00790457"/>
    <w:rsid w:val="00790484"/>
    <w:rsid w:val="007904C0"/>
    <w:rsid w:val="00790739"/>
    <w:rsid w:val="00790782"/>
    <w:rsid w:val="007907B7"/>
    <w:rsid w:val="00790895"/>
    <w:rsid w:val="007908EA"/>
    <w:rsid w:val="007908FD"/>
    <w:rsid w:val="00790A9E"/>
    <w:rsid w:val="00790AED"/>
    <w:rsid w:val="00790B55"/>
    <w:rsid w:val="00790C9D"/>
    <w:rsid w:val="00790D17"/>
    <w:rsid w:val="00790DA5"/>
    <w:rsid w:val="00790DB0"/>
    <w:rsid w:val="00790F09"/>
    <w:rsid w:val="00790F24"/>
    <w:rsid w:val="00790F76"/>
    <w:rsid w:val="00790F94"/>
    <w:rsid w:val="00790FC3"/>
    <w:rsid w:val="00790FF9"/>
    <w:rsid w:val="00791044"/>
    <w:rsid w:val="00791063"/>
    <w:rsid w:val="007911A4"/>
    <w:rsid w:val="0079126A"/>
    <w:rsid w:val="007913D7"/>
    <w:rsid w:val="00791461"/>
    <w:rsid w:val="007914A1"/>
    <w:rsid w:val="007914DA"/>
    <w:rsid w:val="007916E5"/>
    <w:rsid w:val="0079171E"/>
    <w:rsid w:val="0079173E"/>
    <w:rsid w:val="007917FB"/>
    <w:rsid w:val="007918D0"/>
    <w:rsid w:val="00791A03"/>
    <w:rsid w:val="00791A1D"/>
    <w:rsid w:val="00791A74"/>
    <w:rsid w:val="00791AF2"/>
    <w:rsid w:val="00791B17"/>
    <w:rsid w:val="00791B38"/>
    <w:rsid w:val="00791B59"/>
    <w:rsid w:val="00791BFB"/>
    <w:rsid w:val="00791C35"/>
    <w:rsid w:val="00791CCA"/>
    <w:rsid w:val="00791CDC"/>
    <w:rsid w:val="00791D9E"/>
    <w:rsid w:val="00791EB3"/>
    <w:rsid w:val="00791ECA"/>
    <w:rsid w:val="00791F68"/>
    <w:rsid w:val="0079202D"/>
    <w:rsid w:val="007921B5"/>
    <w:rsid w:val="007921FC"/>
    <w:rsid w:val="00792218"/>
    <w:rsid w:val="00792242"/>
    <w:rsid w:val="007923C1"/>
    <w:rsid w:val="007924B3"/>
    <w:rsid w:val="0079251C"/>
    <w:rsid w:val="00792572"/>
    <w:rsid w:val="00792613"/>
    <w:rsid w:val="00792661"/>
    <w:rsid w:val="0079274B"/>
    <w:rsid w:val="007927A5"/>
    <w:rsid w:val="007927B3"/>
    <w:rsid w:val="0079282A"/>
    <w:rsid w:val="00792849"/>
    <w:rsid w:val="00792852"/>
    <w:rsid w:val="00792A92"/>
    <w:rsid w:val="00792ABB"/>
    <w:rsid w:val="00792B1C"/>
    <w:rsid w:val="00792B63"/>
    <w:rsid w:val="00792C24"/>
    <w:rsid w:val="00792C65"/>
    <w:rsid w:val="00792C8F"/>
    <w:rsid w:val="00792CED"/>
    <w:rsid w:val="00792D00"/>
    <w:rsid w:val="00792D20"/>
    <w:rsid w:val="00792E17"/>
    <w:rsid w:val="00792F13"/>
    <w:rsid w:val="00792F16"/>
    <w:rsid w:val="00792FEC"/>
    <w:rsid w:val="0079314D"/>
    <w:rsid w:val="007933D5"/>
    <w:rsid w:val="007933F4"/>
    <w:rsid w:val="0079343D"/>
    <w:rsid w:val="007934CA"/>
    <w:rsid w:val="007934F3"/>
    <w:rsid w:val="00793502"/>
    <w:rsid w:val="00793540"/>
    <w:rsid w:val="007935F8"/>
    <w:rsid w:val="0079365D"/>
    <w:rsid w:val="007936CB"/>
    <w:rsid w:val="00793A20"/>
    <w:rsid w:val="00793A3D"/>
    <w:rsid w:val="00793AF3"/>
    <w:rsid w:val="00793AF6"/>
    <w:rsid w:val="00793B02"/>
    <w:rsid w:val="00793C02"/>
    <w:rsid w:val="00793C0A"/>
    <w:rsid w:val="00793CCF"/>
    <w:rsid w:val="00793CDF"/>
    <w:rsid w:val="00793E4A"/>
    <w:rsid w:val="00793E6B"/>
    <w:rsid w:val="00793E71"/>
    <w:rsid w:val="00794312"/>
    <w:rsid w:val="007943A1"/>
    <w:rsid w:val="0079443A"/>
    <w:rsid w:val="007944D4"/>
    <w:rsid w:val="007944EC"/>
    <w:rsid w:val="00794525"/>
    <w:rsid w:val="007945E8"/>
    <w:rsid w:val="00794806"/>
    <w:rsid w:val="00794885"/>
    <w:rsid w:val="007948A7"/>
    <w:rsid w:val="00794929"/>
    <w:rsid w:val="00794979"/>
    <w:rsid w:val="00794A29"/>
    <w:rsid w:val="00794A2D"/>
    <w:rsid w:val="00794A5E"/>
    <w:rsid w:val="00794AC9"/>
    <w:rsid w:val="00794AEB"/>
    <w:rsid w:val="00794B35"/>
    <w:rsid w:val="00794BC3"/>
    <w:rsid w:val="00794D38"/>
    <w:rsid w:val="00794D45"/>
    <w:rsid w:val="00794D58"/>
    <w:rsid w:val="00794DDB"/>
    <w:rsid w:val="00794DF1"/>
    <w:rsid w:val="00794F59"/>
    <w:rsid w:val="00794FB2"/>
    <w:rsid w:val="00795042"/>
    <w:rsid w:val="0079507D"/>
    <w:rsid w:val="00795084"/>
    <w:rsid w:val="007950A3"/>
    <w:rsid w:val="007950DF"/>
    <w:rsid w:val="00795104"/>
    <w:rsid w:val="00795180"/>
    <w:rsid w:val="00795188"/>
    <w:rsid w:val="007951A3"/>
    <w:rsid w:val="007951FB"/>
    <w:rsid w:val="0079520F"/>
    <w:rsid w:val="0079521F"/>
    <w:rsid w:val="00795230"/>
    <w:rsid w:val="0079541E"/>
    <w:rsid w:val="00795579"/>
    <w:rsid w:val="007955A2"/>
    <w:rsid w:val="007955D6"/>
    <w:rsid w:val="0079561B"/>
    <w:rsid w:val="007957E0"/>
    <w:rsid w:val="007958E0"/>
    <w:rsid w:val="007959DE"/>
    <w:rsid w:val="007959E0"/>
    <w:rsid w:val="00795A20"/>
    <w:rsid w:val="00795A37"/>
    <w:rsid w:val="00795A4D"/>
    <w:rsid w:val="00795B53"/>
    <w:rsid w:val="00795BA1"/>
    <w:rsid w:val="00795BAE"/>
    <w:rsid w:val="00795CB2"/>
    <w:rsid w:val="00795D32"/>
    <w:rsid w:val="00795DB4"/>
    <w:rsid w:val="00795E95"/>
    <w:rsid w:val="00795EBF"/>
    <w:rsid w:val="00795F3C"/>
    <w:rsid w:val="00796012"/>
    <w:rsid w:val="00796229"/>
    <w:rsid w:val="0079626E"/>
    <w:rsid w:val="00796275"/>
    <w:rsid w:val="0079646B"/>
    <w:rsid w:val="007964B1"/>
    <w:rsid w:val="007964CC"/>
    <w:rsid w:val="007964D9"/>
    <w:rsid w:val="00796529"/>
    <w:rsid w:val="00796551"/>
    <w:rsid w:val="0079660C"/>
    <w:rsid w:val="0079663C"/>
    <w:rsid w:val="007966F0"/>
    <w:rsid w:val="0079674A"/>
    <w:rsid w:val="007967CC"/>
    <w:rsid w:val="00796802"/>
    <w:rsid w:val="007968AD"/>
    <w:rsid w:val="00796966"/>
    <w:rsid w:val="007969C7"/>
    <w:rsid w:val="00796A4E"/>
    <w:rsid w:val="00796B7D"/>
    <w:rsid w:val="00796C6D"/>
    <w:rsid w:val="00796C94"/>
    <w:rsid w:val="00796CC1"/>
    <w:rsid w:val="00796D22"/>
    <w:rsid w:val="00796DC7"/>
    <w:rsid w:val="00796E8A"/>
    <w:rsid w:val="00796EE4"/>
    <w:rsid w:val="00796EF5"/>
    <w:rsid w:val="00796FE3"/>
    <w:rsid w:val="00797103"/>
    <w:rsid w:val="00797159"/>
    <w:rsid w:val="00797309"/>
    <w:rsid w:val="0079735A"/>
    <w:rsid w:val="007973A1"/>
    <w:rsid w:val="0079744D"/>
    <w:rsid w:val="00797461"/>
    <w:rsid w:val="007974D9"/>
    <w:rsid w:val="00797528"/>
    <w:rsid w:val="00797540"/>
    <w:rsid w:val="0079756E"/>
    <w:rsid w:val="007975A5"/>
    <w:rsid w:val="007975D4"/>
    <w:rsid w:val="00797612"/>
    <w:rsid w:val="00797679"/>
    <w:rsid w:val="0079767A"/>
    <w:rsid w:val="00797A7C"/>
    <w:rsid w:val="00797C17"/>
    <w:rsid w:val="00797C6C"/>
    <w:rsid w:val="00797D27"/>
    <w:rsid w:val="00797E23"/>
    <w:rsid w:val="00797E42"/>
    <w:rsid w:val="00797E68"/>
    <w:rsid w:val="00797EF9"/>
    <w:rsid w:val="00797F98"/>
    <w:rsid w:val="00797FCA"/>
    <w:rsid w:val="007A0183"/>
    <w:rsid w:val="007A02C6"/>
    <w:rsid w:val="007A02D0"/>
    <w:rsid w:val="007A030E"/>
    <w:rsid w:val="007A03B5"/>
    <w:rsid w:val="007A0556"/>
    <w:rsid w:val="007A06D3"/>
    <w:rsid w:val="007A0732"/>
    <w:rsid w:val="007A0828"/>
    <w:rsid w:val="007A08F2"/>
    <w:rsid w:val="007A0911"/>
    <w:rsid w:val="007A0946"/>
    <w:rsid w:val="007A0981"/>
    <w:rsid w:val="007A0ABD"/>
    <w:rsid w:val="007A0B08"/>
    <w:rsid w:val="007A0C58"/>
    <w:rsid w:val="007A0D2E"/>
    <w:rsid w:val="007A0D7A"/>
    <w:rsid w:val="007A0DF0"/>
    <w:rsid w:val="007A0ED9"/>
    <w:rsid w:val="007A0F4C"/>
    <w:rsid w:val="007A0F80"/>
    <w:rsid w:val="007A0FF5"/>
    <w:rsid w:val="007A11BE"/>
    <w:rsid w:val="007A13A7"/>
    <w:rsid w:val="007A13B7"/>
    <w:rsid w:val="007A13D5"/>
    <w:rsid w:val="007A15EE"/>
    <w:rsid w:val="007A161E"/>
    <w:rsid w:val="007A171D"/>
    <w:rsid w:val="007A177C"/>
    <w:rsid w:val="007A1866"/>
    <w:rsid w:val="007A18EB"/>
    <w:rsid w:val="007A18F3"/>
    <w:rsid w:val="007A197F"/>
    <w:rsid w:val="007A19D0"/>
    <w:rsid w:val="007A1A0D"/>
    <w:rsid w:val="007A1BB5"/>
    <w:rsid w:val="007A1BC5"/>
    <w:rsid w:val="007A1BEE"/>
    <w:rsid w:val="007A1C89"/>
    <w:rsid w:val="007A1D0D"/>
    <w:rsid w:val="007A1D59"/>
    <w:rsid w:val="007A1DCB"/>
    <w:rsid w:val="007A1E8D"/>
    <w:rsid w:val="007A1EB1"/>
    <w:rsid w:val="007A214D"/>
    <w:rsid w:val="007A218C"/>
    <w:rsid w:val="007A2191"/>
    <w:rsid w:val="007A2199"/>
    <w:rsid w:val="007A21E0"/>
    <w:rsid w:val="007A221D"/>
    <w:rsid w:val="007A2439"/>
    <w:rsid w:val="007A2634"/>
    <w:rsid w:val="007A2652"/>
    <w:rsid w:val="007A266C"/>
    <w:rsid w:val="007A2747"/>
    <w:rsid w:val="007A278B"/>
    <w:rsid w:val="007A27D0"/>
    <w:rsid w:val="007A28C0"/>
    <w:rsid w:val="007A290A"/>
    <w:rsid w:val="007A2946"/>
    <w:rsid w:val="007A298C"/>
    <w:rsid w:val="007A29E7"/>
    <w:rsid w:val="007A2A71"/>
    <w:rsid w:val="007A2C79"/>
    <w:rsid w:val="007A2CFA"/>
    <w:rsid w:val="007A2D52"/>
    <w:rsid w:val="007A2EDB"/>
    <w:rsid w:val="007A30A3"/>
    <w:rsid w:val="007A332C"/>
    <w:rsid w:val="007A3443"/>
    <w:rsid w:val="007A3451"/>
    <w:rsid w:val="007A3468"/>
    <w:rsid w:val="007A34B9"/>
    <w:rsid w:val="007A3535"/>
    <w:rsid w:val="007A3584"/>
    <w:rsid w:val="007A3660"/>
    <w:rsid w:val="007A3685"/>
    <w:rsid w:val="007A3686"/>
    <w:rsid w:val="007A36E9"/>
    <w:rsid w:val="007A3778"/>
    <w:rsid w:val="007A37C2"/>
    <w:rsid w:val="007A3847"/>
    <w:rsid w:val="007A38C5"/>
    <w:rsid w:val="007A39AB"/>
    <w:rsid w:val="007A39E9"/>
    <w:rsid w:val="007A3B2F"/>
    <w:rsid w:val="007A3C17"/>
    <w:rsid w:val="007A3CC7"/>
    <w:rsid w:val="007A3D25"/>
    <w:rsid w:val="007A3E7B"/>
    <w:rsid w:val="007A4081"/>
    <w:rsid w:val="007A4090"/>
    <w:rsid w:val="007A4097"/>
    <w:rsid w:val="007A40BB"/>
    <w:rsid w:val="007A417B"/>
    <w:rsid w:val="007A4276"/>
    <w:rsid w:val="007A4321"/>
    <w:rsid w:val="007A4344"/>
    <w:rsid w:val="007A4382"/>
    <w:rsid w:val="007A4392"/>
    <w:rsid w:val="007A43AF"/>
    <w:rsid w:val="007A4434"/>
    <w:rsid w:val="007A4452"/>
    <w:rsid w:val="007A4579"/>
    <w:rsid w:val="007A45F6"/>
    <w:rsid w:val="007A4690"/>
    <w:rsid w:val="007A4733"/>
    <w:rsid w:val="007A47E9"/>
    <w:rsid w:val="007A48CB"/>
    <w:rsid w:val="007A48DB"/>
    <w:rsid w:val="007A4974"/>
    <w:rsid w:val="007A4A67"/>
    <w:rsid w:val="007A4A77"/>
    <w:rsid w:val="007A4A9F"/>
    <w:rsid w:val="007A4B3A"/>
    <w:rsid w:val="007A4B80"/>
    <w:rsid w:val="007A4C39"/>
    <w:rsid w:val="007A4CF5"/>
    <w:rsid w:val="007A4DA2"/>
    <w:rsid w:val="007A4DAD"/>
    <w:rsid w:val="007A4DEE"/>
    <w:rsid w:val="007A4E67"/>
    <w:rsid w:val="007A4F05"/>
    <w:rsid w:val="007A4F3A"/>
    <w:rsid w:val="007A4F50"/>
    <w:rsid w:val="007A503F"/>
    <w:rsid w:val="007A519E"/>
    <w:rsid w:val="007A51A9"/>
    <w:rsid w:val="007A5278"/>
    <w:rsid w:val="007A5284"/>
    <w:rsid w:val="007A52D8"/>
    <w:rsid w:val="007A5382"/>
    <w:rsid w:val="007A5430"/>
    <w:rsid w:val="007A543A"/>
    <w:rsid w:val="007A54DA"/>
    <w:rsid w:val="007A5500"/>
    <w:rsid w:val="007A551F"/>
    <w:rsid w:val="007A5579"/>
    <w:rsid w:val="007A567D"/>
    <w:rsid w:val="007A57C2"/>
    <w:rsid w:val="007A57F8"/>
    <w:rsid w:val="007A5816"/>
    <w:rsid w:val="007A5859"/>
    <w:rsid w:val="007A58B2"/>
    <w:rsid w:val="007A58B8"/>
    <w:rsid w:val="007A58C3"/>
    <w:rsid w:val="007A58F0"/>
    <w:rsid w:val="007A5984"/>
    <w:rsid w:val="007A59ED"/>
    <w:rsid w:val="007A5A52"/>
    <w:rsid w:val="007A5A5C"/>
    <w:rsid w:val="007A5B05"/>
    <w:rsid w:val="007A5C2E"/>
    <w:rsid w:val="007A5C9C"/>
    <w:rsid w:val="007A5DC2"/>
    <w:rsid w:val="007A5EAF"/>
    <w:rsid w:val="007A5EE3"/>
    <w:rsid w:val="007A5EE4"/>
    <w:rsid w:val="007A603D"/>
    <w:rsid w:val="007A6097"/>
    <w:rsid w:val="007A624E"/>
    <w:rsid w:val="007A6269"/>
    <w:rsid w:val="007A63E2"/>
    <w:rsid w:val="007A652A"/>
    <w:rsid w:val="007A6590"/>
    <w:rsid w:val="007A6592"/>
    <w:rsid w:val="007A65A5"/>
    <w:rsid w:val="007A6615"/>
    <w:rsid w:val="007A669B"/>
    <w:rsid w:val="007A66A6"/>
    <w:rsid w:val="007A66AE"/>
    <w:rsid w:val="007A66D8"/>
    <w:rsid w:val="007A6728"/>
    <w:rsid w:val="007A6731"/>
    <w:rsid w:val="007A6815"/>
    <w:rsid w:val="007A688B"/>
    <w:rsid w:val="007A68AA"/>
    <w:rsid w:val="007A6BB4"/>
    <w:rsid w:val="007A6BC6"/>
    <w:rsid w:val="007A6C04"/>
    <w:rsid w:val="007A6C5A"/>
    <w:rsid w:val="007A6CE5"/>
    <w:rsid w:val="007A6D40"/>
    <w:rsid w:val="007A6D7D"/>
    <w:rsid w:val="007A6DF6"/>
    <w:rsid w:val="007A6E13"/>
    <w:rsid w:val="007A6F4B"/>
    <w:rsid w:val="007A6FF8"/>
    <w:rsid w:val="007A70E0"/>
    <w:rsid w:val="007A715A"/>
    <w:rsid w:val="007A719C"/>
    <w:rsid w:val="007A71AE"/>
    <w:rsid w:val="007A71FB"/>
    <w:rsid w:val="007A744C"/>
    <w:rsid w:val="007A74B6"/>
    <w:rsid w:val="007A74E8"/>
    <w:rsid w:val="007A75B3"/>
    <w:rsid w:val="007A75D9"/>
    <w:rsid w:val="007A7625"/>
    <w:rsid w:val="007A767D"/>
    <w:rsid w:val="007A7733"/>
    <w:rsid w:val="007A77BC"/>
    <w:rsid w:val="007A7820"/>
    <w:rsid w:val="007A796F"/>
    <w:rsid w:val="007A79D8"/>
    <w:rsid w:val="007A7C0F"/>
    <w:rsid w:val="007A7C1E"/>
    <w:rsid w:val="007A7C80"/>
    <w:rsid w:val="007A7C9E"/>
    <w:rsid w:val="007A7CCA"/>
    <w:rsid w:val="007A7CDB"/>
    <w:rsid w:val="007A7CF5"/>
    <w:rsid w:val="007A7DB3"/>
    <w:rsid w:val="007A7F64"/>
    <w:rsid w:val="007A7FE7"/>
    <w:rsid w:val="007B0127"/>
    <w:rsid w:val="007B0205"/>
    <w:rsid w:val="007B0217"/>
    <w:rsid w:val="007B0218"/>
    <w:rsid w:val="007B021A"/>
    <w:rsid w:val="007B0241"/>
    <w:rsid w:val="007B02E9"/>
    <w:rsid w:val="007B031F"/>
    <w:rsid w:val="007B036F"/>
    <w:rsid w:val="007B03AE"/>
    <w:rsid w:val="007B066C"/>
    <w:rsid w:val="007B0675"/>
    <w:rsid w:val="007B068C"/>
    <w:rsid w:val="007B070A"/>
    <w:rsid w:val="007B0723"/>
    <w:rsid w:val="007B07A1"/>
    <w:rsid w:val="007B0922"/>
    <w:rsid w:val="007B0940"/>
    <w:rsid w:val="007B0941"/>
    <w:rsid w:val="007B0A45"/>
    <w:rsid w:val="007B0C75"/>
    <w:rsid w:val="007B0C9E"/>
    <w:rsid w:val="007B0D12"/>
    <w:rsid w:val="007B0D46"/>
    <w:rsid w:val="007B0DD6"/>
    <w:rsid w:val="007B0F5B"/>
    <w:rsid w:val="007B0F78"/>
    <w:rsid w:val="007B0FDB"/>
    <w:rsid w:val="007B1092"/>
    <w:rsid w:val="007B129C"/>
    <w:rsid w:val="007B12EC"/>
    <w:rsid w:val="007B1409"/>
    <w:rsid w:val="007B14DC"/>
    <w:rsid w:val="007B15A0"/>
    <w:rsid w:val="007B164A"/>
    <w:rsid w:val="007B16EC"/>
    <w:rsid w:val="007B1867"/>
    <w:rsid w:val="007B1967"/>
    <w:rsid w:val="007B19D6"/>
    <w:rsid w:val="007B1A90"/>
    <w:rsid w:val="007B1B1B"/>
    <w:rsid w:val="007B1B1D"/>
    <w:rsid w:val="007B1B7E"/>
    <w:rsid w:val="007B1BA8"/>
    <w:rsid w:val="007B1CAA"/>
    <w:rsid w:val="007B1D9B"/>
    <w:rsid w:val="007B1E52"/>
    <w:rsid w:val="007B1F21"/>
    <w:rsid w:val="007B1F3A"/>
    <w:rsid w:val="007B1F9B"/>
    <w:rsid w:val="007B1FC5"/>
    <w:rsid w:val="007B2061"/>
    <w:rsid w:val="007B20FD"/>
    <w:rsid w:val="007B2150"/>
    <w:rsid w:val="007B2174"/>
    <w:rsid w:val="007B21C7"/>
    <w:rsid w:val="007B2328"/>
    <w:rsid w:val="007B232E"/>
    <w:rsid w:val="007B2441"/>
    <w:rsid w:val="007B2525"/>
    <w:rsid w:val="007B2532"/>
    <w:rsid w:val="007B2558"/>
    <w:rsid w:val="007B2654"/>
    <w:rsid w:val="007B26A7"/>
    <w:rsid w:val="007B27BA"/>
    <w:rsid w:val="007B28F7"/>
    <w:rsid w:val="007B2ABC"/>
    <w:rsid w:val="007B2AEF"/>
    <w:rsid w:val="007B2B45"/>
    <w:rsid w:val="007B2BBC"/>
    <w:rsid w:val="007B2C35"/>
    <w:rsid w:val="007B2E4E"/>
    <w:rsid w:val="007B2F36"/>
    <w:rsid w:val="007B2F3A"/>
    <w:rsid w:val="007B3019"/>
    <w:rsid w:val="007B3027"/>
    <w:rsid w:val="007B3048"/>
    <w:rsid w:val="007B3109"/>
    <w:rsid w:val="007B31CE"/>
    <w:rsid w:val="007B3341"/>
    <w:rsid w:val="007B33A9"/>
    <w:rsid w:val="007B33F0"/>
    <w:rsid w:val="007B344F"/>
    <w:rsid w:val="007B3489"/>
    <w:rsid w:val="007B357C"/>
    <w:rsid w:val="007B359F"/>
    <w:rsid w:val="007B3740"/>
    <w:rsid w:val="007B374D"/>
    <w:rsid w:val="007B37E9"/>
    <w:rsid w:val="007B38A0"/>
    <w:rsid w:val="007B38D6"/>
    <w:rsid w:val="007B3A7E"/>
    <w:rsid w:val="007B3A99"/>
    <w:rsid w:val="007B3B30"/>
    <w:rsid w:val="007B3BDA"/>
    <w:rsid w:val="007B3CBC"/>
    <w:rsid w:val="007B3D46"/>
    <w:rsid w:val="007B3DFE"/>
    <w:rsid w:val="007B3E5D"/>
    <w:rsid w:val="007B404C"/>
    <w:rsid w:val="007B419B"/>
    <w:rsid w:val="007B421E"/>
    <w:rsid w:val="007B422F"/>
    <w:rsid w:val="007B439E"/>
    <w:rsid w:val="007B43CA"/>
    <w:rsid w:val="007B43DE"/>
    <w:rsid w:val="007B452C"/>
    <w:rsid w:val="007B4551"/>
    <w:rsid w:val="007B455B"/>
    <w:rsid w:val="007B4666"/>
    <w:rsid w:val="007B46F9"/>
    <w:rsid w:val="007B479A"/>
    <w:rsid w:val="007B4807"/>
    <w:rsid w:val="007B4858"/>
    <w:rsid w:val="007B4904"/>
    <w:rsid w:val="007B4985"/>
    <w:rsid w:val="007B4A0C"/>
    <w:rsid w:val="007B4A36"/>
    <w:rsid w:val="007B4A3E"/>
    <w:rsid w:val="007B4D01"/>
    <w:rsid w:val="007B4F9F"/>
    <w:rsid w:val="007B504F"/>
    <w:rsid w:val="007B51CA"/>
    <w:rsid w:val="007B534B"/>
    <w:rsid w:val="007B53AA"/>
    <w:rsid w:val="007B55FB"/>
    <w:rsid w:val="007B5654"/>
    <w:rsid w:val="007B567E"/>
    <w:rsid w:val="007B56C8"/>
    <w:rsid w:val="007B5775"/>
    <w:rsid w:val="007B5792"/>
    <w:rsid w:val="007B584F"/>
    <w:rsid w:val="007B58B1"/>
    <w:rsid w:val="007B58C3"/>
    <w:rsid w:val="007B59BF"/>
    <w:rsid w:val="007B5A9F"/>
    <w:rsid w:val="007B5AB4"/>
    <w:rsid w:val="007B5ABC"/>
    <w:rsid w:val="007B5AD6"/>
    <w:rsid w:val="007B5C70"/>
    <w:rsid w:val="007B5C7D"/>
    <w:rsid w:val="007B5D12"/>
    <w:rsid w:val="007B5D69"/>
    <w:rsid w:val="007B5D74"/>
    <w:rsid w:val="007B5DAD"/>
    <w:rsid w:val="007B5DDF"/>
    <w:rsid w:val="007B5E08"/>
    <w:rsid w:val="007B5E81"/>
    <w:rsid w:val="007B6018"/>
    <w:rsid w:val="007B60DA"/>
    <w:rsid w:val="007B60DE"/>
    <w:rsid w:val="007B619F"/>
    <w:rsid w:val="007B61A2"/>
    <w:rsid w:val="007B61C7"/>
    <w:rsid w:val="007B61D5"/>
    <w:rsid w:val="007B61D9"/>
    <w:rsid w:val="007B6325"/>
    <w:rsid w:val="007B6503"/>
    <w:rsid w:val="007B671C"/>
    <w:rsid w:val="007B673D"/>
    <w:rsid w:val="007B6792"/>
    <w:rsid w:val="007B67FF"/>
    <w:rsid w:val="007B6848"/>
    <w:rsid w:val="007B68A5"/>
    <w:rsid w:val="007B68DD"/>
    <w:rsid w:val="007B68FC"/>
    <w:rsid w:val="007B6916"/>
    <w:rsid w:val="007B6A6F"/>
    <w:rsid w:val="007B6A9D"/>
    <w:rsid w:val="007B6C01"/>
    <w:rsid w:val="007B6C23"/>
    <w:rsid w:val="007B6D7D"/>
    <w:rsid w:val="007B6F05"/>
    <w:rsid w:val="007B6F48"/>
    <w:rsid w:val="007B6F57"/>
    <w:rsid w:val="007B7009"/>
    <w:rsid w:val="007B700B"/>
    <w:rsid w:val="007B7191"/>
    <w:rsid w:val="007B71B9"/>
    <w:rsid w:val="007B7383"/>
    <w:rsid w:val="007B7455"/>
    <w:rsid w:val="007B755B"/>
    <w:rsid w:val="007B7640"/>
    <w:rsid w:val="007B766E"/>
    <w:rsid w:val="007B7685"/>
    <w:rsid w:val="007B78D3"/>
    <w:rsid w:val="007B7946"/>
    <w:rsid w:val="007B7958"/>
    <w:rsid w:val="007B7B23"/>
    <w:rsid w:val="007B7B30"/>
    <w:rsid w:val="007B7B54"/>
    <w:rsid w:val="007B7B97"/>
    <w:rsid w:val="007B7C49"/>
    <w:rsid w:val="007B7C7E"/>
    <w:rsid w:val="007B7CBC"/>
    <w:rsid w:val="007B7D48"/>
    <w:rsid w:val="007B7D83"/>
    <w:rsid w:val="007B7EE5"/>
    <w:rsid w:val="007B7EE7"/>
    <w:rsid w:val="007B7F07"/>
    <w:rsid w:val="007C0105"/>
    <w:rsid w:val="007C010B"/>
    <w:rsid w:val="007C0233"/>
    <w:rsid w:val="007C023F"/>
    <w:rsid w:val="007C028B"/>
    <w:rsid w:val="007C035C"/>
    <w:rsid w:val="007C0492"/>
    <w:rsid w:val="007C051E"/>
    <w:rsid w:val="007C0560"/>
    <w:rsid w:val="007C0589"/>
    <w:rsid w:val="007C05D0"/>
    <w:rsid w:val="007C0813"/>
    <w:rsid w:val="007C0895"/>
    <w:rsid w:val="007C090B"/>
    <w:rsid w:val="007C0943"/>
    <w:rsid w:val="007C0946"/>
    <w:rsid w:val="007C09EA"/>
    <w:rsid w:val="007C0A2A"/>
    <w:rsid w:val="007C0AB8"/>
    <w:rsid w:val="007C0B52"/>
    <w:rsid w:val="007C0BDF"/>
    <w:rsid w:val="007C0C33"/>
    <w:rsid w:val="007C0C9C"/>
    <w:rsid w:val="007C0DDB"/>
    <w:rsid w:val="007C0E08"/>
    <w:rsid w:val="007C0E96"/>
    <w:rsid w:val="007C0F0F"/>
    <w:rsid w:val="007C0F85"/>
    <w:rsid w:val="007C0FEE"/>
    <w:rsid w:val="007C1036"/>
    <w:rsid w:val="007C10C2"/>
    <w:rsid w:val="007C1106"/>
    <w:rsid w:val="007C1189"/>
    <w:rsid w:val="007C11E0"/>
    <w:rsid w:val="007C121D"/>
    <w:rsid w:val="007C128E"/>
    <w:rsid w:val="007C13E0"/>
    <w:rsid w:val="007C1449"/>
    <w:rsid w:val="007C14C7"/>
    <w:rsid w:val="007C1519"/>
    <w:rsid w:val="007C1559"/>
    <w:rsid w:val="007C1639"/>
    <w:rsid w:val="007C1651"/>
    <w:rsid w:val="007C16CE"/>
    <w:rsid w:val="007C1717"/>
    <w:rsid w:val="007C172E"/>
    <w:rsid w:val="007C177A"/>
    <w:rsid w:val="007C17F3"/>
    <w:rsid w:val="007C190A"/>
    <w:rsid w:val="007C1932"/>
    <w:rsid w:val="007C196F"/>
    <w:rsid w:val="007C1974"/>
    <w:rsid w:val="007C1A87"/>
    <w:rsid w:val="007C1B26"/>
    <w:rsid w:val="007C1B31"/>
    <w:rsid w:val="007C1BB5"/>
    <w:rsid w:val="007C1CC3"/>
    <w:rsid w:val="007C1CFB"/>
    <w:rsid w:val="007C1D07"/>
    <w:rsid w:val="007C1D48"/>
    <w:rsid w:val="007C1D91"/>
    <w:rsid w:val="007C1DD0"/>
    <w:rsid w:val="007C1E1D"/>
    <w:rsid w:val="007C1EDC"/>
    <w:rsid w:val="007C2079"/>
    <w:rsid w:val="007C209B"/>
    <w:rsid w:val="007C22A4"/>
    <w:rsid w:val="007C22DA"/>
    <w:rsid w:val="007C2425"/>
    <w:rsid w:val="007C24E6"/>
    <w:rsid w:val="007C250C"/>
    <w:rsid w:val="007C262E"/>
    <w:rsid w:val="007C26BD"/>
    <w:rsid w:val="007C2796"/>
    <w:rsid w:val="007C2995"/>
    <w:rsid w:val="007C2BA9"/>
    <w:rsid w:val="007C2BF0"/>
    <w:rsid w:val="007C2C11"/>
    <w:rsid w:val="007C2CC1"/>
    <w:rsid w:val="007C2D15"/>
    <w:rsid w:val="007C2D52"/>
    <w:rsid w:val="007C2F74"/>
    <w:rsid w:val="007C2FD1"/>
    <w:rsid w:val="007C31AD"/>
    <w:rsid w:val="007C325D"/>
    <w:rsid w:val="007C328A"/>
    <w:rsid w:val="007C32FF"/>
    <w:rsid w:val="007C331A"/>
    <w:rsid w:val="007C33BB"/>
    <w:rsid w:val="007C3446"/>
    <w:rsid w:val="007C344E"/>
    <w:rsid w:val="007C34A9"/>
    <w:rsid w:val="007C34F1"/>
    <w:rsid w:val="007C35FA"/>
    <w:rsid w:val="007C365C"/>
    <w:rsid w:val="007C368D"/>
    <w:rsid w:val="007C37CD"/>
    <w:rsid w:val="007C38C4"/>
    <w:rsid w:val="007C38ED"/>
    <w:rsid w:val="007C3930"/>
    <w:rsid w:val="007C39A8"/>
    <w:rsid w:val="007C39ED"/>
    <w:rsid w:val="007C3A2B"/>
    <w:rsid w:val="007C3A5F"/>
    <w:rsid w:val="007C3AD6"/>
    <w:rsid w:val="007C3B03"/>
    <w:rsid w:val="007C3BA5"/>
    <w:rsid w:val="007C3C58"/>
    <w:rsid w:val="007C3D72"/>
    <w:rsid w:val="007C3F62"/>
    <w:rsid w:val="007C3FE3"/>
    <w:rsid w:val="007C40FA"/>
    <w:rsid w:val="007C41E3"/>
    <w:rsid w:val="007C41F3"/>
    <w:rsid w:val="007C42AE"/>
    <w:rsid w:val="007C42B4"/>
    <w:rsid w:val="007C432A"/>
    <w:rsid w:val="007C4338"/>
    <w:rsid w:val="007C4400"/>
    <w:rsid w:val="007C44A5"/>
    <w:rsid w:val="007C44C5"/>
    <w:rsid w:val="007C44E7"/>
    <w:rsid w:val="007C459B"/>
    <w:rsid w:val="007C469C"/>
    <w:rsid w:val="007C469D"/>
    <w:rsid w:val="007C46A1"/>
    <w:rsid w:val="007C46CC"/>
    <w:rsid w:val="007C4834"/>
    <w:rsid w:val="007C490D"/>
    <w:rsid w:val="007C4991"/>
    <w:rsid w:val="007C4A0F"/>
    <w:rsid w:val="007C4AD7"/>
    <w:rsid w:val="007C4B64"/>
    <w:rsid w:val="007C4B6A"/>
    <w:rsid w:val="007C4C57"/>
    <w:rsid w:val="007C4C63"/>
    <w:rsid w:val="007C4D4A"/>
    <w:rsid w:val="007C4D81"/>
    <w:rsid w:val="007C4E37"/>
    <w:rsid w:val="007C4EE4"/>
    <w:rsid w:val="007C4F32"/>
    <w:rsid w:val="007C4F70"/>
    <w:rsid w:val="007C5196"/>
    <w:rsid w:val="007C51AF"/>
    <w:rsid w:val="007C51DD"/>
    <w:rsid w:val="007C5475"/>
    <w:rsid w:val="007C54DC"/>
    <w:rsid w:val="007C54E4"/>
    <w:rsid w:val="007C54F9"/>
    <w:rsid w:val="007C54FB"/>
    <w:rsid w:val="007C5526"/>
    <w:rsid w:val="007C5555"/>
    <w:rsid w:val="007C55B3"/>
    <w:rsid w:val="007C55D8"/>
    <w:rsid w:val="007C566B"/>
    <w:rsid w:val="007C579E"/>
    <w:rsid w:val="007C5A89"/>
    <w:rsid w:val="007C5C27"/>
    <w:rsid w:val="007C5CB4"/>
    <w:rsid w:val="007C5D1D"/>
    <w:rsid w:val="007C5E9A"/>
    <w:rsid w:val="007C5F6D"/>
    <w:rsid w:val="007C6136"/>
    <w:rsid w:val="007C623F"/>
    <w:rsid w:val="007C6330"/>
    <w:rsid w:val="007C6452"/>
    <w:rsid w:val="007C6496"/>
    <w:rsid w:val="007C64DA"/>
    <w:rsid w:val="007C6651"/>
    <w:rsid w:val="007C668E"/>
    <w:rsid w:val="007C66C6"/>
    <w:rsid w:val="007C6877"/>
    <w:rsid w:val="007C688D"/>
    <w:rsid w:val="007C68EF"/>
    <w:rsid w:val="007C692C"/>
    <w:rsid w:val="007C6BAD"/>
    <w:rsid w:val="007C6BBB"/>
    <w:rsid w:val="007C6C04"/>
    <w:rsid w:val="007C6C77"/>
    <w:rsid w:val="007C6CDF"/>
    <w:rsid w:val="007C6DF5"/>
    <w:rsid w:val="007C6E59"/>
    <w:rsid w:val="007C6E79"/>
    <w:rsid w:val="007C6E8A"/>
    <w:rsid w:val="007C6F34"/>
    <w:rsid w:val="007C707E"/>
    <w:rsid w:val="007C708E"/>
    <w:rsid w:val="007C72A8"/>
    <w:rsid w:val="007C72E7"/>
    <w:rsid w:val="007C735B"/>
    <w:rsid w:val="007C73B6"/>
    <w:rsid w:val="007C7487"/>
    <w:rsid w:val="007C74A5"/>
    <w:rsid w:val="007C7735"/>
    <w:rsid w:val="007C7776"/>
    <w:rsid w:val="007C78CC"/>
    <w:rsid w:val="007C78E2"/>
    <w:rsid w:val="007C7961"/>
    <w:rsid w:val="007C79D3"/>
    <w:rsid w:val="007C7AF6"/>
    <w:rsid w:val="007C7BC8"/>
    <w:rsid w:val="007C7BFB"/>
    <w:rsid w:val="007C7C7F"/>
    <w:rsid w:val="007C7E0F"/>
    <w:rsid w:val="007C7E6E"/>
    <w:rsid w:val="007C7F34"/>
    <w:rsid w:val="007C7F37"/>
    <w:rsid w:val="007C7F80"/>
    <w:rsid w:val="007D0039"/>
    <w:rsid w:val="007D0095"/>
    <w:rsid w:val="007D0154"/>
    <w:rsid w:val="007D0197"/>
    <w:rsid w:val="007D04E4"/>
    <w:rsid w:val="007D0555"/>
    <w:rsid w:val="007D0642"/>
    <w:rsid w:val="007D067D"/>
    <w:rsid w:val="007D071B"/>
    <w:rsid w:val="007D0795"/>
    <w:rsid w:val="007D07D0"/>
    <w:rsid w:val="007D084A"/>
    <w:rsid w:val="007D0915"/>
    <w:rsid w:val="007D091A"/>
    <w:rsid w:val="007D0A56"/>
    <w:rsid w:val="007D0C2D"/>
    <w:rsid w:val="007D0C58"/>
    <w:rsid w:val="007D0C9C"/>
    <w:rsid w:val="007D0D38"/>
    <w:rsid w:val="007D0D88"/>
    <w:rsid w:val="007D0DE2"/>
    <w:rsid w:val="007D0E15"/>
    <w:rsid w:val="007D0E7B"/>
    <w:rsid w:val="007D0F60"/>
    <w:rsid w:val="007D0FB7"/>
    <w:rsid w:val="007D0FEF"/>
    <w:rsid w:val="007D1048"/>
    <w:rsid w:val="007D10D2"/>
    <w:rsid w:val="007D1288"/>
    <w:rsid w:val="007D12AE"/>
    <w:rsid w:val="007D1323"/>
    <w:rsid w:val="007D1350"/>
    <w:rsid w:val="007D1449"/>
    <w:rsid w:val="007D1460"/>
    <w:rsid w:val="007D1668"/>
    <w:rsid w:val="007D17A1"/>
    <w:rsid w:val="007D17A2"/>
    <w:rsid w:val="007D17A9"/>
    <w:rsid w:val="007D17DA"/>
    <w:rsid w:val="007D1884"/>
    <w:rsid w:val="007D191E"/>
    <w:rsid w:val="007D19E3"/>
    <w:rsid w:val="007D1A08"/>
    <w:rsid w:val="007D1A58"/>
    <w:rsid w:val="007D1A81"/>
    <w:rsid w:val="007D1AFE"/>
    <w:rsid w:val="007D1C02"/>
    <w:rsid w:val="007D1C63"/>
    <w:rsid w:val="007D1DD8"/>
    <w:rsid w:val="007D1DF9"/>
    <w:rsid w:val="007D1E95"/>
    <w:rsid w:val="007D1F00"/>
    <w:rsid w:val="007D1F33"/>
    <w:rsid w:val="007D1F45"/>
    <w:rsid w:val="007D1F7B"/>
    <w:rsid w:val="007D1FC8"/>
    <w:rsid w:val="007D202D"/>
    <w:rsid w:val="007D209B"/>
    <w:rsid w:val="007D2285"/>
    <w:rsid w:val="007D22D8"/>
    <w:rsid w:val="007D230B"/>
    <w:rsid w:val="007D2312"/>
    <w:rsid w:val="007D23F2"/>
    <w:rsid w:val="007D24D3"/>
    <w:rsid w:val="007D2586"/>
    <w:rsid w:val="007D2677"/>
    <w:rsid w:val="007D26E4"/>
    <w:rsid w:val="007D2727"/>
    <w:rsid w:val="007D285D"/>
    <w:rsid w:val="007D29EE"/>
    <w:rsid w:val="007D29F7"/>
    <w:rsid w:val="007D2A93"/>
    <w:rsid w:val="007D2AA3"/>
    <w:rsid w:val="007D2B1E"/>
    <w:rsid w:val="007D2C2D"/>
    <w:rsid w:val="007D2CA3"/>
    <w:rsid w:val="007D2CA5"/>
    <w:rsid w:val="007D2DA8"/>
    <w:rsid w:val="007D2DC1"/>
    <w:rsid w:val="007D2DC3"/>
    <w:rsid w:val="007D2E50"/>
    <w:rsid w:val="007D2E53"/>
    <w:rsid w:val="007D2F32"/>
    <w:rsid w:val="007D2F4A"/>
    <w:rsid w:val="007D2F4B"/>
    <w:rsid w:val="007D2FFA"/>
    <w:rsid w:val="007D300C"/>
    <w:rsid w:val="007D3026"/>
    <w:rsid w:val="007D30F2"/>
    <w:rsid w:val="007D3123"/>
    <w:rsid w:val="007D317A"/>
    <w:rsid w:val="007D31B6"/>
    <w:rsid w:val="007D32E6"/>
    <w:rsid w:val="007D3364"/>
    <w:rsid w:val="007D3372"/>
    <w:rsid w:val="007D3427"/>
    <w:rsid w:val="007D3570"/>
    <w:rsid w:val="007D3610"/>
    <w:rsid w:val="007D36AF"/>
    <w:rsid w:val="007D36B6"/>
    <w:rsid w:val="007D37BB"/>
    <w:rsid w:val="007D3844"/>
    <w:rsid w:val="007D388D"/>
    <w:rsid w:val="007D3902"/>
    <w:rsid w:val="007D3926"/>
    <w:rsid w:val="007D3A30"/>
    <w:rsid w:val="007D3A6A"/>
    <w:rsid w:val="007D3A83"/>
    <w:rsid w:val="007D3B23"/>
    <w:rsid w:val="007D3C56"/>
    <w:rsid w:val="007D3CDF"/>
    <w:rsid w:val="007D3DA1"/>
    <w:rsid w:val="007D3E31"/>
    <w:rsid w:val="007D3ED8"/>
    <w:rsid w:val="007D3F4F"/>
    <w:rsid w:val="007D3F91"/>
    <w:rsid w:val="007D4021"/>
    <w:rsid w:val="007D4066"/>
    <w:rsid w:val="007D412F"/>
    <w:rsid w:val="007D431E"/>
    <w:rsid w:val="007D4337"/>
    <w:rsid w:val="007D4429"/>
    <w:rsid w:val="007D4452"/>
    <w:rsid w:val="007D44F4"/>
    <w:rsid w:val="007D45E7"/>
    <w:rsid w:val="007D45F6"/>
    <w:rsid w:val="007D460C"/>
    <w:rsid w:val="007D4660"/>
    <w:rsid w:val="007D477F"/>
    <w:rsid w:val="007D489A"/>
    <w:rsid w:val="007D492F"/>
    <w:rsid w:val="007D49D7"/>
    <w:rsid w:val="007D4ABD"/>
    <w:rsid w:val="007D4B5A"/>
    <w:rsid w:val="007D4BA2"/>
    <w:rsid w:val="007D4BC8"/>
    <w:rsid w:val="007D4C63"/>
    <w:rsid w:val="007D4CE9"/>
    <w:rsid w:val="007D4D69"/>
    <w:rsid w:val="007D4D6B"/>
    <w:rsid w:val="007D4DA6"/>
    <w:rsid w:val="007D4DCD"/>
    <w:rsid w:val="007D4DEF"/>
    <w:rsid w:val="007D4E6D"/>
    <w:rsid w:val="007D4ED1"/>
    <w:rsid w:val="007D4F64"/>
    <w:rsid w:val="007D4FCD"/>
    <w:rsid w:val="007D4FD2"/>
    <w:rsid w:val="007D5003"/>
    <w:rsid w:val="007D5195"/>
    <w:rsid w:val="007D52AA"/>
    <w:rsid w:val="007D52BA"/>
    <w:rsid w:val="007D52E0"/>
    <w:rsid w:val="007D5310"/>
    <w:rsid w:val="007D5366"/>
    <w:rsid w:val="007D5575"/>
    <w:rsid w:val="007D55C3"/>
    <w:rsid w:val="007D5697"/>
    <w:rsid w:val="007D56FC"/>
    <w:rsid w:val="007D5723"/>
    <w:rsid w:val="007D5732"/>
    <w:rsid w:val="007D574B"/>
    <w:rsid w:val="007D57E7"/>
    <w:rsid w:val="007D581E"/>
    <w:rsid w:val="007D583F"/>
    <w:rsid w:val="007D5848"/>
    <w:rsid w:val="007D589F"/>
    <w:rsid w:val="007D5992"/>
    <w:rsid w:val="007D5A73"/>
    <w:rsid w:val="007D5AC4"/>
    <w:rsid w:val="007D5C1C"/>
    <w:rsid w:val="007D5C36"/>
    <w:rsid w:val="007D5C6C"/>
    <w:rsid w:val="007D5D15"/>
    <w:rsid w:val="007D5D6C"/>
    <w:rsid w:val="007D5D7F"/>
    <w:rsid w:val="007D5D98"/>
    <w:rsid w:val="007D5E72"/>
    <w:rsid w:val="007D60C8"/>
    <w:rsid w:val="007D60EC"/>
    <w:rsid w:val="007D6195"/>
    <w:rsid w:val="007D630F"/>
    <w:rsid w:val="007D6392"/>
    <w:rsid w:val="007D6420"/>
    <w:rsid w:val="007D642A"/>
    <w:rsid w:val="007D642B"/>
    <w:rsid w:val="007D6506"/>
    <w:rsid w:val="007D652C"/>
    <w:rsid w:val="007D67CE"/>
    <w:rsid w:val="007D685D"/>
    <w:rsid w:val="007D693D"/>
    <w:rsid w:val="007D6950"/>
    <w:rsid w:val="007D696D"/>
    <w:rsid w:val="007D698A"/>
    <w:rsid w:val="007D69DB"/>
    <w:rsid w:val="007D6A63"/>
    <w:rsid w:val="007D6AB5"/>
    <w:rsid w:val="007D6B71"/>
    <w:rsid w:val="007D6B80"/>
    <w:rsid w:val="007D6B94"/>
    <w:rsid w:val="007D6BEF"/>
    <w:rsid w:val="007D6CE6"/>
    <w:rsid w:val="007D6D34"/>
    <w:rsid w:val="007D6E00"/>
    <w:rsid w:val="007D6E0D"/>
    <w:rsid w:val="007D6E77"/>
    <w:rsid w:val="007D6F23"/>
    <w:rsid w:val="007D6F4F"/>
    <w:rsid w:val="007D6F65"/>
    <w:rsid w:val="007D707E"/>
    <w:rsid w:val="007D70F3"/>
    <w:rsid w:val="007D7176"/>
    <w:rsid w:val="007D721F"/>
    <w:rsid w:val="007D72AD"/>
    <w:rsid w:val="007D73FC"/>
    <w:rsid w:val="007D7556"/>
    <w:rsid w:val="007D75B7"/>
    <w:rsid w:val="007D766A"/>
    <w:rsid w:val="007D76AC"/>
    <w:rsid w:val="007D7746"/>
    <w:rsid w:val="007D7763"/>
    <w:rsid w:val="007D77F4"/>
    <w:rsid w:val="007D785F"/>
    <w:rsid w:val="007D790A"/>
    <w:rsid w:val="007D79E8"/>
    <w:rsid w:val="007D7B1C"/>
    <w:rsid w:val="007D7C0A"/>
    <w:rsid w:val="007D7C73"/>
    <w:rsid w:val="007D7DC6"/>
    <w:rsid w:val="007E00CE"/>
    <w:rsid w:val="007E032F"/>
    <w:rsid w:val="007E04F6"/>
    <w:rsid w:val="007E0523"/>
    <w:rsid w:val="007E056A"/>
    <w:rsid w:val="007E075E"/>
    <w:rsid w:val="007E08CC"/>
    <w:rsid w:val="007E0A35"/>
    <w:rsid w:val="007E0AA5"/>
    <w:rsid w:val="007E0B05"/>
    <w:rsid w:val="007E0CE8"/>
    <w:rsid w:val="007E0CEC"/>
    <w:rsid w:val="007E0D13"/>
    <w:rsid w:val="007E0D30"/>
    <w:rsid w:val="007E0D3E"/>
    <w:rsid w:val="007E0D5A"/>
    <w:rsid w:val="007E0FC1"/>
    <w:rsid w:val="007E10FD"/>
    <w:rsid w:val="007E11E5"/>
    <w:rsid w:val="007E125D"/>
    <w:rsid w:val="007E1326"/>
    <w:rsid w:val="007E1405"/>
    <w:rsid w:val="007E1447"/>
    <w:rsid w:val="007E1461"/>
    <w:rsid w:val="007E14D6"/>
    <w:rsid w:val="007E1589"/>
    <w:rsid w:val="007E15CE"/>
    <w:rsid w:val="007E15CF"/>
    <w:rsid w:val="007E162B"/>
    <w:rsid w:val="007E1795"/>
    <w:rsid w:val="007E1834"/>
    <w:rsid w:val="007E1858"/>
    <w:rsid w:val="007E1870"/>
    <w:rsid w:val="007E1A4C"/>
    <w:rsid w:val="007E1B48"/>
    <w:rsid w:val="007E1BB8"/>
    <w:rsid w:val="007E1BDD"/>
    <w:rsid w:val="007E1BE3"/>
    <w:rsid w:val="007E1BF8"/>
    <w:rsid w:val="007E1BF9"/>
    <w:rsid w:val="007E1C66"/>
    <w:rsid w:val="007E1C88"/>
    <w:rsid w:val="007E1CA9"/>
    <w:rsid w:val="007E1CBE"/>
    <w:rsid w:val="007E1DB9"/>
    <w:rsid w:val="007E1E47"/>
    <w:rsid w:val="007E1E6B"/>
    <w:rsid w:val="007E1E6F"/>
    <w:rsid w:val="007E1EF4"/>
    <w:rsid w:val="007E1EFF"/>
    <w:rsid w:val="007E1F47"/>
    <w:rsid w:val="007E1F7F"/>
    <w:rsid w:val="007E1F92"/>
    <w:rsid w:val="007E1FDA"/>
    <w:rsid w:val="007E2049"/>
    <w:rsid w:val="007E204E"/>
    <w:rsid w:val="007E21AD"/>
    <w:rsid w:val="007E21FC"/>
    <w:rsid w:val="007E22A6"/>
    <w:rsid w:val="007E22D2"/>
    <w:rsid w:val="007E230E"/>
    <w:rsid w:val="007E23C2"/>
    <w:rsid w:val="007E23E5"/>
    <w:rsid w:val="007E240D"/>
    <w:rsid w:val="007E244D"/>
    <w:rsid w:val="007E2462"/>
    <w:rsid w:val="007E2469"/>
    <w:rsid w:val="007E25FB"/>
    <w:rsid w:val="007E261D"/>
    <w:rsid w:val="007E268E"/>
    <w:rsid w:val="007E26CE"/>
    <w:rsid w:val="007E2704"/>
    <w:rsid w:val="007E275D"/>
    <w:rsid w:val="007E2817"/>
    <w:rsid w:val="007E2877"/>
    <w:rsid w:val="007E28B6"/>
    <w:rsid w:val="007E2A73"/>
    <w:rsid w:val="007E2A7C"/>
    <w:rsid w:val="007E2B1C"/>
    <w:rsid w:val="007E2B65"/>
    <w:rsid w:val="007E2B8F"/>
    <w:rsid w:val="007E2B96"/>
    <w:rsid w:val="007E2C56"/>
    <w:rsid w:val="007E2CBD"/>
    <w:rsid w:val="007E2CF0"/>
    <w:rsid w:val="007E2E1B"/>
    <w:rsid w:val="007E2E25"/>
    <w:rsid w:val="007E2F50"/>
    <w:rsid w:val="007E2FC1"/>
    <w:rsid w:val="007E3067"/>
    <w:rsid w:val="007E3099"/>
    <w:rsid w:val="007E30E8"/>
    <w:rsid w:val="007E320B"/>
    <w:rsid w:val="007E3231"/>
    <w:rsid w:val="007E3241"/>
    <w:rsid w:val="007E33E5"/>
    <w:rsid w:val="007E35AD"/>
    <w:rsid w:val="007E362A"/>
    <w:rsid w:val="007E3670"/>
    <w:rsid w:val="007E375E"/>
    <w:rsid w:val="007E37A5"/>
    <w:rsid w:val="007E381E"/>
    <w:rsid w:val="007E39EA"/>
    <w:rsid w:val="007E3A05"/>
    <w:rsid w:val="007E3A10"/>
    <w:rsid w:val="007E3A53"/>
    <w:rsid w:val="007E3ACB"/>
    <w:rsid w:val="007E3B7F"/>
    <w:rsid w:val="007E3DA5"/>
    <w:rsid w:val="007E3DAE"/>
    <w:rsid w:val="007E3E55"/>
    <w:rsid w:val="007E3F40"/>
    <w:rsid w:val="007E3FCC"/>
    <w:rsid w:val="007E3FDD"/>
    <w:rsid w:val="007E3FE0"/>
    <w:rsid w:val="007E40C6"/>
    <w:rsid w:val="007E420C"/>
    <w:rsid w:val="007E4218"/>
    <w:rsid w:val="007E422B"/>
    <w:rsid w:val="007E42A1"/>
    <w:rsid w:val="007E4322"/>
    <w:rsid w:val="007E4359"/>
    <w:rsid w:val="007E43F8"/>
    <w:rsid w:val="007E43F9"/>
    <w:rsid w:val="007E4456"/>
    <w:rsid w:val="007E451F"/>
    <w:rsid w:val="007E4551"/>
    <w:rsid w:val="007E45E4"/>
    <w:rsid w:val="007E45F3"/>
    <w:rsid w:val="007E465C"/>
    <w:rsid w:val="007E47B4"/>
    <w:rsid w:val="007E4823"/>
    <w:rsid w:val="007E48EE"/>
    <w:rsid w:val="007E4AA7"/>
    <w:rsid w:val="007E4ACC"/>
    <w:rsid w:val="007E4B3B"/>
    <w:rsid w:val="007E4B58"/>
    <w:rsid w:val="007E4C10"/>
    <w:rsid w:val="007E4C69"/>
    <w:rsid w:val="007E4C72"/>
    <w:rsid w:val="007E4CD0"/>
    <w:rsid w:val="007E4D12"/>
    <w:rsid w:val="007E4D1B"/>
    <w:rsid w:val="007E4E23"/>
    <w:rsid w:val="007E4F79"/>
    <w:rsid w:val="007E4FB8"/>
    <w:rsid w:val="007E5010"/>
    <w:rsid w:val="007E50C7"/>
    <w:rsid w:val="007E5145"/>
    <w:rsid w:val="007E51B6"/>
    <w:rsid w:val="007E51DD"/>
    <w:rsid w:val="007E51FB"/>
    <w:rsid w:val="007E526F"/>
    <w:rsid w:val="007E52A4"/>
    <w:rsid w:val="007E530E"/>
    <w:rsid w:val="007E53B2"/>
    <w:rsid w:val="007E53B4"/>
    <w:rsid w:val="007E551B"/>
    <w:rsid w:val="007E5527"/>
    <w:rsid w:val="007E5555"/>
    <w:rsid w:val="007E55FB"/>
    <w:rsid w:val="007E5739"/>
    <w:rsid w:val="007E5835"/>
    <w:rsid w:val="007E589E"/>
    <w:rsid w:val="007E58AC"/>
    <w:rsid w:val="007E58B8"/>
    <w:rsid w:val="007E5959"/>
    <w:rsid w:val="007E599B"/>
    <w:rsid w:val="007E59D0"/>
    <w:rsid w:val="007E5B53"/>
    <w:rsid w:val="007E5B71"/>
    <w:rsid w:val="007E5C3D"/>
    <w:rsid w:val="007E5C74"/>
    <w:rsid w:val="007E5CC8"/>
    <w:rsid w:val="007E5D3F"/>
    <w:rsid w:val="007E5D61"/>
    <w:rsid w:val="007E5E38"/>
    <w:rsid w:val="007E5E63"/>
    <w:rsid w:val="007E5E6C"/>
    <w:rsid w:val="007E5E90"/>
    <w:rsid w:val="007E5EE9"/>
    <w:rsid w:val="007E5F57"/>
    <w:rsid w:val="007E6083"/>
    <w:rsid w:val="007E608B"/>
    <w:rsid w:val="007E6127"/>
    <w:rsid w:val="007E61FF"/>
    <w:rsid w:val="007E620F"/>
    <w:rsid w:val="007E6250"/>
    <w:rsid w:val="007E630C"/>
    <w:rsid w:val="007E6318"/>
    <w:rsid w:val="007E6365"/>
    <w:rsid w:val="007E651D"/>
    <w:rsid w:val="007E665F"/>
    <w:rsid w:val="007E674A"/>
    <w:rsid w:val="007E674D"/>
    <w:rsid w:val="007E6770"/>
    <w:rsid w:val="007E67CC"/>
    <w:rsid w:val="007E687B"/>
    <w:rsid w:val="007E690D"/>
    <w:rsid w:val="007E6B6E"/>
    <w:rsid w:val="007E6CB3"/>
    <w:rsid w:val="007E6CD2"/>
    <w:rsid w:val="007E6D12"/>
    <w:rsid w:val="007E6D6D"/>
    <w:rsid w:val="007E6DB5"/>
    <w:rsid w:val="007E6DD2"/>
    <w:rsid w:val="007E6F7D"/>
    <w:rsid w:val="007E6F87"/>
    <w:rsid w:val="007E6FAC"/>
    <w:rsid w:val="007E7016"/>
    <w:rsid w:val="007E704D"/>
    <w:rsid w:val="007E7055"/>
    <w:rsid w:val="007E709C"/>
    <w:rsid w:val="007E7139"/>
    <w:rsid w:val="007E7156"/>
    <w:rsid w:val="007E7335"/>
    <w:rsid w:val="007E7439"/>
    <w:rsid w:val="007E7441"/>
    <w:rsid w:val="007E744F"/>
    <w:rsid w:val="007E74FB"/>
    <w:rsid w:val="007E75A2"/>
    <w:rsid w:val="007E75E1"/>
    <w:rsid w:val="007E76F9"/>
    <w:rsid w:val="007E775C"/>
    <w:rsid w:val="007E77EF"/>
    <w:rsid w:val="007E78AF"/>
    <w:rsid w:val="007E79CC"/>
    <w:rsid w:val="007E7ACC"/>
    <w:rsid w:val="007E7AE5"/>
    <w:rsid w:val="007E7DE8"/>
    <w:rsid w:val="007E7F18"/>
    <w:rsid w:val="007E7F55"/>
    <w:rsid w:val="007E7F5B"/>
    <w:rsid w:val="007E7FBD"/>
    <w:rsid w:val="007F000B"/>
    <w:rsid w:val="007F0030"/>
    <w:rsid w:val="007F0047"/>
    <w:rsid w:val="007F0112"/>
    <w:rsid w:val="007F0195"/>
    <w:rsid w:val="007F019C"/>
    <w:rsid w:val="007F01BC"/>
    <w:rsid w:val="007F01ED"/>
    <w:rsid w:val="007F04B1"/>
    <w:rsid w:val="007F0559"/>
    <w:rsid w:val="007F0639"/>
    <w:rsid w:val="007F09C7"/>
    <w:rsid w:val="007F09F7"/>
    <w:rsid w:val="007F0B59"/>
    <w:rsid w:val="007F0C87"/>
    <w:rsid w:val="007F0D40"/>
    <w:rsid w:val="007F0D4B"/>
    <w:rsid w:val="007F0D9F"/>
    <w:rsid w:val="007F0EA3"/>
    <w:rsid w:val="007F110B"/>
    <w:rsid w:val="007F1130"/>
    <w:rsid w:val="007F12E0"/>
    <w:rsid w:val="007F1355"/>
    <w:rsid w:val="007F1361"/>
    <w:rsid w:val="007F137B"/>
    <w:rsid w:val="007F1496"/>
    <w:rsid w:val="007F15DF"/>
    <w:rsid w:val="007F1650"/>
    <w:rsid w:val="007F1654"/>
    <w:rsid w:val="007F181F"/>
    <w:rsid w:val="007F18B0"/>
    <w:rsid w:val="007F1941"/>
    <w:rsid w:val="007F1993"/>
    <w:rsid w:val="007F19DB"/>
    <w:rsid w:val="007F1B1A"/>
    <w:rsid w:val="007F1B8F"/>
    <w:rsid w:val="007F1BA8"/>
    <w:rsid w:val="007F1BB1"/>
    <w:rsid w:val="007F1DF6"/>
    <w:rsid w:val="007F1F6F"/>
    <w:rsid w:val="007F1F94"/>
    <w:rsid w:val="007F2049"/>
    <w:rsid w:val="007F216C"/>
    <w:rsid w:val="007F2179"/>
    <w:rsid w:val="007F2247"/>
    <w:rsid w:val="007F22BB"/>
    <w:rsid w:val="007F2330"/>
    <w:rsid w:val="007F23BD"/>
    <w:rsid w:val="007F2441"/>
    <w:rsid w:val="007F245A"/>
    <w:rsid w:val="007F2549"/>
    <w:rsid w:val="007F263C"/>
    <w:rsid w:val="007F26B1"/>
    <w:rsid w:val="007F2751"/>
    <w:rsid w:val="007F2787"/>
    <w:rsid w:val="007F28BF"/>
    <w:rsid w:val="007F2A4B"/>
    <w:rsid w:val="007F2A6E"/>
    <w:rsid w:val="007F2AA0"/>
    <w:rsid w:val="007F2B04"/>
    <w:rsid w:val="007F2B69"/>
    <w:rsid w:val="007F2BB7"/>
    <w:rsid w:val="007F2C0F"/>
    <w:rsid w:val="007F2C62"/>
    <w:rsid w:val="007F2D8A"/>
    <w:rsid w:val="007F2D92"/>
    <w:rsid w:val="007F2DF7"/>
    <w:rsid w:val="007F2EB6"/>
    <w:rsid w:val="007F2EF4"/>
    <w:rsid w:val="007F300A"/>
    <w:rsid w:val="007F3041"/>
    <w:rsid w:val="007F309D"/>
    <w:rsid w:val="007F343D"/>
    <w:rsid w:val="007F34FE"/>
    <w:rsid w:val="007F35C4"/>
    <w:rsid w:val="007F36F8"/>
    <w:rsid w:val="007F378B"/>
    <w:rsid w:val="007F3857"/>
    <w:rsid w:val="007F388C"/>
    <w:rsid w:val="007F38C1"/>
    <w:rsid w:val="007F3B4D"/>
    <w:rsid w:val="007F3BFA"/>
    <w:rsid w:val="007F3C59"/>
    <w:rsid w:val="007F3DAE"/>
    <w:rsid w:val="007F3E5B"/>
    <w:rsid w:val="007F3E6C"/>
    <w:rsid w:val="007F3F3F"/>
    <w:rsid w:val="007F3F80"/>
    <w:rsid w:val="007F3FC8"/>
    <w:rsid w:val="007F40FF"/>
    <w:rsid w:val="007F4257"/>
    <w:rsid w:val="007F42F0"/>
    <w:rsid w:val="007F4326"/>
    <w:rsid w:val="007F4342"/>
    <w:rsid w:val="007F4426"/>
    <w:rsid w:val="007F4461"/>
    <w:rsid w:val="007F44C4"/>
    <w:rsid w:val="007F44ED"/>
    <w:rsid w:val="007F44FC"/>
    <w:rsid w:val="007F457A"/>
    <w:rsid w:val="007F45EF"/>
    <w:rsid w:val="007F46F0"/>
    <w:rsid w:val="007F4747"/>
    <w:rsid w:val="007F4762"/>
    <w:rsid w:val="007F4853"/>
    <w:rsid w:val="007F48B1"/>
    <w:rsid w:val="007F48D5"/>
    <w:rsid w:val="007F498D"/>
    <w:rsid w:val="007F4992"/>
    <w:rsid w:val="007F49B9"/>
    <w:rsid w:val="007F4A11"/>
    <w:rsid w:val="007F4A12"/>
    <w:rsid w:val="007F4A7B"/>
    <w:rsid w:val="007F4A86"/>
    <w:rsid w:val="007F4A9F"/>
    <w:rsid w:val="007F4B1F"/>
    <w:rsid w:val="007F4B35"/>
    <w:rsid w:val="007F4B75"/>
    <w:rsid w:val="007F4E6D"/>
    <w:rsid w:val="007F4EFF"/>
    <w:rsid w:val="007F4F3B"/>
    <w:rsid w:val="007F4F9F"/>
    <w:rsid w:val="007F50F1"/>
    <w:rsid w:val="007F51AF"/>
    <w:rsid w:val="007F5259"/>
    <w:rsid w:val="007F526C"/>
    <w:rsid w:val="007F52BE"/>
    <w:rsid w:val="007F532B"/>
    <w:rsid w:val="007F534F"/>
    <w:rsid w:val="007F536B"/>
    <w:rsid w:val="007F5391"/>
    <w:rsid w:val="007F53E1"/>
    <w:rsid w:val="007F54CE"/>
    <w:rsid w:val="007F5540"/>
    <w:rsid w:val="007F5638"/>
    <w:rsid w:val="007F58D4"/>
    <w:rsid w:val="007F5916"/>
    <w:rsid w:val="007F5A6C"/>
    <w:rsid w:val="007F5AA6"/>
    <w:rsid w:val="007F5B07"/>
    <w:rsid w:val="007F5B09"/>
    <w:rsid w:val="007F5B77"/>
    <w:rsid w:val="007F5BB9"/>
    <w:rsid w:val="007F5BF9"/>
    <w:rsid w:val="007F5C9D"/>
    <w:rsid w:val="007F5CC0"/>
    <w:rsid w:val="007F5D4B"/>
    <w:rsid w:val="007F5DE5"/>
    <w:rsid w:val="007F5F66"/>
    <w:rsid w:val="007F6058"/>
    <w:rsid w:val="007F6087"/>
    <w:rsid w:val="007F6214"/>
    <w:rsid w:val="007F62AC"/>
    <w:rsid w:val="007F62C4"/>
    <w:rsid w:val="007F63E3"/>
    <w:rsid w:val="007F6484"/>
    <w:rsid w:val="007F6566"/>
    <w:rsid w:val="007F677D"/>
    <w:rsid w:val="007F6828"/>
    <w:rsid w:val="007F6862"/>
    <w:rsid w:val="007F6896"/>
    <w:rsid w:val="007F68F2"/>
    <w:rsid w:val="007F6AA6"/>
    <w:rsid w:val="007F6AFA"/>
    <w:rsid w:val="007F6BC3"/>
    <w:rsid w:val="007F6C29"/>
    <w:rsid w:val="007F6CA1"/>
    <w:rsid w:val="007F6D31"/>
    <w:rsid w:val="007F6DC3"/>
    <w:rsid w:val="007F6E33"/>
    <w:rsid w:val="007F6E4B"/>
    <w:rsid w:val="007F6F0C"/>
    <w:rsid w:val="007F6F9C"/>
    <w:rsid w:val="007F6FF5"/>
    <w:rsid w:val="007F70ED"/>
    <w:rsid w:val="007F7132"/>
    <w:rsid w:val="007F714A"/>
    <w:rsid w:val="007F75FF"/>
    <w:rsid w:val="007F7642"/>
    <w:rsid w:val="007F7701"/>
    <w:rsid w:val="007F7710"/>
    <w:rsid w:val="007F7722"/>
    <w:rsid w:val="007F774B"/>
    <w:rsid w:val="007F7750"/>
    <w:rsid w:val="007F785B"/>
    <w:rsid w:val="007F787D"/>
    <w:rsid w:val="007F78A5"/>
    <w:rsid w:val="007F79E1"/>
    <w:rsid w:val="007F7A29"/>
    <w:rsid w:val="007F7BD5"/>
    <w:rsid w:val="007F7BF7"/>
    <w:rsid w:val="007F7CAD"/>
    <w:rsid w:val="007F7E19"/>
    <w:rsid w:val="0080003F"/>
    <w:rsid w:val="008001A6"/>
    <w:rsid w:val="008001AD"/>
    <w:rsid w:val="008001B1"/>
    <w:rsid w:val="0080029E"/>
    <w:rsid w:val="0080032C"/>
    <w:rsid w:val="0080035D"/>
    <w:rsid w:val="008003BD"/>
    <w:rsid w:val="00800643"/>
    <w:rsid w:val="00800691"/>
    <w:rsid w:val="00800818"/>
    <w:rsid w:val="00800890"/>
    <w:rsid w:val="00800963"/>
    <w:rsid w:val="00800B88"/>
    <w:rsid w:val="00800C79"/>
    <w:rsid w:val="00800D58"/>
    <w:rsid w:val="00800D80"/>
    <w:rsid w:val="00800D9D"/>
    <w:rsid w:val="00800E37"/>
    <w:rsid w:val="00800E49"/>
    <w:rsid w:val="00800E8C"/>
    <w:rsid w:val="00800E8E"/>
    <w:rsid w:val="00800FF3"/>
    <w:rsid w:val="00801076"/>
    <w:rsid w:val="00801163"/>
    <w:rsid w:val="0080118F"/>
    <w:rsid w:val="0080122E"/>
    <w:rsid w:val="0080127F"/>
    <w:rsid w:val="00801286"/>
    <w:rsid w:val="008012B6"/>
    <w:rsid w:val="00801374"/>
    <w:rsid w:val="00801492"/>
    <w:rsid w:val="0080173A"/>
    <w:rsid w:val="008017B3"/>
    <w:rsid w:val="00801B04"/>
    <w:rsid w:val="00801BB0"/>
    <w:rsid w:val="00801C40"/>
    <w:rsid w:val="00801C68"/>
    <w:rsid w:val="00801C9E"/>
    <w:rsid w:val="00801CB7"/>
    <w:rsid w:val="00801CC8"/>
    <w:rsid w:val="00801E23"/>
    <w:rsid w:val="00801ECC"/>
    <w:rsid w:val="00801FCE"/>
    <w:rsid w:val="0080210A"/>
    <w:rsid w:val="00802238"/>
    <w:rsid w:val="00802280"/>
    <w:rsid w:val="008023A0"/>
    <w:rsid w:val="008023D7"/>
    <w:rsid w:val="00802410"/>
    <w:rsid w:val="0080249E"/>
    <w:rsid w:val="008024C6"/>
    <w:rsid w:val="00802520"/>
    <w:rsid w:val="008025EE"/>
    <w:rsid w:val="00802612"/>
    <w:rsid w:val="008027E4"/>
    <w:rsid w:val="00802805"/>
    <w:rsid w:val="00802850"/>
    <w:rsid w:val="0080285B"/>
    <w:rsid w:val="008028B2"/>
    <w:rsid w:val="008028D3"/>
    <w:rsid w:val="00802949"/>
    <w:rsid w:val="008029D6"/>
    <w:rsid w:val="008029E4"/>
    <w:rsid w:val="00802A12"/>
    <w:rsid w:val="00802A8A"/>
    <w:rsid w:val="00802AE1"/>
    <w:rsid w:val="00802BEF"/>
    <w:rsid w:val="00802CE7"/>
    <w:rsid w:val="00802E08"/>
    <w:rsid w:val="00802F2F"/>
    <w:rsid w:val="00802F6F"/>
    <w:rsid w:val="00803037"/>
    <w:rsid w:val="0080305F"/>
    <w:rsid w:val="008030B9"/>
    <w:rsid w:val="0080318E"/>
    <w:rsid w:val="008031AC"/>
    <w:rsid w:val="008031BD"/>
    <w:rsid w:val="00803290"/>
    <w:rsid w:val="0080329F"/>
    <w:rsid w:val="00803300"/>
    <w:rsid w:val="00803448"/>
    <w:rsid w:val="00803493"/>
    <w:rsid w:val="008035C5"/>
    <w:rsid w:val="00803602"/>
    <w:rsid w:val="00803698"/>
    <w:rsid w:val="008036EA"/>
    <w:rsid w:val="008037E6"/>
    <w:rsid w:val="00803803"/>
    <w:rsid w:val="00803807"/>
    <w:rsid w:val="00803A34"/>
    <w:rsid w:val="00803A5B"/>
    <w:rsid w:val="00803A98"/>
    <w:rsid w:val="00803C34"/>
    <w:rsid w:val="00803C6C"/>
    <w:rsid w:val="00803C99"/>
    <w:rsid w:val="00803E49"/>
    <w:rsid w:val="00803EF0"/>
    <w:rsid w:val="00803F00"/>
    <w:rsid w:val="00803F04"/>
    <w:rsid w:val="00803F21"/>
    <w:rsid w:val="00803F99"/>
    <w:rsid w:val="00803FDA"/>
    <w:rsid w:val="00804052"/>
    <w:rsid w:val="008041E5"/>
    <w:rsid w:val="008042BD"/>
    <w:rsid w:val="00804316"/>
    <w:rsid w:val="00804344"/>
    <w:rsid w:val="00804558"/>
    <w:rsid w:val="00804569"/>
    <w:rsid w:val="008045CC"/>
    <w:rsid w:val="00804634"/>
    <w:rsid w:val="00804689"/>
    <w:rsid w:val="00804698"/>
    <w:rsid w:val="0080470F"/>
    <w:rsid w:val="0080479E"/>
    <w:rsid w:val="008048D3"/>
    <w:rsid w:val="00804934"/>
    <w:rsid w:val="008049BC"/>
    <w:rsid w:val="00804A5A"/>
    <w:rsid w:val="00804B64"/>
    <w:rsid w:val="00804BBA"/>
    <w:rsid w:val="00804BBB"/>
    <w:rsid w:val="00804BE7"/>
    <w:rsid w:val="00804C2E"/>
    <w:rsid w:val="00804CFC"/>
    <w:rsid w:val="00804FB5"/>
    <w:rsid w:val="00804FE6"/>
    <w:rsid w:val="00804FF3"/>
    <w:rsid w:val="00805081"/>
    <w:rsid w:val="008050D8"/>
    <w:rsid w:val="00805147"/>
    <w:rsid w:val="00805151"/>
    <w:rsid w:val="008051E1"/>
    <w:rsid w:val="00805219"/>
    <w:rsid w:val="00805235"/>
    <w:rsid w:val="0080528B"/>
    <w:rsid w:val="0080539C"/>
    <w:rsid w:val="008053A3"/>
    <w:rsid w:val="00805416"/>
    <w:rsid w:val="008055C7"/>
    <w:rsid w:val="00805656"/>
    <w:rsid w:val="00805791"/>
    <w:rsid w:val="008057C9"/>
    <w:rsid w:val="0080581C"/>
    <w:rsid w:val="00805A0E"/>
    <w:rsid w:val="00805B04"/>
    <w:rsid w:val="00805B28"/>
    <w:rsid w:val="00805BCC"/>
    <w:rsid w:val="00805BE5"/>
    <w:rsid w:val="00805C6F"/>
    <w:rsid w:val="00805C73"/>
    <w:rsid w:val="00805CD2"/>
    <w:rsid w:val="00805DA8"/>
    <w:rsid w:val="00805DBD"/>
    <w:rsid w:val="00805EE0"/>
    <w:rsid w:val="00805F02"/>
    <w:rsid w:val="00805F76"/>
    <w:rsid w:val="008060CD"/>
    <w:rsid w:val="008060DF"/>
    <w:rsid w:val="00806234"/>
    <w:rsid w:val="00806368"/>
    <w:rsid w:val="0080645E"/>
    <w:rsid w:val="0080653E"/>
    <w:rsid w:val="00806713"/>
    <w:rsid w:val="0080675D"/>
    <w:rsid w:val="00806801"/>
    <w:rsid w:val="00806A42"/>
    <w:rsid w:val="00806B64"/>
    <w:rsid w:val="00806BB7"/>
    <w:rsid w:val="00806D45"/>
    <w:rsid w:val="00806DD7"/>
    <w:rsid w:val="00806E5E"/>
    <w:rsid w:val="0080708D"/>
    <w:rsid w:val="008070F2"/>
    <w:rsid w:val="0080716D"/>
    <w:rsid w:val="008071BC"/>
    <w:rsid w:val="00807266"/>
    <w:rsid w:val="00807418"/>
    <w:rsid w:val="0080742D"/>
    <w:rsid w:val="0080753D"/>
    <w:rsid w:val="008075FE"/>
    <w:rsid w:val="0080762F"/>
    <w:rsid w:val="008076AC"/>
    <w:rsid w:val="00807702"/>
    <w:rsid w:val="0080798B"/>
    <w:rsid w:val="00807A95"/>
    <w:rsid w:val="00807ACD"/>
    <w:rsid w:val="00807BEF"/>
    <w:rsid w:val="00807C8D"/>
    <w:rsid w:val="00807CB9"/>
    <w:rsid w:val="00807D12"/>
    <w:rsid w:val="00807D29"/>
    <w:rsid w:val="00807D3A"/>
    <w:rsid w:val="00807DA8"/>
    <w:rsid w:val="00807E8E"/>
    <w:rsid w:val="00807EFE"/>
    <w:rsid w:val="00807F06"/>
    <w:rsid w:val="00810025"/>
    <w:rsid w:val="0081009E"/>
    <w:rsid w:val="008102DD"/>
    <w:rsid w:val="008102E4"/>
    <w:rsid w:val="00810577"/>
    <w:rsid w:val="0081070B"/>
    <w:rsid w:val="00810790"/>
    <w:rsid w:val="008108D9"/>
    <w:rsid w:val="00810964"/>
    <w:rsid w:val="008109DD"/>
    <w:rsid w:val="008109FF"/>
    <w:rsid w:val="00810A20"/>
    <w:rsid w:val="00810B95"/>
    <w:rsid w:val="00810C3E"/>
    <w:rsid w:val="00810E35"/>
    <w:rsid w:val="00810E88"/>
    <w:rsid w:val="00810E92"/>
    <w:rsid w:val="00810F32"/>
    <w:rsid w:val="00810F9B"/>
    <w:rsid w:val="0081118F"/>
    <w:rsid w:val="00811254"/>
    <w:rsid w:val="008112CD"/>
    <w:rsid w:val="0081137E"/>
    <w:rsid w:val="00811388"/>
    <w:rsid w:val="00811475"/>
    <w:rsid w:val="008114B4"/>
    <w:rsid w:val="00811592"/>
    <w:rsid w:val="008115CA"/>
    <w:rsid w:val="008116EB"/>
    <w:rsid w:val="00811706"/>
    <w:rsid w:val="008117C7"/>
    <w:rsid w:val="008117E1"/>
    <w:rsid w:val="008117F8"/>
    <w:rsid w:val="00811851"/>
    <w:rsid w:val="008118C8"/>
    <w:rsid w:val="008118D6"/>
    <w:rsid w:val="008119A0"/>
    <w:rsid w:val="008119B7"/>
    <w:rsid w:val="00811C40"/>
    <w:rsid w:val="00811C8A"/>
    <w:rsid w:val="00811CBF"/>
    <w:rsid w:val="00811DD3"/>
    <w:rsid w:val="00811E7F"/>
    <w:rsid w:val="00811FB2"/>
    <w:rsid w:val="0081202D"/>
    <w:rsid w:val="0081203E"/>
    <w:rsid w:val="008122F7"/>
    <w:rsid w:val="0081234C"/>
    <w:rsid w:val="00812399"/>
    <w:rsid w:val="008123BF"/>
    <w:rsid w:val="008123C4"/>
    <w:rsid w:val="008124C6"/>
    <w:rsid w:val="0081254C"/>
    <w:rsid w:val="0081256A"/>
    <w:rsid w:val="00812599"/>
    <w:rsid w:val="00812733"/>
    <w:rsid w:val="008129D5"/>
    <w:rsid w:val="00812A22"/>
    <w:rsid w:val="00812AA9"/>
    <w:rsid w:val="00812ABB"/>
    <w:rsid w:val="00812AD1"/>
    <w:rsid w:val="00812B0D"/>
    <w:rsid w:val="00812B93"/>
    <w:rsid w:val="00812BAC"/>
    <w:rsid w:val="00812CC4"/>
    <w:rsid w:val="00812DB5"/>
    <w:rsid w:val="00812DBF"/>
    <w:rsid w:val="00812DD1"/>
    <w:rsid w:val="00812EB5"/>
    <w:rsid w:val="00813009"/>
    <w:rsid w:val="0081303C"/>
    <w:rsid w:val="00813053"/>
    <w:rsid w:val="0081313D"/>
    <w:rsid w:val="008132A3"/>
    <w:rsid w:val="008133D3"/>
    <w:rsid w:val="00813531"/>
    <w:rsid w:val="00813574"/>
    <w:rsid w:val="00813596"/>
    <w:rsid w:val="0081359A"/>
    <w:rsid w:val="0081361E"/>
    <w:rsid w:val="00813681"/>
    <w:rsid w:val="0081371E"/>
    <w:rsid w:val="008138DA"/>
    <w:rsid w:val="00813954"/>
    <w:rsid w:val="008139AC"/>
    <w:rsid w:val="008139EC"/>
    <w:rsid w:val="00813A5D"/>
    <w:rsid w:val="00813AB6"/>
    <w:rsid w:val="00813C55"/>
    <w:rsid w:val="00813CC0"/>
    <w:rsid w:val="00813E86"/>
    <w:rsid w:val="00813EC0"/>
    <w:rsid w:val="00813F15"/>
    <w:rsid w:val="008140E9"/>
    <w:rsid w:val="00814146"/>
    <w:rsid w:val="008142C1"/>
    <w:rsid w:val="0081434B"/>
    <w:rsid w:val="00814371"/>
    <w:rsid w:val="008144D8"/>
    <w:rsid w:val="008144EE"/>
    <w:rsid w:val="00814503"/>
    <w:rsid w:val="00814540"/>
    <w:rsid w:val="008145C7"/>
    <w:rsid w:val="00814715"/>
    <w:rsid w:val="00814894"/>
    <w:rsid w:val="008148A3"/>
    <w:rsid w:val="0081492B"/>
    <w:rsid w:val="00814B7E"/>
    <w:rsid w:val="00814D13"/>
    <w:rsid w:val="00814D32"/>
    <w:rsid w:val="00814DCE"/>
    <w:rsid w:val="00815131"/>
    <w:rsid w:val="00815178"/>
    <w:rsid w:val="008151CB"/>
    <w:rsid w:val="00815205"/>
    <w:rsid w:val="00815294"/>
    <w:rsid w:val="00815359"/>
    <w:rsid w:val="00815546"/>
    <w:rsid w:val="00815572"/>
    <w:rsid w:val="00815594"/>
    <w:rsid w:val="0081559A"/>
    <w:rsid w:val="008156F0"/>
    <w:rsid w:val="008156F3"/>
    <w:rsid w:val="00815872"/>
    <w:rsid w:val="008158C5"/>
    <w:rsid w:val="0081592A"/>
    <w:rsid w:val="0081596A"/>
    <w:rsid w:val="00815B1E"/>
    <w:rsid w:val="00815B4C"/>
    <w:rsid w:val="00815C2F"/>
    <w:rsid w:val="00815C3D"/>
    <w:rsid w:val="00815E20"/>
    <w:rsid w:val="00815E3E"/>
    <w:rsid w:val="00815FD9"/>
    <w:rsid w:val="00816019"/>
    <w:rsid w:val="00816087"/>
    <w:rsid w:val="008160C8"/>
    <w:rsid w:val="008160E9"/>
    <w:rsid w:val="008160EA"/>
    <w:rsid w:val="008160F2"/>
    <w:rsid w:val="00816151"/>
    <w:rsid w:val="00816206"/>
    <w:rsid w:val="0081634C"/>
    <w:rsid w:val="0081638B"/>
    <w:rsid w:val="0081642F"/>
    <w:rsid w:val="008164D6"/>
    <w:rsid w:val="0081653C"/>
    <w:rsid w:val="00816560"/>
    <w:rsid w:val="0081659D"/>
    <w:rsid w:val="008166F4"/>
    <w:rsid w:val="008167D3"/>
    <w:rsid w:val="00816825"/>
    <w:rsid w:val="00816838"/>
    <w:rsid w:val="00816912"/>
    <w:rsid w:val="008169ED"/>
    <w:rsid w:val="00816A97"/>
    <w:rsid w:val="00816AA4"/>
    <w:rsid w:val="00816BAA"/>
    <w:rsid w:val="00816C60"/>
    <w:rsid w:val="00816C8E"/>
    <w:rsid w:val="00816CD1"/>
    <w:rsid w:val="00816DB3"/>
    <w:rsid w:val="00816F2C"/>
    <w:rsid w:val="00816F35"/>
    <w:rsid w:val="00816F52"/>
    <w:rsid w:val="00816F8D"/>
    <w:rsid w:val="0081707D"/>
    <w:rsid w:val="0081715D"/>
    <w:rsid w:val="008171FF"/>
    <w:rsid w:val="00817206"/>
    <w:rsid w:val="00817260"/>
    <w:rsid w:val="00817296"/>
    <w:rsid w:val="00817333"/>
    <w:rsid w:val="008173FA"/>
    <w:rsid w:val="00817402"/>
    <w:rsid w:val="0081749A"/>
    <w:rsid w:val="008175FB"/>
    <w:rsid w:val="00817627"/>
    <w:rsid w:val="008176E2"/>
    <w:rsid w:val="00817713"/>
    <w:rsid w:val="0081775A"/>
    <w:rsid w:val="0081777B"/>
    <w:rsid w:val="008177A9"/>
    <w:rsid w:val="0081782C"/>
    <w:rsid w:val="00817852"/>
    <w:rsid w:val="00817889"/>
    <w:rsid w:val="008178F1"/>
    <w:rsid w:val="00817A17"/>
    <w:rsid w:val="00817A48"/>
    <w:rsid w:val="00817B45"/>
    <w:rsid w:val="00817B76"/>
    <w:rsid w:val="00817B7C"/>
    <w:rsid w:val="00817C39"/>
    <w:rsid w:val="00817E71"/>
    <w:rsid w:val="00817F3A"/>
    <w:rsid w:val="008200D0"/>
    <w:rsid w:val="00820171"/>
    <w:rsid w:val="008201A9"/>
    <w:rsid w:val="008201DA"/>
    <w:rsid w:val="008202B6"/>
    <w:rsid w:val="00820300"/>
    <w:rsid w:val="0082048A"/>
    <w:rsid w:val="00820505"/>
    <w:rsid w:val="00820605"/>
    <w:rsid w:val="0082061C"/>
    <w:rsid w:val="008206D4"/>
    <w:rsid w:val="008206F2"/>
    <w:rsid w:val="00820760"/>
    <w:rsid w:val="00820820"/>
    <w:rsid w:val="0082094B"/>
    <w:rsid w:val="0082099D"/>
    <w:rsid w:val="008209B5"/>
    <w:rsid w:val="008209E9"/>
    <w:rsid w:val="00820A17"/>
    <w:rsid w:val="00820A28"/>
    <w:rsid w:val="00820A85"/>
    <w:rsid w:val="00820AD5"/>
    <w:rsid w:val="00820B10"/>
    <w:rsid w:val="00820B1E"/>
    <w:rsid w:val="00820CCA"/>
    <w:rsid w:val="00820D18"/>
    <w:rsid w:val="00820D83"/>
    <w:rsid w:val="00820D9D"/>
    <w:rsid w:val="00820F83"/>
    <w:rsid w:val="008210F0"/>
    <w:rsid w:val="00821109"/>
    <w:rsid w:val="00821142"/>
    <w:rsid w:val="00821166"/>
    <w:rsid w:val="008211B3"/>
    <w:rsid w:val="0082127B"/>
    <w:rsid w:val="008212FC"/>
    <w:rsid w:val="00821304"/>
    <w:rsid w:val="00821446"/>
    <w:rsid w:val="008214C5"/>
    <w:rsid w:val="008216A7"/>
    <w:rsid w:val="008216BF"/>
    <w:rsid w:val="00821740"/>
    <w:rsid w:val="0082191F"/>
    <w:rsid w:val="008219AD"/>
    <w:rsid w:val="008219E1"/>
    <w:rsid w:val="00821A1F"/>
    <w:rsid w:val="00821A54"/>
    <w:rsid w:val="00821A89"/>
    <w:rsid w:val="00821A95"/>
    <w:rsid w:val="00821AB8"/>
    <w:rsid w:val="00821C9B"/>
    <w:rsid w:val="00821EEE"/>
    <w:rsid w:val="00821F1F"/>
    <w:rsid w:val="00821F7A"/>
    <w:rsid w:val="00821FDE"/>
    <w:rsid w:val="00822027"/>
    <w:rsid w:val="0082215A"/>
    <w:rsid w:val="008222B4"/>
    <w:rsid w:val="008222D3"/>
    <w:rsid w:val="0082233A"/>
    <w:rsid w:val="008223DA"/>
    <w:rsid w:val="00822402"/>
    <w:rsid w:val="00822448"/>
    <w:rsid w:val="00822468"/>
    <w:rsid w:val="00822496"/>
    <w:rsid w:val="008225CF"/>
    <w:rsid w:val="00822609"/>
    <w:rsid w:val="0082270B"/>
    <w:rsid w:val="00822731"/>
    <w:rsid w:val="00822745"/>
    <w:rsid w:val="0082277E"/>
    <w:rsid w:val="008227D1"/>
    <w:rsid w:val="008227DA"/>
    <w:rsid w:val="008227ED"/>
    <w:rsid w:val="008227FA"/>
    <w:rsid w:val="0082287E"/>
    <w:rsid w:val="008228C2"/>
    <w:rsid w:val="00822935"/>
    <w:rsid w:val="008229B2"/>
    <w:rsid w:val="00822A6C"/>
    <w:rsid w:val="00822AB3"/>
    <w:rsid w:val="00822AD9"/>
    <w:rsid w:val="00822B1C"/>
    <w:rsid w:val="00822CAD"/>
    <w:rsid w:val="00822E70"/>
    <w:rsid w:val="00822EAE"/>
    <w:rsid w:val="00822EC2"/>
    <w:rsid w:val="00822ED0"/>
    <w:rsid w:val="00822FDC"/>
    <w:rsid w:val="00822FEB"/>
    <w:rsid w:val="00822FF4"/>
    <w:rsid w:val="00823051"/>
    <w:rsid w:val="008230BC"/>
    <w:rsid w:val="0082334D"/>
    <w:rsid w:val="00823368"/>
    <w:rsid w:val="00823388"/>
    <w:rsid w:val="008233AC"/>
    <w:rsid w:val="008233EB"/>
    <w:rsid w:val="008233F8"/>
    <w:rsid w:val="0082344C"/>
    <w:rsid w:val="0082386F"/>
    <w:rsid w:val="008238E2"/>
    <w:rsid w:val="0082397F"/>
    <w:rsid w:val="00823A06"/>
    <w:rsid w:val="00823A25"/>
    <w:rsid w:val="00823AE7"/>
    <w:rsid w:val="00823BB6"/>
    <w:rsid w:val="00823D53"/>
    <w:rsid w:val="00823DE3"/>
    <w:rsid w:val="00823E1A"/>
    <w:rsid w:val="00823E3F"/>
    <w:rsid w:val="00824132"/>
    <w:rsid w:val="008242CD"/>
    <w:rsid w:val="0082432E"/>
    <w:rsid w:val="0082435D"/>
    <w:rsid w:val="00824385"/>
    <w:rsid w:val="008243CC"/>
    <w:rsid w:val="008243D1"/>
    <w:rsid w:val="008246FE"/>
    <w:rsid w:val="00824765"/>
    <w:rsid w:val="00824773"/>
    <w:rsid w:val="008247CE"/>
    <w:rsid w:val="00824946"/>
    <w:rsid w:val="008249C9"/>
    <w:rsid w:val="00824AB8"/>
    <w:rsid w:val="00824C5D"/>
    <w:rsid w:val="00824CE7"/>
    <w:rsid w:val="00824D37"/>
    <w:rsid w:val="00824D46"/>
    <w:rsid w:val="00824D4C"/>
    <w:rsid w:val="00824EFA"/>
    <w:rsid w:val="00824F19"/>
    <w:rsid w:val="00824F6A"/>
    <w:rsid w:val="00824FF7"/>
    <w:rsid w:val="00825028"/>
    <w:rsid w:val="00825047"/>
    <w:rsid w:val="008250E7"/>
    <w:rsid w:val="008251DC"/>
    <w:rsid w:val="0082524E"/>
    <w:rsid w:val="00825461"/>
    <w:rsid w:val="0082559A"/>
    <w:rsid w:val="00825605"/>
    <w:rsid w:val="0082577A"/>
    <w:rsid w:val="00825809"/>
    <w:rsid w:val="00825818"/>
    <w:rsid w:val="0082582B"/>
    <w:rsid w:val="0082593F"/>
    <w:rsid w:val="0082595B"/>
    <w:rsid w:val="0082597F"/>
    <w:rsid w:val="008259D1"/>
    <w:rsid w:val="00825A46"/>
    <w:rsid w:val="00825ADF"/>
    <w:rsid w:val="00825B22"/>
    <w:rsid w:val="00825B38"/>
    <w:rsid w:val="00825C28"/>
    <w:rsid w:val="00825C46"/>
    <w:rsid w:val="00825C4C"/>
    <w:rsid w:val="00825D23"/>
    <w:rsid w:val="00825D40"/>
    <w:rsid w:val="00825DD4"/>
    <w:rsid w:val="00825E20"/>
    <w:rsid w:val="00825F5D"/>
    <w:rsid w:val="00826080"/>
    <w:rsid w:val="0082610B"/>
    <w:rsid w:val="00826114"/>
    <w:rsid w:val="008261F7"/>
    <w:rsid w:val="008262B7"/>
    <w:rsid w:val="008262C4"/>
    <w:rsid w:val="008262C6"/>
    <w:rsid w:val="008263B1"/>
    <w:rsid w:val="008263CA"/>
    <w:rsid w:val="008263F6"/>
    <w:rsid w:val="00826420"/>
    <w:rsid w:val="008264CA"/>
    <w:rsid w:val="00826771"/>
    <w:rsid w:val="008267B3"/>
    <w:rsid w:val="008267D1"/>
    <w:rsid w:val="008267DD"/>
    <w:rsid w:val="008268FB"/>
    <w:rsid w:val="00826945"/>
    <w:rsid w:val="00826963"/>
    <w:rsid w:val="008269F5"/>
    <w:rsid w:val="00826AFD"/>
    <w:rsid w:val="00826BA4"/>
    <w:rsid w:val="00826C1C"/>
    <w:rsid w:val="00826C46"/>
    <w:rsid w:val="00826D89"/>
    <w:rsid w:val="00826E2A"/>
    <w:rsid w:val="00826E80"/>
    <w:rsid w:val="00826F23"/>
    <w:rsid w:val="00826FE6"/>
    <w:rsid w:val="00827079"/>
    <w:rsid w:val="008270B4"/>
    <w:rsid w:val="008271C8"/>
    <w:rsid w:val="00827240"/>
    <w:rsid w:val="00827333"/>
    <w:rsid w:val="00827386"/>
    <w:rsid w:val="008273A9"/>
    <w:rsid w:val="008274FF"/>
    <w:rsid w:val="0082754F"/>
    <w:rsid w:val="008275AC"/>
    <w:rsid w:val="00827864"/>
    <w:rsid w:val="008278F4"/>
    <w:rsid w:val="008279CB"/>
    <w:rsid w:val="00827A58"/>
    <w:rsid w:val="00827A61"/>
    <w:rsid w:val="00827C05"/>
    <w:rsid w:val="00827D94"/>
    <w:rsid w:val="00827DF6"/>
    <w:rsid w:val="00827E79"/>
    <w:rsid w:val="00827F64"/>
    <w:rsid w:val="0083005B"/>
    <w:rsid w:val="008300BF"/>
    <w:rsid w:val="008300C2"/>
    <w:rsid w:val="00830117"/>
    <w:rsid w:val="008301BB"/>
    <w:rsid w:val="00830239"/>
    <w:rsid w:val="00830333"/>
    <w:rsid w:val="008303B2"/>
    <w:rsid w:val="00830413"/>
    <w:rsid w:val="00830591"/>
    <w:rsid w:val="008305D8"/>
    <w:rsid w:val="00830600"/>
    <w:rsid w:val="00830613"/>
    <w:rsid w:val="00830614"/>
    <w:rsid w:val="00830639"/>
    <w:rsid w:val="00830641"/>
    <w:rsid w:val="008306A8"/>
    <w:rsid w:val="008307BC"/>
    <w:rsid w:val="00830909"/>
    <w:rsid w:val="00830B08"/>
    <w:rsid w:val="00830D91"/>
    <w:rsid w:val="00830DAF"/>
    <w:rsid w:val="00830E35"/>
    <w:rsid w:val="00830E56"/>
    <w:rsid w:val="00830E6E"/>
    <w:rsid w:val="00830F0C"/>
    <w:rsid w:val="00830F28"/>
    <w:rsid w:val="00830F54"/>
    <w:rsid w:val="00831099"/>
    <w:rsid w:val="008312BD"/>
    <w:rsid w:val="00831353"/>
    <w:rsid w:val="00831372"/>
    <w:rsid w:val="0083139A"/>
    <w:rsid w:val="0083141C"/>
    <w:rsid w:val="0083179C"/>
    <w:rsid w:val="0083188F"/>
    <w:rsid w:val="008318FE"/>
    <w:rsid w:val="00831A17"/>
    <w:rsid w:val="00831EEF"/>
    <w:rsid w:val="00831F90"/>
    <w:rsid w:val="00832040"/>
    <w:rsid w:val="00832149"/>
    <w:rsid w:val="008322E6"/>
    <w:rsid w:val="0083230E"/>
    <w:rsid w:val="0083244A"/>
    <w:rsid w:val="008324B7"/>
    <w:rsid w:val="00832512"/>
    <w:rsid w:val="0083251B"/>
    <w:rsid w:val="0083256E"/>
    <w:rsid w:val="008325D9"/>
    <w:rsid w:val="0083263C"/>
    <w:rsid w:val="00832716"/>
    <w:rsid w:val="0083274A"/>
    <w:rsid w:val="00832797"/>
    <w:rsid w:val="008327BF"/>
    <w:rsid w:val="008327F8"/>
    <w:rsid w:val="00832875"/>
    <w:rsid w:val="00832898"/>
    <w:rsid w:val="008328B1"/>
    <w:rsid w:val="008329C3"/>
    <w:rsid w:val="008329EB"/>
    <w:rsid w:val="00832A46"/>
    <w:rsid w:val="00832A75"/>
    <w:rsid w:val="00832A9B"/>
    <w:rsid w:val="00832B04"/>
    <w:rsid w:val="00832B4B"/>
    <w:rsid w:val="00832BA1"/>
    <w:rsid w:val="00832BDC"/>
    <w:rsid w:val="00832CFA"/>
    <w:rsid w:val="00832CFF"/>
    <w:rsid w:val="00832D55"/>
    <w:rsid w:val="00832D67"/>
    <w:rsid w:val="00832E1C"/>
    <w:rsid w:val="00832E3B"/>
    <w:rsid w:val="00832EE4"/>
    <w:rsid w:val="00832EEB"/>
    <w:rsid w:val="00832FFD"/>
    <w:rsid w:val="008330F5"/>
    <w:rsid w:val="00833137"/>
    <w:rsid w:val="00833172"/>
    <w:rsid w:val="008331C4"/>
    <w:rsid w:val="008331DE"/>
    <w:rsid w:val="008332A2"/>
    <w:rsid w:val="0083333D"/>
    <w:rsid w:val="00833395"/>
    <w:rsid w:val="00833439"/>
    <w:rsid w:val="008334C6"/>
    <w:rsid w:val="008335A4"/>
    <w:rsid w:val="008335DF"/>
    <w:rsid w:val="008337D2"/>
    <w:rsid w:val="008338DF"/>
    <w:rsid w:val="008338F3"/>
    <w:rsid w:val="00833A98"/>
    <w:rsid w:val="00833B21"/>
    <w:rsid w:val="00833B33"/>
    <w:rsid w:val="00833B5F"/>
    <w:rsid w:val="00833CBB"/>
    <w:rsid w:val="00833CF7"/>
    <w:rsid w:val="00833E5C"/>
    <w:rsid w:val="00833F96"/>
    <w:rsid w:val="008340CE"/>
    <w:rsid w:val="008340FC"/>
    <w:rsid w:val="008341ED"/>
    <w:rsid w:val="00834284"/>
    <w:rsid w:val="00834326"/>
    <w:rsid w:val="008343A3"/>
    <w:rsid w:val="008343B2"/>
    <w:rsid w:val="008343CD"/>
    <w:rsid w:val="008343DD"/>
    <w:rsid w:val="0083448D"/>
    <w:rsid w:val="008344AF"/>
    <w:rsid w:val="00834560"/>
    <w:rsid w:val="0083457E"/>
    <w:rsid w:val="00834686"/>
    <w:rsid w:val="008346E6"/>
    <w:rsid w:val="00834711"/>
    <w:rsid w:val="0083473E"/>
    <w:rsid w:val="0083479D"/>
    <w:rsid w:val="0083484C"/>
    <w:rsid w:val="0083485A"/>
    <w:rsid w:val="00834868"/>
    <w:rsid w:val="00834956"/>
    <w:rsid w:val="008349B2"/>
    <w:rsid w:val="00834A74"/>
    <w:rsid w:val="00834AA2"/>
    <w:rsid w:val="00834BF5"/>
    <w:rsid w:val="00834C1B"/>
    <w:rsid w:val="00834C96"/>
    <w:rsid w:val="00834D3A"/>
    <w:rsid w:val="00834DEC"/>
    <w:rsid w:val="008350B6"/>
    <w:rsid w:val="00835186"/>
    <w:rsid w:val="008351F1"/>
    <w:rsid w:val="008353D8"/>
    <w:rsid w:val="00835449"/>
    <w:rsid w:val="0083544E"/>
    <w:rsid w:val="008354B3"/>
    <w:rsid w:val="00835538"/>
    <w:rsid w:val="008355B1"/>
    <w:rsid w:val="008355D6"/>
    <w:rsid w:val="00835614"/>
    <w:rsid w:val="00835699"/>
    <w:rsid w:val="0083569B"/>
    <w:rsid w:val="008356AD"/>
    <w:rsid w:val="00835707"/>
    <w:rsid w:val="008357D7"/>
    <w:rsid w:val="008357F9"/>
    <w:rsid w:val="00835897"/>
    <w:rsid w:val="00835899"/>
    <w:rsid w:val="00835A14"/>
    <w:rsid w:val="00835A30"/>
    <w:rsid w:val="00835AB6"/>
    <w:rsid w:val="00835AF5"/>
    <w:rsid w:val="00835BCF"/>
    <w:rsid w:val="00835C04"/>
    <w:rsid w:val="00835D9C"/>
    <w:rsid w:val="00835DD2"/>
    <w:rsid w:val="00835E7A"/>
    <w:rsid w:val="00835F1E"/>
    <w:rsid w:val="00835F25"/>
    <w:rsid w:val="00836065"/>
    <w:rsid w:val="0083608E"/>
    <w:rsid w:val="008360F8"/>
    <w:rsid w:val="00836227"/>
    <w:rsid w:val="0083636C"/>
    <w:rsid w:val="0083638B"/>
    <w:rsid w:val="0083639A"/>
    <w:rsid w:val="008363A6"/>
    <w:rsid w:val="008363CF"/>
    <w:rsid w:val="008365A1"/>
    <w:rsid w:val="008365E1"/>
    <w:rsid w:val="00836648"/>
    <w:rsid w:val="00836676"/>
    <w:rsid w:val="008366AF"/>
    <w:rsid w:val="0083671C"/>
    <w:rsid w:val="00836728"/>
    <w:rsid w:val="00836758"/>
    <w:rsid w:val="008367A9"/>
    <w:rsid w:val="008367E7"/>
    <w:rsid w:val="00836A14"/>
    <w:rsid w:val="00836A86"/>
    <w:rsid w:val="00836B28"/>
    <w:rsid w:val="00836B5A"/>
    <w:rsid w:val="00836BD9"/>
    <w:rsid w:val="00836C9B"/>
    <w:rsid w:val="00836CA5"/>
    <w:rsid w:val="00836D14"/>
    <w:rsid w:val="00836E6A"/>
    <w:rsid w:val="00836EF2"/>
    <w:rsid w:val="00836F4D"/>
    <w:rsid w:val="00836F5C"/>
    <w:rsid w:val="00836FA5"/>
    <w:rsid w:val="00836FB0"/>
    <w:rsid w:val="00836FBA"/>
    <w:rsid w:val="00837061"/>
    <w:rsid w:val="008370E2"/>
    <w:rsid w:val="008370F3"/>
    <w:rsid w:val="00837203"/>
    <w:rsid w:val="00837286"/>
    <w:rsid w:val="0083730D"/>
    <w:rsid w:val="00837324"/>
    <w:rsid w:val="00837464"/>
    <w:rsid w:val="00837477"/>
    <w:rsid w:val="00837588"/>
    <w:rsid w:val="008376AA"/>
    <w:rsid w:val="008376C9"/>
    <w:rsid w:val="008377B0"/>
    <w:rsid w:val="008377B2"/>
    <w:rsid w:val="008377B7"/>
    <w:rsid w:val="008377BB"/>
    <w:rsid w:val="00837819"/>
    <w:rsid w:val="00837824"/>
    <w:rsid w:val="00837A2D"/>
    <w:rsid w:val="00837AAD"/>
    <w:rsid w:val="00837C5E"/>
    <w:rsid w:val="00837C8E"/>
    <w:rsid w:val="00837CEE"/>
    <w:rsid w:val="00837F1C"/>
    <w:rsid w:val="00837F30"/>
    <w:rsid w:val="00837FCA"/>
    <w:rsid w:val="00840097"/>
    <w:rsid w:val="008401BB"/>
    <w:rsid w:val="0084021A"/>
    <w:rsid w:val="00840220"/>
    <w:rsid w:val="0084023E"/>
    <w:rsid w:val="0084029A"/>
    <w:rsid w:val="008402DB"/>
    <w:rsid w:val="0084042D"/>
    <w:rsid w:val="008405D9"/>
    <w:rsid w:val="00840618"/>
    <w:rsid w:val="00840633"/>
    <w:rsid w:val="008406A6"/>
    <w:rsid w:val="008406BD"/>
    <w:rsid w:val="00840736"/>
    <w:rsid w:val="00840851"/>
    <w:rsid w:val="0084088E"/>
    <w:rsid w:val="008408D4"/>
    <w:rsid w:val="008408ED"/>
    <w:rsid w:val="00840903"/>
    <w:rsid w:val="00840947"/>
    <w:rsid w:val="00840979"/>
    <w:rsid w:val="00840AC4"/>
    <w:rsid w:val="00840AD6"/>
    <w:rsid w:val="00840BD0"/>
    <w:rsid w:val="00840C10"/>
    <w:rsid w:val="00840CE6"/>
    <w:rsid w:val="00840D80"/>
    <w:rsid w:val="00840DC0"/>
    <w:rsid w:val="00840DDE"/>
    <w:rsid w:val="00840EAF"/>
    <w:rsid w:val="00840F52"/>
    <w:rsid w:val="00840F8E"/>
    <w:rsid w:val="00840FD6"/>
    <w:rsid w:val="0084102B"/>
    <w:rsid w:val="0084107D"/>
    <w:rsid w:val="0084113F"/>
    <w:rsid w:val="008411DD"/>
    <w:rsid w:val="008411E5"/>
    <w:rsid w:val="00841280"/>
    <w:rsid w:val="00841293"/>
    <w:rsid w:val="008412E4"/>
    <w:rsid w:val="008413D7"/>
    <w:rsid w:val="00841407"/>
    <w:rsid w:val="008414EB"/>
    <w:rsid w:val="00841529"/>
    <w:rsid w:val="0084162A"/>
    <w:rsid w:val="0084189F"/>
    <w:rsid w:val="008418D1"/>
    <w:rsid w:val="008419D0"/>
    <w:rsid w:val="00841A50"/>
    <w:rsid w:val="00841BC4"/>
    <w:rsid w:val="00841C07"/>
    <w:rsid w:val="00841C31"/>
    <w:rsid w:val="00841C5A"/>
    <w:rsid w:val="00841CA6"/>
    <w:rsid w:val="00841E44"/>
    <w:rsid w:val="00841E58"/>
    <w:rsid w:val="00841ED7"/>
    <w:rsid w:val="00841F25"/>
    <w:rsid w:val="00841FA4"/>
    <w:rsid w:val="00842084"/>
    <w:rsid w:val="00842145"/>
    <w:rsid w:val="0084228A"/>
    <w:rsid w:val="008423CC"/>
    <w:rsid w:val="008423FA"/>
    <w:rsid w:val="00842564"/>
    <w:rsid w:val="0084265F"/>
    <w:rsid w:val="008427D3"/>
    <w:rsid w:val="00842891"/>
    <w:rsid w:val="00842910"/>
    <w:rsid w:val="00842932"/>
    <w:rsid w:val="0084293E"/>
    <w:rsid w:val="00842949"/>
    <w:rsid w:val="00842A79"/>
    <w:rsid w:val="00842B51"/>
    <w:rsid w:val="00842BAC"/>
    <w:rsid w:val="00842BB9"/>
    <w:rsid w:val="00842C2A"/>
    <w:rsid w:val="00842C5F"/>
    <w:rsid w:val="00842D88"/>
    <w:rsid w:val="00842EAD"/>
    <w:rsid w:val="00842EBC"/>
    <w:rsid w:val="00842EEF"/>
    <w:rsid w:val="00842F84"/>
    <w:rsid w:val="00842FD2"/>
    <w:rsid w:val="00842FE2"/>
    <w:rsid w:val="0084300C"/>
    <w:rsid w:val="00843219"/>
    <w:rsid w:val="008432C8"/>
    <w:rsid w:val="0084347F"/>
    <w:rsid w:val="008434AC"/>
    <w:rsid w:val="008434BF"/>
    <w:rsid w:val="008434E1"/>
    <w:rsid w:val="008434E6"/>
    <w:rsid w:val="00843608"/>
    <w:rsid w:val="0084362E"/>
    <w:rsid w:val="00843680"/>
    <w:rsid w:val="008436E2"/>
    <w:rsid w:val="00843716"/>
    <w:rsid w:val="008437B4"/>
    <w:rsid w:val="008437EE"/>
    <w:rsid w:val="00843819"/>
    <w:rsid w:val="00843A08"/>
    <w:rsid w:val="00843AB5"/>
    <w:rsid w:val="00843AC5"/>
    <w:rsid w:val="00843ACC"/>
    <w:rsid w:val="00843AD8"/>
    <w:rsid w:val="00843C7A"/>
    <w:rsid w:val="00843C99"/>
    <w:rsid w:val="00843D02"/>
    <w:rsid w:val="00843D43"/>
    <w:rsid w:val="00843D50"/>
    <w:rsid w:val="00843F50"/>
    <w:rsid w:val="00843FF1"/>
    <w:rsid w:val="0084403B"/>
    <w:rsid w:val="00844122"/>
    <w:rsid w:val="00844133"/>
    <w:rsid w:val="00844159"/>
    <w:rsid w:val="0084419D"/>
    <w:rsid w:val="008441B6"/>
    <w:rsid w:val="008442D5"/>
    <w:rsid w:val="00844319"/>
    <w:rsid w:val="0084432D"/>
    <w:rsid w:val="0084433F"/>
    <w:rsid w:val="008445D7"/>
    <w:rsid w:val="00844637"/>
    <w:rsid w:val="0084465E"/>
    <w:rsid w:val="00844733"/>
    <w:rsid w:val="0084475F"/>
    <w:rsid w:val="008448BB"/>
    <w:rsid w:val="00844993"/>
    <w:rsid w:val="00844A57"/>
    <w:rsid w:val="00844A7F"/>
    <w:rsid w:val="00844C21"/>
    <w:rsid w:val="00844C95"/>
    <w:rsid w:val="00844D83"/>
    <w:rsid w:val="00844DAC"/>
    <w:rsid w:val="00844F49"/>
    <w:rsid w:val="00845037"/>
    <w:rsid w:val="00845112"/>
    <w:rsid w:val="0084521D"/>
    <w:rsid w:val="0084530F"/>
    <w:rsid w:val="0084556D"/>
    <w:rsid w:val="0084557D"/>
    <w:rsid w:val="0084559E"/>
    <w:rsid w:val="00845677"/>
    <w:rsid w:val="008457B5"/>
    <w:rsid w:val="008457E1"/>
    <w:rsid w:val="00845838"/>
    <w:rsid w:val="008459A0"/>
    <w:rsid w:val="008459E4"/>
    <w:rsid w:val="00845A19"/>
    <w:rsid w:val="00845AA3"/>
    <w:rsid w:val="00845BE8"/>
    <w:rsid w:val="00845C10"/>
    <w:rsid w:val="00845C26"/>
    <w:rsid w:val="00845C36"/>
    <w:rsid w:val="00845C5F"/>
    <w:rsid w:val="00845CB4"/>
    <w:rsid w:val="00845D8C"/>
    <w:rsid w:val="00845DB6"/>
    <w:rsid w:val="00845E20"/>
    <w:rsid w:val="00845EF3"/>
    <w:rsid w:val="00845F66"/>
    <w:rsid w:val="00845F7D"/>
    <w:rsid w:val="00846007"/>
    <w:rsid w:val="008460A7"/>
    <w:rsid w:val="00846102"/>
    <w:rsid w:val="00846172"/>
    <w:rsid w:val="0084619A"/>
    <w:rsid w:val="008463F6"/>
    <w:rsid w:val="008464C3"/>
    <w:rsid w:val="008465C4"/>
    <w:rsid w:val="00846695"/>
    <w:rsid w:val="008466AD"/>
    <w:rsid w:val="008466D0"/>
    <w:rsid w:val="00846841"/>
    <w:rsid w:val="008468C0"/>
    <w:rsid w:val="008468E7"/>
    <w:rsid w:val="008468EC"/>
    <w:rsid w:val="0084698B"/>
    <w:rsid w:val="008469C6"/>
    <w:rsid w:val="00846A8F"/>
    <w:rsid w:val="00846AEB"/>
    <w:rsid w:val="00846BAF"/>
    <w:rsid w:val="00846C74"/>
    <w:rsid w:val="00846DF8"/>
    <w:rsid w:val="00846E55"/>
    <w:rsid w:val="00846E61"/>
    <w:rsid w:val="00846EDE"/>
    <w:rsid w:val="00846EFD"/>
    <w:rsid w:val="00846F06"/>
    <w:rsid w:val="00846FFE"/>
    <w:rsid w:val="0084711A"/>
    <w:rsid w:val="00847144"/>
    <w:rsid w:val="00847166"/>
    <w:rsid w:val="0084725E"/>
    <w:rsid w:val="008472F5"/>
    <w:rsid w:val="008473D2"/>
    <w:rsid w:val="008473D9"/>
    <w:rsid w:val="008473EF"/>
    <w:rsid w:val="008474B9"/>
    <w:rsid w:val="0084759F"/>
    <w:rsid w:val="00847603"/>
    <w:rsid w:val="00847786"/>
    <w:rsid w:val="008477F0"/>
    <w:rsid w:val="0084782D"/>
    <w:rsid w:val="008478A1"/>
    <w:rsid w:val="008478A6"/>
    <w:rsid w:val="008479FD"/>
    <w:rsid w:val="00847A91"/>
    <w:rsid w:val="00847D57"/>
    <w:rsid w:val="00847D7B"/>
    <w:rsid w:val="00847E03"/>
    <w:rsid w:val="00847E4F"/>
    <w:rsid w:val="00847E9F"/>
    <w:rsid w:val="00847EF7"/>
    <w:rsid w:val="00847FFA"/>
    <w:rsid w:val="00850071"/>
    <w:rsid w:val="008500B7"/>
    <w:rsid w:val="00850121"/>
    <w:rsid w:val="00850184"/>
    <w:rsid w:val="008501A8"/>
    <w:rsid w:val="0085032A"/>
    <w:rsid w:val="008503B5"/>
    <w:rsid w:val="008503C4"/>
    <w:rsid w:val="008503C7"/>
    <w:rsid w:val="008504EC"/>
    <w:rsid w:val="008505C4"/>
    <w:rsid w:val="00850609"/>
    <w:rsid w:val="0085065E"/>
    <w:rsid w:val="0085074A"/>
    <w:rsid w:val="00850815"/>
    <w:rsid w:val="00850890"/>
    <w:rsid w:val="00850971"/>
    <w:rsid w:val="008509D1"/>
    <w:rsid w:val="00850A69"/>
    <w:rsid w:val="00850A80"/>
    <w:rsid w:val="00850ACD"/>
    <w:rsid w:val="00850AEF"/>
    <w:rsid w:val="00850B73"/>
    <w:rsid w:val="00850B8D"/>
    <w:rsid w:val="00850C54"/>
    <w:rsid w:val="00850CC3"/>
    <w:rsid w:val="00850D18"/>
    <w:rsid w:val="00850D2D"/>
    <w:rsid w:val="00850D61"/>
    <w:rsid w:val="00850D7B"/>
    <w:rsid w:val="00850DE1"/>
    <w:rsid w:val="00850E51"/>
    <w:rsid w:val="00850E98"/>
    <w:rsid w:val="00850F2A"/>
    <w:rsid w:val="00850F40"/>
    <w:rsid w:val="00850F63"/>
    <w:rsid w:val="00850FB2"/>
    <w:rsid w:val="00850FCB"/>
    <w:rsid w:val="00851121"/>
    <w:rsid w:val="0085118C"/>
    <w:rsid w:val="008512C9"/>
    <w:rsid w:val="008512E7"/>
    <w:rsid w:val="0085135D"/>
    <w:rsid w:val="00851430"/>
    <w:rsid w:val="0085146F"/>
    <w:rsid w:val="00851489"/>
    <w:rsid w:val="0085149A"/>
    <w:rsid w:val="008514FC"/>
    <w:rsid w:val="00851530"/>
    <w:rsid w:val="00851535"/>
    <w:rsid w:val="008515A1"/>
    <w:rsid w:val="0085167E"/>
    <w:rsid w:val="008516AE"/>
    <w:rsid w:val="00851723"/>
    <w:rsid w:val="008517E3"/>
    <w:rsid w:val="008518C1"/>
    <w:rsid w:val="00851A02"/>
    <w:rsid w:val="00851B4F"/>
    <w:rsid w:val="00851BE3"/>
    <w:rsid w:val="00851C70"/>
    <w:rsid w:val="00851CA6"/>
    <w:rsid w:val="00851D86"/>
    <w:rsid w:val="00851E7C"/>
    <w:rsid w:val="00851FBF"/>
    <w:rsid w:val="0085207D"/>
    <w:rsid w:val="008520F2"/>
    <w:rsid w:val="0085218F"/>
    <w:rsid w:val="008521E2"/>
    <w:rsid w:val="008521F9"/>
    <w:rsid w:val="00852207"/>
    <w:rsid w:val="008522EE"/>
    <w:rsid w:val="0085235A"/>
    <w:rsid w:val="00852372"/>
    <w:rsid w:val="008523CA"/>
    <w:rsid w:val="008524B6"/>
    <w:rsid w:val="0085250A"/>
    <w:rsid w:val="00852511"/>
    <w:rsid w:val="0085255C"/>
    <w:rsid w:val="0085269D"/>
    <w:rsid w:val="008526F3"/>
    <w:rsid w:val="00852837"/>
    <w:rsid w:val="00852842"/>
    <w:rsid w:val="00852B20"/>
    <w:rsid w:val="00852B7E"/>
    <w:rsid w:val="00852B97"/>
    <w:rsid w:val="00852C9A"/>
    <w:rsid w:val="00852D0D"/>
    <w:rsid w:val="00852D6C"/>
    <w:rsid w:val="00852D9F"/>
    <w:rsid w:val="00852E26"/>
    <w:rsid w:val="00852F75"/>
    <w:rsid w:val="00852F9B"/>
    <w:rsid w:val="00852FA2"/>
    <w:rsid w:val="00852FA5"/>
    <w:rsid w:val="00852FF3"/>
    <w:rsid w:val="0085312E"/>
    <w:rsid w:val="008531A3"/>
    <w:rsid w:val="008532A3"/>
    <w:rsid w:val="008532E0"/>
    <w:rsid w:val="008533C8"/>
    <w:rsid w:val="00853561"/>
    <w:rsid w:val="008535DB"/>
    <w:rsid w:val="0085362F"/>
    <w:rsid w:val="0085368D"/>
    <w:rsid w:val="008537A7"/>
    <w:rsid w:val="008538E1"/>
    <w:rsid w:val="008538F2"/>
    <w:rsid w:val="00853A68"/>
    <w:rsid w:val="00853B64"/>
    <w:rsid w:val="00853BDF"/>
    <w:rsid w:val="00853CD3"/>
    <w:rsid w:val="00853D21"/>
    <w:rsid w:val="00853D77"/>
    <w:rsid w:val="00853E09"/>
    <w:rsid w:val="00853E0F"/>
    <w:rsid w:val="00853FB9"/>
    <w:rsid w:val="00854058"/>
    <w:rsid w:val="008540DD"/>
    <w:rsid w:val="0085410A"/>
    <w:rsid w:val="0085412D"/>
    <w:rsid w:val="0085417B"/>
    <w:rsid w:val="008542D3"/>
    <w:rsid w:val="008543DB"/>
    <w:rsid w:val="00854446"/>
    <w:rsid w:val="00854465"/>
    <w:rsid w:val="008545F4"/>
    <w:rsid w:val="008546D5"/>
    <w:rsid w:val="00854793"/>
    <w:rsid w:val="008547CD"/>
    <w:rsid w:val="00854852"/>
    <w:rsid w:val="00854AE8"/>
    <w:rsid w:val="00854B8D"/>
    <w:rsid w:val="00854CDF"/>
    <w:rsid w:val="00854CEB"/>
    <w:rsid w:val="00854E5D"/>
    <w:rsid w:val="00854EA5"/>
    <w:rsid w:val="00854F8F"/>
    <w:rsid w:val="008550FF"/>
    <w:rsid w:val="00855111"/>
    <w:rsid w:val="0085517D"/>
    <w:rsid w:val="00855181"/>
    <w:rsid w:val="008553EF"/>
    <w:rsid w:val="00855565"/>
    <w:rsid w:val="0085556F"/>
    <w:rsid w:val="0085558B"/>
    <w:rsid w:val="00855604"/>
    <w:rsid w:val="00855667"/>
    <w:rsid w:val="008556D9"/>
    <w:rsid w:val="00855725"/>
    <w:rsid w:val="00855740"/>
    <w:rsid w:val="00855757"/>
    <w:rsid w:val="0085578D"/>
    <w:rsid w:val="00855810"/>
    <w:rsid w:val="0085585B"/>
    <w:rsid w:val="0085588A"/>
    <w:rsid w:val="0085596F"/>
    <w:rsid w:val="00855982"/>
    <w:rsid w:val="00855AC1"/>
    <w:rsid w:val="00855ACF"/>
    <w:rsid w:val="00855BEC"/>
    <w:rsid w:val="00855CB3"/>
    <w:rsid w:val="00855EAC"/>
    <w:rsid w:val="00855EE1"/>
    <w:rsid w:val="00855F32"/>
    <w:rsid w:val="00855F8E"/>
    <w:rsid w:val="00855FC6"/>
    <w:rsid w:val="00856181"/>
    <w:rsid w:val="008561A8"/>
    <w:rsid w:val="00856200"/>
    <w:rsid w:val="0085620A"/>
    <w:rsid w:val="00856225"/>
    <w:rsid w:val="008562F6"/>
    <w:rsid w:val="008563D4"/>
    <w:rsid w:val="0085641F"/>
    <w:rsid w:val="00856421"/>
    <w:rsid w:val="008564FB"/>
    <w:rsid w:val="0085658C"/>
    <w:rsid w:val="008566D4"/>
    <w:rsid w:val="00856716"/>
    <w:rsid w:val="00856872"/>
    <w:rsid w:val="0085694D"/>
    <w:rsid w:val="008569AF"/>
    <w:rsid w:val="00856A18"/>
    <w:rsid w:val="00856A35"/>
    <w:rsid w:val="00856AD1"/>
    <w:rsid w:val="00856AFC"/>
    <w:rsid w:val="00856D4A"/>
    <w:rsid w:val="00856D53"/>
    <w:rsid w:val="00856D7B"/>
    <w:rsid w:val="00856DD7"/>
    <w:rsid w:val="00856DE1"/>
    <w:rsid w:val="00856E20"/>
    <w:rsid w:val="00856E7D"/>
    <w:rsid w:val="00856EB9"/>
    <w:rsid w:val="00856ED4"/>
    <w:rsid w:val="00856EFD"/>
    <w:rsid w:val="00856FE9"/>
    <w:rsid w:val="008570C7"/>
    <w:rsid w:val="00857124"/>
    <w:rsid w:val="0085713A"/>
    <w:rsid w:val="008571BA"/>
    <w:rsid w:val="00857377"/>
    <w:rsid w:val="008573DE"/>
    <w:rsid w:val="00857425"/>
    <w:rsid w:val="0085744F"/>
    <w:rsid w:val="00857469"/>
    <w:rsid w:val="0085752D"/>
    <w:rsid w:val="0085771D"/>
    <w:rsid w:val="0085781F"/>
    <w:rsid w:val="00857829"/>
    <w:rsid w:val="008578AB"/>
    <w:rsid w:val="008578FA"/>
    <w:rsid w:val="00857AA6"/>
    <w:rsid w:val="00857B96"/>
    <w:rsid w:val="00857BE8"/>
    <w:rsid w:val="00857CD1"/>
    <w:rsid w:val="00857D71"/>
    <w:rsid w:val="00857DF0"/>
    <w:rsid w:val="00857ED2"/>
    <w:rsid w:val="00857FA0"/>
    <w:rsid w:val="00857FAC"/>
    <w:rsid w:val="00860121"/>
    <w:rsid w:val="0086023C"/>
    <w:rsid w:val="00860365"/>
    <w:rsid w:val="00860430"/>
    <w:rsid w:val="00860512"/>
    <w:rsid w:val="00860518"/>
    <w:rsid w:val="0086057C"/>
    <w:rsid w:val="008605F8"/>
    <w:rsid w:val="00860633"/>
    <w:rsid w:val="008607A7"/>
    <w:rsid w:val="0086083B"/>
    <w:rsid w:val="00860871"/>
    <w:rsid w:val="008608A2"/>
    <w:rsid w:val="008608B4"/>
    <w:rsid w:val="00860905"/>
    <w:rsid w:val="008609EB"/>
    <w:rsid w:val="00860A21"/>
    <w:rsid w:val="00860A44"/>
    <w:rsid w:val="00860A4B"/>
    <w:rsid w:val="00860AC2"/>
    <w:rsid w:val="00860AEC"/>
    <w:rsid w:val="00860B35"/>
    <w:rsid w:val="00860BD3"/>
    <w:rsid w:val="00860C71"/>
    <w:rsid w:val="00860C74"/>
    <w:rsid w:val="00860D11"/>
    <w:rsid w:val="00860DCD"/>
    <w:rsid w:val="00860E3F"/>
    <w:rsid w:val="00860E55"/>
    <w:rsid w:val="00860F33"/>
    <w:rsid w:val="008610EA"/>
    <w:rsid w:val="00861168"/>
    <w:rsid w:val="008611D1"/>
    <w:rsid w:val="008612EA"/>
    <w:rsid w:val="00861376"/>
    <w:rsid w:val="00861399"/>
    <w:rsid w:val="008613A5"/>
    <w:rsid w:val="00861418"/>
    <w:rsid w:val="0086141C"/>
    <w:rsid w:val="0086146F"/>
    <w:rsid w:val="008615F1"/>
    <w:rsid w:val="00861761"/>
    <w:rsid w:val="0086180F"/>
    <w:rsid w:val="00861856"/>
    <w:rsid w:val="0086186D"/>
    <w:rsid w:val="008618F7"/>
    <w:rsid w:val="008619A4"/>
    <w:rsid w:val="00861A51"/>
    <w:rsid w:val="00861B39"/>
    <w:rsid w:val="00861B53"/>
    <w:rsid w:val="00861B94"/>
    <w:rsid w:val="00861BAF"/>
    <w:rsid w:val="00861BB3"/>
    <w:rsid w:val="00861BDC"/>
    <w:rsid w:val="00861C14"/>
    <w:rsid w:val="00861C1F"/>
    <w:rsid w:val="00861C2E"/>
    <w:rsid w:val="00861CC1"/>
    <w:rsid w:val="00861F46"/>
    <w:rsid w:val="00862001"/>
    <w:rsid w:val="00862075"/>
    <w:rsid w:val="00862210"/>
    <w:rsid w:val="00862219"/>
    <w:rsid w:val="00862276"/>
    <w:rsid w:val="008622D8"/>
    <w:rsid w:val="00862391"/>
    <w:rsid w:val="0086246D"/>
    <w:rsid w:val="008624A6"/>
    <w:rsid w:val="00862579"/>
    <w:rsid w:val="0086259B"/>
    <w:rsid w:val="008625AC"/>
    <w:rsid w:val="0086262C"/>
    <w:rsid w:val="00862692"/>
    <w:rsid w:val="008627D3"/>
    <w:rsid w:val="00862835"/>
    <w:rsid w:val="008628EC"/>
    <w:rsid w:val="00862948"/>
    <w:rsid w:val="008629FC"/>
    <w:rsid w:val="00862A1B"/>
    <w:rsid w:val="00862C1B"/>
    <w:rsid w:val="00862D8C"/>
    <w:rsid w:val="00862E1D"/>
    <w:rsid w:val="00862E97"/>
    <w:rsid w:val="00862EC7"/>
    <w:rsid w:val="00862F3E"/>
    <w:rsid w:val="00862F54"/>
    <w:rsid w:val="00862FA1"/>
    <w:rsid w:val="00862FF4"/>
    <w:rsid w:val="0086304D"/>
    <w:rsid w:val="008630F0"/>
    <w:rsid w:val="00863163"/>
    <w:rsid w:val="008631AF"/>
    <w:rsid w:val="008631EF"/>
    <w:rsid w:val="008631F7"/>
    <w:rsid w:val="0086327F"/>
    <w:rsid w:val="0086328A"/>
    <w:rsid w:val="008632E1"/>
    <w:rsid w:val="008633AB"/>
    <w:rsid w:val="008633B1"/>
    <w:rsid w:val="008633BE"/>
    <w:rsid w:val="008633CD"/>
    <w:rsid w:val="008633FB"/>
    <w:rsid w:val="0086344C"/>
    <w:rsid w:val="00863536"/>
    <w:rsid w:val="008635AC"/>
    <w:rsid w:val="008635E1"/>
    <w:rsid w:val="0086363B"/>
    <w:rsid w:val="00863651"/>
    <w:rsid w:val="008636B8"/>
    <w:rsid w:val="0086371E"/>
    <w:rsid w:val="00863775"/>
    <w:rsid w:val="008637FF"/>
    <w:rsid w:val="0086386A"/>
    <w:rsid w:val="00863889"/>
    <w:rsid w:val="00863911"/>
    <w:rsid w:val="00863994"/>
    <w:rsid w:val="008639C0"/>
    <w:rsid w:val="00863A40"/>
    <w:rsid w:val="00863BA7"/>
    <w:rsid w:val="00863CA4"/>
    <w:rsid w:val="00863CC3"/>
    <w:rsid w:val="00863CC8"/>
    <w:rsid w:val="00863CCF"/>
    <w:rsid w:val="00863CDD"/>
    <w:rsid w:val="00863D4D"/>
    <w:rsid w:val="00863D90"/>
    <w:rsid w:val="00863DCC"/>
    <w:rsid w:val="00863E05"/>
    <w:rsid w:val="00863F53"/>
    <w:rsid w:val="00863F92"/>
    <w:rsid w:val="00864152"/>
    <w:rsid w:val="00864278"/>
    <w:rsid w:val="008644E8"/>
    <w:rsid w:val="0086453C"/>
    <w:rsid w:val="00864588"/>
    <w:rsid w:val="008645FD"/>
    <w:rsid w:val="00864634"/>
    <w:rsid w:val="00864706"/>
    <w:rsid w:val="00864829"/>
    <w:rsid w:val="0086492E"/>
    <w:rsid w:val="0086494D"/>
    <w:rsid w:val="00864A44"/>
    <w:rsid w:val="00864AC2"/>
    <w:rsid w:val="00864AE8"/>
    <w:rsid w:val="00864C9D"/>
    <w:rsid w:val="00864CEC"/>
    <w:rsid w:val="00864D0E"/>
    <w:rsid w:val="00864D23"/>
    <w:rsid w:val="00864D5A"/>
    <w:rsid w:val="00864D99"/>
    <w:rsid w:val="00864D9C"/>
    <w:rsid w:val="00864ED3"/>
    <w:rsid w:val="00864F28"/>
    <w:rsid w:val="00865098"/>
    <w:rsid w:val="00865133"/>
    <w:rsid w:val="0086515C"/>
    <w:rsid w:val="008651F0"/>
    <w:rsid w:val="008651F9"/>
    <w:rsid w:val="00865232"/>
    <w:rsid w:val="00865247"/>
    <w:rsid w:val="008652D8"/>
    <w:rsid w:val="0086544D"/>
    <w:rsid w:val="0086546B"/>
    <w:rsid w:val="00865504"/>
    <w:rsid w:val="00865516"/>
    <w:rsid w:val="008655AF"/>
    <w:rsid w:val="008655BE"/>
    <w:rsid w:val="0086560B"/>
    <w:rsid w:val="00865640"/>
    <w:rsid w:val="0086569D"/>
    <w:rsid w:val="00865866"/>
    <w:rsid w:val="008658C5"/>
    <w:rsid w:val="008658CA"/>
    <w:rsid w:val="00865A0C"/>
    <w:rsid w:val="00865CAB"/>
    <w:rsid w:val="00865D75"/>
    <w:rsid w:val="00865EDE"/>
    <w:rsid w:val="00865FF8"/>
    <w:rsid w:val="0086601C"/>
    <w:rsid w:val="00866032"/>
    <w:rsid w:val="00866380"/>
    <w:rsid w:val="008663E0"/>
    <w:rsid w:val="008665A8"/>
    <w:rsid w:val="008666AB"/>
    <w:rsid w:val="008666EF"/>
    <w:rsid w:val="008667A8"/>
    <w:rsid w:val="008667B9"/>
    <w:rsid w:val="008667F5"/>
    <w:rsid w:val="0086687B"/>
    <w:rsid w:val="00866903"/>
    <w:rsid w:val="0086693C"/>
    <w:rsid w:val="00866AAB"/>
    <w:rsid w:val="00866B25"/>
    <w:rsid w:val="00866B36"/>
    <w:rsid w:val="00866C02"/>
    <w:rsid w:val="00866C07"/>
    <w:rsid w:val="00866C08"/>
    <w:rsid w:val="00866C55"/>
    <w:rsid w:val="00866C5D"/>
    <w:rsid w:val="00866E0C"/>
    <w:rsid w:val="00866E6C"/>
    <w:rsid w:val="00866EDB"/>
    <w:rsid w:val="00866EE8"/>
    <w:rsid w:val="00867022"/>
    <w:rsid w:val="00867163"/>
    <w:rsid w:val="00867189"/>
    <w:rsid w:val="00867228"/>
    <w:rsid w:val="00867247"/>
    <w:rsid w:val="0086728F"/>
    <w:rsid w:val="008672A1"/>
    <w:rsid w:val="008673F3"/>
    <w:rsid w:val="00867531"/>
    <w:rsid w:val="00867614"/>
    <w:rsid w:val="00867627"/>
    <w:rsid w:val="00867747"/>
    <w:rsid w:val="00867785"/>
    <w:rsid w:val="008677F2"/>
    <w:rsid w:val="00867931"/>
    <w:rsid w:val="008679E8"/>
    <w:rsid w:val="00867A45"/>
    <w:rsid w:val="00867B35"/>
    <w:rsid w:val="00867B5A"/>
    <w:rsid w:val="00867BAF"/>
    <w:rsid w:val="00867C21"/>
    <w:rsid w:val="00867DD4"/>
    <w:rsid w:val="00867E76"/>
    <w:rsid w:val="00870024"/>
    <w:rsid w:val="00870096"/>
    <w:rsid w:val="00870112"/>
    <w:rsid w:val="00870182"/>
    <w:rsid w:val="008701C5"/>
    <w:rsid w:val="00870296"/>
    <w:rsid w:val="008702BF"/>
    <w:rsid w:val="008703CE"/>
    <w:rsid w:val="00870401"/>
    <w:rsid w:val="00870457"/>
    <w:rsid w:val="008704A8"/>
    <w:rsid w:val="00870504"/>
    <w:rsid w:val="0087055E"/>
    <w:rsid w:val="00870573"/>
    <w:rsid w:val="00870614"/>
    <w:rsid w:val="0087063D"/>
    <w:rsid w:val="00870708"/>
    <w:rsid w:val="00870720"/>
    <w:rsid w:val="0087085E"/>
    <w:rsid w:val="00870900"/>
    <w:rsid w:val="00870953"/>
    <w:rsid w:val="00870995"/>
    <w:rsid w:val="008709CA"/>
    <w:rsid w:val="00870AD1"/>
    <w:rsid w:val="00870B50"/>
    <w:rsid w:val="00870C83"/>
    <w:rsid w:val="00870D06"/>
    <w:rsid w:val="00870D22"/>
    <w:rsid w:val="00870D3A"/>
    <w:rsid w:val="00870E04"/>
    <w:rsid w:val="00870E3A"/>
    <w:rsid w:val="008711DC"/>
    <w:rsid w:val="0087130A"/>
    <w:rsid w:val="008714E2"/>
    <w:rsid w:val="00871503"/>
    <w:rsid w:val="00871651"/>
    <w:rsid w:val="00871744"/>
    <w:rsid w:val="00871810"/>
    <w:rsid w:val="00871816"/>
    <w:rsid w:val="00871867"/>
    <w:rsid w:val="008718EA"/>
    <w:rsid w:val="00871AFB"/>
    <w:rsid w:val="00871B6B"/>
    <w:rsid w:val="00871CDF"/>
    <w:rsid w:val="00871D38"/>
    <w:rsid w:val="00871DC0"/>
    <w:rsid w:val="00871DFA"/>
    <w:rsid w:val="00871E4C"/>
    <w:rsid w:val="00871F0A"/>
    <w:rsid w:val="008720C8"/>
    <w:rsid w:val="008720E4"/>
    <w:rsid w:val="0087214F"/>
    <w:rsid w:val="008721E9"/>
    <w:rsid w:val="008722EF"/>
    <w:rsid w:val="008723A5"/>
    <w:rsid w:val="0087251A"/>
    <w:rsid w:val="008725C8"/>
    <w:rsid w:val="0087267C"/>
    <w:rsid w:val="0087270D"/>
    <w:rsid w:val="00872808"/>
    <w:rsid w:val="0087285F"/>
    <w:rsid w:val="0087291C"/>
    <w:rsid w:val="0087295D"/>
    <w:rsid w:val="0087298C"/>
    <w:rsid w:val="008729EE"/>
    <w:rsid w:val="00872A50"/>
    <w:rsid w:val="00872B77"/>
    <w:rsid w:val="00872B9C"/>
    <w:rsid w:val="00872BD1"/>
    <w:rsid w:val="00872BF1"/>
    <w:rsid w:val="00872CA4"/>
    <w:rsid w:val="00872D04"/>
    <w:rsid w:val="00872D8E"/>
    <w:rsid w:val="00872F44"/>
    <w:rsid w:val="00873096"/>
    <w:rsid w:val="008730DF"/>
    <w:rsid w:val="0087312F"/>
    <w:rsid w:val="008732EE"/>
    <w:rsid w:val="0087333F"/>
    <w:rsid w:val="0087342A"/>
    <w:rsid w:val="008736AE"/>
    <w:rsid w:val="008736C9"/>
    <w:rsid w:val="008736D1"/>
    <w:rsid w:val="00873715"/>
    <w:rsid w:val="00873736"/>
    <w:rsid w:val="008737E8"/>
    <w:rsid w:val="00873960"/>
    <w:rsid w:val="00873B3F"/>
    <w:rsid w:val="00873BE9"/>
    <w:rsid w:val="00873C08"/>
    <w:rsid w:val="00873C33"/>
    <w:rsid w:val="00873C4B"/>
    <w:rsid w:val="00873CED"/>
    <w:rsid w:val="00873D3E"/>
    <w:rsid w:val="00873D9F"/>
    <w:rsid w:val="00873DB1"/>
    <w:rsid w:val="00873E9D"/>
    <w:rsid w:val="00873EB9"/>
    <w:rsid w:val="00873ECA"/>
    <w:rsid w:val="00873F71"/>
    <w:rsid w:val="00874035"/>
    <w:rsid w:val="0087403E"/>
    <w:rsid w:val="00874077"/>
    <w:rsid w:val="008740BC"/>
    <w:rsid w:val="0087413F"/>
    <w:rsid w:val="008741C2"/>
    <w:rsid w:val="008743BA"/>
    <w:rsid w:val="00874421"/>
    <w:rsid w:val="0087452A"/>
    <w:rsid w:val="0087458B"/>
    <w:rsid w:val="008745A2"/>
    <w:rsid w:val="008745EA"/>
    <w:rsid w:val="00874660"/>
    <w:rsid w:val="0087468F"/>
    <w:rsid w:val="008746C0"/>
    <w:rsid w:val="008747CE"/>
    <w:rsid w:val="00874A00"/>
    <w:rsid w:val="00874A86"/>
    <w:rsid w:val="00874B69"/>
    <w:rsid w:val="00874BF9"/>
    <w:rsid w:val="00874D76"/>
    <w:rsid w:val="00874E04"/>
    <w:rsid w:val="00874E7F"/>
    <w:rsid w:val="00874EAA"/>
    <w:rsid w:val="00874EE9"/>
    <w:rsid w:val="00874F9F"/>
    <w:rsid w:val="0087505E"/>
    <w:rsid w:val="0087506D"/>
    <w:rsid w:val="0087518F"/>
    <w:rsid w:val="0087520C"/>
    <w:rsid w:val="0087526E"/>
    <w:rsid w:val="0087533A"/>
    <w:rsid w:val="008753B3"/>
    <w:rsid w:val="008754ED"/>
    <w:rsid w:val="008754EE"/>
    <w:rsid w:val="00875601"/>
    <w:rsid w:val="008756ED"/>
    <w:rsid w:val="00875701"/>
    <w:rsid w:val="008757B0"/>
    <w:rsid w:val="0087583F"/>
    <w:rsid w:val="0087585D"/>
    <w:rsid w:val="008758AB"/>
    <w:rsid w:val="008759CB"/>
    <w:rsid w:val="00875A7C"/>
    <w:rsid w:val="00875A9B"/>
    <w:rsid w:val="00875AF0"/>
    <w:rsid w:val="00875B04"/>
    <w:rsid w:val="00875B28"/>
    <w:rsid w:val="00875B81"/>
    <w:rsid w:val="00875CAA"/>
    <w:rsid w:val="00875CD0"/>
    <w:rsid w:val="00875D00"/>
    <w:rsid w:val="00875DBD"/>
    <w:rsid w:val="00875DCB"/>
    <w:rsid w:val="00875F97"/>
    <w:rsid w:val="00875FAC"/>
    <w:rsid w:val="00876153"/>
    <w:rsid w:val="00876166"/>
    <w:rsid w:val="0087623F"/>
    <w:rsid w:val="008762BA"/>
    <w:rsid w:val="008763AA"/>
    <w:rsid w:val="008763EA"/>
    <w:rsid w:val="00876447"/>
    <w:rsid w:val="008764A6"/>
    <w:rsid w:val="00876560"/>
    <w:rsid w:val="008765A4"/>
    <w:rsid w:val="0087662E"/>
    <w:rsid w:val="00876743"/>
    <w:rsid w:val="00876792"/>
    <w:rsid w:val="00876795"/>
    <w:rsid w:val="008767CA"/>
    <w:rsid w:val="008767F9"/>
    <w:rsid w:val="0087681A"/>
    <w:rsid w:val="00876928"/>
    <w:rsid w:val="00876954"/>
    <w:rsid w:val="00876998"/>
    <w:rsid w:val="008769A9"/>
    <w:rsid w:val="008769BC"/>
    <w:rsid w:val="00876B0A"/>
    <w:rsid w:val="00876BD3"/>
    <w:rsid w:val="00876CE4"/>
    <w:rsid w:val="00876D58"/>
    <w:rsid w:val="00876D66"/>
    <w:rsid w:val="00876EF5"/>
    <w:rsid w:val="00876F66"/>
    <w:rsid w:val="00876FCF"/>
    <w:rsid w:val="008771ED"/>
    <w:rsid w:val="0087721D"/>
    <w:rsid w:val="0087732A"/>
    <w:rsid w:val="00877436"/>
    <w:rsid w:val="008774BE"/>
    <w:rsid w:val="00877623"/>
    <w:rsid w:val="008776B7"/>
    <w:rsid w:val="008776F9"/>
    <w:rsid w:val="0087770E"/>
    <w:rsid w:val="0087773B"/>
    <w:rsid w:val="008777B0"/>
    <w:rsid w:val="008777CF"/>
    <w:rsid w:val="008778C3"/>
    <w:rsid w:val="00877990"/>
    <w:rsid w:val="00877AEF"/>
    <w:rsid w:val="00877B1A"/>
    <w:rsid w:val="00877B4A"/>
    <w:rsid w:val="00877B7E"/>
    <w:rsid w:val="00877BC4"/>
    <w:rsid w:val="00877BEA"/>
    <w:rsid w:val="00877CC3"/>
    <w:rsid w:val="00877CD1"/>
    <w:rsid w:val="00877D07"/>
    <w:rsid w:val="00877DAB"/>
    <w:rsid w:val="00877EB9"/>
    <w:rsid w:val="00877FE6"/>
    <w:rsid w:val="00880063"/>
    <w:rsid w:val="00880119"/>
    <w:rsid w:val="00880219"/>
    <w:rsid w:val="008803E9"/>
    <w:rsid w:val="008803FE"/>
    <w:rsid w:val="00880435"/>
    <w:rsid w:val="008804C9"/>
    <w:rsid w:val="008804EB"/>
    <w:rsid w:val="0088060C"/>
    <w:rsid w:val="00880614"/>
    <w:rsid w:val="008806FD"/>
    <w:rsid w:val="00880703"/>
    <w:rsid w:val="0088071D"/>
    <w:rsid w:val="0088096C"/>
    <w:rsid w:val="00880DAD"/>
    <w:rsid w:val="00880DFD"/>
    <w:rsid w:val="00880E77"/>
    <w:rsid w:val="00880EE9"/>
    <w:rsid w:val="00880FA3"/>
    <w:rsid w:val="00880FA8"/>
    <w:rsid w:val="00880FB3"/>
    <w:rsid w:val="0088105B"/>
    <w:rsid w:val="00881077"/>
    <w:rsid w:val="008810B5"/>
    <w:rsid w:val="008810EA"/>
    <w:rsid w:val="008811D8"/>
    <w:rsid w:val="008811E4"/>
    <w:rsid w:val="0088124B"/>
    <w:rsid w:val="008812B7"/>
    <w:rsid w:val="0088133E"/>
    <w:rsid w:val="00881396"/>
    <w:rsid w:val="00881416"/>
    <w:rsid w:val="00881476"/>
    <w:rsid w:val="0088151D"/>
    <w:rsid w:val="0088153F"/>
    <w:rsid w:val="00881574"/>
    <w:rsid w:val="008816E6"/>
    <w:rsid w:val="008816E9"/>
    <w:rsid w:val="00881863"/>
    <w:rsid w:val="008818E4"/>
    <w:rsid w:val="00881911"/>
    <w:rsid w:val="0088193F"/>
    <w:rsid w:val="008819C7"/>
    <w:rsid w:val="00881AB6"/>
    <w:rsid w:val="00881C46"/>
    <w:rsid w:val="00881C92"/>
    <w:rsid w:val="00881DEF"/>
    <w:rsid w:val="00881E4B"/>
    <w:rsid w:val="00881EA4"/>
    <w:rsid w:val="0088201C"/>
    <w:rsid w:val="0088209F"/>
    <w:rsid w:val="008820D2"/>
    <w:rsid w:val="008820DA"/>
    <w:rsid w:val="00882149"/>
    <w:rsid w:val="00882201"/>
    <w:rsid w:val="0088238A"/>
    <w:rsid w:val="00882598"/>
    <w:rsid w:val="008825B7"/>
    <w:rsid w:val="00882637"/>
    <w:rsid w:val="0088275D"/>
    <w:rsid w:val="008829C5"/>
    <w:rsid w:val="00882A2B"/>
    <w:rsid w:val="00882A40"/>
    <w:rsid w:val="00882B05"/>
    <w:rsid w:val="00882B54"/>
    <w:rsid w:val="00882BC2"/>
    <w:rsid w:val="00882C02"/>
    <w:rsid w:val="00882C31"/>
    <w:rsid w:val="00882D96"/>
    <w:rsid w:val="00882DB6"/>
    <w:rsid w:val="00882E10"/>
    <w:rsid w:val="00882EBB"/>
    <w:rsid w:val="00882F03"/>
    <w:rsid w:val="00882F7B"/>
    <w:rsid w:val="00883060"/>
    <w:rsid w:val="008830EF"/>
    <w:rsid w:val="00883138"/>
    <w:rsid w:val="0088318E"/>
    <w:rsid w:val="00883327"/>
    <w:rsid w:val="008834E9"/>
    <w:rsid w:val="008834EE"/>
    <w:rsid w:val="008835E5"/>
    <w:rsid w:val="0088368F"/>
    <w:rsid w:val="008836DF"/>
    <w:rsid w:val="00883779"/>
    <w:rsid w:val="0088379E"/>
    <w:rsid w:val="008838B3"/>
    <w:rsid w:val="0088399F"/>
    <w:rsid w:val="008839C0"/>
    <w:rsid w:val="008839D6"/>
    <w:rsid w:val="00883A6B"/>
    <w:rsid w:val="00883C8D"/>
    <w:rsid w:val="00883CA1"/>
    <w:rsid w:val="00883CBE"/>
    <w:rsid w:val="00883DE7"/>
    <w:rsid w:val="00883E5A"/>
    <w:rsid w:val="00883F27"/>
    <w:rsid w:val="008841BB"/>
    <w:rsid w:val="00884310"/>
    <w:rsid w:val="00884370"/>
    <w:rsid w:val="00884373"/>
    <w:rsid w:val="00884395"/>
    <w:rsid w:val="0088445C"/>
    <w:rsid w:val="008844F5"/>
    <w:rsid w:val="00884624"/>
    <w:rsid w:val="008848DB"/>
    <w:rsid w:val="008849B9"/>
    <w:rsid w:val="008849DB"/>
    <w:rsid w:val="00884A19"/>
    <w:rsid w:val="00884A2D"/>
    <w:rsid w:val="00884D24"/>
    <w:rsid w:val="00884D94"/>
    <w:rsid w:val="00884DEB"/>
    <w:rsid w:val="00884F0F"/>
    <w:rsid w:val="00884FA9"/>
    <w:rsid w:val="00885076"/>
    <w:rsid w:val="0088510D"/>
    <w:rsid w:val="008851F3"/>
    <w:rsid w:val="00885285"/>
    <w:rsid w:val="00885299"/>
    <w:rsid w:val="0088541E"/>
    <w:rsid w:val="00885462"/>
    <w:rsid w:val="00885479"/>
    <w:rsid w:val="008854A6"/>
    <w:rsid w:val="008855AB"/>
    <w:rsid w:val="008856A8"/>
    <w:rsid w:val="0088584B"/>
    <w:rsid w:val="0088585A"/>
    <w:rsid w:val="0088587E"/>
    <w:rsid w:val="008858B3"/>
    <w:rsid w:val="00885946"/>
    <w:rsid w:val="00885A79"/>
    <w:rsid w:val="00885A81"/>
    <w:rsid w:val="00885BAA"/>
    <w:rsid w:val="00885D71"/>
    <w:rsid w:val="00885EAF"/>
    <w:rsid w:val="00885FED"/>
    <w:rsid w:val="00885FF4"/>
    <w:rsid w:val="0088613E"/>
    <w:rsid w:val="00886187"/>
    <w:rsid w:val="008861E7"/>
    <w:rsid w:val="008861F2"/>
    <w:rsid w:val="008861FA"/>
    <w:rsid w:val="00886233"/>
    <w:rsid w:val="00886398"/>
    <w:rsid w:val="00886413"/>
    <w:rsid w:val="0088652F"/>
    <w:rsid w:val="0088655D"/>
    <w:rsid w:val="00886593"/>
    <w:rsid w:val="0088661C"/>
    <w:rsid w:val="008866FC"/>
    <w:rsid w:val="00886709"/>
    <w:rsid w:val="00886757"/>
    <w:rsid w:val="008867F7"/>
    <w:rsid w:val="0088686F"/>
    <w:rsid w:val="00886879"/>
    <w:rsid w:val="008868E6"/>
    <w:rsid w:val="008868F9"/>
    <w:rsid w:val="0088695C"/>
    <w:rsid w:val="008869AE"/>
    <w:rsid w:val="00886B91"/>
    <w:rsid w:val="00886C77"/>
    <w:rsid w:val="00886C93"/>
    <w:rsid w:val="00886CEE"/>
    <w:rsid w:val="00886F0B"/>
    <w:rsid w:val="00886F2E"/>
    <w:rsid w:val="00887149"/>
    <w:rsid w:val="0088716C"/>
    <w:rsid w:val="008871A5"/>
    <w:rsid w:val="008871F0"/>
    <w:rsid w:val="00887213"/>
    <w:rsid w:val="0088736D"/>
    <w:rsid w:val="00887392"/>
    <w:rsid w:val="008874A1"/>
    <w:rsid w:val="008874A8"/>
    <w:rsid w:val="008874B9"/>
    <w:rsid w:val="008875BF"/>
    <w:rsid w:val="00887626"/>
    <w:rsid w:val="008876A7"/>
    <w:rsid w:val="008877DE"/>
    <w:rsid w:val="00887810"/>
    <w:rsid w:val="00887828"/>
    <w:rsid w:val="008878E3"/>
    <w:rsid w:val="00887A5F"/>
    <w:rsid w:val="00887AF8"/>
    <w:rsid w:val="00887B6E"/>
    <w:rsid w:val="00887BF6"/>
    <w:rsid w:val="00887CD1"/>
    <w:rsid w:val="00887D5A"/>
    <w:rsid w:val="00887DF0"/>
    <w:rsid w:val="00887E06"/>
    <w:rsid w:val="00887E8A"/>
    <w:rsid w:val="00887F5C"/>
    <w:rsid w:val="0089006F"/>
    <w:rsid w:val="00890076"/>
    <w:rsid w:val="008900A0"/>
    <w:rsid w:val="00890172"/>
    <w:rsid w:val="0089022C"/>
    <w:rsid w:val="00890322"/>
    <w:rsid w:val="008903B7"/>
    <w:rsid w:val="008905C8"/>
    <w:rsid w:val="00890810"/>
    <w:rsid w:val="00890850"/>
    <w:rsid w:val="00890A97"/>
    <w:rsid w:val="00890B12"/>
    <w:rsid w:val="00890C41"/>
    <w:rsid w:val="00890C71"/>
    <w:rsid w:val="00890D88"/>
    <w:rsid w:val="00890D8C"/>
    <w:rsid w:val="00890D99"/>
    <w:rsid w:val="00890E73"/>
    <w:rsid w:val="00890E8A"/>
    <w:rsid w:val="00890F82"/>
    <w:rsid w:val="008910B7"/>
    <w:rsid w:val="0089114C"/>
    <w:rsid w:val="00891173"/>
    <w:rsid w:val="008911AF"/>
    <w:rsid w:val="008912D8"/>
    <w:rsid w:val="0089135E"/>
    <w:rsid w:val="0089137A"/>
    <w:rsid w:val="00891426"/>
    <w:rsid w:val="00891584"/>
    <w:rsid w:val="00891594"/>
    <w:rsid w:val="0089177F"/>
    <w:rsid w:val="008917BA"/>
    <w:rsid w:val="00891896"/>
    <w:rsid w:val="0089196E"/>
    <w:rsid w:val="00891999"/>
    <w:rsid w:val="00891A11"/>
    <w:rsid w:val="00891A61"/>
    <w:rsid w:val="00891AC9"/>
    <w:rsid w:val="00891BE5"/>
    <w:rsid w:val="00891D76"/>
    <w:rsid w:val="00891E39"/>
    <w:rsid w:val="00891F68"/>
    <w:rsid w:val="00891F96"/>
    <w:rsid w:val="00892072"/>
    <w:rsid w:val="00892113"/>
    <w:rsid w:val="008921F4"/>
    <w:rsid w:val="008921FF"/>
    <w:rsid w:val="0089224F"/>
    <w:rsid w:val="00892339"/>
    <w:rsid w:val="00892397"/>
    <w:rsid w:val="008923C8"/>
    <w:rsid w:val="00892412"/>
    <w:rsid w:val="00892443"/>
    <w:rsid w:val="008924E3"/>
    <w:rsid w:val="00892561"/>
    <w:rsid w:val="00892644"/>
    <w:rsid w:val="00892659"/>
    <w:rsid w:val="008926FD"/>
    <w:rsid w:val="008927AA"/>
    <w:rsid w:val="008927AF"/>
    <w:rsid w:val="008927C0"/>
    <w:rsid w:val="008928A9"/>
    <w:rsid w:val="00892932"/>
    <w:rsid w:val="0089293B"/>
    <w:rsid w:val="00892A11"/>
    <w:rsid w:val="00892A2C"/>
    <w:rsid w:val="00892C58"/>
    <w:rsid w:val="00892C93"/>
    <w:rsid w:val="00892E69"/>
    <w:rsid w:val="00892F04"/>
    <w:rsid w:val="00893070"/>
    <w:rsid w:val="0089307B"/>
    <w:rsid w:val="00893301"/>
    <w:rsid w:val="00893364"/>
    <w:rsid w:val="0089337B"/>
    <w:rsid w:val="008933CA"/>
    <w:rsid w:val="0089352A"/>
    <w:rsid w:val="008935FF"/>
    <w:rsid w:val="0089367A"/>
    <w:rsid w:val="00893853"/>
    <w:rsid w:val="00893A88"/>
    <w:rsid w:val="00893B19"/>
    <w:rsid w:val="00893B23"/>
    <w:rsid w:val="00893BBD"/>
    <w:rsid w:val="00893C26"/>
    <w:rsid w:val="00893C27"/>
    <w:rsid w:val="00893C9D"/>
    <w:rsid w:val="00893DAE"/>
    <w:rsid w:val="00893DB3"/>
    <w:rsid w:val="00893DBF"/>
    <w:rsid w:val="00893DD7"/>
    <w:rsid w:val="00893E16"/>
    <w:rsid w:val="00893E24"/>
    <w:rsid w:val="00893F2F"/>
    <w:rsid w:val="008941F3"/>
    <w:rsid w:val="00894212"/>
    <w:rsid w:val="008942D3"/>
    <w:rsid w:val="008942E7"/>
    <w:rsid w:val="0089444A"/>
    <w:rsid w:val="00894454"/>
    <w:rsid w:val="0089451E"/>
    <w:rsid w:val="00894572"/>
    <w:rsid w:val="00894671"/>
    <w:rsid w:val="0089491A"/>
    <w:rsid w:val="00894940"/>
    <w:rsid w:val="00894960"/>
    <w:rsid w:val="00894965"/>
    <w:rsid w:val="00894B74"/>
    <w:rsid w:val="00894D3A"/>
    <w:rsid w:val="00894E45"/>
    <w:rsid w:val="00894E6D"/>
    <w:rsid w:val="00894E93"/>
    <w:rsid w:val="00894EA9"/>
    <w:rsid w:val="00894F7D"/>
    <w:rsid w:val="0089509F"/>
    <w:rsid w:val="008950AA"/>
    <w:rsid w:val="00895140"/>
    <w:rsid w:val="00895341"/>
    <w:rsid w:val="0089534A"/>
    <w:rsid w:val="00895369"/>
    <w:rsid w:val="00895372"/>
    <w:rsid w:val="0089564C"/>
    <w:rsid w:val="008956F4"/>
    <w:rsid w:val="0089588F"/>
    <w:rsid w:val="0089592C"/>
    <w:rsid w:val="0089596F"/>
    <w:rsid w:val="00895A98"/>
    <w:rsid w:val="00895AD0"/>
    <w:rsid w:val="00895AF3"/>
    <w:rsid w:val="00895B3F"/>
    <w:rsid w:val="00895CBB"/>
    <w:rsid w:val="00895D10"/>
    <w:rsid w:val="00895E3E"/>
    <w:rsid w:val="00895F23"/>
    <w:rsid w:val="00895FDD"/>
    <w:rsid w:val="00896044"/>
    <w:rsid w:val="008960F6"/>
    <w:rsid w:val="0089616D"/>
    <w:rsid w:val="00896177"/>
    <w:rsid w:val="00896256"/>
    <w:rsid w:val="008962A6"/>
    <w:rsid w:val="008962D9"/>
    <w:rsid w:val="008962E5"/>
    <w:rsid w:val="00896574"/>
    <w:rsid w:val="0089667C"/>
    <w:rsid w:val="008966C9"/>
    <w:rsid w:val="008967D3"/>
    <w:rsid w:val="00896877"/>
    <w:rsid w:val="00896A54"/>
    <w:rsid w:val="00896A67"/>
    <w:rsid w:val="00896ACE"/>
    <w:rsid w:val="00896AF0"/>
    <w:rsid w:val="00896B48"/>
    <w:rsid w:val="00896BFA"/>
    <w:rsid w:val="00896CA6"/>
    <w:rsid w:val="00896D28"/>
    <w:rsid w:val="00896D4C"/>
    <w:rsid w:val="00896DC5"/>
    <w:rsid w:val="00896E5C"/>
    <w:rsid w:val="00896F92"/>
    <w:rsid w:val="00896FF2"/>
    <w:rsid w:val="008970CA"/>
    <w:rsid w:val="008970DE"/>
    <w:rsid w:val="008970FB"/>
    <w:rsid w:val="0089727F"/>
    <w:rsid w:val="00897324"/>
    <w:rsid w:val="008973F6"/>
    <w:rsid w:val="0089740D"/>
    <w:rsid w:val="00897466"/>
    <w:rsid w:val="0089746D"/>
    <w:rsid w:val="008975C9"/>
    <w:rsid w:val="00897668"/>
    <w:rsid w:val="00897702"/>
    <w:rsid w:val="0089778B"/>
    <w:rsid w:val="008977A5"/>
    <w:rsid w:val="008977BB"/>
    <w:rsid w:val="00897843"/>
    <w:rsid w:val="0089789D"/>
    <w:rsid w:val="008978B4"/>
    <w:rsid w:val="008978DB"/>
    <w:rsid w:val="0089791C"/>
    <w:rsid w:val="008979A1"/>
    <w:rsid w:val="008979A2"/>
    <w:rsid w:val="008979C8"/>
    <w:rsid w:val="00897A68"/>
    <w:rsid w:val="00897B61"/>
    <w:rsid w:val="00897BE3"/>
    <w:rsid w:val="00897C6D"/>
    <w:rsid w:val="00897E76"/>
    <w:rsid w:val="00897EA6"/>
    <w:rsid w:val="008A003D"/>
    <w:rsid w:val="008A00A2"/>
    <w:rsid w:val="008A01D1"/>
    <w:rsid w:val="008A027A"/>
    <w:rsid w:val="008A03B6"/>
    <w:rsid w:val="008A0582"/>
    <w:rsid w:val="008A069E"/>
    <w:rsid w:val="008A075C"/>
    <w:rsid w:val="008A0806"/>
    <w:rsid w:val="008A09E0"/>
    <w:rsid w:val="008A0A86"/>
    <w:rsid w:val="008A0ACB"/>
    <w:rsid w:val="008A0D55"/>
    <w:rsid w:val="008A0DAA"/>
    <w:rsid w:val="008A0EA9"/>
    <w:rsid w:val="008A100D"/>
    <w:rsid w:val="008A1021"/>
    <w:rsid w:val="008A1142"/>
    <w:rsid w:val="008A121C"/>
    <w:rsid w:val="008A1227"/>
    <w:rsid w:val="008A12DB"/>
    <w:rsid w:val="008A136C"/>
    <w:rsid w:val="008A140B"/>
    <w:rsid w:val="008A14D7"/>
    <w:rsid w:val="008A14FE"/>
    <w:rsid w:val="008A1669"/>
    <w:rsid w:val="008A1714"/>
    <w:rsid w:val="008A177A"/>
    <w:rsid w:val="008A1A4A"/>
    <w:rsid w:val="008A1AC3"/>
    <w:rsid w:val="008A1ACD"/>
    <w:rsid w:val="008A1C22"/>
    <w:rsid w:val="008A1DD6"/>
    <w:rsid w:val="008A1E1C"/>
    <w:rsid w:val="008A1E63"/>
    <w:rsid w:val="008A1E7F"/>
    <w:rsid w:val="008A1F24"/>
    <w:rsid w:val="008A1F77"/>
    <w:rsid w:val="008A1F8E"/>
    <w:rsid w:val="008A1FDE"/>
    <w:rsid w:val="008A219D"/>
    <w:rsid w:val="008A220F"/>
    <w:rsid w:val="008A222E"/>
    <w:rsid w:val="008A2310"/>
    <w:rsid w:val="008A2311"/>
    <w:rsid w:val="008A236A"/>
    <w:rsid w:val="008A2388"/>
    <w:rsid w:val="008A23DD"/>
    <w:rsid w:val="008A24CE"/>
    <w:rsid w:val="008A25CC"/>
    <w:rsid w:val="008A260B"/>
    <w:rsid w:val="008A26CC"/>
    <w:rsid w:val="008A270F"/>
    <w:rsid w:val="008A27C5"/>
    <w:rsid w:val="008A27D7"/>
    <w:rsid w:val="008A27F5"/>
    <w:rsid w:val="008A293B"/>
    <w:rsid w:val="008A294F"/>
    <w:rsid w:val="008A2B8F"/>
    <w:rsid w:val="008A2CEC"/>
    <w:rsid w:val="008A2D4B"/>
    <w:rsid w:val="008A2D8F"/>
    <w:rsid w:val="008A2DE4"/>
    <w:rsid w:val="008A2E53"/>
    <w:rsid w:val="008A2E67"/>
    <w:rsid w:val="008A2E69"/>
    <w:rsid w:val="008A2EC7"/>
    <w:rsid w:val="008A2F71"/>
    <w:rsid w:val="008A30DC"/>
    <w:rsid w:val="008A31F4"/>
    <w:rsid w:val="008A320C"/>
    <w:rsid w:val="008A337A"/>
    <w:rsid w:val="008A33AB"/>
    <w:rsid w:val="008A33EA"/>
    <w:rsid w:val="008A34B9"/>
    <w:rsid w:val="008A3534"/>
    <w:rsid w:val="008A36DF"/>
    <w:rsid w:val="008A376F"/>
    <w:rsid w:val="008A37FE"/>
    <w:rsid w:val="008A389A"/>
    <w:rsid w:val="008A3B62"/>
    <w:rsid w:val="008A3C86"/>
    <w:rsid w:val="008A3CAA"/>
    <w:rsid w:val="008A3CDD"/>
    <w:rsid w:val="008A3CDF"/>
    <w:rsid w:val="008A3D5C"/>
    <w:rsid w:val="008A3E5A"/>
    <w:rsid w:val="008A3E6C"/>
    <w:rsid w:val="008A3ECE"/>
    <w:rsid w:val="008A3ED6"/>
    <w:rsid w:val="008A3F20"/>
    <w:rsid w:val="008A40A9"/>
    <w:rsid w:val="008A416F"/>
    <w:rsid w:val="008A4278"/>
    <w:rsid w:val="008A429A"/>
    <w:rsid w:val="008A42AD"/>
    <w:rsid w:val="008A4355"/>
    <w:rsid w:val="008A4472"/>
    <w:rsid w:val="008A4606"/>
    <w:rsid w:val="008A46F3"/>
    <w:rsid w:val="008A4C02"/>
    <w:rsid w:val="008A4C3B"/>
    <w:rsid w:val="008A4C45"/>
    <w:rsid w:val="008A4C6A"/>
    <w:rsid w:val="008A4CA8"/>
    <w:rsid w:val="008A4D84"/>
    <w:rsid w:val="008A4D85"/>
    <w:rsid w:val="008A4E62"/>
    <w:rsid w:val="008A4EB8"/>
    <w:rsid w:val="008A4EEB"/>
    <w:rsid w:val="008A4EF4"/>
    <w:rsid w:val="008A4FDA"/>
    <w:rsid w:val="008A500B"/>
    <w:rsid w:val="008A506D"/>
    <w:rsid w:val="008A5147"/>
    <w:rsid w:val="008A5213"/>
    <w:rsid w:val="008A5289"/>
    <w:rsid w:val="008A5340"/>
    <w:rsid w:val="008A5372"/>
    <w:rsid w:val="008A53D8"/>
    <w:rsid w:val="008A540F"/>
    <w:rsid w:val="008A5483"/>
    <w:rsid w:val="008A54B3"/>
    <w:rsid w:val="008A54B9"/>
    <w:rsid w:val="008A5573"/>
    <w:rsid w:val="008A55C6"/>
    <w:rsid w:val="008A55C9"/>
    <w:rsid w:val="008A5628"/>
    <w:rsid w:val="008A570A"/>
    <w:rsid w:val="008A5905"/>
    <w:rsid w:val="008A591C"/>
    <w:rsid w:val="008A59B2"/>
    <w:rsid w:val="008A5B40"/>
    <w:rsid w:val="008A5BB6"/>
    <w:rsid w:val="008A5C76"/>
    <w:rsid w:val="008A5CA2"/>
    <w:rsid w:val="008A5CDD"/>
    <w:rsid w:val="008A5D23"/>
    <w:rsid w:val="008A5D31"/>
    <w:rsid w:val="008A5E04"/>
    <w:rsid w:val="008A5E3C"/>
    <w:rsid w:val="008A5ED4"/>
    <w:rsid w:val="008A5F90"/>
    <w:rsid w:val="008A5F9D"/>
    <w:rsid w:val="008A605E"/>
    <w:rsid w:val="008A60D1"/>
    <w:rsid w:val="008A60E3"/>
    <w:rsid w:val="008A613E"/>
    <w:rsid w:val="008A6160"/>
    <w:rsid w:val="008A620E"/>
    <w:rsid w:val="008A6256"/>
    <w:rsid w:val="008A62E7"/>
    <w:rsid w:val="008A6399"/>
    <w:rsid w:val="008A640D"/>
    <w:rsid w:val="008A644C"/>
    <w:rsid w:val="008A64FF"/>
    <w:rsid w:val="008A6535"/>
    <w:rsid w:val="008A6596"/>
    <w:rsid w:val="008A6673"/>
    <w:rsid w:val="008A670A"/>
    <w:rsid w:val="008A67A9"/>
    <w:rsid w:val="008A68D6"/>
    <w:rsid w:val="008A6966"/>
    <w:rsid w:val="008A6A61"/>
    <w:rsid w:val="008A6A8A"/>
    <w:rsid w:val="008A6AC4"/>
    <w:rsid w:val="008A6C29"/>
    <w:rsid w:val="008A6CEF"/>
    <w:rsid w:val="008A6D59"/>
    <w:rsid w:val="008A6DF1"/>
    <w:rsid w:val="008A6E59"/>
    <w:rsid w:val="008A6E64"/>
    <w:rsid w:val="008A6EE9"/>
    <w:rsid w:val="008A6F8A"/>
    <w:rsid w:val="008A6FA9"/>
    <w:rsid w:val="008A70EA"/>
    <w:rsid w:val="008A713D"/>
    <w:rsid w:val="008A7170"/>
    <w:rsid w:val="008A726D"/>
    <w:rsid w:val="008A73A6"/>
    <w:rsid w:val="008A73B4"/>
    <w:rsid w:val="008A7456"/>
    <w:rsid w:val="008A7679"/>
    <w:rsid w:val="008A77EB"/>
    <w:rsid w:val="008A780C"/>
    <w:rsid w:val="008A78EA"/>
    <w:rsid w:val="008A7A4E"/>
    <w:rsid w:val="008A7A62"/>
    <w:rsid w:val="008A7A6C"/>
    <w:rsid w:val="008B007A"/>
    <w:rsid w:val="008B00CD"/>
    <w:rsid w:val="008B0119"/>
    <w:rsid w:val="008B0137"/>
    <w:rsid w:val="008B0279"/>
    <w:rsid w:val="008B0288"/>
    <w:rsid w:val="008B050C"/>
    <w:rsid w:val="008B0511"/>
    <w:rsid w:val="008B0518"/>
    <w:rsid w:val="008B0620"/>
    <w:rsid w:val="008B063F"/>
    <w:rsid w:val="008B0749"/>
    <w:rsid w:val="008B0787"/>
    <w:rsid w:val="008B0825"/>
    <w:rsid w:val="008B0840"/>
    <w:rsid w:val="008B0929"/>
    <w:rsid w:val="008B09A3"/>
    <w:rsid w:val="008B09C6"/>
    <w:rsid w:val="008B09E3"/>
    <w:rsid w:val="008B0A41"/>
    <w:rsid w:val="008B0A49"/>
    <w:rsid w:val="008B0A7F"/>
    <w:rsid w:val="008B0AA7"/>
    <w:rsid w:val="008B0B14"/>
    <w:rsid w:val="008B0BD1"/>
    <w:rsid w:val="008B0E1D"/>
    <w:rsid w:val="008B0F98"/>
    <w:rsid w:val="008B1095"/>
    <w:rsid w:val="008B11AE"/>
    <w:rsid w:val="008B1200"/>
    <w:rsid w:val="008B12CA"/>
    <w:rsid w:val="008B1328"/>
    <w:rsid w:val="008B1411"/>
    <w:rsid w:val="008B149E"/>
    <w:rsid w:val="008B1577"/>
    <w:rsid w:val="008B17B4"/>
    <w:rsid w:val="008B17EB"/>
    <w:rsid w:val="008B1819"/>
    <w:rsid w:val="008B185D"/>
    <w:rsid w:val="008B19BE"/>
    <w:rsid w:val="008B1AE5"/>
    <w:rsid w:val="008B1C65"/>
    <w:rsid w:val="008B1CD9"/>
    <w:rsid w:val="008B1F55"/>
    <w:rsid w:val="008B1F6A"/>
    <w:rsid w:val="008B20D4"/>
    <w:rsid w:val="008B21AD"/>
    <w:rsid w:val="008B2277"/>
    <w:rsid w:val="008B22E0"/>
    <w:rsid w:val="008B2512"/>
    <w:rsid w:val="008B2535"/>
    <w:rsid w:val="008B2705"/>
    <w:rsid w:val="008B273C"/>
    <w:rsid w:val="008B27D3"/>
    <w:rsid w:val="008B280D"/>
    <w:rsid w:val="008B2820"/>
    <w:rsid w:val="008B287C"/>
    <w:rsid w:val="008B289B"/>
    <w:rsid w:val="008B28AA"/>
    <w:rsid w:val="008B28B9"/>
    <w:rsid w:val="008B28F3"/>
    <w:rsid w:val="008B2916"/>
    <w:rsid w:val="008B2928"/>
    <w:rsid w:val="008B2944"/>
    <w:rsid w:val="008B29B5"/>
    <w:rsid w:val="008B2A77"/>
    <w:rsid w:val="008B2BB8"/>
    <w:rsid w:val="008B2C0A"/>
    <w:rsid w:val="008B2C22"/>
    <w:rsid w:val="008B2D03"/>
    <w:rsid w:val="008B2D60"/>
    <w:rsid w:val="008B2D8C"/>
    <w:rsid w:val="008B3055"/>
    <w:rsid w:val="008B3070"/>
    <w:rsid w:val="008B3121"/>
    <w:rsid w:val="008B312C"/>
    <w:rsid w:val="008B3172"/>
    <w:rsid w:val="008B31B1"/>
    <w:rsid w:val="008B323D"/>
    <w:rsid w:val="008B3295"/>
    <w:rsid w:val="008B3434"/>
    <w:rsid w:val="008B34C3"/>
    <w:rsid w:val="008B34D3"/>
    <w:rsid w:val="008B3599"/>
    <w:rsid w:val="008B36B6"/>
    <w:rsid w:val="008B36F2"/>
    <w:rsid w:val="008B3731"/>
    <w:rsid w:val="008B37DD"/>
    <w:rsid w:val="008B3851"/>
    <w:rsid w:val="008B38A9"/>
    <w:rsid w:val="008B38B4"/>
    <w:rsid w:val="008B38C8"/>
    <w:rsid w:val="008B38DC"/>
    <w:rsid w:val="008B396C"/>
    <w:rsid w:val="008B39A4"/>
    <w:rsid w:val="008B39C5"/>
    <w:rsid w:val="008B3A8D"/>
    <w:rsid w:val="008B3AFF"/>
    <w:rsid w:val="008B3B4D"/>
    <w:rsid w:val="008B3BF3"/>
    <w:rsid w:val="008B3C24"/>
    <w:rsid w:val="008B3E12"/>
    <w:rsid w:val="008B3E2E"/>
    <w:rsid w:val="008B3E5B"/>
    <w:rsid w:val="008B3EA5"/>
    <w:rsid w:val="008B3EBC"/>
    <w:rsid w:val="008B3F52"/>
    <w:rsid w:val="008B3F5F"/>
    <w:rsid w:val="008B3F9B"/>
    <w:rsid w:val="008B4007"/>
    <w:rsid w:val="008B40AD"/>
    <w:rsid w:val="008B40E6"/>
    <w:rsid w:val="008B429B"/>
    <w:rsid w:val="008B4343"/>
    <w:rsid w:val="008B43EC"/>
    <w:rsid w:val="008B4524"/>
    <w:rsid w:val="008B4527"/>
    <w:rsid w:val="008B453B"/>
    <w:rsid w:val="008B45DC"/>
    <w:rsid w:val="008B4647"/>
    <w:rsid w:val="008B474B"/>
    <w:rsid w:val="008B4828"/>
    <w:rsid w:val="008B48EA"/>
    <w:rsid w:val="008B495A"/>
    <w:rsid w:val="008B49C7"/>
    <w:rsid w:val="008B4A82"/>
    <w:rsid w:val="008B4AAB"/>
    <w:rsid w:val="008B4B81"/>
    <w:rsid w:val="008B4BBD"/>
    <w:rsid w:val="008B4C25"/>
    <w:rsid w:val="008B4C46"/>
    <w:rsid w:val="008B4C6D"/>
    <w:rsid w:val="008B4C9B"/>
    <w:rsid w:val="008B4DA8"/>
    <w:rsid w:val="008B4F2F"/>
    <w:rsid w:val="008B51C4"/>
    <w:rsid w:val="008B521D"/>
    <w:rsid w:val="008B522A"/>
    <w:rsid w:val="008B524D"/>
    <w:rsid w:val="008B5336"/>
    <w:rsid w:val="008B53ED"/>
    <w:rsid w:val="008B541D"/>
    <w:rsid w:val="008B542B"/>
    <w:rsid w:val="008B5480"/>
    <w:rsid w:val="008B5563"/>
    <w:rsid w:val="008B55A9"/>
    <w:rsid w:val="008B5621"/>
    <w:rsid w:val="008B5659"/>
    <w:rsid w:val="008B570B"/>
    <w:rsid w:val="008B570E"/>
    <w:rsid w:val="008B582B"/>
    <w:rsid w:val="008B58F2"/>
    <w:rsid w:val="008B5930"/>
    <w:rsid w:val="008B5943"/>
    <w:rsid w:val="008B5975"/>
    <w:rsid w:val="008B5B0D"/>
    <w:rsid w:val="008B5BC9"/>
    <w:rsid w:val="008B5C4D"/>
    <w:rsid w:val="008B5E88"/>
    <w:rsid w:val="008B5E92"/>
    <w:rsid w:val="008B5EB3"/>
    <w:rsid w:val="008B5F39"/>
    <w:rsid w:val="008B5F9E"/>
    <w:rsid w:val="008B6048"/>
    <w:rsid w:val="008B6085"/>
    <w:rsid w:val="008B60F9"/>
    <w:rsid w:val="008B628D"/>
    <w:rsid w:val="008B62D3"/>
    <w:rsid w:val="008B62DA"/>
    <w:rsid w:val="008B630D"/>
    <w:rsid w:val="008B6310"/>
    <w:rsid w:val="008B6312"/>
    <w:rsid w:val="008B6347"/>
    <w:rsid w:val="008B6355"/>
    <w:rsid w:val="008B64C7"/>
    <w:rsid w:val="008B6540"/>
    <w:rsid w:val="008B6543"/>
    <w:rsid w:val="008B65D1"/>
    <w:rsid w:val="008B664D"/>
    <w:rsid w:val="008B66A6"/>
    <w:rsid w:val="008B6753"/>
    <w:rsid w:val="008B676D"/>
    <w:rsid w:val="008B6782"/>
    <w:rsid w:val="008B6797"/>
    <w:rsid w:val="008B67BB"/>
    <w:rsid w:val="008B67DC"/>
    <w:rsid w:val="008B6868"/>
    <w:rsid w:val="008B693F"/>
    <w:rsid w:val="008B69B1"/>
    <w:rsid w:val="008B6A02"/>
    <w:rsid w:val="008B6A1C"/>
    <w:rsid w:val="008B6A26"/>
    <w:rsid w:val="008B6A8F"/>
    <w:rsid w:val="008B6BD9"/>
    <w:rsid w:val="008B6C08"/>
    <w:rsid w:val="008B6C75"/>
    <w:rsid w:val="008B6CD3"/>
    <w:rsid w:val="008B6D45"/>
    <w:rsid w:val="008B6E97"/>
    <w:rsid w:val="008B6EF3"/>
    <w:rsid w:val="008B6F1F"/>
    <w:rsid w:val="008B7076"/>
    <w:rsid w:val="008B7083"/>
    <w:rsid w:val="008B7162"/>
    <w:rsid w:val="008B717D"/>
    <w:rsid w:val="008B71FA"/>
    <w:rsid w:val="008B7267"/>
    <w:rsid w:val="008B72F9"/>
    <w:rsid w:val="008B7450"/>
    <w:rsid w:val="008B7510"/>
    <w:rsid w:val="008B7594"/>
    <w:rsid w:val="008B75C9"/>
    <w:rsid w:val="008B7670"/>
    <w:rsid w:val="008B767C"/>
    <w:rsid w:val="008B76F4"/>
    <w:rsid w:val="008B7718"/>
    <w:rsid w:val="008B7720"/>
    <w:rsid w:val="008B77E3"/>
    <w:rsid w:val="008B78BA"/>
    <w:rsid w:val="008B7914"/>
    <w:rsid w:val="008B791F"/>
    <w:rsid w:val="008B7945"/>
    <w:rsid w:val="008B7959"/>
    <w:rsid w:val="008B7962"/>
    <w:rsid w:val="008B7964"/>
    <w:rsid w:val="008B79B6"/>
    <w:rsid w:val="008B7A44"/>
    <w:rsid w:val="008B7A7E"/>
    <w:rsid w:val="008B7B10"/>
    <w:rsid w:val="008B7B25"/>
    <w:rsid w:val="008B7C2B"/>
    <w:rsid w:val="008B7C57"/>
    <w:rsid w:val="008B7DF5"/>
    <w:rsid w:val="008B7EED"/>
    <w:rsid w:val="008B7F09"/>
    <w:rsid w:val="008B7F2B"/>
    <w:rsid w:val="008B7FB6"/>
    <w:rsid w:val="008C0018"/>
    <w:rsid w:val="008C00D6"/>
    <w:rsid w:val="008C02F9"/>
    <w:rsid w:val="008C031B"/>
    <w:rsid w:val="008C034D"/>
    <w:rsid w:val="008C03A2"/>
    <w:rsid w:val="008C0474"/>
    <w:rsid w:val="008C0485"/>
    <w:rsid w:val="008C0582"/>
    <w:rsid w:val="008C0696"/>
    <w:rsid w:val="008C06EC"/>
    <w:rsid w:val="008C0716"/>
    <w:rsid w:val="008C077A"/>
    <w:rsid w:val="008C0887"/>
    <w:rsid w:val="008C08D6"/>
    <w:rsid w:val="008C094C"/>
    <w:rsid w:val="008C0992"/>
    <w:rsid w:val="008C0AA3"/>
    <w:rsid w:val="008C0B27"/>
    <w:rsid w:val="008C0CFD"/>
    <w:rsid w:val="008C0E1C"/>
    <w:rsid w:val="008C0E2D"/>
    <w:rsid w:val="008C0FA2"/>
    <w:rsid w:val="008C102F"/>
    <w:rsid w:val="008C103F"/>
    <w:rsid w:val="008C10A7"/>
    <w:rsid w:val="008C118A"/>
    <w:rsid w:val="008C11E0"/>
    <w:rsid w:val="008C11FE"/>
    <w:rsid w:val="008C120B"/>
    <w:rsid w:val="008C1210"/>
    <w:rsid w:val="008C1239"/>
    <w:rsid w:val="008C138D"/>
    <w:rsid w:val="008C1550"/>
    <w:rsid w:val="008C15A5"/>
    <w:rsid w:val="008C1991"/>
    <w:rsid w:val="008C1A4B"/>
    <w:rsid w:val="008C1A61"/>
    <w:rsid w:val="008C1B29"/>
    <w:rsid w:val="008C1B7A"/>
    <w:rsid w:val="008C1BC3"/>
    <w:rsid w:val="008C1C41"/>
    <w:rsid w:val="008C1C66"/>
    <w:rsid w:val="008C1D96"/>
    <w:rsid w:val="008C1DEE"/>
    <w:rsid w:val="008C1E48"/>
    <w:rsid w:val="008C1EB4"/>
    <w:rsid w:val="008C1F26"/>
    <w:rsid w:val="008C2073"/>
    <w:rsid w:val="008C20B5"/>
    <w:rsid w:val="008C2246"/>
    <w:rsid w:val="008C2260"/>
    <w:rsid w:val="008C22A5"/>
    <w:rsid w:val="008C22EB"/>
    <w:rsid w:val="008C2300"/>
    <w:rsid w:val="008C244C"/>
    <w:rsid w:val="008C24AD"/>
    <w:rsid w:val="008C257D"/>
    <w:rsid w:val="008C260C"/>
    <w:rsid w:val="008C270D"/>
    <w:rsid w:val="008C2788"/>
    <w:rsid w:val="008C27EE"/>
    <w:rsid w:val="008C292C"/>
    <w:rsid w:val="008C29D5"/>
    <w:rsid w:val="008C2A8A"/>
    <w:rsid w:val="008C2AA4"/>
    <w:rsid w:val="008C2AB3"/>
    <w:rsid w:val="008C2B8D"/>
    <w:rsid w:val="008C2C4C"/>
    <w:rsid w:val="008C2CB3"/>
    <w:rsid w:val="008C2D16"/>
    <w:rsid w:val="008C2E8B"/>
    <w:rsid w:val="008C2ED6"/>
    <w:rsid w:val="008C2F0C"/>
    <w:rsid w:val="008C2F44"/>
    <w:rsid w:val="008C2F64"/>
    <w:rsid w:val="008C30E3"/>
    <w:rsid w:val="008C3108"/>
    <w:rsid w:val="008C321E"/>
    <w:rsid w:val="008C3244"/>
    <w:rsid w:val="008C33F7"/>
    <w:rsid w:val="008C3489"/>
    <w:rsid w:val="008C34B8"/>
    <w:rsid w:val="008C34D0"/>
    <w:rsid w:val="008C3508"/>
    <w:rsid w:val="008C354C"/>
    <w:rsid w:val="008C36AE"/>
    <w:rsid w:val="008C3706"/>
    <w:rsid w:val="008C3729"/>
    <w:rsid w:val="008C377C"/>
    <w:rsid w:val="008C3788"/>
    <w:rsid w:val="008C38A5"/>
    <w:rsid w:val="008C38DC"/>
    <w:rsid w:val="008C38DD"/>
    <w:rsid w:val="008C3A6C"/>
    <w:rsid w:val="008C3D8E"/>
    <w:rsid w:val="008C3E22"/>
    <w:rsid w:val="008C3E23"/>
    <w:rsid w:val="008C3E46"/>
    <w:rsid w:val="008C3E78"/>
    <w:rsid w:val="008C3EA4"/>
    <w:rsid w:val="008C3F5B"/>
    <w:rsid w:val="008C3FCD"/>
    <w:rsid w:val="008C4041"/>
    <w:rsid w:val="008C4113"/>
    <w:rsid w:val="008C43DC"/>
    <w:rsid w:val="008C445F"/>
    <w:rsid w:val="008C45E8"/>
    <w:rsid w:val="008C4642"/>
    <w:rsid w:val="008C46AF"/>
    <w:rsid w:val="008C47DD"/>
    <w:rsid w:val="008C4841"/>
    <w:rsid w:val="008C489F"/>
    <w:rsid w:val="008C4986"/>
    <w:rsid w:val="008C4A13"/>
    <w:rsid w:val="008C4A24"/>
    <w:rsid w:val="008C4A28"/>
    <w:rsid w:val="008C4B05"/>
    <w:rsid w:val="008C4B09"/>
    <w:rsid w:val="008C4B1B"/>
    <w:rsid w:val="008C4B29"/>
    <w:rsid w:val="008C4C37"/>
    <w:rsid w:val="008C4C76"/>
    <w:rsid w:val="008C4CAA"/>
    <w:rsid w:val="008C4CC1"/>
    <w:rsid w:val="008C4CC4"/>
    <w:rsid w:val="008C4EF0"/>
    <w:rsid w:val="008C4F85"/>
    <w:rsid w:val="008C517A"/>
    <w:rsid w:val="008C533F"/>
    <w:rsid w:val="008C54A7"/>
    <w:rsid w:val="008C54C0"/>
    <w:rsid w:val="008C5593"/>
    <w:rsid w:val="008C5630"/>
    <w:rsid w:val="008C5650"/>
    <w:rsid w:val="008C5653"/>
    <w:rsid w:val="008C5758"/>
    <w:rsid w:val="008C5822"/>
    <w:rsid w:val="008C58C0"/>
    <w:rsid w:val="008C58C5"/>
    <w:rsid w:val="008C58D2"/>
    <w:rsid w:val="008C58DF"/>
    <w:rsid w:val="008C5934"/>
    <w:rsid w:val="008C5952"/>
    <w:rsid w:val="008C5978"/>
    <w:rsid w:val="008C5A8E"/>
    <w:rsid w:val="008C5B1D"/>
    <w:rsid w:val="008C5C3F"/>
    <w:rsid w:val="008C5E38"/>
    <w:rsid w:val="008C5E61"/>
    <w:rsid w:val="008C5F21"/>
    <w:rsid w:val="008C60C0"/>
    <w:rsid w:val="008C61FB"/>
    <w:rsid w:val="008C6268"/>
    <w:rsid w:val="008C62B0"/>
    <w:rsid w:val="008C62D2"/>
    <w:rsid w:val="008C643B"/>
    <w:rsid w:val="008C651A"/>
    <w:rsid w:val="008C655D"/>
    <w:rsid w:val="008C659F"/>
    <w:rsid w:val="008C66F7"/>
    <w:rsid w:val="008C6951"/>
    <w:rsid w:val="008C6964"/>
    <w:rsid w:val="008C69B7"/>
    <w:rsid w:val="008C6B0E"/>
    <w:rsid w:val="008C6B6F"/>
    <w:rsid w:val="008C6CDA"/>
    <w:rsid w:val="008C6E54"/>
    <w:rsid w:val="008C6E88"/>
    <w:rsid w:val="008C6F80"/>
    <w:rsid w:val="008C711E"/>
    <w:rsid w:val="008C71CE"/>
    <w:rsid w:val="008C720E"/>
    <w:rsid w:val="008C7266"/>
    <w:rsid w:val="008C72A6"/>
    <w:rsid w:val="008C7382"/>
    <w:rsid w:val="008C73F7"/>
    <w:rsid w:val="008C7449"/>
    <w:rsid w:val="008C74A6"/>
    <w:rsid w:val="008C7542"/>
    <w:rsid w:val="008C7543"/>
    <w:rsid w:val="008C759A"/>
    <w:rsid w:val="008C75CA"/>
    <w:rsid w:val="008C75D7"/>
    <w:rsid w:val="008C7715"/>
    <w:rsid w:val="008C77C1"/>
    <w:rsid w:val="008C781B"/>
    <w:rsid w:val="008C78EE"/>
    <w:rsid w:val="008C7912"/>
    <w:rsid w:val="008C7A1F"/>
    <w:rsid w:val="008C7A9F"/>
    <w:rsid w:val="008C7AF3"/>
    <w:rsid w:val="008C7B11"/>
    <w:rsid w:val="008C7B36"/>
    <w:rsid w:val="008C7B3D"/>
    <w:rsid w:val="008C7BEA"/>
    <w:rsid w:val="008C7BFA"/>
    <w:rsid w:val="008C7D0A"/>
    <w:rsid w:val="008C7D15"/>
    <w:rsid w:val="008C7D54"/>
    <w:rsid w:val="008C7DB5"/>
    <w:rsid w:val="008C7E8B"/>
    <w:rsid w:val="008C7E9E"/>
    <w:rsid w:val="008C7F9D"/>
    <w:rsid w:val="008D0010"/>
    <w:rsid w:val="008D003F"/>
    <w:rsid w:val="008D0119"/>
    <w:rsid w:val="008D01B5"/>
    <w:rsid w:val="008D01C4"/>
    <w:rsid w:val="008D023B"/>
    <w:rsid w:val="008D025F"/>
    <w:rsid w:val="008D02BD"/>
    <w:rsid w:val="008D0344"/>
    <w:rsid w:val="008D03C0"/>
    <w:rsid w:val="008D040A"/>
    <w:rsid w:val="008D0415"/>
    <w:rsid w:val="008D0453"/>
    <w:rsid w:val="008D05F3"/>
    <w:rsid w:val="008D0718"/>
    <w:rsid w:val="008D072A"/>
    <w:rsid w:val="008D0748"/>
    <w:rsid w:val="008D0769"/>
    <w:rsid w:val="008D07D1"/>
    <w:rsid w:val="008D093F"/>
    <w:rsid w:val="008D09A3"/>
    <w:rsid w:val="008D0A0E"/>
    <w:rsid w:val="008D0AF8"/>
    <w:rsid w:val="008D0DFD"/>
    <w:rsid w:val="008D0F2D"/>
    <w:rsid w:val="008D0FBB"/>
    <w:rsid w:val="008D1057"/>
    <w:rsid w:val="008D118C"/>
    <w:rsid w:val="008D11FA"/>
    <w:rsid w:val="008D1277"/>
    <w:rsid w:val="008D128B"/>
    <w:rsid w:val="008D1307"/>
    <w:rsid w:val="008D1322"/>
    <w:rsid w:val="008D134F"/>
    <w:rsid w:val="008D143C"/>
    <w:rsid w:val="008D14D3"/>
    <w:rsid w:val="008D150C"/>
    <w:rsid w:val="008D1582"/>
    <w:rsid w:val="008D161C"/>
    <w:rsid w:val="008D1642"/>
    <w:rsid w:val="008D17F7"/>
    <w:rsid w:val="008D17F9"/>
    <w:rsid w:val="008D192E"/>
    <w:rsid w:val="008D1A0F"/>
    <w:rsid w:val="008D1ABF"/>
    <w:rsid w:val="008D1AD5"/>
    <w:rsid w:val="008D1B47"/>
    <w:rsid w:val="008D1B54"/>
    <w:rsid w:val="008D1BC5"/>
    <w:rsid w:val="008D1C22"/>
    <w:rsid w:val="008D1C27"/>
    <w:rsid w:val="008D1CC5"/>
    <w:rsid w:val="008D1F74"/>
    <w:rsid w:val="008D207A"/>
    <w:rsid w:val="008D2098"/>
    <w:rsid w:val="008D21A5"/>
    <w:rsid w:val="008D21E9"/>
    <w:rsid w:val="008D220D"/>
    <w:rsid w:val="008D223D"/>
    <w:rsid w:val="008D22E8"/>
    <w:rsid w:val="008D23A6"/>
    <w:rsid w:val="008D2481"/>
    <w:rsid w:val="008D248F"/>
    <w:rsid w:val="008D2516"/>
    <w:rsid w:val="008D25B0"/>
    <w:rsid w:val="008D2696"/>
    <w:rsid w:val="008D26DB"/>
    <w:rsid w:val="008D26E0"/>
    <w:rsid w:val="008D2794"/>
    <w:rsid w:val="008D27A9"/>
    <w:rsid w:val="008D28A8"/>
    <w:rsid w:val="008D2950"/>
    <w:rsid w:val="008D29A5"/>
    <w:rsid w:val="008D2B4C"/>
    <w:rsid w:val="008D2B66"/>
    <w:rsid w:val="008D2B86"/>
    <w:rsid w:val="008D2BC8"/>
    <w:rsid w:val="008D2BEF"/>
    <w:rsid w:val="008D2C37"/>
    <w:rsid w:val="008D2CCA"/>
    <w:rsid w:val="008D2CFC"/>
    <w:rsid w:val="008D2DD9"/>
    <w:rsid w:val="008D3049"/>
    <w:rsid w:val="008D30BF"/>
    <w:rsid w:val="008D3111"/>
    <w:rsid w:val="008D3309"/>
    <w:rsid w:val="008D33CA"/>
    <w:rsid w:val="008D33F7"/>
    <w:rsid w:val="008D34F9"/>
    <w:rsid w:val="008D3542"/>
    <w:rsid w:val="008D3566"/>
    <w:rsid w:val="008D359C"/>
    <w:rsid w:val="008D35C7"/>
    <w:rsid w:val="008D3677"/>
    <w:rsid w:val="008D3679"/>
    <w:rsid w:val="008D36B1"/>
    <w:rsid w:val="008D3784"/>
    <w:rsid w:val="008D37CA"/>
    <w:rsid w:val="008D3939"/>
    <w:rsid w:val="008D39EF"/>
    <w:rsid w:val="008D3A75"/>
    <w:rsid w:val="008D3A9D"/>
    <w:rsid w:val="008D3B4E"/>
    <w:rsid w:val="008D3CA9"/>
    <w:rsid w:val="008D3DB0"/>
    <w:rsid w:val="008D3E25"/>
    <w:rsid w:val="008D3EB9"/>
    <w:rsid w:val="008D3EFC"/>
    <w:rsid w:val="008D4069"/>
    <w:rsid w:val="008D4099"/>
    <w:rsid w:val="008D4167"/>
    <w:rsid w:val="008D419A"/>
    <w:rsid w:val="008D422B"/>
    <w:rsid w:val="008D426B"/>
    <w:rsid w:val="008D42E4"/>
    <w:rsid w:val="008D437F"/>
    <w:rsid w:val="008D43B4"/>
    <w:rsid w:val="008D4406"/>
    <w:rsid w:val="008D440A"/>
    <w:rsid w:val="008D449E"/>
    <w:rsid w:val="008D44D1"/>
    <w:rsid w:val="008D4569"/>
    <w:rsid w:val="008D469E"/>
    <w:rsid w:val="008D46DF"/>
    <w:rsid w:val="008D489D"/>
    <w:rsid w:val="008D48A8"/>
    <w:rsid w:val="008D49AA"/>
    <w:rsid w:val="008D4A9C"/>
    <w:rsid w:val="008D4B47"/>
    <w:rsid w:val="008D4B57"/>
    <w:rsid w:val="008D4B73"/>
    <w:rsid w:val="008D4BB8"/>
    <w:rsid w:val="008D4BD1"/>
    <w:rsid w:val="008D4C82"/>
    <w:rsid w:val="008D4CF4"/>
    <w:rsid w:val="008D4DFB"/>
    <w:rsid w:val="008D4E14"/>
    <w:rsid w:val="008D4FA8"/>
    <w:rsid w:val="008D51F1"/>
    <w:rsid w:val="008D5268"/>
    <w:rsid w:val="008D5495"/>
    <w:rsid w:val="008D54D6"/>
    <w:rsid w:val="008D5544"/>
    <w:rsid w:val="008D5690"/>
    <w:rsid w:val="008D5711"/>
    <w:rsid w:val="008D57AB"/>
    <w:rsid w:val="008D5800"/>
    <w:rsid w:val="008D5850"/>
    <w:rsid w:val="008D5A81"/>
    <w:rsid w:val="008D5ADD"/>
    <w:rsid w:val="008D5B1A"/>
    <w:rsid w:val="008D5B1C"/>
    <w:rsid w:val="008D5B4B"/>
    <w:rsid w:val="008D5C23"/>
    <w:rsid w:val="008D5C4C"/>
    <w:rsid w:val="008D5CB1"/>
    <w:rsid w:val="008D5D58"/>
    <w:rsid w:val="008D5D63"/>
    <w:rsid w:val="008D5DA1"/>
    <w:rsid w:val="008D5E4C"/>
    <w:rsid w:val="008D5FA4"/>
    <w:rsid w:val="008D6005"/>
    <w:rsid w:val="008D60FD"/>
    <w:rsid w:val="008D61C8"/>
    <w:rsid w:val="008D6221"/>
    <w:rsid w:val="008D623E"/>
    <w:rsid w:val="008D625E"/>
    <w:rsid w:val="008D62A3"/>
    <w:rsid w:val="008D62DF"/>
    <w:rsid w:val="008D6319"/>
    <w:rsid w:val="008D6384"/>
    <w:rsid w:val="008D64AF"/>
    <w:rsid w:val="008D64C1"/>
    <w:rsid w:val="008D64C4"/>
    <w:rsid w:val="008D6557"/>
    <w:rsid w:val="008D6646"/>
    <w:rsid w:val="008D6647"/>
    <w:rsid w:val="008D6678"/>
    <w:rsid w:val="008D66BE"/>
    <w:rsid w:val="008D67BA"/>
    <w:rsid w:val="008D688F"/>
    <w:rsid w:val="008D68CB"/>
    <w:rsid w:val="008D6990"/>
    <w:rsid w:val="008D69D2"/>
    <w:rsid w:val="008D6A13"/>
    <w:rsid w:val="008D6A89"/>
    <w:rsid w:val="008D6B04"/>
    <w:rsid w:val="008D6BAB"/>
    <w:rsid w:val="008D6C8F"/>
    <w:rsid w:val="008D6D67"/>
    <w:rsid w:val="008D7092"/>
    <w:rsid w:val="008D70D4"/>
    <w:rsid w:val="008D70E6"/>
    <w:rsid w:val="008D70F7"/>
    <w:rsid w:val="008D719D"/>
    <w:rsid w:val="008D738D"/>
    <w:rsid w:val="008D7457"/>
    <w:rsid w:val="008D7459"/>
    <w:rsid w:val="008D74DC"/>
    <w:rsid w:val="008D74E5"/>
    <w:rsid w:val="008D74E7"/>
    <w:rsid w:val="008D7536"/>
    <w:rsid w:val="008D7782"/>
    <w:rsid w:val="008D779A"/>
    <w:rsid w:val="008D7913"/>
    <w:rsid w:val="008D7973"/>
    <w:rsid w:val="008D79EB"/>
    <w:rsid w:val="008D7A24"/>
    <w:rsid w:val="008D7A43"/>
    <w:rsid w:val="008D7AA1"/>
    <w:rsid w:val="008D7AA8"/>
    <w:rsid w:val="008D7C71"/>
    <w:rsid w:val="008D7CD7"/>
    <w:rsid w:val="008D7CF9"/>
    <w:rsid w:val="008D7E0F"/>
    <w:rsid w:val="008D7EBB"/>
    <w:rsid w:val="008D7ECE"/>
    <w:rsid w:val="008D7EDB"/>
    <w:rsid w:val="008E004C"/>
    <w:rsid w:val="008E00E5"/>
    <w:rsid w:val="008E0113"/>
    <w:rsid w:val="008E0123"/>
    <w:rsid w:val="008E0151"/>
    <w:rsid w:val="008E0188"/>
    <w:rsid w:val="008E02CD"/>
    <w:rsid w:val="008E02F6"/>
    <w:rsid w:val="008E0304"/>
    <w:rsid w:val="008E048C"/>
    <w:rsid w:val="008E0554"/>
    <w:rsid w:val="008E05DF"/>
    <w:rsid w:val="008E0604"/>
    <w:rsid w:val="008E0609"/>
    <w:rsid w:val="008E06A6"/>
    <w:rsid w:val="008E0704"/>
    <w:rsid w:val="008E0728"/>
    <w:rsid w:val="008E074C"/>
    <w:rsid w:val="008E0774"/>
    <w:rsid w:val="008E0815"/>
    <w:rsid w:val="008E0850"/>
    <w:rsid w:val="008E08EB"/>
    <w:rsid w:val="008E0957"/>
    <w:rsid w:val="008E098A"/>
    <w:rsid w:val="008E098F"/>
    <w:rsid w:val="008E0A2E"/>
    <w:rsid w:val="008E0AF8"/>
    <w:rsid w:val="008E0AFE"/>
    <w:rsid w:val="008E0BC9"/>
    <w:rsid w:val="008E0BE1"/>
    <w:rsid w:val="008E0C96"/>
    <w:rsid w:val="008E0D13"/>
    <w:rsid w:val="008E0E0F"/>
    <w:rsid w:val="008E0E17"/>
    <w:rsid w:val="008E0F7E"/>
    <w:rsid w:val="008E0FB7"/>
    <w:rsid w:val="008E105D"/>
    <w:rsid w:val="008E107A"/>
    <w:rsid w:val="008E11C6"/>
    <w:rsid w:val="008E1359"/>
    <w:rsid w:val="008E13AA"/>
    <w:rsid w:val="008E1444"/>
    <w:rsid w:val="008E147A"/>
    <w:rsid w:val="008E1515"/>
    <w:rsid w:val="008E161F"/>
    <w:rsid w:val="008E1747"/>
    <w:rsid w:val="008E17FF"/>
    <w:rsid w:val="008E1849"/>
    <w:rsid w:val="008E190D"/>
    <w:rsid w:val="008E1A15"/>
    <w:rsid w:val="008E1A21"/>
    <w:rsid w:val="008E1A47"/>
    <w:rsid w:val="008E1A52"/>
    <w:rsid w:val="008E1ADD"/>
    <w:rsid w:val="008E1BA0"/>
    <w:rsid w:val="008E1BE6"/>
    <w:rsid w:val="008E1BEC"/>
    <w:rsid w:val="008E1C1A"/>
    <w:rsid w:val="008E1C5F"/>
    <w:rsid w:val="008E1C95"/>
    <w:rsid w:val="008E1CA5"/>
    <w:rsid w:val="008E1D39"/>
    <w:rsid w:val="008E1D3B"/>
    <w:rsid w:val="008E1F27"/>
    <w:rsid w:val="008E1F77"/>
    <w:rsid w:val="008E1F89"/>
    <w:rsid w:val="008E2036"/>
    <w:rsid w:val="008E209A"/>
    <w:rsid w:val="008E20C0"/>
    <w:rsid w:val="008E20F7"/>
    <w:rsid w:val="008E21D9"/>
    <w:rsid w:val="008E222C"/>
    <w:rsid w:val="008E22B7"/>
    <w:rsid w:val="008E2346"/>
    <w:rsid w:val="008E259E"/>
    <w:rsid w:val="008E25F1"/>
    <w:rsid w:val="008E2766"/>
    <w:rsid w:val="008E27C1"/>
    <w:rsid w:val="008E2841"/>
    <w:rsid w:val="008E2871"/>
    <w:rsid w:val="008E2979"/>
    <w:rsid w:val="008E29B1"/>
    <w:rsid w:val="008E2AAB"/>
    <w:rsid w:val="008E2C2C"/>
    <w:rsid w:val="008E2C68"/>
    <w:rsid w:val="008E2E82"/>
    <w:rsid w:val="008E30BA"/>
    <w:rsid w:val="008E31B7"/>
    <w:rsid w:val="008E320F"/>
    <w:rsid w:val="008E3245"/>
    <w:rsid w:val="008E3284"/>
    <w:rsid w:val="008E328B"/>
    <w:rsid w:val="008E33CB"/>
    <w:rsid w:val="008E33E1"/>
    <w:rsid w:val="008E3410"/>
    <w:rsid w:val="008E3665"/>
    <w:rsid w:val="008E3668"/>
    <w:rsid w:val="008E36C4"/>
    <w:rsid w:val="008E3717"/>
    <w:rsid w:val="008E37DF"/>
    <w:rsid w:val="008E3885"/>
    <w:rsid w:val="008E3890"/>
    <w:rsid w:val="008E38B7"/>
    <w:rsid w:val="008E39D0"/>
    <w:rsid w:val="008E3A29"/>
    <w:rsid w:val="008E3B0C"/>
    <w:rsid w:val="008E3B45"/>
    <w:rsid w:val="008E3B66"/>
    <w:rsid w:val="008E3BE9"/>
    <w:rsid w:val="008E3D64"/>
    <w:rsid w:val="008E3D9B"/>
    <w:rsid w:val="008E3DB8"/>
    <w:rsid w:val="008E3FB3"/>
    <w:rsid w:val="008E404E"/>
    <w:rsid w:val="008E4062"/>
    <w:rsid w:val="008E4080"/>
    <w:rsid w:val="008E40DD"/>
    <w:rsid w:val="008E4129"/>
    <w:rsid w:val="008E412E"/>
    <w:rsid w:val="008E4131"/>
    <w:rsid w:val="008E4206"/>
    <w:rsid w:val="008E4269"/>
    <w:rsid w:val="008E4287"/>
    <w:rsid w:val="008E4317"/>
    <w:rsid w:val="008E447E"/>
    <w:rsid w:val="008E44CE"/>
    <w:rsid w:val="008E476F"/>
    <w:rsid w:val="008E47A8"/>
    <w:rsid w:val="008E486E"/>
    <w:rsid w:val="008E4A69"/>
    <w:rsid w:val="008E4A70"/>
    <w:rsid w:val="008E4A75"/>
    <w:rsid w:val="008E4AAB"/>
    <w:rsid w:val="008E4AB3"/>
    <w:rsid w:val="008E4AE0"/>
    <w:rsid w:val="008E4AF9"/>
    <w:rsid w:val="008E4BE3"/>
    <w:rsid w:val="008E4CAF"/>
    <w:rsid w:val="008E4CCB"/>
    <w:rsid w:val="008E4D38"/>
    <w:rsid w:val="008E4D7D"/>
    <w:rsid w:val="008E4E68"/>
    <w:rsid w:val="008E4E99"/>
    <w:rsid w:val="008E4EDC"/>
    <w:rsid w:val="008E4F68"/>
    <w:rsid w:val="008E4FBF"/>
    <w:rsid w:val="008E501F"/>
    <w:rsid w:val="008E5031"/>
    <w:rsid w:val="008E5056"/>
    <w:rsid w:val="008E50EB"/>
    <w:rsid w:val="008E514B"/>
    <w:rsid w:val="008E515C"/>
    <w:rsid w:val="008E51F4"/>
    <w:rsid w:val="008E521F"/>
    <w:rsid w:val="008E5262"/>
    <w:rsid w:val="008E5278"/>
    <w:rsid w:val="008E543B"/>
    <w:rsid w:val="008E545C"/>
    <w:rsid w:val="008E5548"/>
    <w:rsid w:val="008E554A"/>
    <w:rsid w:val="008E5587"/>
    <w:rsid w:val="008E55A5"/>
    <w:rsid w:val="008E5649"/>
    <w:rsid w:val="008E56DF"/>
    <w:rsid w:val="008E56E9"/>
    <w:rsid w:val="008E5721"/>
    <w:rsid w:val="008E572B"/>
    <w:rsid w:val="008E5742"/>
    <w:rsid w:val="008E578D"/>
    <w:rsid w:val="008E5838"/>
    <w:rsid w:val="008E58B2"/>
    <w:rsid w:val="008E58FB"/>
    <w:rsid w:val="008E598C"/>
    <w:rsid w:val="008E5991"/>
    <w:rsid w:val="008E5A53"/>
    <w:rsid w:val="008E5AE6"/>
    <w:rsid w:val="008E5B7C"/>
    <w:rsid w:val="008E5BFA"/>
    <w:rsid w:val="008E5C30"/>
    <w:rsid w:val="008E5CA8"/>
    <w:rsid w:val="008E5CFD"/>
    <w:rsid w:val="008E5D4F"/>
    <w:rsid w:val="008E5EEE"/>
    <w:rsid w:val="008E5F5B"/>
    <w:rsid w:val="008E5F74"/>
    <w:rsid w:val="008E5F91"/>
    <w:rsid w:val="008E6124"/>
    <w:rsid w:val="008E61DE"/>
    <w:rsid w:val="008E62AC"/>
    <w:rsid w:val="008E637F"/>
    <w:rsid w:val="008E642B"/>
    <w:rsid w:val="008E6455"/>
    <w:rsid w:val="008E645E"/>
    <w:rsid w:val="008E64A1"/>
    <w:rsid w:val="008E6537"/>
    <w:rsid w:val="008E654D"/>
    <w:rsid w:val="008E66F1"/>
    <w:rsid w:val="008E68B0"/>
    <w:rsid w:val="008E68DD"/>
    <w:rsid w:val="008E6904"/>
    <w:rsid w:val="008E695E"/>
    <w:rsid w:val="008E69D9"/>
    <w:rsid w:val="008E6DE7"/>
    <w:rsid w:val="008E70CC"/>
    <w:rsid w:val="008E7168"/>
    <w:rsid w:val="008E71FF"/>
    <w:rsid w:val="008E7214"/>
    <w:rsid w:val="008E725A"/>
    <w:rsid w:val="008E729C"/>
    <w:rsid w:val="008E72EC"/>
    <w:rsid w:val="008E7497"/>
    <w:rsid w:val="008E7563"/>
    <w:rsid w:val="008E76AE"/>
    <w:rsid w:val="008E7724"/>
    <w:rsid w:val="008E77B3"/>
    <w:rsid w:val="008E77DB"/>
    <w:rsid w:val="008E77E8"/>
    <w:rsid w:val="008E7845"/>
    <w:rsid w:val="008E797A"/>
    <w:rsid w:val="008E7A63"/>
    <w:rsid w:val="008E7AD2"/>
    <w:rsid w:val="008E7C16"/>
    <w:rsid w:val="008E7D52"/>
    <w:rsid w:val="008E7DDA"/>
    <w:rsid w:val="008E7F90"/>
    <w:rsid w:val="008F007B"/>
    <w:rsid w:val="008F00A3"/>
    <w:rsid w:val="008F01A7"/>
    <w:rsid w:val="008F01CD"/>
    <w:rsid w:val="008F0223"/>
    <w:rsid w:val="008F0256"/>
    <w:rsid w:val="008F02DF"/>
    <w:rsid w:val="008F02EB"/>
    <w:rsid w:val="008F0376"/>
    <w:rsid w:val="008F0388"/>
    <w:rsid w:val="008F0437"/>
    <w:rsid w:val="008F04E9"/>
    <w:rsid w:val="008F0557"/>
    <w:rsid w:val="008F055C"/>
    <w:rsid w:val="008F05FF"/>
    <w:rsid w:val="008F0628"/>
    <w:rsid w:val="008F06B9"/>
    <w:rsid w:val="008F07C5"/>
    <w:rsid w:val="008F084A"/>
    <w:rsid w:val="008F08B8"/>
    <w:rsid w:val="008F0914"/>
    <w:rsid w:val="008F0980"/>
    <w:rsid w:val="008F0B61"/>
    <w:rsid w:val="008F0B64"/>
    <w:rsid w:val="008F0C50"/>
    <w:rsid w:val="008F0CCF"/>
    <w:rsid w:val="008F0E59"/>
    <w:rsid w:val="008F0EB1"/>
    <w:rsid w:val="008F0F5E"/>
    <w:rsid w:val="008F0FCB"/>
    <w:rsid w:val="008F1473"/>
    <w:rsid w:val="008F14AE"/>
    <w:rsid w:val="008F1604"/>
    <w:rsid w:val="008F16D8"/>
    <w:rsid w:val="008F16F3"/>
    <w:rsid w:val="008F177F"/>
    <w:rsid w:val="008F17FE"/>
    <w:rsid w:val="008F18EB"/>
    <w:rsid w:val="008F18EC"/>
    <w:rsid w:val="008F1938"/>
    <w:rsid w:val="008F1970"/>
    <w:rsid w:val="008F1B2A"/>
    <w:rsid w:val="008F1B5D"/>
    <w:rsid w:val="008F1B60"/>
    <w:rsid w:val="008F1BCC"/>
    <w:rsid w:val="008F1C1B"/>
    <w:rsid w:val="008F1D32"/>
    <w:rsid w:val="008F1D57"/>
    <w:rsid w:val="008F1E6D"/>
    <w:rsid w:val="008F1E9D"/>
    <w:rsid w:val="008F1F4D"/>
    <w:rsid w:val="008F1F80"/>
    <w:rsid w:val="008F1FDA"/>
    <w:rsid w:val="008F205C"/>
    <w:rsid w:val="008F20D8"/>
    <w:rsid w:val="008F21ED"/>
    <w:rsid w:val="008F22C1"/>
    <w:rsid w:val="008F22E0"/>
    <w:rsid w:val="008F22F2"/>
    <w:rsid w:val="008F2338"/>
    <w:rsid w:val="008F2343"/>
    <w:rsid w:val="008F23D4"/>
    <w:rsid w:val="008F2437"/>
    <w:rsid w:val="008F24A4"/>
    <w:rsid w:val="008F2589"/>
    <w:rsid w:val="008F2594"/>
    <w:rsid w:val="008F2628"/>
    <w:rsid w:val="008F26C9"/>
    <w:rsid w:val="008F2706"/>
    <w:rsid w:val="008F278E"/>
    <w:rsid w:val="008F2928"/>
    <w:rsid w:val="008F293F"/>
    <w:rsid w:val="008F2986"/>
    <w:rsid w:val="008F2B07"/>
    <w:rsid w:val="008F2B0C"/>
    <w:rsid w:val="008F2B6B"/>
    <w:rsid w:val="008F2B76"/>
    <w:rsid w:val="008F2B7E"/>
    <w:rsid w:val="008F2B98"/>
    <w:rsid w:val="008F2C8F"/>
    <w:rsid w:val="008F2CD1"/>
    <w:rsid w:val="008F2CE0"/>
    <w:rsid w:val="008F2EA7"/>
    <w:rsid w:val="008F2EB4"/>
    <w:rsid w:val="008F2F07"/>
    <w:rsid w:val="008F2F60"/>
    <w:rsid w:val="008F2F91"/>
    <w:rsid w:val="008F2FA0"/>
    <w:rsid w:val="008F31EA"/>
    <w:rsid w:val="008F32FF"/>
    <w:rsid w:val="008F33D3"/>
    <w:rsid w:val="008F33FC"/>
    <w:rsid w:val="008F3481"/>
    <w:rsid w:val="008F34BE"/>
    <w:rsid w:val="008F35FB"/>
    <w:rsid w:val="008F3608"/>
    <w:rsid w:val="008F37E9"/>
    <w:rsid w:val="008F3869"/>
    <w:rsid w:val="008F38A5"/>
    <w:rsid w:val="008F39BA"/>
    <w:rsid w:val="008F3AC7"/>
    <w:rsid w:val="008F3ADE"/>
    <w:rsid w:val="008F3AF5"/>
    <w:rsid w:val="008F3AF8"/>
    <w:rsid w:val="008F3AFC"/>
    <w:rsid w:val="008F3BEF"/>
    <w:rsid w:val="008F3C26"/>
    <w:rsid w:val="008F3C5B"/>
    <w:rsid w:val="008F3C67"/>
    <w:rsid w:val="008F3C6E"/>
    <w:rsid w:val="008F3CF3"/>
    <w:rsid w:val="008F3FCA"/>
    <w:rsid w:val="008F406A"/>
    <w:rsid w:val="008F409D"/>
    <w:rsid w:val="008F411A"/>
    <w:rsid w:val="008F411F"/>
    <w:rsid w:val="008F41B8"/>
    <w:rsid w:val="008F43B0"/>
    <w:rsid w:val="008F43F0"/>
    <w:rsid w:val="008F4581"/>
    <w:rsid w:val="008F45B4"/>
    <w:rsid w:val="008F468E"/>
    <w:rsid w:val="008F477B"/>
    <w:rsid w:val="008F4892"/>
    <w:rsid w:val="008F48A2"/>
    <w:rsid w:val="008F49CA"/>
    <w:rsid w:val="008F49D6"/>
    <w:rsid w:val="008F4A32"/>
    <w:rsid w:val="008F4B4F"/>
    <w:rsid w:val="008F4C33"/>
    <w:rsid w:val="008F4CD3"/>
    <w:rsid w:val="008F4D35"/>
    <w:rsid w:val="008F4DBF"/>
    <w:rsid w:val="008F4E4D"/>
    <w:rsid w:val="008F503D"/>
    <w:rsid w:val="008F5054"/>
    <w:rsid w:val="008F512C"/>
    <w:rsid w:val="008F515A"/>
    <w:rsid w:val="008F51A1"/>
    <w:rsid w:val="008F52C1"/>
    <w:rsid w:val="008F52F4"/>
    <w:rsid w:val="008F54DF"/>
    <w:rsid w:val="008F5535"/>
    <w:rsid w:val="008F5570"/>
    <w:rsid w:val="008F5575"/>
    <w:rsid w:val="008F55D9"/>
    <w:rsid w:val="008F55E7"/>
    <w:rsid w:val="008F5605"/>
    <w:rsid w:val="008F5716"/>
    <w:rsid w:val="008F5732"/>
    <w:rsid w:val="008F5808"/>
    <w:rsid w:val="008F591E"/>
    <w:rsid w:val="008F5948"/>
    <w:rsid w:val="008F59DE"/>
    <w:rsid w:val="008F5A24"/>
    <w:rsid w:val="008F5B23"/>
    <w:rsid w:val="008F5B52"/>
    <w:rsid w:val="008F5B6C"/>
    <w:rsid w:val="008F5BFC"/>
    <w:rsid w:val="008F5C08"/>
    <w:rsid w:val="008F5C6F"/>
    <w:rsid w:val="008F5C88"/>
    <w:rsid w:val="008F5D07"/>
    <w:rsid w:val="008F5D4A"/>
    <w:rsid w:val="008F5D8E"/>
    <w:rsid w:val="008F5D9A"/>
    <w:rsid w:val="008F5DBF"/>
    <w:rsid w:val="008F5DCE"/>
    <w:rsid w:val="008F5EA5"/>
    <w:rsid w:val="008F5ECF"/>
    <w:rsid w:val="008F5F26"/>
    <w:rsid w:val="008F6091"/>
    <w:rsid w:val="008F60D3"/>
    <w:rsid w:val="008F629F"/>
    <w:rsid w:val="008F64E6"/>
    <w:rsid w:val="008F65AC"/>
    <w:rsid w:val="008F6818"/>
    <w:rsid w:val="008F6B46"/>
    <w:rsid w:val="008F6B5B"/>
    <w:rsid w:val="008F6BB6"/>
    <w:rsid w:val="008F6D23"/>
    <w:rsid w:val="008F6DA9"/>
    <w:rsid w:val="008F6FAF"/>
    <w:rsid w:val="008F7035"/>
    <w:rsid w:val="008F708E"/>
    <w:rsid w:val="008F71DD"/>
    <w:rsid w:val="008F740A"/>
    <w:rsid w:val="008F7430"/>
    <w:rsid w:val="008F7497"/>
    <w:rsid w:val="008F7714"/>
    <w:rsid w:val="008F772F"/>
    <w:rsid w:val="008F7774"/>
    <w:rsid w:val="008F781B"/>
    <w:rsid w:val="008F7833"/>
    <w:rsid w:val="008F78AE"/>
    <w:rsid w:val="008F7A02"/>
    <w:rsid w:val="008F7A09"/>
    <w:rsid w:val="008F7A42"/>
    <w:rsid w:val="008F7A84"/>
    <w:rsid w:val="008F7AB4"/>
    <w:rsid w:val="008F7AC6"/>
    <w:rsid w:val="008F7B15"/>
    <w:rsid w:val="008F7CC6"/>
    <w:rsid w:val="008F7E16"/>
    <w:rsid w:val="008F7E55"/>
    <w:rsid w:val="008F7F3C"/>
    <w:rsid w:val="008F7F8D"/>
    <w:rsid w:val="008F7FB0"/>
    <w:rsid w:val="008F7FBA"/>
    <w:rsid w:val="00900089"/>
    <w:rsid w:val="009001BE"/>
    <w:rsid w:val="0090023F"/>
    <w:rsid w:val="0090027D"/>
    <w:rsid w:val="009003A6"/>
    <w:rsid w:val="009003D5"/>
    <w:rsid w:val="009003E4"/>
    <w:rsid w:val="00900438"/>
    <w:rsid w:val="0090043B"/>
    <w:rsid w:val="00900452"/>
    <w:rsid w:val="009005F5"/>
    <w:rsid w:val="00900736"/>
    <w:rsid w:val="00900777"/>
    <w:rsid w:val="009007B6"/>
    <w:rsid w:val="009007C1"/>
    <w:rsid w:val="0090099F"/>
    <w:rsid w:val="00900A5D"/>
    <w:rsid w:val="00900B7F"/>
    <w:rsid w:val="00900CA6"/>
    <w:rsid w:val="00900E1C"/>
    <w:rsid w:val="00900E1D"/>
    <w:rsid w:val="00900EC5"/>
    <w:rsid w:val="00900F8F"/>
    <w:rsid w:val="00900FB4"/>
    <w:rsid w:val="00900FE4"/>
    <w:rsid w:val="00901039"/>
    <w:rsid w:val="009010E6"/>
    <w:rsid w:val="009010F3"/>
    <w:rsid w:val="00901127"/>
    <w:rsid w:val="00901224"/>
    <w:rsid w:val="0090126A"/>
    <w:rsid w:val="009012F5"/>
    <w:rsid w:val="009013E8"/>
    <w:rsid w:val="00901432"/>
    <w:rsid w:val="0090143D"/>
    <w:rsid w:val="009014BF"/>
    <w:rsid w:val="009014CC"/>
    <w:rsid w:val="00901506"/>
    <w:rsid w:val="0090166E"/>
    <w:rsid w:val="009016D3"/>
    <w:rsid w:val="00901982"/>
    <w:rsid w:val="00901A01"/>
    <w:rsid w:val="00901AA2"/>
    <w:rsid w:val="00901ACE"/>
    <w:rsid w:val="00901B24"/>
    <w:rsid w:val="00901B47"/>
    <w:rsid w:val="00901BBD"/>
    <w:rsid w:val="00901CE6"/>
    <w:rsid w:val="00901D1B"/>
    <w:rsid w:val="00901D3D"/>
    <w:rsid w:val="00901F9E"/>
    <w:rsid w:val="00902082"/>
    <w:rsid w:val="00902097"/>
    <w:rsid w:val="009022B2"/>
    <w:rsid w:val="009023D6"/>
    <w:rsid w:val="00902417"/>
    <w:rsid w:val="00902493"/>
    <w:rsid w:val="00902536"/>
    <w:rsid w:val="009025F0"/>
    <w:rsid w:val="009025F3"/>
    <w:rsid w:val="009026EC"/>
    <w:rsid w:val="00902895"/>
    <w:rsid w:val="009028B4"/>
    <w:rsid w:val="009028D1"/>
    <w:rsid w:val="009028F9"/>
    <w:rsid w:val="0090298D"/>
    <w:rsid w:val="009029AA"/>
    <w:rsid w:val="00902AC5"/>
    <w:rsid w:val="00902B4F"/>
    <w:rsid w:val="00902B9C"/>
    <w:rsid w:val="00902BD3"/>
    <w:rsid w:val="00902BFF"/>
    <w:rsid w:val="00902C32"/>
    <w:rsid w:val="00902C5E"/>
    <w:rsid w:val="00902CBE"/>
    <w:rsid w:val="00902CFA"/>
    <w:rsid w:val="00902F08"/>
    <w:rsid w:val="00902F97"/>
    <w:rsid w:val="0090300D"/>
    <w:rsid w:val="00903127"/>
    <w:rsid w:val="009032FE"/>
    <w:rsid w:val="009033B5"/>
    <w:rsid w:val="00903406"/>
    <w:rsid w:val="00903637"/>
    <w:rsid w:val="009036A0"/>
    <w:rsid w:val="009036AB"/>
    <w:rsid w:val="009036C7"/>
    <w:rsid w:val="009036FE"/>
    <w:rsid w:val="00903722"/>
    <w:rsid w:val="0090373A"/>
    <w:rsid w:val="009037EA"/>
    <w:rsid w:val="00903942"/>
    <w:rsid w:val="0090395D"/>
    <w:rsid w:val="0090396B"/>
    <w:rsid w:val="00903990"/>
    <w:rsid w:val="009039A6"/>
    <w:rsid w:val="00903AFD"/>
    <w:rsid w:val="00903B0C"/>
    <w:rsid w:val="00903B11"/>
    <w:rsid w:val="00903C5F"/>
    <w:rsid w:val="00903C96"/>
    <w:rsid w:val="00903E29"/>
    <w:rsid w:val="00903EBB"/>
    <w:rsid w:val="00903F5D"/>
    <w:rsid w:val="00904000"/>
    <w:rsid w:val="00904017"/>
    <w:rsid w:val="0090401D"/>
    <w:rsid w:val="009040A6"/>
    <w:rsid w:val="009040B6"/>
    <w:rsid w:val="00904145"/>
    <w:rsid w:val="0090419E"/>
    <w:rsid w:val="00904282"/>
    <w:rsid w:val="0090429E"/>
    <w:rsid w:val="0090449A"/>
    <w:rsid w:val="009044A5"/>
    <w:rsid w:val="00904586"/>
    <w:rsid w:val="0090476E"/>
    <w:rsid w:val="0090477F"/>
    <w:rsid w:val="0090485E"/>
    <w:rsid w:val="009048F1"/>
    <w:rsid w:val="00904935"/>
    <w:rsid w:val="009049C7"/>
    <w:rsid w:val="00904A08"/>
    <w:rsid w:val="00904B03"/>
    <w:rsid w:val="00904B7A"/>
    <w:rsid w:val="00904BB2"/>
    <w:rsid w:val="00904C19"/>
    <w:rsid w:val="00904C92"/>
    <w:rsid w:val="00904E10"/>
    <w:rsid w:val="00904F52"/>
    <w:rsid w:val="00905038"/>
    <w:rsid w:val="00905051"/>
    <w:rsid w:val="0090523C"/>
    <w:rsid w:val="009052E5"/>
    <w:rsid w:val="00905321"/>
    <w:rsid w:val="009053A2"/>
    <w:rsid w:val="009053AF"/>
    <w:rsid w:val="0090551D"/>
    <w:rsid w:val="0090552A"/>
    <w:rsid w:val="009055F1"/>
    <w:rsid w:val="00905616"/>
    <w:rsid w:val="00905690"/>
    <w:rsid w:val="00905707"/>
    <w:rsid w:val="00905738"/>
    <w:rsid w:val="00905845"/>
    <w:rsid w:val="009058D1"/>
    <w:rsid w:val="009059A5"/>
    <w:rsid w:val="00905B27"/>
    <w:rsid w:val="00905B5B"/>
    <w:rsid w:val="00905B5F"/>
    <w:rsid w:val="00905B73"/>
    <w:rsid w:val="00905C74"/>
    <w:rsid w:val="00905CF7"/>
    <w:rsid w:val="00905D04"/>
    <w:rsid w:val="00905D13"/>
    <w:rsid w:val="00905D91"/>
    <w:rsid w:val="00905E03"/>
    <w:rsid w:val="00905E7A"/>
    <w:rsid w:val="00905E84"/>
    <w:rsid w:val="00905EB0"/>
    <w:rsid w:val="00905F15"/>
    <w:rsid w:val="0090603A"/>
    <w:rsid w:val="009060F6"/>
    <w:rsid w:val="00906182"/>
    <w:rsid w:val="009061A2"/>
    <w:rsid w:val="0090623C"/>
    <w:rsid w:val="00906284"/>
    <w:rsid w:val="00906353"/>
    <w:rsid w:val="009063A7"/>
    <w:rsid w:val="009063D5"/>
    <w:rsid w:val="00906427"/>
    <w:rsid w:val="0090648A"/>
    <w:rsid w:val="00906594"/>
    <w:rsid w:val="009065A4"/>
    <w:rsid w:val="0090666B"/>
    <w:rsid w:val="00906690"/>
    <w:rsid w:val="00906763"/>
    <w:rsid w:val="00906780"/>
    <w:rsid w:val="009067D3"/>
    <w:rsid w:val="00906894"/>
    <w:rsid w:val="009068F8"/>
    <w:rsid w:val="009068FE"/>
    <w:rsid w:val="00906973"/>
    <w:rsid w:val="009069E4"/>
    <w:rsid w:val="00906A1A"/>
    <w:rsid w:val="00906BF1"/>
    <w:rsid w:val="00906C48"/>
    <w:rsid w:val="00906E55"/>
    <w:rsid w:val="00906EBD"/>
    <w:rsid w:val="00906EC8"/>
    <w:rsid w:val="00906FEB"/>
    <w:rsid w:val="0090707A"/>
    <w:rsid w:val="009071E9"/>
    <w:rsid w:val="009072BE"/>
    <w:rsid w:val="00907300"/>
    <w:rsid w:val="00907424"/>
    <w:rsid w:val="009074A7"/>
    <w:rsid w:val="009074FD"/>
    <w:rsid w:val="00907555"/>
    <w:rsid w:val="009076E8"/>
    <w:rsid w:val="00907715"/>
    <w:rsid w:val="009077B7"/>
    <w:rsid w:val="00907861"/>
    <w:rsid w:val="009078FB"/>
    <w:rsid w:val="009079EC"/>
    <w:rsid w:val="00907B12"/>
    <w:rsid w:val="00907BD0"/>
    <w:rsid w:val="00907BF9"/>
    <w:rsid w:val="00907D47"/>
    <w:rsid w:val="00907FB5"/>
    <w:rsid w:val="00907FC8"/>
    <w:rsid w:val="00907FEA"/>
    <w:rsid w:val="00910038"/>
    <w:rsid w:val="00910251"/>
    <w:rsid w:val="009102C9"/>
    <w:rsid w:val="00910368"/>
    <w:rsid w:val="009104D9"/>
    <w:rsid w:val="009105B8"/>
    <w:rsid w:val="0091073A"/>
    <w:rsid w:val="00910827"/>
    <w:rsid w:val="00910852"/>
    <w:rsid w:val="0091086E"/>
    <w:rsid w:val="00910981"/>
    <w:rsid w:val="00910B13"/>
    <w:rsid w:val="00910B4F"/>
    <w:rsid w:val="00910B70"/>
    <w:rsid w:val="00910BD9"/>
    <w:rsid w:val="00910CD2"/>
    <w:rsid w:val="00910D11"/>
    <w:rsid w:val="00910D14"/>
    <w:rsid w:val="00910D4B"/>
    <w:rsid w:val="00911026"/>
    <w:rsid w:val="00911082"/>
    <w:rsid w:val="00911117"/>
    <w:rsid w:val="00911118"/>
    <w:rsid w:val="009111C5"/>
    <w:rsid w:val="00911295"/>
    <w:rsid w:val="0091132E"/>
    <w:rsid w:val="00911349"/>
    <w:rsid w:val="00911398"/>
    <w:rsid w:val="009113B6"/>
    <w:rsid w:val="009113FD"/>
    <w:rsid w:val="00911638"/>
    <w:rsid w:val="00911667"/>
    <w:rsid w:val="00911688"/>
    <w:rsid w:val="0091168D"/>
    <w:rsid w:val="0091172B"/>
    <w:rsid w:val="00911904"/>
    <w:rsid w:val="00911972"/>
    <w:rsid w:val="009119DE"/>
    <w:rsid w:val="00911BE0"/>
    <w:rsid w:val="00911C5D"/>
    <w:rsid w:val="00911D1C"/>
    <w:rsid w:val="00911D4B"/>
    <w:rsid w:val="00911D4D"/>
    <w:rsid w:val="00911D61"/>
    <w:rsid w:val="00911D99"/>
    <w:rsid w:val="00911F45"/>
    <w:rsid w:val="00911F89"/>
    <w:rsid w:val="00911FD0"/>
    <w:rsid w:val="00912166"/>
    <w:rsid w:val="009121ED"/>
    <w:rsid w:val="00912230"/>
    <w:rsid w:val="0091225C"/>
    <w:rsid w:val="009123DA"/>
    <w:rsid w:val="009124A2"/>
    <w:rsid w:val="009124C5"/>
    <w:rsid w:val="00912584"/>
    <w:rsid w:val="009125F3"/>
    <w:rsid w:val="0091264C"/>
    <w:rsid w:val="00912686"/>
    <w:rsid w:val="009126B5"/>
    <w:rsid w:val="009126B9"/>
    <w:rsid w:val="0091277D"/>
    <w:rsid w:val="009127AA"/>
    <w:rsid w:val="009127FE"/>
    <w:rsid w:val="00912805"/>
    <w:rsid w:val="00912840"/>
    <w:rsid w:val="00912928"/>
    <w:rsid w:val="00912975"/>
    <w:rsid w:val="00912987"/>
    <w:rsid w:val="00912A63"/>
    <w:rsid w:val="00912AD0"/>
    <w:rsid w:val="00912BC2"/>
    <w:rsid w:val="00912D93"/>
    <w:rsid w:val="00912E6D"/>
    <w:rsid w:val="00912F7F"/>
    <w:rsid w:val="00912FFC"/>
    <w:rsid w:val="00913036"/>
    <w:rsid w:val="0091304E"/>
    <w:rsid w:val="0091306A"/>
    <w:rsid w:val="0091318A"/>
    <w:rsid w:val="009132B9"/>
    <w:rsid w:val="0091334C"/>
    <w:rsid w:val="009134A5"/>
    <w:rsid w:val="00913506"/>
    <w:rsid w:val="00913599"/>
    <w:rsid w:val="00913603"/>
    <w:rsid w:val="00913786"/>
    <w:rsid w:val="009137C1"/>
    <w:rsid w:val="00913911"/>
    <w:rsid w:val="00913996"/>
    <w:rsid w:val="00913BBC"/>
    <w:rsid w:val="00913C39"/>
    <w:rsid w:val="00913D35"/>
    <w:rsid w:val="00913D52"/>
    <w:rsid w:val="00913D76"/>
    <w:rsid w:val="00913D9F"/>
    <w:rsid w:val="00913E6C"/>
    <w:rsid w:val="00913E93"/>
    <w:rsid w:val="00913FAC"/>
    <w:rsid w:val="00914135"/>
    <w:rsid w:val="009141B3"/>
    <w:rsid w:val="009141E9"/>
    <w:rsid w:val="00914215"/>
    <w:rsid w:val="009143D8"/>
    <w:rsid w:val="009143F7"/>
    <w:rsid w:val="00914487"/>
    <w:rsid w:val="00914499"/>
    <w:rsid w:val="009144D6"/>
    <w:rsid w:val="0091464D"/>
    <w:rsid w:val="009146A7"/>
    <w:rsid w:val="0091485B"/>
    <w:rsid w:val="0091491D"/>
    <w:rsid w:val="009149DB"/>
    <w:rsid w:val="00914A66"/>
    <w:rsid w:val="00914AB2"/>
    <w:rsid w:val="00914B35"/>
    <w:rsid w:val="00914B88"/>
    <w:rsid w:val="00914B8A"/>
    <w:rsid w:val="00914BC4"/>
    <w:rsid w:val="00914D10"/>
    <w:rsid w:val="00914D63"/>
    <w:rsid w:val="00914D75"/>
    <w:rsid w:val="0091504B"/>
    <w:rsid w:val="00915205"/>
    <w:rsid w:val="00915243"/>
    <w:rsid w:val="009154F7"/>
    <w:rsid w:val="00915573"/>
    <w:rsid w:val="009155A0"/>
    <w:rsid w:val="00915679"/>
    <w:rsid w:val="00915699"/>
    <w:rsid w:val="00915779"/>
    <w:rsid w:val="009157F6"/>
    <w:rsid w:val="00915800"/>
    <w:rsid w:val="00915849"/>
    <w:rsid w:val="009158B4"/>
    <w:rsid w:val="00915913"/>
    <w:rsid w:val="00915969"/>
    <w:rsid w:val="00915976"/>
    <w:rsid w:val="00915986"/>
    <w:rsid w:val="009159B1"/>
    <w:rsid w:val="009159C5"/>
    <w:rsid w:val="009159FD"/>
    <w:rsid w:val="00915A1B"/>
    <w:rsid w:val="00915A79"/>
    <w:rsid w:val="00915AE3"/>
    <w:rsid w:val="00915DD2"/>
    <w:rsid w:val="00915EBB"/>
    <w:rsid w:val="00915EC6"/>
    <w:rsid w:val="00915EE7"/>
    <w:rsid w:val="00915F82"/>
    <w:rsid w:val="00915FDC"/>
    <w:rsid w:val="009160CB"/>
    <w:rsid w:val="009160CD"/>
    <w:rsid w:val="009161A7"/>
    <w:rsid w:val="009161E2"/>
    <w:rsid w:val="0091639A"/>
    <w:rsid w:val="009163CF"/>
    <w:rsid w:val="00916642"/>
    <w:rsid w:val="00916648"/>
    <w:rsid w:val="009166DA"/>
    <w:rsid w:val="0091684B"/>
    <w:rsid w:val="00916875"/>
    <w:rsid w:val="0091687E"/>
    <w:rsid w:val="009168C8"/>
    <w:rsid w:val="00916908"/>
    <w:rsid w:val="00916A1A"/>
    <w:rsid w:val="00916AC9"/>
    <w:rsid w:val="00916DCC"/>
    <w:rsid w:val="00916E36"/>
    <w:rsid w:val="00916EE4"/>
    <w:rsid w:val="00916F01"/>
    <w:rsid w:val="009170F7"/>
    <w:rsid w:val="00917119"/>
    <w:rsid w:val="00917168"/>
    <w:rsid w:val="0091718A"/>
    <w:rsid w:val="009172B3"/>
    <w:rsid w:val="00917373"/>
    <w:rsid w:val="009174D8"/>
    <w:rsid w:val="009174E4"/>
    <w:rsid w:val="00917680"/>
    <w:rsid w:val="0091769F"/>
    <w:rsid w:val="00917702"/>
    <w:rsid w:val="00917792"/>
    <w:rsid w:val="00917959"/>
    <w:rsid w:val="00917A23"/>
    <w:rsid w:val="00917A8F"/>
    <w:rsid w:val="00917ABF"/>
    <w:rsid w:val="00917AC5"/>
    <w:rsid w:val="00917AE5"/>
    <w:rsid w:val="00917B0A"/>
    <w:rsid w:val="00917C1E"/>
    <w:rsid w:val="00917CEB"/>
    <w:rsid w:val="00917E29"/>
    <w:rsid w:val="00917E30"/>
    <w:rsid w:val="00917E9C"/>
    <w:rsid w:val="00917F42"/>
    <w:rsid w:val="00917FF2"/>
    <w:rsid w:val="0092017D"/>
    <w:rsid w:val="009201FC"/>
    <w:rsid w:val="009203A3"/>
    <w:rsid w:val="009203F8"/>
    <w:rsid w:val="00920400"/>
    <w:rsid w:val="00920465"/>
    <w:rsid w:val="009204DE"/>
    <w:rsid w:val="009204FA"/>
    <w:rsid w:val="00920554"/>
    <w:rsid w:val="00920559"/>
    <w:rsid w:val="009205DD"/>
    <w:rsid w:val="00920635"/>
    <w:rsid w:val="00920719"/>
    <w:rsid w:val="0092072E"/>
    <w:rsid w:val="0092089A"/>
    <w:rsid w:val="00920971"/>
    <w:rsid w:val="009209B9"/>
    <w:rsid w:val="00920C24"/>
    <w:rsid w:val="00920C93"/>
    <w:rsid w:val="00920C9C"/>
    <w:rsid w:val="00920D0D"/>
    <w:rsid w:val="00920EE8"/>
    <w:rsid w:val="00920EFE"/>
    <w:rsid w:val="00920F46"/>
    <w:rsid w:val="00920F7F"/>
    <w:rsid w:val="009210A4"/>
    <w:rsid w:val="00921317"/>
    <w:rsid w:val="00921340"/>
    <w:rsid w:val="0092134F"/>
    <w:rsid w:val="0092139F"/>
    <w:rsid w:val="00921428"/>
    <w:rsid w:val="00921437"/>
    <w:rsid w:val="009215A7"/>
    <w:rsid w:val="009215EE"/>
    <w:rsid w:val="009216EA"/>
    <w:rsid w:val="00921729"/>
    <w:rsid w:val="009217D3"/>
    <w:rsid w:val="009218F4"/>
    <w:rsid w:val="00921925"/>
    <w:rsid w:val="009219F6"/>
    <w:rsid w:val="00921A79"/>
    <w:rsid w:val="00921B0B"/>
    <w:rsid w:val="00921BC8"/>
    <w:rsid w:val="00921C6A"/>
    <w:rsid w:val="00921CB1"/>
    <w:rsid w:val="00921D3B"/>
    <w:rsid w:val="00921E7D"/>
    <w:rsid w:val="00921E7E"/>
    <w:rsid w:val="00921EEB"/>
    <w:rsid w:val="00921EF8"/>
    <w:rsid w:val="00921F3B"/>
    <w:rsid w:val="0092202B"/>
    <w:rsid w:val="00922047"/>
    <w:rsid w:val="0092209C"/>
    <w:rsid w:val="00922219"/>
    <w:rsid w:val="0092223B"/>
    <w:rsid w:val="0092227D"/>
    <w:rsid w:val="00922379"/>
    <w:rsid w:val="0092251E"/>
    <w:rsid w:val="00922672"/>
    <w:rsid w:val="0092267A"/>
    <w:rsid w:val="00922684"/>
    <w:rsid w:val="009227C2"/>
    <w:rsid w:val="0092288B"/>
    <w:rsid w:val="009228E0"/>
    <w:rsid w:val="009229F8"/>
    <w:rsid w:val="00922A21"/>
    <w:rsid w:val="00922A49"/>
    <w:rsid w:val="00922AA7"/>
    <w:rsid w:val="00922AB1"/>
    <w:rsid w:val="00922B70"/>
    <w:rsid w:val="00922B72"/>
    <w:rsid w:val="00922C1D"/>
    <w:rsid w:val="00922D1D"/>
    <w:rsid w:val="00922D1F"/>
    <w:rsid w:val="00922D39"/>
    <w:rsid w:val="00922D63"/>
    <w:rsid w:val="00922DC9"/>
    <w:rsid w:val="00922DCA"/>
    <w:rsid w:val="00922DF9"/>
    <w:rsid w:val="00922F55"/>
    <w:rsid w:val="00922FCC"/>
    <w:rsid w:val="00922FE1"/>
    <w:rsid w:val="00923018"/>
    <w:rsid w:val="0092306C"/>
    <w:rsid w:val="009230AB"/>
    <w:rsid w:val="009230AF"/>
    <w:rsid w:val="0092316E"/>
    <w:rsid w:val="009231A2"/>
    <w:rsid w:val="0092330E"/>
    <w:rsid w:val="00923357"/>
    <w:rsid w:val="00923556"/>
    <w:rsid w:val="009235CF"/>
    <w:rsid w:val="009236DB"/>
    <w:rsid w:val="0092370D"/>
    <w:rsid w:val="00923807"/>
    <w:rsid w:val="00923828"/>
    <w:rsid w:val="0092389E"/>
    <w:rsid w:val="0092393E"/>
    <w:rsid w:val="00923951"/>
    <w:rsid w:val="00923A31"/>
    <w:rsid w:val="00923A73"/>
    <w:rsid w:val="00923BDE"/>
    <w:rsid w:val="00923BE4"/>
    <w:rsid w:val="00923BF4"/>
    <w:rsid w:val="00923CAA"/>
    <w:rsid w:val="00923D2B"/>
    <w:rsid w:val="00923D4C"/>
    <w:rsid w:val="00923DA3"/>
    <w:rsid w:val="00923DCC"/>
    <w:rsid w:val="00923E12"/>
    <w:rsid w:val="00923EB0"/>
    <w:rsid w:val="00923EFA"/>
    <w:rsid w:val="00923F3B"/>
    <w:rsid w:val="00923F52"/>
    <w:rsid w:val="009240EA"/>
    <w:rsid w:val="0092416D"/>
    <w:rsid w:val="00924275"/>
    <w:rsid w:val="009243B6"/>
    <w:rsid w:val="009243DB"/>
    <w:rsid w:val="00924466"/>
    <w:rsid w:val="009244E2"/>
    <w:rsid w:val="00924729"/>
    <w:rsid w:val="00924938"/>
    <w:rsid w:val="009249DF"/>
    <w:rsid w:val="00924A93"/>
    <w:rsid w:val="00924AD5"/>
    <w:rsid w:val="00924B91"/>
    <w:rsid w:val="00924BAC"/>
    <w:rsid w:val="00924C0F"/>
    <w:rsid w:val="00924C72"/>
    <w:rsid w:val="00924D0B"/>
    <w:rsid w:val="00924D8F"/>
    <w:rsid w:val="00924D94"/>
    <w:rsid w:val="00924DF3"/>
    <w:rsid w:val="00924E3F"/>
    <w:rsid w:val="00924F97"/>
    <w:rsid w:val="00924FF8"/>
    <w:rsid w:val="00925040"/>
    <w:rsid w:val="00925159"/>
    <w:rsid w:val="00925202"/>
    <w:rsid w:val="0092544C"/>
    <w:rsid w:val="0092556B"/>
    <w:rsid w:val="00925595"/>
    <w:rsid w:val="009255E0"/>
    <w:rsid w:val="00925601"/>
    <w:rsid w:val="0092565E"/>
    <w:rsid w:val="00925732"/>
    <w:rsid w:val="009258DE"/>
    <w:rsid w:val="009258EC"/>
    <w:rsid w:val="00925A37"/>
    <w:rsid w:val="00925AA0"/>
    <w:rsid w:val="00925DD1"/>
    <w:rsid w:val="00925E08"/>
    <w:rsid w:val="00925E83"/>
    <w:rsid w:val="00925F88"/>
    <w:rsid w:val="00925F9A"/>
    <w:rsid w:val="00925FD2"/>
    <w:rsid w:val="00925FE5"/>
    <w:rsid w:val="00926004"/>
    <w:rsid w:val="009260AF"/>
    <w:rsid w:val="009260EC"/>
    <w:rsid w:val="00926187"/>
    <w:rsid w:val="009261F0"/>
    <w:rsid w:val="00926218"/>
    <w:rsid w:val="00926295"/>
    <w:rsid w:val="009262C7"/>
    <w:rsid w:val="009262D0"/>
    <w:rsid w:val="0092639F"/>
    <w:rsid w:val="0092642C"/>
    <w:rsid w:val="00926568"/>
    <w:rsid w:val="009265D1"/>
    <w:rsid w:val="009265EF"/>
    <w:rsid w:val="0092662A"/>
    <w:rsid w:val="00926662"/>
    <w:rsid w:val="00926741"/>
    <w:rsid w:val="009267BB"/>
    <w:rsid w:val="009267C7"/>
    <w:rsid w:val="00926839"/>
    <w:rsid w:val="0092689E"/>
    <w:rsid w:val="009268E7"/>
    <w:rsid w:val="00926912"/>
    <w:rsid w:val="00926B2D"/>
    <w:rsid w:val="00926B8D"/>
    <w:rsid w:val="00926C50"/>
    <w:rsid w:val="00926CB4"/>
    <w:rsid w:val="00926CBD"/>
    <w:rsid w:val="00926DE0"/>
    <w:rsid w:val="00926DE2"/>
    <w:rsid w:val="00926E00"/>
    <w:rsid w:val="00926E3F"/>
    <w:rsid w:val="00926F8D"/>
    <w:rsid w:val="00927074"/>
    <w:rsid w:val="00927116"/>
    <w:rsid w:val="00927160"/>
    <w:rsid w:val="0092724B"/>
    <w:rsid w:val="0092734F"/>
    <w:rsid w:val="0092735B"/>
    <w:rsid w:val="00927451"/>
    <w:rsid w:val="009274D7"/>
    <w:rsid w:val="00927522"/>
    <w:rsid w:val="009275A7"/>
    <w:rsid w:val="00927638"/>
    <w:rsid w:val="0092769A"/>
    <w:rsid w:val="009276E3"/>
    <w:rsid w:val="0092779B"/>
    <w:rsid w:val="00927806"/>
    <w:rsid w:val="009278C3"/>
    <w:rsid w:val="009278CF"/>
    <w:rsid w:val="009278F0"/>
    <w:rsid w:val="00927904"/>
    <w:rsid w:val="009279D3"/>
    <w:rsid w:val="009279DA"/>
    <w:rsid w:val="00927AB3"/>
    <w:rsid w:val="00927B00"/>
    <w:rsid w:val="00927B11"/>
    <w:rsid w:val="00927C41"/>
    <w:rsid w:val="00927CCC"/>
    <w:rsid w:val="00927D95"/>
    <w:rsid w:val="00927DD5"/>
    <w:rsid w:val="00927EF0"/>
    <w:rsid w:val="00927F24"/>
    <w:rsid w:val="00927FE0"/>
    <w:rsid w:val="00930066"/>
    <w:rsid w:val="009301BB"/>
    <w:rsid w:val="009301CD"/>
    <w:rsid w:val="00930286"/>
    <w:rsid w:val="0093034F"/>
    <w:rsid w:val="0093036F"/>
    <w:rsid w:val="00930384"/>
    <w:rsid w:val="009303E5"/>
    <w:rsid w:val="009304D2"/>
    <w:rsid w:val="00930574"/>
    <w:rsid w:val="009305D9"/>
    <w:rsid w:val="0093087F"/>
    <w:rsid w:val="0093098E"/>
    <w:rsid w:val="009309B4"/>
    <w:rsid w:val="00930AA9"/>
    <w:rsid w:val="00930BF5"/>
    <w:rsid w:val="00930C60"/>
    <w:rsid w:val="00930CA4"/>
    <w:rsid w:val="0093100B"/>
    <w:rsid w:val="009310C8"/>
    <w:rsid w:val="00931121"/>
    <w:rsid w:val="0093114F"/>
    <w:rsid w:val="00931393"/>
    <w:rsid w:val="009313DF"/>
    <w:rsid w:val="0093165B"/>
    <w:rsid w:val="00931756"/>
    <w:rsid w:val="0093179F"/>
    <w:rsid w:val="00931826"/>
    <w:rsid w:val="0093186D"/>
    <w:rsid w:val="0093194A"/>
    <w:rsid w:val="00931ABB"/>
    <w:rsid w:val="00931AF3"/>
    <w:rsid w:val="00931B06"/>
    <w:rsid w:val="00931C02"/>
    <w:rsid w:val="00931C11"/>
    <w:rsid w:val="00931C7D"/>
    <w:rsid w:val="00931CEF"/>
    <w:rsid w:val="00931DC7"/>
    <w:rsid w:val="00931DF5"/>
    <w:rsid w:val="00931E2C"/>
    <w:rsid w:val="00931E46"/>
    <w:rsid w:val="00931ED7"/>
    <w:rsid w:val="00931FDB"/>
    <w:rsid w:val="009320EF"/>
    <w:rsid w:val="00932259"/>
    <w:rsid w:val="00932268"/>
    <w:rsid w:val="0093229E"/>
    <w:rsid w:val="009322DE"/>
    <w:rsid w:val="00932387"/>
    <w:rsid w:val="009323D7"/>
    <w:rsid w:val="009324C3"/>
    <w:rsid w:val="0093261D"/>
    <w:rsid w:val="0093266D"/>
    <w:rsid w:val="009326EE"/>
    <w:rsid w:val="00932717"/>
    <w:rsid w:val="0093272D"/>
    <w:rsid w:val="0093273A"/>
    <w:rsid w:val="009328E7"/>
    <w:rsid w:val="009329FD"/>
    <w:rsid w:val="00932A22"/>
    <w:rsid w:val="00932A9A"/>
    <w:rsid w:val="00932AF7"/>
    <w:rsid w:val="00932B5D"/>
    <w:rsid w:val="00932C84"/>
    <w:rsid w:val="00932D76"/>
    <w:rsid w:val="00932E6A"/>
    <w:rsid w:val="00932EFA"/>
    <w:rsid w:val="00932F4B"/>
    <w:rsid w:val="00932F4E"/>
    <w:rsid w:val="00932F81"/>
    <w:rsid w:val="00932F9F"/>
    <w:rsid w:val="00933068"/>
    <w:rsid w:val="009331E5"/>
    <w:rsid w:val="00933283"/>
    <w:rsid w:val="009334B1"/>
    <w:rsid w:val="009334B6"/>
    <w:rsid w:val="00933575"/>
    <w:rsid w:val="00933650"/>
    <w:rsid w:val="009336B0"/>
    <w:rsid w:val="00933705"/>
    <w:rsid w:val="00933795"/>
    <w:rsid w:val="009337A9"/>
    <w:rsid w:val="009337B8"/>
    <w:rsid w:val="009337C1"/>
    <w:rsid w:val="00933859"/>
    <w:rsid w:val="00933877"/>
    <w:rsid w:val="009338D0"/>
    <w:rsid w:val="009339B7"/>
    <w:rsid w:val="00933A80"/>
    <w:rsid w:val="00933A98"/>
    <w:rsid w:val="00933B3F"/>
    <w:rsid w:val="00933B4C"/>
    <w:rsid w:val="00933D82"/>
    <w:rsid w:val="00933E4C"/>
    <w:rsid w:val="00933EE8"/>
    <w:rsid w:val="00933F7B"/>
    <w:rsid w:val="00933FEF"/>
    <w:rsid w:val="00933FF9"/>
    <w:rsid w:val="00934035"/>
    <w:rsid w:val="00934155"/>
    <w:rsid w:val="009341C2"/>
    <w:rsid w:val="0093425D"/>
    <w:rsid w:val="009342DB"/>
    <w:rsid w:val="009344A7"/>
    <w:rsid w:val="009344B6"/>
    <w:rsid w:val="00934599"/>
    <w:rsid w:val="0093466A"/>
    <w:rsid w:val="009346E8"/>
    <w:rsid w:val="00934708"/>
    <w:rsid w:val="009348E2"/>
    <w:rsid w:val="009349C5"/>
    <w:rsid w:val="00934A1E"/>
    <w:rsid w:val="00934B66"/>
    <w:rsid w:val="00934C64"/>
    <w:rsid w:val="00934CA9"/>
    <w:rsid w:val="00934D14"/>
    <w:rsid w:val="00934E94"/>
    <w:rsid w:val="00934ED9"/>
    <w:rsid w:val="00934EDA"/>
    <w:rsid w:val="00934F67"/>
    <w:rsid w:val="00934F8C"/>
    <w:rsid w:val="0093521D"/>
    <w:rsid w:val="00935326"/>
    <w:rsid w:val="009355CB"/>
    <w:rsid w:val="009355F8"/>
    <w:rsid w:val="00935626"/>
    <w:rsid w:val="0093562A"/>
    <w:rsid w:val="00935682"/>
    <w:rsid w:val="00935732"/>
    <w:rsid w:val="00935899"/>
    <w:rsid w:val="009358F9"/>
    <w:rsid w:val="0093596A"/>
    <w:rsid w:val="009359AE"/>
    <w:rsid w:val="00935AF3"/>
    <w:rsid w:val="00935B77"/>
    <w:rsid w:val="00935C2A"/>
    <w:rsid w:val="00935DD7"/>
    <w:rsid w:val="00935FD8"/>
    <w:rsid w:val="00936010"/>
    <w:rsid w:val="00936013"/>
    <w:rsid w:val="00936100"/>
    <w:rsid w:val="009361F1"/>
    <w:rsid w:val="0093625F"/>
    <w:rsid w:val="00936300"/>
    <w:rsid w:val="00936504"/>
    <w:rsid w:val="0093664F"/>
    <w:rsid w:val="00936652"/>
    <w:rsid w:val="0093667E"/>
    <w:rsid w:val="009367D4"/>
    <w:rsid w:val="00936815"/>
    <w:rsid w:val="009368A7"/>
    <w:rsid w:val="0093690E"/>
    <w:rsid w:val="00936A63"/>
    <w:rsid w:val="00936A67"/>
    <w:rsid w:val="00936AA0"/>
    <w:rsid w:val="00936AE7"/>
    <w:rsid w:val="00936B10"/>
    <w:rsid w:val="00936B5F"/>
    <w:rsid w:val="00936B86"/>
    <w:rsid w:val="00936BBF"/>
    <w:rsid w:val="00936BFC"/>
    <w:rsid w:val="00936CCA"/>
    <w:rsid w:val="00936D1B"/>
    <w:rsid w:val="00936DDE"/>
    <w:rsid w:val="00936E8B"/>
    <w:rsid w:val="0093704C"/>
    <w:rsid w:val="009370FD"/>
    <w:rsid w:val="0093716F"/>
    <w:rsid w:val="009372A6"/>
    <w:rsid w:val="009372E4"/>
    <w:rsid w:val="00937383"/>
    <w:rsid w:val="009373B6"/>
    <w:rsid w:val="009373F7"/>
    <w:rsid w:val="009374A6"/>
    <w:rsid w:val="00937532"/>
    <w:rsid w:val="0093763E"/>
    <w:rsid w:val="0093768E"/>
    <w:rsid w:val="00937722"/>
    <w:rsid w:val="00937964"/>
    <w:rsid w:val="0093796E"/>
    <w:rsid w:val="009379FD"/>
    <w:rsid w:val="00937A65"/>
    <w:rsid w:val="00937B25"/>
    <w:rsid w:val="00937CD1"/>
    <w:rsid w:val="00937CE8"/>
    <w:rsid w:val="00937D39"/>
    <w:rsid w:val="00937D41"/>
    <w:rsid w:val="00937D65"/>
    <w:rsid w:val="00937DF5"/>
    <w:rsid w:val="00937F92"/>
    <w:rsid w:val="00937FC5"/>
    <w:rsid w:val="00937FE2"/>
    <w:rsid w:val="00940011"/>
    <w:rsid w:val="00940016"/>
    <w:rsid w:val="0094009D"/>
    <w:rsid w:val="009400A3"/>
    <w:rsid w:val="00940133"/>
    <w:rsid w:val="00940234"/>
    <w:rsid w:val="00940284"/>
    <w:rsid w:val="00940339"/>
    <w:rsid w:val="00940382"/>
    <w:rsid w:val="00940458"/>
    <w:rsid w:val="0094048F"/>
    <w:rsid w:val="009405B0"/>
    <w:rsid w:val="009406C3"/>
    <w:rsid w:val="009406F4"/>
    <w:rsid w:val="0094073F"/>
    <w:rsid w:val="0094077B"/>
    <w:rsid w:val="00940860"/>
    <w:rsid w:val="0094087C"/>
    <w:rsid w:val="00940888"/>
    <w:rsid w:val="009408A0"/>
    <w:rsid w:val="009408A1"/>
    <w:rsid w:val="00940931"/>
    <w:rsid w:val="00940A05"/>
    <w:rsid w:val="00940AFB"/>
    <w:rsid w:val="00940B04"/>
    <w:rsid w:val="00940B5B"/>
    <w:rsid w:val="00940B5D"/>
    <w:rsid w:val="00940B76"/>
    <w:rsid w:val="00940CEB"/>
    <w:rsid w:val="00940D33"/>
    <w:rsid w:val="00940DC7"/>
    <w:rsid w:val="00940EB4"/>
    <w:rsid w:val="00940EF8"/>
    <w:rsid w:val="00940EFC"/>
    <w:rsid w:val="00940FAE"/>
    <w:rsid w:val="00940FF9"/>
    <w:rsid w:val="00940FFC"/>
    <w:rsid w:val="0094109C"/>
    <w:rsid w:val="0094126B"/>
    <w:rsid w:val="0094127A"/>
    <w:rsid w:val="009412A9"/>
    <w:rsid w:val="00941388"/>
    <w:rsid w:val="009414A3"/>
    <w:rsid w:val="009414AE"/>
    <w:rsid w:val="009414F0"/>
    <w:rsid w:val="0094153C"/>
    <w:rsid w:val="009415B2"/>
    <w:rsid w:val="00941618"/>
    <w:rsid w:val="00941641"/>
    <w:rsid w:val="009416AB"/>
    <w:rsid w:val="009418C3"/>
    <w:rsid w:val="009419ED"/>
    <w:rsid w:val="00941A17"/>
    <w:rsid w:val="00941A64"/>
    <w:rsid w:val="00941AD1"/>
    <w:rsid w:val="00941B8A"/>
    <w:rsid w:val="00941C0B"/>
    <w:rsid w:val="00941C77"/>
    <w:rsid w:val="00941CB2"/>
    <w:rsid w:val="00941CB6"/>
    <w:rsid w:val="00941D48"/>
    <w:rsid w:val="00941EE9"/>
    <w:rsid w:val="00941F34"/>
    <w:rsid w:val="00941F45"/>
    <w:rsid w:val="00941F7D"/>
    <w:rsid w:val="0094207E"/>
    <w:rsid w:val="00942085"/>
    <w:rsid w:val="0094220C"/>
    <w:rsid w:val="00942298"/>
    <w:rsid w:val="00942317"/>
    <w:rsid w:val="0094232B"/>
    <w:rsid w:val="009423D7"/>
    <w:rsid w:val="00942544"/>
    <w:rsid w:val="009425FE"/>
    <w:rsid w:val="00942619"/>
    <w:rsid w:val="00942620"/>
    <w:rsid w:val="00942691"/>
    <w:rsid w:val="009426D3"/>
    <w:rsid w:val="009426D7"/>
    <w:rsid w:val="009426EE"/>
    <w:rsid w:val="00942741"/>
    <w:rsid w:val="0094274C"/>
    <w:rsid w:val="009427DA"/>
    <w:rsid w:val="0094299C"/>
    <w:rsid w:val="00942B0B"/>
    <w:rsid w:val="00942B0D"/>
    <w:rsid w:val="00942C99"/>
    <w:rsid w:val="00942C9C"/>
    <w:rsid w:val="00942D1A"/>
    <w:rsid w:val="00942D66"/>
    <w:rsid w:val="00942F30"/>
    <w:rsid w:val="00942FAD"/>
    <w:rsid w:val="00943017"/>
    <w:rsid w:val="00943018"/>
    <w:rsid w:val="00943027"/>
    <w:rsid w:val="00943136"/>
    <w:rsid w:val="00943138"/>
    <w:rsid w:val="009431CD"/>
    <w:rsid w:val="00943276"/>
    <w:rsid w:val="00943325"/>
    <w:rsid w:val="00943428"/>
    <w:rsid w:val="009434DC"/>
    <w:rsid w:val="00943670"/>
    <w:rsid w:val="009436B3"/>
    <w:rsid w:val="009438D7"/>
    <w:rsid w:val="00943915"/>
    <w:rsid w:val="00943973"/>
    <w:rsid w:val="00943A90"/>
    <w:rsid w:val="00943B34"/>
    <w:rsid w:val="00943BA8"/>
    <w:rsid w:val="00943C06"/>
    <w:rsid w:val="00943C27"/>
    <w:rsid w:val="00943C56"/>
    <w:rsid w:val="00943C87"/>
    <w:rsid w:val="00943C8E"/>
    <w:rsid w:val="00943CE6"/>
    <w:rsid w:val="00943D58"/>
    <w:rsid w:val="00943DB4"/>
    <w:rsid w:val="00943DC3"/>
    <w:rsid w:val="00943E03"/>
    <w:rsid w:val="00943E13"/>
    <w:rsid w:val="00943E8A"/>
    <w:rsid w:val="00943EF7"/>
    <w:rsid w:val="00943F27"/>
    <w:rsid w:val="00943F79"/>
    <w:rsid w:val="00943FE2"/>
    <w:rsid w:val="009440EB"/>
    <w:rsid w:val="00944185"/>
    <w:rsid w:val="009441C9"/>
    <w:rsid w:val="009441CE"/>
    <w:rsid w:val="0094430B"/>
    <w:rsid w:val="00944314"/>
    <w:rsid w:val="0094436B"/>
    <w:rsid w:val="009443DF"/>
    <w:rsid w:val="00944407"/>
    <w:rsid w:val="0094441F"/>
    <w:rsid w:val="00944462"/>
    <w:rsid w:val="009444A1"/>
    <w:rsid w:val="009446F5"/>
    <w:rsid w:val="0094471D"/>
    <w:rsid w:val="0094480D"/>
    <w:rsid w:val="00944911"/>
    <w:rsid w:val="00944918"/>
    <w:rsid w:val="00944919"/>
    <w:rsid w:val="00944980"/>
    <w:rsid w:val="009449BE"/>
    <w:rsid w:val="00944B0C"/>
    <w:rsid w:val="00944B0D"/>
    <w:rsid w:val="00944B81"/>
    <w:rsid w:val="00944BCD"/>
    <w:rsid w:val="00944C19"/>
    <w:rsid w:val="00944D8C"/>
    <w:rsid w:val="00944DC1"/>
    <w:rsid w:val="00944DC4"/>
    <w:rsid w:val="00944E32"/>
    <w:rsid w:val="00944E5F"/>
    <w:rsid w:val="00944EE4"/>
    <w:rsid w:val="00944F52"/>
    <w:rsid w:val="00944F5E"/>
    <w:rsid w:val="00945010"/>
    <w:rsid w:val="009450BF"/>
    <w:rsid w:val="009450FF"/>
    <w:rsid w:val="00945105"/>
    <w:rsid w:val="009451B2"/>
    <w:rsid w:val="009452F1"/>
    <w:rsid w:val="00945385"/>
    <w:rsid w:val="00945613"/>
    <w:rsid w:val="00945678"/>
    <w:rsid w:val="009457B2"/>
    <w:rsid w:val="009457DF"/>
    <w:rsid w:val="009457FE"/>
    <w:rsid w:val="00945933"/>
    <w:rsid w:val="00945940"/>
    <w:rsid w:val="00945941"/>
    <w:rsid w:val="0094594E"/>
    <w:rsid w:val="00945A46"/>
    <w:rsid w:val="00945B0D"/>
    <w:rsid w:val="00945B79"/>
    <w:rsid w:val="00945CAC"/>
    <w:rsid w:val="00945DD2"/>
    <w:rsid w:val="00945E52"/>
    <w:rsid w:val="00945E66"/>
    <w:rsid w:val="00945E86"/>
    <w:rsid w:val="00945EE7"/>
    <w:rsid w:val="00945F10"/>
    <w:rsid w:val="00945F78"/>
    <w:rsid w:val="009460D8"/>
    <w:rsid w:val="00946165"/>
    <w:rsid w:val="0094618B"/>
    <w:rsid w:val="009461A5"/>
    <w:rsid w:val="0094626C"/>
    <w:rsid w:val="00946477"/>
    <w:rsid w:val="009464B6"/>
    <w:rsid w:val="0094654F"/>
    <w:rsid w:val="009465A0"/>
    <w:rsid w:val="009465FE"/>
    <w:rsid w:val="00946692"/>
    <w:rsid w:val="009466B5"/>
    <w:rsid w:val="009466D7"/>
    <w:rsid w:val="0094677D"/>
    <w:rsid w:val="00946A25"/>
    <w:rsid w:val="00946A57"/>
    <w:rsid w:val="00946BF3"/>
    <w:rsid w:val="00946C96"/>
    <w:rsid w:val="00946CF9"/>
    <w:rsid w:val="00946D5D"/>
    <w:rsid w:val="00946DC2"/>
    <w:rsid w:val="00946DFE"/>
    <w:rsid w:val="00946EA7"/>
    <w:rsid w:val="00946EC4"/>
    <w:rsid w:val="00946F3D"/>
    <w:rsid w:val="00946F5E"/>
    <w:rsid w:val="00947033"/>
    <w:rsid w:val="00947039"/>
    <w:rsid w:val="0094705B"/>
    <w:rsid w:val="0094714B"/>
    <w:rsid w:val="0094722C"/>
    <w:rsid w:val="0094723D"/>
    <w:rsid w:val="0094730A"/>
    <w:rsid w:val="0094730E"/>
    <w:rsid w:val="00947376"/>
    <w:rsid w:val="009473C7"/>
    <w:rsid w:val="009473EE"/>
    <w:rsid w:val="0094741B"/>
    <w:rsid w:val="00947486"/>
    <w:rsid w:val="009474C5"/>
    <w:rsid w:val="009475B8"/>
    <w:rsid w:val="009475C3"/>
    <w:rsid w:val="00947622"/>
    <w:rsid w:val="0094762E"/>
    <w:rsid w:val="00947742"/>
    <w:rsid w:val="00947775"/>
    <w:rsid w:val="009477A2"/>
    <w:rsid w:val="009477D2"/>
    <w:rsid w:val="00947801"/>
    <w:rsid w:val="00947919"/>
    <w:rsid w:val="009479A3"/>
    <w:rsid w:val="009479B1"/>
    <w:rsid w:val="00947B4D"/>
    <w:rsid w:val="00947C43"/>
    <w:rsid w:val="00947C4F"/>
    <w:rsid w:val="00947C52"/>
    <w:rsid w:val="00947E84"/>
    <w:rsid w:val="00947EBF"/>
    <w:rsid w:val="00947F49"/>
    <w:rsid w:val="00947F87"/>
    <w:rsid w:val="00950012"/>
    <w:rsid w:val="0095003A"/>
    <w:rsid w:val="009500A0"/>
    <w:rsid w:val="0095027B"/>
    <w:rsid w:val="009502AA"/>
    <w:rsid w:val="00950317"/>
    <w:rsid w:val="00950430"/>
    <w:rsid w:val="00950473"/>
    <w:rsid w:val="0095047B"/>
    <w:rsid w:val="00950499"/>
    <w:rsid w:val="00950513"/>
    <w:rsid w:val="00950560"/>
    <w:rsid w:val="0095056A"/>
    <w:rsid w:val="00950579"/>
    <w:rsid w:val="009505C4"/>
    <w:rsid w:val="0095076D"/>
    <w:rsid w:val="00950836"/>
    <w:rsid w:val="0095084A"/>
    <w:rsid w:val="0095091A"/>
    <w:rsid w:val="00950982"/>
    <w:rsid w:val="009509D2"/>
    <w:rsid w:val="00950A5F"/>
    <w:rsid w:val="00950AB6"/>
    <w:rsid w:val="00950B62"/>
    <w:rsid w:val="00950BFE"/>
    <w:rsid w:val="00950F2A"/>
    <w:rsid w:val="00950F56"/>
    <w:rsid w:val="00951062"/>
    <w:rsid w:val="009510FA"/>
    <w:rsid w:val="009511B0"/>
    <w:rsid w:val="009512E0"/>
    <w:rsid w:val="0095131D"/>
    <w:rsid w:val="0095139C"/>
    <w:rsid w:val="00951445"/>
    <w:rsid w:val="00951454"/>
    <w:rsid w:val="0095146D"/>
    <w:rsid w:val="009515FE"/>
    <w:rsid w:val="00951627"/>
    <w:rsid w:val="00951715"/>
    <w:rsid w:val="0095181F"/>
    <w:rsid w:val="00951876"/>
    <w:rsid w:val="0095188B"/>
    <w:rsid w:val="00951956"/>
    <w:rsid w:val="0095199F"/>
    <w:rsid w:val="009519A6"/>
    <w:rsid w:val="009519C6"/>
    <w:rsid w:val="00951A76"/>
    <w:rsid w:val="00951A9D"/>
    <w:rsid w:val="00951B1B"/>
    <w:rsid w:val="00951C0E"/>
    <w:rsid w:val="00951CB7"/>
    <w:rsid w:val="00951CFA"/>
    <w:rsid w:val="00951E5D"/>
    <w:rsid w:val="0095200F"/>
    <w:rsid w:val="00952068"/>
    <w:rsid w:val="00952088"/>
    <w:rsid w:val="00952094"/>
    <w:rsid w:val="0095211B"/>
    <w:rsid w:val="009521BF"/>
    <w:rsid w:val="0095224B"/>
    <w:rsid w:val="00952314"/>
    <w:rsid w:val="00952348"/>
    <w:rsid w:val="0095238D"/>
    <w:rsid w:val="009523A2"/>
    <w:rsid w:val="00952514"/>
    <w:rsid w:val="00952628"/>
    <w:rsid w:val="009526CB"/>
    <w:rsid w:val="00952860"/>
    <w:rsid w:val="0095287C"/>
    <w:rsid w:val="009528C2"/>
    <w:rsid w:val="009528D8"/>
    <w:rsid w:val="0095290D"/>
    <w:rsid w:val="00952A79"/>
    <w:rsid w:val="00952A84"/>
    <w:rsid w:val="00952B40"/>
    <w:rsid w:val="00952BBB"/>
    <w:rsid w:val="00952BC2"/>
    <w:rsid w:val="00952CC6"/>
    <w:rsid w:val="00952D21"/>
    <w:rsid w:val="00952EE1"/>
    <w:rsid w:val="00952FD5"/>
    <w:rsid w:val="00953204"/>
    <w:rsid w:val="009532D5"/>
    <w:rsid w:val="0095331D"/>
    <w:rsid w:val="009534D9"/>
    <w:rsid w:val="0095357A"/>
    <w:rsid w:val="0095363C"/>
    <w:rsid w:val="00953754"/>
    <w:rsid w:val="00953914"/>
    <w:rsid w:val="0095391D"/>
    <w:rsid w:val="00953921"/>
    <w:rsid w:val="0095395D"/>
    <w:rsid w:val="00953990"/>
    <w:rsid w:val="00953A8C"/>
    <w:rsid w:val="00953BA4"/>
    <w:rsid w:val="00953C5B"/>
    <w:rsid w:val="00953DF7"/>
    <w:rsid w:val="00953E0F"/>
    <w:rsid w:val="00953EB8"/>
    <w:rsid w:val="00953F2B"/>
    <w:rsid w:val="00953FDB"/>
    <w:rsid w:val="0095416C"/>
    <w:rsid w:val="0095417F"/>
    <w:rsid w:val="0095419A"/>
    <w:rsid w:val="00954214"/>
    <w:rsid w:val="0095426B"/>
    <w:rsid w:val="009542AC"/>
    <w:rsid w:val="00954440"/>
    <w:rsid w:val="0095447A"/>
    <w:rsid w:val="00954556"/>
    <w:rsid w:val="00954570"/>
    <w:rsid w:val="00954628"/>
    <w:rsid w:val="00954631"/>
    <w:rsid w:val="009547BA"/>
    <w:rsid w:val="00954826"/>
    <w:rsid w:val="00954873"/>
    <w:rsid w:val="009549B7"/>
    <w:rsid w:val="009549FA"/>
    <w:rsid w:val="00954A08"/>
    <w:rsid w:val="00954A4A"/>
    <w:rsid w:val="00954B5C"/>
    <w:rsid w:val="00954D91"/>
    <w:rsid w:val="00954E29"/>
    <w:rsid w:val="00954E3D"/>
    <w:rsid w:val="00954E66"/>
    <w:rsid w:val="00954EE5"/>
    <w:rsid w:val="00954F2F"/>
    <w:rsid w:val="00954FC3"/>
    <w:rsid w:val="0095502B"/>
    <w:rsid w:val="0095504C"/>
    <w:rsid w:val="009550AC"/>
    <w:rsid w:val="009551FB"/>
    <w:rsid w:val="00955248"/>
    <w:rsid w:val="009552AC"/>
    <w:rsid w:val="009552D4"/>
    <w:rsid w:val="00955424"/>
    <w:rsid w:val="00955624"/>
    <w:rsid w:val="00955684"/>
    <w:rsid w:val="0095575A"/>
    <w:rsid w:val="009557E7"/>
    <w:rsid w:val="00955823"/>
    <w:rsid w:val="0095588A"/>
    <w:rsid w:val="00955952"/>
    <w:rsid w:val="009559B7"/>
    <w:rsid w:val="009559F5"/>
    <w:rsid w:val="009559F7"/>
    <w:rsid w:val="00955B80"/>
    <w:rsid w:val="00955B9F"/>
    <w:rsid w:val="00955C4C"/>
    <w:rsid w:val="00955CAF"/>
    <w:rsid w:val="00955CB3"/>
    <w:rsid w:val="00955D20"/>
    <w:rsid w:val="00955DDA"/>
    <w:rsid w:val="00955E1E"/>
    <w:rsid w:val="00955E28"/>
    <w:rsid w:val="00955E54"/>
    <w:rsid w:val="00955FFC"/>
    <w:rsid w:val="00956065"/>
    <w:rsid w:val="00956087"/>
    <w:rsid w:val="009560CF"/>
    <w:rsid w:val="009561F3"/>
    <w:rsid w:val="009562F8"/>
    <w:rsid w:val="009563C1"/>
    <w:rsid w:val="0095646F"/>
    <w:rsid w:val="00956476"/>
    <w:rsid w:val="00956484"/>
    <w:rsid w:val="00956488"/>
    <w:rsid w:val="009564CB"/>
    <w:rsid w:val="009566EE"/>
    <w:rsid w:val="009567CB"/>
    <w:rsid w:val="009567F5"/>
    <w:rsid w:val="009568EE"/>
    <w:rsid w:val="00956906"/>
    <w:rsid w:val="009569FA"/>
    <w:rsid w:val="00956A34"/>
    <w:rsid w:val="00956AE2"/>
    <w:rsid w:val="00956CC6"/>
    <w:rsid w:val="00956CD4"/>
    <w:rsid w:val="00956E43"/>
    <w:rsid w:val="00956F72"/>
    <w:rsid w:val="009570DF"/>
    <w:rsid w:val="00957180"/>
    <w:rsid w:val="00957225"/>
    <w:rsid w:val="009572A9"/>
    <w:rsid w:val="00957491"/>
    <w:rsid w:val="009574BC"/>
    <w:rsid w:val="009574D9"/>
    <w:rsid w:val="009575EC"/>
    <w:rsid w:val="00957634"/>
    <w:rsid w:val="0095764B"/>
    <w:rsid w:val="0095765E"/>
    <w:rsid w:val="00957670"/>
    <w:rsid w:val="00957906"/>
    <w:rsid w:val="0095792B"/>
    <w:rsid w:val="00957A23"/>
    <w:rsid w:val="00957A2C"/>
    <w:rsid w:val="00957ACD"/>
    <w:rsid w:val="00957B5B"/>
    <w:rsid w:val="00957B75"/>
    <w:rsid w:val="00957BD5"/>
    <w:rsid w:val="00957C43"/>
    <w:rsid w:val="00957CA4"/>
    <w:rsid w:val="00957D19"/>
    <w:rsid w:val="00957F2A"/>
    <w:rsid w:val="00957F49"/>
    <w:rsid w:val="00957F5E"/>
    <w:rsid w:val="00960042"/>
    <w:rsid w:val="009600E4"/>
    <w:rsid w:val="00960192"/>
    <w:rsid w:val="009601C6"/>
    <w:rsid w:val="00960211"/>
    <w:rsid w:val="00960345"/>
    <w:rsid w:val="00960396"/>
    <w:rsid w:val="009603A4"/>
    <w:rsid w:val="009603AB"/>
    <w:rsid w:val="009603DD"/>
    <w:rsid w:val="009603FD"/>
    <w:rsid w:val="0096040F"/>
    <w:rsid w:val="0096049B"/>
    <w:rsid w:val="00960545"/>
    <w:rsid w:val="0096054C"/>
    <w:rsid w:val="00960597"/>
    <w:rsid w:val="0096060E"/>
    <w:rsid w:val="009606D6"/>
    <w:rsid w:val="00960746"/>
    <w:rsid w:val="00960925"/>
    <w:rsid w:val="009609A6"/>
    <w:rsid w:val="009609B6"/>
    <w:rsid w:val="00960AEA"/>
    <w:rsid w:val="00960B7B"/>
    <w:rsid w:val="00960BB9"/>
    <w:rsid w:val="00960BBB"/>
    <w:rsid w:val="00960C6E"/>
    <w:rsid w:val="00960D0C"/>
    <w:rsid w:val="00960D8E"/>
    <w:rsid w:val="00960E5F"/>
    <w:rsid w:val="00960EB6"/>
    <w:rsid w:val="00960F31"/>
    <w:rsid w:val="00960FAB"/>
    <w:rsid w:val="00960FB2"/>
    <w:rsid w:val="009610A3"/>
    <w:rsid w:val="009610A9"/>
    <w:rsid w:val="0096116A"/>
    <w:rsid w:val="009611FA"/>
    <w:rsid w:val="00961273"/>
    <w:rsid w:val="009612CD"/>
    <w:rsid w:val="00961321"/>
    <w:rsid w:val="00961382"/>
    <w:rsid w:val="00961400"/>
    <w:rsid w:val="0096141F"/>
    <w:rsid w:val="00961434"/>
    <w:rsid w:val="009614FE"/>
    <w:rsid w:val="009615F9"/>
    <w:rsid w:val="00961648"/>
    <w:rsid w:val="00961790"/>
    <w:rsid w:val="009617B8"/>
    <w:rsid w:val="009617C3"/>
    <w:rsid w:val="009617CC"/>
    <w:rsid w:val="009618C5"/>
    <w:rsid w:val="009618E0"/>
    <w:rsid w:val="00961A0E"/>
    <w:rsid w:val="00961B64"/>
    <w:rsid w:val="00961B68"/>
    <w:rsid w:val="00961C03"/>
    <w:rsid w:val="00961C9E"/>
    <w:rsid w:val="00961D13"/>
    <w:rsid w:val="00961E43"/>
    <w:rsid w:val="00961EEE"/>
    <w:rsid w:val="00961EFD"/>
    <w:rsid w:val="00961F85"/>
    <w:rsid w:val="00961FBD"/>
    <w:rsid w:val="00962043"/>
    <w:rsid w:val="00962064"/>
    <w:rsid w:val="009620E4"/>
    <w:rsid w:val="009621A7"/>
    <w:rsid w:val="009621ED"/>
    <w:rsid w:val="00962244"/>
    <w:rsid w:val="009622B3"/>
    <w:rsid w:val="009623C3"/>
    <w:rsid w:val="009623E2"/>
    <w:rsid w:val="009624B3"/>
    <w:rsid w:val="009626F3"/>
    <w:rsid w:val="00962804"/>
    <w:rsid w:val="00962806"/>
    <w:rsid w:val="00962826"/>
    <w:rsid w:val="00962837"/>
    <w:rsid w:val="00962849"/>
    <w:rsid w:val="00962B0F"/>
    <w:rsid w:val="00962B42"/>
    <w:rsid w:val="00962C15"/>
    <w:rsid w:val="00962D32"/>
    <w:rsid w:val="00962DFB"/>
    <w:rsid w:val="00962E45"/>
    <w:rsid w:val="00962EDF"/>
    <w:rsid w:val="00962F23"/>
    <w:rsid w:val="00962F5C"/>
    <w:rsid w:val="00962FE6"/>
    <w:rsid w:val="00963042"/>
    <w:rsid w:val="00963050"/>
    <w:rsid w:val="00963070"/>
    <w:rsid w:val="0096313E"/>
    <w:rsid w:val="00963143"/>
    <w:rsid w:val="00963256"/>
    <w:rsid w:val="0096332E"/>
    <w:rsid w:val="0096335F"/>
    <w:rsid w:val="00963385"/>
    <w:rsid w:val="009633C2"/>
    <w:rsid w:val="009634F9"/>
    <w:rsid w:val="0096355D"/>
    <w:rsid w:val="009635D5"/>
    <w:rsid w:val="00963653"/>
    <w:rsid w:val="00963657"/>
    <w:rsid w:val="00963742"/>
    <w:rsid w:val="00963777"/>
    <w:rsid w:val="0096378F"/>
    <w:rsid w:val="009637E4"/>
    <w:rsid w:val="00963822"/>
    <w:rsid w:val="0096387D"/>
    <w:rsid w:val="00963882"/>
    <w:rsid w:val="00963939"/>
    <w:rsid w:val="009639BD"/>
    <w:rsid w:val="00963B9F"/>
    <w:rsid w:val="00963BB3"/>
    <w:rsid w:val="00963C17"/>
    <w:rsid w:val="00963DC0"/>
    <w:rsid w:val="00963F17"/>
    <w:rsid w:val="00964002"/>
    <w:rsid w:val="009640C3"/>
    <w:rsid w:val="00964173"/>
    <w:rsid w:val="009641FE"/>
    <w:rsid w:val="009642BE"/>
    <w:rsid w:val="009642D1"/>
    <w:rsid w:val="0096430B"/>
    <w:rsid w:val="00964415"/>
    <w:rsid w:val="00964441"/>
    <w:rsid w:val="009644A3"/>
    <w:rsid w:val="0096453D"/>
    <w:rsid w:val="00964609"/>
    <w:rsid w:val="00964677"/>
    <w:rsid w:val="00964795"/>
    <w:rsid w:val="009647F9"/>
    <w:rsid w:val="009648BB"/>
    <w:rsid w:val="009648D7"/>
    <w:rsid w:val="009649B9"/>
    <w:rsid w:val="00964AB5"/>
    <w:rsid w:val="00964AFE"/>
    <w:rsid w:val="00964B2B"/>
    <w:rsid w:val="00964BD3"/>
    <w:rsid w:val="00964BDC"/>
    <w:rsid w:val="00964CB8"/>
    <w:rsid w:val="00964D6E"/>
    <w:rsid w:val="00964D8C"/>
    <w:rsid w:val="00964E4A"/>
    <w:rsid w:val="00964E74"/>
    <w:rsid w:val="00964F6A"/>
    <w:rsid w:val="00964F87"/>
    <w:rsid w:val="00964FC7"/>
    <w:rsid w:val="00965107"/>
    <w:rsid w:val="0096533D"/>
    <w:rsid w:val="00965370"/>
    <w:rsid w:val="009653C1"/>
    <w:rsid w:val="009654B9"/>
    <w:rsid w:val="00965590"/>
    <w:rsid w:val="009655BE"/>
    <w:rsid w:val="009656BC"/>
    <w:rsid w:val="009656D3"/>
    <w:rsid w:val="00965802"/>
    <w:rsid w:val="00965836"/>
    <w:rsid w:val="0096595F"/>
    <w:rsid w:val="009659F0"/>
    <w:rsid w:val="00965B31"/>
    <w:rsid w:val="00965B84"/>
    <w:rsid w:val="00965BE6"/>
    <w:rsid w:val="00965C12"/>
    <w:rsid w:val="00965CC9"/>
    <w:rsid w:val="00965DD6"/>
    <w:rsid w:val="009660BE"/>
    <w:rsid w:val="009660FE"/>
    <w:rsid w:val="00966119"/>
    <w:rsid w:val="009661D6"/>
    <w:rsid w:val="00966223"/>
    <w:rsid w:val="00966244"/>
    <w:rsid w:val="0096626D"/>
    <w:rsid w:val="009662B9"/>
    <w:rsid w:val="00966327"/>
    <w:rsid w:val="0096637F"/>
    <w:rsid w:val="009663F2"/>
    <w:rsid w:val="00966454"/>
    <w:rsid w:val="00966527"/>
    <w:rsid w:val="0096659E"/>
    <w:rsid w:val="009665AF"/>
    <w:rsid w:val="0096660D"/>
    <w:rsid w:val="009666FE"/>
    <w:rsid w:val="00966818"/>
    <w:rsid w:val="00966931"/>
    <w:rsid w:val="0096695D"/>
    <w:rsid w:val="0096696F"/>
    <w:rsid w:val="00966979"/>
    <w:rsid w:val="009669F4"/>
    <w:rsid w:val="00966BA5"/>
    <w:rsid w:val="00966C34"/>
    <w:rsid w:val="00966C86"/>
    <w:rsid w:val="00966CB4"/>
    <w:rsid w:val="00966CBD"/>
    <w:rsid w:val="00966CEF"/>
    <w:rsid w:val="00966E7B"/>
    <w:rsid w:val="00966FB3"/>
    <w:rsid w:val="009670DA"/>
    <w:rsid w:val="00967103"/>
    <w:rsid w:val="009671C0"/>
    <w:rsid w:val="009671EC"/>
    <w:rsid w:val="0096725F"/>
    <w:rsid w:val="00967269"/>
    <w:rsid w:val="009673C8"/>
    <w:rsid w:val="009673D3"/>
    <w:rsid w:val="0096754A"/>
    <w:rsid w:val="00967582"/>
    <w:rsid w:val="00967588"/>
    <w:rsid w:val="00967612"/>
    <w:rsid w:val="00967687"/>
    <w:rsid w:val="009677A0"/>
    <w:rsid w:val="009677A8"/>
    <w:rsid w:val="00967891"/>
    <w:rsid w:val="00967898"/>
    <w:rsid w:val="009678B6"/>
    <w:rsid w:val="009678C7"/>
    <w:rsid w:val="00967973"/>
    <w:rsid w:val="00967A13"/>
    <w:rsid w:val="00967AF9"/>
    <w:rsid w:val="00967B2B"/>
    <w:rsid w:val="00967C5C"/>
    <w:rsid w:val="00967D20"/>
    <w:rsid w:val="00967D23"/>
    <w:rsid w:val="00967D4B"/>
    <w:rsid w:val="00967D53"/>
    <w:rsid w:val="00967D89"/>
    <w:rsid w:val="00967DF3"/>
    <w:rsid w:val="00967E23"/>
    <w:rsid w:val="00967E31"/>
    <w:rsid w:val="00970073"/>
    <w:rsid w:val="009700DA"/>
    <w:rsid w:val="00970199"/>
    <w:rsid w:val="0097022D"/>
    <w:rsid w:val="00970522"/>
    <w:rsid w:val="009705BF"/>
    <w:rsid w:val="009705DA"/>
    <w:rsid w:val="00970618"/>
    <w:rsid w:val="0097063D"/>
    <w:rsid w:val="009706C0"/>
    <w:rsid w:val="009706C2"/>
    <w:rsid w:val="009706E2"/>
    <w:rsid w:val="00970782"/>
    <w:rsid w:val="0097082F"/>
    <w:rsid w:val="00970865"/>
    <w:rsid w:val="009708D1"/>
    <w:rsid w:val="00970925"/>
    <w:rsid w:val="00970926"/>
    <w:rsid w:val="00970942"/>
    <w:rsid w:val="009709E5"/>
    <w:rsid w:val="00970AC7"/>
    <w:rsid w:val="00970B61"/>
    <w:rsid w:val="00970B9A"/>
    <w:rsid w:val="00970C5D"/>
    <w:rsid w:val="00970CD8"/>
    <w:rsid w:val="00970D20"/>
    <w:rsid w:val="00970D4E"/>
    <w:rsid w:val="00970E4B"/>
    <w:rsid w:val="00970ED1"/>
    <w:rsid w:val="00971068"/>
    <w:rsid w:val="0097109D"/>
    <w:rsid w:val="0097115F"/>
    <w:rsid w:val="00971195"/>
    <w:rsid w:val="009712EB"/>
    <w:rsid w:val="00971379"/>
    <w:rsid w:val="0097137F"/>
    <w:rsid w:val="009713D0"/>
    <w:rsid w:val="00971451"/>
    <w:rsid w:val="009714AB"/>
    <w:rsid w:val="009716F3"/>
    <w:rsid w:val="009717D8"/>
    <w:rsid w:val="0097181B"/>
    <w:rsid w:val="009718B4"/>
    <w:rsid w:val="00971972"/>
    <w:rsid w:val="00971AB3"/>
    <w:rsid w:val="00971B04"/>
    <w:rsid w:val="00971B17"/>
    <w:rsid w:val="00971BC7"/>
    <w:rsid w:val="00971BF7"/>
    <w:rsid w:val="00971C88"/>
    <w:rsid w:val="00971D79"/>
    <w:rsid w:val="00971DFB"/>
    <w:rsid w:val="00971DFE"/>
    <w:rsid w:val="00971EFE"/>
    <w:rsid w:val="00971F5B"/>
    <w:rsid w:val="00971F87"/>
    <w:rsid w:val="00971FDD"/>
    <w:rsid w:val="0097200C"/>
    <w:rsid w:val="009720BC"/>
    <w:rsid w:val="0097219E"/>
    <w:rsid w:val="009721C7"/>
    <w:rsid w:val="0097220F"/>
    <w:rsid w:val="0097226C"/>
    <w:rsid w:val="0097227C"/>
    <w:rsid w:val="009722B0"/>
    <w:rsid w:val="009723B1"/>
    <w:rsid w:val="009723FB"/>
    <w:rsid w:val="0097241A"/>
    <w:rsid w:val="009724ED"/>
    <w:rsid w:val="0097259A"/>
    <w:rsid w:val="009725A4"/>
    <w:rsid w:val="00972639"/>
    <w:rsid w:val="009726E2"/>
    <w:rsid w:val="00972749"/>
    <w:rsid w:val="00972824"/>
    <w:rsid w:val="0097288B"/>
    <w:rsid w:val="0097288F"/>
    <w:rsid w:val="00972969"/>
    <w:rsid w:val="009729BB"/>
    <w:rsid w:val="00972AF8"/>
    <w:rsid w:val="00972BA0"/>
    <w:rsid w:val="00972BEB"/>
    <w:rsid w:val="00972DA0"/>
    <w:rsid w:val="00972F25"/>
    <w:rsid w:val="00972FAF"/>
    <w:rsid w:val="0097306E"/>
    <w:rsid w:val="00973109"/>
    <w:rsid w:val="00973137"/>
    <w:rsid w:val="0097317E"/>
    <w:rsid w:val="009731AF"/>
    <w:rsid w:val="0097322D"/>
    <w:rsid w:val="009732CE"/>
    <w:rsid w:val="009732E2"/>
    <w:rsid w:val="00973304"/>
    <w:rsid w:val="009733D8"/>
    <w:rsid w:val="00973405"/>
    <w:rsid w:val="00973494"/>
    <w:rsid w:val="009734AF"/>
    <w:rsid w:val="009736A1"/>
    <w:rsid w:val="0097384E"/>
    <w:rsid w:val="009738DA"/>
    <w:rsid w:val="00973A47"/>
    <w:rsid w:val="00973C2B"/>
    <w:rsid w:val="00973CE7"/>
    <w:rsid w:val="00973D56"/>
    <w:rsid w:val="00973DDD"/>
    <w:rsid w:val="00973DFF"/>
    <w:rsid w:val="00973ED3"/>
    <w:rsid w:val="00973F8F"/>
    <w:rsid w:val="00974012"/>
    <w:rsid w:val="00974042"/>
    <w:rsid w:val="00974125"/>
    <w:rsid w:val="00974160"/>
    <w:rsid w:val="009742B6"/>
    <w:rsid w:val="009742C2"/>
    <w:rsid w:val="009743A2"/>
    <w:rsid w:val="009743E9"/>
    <w:rsid w:val="00974404"/>
    <w:rsid w:val="00974436"/>
    <w:rsid w:val="0097448F"/>
    <w:rsid w:val="0097449C"/>
    <w:rsid w:val="009745AE"/>
    <w:rsid w:val="00974606"/>
    <w:rsid w:val="0097463F"/>
    <w:rsid w:val="00974657"/>
    <w:rsid w:val="0097491F"/>
    <w:rsid w:val="00974922"/>
    <w:rsid w:val="0097492E"/>
    <w:rsid w:val="0097494B"/>
    <w:rsid w:val="009749A2"/>
    <w:rsid w:val="00974A0D"/>
    <w:rsid w:val="00974AAB"/>
    <w:rsid w:val="00974B50"/>
    <w:rsid w:val="00974BC6"/>
    <w:rsid w:val="00974C0B"/>
    <w:rsid w:val="00974DB3"/>
    <w:rsid w:val="00974E1B"/>
    <w:rsid w:val="00974E3B"/>
    <w:rsid w:val="00974E92"/>
    <w:rsid w:val="00974F29"/>
    <w:rsid w:val="00974F48"/>
    <w:rsid w:val="00974FEE"/>
    <w:rsid w:val="00975016"/>
    <w:rsid w:val="009750F8"/>
    <w:rsid w:val="00975203"/>
    <w:rsid w:val="00975427"/>
    <w:rsid w:val="00975473"/>
    <w:rsid w:val="0097548E"/>
    <w:rsid w:val="009754E5"/>
    <w:rsid w:val="0097554F"/>
    <w:rsid w:val="00975609"/>
    <w:rsid w:val="0097567F"/>
    <w:rsid w:val="009757C5"/>
    <w:rsid w:val="0097589C"/>
    <w:rsid w:val="00975AF1"/>
    <w:rsid w:val="00975BDF"/>
    <w:rsid w:val="00975CA0"/>
    <w:rsid w:val="00975D3C"/>
    <w:rsid w:val="00975EFB"/>
    <w:rsid w:val="00975F58"/>
    <w:rsid w:val="00975F83"/>
    <w:rsid w:val="00975FD5"/>
    <w:rsid w:val="009760D5"/>
    <w:rsid w:val="009760E1"/>
    <w:rsid w:val="009761B1"/>
    <w:rsid w:val="0097625F"/>
    <w:rsid w:val="0097637B"/>
    <w:rsid w:val="009763CA"/>
    <w:rsid w:val="009763E2"/>
    <w:rsid w:val="0097641B"/>
    <w:rsid w:val="0097643E"/>
    <w:rsid w:val="009764A4"/>
    <w:rsid w:val="00976523"/>
    <w:rsid w:val="00976654"/>
    <w:rsid w:val="009766D1"/>
    <w:rsid w:val="009766DE"/>
    <w:rsid w:val="00976705"/>
    <w:rsid w:val="00976796"/>
    <w:rsid w:val="009768E6"/>
    <w:rsid w:val="00976922"/>
    <w:rsid w:val="0097696B"/>
    <w:rsid w:val="009769BC"/>
    <w:rsid w:val="00976A60"/>
    <w:rsid w:val="00976B46"/>
    <w:rsid w:val="00976C42"/>
    <w:rsid w:val="00976E31"/>
    <w:rsid w:val="00976EAC"/>
    <w:rsid w:val="00976EFA"/>
    <w:rsid w:val="009770AF"/>
    <w:rsid w:val="0097712F"/>
    <w:rsid w:val="0097718D"/>
    <w:rsid w:val="009771BE"/>
    <w:rsid w:val="009771E6"/>
    <w:rsid w:val="0097726D"/>
    <w:rsid w:val="00977400"/>
    <w:rsid w:val="009774B2"/>
    <w:rsid w:val="00977516"/>
    <w:rsid w:val="00977668"/>
    <w:rsid w:val="00977677"/>
    <w:rsid w:val="00977697"/>
    <w:rsid w:val="00977724"/>
    <w:rsid w:val="00977827"/>
    <w:rsid w:val="00977889"/>
    <w:rsid w:val="0097789F"/>
    <w:rsid w:val="009778BF"/>
    <w:rsid w:val="00977A70"/>
    <w:rsid w:val="00977A8E"/>
    <w:rsid w:val="00977B02"/>
    <w:rsid w:val="00977B50"/>
    <w:rsid w:val="00977BAC"/>
    <w:rsid w:val="00977C57"/>
    <w:rsid w:val="00977CAF"/>
    <w:rsid w:val="00977DBB"/>
    <w:rsid w:val="00977E02"/>
    <w:rsid w:val="00977EBE"/>
    <w:rsid w:val="00977F28"/>
    <w:rsid w:val="00980153"/>
    <w:rsid w:val="009801F9"/>
    <w:rsid w:val="0098020A"/>
    <w:rsid w:val="009802E3"/>
    <w:rsid w:val="009803E1"/>
    <w:rsid w:val="009805C4"/>
    <w:rsid w:val="009805C9"/>
    <w:rsid w:val="00980623"/>
    <w:rsid w:val="0098070E"/>
    <w:rsid w:val="00980746"/>
    <w:rsid w:val="00980747"/>
    <w:rsid w:val="00980768"/>
    <w:rsid w:val="00980A33"/>
    <w:rsid w:val="00980AA8"/>
    <w:rsid w:val="00980B61"/>
    <w:rsid w:val="00980B92"/>
    <w:rsid w:val="00980B9C"/>
    <w:rsid w:val="00980D49"/>
    <w:rsid w:val="00980E8D"/>
    <w:rsid w:val="00980FB6"/>
    <w:rsid w:val="0098106B"/>
    <w:rsid w:val="0098109C"/>
    <w:rsid w:val="00981166"/>
    <w:rsid w:val="0098127A"/>
    <w:rsid w:val="00981491"/>
    <w:rsid w:val="00981547"/>
    <w:rsid w:val="009815F9"/>
    <w:rsid w:val="00981633"/>
    <w:rsid w:val="00981646"/>
    <w:rsid w:val="0098166B"/>
    <w:rsid w:val="00981731"/>
    <w:rsid w:val="00981832"/>
    <w:rsid w:val="009818DA"/>
    <w:rsid w:val="009818DF"/>
    <w:rsid w:val="0098191C"/>
    <w:rsid w:val="00981965"/>
    <w:rsid w:val="00981ABA"/>
    <w:rsid w:val="00981B2E"/>
    <w:rsid w:val="00981B77"/>
    <w:rsid w:val="00981B9D"/>
    <w:rsid w:val="00981C3F"/>
    <w:rsid w:val="00981C47"/>
    <w:rsid w:val="00981E06"/>
    <w:rsid w:val="00981E13"/>
    <w:rsid w:val="00981E33"/>
    <w:rsid w:val="00981E5C"/>
    <w:rsid w:val="00981F3A"/>
    <w:rsid w:val="00982021"/>
    <w:rsid w:val="00982097"/>
    <w:rsid w:val="0098213E"/>
    <w:rsid w:val="00982218"/>
    <w:rsid w:val="009823EF"/>
    <w:rsid w:val="00982406"/>
    <w:rsid w:val="0098248A"/>
    <w:rsid w:val="009824FA"/>
    <w:rsid w:val="00982526"/>
    <w:rsid w:val="00982587"/>
    <w:rsid w:val="009825DE"/>
    <w:rsid w:val="009826B6"/>
    <w:rsid w:val="00982727"/>
    <w:rsid w:val="00982816"/>
    <w:rsid w:val="00982846"/>
    <w:rsid w:val="009828A8"/>
    <w:rsid w:val="00982A37"/>
    <w:rsid w:val="00982B54"/>
    <w:rsid w:val="00982C18"/>
    <w:rsid w:val="00982D05"/>
    <w:rsid w:val="00982D26"/>
    <w:rsid w:val="00982E42"/>
    <w:rsid w:val="00982E46"/>
    <w:rsid w:val="00982E7E"/>
    <w:rsid w:val="00982F57"/>
    <w:rsid w:val="00983013"/>
    <w:rsid w:val="009830C8"/>
    <w:rsid w:val="009831AA"/>
    <w:rsid w:val="0098323B"/>
    <w:rsid w:val="009833AA"/>
    <w:rsid w:val="00983435"/>
    <w:rsid w:val="00983494"/>
    <w:rsid w:val="009834F9"/>
    <w:rsid w:val="00983534"/>
    <w:rsid w:val="00983608"/>
    <w:rsid w:val="00983624"/>
    <w:rsid w:val="009836C8"/>
    <w:rsid w:val="009837F6"/>
    <w:rsid w:val="0098396E"/>
    <w:rsid w:val="00983ADC"/>
    <w:rsid w:val="00983B9C"/>
    <w:rsid w:val="00983C75"/>
    <w:rsid w:val="00983D96"/>
    <w:rsid w:val="00983E0B"/>
    <w:rsid w:val="00983E12"/>
    <w:rsid w:val="00983E37"/>
    <w:rsid w:val="00983F21"/>
    <w:rsid w:val="00983F2B"/>
    <w:rsid w:val="00984098"/>
    <w:rsid w:val="009840D1"/>
    <w:rsid w:val="00984243"/>
    <w:rsid w:val="0098438C"/>
    <w:rsid w:val="00984473"/>
    <w:rsid w:val="0098450A"/>
    <w:rsid w:val="009845B7"/>
    <w:rsid w:val="009845E9"/>
    <w:rsid w:val="00984623"/>
    <w:rsid w:val="0098468C"/>
    <w:rsid w:val="009846DC"/>
    <w:rsid w:val="0098482C"/>
    <w:rsid w:val="0098482F"/>
    <w:rsid w:val="00984855"/>
    <w:rsid w:val="00984880"/>
    <w:rsid w:val="00984944"/>
    <w:rsid w:val="00984A8D"/>
    <w:rsid w:val="00984AFA"/>
    <w:rsid w:val="00984BAF"/>
    <w:rsid w:val="00984BF2"/>
    <w:rsid w:val="00984C38"/>
    <w:rsid w:val="00984CC3"/>
    <w:rsid w:val="00984D05"/>
    <w:rsid w:val="00984DD5"/>
    <w:rsid w:val="00984E33"/>
    <w:rsid w:val="00984F47"/>
    <w:rsid w:val="00984F68"/>
    <w:rsid w:val="009850AD"/>
    <w:rsid w:val="009850AE"/>
    <w:rsid w:val="0098515B"/>
    <w:rsid w:val="009851E0"/>
    <w:rsid w:val="0098532D"/>
    <w:rsid w:val="0098534F"/>
    <w:rsid w:val="00985463"/>
    <w:rsid w:val="009854AA"/>
    <w:rsid w:val="009854B7"/>
    <w:rsid w:val="00985548"/>
    <w:rsid w:val="00985653"/>
    <w:rsid w:val="0098592F"/>
    <w:rsid w:val="009859F4"/>
    <w:rsid w:val="00985A2E"/>
    <w:rsid w:val="00985A43"/>
    <w:rsid w:val="00985A7F"/>
    <w:rsid w:val="00985AF3"/>
    <w:rsid w:val="00985B35"/>
    <w:rsid w:val="00985CEC"/>
    <w:rsid w:val="00985D16"/>
    <w:rsid w:val="00985D80"/>
    <w:rsid w:val="00985E17"/>
    <w:rsid w:val="00985EEB"/>
    <w:rsid w:val="00986209"/>
    <w:rsid w:val="0098630B"/>
    <w:rsid w:val="0098637B"/>
    <w:rsid w:val="009863DF"/>
    <w:rsid w:val="00986494"/>
    <w:rsid w:val="009865C1"/>
    <w:rsid w:val="00986630"/>
    <w:rsid w:val="009866D5"/>
    <w:rsid w:val="00986833"/>
    <w:rsid w:val="00986896"/>
    <w:rsid w:val="009868FC"/>
    <w:rsid w:val="0098692F"/>
    <w:rsid w:val="009869A5"/>
    <w:rsid w:val="009869D0"/>
    <w:rsid w:val="00986A40"/>
    <w:rsid w:val="00986B4B"/>
    <w:rsid w:val="00986BC9"/>
    <w:rsid w:val="00986C8E"/>
    <w:rsid w:val="00986D66"/>
    <w:rsid w:val="00986E37"/>
    <w:rsid w:val="00986E99"/>
    <w:rsid w:val="00986F2A"/>
    <w:rsid w:val="00987028"/>
    <w:rsid w:val="0098706F"/>
    <w:rsid w:val="00987156"/>
    <w:rsid w:val="00987191"/>
    <w:rsid w:val="0098724C"/>
    <w:rsid w:val="009872B0"/>
    <w:rsid w:val="009872E9"/>
    <w:rsid w:val="009873A3"/>
    <w:rsid w:val="009874F3"/>
    <w:rsid w:val="009875F5"/>
    <w:rsid w:val="00987621"/>
    <w:rsid w:val="00987685"/>
    <w:rsid w:val="009876AA"/>
    <w:rsid w:val="009876C4"/>
    <w:rsid w:val="009876F1"/>
    <w:rsid w:val="0098787E"/>
    <w:rsid w:val="009878A4"/>
    <w:rsid w:val="009878C7"/>
    <w:rsid w:val="009878D6"/>
    <w:rsid w:val="0098797F"/>
    <w:rsid w:val="00987AC6"/>
    <w:rsid w:val="00987AFC"/>
    <w:rsid w:val="00987B15"/>
    <w:rsid w:val="00987CB1"/>
    <w:rsid w:val="00987CC6"/>
    <w:rsid w:val="00987DEA"/>
    <w:rsid w:val="00987FB6"/>
    <w:rsid w:val="00990060"/>
    <w:rsid w:val="009900B8"/>
    <w:rsid w:val="00990100"/>
    <w:rsid w:val="00990294"/>
    <w:rsid w:val="009902AE"/>
    <w:rsid w:val="0099034B"/>
    <w:rsid w:val="0099051A"/>
    <w:rsid w:val="00990540"/>
    <w:rsid w:val="0099073E"/>
    <w:rsid w:val="009907AB"/>
    <w:rsid w:val="009907C3"/>
    <w:rsid w:val="009907CA"/>
    <w:rsid w:val="009907CD"/>
    <w:rsid w:val="009907E7"/>
    <w:rsid w:val="009908FE"/>
    <w:rsid w:val="00990A54"/>
    <w:rsid w:val="00990B36"/>
    <w:rsid w:val="00990B5B"/>
    <w:rsid w:val="00990D44"/>
    <w:rsid w:val="00990DF7"/>
    <w:rsid w:val="00990E3A"/>
    <w:rsid w:val="00990E97"/>
    <w:rsid w:val="00990F50"/>
    <w:rsid w:val="00990F58"/>
    <w:rsid w:val="00991082"/>
    <w:rsid w:val="0099117F"/>
    <w:rsid w:val="00991188"/>
    <w:rsid w:val="009912F0"/>
    <w:rsid w:val="009916FA"/>
    <w:rsid w:val="0099177B"/>
    <w:rsid w:val="0099186B"/>
    <w:rsid w:val="009918D5"/>
    <w:rsid w:val="00991983"/>
    <w:rsid w:val="00991A41"/>
    <w:rsid w:val="00991B58"/>
    <w:rsid w:val="00991BE9"/>
    <w:rsid w:val="00991E54"/>
    <w:rsid w:val="00991E66"/>
    <w:rsid w:val="00991F60"/>
    <w:rsid w:val="00991FAE"/>
    <w:rsid w:val="009920BD"/>
    <w:rsid w:val="00992184"/>
    <w:rsid w:val="00992353"/>
    <w:rsid w:val="0099257D"/>
    <w:rsid w:val="009926A3"/>
    <w:rsid w:val="00992745"/>
    <w:rsid w:val="00992816"/>
    <w:rsid w:val="009928E5"/>
    <w:rsid w:val="009928F0"/>
    <w:rsid w:val="0099292E"/>
    <w:rsid w:val="00992935"/>
    <w:rsid w:val="0099294B"/>
    <w:rsid w:val="00992CC3"/>
    <w:rsid w:val="00992E48"/>
    <w:rsid w:val="00992EF2"/>
    <w:rsid w:val="00992F6C"/>
    <w:rsid w:val="00992F95"/>
    <w:rsid w:val="00993105"/>
    <w:rsid w:val="0099310D"/>
    <w:rsid w:val="0099314C"/>
    <w:rsid w:val="0099320E"/>
    <w:rsid w:val="00993271"/>
    <w:rsid w:val="0099329C"/>
    <w:rsid w:val="00993311"/>
    <w:rsid w:val="0099331A"/>
    <w:rsid w:val="009933EB"/>
    <w:rsid w:val="0099348A"/>
    <w:rsid w:val="00993494"/>
    <w:rsid w:val="009934AE"/>
    <w:rsid w:val="0099362A"/>
    <w:rsid w:val="009936A7"/>
    <w:rsid w:val="0099371B"/>
    <w:rsid w:val="009937BD"/>
    <w:rsid w:val="009939B0"/>
    <w:rsid w:val="00993AB0"/>
    <w:rsid w:val="00993B38"/>
    <w:rsid w:val="00993D4B"/>
    <w:rsid w:val="00993DA6"/>
    <w:rsid w:val="00993E40"/>
    <w:rsid w:val="00993F5F"/>
    <w:rsid w:val="00993FCF"/>
    <w:rsid w:val="0099400A"/>
    <w:rsid w:val="00994065"/>
    <w:rsid w:val="0099409C"/>
    <w:rsid w:val="00994190"/>
    <w:rsid w:val="009941FA"/>
    <w:rsid w:val="009944B5"/>
    <w:rsid w:val="00994595"/>
    <w:rsid w:val="0099487A"/>
    <w:rsid w:val="009949BA"/>
    <w:rsid w:val="00994A98"/>
    <w:rsid w:val="00994ABC"/>
    <w:rsid w:val="00994AFA"/>
    <w:rsid w:val="00994B26"/>
    <w:rsid w:val="00994B91"/>
    <w:rsid w:val="00994CBE"/>
    <w:rsid w:val="00994E91"/>
    <w:rsid w:val="00994EB1"/>
    <w:rsid w:val="00994ED9"/>
    <w:rsid w:val="00994EF2"/>
    <w:rsid w:val="009950AE"/>
    <w:rsid w:val="009954EF"/>
    <w:rsid w:val="0099564E"/>
    <w:rsid w:val="00995778"/>
    <w:rsid w:val="00995820"/>
    <w:rsid w:val="009958BF"/>
    <w:rsid w:val="009958EC"/>
    <w:rsid w:val="00995925"/>
    <w:rsid w:val="00995926"/>
    <w:rsid w:val="00995964"/>
    <w:rsid w:val="00995998"/>
    <w:rsid w:val="009959BD"/>
    <w:rsid w:val="009959C2"/>
    <w:rsid w:val="00995A2D"/>
    <w:rsid w:val="00995AB5"/>
    <w:rsid w:val="00995B02"/>
    <w:rsid w:val="00995B38"/>
    <w:rsid w:val="00995BE2"/>
    <w:rsid w:val="00995BE3"/>
    <w:rsid w:val="00995C6C"/>
    <w:rsid w:val="00995CE0"/>
    <w:rsid w:val="00995D74"/>
    <w:rsid w:val="00995D7C"/>
    <w:rsid w:val="00995DB0"/>
    <w:rsid w:val="00995E43"/>
    <w:rsid w:val="00995E4C"/>
    <w:rsid w:val="00995E51"/>
    <w:rsid w:val="00995EDA"/>
    <w:rsid w:val="00995F3B"/>
    <w:rsid w:val="00996015"/>
    <w:rsid w:val="0099603C"/>
    <w:rsid w:val="0099609D"/>
    <w:rsid w:val="0099625E"/>
    <w:rsid w:val="009963AE"/>
    <w:rsid w:val="009963E6"/>
    <w:rsid w:val="00996418"/>
    <w:rsid w:val="0099642C"/>
    <w:rsid w:val="009965C0"/>
    <w:rsid w:val="00996602"/>
    <w:rsid w:val="00996667"/>
    <w:rsid w:val="0099666A"/>
    <w:rsid w:val="0099679B"/>
    <w:rsid w:val="009967DA"/>
    <w:rsid w:val="009967EC"/>
    <w:rsid w:val="00996864"/>
    <w:rsid w:val="009969BA"/>
    <w:rsid w:val="00996A23"/>
    <w:rsid w:val="00996A64"/>
    <w:rsid w:val="00996A65"/>
    <w:rsid w:val="00996AC8"/>
    <w:rsid w:val="00996B39"/>
    <w:rsid w:val="00996C26"/>
    <w:rsid w:val="00996CD9"/>
    <w:rsid w:val="00996D27"/>
    <w:rsid w:val="00996E26"/>
    <w:rsid w:val="00996E74"/>
    <w:rsid w:val="00996F86"/>
    <w:rsid w:val="00997010"/>
    <w:rsid w:val="00997068"/>
    <w:rsid w:val="009971CC"/>
    <w:rsid w:val="00997369"/>
    <w:rsid w:val="009973A2"/>
    <w:rsid w:val="00997415"/>
    <w:rsid w:val="00997429"/>
    <w:rsid w:val="00997473"/>
    <w:rsid w:val="009974CC"/>
    <w:rsid w:val="009974F5"/>
    <w:rsid w:val="00997517"/>
    <w:rsid w:val="00997525"/>
    <w:rsid w:val="0099759D"/>
    <w:rsid w:val="00997660"/>
    <w:rsid w:val="00997737"/>
    <w:rsid w:val="009977E8"/>
    <w:rsid w:val="00997852"/>
    <w:rsid w:val="00997A9D"/>
    <w:rsid w:val="00997AE4"/>
    <w:rsid w:val="00997AE5"/>
    <w:rsid w:val="00997B2D"/>
    <w:rsid w:val="00997B71"/>
    <w:rsid w:val="00997BBE"/>
    <w:rsid w:val="00997BED"/>
    <w:rsid w:val="00997D03"/>
    <w:rsid w:val="00997DFE"/>
    <w:rsid w:val="00997F3C"/>
    <w:rsid w:val="00997F7C"/>
    <w:rsid w:val="00997FF2"/>
    <w:rsid w:val="00997FFA"/>
    <w:rsid w:val="009A0028"/>
    <w:rsid w:val="009A00A8"/>
    <w:rsid w:val="009A00D8"/>
    <w:rsid w:val="009A01E4"/>
    <w:rsid w:val="009A01ED"/>
    <w:rsid w:val="009A02B1"/>
    <w:rsid w:val="009A0387"/>
    <w:rsid w:val="009A04C9"/>
    <w:rsid w:val="009A059E"/>
    <w:rsid w:val="009A0679"/>
    <w:rsid w:val="009A06B5"/>
    <w:rsid w:val="009A0859"/>
    <w:rsid w:val="009A0886"/>
    <w:rsid w:val="009A08FF"/>
    <w:rsid w:val="009A095F"/>
    <w:rsid w:val="009A099B"/>
    <w:rsid w:val="009A0A14"/>
    <w:rsid w:val="009A0A43"/>
    <w:rsid w:val="009A0B01"/>
    <w:rsid w:val="009A0B27"/>
    <w:rsid w:val="009A0B46"/>
    <w:rsid w:val="009A0BC1"/>
    <w:rsid w:val="009A0C53"/>
    <w:rsid w:val="009A0D85"/>
    <w:rsid w:val="009A0E1F"/>
    <w:rsid w:val="009A0F70"/>
    <w:rsid w:val="009A0FCE"/>
    <w:rsid w:val="009A100D"/>
    <w:rsid w:val="009A12CF"/>
    <w:rsid w:val="009A1361"/>
    <w:rsid w:val="009A1423"/>
    <w:rsid w:val="009A143A"/>
    <w:rsid w:val="009A1452"/>
    <w:rsid w:val="009A1523"/>
    <w:rsid w:val="009A15E0"/>
    <w:rsid w:val="009A161B"/>
    <w:rsid w:val="009A1727"/>
    <w:rsid w:val="009A172E"/>
    <w:rsid w:val="009A1741"/>
    <w:rsid w:val="009A18A9"/>
    <w:rsid w:val="009A192A"/>
    <w:rsid w:val="009A1A51"/>
    <w:rsid w:val="009A1A68"/>
    <w:rsid w:val="009A1A73"/>
    <w:rsid w:val="009A1A7F"/>
    <w:rsid w:val="009A1A97"/>
    <w:rsid w:val="009A1BCE"/>
    <w:rsid w:val="009A1C42"/>
    <w:rsid w:val="009A1CEC"/>
    <w:rsid w:val="009A1D1B"/>
    <w:rsid w:val="009A1DCC"/>
    <w:rsid w:val="009A1E92"/>
    <w:rsid w:val="009A1EB5"/>
    <w:rsid w:val="009A1EFC"/>
    <w:rsid w:val="009A1F9B"/>
    <w:rsid w:val="009A208A"/>
    <w:rsid w:val="009A22DE"/>
    <w:rsid w:val="009A2391"/>
    <w:rsid w:val="009A250C"/>
    <w:rsid w:val="009A2603"/>
    <w:rsid w:val="009A2623"/>
    <w:rsid w:val="009A2679"/>
    <w:rsid w:val="009A26C3"/>
    <w:rsid w:val="009A2734"/>
    <w:rsid w:val="009A27A0"/>
    <w:rsid w:val="009A27A2"/>
    <w:rsid w:val="009A2837"/>
    <w:rsid w:val="009A2A4B"/>
    <w:rsid w:val="009A2DA9"/>
    <w:rsid w:val="009A2EF6"/>
    <w:rsid w:val="009A2F8F"/>
    <w:rsid w:val="009A2FDA"/>
    <w:rsid w:val="009A3190"/>
    <w:rsid w:val="009A31EB"/>
    <w:rsid w:val="009A3260"/>
    <w:rsid w:val="009A32B1"/>
    <w:rsid w:val="009A33CB"/>
    <w:rsid w:val="009A3409"/>
    <w:rsid w:val="009A341A"/>
    <w:rsid w:val="009A34A8"/>
    <w:rsid w:val="009A34AE"/>
    <w:rsid w:val="009A3566"/>
    <w:rsid w:val="009A37ED"/>
    <w:rsid w:val="009A37FF"/>
    <w:rsid w:val="009A392B"/>
    <w:rsid w:val="009A3951"/>
    <w:rsid w:val="009A3965"/>
    <w:rsid w:val="009A39E6"/>
    <w:rsid w:val="009A3A2A"/>
    <w:rsid w:val="009A3AF9"/>
    <w:rsid w:val="009A3B29"/>
    <w:rsid w:val="009A3B30"/>
    <w:rsid w:val="009A3C8D"/>
    <w:rsid w:val="009A3E40"/>
    <w:rsid w:val="009A3F90"/>
    <w:rsid w:val="009A4077"/>
    <w:rsid w:val="009A4178"/>
    <w:rsid w:val="009A4186"/>
    <w:rsid w:val="009A4201"/>
    <w:rsid w:val="009A4311"/>
    <w:rsid w:val="009A43CB"/>
    <w:rsid w:val="009A43DC"/>
    <w:rsid w:val="009A441C"/>
    <w:rsid w:val="009A457B"/>
    <w:rsid w:val="009A458C"/>
    <w:rsid w:val="009A46C3"/>
    <w:rsid w:val="009A4708"/>
    <w:rsid w:val="009A474D"/>
    <w:rsid w:val="009A4887"/>
    <w:rsid w:val="009A4898"/>
    <w:rsid w:val="009A4931"/>
    <w:rsid w:val="009A4AF7"/>
    <w:rsid w:val="009A4B56"/>
    <w:rsid w:val="009A4B62"/>
    <w:rsid w:val="009A4C44"/>
    <w:rsid w:val="009A4E27"/>
    <w:rsid w:val="009A4E71"/>
    <w:rsid w:val="009A4EBA"/>
    <w:rsid w:val="009A4ED0"/>
    <w:rsid w:val="009A4EE1"/>
    <w:rsid w:val="009A4F88"/>
    <w:rsid w:val="009A5091"/>
    <w:rsid w:val="009A5293"/>
    <w:rsid w:val="009A52BB"/>
    <w:rsid w:val="009A537F"/>
    <w:rsid w:val="009A53F6"/>
    <w:rsid w:val="009A5415"/>
    <w:rsid w:val="009A54ED"/>
    <w:rsid w:val="009A557A"/>
    <w:rsid w:val="009A56A9"/>
    <w:rsid w:val="009A56B8"/>
    <w:rsid w:val="009A571A"/>
    <w:rsid w:val="009A580B"/>
    <w:rsid w:val="009A58D4"/>
    <w:rsid w:val="009A58F9"/>
    <w:rsid w:val="009A5A1E"/>
    <w:rsid w:val="009A5B0E"/>
    <w:rsid w:val="009A5B62"/>
    <w:rsid w:val="009A5CAE"/>
    <w:rsid w:val="009A5CDC"/>
    <w:rsid w:val="009A5D9C"/>
    <w:rsid w:val="009A5EB6"/>
    <w:rsid w:val="009A5F53"/>
    <w:rsid w:val="009A625B"/>
    <w:rsid w:val="009A6334"/>
    <w:rsid w:val="009A6341"/>
    <w:rsid w:val="009A63B4"/>
    <w:rsid w:val="009A6401"/>
    <w:rsid w:val="009A6567"/>
    <w:rsid w:val="009A682A"/>
    <w:rsid w:val="009A686F"/>
    <w:rsid w:val="009A69F5"/>
    <w:rsid w:val="009A6AB4"/>
    <w:rsid w:val="009A6AEE"/>
    <w:rsid w:val="009A6BE0"/>
    <w:rsid w:val="009A6D77"/>
    <w:rsid w:val="009A6DEE"/>
    <w:rsid w:val="009A6EC1"/>
    <w:rsid w:val="009A6EEE"/>
    <w:rsid w:val="009A6EF2"/>
    <w:rsid w:val="009A6F61"/>
    <w:rsid w:val="009A6F7E"/>
    <w:rsid w:val="009A6F9D"/>
    <w:rsid w:val="009A71B6"/>
    <w:rsid w:val="009A726A"/>
    <w:rsid w:val="009A7283"/>
    <w:rsid w:val="009A732F"/>
    <w:rsid w:val="009A7337"/>
    <w:rsid w:val="009A73FA"/>
    <w:rsid w:val="009A75FD"/>
    <w:rsid w:val="009A7628"/>
    <w:rsid w:val="009A7695"/>
    <w:rsid w:val="009A7738"/>
    <w:rsid w:val="009A77FE"/>
    <w:rsid w:val="009A7B9C"/>
    <w:rsid w:val="009A7BB6"/>
    <w:rsid w:val="009A7C19"/>
    <w:rsid w:val="009A7CBC"/>
    <w:rsid w:val="009A7D14"/>
    <w:rsid w:val="009A7D83"/>
    <w:rsid w:val="009A7EFD"/>
    <w:rsid w:val="009A7F13"/>
    <w:rsid w:val="009A7F31"/>
    <w:rsid w:val="009A7F40"/>
    <w:rsid w:val="009B00ED"/>
    <w:rsid w:val="009B017B"/>
    <w:rsid w:val="009B0287"/>
    <w:rsid w:val="009B0401"/>
    <w:rsid w:val="009B044C"/>
    <w:rsid w:val="009B04A5"/>
    <w:rsid w:val="009B04CF"/>
    <w:rsid w:val="009B0800"/>
    <w:rsid w:val="009B0916"/>
    <w:rsid w:val="009B0929"/>
    <w:rsid w:val="009B09EF"/>
    <w:rsid w:val="009B0A1A"/>
    <w:rsid w:val="009B0AA1"/>
    <w:rsid w:val="009B0AEE"/>
    <w:rsid w:val="009B0BF8"/>
    <w:rsid w:val="009B0C24"/>
    <w:rsid w:val="009B0CDE"/>
    <w:rsid w:val="009B0DBA"/>
    <w:rsid w:val="009B0EE7"/>
    <w:rsid w:val="009B0F7E"/>
    <w:rsid w:val="009B1021"/>
    <w:rsid w:val="009B10AC"/>
    <w:rsid w:val="009B1169"/>
    <w:rsid w:val="009B12A1"/>
    <w:rsid w:val="009B12D2"/>
    <w:rsid w:val="009B1353"/>
    <w:rsid w:val="009B1437"/>
    <w:rsid w:val="009B1450"/>
    <w:rsid w:val="009B15B6"/>
    <w:rsid w:val="009B16BB"/>
    <w:rsid w:val="009B1700"/>
    <w:rsid w:val="009B187E"/>
    <w:rsid w:val="009B18F9"/>
    <w:rsid w:val="009B1948"/>
    <w:rsid w:val="009B194C"/>
    <w:rsid w:val="009B19C9"/>
    <w:rsid w:val="009B1A53"/>
    <w:rsid w:val="009B1A90"/>
    <w:rsid w:val="009B1AEE"/>
    <w:rsid w:val="009B1B05"/>
    <w:rsid w:val="009B1C97"/>
    <w:rsid w:val="009B1CC0"/>
    <w:rsid w:val="009B1D1A"/>
    <w:rsid w:val="009B1D26"/>
    <w:rsid w:val="009B1D9B"/>
    <w:rsid w:val="009B1E9C"/>
    <w:rsid w:val="009B1EE9"/>
    <w:rsid w:val="009B1F20"/>
    <w:rsid w:val="009B1F71"/>
    <w:rsid w:val="009B1F7B"/>
    <w:rsid w:val="009B2180"/>
    <w:rsid w:val="009B2317"/>
    <w:rsid w:val="009B231D"/>
    <w:rsid w:val="009B2389"/>
    <w:rsid w:val="009B247F"/>
    <w:rsid w:val="009B249D"/>
    <w:rsid w:val="009B24D0"/>
    <w:rsid w:val="009B2509"/>
    <w:rsid w:val="009B25A7"/>
    <w:rsid w:val="009B262B"/>
    <w:rsid w:val="009B266C"/>
    <w:rsid w:val="009B26B8"/>
    <w:rsid w:val="009B26E9"/>
    <w:rsid w:val="009B275F"/>
    <w:rsid w:val="009B2763"/>
    <w:rsid w:val="009B2793"/>
    <w:rsid w:val="009B285E"/>
    <w:rsid w:val="009B288B"/>
    <w:rsid w:val="009B29E5"/>
    <w:rsid w:val="009B29FA"/>
    <w:rsid w:val="009B2ADA"/>
    <w:rsid w:val="009B2B0B"/>
    <w:rsid w:val="009B2C14"/>
    <w:rsid w:val="009B2C8B"/>
    <w:rsid w:val="009B2CBF"/>
    <w:rsid w:val="009B2D1A"/>
    <w:rsid w:val="009B2DC4"/>
    <w:rsid w:val="009B2EE8"/>
    <w:rsid w:val="009B2F4E"/>
    <w:rsid w:val="009B2FAE"/>
    <w:rsid w:val="009B3076"/>
    <w:rsid w:val="009B30EE"/>
    <w:rsid w:val="009B3194"/>
    <w:rsid w:val="009B31FC"/>
    <w:rsid w:val="009B323A"/>
    <w:rsid w:val="009B3248"/>
    <w:rsid w:val="009B33BD"/>
    <w:rsid w:val="009B33EC"/>
    <w:rsid w:val="009B34FF"/>
    <w:rsid w:val="009B3620"/>
    <w:rsid w:val="009B362E"/>
    <w:rsid w:val="009B376F"/>
    <w:rsid w:val="009B3798"/>
    <w:rsid w:val="009B386C"/>
    <w:rsid w:val="009B38C0"/>
    <w:rsid w:val="009B3A00"/>
    <w:rsid w:val="009B3A18"/>
    <w:rsid w:val="009B3A21"/>
    <w:rsid w:val="009B3B5D"/>
    <w:rsid w:val="009B3B5F"/>
    <w:rsid w:val="009B3C33"/>
    <w:rsid w:val="009B3D93"/>
    <w:rsid w:val="009B3E4C"/>
    <w:rsid w:val="009B3E4E"/>
    <w:rsid w:val="009B3EFE"/>
    <w:rsid w:val="009B3F08"/>
    <w:rsid w:val="009B3F0E"/>
    <w:rsid w:val="009B4183"/>
    <w:rsid w:val="009B4220"/>
    <w:rsid w:val="009B43D6"/>
    <w:rsid w:val="009B43EE"/>
    <w:rsid w:val="009B442D"/>
    <w:rsid w:val="009B44A9"/>
    <w:rsid w:val="009B4690"/>
    <w:rsid w:val="009B47C0"/>
    <w:rsid w:val="009B485F"/>
    <w:rsid w:val="009B49AC"/>
    <w:rsid w:val="009B49D5"/>
    <w:rsid w:val="009B49DF"/>
    <w:rsid w:val="009B49EB"/>
    <w:rsid w:val="009B4A16"/>
    <w:rsid w:val="009B4A1C"/>
    <w:rsid w:val="009B4B62"/>
    <w:rsid w:val="009B4B8E"/>
    <w:rsid w:val="009B4BA0"/>
    <w:rsid w:val="009B4BC5"/>
    <w:rsid w:val="009B4CDE"/>
    <w:rsid w:val="009B4E0E"/>
    <w:rsid w:val="009B4E1F"/>
    <w:rsid w:val="009B4E22"/>
    <w:rsid w:val="009B4E77"/>
    <w:rsid w:val="009B4F10"/>
    <w:rsid w:val="009B4FAA"/>
    <w:rsid w:val="009B5034"/>
    <w:rsid w:val="009B50BB"/>
    <w:rsid w:val="009B52DB"/>
    <w:rsid w:val="009B5340"/>
    <w:rsid w:val="009B5365"/>
    <w:rsid w:val="009B5403"/>
    <w:rsid w:val="009B5430"/>
    <w:rsid w:val="009B544C"/>
    <w:rsid w:val="009B550F"/>
    <w:rsid w:val="009B5771"/>
    <w:rsid w:val="009B57CE"/>
    <w:rsid w:val="009B57E3"/>
    <w:rsid w:val="009B582D"/>
    <w:rsid w:val="009B5982"/>
    <w:rsid w:val="009B5A28"/>
    <w:rsid w:val="009B5A85"/>
    <w:rsid w:val="009B5B20"/>
    <w:rsid w:val="009B5B7C"/>
    <w:rsid w:val="009B5C72"/>
    <w:rsid w:val="009B5D9C"/>
    <w:rsid w:val="009B5DF3"/>
    <w:rsid w:val="009B5F5C"/>
    <w:rsid w:val="009B5F6E"/>
    <w:rsid w:val="009B621A"/>
    <w:rsid w:val="009B62AD"/>
    <w:rsid w:val="009B6361"/>
    <w:rsid w:val="009B63FC"/>
    <w:rsid w:val="009B641D"/>
    <w:rsid w:val="009B6482"/>
    <w:rsid w:val="009B6491"/>
    <w:rsid w:val="009B64BE"/>
    <w:rsid w:val="009B64F4"/>
    <w:rsid w:val="009B6561"/>
    <w:rsid w:val="009B65BF"/>
    <w:rsid w:val="009B6617"/>
    <w:rsid w:val="009B66F6"/>
    <w:rsid w:val="009B67AF"/>
    <w:rsid w:val="009B6807"/>
    <w:rsid w:val="009B68DA"/>
    <w:rsid w:val="009B6916"/>
    <w:rsid w:val="009B69EB"/>
    <w:rsid w:val="009B6A34"/>
    <w:rsid w:val="009B6A7A"/>
    <w:rsid w:val="009B6ADE"/>
    <w:rsid w:val="009B6B16"/>
    <w:rsid w:val="009B6C22"/>
    <w:rsid w:val="009B6C82"/>
    <w:rsid w:val="009B6D55"/>
    <w:rsid w:val="009B6DD0"/>
    <w:rsid w:val="009B6DEA"/>
    <w:rsid w:val="009B6E04"/>
    <w:rsid w:val="009B6E08"/>
    <w:rsid w:val="009B6E28"/>
    <w:rsid w:val="009B6E74"/>
    <w:rsid w:val="009B6E87"/>
    <w:rsid w:val="009B6E98"/>
    <w:rsid w:val="009B6EF0"/>
    <w:rsid w:val="009B6F29"/>
    <w:rsid w:val="009B6F54"/>
    <w:rsid w:val="009B6FDA"/>
    <w:rsid w:val="009B7003"/>
    <w:rsid w:val="009B7099"/>
    <w:rsid w:val="009B7150"/>
    <w:rsid w:val="009B717B"/>
    <w:rsid w:val="009B71CC"/>
    <w:rsid w:val="009B725F"/>
    <w:rsid w:val="009B732F"/>
    <w:rsid w:val="009B7341"/>
    <w:rsid w:val="009B7370"/>
    <w:rsid w:val="009B738E"/>
    <w:rsid w:val="009B742A"/>
    <w:rsid w:val="009B7431"/>
    <w:rsid w:val="009B7464"/>
    <w:rsid w:val="009B75A6"/>
    <w:rsid w:val="009B75C1"/>
    <w:rsid w:val="009B7683"/>
    <w:rsid w:val="009B7714"/>
    <w:rsid w:val="009B773E"/>
    <w:rsid w:val="009B7755"/>
    <w:rsid w:val="009B775E"/>
    <w:rsid w:val="009B778E"/>
    <w:rsid w:val="009B780D"/>
    <w:rsid w:val="009B7961"/>
    <w:rsid w:val="009B7989"/>
    <w:rsid w:val="009B79B1"/>
    <w:rsid w:val="009B7A02"/>
    <w:rsid w:val="009B7A1C"/>
    <w:rsid w:val="009B7A63"/>
    <w:rsid w:val="009B7A92"/>
    <w:rsid w:val="009B7D5B"/>
    <w:rsid w:val="009B7E5E"/>
    <w:rsid w:val="009B7ED9"/>
    <w:rsid w:val="009B7EEB"/>
    <w:rsid w:val="009B7F7A"/>
    <w:rsid w:val="009B7FF7"/>
    <w:rsid w:val="009C001C"/>
    <w:rsid w:val="009C0088"/>
    <w:rsid w:val="009C0096"/>
    <w:rsid w:val="009C00D5"/>
    <w:rsid w:val="009C00ED"/>
    <w:rsid w:val="009C0171"/>
    <w:rsid w:val="009C018C"/>
    <w:rsid w:val="009C01A2"/>
    <w:rsid w:val="009C0221"/>
    <w:rsid w:val="009C0297"/>
    <w:rsid w:val="009C02E6"/>
    <w:rsid w:val="009C03EC"/>
    <w:rsid w:val="009C040C"/>
    <w:rsid w:val="009C0428"/>
    <w:rsid w:val="009C042A"/>
    <w:rsid w:val="009C0462"/>
    <w:rsid w:val="009C04C6"/>
    <w:rsid w:val="009C06C8"/>
    <w:rsid w:val="009C0820"/>
    <w:rsid w:val="009C0865"/>
    <w:rsid w:val="009C08CE"/>
    <w:rsid w:val="009C08D2"/>
    <w:rsid w:val="009C09B9"/>
    <w:rsid w:val="009C0A4D"/>
    <w:rsid w:val="009C0A75"/>
    <w:rsid w:val="009C0A7C"/>
    <w:rsid w:val="009C0AAF"/>
    <w:rsid w:val="009C0AFE"/>
    <w:rsid w:val="009C0B54"/>
    <w:rsid w:val="009C0B6D"/>
    <w:rsid w:val="009C0B85"/>
    <w:rsid w:val="009C0BED"/>
    <w:rsid w:val="009C0BFE"/>
    <w:rsid w:val="009C0C06"/>
    <w:rsid w:val="009C0C11"/>
    <w:rsid w:val="009C0C7B"/>
    <w:rsid w:val="009C0DE0"/>
    <w:rsid w:val="009C0DE1"/>
    <w:rsid w:val="009C0E04"/>
    <w:rsid w:val="009C0E29"/>
    <w:rsid w:val="009C0E3D"/>
    <w:rsid w:val="009C0E49"/>
    <w:rsid w:val="009C0EF2"/>
    <w:rsid w:val="009C0EFA"/>
    <w:rsid w:val="009C0FE7"/>
    <w:rsid w:val="009C0FFC"/>
    <w:rsid w:val="009C108F"/>
    <w:rsid w:val="009C118A"/>
    <w:rsid w:val="009C124C"/>
    <w:rsid w:val="009C1307"/>
    <w:rsid w:val="009C1342"/>
    <w:rsid w:val="009C13B5"/>
    <w:rsid w:val="009C14D0"/>
    <w:rsid w:val="009C1562"/>
    <w:rsid w:val="009C1614"/>
    <w:rsid w:val="009C163A"/>
    <w:rsid w:val="009C164B"/>
    <w:rsid w:val="009C1669"/>
    <w:rsid w:val="009C16B5"/>
    <w:rsid w:val="009C175A"/>
    <w:rsid w:val="009C179F"/>
    <w:rsid w:val="009C17A6"/>
    <w:rsid w:val="009C18EC"/>
    <w:rsid w:val="009C19AA"/>
    <w:rsid w:val="009C1AA0"/>
    <w:rsid w:val="009C1C2B"/>
    <w:rsid w:val="009C1CDC"/>
    <w:rsid w:val="009C1D5B"/>
    <w:rsid w:val="009C1E0F"/>
    <w:rsid w:val="009C205D"/>
    <w:rsid w:val="009C20C4"/>
    <w:rsid w:val="009C20C8"/>
    <w:rsid w:val="009C20E1"/>
    <w:rsid w:val="009C213F"/>
    <w:rsid w:val="009C21B4"/>
    <w:rsid w:val="009C2243"/>
    <w:rsid w:val="009C2292"/>
    <w:rsid w:val="009C22E3"/>
    <w:rsid w:val="009C235A"/>
    <w:rsid w:val="009C236D"/>
    <w:rsid w:val="009C24D3"/>
    <w:rsid w:val="009C2553"/>
    <w:rsid w:val="009C263E"/>
    <w:rsid w:val="009C2693"/>
    <w:rsid w:val="009C26BD"/>
    <w:rsid w:val="009C2709"/>
    <w:rsid w:val="009C27F9"/>
    <w:rsid w:val="009C2917"/>
    <w:rsid w:val="009C2A22"/>
    <w:rsid w:val="009C2A35"/>
    <w:rsid w:val="009C2A49"/>
    <w:rsid w:val="009C2B08"/>
    <w:rsid w:val="009C2BDA"/>
    <w:rsid w:val="009C2C11"/>
    <w:rsid w:val="009C2C3A"/>
    <w:rsid w:val="009C2C76"/>
    <w:rsid w:val="009C2CAE"/>
    <w:rsid w:val="009C2D0B"/>
    <w:rsid w:val="009C2D27"/>
    <w:rsid w:val="009C2D52"/>
    <w:rsid w:val="009C2D7A"/>
    <w:rsid w:val="009C2FC3"/>
    <w:rsid w:val="009C30C6"/>
    <w:rsid w:val="009C319C"/>
    <w:rsid w:val="009C323E"/>
    <w:rsid w:val="009C333B"/>
    <w:rsid w:val="009C3404"/>
    <w:rsid w:val="009C34B0"/>
    <w:rsid w:val="009C3523"/>
    <w:rsid w:val="009C3639"/>
    <w:rsid w:val="009C3640"/>
    <w:rsid w:val="009C36AF"/>
    <w:rsid w:val="009C374B"/>
    <w:rsid w:val="009C384B"/>
    <w:rsid w:val="009C38A1"/>
    <w:rsid w:val="009C38D4"/>
    <w:rsid w:val="009C392C"/>
    <w:rsid w:val="009C3988"/>
    <w:rsid w:val="009C39D0"/>
    <w:rsid w:val="009C3AA6"/>
    <w:rsid w:val="009C3B1D"/>
    <w:rsid w:val="009C3C19"/>
    <w:rsid w:val="009C3F16"/>
    <w:rsid w:val="009C3F2E"/>
    <w:rsid w:val="009C3F94"/>
    <w:rsid w:val="009C414B"/>
    <w:rsid w:val="009C4246"/>
    <w:rsid w:val="009C4375"/>
    <w:rsid w:val="009C4385"/>
    <w:rsid w:val="009C441F"/>
    <w:rsid w:val="009C4453"/>
    <w:rsid w:val="009C4498"/>
    <w:rsid w:val="009C44D2"/>
    <w:rsid w:val="009C45C5"/>
    <w:rsid w:val="009C45D9"/>
    <w:rsid w:val="009C45FE"/>
    <w:rsid w:val="009C467E"/>
    <w:rsid w:val="009C468A"/>
    <w:rsid w:val="009C46D2"/>
    <w:rsid w:val="009C46EF"/>
    <w:rsid w:val="009C4882"/>
    <w:rsid w:val="009C48DE"/>
    <w:rsid w:val="009C4906"/>
    <w:rsid w:val="009C491E"/>
    <w:rsid w:val="009C492A"/>
    <w:rsid w:val="009C4955"/>
    <w:rsid w:val="009C4B80"/>
    <w:rsid w:val="009C4C7C"/>
    <w:rsid w:val="009C4C92"/>
    <w:rsid w:val="009C4CBC"/>
    <w:rsid w:val="009C4E66"/>
    <w:rsid w:val="009C4E76"/>
    <w:rsid w:val="009C4E8E"/>
    <w:rsid w:val="009C4EBE"/>
    <w:rsid w:val="009C4F89"/>
    <w:rsid w:val="009C51E2"/>
    <w:rsid w:val="009C5352"/>
    <w:rsid w:val="009C5353"/>
    <w:rsid w:val="009C5369"/>
    <w:rsid w:val="009C5382"/>
    <w:rsid w:val="009C53A3"/>
    <w:rsid w:val="009C547B"/>
    <w:rsid w:val="009C548A"/>
    <w:rsid w:val="009C556D"/>
    <w:rsid w:val="009C565C"/>
    <w:rsid w:val="009C572E"/>
    <w:rsid w:val="009C580C"/>
    <w:rsid w:val="009C5855"/>
    <w:rsid w:val="009C59CC"/>
    <w:rsid w:val="009C5A07"/>
    <w:rsid w:val="009C5A77"/>
    <w:rsid w:val="009C5A9E"/>
    <w:rsid w:val="009C5B59"/>
    <w:rsid w:val="009C5D98"/>
    <w:rsid w:val="009C5DEF"/>
    <w:rsid w:val="009C5E92"/>
    <w:rsid w:val="009C5F1A"/>
    <w:rsid w:val="009C5FCE"/>
    <w:rsid w:val="009C6045"/>
    <w:rsid w:val="009C6056"/>
    <w:rsid w:val="009C60DE"/>
    <w:rsid w:val="009C6364"/>
    <w:rsid w:val="009C636F"/>
    <w:rsid w:val="009C6392"/>
    <w:rsid w:val="009C649A"/>
    <w:rsid w:val="009C64E0"/>
    <w:rsid w:val="009C6539"/>
    <w:rsid w:val="009C65E1"/>
    <w:rsid w:val="009C6626"/>
    <w:rsid w:val="009C6662"/>
    <w:rsid w:val="009C6685"/>
    <w:rsid w:val="009C66F1"/>
    <w:rsid w:val="009C688C"/>
    <w:rsid w:val="009C6905"/>
    <w:rsid w:val="009C6A16"/>
    <w:rsid w:val="009C6A42"/>
    <w:rsid w:val="009C6A6D"/>
    <w:rsid w:val="009C6B4B"/>
    <w:rsid w:val="009C6BBC"/>
    <w:rsid w:val="009C6C17"/>
    <w:rsid w:val="009C6D68"/>
    <w:rsid w:val="009C6DAA"/>
    <w:rsid w:val="009C6E6C"/>
    <w:rsid w:val="009C6EDE"/>
    <w:rsid w:val="009C6F46"/>
    <w:rsid w:val="009C7006"/>
    <w:rsid w:val="009C7071"/>
    <w:rsid w:val="009C70D6"/>
    <w:rsid w:val="009C70FC"/>
    <w:rsid w:val="009C712C"/>
    <w:rsid w:val="009C719C"/>
    <w:rsid w:val="009C71C1"/>
    <w:rsid w:val="009C7212"/>
    <w:rsid w:val="009C7284"/>
    <w:rsid w:val="009C7372"/>
    <w:rsid w:val="009C73A7"/>
    <w:rsid w:val="009C7477"/>
    <w:rsid w:val="009C74E0"/>
    <w:rsid w:val="009C750F"/>
    <w:rsid w:val="009C754B"/>
    <w:rsid w:val="009C7614"/>
    <w:rsid w:val="009C7747"/>
    <w:rsid w:val="009C77D7"/>
    <w:rsid w:val="009C78A9"/>
    <w:rsid w:val="009C790A"/>
    <w:rsid w:val="009C7938"/>
    <w:rsid w:val="009C79AE"/>
    <w:rsid w:val="009C7B04"/>
    <w:rsid w:val="009C7B77"/>
    <w:rsid w:val="009C7B9B"/>
    <w:rsid w:val="009C7C47"/>
    <w:rsid w:val="009C7C4D"/>
    <w:rsid w:val="009C7D33"/>
    <w:rsid w:val="009C7EE3"/>
    <w:rsid w:val="009C7F81"/>
    <w:rsid w:val="009C7FC6"/>
    <w:rsid w:val="009D00E5"/>
    <w:rsid w:val="009D0151"/>
    <w:rsid w:val="009D018B"/>
    <w:rsid w:val="009D01F2"/>
    <w:rsid w:val="009D020D"/>
    <w:rsid w:val="009D02F3"/>
    <w:rsid w:val="009D035F"/>
    <w:rsid w:val="009D038F"/>
    <w:rsid w:val="009D04AE"/>
    <w:rsid w:val="009D04B5"/>
    <w:rsid w:val="009D0619"/>
    <w:rsid w:val="009D097B"/>
    <w:rsid w:val="009D09BA"/>
    <w:rsid w:val="009D09DF"/>
    <w:rsid w:val="009D09F9"/>
    <w:rsid w:val="009D0AAC"/>
    <w:rsid w:val="009D0AE9"/>
    <w:rsid w:val="009D0B13"/>
    <w:rsid w:val="009D0C12"/>
    <w:rsid w:val="009D0CA3"/>
    <w:rsid w:val="009D0CB2"/>
    <w:rsid w:val="009D0CEC"/>
    <w:rsid w:val="009D0E2D"/>
    <w:rsid w:val="009D0E3C"/>
    <w:rsid w:val="009D0EC7"/>
    <w:rsid w:val="009D0F12"/>
    <w:rsid w:val="009D0F9F"/>
    <w:rsid w:val="009D0FBA"/>
    <w:rsid w:val="009D0FEA"/>
    <w:rsid w:val="009D1077"/>
    <w:rsid w:val="009D10DF"/>
    <w:rsid w:val="009D11E9"/>
    <w:rsid w:val="009D1223"/>
    <w:rsid w:val="009D1233"/>
    <w:rsid w:val="009D1234"/>
    <w:rsid w:val="009D1241"/>
    <w:rsid w:val="009D12F1"/>
    <w:rsid w:val="009D131B"/>
    <w:rsid w:val="009D1338"/>
    <w:rsid w:val="009D1348"/>
    <w:rsid w:val="009D13D4"/>
    <w:rsid w:val="009D1561"/>
    <w:rsid w:val="009D158D"/>
    <w:rsid w:val="009D16B1"/>
    <w:rsid w:val="009D1703"/>
    <w:rsid w:val="009D1710"/>
    <w:rsid w:val="009D1823"/>
    <w:rsid w:val="009D1841"/>
    <w:rsid w:val="009D1870"/>
    <w:rsid w:val="009D18DD"/>
    <w:rsid w:val="009D18DE"/>
    <w:rsid w:val="009D1A6E"/>
    <w:rsid w:val="009D1BC1"/>
    <w:rsid w:val="009D1CD7"/>
    <w:rsid w:val="009D1CE5"/>
    <w:rsid w:val="009D1DFF"/>
    <w:rsid w:val="009D1E36"/>
    <w:rsid w:val="009D1E3F"/>
    <w:rsid w:val="009D1E53"/>
    <w:rsid w:val="009D1E7E"/>
    <w:rsid w:val="009D1E81"/>
    <w:rsid w:val="009D1EB7"/>
    <w:rsid w:val="009D1ECA"/>
    <w:rsid w:val="009D1EE9"/>
    <w:rsid w:val="009D1F3F"/>
    <w:rsid w:val="009D1FFE"/>
    <w:rsid w:val="009D2165"/>
    <w:rsid w:val="009D22CD"/>
    <w:rsid w:val="009D22CF"/>
    <w:rsid w:val="009D234F"/>
    <w:rsid w:val="009D23F5"/>
    <w:rsid w:val="009D24BE"/>
    <w:rsid w:val="009D260C"/>
    <w:rsid w:val="009D270C"/>
    <w:rsid w:val="009D2714"/>
    <w:rsid w:val="009D28A0"/>
    <w:rsid w:val="009D29AB"/>
    <w:rsid w:val="009D2A53"/>
    <w:rsid w:val="009D2A63"/>
    <w:rsid w:val="009D2B67"/>
    <w:rsid w:val="009D2B82"/>
    <w:rsid w:val="009D2CD4"/>
    <w:rsid w:val="009D2DC6"/>
    <w:rsid w:val="009D2DD3"/>
    <w:rsid w:val="009D2ECE"/>
    <w:rsid w:val="009D2F6A"/>
    <w:rsid w:val="009D2FE3"/>
    <w:rsid w:val="009D3062"/>
    <w:rsid w:val="009D3150"/>
    <w:rsid w:val="009D3220"/>
    <w:rsid w:val="009D32C2"/>
    <w:rsid w:val="009D32D7"/>
    <w:rsid w:val="009D342F"/>
    <w:rsid w:val="009D3442"/>
    <w:rsid w:val="009D3461"/>
    <w:rsid w:val="009D3565"/>
    <w:rsid w:val="009D3577"/>
    <w:rsid w:val="009D3672"/>
    <w:rsid w:val="009D3718"/>
    <w:rsid w:val="009D37BF"/>
    <w:rsid w:val="009D3846"/>
    <w:rsid w:val="009D39BD"/>
    <w:rsid w:val="009D39D1"/>
    <w:rsid w:val="009D39F9"/>
    <w:rsid w:val="009D3BEA"/>
    <w:rsid w:val="009D3C1F"/>
    <w:rsid w:val="009D3C9F"/>
    <w:rsid w:val="009D3D09"/>
    <w:rsid w:val="009D3DBB"/>
    <w:rsid w:val="009D3E0C"/>
    <w:rsid w:val="009D3E21"/>
    <w:rsid w:val="009D3E52"/>
    <w:rsid w:val="009D4058"/>
    <w:rsid w:val="009D4181"/>
    <w:rsid w:val="009D4218"/>
    <w:rsid w:val="009D4238"/>
    <w:rsid w:val="009D4298"/>
    <w:rsid w:val="009D42A6"/>
    <w:rsid w:val="009D43D9"/>
    <w:rsid w:val="009D451B"/>
    <w:rsid w:val="009D458E"/>
    <w:rsid w:val="009D45D3"/>
    <w:rsid w:val="009D467B"/>
    <w:rsid w:val="009D4855"/>
    <w:rsid w:val="009D4962"/>
    <w:rsid w:val="009D4A32"/>
    <w:rsid w:val="009D4A39"/>
    <w:rsid w:val="009D4AB1"/>
    <w:rsid w:val="009D4AB5"/>
    <w:rsid w:val="009D4BD0"/>
    <w:rsid w:val="009D4C49"/>
    <w:rsid w:val="009D4D98"/>
    <w:rsid w:val="009D4DC7"/>
    <w:rsid w:val="009D4E2A"/>
    <w:rsid w:val="009D4F46"/>
    <w:rsid w:val="009D505C"/>
    <w:rsid w:val="009D5101"/>
    <w:rsid w:val="009D5153"/>
    <w:rsid w:val="009D5186"/>
    <w:rsid w:val="009D51DD"/>
    <w:rsid w:val="009D51FC"/>
    <w:rsid w:val="009D5214"/>
    <w:rsid w:val="009D5228"/>
    <w:rsid w:val="009D5277"/>
    <w:rsid w:val="009D52B0"/>
    <w:rsid w:val="009D5370"/>
    <w:rsid w:val="009D53C9"/>
    <w:rsid w:val="009D5495"/>
    <w:rsid w:val="009D54BC"/>
    <w:rsid w:val="009D54CB"/>
    <w:rsid w:val="009D54DD"/>
    <w:rsid w:val="009D55C5"/>
    <w:rsid w:val="009D5646"/>
    <w:rsid w:val="009D56E7"/>
    <w:rsid w:val="009D5741"/>
    <w:rsid w:val="009D5AA9"/>
    <w:rsid w:val="009D5AB2"/>
    <w:rsid w:val="009D5C55"/>
    <w:rsid w:val="009D5E3F"/>
    <w:rsid w:val="009D5E66"/>
    <w:rsid w:val="009D5F12"/>
    <w:rsid w:val="009D5F6C"/>
    <w:rsid w:val="009D5F87"/>
    <w:rsid w:val="009D5F98"/>
    <w:rsid w:val="009D6093"/>
    <w:rsid w:val="009D60DC"/>
    <w:rsid w:val="009D6144"/>
    <w:rsid w:val="009D6170"/>
    <w:rsid w:val="009D61C1"/>
    <w:rsid w:val="009D621B"/>
    <w:rsid w:val="009D640D"/>
    <w:rsid w:val="009D6423"/>
    <w:rsid w:val="009D6440"/>
    <w:rsid w:val="009D6448"/>
    <w:rsid w:val="009D64A0"/>
    <w:rsid w:val="009D64BA"/>
    <w:rsid w:val="009D64BB"/>
    <w:rsid w:val="009D64D7"/>
    <w:rsid w:val="009D655D"/>
    <w:rsid w:val="009D65CF"/>
    <w:rsid w:val="009D660F"/>
    <w:rsid w:val="009D66EE"/>
    <w:rsid w:val="009D6716"/>
    <w:rsid w:val="009D6780"/>
    <w:rsid w:val="009D67F1"/>
    <w:rsid w:val="009D69AF"/>
    <w:rsid w:val="009D6AC9"/>
    <w:rsid w:val="009D6B53"/>
    <w:rsid w:val="009D6B5F"/>
    <w:rsid w:val="009D6C18"/>
    <w:rsid w:val="009D6C76"/>
    <w:rsid w:val="009D6D4D"/>
    <w:rsid w:val="009D6D88"/>
    <w:rsid w:val="009D6D96"/>
    <w:rsid w:val="009D6E1C"/>
    <w:rsid w:val="009D6E62"/>
    <w:rsid w:val="009D6F36"/>
    <w:rsid w:val="009D6F48"/>
    <w:rsid w:val="009D700D"/>
    <w:rsid w:val="009D7061"/>
    <w:rsid w:val="009D7132"/>
    <w:rsid w:val="009D715F"/>
    <w:rsid w:val="009D71DC"/>
    <w:rsid w:val="009D732E"/>
    <w:rsid w:val="009D7366"/>
    <w:rsid w:val="009D741E"/>
    <w:rsid w:val="009D7462"/>
    <w:rsid w:val="009D7487"/>
    <w:rsid w:val="009D75C2"/>
    <w:rsid w:val="009D7665"/>
    <w:rsid w:val="009D770B"/>
    <w:rsid w:val="009D77D6"/>
    <w:rsid w:val="009D77E5"/>
    <w:rsid w:val="009D7A46"/>
    <w:rsid w:val="009D7A4E"/>
    <w:rsid w:val="009D7AA5"/>
    <w:rsid w:val="009D7B4A"/>
    <w:rsid w:val="009D7BC4"/>
    <w:rsid w:val="009D7BFF"/>
    <w:rsid w:val="009D7C3C"/>
    <w:rsid w:val="009D7CA1"/>
    <w:rsid w:val="009D7CB4"/>
    <w:rsid w:val="009D7D82"/>
    <w:rsid w:val="009D7DE0"/>
    <w:rsid w:val="009D7DF1"/>
    <w:rsid w:val="009D7EB8"/>
    <w:rsid w:val="009D7F26"/>
    <w:rsid w:val="009E0116"/>
    <w:rsid w:val="009E0127"/>
    <w:rsid w:val="009E03D7"/>
    <w:rsid w:val="009E0463"/>
    <w:rsid w:val="009E0470"/>
    <w:rsid w:val="009E0552"/>
    <w:rsid w:val="009E05F2"/>
    <w:rsid w:val="009E0626"/>
    <w:rsid w:val="009E0695"/>
    <w:rsid w:val="009E07F9"/>
    <w:rsid w:val="009E07FC"/>
    <w:rsid w:val="009E081A"/>
    <w:rsid w:val="009E0A40"/>
    <w:rsid w:val="009E0AFC"/>
    <w:rsid w:val="009E0B93"/>
    <w:rsid w:val="009E0C53"/>
    <w:rsid w:val="009E0CAE"/>
    <w:rsid w:val="009E0CB3"/>
    <w:rsid w:val="009E0D1F"/>
    <w:rsid w:val="009E0DC8"/>
    <w:rsid w:val="009E103D"/>
    <w:rsid w:val="009E1092"/>
    <w:rsid w:val="009E10AA"/>
    <w:rsid w:val="009E112B"/>
    <w:rsid w:val="009E127A"/>
    <w:rsid w:val="009E128D"/>
    <w:rsid w:val="009E1292"/>
    <w:rsid w:val="009E129F"/>
    <w:rsid w:val="009E13DF"/>
    <w:rsid w:val="009E15A6"/>
    <w:rsid w:val="009E1683"/>
    <w:rsid w:val="009E16A1"/>
    <w:rsid w:val="009E1741"/>
    <w:rsid w:val="009E1753"/>
    <w:rsid w:val="009E1791"/>
    <w:rsid w:val="009E1867"/>
    <w:rsid w:val="009E1935"/>
    <w:rsid w:val="009E1945"/>
    <w:rsid w:val="009E197D"/>
    <w:rsid w:val="009E1A0B"/>
    <w:rsid w:val="009E1A1B"/>
    <w:rsid w:val="009E1C97"/>
    <w:rsid w:val="009E1D84"/>
    <w:rsid w:val="009E1E58"/>
    <w:rsid w:val="009E1EB4"/>
    <w:rsid w:val="009E1F5B"/>
    <w:rsid w:val="009E1FA5"/>
    <w:rsid w:val="009E2212"/>
    <w:rsid w:val="009E228B"/>
    <w:rsid w:val="009E22A3"/>
    <w:rsid w:val="009E22AC"/>
    <w:rsid w:val="009E2300"/>
    <w:rsid w:val="009E23C9"/>
    <w:rsid w:val="009E2548"/>
    <w:rsid w:val="009E257A"/>
    <w:rsid w:val="009E25B1"/>
    <w:rsid w:val="009E25F5"/>
    <w:rsid w:val="009E2628"/>
    <w:rsid w:val="009E26F0"/>
    <w:rsid w:val="009E271C"/>
    <w:rsid w:val="009E28A8"/>
    <w:rsid w:val="009E291F"/>
    <w:rsid w:val="009E2928"/>
    <w:rsid w:val="009E29A8"/>
    <w:rsid w:val="009E29BD"/>
    <w:rsid w:val="009E29E1"/>
    <w:rsid w:val="009E2B02"/>
    <w:rsid w:val="009E2B5D"/>
    <w:rsid w:val="009E2BBB"/>
    <w:rsid w:val="009E2BDC"/>
    <w:rsid w:val="009E2BFE"/>
    <w:rsid w:val="009E2C5E"/>
    <w:rsid w:val="009E2CB6"/>
    <w:rsid w:val="009E2F04"/>
    <w:rsid w:val="009E2FDE"/>
    <w:rsid w:val="009E300B"/>
    <w:rsid w:val="009E3099"/>
    <w:rsid w:val="009E311B"/>
    <w:rsid w:val="009E31F2"/>
    <w:rsid w:val="009E3254"/>
    <w:rsid w:val="009E3262"/>
    <w:rsid w:val="009E32DF"/>
    <w:rsid w:val="009E350B"/>
    <w:rsid w:val="009E3562"/>
    <w:rsid w:val="009E3640"/>
    <w:rsid w:val="009E3788"/>
    <w:rsid w:val="009E37BE"/>
    <w:rsid w:val="009E37D8"/>
    <w:rsid w:val="009E399F"/>
    <w:rsid w:val="009E39FF"/>
    <w:rsid w:val="009E3A1C"/>
    <w:rsid w:val="009E3A86"/>
    <w:rsid w:val="009E3ADC"/>
    <w:rsid w:val="009E3AED"/>
    <w:rsid w:val="009E3CD5"/>
    <w:rsid w:val="009E3D6D"/>
    <w:rsid w:val="009E3D86"/>
    <w:rsid w:val="009E40CA"/>
    <w:rsid w:val="009E40D2"/>
    <w:rsid w:val="009E40E1"/>
    <w:rsid w:val="009E418F"/>
    <w:rsid w:val="009E41CC"/>
    <w:rsid w:val="009E41FE"/>
    <w:rsid w:val="009E4249"/>
    <w:rsid w:val="009E42E6"/>
    <w:rsid w:val="009E46C9"/>
    <w:rsid w:val="009E4733"/>
    <w:rsid w:val="009E477C"/>
    <w:rsid w:val="009E4798"/>
    <w:rsid w:val="009E4859"/>
    <w:rsid w:val="009E4960"/>
    <w:rsid w:val="009E4967"/>
    <w:rsid w:val="009E4A47"/>
    <w:rsid w:val="009E4BBD"/>
    <w:rsid w:val="009E4C74"/>
    <w:rsid w:val="009E4CE1"/>
    <w:rsid w:val="009E4D01"/>
    <w:rsid w:val="009E4D04"/>
    <w:rsid w:val="009E4D37"/>
    <w:rsid w:val="009E4D77"/>
    <w:rsid w:val="009E4E6D"/>
    <w:rsid w:val="009E515B"/>
    <w:rsid w:val="009E51EA"/>
    <w:rsid w:val="009E5283"/>
    <w:rsid w:val="009E5300"/>
    <w:rsid w:val="009E530B"/>
    <w:rsid w:val="009E533D"/>
    <w:rsid w:val="009E54C0"/>
    <w:rsid w:val="009E552D"/>
    <w:rsid w:val="009E5532"/>
    <w:rsid w:val="009E555F"/>
    <w:rsid w:val="009E55F2"/>
    <w:rsid w:val="009E5607"/>
    <w:rsid w:val="009E562B"/>
    <w:rsid w:val="009E5645"/>
    <w:rsid w:val="009E566D"/>
    <w:rsid w:val="009E5689"/>
    <w:rsid w:val="009E56D4"/>
    <w:rsid w:val="009E56F2"/>
    <w:rsid w:val="009E573E"/>
    <w:rsid w:val="009E590B"/>
    <w:rsid w:val="009E5912"/>
    <w:rsid w:val="009E5916"/>
    <w:rsid w:val="009E5929"/>
    <w:rsid w:val="009E596F"/>
    <w:rsid w:val="009E59D5"/>
    <w:rsid w:val="009E59D9"/>
    <w:rsid w:val="009E5B02"/>
    <w:rsid w:val="009E5B13"/>
    <w:rsid w:val="009E5B80"/>
    <w:rsid w:val="009E5C1D"/>
    <w:rsid w:val="009E5D10"/>
    <w:rsid w:val="009E5D5F"/>
    <w:rsid w:val="009E5EB8"/>
    <w:rsid w:val="009E5F9B"/>
    <w:rsid w:val="009E5FDB"/>
    <w:rsid w:val="009E60D4"/>
    <w:rsid w:val="009E6128"/>
    <w:rsid w:val="009E61A2"/>
    <w:rsid w:val="009E6291"/>
    <w:rsid w:val="009E6322"/>
    <w:rsid w:val="009E6393"/>
    <w:rsid w:val="009E64DC"/>
    <w:rsid w:val="009E6569"/>
    <w:rsid w:val="009E658B"/>
    <w:rsid w:val="009E65BB"/>
    <w:rsid w:val="009E65FB"/>
    <w:rsid w:val="009E6600"/>
    <w:rsid w:val="009E6634"/>
    <w:rsid w:val="009E6692"/>
    <w:rsid w:val="009E676E"/>
    <w:rsid w:val="009E67B1"/>
    <w:rsid w:val="009E67D3"/>
    <w:rsid w:val="009E6969"/>
    <w:rsid w:val="009E69BC"/>
    <w:rsid w:val="009E69E9"/>
    <w:rsid w:val="009E6A95"/>
    <w:rsid w:val="009E6B51"/>
    <w:rsid w:val="009E6B86"/>
    <w:rsid w:val="009E6BF3"/>
    <w:rsid w:val="009E6FE6"/>
    <w:rsid w:val="009E7044"/>
    <w:rsid w:val="009E71AF"/>
    <w:rsid w:val="009E71C8"/>
    <w:rsid w:val="009E720A"/>
    <w:rsid w:val="009E725E"/>
    <w:rsid w:val="009E734F"/>
    <w:rsid w:val="009E7373"/>
    <w:rsid w:val="009E742F"/>
    <w:rsid w:val="009E7506"/>
    <w:rsid w:val="009E75E5"/>
    <w:rsid w:val="009E75FF"/>
    <w:rsid w:val="009E7681"/>
    <w:rsid w:val="009E7682"/>
    <w:rsid w:val="009E76DE"/>
    <w:rsid w:val="009E77B6"/>
    <w:rsid w:val="009E790D"/>
    <w:rsid w:val="009E794F"/>
    <w:rsid w:val="009E7957"/>
    <w:rsid w:val="009E799A"/>
    <w:rsid w:val="009E7A20"/>
    <w:rsid w:val="009E7B43"/>
    <w:rsid w:val="009E7BD7"/>
    <w:rsid w:val="009E7BEA"/>
    <w:rsid w:val="009E7CCC"/>
    <w:rsid w:val="009E7CEB"/>
    <w:rsid w:val="009E7D35"/>
    <w:rsid w:val="009E7E25"/>
    <w:rsid w:val="009E7E88"/>
    <w:rsid w:val="009E7ED9"/>
    <w:rsid w:val="009E7F26"/>
    <w:rsid w:val="009F0039"/>
    <w:rsid w:val="009F0054"/>
    <w:rsid w:val="009F011C"/>
    <w:rsid w:val="009F016A"/>
    <w:rsid w:val="009F01E5"/>
    <w:rsid w:val="009F02C5"/>
    <w:rsid w:val="009F02F2"/>
    <w:rsid w:val="009F033E"/>
    <w:rsid w:val="009F034D"/>
    <w:rsid w:val="009F0363"/>
    <w:rsid w:val="009F0418"/>
    <w:rsid w:val="009F04FA"/>
    <w:rsid w:val="009F0514"/>
    <w:rsid w:val="009F0522"/>
    <w:rsid w:val="009F0541"/>
    <w:rsid w:val="009F0569"/>
    <w:rsid w:val="009F05DC"/>
    <w:rsid w:val="009F06A6"/>
    <w:rsid w:val="009F0794"/>
    <w:rsid w:val="009F0897"/>
    <w:rsid w:val="009F0B0E"/>
    <w:rsid w:val="009F0B13"/>
    <w:rsid w:val="009F0B98"/>
    <w:rsid w:val="009F0C63"/>
    <w:rsid w:val="009F0C7A"/>
    <w:rsid w:val="009F0D2D"/>
    <w:rsid w:val="009F0DE1"/>
    <w:rsid w:val="009F0E37"/>
    <w:rsid w:val="009F0F78"/>
    <w:rsid w:val="009F0F90"/>
    <w:rsid w:val="009F0FE5"/>
    <w:rsid w:val="009F101B"/>
    <w:rsid w:val="009F11C4"/>
    <w:rsid w:val="009F11EB"/>
    <w:rsid w:val="009F1226"/>
    <w:rsid w:val="009F14E1"/>
    <w:rsid w:val="009F159C"/>
    <w:rsid w:val="009F15A2"/>
    <w:rsid w:val="009F16E1"/>
    <w:rsid w:val="009F1752"/>
    <w:rsid w:val="009F1772"/>
    <w:rsid w:val="009F187E"/>
    <w:rsid w:val="009F192C"/>
    <w:rsid w:val="009F198A"/>
    <w:rsid w:val="009F19EF"/>
    <w:rsid w:val="009F1AB6"/>
    <w:rsid w:val="009F1B68"/>
    <w:rsid w:val="009F1BC3"/>
    <w:rsid w:val="009F1C05"/>
    <w:rsid w:val="009F1C1D"/>
    <w:rsid w:val="009F1CF4"/>
    <w:rsid w:val="009F1DD1"/>
    <w:rsid w:val="009F1E98"/>
    <w:rsid w:val="009F1ED9"/>
    <w:rsid w:val="009F1FB7"/>
    <w:rsid w:val="009F2016"/>
    <w:rsid w:val="009F20E3"/>
    <w:rsid w:val="009F20E4"/>
    <w:rsid w:val="009F2158"/>
    <w:rsid w:val="009F21A3"/>
    <w:rsid w:val="009F22E4"/>
    <w:rsid w:val="009F23A2"/>
    <w:rsid w:val="009F23D0"/>
    <w:rsid w:val="009F2497"/>
    <w:rsid w:val="009F251E"/>
    <w:rsid w:val="009F257D"/>
    <w:rsid w:val="009F27DE"/>
    <w:rsid w:val="009F2848"/>
    <w:rsid w:val="009F29D1"/>
    <w:rsid w:val="009F2A6A"/>
    <w:rsid w:val="009F2AB2"/>
    <w:rsid w:val="009F2B12"/>
    <w:rsid w:val="009F2B7C"/>
    <w:rsid w:val="009F2C16"/>
    <w:rsid w:val="009F2D84"/>
    <w:rsid w:val="009F2E6D"/>
    <w:rsid w:val="009F2E87"/>
    <w:rsid w:val="009F2F03"/>
    <w:rsid w:val="009F305C"/>
    <w:rsid w:val="009F307D"/>
    <w:rsid w:val="009F30BD"/>
    <w:rsid w:val="009F3145"/>
    <w:rsid w:val="009F3151"/>
    <w:rsid w:val="009F3168"/>
    <w:rsid w:val="009F3204"/>
    <w:rsid w:val="009F323E"/>
    <w:rsid w:val="009F326B"/>
    <w:rsid w:val="009F332B"/>
    <w:rsid w:val="009F356A"/>
    <w:rsid w:val="009F3571"/>
    <w:rsid w:val="009F35B4"/>
    <w:rsid w:val="009F3633"/>
    <w:rsid w:val="009F3670"/>
    <w:rsid w:val="009F3681"/>
    <w:rsid w:val="009F36EA"/>
    <w:rsid w:val="009F378F"/>
    <w:rsid w:val="009F383E"/>
    <w:rsid w:val="009F38E1"/>
    <w:rsid w:val="009F38E2"/>
    <w:rsid w:val="009F390E"/>
    <w:rsid w:val="009F3927"/>
    <w:rsid w:val="009F39D0"/>
    <w:rsid w:val="009F39F1"/>
    <w:rsid w:val="009F3A05"/>
    <w:rsid w:val="009F3AFA"/>
    <w:rsid w:val="009F3BD4"/>
    <w:rsid w:val="009F3C74"/>
    <w:rsid w:val="009F3E4C"/>
    <w:rsid w:val="009F3E68"/>
    <w:rsid w:val="009F3F05"/>
    <w:rsid w:val="009F3F62"/>
    <w:rsid w:val="009F401D"/>
    <w:rsid w:val="009F402F"/>
    <w:rsid w:val="009F4072"/>
    <w:rsid w:val="009F4201"/>
    <w:rsid w:val="009F423F"/>
    <w:rsid w:val="009F4261"/>
    <w:rsid w:val="009F4354"/>
    <w:rsid w:val="009F43A9"/>
    <w:rsid w:val="009F43F3"/>
    <w:rsid w:val="009F45C1"/>
    <w:rsid w:val="009F45E4"/>
    <w:rsid w:val="009F46A1"/>
    <w:rsid w:val="009F4704"/>
    <w:rsid w:val="009F49D5"/>
    <w:rsid w:val="009F4A54"/>
    <w:rsid w:val="009F4C06"/>
    <w:rsid w:val="009F4C4D"/>
    <w:rsid w:val="009F4C8E"/>
    <w:rsid w:val="009F4DFD"/>
    <w:rsid w:val="009F4E5C"/>
    <w:rsid w:val="009F4EA3"/>
    <w:rsid w:val="009F4FAD"/>
    <w:rsid w:val="009F4FFA"/>
    <w:rsid w:val="009F51D3"/>
    <w:rsid w:val="009F51FA"/>
    <w:rsid w:val="009F5285"/>
    <w:rsid w:val="009F52B3"/>
    <w:rsid w:val="009F542F"/>
    <w:rsid w:val="009F549D"/>
    <w:rsid w:val="009F550B"/>
    <w:rsid w:val="009F5682"/>
    <w:rsid w:val="009F56CA"/>
    <w:rsid w:val="009F56F3"/>
    <w:rsid w:val="009F57A3"/>
    <w:rsid w:val="009F57AF"/>
    <w:rsid w:val="009F5921"/>
    <w:rsid w:val="009F59A1"/>
    <w:rsid w:val="009F59F2"/>
    <w:rsid w:val="009F5A6F"/>
    <w:rsid w:val="009F5A9B"/>
    <w:rsid w:val="009F5AB8"/>
    <w:rsid w:val="009F5ACD"/>
    <w:rsid w:val="009F5AE0"/>
    <w:rsid w:val="009F5B37"/>
    <w:rsid w:val="009F5B44"/>
    <w:rsid w:val="009F5BED"/>
    <w:rsid w:val="009F5DBA"/>
    <w:rsid w:val="009F5E02"/>
    <w:rsid w:val="009F5FB4"/>
    <w:rsid w:val="009F5FBB"/>
    <w:rsid w:val="009F62B4"/>
    <w:rsid w:val="009F6340"/>
    <w:rsid w:val="009F6342"/>
    <w:rsid w:val="009F64AC"/>
    <w:rsid w:val="009F64F5"/>
    <w:rsid w:val="009F66B9"/>
    <w:rsid w:val="009F6708"/>
    <w:rsid w:val="009F67B7"/>
    <w:rsid w:val="009F67E0"/>
    <w:rsid w:val="009F67E3"/>
    <w:rsid w:val="009F6853"/>
    <w:rsid w:val="009F690C"/>
    <w:rsid w:val="009F6B64"/>
    <w:rsid w:val="009F6B7C"/>
    <w:rsid w:val="009F6CF6"/>
    <w:rsid w:val="009F6D94"/>
    <w:rsid w:val="009F6DCD"/>
    <w:rsid w:val="009F6F0D"/>
    <w:rsid w:val="009F6F6E"/>
    <w:rsid w:val="009F6FFB"/>
    <w:rsid w:val="009F70B8"/>
    <w:rsid w:val="009F710E"/>
    <w:rsid w:val="009F7126"/>
    <w:rsid w:val="009F7140"/>
    <w:rsid w:val="009F71DD"/>
    <w:rsid w:val="009F7388"/>
    <w:rsid w:val="009F741B"/>
    <w:rsid w:val="009F74E1"/>
    <w:rsid w:val="009F75FC"/>
    <w:rsid w:val="009F7705"/>
    <w:rsid w:val="009F77A8"/>
    <w:rsid w:val="009F77C9"/>
    <w:rsid w:val="009F7859"/>
    <w:rsid w:val="009F7A11"/>
    <w:rsid w:val="009F7AEC"/>
    <w:rsid w:val="009F7B30"/>
    <w:rsid w:val="009F7B6C"/>
    <w:rsid w:val="009F7BB1"/>
    <w:rsid w:val="009F7BD8"/>
    <w:rsid w:val="009F7D20"/>
    <w:rsid w:val="009F7D56"/>
    <w:rsid w:val="009F7E32"/>
    <w:rsid w:val="009F7EA5"/>
    <w:rsid w:val="009F7EBE"/>
    <w:rsid w:val="00A0007F"/>
    <w:rsid w:val="00A00175"/>
    <w:rsid w:val="00A0018F"/>
    <w:rsid w:val="00A003D5"/>
    <w:rsid w:val="00A0040E"/>
    <w:rsid w:val="00A00498"/>
    <w:rsid w:val="00A00516"/>
    <w:rsid w:val="00A00602"/>
    <w:rsid w:val="00A0062B"/>
    <w:rsid w:val="00A007EC"/>
    <w:rsid w:val="00A00830"/>
    <w:rsid w:val="00A008C8"/>
    <w:rsid w:val="00A00947"/>
    <w:rsid w:val="00A009C0"/>
    <w:rsid w:val="00A00A5D"/>
    <w:rsid w:val="00A00A74"/>
    <w:rsid w:val="00A00ABD"/>
    <w:rsid w:val="00A00B75"/>
    <w:rsid w:val="00A00BA6"/>
    <w:rsid w:val="00A00C9C"/>
    <w:rsid w:val="00A00D53"/>
    <w:rsid w:val="00A00EEF"/>
    <w:rsid w:val="00A00F0F"/>
    <w:rsid w:val="00A00F95"/>
    <w:rsid w:val="00A00FF1"/>
    <w:rsid w:val="00A01020"/>
    <w:rsid w:val="00A01067"/>
    <w:rsid w:val="00A0112C"/>
    <w:rsid w:val="00A01141"/>
    <w:rsid w:val="00A011AB"/>
    <w:rsid w:val="00A011AE"/>
    <w:rsid w:val="00A011EF"/>
    <w:rsid w:val="00A01226"/>
    <w:rsid w:val="00A0122B"/>
    <w:rsid w:val="00A013B5"/>
    <w:rsid w:val="00A01476"/>
    <w:rsid w:val="00A0149B"/>
    <w:rsid w:val="00A014B3"/>
    <w:rsid w:val="00A01613"/>
    <w:rsid w:val="00A01661"/>
    <w:rsid w:val="00A0166A"/>
    <w:rsid w:val="00A01786"/>
    <w:rsid w:val="00A01845"/>
    <w:rsid w:val="00A01897"/>
    <w:rsid w:val="00A01A52"/>
    <w:rsid w:val="00A01B1F"/>
    <w:rsid w:val="00A01C18"/>
    <w:rsid w:val="00A01C21"/>
    <w:rsid w:val="00A01C79"/>
    <w:rsid w:val="00A01CD6"/>
    <w:rsid w:val="00A01D01"/>
    <w:rsid w:val="00A01D80"/>
    <w:rsid w:val="00A01E5D"/>
    <w:rsid w:val="00A02030"/>
    <w:rsid w:val="00A020D9"/>
    <w:rsid w:val="00A021B7"/>
    <w:rsid w:val="00A0232C"/>
    <w:rsid w:val="00A024B7"/>
    <w:rsid w:val="00A0252C"/>
    <w:rsid w:val="00A025E8"/>
    <w:rsid w:val="00A025FB"/>
    <w:rsid w:val="00A025FF"/>
    <w:rsid w:val="00A0268F"/>
    <w:rsid w:val="00A0287E"/>
    <w:rsid w:val="00A028BB"/>
    <w:rsid w:val="00A028C8"/>
    <w:rsid w:val="00A028D7"/>
    <w:rsid w:val="00A02901"/>
    <w:rsid w:val="00A029F0"/>
    <w:rsid w:val="00A02A6F"/>
    <w:rsid w:val="00A02BAD"/>
    <w:rsid w:val="00A02DF8"/>
    <w:rsid w:val="00A02E95"/>
    <w:rsid w:val="00A02ED5"/>
    <w:rsid w:val="00A03011"/>
    <w:rsid w:val="00A0301E"/>
    <w:rsid w:val="00A03054"/>
    <w:rsid w:val="00A0306A"/>
    <w:rsid w:val="00A030BF"/>
    <w:rsid w:val="00A030EC"/>
    <w:rsid w:val="00A0313F"/>
    <w:rsid w:val="00A03151"/>
    <w:rsid w:val="00A03225"/>
    <w:rsid w:val="00A0334B"/>
    <w:rsid w:val="00A0334F"/>
    <w:rsid w:val="00A0336E"/>
    <w:rsid w:val="00A03380"/>
    <w:rsid w:val="00A0352B"/>
    <w:rsid w:val="00A036AE"/>
    <w:rsid w:val="00A036C0"/>
    <w:rsid w:val="00A03795"/>
    <w:rsid w:val="00A037B5"/>
    <w:rsid w:val="00A03856"/>
    <w:rsid w:val="00A0397C"/>
    <w:rsid w:val="00A039FB"/>
    <w:rsid w:val="00A03A4C"/>
    <w:rsid w:val="00A03A8E"/>
    <w:rsid w:val="00A03C25"/>
    <w:rsid w:val="00A03C3E"/>
    <w:rsid w:val="00A03CFD"/>
    <w:rsid w:val="00A03D72"/>
    <w:rsid w:val="00A03E0D"/>
    <w:rsid w:val="00A03FAA"/>
    <w:rsid w:val="00A04065"/>
    <w:rsid w:val="00A0423D"/>
    <w:rsid w:val="00A042FA"/>
    <w:rsid w:val="00A04329"/>
    <w:rsid w:val="00A04387"/>
    <w:rsid w:val="00A043EC"/>
    <w:rsid w:val="00A04521"/>
    <w:rsid w:val="00A0458C"/>
    <w:rsid w:val="00A04608"/>
    <w:rsid w:val="00A046E1"/>
    <w:rsid w:val="00A047C1"/>
    <w:rsid w:val="00A04894"/>
    <w:rsid w:val="00A048C1"/>
    <w:rsid w:val="00A04950"/>
    <w:rsid w:val="00A0497B"/>
    <w:rsid w:val="00A049AC"/>
    <w:rsid w:val="00A04AB0"/>
    <w:rsid w:val="00A04CA8"/>
    <w:rsid w:val="00A04CAE"/>
    <w:rsid w:val="00A04D0F"/>
    <w:rsid w:val="00A04FFA"/>
    <w:rsid w:val="00A05014"/>
    <w:rsid w:val="00A050BC"/>
    <w:rsid w:val="00A05105"/>
    <w:rsid w:val="00A0516F"/>
    <w:rsid w:val="00A051FB"/>
    <w:rsid w:val="00A05247"/>
    <w:rsid w:val="00A05267"/>
    <w:rsid w:val="00A0527E"/>
    <w:rsid w:val="00A052FC"/>
    <w:rsid w:val="00A05335"/>
    <w:rsid w:val="00A05569"/>
    <w:rsid w:val="00A055A8"/>
    <w:rsid w:val="00A055AB"/>
    <w:rsid w:val="00A0568D"/>
    <w:rsid w:val="00A058D4"/>
    <w:rsid w:val="00A05A8D"/>
    <w:rsid w:val="00A05B51"/>
    <w:rsid w:val="00A05C6E"/>
    <w:rsid w:val="00A05C75"/>
    <w:rsid w:val="00A05DBF"/>
    <w:rsid w:val="00A05EDD"/>
    <w:rsid w:val="00A05EF4"/>
    <w:rsid w:val="00A05F0B"/>
    <w:rsid w:val="00A05F4E"/>
    <w:rsid w:val="00A05F5A"/>
    <w:rsid w:val="00A05F6E"/>
    <w:rsid w:val="00A06182"/>
    <w:rsid w:val="00A061A9"/>
    <w:rsid w:val="00A062D7"/>
    <w:rsid w:val="00A062FD"/>
    <w:rsid w:val="00A0634B"/>
    <w:rsid w:val="00A063C1"/>
    <w:rsid w:val="00A06423"/>
    <w:rsid w:val="00A0644C"/>
    <w:rsid w:val="00A06472"/>
    <w:rsid w:val="00A06496"/>
    <w:rsid w:val="00A0655A"/>
    <w:rsid w:val="00A0664B"/>
    <w:rsid w:val="00A06692"/>
    <w:rsid w:val="00A067FE"/>
    <w:rsid w:val="00A0686A"/>
    <w:rsid w:val="00A0687B"/>
    <w:rsid w:val="00A068E5"/>
    <w:rsid w:val="00A0692C"/>
    <w:rsid w:val="00A069D6"/>
    <w:rsid w:val="00A06A91"/>
    <w:rsid w:val="00A06B21"/>
    <w:rsid w:val="00A06C30"/>
    <w:rsid w:val="00A06CB3"/>
    <w:rsid w:val="00A06CCD"/>
    <w:rsid w:val="00A06CE4"/>
    <w:rsid w:val="00A06CF3"/>
    <w:rsid w:val="00A06DFB"/>
    <w:rsid w:val="00A06E34"/>
    <w:rsid w:val="00A06EF0"/>
    <w:rsid w:val="00A06F7C"/>
    <w:rsid w:val="00A070D6"/>
    <w:rsid w:val="00A070F3"/>
    <w:rsid w:val="00A07144"/>
    <w:rsid w:val="00A07157"/>
    <w:rsid w:val="00A07230"/>
    <w:rsid w:val="00A07290"/>
    <w:rsid w:val="00A072FF"/>
    <w:rsid w:val="00A0741D"/>
    <w:rsid w:val="00A07506"/>
    <w:rsid w:val="00A07524"/>
    <w:rsid w:val="00A0757A"/>
    <w:rsid w:val="00A0766D"/>
    <w:rsid w:val="00A07772"/>
    <w:rsid w:val="00A077D0"/>
    <w:rsid w:val="00A078B5"/>
    <w:rsid w:val="00A078CB"/>
    <w:rsid w:val="00A07B05"/>
    <w:rsid w:val="00A07C58"/>
    <w:rsid w:val="00A07D27"/>
    <w:rsid w:val="00A07E0B"/>
    <w:rsid w:val="00A10040"/>
    <w:rsid w:val="00A100BB"/>
    <w:rsid w:val="00A100EE"/>
    <w:rsid w:val="00A1029F"/>
    <w:rsid w:val="00A102A5"/>
    <w:rsid w:val="00A1030D"/>
    <w:rsid w:val="00A104DC"/>
    <w:rsid w:val="00A106AA"/>
    <w:rsid w:val="00A10724"/>
    <w:rsid w:val="00A108BE"/>
    <w:rsid w:val="00A109E2"/>
    <w:rsid w:val="00A10A84"/>
    <w:rsid w:val="00A10AB1"/>
    <w:rsid w:val="00A10AC1"/>
    <w:rsid w:val="00A10ADB"/>
    <w:rsid w:val="00A10BD9"/>
    <w:rsid w:val="00A11054"/>
    <w:rsid w:val="00A112FF"/>
    <w:rsid w:val="00A114D2"/>
    <w:rsid w:val="00A115E0"/>
    <w:rsid w:val="00A116FD"/>
    <w:rsid w:val="00A1173C"/>
    <w:rsid w:val="00A11805"/>
    <w:rsid w:val="00A11813"/>
    <w:rsid w:val="00A1198D"/>
    <w:rsid w:val="00A119BC"/>
    <w:rsid w:val="00A119DB"/>
    <w:rsid w:val="00A119DC"/>
    <w:rsid w:val="00A11AA3"/>
    <w:rsid w:val="00A11B6A"/>
    <w:rsid w:val="00A11B7D"/>
    <w:rsid w:val="00A11C7B"/>
    <w:rsid w:val="00A11CEE"/>
    <w:rsid w:val="00A11DC3"/>
    <w:rsid w:val="00A11ECE"/>
    <w:rsid w:val="00A11F00"/>
    <w:rsid w:val="00A1201D"/>
    <w:rsid w:val="00A1211C"/>
    <w:rsid w:val="00A12172"/>
    <w:rsid w:val="00A12176"/>
    <w:rsid w:val="00A121F8"/>
    <w:rsid w:val="00A12241"/>
    <w:rsid w:val="00A122C9"/>
    <w:rsid w:val="00A122D6"/>
    <w:rsid w:val="00A1234E"/>
    <w:rsid w:val="00A12394"/>
    <w:rsid w:val="00A1245C"/>
    <w:rsid w:val="00A124A3"/>
    <w:rsid w:val="00A12507"/>
    <w:rsid w:val="00A12547"/>
    <w:rsid w:val="00A127A5"/>
    <w:rsid w:val="00A128B2"/>
    <w:rsid w:val="00A1298C"/>
    <w:rsid w:val="00A12A9D"/>
    <w:rsid w:val="00A12AB1"/>
    <w:rsid w:val="00A12BB6"/>
    <w:rsid w:val="00A12C1B"/>
    <w:rsid w:val="00A12C92"/>
    <w:rsid w:val="00A12D71"/>
    <w:rsid w:val="00A12DEC"/>
    <w:rsid w:val="00A12F0E"/>
    <w:rsid w:val="00A12F58"/>
    <w:rsid w:val="00A1300A"/>
    <w:rsid w:val="00A13170"/>
    <w:rsid w:val="00A13181"/>
    <w:rsid w:val="00A13216"/>
    <w:rsid w:val="00A13388"/>
    <w:rsid w:val="00A133F0"/>
    <w:rsid w:val="00A1346D"/>
    <w:rsid w:val="00A134B2"/>
    <w:rsid w:val="00A135A4"/>
    <w:rsid w:val="00A13629"/>
    <w:rsid w:val="00A136AD"/>
    <w:rsid w:val="00A136E7"/>
    <w:rsid w:val="00A13729"/>
    <w:rsid w:val="00A13738"/>
    <w:rsid w:val="00A13776"/>
    <w:rsid w:val="00A13792"/>
    <w:rsid w:val="00A1384F"/>
    <w:rsid w:val="00A139BD"/>
    <w:rsid w:val="00A13A94"/>
    <w:rsid w:val="00A13AD5"/>
    <w:rsid w:val="00A13B5E"/>
    <w:rsid w:val="00A13BB4"/>
    <w:rsid w:val="00A13BD5"/>
    <w:rsid w:val="00A13BF6"/>
    <w:rsid w:val="00A13C51"/>
    <w:rsid w:val="00A13C53"/>
    <w:rsid w:val="00A13C94"/>
    <w:rsid w:val="00A13CA9"/>
    <w:rsid w:val="00A13CC1"/>
    <w:rsid w:val="00A13CE3"/>
    <w:rsid w:val="00A13CF8"/>
    <w:rsid w:val="00A13D91"/>
    <w:rsid w:val="00A13DD1"/>
    <w:rsid w:val="00A13DD3"/>
    <w:rsid w:val="00A13E30"/>
    <w:rsid w:val="00A13E71"/>
    <w:rsid w:val="00A13E96"/>
    <w:rsid w:val="00A14022"/>
    <w:rsid w:val="00A1404A"/>
    <w:rsid w:val="00A140C3"/>
    <w:rsid w:val="00A14128"/>
    <w:rsid w:val="00A141C3"/>
    <w:rsid w:val="00A14421"/>
    <w:rsid w:val="00A14510"/>
    <w:rsid w:val="00A1454A"/>
    <w:rsid w:val="00A1473B"/>
    <w:rsid w:val="00A148A8"/>
    <w:rsid w:val="00A1491D"/>
    <w:rsid w:val="00A14928"/>
    <w:rsid w:val="00A1498B"/>
    <w:rsid w:val="00A149DB"/>
    <w:rsid w:val="00A149E4"/>
    <w:rsid w:val="00A14AB2"/>
    <w:rsid w:val="00A14BF3"/>
    <w:rsid w:val="00A14C59"/>
    <w:rsid w:val="00A14CEE"/>
    <w:rsid w:val="00A14D08"/>
    <w:rsid w:val="00A14D9F"/>
    <w:rsid w:val="00A14FBC"/>
    <w:rsid w:val="00A15098"/>
    <w:rsid w:val="00A150BD"/>
    <w:rsid w:val="00A150EF"/>
    <w:rsid w:val="00A15133"/>
    <w:rsid w:val="00A1517E"/>
    <w:rsid w:val="00A1524E"/>
    <w:rsid w:val="00A152D9"/>
    <w:rsid w:val="00A15324"/>
    <w:rsid w:val="00A1538B"/>
    <w:rsid w:val="00A153A9"/>
    <w:rsid w:val="00A153DB"/>
    <w:rsid w:val="00A153F7"/>
    <w:rsid w:val="00A154D7"/>
    <w:rsid w:val="00A157BD"/>
    <w:rsid w:val="00A15833"/>
    <w:rsid w:val="00A15857"/>
    <w:rsid w:val="00A15B7E"/>
    <w:rsid w:val="00A15C95"/>
    <w:rsid w:val="00A15D00"/>
    <w:rsid w:val="00A15D82"/>
    <w:rsid w:val="00A15F1F"/>
    <w:rsid w:val="00A15F47"/>
    <w:rsid w:val="00A15F5E"/>
    <w:rsid w:val="00A16025"/>
    <w:rsid w:val="00A16075"/>
    <w:rsid w:val="00A161A6"/>
    <w:rsid w:val="00A1628A"/>
    <w:rsid w:val="00A162F8"/>
    <w:rsid w:val="00A16339"/>
    <w:rsid w:val="00A16367"/>
    <w:rsid w:val="00A16396"/>
    <w:rsid w:val="00A163B8"/>
    <w:rsid w:val="00A165F3"/>
    <w:rsid w:val="00A166E5"/>
    <w:rsid w:val="00A1676D"/>
    <w:rsid w:val="00A1676F"/>
    <w:rsid w:val="00A16847"/>
    <w:rsid w:val="00A16927"/>
    <w:rsid w:val="00A16A5F"/>
    <w:rsid w:val="00A16AF5"/>
    <w:rsid w:val="00A16BB3"/>
    <w:rsid w:val="00A16D3C"/>
    <w:rsid w:val="00A16D62"/>
    <w:rsid w:val="00A16D9A"/>
    <w:rsid w:val="00A16DBA"/>
    <w:rsid w:val="00A16E05"/>
    <w:rsid w:val="00A16E15"/>
    <w:rsid w:val="00A17012"/>
    <w:rsid w:val="00A1736D"/>
    <w:rsid w:val="00A173B4"/>
    <w:rsid w:val="00A17435"/>
    <w:rsid w:val="00A17487"/>
    <w:rsid w:val="00A1758C"/>
    <w:rsid w:val="00A17662"/>
    <w:rsid w:val="00A176B0"/>
    <w:rsid w:val="00A1781D"/>
    <w:rsid w:val="00A1784C"/>
    <w:rsid w:val="00A178DD"/>
    <w:rsid w:val="00A179B1"/>
    <w:rsid w:val="00A17A93"/>
    <w:rsid w:val="00A17BA7"/>
    <w:rsid w:val="00A17CF5"/>
    <w:rsid w:val="00A17DDD"/>
    <w:rsid w:val="00A17E84"/>
    <w:rsid w:val="00A17F28"/>
    <w:rsid w:val="00A201D8"/>
    <w:rsid w:val="00A2020F"/>
    <w:rsid w:val="00A20235"/>
    <w:rsid w:val="00A20286"/>
    <w:rsid w:val="00A20342"/>
    <w:rsid w:val="00A204CA"/>
    <w:rsid w:val="00A204F2"/>
    <w:rsid w:val="00A20549"/>
    <w:rsid w:val="00A20619"/>
    <w:rsid w:val="00A2063B"/>
    <w:rsid w:val="00A2073C"/>
    <w:rsid w:val="00A207D1"/>
    <w:rsid w:val="00A208BD"/>
    <w:rsid w:val="00A20999"/>
    <w:rsid w:val="00A209C1"/>
    <w:rsid w:val="00A20A17"/>
    <w:rsid w:val="00A20A52"/>
    <w:rsid w:val="00A20A99"/>
    <w:rsid w:val="00A20ADC"/>
    <w:rsid w:val="00A20D50"/>
    <w:rsid w:val="00A20DC0"/>
    <w:rsid w:val="00A20E45"/>
    <w:rsid w:val="00A20E4D"/>
    <w:rsid w:val="00A20EEE"/>
    <w:rsid w:val="00A20F33"/>
    <w:rsid w:val="00A20FDA"/>
    <w:rsid w:val="00A2101F"/>
    <w:rsid w:val="00A21097"/>
    <w:rsid w:val="00A212CC"/>
    <w:rsid w:val="00A21459"/>
    <w:rsid w:val="00A2146B"/>
    <w:rsid w:val="00A2151F"/>
    <w:rsid w:val="00A21618"/>
    <w:rsid w:val="00A2166A"/>
    <w:rsid w:val="00A2166F"/>
    <w:rsid w:val="00A216DA"/>
    <w:rsid w:val="00A216E8"/>
    <w:rsid w:val="00A2177F"/>
    <w:rsid w:val="00A217C1"/>
    <w:rsid w:val="00A217DC"/>
    <w:rsid w:val="00A21826"/>
    <w:rsid w:val="00A21835"/>
    <w:rsid w:val="00A21A47"/>
    <w:rsid w:val="00A21B86"/>
    <w:rsid w:val="00A21C18"/>
    <w:rsid w:val="00A21C3C"/>
    <w:rsid w:val="00A21D18"/>
    <w:rsid w:val="00A21DFE"/>
    <w:rsid w:val="00A21E1D"/>
    <w:rsid w:val="00A21FA6"/>
    <w:rsid w:val="00A220BE"/>
    <w:rsid w:val="00A220DC"/>
    <w:rsid w:val="00A220E5"/>
    <w:rsid w:val="00A220FE"/>
    <w:rsid w:val="00A222C9"/>
    <w:rsid w:val="00A2230D"/>
    <w:rsid w:val="00A2241D"/>
    <w:rsid w:val="00A22438"/>
    <w:rsid w:val="00A224A1"/>
    <w:rsid w:val="00A226C9"/>
    <w:rsid w:val="00A226D0"/>
    <w:rsid w:val="00A22756"/>
    <w:rsid w:val="00A22838"/>
    <w:rsid w:val="00A2291E"/>
    <w:rsid w:val="00A22A33"/>
    <w:rsid w:val="00A22B77"/>
    <w:rsid w:val="00A22BAA"/>
    <w:rsid w:val="00A22BBD"/>
    <w:rsid w:val="00A22BC6"/>
    <w:rsid w:val="00A22C06"/>
    <w:rsid w:val="00A22C54"/>
    <w:rsid w:val="00A22C70"/>
    <w:rsid w:val="00A22D64"/>
    <w:rsid w:val="00A22D71"/>
    <w:rsid w:val="00A22DF4"/>
    <w:rsid w:val="00A22E81"/>
    <w:rsid w:val="00A2300E"/>
    <w:rsid w:val="00A23048"/>
    <w:rsid w:val="00A23189"/>
    <w:rsid w:val="00A23192"/>
    <w:rsid w:val="00A231AE"/>
    <w:rsid w:val="00A23275"/>
    <w:rsid w:val="00A233C0"/>
    <w:rsid w:val="00A23413"/>
    <w:rsid w:val="00A234B9"/>
    <w:rsid w:val="00A234D0"/>
    <w:rsid w:val="00A23529"/>
    <w:rsid w:val="00A2361B"/>
    <w:rsid w:val="00A23645"/>
    <w:rsid w:val="00A23658"/>
    <w:rsid w:val="00A236B5"/>
    <w:rsid w:val="00A23771"/>
    <w:rsid w:val="00A2381A"/>
    <w:rsid w:val="00A23ABE"/>
    <w:rsid w:val="00A23B54"/>
    <w:rsid w:val="00A23C78"/>
    <w:rsid w:val="00A23CC3"/>
    <w:rsid w:val="00A23CEA"/>
    <w:rsid w:val="00A23D00"/>
    <w:rsid w:val="00A23D06"/>
    <w:rsid w:val="00A23D09"/>
    <w:rsid w:val="00A23DCF"/>
    <w:rsid w:val="00A23EB7"/>
    <w:rsid w:val="00A23F4B"/>
    <w:rsid w:val="00A23FF6"/>
    <w:rsid w:val="00A241A9"/>
    <w:rsid w:val="00A24238"/>
    <w:rsid w:val="00A24269"/>
    <w:rsid w:val="00A242DF"/>
    <w:rsid w:val="00A243B7"/>
    <w:rsid w:val="00A244EC"/>
    <w:rsid w:val="00A2458B"/>
    <w:rsid w:val="00A24681"/>
    <w:rsid w:val="00A2476F"/>
    <w:rsid w:val="00A249DB"/>
    <w:rsid w:val="00A24A5A"/>
    <w:rsid w:val="00A24AB9"/>
    <w:rsid w:val="00A24AD5"/>
    <w:rsid w:val="00A24B48"/>
    <w:rsid w:val="00A24D05"/>
    <w:rsid w:val="00A24D2C"/>
    <w:rsid w:val="00A24DCC"/>
    <w:rsid w:val="00A24E59"/>
    <w:rsid w:val="00A24E72"/>
    <w:rsid w:val="00A24F4C"/>
    <w:rsid w:val="00A24FB2"/>
    <w:rsid w:val="00A25087"/>
    <w:rsid w:val="00A250EC"/>
    <w:rsid w:val="00A25104"/>
    <w:rsid w:val="00A2511B"/>
    <w:rsid w:val="00A251F3"/>
    <w:rsid w:val="00A25506"/>
    <w:rsid w:val="00A25532"/>
    <w:rsid w:val="00A25537"/>
    <w:rsid w:val="00A2557B"/>
    <w:rsid w:val="00A255CD"/>
    <w:rsid w:val="00A25621"/>
    <w:rsid w:val="00A2569C"/>
    <w:rsid w:val="00A2577E"/>
    <w:rsid w:val="00A25785"/>
    <w:rsid w:val="00A25803"/>
    <w:rsid w:val="00A258A4"/>
    <w:rsid w:val="00A258BE"/>
    <w:rsid w:val="00A259B5"/>
    <w:rsid w:val="00A25AD6"/>
    <w:rsid w:val="00A25B92"/>
    <w:rsid w:val="00A25C18"/>
    <w:rsid w:val="00A25C1C"/>
    <w:rsid w:val="00A25C58"/>
    <w:rsid w:val="00A25D0D"/>
    <w:rsid w:val="00A25D14"/>
    <w:rsid w:val="00A25D2D"/>
    <w:rsid w:val="00A25E8E"/>
    <w:rsid w:val="00A25EA2"/>
    <w:rsid w:val="00A26044"/>
    <w:rsid w:val="00A2605C"/>
    <w:rsid w:val="00A261C6"/>
    <w:rsid w:val="00A26227"/>
    <w:rsid w:val="00A26383"/>
    <w:rsid w:val="00A26387"/>
    <w:rsid w:val="00A263C3"/>
    <w:rsid w:val="00A263E5"/>
    <w:rsid w:val="00A26400"/>
    <w:rsid w:val="00A2641E"/>
    <w:rsid w:val="00A26439"/>
    <w:rsid w:val="00A26478"/>
    <w:rsid w:val="00A264B6"/>
    <w:rsid w:val="00A264DA"/>
    <w:rsid w:val="00A2652B"/>
    <w:rsid w:val="00A26570"/>
    <w:rsid w:val="00A2667A"/>
    <w:rsid w:val="00A267BB"/>
    <w:rsid w:val="00A2688C"/>
    <w:rsid w:val="00A268A9"/>
    <w:rsid w:val="00A26986"/>
    <w:rsid w:val="00A269F8"/>
    <w:rsid w:val="00A26A75"/>
    <w:rsid w:val="00A26ADB"/>
    <w:rsid w:val="00A26AEF"/>
    <w:rsid w:val="00A26B0D"/>
    <w:rsid w:val="00A26BD2"/>
    <w:rsid w:val="00A26CBA"/>
    <w:rsid w:val="00A26E65"/>
    <w:rsid w:val="00A26EAA"/>
    <w:rsid w:val="00A26EAF"/>
    <w:rsid w:val="00A270F2"/>
    <w:rsid w:val="00A270FA"/>
    <w:rsid w:val="00A27226"/>
    <w:rsid w:val="00A27250"/>
    <w:rsid w:val="00A272A8"/>
    <w:rsid w:val="00A272B0"/>
    <w:rsid w:val="00A272BD"/>
    <w:rsid w:val="00A2731C"/>
    <w:rsid w:val="00A273DF"/>
    <w:rsid w:val="00A274A3"/>
    <w:rsid w:val="00A27563"/>
    <w:rsid w:val="00A275E1"/>
    <w:rsid w:val="00A275F7"/>
    <w:rsid w:val="00A27752"/>
    <w:rsid w:val="00A277E8"/>
    <w:rsid w:val="00A27816"/>
    <w:rsid w:val="00A278CC"/>
    <w:rsid w:val="00A2790C"/>
    <w:rsid w:val="00A27A17"/>
    <w:rsid w:val="00A27AB9"/>
    <w:rsid w:val="00A27B6C"/>
    <w:rsid w:val="00A27C13"/>
    <w:rsid w:val="00A27C56"/>
    <w:rsid w:val="00A27C73"/>
    <w:rsid w:val="00A27CB9"/>
    <w:rsid w:val="00A27CE9"/>
    <w:rsid w:val="00A27D85"/>
    <w:rsid w:val="00A27DFE"/>
    <w:rsid w:val="00A27F26"/>
    <w:rsid w:val="00A27F3C"/>
    <w:rsid w:val="00A30056"/>
    <w:rsid w:val="00A3007C"/>
    <w:rsid w:val="00A30106"/>
    <w:rsid w:val="00A3019C"/>
    <w:rsid w:val="00A30245"/>
    <w:rsid w:val="00A302C0"/>
    <w:rsid w:val="00A305DA"/>
    <w:rsid w:val="00A3060B"/>
    <w:rsid w:val="00A306F6"/>
    <w:rsid w:val="00A3071E"/>
    <w:rsid w:val="00A30841"/>
    <w:rsid w:val="00A308FB"/>
    <w:rsid w:val="00A30993"/>
    <w:rsid w:val="00A30ADE"/>
    <w:rsid w:val="00A30BD1"/>
    <w:rsid w:val="00A30C20"/>
    <w:rsid w:val="00A30C4B"/>
    <w:rsid w:val="00A30D85"/>
    <w:rsid w:val="00A30E3B"/>
    <w:rsid w:val="00A30F95"/>
    <w:rsid w:val="00A31016"/>
    <w:rsid w:val="00A31132"/>
    <w:rsid w:val="00A31205"/>
    <w:rsid w:val="00A3126C"/>
    <w:rsid w:val="00A31276"/>
    <w:rsid w:val="00A312A9"/>
    <w:rsid w:val="00A312F9"/>
    <w:rsid w:val="00A31345"/>
    <w:rsid w:val="00A31351"/>
    <w:rsid w:val="00A31366"/>
    <w:rsid w:val="00A313CE"/>
    <w:rsid w:val="00A313E9"/>
    <w:rsid w:val="00A31408"/>
    <w:rsid w:val="00A31543"/>
    <w:rsid w:val="00A31638"/>
    <w:rsid w:val="00A3164E"/>
    <w:rsid w:val="00A31734"/>
    <w:rsid w:val="00A317B0"/>
    <w:rsid w:val="00A31874"/>
    <w:rsid w:val="00A318D0"/>
    <w:rsid w:val="00A3196D"/>
    <w:rsid w:val="00A319F5"/>
    <w:rsid w:val="00A31A69"/>
    <w:rsid w:val="00A31AB3"/>
    <w:rsid w:val="00A31D2F"/>
    <w:rsid w:val="00A31D9D"/>
    <w:rsid w:val="00A31DED"/>
    <w:rsid w:val="00A31E02"/>
    <w:rsid w:val="00A31E83"/>
    <w:rsid w:val="00A32148"/>
    <w:rsid w:val="00A32176"/>
    <w:rsid w:val="00A321BC"/>
    <w:rsid w:val="00A3238E"/>
    <w:rsid w:val="00A323C0"/>
    <w:rsid w:val="00A323D8"/>
    <w:rsid w:val="00A323F6"/>
    <w:rsid w:val="00A32424"/>
    <w:rsid w:val="00A32500"/>
    <w:rsid w:val="00A32941"/>
    <w:rsid w:val="00A32962"/>
    <w:rsid w:val="00A32A85"/>
    <w:rsid w:val="00A32B03"/>
    <w:rsid w:val="00A32B05"/>
    <w:rsid w:val="00A32B67"/>
    <w:rsid w:val="00A32BCE"/>
    <w:rsid w:val="00A32CA7"/>
    <w:rsid w:val="00A32CB9"/>
    <w:rsid w:val="00A32CCC"/>
    <w:rsid w:val="00A32DEB"/>
    <w:rsid w:val="00A33037"/>
    <w:rsid w:val="00A3303E"/>
    <w:rsid w:val="00A33093"/>
    <w:rsid w:val="00A330F1"/>
    <w:rsid w:val="00A33168"/>
    <w:rsid w:val="00A331F8"/>
    <w:rsid w:val="00A33246"/>
    <w:rsid w:val="00A332EB"/>
    <w:rsid w:val="00A33427"/>
    <w:rsid w:val="00A33437"/>
    <w:rsid w:val="00A334B6"/>
    <w:rsid w:val="00A334C5"/>
    <w:rsid w:val="00A334FB"/>
    <w:rsid w:val="00A3389B"/>
    <w:rsid w:val="00A338D5"/>
    <w:rsid w:val="00A3397D"/>
    <w:rsid w:val="00A33A4F"/>
    <w:rsid w:val="00A33B84"/>
    <w:rsid w:val="00A33BC1"/>
    <w:rsid w:val="00A33BCC"/>
    <w:rsid w:val="00A33C69"/>
    <w:rsid w:val="00A33C7A"/>
    <w:rsid w:val="00A33CFE"/>
    <w:rsid w:val="00A33E5D"/>
    <w:rsid w:val="00A33EB6"/>
    <w:rsid w:val="00A33EE9"/>
    <w:rsid w:val="00A33EFB"/>
    <w:rsid w:val="00A33F05"/>
    <w:rsid w:val="00A33F66"/>
    <w:rsid w:val="00A33FDB"/>
    <w:rsid w:val="00A3404C"/>
    <w:rsid w:val="00A34128"/>
    <w:rsid w:val="00A34177"/>
    <w:rsid w:val="00A34271"/>
    <w:rsid w:val="00A342A6"/>
    <w:rsid w:val="00A3436C"/>
    <w:rsid w:val="00A34465"/>
    <w:rsid w:val="00A34488"/>
    <w:rsid w:val="00A346AC"/>
    <w:rsid w:val="00A34959"/>
    <w:rsid w:val="00A3497B"/>
    <w:rsid w:val="00A349BC"/>
    <w:rsid w:val="00A349C6"/>
    <w:rsid w:val="00A34A66"/>
    <w:rsid w:val="00A34B05"/>
    <w:rsid w:val="00A34B18"/>
    <w:rsid w:val="00A34B5E"/>
    <w:rsid w:val="00A34C26"/>
    <w:rsid w:val="00A34C3E"/>
    <w:rsid w:val="00A34C45"/>
    <w:rsid w:val="00A34E76"/>
    <w:rsid w:val="00A34EAA"/>
    <w:rsid w:val="00A34F85"/>
    <w:rsid w:val="00A34F9D"/>
    <w:rsid w:val="00A35048"/>
    <w:rsid w:val="00A350E9"/>
    <w:rsid w:val="00A35200"/>
    <w:rsid w:val="00A35202"/>
    <w:rsid w:val="00A35248"/>
    <w:rsid w:val="00A3528F"/>
    <w:rsid w:val="00A35294"/>
    <w:rsid w:val="00A352B7"/>
    <w:rsid w:val="00A35308"/>
    <w:rsid w:val="00A353D0"/>
    <w:rsid w:val="00A353EC"/>
    <w:rsid w:val="00A353FE"/>
    <w:rsid w:val="00A354F6"/>
    <w:rsid w:val="00A3553C"/>
    <w:rsid w:val="00A355B5"/>
    <w:rsid w:val="00A355C1"/>
    <w:rsid w:val="00A35644"/>
    <w:rsid w:val="00A3566D"/>
    <w:rsid w:val="00A357A6"/>
    <w:rsid w:val="00A35861"/>
    <w:rsid w:val="00A35896"/>
    <w:rsid w:val="00A3595C"/>
    <w:rsid w:val="00A35A36"/>
    <w:rsid w:val="00A35B58"/>
    <w:rsid w:val="00A35C21"/>
    <w:rsid w:val="00A35C72"/>
    <w:rsid w:val="00A35C76"/>
    <w:rsid w:val="00A35CF7"/>
    <w:rsid w:val="00A35D22"/>
    <w:rsid w:val="00A35D55"/>
    <w:rsid w:val="00A3618E"/>
    <w:rsid w:val="00A361C8"/>
    <w:rsid w:val="00A364E1"/>
    <w:rsid w:val="00A3657A"/>
    <w:rsid w:val="00A36653"/>
    <w:rsid w:val="00A36661"/>
    <w:rsid w:val="00A3666B"/>
    <w:rsid w:val="00A3684E"/>
    <w:rsid w:val="00A3688F"/>
    <w:rsid w:val="00A36910"/>
    <w:rsid w:val="00A36956"/>
    <w:rsid w:val="00A36A33"/>
    <w:rsid w:val="00A36AC5"/>
    <w:rsid w:val="00A36C35"/>
    <w:rsid w:val="00A36CB9"/>
    <w:rsid w:val="00A36D6C"/>
    <w:rsid w:val="00A36DDC"/>
    <w:rsid w:val="00A36DEC"/>
    <w:rsid w:val="00A36E25"/>
    <w:rsid w:val="00A36E89"/>
    <w:rsid w:val="00A36F2F"/>
    <w:rsid w:val="00A37028"/>
    <w:rsid w:val="00A37076"/>
    <w:rsid w:val="00A370E0"/>
    <w:rsid w:val="00A37154"/>
    <w:rsid w:val="00A37272"/>
    <w:rsid w:val="00A37321"/>
    <w:rsid w:val="00A37386"/>
    <w:rsid w:val="00A373BB"/>
    <w:rsid w:val="00A3765D"/>
    <w:rsid w:val="00A376C0"/>
    <w:rsid w:val="00A37709"/>
    <w:rsid w:val="00A37777"/>
    <w:rsid w:val="00A377B0"/>
    <w:rsid w:val="00A3781B"/>
    <w:rsid w:val="00A378D6"/>
    <w:rsid w:val="00A378F7"/>
    <w:rsid w:val="00A37910"/>
    <w:rsid w:val="00A37931"/>
    <w:rsid w:val="00A37AB9"/>
    <w:rsid w:val="00A37B5C"/>
    <w:rsid w:val="00A37BA4"/>
    <w:rsid w:val="00A37BB0"/>
    <w:rsid w:val="00A37BD0"/>
    <w:rsid w:val="00A37C3B"/>
    <w:rsid w:val="00A37C56"/>
    <w:rsid w:val="00A37CB9"/>
    <w:rsid w:val="00A37DA3"/>
    <w:rsid w:val="00A37DF4"/>
    <w:rsid w:val="00A37E57"/>
    <w:rsid w:val="00A37FEC"/>
    <w:rsid w:val="00A40040"/>
    <w:rsid w:val="00A400AF"/>
    <w:rsid w:val="00A400FB"/>
    <w:rsid w:val="00A40173"/>
    <w:rsid w:val="00A401E5"/>
    <w:rsid w:val="00A40220"/>
    <w:rsid w:val="00A40237"/>
    <w:rsid w:val="00A40326"/>
    <w:rsid w:val="00A4039A"/>
    <w:rsid w:val="00A403D6"/>
    <w:rsid w:val="00A403DF"/>
    <w:rsid w:val="00A40661"/>
    <w:rsid w:val="00A406A9"/>
    <w:rsid w:val="00A406BC"/>
    <w:rsid w:val="00A40762"/>
    <w:rsid w:val="00A40769"/>
    <w:rsid w:val="00A40840"/>
    <w:rsid w:val="00A4085B"/>
    <w:rsid w:val="00A4086E"/>
    <w:rsid w:val="00A40875"/>
    <w:rsid w:val="00A408AB"/>
    <w:rsid w:val="00A408D9"/>
    <w:rsid w:val="00A40903"/>
    <w:rsid w:val="00A40A21"/>
    <w:rsid w:val="00A40A6A"/>
    <w:rsid w:val="00A40B52"/>
    <w:rsid w:val="00A40BAA"/>
    <w:rsid w:val="00A40C2E"/>
    <w:rsid w:val="00A40CCA"/>
    <w:rsid w:val="00A40CDD"/>
    <w:rsid w:val="00A40CEA"/>
    <w:rsid w:val="00A40E10"/>
    <w:rsid w:val="00A40E76"/>
    <w:rsid w:val="00A40F47"/>
    <w:rsid w:val="00A40F6D"/>
    <w:rsid w:val="00A4104A"/>
    <w:rsid w:val="00A4105F"/>
    <w:rsid w:val="00A4106B"/>
    <w:rsid w:val="00A4116A"/>
    <w:rsid w:val="00A4129C"/>
    <w:rsid w:val="00A412B4"/>
    <w:rsid w:val="00A412CB"/>
    <w:rsid w:val="00A41314"/>
    <w:rsid w:val="00A4133A"/>
    <w:rsid w:val="00A41419"/>
    <w:rsid w:val="00A4146C"/>
    <w:rsid w:val="00A41518"/>
    <w:rsid w:val="00A417CD"/>
    <w:rsid w:val="00A417EB"/>
    <w:rsid w:val="00A41802"/>
    <w:rsid w:val="00A4187F"/>
    <w:rsid w:val="00A41892"/>
    <w:rsid w:val="00A41B35"/>
    <w:rsid w:val="00A41BA3"/>
    <w:rsid w:val="00A41BB5"/>
    <w:rsid w:val="00A41C02"/>
    <w:rsid w:val="00A41C5F"/>
    <w:rsid w:val="00A41C88"/>
    <w:rsid w:val="00A41C89"/>
    <w:rsid w:val="00A41D4A"/>
    <w:rsid w:val="00A41D84"/>
    <w:rsid w:val="00A41DA0"/>
    <w:rsid w:val="00A41E4E"/>
    <w:rsid w:val="00A41EAD"/>
    <w:rsid w:val="00A41ED1"/>
    <w:rsid w:val="00A41F5A"/>
    <w:rsid w:val="00A41F96"/>
    <w:rsid w:val="00A41FAA"/>
    <w:rsid w:val="00A42008"/>
    <w:rsid w:val="00A420E1"/>
    <w:rsid w:val="00A4218B"/>
    <w:rsid w:val="00A42192"/>
    <w:rsid w:val="00A421A0"/>
    <w:rsid w:val="00A42226"/>
    <w:rsid w:val="00A422C5"/>
    <w:rsid w:val="00A422E1"/>
    <w:rsid w:val="00A42354"/>
    <w:rsid w:val="00A42574"/>
    <w:rsid w:val="00A4258B"/>
    <w:rsid w:val="00A4261C"/>
    <w:rsid w:val="00A42629"/>
    <w:rsid w:val="00A426F9"/>
    <w:rsid w:val="00A4285F"/>
    <w:rsid w:val="00A429EB"/>
    <w:rsid w:val="00A42A3C"/>
    <w:rsid w:val="00A42DF2"/>
    <w:rsid w:val="00A42FFC"/>
    <w:rsid w:val="00A430DD"/>
    <w:rsid w:val="00A4323B"/>
    <w:rsid w:val="00A43244"/>
    <w:rsid w:val="00A432BC"/>
    <w:rsid w:val="00A432C0"/>
    <w:rsid w:val="00A43316"/>
    <w:rsid w:val="00A43322"/>
    <w:rsid w:val="00A4334C"/>
    <w:rsid w:val="00A4336C"/>
    <w:rsid w:val="00A43386"/>
    <w:rsid w:val="00A433DD"/>
    <w:rsid w:val="00A434F1"/>
    <w:rsid w:val="00A435EF"/>
    <w:rsid w:val="00A437FD"/>
    <w:rsid w:val="00A4381A"/>
    <w:rsid w:val="00A43824"/>
    <w:rsid w:val="00A43867"/>
    <w:rsid w:val="00A43882"/>
    <w:rsid w:val="00A4389C"/>
    <w:rsid w:val="00A438F4"/>
    <w:rsid w:val="00A43911"/>
    <w:rsid w:val="00A43954"/>
    <w:rsid w:val="00A4397F"/>
    <w:rsid w:val="00A43A0B"/>
    <w:rsid w:val="00A43A3A"/>
    <w:rsid w:val="00A43AEA"/>
    <w:rsid w:val="00A43B60"/>
    <w:rsid w:val="00A43BB3"/>
    <w:rsid w:val="00A43CB7"/>
    <w:rsid w:val="00A43D51"/>
    <w:rsid w:val="00A43E5F"/>
    <w:rsid w:val="00A43EB5"/>
    <w:rsid w:val="00A43ED2"/>
    <w:rsid w:val="00A43F30"/>
    <w:rsid w:val="00A43F82"/>
    <w:rsid w:val="00A43FDE"/>
    <w:rsid w:val="00A4402E"/>
    <w:rsid w:val="00A4406A"/>
    <w:rsid w:val="00A44090"/>
    <w:rsid w:val="00A44132"/>
    <w:rsid w:val="00A44315"/>
    <w:rsid w:val="00A44408"/>
    <w:rsid w:val="00A4448C"/>
    <w:rsid w:val="00A4462F"/>
    <w:rsid w:val="00A446B9"/>
    <w:rsid w:val="00A44754"/>
    <w:rsid w:val="00A447B4"/>
    <w:rsid w:val="00A447BD"/>
    <w:rsid w:val="00A447FF"/>
    <w:rsid w:val="00A44803"/>
    <w:rsid w:val="00A4481D"/>
    <w:rsid w:val="00A448D9"/>
    <w:rsid w:val="00A449CD"/>
    <w:rsid w:val="00A44A4C"/>
    <w:rsid w:val="00A44A7C"/>
    <w:rsid w:val="00A44B5E"/>
    <w:rsid w:val="00A44C79"/>
    <w:rsid w:val="00A44C80"/>
    <w:rsid w:val="00A44CF2"/>
    <w:rsid w:val="00A44D33"/>
    <w:rsid w:val="00A44D9E"/>
    <w:rsid w:val="00A44DA1"/>
    <w:rsid w:val="00A44DCB"/>
    <w:rsid w:val="00A44E17"/>
    <w:rsid w:val="00A44F34"/>
    <w:rsid w:val="00A44F89"/>
    <w:rsid w:val="00A4518D"/>
    <w:rsid w:val="00A45220"/>
    <w:rsid w:val="00A453B5"/>
    <w:rsid w:val="00A453C4"/>
    <w:rsid w:val="00A4548D"/>
    <w:rsid w:val="00A4553B"/>
    <w:rsid w:val="00A45574"/>
    <w:rsid w:val="00A456CF"/>
    <w:rsid w:val="00A456FE"/>
    <w:rsid w:val="00A45907"/>
    <w:rsid w:val="00A4595B"/>
    <w:rsid w:val="00A459DC"/>
    <w:rsid w:val="00A459E1"/>
    <w:rsid w:val="00A45AFB"/>
    <w:rsid w:val="00A45C17"/>
    <w:rsid w:val="00A45CB8"/>
    <w:rsid w:val="00A45CE9"/>
    <w:rsid w:val="00A45D6C"/>
    <w:rsid w:val="00A45E08"/>
    <w:rsid w:val="00A45F6C"/>
    <w:rsid w:val="00A4601C"/>
    <w:rsid w:val="00A46038"/>
    <w:rsid w:val="00A46060"/>
    <w:rsid w:val="00A46206"/>
    <w:rsid w:val="00A462BE"/>
    <w:rsid w:val="00A4631F"/>
    <w:rsid w:val="00A466B0"/>
    <w:rsid w:val="00A4676D"/>
    <w:rsid w:val="00A46A1B"/>
    <w:rsid w:val="00A46B7F"/>
    <w:rsid w:val="00A46C0A"/>
    <w:rsid w:val="00A46CF6"/>
    <w:rsid w:val="00A46E1D"/>
    <w:rsid w:val="00A46E51"/>
    <w:rsid w:val="00A46ECE"/>
    <w:rsid w:val="00A4702E"/>
    <w:rsid w:val="00A4709F"/>
    <w:rsid w:val="00A470E0"/>
    <w:rsid w:val="00A4710E"/>
    <w:rsid w:val="00A47281"/>
    <w:rsid w:val="00A472EA"/>
    <w:rsid w:val="00A47331"/>
    <w:rsid w:val="00A47389"/>
    <w:rsid w:val="00A47397"/>
    <w:rsid w:val="00A4741D"/>
    <w:rsid w:val="00A47502"/>
    <w:rsid w:val="00A47535"/>
    <w:rsid w:val="00A475FB"/>
    <w:rsid w:val="00A4762C"/>
    <w:rsid w:val="00A4767C"/>
    <w:rsid w:val="00A476F9"/>
    <w:rsid w:val="00A4770C"/>
    <w:rsid w:val="00A47732"/>
    <w:rsid w:val="00A477A1"/>
    <w:rsid w:val="00A477B3"/>
    <w:rsid w:val="00A47825"/>
    <w:rsid w:val="00A4782A"/>
    <w:rsid w:val="00A478FD"/>
    <w:rsid w:val="00A47A28"/>
    <w:rsid w:val="00A47AD3"/>
    <w:rsid w:val="00A47B44"/>
    <w:rsid w:val="00A47B65"/>
    <w:rsid w:val="00A47BB6"/>
    <w:rsid w:val="00A47BDF"/>
    <w:rsid w:val="00A47C0D"/>
    <w:rsid w:val="00A47F9D"/>
    <w:rsid w:val="00A500DA"/>
    <w:rsid w:val="00A5013D"/>
    <w:rsid w:val="00A5023F"/>
    <w:rsid w:val="00A503D8"/>
    <w:rsid w:val="00A503E2"/>
    <w:rsid w:val="00A504D1"/>
    <w:rsid w:val="00A50582"/>
    <w:rsid w:val="00A506F6"/>
    <w:rsid w:val="00A50754"/>
    <w:rsid w:val="00A50787"/>
    <w:rsid w:val="00A507B9"/>
    <w:rsid w:val="00A50984"/>
    <w:rsid w:val="00A50A14"/>
    <w:rsid w:val="00A50A2D"/>
    <w:rsid w:val="00A50AAE"/>
    <w:rsid w:val="00A50AE1"/>
    <w:rsid w:val="00A50BC8"/>
    <w:rsid w:val="00A50BFB"/>
    <w:rsid w:val="00A50CA4"/>
    <w:rsid w:val="00A50CDB"/>
    <w:rsid w:val="00A50E3C"/>
    <w:rsid w:val="00A50F59"/>
    <w:rsid w:val="00A50FA6"/>
    <w:rsid w:val="00A5102A"/>
    <w:rsid w:val="00A51151"/>
    <w:rsid w:val="00A512C5"/>
    <w:rsid w:val="00A512E1"/>
    <w:rsid w:val="00A512FD"/>
    <w:rsid w:val="00A512FF"/>
    <w:rsid w:val="00A5133D"/>
    <w:rsid w:val="00A5134A"/>
    <w:rsid w:val="00A51512"/>
    <w:rsid w:val="00A51526"/>
    <w:rsid w:val="00A5155A"/>
    <w:rsid w:val="00A5155F"/>
    <w:rsid w:val="00A51591"/>
    <w:rsid w:val="00A5186D"/>
    <w:rsid w:val="00A518F2"/>
    <w:rsid w:val="00A5192D"/>
    <w:rsid w:val="00A51A5A"/>
    <w:rsid w:val="00A51AA5"/>
    <w:rsid w:val="00A51ADA"/>
    <w:rsid w:val="00A51EE7"/>
    <w:rsid w:val="00A51EFB"/>
    <w:rsid w:val="00A51F08"/>
    <w:rsid w:val="00A51F24"/>
    <w:rsid w:val="00A5208B"/>
    <w:rsid w:val="00A52181"/>
    <w:rsid w:val="00A521FA"/>
    <w:rsid w:val="00A52212"/>
    <w:rsid w:val="00A522A1"/>
    <w:rsid w:val="00A52322"/>
    <w:rsid w:val="00A523B2"/>
    <w:rsid w:val="00A523DB"/>
    <w:rsid w:val="00A5247A"/>
    <w:rsid w:val="00A52497"/>
    <w:rsid w:val="00A5256F"/>
    <w:rsid w:val="00A525DE"/>
    <w:rsid w:val="00A525F4"/>
    <w:rsid w:val="00A52690"/>
    <w:rsid w:val="00A5271B"/>
    <w:rsid w:val="00A52861"/>
    <w:rsid w:val="00A52941"/>
    <w:rsid w:val="00A52A4B"/>
    <w:rsid w:val="00A52A80"/>
    <w:rsid w:val="00A52AE1"/>
    <w:rsid w:val="00A52B15"/>
    <w:rsid w:val="00A52BD7"/>
    <w:rsid w:val="00A52C20"/>
    <w:rsid w:val="00A52C73"/>
    <w:rsid w:val="00A52D97"/>
    <w:rsid w:val="00A52DB8"/>
    <w:rsid w:val="00A52E45"/>
    <w:rsid w:val="00A52EEB"/>
    <w:rsid w:val="00A52F0F"/>
    <w:rsid w:val="00A52F2C"/>
    <w:rsid w:val="00A53069"/>
    <w:rsid w:val="00A5306B"/>
    <w:rsid w:val="00A5310E"/>
    <w:rsid w:val="00A5313D"/>
    <w:rsid w:val="00A531D6"/>
    <w:rsid w:val="00A531F9"/>
    <w:rsid w:val="00A532E1"/>
    <w:rsid w:val="00A533E3"/>
    <w:rsid w:val="00A534DB"/>
    <w:rsid w:val="00A534DF"/>
    <w:rsid w:val="00A53555"/>
    <w:rsid w:val="00A535B6"/>
    <w:rsid w:val="00A5367C"/>
    <w:rsid w:val="00A5373F"/>
    <w:rsid w:val="00A537EE"/>
    <w:rsid w:val="00A538E4"/>
    <w:rsid w:val="00A53913"/>
    <w:rsid w:val="00A539A3"/>
    <w:rsid w:val="00A539F0"/>
    <w:rsid w:val="00A53A3A"/>
    <w:rsid w:val="00A53AB7"/>
    <w:rsid w:val="00A53ACE"/>
    <w:rsid w:val="00A53ACF"/>
    <w:rsid w:val="00A53BCE"/>
    <w:rsid w:val="00A53BED"/>
    <w:rsid w:val="00A53DB7"/>
    <w:rsid w:val="00A53DCE"/>
    <w:rsid w:val="00A53E97"/>
    <w:rsid w:val="00A53FB1"/>
    <w:rsid w:val="00A5400D"/>
    <w:rsid w:val="00A540C0"/>
    <w:rsid w:val="00A541A0"/>
    <w:rsid w:val="00A542CC"/>
    <w:rsid w:val="00A5433A"/>
    <w:rsid w:val="00A5433E"/>
    <w:rsid w:val="00A5443C"/>
    <w:rsid w:val="00A5449F"/>
    <w:rsid w:val="00A546A8"/>
    <w:rsid w:val="00A54703"/>
    <w:rsid w:val="00A54736"/>
    <w:rsid w:val="00A547E2"/>
    <w:rsid w:val="00A547F7"/>
    <w:rsid w:val="00A54806"/>
    <w:rsid w:val="00A54873"/>
    <w:rsid w:val="00A5494F"/>
    <w:rsid w:val="00A549DA"/>
    <w:rsid w:val="00A54C03"/>
    <w:rsid w:val="00A54C19"/>
    <w:rsid w:val="00A54C8A"/>
    <w:rsid w:val="00A54E8F"/>
    <w:rsid w:val="00A55039"/>
    <w:rsid w:val="00A55141"/>
    <w:rsid w:val="00A55252"/>
    <w:rsid w:val="00A552D1"/>
    <w:rsid w:val="00A552D8"/>
    <w:rsid w:val="00A554C7"/>
    <w:rsid w:val="00A554CC"/>
    <w:rsid w:val="00A55613"/>
    <w:rsid w:val="00A5563A"/>
    <w:rsid w:val="00A55661"/>
    <w:rsid w:val="00A55727"/>
    <w:rsid w:val="00A55765"/>
    <w:rsid w:val="00A557C3"/>
    <w:rsid w:val="00A558F6"/>
    <w:rsid w:val="00A559B7"/>
    <w:rsid w:val="00A559BD"/>
    <w:rsid w:val="00A559EB"/>
    <w:rsid w:val="00A55A05"/>
    <w:rsid w:val="00A55AA8"/>
    <w:rsid w:val="00A55AB9"/>
    <w:rsid w:val="00A55AD9"/>
    <w:rsid w:val="00A55B1F"/>
    <w:rsid w:val="00A55B4E"/>
    <w:rsid w:val="00A55C0C"/>
    <w:rsid w:val="00A55C82"/>
    <w:rsid w:val="00A55CEF"/>
    <w:rsid w:val="00A55D86"/>
    <w:rsid w:val="00A55DEE"/>
    <w:rsid w:val="00A55E06"/>
    <w:rsid w:val="00A560A4"/>
    <w:rsid w:val="00A56204"/>
    <w:rsid w:val="00A56268"/>
    <w:rsid w:val="00A56353"/>
    <w:rsid w:val="00A56432"/>
    <w:rsid w:val="00A564CE"/>
    <w:rsid w:val="00A564E3"/>
    <w:rsid w:val="00A564F5"/>
    <w:rsid w:val="00A56740"/>
    <w:rsid w:val="00A56754"/>
    <w:rsid w:val="00A56988"/>
    <w:rsid w:val="00A569DA"/>
    <w:rsid w:val="00A56A50"/>
    <w:rsid w:val="00A56A8A"/>
    <w:rsid w:val="00A56A98"/>
    <w:rsid w:val="00A56AF4"/>
    <w:rsid w:val="00A56B25"/>
    <w:rsid w:val="00A56B3F"/>
    <w:rsid w:val="00A56B91"/>
    <w:rsid w:val="00A56BBB"/>
    <w:rsid w:val="00A56C2F"/>
    <w:rsid w:val="00A56C77"/>
    <w:rsid w:val="00A56C97"/>
    <w:rsid w:val="00A56E5A"/>
    <w:rsid w:val="00A56EF7"/>
    <w:rsid w:val="00A56F76"/>
    <w:rsid w:val="00A56FF4"/>
    <w:rsid w:val="00A57016"/>
    <w:rsid w:val="00A57051"/>
    <w:rsid w:val="00A570AF"/>
    <w:rsid w:val="00A570EC"/>
    <w:rsid w:val="00A5721E"/>
    <w:rsid w:val="00A573F2"/>
    <w:rsid w:val="00A573FD"/>
    <w:rsid w:val="00A57428"/>
    <w:rsid w:val="00A57599"/>
    <w:rsid w:val="00A5764A"/>
    <w:rsid w:val="00A5768F"/>
    <w:rsid w:val="00A57718"/>
    <w:rsid w:val="00A577CE"/>
    <w:rsid w:val="00A577CF"/>
    <w:rsid w:val="00A577D5"/>
    <w:rsid w:val="00A57809"/>
    <w:rsid w:val="00A578EE"/>
    <w:rsid w:val="00A57902"/>
    <w:rsid w:val="00A57A1C"/>
    <w:rsid w:val="00A57A70"/>
    <w:rsid w:val="00A57BC0"/>
    <w:rsid w:val="00A57CC7"/>
    <w:rsid w:val="00A57D3E"/>
    <w:rsid w:val="00A57DC0"/>
    <w:rsid w:val="00A57F65"/>
    <w:rsid w:val="00A6007C"/>
    <w:rsid w:val="00A60157"/>
    <w:rsid w:val="00A60186"/>
    <w:rsid w:val="00A6026D"/>
    <w:rsid w:val="00A602B2"/>
    <w:rsid w:val="00A6041D"/>
    <w:rsid w:val="00A604E9"/>
    <w:rsid w:val="00A604FD"/>
    <w:rsid w:val="00A60551"/>
    <w:rsid w:val="00A60575"/>
    <w:rsid w:val="00A60669"/>
    <w:rsid w:val="00A60A2B"/>
    <w:rsid w:val="00A60AB4"/>
    <w:rsid w:val="00A60B34"/>
    <w:rsid w:val="00A60C2E"/>
    <w:rsid w:val="00A60C62"/>
    <w:rsid w:val="00A60CF3"/>
    <w:rsid w:val="00A60D19"/>
    <w:rsid w:val="00A60DC3"/>
    <w:rsid w:val="00A60ECA"/>
    <w:rsid w:val="00A60F28"/>
    <w:rsid w:val="00A60F48"/>
    <w:rsid w:val="00A60F79"/>
    <w:rsid w:val="00A61151"/>
    <w:rsid w:val="00A6116F"/>
    <w:rsid w:val="00A61180"/>
    <w:rsid w:val="00A611C0"/>
    <w:rsid w:val="00A61254"/>
    <w:rsid w:val="00A61255"/>
    <w:rsid w:val="00A6128D"/>
    <w:rsid w:val="00A61297"/>
    <w:rsid w:val="00A61307"/>
    <w:rsid w:val="00A61367"/>
    <w:rsid w:val="00A61399"/>
    <w:rsid w:val="00A614AB"/>
    <w:rsid w:val="00A61525"/>
    <w:rsid w:val="00A61575"/>
    <w:rsid w:val="00A61650"/>
    <w:rsid w:val="00A6167F"/>
    <w:rsid w:val="00A617C6"/>
    <w:rsid w:val="00A61863"/>
    <w:rsid w:val="00A619C2"/>
    <w:rsid w:val="00A61A70"/>
    <w:rsid w:val="00A61B4F"/>
    <w:rsid w:val="00A61BAF"/>
    <w:rsid w:val="00A61BDD"/>
    <w:rsid w:val="00A61C0E"/>
    <w:rsid w:val="00A61C3C"/>
    <w:rsid w:val="00A61CE7"/>
    <w:rsid w:val="00A61D2F"/>
    <w:rsid w:val="00A61D40"/>
    <w:rsid w:val="00A61D8B"/>
    <w:rsid w:val="00A61F07"/>
    <w:rsid w:val="00A61F7A"/>
    <w:rsid w:val="00A61FE1"/>
    <w:rsid w:val="00A62172"/>
    <w:rsid w:val="00A62202"/>
    <w:rsid w:val="00A6227A"/>
    <w:rsid w:val="00A622D0"/>
    <w:rsid w:val="00A623D9"/>
    <w:rsid w:val="00A6245B"/>
    <w:rsid w:val="00A6249F"/>
    <w:rsid w:val="00A624E9"/>
    <w:rsid w:val="00A62638"/>
    <w:rsid w:val="00A626C0"/>
    <w:rsid w:val="00A626E9"/>
    <w:rsid w:val="00A6286D"/>
    <w:rsid w:val="00A62991"/>
    <w:rsid w:val="00A629DF"/>
    <w:rsid w:val="00A62AE7"/>
    <w:rsid w:val="00A62B3A"/>
    <w:rsid w:val="00A62B6F"/>
    <w:rsid w:val="00A62BD5"/>
    <w:rsid w:val="00A62BF4"/>
    <w:rsid w:val="00A62C1D"/>
    <w:rsid w:val="00A62E70"/>
    <w:rsid w:val="00A62F18"/>
    <w:rsid w:val="00A6309C"/>
    <w:rsid w:val="00A630E9"/>
    <w:rsid w:val="00A632BD"/>
    <w:rsid w:val="00A632D3"/>
    <w:rsid w:val="00A63352"/>
    <w:rsid w:val="00A6339F"/>
    <w:rsid w:val="00A633D4"/>
    <w:rsid w:val="00A633FE"/>
    <w:rsid w:val="00A63428"/>
    <w:rsid w:val="00A6344D"/>
    <w:rsid w:val="00A63594"/>
    <w:rsid w:val="00A635B8"/>
    <w:rsid w:val="00A637C0"/>
    <w:rsid w:val="00A639E2"/>
    <w:rsid w:val="00A63ABD"/>
    <w:rsid w:val="00A63B15"/>
    <w:rsid w:val="00A63B6E"/>
    <w:rsid w:val="00A63BCC"/>
    <w:rsid w:val="00A63C01"/>
    <w:rsid w:val="00A63C58"/>
    <w:rsid w:val="00A63DE0"/>
    <w:rsid w:val="00A63EC4"/>
    <w:rsid w:val="00A63F18"/>
    <w:rsid w:val="00A63F56"/>
    <w:rsid w:val="00A63F92"/>
    <w:rsid w:val="00A63FA8"/>
    <w:rsid w:val="00A63FC2"/>
    <w:rsid w:val="00A640E0"/>
    <w:rsid w:val="00A64110"/>
    <w:rsid w:val="00A64120"/>
    <w:rsid w:val="00A64128"/>
    <w:rsid w:val="00A641E8"/>
    <w:rsid w:val="00A64202"/>
    <w:rsid w:val="00A642F8"/>
    <w:rsid w:val="00A6439F"/>
    <w:rsid w:val="00A643CF"/>
    <w:rsid w:val="00A6448C"/>
    <w:rsid w:val="00A6449E"/>
    <w:rsid w:val="00A64539"/>
    <w:rsid w:val="00A64556"/>
    <w:rsid w:val="00A645E4"/>
    <w:rsid w:val="00A645FB"/>
    <w:rsid w:val="00A64693"/>
    <w:rsid w:val="00A646B7"/>
    <w:rsid w:val="00A6475C"/>
    <w:rsid w:val="00A647E0"/>
    <w:rsid w:val="00A648EE"/>
    <w:rsid w:val="00A649DA"/>
    <w:rsid w:val="00A64B4D"/>
    <w:rsid w:val="00A64BB5"/>
    <w:rsid w:val="00A64C30"/>
    <w:rsid w:val="00A64E72"/>
    <w:rsid w:val="00A64EAE"/>
    <w:rsid w:val="00A64F90"/>
    <w:rsid w:val="00A64FD9"/>
    <w:rsid w:val="00A6501A"/>
    <w:rsid w:val="00A6517D"/>
    <w:rsid w:val="00A652A6"/>
    <w:rsid w:val="00A652AB"/>
    <w:rsid w:val="00A6533A"/>
    <w:rsid w:val="00A65377"/>
    <w:rsid w:val="00A65387"/>
    <w:rsid w:val="00A65413"/>
    <w:rsid w:val="00A65592"/>
    <w:rsid w:val="00A656DF"/>
    <w:rsid w:val="00A65709"/>
    <w:rsid w:val="00A65723"/>
    <w:rsid w:val="00A658A9"/>
    <w:rsid w:val="00A658B7"/>
    <w:rsid w:val="00A658BF"/>
    <w:rsid w:val="00A6590A"/>
    <w:rsid w:val="00A6590C"/>
    <w:rsid w:val="00A6590E"/>
    <w:rsid w:val="00A65B23"/>
    <w:rsid w:val="00A65D21"/>
    <w:rsid w:val="00A65D66"/>
    <w:rsid w:val="00A65E30"/>
    <w:rsid w:val="00A65E34"/>
    <w:rsid w:val="00A65E8C"/>
    <w:rsid w:val="00A660E9"/>
    <w:rsid w:val="00A660FD"/>
    <w:rsid w:val="00A6615E"/>
    <w:rsid w:val="00A6619D"/>
    <w:rsid w:val="00A6628D"/>
    <w:rsid w:val="00A6639A"/>
    <w:rsid w:val="00A665C3"/>
    <w:rsid w:val="00A66640"/>
    <w:rsid w:val="00A6691E"/>
    <w:rsid w:val="00A6692A"/>
    <w:rsid w:val="00A6694A"/>
    <w:rsid w:val="00A6699D"/>
    <w:rsid w:val="00A66A09"/>
    <w:rsid w:val="00A66A21"/>
    <w:rsid w:val="00A66A7A"/>
    <w:rsid w:val="00A66B51"/>
    <w:rsid w:val="00A66C78"/>
    <w:rsid w:val="00A66C87"/>
    <w:rsid w:val="00A66CBD"/>
    <w:rsid w:val="00A66E32"/>
    <w:rsid w:val="00A66E59"/>
    <w:rsid w:val="00A66F1C"/>
    <w:rsid w:val="00A66F2C"/>
    <w:rsid w:val="00A66F40"/>
    <w:rsid w:val="00A66F49"/>
    <w:rsid w:val="00A670B9"/>
    <w:rsid w:val="00A673E6"/>
    <w:rsid w:val="00A67496"/>
    <w:rsid w:val="00A674AB"/>
    <w:rsid w:val="00A676F5"/>
    <w:rsid w:val="00A67797"/>
    <w:rsid w:val="00A677A3"/>
    <w:rsid w:val="00A678D0"/>
    <w:rsid w:val="00A678E7"/>
    <w:rsid w:val="00A67978"/>
    <w:rsid w:val="00A679A1"/>
    <w:rsid w:val="00A679E7"/>
    <w:rsid w:val="00A67B66"/>
    <w:rsid w:val="00A67C24"/>
    <w:rsid w:val="00A67C27"/>
    <w:rsid w:val="00A67CCC"/>
    <w:rsid w:val="00A67D07"/>
    <w:rsid w:val="00A67DB2"/>
    <w:rsid w:val="00A67E05"/>
    <w:rsid w:val="00A67F5A"/>
    <w:rsid w:val="00A7016E"/>
    <w:rsid w:val="00A70201"/>
    <w:rsid w:val="00A70263"/>
    <w:rsid w:val="00A7029A"/>
    <w:rsid w:val="00A7049E"/>
    <w:rsid w:val="00A7053F"/>
    <w:rsid w:val="00A70552"/>
    <w:rsid w:val="00A707F1"/>
    <w:rsid w:val="00A70869"/>
    <w:rsid w:val="00A7088F"/>
    <w:rsid w:val="00A708B0"/>
    <w:rsid w:val="00A70921"/>
    <w:rsid w:val="00A70A23"/>
    <w:rsid w:val="00A70A96"/>
    <w:rsid w:val="00A70B5F"/>
    <w:rsid w:val="00A70B91"/>
    <w:rsid w:val="00A70C4D"/>
    <w:rsid w:val="00A70D08"/>
    <w:rsid w:val="00A70DDE"/>
    <w:rsid w:val="00A70F1A"/>
    <w:rsid w:val="00A70F30"/>
    <w:rsid w:val="00A70F85"/>
    <w:rsid w:val="00A710C8"/>
    <w:rsid w:val="00A710CD"/>
    <w:rsid w:val="00A71194"/>
    <w:rsid w:val="00A71271"/>
    <w:rsid w:val="00A71305"/>
    <w:rsid w:val="00A7136C"/>
    <w:rsid w:val="00A71636"/>
    <w:rsid w:val="00A7167B"/>
    <w:rsid w:val="00A7171C"/>
    <w:rsid w:val="00A71760"/>
    <w:rsid w:val="00A717FA"/>
    <w:rsid w:val="00A71B18"/>
    <w:rsid w:val="00A71B91"/>
    <w:rsid w:val="00A71BAD"/>
    <w:rsid w:val="00A71BE6"/>
    <w:rsid w:val="00A71C33"/>
    <w:rsid w:val="00A71C7A"/>
    <w:rsid w:val="00A71D22"/>
    <w:rsid w:val="00A71DE7"/>
    <w:rsid w:val="00A71E14"/>
    <w:rsid w:val="00A71F36"/>
    <w:rsid w:val="00A71FD9"/>
    <w:rsid w:val="00A71FE4"/>
    <w:rsid w:val="00A71FFB"/>
    <w:rsid w:val="00A720BB"/>
    <w:rsid w:val="00A72183"/>
    <w:rsid w:val="00A72571"/>
    <w:rsid w:val="00A725E8"/>
    <w:rsid w:val="00A72639"/>
    <w:rsid w:val="00A7263A"/>
    <w:rsid w:val="00A727BA"/>
    <w:rsid w:val="00A7283B"/>
    <w:rsid w:val="00A7283E"/>
    <w:rsid w:val="00A7288B"/>
    <w:rsid w:val="00A728F0"/>
    <w:rsid w:val="00A728F5"/>
    <w:rsid w:val="00A72949"/>
    <w:rsid w:val="00A7294F"/>
    <w:rsid w:val="00A72A96"/>
    <w:rsid w:val="00A72ABA"/>
    <w:rsid w:val="00A72B61"/>
    <w:rsid w:val="00A72C08"/>
    <w:rsid w:val="00A72C8A"/>
    <w:rsid w:val="00A72CA3"/>
    <w:rsid w:val="00A72D7F"/>
    <w:rsid w:val="00A72EF9"/>
    <w:rsid w:val="00A72F03"/>
    <w:rsid w:val="00A7300C"/>
    <w:rsid w:val="00A7305A"/>
    <w:rsid w:val="00A730B4"/>
    <w:rsid w:val="00A730F0"/>
    <w:rsid w:val="00A73218"/>
    <w:rsid w:val="00A73231"/>
    <w:rsid w:val="00A73234"/>
    <w:rsid w:val="00A732A8"/>
    <w:rsid w:val="00A734FE"/>
    <w:rsid w:val="00A735E5"/>
    <w:rsid w:val="00A735FA"/>
    <w:rsid w:val="00A73665"/>
    <w:rsid w:val="00A73799"/>
    <w:rsid w:val="00A73899"/>
    <w:rsid w:val="00A7389B"/>
    <w:rsid w:val="00A73A2D"/>
    <w:rsid w:val="00A73AEB"/>
    <w:rsid w:val="00A73C45"/>
    <w:rsid w:val="00A73C78"/>
    <w:rsid w:val="00A73C7A"/>
    <w:rsid w:val="00A73DC1"/>
    <w:rsid w:val="00A73FC6"/>
    <w:rsid w:val="00A7408B"/>
    <w:rsid w:val="00A740E6"/>
    <w:rsid w:val="00A74127"/>
    <w:rsid w:val="00A741CB"/>
    <w:rsid w:val="00A741EF"/>
    <w:rsid w:val="00A74212"/>
    <w:rsid w:val="00A74569"/>
    <w:rsid w:val="00A745DF"/>
    <w:rsid w:val="00A74638"/>
    <w:rsid w:val="00A746A5"/>
    <w:rsid w:val="00A748C9"/>
    <w:rsid w:val="00A74A2F"/>
    <w:rsid w:val="00A74AD2"/>
    <w:rsid w:val="00A74D83"/>
    <w:rsid w:val="00A74E6E"/>
    <w:rsid w:val="00A74F40"/>
    <w:rsid w:val="00A75297"/>
    <w:rsid w:val="00A752AD"/>
    <w:rsid w:val="00A75341"/>
    <w:rsid w:val="00A75391"/>
    <w:rsid w:val="00A7545B"/>
    <w:rsid w:val="00A754BB"/>
    <w:rsid w:val="00A75537"/>
    <w:rsid w:val="00A75626"/>
    <w:rsid w:val="00A75721"/>
    <w:rsid w:val="00A75769"/>
    <w:rsid w:val="00A757BD"/>
    <w:rsid w:val="00A757C1"/>
    <w:rsid w:val="00A758C8"/>
    <w:rsid w:val="00A758EE"/>
    <w:rsid w:val="00A75BB2"/>
    <w:rsid w:val="00A75C8F"/>
    <w:rsid w:val="00A75CA0"/>
    <w:rsid w:val="00A75CD3"/>
    <w:rsid w:val="00A75DBD"/>
    <w:rsid w:val="00A75FA7"/>
    <w:rsid w:val="00A76217"/>
    <w:rsid w:val="00A7623D"/>
    <w:rsid w:val="00A763B3"/>
    <w:rsid w:val="00A76420"/>
    <w:rsid w:val="00A764AF"/>
    <w:rsid w:val="00A764E5"/>
    <w:rsid w:val="00A7650A"/>
    <w:rsid w:val="00A76705"/>
    <w:rsid w:val="00A76716"/>
    <w:rsid w:val="00A76766"/>
    <w:rsid w:val="00A767EE"/>
    <w:rsid w:val="00A7684B"/>
    <w:rsid w:val="00A768DD"/>
    <w:rsid w:val="00A768E5"/>
    <w:rsid w:val="00A76918"/>
    <w:rsid w:val="00A76968"/>
    <w:rsid w:val="00A76B28"/>
    <w:rsid w:val="00A76C89"/>
    <w:rsid w:val="00A76CEE"/>
    <w:rsid w:val="00A76E17"/>
    <w:rsid w:val="00A76F12"/>
    <w:rsid w:val="00A76F40"/>
    <w:rsid w:val="00A76F6C"/>
    <w:rsid w:val="00A77111"/>
    <w:rsid w:val="00A7711F"/>
    <w:rsid w:val="00A771BA"/>
    <w:rsid w:val="00A771DC"/>
    <w:rsid w:val="00A7726F"/>
    <w:rsid w:val="00A77304"/>
    <w:rsid w:val="00A77338"/>
    <w:rsid w:val="00A77360"/>
    <w:rsid w:val="00A773DE"/>
    <w:rsid w:val="00A77477"/>
    <w:rsid w:val="00A77501"/>
    <w:rsid w:val="00A77516"/>
    <w:rsid w:val="00A7778C"/>
    <w:rsid w:val="00A77799"/>
    <w:rsid w:val="00A777A3"/>
    <w:rsid w:val="00A7788F"/>
    <w:rsid w:val="00A77940"/>
    <w:rsid w:val="00A77A10"/>
    <w:rsid w:val="00A77A18"/>
    <w:rsid w:val="00A77A2B"/>
    <w:rsid w:val="00A77AA2"/>
    <w:rsid w:val="00A77AF7"/>
    <w:rsid w:val="00A77B23"/>
    <w:rsid w:val="00A77B36"/>
    <w:rsid w:val="00A77C86"/>
    <w:rsid w:val="00A77CE4"/>
    <w:rsid w:val="00A77F42"/>
    <w:rsid w:val="00A77F65"/>
    <w:rsid w:val="00A77F71"/>
    <w:rsid w:val="00A8001C"/>
    <w:rsid w:val="00A80196"/>
    <w:rsid w:val="00A801C6"/>
    <w:rsid w:val="00A801D0"/>
    <w:rsid w:val="00A802C4"/>
    <w:rsid w:val="00A8033F"/>
    <w:rsid w:val="00A803E4"/>
    <w:rsid w:val="00A803F5"/>
    <w:rsid w:val="00A80489"/>
    <w:rsid w:val="00A80493"/>
    <w:rsid w:val="00A804A9"/>
    <w:rsid w:val="00A804CB"/>
    <w:rsid w:val="00A804FD"/>
    <w:rsid w:val="00A80505"/>
    <w:rsid w:val="00A805BE"/>
    <w:rsid w:val="00A806D8"/>
    <w:rsid w:val="00A806ED"/>
    <w:rsid w:val="00A807C8"/>
    <w:rsid w:val="00A807F5"/>
    <w:rsid w:val="00A807F9"/>
    <w:rsid w:val="00A80802"/>
    <w:rsid w:val="00A80822"/>
    <w:rsid w:val="00A80923"/>
    <w:rsid w:val="00A80A81"/>
    <w:rsid w:val="00A80AA2"/>
    <w:rsid w:val="00A80AEE"/>
    <w:rsid w:val="00A80BEF"/>
    <w:rsid w:val="00A80C4D"/>
    <w:rsid w:val="00A80CD9"/>
    <w:rsid w:val="00A80DEE"/>
    <w:rsid w:val="00A8102F"/>
    <w:rsid w:val="00A81227"/>
    <w:rsid w:val="00A81228"/>
    <w:rsid w:val="00A81262"/>
    <w:rsid w:val="00A81356"/>
    <w:rsid w:val="00A81367"/>
    <w:rsid w:val="00A813E5"/>
    <w:rsid w:val="00A813E9"/>
    <w:rsid w:val="00A814B3"/>
    <w:rsid w:val="00A814B9"/>
    <w:rsid w:val="00A814BD"/>
    <w:rsid w:val="00A8158A"/>
    <w:rsid w:val="00A81595"/>
    <w:rsid w:val="00A815A3"/>
    <w:rsid w:val="00A81600"/>
    <w:rsid w:val="00A8161F"/>
    <w:rsid w:val="00A81651"/>
    <w:rsid w:val="00A81670"/>
    <w:rsid w:val="00A81673"/>
    <w:rsid w:val="00A81695"/>
    <w:rsid w:val="00A816BE"/>
    <w:rsid w:val="00A816DE"/>
    <w:rsid w:val="00A8173F"/>
    <w:rsid w:val="00A8174B"/>
    <w:rsid w:val="00A8187F"/>
    <w:rsid w:val="00A818D6"/>
    <w:rsid w:val="00A81A50"/>
    <w:rsid w:val="00A81AB0"/>
    <w:rsid w:val="00A81CD6"/>
    <w:rsid w:val="00A81D24"/>
    <w:rsid w:val="00A81E39"/>
    <w:rsid w:val="00A81E7D"/>
    <w:rsid w:val="00A81EDD"/>
    <w:rsid w:val="00A81F9E"/>
    <w:rsid w:val="00A81FD0"/>
    <w:rsid w:val="00A8209C"/>
    <w:rsid w:val="00A820D5"/>
    <w:rsid w:val="00A82257"/>
    <w:rsid w:val="00A822C7"/>
    <w:rsid w:val="00A822F7"/>
    <w:rsid w:val="00A82399"/>
    <w:rsid w:val="00A8242A"/>
    <w:rsid w:val="00A826AE"/>
    <w:rsid w:val="00A82738"/>
    <w:rsid w:val="00A8275B"/>
    <w:rsid w:val="00A82793"/>
    <w:rsid w:val="00A82872"/>
    <w:rsid w:val="00A828CE"/>
    <w:rsid w:val="00A829AD"/>
    <w:rsid w:val="00A82B19"/>
    <w:rsid w:val="00A82B3D"/>
    <w:rsid w:val="00A82CF1"/>
    <w:rsid w:val="00A82CF7"/>
    <w:rsid w:val="00A82D4C"/>
    <w:rsid w:val="00A82D5C"/>
    <w:rsid w:val="00A82DAE"/>
    <w:rsid w:val="00A82DE5"/>
    <w:rsid w:val="00A82E46"/>
    <w:rsid w:val="00A82E5B"/>
    <w:rsid w:val="00A82F06"/>
    <w:rsid w:val="00A82F34"/>
    <w:rsid w:val="00A82F9E"/>
    <w:rsid w:val="00A82FE2"/>
    <w:rsid w:val="00A83013"/>
    <w:rsid w:val="00A8303E"/>
    <w:rsid w:val="00A830FB"/>
    <w:rsid w:val="00A8311B"/>
    <w:rsid w:val="00A832DE"/>
    <w:rsid w:val="00A832E6"/>
    <w:rsid w:val="00A83462"/>
    <w:rsid w:val="00A8347B"/>
    <w:rsid w:val="00A8354D"/>
    <w:rsid w:val="00A835E8"/>
    <w:rsid w:val="00A8393B"/>
    <w:rsid w:val="00A83AD8"/>
    <w:rsid w:val="00A83B79"/>
    <w:rsid w:val="00A83B83"/>
    <w:rsid w:val="00A83B95"/>
    <w:rsid w:val="00A83BBB"/>
    <w:rsid w:val="00A83C78"/>
    <w:rsid w:val="00A83CC8"/>
    <w:rsid w:val="00A83D02"/>
    <w:rsid w:val="00A83D14"/>
    <w:rsid w:val="00A83D83"/>
    <w:rsid w:val="00A83E9C"/>
    <w:rsid w:val="00A83F65"/>
    <w:rsid w:val="00A84095"/>
    <w:rsid w:val="00A84119"/>
    <w:rsid w:val="00A84189"/>
    <w:rsid w:val="00A841BD"/>
    <w:rsid w:val="00A8426F"/>
    <w:rsid w:val="00A842BC"/>
    <w:rsid w:val="00A843BD"/>
    <w:rsid w:val="00A844C3"/>
    <w:rsid w:val="00A8470B"/>
    <w:rsid w:val="00A847CD"/>
    <w:rsid w:val="00A8483C"/>
    <w:rsid w:val="00A8487F"/>
    <w:rsid w:val="00A84929"/>
    <w:rsid w:val="00A84937"/>
    <w:rsid w:val="00A84995"/>
    <w:rsid w:val="00A84A0E"/>
    <w:rsid w:val="00A84A1A"/>
    <w:rsid w:val="00A84B41"/>
    <w:rsid w:val="00A84B4A"/>
    <w:rsid w:val="00A84C1B"/>
    <w:rsid w:val="00A84CB4"/>
    <w:rsid w:val="00A84D86"/>
    <w:rsid w:val="00A84F2D"/>
    <w:rsid w:val="00A84F53"/>
    <w:rsid w:val="00A84F85"/>
    <w:rsid w:val="00A85033"/>
    <w:rsid w:val="00A8504E"/>
    <w:rsid w:val="00A85056"/>
    <w:rsid w:val="00A850A1"/>
    <w:rsid w:val="00A85122"/>
    <w:rsid w:val="00A85196"/>
    <w:rsid w:val="00A851C6"/>
    <w:rsid w:val="00A851D0"/>
    <w:rsid w:val="00A851D8"/>
    <w:rsid w:val="00A852AA"/>
    <w:rsid w:val="00A852F5"/>
    <w:rsid w:val="00A85319"/>
    <w:rsid w:val="00A8539F"/>
    <w:rsid w:val="00A853BC"/>
    <w:rsid w:val="00A853EB"/>
    <w:rsid w:val="00A855AA"/>
    <w:rsid w:val="00A8565B"/>
    <w:rsid w:val="00A856D3"/>
    <w:rsid w:val="00A85755"/>
    <w:rsid w:val="00A85808"/>
    <w:rsid w:val="00A85911"/>
    <w:rsid w:val="00A85914"/>
    <w:rsid w:val="00A8592C"/>
    <w:rsid w:val="00A85987"/>
    <w:rsid w:val="00A85A52"/>
    <w:rsid w:val="00A85ACC"/>
    <w:rsid w:val="00A85B17"/>
    <w:rsid w:val="00A85B47"/>
    <w:rsid w:val="00A85B51"/>
    <w:rsid w:val="00A85B79"/>
    <w:rsid w:val="00A85CDA"/>
    <w:rsid w:val="00A85DEA"/>
    <w:rsid w:val="00A85E5C"/>
    <w:rsid w:val="00A85F3E"/>
    <w:rsid w:val="00A85F84"/>
    <w:rsid w:val="00A85FB4"/>
    <w:rsid w:val="00A85FF4"/>
    <w:rsid w:val="00A86008"/>
    <w:rsid w:val="00A8617F"/>
    <w:rsid w:val="00A861D6"/>
    <w:rsid w:val="00A86244"/>
    <w:rsid w:val="00A8626E"/>
    <w:rsid w:val="00A86276"/>
    <w:rsid w:val="00A862B1"/>
    <w:rsid w:val="00A862C4"/>
    <w:rsid w:val="00A8635E"/>
    <w:rsid w:val="00A863D3"/>
    <w:rsid w:val="00A86750"/>
    <w:rsid w:val="00A867F7"/>
    <w:rsid w:val="00A8682B"/>
    <w:rsid w:val="00A868B6"/>
    <w:rsid w:val="00A86956"/>
    <w:rsid w:val="00A8699F"/>
    <w:rsid w:val="00A86A3E"/>
    <w:rsid w:val="00A86ABE"/>
    <w:rsid w:val="00A86B40"/>
    <w:rsid w:val="00A86BDD"/>
    <w:rsid w:val="00A86C48"/>
    <w:rsid w:val="00A86C67"/>
    <w:rsid w:val="00A86DE0"/>
    <w:rsid w:val="00A86E09"/>
    <w:rsid w:val="00A86E0E"/>
    <w:rsid w:val="00A87061"/>
    <w:rsid w:val="00A871AF"/>
    <w:rsid w:val="00A87266"/>
    <w:rsid w:val="00A872A0"/>
    <w:rsid w:val="00A8733B"/>
    <w:rsid w:val="00A8736C"/>
    <w:rsid w:val="00A8747C"/>
    <w:rsid w:val="00A874A2"/>
    <w:rsid w:val="00A87503"/>
    <w:rsid w:val="00A87520"/>
    <w:rsid w:val="00A87538"/>
    <w:rsid w:val="00A8755E"/>
    <w:rsid w:val="00A87587"/>
    <w:rsid w:val="00A875F3"/>
    <w:rsid w:val="00A87649"/>
    <w:rsid w:val="00A87675"/>
    <w:rsid w:val="00A876E5"/>
    <w:rsid w:val="00A8779B"/>
    <w:rsid w:val="00A877A9"/>
    <w:rsid w:val="00A877CF"/>
    <w:rsid w:val="00A877D1"/>
    <w:rsid w:val="00A87818"/>
    <w:rsid w:val="00A87899"/>
    <w:rsid w:val="00A8792A"/>
    <w:rsid w:val="00A87942"/>
    <w:rsid w:val="00A8799A"/>
    <w:rsid w:val="00A87A5A"/>
    <w:rsid w:val="00A87AE9"/>
    <w:rsid w:val="00A87B02"/>
    <w:rsid w:val="00A87B3B"/>
    <w:rsid w:val="00A87E15"/>
    <w:rsid w:val="00A87E54"/>
    <w:rsid w:val="00A87F2A"/>
    <w:rsid w:val="00A90023"/>
    <w:rsid w:val="00A9009A"/>
    <w:rsid w:val="00A900DA"/>
    <w:rsid w:val="00A90105"/>
    <w:rsid w:val="00A90130"/>
    <w:rsid w:val="00A90175"/>
    <w:rsid w:val="00A90177"/>
    <w:rsid w:val="00A901D6"/>
    <w:rsid w:val="00A90225"/>
    <w:rsid w:val="00A902E4"/>
    <w:rsid w:val="00A90571"/>
    <w:rsid w:val="00A90642"/>
    <w:rsid w:val="00A906FA"/>
    <w:rsid w:val="00A90708"/>
    <w:rsid w:val="00A9073F"/>
    <w:rsid w:val="00A907A2"/>
    <w:rsid w:val="00A908B0"/>
    <w:rsid w:val="00A9094F"/>
    <w:rsid w:val="00A90A13"/>
    <w:rsid w:val="00A90A4E"/>
    <w:rsid w:val="00A90A7E"/>
    <w:rsid w:val="00A90C0E"/>
    <w:rsid w:val="00A90CBA"/>
    <w:rsid w:val="00A90D09"/>
    <w:rsid w:val="00A90D6F"/>
    <w:rsid w:val="00A90DCC"/>
    <w:rsid w:val="00A90E44"/>
    <w:rsid w:val="00A90EBB"/>
    <w:rsid w:val="00A90F71"/>
    <w:rsid w:val="00A90FBA"/>
    <w:rsid w:val="00A91021"/>
    <w:rsid w:val="00A91025"/>
    <w:rsid w:val="00A9110E"/>
    <w:rsid w:val="00A91187"/>
    <w:rsid w:val="00A9127F"/>
    <w:rsid w:val="00A913CB"/>
    <w:rsid w:val="00A913F0"/>
    <w:rsid w:val="00A9145C"/>
    <w:rsid w:val="00A9149E"/>
    <w:rsid w:val="00A9177B"/>
    <w:rsid w:val="00A91826"/>
    <w:rsid w:val="00A9182D"/>
    <w:rsid w:val="00A918B8"/>
    <w:rsid w:val="00A9196D"/>
    <w:rsid w:val="00A91A23"/>
    <w:rsid w:val="00A91AAD"/>
    <w:rsid w:val="00A91AFC"/>
    <w:rsid w:val="00A91B8F"/>
    <w:rsid w:val="00A91C3A"/>
    <w:rsid w:val="00A91C7D"/>
    <w:rsid w:val="00A91D11"/>
    <w:rsid w:val="00A91D40"/>
    <w:rsid w:val="00A91DE6"/>
    <w:rsid w:val="00A91F31"/>
    <w:rsid w:val="00A91FCD"/>
    <w:rsid w:val="00A9218E"/>
    <w:rsid w:val="00A921B2"/>
    <w:rsid w:val="00A922CB"/>
    <w:rsid w:val="00A9230B"/>
    <w:rsid w:val="00A923B7"/>
    <w:rsid w:val="00A924AC"/>
    <w:rsid w:val="00A925E6"/>
    <w:rsid w:val="00A926A0"/>
    <w:rsid w:val="00A927F5"/>
    <w:rsid w:val="00A92842"/>
    <w:rsid w:val="00A928DE"/>
    <w:rsid w:val="00A92908"/>
    <w:rsid w:val="00A92923"/>
    <w:rsid w:val="00A92A6D"/>
    <w:rsid w:val="00A92AA3"/>
    <w:rsid w:val="00A92B49"/>
    <w:rsid w:val="00A92BC2"/>
    <w:rsid w:val="00A92BF2"/>
    <w:rsid w:val="00A92C31"/>
    <w:rsid w:val="00A92C79"/>
    <w:rsid w:val="00A92C8C"/>
    <w:rsid w:val="00A92CA3"/>
    <w:rsid w:val="00A92D18"/>
    <w:rsid w:val="00A92DB5"/>
    <w:rsid w:val="00A92E98"/>
    <w:rsid w:val="00A92F00"/>
    <w:rsid w:val="00A92F4A"/>
    <w:rsid w:val="00A93048"/>
    <w:rsid w:val="00A9304F"/>
    <w:rsid w:val="00A930D7"/>
    <w:rsid w:val="00A93208"/>
    <w:rsid w:val="00A9323B"/>
    <w:rsid w:val="00A9324D"/>
    <w:rsid w:val="00A93340"/>
    <w:rsid w:val="00A93433"/>
    <w:rsid w:val="00A93447"/>
    <w:rsid w:val="00A93474"/>
    <w:rsid w:val="00A934F0"/>
    <w:rsid w:val="00A93514"/>
    <w:rsid w:val="00A9356B"/>
    <w:rsid w:val="00A9362D"/>
    <w:rsid w:val="00A93634"/>
    <w:rsid w:val="00A93698"/>
    <w:rsid w:val="00A93766"/>
    <w:rsid w:val="00A938AF"/>
    <w:rsid w:val="00A938DD"/>
    <w:rsid w:val="00A938EA"/>
    <w:rsid w:val="00A938FA"/>
    <w:rsid w:val="00A93A3D"/>
    <w:rsid w:val="00A93B0C"/>
    <w:rsid w:val="00A93B68"/>
    <w:rsid w:val="00A93B8A"/>
    <w:rsid w:val="00A93CBA"/>
    <w:rsid w:val="00A93D42"/>
    <w:rsid w:val="00A93D74"/>
    <w:rsid w:val="00A93DBC"/>
    <w:rsid w:val="00A93E74"/>
    <w:rsid w:val="00A93F19"/>
    <w:rsid w:val="00A93F54"/>
    <w:rsid w:val="00A94046"/>
    <w:rsid w:val="00A9405F"/>
    <w:rsid w:val="00A940DC"/>
    <w:rsid w:val="00A940DF"/>
    <w:rsid w:val="00A94112"/>
    <w:rsid w:val="00A941B5"/>
    <w:rsid w:val="00A941D3"/>
    <w:rsid w:val="00A9430F"/>
    <w:rsid w:val="00A94419"/>
    <w:rsid w:val="00A94464"/>
    <w:rsid w:val="00A944CC"/>
    <w:rsid w:val="00A9450B"/>
    <w:rsid w:val="00A94529"/>
    <w:rsid w:val="00A94556"/>
    <w:rsid w:val="00A945B4"/>
    <w:rsid w:val="00A945C9"/>
    <w:rsid w:val="00A94731"/>
    <w:rsid w:val="00A947C9"/>
    <w:rsid w:val="00A94895"/>
    <w:rsid w:val="00A9494C"/>
    <w:rsid w:val="00A94952"/>
    <w:rsid w:val="00A94A84"/>
    <w:rsid w:val="00A94B2A"/>
    <w:rsid w:val="00A94B35"/>
    <w:rsid w:val="00A94C37"/>
    <w:rsid w:val="00A94CFD"/>
    <w:rsid w:val="00A94DC4"/>
    <w:rsid w:val="00A94DC5"/>
    <w:rsid w:val="00A94E7D"/>
    <w:rsid w:val="00A94EB3"/>
    <w:rsid w:val="00A94EEC"/>
    <w:rsid w:val="00A94F3D"/>
    <w:rsid w:val="00A94F63"/>
    <w:rsid w:val="00A95046"/>
    <w:rsid w:val="00A95065"/>
    <w:rsid w:val="00A950BA"/>
    <w:rsid w:val="00A95244"/>
    <w:rsid w:val="00A95299"/>
    <w:rsid w:val="00A953B9"/>
    <w:rsid w:val="00A953D2"/>
    <w:rsid w:val="00A953F3"/>
    <w:rsid w:val="00A955B7"/>
    <w:rsid w:val="00A957B4"/>
    <w:rsid w:val="00A9590B"/>
    <w:rsid w:val="00A95912"/>
    <w:rsid w:val="00A959AF"/>
    <w:rsid w:val="00A95A77"/>
    <w:rsid w:val="00A95A7D"/>
    <w:rsid w:val="00A95ADA"/>
    <w:rsid w:val="00A95AFE"/>
    <w:rsid w:val="00A95B51"/>
    <w:rsid w:val="00A95B9D"/>
    <w:rsid w:val="00A95CEB"/>
    <w:rsid w:val="00A95DF0"/>
    <w:rsid w:val="00A95F50"/>
    <w:rsid w:val="00A95F99"/>
    <w:rsid w:val="00A9604B"/>
    <w:rsid w:val="00A96062"/>
    <w:rsid w:val="00A96187"/>
    <w:rsid w:val="00A96189"/>
    <w:rsid w:val="00A961AA"/>
    <w:rsid w:val="00A9624E"/>
    <w:rsid w:val="00A96266"/>
    <w:rsid w:val="00A9635E"/>
    <w:rsid w:val="00A96427"/>
    <w:rsid w:val="00A9642A"/>
    <w:rsid w:val="00A964F7"/>
    <w:rsid w:val="00A96526"/>
    <w:rsid w:val="00A965CA"/>
    <w:rsid w:val="00A9670E"/>
    <w:rsid w:val="00A967F7"/>
    <w:rsid w:val="00A9683A"/>
    <w:rsid w:val="00A968D2"/>
    <w:rsid w:val="00A96ACB"/>
    <w:rsid w:val="00A96B2B"/>
    <w:rsid w:val="00A96BF6"/>
    <w:rsid w:val="00A96C5B"/>
    <w:rsid w:val="00A96D37"/>
    <w:rsid w:val="00A96E86"/>
    <w:rsid w:val="00A96ED2"/>
    <w:rsid w:val="00A96FF5"/>
    <w:rsid w:val="00A97003"/>
    <w:rsid w:val="00A97098"/>
    <w:rsid w:val="00A971C6"/>
    <w:rsid w:val="00A9722D"/>
    <w:rsid w:val="00A9733D"/>
    <w:rsid w:val="00A97579"/>
    <w:rsid w:val="00A9766D"/>
    <w:rsid w:val="00A9767D"/>
    <w:rsid w:val="00A977B0"/>
    <w:rsid w:val="00A97894"/>
    <w:rsid w:val="00A97A58"/>
    <w:rsid w:val="00A97A5C"/>
    <w:rsid w:val="00A97A96"/>
    <w:rsid w:val="00A97BB7"/>
    <w:rsid w:val="00A97CF5"/>
    <w:rsid w:val="00A97F2C"/>
    <w:rsid w:val="00A97F4B"/>
    <w:rsid w:val="00A97F97"/>
    <w:rsid w:val="00AA023E"/>
    <w:rsid w:val="00AA02CE"/>
    <w:rsid w:val="00AA0383"/>
    <w:rsid w:val="00AA0429"/>
    <w:rsid w:val="00AA0444"/>
    <w:rsid w:val="00AA0593"/>
    <w:rsid w:val="00AA05CF"/>
    <w:rsid w:val="00AA071F"/>
    <w:rsid w:val="00AA0743"/>
    <w:rsid w:val="00AA0846"/>
    <w:rsid w:val="00AA0878"/>
    <w:rsid w:val="00AA0A11"/>
    <w:rsid w:val="00AA0A69"/>
    <w:rsid w:val="00AA0A6B"/>
    <w:rsid w:val="00AA0A84"/>
    <w:rsid w:val="00AA0A90"/>
    <w:rsid w:val="00AA0B2B"/>
    <w:rsid w:val="00AA0B46"/>
    <w:rsid w:val="00AA0BA8"/>
    <w:rsid w:val="00AA0CF8"/>
    <w:rsid w:val="00AA0DB4"/>
    <w:rsid w:val="00AA0DBB"/>
    <w:rsid w:val="00AA0FE7"/>
    <w:rsid w:val="00AA105B"/>
    <w:rsid w:val="00AA10A5"/>
    <w:rsid w:val="00AA116D"/>
    <w:rsid w:val="00AA1319"/>
    <w:rsid w:val="00AA136D"/>
    <w:rsid w:val="00AA1479"/>
    <w:rsid w:val="00AA148D"/>
    <w:rsid w:val="00AA15BC"/>
    <w:rsid w:val="00AA1614"/>
    <w:rsid w:val="00AA1631"/>
    <w:rsid w:val="00AA16E1"/>
    <w:rsid w:val="00AA17D9"/>
    <w:rsid w:val="00AA18C0"/>
    <w:rsid w:val="00AA19DD"/>
    <w:rsid w:val="00AA19FF"/>
    <w:rsid w:val="00AA1A3A"/>
    <w:rsid w:val="00AA1B84"/>
    <w:rsid w:val="00AA1C00"/>
    <w:rsid w:val="00AA1D51"/>
    <w:rsid w:val="00AA1D61"/>
    <w:rsid w:val="00AA1D8D"/>
    <w:rsid w:val="00AA1E87"/>
    <w:rsid w:val="00AA1EC1"/>
    <w:rsid w:val="00AA201B"/>
    <w:rsid w:val="00AA2095"/>
    <w:rsid w:val="00AA216D"/>
    <w:rsid w:val="00AA219B"/>
    <w:rsid w:val="00AA21E6"/>
    <w:rsid w:val="00AA2241"/>
    <w:rsid w:val="00AA22E6"/>
    <w:rsid w:val="00AA2321"/>
    <w:rsid w:val="00AA239C"/>
    <w:rsid w:val="00AA23D2"/>
    <w:rsid w:val="00AA23EB"/>
    <w:rsid w:val="00AA246F"/>
    <w:rsid w:val="00AA2492"/>
    <w:rsid w:val="00AA25FD"/>
    <w:rsid w:val="00AA2649"/>
    <w:rsid w:val="00AA26DC"/>
    <w:rsid w:val="00AA26FE"/>
    <w:rsid w:val="00AA2708"/>
    <w:rsid w:val="00AA2709"/>
    <w:rsid w:val="00AA277A"/>
    <w:rsid w:val="00AA27E0"/>
    <w:rsid w:val="00AA27FD"/>
    <w:rsid w:val="00AA2856"/>
    <w:rsid w:val="00AA2874"/>
    <w:rsid w:val="00AA29B2"/>
    <w:rsid w:val="00AA2A01"/>
    <w:rsid w:val="00AA2A02"/>
    <w:rsid w:val="00AA2AAF"/>
    <w:rsid w:val="00AA2B61"/>
    <w:rsid w:val="00AA2B6D"/>
    <w:rsid w:val="00AA2B79"/>
    <w:rsid w:val="00AA2CBC"/>
    <w:rsid w:val="00AA2D3C"/>
    <w:rsid w:val="00AA2E6E"/>
    <w:rsid w:val="00AA2F0D"/>
    <w:rsid w:val="00AA2F40"/>
    <w:rsid w:val="00AA2FCA"/>
    <w:rsid w:val="00AA300D"/>
    <w:rsid w:val="00AA305D"/>
    <w:rsid w:val="00AA3097"/>
    <w:rsid w:val="00AA314C"/>
    <w:rsid w:val="00AA31FD"/>
    <w:rsid w:val="00AA339C"/>
    <w:rsid w:val="00AA3419"/>
    <w:rsid w:val="00AA3599"/>
    <w:rsid w:val="00AA3623"/>
    <w:rsid w:val="00AA3731"/>
    <w:rsid w:val="00AA3823"/>
    <w:rsid w:val="00AA3900"/>
    <w:rsid w:val="00AA3922"/>
    <w:rsid w:val="00AA3940"/>
    <w:rsid w:val="00AA39AA"/>
    <w:rsid w:val="00AA3BC2"/>
    <w:rsid w:val="00AA3BF5"/>
    <w:rsid w:val="00AA3CB8"/>
    <w:rsid w:val="00AA3CBF"/>
    <w:rsid w:val="00AA3FC3"/>
    <w:rsid w:val="00AA432D"/>
    <w:rsid w:val="00AA4345"/>
    <w:rsid w:val="00AA438D"/>
    <w:rsid w:val="00AA4422"/>
    <w:rsid w:val="00AA442B"/>
    <w:rsid w:val="00AA450B"/>
    <w:rsid w:val="00AA45FA"/>
    <w:rsid w:val="00AA4660"/>
    <w:rsid w:val="00AA4796"/>
    <w:rsid w:val="00AA4906"/>
    <w:rsid w:val="00AA4951"/>
    <w:rsid w:val="00AA4991"/>
    <w:rsid w:val="00AA4A92"/>
    <w:rsid w:val="00AA4B07"/>
    <w:rsid w:val="00AA4C87"/>
    <w:rsid w:val="00AA4E11"/>
    <w:rsid w:val="00AA5199"/>
    <w:rsid w:val="00AA51B8"/>
    <w:rsid w:val="00AA51C5"/>
    <w:rsid w:val="00AA52AF"/>
    <w:rsid w:val="00AA5378"/>
    <w:rsid w:val="00AA53A4"/>
    <w:rsid w:val="00AA549D"/>
    <w:rsid w:val="00AA55FD"/>
    <w:rsid w:val="00AA5643"/>
    <w:rsid w:val="00AA582E"/>
    <w:rsid w:val="00AA5BA6"/>
    <w:rsid w:val="00AA5BE6"/>
    <w:rsid w:val="00AA5C97"/>
    <w:rsid w:val="00AA5CA7"/>
    <w:rsid w:val="00AA5D39"/>
    <w:rsid w:val="00AA5E15"/>
    <w:rsid w:val="00AA5E6E"/>
    <w:rsid w:val="00AA5F8A"/>
    <w:rsid w:val="00AA60B0"/>
    <w:rsid w:val="00AA6116"/>
    <w:rsid w:val="00AA6275"/>
    <w:rsid w:val="00AA6299"/>
    <w:rsid w:val="00AA62E2"/>
    <w:rsid w:val="00AA632C"/>
    <w:rsid w:val="00AA6363"/>
    <w:rsid w:val="00AA63E2"/>
    <w:rsid w:val="00AA6436"/>
    <w:rsid w:val="00AA644F"/>
    <w:rsid w:val="00AA6494"/>
    <w:rsid w:val="00AA649E"/>
    <w:rsid w:val="00AA65F1"/>
    <w:rsid w:val="00AA6615"/>
    <w:rsid w:val="00AA6691"/>
    <w:rsid w:val="00AA66AD"/>
    <w:rsid w:val="00AA670C"/>
    <w:rsid w:val="00AA678E"/>
    <w:rsid w:val="00AA67C0"/>
    <w:rsid w:val="00AA6825"/>
    <w:rsid w:val="00AA6879"/>
    <w:rsid w:val="00AA68FF"/>
    <w:rsid w:val="00AA69E9"/>
    <w:rsid w:val="00AA6A5C"/>
    <w:rsid w:val="00AA6B5B"/>
    <w:rsid w:val="00AA6BDB"/>
    <w:rsid w:val="00AA6C8F"/>
    <w:rsid w:val="00AA6D17"/>
    <w:rsid w:val="00AA6D2D"/>
    <w:rsid w:val="00AA6E9D"/>
    <w:rsid w:val="00AA6F77"/>
    <w:rsid w:val="00AA6FDD"/>
    <w:rsid w:val="00AA6FE9"/>
    <w:rsid w:val="00AA7024"/>
    <w:rsid w:val="00AA731B"/>
    <w:rsid w:val="00AA7420"/>
    <w:rsid w:val="00AA75C1"/>
    <w:rsid w:val="00AA76FA"/>
    <w:rsid w:val="00AA7841"/>
    <w:rsid w:val="00AA78F7"/>
    <w:rsid w:val="00AA796F"/>
    <w:rsid w:val="00AA799E"/>
    <w:rsid w:val="00AA7A00"/>
    <w:rsid w:val="00AA7A8C"/>
    <w:rsid w:val="00AA7AEA"/>
    <w:rsid w:val="00AA7AF0"/>
    <w:rsid w:val="00AA7B2E"/>
    <w:rsid w:val="00AA7CA3"/>
    <w:rsid w:val="00AA7CC1"/>
    <w:rsid w:val="00AA7D2D"/>
    <w:rsid w:val="00AA7D75"/>
    <w:rsid w:val="00AA7E21"/>
    <w:rsid w:val="00AA7E32"/>
    <w:rsid w:val="00AA7E66"/>
    <w:rsid w:val="00AA7EFB"/>
    <w:rsid w:val="00AA7F01"/>
    <w:rsid w:val="00AA7F0B"/>
    <w:rsid w:val="00AB00CC"/>
    <w:rsid w:val="00AB014C"/>
    <w:rsid w:val="00AB019E"/>
    <w:rsid w:val="00AB020F"/>
    <w:rsid w:val="00AB0376"/>
    <w:rsid w:val="00AB03DC"/>
    <w:rsid w:val="00AB049E"/>
    <w:rsid w:val="00AB0528"/>
    <w:rsid w:val="00AB056D"/>
    <w:rsid w:val="00AB0590"/>
    <w:rsid w:val="00AB0696"/>
    <w:rsid w:val="00AB07A5"/>
    <w:rsid w:val="00AB083C"/>
    <w:rsid w:val="00AB084B"/>
    <w:rsid w:val="00AB095A"/>
    <w:rsid w:val="00AB097D"/>
    <w:rsid w:val="00AB09F8"/>
    <w:rsid w:val="00AB0A41"/>
    <w:rsid w:val="00AB0A81"/>
    <w:rsid w:val="00AB0C8F"/>
    <w:rsid w:val="00AB0D0C"/>
    <w:rsid w:val="00AB0F1E"/>
    <w:rsid w:val="00AB0FB0"/>
    <w:rsid w:val="00AB1054"/>
    <w:rsid w:val="00AB1086"/>
    <w:rsid w:val="00AB1093"/>
    <w:rsid w:val="00AB11E4"/>
    <w:rsid w:val="00AB1218"/>
    <w:rsid w:val="00AB122F"/>
    <w:rsid w:val="00AB123E"/>
    <w:rsid w:val="00AB1374"/>
    <w:rsid w:val="00AB13C5"/>
    <w:rsid w:val="00AB13C6"/>
    <w:rsid w:val="00AB1438"/>
    <w:rsid w:val="00AB1456"/>
    <w:rsid w:val="00AB14CA"/>
    <w:rsid w:val="00AB1507"/>
    <w:rsid w:val="00AB157E"/>
    <w:rsid w:val="00AB1668"/>
    <w:rsid w:val="00AB1671"/>
    <w:rsid w:val="00AB1815"/>
    <w:rsid w:val="00AB1853"/>
    <w:rsid w:val="00AB188E"/>
    <w:rsid w:val="00AB188F"/>
    <w:rsid w:val="00AB18CB"/>
    <w:rsid w:val="00AB18CD"/>
    <w:rsid w:val="00AB1995"/>
    <w:rsid w:val="00AB1A8F"/>
    <w:rsid w:val="00AB1AAA"/>
    <w:rsid w:val="00AB1B90"/>
    <w:rsid w:val="00AB1BCC"/>
    <w:rsid w:val="00AB1CA8"/>
    <w:rsid w:val="00AB1EFE"/>
    <w:rsid w:val="00AB1F3C"/>
    <w:rsid w:val="00AB1FA5"/>
    <w:rsid w:val="00AB1FAE"/>
    <w:rsid w:val="00AB1FBF"/>
    <w:rsid w:val="00AB2087"/>
    <w:rsid w:val="00AB2153"/>
    <w:rsid w:val="00AB225E"/>
    <w:rsid w:val="00AB227F"/>
    <w:rsid w:val="00AB2330"/>
    <w:rsid w:val="00AB2421"/>
    <w:rsid w:val="00AB2599"/>
    <w:rsid w:val="00AB2689"/>
    <w:rsid w:val="00AB269A"/>
    <w:rsid w:val="00AB27D2"/>
    <w:rsid w:val="00AB27F8"/>
    <w:rsid w:val="00AB2860"/>
    <w:rsid w:val="00AB2886"/>
    <w:rsid w:val="00AB29FA"/>
    <w:rsid w:val="00AB2A35"/>
    <w:rsid w:val="00AB2A49"/>
    <w:rsid w:val="00AB2A61"/>
    <w:rsid w:val="00AB2AC1"/>
    <w:rsid w:val="00AB2AE1"/>
    <w:rsid w:val="00AB2B16"/>
    <w:rsid w:val="00AB2C30"/>
    <w:rsid w:val="00AB2CF9"/>
    <w:rsid w:val="00AB2D79"/>
    <w:rsid w:val="00AB2DBE"/>
    <w:rsid w:val="00AB2ECA"/>
    <w:rsid w:val="00AB2F62"/>
    <w:rsid w:val="00AB2FF8"/>
    <w:rsid w:val="00AB31C9"/>
    <w:rsid w:val="00AB325E"/>
    <w:rsid w:val="00AB32B3"/>
    <w:rsid w:val="00AB32E7"/>
    <w:rsid w:val="00AB32EB"/>
    <w:rsid w:val="00AB332E"/>
    <w:rsid w:val="00AB337B"/>
    <w:rsid w:val="00AB3428"/>
    <w:rsid w:val="00AB345F"/>
    <w:rsid w:val="00AB349D"/>
    <w:rsid w:val="00AB34F7"/>
    <w:rsid w:val="00AB3562"/>
    <w:rsid w:val="00AB367E"/>
    <w:rsid w:val="00AB36DB"/>
    <w:rsid w:val="00AB3727"/>
    <w:rsid w:val="00AB37CB"/>
    <w:rsid w:val="00AB384C"/>
    <w:rsid w:val="00AB3968"/>
    <w:rsid w:val="00AB3A0A"/>
    <w:rsid w:val="00AB3A7D"/>
    <w:rsid w:val="00AB3AF3"/>
    <w:rsid w:val="00AB3B97"/>
    <w:rsid w:val="00AB3BD2"/>
    <w:rsid w:val="00AB3C7E"/>
    <w:rsid w:val="00AB3CA1"/>
    <w:rsid w:val="00AB3CC0"/>
    <w:rsid w:val="00AB3CC9"/>
    <w:rsid w:val="00AB3CDE"/>
    <w:rsid w:val="00AB3E35"/>
    <w:rsid w:val="00AB3F97"/>
    <w:rsid w:val="00AB4015"/>
    <w:rsid w:val="00AB40AA"/>
    <w:rsid w:val="00AB40D5"/>
    <w:rsid w:val="00AB419D"/>
    <w:rsid w:val="00AB4250"/>
    <w:rsid w:val="00AB42AA"/>
    <w:rsid w:val="00AB432E"/>
    <w:rsid w:val="00AB4399"/>
    <w:rsid w:val="00AB43AE"/>
    <w:rsid w:val="00AB4485"/>
    <w:rsid w:val="00AB44D5"/>
    <w:rsid w:val="00AB45D1"/>
    <w:rsid w:val="00AB45D8"/>
    <w:rsid w:val="00AB46B8"/>
    <w:rsid w:val="00AB4795"/>
    <w:rsid w:val="00AB4837"/>
    <w:rsid w:val="00AB4878"/>
    <w:rsid w:val="00AB48B2"/>
    <w:rsid w:val="00AB494F"/>
    <w:rsid w:val="00AB4A21"/>
    <w:rsid w:val="00AB4A2E"/>
    <w:rsid w:val="00AB4DD0"/>
    <w:rsid w:val="00AB4DE2"/>
    <w:rsid w:val="00AB4DED"/>
    <w:rsid w:val="00AB4E35"/>
    <w:rsid w:val="00AB4F04"/>
    <w:rsid w:val="00AB4F44"/>
    <w:rsid w:val="00AB5037"/>
    <w:rsid w:val="00AB5137"/>
    <w:rsid w:val="00AB52DF"/>
    <w:rsid w:val="00AB538E"/>
    <w:rsid w:val="00AB540E"/>
    <w:rsid w:val="00AB5411"/>
    <w:rsid w:val="00AB5473"/>
    <w:rsid w:val="00AB550D"/>
    <w:rsid w:val="00AB5517"/>
    <w:rsid w:val="00AB559E"/>
    <w:rsid w:val="00AB55EA"/>
    <w:rsid w:val="00AB5656"/>
    <w:rsid w:val="00AB5779"/>
    <w:rsid w:val="00AB5B28"/>
    <w:rsid w:val="00AB5CF0"/>
    <w:rsid w:val="00AB5D0B"/>
    <w:rsid w:val="00AB5D69"/>
    <w:rsid w:val="00AB5DE5"/>
    <w:rsid w:val="00AB5F7F"/>
    <w:rsid w:val="00AB5FA4"/>
    <w:rsid w:val="00AB5FC9"/>
    <w:rsid w:val="00AB5FD4"/>
    <w:rsid w:val="00AB6086"/>
    <w:rsid w:val="00AB6148"/>
    <w:rsid w:val="00AB61A9"/>
    <w:rsid w:val="00AB61D9"/>
    <w:rsid w:val="00AB6221"/>
    <w:rsid w:val="00AB6378"/>
    <w:rsid w:val="00AB652F"/>
    <w:rsid w:val="00AB6539"/>
    <w:rsid w:val="00AB6670"/>
    <w:rsid w:val="00AB66C8"/>
    <w:rsid w:val="00AB671C"/>
    <w:rsid w:val="00AB6750"/>
    <w:rsid w:val="00AB691E"/>
    <w:rsid w:val="00AB6962"/>
    <w:rsid w:val="00AB6A28"/>
    <w:rsid w:val="00AB6A33"/>
    <w:rsid w:val="00AB6B0B"/>
    <w:rsid w:val="00AB6B23"/>
    <w:rsid w:val="00AB6CC3"/>
    <w:rsid w:val="00AB6CE1"/>
    <w:rsid w:val="00AB6DDF"/>
    <w:rsid w:val="00AB6E5B"/>
    <w:rsid w:val="00AB6EB4"/>
    <w:rsid w:val="00AB6F53"/>
    <w:rsid w:val="00AB6F62"/>
    <w:rsid w:val="00AB7066"/>
    <w:rsid w:val="00AB7157"/>
    <w:rsid w:val="00AB7222"/>
    <w:rsid w:val="00AB728A"/>
    <w:rsid w:val="00AB72BF"/>
    <w:rsid w:val="00AB7513"/>
    <w:rsid w:val="00AB75FD"/>
    <w:rsid w:val="00AB765A"/>
    <w:rsid w:val="00AB7726"/>
    <w:rsid w:val="00AB7855"/>
    <w:rsid w:val="00AB7971"/>
    <w:rsid w:val="00AB7977"/>
    <w:rsid w:val="00AB797B"/>
    <w:rsid w:val="00AB7A2A"/>
    <w:rsid w:val="00AB7A31"/>
    <w:rsid w:val="00AB7A86"/>
    <w:rsid w:val="00AB7C8C"/>
    <w:rsid w:val="00AB7D96"/>
    <w:rsid w:val="00AB7DD9"/>
    <w:rsid w:val="00AB7E01"/>
    <w:rsid w:val="00AB7E5E"/>
    <w:rsid w:val="00AC0116"/>
    <w:rsid w:val="00AC012C"/>
    <w:rsid w:val="00AC01EE"/>
    <w:rsid w:val="00AC0247"/>
    <w:rsid w:val="00AC02F4"/>
    <w:rsid w:val="00AC0371"/>
    <w:rsid w:val="00AC0639"/>
    <w:rsid w:val="00AC07F4"/>
    <w:rsid w:val="00AC087A"/>
    <w:rsid w:val="00AC0934"/>
    <w:rsid w:val="00AC09BB"/>
    <w:rsid w:val="00AC0C05"/>
    <w:rsid w:val="00AC0C28"/>
    <w:rsid w:val="00AC0C78"/>
    <w:rsid w:val="00AC0D0B"/>
    <w:rsid w:val="00AC0DD7"/>
    <w:rsid w:val="00AC0DE9"/>
    <w:rsid w:val="00AC0E90"/>
    <w:rsid w:val="00AC0F5D"/>
    <w:rsid w:val="00AC0F65"/>
    <w:rsid w:val="00AC0F71"/>
    <w:rsid w:val="00AC1146"/>
    <w:rsid w:val="00AC1215"/>
    <w:rsid w:val="00AC1233"/>
    <w:rsid w:val="00AC1298"/>
    <w:rsid w:val="00AC1349"/>
    <w:rsid w:val="00AC138C"/>
    <w:rsid w:val="00AC1449"/>
    <w:rsid w:val="00AC145B"/>
    <w:rsid w:val="00AC14B2"/>
    <w:rsid w:val="00AC14B7"/>
    <w:rsid w:val="00AC14E6"/>
    <w:rsid w:val="00AC157B"/>
    <w:rsid w:val="00AC177B"/>
    <w:rsid w:val="00AC17CE"/>
    <w:rsid w:val="00AC186D"/>
    <w:rsid w:val="00AC1980"/>
    <w:rsid w:val="00AC1A06"/>
    <w:rsid w:val="00AC1A33"/>
    <w:rsid w:val="00AC1A63"/>
    <w:rsid w:val="00AC1AB0"/>
    <w:rsid w:val="00AC1B7D"/>
    <w:rsid w:val="00AC1C23"/>
    <w:rsid w:val="00AC1CD1"/>
    <w:rsid w:val="00AC1D2B"/>
    <w:rsid w:val="00AC1D2E"/>
    <w:rsid w:val="00AC1D4B"/>
    <w:rsid w:val="00AC1DA1"/>
    <w:rsid w:val="00AC1DCD"/>
    <w:rsid w:val="00AC1E03"/>
    <w:rsid w:val="00AC1E6B"/>
    <w:rsid w:val="00AC204E"/>
    <w:rsid w:val="00AC2053"/>
    <w:rsid w:val="00AC228B"/>
    <w:rsid w:val="00AC22D9"/>
    <w:rsid w:val="00AC23A1"/>
    <w:rsid w:val="00AC2430"/>
    <w:rsid w:val="00AC2459"/>
    <w:rsid w:val="00AC24BF"/>
    <w:rsid w:val="00AC255F"/>
    <w:rsid w:val="00AC260A"/>
    <w:rsid w:val="00AC2A51"/>
    <w:rsid w:val="00AC2B3B"/>
    <w:rsid w:val="00AC2C6F"/>
    <w:rsid w:val="00AC2D76"/>
    <w:rsid w:val="00AC2DE4"/>
    <w:rsid w:val="00AC2E13"/>
    <w:rsid w:val="00AC2E38"/>
    <w:rsid w:val="00AC2EA2"/>
    <w:rsid w:val="00AC2EB4"/>
    <w:rsid w:val="00AC2EBB"/>
    <w:rsid w:val="00AC2F02"/>
    <w:rsid w:val="00AC2FAF"/>
    <w:rsid w:val="00AC2FC8"/>
    <w:rsid w:val="00AC2FF6"/>
    <w:rsid w:val="00AC307D"/>
    <w:rsid w:val="00AC308C"/>
    <w:rsid w:val="00AC32D3"/>
    <w:rsid w:val="00AC335E"/>
    <w:rsid w:val="00AC34BB"/>
    <w:rsid w:val="00AC355E"/>
    <w:rsid w:val="00AC35B7"/>
    <w:rsid w:val="00AC35F0"/>
    <w:rsid w:val="00AC36A7"/>
    <w:rsid w:val="00AC3719"/>
    <w:rsid w:val="00AC374E"/>
    <w:rsid w:val="00AC376C"/>
    <w:rsid w:val="00AC37B5"/>
    <w:rsid w:val="00AC386D"/>
    <w:rsid w:val="00AC38A0"/>
    <w:rsid w:val="00AC392E"/>
    <w:rsid w:val="00AC3B74"/>
    <w:rsid w:val="00AC3B77"/>
    <w:rsid w:val="00AC3C19"/>
    <w:rsid w:val="00AC3E04"/>
    <w:rsid w:val="00AC3F78"/>
    <w:rsid w:val="00AC3F7D"/>
    <w:rsid w:val="00AC4062"/>
    <w:rsid w:val="00AC40A3"/>
    <w:rsid w:val="00AC40A8"/>
    <w:rsid w:val="00AC4324"/>
    <w:rsid w:val="00AC4329"/>
    <w:rsid w:val="00AC441A"/>
    <w:rsid w:val="00AC4449"/>
    <w:rsid w:val="00AC45DD"/>
    <w:rsid w:val="00AC46B1"/>
    <w:rsid w:val="00AC46E7"/>
    <w:rsid w:val="00AC47E6"/>
    <w:rsid w:val="00AC48DD"/>
    <w:rsid w:val="00AC48E5"/>
    <w:rsid w:val="00AC4AC7"/>
    <w:rsid w:val="00AC4ACA"/>
    <w:rsid w:val="00AC4B0D"/>
    <w:rsid w:val="00AC4B6F"/>
    <w:rsid w:val="00AC4B72"/>
    <w:rsid w:val="00AC4D66"/>
    <w:rsid w:val="00AC4DB3"/>
    <w:rsid w:val="00AC4EA4"/>
    <w:rsid w:val="00AC4ED9"/>
    <w:rsid w:val="00AC5007"/>
    <w:rsid w:val="00AC5015"/>
    <w:rsid w:val="00AC5096"/>
    <w:rsid w:val="00AC50E9"/>
    <w:rsid w:val="00AC50FE"/>
    <w:rsid w:val="00AC5136"/>
    <w:rsid w:val="00AC53C8"/>
    <w:rsid w:val="00AC54F4"/>
    <w:rsid w:val="00AC552C"/>
    <w:rsid w:val="00AC566E"/>
    <w:rsid w:val="00AC56EE"/>
    <w:rsid w:val="00AC58B7"/>
    <w:rsid w:val="00AC59A3"/>
    <w:rsid w:val="00AC5A85"/>
    <w:rsid w:val="00AC5CC3"/>
    <w:rsid w:val="00AC5CE4"/>
    <w:rsid w:val="00AC5ED6"/>
    <w:rsid w:val="00AC5EFC"/>
    <w:rsid w:val="00AC5F84"/>
    <w:rsid w:val="00AC6016"/>
    <w:rsid w:val="00AC601B"/>
    <w:rsid w:val="00AC60D6"/>
    <w:rsid w:val="00AC612C"/>
    <w:rsid w:val="00AC61A3"/>
    <w:rsid w:val="00AC61AE"/>
    <w:rsid w:val="00AC620C"/>
    <w:rsid w:val="00AC6228"/>
    <w:rsid w:val="00AC6326"/>
    <w:rsid w:val="00AC63B7"/>
    <w:rsid w:val="00AC6445"/>
    <w:rsid w:val="00AC6469"/>
    <w:rsid w:val="00AC646B"/>
    <w:rsid w:val="00AC64D8"/>
    <w:rsid w:val="00AC6566"/>
    <w:rsid w:val="00AC65B5"/>
    <w:rsid w:val="00AC65F0"/>
    <w:rsid w:val="00AC665D"/>
    <w:rsid w:val="00AC6695"/>
    <w:rsid w:val="00AC66A5"/>
    <w:rsid w:val="00AC678C"/>
    <w:rsid w:val="00AC6829"/>
    <w:rsid w:val="00AC68E8"/>
    <w:rsid w:val="00AC69C5"/>
    <w:rsid w:val="00AC6A1D"/>
    <w:rsid w:val="00AC6A6F"/>
    <w:rsid w:val="00AC6B4A"/>
    <w:rsid w:val="00AC6BA9"/>
    <w:rsid w:val="00AC6C89"/>
    <w:rsid w:val="00AC6C97"/>
    <w:rsid w:val="00AC6D92"/>
    <w:rsid w:val="00AC6F20"/>
    <w:rsid w:val="00AC6F81"/>
    <w:rsid w:val="00AC70B1"/>
    <w:rsid w:val="00AC7272"/>
    <w:rsid w:val="00AC7284"/>
    <w:rsid w:val="00AC72C2"/>
    <w:rsid w:val="00AC736F"/>
    <w:rsid w:val="00AC73B4"/>
    <w:rsid w:val="00AC73DE"/>
    <w:rsid w:val="00AC749B"/>
    <w:rsid w:val="00AC74FB"/>
    <w:rsid w:val="00AC7527"/>
    <w:rsid w:val="00AC7556"/>
    <w:rsid w:val="00AC75D9"/>
    <w:rsid w:val="00AC7644"/>
    <w:rsid w:val="00AC767B"/>
    <w:rsid w:val="00AC789F"/>
    <w:rsid w:val="00AC7995"/>
    <w:rsid w:val="00AC79A7"/>
    <w:rsid w:val="00AC7C2F"/>
    <w:rsid w:val="00AC7D51"/>
    <w:rsid w:val="00AC7F52"/>
    <w:rsid w:val="00AC7F62"/>
    <w:rsid w:val="00AC7FBD"/>
    <w:rsid w:val="00AD0048"/>
    <w:rsid w:val="00AD0144"/>
    <w:rsid w:val="00AD01D8"/>
    <w:rsid w:val="00AD0216"/>
    <w:rsid w:val="00AD023F"/>
    <w:rsid w:val="00AD02A8"/>
    <w:rsid w:val="00AD02B3"/>
    <w:rsid w:val="00AD02B8"/>
    <w:rsid w:val="00AD0308"/>
    <w:rsid w:val="00AD0309"/>
    <w:rsid w:val="00AD0335"/>
    <w:rsid w:val="00AD035F"/>
    <w:rsid w:val="00AD0490"/>
    <w:rsid w:val="00AD0517"/>
    <w:rsid w:val="00AD060C"/>
    <w:rsid w:val="00AD0623"/>
    <w:rsid w:val="00AD0676"/>
    <w:rsid w:val="00AD0743"/>
    <w:rsid w:val="00AD0859"/>
    <w:rsid w:val="00AD0931"/>
    <w:rsid w:val="00AD0B5D"/>
    <w:rsid w:val="00AD0B82"/>
    <w:rsid w:val="00AD0C4C"/>
    <w:rsid w:val="00AD0C51"/>
    <w:rsid w:val="00AD0C5C"/>
    <w:rsid w:val="00AD0CC6"/>
    <w:rsid w:val="00AD0D9F"/>
    <w:rsid w:val="00AD0E94"/>
    <w:rsid w:val="00AD1039"/>
    <w:rsid w:val="00AD103F"/>
    <w:rsid w:val="00AD1055"/>
    <w:rsid w:val="00AD10D5"/>
    <w:rsid w:val="00AD10DE"/>
    <w:rsid w:val="00AD115E"/>
    <w:rsid w:val="00AD1193"/>
    <w:rsid w:val="00AD12B9"/>
    <w:rsid w:val="00AD13A4"/>
    <w:rsid w:val="00AD1415"/>
    <w:rsid w:val="00AD1512"/>
    <w:rsid w:val="00AD1536"/>
    <w:rsid w:val="00AD1575"/>
    <w:rsid w:val="00AD15BA"/>
    <w:rsid w:val="00AD15FF"/>
    <w:rsid w:val="00AD1625"/>
    <w:rsid w:val="00AD166E"/>
    <w:rsid w:val="00AD1675"/>
    <w:rsid w:val="00AD16A0"/>
    <w:rsid w:val="00AD16BE"/>
    <w:rsid w:val="00AD1763"/>
    <w:rsid w:val="00AD17A1"/>
    <w:rsid w:val="00AD1871"/>
    <w:rsid w:val="00AD19D8"/>
    <w:rsid w:val="00AD1A47"/>
    <w:rsid w:val="00AD1B9B"/>
    <w:rsid w:val="00AD1D3D"/>
    <w:rsid w:val="00AD1D63"/>
    <w:rsid w:val="00AD1DE3"/>
    <w:rsid w:val="00AD1E33"/>
    <w:rsid w:val="00AD1ED2"/>
    <w:rsid w:val="00AD1F08"/>
    <w:rsid w:val="00AD1F73"/>
    <w:rsid w:val="00AD1FF9"/>
    <w:rsid w:val="00AD200B"/>
    <w:rsid w:val="00AD2036"/>
    <w:rsid w:val="00AD203C"/>
    <w:rsid w:val="00AD213A"/>
    <w:rsid w:val="00AD214A"/>
    <w:rsid w:val="00AD2155"/>
    <w:rsid w:val="00AD21FE"/>
    <w:rsid w:val="00AD22FC"/>
    <w:rsid w:val="00AD2454"/>
    <w:rsid w:val="00AD246F"/>
    <w:rsid w:val="00AD24BF"/>
    <w:rsid w:val="00AD2552"/>
    <w:rsid w:val="00AD25F3"/>
    <w:rsid w:val="00AD2628"/>
    <w:rsid w:val="00AD2854"/>
    <w:rsid w:val="00AD28ED"/>
    <w:rsid w:val="00AD2979"/>
    <w:rsid w:val="00AD29CE"/>
    <w:rsid w:val="00AD2B00"/>
    <w:rsid w:val="00AD2B2F"/>
    <w:rsid w:val="00AD2B34"/>
    <w:rsid w:val="00AD2B38"/>
    <w:rsid w:val="00AD2BCB"/>
    <w:rsid w:val="00AD2CA3"/>
    <w:rsid w:val="00AD2CCB"/>
    <w:rsid w:val="00AD2CD4"/>
    <w:rsid w:val="00AD2D03"/>
    <w:rsid w:val="00AD2E2A"/>
    <w:rsid w:val="00AD2EDA"/>
    <w:rsid w:val="00AD2F26"/>
    <w:rsid w:val="00AD2F69"/>
    <w:rsid w:val="00AD2F7E"/>
    <w:rsid w:val="00AD3072"/>
    <w:rsid w:val="00AD30DB"/>
    <w:rsid w:val="00AD30F3"/>
    <w:rsid w:val="00AD3162"/>
    <w:rsid w:val="00AD31EA"/>
    <w:rsid w:val="00AD329A"/>
    <w:rsid w:val="00AD3346"/>
    <w:rsid w:val="00AD34F9"/>
    <w:rsid w:val="00AD350B"/>
    <w:rsid w:val="00AD3581"/>
    <w:rsid w:val="00AD35D9"/>
    <w:rsid w:val="00AD35E3"/>
    <w:rsid w:val="00AD3643"/>
    <w:rsid w:val="00AD3690"/>
    <w:rsid w:val="00AD36B5"/>
    <w:rsid w:val="00AD36EE"/>
    <w:rsid w:val="00AD3869"/>
    <w:rsid w:val="00AD39D6"/>
    <w:rsid w:val="00AD3A7F"/>
    <w:rsid w:val="00AD3AB4"/>
    <w:rsid w:val="00AD3AD9"/>
    <w:rsid w:val="00AD3B5C"/>
    <w:rsid w:val="00AD3B89"/>
    <w:rsid w:val="00AD3C7E"/>
    <w:rsid w:val="00AD3D80"/>
    <w:rsid w:val="00AD3EBF"/>
    <w:rsid w:val="00AD3F1D"/>
    <w:rsid w:val="00AD3FE6"/>
    <w:rsid w:val="00AD4012"/>
    <w:rsid w:val="00AD42B8"/>
    <w:rsid w:val="00AD42C4"/>
    <w:rsid w:val="00AD4311"/>
    <w:rsid w:val="00AD4324"/>
    <w:rsid w:val="00AD432F"/>
    <w:rsid w:val="00AD43B4"/>
    <w:rsid w:val="00AD43E2"/>
    <w:rsid w:val="00AD4421"/>
    <w:rsid w:val="00AD4424"/>
    <w:rsid w:val="00AD4636"/>
    <w:rsid w:val="00AD4661"/>
    <w:rsid w:val="00AD4707"/>
    <w:rsid w:val="00AD470D"/>
    <w:rsid w:val="00AD472D"/>
    <w:rsid w:val="00AD47A2"/>
    <w:rsid w:val="00AD48B4"/>
    <w:rsid w:val="00AD48FD"/>
    <w:rsid w:val="00AD493C"/>
    <w:rsid w:val="00AD499D"/>
    <w:rsid w:val="00AD4A2D"/>
    <w:rsid w:val="00AD4AA7"/>
    <w:rsid w:val="00AD4BD2"/>
    <w:rsid w:val="00AD4C2C"/>
    <w:rsid w:val="00AD4C89"/>
    <w:rsid w:val="00AD4EDF"/>
    <w:rsid w:val="00AD4F2F"/>
    <w:rsid w:val="00AD503A"/>
    <w:rsid w:val="00AD5043"/>
    <w:rsid w:val="00AD5084"/>
    <w:rsid w:val="00AD51CD"/>
    <w:rsid w:val="00AD525D"/>
    <w:rsid w:val="00AD5275"/>
    <w:rsid w:val="00AD527B"/>
    <w:rsid w:val="00AD528F"/>
    <w:rsid w:val="00AD5481"/>
    <w:rsid w:val="00AD54D3"/>
    <w:rsid w:val="00AD553B"/>
    <w:rsid w:val="00AD5543"/>
    <w:rsid w:val="00AD591F"/>
    <w:rsid w:val="00AD59B8"/>
    <w:rsid w:val="00AD5A40"/>
    <w:rsid w:val="00AD5A4F"/>
    <w:rsid w:val="00AD5A5B"/>
    <w:rsid w:val="00AD5ADD"/>
    <w:rsid w:val="00AD5B11"/>
    <w:rsid w:val="00AD5C33"/>
    <w:rsid w:val="00AD5C76"/>
    <w:rsid w:val="00AD5D10"/>
    <w:rsid w:val="00AD5F92"/>
    <w:rsid w:val="00AD5FDE"/>
    <w:rsid w:val="00AD62C4"/>
    <w:rsid w:val="00AD6321"/>
    <w:rsid w:val="00AD63B0"/>
    <w:rsid w:val="00AD64E1"/>
    <w:rsid w:val="00AD64F6"/>
    <w:rsid w:val="00AD64F9"/>
    <w:rsid w:val="00AD65DE"/>
    <w:rsid w:val="00AD65E0"/>
    <w:rsid w:val="00AD66DE"/>
    <w:rsid w:val="00AD685A"/>
    <w:rsid w:val="00AD6A5C"/>
    <w:rsid w:val="00AD6AE4"/>
    <w:rsid w:val="00AD6B6F"/>
    <w:rsid w:val="00AD6DBD"/>
    <w:rsid w:val="00AD6DDB"/>
    <w:rsid w:val="00AD6F72"/>
    <w:rsid w:val="00AD703A"/>
    <w:rsid w:val="00AD7064"/>
    <w:rsid w:val="00AD716A"/>
    <w:rsid w:val="00AD717A"/>
    <w:rsid w:val="00AD7217"/>
    <w:rsid w:val="00AD722C"/>
    <w:rsid w:val="00AD72FB"/>
    <w:rsid w:val="00AD7333"/>
    <w:rsid w:val="00AD743E"/>
    <w:rsid w:val="00AD7575"/>
    <w:rsid w:val="00AD75D5"/>
    <w:rsid w:val="00AD76D0"/>
    <w:rsid w:val="00AD76E3"/>
    <w:rsid w:val="00AD7789"/>
    <w:rsid w:val="00AD778B"/>
    <w:rsid w:val="00AD77F1"/>
    <w:rsid w:val="00AD782D"/>
    <w:rsid w:val="00AD7901"/>
    <w:rsid w:val="00AD79E7"/>
    <w:rsid w:val="00AD7BF0"/>
    <w:rsid w:val="00AD7C00"/>
    <w:rsid w:val="00AD7DF7"/>
    <w:rsid w:val="00AD7EBC"/>
    <w:rsid w:val="00AD7EDB"/>
    <w:rsid w:val="00AD7F7B"/>
    <w:rsid w:val="00AE000D"/>
    <w:rsid w:val="00AE007B"/>
    <w:rsid w:val="00AE0192"/>
    <w:rsid w:val="00AE01E1"/>
    <w:rsid w:val="00AE020C"/>
    <w:rsid w:val="00AE0277"/>
    <w:rsid w:val="00AE02AF"/>
    <w:rsid w:val="00AE02BB"/>
    <w:rsid w:val="00AE03C3"/>
    <w:rsid w:val="00AE0500"/>
    <w:rsid w:val="00AE0728"/>
    <w:rsid w:val="00AE0756"/>
    <w:rsid w:val="00AE07CB"/>
    <w:rsid w:val="00AE0A57"/>
    <w:rsid w:val="00AE0AB8"/>
    <w:rsid w:val="00AE0AE6"/>
    <w:rsid w:val="00AE0B1F"/>
    <w:rsid w:val="00AE0BD3"/>
    <w:rsid w:val="00AE0C02"/>
    <w:rsid w:val="00AE0C0B"/>
    <w:rsid w:val="00AE0CAE"/>
    <w:rsid w:val="00AE0ED4"/>
    <w:rsid w:val="00AE0FF1"/>
    <w:rsid w:val="00AE101A"/>
    <w:rsid w:val="00AE1028"/>
    <w:rsid w:val="00AE1109"/>
    <w:rsid w:val="00AE1144"/>
    <w:rsid w:val="00AE1171"/>
    <w:rsid w:val="00AE11A1"/>
    <w:rsid w:val="00AE1205"/>
    <w:rsid w:val="00AE124A"/>
    <w:rsid w:val="00AE1291"/>
    <w:rsid w:val="00AE12DD"/>
    <w:rsid w:val="00AE1430"/>
    <w:rsid w:val="00AE154E"/>
    <w:rsid w:val="00AE1568"/>
    <w:rsid w:val="00AE15A8"/>
    <w:rsid w:val="00AE15BB"/>
    <w:rsid w:val="00AE1653"/>
    <w:rsid w:val="00AE1690"/>
    <w:rsid w:val="00AE186D"/>
    <w:rsid w:val="00AE188B"/>
    <w:rsid w:val="00AE18E4"/>
    <w:rsid w:val="00AE1951"/>
    <w:rsid w:val="00AE19C5"/>
    <w:rsid w:val="00AE19E1"/>
    <w:rsid w:val="00AE1A27"/>
    <w:rsid w:val="00AE1BC9"/>
    <w:rsid w:val="00AE1C9D"/>
    <w:rsid w:val="00AE1CA0"/>
    <w:rsid w:val="00AE1D16"/>
    <w:rsid w:val="00AE1D54"/>
    <w:rsid w:val="00AE1DF5"/>
    <w:rsid w:val="00AE1DFF"/>
    <w:rsid w:val="00AE1ECE"/>
    <w:rsid w:val="00AE1F3C"/>
    <w:rsid w:val="00AE210C"/>
    <w:rsid w:val="00AE213C"/>
    <w:rsid w:val="00AE217A"/>
    <w:rsid w:val="00AE21E1"/>
    <w:rsid w:val="00AE2211"/>
    <w:rsid w:val="00AE23F2"/>
    <w:rsid w:val="00AE243C"/>
    <w:rsid w:val="00AE259E"/>
    <w:rsid w:val="00AE25DE"/>
    <w:rsid w:val="00AE2615"/>
    <w:rsid w:val="00AE266D"/>
    <w:rsid w:val="00AE269E"/>
    <w:rsid w:val="00AE26E8"/>
    <w:rsid w:val="00AE27ED"/>
    <w:rsid w:val="00AE2998"/>
    <w:rsid w:val="00AE29A0"/>
    <w:rsid w:val="00AE2AA8"/>
    <w:rsid w:val="00AE2B76"/>
    <w:rsid w:val="00AE2C52"/>
    <w:rsid w:val="00AE2C9A"/>
    <w:rsid w:val="00AE2CD5"/>
    <w:rsid w:val="00AE2E03"/>
    <w:rsid w:val="00AE2F63"/>
    <w:rsid w:val="00AE2F97"/>
    <w:rsid w:val="00AE3076"/>
    <w:rsid w:val="00AE3107"/>
    <w:rsid w:val="00AE313B"/>
    <w:rsid w:val="00AE3179"/>
    <w:rsid w:val="00AE3319"/>
    <w:rsid w:val="00AE344D"/>
    <w:rsid w:val="00AE3469"/>
    <w:rsid w:val="00AE3545"/>
    <w:rsid w:val="00AE3555"/>
    <w:rsid w:val="00AE3563"/>
    <w:rsid w:val="00AE360B"/>
    <w:rsid w:val="00AE36EA"/>
    <w:rsid w:val="00AE38EB"/>
    <w:rsid w:val="00AE3964"/>
    <w:rsid w:val="00AE39F5"/>
    <w:rsid w:val="00AE39FA"/>
    <w:rsid w:val="00AE3CF4"/>
    <w:rsid w:val="00AE3D88"/>
    <w:rsid w:val="00AE3DD7"/>
    <w:rsid w:val="00AE3E10"/>
    <w:rsid w:val="00AE3F1B"/>
    <w:rsid w:val="00AE3F56"/>
    <w:rsid w:val="00AE403B"/>
    <w:rsid w:val="00AE404A"/>
    <w:rsid w:val="00AE40D2"/>
    <w:rsid w:val="00AE4138"/>
    <w:rsid w:val="00AE41EB"/>
    <w:rsid w:val="00AE420E"/>
    <w:rsid w:val="00AE422C"/>
    <w:rsid w:val="00AE427F"/>
    <w:rsid w:val="00AE4394"/>
    <w:rsid w:val="00AE43A0"/>
    <w:rsid w:val="00AE4492"/>
    <w:rsid w:val="00AE4544"/>
    <w:rsid w:val="00AE4578"/>
    <w:rsid w:val="00AE4668"/>
    <w:rsid w:val="00AE4686"/>
    <w:rsid w:val="00AE474A"/>
    <w:rsid w:val="00AE4821"/>
    <w:rsid w:val="00AE487D"/>
    <w:rsid w:val="00AE48EB"/>
    <w:rsid w:val="00AE493E"/>
    <w:rsid w:val="00AE4995"/>
    <w:rsid w:val="00AE49F2"/>
    <w:rsid w:val="00AE4A20"/>
    <w:rsid w:val="00AE4A46"/>
    <w:rsid w:val="00AE4A6D"/>
    <w:rsid w:val="00AE4A71"/>
    <w:rsid w:val="00AE4AAF"/>
    <w:rsid w:val="00AE4BEC"/>
    <w:rsid w:val="00AE4C34"/>
    <w:rsid w:val="00AE4C5D"/>
    <w:rsid w:val="00AE501E"/>
    <w:rsid w:val="00AE508F"/>
    <w:rsid w:val="00AE509B"/>
    <w:rsid w:val="00AE51C5"/>
    <w:rsid w:val="00AE5271"/>
    <w:rsid w:val="00AE5283"/>
    <w:rsid w:val="00AE53DD"/>
    <w:rsid w:val="00AE544D"/>
    <w:rsid w:val="00AE551B"/>
    <w:rsid w:val="00AE5827"/>
    <w:rsid w:val="00AE5A40"/>
    <w:rsid w:val="00AE5A62"/>
    <w:rsid w:val="00AE5BE5"/>
    <w:rsid w:val="00AE5D48"/>
    <w:rsid w:val="00AE5D6F"/>
    <w:rsid w:val="00AE5D88"/>
    <w:rsid w:val="00AE5E16"/>
    <w:rsid w:val="00AE5E31"/>
    <w:rsid w:val="00AE5E5A"/>
    <w:rsid w:val="00AE5FCA"/>
    <w:rsid w:val="00AE607E"/>
    <w:rsid w:val="00AE60E1"/>
    <w:rsid w:val="00AE61C3"/>
    <w:rsid w:val="00AE620F"/>
    <w:rsid w:val="00AE6275"/>
    <w:rsid w:val="00AE63D9"/>
    <w:rsid w:val="00AE64F2"/>
    <w:rsid w:val="00AE65A2"/>
    <w:rsid w:val="00AE65C9"/>
    <w:rsid w:val="00AE6794"/>
    <w:rsid w:val="00AE68CA"/>
    <w:rsid w:val="00AE6933"/>
    <w:rsid w:val="00AE6959"/>
    <w:rsid w:val="00AE69DD"/>
    <w:rsid w:val="00AE6B54"/>
    <w:rsid w:val="00AE6C11"/>
    <w:rsid w:val="00AE6CA6"/>
    <w:rsid w:val="00AE6CBE"/>
    <w:rsid w:val="00AE6D3E"/>
    <w:rsid w:val="00AE701E"/>
    <w:rsid w:val="00AE70D1"/>
    <w:rsid w:val="00AE7189"/>
    <w:rsid w:val="00AE7356"/>
    <w:rsid w:val="00AE74E4"/>
    <w:rsid w:val="00AE757C"/>
    <w:rsid w:val="00AE75A7"/>
    <w:rsid w:val="00AE77E8"/>
    <w:rsid w:val="00AE7858"/>
    <w:rsid w:val="00AE7884"/>
    <w:rsid w:val="00AE78C5"/>
    <w:rsid w:val="00AE7911"/>
    <w:rsid w:val="00AE793A"/>
    <w:rsid w:val="00AE7942"/>
    <w:rsid w:val="00AE7944"/>
    <w:rsid w:val="00AE7A0C"/>
    <w:rsid w:val="00AE7A84"/>
    <w:rsid w:val="00AE7A95"/>
    <w:rsid w:val="00AE7AA7"/>
    <w:rsid w:val="00AE7B87"/>
    <w:rsid w:val="00AE7C2B"/>
    <w:rsid w:val="00AE7C76"/>
    <w:rsid w:val="00AE7C92"/>
    <w:rsid w:val="00AE7CB2"/>
    <w:rsid w:val="00AE7CC2"/>
    <w:rsid w:val="00AE7D8F"/>
    <w:rsid w:val="00AE7E1D"/>
    <w:rsid w:val="00AE7F22"/>
    <w:rsid w:val="00AE7F35"/>
    <w:rsid w:val="00AF0035"/>
    <w:rsid w:val="00AF00F4"/>
    <w:rsid w:val="00AF00FD"/>
    <w:rsid w:val="00AF0106"/>
    <w:rsid w:val="00AF010D"/>
    <w:rsid w:val="00AF01F9"/>
    <w:rsid w:val="00AF0266"/>
    <w:rsid w:val="00AF02AC"/>
    <w:rsid w:val="00AF02CD"/>
    <w:rsid w:val="00AF02D7"/>
    <w:rsid w:val="00AF0432"/>
    <w:rsid w:val="00AF05DE"/>
    <w:rsid w:val="00AF0632"/>
    <w:rsid w:val="00AF0634"/>
    <w:rsid w:val="00AF0677"/>
    <w:rsid w:val="00AF0691"/>
    <w:rsid w:val="00AF079B"/>
    <w:rsid w:val="00AF079D"/>
    <w:rsid w:val="00AF07D4"/>
    <w:rsid w:val="00AF0881"/>
    <w:rsid w:val="00AF08B0"/>
    <w:rsid w:val="00AF090C"/>
    <w:rsid w:val="00AF09B2"/>
    <w:rsid w:val="00AF09D4"/>
    <w:rsid w:val="00AF0A5B"/>
    <w:rsid w:val="00AF0AA0"/>
    <w:rsid w:val="00AF0B66"/>
    <w:rsid w:val="00AF0BBC"/>
    <w:rsid w:val="00AF0CE6"/>
    <w:rsid w:val="00AF0DBC"/>
    <w:rsid w:val="00AF0E0C"/>
    <w:rsid w:val="00AF0E4B"/>
    <w:rsid w:val="00AF0E53"/>
    <w:rsid w:val="00AF0EBE"/>
    <w:rsid w:val="00AF0F69"/>
    <w:rsid w:val="00AF0FAA"/>
    <w:rsid w:val="00AF1080"/>
    <w:rsid w:val="00AF10AB"/>
    <w:rsid w:val="00AF112A"/>
    <w:rsid w:val="00AF1135"/>
    <w:rsid w:val="00AF119C"/>
    <w:rsid w:val="00AF133A"/>
    <w:rsid w:val="00AF1395"/>
    <w:rsid w:val="00AF14A3"/>
    <w:rsid w:val="00AF15D4"/>
    <w:rsid w:val="00AF1611"/>
    <w:rsid w:val="00AF1723"/>
    <w:rsid w:val="00AF17E6"/>
    <w:rsid w:val="00AF1854"/>
    <w:rsid w:val="00AF191F"/>
    <w:rsid w:val="00AF193A"/>
    <w:rsid w:val="00AF1974"/>
    <w:rsid w:val="00AF19AB"/>
    <w:rsid w:val="00AF1A86"/>
    <w:rsid w:val="00AF1B17"/>
    <w:rsid w:val="00AF1B2E"/>
    <w:rsid w:val="00AF1B4E"/>
    <w:rsid w:val="00AF1BE6"/>
    <w:rsid w:val="00AF1C64"/>
    <w:rsid w:val="00AF1C6B"/>
    <w:rsid w:val="00AF1CA9"/>
    <w:rsid w:val="00AF1D2F"/>
    <w:rsid w:val="00AF1E3C"/>
    <w:rsid w:val="00AF1EB6"/>
    <w:rsid w:val="00AF21A6"/>
    <w:rsid w:val="00AF21ED"/>
    <w:rsid w:val="00AF221D"/>
    <w:rsid w:val="00AF2262"/>
    <w:rsid w:val="00AF22DC"/>
    <w:rsid w:val="00AF234A"/>
    <w:rsid w:val="00AF2368"/>
    <w:rsid w:val="00AF24B4"/>
    <w:rsid w:val="00AF24DC"/>
    <w:rsid w:val="00AF2595"/>
    <w:rsid w:val="00AF25D5"/>
    <w:rsid w:val="00AF25E3"/>
    <w:rsid w:val="00AF25ED"/>
    <w:rsid w:val="00AF275C"/>
    <w:rsid w:val="00AF27B6"/>
    <w:rsid w:val="00AF2803"/>
    <w:rsid w:val="00AF28C5"/>
    <w:rsid w:val="00AF2A63"/>
    <w:rsid w:val="00AF2B28"/>
    <w:rsid w:val="00AF2B3B"/>
    <w:rsid w:val="00AF2C08"/>
    <w:rsid w:val="00AF2D65"/>
    <w:rsid w:val="00AF2DD2"/>
    <w:rsid w:val="00AF2E1C"/>
    <w:rsid w:val="00AF2E1D"/>
    <w:rsid w:val="00AF2E94"/>
    <w:rsid w:val="00AF2EA9"/>
    <w:rsid w:val="00AF2F53"/>
    <w:rsid w:val="00AF2F70"/>
    <w:rsid w:val="00AF2FBD"/>
    <w:rsid w:val="00AF3147"/>
    <w:rsid w:val="00AF3208"/>
    <w:rsid w:val="00AF3289"/>
    <w:rsid w:val="00AF32A6"/>
    <w:rsid w:val="00AF34AA"/>
    <w:rsid w:val="00AF350F"/>
    <w:rsid w:val="00AF357B"/>
    <w:rsid w:val="00AF358B"/>
    <w:rsid w:val="00AF36DB"/>
    <w:rsid w:val="00AF373E"/>
    <w:rsid w:val="00AF3939"/>
    <w:rsid w:val="00AF3A2B"/>
    <w:rsid w:val="00AF3A4A"/>
    <w:rsid w:val="00AF3B19"/>
    <w:rsid w:val="00AF3B45"/>
    <w:rsid w:val="00AF3C52"/>
    <w:rsid w:val="00AF3CB4"/>
    <w:rsid w:val="00AF3D02"/>
    <w:rsid w:val="00AF3D31"/>
    <w:rsid w:val="00AF3DFA"/>
    <w:rsid w:val="00AF3ED9"/>
    <w:rsid w:val="00AF3F07"/>
    <w:rsid w:val="00AF405F"/>
    <w:rsid w:val="00AF4090"/>
    <w:rsid w:val="00AF40A1"/>
    <w:rsid w:val="00AF4172"/>
    <w:rsid w:val="00AF41C4"/>
    <w:rsid w:val="00AF4427"/>
    <w:rsid w:val="00AF44AC"/>
    <w:rsid w:val="00AF44CE"/>
    <w:rsid w:val="00AF4508"/>
    <w:rsid w:val="00AF454C"/>
    <w:rsid w:val="00AF460D"/>
    <w:rsid w:val="00AF467A"/>
    <w:rsid w:val="00AF4772"/>
    <w:rsid w:val="00AF47C5"/>
    <w:rsid w:val="00AF4855"/>
    <w:rsid w:val="00AF49B9"/>
    <w:rsid w:val="00AF4A43"/>
    <w:rsid w:val="00AF4A47"/>
    <w:rsid w:val="00AF4B4C"/>
    <w:rsid w:val="00AF4B5D"/>
    <w:rsid w:val="00AF4B9C"/>
    <w:rsid w:val="00AF4B9D"/>
    <w:rsid w:val="00AF4C3F"/>
    <w:rsid w:val="00AF4C5D"/>
    <w:rsid w:val="00AF4E0A"/>
    <w:rsid w:val="00AF4F09"/>
    <w:rsid w:val="00AF4F48"/>
    <w:rsid w:val="00AF4F4C"/>
    <w:rsid w:val="00AF4F55"/>
    <w:rsid w:val="00AF4F78"/>
    <w:rsid w:val="00AF5158"/>
    <w:rsid w:val="00AF5226"/>
    <w:rsid w:val="00AF5254"/>
    <w:rsid w:val="00AF5377"/>
    <w:rsid w:val="00AF53F8"/>
    <w:rsid w:val="00AF549B"/>
    <w:rsid w:val="00AF55E6"/>
    <w:rsid w:val="00AF55E8"/>
    <w:rsid w:val="00AF566B"/>
    <w:rsid w:val="00AF56A7"/>
    <w:rsid w:val="00AF57E4"/>
    <w:rsid w:val="00AF5843"/>
    <w:rsid w:val="00AF5868"/>
    <w:rsid w:val="00AF5945"/>
    <w:rsid w:val="00AF5A00"/>
    <w:rsid w:val="00AF5A0D"/>
    <w:rsid w:val="00AF5A12"/>
    <w:rsid w:val="00AF5B3B"/>
    <w:rsid w:val="00AF5BFF"/>
    <w:rsid w:val="00AF5C6E"/>
    <w:rsid w:val="00AF5D39"/>
    <w:rsid w:val="00AF5D50"/>
    <w:rsid w:val="00AF5DBC"/>
    <w:rsid w:val="00AF5EF6"/>
    <w:rsid w:val="00AF5F4B"/>
    <w:rsid w:val="00AF5F68"/>
    <w:rsid w:val="00AF5FDD"/>
    <w:rsid w:val="00AF6009"/>
    <w:rsid w:val="00AF614B"/>
    <w:rsid w:val="00AF619A"/>
    <w:rsid w:val="00AF62BC"/>
    <w:rsid w:val="00AF62F2"/>
    <w:rsid w:val="00AF63BB"/>
    <w:rsid w:val="00AF63FC"/>
    <w:rsid w:val="00AF6431"/>
    <w:rsid w:val="00AF6441"/>
    <w:rsid w:val="00AF64A6"/>
    <w:rsid w:val="00AF64B8"/>
    <w:rsid w:val="00AF65A3"/>
    <w:rsid w:val="00AF6649"/>
    <w:rsid w:val="00AF66C6"/>
    <w:rsid w:val="00AF670F"/>
    <w:rsid w:val="00AF6739"/>
    <w:rsid w:val="00AF688B"/>
    <w:rsid w:val="00AF6969"/>
    <w:rsid w:val="00AF6AE9"/>
    <w:rsid w:val="00AF6B00"/>
    <w:rsid w:val="00AF6B51"/>
    <w:rsid w:val="00AF6B98"/>
    <w:rsid w:val="00AF6BFC"/>
    <w:rsid w:val="00AF6C00"/>
    <w:rsid w:val="00AF6CCB"/>
    <w:rsid w:val="00AF6CE7"/>
    <w:rsid w:val="00AF6EFF"/>
    <w:rsid w:val="00AF6FBE"/>
    <w:rsid w:val="00AF70A2"/>
    <w:rsid w:val="00AF70DD"/>
    <w:rsid w:val="00AF7130"/>
    <w:rsid w:val="00AF720E"/>
    <w:rsid w:val="00AF7263"/>
    <w:rsid w:val="00AF7286"/>
    <w:rsid w:val="00AF730D"/>
    <w:rsid w:val="00AF737D"/>
    <w:rsid w:val="00AF73FF"/>
    <w:rsid w:val="00AF740D"/>
    <w:rsid w:val="00AF74F7"/>
    <w:rsid w:val="00AF7555"/>
    <w:rsid w:val="00AF7581"/>
    <w:rsid w:val="00AF75EE"/>
    <w:rsid w:val="00AF765B"/>
    <w:rsid w:val="00AF7733"/>
    <w:rsid w:val="00AF77AC"/>
    <w:rsid w:val="00AF788B"/>
    <w:rsid w:val="00AF79E4"/>
    <w:rsid w:val="00AF7A85"/>
    <w:rsid w:val="00AF7C4E"/>
    <w:rsid w:val="00AF7C81"/>
    <w:rsid w:val="00AF7C9E"/>
    <w:rsid w:val="00AF7CD2"/>
    <w:rsid w:val="00AF7D82"/>
    <w:rsid w:val="00AF7DF5"/>
    <w:rsid w:val="00AF7E09"/>
    <w:rsid w:val="00AF7F17"/>
    <w:rsid w:val="00B00164"/>
    <w:rsid w:val="00B001C7"/>
    <w:rsid w:val="00B00225"/>
    <w:rsid w:val="00B00720"/>
    <w:rsid w:val="00B00724"/>
    <w:rsid w:val="00B0084C"/>
    <w:rsid w:val="00B00894"/>
    <w:rsid w:val="00B009D0"/>
    <w:rsid w:val="00B00A09"/>
    <w:rsid w:val="00B00A1C"/>
    <w:rsid w:val="00B00A1F"/>
    <w:rsid w:val="00B00B2F"/>
    <w:rsid w:val="00B00BBA"/>
    <w:rsid w:val="00B00C76"/>
    <w:rsid w:val="00B00D6B"/>
    <w:rsid w:val="00B00F48"/>
    <w:rsid w:val="00B00F5A"/>
    <w:rsid w:val="00B00F9B"/>
    <w:rsid w:val="00B010CD"/>
    <w:rsid w:val="00B0110C"/>
    <w:rsid w:val="00B0113F"/>
    <w:rsid w:val="00B01190"/>
    <w:rsid w:val="00B011E2"/>
    <w:rsid w:val="00B0123A"/>
    <w:rsid w:val="00B01271"/>
    <w:rsid w:val="00B012C6"/>
    <w:rsid w:val="00B013C6"/>
    <w:rsid w:val="00B013EC"/>
    <w:rsid w:val="00B0140B"/>
    <w:rsid w:val="00B01434"/>
    <w:rsid w:val="00B01589"/>
    <w:rsid w:val="00B016C9"/>
    <w:rsid w:val="00B016F1"/>
    <w:rsid w:val="00B018B2"/>
    <w:rsid w:val="00B018FD"/>
    <w:rsid w:val="00B01950"/>
    <w:rsid w:val="00B01A49"/>
    <w:rsid w:val="00B01A92"/>
    <w:rsid w:val="00B01BD0"/>
    <w:rsid w:val="00B01D42"/>
    <w:rsid w:val="00B01D76"/>
    <w:rsid w:val="00B01D88"/>
    <w:rsid w:val="00B01EEF"/>
    <w:rsid w:val="00B02015"/>
    <w:rsid w:val="00B02053"/>
    <w:rsid w:val="00B02068"/>
    <w:rsid w:val="00B020C3"/>
    <w:rsid w:val="00B02130"/>
    <w:rsid w:val="00B02187"/>
    <w:rsid w:val="00B02204"/>
    <w:rsid w:val="00B02276"/>
    <w:rsid w:val="00B02317"/>
    <w:rsid w:val="00B02347"/>
    <w:rsid w:val="00B0250F"/>
    <w:rsid w:val="00B025CF"/>
    <w:rsid w:val="00B025EC"/>
    <w:rsid w:val="00B02679"/>
    <w:rsid w:val="00B028CC"/>
    <w:rsid w:val="00B02905"/>
    <w:rsid w:val="00B029ED"/>
    <w:rsid w:val="00B02B6D"/>
    <w:rsid w:val="00B02D22"/>
    <w:rsid w:val="00B02D82"/>
    <w:rsid w:val="00B02E09"/>
    <w:rsid w:val="00B02E40"/>
    <w:rsid w:val="00B02F2D"/>
    <w:rsid w:val="00B02FE3"/>
    <w:rsid w:val="00B031B4"/>
    <w:rsid w:val="00B032EC"/>
    <w:rsid w:val="00B0330B"/>
    <w:rsid w:val="00B033CF"/>
    <w:rsid w:val="00B03476"/>
    <w:rsid w:val="00B034BD"/>
    <w:rsid w:val="00B034F0"/>
    <w:rsid w:val="00B03573"/>
    <w:rsid w:val="00B03615"/>
    <w:rsid w:val="00B036A8"/>
    <w:rsid w:val="00B03813"/>
    <w:rsid w:val="00B03872"/>
    <w:rsid w:val="00B03881"/>
    <w:rsid w:val="00B039C9"/>
    <w:rsid w:val="00B03A41"/>
    <w:rsid w:val="00B03B83"/>
    <w:rsid w:val="00B03BEE"/>
    <w:rsid w:val="00B03CC0"/>
    <w:rsid w:val="00B03F11"/>
    <w:rsid w:val="00B03F31"/>
    <w:rsid w:val="00B03F8A"/>
    <w:rsid w:val="00B03F99"/>
    <w:rsid w:val="00B04009"/>
    <w:rsid w:val="00B04036"/>
    <w:rsid w:val="00B04151"/>
    <w:rsid w:val="00B04161"/>
    <w:rsid w:val="00B04306"/>
    <w:rsid w:val="00B043DE"/>
    <w:rsid w:val="00B0447E"/>
    <w:rsid w:val="00B044E2"/>
    <w:rsid w:val="00B045BA"/>
    <w:rsid w:val="00B04750"/>
    <w:rsid w:val="00B04775"/>
    <w:rsid w:val="00B0484D"/>
    <w:rsid w:val="00B04876"/>
    <w:rsid w:val="00B0488C"/>
    <w:rsid w:val="00B048B3"/>
    <w:rsid w:val="00B04A16"/>
    <w:rsid w:val="00B04A40"/>
    <w:rsid w:val="00B04B78"/>
    <w:rsid w:val="00B04C28"/>
    <w:rsid w:val="00B04C92"/>
    <w:rsid w:val="00B04D23"/>
    <w:rsid w:val="00B04DA5"/>
    <w:rsid w:val="00B04E7C"/>
    <w:rsid w:val="00B04EC5"/>
    <w:rsid w:val="00B04F3A"/>
    <w:rsid w:val="00B04FA3"/>
    <w:rsid w:val="00B050E0"/>
    <w:rsid w:val="00B050ED"/>
    <w:rsid w:val="00B051C7"/>
    <w:rsid w:val="00B0521B"/>
    <w:rsid w:val="00B05254"/>
    <w:rsid w:val="00B0535E"/>
    <w:rsid w:val="00B0536E"/>
    <w:rsid w:val="00B053C8"/>
    <w:rsid w:val="00B05493"/>
    <w:rsid w:val="00B05512"/>
    <w:rsid w:val="00B055AD"/>
    <w:rsid w:val="00B05686"/>
    <w:rsid w:val="00B057C1"/>
    <w:rsid w:val="00B05897"/>
    <w:rsid w:val="00B05949"/>
    <w:rsid w:val="00B0597C"/>
    <w:rsid w:val="00B059A0"/>
    <w:rsid w:val="00B059D5"/>
    <w:rsid w:val="00B059FF"/>
    <w:rsid w:val="00B05CB3"/>
    <w:rsid w:val="00B05D45"/>
    <w:rsid w:val="00B05D4D"/>
    <w:rsid w:val="00B05EE5"/>
    <w:rsid w:val="00B05F9D"/>
    <w:rsid w:val="00B05FAF"/>
    <w:rsid w:val="00B060C8"/>
    <w:rsid w:val="00B06138"/>
    <w:rsid w:val="00B062D7"/>
    <w:rsid w:val="00B06430"/>
    <w:rsid w:val="00B06463"/>
    <w:rsid w:val="00B06508"/>
    <w:rsid w:val="00B0653C"/>
    <w:rsid w:val="00B0659F"/>
    <w:rsid w:val="00B065DB"/>
    <w:rsid w:val="00B06640"/>
    <w:rsid w:val="00B06657"/>
    <w:rsid w:val="00B06823"/>
    <w:rsid w:val="00B0694E"/>
    <w:rsid w:val="00B06973"/>
    <w:rsid w:val="00B06B01"/>
    <w:rsid w:val="00B06B0B"/>
    <w:rsid w:val="00B06B59"/>
    <w:rsid w:val="00B06C09"/>
    <w:rsid w:val="00B06D51"/>
    <w:rsid w:val="00B06D92"/>
    <w:rsid w:val="00B06EFB"/>
    <w:rsid w:val="00B06F15"/>
    <w:rsid w:val="00B06F49"/>
    <w:rsid w:val="00B06F4E"/>
    <w:rsid w:val="00B06FA2"/>
    <w:rsid w:val="00B06FDD"/>
    <w:rsid w:val="00B06FEF"/>
    <w:rsid w:val="00B071FB"/>
    <w:rsid w:val="00B073B1"/>
    <w:rsid w:val="00B073D1"/>
    <w:rsid w:val="00B07458"/>
    <w:rsid w:val="00B0748E"/>
    <w:rsid w:val="00B074B5"/>
    <w:rsid w:val="00B07570"/>
    <w:rsid w:val="00B075EB"/>
    <w:rsid w:val="00B07715"/>
    <w:rsid w:val="00B07766"/>
    <w:rsid w:val="00B077C7"/>
    <w:rsid w:val="00B077E5"/>
    <w:rsid w:val="00B07815"/>
    <w:rsid w:val="00B07854"/>
    <w:rsid w:val="00B079EB"/>
    <w:rsid w:val="00B079F0"/>
    <w:rsid w:val="00B07A11"/>
    <w:rsid w:val="00B07A64"/>
    <w:rsid w:val="00B07AC2"/>
    <w:rsid w:val="00B07B40"/>
    <w:rsid w:val="00B07B44"/>
    <w:rsid w:val="00B07B49"/>
    <w:rsid w:val="00B07BDC"/>
    <w:rsid w:val="00B07C0E"/>
    <w:rsid w:val="00B07D35"/>
    <w:rsid w:val="00B07E1E"/>
    <w:rsid w:val="00B07E2C"/>
    <w:rsid w:val="00B07F51"/>
    <w:rsid w:val="00B07FCC"/>
    <w:rsid w:val="00B07FDE"/>
    <w:rsid w:val="00B07FE3"/>
    <w:rsid w:val="00B10027"/>
    <w:rsid w:val="00B100A3"/>
    <w:rsid w:val="00B100B9"/>
    <w:rsid w:val="00B10291"/>
    <w:rsid w:val="00B1029B"/>
    <w:rsid w:val="00B102C1"/>
    <w:rsid w:val="00B1030C"/>
    <w:rsid w:val="00B103BE"/>
    <w:rsid w:val="00B103F0"/>
    <w:rsid w:val="00B10409"/>
    <w:rsid w:val="00B10512"/>
    <w:rsid w:val="00B105A1"/>
    <w:rsid w:val="00B105BF"/>
    <w:rsid w:val="00B10616"/>
    <w:rsid w:val="00B1068A"/>
    <w:rsid w:val="00B109F1"/>
    <w:rsid w:val="00B109F7"/>
    <w:rsid w:val="00B10A32"/>
    <w:rsid w:val="00B10AF4"/>
    <w:rsid w:val="00B10B10"/>
    <w:rsid w:val="00B10B3D"/>
    <w:rsid w:val="00B10BCF"/>
    <w:rsid w:val="00B10BDB"/>
    <w:rsid w:val="00B10C6B"/>
    <w:rsid w:val="00B10DA8"/>
    <w:rsid w:val="00B10DF3"/>
    <w:rsid w:val="00B10E2F"/>
    <w:rsid w:val="00B10E46"/>
    <w:rsid w:val="00B10EF0"/>
    <w:rsid w:val="00B10F40"/>
    <w:rsid w:val="00B10FD1"/>
    <w:rsid w:val="00B11118"/>
    <w:rsid w:val="00B1118B"/>
    <w:rsid w:val="00B11233"/>
    <w:rsid w:val="00B11307"/>
    <w:rsid w:val="00B114ED"/>
    <w:rsid w:val="00B1156E"/>
    <w:rsid w:val="00B11617"/>
    <w:rsid w:val="00B11777"/>
    <w:rsid w:val="00B11947"/>
    <w:rsid w:val="00B119F5"/>
    <w:rsid w:val="00B11A00"/>
    <w:rsid w:val="00B11A1F"/>
    <w:rsid w:val="00B11A61"/>
    <w:rsid w:val="00B11B1C"/>
    <w:rsid w:val="00B11BCF"/>
    <w:rsid w:val="00B11C0D"/>
    <w:rsid w:val="00B11C6A"/>
    <w:rsid w:val="00B11C8E"/>
    <w:rsid w:val="00B11D34"/>
    <w:rsid w:val="00B11D6D"/>
    <w:rsid w:val="00B11E4B"/>
    <w:rsid w:val="00B11FBC"/>
    <w:rsid w:val="00B12094"/>
    <w:rsid w:val="00B120E4"/>
    <w:rsid w:val="00B120E8"/>
    <w:rsid w:val="00B1214B"/>
    <w:rsid w:val="00B121B2"/>
    <w:rsid w:val="00B12386"/>
    <w:rsid w:val="00B123BC"/>
    <w:rsid w:val="00B124CF"/>
    <w:rsid w:val="00B1252C"/>
    <w:rsid w:val="00B1267F"/>
    <w:rsid w:val="00B126E0"/>
    <w:rsid w:val="00B12704"/>
    <w:rsid w:val="00B12729"/>
    <w:rsid w:val="00B12AEE"/>
    <w:rsid w:val="00B12B96"/>
    <w:rsid w:val="00B12C44"/>
    <w:rsid w:val="00B12D86"/>
    <w:rsid w:val="00B12E51"/>
    <w:rsid w:val="00B12EBC"/>
    <w:rsid w:val="00B12F53"/>
    <w:rsid w:val="00B130A6"/>
    <w:rsid w:val="00B130E7"/>
    <w:rsid w:val="00B13131"/>
    <w:rsid w:val="00B1316A"/>
    <w:rsid w:val="00B13173"/>
    <w:rsid w:val="00B13397"/>
    <w:rsid w:val="00B134FF"/>
    <w:rsid w:val="00B135F5"/>
    <w:rsid w:val="00B137A7"/>
    <w:rsid w:val="00B1384D"/>
    <w:rsid w:val="00B13886"/>
    <w:rsid w:val="00B138E2"/>
    <w:rsid w:val="00B13924"/>
    <w:rsid w:val="00B13965"/>
    <w:rsid w:val="00B13AE7"/>
    <w:rsid w:val="00B13B6B"/>
    <w:rsid w:val="00B13C03"/>
    <w:rsid w:val="00B13CD4"/>
    <w:rsid w:val="00B13D6D"/>
    <w:rsid w:val="00B13EFB"/>
    <w:rsid w:val="00B13F2D"/>
    <w:rsid w:val="00B13F6F"/>
    <w:rsid w:val="00B13F9B"/>
    <w:rsid w:val="00B13FF0"/>
    <w:rsid w:val="00B14050"/>
    <w:rsid w:val="00B141DE"/>
    <w:rsid w:val="00B1428A"/>
    <w:rsid w:val="00B14339"/>
    <w:rsid w:val="00B14368"/>
    <w:rsid w:val="00B143B3"/>
    <w:rsid w:val="00B1446C"/>
    <w:rsid w:val="00B14489"/>
    <w:rsid w:val="00B14544"/>
    <w:rsid w:val="00B14583"/>
    <w:rsid w:val="00B1460C"/>
    <w:rsid w:val="00B146AF"/>
    <w:rsid w:val="00B146FC"/>
    <w:rsid w:val="00B14801"/>
    <w:rsid w:val="00B14962"/>
    <w:rsid w:val="00B149AC"/>
    <w:rsid w:val="00B149DA"/>
    <w:rsid w:val="00B149F4"/>
    <w:rsid w:val="00B14A6D"/>
    <w:rsid w:val="00B14B3A"/>
    <w:rsid w:val="00B14B9E"/>
    <w:rsid w:val="00B14BA4"/>
    <w:rsid w:val="00B14C3A"/>
    <w:rsid w:val="00B14F72"/>
    <w:rsid w:val="00B15029"/>
    <w:rsid w:val="00B1508D"/>
    <w:rsid w:val="00B15090"/>
    <w:rsid w:val="00B150A1"/>
    <w:rsid w:val="00B1518E"/>
    <w:rsid w:val="00B151A7"/>
    <w:rsid w:val="00B151C9"/>
    <w:rsid w:val="00B1522F"/>
    <w:rsid w:val="00B15275"/>
    <w:rsid w:val="00B15396"/>
    <w:rsid w:val="00B15447"/>
    <w:rsid w:val="00B15502"/>
    <w:rsid w:val="00B1561C"/>
    <w:rsid w:val="00B156CA"/>
    <w:rsid w:val="00B15734"/>
    <w:rsid w:val="00B159D3"/>
    <w:rsid w:val="00B15A6E"/>
    <w:rsid w:val="00B15AE0"/>
    <w:rsid w:val="00B15C2F"/>
    <w:rsid w:val="00B15C8E"/>
    <w:rsid w:val="00B15CE1"/>
    <w:rsid w:val="00B15D34"/>
    <w:rsid w:val="00B15E6C"/>
    <w:rsid w:val="00B15E75"/>
    <w:rsid w:val="00B15E90"/>
    <w:rsid w:val="00B15E93"/>
    <w:rsid w:val="00B160FE"/>
    <w:rsid w:val="00B16151"/>
    <w:rsid w:val="00B161EC"/>
    <w:rsid w:val="00B162D6"/>
    <w:rsid w:val="00B16348"/>
    <w:rsid w:val="00B16356"/>
    <w:rsid w:val="00B163E5"/>
    <w:rsid w:val="00B163EE"/>
    <w:rsid w:val="00B164DC"/>
    <w:rsid w:val="00B1650D"/>
    <w:rsid w:val="00B1651D"/>
    <w:rsid w:val="00B1657F"/>
    <w:rsid w:val="00B16602"/>
    <w:rsid w:val="00B1665A"/>
    <w:rsid w:val="00B1670D"/>
    <w:rsid w:val="00B1677D"/>
    <w:rsid w:val="00B167A2"/>
    <w:rsid w:val="00B1698B"/>
    <w:rsid w:val="00B1699E"/>
    <w:rsid w:val="00B169BF"/>
    <w:rsid w:val="00B16AA5"/>
    <w:rsid w:val="00B16BD0"/>
    <w:rsid w:val="00B16C7A"/>
    <w:rsid w:val="00B16D08"/>
    <w:rsid w:val="00B16D84"/>
    <w:rsid w:val="00B1703A"/>
    <w:rsid w:val="00B170ED"/>
    <w:rsid w:val="00B17116"/>
    <w:rsid w:val="00B1713B"/>
    <w:rsid w:val="00B171DE"/>
    <w:rsid w:val="00B17200"/>
    <w:rsid w:val="00B17357"/>
    <w:rsid w:val="00B1740B"/>
    <w:rsid w:val="00B17431"/>
    <w:rsid w:val="00B174AD"/>
    <w:rsid w:val="00B17532"/>
    <w:rsid w:val="00B175DA"/>
    <w:rsid w:val="00B1765B"/>
    <w:rsid w:val="00B176A9"/>
    <w:rsid w:val="00B176DA"/>
    <w:rsid w:val="00B179E9"/>
    <w:rsid w:val="00B17BB2"/>
    <w:rsid w:val="00B17BEB"/>
    <w:rsid w:val="00B17C6A"/>
    <w:rsid w:val="00B17CAA"/>
    <w:rsid w:val="00B17D3B"/>
    <w:rsid w:val="00B17D80"/>
    <w:rsid w:val="00B17E52"/>
    <w:rsid w:val="00B17F36"/>
    <w:rsid w:val="00B17F40"/>
    <w:rsid w:val="00B17F87"/>
    <w:rsid w:val="00B17FF8"/>
    <w:rsid w:val="00B200F1"/>
    <w:rsid w:val="00B201A8"/>
    <w:rsid w:val="00B201F1"/>
    <w:rsid w:val="00B20209"/>
    <w:rsid w:val="00B20380"/>
    <w:rsid w:val="00B20392"/>
    <w:rsid w:val="00B204C3"/>
    <w:rsid w:val="00B20563"/>
    <w:rsid w:val="00B205B9"/>
    <w:rsid w:val="00B20799"/>
    <w:rsid w:val="00B207A5"/>
    <w:rsid w:val="00B207B4"/>
    <w:rsid w:val="00B208FC"/>
    <w:rsid w:val="00B20961"/>
    <w:rsid w:val="00B20C19"/>
    <w:rsid w:val="00B20E7E"/>
    <w:rsid w:val="00B20E80"/>
    <w:rsid w:val="00B20E9F"/>
    <w:rsid w:val="00B20EA4"/>
    <w:rsid w:val="00B20FB4"/>
    <w:rsid w:val="00B21087"/>
    <w:rsid w:val="00B210F8"/>
    <w:rsid w:val="00B21191"/>
    <w:rsid w:val="00B21217"/>
    <w:rsid w:val="00B21255"/>
    <w:rsid w:val="00B21288"/>
    <w:rsid w:val="00B21294"/>
    <w:rsid w:val="00B21329"/>
    <w:rsid w:val="00B21337"/>
    <w:rsid w:val="00B2134F"/>
    <w:rsid w:val="00B21363"/>
    <w:rsid w:val="00B21371"/>
    <w:rsid w:val="00B21571"/>
    <w:rsid w:val="00B21598"/>
    <w:rsid w:val="00B21607"/>
    <w:rsid w:val="00B21699"/>
    <w:rsid w:val="00B2169E"/>
    <w:rsid w:val="00B216A8"/>
    <w:rsid w:val="00B21858"/>
    <w:rsid w:val="00B21AD0"/>
    <w:rsid w:val="00B21B21"/>
    <w:rsid w:val="00B21C40"/>
    <w:rsid w:val="00B21C8E"/>
    <w:rsid w:val="00B21CBD"/>
    <w:rsid w:val="00B21D32"/>
    <w:rsid w:val="00B21DEC"/>
    <w:rsid w:val="00B21FFA"/>
    <w:rsid w:val="00B22008"/>
    <w:rsid w:val="00B22063"/>
    <w:rsid w:val="00B2206C"/>
    <w:rsid w:val="00B2207E"/>
    <w:rsid w:val="00B2208B"/>
    <w:rsid w:val="00B220F4"/>
    <w:rsid w:val="00B22132"/>
    <w:rsid w:val="00B221C0"/>
    <w:rsid w:val="00B221EA"/>
    <w:rsid w:val="00B2231A"/>
    <w:rsid w:val="00B2231E"/>
    <w:rsid w:val="00B22361"/>
    <w:rsid w:val="00B22396"/>
    <w:rsid w:val="00B223FA"/>
    <w:rsid w:val="00B2245B"/>
    <w:rsid w:val="00B22765"/>
    <w:rsid w:val="00B227A1"/>
    <w:rsid w:val="00B2284D"/>
    <w:rsid w:val="00B22875"/>
    <w:rsid w:val="00B2287F"/>
    <w:rsid w:val="00B22925"/>
    <w:rsid w:val="00B22927"/>
    <w:rsid w:val="00B2295A"/>
    <w:rsid w:val="00B22ADD"/>
    <w:rsid w:val="00B22B21"/>
    <w:rsid w:val="00B22B24"/>
    <w:rsid w:val="00B22C4D"/>
    <w:rsid w:val="00B22E4B"/>
    <w:rsid w:val="00B22F19"/>
    <w:rsid w:val="00B22FF3"/>
    <w:rsid w:val="00B2301C"/>
    <w:rsid w:val="00B23045"/>
    <w:rsid w:val="00B23212"/>
    <w:rsid w:val="00B2322F"/>
    <w:rsid w:val="00B23341"/>
    <w:rsid w:val="00B23363"/>
    <w:rsid w:val="00B234A0"/>
    <w:rsid w:val="00B2354E"/>
    <w:rsid w:val="00B23625"/>
    <w:rsid w:val="00B236D3"/>
    <w:rsid w:val="00B23875"/>
    <w:rsid w:val="00B238CD"/>
    <w:rsid w:val="00B23906"/>
    <w:rsid w:val="00B239A8"/>
    <w:rsid w:val="00B23B44"/>
    <w:rsid w:val="00B23C21"/>
    <w:rsid w:val="00B23C2E"/>
    <w:rsid w:val="00B23C3B"/>
    <w:rsid w:val="00B23D5D"/>
    <w:rsid w:val="00B23DEE"/>
    <w:rsid w:val="00B23DFD"/>
    <w:rsid w:val="00B23F27"/>
    <w:rsid w:val="00B23F59"/>
    <w:rsid w:val="00B2415B"/>
    <w:rsid w:val="00B2428A"/>
    <w:rsid w:val="00B242EB"/>
    <w:rsid w:val="00B24340"/>
    <w:rsid w:val="00B24398"/>
    <w:rsid w:val="00B2448A"/>
    <w:rsid w:val="00B245D7"/>
    <w:rsid w:val="00B24676"/>
    <w:rsid w:val="00B2478F"/>
    <w:rsid w:val="00B247BD"/>
    <w:rsid w:val="00B247DD"/>
    <w:rsid w:val="00B24807"/>
    <w:rsid w:val="00B24948"/>
    <w:rsid w:val="00B2497C"/>
    <w:rsid w:val="00B2497F"/>
    <w:rsid w:val="00B249D2"/>
    <w:rsid w:val="00B24A2E"/>
    <w:rsid w:val="00B24AD9"/>
    <w:rsid w:val="00B24B81"/>
    <w:rsid w:val="00B24BEA"/>
    <w:rsid w:val="00B24CD0"/>
    <w:rsid w:val="00B24CF8"/>
    <w:rsid w:val="00B24D4D"/>
    <w:rsid w:val="00B24DCC"/>
    <w:rsid w:val="00B24E6A"/>
    <w:rsid w:val="00B24FB7"/>
    <w:rsid w:val="00B2500E"/>
    <w:rsid w:val="00B2503D"/>
    <w:rsid w:val="00B25049"/>
    <w:rsid w:val="00B250F0"/>
    <w:rsid w:val="00B2516C"/>
    <w:rsid w:val="00B2520D"/>
    <w:rsid w:val="00B25236"/>
    <w:rsid w:val="00B25287"/>
    <w:rsid w:val="00B252B1"/>
    <w:rsid w:val="00B252CE"/>
    <w:rsid w:val="00B2534E"/>
    <w:rsid w:val="00B25391"/>
    <w:rsid w:val="00B253C2"/>
    <w:rsid w:val="00B2542A"/>
    <w:rsid w:val="00B2551F"/>
    <w:rsid w:val="00B2563A"/>
    <w:rsid w:val="00B25677"/>
    <w:rsid w:val="00B256D0"/>
    <w:rsid w:val="00B25739"/>
    <w:rsid w:val="00B25808"/>
    <w:rsid w:val="00B25812"/>
    <w:rsid w:val="00B25821"/>
    <w:rsid w:val="00B25947"/>
    <w:rsid w:val="00B25A01"/>
    <w:rsid w:val="00B25A52"/>
    <w:rsid w:val="00B25AFC"/>
    <w:rsid w:val="00B25D32"/>
    <w:rsid w:val="00B25D68"/>
    <w:rsid w:val="00B25DC6"/>
    <w:rsid w:val="00B25DE3"/>
    <w:rsid w:val="00B25E9C"/>
    <w:rsid w:val="00B25EA0"/>
    <w:rsid w:val="00B25EB8"/>
    <w:rsid w:val="00B25F2C"/>
    <w:rsid w:val="00B26154"/>
    <w:rsid w:val="00B2615B"/>
    <w:rsid w:val="00B2616D"/>
    <w:rsid w:val="00B2621C"/>
    <w:rsid w:val="00B262CB"/>
    <w:rsid w:val="00B262E8"/>
    <w:rsid w:val="00B26342"/>
    <w:rsid w:val="00B263BA"/>
    <w:rsid w:val="00B263D4"/>
    <w:rsid w:val="00B263E1"/>
    <w:rsid w:val="00B2641A"/>
    <w:rsid w:val="00B26569"/>
    <w:rsid w:val="00B2662B"/>
    <w:rsid w:val="00B2664D"/>
    <w:rsid w:val="00B266A9"/>
    <w:rsid w:val="00B26730"/>
    <w:rsid w:val="00B2673B"/>
    <w:rsid w:val="00B267B0"/>
    <w:rsid w:val="00B267EE"/>
    <w:rsid w:val="00B26808"/>
    <w:rsid w:val="00B2683B"/>
    <w:rsid w:val="00B2686B"/>
    <w:rsid w:val="00B26888"/>
    <w:rsid w:val="00B26903"/>
    <w:rsid w:val="00B26BE7"/>
    <w:rsid w:val="00B26C0E"/>
    <w:rsid w:val="00B26CA7"/>
    <w:rsid w:val="00B26D71"/>
    <w:rsid w:val="00B26D80"/>
    <w:rsid w:val="00B26DEA"/>
    <w:rsid w:val="00B26E9F"/>
    <w:rsid w:val="00B26F04"/>
    <w:rsid w:val="00B26F80"/>
    <w:rsid w:val="00B2700C"/>
    <w:rsid w:val="00B27191"/>
    <w:rsid w:val="00B2725D"/>
    <w:rsid w:val="00B27285"/>
    <w:rsid w:val="00B273D7"/>
    <w:rsid w:val="00B27432"/>
    <w:rsid w:val="00B27502"/>
    <w:rsid w:val="00B27548"/>
    <w:rsid w:val="00B27552"/>
    <w:rsid w:val="00B275A5"/>
    <w:rsid w:val="00B276BC"/>
    <w:rsid w:val="00B2774B"/>
    <w:rsid w:val="00B277DC"/>
    <w:rsid w:val="00B27936"/>
    <w:rsid w:val="00B279C6"/>
    <w:rsid w:val="00B27AB1"/>
    <w:rsid w:val="00B27BDF"/>
    <w:rsid w:val="00B27D87"/>
    <w:rsid w:val="00B27EA3"/>
    <w:rsid w:val="00B27EEC"/>
    <w:rsid w:val="00B27F78"/>
    <w:rsid w:val="00B27FA9"/>
    <w:rsid w:val="00B30089"/>
    <w:rsid w:val="00B30169"/>
    <w:rsid w:val="00B30184"/>
    <w:rsid w:val="00B301CE"/>
    <w:rsid w:val="00B3023D"/>
    <w:rsid w:val="00B3023F"/>
    <w:rsid w:val="00B30244"/>
    <w:rsid w:val="00B302AA"/>
    <w:rsid w:val="00B30328"/>
    <w:rsid w:val="00B3046A"/>
    <w:rsid w:val="00B30472"/>
    <w:rsid w:val="00B304DC"/>
    <w:rsid w:val="00B30621"/>
    <w:rsid w:val="00B3073E"/>
    <w:rsid w:val="00B30782"/>
    <w:rsid w:val="00B3081D"/>
    <w:rsid w:val="00B30999"/>
    <w:rsid w:val="00B3099B"/>
    <w:rsid w:val="00B30A34"/>
    <w:rsid w:val="00B30AB0"/>
    <w:rsid w:val="00B30BE8"/>
    <w:rsid w:val="00B30C7D"/>
    <w:rsid w:val="00B30C82"/>
    <w:rsid w:val="00B30D64"/>
    <w:rsid w:val="00B30E0B"/>
    <w:rsid w:val="00B30E0D"/>
    <w:rsid w:val="00B30E14"/>
    <w:rsid w:val="00B30E95"/>
    <w:rsid w:val="00B30EC2"/>
    <w:rsid w:val="00B30F74"/>
    <w:rsid w:val="00B3108B"/>
    <w:rsid w:val="00B311BE"/>
    <w:rsid w:val="00B311E6"/>
    <w:rsid w:val="00B31215"/>
    <w:rsid w:val="00B3125C"/>
    <w:rsid w:val="00B3125E"/>
    <w:rsid w:val="00B31286"/>
    <w:rsid w:val="00B3129A"/>
    <w:rsid w:val="00B312B0"/>
    <w:rsid w:val="00B31343"/>
    <w:rsid w:val="00B313AC"/>
    <w:rsid w:val="00B313FA"/>
    <w:rsid w:val="00B31436"/>
    <w:rsid w:val="00B314EF"/>
    <w:rsid w:val="00B3161E"/>
    <w:rsid w:val="00B3177F"/>
    <w:rsid w:val="00B317A0"/>
    <w:rsid w:val="00B3184B"/>
    <w:rsid w:val="00B31871"/>
    <w:rsid w:val="00B31998"/>
    <w:rsid w:val="00B319A1"/>
    <w:rsid w:val="00B31C47"/>
    <w:rsid w:val="00B31CED"/>
    <w:rsid w:val="00B31D45"/>
    <w:rsid w:val="00B31E70"/>
    <w:rsid w:val="00B31E9F"/>
    <w:rsid w:val="00B31F1A"/>
    <w:rsid w:val="00B32119"/>
    <w:rsid w:val="00B32178"/>
    <w:rsid w:val="00B322B3"/>
    <w:rsid w:val="00B32324"/>
    <w:rsid w:val="00B32392"/>
    <w:rsid w:val="00B323FB"/>
    <w:rsid w:val="00B324BD"/>
    <w:rsid w:val="00B324FC"/>
    <w:rsid w:val="00B32519"/>
    <w:rsid w:val="00B32613"/>
    <w:rsid w:val="00B326A5"/>
    <w:rsid w:val="00B326BB"/>
    <w:rsid w:val="00B3282D"/>
    <w:rsid w:val="00B3284A"/>
    <w:rsid w:val="00B3285F"/>
    <w:rsid w:val="00B32932"/>
    <w:rsid w:val="00B329A6"/>
    <w:rsid w:val="00B32B4E"/>
    <w:rsid w:val="00B32BD2"/>
    <w:rsid w:val="00B32D1E"/>
    <w:rsid w:val="00B32D46"/>
    <w:rsid w:val="00B32DD1"/>
    <w:rsid w:val="00B32DDA"/>
    <w:rsid w:val="00B32FD7"/>
    <w:rsid w:val="00B3309A"/>
    <w:rsid w:val="00B330A5"/>
    <w:rsid w:val="00B331FA"/>
    <w:rsid w:val="00B33240"/>
    <w:rsid w:val="00B33266"/>
    <w:rsid w:val="00B33273"/>
    <w:rsid w:val="00B3340E"/>
    <w:rsid w:val="00B33427"/>
    <w:rsid w:val="00B3359B"/>
    <w:rsid w:val="00B3361A"/>
    <w:rsid w:val="00B336E9"/>
    <w:rsid w:val="00B3379E"/>
    <w:rsid w:val="00B33814"/>
    <w:rsid w:val="00B338BF"/>
    <w:rsid w:val="00B338F9"/>
    <w:rsid w:val="00B33935"/>
    <w:rsid w:val="00B33C3B"/>
    <w:rsid w:val="00B33C5B"/>
    <w:rsid w:val="00B33C76"/>
    <w:rsid w:val="00B33CEA"/>
    <w:rsid w:val="00B33D3C"/>
    <w:rsid w:val="00B33DEC"/>
    <w:rsid w:val="00B33E47"/>
    <w:rsid w:val="00B33F30"/>
    <w:rsid w:val="00B3401F"/>
    <w:rsid w:val="00B34032"/>
    <w:rsid w:val="00B3405E"/>
    <w:rsid w:val="00B34085"/>
    <w:rsid w:val="00B34093"/>
    <w:rsid w:val="00B340FA"/>
    <w:rsid w:val="00B34131"/>
    <w:rsid w:val="00B34220"/>
    <w:rsid w:val="00B342B5"/>
    <w:rsid w:val="00B342C3"/>
    <w:rsid w:val="00B342CA"/>
    <w:rsid w:val="00B34341"/>
    <w:rsid w:val="00B3435A"/>
    <w:rsid w:val="00B344C8"/>
    <w:rsid w:val="00B34591"/>
    <w:rsid w:val="00B346A8"/>
    <w:rsid w:val="00B346C9"/>
    <w:rsid w:val="00B34736"/>
    <w:rsid w:val="00B34838"/>
    <w:rsid w:val="00B3493A"/>
    <w:rsid w:val="00B34CBD"/>
    <w:rsid w:val="00B34DA9"/>
    <w:rsid w:val="00B34DC3"/>
    <w:rsid w:val="00B34E75"/>
    <w:rsid w:val="00B34ED6"/>
    <w:rsid w:val="00B34FC4"/>
    <w:rsid w:val="00B3503A"/>
    <w:rsid w:val="00B3506F"/>
    <w:rsid w:val="00B3518E"/>
    <w:rsid w:val="00B352D3"/>
    <w:rsid w:val="00B3532C"/>
    <w:rsid w:val="00B353D4"/>
    <w:rsid w:val="00B35584"/>
    <w:rsid w:val="00B355A6"/>
    <w:rsid w:val="00B355C4"/>
    <w:rsid w:val="00B3583E"/>
    <w:rsid w:val="00B35988"/>
    <w:rsid w:val="00B35A51"/>
    <w:rsid w:val="00B35BA0"/>
    <w:rsid w:val="00B35C2E"/>
    <w:rsid w:val="00B35CDE"/>
    <w:rsid w:val="00B35DAB"/>
    <w:rsid w:val="00B35F79"/>
    <w:rsid w:val="00B35F9B"/>
    <w:rsid w:val="00B3610A"/>
    <w:rsid w:val="00B361B9"/>
    <w:rsid w:val="00B36213"/>
    <w:rsid w:val="00B3628D"/>
    <w:rsid w:val="00B36293"/>
    <w:rsid w:val="00B3632D"/>
    <w:rsid w:val="00B36398"/>
    <w:rsid w:val="00B363C5"/>
    <w:rsid w:val="00B363D6"/>
    <w:rsid w:val="00B36406"/>
    <w:rsid w:val="00B3645A"/>
    <w:rsid w:val="00B365BB"/>
    <w:rsid w:val="00B366E7"/>
    <w:rsid w:val="00B36929"/>
    <w:rsid w:val="00B36A69"/>
    <w:rsid w:val="00B36AD7"/>
    <w:rsid w:val="00B36C00"/>
    <w:rsid w:val="00B36C3F"/>
    <w:rsid w:val="00B36C75"/>
    <w:rsid w:val="00B36D03"/>
    <w:rsid w:val="00B36EB2"/>
    <w:rsid w:val="00B36ED6"/>
    <w:rsid w:val="00B36F6C"/>
    <w:rsid w:val="00B36FCB"/>
    <w:rsid w:val="00B3706B"/>
    <w:rsid w:val="00B3707C"/>
    <w:rsid w:val="00B3715D"/>
    <w:rsid w:val="00B371BC"/>
    <w:rsid w:val="00B371EB"/>
    <w:rsid w:val="00B37202"/>
    <w:rsid w:val="00B37229"/>
    <w:rsid w:val="00B372B2"/>
    <w:rsid w:val="00B372D2"/>
    <w:rsid w:val="00B3741C"/>
    <w:rsid w:val="00B37480"/>
    <w:rsid w:val="00B3749E"/>
    <w:rsid w:val="00B374FB"/>
    <w:rsid w:val="00B3751E"/>
    <w:rsid w:val="00B37533"/>
    <w:rsid w:val="00B375B3"/>
    <w:rsid w:val="00B37683"/>
    <w:rsid w:val="00B377C6"/>
    <w:rsid w:val="00B37804"/>
    <w:rsid w:val="00B378E1"/>
    <w:rsid w:val="00B37925"/>
    <w:rsid w:val="00B3796E"/>
    <w:rsid w:val="00B37A22"/>
    <w:rsid w:val="00B37B1E"/>
    <w:rsid w:val="00B37B9A"/>
    <w:rsid w:val="00B37C24"/>
    <w:rsid w:val="00B37CD5"/>
    <w:rsid w:val="00B37CE9"/>
    <w:rsid w:val="00B37DAD"/>
    <w:rsid w:val="00B40013"/>
    <w:rsid w:val="00B40015"/>
    <w:rsid w:val="00B4007A"/>
    <w:rsid w:val="00B40247"/>
    <w:rsid w:val="00B40367"/>
    <w:rsid w:val="00B40570"/>
    <w:rsid w:val="00B40589"/>
    <w:rsid w:val="00B405E4"/>
    <w:rsid w:val="00B406B1"/>
    <w:rsid w:val="00B4079C"/>
    <w:rsid w:val="00B407B8"/>
    <w:rsid w:val="00B40BBC"/>
    <w:rsid w:val="00B40C19"/>
    <w:rsid w:val="00B40CC0"/>
    <w:rsid w:val="00B40D44"/>
    <w:rsid w:val="00B40DD4"/>
    <w:rsid w:val="00B40EBF"/>
    <w:rsid w:val="00B40F12"/>
    <w:rsid w:val="00B41029"/>
    <w:rsid w:val="00B4105F"/>
    <w:rsid w:val="00B41061"/>
    <w:rsid w:val="00B41072"/>
    <w:rsid w:val="00B410AE"/>
    <w:rsid w:val="00B41106"/>
    <w:rsid w:val="00B4111E"/>
    <w:rsid w:val="00B411D5"/>
    <w:rsid w:val="00B411E6"/>
    <w:rsid w:val="00B41333"/>
    <w:rsid w:val="00B41558"/>
    <w:rsid w:val="00B41576"/>
    <w:rsid w:val="00B4167C"/>
    <w:rsid w:val="00B41712"/>
    <w:rsid w:val="00B417B5"/>
    <w:rsid w:val="00B417CD"/>
    <w:rsid w:val="00B41869"/>
    <w:rsid w:val="00B41935"/>
    <w:rsid w:val="00B4198E"/>
    <w:rsid w:val="00B41B2A"/>
    <w:rsid w:val="00B41C13"/>
    <w:rsid w:val="00B41C64"/>
    <w:rsid w:val="00B41CBA"/>
    <w:rsid w:val="00B41CCC"/>
    <w:rsid w:val="00B41D58"/>
    <w:rsid w:val="00B41DAA"/>
    <w:rsid w:val="00B4207C"/>
    <w:rsid w:val="00B42104"/>
    <w:rsid w:val="00B42149"/>
    <w:rsid w:val="00B4221F"/>
    <w:rsid w:val="00B42365"/>
    <w:rsid w:val="00B42398"/>
    <w:rsid w:val="00B42448"/>
    <w:rsid w:val="00B4249A"/>
    <w:rsid w:val="00B424D5"/>
    <w:rsid w:val="00B424D7"/>
    <w:rsid w:val="00B42550"/>
    <w:rsid w:val="00B4255A"/>
    <w:rsid w:val="00B42619"/>
    <w:rsid w:val="00B42634"/>
    <w:rsid w:val="00B42650"/>
    <w:rsid w:val="00B426CA"/>
    <w:rsid w:val="00B4272B"/>
    <w:rsid w:val="00B428EE"/>
    <w:rsid w:val="00B429EB"/>
    <w:rsid w:val="00B42A53"/>
    <w:rsid w:val="00B42AB5"/>
    <w:rsid w:val="00B42ACD"/>
    <w:rsid w:val="00B42CA2"/>
    <w:rsid w:val="00B42D2F"/>
    <w:rsid w:val="00B42DAC"/>
    <w:rsid w:val="00B42E34"/>
    <w:rsid w:val="00B42F94"/>
    <w:rsid w:val="00B42FA4"/>
    <w:rsid w:val="00B42FF3"/>
    <w:rsid w:val="00B4300F"/>
    <w:rsid w:val="00B43067"/>
    <w:rsid w:val="00B4306E"/>
    <w:rsid w:val="00B430AE"/>
    <w:rsid w:val="00B430E5"/>
    <w:rsid w:val="00B43108"/>
    <w:rsid w:val="00B43189"/>
    <w:rsid w:val="00B43269"/>
    <w:rsid w:val="00B4328E"/>
    <w:rsid w:val="00B43299"/>
    <w:rsid w:val="00B43346"/>
    <w:rsid w:val="00B433B7"/>
    <w:rsid w:val="00B434B8"/>
    <w:rsid w:val="00B434D1"/>
    <w:rsid w:val="00B434E8"/>
    <w:rsid w:val="00B4371B"/>
    <w:rsid w:val="00B43732"/>
    <w:rsid w:val="00B43765"/>
    <w:rsid w:val="00B437E9"/>
    <w:rsid w:val="00B43AEC"/>
    <w:rsid w:val="00B43BAE"/>
    <w:rsid w:val="00B43BF1"/>
    <w:rsid w:val="00B43C8B"/>
    <w:rsid w:val="00B43CC0"/>
    <w:rsid w:val="00B43CC2"/>
    <w:rsid w:val="00B43D40"/>
    <w:rsid w:val="00B43E62"/>
    <w:rsid w:val="00B43F60"/>
    <w:rsid w:val="00B440DE"/>
    <w:rsid w:val="00B4411F"/>
    <w:rsid w:val="00B441C9"/>
    <w:rsid w:val="00B441E0"/>
    <w:rsid w:val="00B4425A"/>
    <w:rsid w:val="00B4427E"/>
    <w:rsid w:val="00B44333"/>
    <w:rsid w:val="00B443C4"/>
    <w:rsid w:val="00B44415"/>
    <w:rsid w:val="00B445BA"/>
    <w:rsid w:val="00B44612"/>
    <w:rsid w:val="00B44649"/>
    <w:rsid w:val="00B447AC"/>
    <w:rsid w:val="00B44936"/>
    <w:rsid w:val="00B44956"/>
    <w:rsid w:val="00B4498B"/>
    <w:rsid w:val="00B449CB"/>
    <w:rsid w:val="00B44A6F"/>
    <w:rsid w:val="00B44B0E"/>
    <w:rsid w:val="00B44C26"/>
    <w:rsid w:val="00B44C73"/>
    <w:rsid w:val="00B44DBC"/>
    <w:rsid w:val="00B44E15"/>
    <w:rsid w:val="00B44E20"/>
    <w:rsid w:val="00B44E5B"/>
    <w:rsid w:val="00B44E70"/>
    <w:rsid w:val="00B44EB9"/>
    <w:rsid w:val="00B44EC5"/>
    <w:rsid w:val="00B450F9"/>
    <w:rsid w:val="00B45223"/>
    <w:rsid w:val="00B453A5"/>
    <w:rsid w:val="00B453B6"/>
    <w:rsid w:val="00B45449"/>
    <w:rsid w:val="00B4548D"/>
    <w:rsid w:val="00B454D1"/>
    <w:rsid w:val="00B45527"/>
    <w:rsid w:val="00B456BC"/>
    <w:rsid w:val="00B4576C"/>
    <w:rsid w:val="00B45790"/>
    <w:rsid w:val="00B45793"/>
    <w:rsid w:val="00B45801"/>
    <w:rsid w:val="00B45914"/>
    <w:rsid w:val="00B45995"/>
    <w:rsid w:val="00B45A16"/>
    <w:rsid w:val="00B45B3D"/>
    <w:rsid w:val="00B45BEA"/>
    <w:rsid w:val="00B45CA6"/>
    <w:rsid w:val="00B45CD7"/>
    <w:rsid w:val="00B45D82"/>
    <w:rsid w:val="00B45E2C"/>
    <w:rsid w:val="00B45E71"/>
    <w:rsid w:val="00B4600D"/>
    <w:rsid w:val="00B4607B"/>
    <w:rsid w:val="00B460F5"/>
    <w:rsid w:val="00B46380"/>
    <w:rsid w:val="00B46391"/>
    <w:rsid w:val="00B46599"/>
    <w:rsid w:val="00B465EF"/>
    <w:rsid w:val="00B466CF"/>
    <w:rsid w:val="00B46716"/>
    <w:rsid w:val="00B4680A"/>
    <w:rsid w:val="00B46864"/>
    <w:rsid w:val="00B46910"/>
    <w:rsid w:val="00B4693B"/>
    <w:rsid w:val="00B46A10"/>
    <w:rsid w:val="00B46A95"/>
    <w:rsid w:val="00B46AD7"/>
    <w:rsid w:val="00B46AFF"/>
    <w:rsid w:val="00B46B39"/>
    <w:rsid w:val="00B46B40"/>
    <w:rsid w:val="00B46B41"/>
    <w:rsid w:val="00B46C43"/>
    <w:rsid w:val="00B46D9D"/>
    <w:rsid w:val="00B46E72"/>
    <w:rsid w:val="00B46E8A"/>
    <w:rsid w:val="00B46E97"/>
    <w:rsid w:val="00B46EAE"/>
    <w:rsid w:val="00B46EE2"/>
    <w:rsid w:val="00B46FF5"/>
    <w:rsid w:val="00B47005"/>
    <w:rsid w:val="00B47030"/>
    <w:rsid w:val="00B47181"/>
    <w:rsid w:val="00B47203"/>
    <w:rsid w:val="00B472B6"/>
    <w:rsid w:val="00B4742C"/>
    <w:rsid w:val="00B47475"/>
    <w:rsid w:val="00B47528"/>
    <w:rsid w:val="00B47581"/>
    <w:rsid w:val="00B47619"/>
    <w:rsid w:val="00B47833"/>
    <w:rsid w:val="00B4790C"/>
    <w:rsid w:val="00B47932"/>
    <w:rsid w:val="00B47965"/>
    <w:rsid w:val="00B47ABA"/>
    <w:rsid w:val="00B47AE2"/>
    <w:rsid w:val="00B47AEC"/>
    <w:rsid w:val="00B47B05"/>
    <w:rsid w:val="00B47B0D"/>
    <w:rsid w:val="00B47B9C"/>
    <w:rsid w:val="00B47BE4"/>
    <w:rsid w:val="00B47BED"/>
    <w:rsid w:val="00B47C82"/>
    <w:rsid w:val="00B47CC4"/>
    <w:rsid w:val="00B47CD9"/>
    <w:rsid w:val="00B47D74"/>
    <w:rsid w:val="00B47D78"/>
    <w:rsid w:val="00B47ED3"/>
    <w:rsid w:val="00B47F35"/>
    <w:rsid w:val="00B47FCC"/>
    <w:rsid w:val="00B47FD6"/>
    <w:rsid w:val="00B500AB"/>
    <w:rsid w:val="00B500DB"/>
    <w:rsid w:val="00B503AA"/>
    <w:rsid w:val="00B5048C"/>
    <w:rsid w:val="00B504B3"/>
    <w:rsid w:val="00B504EA"/>
    <w:rsid w:val="00B5084A"/>
    <w:rsid w:val="00B50875"/>
    <w:rsid w:val="00B508D6"/>
    <w:rsid w:val="00B5097C"/>
    <w:rsid w:val="00B509AB"/>
    <w:rsid w:val="00B509AF"/>
    <w:rsid w:val="00B509D1"/>
    <w:rsid w:val="00B509FD"/>
    <w:rsid w:val="00B50A31"/>
    <w:rsid w:val="00B50A67"/>
    <w:rsid w:val="00B50B09"/>
    <w:rsid w:val="00B50B5B"/>
    <w:rsid w:val="00B50BBB"/>
    <w:rsid w:val="00B50D25"/>
    <w:rsid w:val="00B50E05"/>
    <w:rsid w:val="00B50F12"/>
    <w:rsid w:val="00B50FAE"/>
    <w:rsid w:val="00B50FD1"/>
    <w:rsid w:val="00B51059"/>
    <w:rsid w:val="00B5113C"/>
    <w:rsid w:val="00B51195"/>
    <w:rsid w:val="00B5119C"/>
    <w:rsid w:val="00B512A4"/>
    <w:rsid w:val="00B5133B"/>
    <w:rsid w:val="00B5143C"/>
    <w:rsid w:val="00B51481"/>
    <w:rsid w:val="00B514AF"/>
    <w:rsid w:val="00B514FC"/>
    <w:rsid w:val="00B51571"/>
    <w:rsid w:val="00B51583"/>
    <w:rsid w:val="00B51744"/>
    <w:rsid w:val="00B51856"/>
    <w:rsid w:val="00B51A15"/>
    <w:rsid w:val="00B51A3E"/>
    <w:rsid w:val="00B51BD1"/>
    <w:rsid w:val="00B52056"/>
    <w:rsid w:val="00B5215E"/>
    <w:rsid w:val="00B52186"/>
    <w:rsid w:val="00B52323"/>
    <w:rsid w:val="00B52335"/>
    <w:rsid w:val="00B5237F"/>
    <w:rsid w:val="00B52471"/>
    <w:rsid w:val="00B5262A"/>
    <w:rsid w:val="00B5264A"/>
    <w:rsid w:val="00B5266D"/>
    <w:rsid w:val="00B5272C"/>
    <w:rsid w:val="00B527F1"/>
    <w:rsid w:val="00B52868"/>
    <w:rsid w:val="00B529A9"/>
    <w:rsid w:val="00B52A12"/>
    <w:rsid w:val="00B52A3B"/>
    <w:rsid w:val="00B52AAC"/>
    <w:rsid w:val="00B52B1C"/>
    <w:rsid w:val="00B52C1E"/>
    <w:rsid w:val="00B52D31"/>
    <w:rsid w:val="00B52DBB"/>
    <w:rsid w:val="00B52EAC"/>
    <w:rsid w:val="00B52F85"/>
    <w:rsid w:val="00B530B4"/>
    <w:rsid w:val="00B530D4"/>
    <w:rsid w:val="00B53109"/>
    <w:rsid w:val="00B53194"/>
    <w:rsid w:val="00B53302"/>
    <w:rsid w:val="00B5341C"/>
    <w:rsid w:val="00B53466"/>
    <w:rsid w:val="00B534C0"/>
    <w:rsid w:val="00B534EE"/>
    <w:rsid w:val="00B5357D"/>
    <w:rsid w:val="00B5359D"/>
    <w:rsid w:val="00B535C8"/>
    <w:rsid w:val="00B5364B"/>
    <w:rsid w:val="00B536DF"/>
    <w:rsid w:val="00B538CA"/>
    <w:rsid w:val="00B5397B"/>
    <w:rsid w:val="00B53A8C"/>
    <w:rsid w:val="00B53B90"/>
    <w:rsid w:val="00B53B94"/>
    <w:rsid w:val="00B53B9C"/>
    <w:rsid w:val="00B53C14"/>
    <w:rsid w:val="00B53C9C"/>
    <w:rsid w:val="00B53D63"/>
    <w:rsid w:val="00B53D9D"/>
    <w:rsid w:val="00B53E91"/>
    <w:rsid w:val="00B53FD1"/>
    <w:rsid w:val="00B54130"/>
    <w:rsid w:val="00B5413D"/>
    <w:rsid w:val="00B54196"/>
    <w:rsid w:val="00B541D2"/>
    <w:rsid w:val="00B541E2"/>
    <w:rsid w:val="00B54243"/>
    <w:rsid w:val="00B54267"/>
    <w:rsid w:val="00B542F7"/>
    <w:rsid w:val="00B543F3"/>
    <w:rsid w:val="00B54426"/>
    <w:rsid w:val="00B54539"/>
    <w:rsid w:val="00B54651"/>
    <w:rsid w:val="00B5468C"/>
    <w:rsid w:val="00B54722"/>
    <w:rsid w:val="00B54898"/>
    <w:rsid w:val="00B54A41"/>
    <w:rsid w:val="00B54C50"/>
    <w:rsid w:val="00B54CD5"/>
    <w:rsid w:val="00B54D30"/>
    <w:rsid w:val="00B54FB8"/>
    <w:rsid w:val="00B550D0"/>
    <w:rsid w:val="00B5516C"/>
    <w:rsid w:val="00B55189"/>
    <w:rsid w:val="00B55225"/>
    <w:rsid w:val="00B55235"/>
    <w:rsid w:val="00B552BA"/>
    <w:rsid w:val="00B552C2"/>
    <w:rsid w:val="00B55358"/>
    <w:rsid w:val="00B553B9"/>
    <w:rsid w:val="00B5541A"/>
    <w:rsid w:val="00B55486"/>
    <w:rsid w:val="00B55499"/>
    <w:rsid w:val="00B554C4"/>
    <w:rsid w:val="00B5560A"/>
    <w:rsid w:val="00B55676"/>
    <w:rsid w:val="00B55678"/>
    <w:rsid w:val="00B5567C"/>
    <w:rsid w:val="00B55753"/>
    <w:rsid w:val="00B557C9"/>
    <w:rsid w:val="00B5591F"/>
    <w:rsid w:val="00B559DE"/>
    <w:rsid w:val="00B55BCB"/>
    <w:rsid w:val="00B55BFF"/>
    <w:rsid w:val="00B55CDD"/>
    <w:rsid w:val="00B55ED8"/>
    <w:rsid w:val="00B55EEE"/>
    <w:rsid w:val="00B55F35"/>
    <w:rsid w:val="00B55FCC"/>
    <w:rsid w:val="00B5614C"/>
    <w:rsid w:val="00B561D5"/>
    <w:rsid w:val="00B5628F"/>
    <w:rsid w:val="00B56315"/>
    <w:rsid w:val="00B56377"/>
    <w:rsid w:val="00B56549"/>
    <w:rsid w:val="00B56667"/>
    <w:rsid w:val="00B5667E"/>
    <w:rsid w:val="00B5676A"/>
    <w:rsid w:val="00B568A8"/>
    <w:rsid w:val="00B569EB"/>
    <w:rsid w:val="00B56AB4"/>
    <w:rsid w:val="00B56B38"/>
    <w:rsid w:val="00B56B8B"/>
    <w:rsid w:val="00B56BAF"/>
    <w:rsid w:val="00B56C03"/>
    <w:rsid w:val="00B56C77"/>
    <w:rsid w:val="00B56D85"/>
    <w:rsid w:val="00B56EE2"/>
    <w:rsid w:val="00B56F5D"/>
    <w:rsid w:val="00B570B8"/>
    <w:rsid w:val="00B572E4"/>
    <w:rsid w:val="00B573B1"/>
    <w:rsid w:val="00B573C3"/>
    <w:rsid w:val="00B573D5"/>
    <w:rsid w:val="00B573E2"/>
    <w:rsid w:val="00B575AF"/>
    <w:rsid w:val="00B5764B"/>
    <w:rsid w:val="00B57679"/>
    <w:rsid w:val="00B57685"/>
    <w:rsid w:val="00B57698"/>
    <w:rsid w:val="00B57815"/>
    <w:rsid w:val="00B57866"/>
    <w:rsid w:val="00B57877"/>
    <w:rsid w:val="00B578FB"/>
    <w:rsid w:val="00B5794E"/>
    <w:rsid w:val="00B57974"/>
    <w:rsid w:val="00B579F6"/>
    <w:rsid w:val="00B57A3A"/>
    <w:rsid w:val="00B57A61"/>
    <w:rsid w:val="00B57AD9"/>
    <w:rsid w:val="00B57C5C"/>
    <w:rsid w:val="00B57D9B"/>
    <w:rsid w:val="00B57E9E"/>
    <w:rsid w:val="00B57F03"/>
    <w:rsid w:val="00B57FC6"/>
    <w:rsid w:val="00B6021F"/>
    <w:rsid w:val="00B604EB"/>
    <w:rsid w:val="00B60542"/>
    <w:rsid w:val="00B60722"/>
    <w:rsid w:val="00B60813"/>
    <w:rsid w:val="00B6090E"/>
    <w:rsid w:val="00B60934"/>
    <w:rsid w:val="00B609D0"/>
    <w:rsid w:val="00B60A2E"/>
    <w:rsid w:val="00B60BC6"/>
    <w:rsid w:val="00B60BD3"/>
    <w:rsid w:val="00B60C63"/>
    <w:rsid w:val="00B60D12"/>
    <w:rsid w:val="00B60DE7"/>
    <w:rsid w:val="00B60F69"/>
    <w:rsid w:val="00B60FEE"/>
    <w:rsid w:val="00B610B3"/>
    <w:rsid w:val="00B610B6"/>
    <w:rsid w:val="00B611AD"/>
    <w:rsid w:val="00B61232"/>
    <w:rsid w:val="00B6133E"/>
    <w:rsid w:val="00B613B4"/>
    <w:rsid w:val="00B613F7"/>
    <w:rsid w:val="00B6141E"/>
    <w:rsid w:val="00B6147F"/>
    <w:rsid w:val="00B615C7"/>
    <w:rsid w:val="00B6163A"/>
    <w:rsid w:val="00B616ED"/>
    <w:rsid w:val="00B61793"/>
    <w:rsid w:val="00B6182A"/>
    <w:rsid w:val="00B61939"/>
    <w:rsid w:val="00B619DB"/>
    <w:rsid w:val="00B61AB5"/>
    <w:rsid w:val="00B61ACF"/>
    <w:rsid w:val="00B61C4A"/>
    <w:rsid w:val="00B61EE6"/>
    <w:rsid w:val="00B61EE9"/>
    <w:rsid w:val="00B61F46"/>
    <w:rsid w:val="00B61F61"/>
    <w:rsid w:val="00B6201F"/>
    <w:rsid w:val="00B62071"/>
    <w:rsid w:val="00B6217A"/>
    <w:rsid w:val="00B62189"/>
    <w:rsid w:val="00B6219C"/>
    <w:rsid w:val="00B621E3"/>
    <w:rsid w:val="00B621E9"/>
    <w:rsid w:val="00B62206"/>
    <w:rsid w:val="00B622DB"/>
    <w:rsid w:val="00B6231A"/>
    <w:rsid w:val="00B62331"/>
    <w:rsid w:val="00B623C6"/>
    <w:rsid w:val="00B623CC"/>
    <w:rsid w:val="00B623D7"/>
    <w:rsid w:val="00B6243B"/>
    <w:rsid w:val="00B624E7"/>
    <w:rsid w:val="00B62577"/>
    <w:rsid w:val="00B625F1"/>
    <w:rsid w:val="00B62604"/>
    <w:rsid w:val="00B6262A"/>
    <w:rsid w:val="00B626DB"/>
    <w:rsid w:val="00B6270C"/>
    <w:rsid w:val="00B62719"/>
    <w:rsid w:val="00B62746"/>
    <w:rsid w:val="00B62751"/>
    <w:rsid w:val="00B627C2"/>
    <w:rsid w:val="00B6280E"/>
    <w:rsid w:val="00B6287E"/>
    <w:rsid w:val="00B6295B"/>
    <w:rsid w:val="00B6296D"/>
    <w:rsid w:val="00B6299D"/>
    <w:rsid w:val="00B6299F"/>
    <w:rsid w:val="00B62B1E"/>
    <w:rsid w:val="00B62B7A"/>
    <w:rsid w:val="00B62B9C"/>
    <w:rsid w:val="00B62BCD"/>
    <w:rsid w:val="00B62C04"/>
    <w:rsid w:val="00B62C6A"/>
    <w:rsid w:val="00B62D06"/>
    <w:rsid w:val="00B62D99"/>
    <w:rsid w:val="00B62DCA"/>
    <w:rsid w:val="00B62DCD"/>
    <w:rsid w:val="00B62EA1"/>
    <w:rsid w:val="00B62F10"/>
    <w:rsid w:val="00B62F9B"/>
    <w:rsid w:val="00B63036"/>
    <w:rsid w:val="00B63099"/>
    <w:rsid w:val="00B63112"/>
    <w:rsid w:val="00B63125"/>
    <w:rsid w:val="00B63140"/>
    <w:rsid w:val="00B6328E"/>
    <w:rsid w:val="00B632EC"/>
    <w:rsid w:val="00B632F0"/>
    <w:rsid w:val="00B63307"/>
    <w:rsid w:val="00B63384"/>
    <w:rsid w:val="00B633A0"/>
    <w:rsid w:val="00B633C1"/>
    <w:rsid w:val="00B63432"/>
    <w:rsid w:val="00B63566"/>
    <w:rsid w:val="00B6357B"/>
    <w:rsid w:val="00B63594"/>
    <w:rsid w:val="00B635AA"/>
    <w:rsid w:val="00B636A4"/>
    <w:rsid w:val="00B636F8"/>
    <w:rsid w:val="00B637B7"/>
    <w:rsid w:val="00B6382D"/>
    <w:rsid w:val="00B6388C"/>
    <w:rsid w:val="00B6396A"/>
    <w:rsid w:val="00B639C9"/>
    <w:rsid w:val="00B63A52"/>
    <w:rsid w:val="00B63AA3"/>
    <w:rsid w:val="00B63B0C"/>
    <w:rsid w:val="00B63B5A"/>
    <w:rsid w:val="00B63BA6"/>
    <w:rsid w:val="00B63C57"/>
    <w:rsid w:val="00B63D58"/>
    <w:rsid w:val="00B63D9C"/>
    <w:rsid w:val="00B63DEC"/>
    <w:rsid w:val="00B63FD5"/>
    <w:rsid w:val="00B640A6"/>
    <w:rsid w:val="00B6410D"/>
    <w:rsid w:val="00B641EC"/>
    <w:rsid w:val="00B6422A"/>
    <w:rsid w:val="00B6428D"/>
    <w:rsid w:val="00B64325"/>
    <w:rsid w:val="00B643CF"/>
    <w:rsid w:val="00B6442F"/>
    <w:rsid w:val="00B6446C"/>
    <w:rsid w:val="00B64470"/>
    <w:rsid w:val="00B64511"/>
    <w:rsid w:val="00B64538"/>
    <w:rsid w:val="00B64575"/>
    <w:rsid w:val="00B64633"/>
    <w:rsid w:val="00B64713"/>
    <w:rsid w:val="00B6471F"/>
    <w:rsid w:val="00B648A0"/>
    <w:rsid w:val="00B648F1"/>
    <w:rsid w:val="00B649E0"/>
    <w:rsid w:val="00B64A67"/>
    <w:rsid w:val="00B64A80"/>
    <w:rsid w:val="00B64B3F"/>
    <w:rsid w:val="00B64C9D"/>
    <w:rsid w:val="00B64D32"/>
    <w:rsid w:val="00B64D79"/>
    <w:rsid w:val="00B64DE3"/>
    <w:rsid w:val="00B64EE0"/>
    <w:rsid w:val="00B64F0B"/>
    <w:rsid w:val="00B64F34"/>
    <w:rsid w:val="00B650BF"/>
    <w:rsid w:val="00B650F2"/>
    <w:rsid w:val="00B6513E"/>
    <w:rsid w:val="00B6515C"/>
    <w:rsid w:val="00B65227"/>
    <w:rsid w:val="00B654BC"/>
    <w:rsid w:val="00B65528"/>
    <w:rsid w:val="00B65545"/>
    <w:rsid w:val="00B65584"/>
    <w:rsid w:val="00B656C2"/>
    <w:rsid w:val="00B657E8"/>
    <w:rsid w:val="00B65873"/>
    <w:rsid w:val="00B658F9"/>
    <w:rsid w:val="00B65951"/>
    <w:rsid w:val="00B659D2"/>
    <w:rsid w:val="00B65AB8"/>
    <w:rsid w:val="00B65AD4"/>
    <w:rsid w:val="00B65B22"/>
    <w:rsid w:val="00B65D7E"/>
    <w:rsid w:val="00B65E0E"/>
    <w:rsid w:val="00B65E3B"/>
    <w:rsid w:val="00B65EEE"/>
    <w:rsid w:val="00B65F15"/>
    <w:rsid w:val="00B65F46"/>
    <w:rsid w:val="00B65F8D"/>
    <w:rsid w:val="00B66169"/>
    <w:rsid w:val="00B662B8"/>
    <w:rsid w:val="00B662E3"/>
    <w:rsid w:val="00B66441"/>
    <w:rsid w:val="00B66490"/>
    <w:rsid w:val="00B664E7"/>
    <w:rsid w:val="00B665BC"/>
    <w:rsid w:val="00B66745"/>
    <w:rsid w:val="00B66897"/>
    <w:rsid w:val="00B668E7"/>
    <w:rsid w:val="00B668EB"/>
    <w:rsid w:val="00B668FE"/>
    <w:rsid w:val="00B66965"/>
    <w:rsid w:val="00B669D2"/>
    <w:rsid w:val="00B66A69"/>
    <w:rsid w:val="00B66A75"/>
    <w:rsid w:val="00B66A82"/>
    <w:rsid w:val="00B66B50"/>
    <w:rsid w:val="00B66BC8"/>
    <w:rsid w:val="00B66C63"/>
    <w:rsid w:val="00B66CBE"/>
    <w:rsid w:val="00B66E3A"/>
    <w:rsid w:val="00B66ECF"/>
    <w:rsid w:val="00B66F47"/>
    <w:rsid w:val="00B66F9A"/>
    <w:rsid w:val="00B670B5"/>
    <w:rsid w:val="00B67113"/>
    <w:rsid w:val="00B67196"/>
    <w:rsid w:val="00B671A1"/>
    <w:rsid w:val="00B67213"/>
    <w:rsid w:val="00B672A7"/>
    <w:rsid w:val="00B6732E"/>
    <w:rsid w:val="00B67364"/>
    <w:rsid w:val="00B674C6"/>
    <w:rsid w:val="00B6777F"/>
    <w:rsid w:val="00B67802"/>
    <w:rsid w:val="00B678E5"/>
    <w:rsid w:val="00B67937"/>
    <w:rsid w:val="00B67A2D"/>
    <w:rsid w:val="00B67ADC"/>
    <w:rsid w:val="00B67B6C"/>
    <w:rsid w:val="00B67B83"/>
    <w:rsid w:val="00B67C46"/>
    <w:rsid w:val="00B67C74"/>
    <w:rsid w:val="00B67C9D"/>
    <w:rsid w:val="00B67D0D"/>
    <w:rsid w:val="00B67D43"/>
    <w:rsid w:val="00B67D78"/>
    <w:rsid w:val="00B67E5D"/>
    <w:rsid w:val="00B67E6E"/>
    <w:rsid w:val="00B70155"/>
    <w:rsid w:val="00B7025A"/>
    <w:rsid w:val="00B70277"/>
    <w:rsid w:val="00B702DB"/>
    <w:rsid w:val="00B703DC"/>
    <w:rsid w:val="00B70422"/>
    <w:rsid w:val="00B70452"/>
    <w:rsid w:val="00B70494"/>
    <w:rsid w:val="00B7060D"/>
    <w:rsid w:val="00B70633"/>
    <w:rsid w:val="00B70691"/>
    <w:rsid w:val="00B70713"/>
    <w:rsid w:val="00B70789"/>
    <w:rsid w:val="00B70799"/>
    <w:rsid w:val="00B7092C"/>
    <w:rsid w:val="00B7097C"/>
    <w:rsid w:val="00B709CD"/>
    <w:rsid w:val="00B70AA2"/>
    <w:rsid w:val="00B70B03"/>
    <w:rsid w:val="00B70BF5"/>
    <w:rsid w:val="00B70C05"/>
    <w:rsid w:val="00B70CCF"/>
    <w:rsid w:val="00B70D13"/>
    <w:rsid w:val="00B70D42"/>
    <w:rsid w:val="00B70D4E"/>
    <w:rsid w:val="00B70DE9"/>
    <w:rsid w:val="00B70EC2"/>
    <w:rsid w:val="00B70F3F"/>
    <w:rsid w:val="00B71046"/>
    <w:rsid w:val="00B71132"/>
    <w:rsid w:val="00B71169"/>
    <w:rsid w:val="00B711BF"/>
    <w:rsid w:val="00B711C0"/>
    <w:rsid w:val="00B711CB"/>
    <w:rsid w:val="00B712A3"/>
    <w:rsid w:val="00B712BF"/>
    <w:rsid w:val="00B71533"/>
    <w:rsid w:val="00B7168B"/>
    <w:rsid w:val="00B717DB"/>
    <w:rsid w:val="00B7181C"/>
    <w:rsid w:val="00B718C5"/>
    <w:rsid w:val="00B718E6"/>
    <w:rsid w:val="00B71972"/>
    <w:rsid w:val="00B719B5"/>
    <w:rsid w:val="00B719BC"/>
    <w:rsid w:val="00B71BBC"/>
    <w:rsid w:val="00B71BD7"/>
    <w:rsid w:val="00B71D03"/>
    <w:rsid w:val="00B71D62"/>
    <w:rsid w:val="00B71E2B"/>
    <w:rsid w:val="00B71E80"/>
    <w:rsid w:val="00B71F75"/>
    <w:rsid w:val="00B7203A"/>
    <w:rsid w:val="00B72118"/>
    <w:rsid w:val="00B721A2"/>
    <w:rsid w:val="00B72377"/>
    <w:rsid w:val="00B72388"/>
    <w:rsid w:val="00B72433"/>
    <w:rsid w:val="00B72455"/>
    <w:rsid w:val="00B7251A"/>
    <w:rsid w:val="00B72566"/>
    <w:rsid w:val="00B72598"/>
    <w:rsid w:val="00B725CA"/>
    <w:rsid w:val="00B726A6"/>
    <w:rsid w:val="00B72748"/>
    <w:rsid w:val="00B7275B"/>
    <w:rsid w:val="00B7281F"/>
    <w:rsid w:val="00B7289F"/>
    <w:rsid w:val="00B7292B"/>
    <w:rsid w:val="00B7297A"/>
    <w:rsid w:val="00B72989"/>
    <w:rsid w:val="00B72ACA"/>
    <w:rsid w:val="00B72BAD"/>
    <w:rsid w:val="00B72BC8"/>
    <w:rsid w:val="00B72EAE"/>
    <w:rsid w:val="00B72EC4"/>
    <w:rsid w:val="00B7301E"/>
    <w:rsid w:val="00B7302F"/>
    <w:rsid w:val="00B731AF"/>
    <w:rsid w:val="00B73377"/>
    <w:rsid w:val="00B7349C"/>
    <w:rsid w:val="00B735E8"/>
    <w:rsid w:val="00B73658"/>
    <w:rsid w:val="00B7373E"/>
    <w:rsid w:val="00B737D9"/>
    <w:rsid w:val="00B738C7"/>
    <w:rsid w:val="00B739A1"/>
    <w:rsid w:val="00B739A7"/>
    <w:rsid w:val="00B73A3F"/>
    <w:rsid w:val="00B73C5B"/>
    <w:rsid w:val="00B73D04"/>
    <w:rsid w:val="00B73D1A"/>
    <w:rsid w:val="00B73DC3"/>
    <w:rsid w:val="00B73E8C"/>
    <w:rsid w:val="00B73F1F"/>
    <w:rsid w:val="00B74049"/>
    <w:rsid w:val="00B7417F"/>
    <w:rsid w:val="00B7419C"/>
    <w:rsid w:val="00B741FB"/>
    <w:rsid w:val="00B74324"/>
    <w:rsid w:val="00B744F4"/>
    <w:rsid w:val="00B74529"/>
    <w:rsid w:val="00B7455D"/>
    <w:rsid w:val="00B74576"/>
    <w:rsid w:val="00B745E7"/>
    <w:rsid w:val="00B74609"/>
    <w:rsid w:val="00B7460D"/>
    <w:rsid w:val="00B74788"/>
    <w:rsid w:val="00B747CE"/>
    <w:rsid w:val="00B74827"/>
    <w:rsid w:val="00B748DB"/>
    <w:rsid w:val="00B74CBA"/>
    <w:rsid w:val="00B74CFB"/>
    <w:rsid w:val="00B74D44"/>
    <w:rsid w:val="00B74E1E"/>
    <w:rsid w:val="00B74E7C"/>
    <w:rsid w:val="00B74E87"/>
    <w:rsid w:val="00B74EE8"/>
    <w:rsid w:val="00B74F20"/>
    <w:rsid w:val="00B74FBB"/>
    <w:rsid w:val="00B74FDA"/>
    <w:rsid w:val="00B74FF0"/>
    <w:rsid w:val="00B74FFD"/>
    <w:rsid w:val="00B7511E"/>
    <w:rsid w:val="00B75138"/>
    <w:rsid w:val="00B75151"/>
    <w:rsid w:val="00B7529A"/>
    <w:rsid w:val="00B752D0"/>
    <w:rsid w:val="00B75369"/>
    <w:rsid w:val="00B7540B"/>
    <w:rsid w:val="00B7555B"/>
    <w:rsid w:val="00B75591"/>
    <w:rsid w:val="00B755CB"/>
    <w:rsid w:val="00B755CF"/>
    <w:rsid w:val="00B756A0"/>
    <w:rsid w:val="00B7575A"/>
    <w:rsid w:val="00B75778"/>
    <w:rsid w:val="00B757C4"/>
    <w:rsid w:val="00B75823"/>
    <w:rsid w:val="00B7583C"/>
    <w:rsid w:val="00B75949"/>
    <w:rsid w:val="00B75978"/>
    <w:rsid w:val="00B75A9D"/>
    <w:rsid w:val="00B75ACB"/>
    <w:rsid w:val="00B75ADC"/>
    <w:rsid w:val="00B75D42"/>
    <w:rsid w:val="00B75E29"/>
    <w:rsid w:val="00B75E6E"/>
    <w:rsid w:val="00B75FB6"/>
    <w:rsid w:val="00B75FE2"/>
    <w:rsid w:val="00B760A0"/>
    <w:rsid w:val="00B76114"/>
    <w:rsid w:val="00B7621C"/>
    <w:rsid w:val="00B7624A"/>
    <w:rsid w:val="00B762D8"/>
    <w:rsid w:val="00B762DB"/>
    <w:rsid w:val="00B762F7"/>
    <w:rsid w:val="00B76416"/>
    <w:rsid w:val="00B7644A"/>
    <w:rsid w:val="00B76453"/>
    <w:rsid w:val="00B764A8"/>
    <w:rsid w:val="00B76523"/>
    <w:rsid w:val="00B766A1"/>
    <w:rsid w:val="00B76700"/>
    <w:rsid w:val="00B767C1"/>
    <w:rsid w:val="00B7682C"/>
    <w:rsid w:val="00B7699E"/>
    <w:rsid w:val="00B769D5"/>
    <w:rsid w:val="00B769D8"/>
    <w:rsid w:val="00B76A63"/>
    <w:rsid w:val="00B76A6E"/>
    <w:rsid w:val="00B76AB4"/>
    <w:rsid w:val="00B76B1F"/>
    <w:rsid w:val="00B76B9C"/>
    <w:rsid w:val="00B76C19"/>
    <w:rsid w:val="00B76C3B"/>
    <w:rsid w:val="00B76D68"/>
    <w:rsid w:val="00B76D6C"/>
    <w:rsid w:val="00B76D72"/>
    <w:rsid w:val="00B76DAE"/>
    <w:rsid w:val="00B76DDD"/>
    <w:rsid w:val="00B76E8B"/>
    <w:rsid w:val="00B76EBD"/>
    <w:rsid w:val="00B76FA8"/>
    <w:rsid w:val="00B76FAE"/>
    <w:rsid w:val="00B76FB1"/>
    <w:rsid w:val="00B7701D"/>
    <w:rsid w:val="00B770FC"/>
    <w:rsid w:val="00B77245"/>
    <w:rsid w:val="00B7724F"/>
    <w:rsid w:val="00B77339"/>
    <w:rsid w:val="00B77438"/>
    <w:rsid w:val="00B7746E"/>
    <w:rsid w:val="00B7748D"/>
    <w:rsid w:val="00B774C7"/>
    <w:rsid w:val="00B77764"/>
    <w:rsid w:val="00B7781A"/>
    <w:rsid w:val="00B7784D"/>
    <w:rsid w:val="00B77865"/>
    <w:rsid w:val="00B7799C"/>
    <w:rsid w:val="00B779E2"/>
    <w:rsid w:val="00B77A2B"/>
    <w:rsid w:val="00B77B2F"/>
    <w:rsid w:val="00B77BB7"/>
    <w:rsid w:val="00B77C88"/>
    <w:rsid w:val="00B77CCF"/>
    <w:rsid w:val="00B77DB8"/>
    <w:rsid w:val="00B77E0B"/>
    <w:rsid w:val="00B77E1E"/>
    <w:rsid w:val="00B77E35"/>
    <w:rsid w:val="00B77E36"/>
    <w:rsid w:val="00B77E6D"/>
    <w:rsid w:val="00B77EE8"/>
    <w:rsid w:val="00B77F5C"/>
    <w:rsid w:val="00B77FA2"/>
    <w:rsid w:val="00B77FEE"/>
    <w:rsid w:val="00B80007"/>
    <w:rsid w:val="00B80135"/>
    <w:rsid w:val="00B801D7"/>
    <w:rsid w:val="00B8024F"/>
    <w:rsid w:val="00B8034A"/>
    <w:rsid w:val="00B8043F"/>
    <w:rsid w:val="00B80462"/>
    <w:rsid w:val="00B80500"/>
    <w:rsid w:val="00B80623"/>
    <w:rsid w:val="00B80633"/>
    <w:rsid w:val="00B806A3"/>
    <w:rsid w:val="00B807DB"/>
    <w:rsid w:val="00B807E3"/>
    <w:rsid w:val="00B808AA"/>
    <w:rsid w:val="00B80909"/>
    <w:rsid w:val="00B80925"/>
    <w:rsid w:val="00B80927"/>
    <w:rsid w:val="00B809CB"/>
    <w:rsid w:val="00B80A15"/>
    <w:rsid w:val="00B80A9E"/>
    <w:rsid w:val="00B80C24"/>
    <w:rsid w:val="00B80E20"/>
    <w:rsid w:val="00B80EE0"/>
    <w:rsid w:val="00B80F18"/>
    <w:rsid w:val="00B80F21"/>
    <w:rsid w:val="00B80F64"/>
    <w:rsid w:val="00B80FAA"/>
    <w:rsid w:val="00B80FCA"/>
    <w:rsid w:val="00B80FF1"/>
    <w:rsid w:val="00B8109D"/>
    <w:rsid w:val="00B810BA"/>
    <w:rsid w:val="00B810C7"/>
    <w:rsid w:val="00B8124A"/>
    <w:rsid w:val="00B81265"/>
    <w:rsid w:val="00B812C6"/>
    <w:rsid w:val="00B81330"/>
    <w:rsid w:val="00B813A1"/>
    <w:rsid w:val="00B813F7"/>
    <w:rsid w:val="00B81432"/>
    <w:rsid w:val="00B81484"/>
    <w:rsid w:val="00B814A2"/>
    <w:rsid w:val="00B814F2"/>
    <w:rsid w:val="00B8152A"/>
    <w:rsid w:val="00B815F8"/>
    <w:rsid w:val="00B81618"/>
    <w:rsid w:val="00B8162B"/>
    <w:rsid w:val="00B81653"/>
    <w:rsid w:val="00B8167B"/>
    <w:rsid w:val="00B8179E"/>
    <w:rsid w:val="00B8181D"/>
    <w:rsid w:val="00B818C6"/>
    <w:rsid w:val="00B8194D"/>
    <w:rsid w:val="00B81A39"/>
    <w:rsid w:val="00B81AD7"/>
    <w:rsid w:val="00B81B71"/>
    <w:rsid w:val="00B81BE5"/>
    <w:rsid w:val="00B81C27"/>
    <w:rsid w:val="00B81C60"/>
    <w:rsid w:val="00B81D8A"/>
    <w:rsid w:val="00B81DE8"/>
    <w:rsid w:val="00B81E42"/>
    <w:rsid w:val="00B81E70"/>
    <w:rsid w:val="00B81F3C"/>
    <w:rsid w:val="00B81FBB"/>
    <w:rsid w:val="00B81FE4"/>
    <w:rsid w:val="00B8207F"/>
    <w:rsid w:val="00B8209D"/>
    <w:rsid w:val="00B82107"/>
    <w:rsid w:val="00B82143"/>
    <w:rsid w:val="00B82152"/>
    <w:rsid w:val="00B821E5"/>
    <w:rsid w:val="00B821F5"/>
    <w:rsid w:val="00B82208"/>
    <w:rsid w:val="00B822CA"/>
    <w:rsid w:val="00B824B8"/>
    <w:rsid w:val="00B82559"/>
    <w:rsid w:val="00B82596"/>
    <w:rsid w:val="00B8262E"/>
    <w:rsid w:val="00B8266D"/>
    <w:rsid w:val="00B82674"/>
    <w:rsid w:val="00B82688"/>
    <w:rsid w:val="00B82828"/>
    <w:rsid w:val="00B82902"/>
    <w:rsid w:val="00B829DE"/>
    <w:rsid w:val="00B829FF"/>
    <w:rsid w:val="00B82A61"/>
    <w:rsid w:val="00B82AFC"/>
    <w:rsid w:val="00B82B00"/>
    <w:rsid w:val="00B82B98"/>
    <w:rsid w:val="00B82C82"/>
    <w:rsid w:val="00B82E7A"/>
    <w:rsid w:val="00B82EE0"/>
    <w:rsid w:val="00B83010"/>
    <w:rsid w:val="00B8301C"/>
    <w:rsid w:val="00B83030"/>
    <w:rsid w:val="00B83048"/>
    <w:rsid w:val="00B830A7"/>
    <w:rsid w:val="00B830E1"/>
    <w:rsid w:val="00B830FB"/>
    <w:rsid w:val="00B83171"/>
    <w:rsid w:val="00B8318D"/>
    <w:rsid w:val="00B8320D"/>
    <w:rsid w:val="00B83363"/>
    <w:rsid w:val="00B8336C"/>
    <w:rsid w:val="00B83395"/>
    <w:rsid w:val="00B83407"/>
    <w:rsid w:val="00B83447"/>
    <w:rsid w:val="00B834BE"/>
    <w:rsid w:val="00B8355B"/>
    <w:rsid w:val="00B83625"/>
    <w:rsid w:val="00B83683"/>
    <w:rsid w:val="00B8370C"/>
    <w:rsid w:val="00B8371F"/>
    <w:rsid w:val="00B83759"/>
    <w:rsid w:val="00B837C8"/>
    <w:rsid w:val="00B839EB"/>
    <w:rsid w:val="00B83AFE"/>
    <w:rsid w:val="00B83C16"/>
    <w:rsid w:val="00B83CD3"/>
    <w:rsid w:val="00B83D15"/>
    <w:rsid w:val="00B83D3C"/>
    <w:rsid w:val="00B83D74"/>
    <w:rsid w:val="00B83EAC"/>
    <w:rsid w:val="00B8400E"/>
    <w:rsid w:val="00B84040"/>
    <w:rsid w:val="00B84063"/>
    <w:rsid w:val="00B840C0"/>
    <w:rsid w:val="00B84280"/>
    <w:rsid w:val="00B84307"/>
    <w:rsid w:val="00B84344"/>
    <w:rsid w:val="00B8456A"/>
    <w:rsid w:val="00B846A3"/>
    <w:rsid w:val="00B84724"/>
    <w:rsid w:val="00B847CE"/>
    <w:rsid w:val="00B848E4"/>
    <w:rsid w:val="00B849B7"/>
    <w:rsid w:val="00B849E5"/>
    <w:rsid w:val="00B84A2B"/>
    <w:rsid w:val="00B84A4D"/>
    <w:rsid w:val="00B84ACD"/>
    <w:rsid w:val="00B84AD3"/>
    <w:rsid w:val="00B84BB0"/>
    <w:rsid w:val="00B84CC9"/>
    <w:rsid w:val="00B84D28"/>
    <w:rsid w:val="00B84D36"/>
    <w:rsid w:val="00B84E5D"/>
    <w:rsid w:val="00B84E70"/>
    <w:rsid w:val="00B84FBF"/>
    <w:rsid w:val="00B850A7"/>
    <w:rsid w:val="00B851E4"/>
    <w:rsid w:val="00B85210"/>
    <w:rsid w:val="00B853E8"/>
    <w:rsid w:val="00B85415"/>
    <w:rsid w:val="00B85497"/>
    <w:rsid w:val="00B854B8"/>
    <w:rsid w:val="00B85515"/>
    <w:rsid w:val="00B85964"/>
    <w:rsid w:val="00B85A0E"/>
    <w:rsid w:val="00B85B95"/>
    <w:rsid w:val="00B85CBB"/>
    <w:rsid w:val="00B85CE1"/>
    <w:rsid w:val="00B85E4E"/>
    <w:rsid w:val="00B85F2B"/>
    <w:rsid w:val="00B85F3C"/>
    <w:rsid w:val="00B8602F"/>
    <w:rsid w:val="00B8606C"/>
    <w:rsid w:val="00B8608C"/>
    <w:rsid w:val="00B86159"/>
    <w:rsid w:val="00B861D0"/>
    <w:rsid w:val="00B86245"/>
    <w:rsid w:val="00B86328"/>
    <w:rsid w:val="00B8632D"/>
    <w:rsid w:val="00B8639D"/>
    <w:rsid w:val="00B86403"/>
    <w:rsid w:val="00B864C8"/>
    <w:rsid w:val="00B864D0"/>
    <w:rsid w:val="00B8654A"/>
    <w:rsid w:val="00B865A8"/>
    <w:rsid w:val="00B86601"/>
    <w:rsid w:val="00B8670A"/>
    <w:rsid w:val="00B86758"/>
    <w:rsid w:val="00B86782"/>
    <w:rsid w:val="00B8683B"/>
    <w:rsid w:val="00B86842"/>
    <w:rsid w:val="00B86937"/>
    <w:rsid w:val="00B8696D"/>
    <w:rsid w:val="00B86A1E"/>
    <w:rsid w:val="00B86ABE"/>
    <w:rsid w:val="00B86AD9"/>
    <w:rsid w:val="00B86B21"/>
    <w:rsid w:val="00B86BCF"/>
    <w:rsid w:val="00B86C0B"/>
    <w:rsid w:val="00B86C1A"/>
    <w:rsid w:val="00B86C58"/>
    <w:rsid w:val="00B86CBC"/>
    <w:rsid w:val="00B86E3B"/>
    <w:rsid w:val="00B86E98"/>
    <w:rsid w:val="00B86F03"/>
    <w:rsid w:val="00B86F10"/>
    <w:rsid w:val="00B86F38"/>
    <w:rsid w:val="00B86F7D"/>
    <w:rsid w:val="00B86FB9"/>
    <w:rsid w:val="00B86FC5"/>
    <w:rsid w:val="00B8700E"/>
    <w:rsid w:val="00B87034"/>
    <w:rsid w:val="00B8709F"/>
    <w:rsid w:val="00B87127"/>
    <w:rsid w:val="00B8714B"/>
    <w:rsid w:val="00B87185"/>
    <w:rsid w:val="00B87194"/>
    <w:rsid w:val="00B8728D"/>
    <w:rsid w:val="00B872BB"/>
    <w:rsid w:val="00B87330"/>
    <w:rsid w:val="00B87515"/>
    <w:rsid w:val="00B8751D"/>
    <w:rsid w:val="00B8752B"/>
    <w:rsid w:val="00B8763E"/>
    <w:rsid w:val="00B876BD"/>
    <w:rsid w:val="00B876E8"/>
    <w:rsid w:val="00B8770E"/>
    <w:rsid w:val="00B8776B"/>
    <w:rsid w:val="00B8780C"/>
    <w:rsid w:val="00B87869"/>
    <w:rsid w:val="00B878DC"/>
    <w:rsid w:val="00B878F6"/>
    <w:rsid w:val="00B87902"/>
    <w:rsid w:val="00B8791A"/>
    <w:rsid w:val="00B879A5"/>
    <w:rsid w:val="00B879DE"/>
    <w:rsid w:val="00B87A99"/>
    <w:rsid w:val="00B87AD1"/>
    <w:rsid w:val="00B87B5F"/>
    <w:rsid w:val="00B87BBA"/>
    <w:rsid w:val="00B87C3D"/>
    <w:rsid w:val="00B87C78"/>
    <w:rsid w:val="00B87C83"/>
    <w:rsid w:val="00B87D5B"/>
    <w:rsid w:val="00B87D7E"/>
    <w:rsid w:val="00B87DCA"/>
    <w:rsid w:val="00B87DFB"/>
    <w:rsid w:val="00B87E8E"/>
    <w:rsid w:val="00B87EA1"/>
    <w:rsid w:val="00B900FA"/>
    <w:rsid w:val="00B90130"/>
    <w:rsid w:val="00B90349"/>
    <w:rsid w:val="00B90471"/>
    <w:rsid w:val="00B90491"/>
    <w:rsid w:val="00B904C5"/>
    <w:rsid w:val="00B90644"/>
    <w:rsid w:val="00B90716"/>
    <w:rsid w:val="00B90792"/>
    <w:rsid w:val="00B908D8"/>
    <w:rsid w:val="00B90952"/>
    <w:rsid w:val="00B90970"/>
    <w:rsid w:val="00B90A8F"/>
    <w:rsid w:val="00B90B13"/>
    <w:rsid w:val="00B90B56"/>
    <w:rsid w:val="00B90BBE"/>
    <w:rsid w:val="00B90D1E"/>
    <w:rsid w:val="00B90D5B"/>
    <w:rsid w:val="00B90D8C"/>
    <w:rsid w:val="00B90EE6"/>
    <w:rsid w:val="00B90F39"/>
    <w:rsid w:val="00B90F6E"/>
    <w:rsid w:val="00B91067"/>
    <w:rsid w:val="00B9125E"/>
    <w:rsid w:val="00B912C2"/>
    <w:rsid w:val="00B914D6"/>
    <w:rsid w:val="00B914E3"/>
    <w:rsid w:val="00B91553"/>
    <w:rsid w:val="00B915B2"/>
    <w:rsid w:val="00B915E3"/>
    <w:rsid w:val="00B915EC"/>
    <w:rsid w:val="00B91644"/>
    <w:rsid w:val="00B916DC"/>
    <w:rsid w:val="00B9176E"/>
    <w:rsid w:val="00B917BC"/>
    <w:rsid w:val="00B9186A"/>
    <w:rsid w:val="00B918A8"/>
    <w:rsid w:val="00B9193D"/>
    <w:rsid w:val="00B91A77"/>
    <w:rsid w:val="00B91ABC"/>
    <w:rsid w:val="00B91BAA"/>
    <w:rsid w:val="00B91BC7"/>
    <w:rsid w:val="00B91BFE"/>
    <w:rsid w:val="00B91CB1"/>
    <w:rsid w:val="00B91D27"/>
    <w:rsid w:val="00B91D94"/>
    <w:rsid w:val="00B91DE3"/>
    <w:rsid w:val="00B91EB0"/>
    <w:rsid w:val="00B91F86"/>
    <w:rsid w:val="00B91FB9"/>
    <w:rsid w:val="00B920FE"/>
    <w:rsid w:val="00B92284"/>
    <w:rsid w:val="00B92290"/>
    <w:rsid w:val="00B92291"/>
    <w:rsid w:val="00B92860"/>
    <w:rsid w:val="00B928B6"/>
    <w:rsid w:val="00B928DF"/>
    <w:rsid w:val="00B92906"/>
    <w:rsid w:val="00B92B52"/>
    <w:rsid w:val="00B92C25"/>
    <w:rsid w:val="00B92C8F"/>
    <w:rsid w:val="00B92CBF"/>
    <w:rsid w:val="00B92CE1"/>
    <w:rsid w:val="00B92D3D"/>
    <w:rsid w:val="00B92D4B"/>
    <w:rsid w:val="00B92D5E"/>
    <w:rsid w:val="00B92F07"/>
    <w:rsid w:val="00B92F1C"/>
    <w:rsid w:val="00B92F46"/>
    <w:rsid w:val="00B92F60"/>
    <w:rsid w:val="00B92F8F"/>
    <w:rsid w:val="00B92FBD"/>
    <w:rsid w:val="00B93045"/>
    <w:rsid w:val="00B93153"/>
    <w:rsid w:val="00B931A1"/>
    <w:rsid w:val="00B932C4"/>
    <w:rsid w:val="00B9345B"/>
    <w:rsid w:val="00B934A6"/>
    <w:rsid w:val="00B93501"/>
    <w:rsid w:val="00B93542"/>
    <w:rsid w:val="00B935CA"/>
    <w:rsid w:val="00B93841"/>
    <w:rsid w:val="00B938B2"/>
    <w:rsid w:val="00B939E4"/>
    <w:rsid w:val="00B939FC"/>
    <w:rsid w:val="00B93A4C"/>
    <w:rsid w:val="00B93BA8"/>
    <w:rsid w:val="00B93C21"/>
    <w:rsid w:val="00B93CFA"/>
    <w:rsid w:val="00B93D4F"/>
    <w:rsid w:val="00B93FA8"/>
    <w:rsid w:val="00B93FCF"/>
    <w:rsid w:val="00B9412F"/>
    <w:rsid w:val="00B941B6"/>
    <w:rsid w:val="00B941F9"/>
    <w:rsid w:val="00B9422B"/>
    <w:rsid w:val="00B942B7"/>
    <w:rsid w:val="00B942C1"/>
    <w:rsid w:val="00B94347"/>
    <w:rsid w:val="00B94440"/>
    <w:rsid w:val="00B94445"/>
    <w:rsid w:val="00B944EC"/>
    <w:rsid w:val="00B94560"/>
    <w:rsid w:val="00B94657"/>
    <w:rsid w:val="00B946DE"/>
    <w:rsid w:val="00B9478D"/>
    <w:rsid w:val="00B949B0"/>
    <w:rsid w:val="00B94AB8"/>
    <w:rsid w:val="00B94C8C"/>
    <w:rsid w:val="00B94DA9"/>
    <w:rsid w:val="00B94DB3"/>
    <w:rsid w:val="00B94EA6"/>
    <w:rsid w:val="00B94EB2"/>
    <w:rsid w:val="00B94FD3"/>
    <w:rsid w:val="00B95025"/>
    <w:rsid w:val="00B950AE"/>
    <w:rsid w:val="00B951AE"/>
    <w:rsid w:val="00B95394"/>
    <w:rsid w:val="00B9549E"/>
    <w:rsid w:val="00B954CB"/>
    <w:rsid w:val="00B954D0"/>
    <w:rsid w:val="00B9554D"/>
    <w:rsid w:val="00B9558B"/>
    <w:rsid w:val="00B955F9"/>
    <w:rsid w:val="00B95689"/>
    <w:rsid w:val="00B956DB"/>
    <w:rsid w:val="00B9576A"/>
    <w:rsid w:val="00B957F6"/>
    <w:rsid w:val="00B95812"/>
    <w:rsid w:val="00B95825"/>
    <w:rsid w:val="00B95839"/>
    <w:rsid w:val="00B95855"/>
    <w:rsid w:val="00B9592F"/>
    <w:rsid w:val="00B95A14"/>
    <w:rsid w:val="00B95B91"/>
    <w:rsid w:val="00B95B95"/>
    <w:rsid w:val="00B95BD6"/>
    <w:rsid w:val="00B95C9C"/>
    <w:rsid w:val="00B95CB2"/>
    <w:rsid w:val="00B95D9F"/>
    <w:rsid w:val="00B95F05"/>
    <w:rsid w:val="00B95FDD"/>
    <w:rsid w:val="00B96091"/>
    <w:rsid w:val="00B96144"/>
    <w:rsid w:val="00B961BA"/>
    <w:rsid w:val="00B961E8"/>
    <w:rsid w:val="00B96291"/>
    <w:rsid w:val="00B962E7"/>
    <w:rsid w:val="00B9632F"/>
    <w:rsid w:val="00B96393"/>
    <w:rsid w:val="00B9640C"/>
    <w:rsid w:val="00B96569"/>
    <w:rsid w:val="00B967AD"/>
    <w:rsid w:val="00B967EB"/>
    <w:rsid w:val="00B9687E"/>
    <w:rsid w:val="00B9695D"/>
    <w:rsid w:val="00B96AF9"/>
    <w:rsid w:val="00B96BCE"/>
    <w:rsid w:val="00B96C92"/>
    <w:rsid w:val="00B96D0F"/>
    <w:rsid w:val="00B96E38"/>
    <w:rsid w:val="00B96E99"/>
    <w:rsid w:val="00B96F67"/>
    <w:rsid w:val="00B96FDA"/>
    <w:rsid w:val="00B97012"/>
    <w:rsid w:val="00B9707B"/>
    <w:rsid w:val="00B970B1"/>
    <w:rsid w:val="00B970C4"/>
    <w:rsid w:val="00B970D4"/>
    <w:rsid w:val="00B9716E"/>
    <w:rsid w:val="00B971D2"/>
    <w:rsid w:val="00B972E6"/>
    <w:rsid w:val="00B973A6"/>
    <w:rsid w:val="00B97556"/>
    <w:rsid w:val="00B97591"/>
    <w:rsid w:val="00B975FA"/>
    <w:rsid w:val="00B977A2"/>
    <w:rsid w:val="00B97837"/>
    <w:rsid w:val="00B978AD"/>
    <w:rsid w:val="00B97A82"/>
    <w:rsid w:val="00B97AC9"/>
    <w:rsid w:val="00B97BFD"/>
    <w:rsid w:val="00B97C88"/>
    <w:rsid w:val="00B97D00"/>
    <w:rsid w:val="00B97DD3"/>
    <w:rsid w:val="00B97DDC"/>
    <w:rsid w:val="00B97DFB"/>
    <w:rsid w:val="00B97E53"/>
    <w:rsid w:val="00B97E9A"/>
    <w:rsid w:val="00B97EF0"/>
    <w:rsid w:val="00B97F6B"/>
    <w:rsid w:val="00BA0012"/>
    <w:rsid w:val="00BA0054"/>
    <w:rsid w:val="00BA0075"/>
    <w:rsid w:val="00BA00F8"/>
    <w:rsid w:val="00BA0272"/>
    <w:rsid w:val="00BA0376"/>
    <w:rsid w:val="00BA042A"/>
    <w:rsid w:val="00BA0480"/>
    <w:rsid w:val="00BA0484"/>
    <w:rsid w:val="00BA04A2"/>
    <w:rsid w:val="00BA04AF"/>
    <w:rsid w:val="00BA062C"/>
    <w:rsid w:val="00BA0636"/>
    <w:rsid w:val="00BA06BC"/>
    <w:rsid w:val="00BA0720"/>
    <w:rsid w:val="00BA0724"/>
    <w:rsid w:val="00BA0728"/>
    <w:rsid w:val="00BA07CD"/>
    <w:rsid w:val="00BA07CF"/>
    <w:rsid w:val="00BA0849"/>
    <w:rsid w:val="00BA086B"/>
    <w:rsid w:val="00BA08F2"/>
    <w:rsid w:val="00BA0953"/>
    <w:rsid w:val="00BA0BDC"/>
    <w:rsid w:val="00BA0C2C"/>
    <w:rsid w:val="00BA0C3E"/>
    <w:rsid w:val="00BA0C41"/>
    <w:rsid w:val="00BA0D29"/>
    <w:rsid w:val="00BA0D95"/>
    <w:rsid w:val="00BA0DAD"/>
    <w:rsid w:val="00BA0DB1"/>
    <w:rsid w:val="00BA0F3A"/>
    <w:rsid w:val="00BA1000"/>
    <w:rsid w:val="00BA109C"/>
    <w:rsid w:val="00BA10E6"/>
    <w:rsid w:val="00BA10F7"/>
    <w:rsid w:val="00BA1213"/>
    <w:rsid w:val="00BA1459"/>
    <w:rsid w:val="00BA14B7"/>
    <w:rsid w:val="00BA14E5"/>
    <w:rsid w:val="00BA15B7"/>
    <w:rsid w:val="00BA15FA"/>
    <w:rsid w:val="00BA179A"/>
    <w:rsid w:val="00BA181E"/>
    <w:rsid w:val="00BA197E"/>
    <w:rsid w:val="00BA1B43"/>
    <w:rsid w:val="00BA1B51"/>
    <w:rsid w:val="00BA1B9B"/>
    <w:rsid w:val="00BA1CA3"/>
    <w:rsid w:val="00BA1CBD"/>
    <w:rsid w:val="00BA1D53"/>
    <w:rsid w:val="00BA1DA8"/>
    <w:rsid w:val="00BA1DC1"/>
    <w:rsid w:val="00BA1E27"/>
    <w:rsid w:val="00BA1F20"/>
    <w:rsid w:val="00BA2097"/>
    <w:rsid w:val="00BA2220"/>
    <w:rsid w:val="00BA227B"/>
    <w:rsid w:val="00BA22B8"/>
    <w:rsid w:val="00BA230D"/>
    <w:rsid w:val="00BA2311"/>
    <w:rsid w:val="00BA2356"/>
    <w:rsid w:val="00BA2395"/>
    <w:rsid w:val="00BA2519"/>
    <w:rsid w:val="00BA262B"/>
    <w:rsid w:val="00BA2696"/>
    <w:rsid w:val="00BA2860"/>
    <w:rsid w:val="00BA29A6"/>
    <w:rsid w:val="00BA29E5"/>
    <w:rsid w:val="00BA2B6E"/>
    <w:rsid w:val="00BA2BA5"/>
    <w:rsid w:val="00BA2C42"/>
    <w:rsid w:val="00BA2C65"/>
    <w:rsid w:val="00BA2CD4"/>
    <w:rsid w:val="00BA2CEC"/>
    <w:rsid w:val="00BA2E12"/>
    <w:rsid w:val="00BA2E30"/>
    <w:rsid w:val="00BA2E64"/>
    <w:rsid w:val="00BA2E8A"/>
    <w:rsid w:val="00BA30F4"/>
    <w:rsid w:val="00BA321A"/>
    <w:rsid w:val="00BA3261"/>
    <w:rsid w:val="00BA3503"/>
    <w:rsid w:val="00BA3604"/>
    <w:rsid w:val="00BA37BB"/>
    <w:rsid w:val="00BA381C"/>
    <w:rsid w:val="00BA38BE"/>
    <w:rsid w:val="00BA3A83"/>
    <w:rsid w:val="00BA3B60"/>
    <w:rsid w:val="00BA3C81"/>
    <w:rsid w:val="00BA3DB6"/>
    <w:rsid w:val="00BA3DC4"/>
    <w:rsid w:val="00BA3E28"/>
    <w:rsid w:val="00BA3E79"/>
    <w:rsid w:val="00BA4016"/>
    <w:rsid w:val="00BA410D"/>
    <w:rsid w:val="00BA4127"/>
    <w:rsid w:val="00BA41B9"/>
    <w:rsid w:val="00BA41FD"/>
    <w:rsid w:val="00BA421C"/>
    <w:rsid w:val="00BA4369"/>
    <w:rsid w:val="00BA4379"/>
    <w:rsid w:val="00BA443B"/>
    <w:rsid w:val="00BA4484"/>
    <w:rsid w:val="00BA4647"/>
    <w:rsid w:val="00BA46EA"/>
    <w:rsid w:val="00BA4758"/>
    <w:rsid w:val="00BA4769"/>
    <w:rsid w:val="00BA47B1"/>
    <w:rsid w:val="00BA4821"/>
    <w:rsid w:val="00BA4BCF"/>
    <w:rsid w:val="00BA4C5A"/>
    <w:rsid w:val="00BA4D78"/>
    <w:rsid w:val="00BA4DA3"/>
    <w:rsid w:val="00BA4DE0"/>
    <w:rsid w:val="00BA4E92"/>
    <w:rsid w:val="00BA519B"/>
    <w:rsid w:val="00BA53CE"/>
    <w:rsid w:val="00BA551E"/>
    <w:rsid w:val="00BA55C2"/>
    <w:rsid w:val="00BA56BC"/>
    <w:rsid w:val="00BA579B"/>
    <w:rsid w:val="00BA5865"/>
    <w:rsid w:val="00BA58E2"/>
    <w:rsid w:val="00BA59A4"/>
    <w:rsid w:val="00BA59BF"/>
    <w:rsid w:val="00BA5AA5"/>
    <w:rsid w:val="00BA5B1C"/>
    <w:rsid w:val="00BA5C28"/>
    <w:rsid w:val="00BA5C32"/>
    <w:rsid w:val="00BA5CA1"/>
    <w:rsid w:val="00BA5CD9"/>
    <w:rsid w:val="00BA5D6C"/>
    <w:rsid w:val="00BA5D9D"/>
    <w:rsid w:val="00BA5E33"/>
    <w:rsid w:val="00BA5EFE"/>
    <w:rsid w:val="00BA5F21"/>
    <w:rsid w:val="00BA5F39"/>
    <w:rsid w:val="00BA5F66"/>
    <w:rsid w:val="00BA5FCC"/>
    <w:rsid w:val="00BA5FE7"/>
    <w:rsid w:val="00BA600C"/>
    <w:rsid w:val="00BA6038"/>
    <w:rsid w:val="00BA60BA"/>
    <w:rsid w:val="00BA61FC"/>
    <w:rsid w:val="00BA625E"/>
    <w:rsid w:val="00BA6267"/>
    <w:rsid w:val="00BA62D6"/>
    <w:rsid w:val="00BA6307"/>
    <w:rsid w:val="00BA634B"/>
    <w:rsid w:val="00BA6352"/>
    <w:rsid w:val="00BA65B4"/>
    <w:rsid w:val="00BA673E"/>
    <w:rsid w:val="00BA6804"/>
    <w:rsid w:val="00BA68E8"/>
    <w:rsid w:val="00BA6A2D"/>
    <w:rsid w:val="00BA6A93"/>
    <w:rsid w:val="00BA6AB6"/>
    <w:rsid w:val="00BA6B77"/>
    <w:rsid w:val="00BA6BB3"/>
    <w:rsid w:val="00BA6E26"/>
    <w:rsid w:val="00BA6F27"/>
    <w:rsid w:val="00BA6F34"/>
    <w:rsid w:val="00BA7004"/>
    <w:rsid w:val="00BA7072"/>
    <w:rsid w:val="00BA707F"/>
    <w:rsid w:val="00BA70FC"/>
    <w:rsid w:val="00BA71D1"/>
    <w:rsid w:val="00BA7243"/>
    <w:rsid w:val="00BA7271"/>
    <w:rsid w:val="00BA740C"/>
    <w:rsid w:val="00BA74B5"/>
    <w:rsid w:val="00BA74CA"/>
    <w:rsid w:val="00BA7553"/>
    <w:rsid w:val="00BA75A7"/>
    <w:rsid w:val="00BA75CA"/>
    <w:rsid w:val="00BA76BA"/>
    <w:rsid w:val="00BA76F6"/>
    <w:rsid w:val="00BA7986"/>
    <w:rsid w:val="00BA7A32"/>
    <w:rsid w:val="00BA7AC7"/>
    <w:rsid w:val="00BA7AD9"/>
    <w:rsid w:val="00BA7B3C"/>
    <w:rsid w:val="00BA7B6E"/>
    <w:rsid w:val="00BA7BA3"/>
    <w:rsid w:val="00BA7C64"/>
    <w:rsid w:val="00BA7D9D"/>
    <w:rsid w:val="00BA7E9C"/>
    <w:rsid w:val="00BA7EB3"/>
    <w:rsid w:val="00BA7F35"/>
    <w:rsid w:val="00BA7F54"/>
    <w:rsid w:val="00BA7F8E"/>
    <w:rsid w:val="00BA7FC4"/>
    <w:rsid w:val="00BA7FD6"/>
    <w:rsid w:val="00BB016B"/>
    <w:rsid w:val="00BB01AD"/>
    <w:rsid w:val="00BB02D0"/>
    <w:rsid w:val="00BB02EB"/>
    <w:rsid w:val="00BB032E"/>
    <w:rsid w:val="00BB039D"/>
    <w:rsid w:val="00BB03E9"/>
    <w:rsid w:val="00BB040B"/>
    <w:rsid w:val="00BB0452"/>
    <w:rsid w:val="00BB045B"/>
    <w:rsid w:val="00BB04A2"/>
    <w:rsid w:val="00BB04E4"/>
    <w:rsid w:val="00BB0505"/>
    <w:rsid w:val="00BB0513"/>
    <w:rsid w:val="00BB05A6"/>
    <w:rsid w:val="00BB05A7"/>
    <w:rsid w:val="00BB0755"/>
    <w:rsid w:val="00BB07C3"/>
    <w:rsid w:val="00BB07C4"/>
    <w:rsid w:val="00BB0881"/>
    <w:rsid w:val="00BB08D0"/>
    <w:rsid w:val="00BB09EA"/>
    <w:rsid w:val="00BB0A00"/>
    <w:rsid w:val="00BB0AB6"/>
    <w:rsid w:val="00BB0B35"/>
    <w:rsid w:val="00BB0B6B"/>
    <w:rsid w:val="00BB0C52"/>
    <w:rsid w:val="00BB104B"/>
    <w:rsid w:val="00BB10C9"/>
    <w:rsid w:val="00BB10CC"/>
    <w:rsid w:val="00BB1153"/>
    <w:rsid w:val="00BB1170"/>
    <w:rsid w:val="00BB1226"/>
    <w:rsid w:val="00BB1232"/>
    <w:rsid w:val="00BB13C6"/>
    <w:rsid w:val="00BB143F"/>
    <w:rsid w:val="00BB1480"/>
    <w:rsid w:val="00BB1530"/>
    <w:rsid w:val="00BB1876"/>
    <w:rsid w:val="00BB18C3"/>
    <w:rsid w:val="00BB18EC"/>
    <w:rsid w:val="00BB1A31"/>
    <w:rsid w:val="00BB1AE2"/>
    <w:rsid w:val="00BB1B3A"/>
    <w:rsid w:val="00BB1BEE"/>
    <w:rsid w:val="00BB1C06"/>
    <w:rsid w:val="00BB1C30"/>
    <w:rsid w:val="00BB1CDF"/>
    <w:rsid w:val="00BB1CEC"/>
    <w:rsid w:val="00BB1D7B"/>
    <w:rsid w:val="00BB1DAF"/>
    <w:rsid w:val="00BB1EC4"/>
    <w:rsid w:val="00BB207C"/>
    <w:rsid w:val="00BB20FC"/>
    <w:rsid w:val="00BB21B5"/>
    <w:rsid w:val="00BB22BE"/>
    <w:rsid w:val="00BB22C5"/>
    <w:rsid w:val="00BB2304"/>
    <w:rsid w:val="00BB2308"/>
    <w:rsid w:val="00BB2372"/>
    <w:rsid w:val="00BB243B"/>
    <w:rsid w:val="00BB245E"/>
    <w:rsid w:val="00BB2466"/>
    <w:rsid w:val="00BB2525"/>
    <w:rsid w:val="00BB2550"/>
    <w:rsid w:val="00BB26DB"/>
    <w:rsid w:val="00BB2740"/>
    <w:rsid w:val="00BB2848"/>
    <w:rsid w:val="00BB2881"/>
    <w:rsid w:val="00BB28DA"/>
    <w:rsid w:val="00BB2913"/>
    <w:rsid w:val="00BB293D"/>
    <w:rsid w:val="00BB29F2"/>
    <w:rsid w:val="00BB2A99"/>
    <w:rsid w:val="00BB2AA9"/>
    <w:rsid w:val="00BB2BA2"/>
    <w:rsid w:val="00BB2C20"/>
    <w:rsid w:val="00BB2CD2"/>
    <w:rsid w:val="00BB2CFC"/>
    <w:rsid w:val="00BB2D26"/>
    <w:rsid w:val="00BB2E04"/>
    <w:rsid w:val="00BB2F4E"/>
    <w:rsid w:val="00BB2F80"/>
    <w:rsid w:val="00BB2FCE"/>
    <w:rsid w:val="00BB304E"/>
    <w:rsid w:val="00BB307B"/>
    <w:rsid w:val="00BB308A"/>
    <w:rsid w:val="00BB30AA"/>
    <w:rsid w:val="00BB313D"/>
    <w:rsid w:val="00BB31AA"/>
    <w:rsid w:val="00BB3259"/>
    <w:rsid w:val="00BB329A"/>
    <w:rsid w:val="00BB32D0"/>
    <w:rsid w:val="00BB3307"/>
    <w:rsid w:val="00BB3394"/>
    <w:rsid w:val="00BB33D4"/>
    <w:rsid w:val="00BB35B3"/>
    <w:rsid w:val="00BB35FF"/>
    <w:rsid w:val="00BB3622"/>
    <w:rsid w:val="00BB3663"/>
    <w:rsid w:val="00BB36A6"/>
    <w:rsid w:val="00BB36E2"/>
    <w:rsid w:val="00BB3800"/>
    <w:rsid w:val="00BB385A"/>
    <w:rsid w:val="00BB394D"/>
    <w:rsid w:val="00BB39CB"/>
    <w:rsid w:val="00BB3A7D"/>
    <w:rsid w:val="00BB3A95"/>
    <w:rsid w:val="00BB3AC6"/>
    <w:rsid w:val="00BB3B6E"/>
    <w:rsid w:val="00BB3BAD"/>
    <w:rsid w:val="00BB3C92"/>
    <w:rsid w:val="00BB3C93"/>
    <w:rsid w:val="00BB3ED8"/>
    <w:rsid w:val="00BB3FCB"/>
    <w:rsid w:val="00BB4056"/>
    <w:rsid w:val="00BB4337"/>
    <w:rsid w:val="00BB443E"/>
    <w:rsid w:val="00BB4598"/>
    <w:rsid w:val="00BB47C5"/>
    <w:rsid w:val="00BB47E1"/>
    <w:rsid w:val="00BB4997"/>
    <w:rsid w:val="00BB4A24"/>
    <w:rsid w:val="00BB4C19"/>
    <w:rsid w:val="00BB4C84"/>
    <w:rsid w:val="00BB4DA3"/>
    <w:rsid w:val="00BB4E79"/>
    <w:rsid w:val="00BB4EDE"/>
    <w:rsid w:val="00BB4FD6"/>
    <w:rsid w:val="00BB5075"/>
    <w:rsid w:val="00BB50BD"/>
    <w:rsid w:val="00BB50EA"/>
    <w:rsid w:val="00BB50EF"/>
    <w:rsid w:val="00BB51E3"/>
    <w:rsid w:val="00BB526F"/>
    <w:rsid w:val="00BB52E8"/>
    <w:rsid w:val="00BB5332"/>
    <w:rsid w:val="00BB53B7"/>
    <w:rsid w:val="00BB5591"/>
    <w:rsid w:val="00BB55C7"/>
    <w:rsid w:val="00BB568F"/>
    <w:rsid w:val="00BB5699"/>
    <w:rsid w:val="00BB5733"/>
    <w:rsid w:val="00BB5777"/>
    <w:rsid w:val="00BB5893"/>
    <w:rsid w:val="00BB597F"/>
    <w:rsid w:val="00BB5B76"/>
    <w:rsid w:val="00BB5C58"/>
    <w:rsid w:val="00BB5C8C"/>
    <w:rsid w:val="00BB5DFF"/>
    <w:rsid w:val="00BB5ED2"/>
    <w:rsid w:val="00BB5FA1"/>
    <w:rsid w:val="00BB60D3"/>
    <w:rsid w:val="00BB612F"/>
    <w:rsid w:val="00BB6148"/>
    <w:rsid w:val="00BB614A"/>
    <w:rsid w:val="00BB6175"/>
    <w:rsid w:val="00BB62C8"/>
    <w:rsid w:val="00BB6397"/>
    <w:rsid w:val="00BB639E"/>
    <w:rsid w:val="00BB63EA"/>
    <w:rsid w:val="00BB64C7"/>
    <w:rsid w:val="00BB65A8"/>
    <w:rsid w:val="00BB65E6"/>
    <w:rsid w:val="00BB6695"/>
    <w:rsid w:val="00BB66BE"/>
    <w:rsid w:val="00BB6A31"/>
    <w:rsid w:val="00BB6BD8"/>
    <w:rsid w:val="00BB6D06"/>
    <w:rsid w:val="00BB6D18"/>
    <w:rsid w:val="00BB6D1E"/>
    <w:rsid w:val="00BB6DB7"/>
    <w:rsid w:val="00BB6DE0"/>
    <w:rsid w:val="00BB6E8A"/>
    <w:rsid w:val="00BB6F33"/>
    <w:rsid w:val="00BB6F56"/>
    <w:rsid w:val="00BB6F9B"/>
    <w:rsid w:val="00BB6FCB"/>
    <w:rsid w:val="00BB700E"/>
    <w:rsid w:val="00BB7223"/>
    <w:rsid w:val="00BB72D5"/>
    <w:rsid w:val="00BB7397"/>
    <w:rsid w:val="00BB739E"/>
    <w:rsid w:val="00BB73CF"/>
    <w:rsid w:val="00BB74E8"/>
    <w:rsid w:val="00BB7538"/>
    <w:rsid w:val="00BB756D"/>
    <w:rsid w:val="00BB75DF"/>
    <w:rsid w:val="00BB75EE"/>
    <w:rsid w:val="00BB763F"/>
    <w:rsid w:val="00BB7672"/>
    <w:rsid w:val="00BB7696"/>
    <w:rsid w:val="00BB7706"/>
    <w:rsid w:val="00BB776E"/>
    <w:rsid w:val="00BB77DF"/>
    <w:rsid w:val="00BB798D"/>
    <w:rsid w:val="00BB79E9"/>
    <w:rsid w:val="00BB7A24"/>
    <w:rsid w:val="00BB7C2A"/>
    <w:rsid w:val="00BB7C84"/>
    <w:rsid w:val="00BB7D05"/>
    <w:rsid w:val="00BB7D2C"/>
    <w:rsid w:val="00BB7E25"/>
    <w:rsid w:val="00BC0024"/>
    <w:rsid w:val="00BC0227"/>
    <w:rsid w:val="00BC0234"/>
    <w:rsid w:val="00BC0274"/>
    <w:rsid w:val="00BC03AD"/>
    <w:rsid w:val="00BC047E"/>
    <w:rsid w:val="00BC050C"/>
    <w:rsid w:val="00BC0736"/>
    <w:rsid w:val="00BC07AD"/>
    <w:rsid w:val="00BC07D1"/>
    <w:rsid w:val="00BC0802"/>
    <w:rsid w:val="00BC08EA"/>
    <w:rsid w:val="00BC0940"/>
    <w:rsid w:val="00BC09CA"/>
    <w:rsid w:val="00BC09EC"/>
    <w:rsid w:val="00BC0A3C"/>
    <w:rsid w:val="00BC0AD0"/>
    <w:rsid w:val="00BC0AEA"/>
    <w:rsid w:val="00BC0CDD"/>
    <w:rsid w:val="00BC0D8A"/>
    <w:rsid w:val="00BC0E43"/>
    <w:rsid w:val="00BC0E5E"/>
    <w:rsid w:val="00BC0F6A"/>
    <w:rsid w:val="00BC0FFA"/>
    <w:rsid w:val="00BC1123"/>
    <w:rsid w:val="00BC113C"/>
    <w:rsid w:val="00BC11D7"/>
    <w:rsid w:val="00BC120F"/>
    <w:rsid w:val="00BC1217"/>
    <w:rsid w:val="00BC123A"/>
    <w:rsid w:val="00BC1283"/>
    <w:rsid w:val="00BC130A"/>
    <w:rsid w:val="00BC14B9"/>
    <w:rsid w:val="00BC14DD"/>
    <w:rsid w:val="00BC1552"/>
    <w:rsid w:val="00BC1583"/>
    <w:rsid w:val="00BC16FD"/>
    <w:rsid w:val="00BC175D"/>
    <w:rsid w:val="00BC1822"/>
    <w:rsid w:val="00BC184F"/>
    <w:rsid w:val="00BC1879"/>
    <w:rsid w:val="00BC189D"/>
    <w:rsid w:val="00BC18DB"/>
    <w:rsid w:val="00BC18EF"/>
    <w:rsid w:val="00BC1905"/>
    <w:rsid w:val="00BC19D0"/>
    <w:rsid w:val="00BC1AF3"/>
    <w:rsid w:val="00BC1BE2"/>
    <w:rsid w:val="00BC1C45"/>
    <w:rsid w:val="00BC1C67"/>
    <w:rsid w:val="00BC1C98"/>
    <w:rsid w:val="00BC1CFB"/>
    <w:rsid w:val="00BC1DAD"/>
    <w:rsid w:val="00BC1DAF"/>
    <w:rsid w:val="00BC1F01"/>
    <w:rsid w:val="00BC1F03"/>
    <w:rsid w:val="00BC1F84"/>
    <w:rsid w:val="00BC2140"/>
    <w:rsid w:val="00BC217A"/>
    <w:rsid w:val="00BC21A5"/>
    <w:rsid w:val="00BC21C6"/>
    <w:rsid w:val="00BC22C8"/>
    <w:rsid w:val="00BC2302"/>
    <w:rsid w:val="00BC24A0"/>
    <w:rsid w:val="00BC24B0"/>
    <w:rsid w:val="00BC25CA"/>
    <w:rsid w:val="00BC25EA"/>
    <w:rsid w:val="00BC2611"/>
    <w:rsid w:val="00BC26E2"/>
    <w:rsid w:val="00BC27A8"/>
    <w:rsid w:val="00BC2958"/>
    <w:rsid w:val="00BC2A0F"/>
    <w:rsid w:val="00BC2A1C"/>
    <w:rsid w:val="00BC2B0D"/>
    <w:rsid w:val="00BC2BA4"/>
    <w:rsid w:val="00BC2D0D"/>
    <w:rsid w:val="00BC2D8E"/>
    <w:rsid w:val="00BC2E6A"/>
    <w:rsid w:val="00BC2F06"/>
    <w:rsid w:val="00BC2F3F"/>
    <w:rsid w:val="00BC2F9F"/>
    <w:rsid w:val="00BC30F7"/>
    <w:rsid w:val="00BC3114"/>
    <w:rsid w:val="00BC31DF"/>
    <w:rsid w:val="00BC31FB"/>
    <w:rsid w:val="00BC3237"/>
    <w:rsid w:val="00BC32B8"/>
    <w:rsid w:val="00BC3499"/>
    <w:rsid w:val="00BC35AF"/>
    <w:rsid w:val="00BC35B0"/>
    <w:rsid w:val="00BC35D0"/>
    <w:rsid w:val="00BC36FB"/>
    <w:rsid w:val="00BC370A"/>
    <w:rsid w:val="00BC37A7"/>
    <w:rsid w:val="00BC3809"/>
    <w:rsid w:val="00BC3860"/>
    <w:rsid w:val="00BC38A6"/>
    <w:rsid w:val="00BC38BA"/>
    <w:rsid w:val="00BC396F"/>
    <w:rsid w:val="00BC3978"/>
    <w:rsid w:val="00BC39AC"/>
    <w:rsid w:val="00BC3A26"/>
    <w:rsid w:val="00BC3A4B"/>
    <w:rsid w:val="00BC3B39"/>
    <w:rsid w:val="00BC3CBC"/>
    <w:rsid w:val="00BC3D14"/>
    <w:rsid w:val="00BC3D3F"/>
    <w:rsid w:val="00BC3DBE"/>
    <w:rsid w:val="00BC3F2E"/>
    <w:rsid w:val="00BC3F37"/>
    <w:rsid w:val="00BC410A"/>
    <w:rsid w:val="00BC4197"/>
    <w:rsid w:val="00BC41D7"/>
    <w:rsid w:val="00BC42AB"/>
    <w:rsid w:val="00BC431A"/>
    <w:rsid w:val="00BC4478"/>
    <w:rsid w:val="00BC44CD"/>
    <w:rsid w:val="00BC44D3"/>
    <w:rsid w:val="00BC457F"/>
    <w:rsid w:val="00BC46B4"/>
    <w:rsid w:val="00BC4792"/>
    <w:rsid w:val="00BC4887"/>
    <w:rsid w:val="00BC4985"/>
    <w:rsid w:val="00BC4A78"/>
    <w:rsid w:val="00BC4AF9"/>
    <w:rsid w:val="00BC4B0F"/>
    <w:rsid w:val="00BC4B74"/>
    <w:rsid w:val="00BC4BB6"/>
    <w:rsid w:val="00BC4C24"/>
    <w:rsid w:val="00BC4C41"/>
    <w:rsid w:val="00BC4C74"/>
    <w:rsid w:val="00BC4C88"/>
    <w:rsid w:val="00BC4D6C"/>
    <w:rsid w:val="00BC4D92"/>
    <w:rsid w:val="00BC4E01"/>
    <w:rsid w:val="00BC4E6D"/>
    <w:rsid w:val="00BC4F1B"/>
    <w:rsid w:val="00BC4F61"/>
    <w:rsid w:val="00BC4F6D"/>
    <w:rsid w:val="00BC4F7E"/>
    <w:rsid w:val="00BC5050"/>
    <w:rsid w:val="00BC5176"/>
    <w:rsid w:val="00BC520D"/>
    <w:rsid w:val="00BC52B8"/>
    <w:rsid w:val="00BC52DD"/>
    <w:rsid w:val="00BC53A1"/>
    <w:rsid w:val="00BC545A"/>
    <w:rsid w:val="00BC5514"/>
    <w:rsid w:val="00BC553D"/>
    <w:rsid w:val="00BC555E"/>
    <w:rsid w:val="00BC560F"/>
    <w:rsid w:val="00BC562B"/>
    <w:rsid w:val="00BC563E"/>
    <w:rsid w:val="00BC57CB"/>
    <w:rsid w:val="00BC59C9"/>
    <w:rsid w:val="00BC5A90"/>
    <w:rsid w:val="00BC5B30"/>
    <w:rsid w:val="00BC5B54"/>
    <w:rsid w:val="00BC5B6D"/>
    <w:rsid w:val="00BC5BD0"/>
    <w:rsid w:val="00BC5C4C"/>
    <w:rsid w:val="00BC5CC3"/>
    <w:rsid w:val="00BC5CFC"/>
    <w:rsid w:val="00BC5D78"/>
    <w:rsid w:val="00BC5D85"/>
    <w:rsid w:val="00BC5E12"/>
    <w:rsid w:val="00BC5E83"/>
    <w:rsid w:val="00BC5F24"/>
    <w:rsid w:val="00BC6151"/>
    <w:rsid w:val="00BC615A"/>
    <w:rsid w:val="00BC627E"/>
    <w:rsid w:val="00BC62E9"/>
    <w:rsid w:val="00BC63A2"/>
    <w:rsid w:val="00BC641E"/>
    <w:rsid w:val="00BC667D"/>
    <w:rsid w:val="00BC66B1"/>
    <w:rsid w:val="00BC685E"/>
    <w:rsid w:val="00BC6897"/>
    <w:rsid w:val="00BC69AD"/>
    <w:rsid w:val="00BC6ABB"/>
    <w:rsid w:val="00BC6C02"/>
    <w:rsid w:val="00BC6C21"/>
    <w:rsid w:val="00BC6C36"/>
    <w:rsid w:val="00BC6CAD"/>
    <w:rsid w:val="00BC6D21"/>
    <w:rsid w:val="00BC6E52"/>
    <w:rsid w:val="00BC6E6A"/>
    <w:rsid w:val="00BC6E8F"/>
    <w:rsid w:val="00BC6F18"/>
    <w:rsid w:val="00BC6F39"/>
    <w:rsid w:val="00BC70D6"/>
    <w:rsid w:val="00BC7296"/>
    <w:rsid w:val="00BC731B"/>
    <w:rsid w:val="00BC7392"/>
    <w:rsid w:val="00BC744B"/>
    <w:rsid w:val="00BC7693"/>
    <w:rsid w:val="00BC76E0"/>
    <w:rsid w:val="00BC76E8"/>
    <w:rsid w:val="00BC773E"/>
    <w:rsid w:val="00BC773F"/>
    <w:rsid w:val="00BC7845"/>
    <w:rsid w:val="00BC791C"/>
    <w:rsid w:val="00BC7943"/>
    <w:rsid w:val="00BC7948"/>
    <w:rsid w:val="00BC7961"/>
    <w:rsid w:val="00BC79B2"/>
    <w:rsid w:val="00BC79CE"/>
    <w:rsid w:val="00BC7A05"/>
    <w:rsid w:val="00BC7B5C"/>
    <w:rsid w:val="00BC7B60"/>
    <w:rsid w:val="00BC7D3F"/>
    <w:rsid w:val="00BC7D85"/>
    <w:rsid w:val="00BC7EE1"/>
    <w:rsid w:val="00BC7EFB"/>
    <w:rsid w:val="00BC7F6A"/>
    <w:rsid w:val="00BD0049"/>
    <w:rsid w:val="00BD00FB"/>
    <w:rsid w:val="00BD0137"/>
    <w:rsid w:val="00BD019A"/>
    <w:rsid w:val="00BD02D8"/>
    <w:rsid w:val="00BD03B4"/>
    <w:rsid w:val="00BD04DB"/>
    <w:rsid w:val="00BD04FC"/>
    <w:rsid w:val="00BD0585"/>
    <w:rsid w:val="00BD0636"/>
    <w:rsid w:val="00BD0760"/>
    <w:rsid w:val="00BD0841"/>
    <w:rsid w:val="00BD08FE"/>
    <w:rsid w:val="00BD095E"/>
    <w:rsid w:val="00BD0993"/>
    <w:rsid w:val="00BD0A4B"/>
    <w:rsid w:val="00BD0C97"/>
    <w:rsid w:val="00BD0CED"/>
    <w:rsid w:val="00BD0DED"/>
    <w:rsid w:val="00BD0F2D"/>
    <w:rsid w:val="00BD0F43"/>
    <w:rsid w:val="00BD0F6F"/>
    <w:rsid w:val="00BD0F83"/>
    <w:rsid w:val="00BD0F8F"/>
    <w:rsid w:val="00BD1141"/>
    <w:rsid w:val="00BD11CC"/>
    <w:rsid w:val="00BD11E1"/>
    <w:rsid w:val="00BD11E8"/>
    <w:rsid w:val="00BD11EC"/>
    <w:rsid w:val="00BD1284"/>
    <w:rsid w:val="00BD1316"/>
    <w:rsid w:val="00BD140D"/>
    <w:rsid w:val="00BD154D"/>
    <w:rsid w:val="00BD155A"/>
    <w:rsid w:val="00BD1584"/>
    <w:rsid w:val="00BD15C7"/>
    <w:rsid w:val="00BD15F9"/>
    <w:rsid w:val="00BD1613"/>
    <w:rsid w:val="00BD1636"/>
    <w:rsid w:val="00BD1654"/>
    <w:rsid w:val="00BD1680"/>
    <w:rsid w:val="00BD16FA"/>
    <w:rsid w:val="00BD1739"/>
    <w:rsid w:val="00BD173D"/>
    <w:rsid w:val="00BD185E"/>
    <w:rsid w:val="00BD18BE"/>
    <w:rsid w:val="00BD1ACE"/>
    <w:rsid w:val="00BD1AF6"/>
    <w:rsid w:val="00BD1BC9"/>
    <w:rsid w:val="00BD1C4C"/>
    <w:rsid w:val="00BD1C77"/>
    <w:rsid w:val="00BD1CC0"/>
    <w:rsid w:val="00BD1D73"/>
    <w:rsid w:val="00BD1D9B"/>
    <w:rsid w:val="00BD1DD3"/>
    <w:rsid w:val="00BD1E3D"/>
    <w:rsid w:val="00BD1F0F"/>
    <w:rsid w:val="00BD1FE4"/>
    <w:rsid w:val="00BD202B"/>
    <w:rsid w:val="00BD20EE"/>
    <w:rsid w:val="00BD214A"/>
    <w:rsid w:val="00BD222F"/>
    <w:rsid w:val="00BD22D9"/>
    <w:rsid w:val="00BD2352"/>
    <w:rsid w:val="00BD2373"/>
    <w:rsid w:val="00BD239F"/>
    <w:rsid w:val="00BD23BD"/>
    <w:rsid w:val="00BD23D5"/>
    <w:rsid w:val="00BD24D3"/>
    <w:rsid w:val="00BD24F8"/>
    <w:rsid w:val="00BD25AC"/>
    <w:rsid w:val="00BD25E2"/>
    <w:rsid w:val="00BD2791"/>
    <w:rsid w:val="00BD27A6"/>
    <w:rsid w:val="00BD27E2"/>
    <w:rsid w:val="00BD2814"/>
    <w:rsid w:val="00BD28EA"/>
    <w:rsid w:val="00BD2942"/>
    <w:rsid w:val="00BD2943"/>
    <w:rsid w:val="00BD2986"/>
    <w:rsid w:val="00BD2A70"/>
    <w:rsid w:val="00BD2B5C"/>
    <w:rsid w:val="00BD2B61"/>
    <w:rsid w:val="00BD2B89"/>
    <w:rsid w:val="00BD2BEB"/>
    <w:rsid w:val="00BD2C72"/>
    <w:rsid w:val="00BD2C88"/>
    <w:rsid w:val="00BD2CDF"/>
    <w:rsid w:val="00BD2CF8"/>
    <w:rsid w:val="00BD2D4F"/>
    <w:rsid w:val="00BD2DCE"/>
    <w:rsid w:val="00BD2DFF"/>
    <w:rsid w:val="00BD2E58"/>
    <w:rsid w:val="00BD2E6D"/>
    <w:rsid w:val="00BD2E9A"/>
    <w:rsid w:val="00BD2F26"/>
    <w:rsid w:val="00BD2F85"/>
    <w:rsid w:val="00BD2FB1"/>
    <w:rsid w:val="00BD2FEB"/>
    <w:rsid w:val="00BD3123"/>
    <w:rsid w:val="00BD3137"/>
    <w:rsid w:val="00BD3245"/>
    <w:rsid w:val="00BD32BF"/>
    <w:rsid w:val="00BD33DE"/>
    <w:rsid w:val="00BD3496"/>
    <w:rsid w:val="00BD35BA"/>
    <w:rsid w:val="00BD35FA"/>
    <w:rsid w:val="00BD37CE"/>
    <w:rsid w:val="00BD39AF"/>
    <w:rsid w:val="00BD3ACA"/>
    <w:rsid w:val="00BD3AFF"/>
    <w:rsid w:val="00BD3BEF"/>
    <w:rsid w:val="00BD3C9F"/>
    <w:rsid w:val="00BD3CE8"/>
    <w:rsid w:val="00BD3CED"/>
    <w:rsid w:val="00BD3D8B"/>
    <w:rsid w:val="00BD3DAB"/>
    <w:rsid w:val="00BD3E69"/>
    <w:rsid w:val="00BD3F88"/>
    <w:rsid w:val="00BD3FC7"/>
    <w:rsid w:val="00BD3FEA"/>
    <w:rsid w:val="00BD3FF0"/>
    <w:rsid w:val="00BD41B5"/>
    <w:rsid w:val="00BD41F9"/>
    <w:rsid w:val="00BD4292"/>
    <w:rsid w:val="00BD4313"/>
    <w:rsid w:val="00BD4315"/>
    <w:rsid w:val="00BD4319"/>
    <w:rsid w:val="00BD4334"/>
    <w:rsid w:val="00BD434E"/>
    <w:rsid w:val="00BD4352"/>
    <w:rsid w:val="00BD437F"/>
    <w:rsid w:val="00BD44AD"/>
    <w:rsid w:val="00BD44F4"/>
    <w:rsid w:val="00BD452A"/>
    <w:rsid w:val="00BD452E"/>
    <w:rsid w:val="00BD4530"/>
    <w:rsid w:val="00BD470C"/>
    <w:rsid w:val="00BD48E4"/>
    <w:rsid w:val="00BD49E6"/>
    <w:rsid w:val="00BD4B2C"/>
    <w:rsid w:val="00BD4B41"/>
    <w:rsid w:val="00BD4CCE"/>
    <w:rsid w:val="00BD4D48"/>
    <w:rsid w:val="00BD4D9A"/>
    <w:rsid w:val="00BD4E2A"/>
    <w:rsid w:val="00BD4E4A"/>
    <w:rsid w:val="00BD4ED1"/>
    <w:rsid w:val="00BD4EFE"/>
    <w:rsid w:val="00BD4FC7"/>
    <w:rsid w:val="00BD4FD3"/>
    <w:rsid w:val="00BD5096"/>
    <w:rsid w:val="00BD50EB"/>
    <w:rsid w:val="00BD5123"/>
    <w:rsid w:val="00BD5160"/>
    <w:rsid w:val="00BD51AB"/>
    <w:rsid w:val="00BD521F"/>
    <w:rsid w:val="00BD523D"/>
    <w:rsid w:val="00BD529B"/>
    <w:rsid w:val="00BD52AD"/>
    <w:rsid w:val="00BD53FB"/>
    <w:rsid w:val="00BD560A"/>
    <w:rsid w:val="00BD57EB"/>
    <w:rsid w:val="00BD5900"/>
    <w:rsid w:val="00BD590B"/>
    <w:rsid w:val="00BD598F"/>
    <w:rsid w:val="00BD59E6"/>
    <w:rsid w:val="00BD5B53"/>
    <w:rsid w:val="00BD5B6B"/>
    <w:rsid w:val="00BD5BDE"/>
    <w:rsid w:val="00BD5C0C"/>
    <w:rsid w:val="00BD5C97"/>
    <w:rsid w:val="00BD5DF4"/>
    <w:rsid w:val="00BD5E5A"/>
    <w:rsid w:val="00BD5EE3"/>
    <w:rsid w:val="00BD5F9F"/>
    <w:rsid w:val="00BD5FBD"/>
    <w:rsid w:val="00BD604F"/>
    <w:rsid w:val="00BD61B2"/>
    <w:rsid w:val="00BD6225"/>
    <w:rsid w:val="00BD62CC"/>
    <w:rsid w:val="00BD6309"/>
    <w:rsid w:val="00BD637D"/>
    <w:rsid w:val="00BD63E6"/>
    <w:rsid w:val="00BD647C"/>
    <w:rsid w:val="00BD6586"/>
    <w:rsid w:val="00BD659C"/>
    <w:rsid w:val="00BD65BF"/>
    <w:rsid w:val="00BD66B2"/>
    <w:rsid w:val="00BD682C"/>
    <w:rsid w:val="00BD689B"/>
    <w:rsid w:val="00BD699F"/>
    <w:rsid w:val="00BD6A1F"/>
    <w:rsid w:val="00BD6A9E"/>
    <w:rsid w:val="00BD6AE8"/>
    <w:rsid w:val="00BD6BA9"/>
    <w:rsid w:val="00BD6BC5"/>
    <w:rsid w:val="00BD6BD4"/>
    <w:rsid w:val="00BD6D29"/>
    <w:rsid w:val="00BD6E5E"/>
    <w:rsid w:val="00BD6E6B"/>
    <w:rsid w:val="00BD6E8D"/>
    <w:rsid w:val="00BD6F3A"/>
    <w:rsid w:val="00BD6F3F"/>
    <w:rsid w:val="00BD6F92"/>
    <w:rsid w:val="00BD6FB9"/>
    <w:rsid w:val="00BD70C6"/>
    <w:rsid w:val="00BD711C"/>
    <w:rsid w:val="00BD7134"/>
    <w:rsid w:val="00BD7233"/>
    <w:rsid w:val="00BD726C"/>
    <w:rsid w:val="00BD7314"/>
    <w:rsid w:val="00BD7358"/>
    <w:rsid w:val="00BD736D"/>
    <w:rsid w:val="00BD7418"/>
    <w:rsid w:val="00BD74DF"/>
    <w:rsid w:val="00BD759D"/>
    <w:rsid w:val="00BD7710"/>
    <w:rsid w:val="00BD7727"/>
    <w:rsid w:val="00BD7764"/>
    <w:rsid w:val="00BD7886"/>
    <w:rsid w:val="00BD789F"/>
    <w:rsid w:val="00BD78C0"/>
    <w:rsid w:val="00BD78E3"/>
    <w:rsid w:val="00BD7985"/>
    <w:rsid w:val="00BD79E8"/>
    <w:rsid w:val="00BD7AB5"/>
    <w:rsid w:val="00BD7C74"/>
    <w:rsid w:val="00BD7D3C"/>
    <w:rsid w:val="00BD7D40"/>
    <w:rsid w:val="00BD7DBA"/>
    <w:rsid w:val="00BD7FA8"/>
    <w:rsid w:val="00BE009B"/>
    <w:rsid w:val="00BE014B"/>
    <w:rsid w:val="00BE0289"/>
    <w:rsid w:val="00BE039E"/>
    <w:rsid w:val="00BE0416"/>
    <w:rsid w:val="00BE0449"/>
    <w:rsid w:val="00BE0495"/>
    <w:rsid w:val="00BE05EA"/>
    <w:rsid w:val="00BE071D"/>
    <w:rsid w:val="00BE089C"/>
    <w:rsid w:val="00BE090C"/>
    <w:rsid w:val="00BE094F"/>
    <w:rsid w:val="00BE0A88"/>
    <w:rsid w:val="00BE0AA8"/>
    <w:rsid w:val="00BE0AD7"/>
    <w:rsid w:val="00BE0ADE"/>
    <w:rsid w:val="00BE0B9F"/>
    <w:rsid w:val="00BE0BBB"/>
    <w:rsid w:val="00BE0C7B"/>
    <w:rsid w:val="00BE0D3B"/>
    <w:rsid w:val="00BE0ECA"/>
    <w:rsid w:val="00BE0FBF"/>
    <w:rsid w:val="00BE1047"/>
    <w:rsid w:val="00BE1068"/>
    <w:rsid w:val="00BE10CF"/>
    <w:rsid w:val="00BE10D4"/>
    <w:rsid w:val="00BE1226"/>
    <w:rsid w:val="00BE1305"/>
    <w:rsid w:val="00BE136A"/>
    <w:rsid w:val="00BE1507"/>
    <w:rsid w:val="00BE1511"/>
    <w:rsid w:val="00BE15B2"/>
    <w:rsid w:val="00BE15C2"/>
    <w:rsid w:val="00BE16E0"/>
    <w:rsid w:val="00BE1718"/>
    <w:rsid w:val="00BE17D0"/>
    <w:rsid w:val="00BE17D3"/>
    <w:rsid w:val="00BE1847"/>
    <w:rsid w:val="00BE1862"/>
    <w:rsid w:val="00BE1888"/>
    <w:rsid w:val="00BE1910"/>
    <w:rsid w:val="00BE19AC"/>
    <w:rsid w:val="00BE19B8"/>
    <w:rsid w:val="00BE1A76"/>
    <w:rsid w:val="00BE1AEB"/>
    <w:rsid w:val="00BE1D54"/>
    <w:rsid w:val="00BE1EB6"/>
    <w:rsid w:val="00BE1EF3"/>
    <w:rsid w:val="00BE1FE9"/>
    <w:rsid w:val="00BE21A5"/>
    <w:rsid w:val="00BE21DD"/>
    <w:rsid w:val="00BE23C5"/>
    <w:rsid w:val="00BE23FD"/>
    <w:rsid w:val="00BE2510"/>
    <w:rsid w:val="00BE258C"/>
    <w:rsid w:val="00BE2594"/>
    <w:rsid w:val="00BE25B0"/>
    <w:rsid w:val="00BE25BE"/>
    <w:rsid w:val="00BE25D7"/>
    <w:rsid w:val="00BE2761"/>
    <w:rsid w:val="00BE27F9"/>
    <w:rsid w:val="00BE2864"/>
    <w:rsid w:val="00BE2887"/>
    <w:rsid w:val="00BE2934"/>
    <w:rsid w:val="00BE2A48"/>
    <w:rsid w:val="00BE2AE4"/>
    <w:rsid w:val="00BE2C15"/>
    <w:rsid w:val="00BE2C8F"/>
    <w:rsid w:val="00BE2CF5"/>
    <w:rsid w:val="00BE2D7D"/>
    <w:rsid w:val="00BE2DA6"/>
    <w:rsid w:val="00BE2DE8"/>
    <w:rsid w:val="00BE2E15"/>
    <w:rsid w:val="00BE2E32"/>
    <w:rsid w:val="00BE2E44"/>
    <w:rsid w:val="00BE2E84"/>
    <w:rsid w:val="00BE2ED7"/>
    <w:rsid w:val="00BE2FAA"/>
    <w:rsid w:val="00BE3005"/>
    <w:rsid w:val="00BE3226"/>
    <w:rsid w:val="00BE323C"/>
    <w:rsid w:val="00BE32F6"/>
    <w:rsid w:val="00BE3409"/>
    <w:rsid w:val="00BE3467"/>
    <w:rsid w:val="00BE348A"/>
    <w:rsid w:val="00BE34AC"/>
    <w:rsid w:val="00BE35B2"/>
    <w:rsid w:val="00BE36B6"/>
    <w:rsid w:val="00BE3767"/>
    <w:rsid w:val="00BE385F"/>
    <w:rsid w:val="00BE386A"/>
    <w:rsid w:val="00BE38A4"/>
    <w:rsid w:val="00BE38D6"/>
    <w:rsid w:val="00BE39FD"/>
    <w:rsid w:val="00BE3A28"/>
    <w:rsid w:val="00BE3A45"/>
    <w:rsid w:val="00BE3AC7"/>
    <w:rsid w:val="00BE3B62"/>
    <w:rsid w:val="00BE3B7C"/>
    <w:rsid w:val="00BE3B88"/>
    <w:rsid w:val="00BE3D3E"/>
    <w:rsid w:val="00BE3DD3"/>
    <w:rsid w:val="00BE3DDE"/>
    <w:rsid w:val="00BE3F14"/>
    <w:rsid w:val="00BE3FE8"/>
    <w:rsid w:val="00BE40E8"/>
    <w:rsid w:val="00BE4383"/>
    <w:rsid w:val="00BE439D"/>
    <w:rsid w:val="00BE44BB"/>
    <w:rsid w:val="00BE4507"/>
    <w:rsid w:val="00BE4858"/>
    <w:rsid w:val="00BE4870"/>
    <w:rsid w:val="00BE48DE"/>
    <w:rsid w:val="00BE4990"/>
    <w:rsid w:val="00BE49A2"/>
    <w:rsid w:val="00BE49E8"/>
    <w:rsid w:val="00BE4A48"/>
    <w:rsid w:val="00BE4ABF"/>
    <w:rsid w:val="00BE4BB7"/>
    <w:rsid w:val="00BE4BDF"/>
    <w:rsid w:val="00BE4C03"/>
    <w:rsid w:val="00BE4C66"/>
    <w:rsid w:val="00BE4D80"/>
    <w:rsid w:val="00BE4E46"/>
    <w:rsid w:val="00BE4EC1"/>
    <w:rsid w:val="00BE4FDB"/>
    <w:rsid w:val="00BE5029"/>
    <w:rsid w:val="00BE5036"/>
    <w:rsid w:val="00BE5050"/>
    <w:rsid w:val="00BE50BB"/>
    <w:rsid w:val="00BE5117"/>
    <w:rsid w:val="00BE5204"/>
    <w:rsid w:val="00BE5209"/>
    <w:rsid w:val="00BE5275"/>
    <w:rsid w:val="00BE544C"/>
    <w:rsid w:val="00BE5512"/>
    <w:rsid w:val="00BE55AD"/>
    <w:rsid w:val="00BE5627"/>
    <w:rsid w:val="00BE5668"/>
    <w:rsid w:val="00BE5700"/>
    <w:rsid w:val="00BE57A7"/>
    <w:rsid w:val="00BE57F6"/>
    <w:rsid w:val="00BE5864"/>
    <w:rsid w:val="00BE58D4"/>
    <w:rsid w:val="00BE59EF"/>
    <w:rsid w:val="00BE5A81"/>
    <w:rsid w:val="00BE5ADF"/>
    <w:rsid w:val="00BE5B65"/>
    <w:rsid w:val="00BE5C0C"/>
    <w:rsid w:val="00BE5E72"/>
    <w:rsid w:val="00BE5F49"/>
    <w:rsid w:val="00BE5F4D"/>
    <w:rsid w:val="00BE5F65"/>
    <w:rsid w:val="00BE5F6F"/>
    <w:rsid w:val="00BE6082"/>
    <w:rsid w:val="00BE6127"/>
    <w:rsid w:val="00BE6168"/>
    <w:rsid w:val="00BE61F3"/>
    <w:rsid w:val="00BE626E"/>
    <w:rsid w:val="00BE6287"/>
    <w:rsid w:val="00BE635A"/>
    <w:rsid w:val="00BE6549"/>
    <w:rsid w:val="00BE6589"/>
    <w:rsid w:val="00BE6689"/>
    <w:rsid w:val="00BE6760"/>
    <w:rsid w:val="00BE6857"/>
    <w:rsid w:val="00BE6968"/>
    <w:rsid w:val="00BE6A45"/>
    <w:rsid w:val="00BE6A6A"/>
    <w:rsid w:val="00BE6CB8"/>
    <w:rsid w:val="00BE6D9E"/>
    <w:rsid w:val="00BE6E11"/>
    <w:rsid w:val="00BE6E6A"/>
    <w:rsid w:val="00BE6F2C"/>
    <w:rsid w:val="00BE6F2D"/>
    <w:rsid w:val="00BE7014"/>
    <w:rsid w:val="00BE711B"/>
    <w:rsid w:val="00BE7170"/>
    <w:rsid w:val="00BE7252"/>
    <w:rsid w:val="00BE7306"/>
    <w:rsid w:val="00BE7351"/>
    <w:rsid w:val="00BE7502"/>
    <w:rsid w:val="00BE7754"/>
    <w:rsid w:val="00BE77FD"/>
    <w:rsid w:val="00BE7842"/>
    <w:rsid w:val="00BE7870"/>
    <w:rsid w:val="00BE7BCF"/>
    <w:rsid w:val="00BE7BFC"/>
    <w:rsid w:val="00BE7C25"/>
    <w:rsid w:val="00BE7C8C"/>
    <w:rsid w:val="00BE7D1B"/>
    <w:rsid w:val="00BE7ECA"/>
    <w:rsid w:val="00BE7FF0"/>
    <w:rsid w:val="00BF00FA"/>
    <w:rsid w:val="00BF013D"/>
    <w:rsid w:val="00BF0150"/>
    <w:rsid w:val="00BF0169"/>
    <w:rsid w:val="00BF02B7"/>
    <w:rsid w:val="00BF02B8"/>
    <w:rsid w:val="00BF0389"/>
    <w:rsid w:val="00BF0421"/>
    <w:rsid w:val="00BF0638"/>
    <w:rsid w:val="00BF0641"/>
    <w:rsid w:val="00BF0697"/>
    <w:rsid w:val="00BF06F2"/>
    <w:rsid w:val="00BF085F"/>
    <w:rsid w:val="00BF0877"/>
    <w:rsid w:val="00BF093D"/>
    <w:rsid w:val="00BF09D2"/>
    <w:rsid w:val="00BF0A83"/>
    <w:rsid w:val="00BF0C95"/>
    <w:rsid w:val="00BF0CDD"/>
    <w:rsid w:val="00BF0DA5"/>
    <w:rsid w:val="00BF0E7D"/>
    <w:rsid w:val="00BF0E93"/>
    <w:rsid w:val="00BF0E9C"/>
    <w:rsid w:val="00BF0F18"/>
    <w:rsid w:val="00BF0F46"/>
    <w:rsid w:val="00BF1026"/>
    <w:rsid w:val="00BF104F"/>
    <w:rsid w:val="00BF1051"/>
    <w:rsid w:val="00BF114D"/>
    <w:rsid w:val="00BF1159"/>
    <w:rsid w:val="00BF11BA"/>
    <w:rsid w:val="00BF12D7"/>
    <w:rsid w:val="00BF12EF"/>
    <w:rsid w:val="00BF1452"/>
    <w:rsid w:val="00BF1503"/>
    <w:rsid w:val="00BF1504"/>
    <w:rsid w:val="00BF15A5"/>
    <w:rsid w:val="00BF1614"/>
    <w:rsid w:val="00BF162C"/>
    <w:rsid w:val="00BF1651"/>
    <w:rsid w:val="00BF16C3"/>
    <w:rsid w:val="00BF16F6"/>
    <w:rsid w:val="00BF1783"/>
    <w:rsid w:val="00BF1828"/>
    <w:rsid w:val="00BF18D1"/>
    <w:rsid w:val="00BF1952"/>
    <w:rsid w:val="00BF1AB6"/>
    <w:rsid w:val="00BF1CC6"/>
    <w:rsid w:val="00BF1D06"/>
    <w:rsid w:val="00BF1D5D"/>
    <w:rsid w:val="00BF1D6B"/>
    <w:rsid w:val="00BF1EEF"/>
    <w:rsid w:val="00BF1F47"/>
    <w:rsid w:val="00BF1F63"/>
    <w:rsid w:val="00BF1F7F"/>
    <w:rsid w:val="00BF1F84"/>
    <w:rsid w:val="00BF1FB6"/>
    <w:rsid w:val="00BF2079"/>
    <w:rsid w:val="00BF2145"/>
    <w:rsid w:val="00BF217B"/>
    <w:rsid w:val="00BF2196"/>
    <w:rsid w:val="00BF2198"/>
    <w:rsid w:val="00BF21A5"/>
    <w:rsid w:val="00BF21B5"/>
    <w:rsid w:val="00BF21D1"/>
    <w:rsid w:val="00BF2302"/>
    <w:rsid w:val="00BF237B"/>
    <w:rsid w:val="00BF238D"/>
    <w:rsid w:val="00BF2407"/>
    <w:rsid w:val="00BF241E"/>
    <w:rsid w:val="00BF256F"/>
    <w:rsid w:val="00BF26CE"/>
    <w:rsid w:val="00BF2809"/>
    <w:rsid w:val="00BF2851"/>
    <w:rsid w:val="00BF287C"/>
    <w:rsid w:val="00BF2979"/>
    <w:rsid w:val="00BF2A3B"/>
    <w:rsid w:val="00BF2A8D"/>
    <w:rsid w:val="00BF2B0F"/>
    <w:rsid w:val="00BF2BB7"/>
    <w:rsid w:val="00BF2D74"/>
    <w:rsid w:val="00BF2DDD"/>
    <w:rsid w:val="00BF2F6E"/>
    <w:rsid w:val="00BF2FCA"/>
    <w:rsid w:val="00BF2FDA"/>
    <w:rsid w:val="00BF3043"/>
    <w:rsid w:val="00BF30B8"/>
    <w:rsid w:val="00BF30C3"/>
    <w:rsid w:val="00BF314B"/>
    <w:rsid w:val="00BF3373"/>
    <w:rsid w:val="00BF346E"/>
    <w:rsid w:val="00BF34CF"/>
    <w:rsid w:val="00BF3581"/>
    <w:rsid w:val="00BF360E"/>
    <w:rsid w:val="00BF362E"/>
    <w:rsid w:val="00BF3673"/>
    <w:rsid w:val="00BF369D"/>
    <w:rsid w:val="00BF379D"/>
    <w:rsid w:val="00BF381B"/>
    <w:rsid w:val="00BF3870"/>
    <w:rsid w:val="00BF38A0"/>
    <w:rsid w:val="00BF39E9"/>
    <w:rsid w:val="00BF3AA9"/>
    <w:rsid w:val="00BF3CB6"/>
    <w:rsid w:val="00BF3CF5"/>
    <w:rsid w:val="00BF3D5E"/>
    <w:rsid w:val="00BF3E81"/>
    <w:rsid w:val="00BF4065"/>
    <w:rsid w:val="00BF4081"/>
    <w:rsid w:val="00BF4086"/>
    <w:rsid w:val="00BF40A6"/>
    <w:rsid w:val="00BF40B0"/>
    <w:rsid w:val="00BF40BF"/>
    <w:rsid w:val="00BF416A"/>
    <w:rsid w:val="00BF416B"/>
    <w:rsid w:val="00BF41A3"/>
    <w:rsid w:val="00BF41D4"/>
    <w:rsid w:val="00BF41F6"/>
    <w:rsid w:val="00BF4261"/>
    <w:rsid w:val="00BF42E6"/>
    <w:rsid w:val="00BF4327"/>
    <w:rsid w:val="00BF4346"/>
    <w:rsid w:val="00BF44BA"/>
    <w:rsid w:val="00BF44C9"/>
    <w:rsid w:val="00BF44ED"/>
    <w:rsid w:val="00BF4529"/>
    <w:rsid w:val="00BF452B"/>
    <w:rsid w:val="00BF458A"/>
    <w:rsid w:val="00BF45A0"/>
    <w:rsid w:val="00BF4666"/>
    <w:rsid w:val="00BF46C6"/>
    <w:rsid w:val="00BF4746"/>
    <w:rsid w:val="00BF4877"/>
    <w:rsid w:val="00BF4957"/>
    <w:rsid w:val="00BF49CA"/>
    <w:rsid w:val="00BF4A69"/>
    <w:rsid w:val="00BF4BF0"/>
    <w:rsid w:val="00BF4C32"/>
    <w:rsid w:val="00BF4C47"/>
    <w:rsid w:val="00BF4C8B"/>
    <w:rsid w:val="00BF4CFB"/>
    <w:rsid w:val="00BF4D17"/>
    <w:rsid w:val="00BF4DB6"/>
    <w:rsid w:val="00BF4DBE"/>
    <w:rsid w:val="00BF4E5C"/>
    <w:rsid w:val="00BF4F59"/>
    <w:rsid w:val="00BF4FAB"/>
    <w:rsid w:val="00BF506E"/>
    <w:rsid w:val="00BF5092"/>
    <w:rsid w:val="00BF515A"/>
    <w:rsid w:val="00BF5201"/>
    <w:rsid w:val="00BF5259"/>
    <w:rsid w:val="00BF5400"/>
    <w:rsid w:val="00BF558B"/>
    <w:rsid w:val="00BF562B"/>
    <w:rsid w:val="00BF5755"/>
    <w:rsid w:val="00BF5956"/>
    <w:rsid w:val="00BF59E9"/>
    <w:rsid w:val="00BF5A17"/>
    <w:rsid w:val="00BF5A4E"/>
    <w:rsid w:val="00BF5B3A"/>
    <w:rsid w:val="00BF5D0B"/>
    <w:rsid w:val="00BF5D5D"/>
    <w:rsid w:val="00BF5E2F"/>
    <w:rsid w:val="00BF5E5E"/>
    <w:rsid w:val="00BF60AA"/>
    <w:rsid w:val="00BF60D6"/>
    <w:rsid w:val="00BF6136"/>
    <w:rsid w:val="00BF617B"/>
    <w:rsid w:val="00BF626D"/>
    <w:rsid w:val="00BF62C4"/>
    <w:rsid w:val="00BF637D"/>
    <w:rsid w:val="00BF63BB"/>
    <w:rsid w:val="00BF640E"/>
    <w:rsid w:val="00BF64B7"/>
    <w:rsid w:val="00BF6619"/>
    <w:rsid w:val="00BF6708"/>
    <w:rsid w:val="00BF6795"/>
    <w:rsid w:val="00BF6841"/>
    <w:rsid w:val="00BF6871"/>
    <w:rsid w:val="00BF68BB"/>
    <w:rsid w:val="00BF6939"/>
    <w:rsid w:val="00BF6948"/>
    <w:rsid w:val="00BF697A"/>
    <w:rsid w:val="00BF6985"/>
    <w:rsid w:val="00BF6ACB"/>
    <w:rsid w:val="00BF6C68"/>
    <w:rsid w:val="00BF6DE4"/>
    <w:rsid w:val="00BF6E18"/>
    <w:rsid w:val="00BF6EC7"/>
    <w:rsid w:val="00BF6F3E"/>
    <w:rsid w:val="00BF6F53"/>
    <w:rsid w:val="00BF6F64"/>
    <w:rsid w:val="00BF6FAF"/>
    <w:rsid w:val="00BF7034"/>
    <w:rsid w:val="00BF7122"/>
    <w:rsid w:val="00BF7138"/>
    <w:rsid w:val="00BF7513"/>
    <w:rsid w:val="00BF7581"/>
    <w:rsid w:val="00BF75E1"/>
    <w:rsid w:val="00BF7654"/>
    <w:rsid w:val="00BF7671"/>
    <w:rsid w:val="00BF76F5"/>
    <w:rsid w:val="00BF77F4"/>
    <w:rsid w:val="00BF78D1"/>
    <w:rsid w:val="00BF78E9"/>
    <w:rsid w:val="00BF78EF"/>
    <w:rsid w:val="00BF791C"/>
    <w:rsid w:val="00BF798E"/>
    <w:rsid w:val="00BF7A2F"/>
    <w:rsid w:val="00BF7ACD"/>
    <w:rsid w:val="00BF7AF6"/>
    <w:rsid w:val="00BF7BD0"/>
    <w:rsid w:val="00BF7C4E"/>
    <w:rsid w:val="00BF7CE4"/>
    <w:rsid w:val="00BF7D00"/>
    <w:rsid w:val="00BF7DAE"/>
    <w:rsid w:val="00BF7ECB"/>
    <w:rsid w:val="00BF7F1B"/>
    <w:rsid w:val="00C00012"/>
    <w:rsid w:val="00C000D0"/>
    <w:rsid w:val="00C00155"/>
    <w:rsid w:val="00C001D4"/>
    <w:rsid w:val="00C00381"/>
    <w:rsid w:val="00C003F5"/>
    <w:rsid w:val="00C004FE"/>
    <w:rsid w:val="00C005CD"/>
    <w:rsid w:val="00C006F4"/>
    <w:rsid w:val="00C00757"/>
    <w:rsid w:val="00C007CC"/>
    <w:rsid w:val="00C00919"/>
    <w:rsid w:val="00C00A99"/>
    <w:rsid w:val="00C00AAB"/>
    <w:rsid w:val="00C00BA7"/>
    <w:rsid w:val="00C00D44"/>
    <w:rsid w:val="00C00D5E"/>
    <w:rsid w:val="00C00DBC"/>
    <w:rsid w:val="00C00E2C"/>
    <w:rsid w:val="00C00E46"/>
    <w:rsid w:val="00C00FBA"/>
    <w:rsid w:val="00C00FDB"/>
    <w:rsid w:val="00C0116D"/>
    <w:rsid w:val="00C01246"/>
    <w:rsid w:val="00C012CB"/>
    <w:rsid w:val="00C01452"/>
    <w:rsid w:val="00C01628"/>
    <w:rsid w:val="00C01683"/>
    <w:rsid w:val="00C016D9"/>
    <w:rsid w:val="00C01748"/>
    <w:rsid w:val="00C01819"/>
    <w:rsid w:val="00C01903"/>
    <w:rsid w:val="00C01975"/>
    <w:rsid w:val="00C01976"/>
    <w:rsid w:val="00C01A52"/>
    <w:rsid w:val="00C01A59"/>
    <w:rsid w:val="00C01BB9"/>
    <w:rsid w:val="00C01C67"/>
    <w:rsid w:val="00C01C82"/>
    <w:rsid w:val="00C01C85"/>
    <w:rsid w:val="00C01CBA"/>
    <w:rsid w:val="00C01D31"/>
    <w:rsid w:val="00C01D63"/>
    <w:rsid w:val="00C01E93"/>
    <w:rsid w:val="00C01F71"/>
    <w:rsid w:val="00C01FE6"/>
    <w:rsid w:val="00C0201B"/>
    <w:rsid w:val="00C020EC"/>
    <w:rsid w:val="00C02103"/>
    <w:rsid w:val="00C02189"/>
    <w:rsid w:val="00C0221E"/>
    <w:rsid w:val="00C02277"/>
    <w:rsid w:val="00C02278"/>
    <w:rsid w:val="00C02322"/>
    <w:rsid w:val="00C0243D"/>
    <w:rsid w:val="00C0246F"/>
    <w:rsid w:val="00C02868"/>
    <w:rsid w:val="00C0289A"/>
    <w:rsid w:val="00C02935"/>
    <w:rsid w:val="00C02B35"/>
    <w:rsid w:val="00C02B7D"/>
    <w:rsid w:val="00C02BEB"/>
    <w:rsid w:val="00C02C05"/>
    <w:rsid w:val="00C02D78"/>
    <w:rsid w:val="00C02E6B"/>
    <w:rsid w:val="00C02EBD"/>
    <w:rsid w:val="00C02ECB"/>
    <w:rsid w:val="00C0312F"/>
    <w:rsid w:val="00C031FF"/>
    <w:rsid w:val="00C03213"/>
    <w:rsid w:val="00C03214"/>
    <w:rsid w:val="00C03223"/>
    <w:rsid w:val="00C0322A"/>
    <w:rsid w:val="00C032F5"/>
    <w:rsid w:val="00C033CA"/>
    <w:rsid w:val="00C033ED"/>
    <w:rsid w:val="00C0342F"/>
    <w:rsid w:val="00C03554"/>
    <w:rsid w:val="00C03581"/>
    <w:rsid w:val="00C0359D"/>
    <w:rsid w:val="00C035AD"/>
    <w:rsid w:val="00C0372D"/>
    <w:rsid w:val="00C037F0"/>
    <w:rsid w:val="00C03822"/>
    <w:rsid w:val="00C03842"/>
    <w:rsid w:val="00C03843"/>
    <w:rsid w:val="00C03869"/>
    <w:rsid w:val="00C038BE"/>
    <w:rsid w:val="00C038FC"/>
    <w:rsid w:val="00C0390E"/>
    <w:rsid w:val="00C03976"/>
    <w:rsid w:val="00C039A2"/>
    <w:rsid w:val="00C03AF5"/>
    <w:rsid w:val="00C03B90"/>
    <w:rsid w:val="00C03C32"/>
    <w:rsid w:val="00C03DA7"/>
    <w:rsid w:val="00C03E08"/>
    <w:rsid w:val="00C03E7C"/>
    <w:rsid w:val="00C03EB5"/>
    <w:rsid w:val="00C03EFC"/>
    <w:rsid w:val="00C03F52"/>
    <w:rsid w:val="00C03F7B"/>
    <w:rsid w:val="00C04002"/>
    <w:rsid w:val="00C041B4"/>
    <w:rsid w:val="00C041DF"/>
    <w:rsid w:val="00C0425F"/>
    <w:rsid w:val="00C0432B"/>
    <w:rsid w:val="00C0436D"/>
    <w:rsid w:val="00C0437A"/>
    <w:rsid w:val="00C045F9"/>
    <w:rsid w:val="00C046B5"/>
    <w:rsid w:val="00C04750"/>
    <w:rsid w:val="00C048A5"/>
    <w:rsid w:val="00C048AD"/>
    <w:rsid w:val="00C04989"/>
    <w:rsid w:val="00C04A27"/>
    <w:rsid w:val="00C04AE7"/>
    <w:rsid w:val="00C04B14"/>
    <w:rsid w:val="00C04B65"/>
    <w:rsid w:val="00C04BA7"/>
    <w:rsid w:val="00C04C04"/>
    <w:rsid w:val="00C04C7B"/>
    <w:rsid w:val="00C04C9C"/>
    <w:rsid w:val="00C04CC8"/>
    <w:rsid w:val="00C04D45"/>
    <w:rsid w:val="00C04D4F"/>
    <w:rsid w:val="00C04D9A"/>
    <w:rsid w:val="00C04EF7"/>
    <w:rsid w:val="00C05069"/>
    <w:rsid w:val="00C05078"/>
    <w:rsid w:val="00C050D4"/>
    <w:rsid w:val="00C05149"/>
    <w:rsid w:val="00C0514F"/>
    <w:rsid w:val="00C0519E"/>
    <w:rsid w:val="00C05388"/>
    <w:rsid w:val="00C05398"/>
    <w:rsid w:val="00C0540F"/>
    <w:rsid w:val="00C054F7"/>
    <w:rsid w:val="00C05525"/>
    <w:rsid w:val="00C05634"/>
    <w:rsid w:val="00C05809"/>
    <w:rsid w:val="00C0583E"/>
    <w:rsid w:val="00C05984"/>
    <w:rsid w:val="00C05B32"/>
    <w:rsid w:val="00C05F10"/>
    <w:rsid w:val="00C05F4C"/>
    <w:rsid w:val="00C05F6E"/>
    <w:rsid w:val="00C06005"/>
    <w:rsid w:val="00C0601E"/>
    <w:rsid w:val="00C060F9"/>
    <w:rsid w:val="00C0610F"/>
    <w:rsid w:val="00C06111"/>
    <w:rsid w:val="00C061A9"/>
    <w:rsid w:val="00C061F4"/>
    <w:rsid w:val="00C064A9"/>
    <w:rsid w:val="00C064ED"/>
    <w:rsid w:val="00C0656A"/>
    <w:rsid w:val="00C0656C"/>
    <w:rsid w:val="00C06578"/>
    <w:rsid w:val="00C06592"/>
    <w:rsid w:val="00C0659D"/>
    <w:rsid w:val="00C065C7"/>
    <w:rsid w:val="00C0662E"/>
    <w:rsid w:val="00C06686"/>
    <w:rsid w:val="00C066DE"/>
    <w:rsid w:val="00C066ED"/>
    <w:rsid w:val="00C0687C"/>
    <w:rsid w:val="00C06887"/>
    <w:rsid w:val="00C068BA"/>
    <w:rsid w:val="00C06946"/>
    <w:rsid w:val="00C069CA"/>
    <w:rsid w:val="00C06A0E"/>
    <w:rsid w:val="00C06A4D"/>
    <w:rsid w:val="00C06A6A"/>
    <w:rsid w:val="00C06A78"/>
    <w:rsid w:val="00C06B36"/>
    <w:rsid w:val="00C06BB9"/>
    <w:rsid w:val="00C06D55"/>
    <w:rsid w:val="00C06D71"/>
    <w:rsid w:val="00C06DE7"/>
    <w:rsid w:val="00C06FD0"/>
    <w:rsid w:val="00C07266"/>
    <w:rsid w:val="00C07290"/>
    <w:rsid w:val="00C0744A"/>
    <w:rsid w:val="00C0760E"/>
    <w:rsid w:val="00C077D8"/>
    <w:rsid w:val="00C079F5"/>
    <w:rsid w:val="00C07A56"/>
    <w:rsid w:val="00C07AF8"/>
    <w:rsid w:val="00C07B92"/>
    <w:rsid w:val="00C07CBA"/>
    <w:rsid w:val="00C07E06"/>
    <w:rsid w:val="00C07E3E"/>
    <w:rsid w:val="00C07E47"/>
    <w:rsid w:val="00C07E52"/>
    <w:rsid w:val="00C100A8"/>
    <w:rsid w:val="00C1011D"/>
    <w:rsid w:val="00C10155"/>
    <w:rsid w:val="00C10195"/>
    <w:rsid w:val="00C101FA"/>
    <w:rsid w:val="00C10205"/>
    <w:rsid w:val="00C1020B"/>
    <w:rsid w:val="00C1020E"/>
    <w:rsid w:val="00C10237"/>
    <w:rsid w:val="00C102B8"/>
    <w:rsid w:val="00C102F9"/>
    <w:rsid w:val="00C10359"/>
    <w:rsid w:val="00C103A0"/>
    <w:rsid w:val="00C10415"/>
    <w:rsid w:val="00C1043F"/>
    <w:rsid w:val="00C1047C"/>
    <w:rsid w:val="00C1049F"/>
    <w:rsid w:val="00C104DA"/>
    <w:rsid w:val="00C104E1"/>
    <w:rsid w:val="00C104E9"/>
    <w:rsid w:val="00C104F3"/>
    <w:rsid w:val="00C10531"/>
    <w:rsid w:val="00C106B0"/>
    <w:rsid w:val="00C10763"/>
    <w:rsid w:val="00C10829"/>
    <w:rsid w:val="00C10869"/>
    <w:rsid w:val="00C10937"/>
    <w:rsid w:val="00C10974"/>
    <w:rsid w:val="00C10A2D"/>
    <w:rsid w:val="00C10B41"/>
    <w:rsid w:val="00C10C22"/>
    <w:rsid w:val="00C10C3E"/>
    <w:rsid w:val="00C10C4F"/>
    <w:rsid w:val="00C10D4C"/>
    <w:rsid w:val="00C10DA8"/>
    <w:rsid w:val="00C10E34"/>
    <w:rsid w:val="00C10EDC"/>
    <w:rsid w:val="00C1106F"/>
    <w:rsid w:val="00C11103"/>
    <w:rsid w:val="00C11326"/>
    <w:rsid w:val="00C11394"/>
    <w:rsid w:val="00C113E2"/>
    <w:rsid w:val="00C114E2"/>
    <w:rsid w:val="00C1152D"/>
    <w:rsid w:val="00C115DF"/>
    <w:rsid w:val="00C116A4"/>
    <w:rsid w:val="00C116E8"/>
    <w:rsid w:val="00C11726"/>
    <w:rsid w:val="00C1173C"/>
    <w:rsid w:val="00C11795"/>
    <w:rsid w:val="00C1179C"/>
    <w:rsid w:val="00C11877"/>
    <w:rsid w:val="00C11886"/>
    <w:rsid w:val="00C118C7"/>
    <w:rsid w:val="00C11944"/>
    <w:rsid w:val="00C11B75"/>
    <w:rsid w:val="00C11C3B"/>
    <w:rsid w:val="00C11C9C"/>
    <w:rsid w:val="00C11DC0"/>
    <w:rsid w:val="00C11DEC"/>
    <w:rsid w:val="00C11E39"/>
    <w:rsid w:val="00C11E69"/>
    <w:rsid w:val="00C11F0C"/>
    <w:rsid w:val="00C11F9B"/>
    <w:rsid w:val="00C12011"/>
    <w:rsid w:val="00C12025"/>
    <w:rsid w:val="00C12068"/>
    <w:rsid w:val="00C12117"/>
    <w:rsid w:val="00C121E4"/>
    <w:rsid w:val="00C12302"/>
    <w:rsid w:val="00C12351"/>
    <w:rsid w:val="00C123C4"/>
    <w:rsid w:val="00C12450"/>
    <w:rsid w:val="00C124EB"/>
    <w:rsid w:val="00C124FE"/>
    <w:rsid w:val="00C125E3"/>
    <w:rsid w:val="00C1263A"/>
    <w:rsid w:val="00C12734"/>
    <w:rsid w:val="00C12887"/>
    <w:rsid w:val="00C12892"/>
    <w:rsid w:val="00C12944"/>
    <w:rsid w:val="00C1298B"/>
    <w:rsid w:val="00C12AF9"/>
    <w:rsid w:val="00C12B53"/>
    <w:rsid w:val="00C12B62"/>
    <w:rsid w:val="00C12B8B"/>
    <w:rsid w:val="00C12BEB"/>
    <w:rsid w:val="00C12C16"/>
    <w:rsid w:val="00C12C5A"/>
    <w:rsid w:val="00C12D46"/>
    <w:rsid w:val="00C12DAB"/>
    <w:rsid w:val="00C12DC6"/>
    <w:rsid w:val="00C12DFE"/>
    <w:rsid w:val="00C12F13"/>
    <w:rsid w:val="00C12F7B"/>
    <w:rsid w:val="00C12FEC"/>
    <w:rsid w:val="00C130FB"/>
    <w:rsid w:val="00C1311F"/>
    <w:rsid w:val="00C13138"/>
    <w:rsid w:val="00C13152"/>
    <w:rsid w:val="00C13194"/>
    <w:rsid w:val="00C1336D"/>
    <w:rsid w:val="00C136E1"/>
    <w:rsid w:val="00C1370F"/>
    <w:rsid w:val="00C1374E"/>
    <w:rsid w:val="00C137A9"/>
    <w:rsid w:val="00C137D6"/>
    <w:rsid w:val="00C13843"/>
    <w:rsid w:val="00C138D3"/>
    <w:rsid w:val="00C13914"/>
    <w:rsid w:val="00C13A08"/>
    <w:rsid w:val="00C13A6B"/>
    <w:rsid w:val="00C13AAD"/>
    <w:rsid w:val="00C13B48"/>
    <w:rsid w:val="00C13BE1"/>
    <w:rsid w:val="00C13D8D"/>
    <w:rsid w:val="00C13ED6"/>
    <w:rsid w:val="00C14030"/>
    <w:rsid w:val="00C1414B"/>
    <w:rsid w:val="00C1418D"/>
    <w:rsid w:val="00C141B6"/>
    <w:rsid w:val="00C1423D"/>
    <w:rsid w:val="00C142BD"/>
    <w:rsid w:val="00C143EC"/>
    <w:rsid w:val="00C1460E"/>
    <w:rsid w:val="00C14745"/>
    <w:rsid w:val="00C1476D"/>
    <w:rsid w:val="00C14AD8"/>
    <w:rsid w:val="00C14AEB"/>
    <w:rsid w:val="00C14C09"/>
    <w:rsid w:val="00C14C67"/>
    <w:rsid w:val="00C14CF9"/>
    <w:rsid w:val="00C14D40"/>
    <w:rsid w:val="00C14E0B"/>
    <w:rsid w:val="00C14E30"/>
    <w:rsid w:val="00C14E49"/>
    <w:rsid w:val="00C14EC8"/>
    <w:rsid w:val="00C14ECF"/>
    <w:rsid w:val="00C14F0B"/>
    <w:rsid w:val="00C15065"/>
    <w:rsid w:val="00C151C6"/>
    <w:rsid w:val="00C15344"/>
    <w:rsid w:val="00C153AB"/>
    <w:rsid w:val="00C15417"/>
    <w:rsid w:val="00C1541A"/>
    <w:rsid w:val="00C15587"/>
    <w:rsid w:val="00C1576A"/>
    <w:rsid w:val="00C1579A"/>
    <w:rsid w:val="00C15874"/>
    <w:rsid w:val="00C15941"/>
    <w:rsid w:val="00C15955"/>
    <w:rsid w:val="00C15995"/>
    <w:rsid w:val="00C15AF2"/>
    <w:rsid w:val="00C15DFF"/>
    <w:rsid w:val="00C15E45"/>
    <w:rsid w:val="00C1604C"/>
    <w:rsid w:val="00C161A8"/>
    <w:rsid w:val="00C161D4"/>
    <w:rsid w:val="00C16201"/>
    <w:rsid w:val="00C16293"/>
    <w:rsid w:val="00C162B9"/>
    <w:rsid w:val="00C1635C"/>
    <w:rsid w:val="00C16369"/>
    <w:rsid w:val="00C1647C"/>
    <w:rsid w:val="00C16593"/>
    <w:rsid w:val="00C165E8"/>
    <w:rsid w:val="00C165FF"/>
    <w:rsid w:val="00C1662A"/>
    <w:rsid w:val="00C166A5"/>
    <w:rsid w:val="00C16780"/>
    <w:rsid w:val="00C1679B"/>
    <w:rsid w:val="00C167B4"/>
    <w:rsid w:val="00C167BC"/>
    <w:rsid w:val="00C167EA"/>
    <w:rsid w:val="00C1681C"/>
    <w:rsid w:val="00C16839"/>
    <w:rsid w:val="00C168C1"/>
    <w:rsid w:val="00C16A90"/>
    <w:rsid w:val="00C16C21"/>
    <w:rsid w:val="00C16C90"/>
    <w:rsid w:val="00C16CB0"/>
    <w:rsid w:val="00C16D80"/>
    <w:rsid w:val="00C16E9D"/>
    <w:rsid w:val="00C16EC1"/>
    <w:rsid w:val="00C16FA3"/>
    <w:rsid w:val="00C16FC3"/>
    <w:rsid w:val="00C17027"/>
    <w:rsid w:val="00C1702C"/>
    <w:rsid w:val="00C170C1"/>
    <w:rsid w:val="00C170C2"/>
    <w:rsid w:val="00C17123"/>
    <w:rsid w:val="00C173B9"/>
    <w:rsid w:val="00C173EF"/>
    <w:rsid w:val="00C1740E"/>
    <w:rsid w:val="00C17431"/>
    <w:rsid w:val="00C17471"/>
    <w:rsid w:val="00C174A2"/>
    <w:rsid w:val="00C174E2"/>
    <w:rsid w:val="00C17558"/>
    <w:rsid w:val="00C17560"/>
    <w:rsid w:val="00C176AA"/>
    <w:rsid w:val="00C178D9"/>
    <w:rsid w:val="00C17923"/>
    <w:rsid w:val="00C17932"/>
    <w:rsid w:val="00C179AE"/>
    <w:rsid w:val="00C17AD1"/>
    <w:rsid w:val="00C17B52"/>
    <w:rsid w:val="00C17BC3"/>
    <w:rsid w:val="00C17CF2"/>
    <w:rsid w:val="00C17D1A"/>
    <w:rsid w:val="00C17ED6"/>
    <w:rsid w:val="00C17FC1"/>
    <w:rsid w:val="00C2015A"/>
    <w:rsid w:val="00C20275"/>
    <w:rsid w:val="00C20321"/>
    <w:rsid w:val="00C2041B"/>
    <w:rsid w:val="00C2055D"/>
    <w:rsid w:val="00C206C8"/>
    <w:rsid w:val="00C207CA"/>
    <w:rsid w:val="00C207DC"/>
    <w:rsid w:val="00C2081F"/>
    <w:rsid w:val="00C208FA"/>
    <w:rsid w:val="00C20B75"/>
    <w:rsid w:val="00C20BEC"/>
    <w:rsid w:val="00C20D8B"/>
    <w:rsid w:val="00C20F11"/>
    <w:rsid w:val="00C21100"/>
    <w:rsid w:val="00C21156"/>
    <w:rsid w:val="00C21161"/>
    <w:rsid w:val="00C211E6"/>
    <w:rsid w:val="00C2120C"/>
    <w:rsid w:val="00C21219"/>
    <w:rsid w:val="00C2127F"/>
    <w:rsid w:val="00C21453"/>
    <w:rsid w:val="00C215F9"/>
    <w:rsid w:val="00C21672"/>
    <w:rsid w:val="00C216A8"/>
    <w:rsid w:val="00C216B8"/>
    <w:rsid w:val="00C216C9"/>
    <w:rsid w:val="00C216CF"/>
    <w:rsid w:val="00C21729"/>
    <w:rsid w:val="00C2175D"/>
    <w:rsid w:val="00C21774"/>
    <w:rsid w:val="00C2185D"/>
    <w:rsid w:val="00C21880"/>
    <w:rsid w:val="00C218CA"/>
    <w:rsid w:val="00C218FC"/>
    <w:rsid w:val="00C21906"/>
    <w:rsid w:val="00C2199E"/>
    <w:rsid w:val="00C219A5"/>
    <w:rsid w:val="00C21B18"/>
    <w:rsid w:val="00C21BCF"/>
    <w:rsid w:val="00C21BF3"/>
    <w:rsid w:val="00C21C06"/>
    <w:rsid w:val="00C21CCC"/>
    <w:rsid w:val="00C21D8A"/>
    <w:rsid w:val="00C21D9D"/>
    <w:rsid w:val="00C21DDD"/>
    <w:rsid w:val="00C21E59"/>
    <w:rsid w:val="00C21EB5"/>
    <w:rsid w:val="00C21EEF"/>
    <w:rsid w:val="00C21F98"/>
    <w:rsid w:val="00C21FB3"/>
    <w:rsid w:val="00C22052"/>
    <w:rsid w:val="00C2210D"/>
    <w:rsid w:val="00C22116"/>
    <w:rsid w:val="00C22182"/>
    <w:rsid w:val="00C22189"/>
    <w:rsid w:val="00C22256"/>
    <w:rsid w:val="00C22278"/>
    <w:rsid w:val="00C22292"/>
    <w:rsid w:val="00C2231D"/>
    <w:rsid w:val="00C224D2"/>
    <w:rsid w:val="00C2250D"/>
    <w:rsid w:val="00C225DD"/>
    <w:rsid w:val="00C225FD"/>
    <w:rsid w:val="00C2266E"/>
    <w:rsid w:val="00C22678"/>
    <w:rsid w:val="00C2270F"/>
    <w:rsid w:val="00C2272A"/>
    <w:rsid w:val="00C22840"/>
    <w:rsid w:val="00C228D8"/>
    <w:rsid w:val="00C22907"/>
    <w:rsid w:val="00C22C92"/>
    <w:rsid w:val="00C22CE1"/>
    <w:rsid w:val="00C22EDC"/>
    <w:rsid w:val="00C22F37"/>
    <w:rsid w:val="00C22F60"/>
    <w:rsid w:val="00C230D6"/>
    <w:rsid w:val="00C230D7"/>
    <w:rsid w:val="00C2322C"/>
    <w:rsid w:val="00C232CB"/>
    <w:rsid w:val="00C2332A"/>
    <w:rsid w:val="00C23330"/>
    <w:rsid w:val="00C2335F"/>
    <w:rsid w:val="00C23397"/>
    <w:rsid w:val="00C2347A"/>
    <w:rsid w:val="00C2362B"/>
    <w:rsid w:val="00C23707"/>
    <w:rsid w:val="00C2371D"/>
    <w:rsid w:val="00C23734"/>
    <w:rsid w:val="00C2384E"/>
    <w:rsid w:val="00C23928"/>
    <w:rsid w:val="00C23976"/>
    <w:rsid w:val="00C239EE"/>
    <w:rsid w:val="00C23B39"/>
    <w:rsid w:val="00C23B53"/>
    <w:rsid w:val="00C23B9C"/>
    <w:rsid w:val="00C23C85"/>
    <w:rsid w:val="00C23D23"/>
    <w:rsid w:val="00C23D9E"/>
    <w:rsid w:val="00C23FBF"/>
    <w:rsid w:val="00C2409C"/>
    <w:rsid w:val="00C2413A"/>
    <w:rsid w:val="00C24173"/>
    <w:rsid w:val="00C2418D"/>
    <w:rsid w:val="00C241CE"/>
    <w:rsid w:val="00C2428E"/>
    <w:rsid w:val="00C2438B"/>
    <w:rsid w:val="00C24460"/>
    <w:rsid w:val="00C24471"/>
    <w:rsid w:val="00C2448D"/>
    <w:rsid w:val="00C244A4"/>
    <w:rsid w:val="00C245B1"/>
    <w:rsid w:val="00C24790"/>
    <w:rsid w:val="00C247B7"/>
    <w:rsid w:val="00C2487B"/>
    <w:rsid w:val="00C249F4"/>
    <w:rsid w:val="00C249FB"/>
    <w:rsid w:val="00C24BA0"/>
    <w:rsid w:val="00C24C47"/>
    <w:rsid w:val="00C24C9C"/>
    <w:rsid w:val="00C24D12"/>
    <w:rsid w:val="00C24D95"/>
    <w:rsid w:val="00C24D9C"/>
    <w:rsid w:val="00C24DE9"/>
    <w:rsid w:val="00C24EE3"/>
    <w:rsid w:val="00C24F74"/>
    <w:rsid w:val="00C24FEA"/>
    <w:rsid w:val="00C2508E"/>
    <w:rsid w:val="00C250C3"/>
    <w:rsid w:val="00C2518E"/>
    <w:rsid w:val="00C251C6"/>
    <w:rsid w:val="00C251E2"/>
    <w:rsid w:val="00C2532B"/>
    <w:rsid w:val="00C25520"/>
    <w:rsid w:val="00C255CB"/>
    <w:rsid w:val="00C255E3"/>
    <w:rsid w:val="00C25700"/>
    <w:rsid w:val="00C2583B"/>
    <w:rsid w:val="00C2583E"/>
    <w:rsid w:val="00C2585E"/>
    <w:rsid w:val="00C2589E"/>
    <w:rsid w:val="00C25963"/>
    <w:rsid w:val="00C25967"/>
    <w:rsid w:val="00C259AF"/>
    <w:rsid w:val="00C259CF"/>
    <w:rsid w:val="00C259F5"/>
    <w:rsid w:val="00C259FB"/>
    <w:rsid w:val="00C259FC"/>
    <w:rsid w:val="00C25A41"/>
    <w:rsid w:val="00C25A77"/>
    <w:rsid w:val="00C25B3B"/>
    <w:rsid w:val="00C25BD6"/>
    <w:rsid w:val="00C25BE8"/>
    <w:rsid w:val="00C25CA4"/>
    <w:rsid w:val="00C25CDB"/>
    <w:rsid w:val="00C25D59"/>
    <w:rsid w:val="00C25E62"/>
    <w:rsid w:val="00C25E82"/>
    <w:rsid w:val="00C25F4B"/>
    <w:rsid w:val="00C25F73"/>
    <w:rsid w:val="00C25FC7"/>
    <w:rsid w:val="00C25FCB"/>
    <w:rsid w:val="00C2613B"/>
    <w:rsid w:val="00C2617E"/>
    <w:rsid w:val="00C26202"/>
    <w:rsid w:val="00C26214"/>
    <w:rsid w:val="00C262DB"/>
    <w:rsid w:val="00C262F3"/>
    <w:rsid w:val="00C263BA"/>
    <w:rsid w:val="00C26454"/>
    <w:rsid w:val="00C264B8"/>
    <w:rsid w:val="00C264C1"/>
    <w:rsid w:val="00C2657C"/>
    <w:rsid w:val="00C26614"/>
    <w:rsid w:val="00C2666F"/>
    <w:rsid w:val="00C26695"/>
    <w:rsid w:val="00C266AB"/>
    <w:rsid w:val="00C266B8"/>
    <w:rsid w:val="00C266E8"/>
    <w:rsid w:val="00C26735"/>
    <w:rsid w:val="00C26809"/>
    <w:rsid w:val="00C26A89"/>
    <w:rsid w:val="00C26AFD"/>
    <w:rsid w:val="00C26BBB"/>
    <w:rsid w:val="00C26BC1"/>
    <w:rsid w:val="00C26C92"/>
    <w:rsid w:val="00C26D04"/>
    <w:rsid w:val="00C26E85"/>
    <w:rsid w:val="00C26F05"/>
    <w:rsid w:val="00C26F59"/>
    <w:rsid w:val="00C27095"/>
    <w:rsid w:val="00C2729E"/>
    <w:rsid w:val="00C272E9"/>
    <w:rsid w:val="00C2732A"/>
    <w:rsid w:val="00C2734E"/>
    <w:rsid w:val="00C27367"/>
    <w:rsid w:val="00C27373"/>
    <w:rsid w:val="00C274F6"/>
    <w:rsid w:val="00C27588"/>
    <w:rsid w:val="00C276D1"/>
    <w:rsid w:val="00C27747"/>
    <w:rsid w:val="00C27764"/>
    <w:rsid w:val="00C27768"/>
    <w:rsid w:val="00C27809"/>
    <w:rsid w:val="00C27839"/>
    <w:rsid w:val="00C2786E"/>
    <w:rsid w:val="00C2789E"/>
    <w:rsid w:val="00C27BAC"/>
    <w:rsid w:val="00C27BD4"/>
    <w:rsid w:val="00C27C70"/>
    <w:rsid w:val="00C27CBC"/>
    <w:rsid w:val="00C27CC9"/>
    <w:rsid w:val="00C27DA9"/>
    <w:rsid w:val="00C27DBA"/>
    <w:rsid w:val="00C27E50"/>
    <w:rsid w:val="00C27F41"/>
    <w:rsid w:val="00C27F9A"/>
    <w:rsid w:val="00C27FA0"/>
    <w:rsid w:val="00C27FA6"/>
    <w:rsid w:val="00C3003A"/>
    <w:rsid w:val="00C30216"/>
    <w:rsid w:val="00C30238"/>
    <w:rsid w:val="00C302A4"/>
    <w:rsid w:val="00C3037F"/>
    <w:rsid w:val="00C303A6"/>
    <w:rsid w:val="00C30577"/>
    <w:rsid w:val="00C305E9"/>
    <w:rsid w:val="00C30682"/>
    <w:rsid w:val="00C3073D"/>
    <w:rsid w:val="00C30782"/>
    <w:rsid w:val="00C30964"/>
    <w:rsid w:val="00C30984"/>
    <w:rsid w:val="00C309DA"/>
    <w:rsid w:val="00C30B40"/>
    <w:rsid w:val="00C30B60"/>
    <w:rsid w:val="00C30B92"/>
    <w:rsid w:val="00C30BF7"/>
    <w:rsid w:val="00C30C0C"/>
    <w:rsid w:val="00C30C60"/>
    <w:rsid w:val="00C30D6B"/>
    <w:rsid w:val="00C30D6E"/>
    <w:rsid w:val="00C30D8A"/>
    <w:rsid w:val="00C30DBB"/>
    <w:rsid w:val="00C30DEC"/>
    <w:rsid w:val="00C30DF9"/>
    <w:rsid w:val="00C30F4F"/>
    <w:rsid w:val="00C30F60"/>
    <w:rsid w:val="00C3109E"/>
    <w:rsid w:val="00C310A1"/>
    <w:rsid w:val="00C310E9"/>
    <w:rsid w:val="00C31187"/>
    <w:rsid w:val="00C31196"/>
    <w:rsid w:val="00C311AB"/>
    <w:rsid w:val="00C311CA"/>
    <w:rsid w:val="00C311F2"/>
    <w:rsid w:val="00C3122B"/>
    <w:rsid w:val="00C31248"/>
    <w:rsid w:val="00C312C6"/>
    <w:rsid w:val="00C3138B"/>
    <w:rsid w:val="00C313C3"/>
    <w:rsid w:val="00C3143B"/>
    <w:rsid w:val="00C31584"/>
    <w:rsid w:val="00C315B0"/>
    <w:rsid w:val="00C316BF"/>
    <w:rsid w:val="00C317E9"/>
    <w:rsid w:val="00C3182D"/>
    <w:rsid w:val="00C318BC"/>
    <w:rsid w:val="00C3196E"/>
    <w:rsid w:val="00C319A4"/>
    <w:rsid w:val="00C31A25"/>
    <w:rsid w:val="00C31AF6"/>
    <w:rsid w:val="00C31BB9"/>
    <w:rsid w:val="00C31BFE"/>
    <w:rsid w:val="00C31C6E"/>
    <w:rsid w:val="00C31C85"/>
    <w:rsid w:val="00C31C96"/>
    <w:rsid w:val="00C31D03"/>
    <w:rsid w:val="00C31D11"/>
    <w:rsid w:val="00C31DA5"/>
    <w:rsid w:val="00C31DFD"/>
    <w:rsid w:val="00C31DFE"/>
    <w:rsid w:val="00C31E4F"/>
    <w:rsid w:val="00C32113"/>
    <w:rsid w:val="00C32169"/>
    <w:rsid w:val="00C3216D"/>
    <w:rsid w:val="00C32236"/>
    <w:rsid w:val="00C322DE"/>
    <w:rsid w:val="00C322FC"/>
    <w:rsid w:val="00C32310"/>
    <w:rsid w:val="00C324A2"/>
    <w:rsid w:val="00C324C0"/>
    <w:rsid w:val="00C324F4"/>
    <w:rsid w:val="00C324F9"/>
    <w:rsid w:val="00C325FD"/>
    <w:rsid w:val="00C32778"/>
    <w:rsid w:val="00C327F5"/>
    <w:rsid w:val="00C328B8"/>
    <w:rsid w:val="00C328CE"/>
    <w:rsid w:val="00C328E6"/>
    <w:rsid w:val="00C32940"/>
    <w:rsid w:val="00C3297E"/>
    <w:rsid w:val="00C32992"/>
    <w:rsid w:val="00C329F4"/>
    <w:rsid w:val="00C32A02"/>
    <w:rsid w:val="00C32D1A"/>
    <w:rsid w:val="00C32D27"/>
    <w:rsid w:val="00C32D86"/>
    <w:rsid w:val="00C32DB2"/>
    <w:rsid w:val="00C32DB3"/>
    <w:rsid w:val="00C32EB0"/>
    <w:rsid w:val="00C32F51"/>
    <w:rsid w:val="00C32F75"/>
    <w:rsid w:val="00C32FB4"/>
    <w:rsid w:val="00C33000"/>
    <w:rsid w:val="00C33005"/>
    <w:rsid w:val="00C33171"/>
    <w:rsid w:val="00C3324E"/>
    <w:rsid w:val="00C332D8"/>
    <w:rsid w:val="00C332FA"/>
    <w:rsid w:val="00C33301"/>
    <w:rsid w:val="00C333C4"/>
    <w:rsid w:val="00C333D9"/>
    <w:rsid w:val="00C33630"/>
    <w:rsid w:val="00C33664"/>
    <w:rsid w:val="00C3378C"/>
    <w:rsid w:val="00C337DC"/>
    <w:rsid w:val="00C33856"/>
    <w:rsid w:val="00C33892"/>
    <w:rsid w:val="00C33899"/>
    <w:rsid w:val="00C33997"/>
    <w:rsid w:val="00C33A30"/>
    <w:rsid w:val="00C33A67"/>
    <w:rsid w:val="00C33B5C"/>
    <w:rsid w:val="00C33BB3"/>
    <w:rsid w:val="00C33CE8"/>
    <w:rsid w:val="00C33D44"/>
    <w:rsid w:val="00C33DEF"/>
    <w:rsid w:val="00C33E88"/>
    <w:rsid w:val="00C33EF6"/>
    <w:rsid w:val="00C33F42"/>
    <w:rsid w:val="00C33F56"/>
    <w:rsid w:val="00C33F6A"/>
    <w:rsid w:val="00C33FE3"/>
    <w:rsid w:val="00C3413C"/>
    <w:rsid w:val="00C34195"/>
    <w:rsid w:val="00C34234"/>
    <w:rsid w:val="00C3439E"/>
    <w:rsid w:val="00C343C0"/>
    <w:rsid w:val="00C343E2"/>
    <w:rsid w:val="00C343E9"/>
    <w:rsid w:val="00C3440A"/>
    <w:rsid w:val="00C34410"/>
    <w:rsid w:val="00C346AC"/>
    <w:rsid w:val="00C346DA"/>
    <w:rsid w:val="00C3473A"/>
    <w:rsid w:val="00C347F5"/>
    <w:rsid w:val="00C34808"/>
    <w:rsid w:val="00C348C3"/>
    <w:rsid w:val="00C34993"/>
    <w:rsid w:val="00C349A3"/>
    <w:rsid w:val="00C34A7F"/>
    <w:rsid w:val="00C34AF1"/>
    <w:rsid w:val="00C34B0C"/>
    <w:rsid w:val="00C34CD1"/>
    <w:rsid w:val="00C34D2F"/>
    <w:rsid w:val="00C34D39"/>
    <w:rsid w:val="00C34D4A"/>
    <w:rsid w:val="00C34E45"/>
    <w:rsid w:val="00C34FBD"/>
    <w:rsid w:val="00C34FEE"/>
    <w:rsid w:val="00C35043"/>
    <w:rsid w:val="00C3506F"/>
    <w:rsid w:val="00C350E6"/>
    <w:rsid w:val="00C3530F"/>
    <w:rsid w:val="00C353BD"/>
    <w:rsid w:val="00C353D4"/>
    <w:rsid w:val="00C353D7"/>
    <w:rsid w:val="00C353EC"/>
    <w:rsid w:val="00C35455"/>
    <w:rsid w:val="00C35482"/>
    <w:rsid w:val="00C354C3"/>
    <w:rsid w:val="00C354D5"/>
    <w:rsid w:val="00C355B8"/>
    <w:rsid w:val="00C355B9"/>
    <w:rsid w:val="00C355BA"/>
    <w:rsid w:val="00C355C3"/>
    <w:rsid w:val="00C356CB"/>
    <w:rsid w:val="00C35732"/>
    <w:rsid w:val="00C3584E"/>
    <w:rsid w:val="00C3588C"/>
    <w:rsid w:val="00C358D5"/>
    <w:rsid w:val="00C35909"/>
    <w:rsid w:val="00C3592E"/>
    <w:rsid w:val="00C35A3F"/>
    <w:rsid w:val="00C35A91"/>
    <w:rsid w:val="00C35AAC"/>
    <w:rsid w:val="00C35AF7"/>
    <w:rsid w:val="00C35BFA"/>
    <w:rsid w:val="00C35C98"/>
    <w:rsid w:val="00C35D8B"/>
    <w:rsid w:val="00C35DF4"/>
    <w:rsid w:val="00C35E8C"/>
    <w:rsid w:val="00C35ED8"/>
    <w:rsid w:val="00C360DE"/>
    <w:rsid w:val="00C3639C"/>
    <w:rsid w:val="00C3642A"/>
    <w:rsid w:val="00C364FA"/>
    <w:rsid w:val="00C36565"/>
    <w:rsid w:val="00C36637"/>
    <w:rsid w:val="00C366EC"/>
    <w:rsid w:val="00C367C3"/>
    <w:rsid w:val="00C367CD"/>
    <w:rsid w:val="00C36810"/>
    <w:rsid w:val="00C36876"/>
    <w:rsid w:val="00C3695A"/>
    <w:rsid w:val="00C36B21"/>
    <w:rsid w:val="00C36BEE"/>
    <w:rsid w:val="00C36D79"/>
    <w:rsid w:val="00C36E0F"/>
    <w:rsid w:val="00C36E27"/>
    <w:rsid w:val="00C36ED3"/>
    <w:rsid w:val="00C36EEC"/>
    <w:rsid w:val="00C36EF7"/>
    <w:rsid w:val="00C36F5F"/>
    <w:rsid w:val="00C36F8F"/>
    <w:rsid w:val="00C36F9B"/>
    <w:rsid w:val="00C37011"/>
    <w:rsid w:val="00C3716B"/>
    <w:rsid w:val="00C372D6"/>
    <w:rsid w:val="00C37310"/>
    <w:rsid w:val="00C3731B"/>
    <w:rsid w:val="00C3734D"/>
    <w:rsid w:val="00C37361"/>
    <w:rsid w:val="00C37367"/>
    <w:rsid w:val="00C3741B"/>
    <w:rsid w:val="00C374B7"/>
    <w:rsid w:val="00C375A0"/>
    <w:rsid w:val="00C37634"/>
    <w:rsid w:val="00C37721"/>
    <w:rsid w:val="00C3775A"/>
    <w:rsid w:val="00C37782"/>
    <w:rsid w:val="00C3780A"/>
    <w:rsid w:val="00C378A5"/>
    <w:rsid w:val="00C379D6"/>
    <w:rsid w:val="00C37A1D"/>
    <w:rsid w:val="00C37A5C"/>
    <w:rsid w:val="00C37A89"/>
    <w:rsid w:val="00C37A9E"/>
    <w:rsid w:val="00C37B24"/>
    <w:rsid w:val="00C37BD1"/>
    <w:rsid w:val="00C37C17"/>
    <w:rsid w:val="00C37C38"/>
    <w:rsid w:val="00C37CED"/>
    <w:rsid w:val="00C37D24"/>
    <w:rsid w:val="00C37D59"/>
    <w:rsid w:val="00C37DB3"/>
    <w:rsid w:val="00C37F57"/>
    <w:rsid w:val="00C37FD4"/>
    <w:rsid w:val="00C4001C"/>
    <w:rsid w:val="00C40021"/>
    <w:rsid w:val="00C40050"/>
    <w:rsid w:val="00C400E2"/>
    <w:rsid w:val="00C40167"/>
    <w:rsid w:val="00C401DD"/>
    <w:rsid w:val="00C402C0"/>
    <w:rsid w:val="00C403BC"/>
    <w:rsid w:val="00C4044B"/>
    <w:rsid w:val="00C40498"/>
    <w:rsid w:val="00C404E2"/>
    <w:rsid w:val="00C40547"/>
    <w:rsid w:val="00C405CC"/>
    <w:rsid w:val="00C405D5"/>
    <w:rsid w:val="00C40694"/>
    <w:rsid w:val="00C40747"/>
    <w:rsid w:val="00C4081F"/>
    <w:rsid w:val="00C40851"/>
    <w:rsid w:val="00C408AE"/>
    <w:rsid w:val="00C40903"/>
    <w:rsid w:val="00C40931"/>
    <w:rsid w:val="00C409C6"/>
    <w:rsid w:val="00C409C9"/>
    <w:rsid w:val="00C40AF9"/>
    <w:rsid w:val="00C40B70"/>
    <w:rsid w:val="00C40C08"/>
    <w:rsid w:val="00C40C0E"/>
    <w:rsid w:val="00C40E25"/>
    <w:rsid w:val="00C40E2E"/>
    <w:rsid w:val="00C40E5C"/>
    <w:rsid w:val="00C410C2"/>
    <w:rsid w:val="00C410FA"/>
    <w:rsid w:val="00C41196"/>
    <w:rsid w:val="00C41229"/>
    <w:rsid w:val="00C41346"/>
    <w:rsid w:val="00C41375"/>
    <w:rsid w:val="00C4137B"/>
    <w:rsid w:val="00C41382"/>
    <w:rsid w:val="00C41399"/>
    <w:rsid w:val="00C41405"/>
    <w:rsid w:val="00C41419"/>
    <w:rsid w:val="00C41435"/>
    <w:rsid w:val="00C41598"/>
    <w:rsid w:val="00C41775"/>
    <w:rsid w:val="00C41A5B"/>
    <w:rsid w:val="00C41AF4"/>
    <w:rsid w:val="00C41B81"/>
    <w:rsid w:val="00C41CA9"/>
    <w:rsid w:val="00C41CC8"/>
    <w:rsid w:val="00C41CD2"/>
    <w:rsid w:val="00C41D3F"/>
    <w:rsid w:val="00C41E0A"/>
    <w:rsid w:val="00C41EB0"/>
    <w:rsid w:val="00C41F35"/>
    <w:rsid w:val="00C41F45"/>
    <w:rsid w:val="00C41F5F"/>
    <w:rsid w:val="00C42083"/>
    <w:rsid w:val="00C4225D"/>
    <w:rsid w:val="00C4229F"/>
    <w:rsid w:val="00C42404"/>
    <w:rsid w:val="00C42408"/>
    <w:rsid w:val="00C42429"/>
    <w:rsid w:val="00C42453"/>
    <w:rsid w:val="00C42538"/>
    <w:rsid w:val="00C4259E"/>
    <w:rsid w:val="00C4264F"/>
    <w:rsid w:val="00C42695"/>
    <w:rsid w:val="00C4269F"/>
    <w:rsid w:val="00C42705"/>
    <w:rsid w:val="00C4273C"/>
    <w:rsid w:val="00C4285A"/>
    <w:rsid w:val="00C4289E"/>
    <w:rsid w:val="00C428E3"/>
    <w:rsid w:val="00C42928"/>
    <w:rsid w:val="00C42930"/>
    <w:rsid w:val="00C42A20"/>
    <w:rsid w:val="00C42A23"/>
    <w:rsid w:val="00C42BEC"/>
    <w:rsid w:val="00C42DD5"/>
    <w:rsid w:val="00C42E0D"/>
    <w:rsid w:val="00C42EB9"/>
    <w:rsid w:val="00C42F34"/>
    <w:rsid w:val="00C42FFF"/>
    <w:rsid w:val="00C430E0"/>
    <w:rsid w:val="00C43123"/>
    <w:rsid w:val="00C431A1"/>
    <w:rsid w:val="00C432E3"/>
    <w:rsid w:val="00C433DD"/>
    <w:rsid w:val="00C433F4"/>
    <w:rsid w:val="00C434A8"/>
    <w:rsid w:val="00C43509"/>
    <w:rsid w:val="00C43528"/>
    <w:rsid w:val="00C4356F"/>
    <w:rsid w:val="00C43570"/>
    <w:rsid w:val="00C4359F"/>
    <w:rsid w:val="00C436C1"/>
    <w:rsid w:val="00C43700"/>
    <w:rsid w:val="00C43759"/>
    <w:rsid w:val="00C4390B"/>
    <w:rsid w:val="00C439B2"/>
    <w:rsid w:val="00C43A34"/>
    <w:rsid w:val="00C43AC2"/>
    <w:rsid w:val="00C43ACE"/>
    <w:rsid w:val="00C43B77"/>
    <w:rsid w:val="00C43B82"/>
    <w:rsid w:val="00C43C5F"/>
    <w:rsid w:val="00C43CEE"/>
    <w:rsid w:val="00C43D26"/>
    <w:rsid w:val="00C43D42"/>
    <w:rsid w:val="00C43DA7"/>
    <w:rsid w:val="00C43E41"/>
    <w:rsid w:val="00C43ED2"/>
    <w:rsid w:val="00C43F45"/>
    <w:rsid w:val="00C43F5C"/>
    <w:rsid w:val="00C43F67"/>
    <w:rsid w:val="00C441C1"/>
    <w:rsid w:val="00C441D7"/>
    <w:rsid w:val="00C4423E"/>
    <w:rsid w:val="00C44300"/>
    <w:rsid w:val="00C4430D"/>
    <w:rsid w:val="00C44319"/>
    <w:rsid w:val="00C444A0"/>
    <w:rsid w:val="00C4450F"/>
    <w:rsid w:val="00C4459A"/>
    <w:rsid w:val="00C44602"/>
    <w:rsid w:val="00C448A7"/>
    <w:rsid w:val="00C448C4"/>
    <w:rsid w:val="00C448F4"/>
    <w:rsid w:val="00C44918"/>
    <w:rsid w:val="00C44A56"/>
    <w:rsid w:val="00C44A79"/>
    <w:rsid w:val="00C44ADB"/>
    <w:rsid w:val="00C44ED4"/>
    <w:rsid w:val="00C44EF2"/>
    <w:rsid w:val="00C44F1C"/>
    <w:rsid w:val="00C44F52"/>
    <w:rsid w:val="00C44FA9"/>
    <w:rsid w:val="00C45038"/>
    <w:rsid w:val="00C450A0"/>
    <w:rsid w:val="00C450DC"/>
    <w:rsid w:val="00C450E2"/>
    <w:rsid w:val="00C45102"/>
    <w:rsid w:val="00C45156"/>
    <w:rsid w:val="00C451C6"/>
    <w:rsid w:val="00C4526B"/>
    <w:rsid w:val="00C45280"/>
    <w:rsid w:val="00C4531C"/>
    <w:rsid w:val="00C45339"/>
    <w:rsid w:val="00C45340"/>
    <w:rsid w:val="00C45442"/>
    <w:rsid w:val="00C4555D"/>
    <w:rsid w:val="00C455FF"/>
    <w:rsid w:val="00C45687"/>
    <w:rsid w:val="00C45702"/>
    <w:rsid w:val="00C457AA"/>
    <w:rsid w:val="00C459A9"/>
    <w:rsid w:val="00C45A2D"/>
    <w:rsid w:val="00C45B0C"/>
    <w:rsid w:val="00C45B1C"/>
    <w:rsid w:val="00C45B40"/>
    <w:rsid w:val="00C45B41"/>
    <w:rsid w:val="00C45BE9"/>
    <w:rsid w:val="00C45C62"/>
    <w:rsid w:val="00C45C6F"/>
    <w:rsid w:val="00C45D65"/>
    <w:rsid w:val="00C45DEF"/>
    <w:rsid w:val="00C45E2B"/>
    <w:rsid w:val="00C45F1B"/>
    <w:rsid w:val="00C45F6C"/>
    <w:rsid w:val="00C45F85"/>
    <w:rsid w:val="00C45FA5"/>
    <w:rsid w:val="00C460FF"/>
    <w:rsid w:val="00C4625A"/>
    <w:rsid w:val="00C462EE"/>
    <w:rsid w:val="00C46314"/>
    <w:rsid w:val="00C4633F"/>
    <w:rsid w:val="00C46355"/>
    <w:rsid w:val="00C463A9"/>
    <w:rsid w:val="00C463CE"/>
    <w:rsid w:val="00C463E6"/>
    <w:rsid w:val="00C4642D"/>
    <w:rsid w:val="00C464AB"/>
    <w:rsid w:val="00C46543"/>
    <w:rsid w:val="00C4656E"/>
    <w:rsid w:val="00C465C8"/>
    <w:rsid w:val="00C4660A"/>
    <w:rsid w:val="00C46796"/>
    <w:rsid w:val="00C46825"/>
    <w:rsid w:val="00C469D6"/>
    <w:rsid w:val="00C46A9B"/>
    <w:rsid w:val="00C46ACC"/>
    <w:rsid w:val="00C46B5E"/>
    <w:rsid w:val="00C46BE4"/>
    <w:rsid w:val="00C46BEB"/>
    <w:rsid w:val="00C46D38"/>
    <w:rsid w:val="00C46D86"/>
    <w:rsid w:val="00C46DDF"/>
    <w:rsid w:val="00C46EAB"/>
    <w:rsid w:val="00C47021"/>
    <w:rsid w:val="00C47090"/>
    <w:rsid w:val="00C470DA"/>
    <w:rsid w:val="00C470E8"/>
    <w:rsid w:val="00C470F4"/>
    <w:rsid w:val="00C47137"/>
    <w:rsid w:val="00C47143"/>
    <w:rsid w:val="00C471E6"/>
    <w:rsid w:val="00C471EB"/>
    <w:rsid w:val="00C4723D"/>
    <w:rsid w:val="00C472E0"/>
    <w:rsid w:val="00C47369"/>
    <w:rsid w:val="00C473F2"/>
    <w:rsid w:val="00C478A0"/>
    <w:rsid w:val="00C4790F"/>
    <w:rsid w:val="00C4791D"/>
    <w:rsid w:val="00C47B3F"/>
    <w:rsid w:val="00C47C2E"/>
    <w:rsid w:val="00C47C8D"/>
    <w:rsid w:val="00C47C90"/>
    <w:rsid w:val="00C47D07"/>
    <w:rsid w:val="00C47D4E"/>
    <w:rsid w:val="00C47D70"/>
    <w:rsid w:val="00C47DD6"/>
    <w:rsid w:val="00C47E1D"/>
    <w:rsid w:val="00C47ED1"/>
    <w:rsid w:val="00C47FFA"/>
    <w:rsid w:val="00C5002D"/>
    <w:rsid w:val="00C50091"/>
    <w:rsid w:val="00C5020B"/>
    <w:rsid w:val="00C5021B"/>
    <w:rsid w:val="00C502E2"/>
    <w:rsid w:val="00C50328"/>
    <w:rsid w:val="00C503A3"/>
    <w:rsid w:val="00C503EA"/>
    <w:rsid w:val="00C50449"/>
    <w:rsid w:val="00C50458"/>
    <w:rsid w:val="00C504A0"/>
    <w:rsid w:val="00C5051E"/>
    <w:rsid w:val="00C50552"/>
    <w:rsid w:val="00C5058C"/>
    <w:rsid w:val="00C50616"/>
    <w:rsid w:val="00C50627"/>
    <w:rsid w:val="00C5063E"/>
    <w:rsid w:val="00C5073A"/>
    <w:rsid w:val="00C5077D"/>
    <w:rsid w:val="00C5078C"/>
    <w:rsid w:val="00C50848"/>
    <w:rsid w:val="00C5088A"/>
    <w:rsid w:val="00C508FC"/>
    <w:rsid w:val="00C50902"/>
    <w:rsid w:val="00C50A5E"/>
    <w:rsid w:val="00C50A9E"/>
    <w:rsid w:val="00C50AB5"/>
    <w:rsid w:val="00C50B04"/>
    <w:rsid w:val="00C50B0B"/>
    <w:rsid w:val="00C50B3E"/>
    <w:rsid w:val="00C50C5E"/>
    <w:rsid w:val="00C50CFF"/>
    <w:rsid w:val="00C50D0E"/>
    <w:rsid w:val="00C50D51"/>
    <w:rsid w:val="00C50D6F"/>
    <w:rsid w:val="00C51015"/>
    <w:rsid w:val="00C51180"/>
    <w:rsid w:val="00C5122C"/>
    <w:rsid w:val="00C5127F"/>
    <w:rsid w:val="00C513AD"/>
    <w:rsid w:val="00C51440"/>
    <w:rsid w:val="00C51480"/>
    <w:rsid w:val="00C51482"/>
    <w:rsid w:val="00C514D2"/>
    <w:rsid w:val="00C515BA"/>
    <w:rsid w:val="00C51632"/>
    <w:rsid w:val="00C5171F"/>
    <w:rsid w:val="00C51757"/>
    <w:rsid w:val="00C518E3"/>
    <w:rsid w:val="00C51912"/>
    <w:rsid w:val="00C51943"/>
    <w:rsid w:val="00C519FC"/>
    <w:rsid w:val="00C51ADB"/>
    <w:rsid w:val="00C51B45"/>
    <w:rsid w:val="00C51B84"/>
    <w:rsid w:val="00C51BED"/>
    <w:rsid w:val="00C51CA7"/>
    <w:rsid w:val="00C51D9E"/>
    <w:rsid w:val="00C51E3E"/>
    <w:rsid w:val="00C51E66"/>
    <w:rsid w:val="00C51E6C"/>
    <w:rsid w:val="00C51F95"/>
    <w:rsid w:val="00C51FCD"/>
    <w:rsid w:val="00C52016"/>
    <w:rsid w:val="00C5204B"/>
    <w:rsid w:val="00C52093"/>
    <w:rsid w:val="00C520DA"/>
    <w:rsid w:val="00C5210E"/>
    <w:rsid w:val="00C523DC"/>
    <w:rsid w:val="00C5248D"/>
    <w:rsid w:val="00C525CA"/>
    <w:rsid w:val="00C52609"/>
    <w:rsid w:val="00C526A8"/>
    <w:rsid w:val="00C526F8"/>
    <w:rsid w:val="00C529EC"/>
    <w:rsid w:val="00C52AD7"/>
    <w:rsid w:val="00C52B6C"/>
    <w:rsid w:val="00C52B7A"/>
    <w:rsid w:val="00C52C1B"/>
    <w:rsid w:val="00C52CD4"/>
    <w:rsid w:val="00C52D40"/>
    <w:rsid w:val="00C52EBD"/>
    <w:rsid w:val="00C53026"/>
    <w:rsid w:val="00C530F3"/>
    <w:rsid w:val="00C530F5"/>
    <w:rsid w:val="00C530F9"/>
    <w:rsid w:val="00C53125"/>
    <w:rsid w:val="00C53222"/>
    <w:rsid w:val="00C5325A"/>
    <w:rsid w:val="00C532C1"/>
    <w:rsid w:val="00C532F8"/>
    <w:rsid w:val="00C533A2"/>
    <w:rsid w:val="00C533C4"/>
    <w:rsid w:val="00C53462"/>
    <w:rsid w:val="00C534A0"/>
    <w:rsid w:val="00C5350B"/>
    <w:rsid w:val="00C53617"/>
    <w:rsid w:val="00C536DF"/>
    <w:rsid w:val="00C53767"/>
    <w:rsid w:val="00C537CC"/>
    <w:rsid w:val="00C5386B"/>
    <w:rsid w:val="00C538DB"/>
    <w:rsid w:val="00C5390D"/>
    <w:rsid w:val="00C5395C"/>
    <w:rsid w:val="00C5396E"/>
    <w:rsid w:val="00C53A25"/>
    <w:rsid w:val="00C53B80"/>
    <w:rsid w:val="00C53BB9"/>
    <w:rsid w:val="00C53BC1"/>
    <w:rsid w:val="00C53C2C"/>
    <w:rsid w:val="00C53C74"/>
    <w:rsid w:val="00C53DA2"/>
    <w:rsid w:val="00C53E10"/>
    <w:rsid w:val="00C53E3C"/>
    <w:rsid w:val="00C540CE"/>
    <w:rsid w:val="00C54199"/>
    <w:rsid w:val="00C541CB"/>
    <w:rsid w:val="00C541F2"/>
    <w:rsid w:val="00C542AE"/>
    <w:rsid w:val="00C542B9"/>
    <w:rsid w:val="00C54404"/>
    <w:rsid w:val="00C54417"/>
    <w:rsid w:val="00C54503"/>
    <w:rsid w:val="00C545C2"/>
    <w:rsid w:val="00C545D4"/>
    <w:rsid w:val="00C546AE"/>
    <w:rsid w:val="00C549CF"/>
    <w:rsid w:val="00C54B0E"/>
    <w:rsid w:val="00C54C7A"/>
    <w:rsid w:val="00C54CD7"/>
    <w:rsid w:val="00C54CF6"/>
    <w:rsid w:val="00C54D86"/>
    <w:rsid w:val="00C54DDC"/>
    <w:rsid w:val="00C54DE5"/>
    <w:rsid w:val="00C54E71"/>
    <w:rsid w:val="00C54E85"/>
    <w:rsid w:val="00C54F7D"/>
    <w:rsid w:val="00C55012"/>
    <w:rsid w:val="00C5502A"/>
    <w:rsid w:val="00C5506B"/>
    <w:rsid w:val="00C55092"/>
    <w:rsid w:val="00C55194"/>
    <w:rsid w:val="00C5519A"/>
    <w:rsid w:val="00C55233"/>
    <w:rsid w:val="00C55249"/>
    <w:rsid w:val="00C55278"/>
    <w:rsid w:val="00C5527D"/>
    <w:rsid w:val="00C55294"/>
    <w:rsid w:val="00C55351"/>
    <w:rsid w:val="00C55390"/>
    <w:rsid w:val="00C55419"/>
    <w:rsid w:val="00C554E2"/>
    <w:rsid w:val="00C55654"/>
    <w:rsid w:val="00C55671"/>
    <w:rsid w:val="00C55707"/>
    <w:rsid w:val="00C55AA2"/>
    <w:rsid w:val="00C55AE7"/>
    <w:rsid w:val="00C55D94"/>
    <w:rsid w:val="00C55DBA"/>
    <w:rsid w:val="00C55FB6"/>
    <w:rsid w:val="00C55FBA"/>
    <w:rsid w:val="00C56032"/>
    <w:rsid w:val="00C560F6"/>
    <w:rsid w:val="00C5610D"/>
    <w:rsid w:val="00C561EE"/>
    <w:rsid w:val="00C562DF"/>
    <w:rsid w:val="00C56382"/>
    <w:rsid w:val="00C563F3"/>
    <w:rsid w:val="00C56504"/>
    <w:rsid w:val="00C56564"/>
    <w:rsid w:val="00C5683E"/>
    <w:rsid w:val="00C5685C"/>
    <w:rsid w:val="00C568A4"/>
    <w:rsid w:val="00C56963"/>
    <w:rsid w:val="00C56965"/>
    <w:rsid w:val="00C56977"/>
    <w:rsid w:val="00C56A24"/>
    <w:rsid w:val="00C56AA7"/>
    <w:rsid w:val="00C56B18"/>
    <w:rsid w:val="00C56C12"/>
    <w:rsid w:val="00C56CEF"/>
    <w:rsid w:val="00C56F3B"/>
    <w:rsid w:val="00C56FD7"/>
    <w:rsid w:val="00C5701B"/>
    <w:rsid w:val="00C57173"/>
    <w:rsid w:val="00C571C0"/>
    <w:rsid w:val="00C571E8"/>
    <w:rsid w:val="00C57265"/>
    <w:rsid w:val="00C57360"/>
    <w:rsid w:val="00C57380"/>
    <w:rsid w:val="00C5738D"/>
    <w:rsid w:val="00C5753B"/>
    <w:rsid w:val="00C5754E"/>
    <w:rsid w:val="00C57607"/>
    <w:rsid w:val="00C5763B"/>
    <w:rsid w:val="00C576D1"/>
    <w:rsid w:val="00C576DA"/>
    <w:rsid w:val="00C5774B"/>
    <w:rsid w:val="00C5784D"/>
    <w:rsid w:val="00C5786C"/>
    <w:rsid w:val="00C5786E"/>
    <w:rsid w:val="00C579E3"/>
    <w:rsid w:val="00C57A2A"/>
    <w:rsid w:val="00C57B0C"/>
    <w:rsid w:val="00C57B0E"/>
    <w:rsid w:val="00C57B68"/>
    <w:rsid w:val="00C57CAF"/>
    <w:rsid w:val="00C57D4C"/>
    <w:rsid w:val="00C57DD4"/>
    <w:rsid w:val="00C57E42"/>
    <w:rsid w:val="00C57EC1"/>
    <w:rsid w:val="00C57F78"/>
    <w:rsid w:val="00C600DF"/>
    <w:rsid w:val="00C60176"/>
    <w:rsid w:val="00C60265"/>
    <w:rsid w:val="00C6034C"/>
    <w:rsid w:val="00C60384"/>
    <w:rsid w:val="00C603A9"/>
    <w:rsid w:val="00C604B6"/>
    <w:rsid w:val="00C60508"/>
    <w:rsid w:val="00C6053B"/>
    <w:rsid w:val="00C60573"/>
    <w:rsid w:val="00C60691"/>
    <w:rsid w:val="00C607F6"/>
    <w:rsid w:val="00C6092D"/>
    <w:rsid w:val="00C6098B"/>
    <w:rsid w:val="00C60B25"/>
    <w:rsid w:val="00C60B4E"/>
    <w:rsid w:val="00C60B73"/>
    <w:rsid w:val="00C60BCE"/>
    <w:rsid w:val="00C60C03"/>
    <w:rsid w:val="00C60CBD"/>
    <w:rsid w:val="00C60CD9"/>
    <w:rsid w:val="00C60CFB"/>
    <w:rsid w:val="00C60D2E"/>
    <w:rsid w:val="00C60F3C"/>
    <w:rsid w:val="00C60F5D"/>
    <w:rsid w:val="00C60F6F"/>
    <w:rsid w:val="00C60FA9"/>
    <w:rsid w:val="00C60FD1"/>
    <w:rsid w:val="00C610AF"/>
    <w:rsid w:val="00C610DB"/>
    <w:rsid w:val="00C610ED"/>
    <w:rsid w:val="00C6110D"/>
    <w:rsid w:val="00C61213"/>
    <w:rsid w:val="00C6159E"/>
    <w:rsid w:val="00C615BD"/>
    <w:rsid w:val="00C615F1"/>
    <w:rsid w:val="00C6169A"/>
    <w:rsid w:val="00C616C1"/>
    <w:rsid w:val="00C61736"/>
    <w:rsid w:val="00C61929"/>
    <w:rsid w:val="00C61A0A"/>
    <w:rsid w:val="00C61A46"/>
    <w:rsid w:val="00C61A58"/>
    <w:rsid w:val="00C61B27"/>
    <w:rsid w:val="00C61BE4"/>
    <w:rsid w:val="00C61CC5"/>
    <w:rsid w:val="00C61D0F"/>
    <w:rsid w:val="00C61D41"/>
    <w:rsid w:val="00C61D45"/>
    <w:rsid w:val="00C61D49"/>
    <w:rsid w:val="00C61DEA"/>
    <w:rsid w:val="00C61E5D"/>
    <w:rsid w:val="00C61EAF"/>
    <w:rsid w:val="00C61F7B"/>
    <w:rsid w:val="00C61FA4"/>
    <w:rsid w:val="00C61FB0"/>
    <w:rsid w:val="00C62037"/>
    <w:rsid w:val="00C620BF"/>
    <w:rsid w:val="00C62211"/>
    <w:rsid w:val="00C622B9"/>
    <w:rsid w:val="00C62346"/>
    <w:rsid w:val="00C62347"/>
    <w:rsid w:val="00C623E8"/>
    <w:rsid w:val="00C62466"/>
    <w:rsid w:val="00C6249C"/>
    <w:rsid w:val="00C62524"/>
    <w:rsid w:val="00C62546"/>
    <w:rsid w:val="00C625FB"/>
    <w:rsid w:val="00C6266B"/>
    <w:rsid w:val="00C6268D"/>
    <w:rsid w:val="00C6271E"/>
    <w:rsid w:val="00C627E1"/>
    <w:rsid w:val="00C6281D"/>
    <w:rsid w:val="00C62926"/>
    <w:rsid w:val="00C629CA"/>
    <w:rsid w:val="00C629E6"/>
    <w:rsid w:val="00C62A77"/>
    <w:rsid w:val="00C62B16"/>
    <w:rsid w:val="00C62BBF"/>
    <w:rsid w:val="00C62BF2"/>
    <w:rsid w:val="00C62D65"/>
    <w:rsid w:val="00C62E7B"/>
    <w:rsid w:val="00C62E85"/>
    <w:rsid w:val="00C62E91"/>
    <w:rsid w:val="00C62F0B"/>
    <w:rsid w:val="00C630F8"/>
    <w:rsid w:val="00C63146"/>
    <w:rsid w:val="00C631BF"/>
    <w:rsid w:val="00C631E1"/>
    <w:rsid w:val="00C63378"/>
    <w:rsid w:val="00C63423"/>
    <w:rsid w:val="00C634B0"/>
    <w:rsid w:val="00C63503"/>
    <w:rsid w:val="00C635DF"/>
    <w:rsid w:val="00C63709"/>
    <w:rsid w:val="00C6382A"/>
    <w:rsid w:val="00C63884"/>
    <w:rsid w:val="00C63A33"/>
    <w:rsid w:val="00C63B0F"/>
    <w:rsid w:val="00C63BFD"/>
    <w:rsid w:val="00C63C34"/>
    <w:rsid w:val="00C63CD7"/>
    <w:rsid w:val="00C63E56"/>
    <w:rsid w:val="00C63E70"/>
    <w:rsid w:val="00C63EB6"/>
    <w:rsid w:val="00C63EF4"/>
    <w:rsid w:val="00C63F1A"/>
    <w:rsid w:val="00C63FA4"/>
    <w:rsid w:val="00C64179"/>
    <w:rsid w:val="00C641AD"/>
    <w:rsid w:val="00C641E6"/>
    <w:rsid w:val="00C64258"/>
    <w:rsid w:val="00C642D5"/>
    <w:rsid w:val="00C64531"/>
    <w:rsid w:val="00C64588"/>
    <w:rsid w:val="00C645ED"/>
    <w:rsid w:val="00C64614"/>
    <w:rsid w:val="00C646E6"/>
    <w:rsid w:val="00C64724"/>
    <w:rsid w:val="00C647A0"/>
    <w:rsid w:val="00C6496B"/>
    <w:rsid w:val="00C649C8"/>
    <w:rsid w:val="00C649F2"/>
    <w:rsid w:val="00C64AA8"/>
    <w:rsid w:val="00C64ACA"/>
    <w:rsid w:val="00C64B8E"/>
    <w:rsid w:val="00C64B93"/>
    <w:rsid w:val="00C64BA7"/>
    <w:rsid w:val="00C64BFC"/>
    <w:rsid w:val="00C64C7B"/>
    <w:rsid w:val="00C64DB0"/>
    <w:rsid w:val="00C64FB8"/>
    <w:rsid w:val="00C651F6"/>
    <w:rsid w:val="00C652C9"/>
    <w:rsid w:val="00C65371"/>
    <w:rsid w:val="00C65454"/>
    <w:rsid w:val="00C65457"/>
    <w:rsid w:val="00C65499"/>
    <w:rsid w:val="00C654E9"/>
    <w:rsid w:val="00C65526"/>
    <w:rsid w:val="00C6575E"/>
    <w:rsid w:val="00C6577E"/>
    <w:rsid w:val="00C658BD"/>
    <w:rsid w:val="00C65905"/>
    <w:rsid w:val="00C6590F"/>
    <w:rsid w:val="00C659B1"/>
    <w:rsid w:val="00C65A5E"/>
    <w:rsid w:val="00C65AD0"/>
    <w:rsid w:val="00C65AFA"/>
    <w:rsid w:val="00C65B30"/>
    <w:rsid w:val="00C65B59"/>
    <w:rsid w:val="00C65CC5"/>
    <w:rsid w:val="00C65CE9"/>
    <w:rsid w:val="00C65D41"/>
    <w:rsid w:val="00C65DE1"/>
    <w:rsid w:val="00C65E7E"/>
    <w:rsid w:val="00C65EB0"/>
    <w:rsid w:val="00C65F92"/>
    <w:rsid w:val="00C65F94"/>
    <w:rsid w:val="00C65FD5"/>
    <w:rsid w:val="00C66042"/>
    <w:rsid w:val="00C66057"/>
    <w:rsid w:val="00C660E8"/>
    <w:rsid w:val="00C66117"/>
    <w:rsid w:val="00C662A7"/>
    <w:rsid w:val="00C662BD"/>
    <w:rsid w:val="00C664E7"/>
    <w:rsid w:val="00C66505"/>
    <w:rsid w:val="00C666D0"/>
    <w:rsid w:val="00C66811"/>
    <w:rsid w:val="00C6687B"/>
    <w:rsid w:val="00C66917"/>
    <w:rsid w:val="00C66B19"/>
    <w:rsid w:val="00C66BFF"/>
    <w:rsid w:val="00C66C6C"/>
    <w:rsid w:val="00C66D84"/>
    <w:rsid w:val="00C66E94"/>
    <w:rsid w:val="00C66EF6"/>
    <w:rsid w:val="00C67081"/>
    <w:rsid w:val="00C6709C"/>
    <w:rsid w:val="00C67268"/>
    <w:rsid w:val="00C672AB"/>
    <w:rsid w:val="00C672AC"/>
    <w:rsid w:val="00C67308"/>
    <w:rsid w:val="00C67331"/>
    <w:rsid w:val="00C673A9"/>
    <w:rsid w:val="00C67417"/>
    <w:rsid w:val="00C6744C"/>
    <w:rsid w:val="00C674D7"/>
    <w:rsid w:val="00C674F7"/>
    <w:rsid w:val="00C67609"/>
    <w:rsid w:val="00C676FC"/>
    <w:rsid w:val="00C67762"/>
    <w:rsid w:val="00C67763"/>
    <w:rsid w:val="00C67813"/>
    <w:rsid w:val="00C67872"/>
    <w:rsid w:val="00C6791C"/>
    <w:rsid w:val="00C6795A"/>
    <w:rsid w:val="00C679FF"/>
    <w:rsid w:val="00C67A04"/>
    <w:rsid w:val="00C67AC3"/>
    <w:rsid w:val="00C67C0E"/>
    <w:rsid w:val="00C67C3A"/>
    <w:rsid w:val="00C67C8F"/>
    <w:rsid w:val="00C67C97"/>
    <w:rsid w:val="00C67DE7"/>
    <w:rsid w:val="00C67EDE"/>
    <w:rsid w:val="00C67F13"/>
    <w:rsid w:val="00C67F30"/>
    <w:rsid w:val="00C70007"/>
    <w:rsid w:val="00C700F0"/>
    <w:rsid w:val="00C70139"/>
    <w:rsid w:val="00C70185"/>
    <w:rsid w:val="00C7018F"/>
    <w:rsid w:val="00C701A7"/>
    <w:rsid w:val="00C701D2"/>
    <w:rsid w:val="00C702FC"/>
    <w:rsid w:val="00C702FE"/>
    <w:rsid w:val="00C70461"/>
    <w:rsid w:val="00C7056B"/>
    <w:rsid w:val="00C7068D"/>
    <w:rsid w:val="00C706C7"/>
    <w:rsid w:val="00C70783"/>
    <w:rsid w:val="00C7098C"/>
    <w:rsid w:val="00C709A1"/>
    <w:rsid w:val="00C70A2C"/>
    <w:rsid w:val="00C70B42"/>
    <w:rsid w:val="00C70BD2"/>
    <w:rsid w:val="00C70CDB"/>
    <w:rsid w:val="00C70D07"/>
    <w:rsid w:val="00C70D5B"/>
    <w:rsid w:val="00C70DC6"/>
    <w:rsid w:val="00C70EDF"/>
    <w:rsid w:val="00C70EF9"/>
    <w:rsid w:val="00C70FD1"/>
    <w:rsid w:val="00C71027"/>
    <w:rsid w:val="00C7108F"/>
    <w:rsid w:val="00C71140"/>
    <w:rsid w:val="00C71165"/>
    <w:rsid w:val="00C71205"/>
    <w:rsid w:val="00C7130B"/>
    <w:rsid w:val="00C71325"/>
    <w:rsid w:val="00C7132C"/>
    <w:rsid w:val="00C7139C"/>
    <w:rsid w:val="00C7144A"/>
    <w:rsid w:val="00C714C2"/>
    <w:rsid w:val="00C714D2"/>
    <w:rsid w:val="00C715CA"/>
    <w:rsid w:val="00C71663"/>
    <w:rsid w:val="00C716BE"/>
    <w:rsid w:val="00C716CF"/>
    <w:rsid w:val="00C717AC"/>
    <w:rsid w:val="00C718CB"/>
    <w:rsid w:val="00C719B7"/>
    <w:rsid w:val="00C719C9"/>
    <w:rsid w:val="00C719F3"/>
    <w:rsid w:val="00C71AD5"/>
    <w:rsid w:val="00C71C10"/>
    <w:rsid w:val="00C71CE8"/>
    <w:rsid w:val="00C71DD3"/>
    <w:rsid w:val="00C71EF3"/>
    <w:rsid w:val="00C71EFE"/>
    <w:rsid w:val="00C71F1A"/>
    <w:rsid w:val="00C71FF1"/>
    <w:rsid w:val="00C7204F"/>
    <w:rsid w:val="00C7205A"/>
    <w:rsid w:val="00C720BF"/>
    <w:rsid w:val="00C72118"/>
    <w:rsid w:val="00C7218F"/>
    <w:rsid w:val="00C724AD"/>
    <w:rsid w:val="00C7252A"/>
    <w:rsid w:val="00C72589"/>
    <w:rsid w:val="00C726A2"/>
    <w:rsid w:val="00C726D5"/>
    <w:rsid w:val="00C72746"/>
    <w:rsid w:val="00C7276C"/>
    <w:rsid w:val="00C7286A"/>
    <w:rsid w:val="00C728D9"/>
    <w:rsid w:val="00C72C60"/>
    <w:rsid w:val="00C72CA3"/>
    <w:rsid w:val="00C72F44"/>
    <w:rsid w:val="00C73058"/>
    <w:rsid w:val="00C73082"/>
    <w:rsid w:val="00C7309D"/>
    <w:rsid w:val="00C730A2"/>
    <w:rsid w:val="00C730A9"/>
    <w:rsid w:val="00C730E1"/>
    <w:rsid w:val="00C731FC"/>
    <w:rsid w:val="00C732B4"/>
    <w:rsid w:val="00C732E0"/>
    <w:rsid w:val="00C732FE"/>
    <w:rsid w:val="00C73326"/>
    <w:rsid w:val="00C7333D"/>
    <w:rsid w:val="00C73426"/>
    <w:rsid w:val="00C73494"/>
    <w:rsid w:val="00C735DA"/>
    <w:rsid w:val="00C736DB"/>
    <w:rsid w:val="00C73820"/>
    <w:rsid w:val="00C73844"/>
    <w:rsid w:val="00C7392A"/>
    <w:rsid w:val="00C73A31"/>
    <w:rsid w:val="00C73A91"/>
    <w:rsid w:val="00C73B3C"/>
    <w:rsid w:val="00C73B87"/>
    <w:rsid w:val="00C73B8F"/>
    <w:rsid w:val="00C73BC6"/>
    <w:rsid w:val="00C73C32"/>
    <w:rsid w:val="00C73C6A"/>
    <w:rsid w:val="00C73C8B"/>
    <w:rsid w:val="00C73E1D"/>
    <w:rsid w:val="00C73E28"/>
    <w:rsid w:val="00C73EEF"/>
    <w:rsid w:val="00C73F3D"/>
    <w:rsid w:val="00C73F40"/>
    <w:rsid w:val="00C73F4C"/>
    <w:rsid w:val="00C74134"/>
    <w:rsid w:val="00C74218"/>
    <w:rsid w:val="00C74224"/>
    <w:rsid w:val="00C7429F"/>
    <w:rsid w:val="00C742AE"/>
    <w:rsid w:val="00C7430D"/>
    <w:rsid w:val="00C743A3"/>
    <w:rsid w:val="00C74463"/>
    <w:rsid w:val="00C74514"/>
    <w:rsid w:val="00C745DC"/>
    <w:rsid w:val="00C7468D"/>
    <w:rsid w:val="00C74719"/>
    <w:rsid w:val="00C74732"/>
    <w:rsid w:val="00C74791"/>
    <w:rsid w:val="00C747E1"/>
    <w:rsid w:val="00C74823"/>
    <w:rsid w:val="00C7484F"/>
    <w:rsid w:val="00C74856"/>
    <w:rsid w:val="00C748F1"/>
    <w:rsid w:val="00C74A3A"/>
    <w:rsid w:val="00C74A59"/>
    <w:rsid w:val="00C74AB5"/>
    <w:rsid w:val="00C74AFA"/>
    <w:rsid w:val="00C74B75"/>
    <w:rsid w:val="00C74C24"/>
    <w:rsid w:val="00C74D5C"/>
    <w:rsid w:val="00C74ED3"/>
    <w:rsid w:val="00C750A7"/>
    <w:rsid w:val="00C750A8"/>
    <w:rsid w:val="00C750AA"/>
    <w:rsid w:val="00C750EE"/>
    <w:rsid w:val="00C7522B"/>
    <w:rsid w:val="00C75260"/>
    <w:rsid w:val="00C752C1"/>
    <w:rsid w:val="00C754AE"/>
    <w:rsid w:val="00C75593"/>
    <w:rsid w:val="00C75785"/>
    <w:rsid w:val="00C757C2"/>
    <w:rsid w:val="00C75915"/>
    <w:rsid w:val="00C7595A"/>
    <w:rsid w:val="00C75A6C"/>
    <w:rsid w:val="00C75ADA"/>
    <w:rsid w:val="00C75BB3"/>
    <w:rsid w:val="00C75BEE"/>
    <w:rsid w:val="00C75C92"/>
    <w:rsid w:val="00C75E2C"/>
    <w:rsid w:val="00C75F81"/>
    <w:rsid w:val="00C75FAC"/>
    <w:rsid w:val="00C75FF6"/>
    <w:rsid w:val="00C7600C"/>
    <w:rsid w:val="00C76016"/>
    <w:rsid w:val="00C76018"/>
    <w:rsid w:val="00C76049"/>
    <w:rsid w:val="00C760CC"/>
    <w:rsid w:val="00C761CE"/>
    <w:rsid w:val="00C7624F"/>
    <w:rsid w:val="00C7628E"/>
    <w:rsid w:val="00C76350"/>
    <w:rsid w:val="00C76404"/>
    <w:rsid w:val="00C7641A"/>
    <w:rsid w:val="00C76458"/>
    <w:rsid w:val="00C764F1"/>
    <w:rsid w:val="00C7666A"/>
    <w:rsid w:val="00C767AF"/>
    <w:rsid w:val="00C76894"/>
    <w:rsid w:val="00C76923"/>
    <w:rsid w:val="00C769A6"/>
    <w:rsid w:val="00C769CC"/>
    <w:rsid w:val="00C76A4D"/>
    <w:rsid w:val="00C76A86"/>
    <w:rsid w:val="00C76C18"/>
    <w:rsid w:val="00C76CA1"/>
    <w:rsid w:val="00C76CCD"/>
    <w:rsid w:val="00C76D8C"/>
    <w:rsid w:val="00C76D93"/>
    <w:rsid w:val="00C76ED8"/>
    <w:rsid w:val="00C76EE8"/>
    <w:rsid w:val="00C7704B"/>
    <w:rsid w:val="00C77055"/>
    <w:rsid w:val="00C770F0"/>
    <w:rsid w:val="00C77129"/>
    <w:rsid w:val="00C77154"/>
    <w:rsid w:val="00C772C7"/>
    <w:rsid w:val="00C772EA"/>
    <w:rsid w:val="00C774D6"/>
    <w:rsid w:val="00C77578"/>
    <w:rsid w:val="00C7758A"/>
    <w:rsid w:val="00C77592"/>
    <w:rsid w:val="00C775C8"/>
    <w:rsid w:val="00C777BA"/>
    <w:rsid w:val="00C777BD"/>
    <w:rsid w:val="00C778C4"/>
    <w:rsid w:val="00C77942"/>
    <w:rsid w:val="00C77A35"/>
    <w:rsid w:val="00C77ADD"/>
    <w:rsid w:val="00C77B7A"/>
    <w:rsid w:val="00C77BA9"/>
    <w:rsid w:val="00C77DED"/>
    <w:rsid w:val="00C80151"/>
    <w:rsid w:val="00C80197"/>
    <w:rsid w:val="00C80230"/>
    <w:rsid w:val="00C80357"/>
    <w:rsid w:val="00C803A1"/>
    <w:rsid w:val="00C803CD"/>
    <w:rsid w:val="00C804F5"/>
    <w:rsid w:val="00C8056B"/>
    <w:rsid w:val="00C80618"/>
    <w:rsid w:val="00C80683"/>
    <w:rsid w:val="00C80693"/>
    <w:rsid w:val="00C80732"/>
    <w:rsid w:val="00C80957"/>
    <w:rsid w:val="00C809F7"/>
    <w:rsid w:val="00C80AA0"/>
    <w:rsid w:val="00C80B12"/>
    <w:rsid w:val="00C80B52"/>
    <w:rsid w:val="00C80B5F"/>
    <w:rsid w:val="00C80B99"/>
    <w:rsid w:val="00C80BD6"/>
    <w:rsid w:val="00C80C8F"/>
    <w:rsid w:val="00C80CA7"/>
    <w:rsid w:val="00C80CB9"/>
    <w:rsid w:val="00C80D12"/>
    <w:rsid w:val="00C80E60"/>
    <w:rsid w:val="00C80FA8"/>
    <w:rsid w:val="00C8102F"/>
    <w:rsid w:val="00C81076"/>
    <w:rsid w:val="00C810D0"/>
    <w:rsid w:val="00C81106"/>
    <w:rsid w:val="00C8111F"/>
    <w:rsid w:val="00C81216"/>
    <w:rsid w:val="00C8123A"/>
    <w:rsid w:val="00C813BE"/>
    <w:rsid w:val="00C813EF"/>
    <w:rsid w:val="00C81533"/>
    <w:rsid w:val="00C81562"/>
    <w:rsid w:val="00C81568"/>
    <w:rsid w:val="00C81583"/>
    <w:rsid w:val="00C8159C"/>
    <w:rsid w:val="00C815E3"/>
    <w:rsid w:val="00C815E7"/>
    <w:rsid w:val="00C81694"/>
    <w:rsid w:val="00C81741"/>
    <w:rsid w:val="00C8175C"/>
    <w:rsid w:val="00C817F7"/>
    <w:rsid w:val="00C81847"/>
    <w:rsid w:val="00C81A52"/>
    <w:rsid w:val="00C81AA1"/>
    <w:rsid w:val="00C81AB9"/>
    <w:rsid w:val="00C81AC2"/>
    <w:rsid w:val="00C81B0D"/>
    <w:rsid w:val="00C81B6C"/>
    <w:rsid w:val="00C81BA7"/>
    <w:rsid w:val="00C81C5C"/>
    <w:rsid w:val="00C81C9C"/>
    <w:rsid w:val="00C81D00"/>
    <w:rsid w:val="00C81D97"/>
    <w:rsid w:val="00C81DA5"/>
    <w:rsid w:val="00C81DC4"/>
    <w:rsid w:val="00C81E78"/>
    <w:rsid w:val="00C81F04"/>
    <w:rsid w:val="00C81F5C"/>
    <w:rsid w:val="00C81F91"/>
    <w:rsid w:val="00C82024"/>
    <w:rsid w:val="00C82051"/>
    <w:rsid w:val="00C82195"/>
    <w:rsid w:val="00C8225D"/>
    <w:rsid w:val="00C824FE"/>
    <w:rsid w:val="00C825C1"/>
    <w:rsid w:val="00C825C3"/>
    <w:rsid w:val="00C82635"/>
    <w:rsid w:val="00C82710"/>
    <w:rsid w:val="00C82842"/>
    <w:rsid w:val="00C8292B"/>
    <w:rsid w:val="00C82AE3"/>
    <w:rsid w:val="00C82CA1"/>
    <w:rsid w:val="00C82CB9"/>
    <w:rsid w:val="00C82D1A"/>
    <w:rsid w:val="00C82D54"/>
    <w:rsid w:val="00C82E24"/>
    <w:rsid w:val="00C82E5D"/>
    <w:rsid w:val="00C82E71"/>
    <w:rsid w:val="00C82EAD"/>
    <w:rsid w:val="00C82F1C"/>
    <w:rsid w:val="00C82F48"/>
    <w:rsid w:val="00C8326A"/>
    <w:rsid w:val="00C8329F"/>
    <w:rsid w:val="00C833BF"/>
    <w:rsid w:val="00C833CB"/>
    <w:rsid w:val="00C83446"/>
    <w:rsid w:val="00C83534"/>
    <w:rsid w:val="00C8362F"/>
    <w:rsid w:val="00C83637"/>
    <w:rsid w:val="00C8366D"/>
    <w:rsid w:val="00C836A8"/>
    <w:rsid w:val="00C836FB"/>
    <w:rsid w:val="00C83759"/>
    <w:rsid w:val="00C83792"/>
    <w:rsid w:val="00C83799"/>
    <w:rsid w:val="00C8397E"/>
    <w:rsid w:val="00C83A3A"/>
    <w:rsid w:val="00C83A8A"/>
    <w:rsid w:val="00C83B7F"/>
    <w:rsid w:val="00C83CA8"/>
    <w:rsid w:val="00C83DB3"/>
    <w:rsid w:val="00C83DD8"/>
    <w:rsid w:val="00C83E34"/>
    <w:rsid w:val="00C83E68"/>
    <w:rsid w:val="00C83E72"/>
    <w:rsid w:val="00C83F97"/>
    <w:rsid w:val="00C83FDC"/>
    <w:rsid w:val="00C84084"/>
    <w:rsid w:val="00C841D8"/>
    <w:rsid w:val="00C84213"/>
    <w:rsid w:val="00C84214"/>
    <w:rsid w:val="00C84235"/>
    <w:rsid w:val="00C84249"/>
    <w:rsid w:val="00C842A5"/>
    <w:rsid w:val="00C84402"/>
    <w:rsid w:val="00C846C1"/>
    <w:rsid w:val="00C8470B"/>
    <w:rsid w:val="00C84739"/>
    <w:rsid w:val="00C8479B"/>
    <w:rsid w:val="00C848F5"/>
    <w:rsid w:val="00C84A32"/>
    <w:rsid w:val="00C84A4D"/>
    <w:rsid w:val="00C84B6C"/>
    <w:rsid w:val="00C84CA1"/>
    <w:rsid w:val="00C84D03"/>
    <w:rsid w:val="00C84D4B"/>
    <w:rsid w:val="00C84D80"/>
    <w:rsid w:val="00C84E53"/>
    <w:rsid w:val="00C84E76"/>
    <w:rsid w:val="00C84F43"/>
    <w:rsid w:val="00C84FDA"/>
    <w:rsid w:val="00C852B8"/>
    <w:rsid w:val="00C852E4"/>
    <w:rsid w:val="00C8531C"/>
    <w:rsid w:val="00C853DC"/>
    <w:rsid w:val="00C853ED"/>
    <w:rsid w:val="00C85419"/>
    <w:rsid w:val="00C85464"/>
    <w:rsid w:val="00C855EF"/>
    <w:rsid w:val="00C856A4"/>
    <w:rsid w:val="00C8580A"/>
    <w:rsid w:val="00C8586F"/>
    <w:rsid w:val="00C85870"/>
    <w:rsid w:val="00C858E0"/>
    <w:rsid w:val="00C85A76"/>
    <w:rsid w:val="00C85CB4"/>
    <w:rsid w:val="00C85D10"/>
    <w:rsid w:val="00C85E91"/>
    <w:rsid w:val="00C860F6"/>
    <w:rsid w:val="00C86242"/>
    <w:rsid w:val="00C862A9"/>
    <w:rsid w:val="00C86395"/>
    <w:rsid w:val="00C86503"/>
    <w:rsid w:val="00C86526"/>
    <w:rsid w:val="00C86535"/>
    <w:rsid w:val="00C86547"/>
    <w:rsid w:val="00C865F7"/>
    <w:rsid w:val="00C86687"/>
    <w:rsid w:val="00C866C6"/>
    <w:rsid w:val="00C86879"/>
    <w:rsid w:val="00C86915"/>
    <w:rsid w:val="00C8696A"/>
    <w:rsid w:val="00C86A4F"/>
    <w:rsid w:val="00C86A52"/>
    <w:rsid w:val="00C86AC3"/>
    <w:rsid w:val="00C86AFD"/>
    <w:rsid w:val="00C86C2E"/>
    <w:rsid w:val="00C86C7D"/>
    <w:rsid w:val="00C86CE3"/>
    <w:rsid w:val="00C86D56"/>
    <w:rsid w:val="00C86DBB"/>
    <w:rsid w:val="00C86ED5"/>
    <w:rsid w:val="00C86F0E"/>
    <w:rsid w:val="00C870AA"/>
    <w:rsid w:val="00C870DC"/>
    <w:rsid w:val="00C8710B"/>
    <w:rsid w:val="00C871D2"/>
    <w:rsid w:val="00C8729E"/>
    <w:rsid w:val="00C872C0"/>
    <w:rsid w:val="00C873C8"/>
    <w:rsid w:val="00C873CE"/>
    <w:rsid w:val="00C873DB"/>
    <w:rsid w:val="00C8740A"/>
    <w:rsid w:val="00C8755C"/>
    <w:rsid w:val="00C8756D"/>
    <w:rsid w:val="00C875C8"/>
    <w:rsid w:val="00C87650"/>
    <w:rsid w:val="00C877BF"/>
    <w:rsid w:val="00C8780A"/>
    <w:rsid w:val="00C87953"/>
    <w:rsid w:val="00C87A9B"/>
    <w:rsid w:val="00C87AEA"/>
    <w:rsid w:val="00C87B7A"/>
    <w:rsid w:val="00C87BBB"/>
    <w:rsid w:val="00C87CFB"/>
    <w:rsid w:val="00C87D1A"/>
    <w:rsid w:val="00C87E58"/>
    <w:rsid w:val="00C9000F"/>
    <w:rsid w:val="00C90095"/>
    <w:rsid w:val="00C90161"/>
    <w:rsid w:val="00C90179"/>
    <w:rsid w:val="00C90187"/>
    <w:rsid w:val="00C901E1"/>
    <w:rsid w:val="00C901E5"/>
    <w:rsid w:val="00C90216"/>
    <w:rsid w:val="00C90338"/>
    <w:rsid w:val="00C9034A"/>
    <w:rsid w:val="00C9052E"/>
    <w:rsid w:val="00C90807"/>
    <w:rsid w:val="00C908D5"/>
    <w:rsid w:val="00C90905"/>
    <w:rsid w:val="00C9091E"/>
    <w:rsid w:val="00C909D3"/>
    <w:rsid w:val="00C90A4F"/>
    <w:rsid w:val="00C90A76"/>
    <w:rsid w:val="00C90A83"/>
    <w:rsid w:val="00C90AC7"/>
    <w:rsid w:val="00C90B7C"/>
    <w:rsid w:val="00C90B8E"/>
    <w:rsid w:val="00C90BC9"/>
    <w:rsid w:val="00C90BD1"/>
    <w:rsid w:val="00C90C83"/>
    <w:rsid w:val="00C90CA2"/>
    <w:rsid w:val="00C90FFF"/>
    <w:rsid w:val="00C9101B"/>
    <w:rsid w:val="00C91173"/>
    <w:rsid w:val="00C9117C"/>
    <w:rsid w:val="00C911F8"/>
    <w:rsid w:val="00C91263"/>
    <w:rsid w:val="00C912B5"/>
    <w:rsid w:val="00C91397"/>
    <w:rsid w:val="00C914A6"/>
    <w:rsid w:val="00C91857"/>
    <w:rsid w:val="00C9185C"/>
    <w:rsid w:val="00C91873"/>
    <w:rsid w:val="00C91919"/>
    <w:rsid w:val="00C919A7"/>
    <w:rsid w:val="00C91A7B"/>
    <w:rsid w:val="00C91B21"/>
    <w:rsid w:val="00C91B2A"/>
    <w:rsid w:val="00C91BF6"/>
    <w:rsid w:val="00C91D0E"/>
    <w:rsid w:val="00C91DA0"/>
    <w:rsid w:val="00C91EB6"/>
    <w:rsid w:val="00C92102"/>
    <w:rsid w:val="00C9216E"/>
    <w:rsid w:val="00C92243"/>
    <w:rsid w:val="00C92355"/>
    <w:rsid w:val="00C9235E"/>
    <w:rsid w:val="00C923C2"/>
    <w:rsid w:val="00C923D0"/>
    <w:rsid w:val="00C924D0"/>
    <w:rsid w:val="00C924E9"/>
    <w:rsid w:val="00C9255B"/>
    <w:rsid w:val="00C92717"/>
    <w:rsid w:val="00C92788"/>
    <w:rsid w:val="00C9289A"/>
    <w:rsid w:val="00C928D5"/>
    <w:rsid w:val="00C9291F"/>
    <w:rsid w:val="00C92B0D"/>
    <w:rsid w:val="00C92B22"/>
    <w:rsid w:val="00C92CAB"/>
    <w:rsid w:val="00C92E2D"/>
    <w:rsid w:val="00C92E4B"/>
    <w:rsid w:val="00C92E7D"/>
    <w:rsid w:val="00C92E91"/>
    <w:rsid w:val="00C92FB4"/>
    <w:rsid w:val="00C92FBB"/>
    <w:rsid w:val="00C93015"/>
    <w:rsid w:val="00C9302E"/>
    <w:rsid w:val="00C93096"/>
    <w:rsid w:val="00C931A1"/>
    <w:rsid w:val="00C931B0"/>
    <w:rsid w:val="00C9323C"/>
    <w:rsid w:val="00C93278"/>
    <w:rsid w:val="00C93283"/>
    <w:rsid w:val="00C93499"/>
    <w:rsid w:val="00C9349A"/>
    <w:rsid w:val="00C9353B"/>
    <w:rsid w:val="00C936FE"/>
    <w:rsid w:val="00C9388F"/>
    <w:rsid w:val="00C9389C"/>
    <w:rsid w:val="00C93940"/>
    <w:rsid w:val="00C939C3"/>
    <w:rsid w:val="00C93A03"/>
    <w:rsid w:val="00C93A60"/>
    <w:rsid w:val="00C93AD6"/>
    <w:rsid w:val="00C93AEE"/>
    <w:rsid w:val="00C93BF2"/>
    <w:rsid w:val="00C93C5C"/>
    <w:rsid w:val="00C93D11"/>
    <w:rsid w:val="00C93D74"/>
    <w:rsid w:val="00C93DBE"/>
    <w:rsid w:val="00C93E40"/>
    <w:rsid w:val="00C93E62"/>
    <w:rsid w:val="00C93F0E"/>
    <w:rsid w:val="00C93FD3"/>
    <w:rsid w:val="00C93FF8"/>
    <w:rsid w:val="00C94039"/>
    <w:rsid w:val="00C940F2"/>
    <w:rsid w:val="00C94161"/>
    <w:rsid w:val="00C94191"/>
    <w:rsid w:val="00C941BD"/>
    <w:rsid w:val="00C9420F"/>
    <w:rsid w:val="00C94391"/>
    <w:rsid w:val="00C943A6"/>
    <w:rsid w:val="00C9443C"/>
    <w:rsid w:val="00C94460"/>
    <w:rsid w:val="00C944DB"/>
    <w:rsid w:val="00C94645"/>
    <w:rsid w:val="00C947D3"/>
    <w:rsid w:val="00C947DA"/>
    <w:rsid w:val="00C94815"/>
    <w:rsid w:val="00C94852"/>
    <w:rsid w:val="00C948A5"/>
    <w:rsid w:val="00C949C4"/>
    <w:rsid w:val="00C949EB"/>
    <w:rsid w:val="00C94ABE"/>
    <w:rsid w:val="00C94AD4"/>
    <w:rsid w:val="00C94AEF"/>
    <w:rsid w:val="00C94B8B"/>
    <w:rsid w:val="00C94CD3"/>
    <w:rsid w:val="00C94CD9"/>
    <w:rsid w:val="00C94D2E"/>
    <w:rsid w:val="00C94D48"/>
    <w:rsid w:val="00C94E4F"/>
    <w:rsid w:val="00C94F92"/>
    <w:rsid w:val="00C95077"/>
    <w:rsid w:val="00C95080"/>
    <w:rsid w:val="00C951A1"/>
    <w:rsid w:val="00C951E3"/>
    <w:rsid w:val="00C952CA"/>
    <w:rsid w:val="00C95358"/>
    <w:rsid w:val="00C954AC"/>
    <w:rsid w:val="00C954B2"/>
    <w:rsid w:val="00C954C9"/>
    <w:rsid w:val="00C955C6"/>
    <w:rsid w:val="00C9561A"/>
    <w:rsid w:val="00C95699"/>
    <w:rsid w:val="00C9582F"/>
    <w:rsid w:val="00C95863"/>
    <w:rsid w:val="00C95884"/>
    <w:rsid w:val="00C958F5"/>
    <w:rsid w:val="00C95946"/>
    <w:rsid w:val="00C95AA6"/>
    <w:rsid w:val="00C95ADD"/>
    <w:rsid w:val="00C95BA3"/>
    <w:rsid w:val="00C95BE3"/>
    <w:rsid w:val="00C95C10"/>
    <w:rsid w:val="00C95C61"/>
    <w:rsid w:val="00C95CD8"/>
    <w:rsid w:val="00C95D17"/>
    <w:rsid w:val="00C95EA7"/>
    <w:rsid w:val="00C95ECE"/>
    <w:rsid w:val="00C95F29"/>
    <w:rsid w:val="00C95F74"/>
    <w:rsid w:val="00C95F8C"/>
    <w:rsid w:val="00C95FD2"/>
    <w:rsid w:val="00C960D5"/>
    <w:rsid w:val="00C96129"/>
    <w:rsid w:val="00C9615C"/>
    <w:rsid w:val="00C96252"/>
    <w:rsid w:val="00C96320"/>
    <w:rsid w:val="00C9645D"/>
    <w:rsid w:val="00C96498"/>
    <w:rsid w:val="00C96501"/>
    <w:rsid w:val="00C965A9"/>
    <w:rsid w:val="00C9661F"/>
    <w:rsid w:val="00C96653"/>
    <w:rsid w:val="00C966F3"/>
    <w:rsid w:val="00C96736"/>
    <w:rsid w:val="00C9689D"/>
    <w:rsid w:val="00C9698F"/>
    <w:rsid w:val="00C969D2"/>
    <w:rsid w:val="00C96C06"/>
    <w:rsid w:val="00C96C8F"/>
    <w:rsid w:val="00C96D69"/>
    <w:rsid w:val="00C96DA6"/>
    <w:rsid w:val="00C96E6E"/>
    <w:rsid w:val="00C96E8A"/>
    <w:rsid w:val="00C96F04"/>
    <w:rsid w:val="00C96F10"/>
    <w:rsid w:val="00C96F91"/>
    <w:rsid w:val="00C9702D"/>
    <w:rsid w:val="00C97038"/>
    <w:rsid w:val="00C9713D"/>
    <w:rsid w:val="00C97170"/>
    <w:rsid w:val="00C971AA"/>
    <w:rsid w:val="00C97273"/>
    <w:rsid w:val="00C9728F"/>
    <w:rsid w:val="00C972FE"/>
    <w:rsid w:val="00C97384"/>
    <w:rsid w:val="00C9748B"/>
    <w:rsid w:val="00C974DE"/>
    <w:rsid w:val="00C976FB"/>
    <w:rsid w:val="00C97794"/>
    <w:rsid w:val="00C977A6"/>
    <w:rsid w:val="00C97849"/>
    <w:rsid w:val="00C978BB"/>
    <w:rsid w:val="00C97936"/>
    <w:rsid w:val="00C97A3B"/>
    <w:rsid w:val="00C97ADA"/>
    <w:rsid w:val="00C97B20"/>
    <w:rsid w:val="00C97E97"/>
    <w:rsid w:val="00C97F55"/>
    <w:rsid w:val="00C97FDF"/>
    <w:rsid w:val="00CA00F8"/>
    <w:rsid w:val="00CA0132"/>
    <w:rsid w:val="00CA0194"/>
    <w:rsid w:val="00CA02F0"/>
    <w:rsid w:val="00CA037C"/>
    <w:rsid w:val="00CA044B"/>
    <w:rsid w:val="00CA05FE"/>
    <w:rsid w:val="00CA070F"/>
    <w:rsid w:val="00CA07AF"/>
    <w:rsid w:val="00CA098A"/>
    <w:rsid w:val="00CA0ACB"/>
    <w:rsid w:val="00CA0B2B"/>
    <w:rsid w:val="00CA0C32"/>
    <w:rsid w:val="00CA0C79"/>
    <w:rsid w:val="00CA0C92"/>
    <w:rsid w:val="00CA0CD5"/>
    <w:rsid w:val="00CA0DBA"/>
    <w:rsid w:val="00CA0DC8"/>
    <w:rsid w:val="00CA0FE5"/>
    <w:rsid w:val="00CA10CA"/>
    <w:rsid w:val="00CA10F8"/>
    <w:rsid w:val="00CA129D"/>
    <w:rsid w:val="00CA13EA"/>
    <w:rsid w:val="00CA1409"/>
    <w:rsid w:val="00CA1449"/>
    <w:rsid w:val="00CA15B4"/>
    <w:rsid w:val="00CA1602"/>
    <w:rsid w:val="00CA16B5"/>
    <w:rsid w:val="00CA16FF"/>
    <w:rsid w:val="00CA188E"/>
    <w:rsid w:val="00CA1999"/>
    <w:rsid w:val="00CA19A5"/>
    <w:rsid w:val="00CA1AB9"/>
    <w:rsid w:val="00CA1AD7"/>
    <w:rsid w:val="00CA1B63"/>
    <w:rsid w:val="00CA1C3D"/>
    <w:rsid w:val="00CA1E4D"/>
    <w:rsid w:val="00CA1FA0"/>
    <w:rsid w:val="00CA1FF0"/>
    <w:rsid w:val="00CA2187"/>
    <w:rsid w:val="00CA2221"/>
    <w:rsid w:val="00CA222D"/>
    <w:rsid w:val="00CA225D"/>
    <w:rsid w:val="00CA22CB"/>
    <w:rsid w:val="00CA22D5"/>
    <w:rsid w:val="00CA22F8"/>
    <w:rsid w:val="00CA2343"/>
    <w:rsid w:val="00CA2355"/>
    <w:rsid w:val="00CA2380"/>
    <w:rsid w:val="00CA23A4"/>
    <w:rsid w:val="00CA23BE"/>
    <w:rsid w:val="00CA2566"/>
    <w:rsid w:val="00CA2713"/>
    <w:rsid w:val="00CA291D"/>
    <w:rsid w:val="00CA2960"/>
    <w:rsid w:val="00CA2995"/>
    <w:rsid w:val="00CA29B7"/>
    <w:rsid w:val="00CA2A31"/>
    <w:rsid w:val="00CA2A6E"/>
    <w:rsid w:val="00CA2A8F"/>
    <w:rsid w:val="00CA2AEA"/>
    <w:rsid w:val="00CA2BF7"/>
    <w:rsid w:val="00CA2C02"/>
    <w:rsid w:val="00CA2C68"/>
    <w:rsid w:val="00CA2CD6"/>
    <w:rsid w:val="00CA2CDE"/>
    <w:rsid w:val="00CA2CE1"/>
    <w:rsid w:val="00CA2D90"/>
    <w:rsid w:val="00CA2F5A"/>
    <w:rsid w:val="00CA2F73"/>
    <w:rsid w:val="00CA2F95"/>
    <w:rsid w:val="00CA3056"/>
    <w:rsid w:val="00CA30A0"/>
    <w:rsid w:val="00CA30BE"/>
    <w:rsid w:val="00CA30F3"/>
    <w:rsid w:val="00CA3173"/>
    <w:rsid w:val="00CA319A"/>
    <w:rsid w:val="00CA3205"/>
    <w:rsid w:val="00CA3330"/>
    <w:rsid w:val="00CA3433"/>
    <w:rsid w:val="00CA34AB"/>
    <w:rsid w:val="00CA3596"/>
    <w:rsid w:val="00CA35E1"/>
    <w:rsid w:val="00CA35F0"/>
    <w:rsid w:val="00CA36C5"/>
    <w:rsid w:val="00CA36CB"/>
    <w:rsid w:val="00CA376B"/>
    <w:rsid w:val="00CA3798"/>
    <w:rsid w:val="00CA382A"/>
    <w:rsid w:val="00CA385E"/>
    <w:rsid w:val="00CA3893"/>
    <w:rsid w:val="00CA38AE"/>
    <w:rsid w:val="00CA39B7"/>
    <w:rsid w:val="00CA3A01"/>
    <w:rsid w:val="00CA3A3A"/>
    <w:rsid w:val="00CA3AF8"/>
    <w:rsid w:val="00CA3AFB"/>
    <w:rsid w:val="00CA3C1E"/>
    <w:rsid w:val="00CA3C8D"/>
    <w:rsid w:val="00CA3CCA"/>
    <w:rsid w:val="00CA3D34"/>
    <w:rsid w:val="00CA3DAD"/>
    <w:rsid w:val="00CA3EAB"/>
    <w:rsid w:val="00CA3F45"/>
    <w:rsid w:val="00CA40B8"/>
    <w:rsid w:val="00CA4183"/>
    <w:rsid w:val="00CA4195"/>
    <w:rsid w:val="00CA420A"/>
    <w:rsid w:val="00CA426B"/>
    <w:rsid w:val="00CA4276"/>
    <w:rsid w:val="00CA42F4"/>
    <w:rsid w:val="00CA432A"/>
    <w:rsid w:val="00CA4335"/>
    <w:rsid w:val="00CA43F1"/>
    <w:rsid w:val="00CA451E"/>
    <w:rsid w:val="00CA453E"/>
    <w:rsid w:val="00CA45E8"/>
    <w:rsid w:val="00CA45FD"/>
    <w:rsid w:val="00CA464F"/>
    <w:rsid w:val="00CA49E7"/>
    <w:rsid w:val="00CA4AE0"/>
    <w:rsid w:val="00CA4B30"/>
    <w:rsid w:val="00CA4B61"/>
    <w:rsid w:val="00CA4C47"/>
    <w:rsid w:val="00CA4D7B"/>
    <w:rsid w:val="00CA4F24"/>
    <w:rsid w:val="00CA4F25"/>
    <w:rsid w:val="00CA4FB3"/>
    <w:rsid w:val="00CA4FBF"/>
    <w:rsid w:val="00CA5138"/>
    <w:rsid w:val="00CA51A2"/>
    <w:rsid w:val="00CA51C9"/>
    <w:rsid w:val="00CA5214"/>
    <w:rsid w:val="00CA5267"/>
    <w:rsid w:val="00CA5272"/>
    <w:rsid w:val="00CA52B0"/>
    <w:rsid w:val="00CA532E"/>
    <w:rsid w:val="00CA53A3"/>
    <w:rsid w:val="00CA541E"/>
    <w:rsid w:val="00CA5522"/>
    <w:rsid w:val="00CA55C7"/>
    <w:rsid w:val="00CA560B"/>
    <w:rsid w:val="00CA572B"/>
    <w:rsid w:val="00CA58F6"/>
    <w:rsid w:val="00CA5A0B"/>
    <w:rsid w:val="00CA5AC6"/>
    <w:rsid w:val="00CA5BE4"/>
    <w:rsid w:val="00CA5C18"/>
    <w:rsid w:val="00CA5CBB"/>
    <w:rsid w:val="00CA5CD5"/>
    <w:rsid w:val="00CA5D16"/>
    <w:rsid w:val="00CA5D7E"/>
    <w:rsid w:val="00CA5D9A"/>
    <w:rsid w:val="00CA5ECB"/>
    <w:rsid w:val="00CA5EF9"/>
    <w:rsid w:val="00CA5F4F"/>
    <w:rsid w:val="00CA5F8B"/>
    <w:rsid w:val="00CA61A8"/>
    <w:rsid w:val="00CA61C4"/>
    <w:rsid w:val="00CA61C7"/>
    <w:rsid w:val="00CA6231"/>
    <w:rsid w:val="00CA62F1"/>
    <w:rsid w:val="00CA635D"/>
    <w:rsid w:val="00CA636F"/>
    <w:rsid w:val="00CA63D4"/>
    <w:rsid w:val="00CA6521"/>
    <w:rsid w:val="00CA6618"/>
    <w:rsid w:val="00CA66AC"/>
    <w:rsid w:val="00CA66CE"/>
    <w:rsid w:val="00CA672E"/>
    <w:rsid w:val="00CA679D"/>
    <w:rsid w:val="00CA68DA"/>
    <w:rsid w:val="00CA697D"/>
    <w:rsid w:val="00CA69E2"/>
    <w:rsid w:val="00CA6A20"/>
    <w:rsid w:val="00CA6A34"/>
    <w:rsid w:val="00CA6A48"/>
    <w:rsid w:val="00CA6ABC"/>
    <w:rsid w:val="00CA6B96"/>
    <w:rsid w:val="00CA6C08"/>
    <w:rsid w:val="00CA6C8A"/>
    <w:rsid w:val="00CA6D09"/>
    <w:rsid w:val="00CA6D0A"/>
    <w:rsid w:val="00CA6DAF"/>
    <w:rsid w:val="00CA6E63"/>
    <w:rsid w:val="00CA6F02"/>
    <w:rsid w:val="00CA6F47"/>
    <w:rsid w:val="00CA6F65"/>
    <w:rsid w:val="00CA706D"/>
    <w:rsid w:val="00CA709E"/>
    <w:rsid w:val="00CA709F"/>
    <w:rsid w:val="00CA71A7"/>
    <w:rsid w:val="00CA7252"/>
    <w:rsid w:val="00CA733B"/>
    <w:rsid w:val="00CA74D7"/>
    <w:rsid w:val="00CA74E7"/>
    <w:rsid w:val="00CA7532"/>
    <w:rsid w:val="00CA757E"/>
    <w:rsid w:val="00CA78B4"/>
    <w:rsid w:val="00CA7A0C"/>
    <w:rsid w:val="00CA7CAC"/>
    <w:rsid w:val="00CA7CDE"/>
    <w:rsid w:val="00CA7DEF"/>
    <w:rsid w:val="00CA7E1A"/>
    <w:rsid w:val="00CA7FE9"/>
    <w:rsid w:val="00CB0017"/>
    <w:rsid w:val="00CB002C"/>
    <w:rsid w:val="00CB00A9"/>
    <w:rsid w:val="00CB00D5"/>
    <w:rsid w:val="00CB01C5"/>
    <w:rsid w:val="00CB01C7"/>
    <w:rsid w:val="00CB01E5"/>
    <w:rsid w:val="00CB02C0"/>
    <w:rsid w:val="00CB02C3"/>
    <w:rsid w:val="00CB03F2"/>
    <w:rsid w:val="00CB03F3"/>
    <w:rsid w:val="00CB044A"/>
    <w:rsid w:val="00CB0453"/>
    <w:rsid w:val="00CB0507"/>
    <w:rsid w:val="00CB0583"/>
    <w:rsid w:val="00CB05E3"/>
    <w:rsid w:val="00CB07C6"/>
    <w:rsid w:val="00CB083B"/>
    <w:rsid w:val="00CB08EB"/>
    <w:rsid w:val="00CB092B"/>
    <w:rsid w:val="00CB0998"/>
    <w:rsid w:val="00CB0A11"/>
    <w:rsid w:val="00CB0A72"/>
    <w:rsid w:val="00CB0B1D"/>
    <w:rsid w:val="00CB0B36"/>
    <w:rsid w:val="00CB0D53"/>
    <w:rsid w:val="00CB0D84"/>
    <w:rsid w:val="00CB0D89"/>
    <w:rsid w:val="00CB0E73"/>
    <w:rsid w:val="00CB0F3F"/>
    <w:rsid w:val="00CB12FD"/>
    <w:rsid w:val="00CB139E"/>
    <w:rsid w:val="00CB1425"/>
    <w:rsid w:val="00CB1440"/>
    <w:rsid w:val="00CB14A2"/>
    <w:rsid w:val="00CB14B9"/>
    <w:rsid w:val="00CB1628"/>
    <w:rsid w:val="00CB16AD"/>
    <w:rsid w:val="00CB17C1"/>
    <w:rsid w:val="00CB1918"/>
    <w:rsid w:val="00CB197E"/>
    <w:rsid w:val="00CB19F4"/>
    <w:rsid w:val="00CB1A3B"/>
    <w:rsid w:val="00CB1AF0"/>
    <w:rsid w:val="00CB1BF7"/>
    <w:rsid w:val="00CB1CEF"/>
    <w:rsid w:val="00CB1DDB"/>
    <w:rsid w:val="00CB1E5D"/>
    <w:rsid w:val="00CB1E89"/>
    <w:rsid w:val="00CB1E9E"/>
    <w:rsid w:val="00CB1EBE"/>
    <w:rsid w:val="00CB1F96"/>
    <w:rsid w:val="00CB1FD0"/>
    <w:rsid w:val="00CB207F"/>
    <w:rsid w:val="00CB2165"/>
    <w:rsid w:val="00CB2226"/>
    <w:rsid w:val="00CB2363"/>
    <w:rsid w:val="00CB23A1"/>
    <w:rsid w:val="00CB24D2"/>
    <w:rsid w:val="00CB2501"/>
    <w:rsid w:val="00CB255E"/>
    <w:rsid w:val="00CB2572"/>
    <w:rsid w:val="00CB25F2"/>
    <w:rsid w:val="00CB2651"/>
    <w:rsid w:val="00CB272B"/>
    <w:rsid w:val="00CB275A"/>
    <w:rsid w:val="00CB2771"/>
    <w:rsid w:val="00CB2922"/>
    <w:rsid w:val="00CB29A7"/>
    <w:rsid w:val="00CB29E4"/>
    <w:rsid w:val="00CB2A69"/>
    <w:rsid w:val="00CB2B82"/>
    <w:rsid w:val="00CB2C65"/>
    <w:rsid w:val="00CB2D57"/>
    <w:rsid w:val="00CB2E1C"/>
    <w:rsid w:val="00CB2E5F"/>
    <w:rsid w:val="00CB2E70"/>
    <w:rsid w:val="00CB2E8B"/>
    <w:rsid w:val="00CB2F4B"/>
    <w:rsid w:val="00CB2F88"/>
    <w:rsid w:val="00CB2FF7"/>
    <w:rsid w:val="00CB3020"/>
    <w:rsid w:val="00CB30E0"/>
    <w:rsid w:val="00CB31E1"/>
    <w:rsid w:val="00CB3272"/>
    <w:rsid w:val="00CB3296"/>
    <w:rsid w:val="00CB335A"/>
    <w:rsid w:val="00CB33AE"/>
    <w:rsid w:val="00CB3454"/>
    <w:rsid w:val="00CB349B"/>
    <w:rsid w:val="00CB3692"/>
    <w:rsid w:val="00CB36D0"/>
    <w:rsid w:val="00CB371E"/>
    <w:rsid w:val="00CB375D"/>
    <w:rsid w:val="00CB37D9"/>
    <w:rsid w:val="00CB3891"/>
    <w:rsid w:val="00CB38F9"/>
    <w:rsid w:val="00CB39DB"/>
    <w:rsid w:val="00CB3A02"/>
    <w:rsid w:val="00CB3A2E"/>
    <w:rsid w:val="00CB3A80"/>
    <w:rsid w:val="00CB3AB2"/>
    <w:rsid w:val="00CB3ACE"/>
    <w:rsid w:val="00CB3B2C"/>
    <w:rsid w:val="00CB3CBE"/>
    <w:rsid w:val="00CB3D5F"/>
    <w:rsid w:val="00CB3DBC"/>
    <w:rsid w:val="00CB3DC0"/>
    <w:rsid w:val="00CB3E7D"/>
    <w:rsid w:val="00CB3F3F"/>
    <w:rsid w:val="00CB4002"/>
    <w:rsid w:val="00CB4013"/>
    <w:rsid w:val="00CB404E"/>
    <w:rsid w:val="00CB406C"/>
    <w:rsid w:val="00CB406F"/>
    <w:rsid w:val="00CB40BE"/>
    <w:rsid w:val="00CB416B"/>
    <w:rsid w:val="00CB419E"/>
    <w:rsid w:val="00CB4405"/>
    <w:rsid w:val="00CB4444"/>
    <w:rsid w:val="00CB44CD"/>
    <w:rsid w:val="00CB4546"/>
    <w:rsid w:val="00CB45CA"/>
    <w:rsid w:val="00CB45E7"/>
    <w:rsid w:val="00CB4600"/>
    <w:rsid w:val="00CB4672"/>
    <w:rsid w:val="00CB46F2"/>
    <w:rsid w:val="00CB4774"/>
    <w:rsid w:val="00CB4829"/>
    <w:rsid w:val="00CB4957"/>
    <w:rsid w:val="00CB49BA"/>
    <w:rsid w:val="00CB49C3"/>
    <w:rsid w:val="00CB4C3B"/>
    <w:rsid w:val="00CB4C4C"/>
    <w:rsid w:val="00CB4CFF"/>
    <w:rsid w:val="00CB4D04"/>
    <w:rsid w:val="00CB4E17"/>
    <w:rsid w:val="00CB4E9B"/>
    <w:rsid w:val="00CB4EBE"/>
    <w:rsid w:val="00CB4F8D"/>
    <w:rsid w:val="00CB501E"/>
    <w:rsid w:val="00CB5039"/>
    <w:rsid w:val="00CB5130"/>
    <w:rsid w:val="00CB5147"/>
    <w:rsid w:val="00CB51FA"/>
    <w:rsid w:val="00CB52AA"/>
    <w:rsid w:val="00CB52AE"/>
    <w:rsid w:val="00CB530A"/>
    <w:rsid w:val="00CB5498"/>
    <w:rsid w:val="00CB54BF"/>
    <w:rsid w:val="00CB551E"/>
    <w:rsid w:val="00CB552C"/>
    <w:rsid w:val="00CB567F"/>
    <w:rsid w:val="00CB579D"/>
    <w:rsid w:val="00CB57A7"/>
    <w:rsid w:val="00CB5861"/>
    <w:rsid w:val="00CB587D"/>
    <w:rsid w:val="00CB58E9"/>
    <w:rsid w:val="00CB591C"/>
    <w:rsid w:val="00CB59B2"/>
    <w:rsid w:val="00CB5A8B"/>
    <w:rsid w:val="00CB5B52"/>
    <w:rsid w:val="00CB5B60"/>
    <w:rsid w:val="00CB5BA7"/>
    <w:rsid w:val="00CB5CED"/>
    <w:rsid w:val="00CB5F5C"/>
    <w:rsid w:val="00CB5F6E"/>
    <w:rsid w:val="00CB6091"/>
    <w:rsid w:val="00CB6093"/>
    <w:rsid w:val="00CB60C9"/>
    <w:rsid w:val="00CB61DA"/>
    <w:rsid w:val="00CB640A"/>
    <w:rsid w:val="00CB6413"/>
    <w:rsid w:val="00CB644A"/>
    <w:rsid w:val="00CB64D6"/>
    <w:rsid w:val="00CB654C"/>
    <w:rsid w:val="00CB66BF"/>
    <w:rsid w:val="00CB672C"/>
    <w:rsid w:val="00CB67BF"/>
    <w:rsid w:val="00CB67D8"/>
    <w:rsid w:val="00CB6800"/>
    <w:rsid w:val="00CB68C2"/>
    <w:rsid w:val="00CB6984"/>
    <w:rsid w:val="00CB69C6"/>
    <w:rsid w:val="00CB6A2B"/>
    <w:rsid w:val="00CB6B24"/>
    <w:rsid w:val="00CB6BCE"/>
    <w:rsid w:val="00CB6C64"/>
    <w:rsid w:val="00CB6D6E"/>
    <w:rsid w:val="00CB6D80"/>
    <w:rsid w:val="00CB6D8E"/>
    <w:rsid w:val="00CB6E45"/>
    <w:rsid w:val="00CB6F6D"/>
    <w:rsid w:val="00CB7060"/>
    <w:rsid w:val="00CB7067"/>
    <w:rsid w:val="00CB70CA"/>
    <w:rsid w:val="00CB70F5"/>
    <w:rsid w:val="00CB71A6"/>
    <w:rsid w:val="00CB7319"/>
    <w:rsid w:val="00CB73E0"/>
    <w:rsid w:val="00CB7408"/>
    <w:rsid w:val="00CB7460"/>
    <w:rsid w:val="00CB74B6"/>
    <w:rsid w:val="00CB74F2"/>
    <w:rsid w:val="00CB7513"/>
    <w:rsid w:val="00CB7569"/>
    <w:rsid w:val="00CB7642"/>
    <w:rsid w:val="00CB7644"/>
    <w:rsid w:val="00CB7672"/>
    <w:rsid w:val="00CB7747"/>
    <w:rsid w:val="00CB776E"/>
    <w:rsid w:val="00CB780F"/>
    <w:rsid w:val="00CB7817"/>
    <w:rsid w:val="00CB7888"/>
    <w:rsid w:val="00CB799A"/>
    <w:rsid w:val="00CB79CC"/>
    <w:rsid w:val="00CB7A1D"/>
    <w:rsid w:val="00CB7AF3"/>
    <w:rsid w:val="00CB7C25"/>
    <w:rsid w:val="00CB7D0C"/>
    <w:rsid w:val="00CB7D15"/>
    <w:rsid w:val="00CB7D59"/>
    <w:rsid w:val="00CB7DD7"/>
    <w:rsid w:val="00CB7E5C"/>
    <w:rsid w:val="00CB7F1F"/>
    <w:rsid w:val="00CB7F41"/>
    <w:rsid w:val="00CB7F43"/>
    <w:rsid w:val="00CB7F9D"/>
    <w:rsid w:val="00CB7FD6"/>
    <w:rsid w:val="00CC0086"/>
    <w:rsid w:val="00CC014D"/>
    <w:rsid w:val="00CC01B3"/>
    <w:rsid w:val="00CC0268"/>
    <w:rsid w:val="00CC028E"/>
    <w:rsid w:val="00CC02F8"/>
    <w:rsid w:val="00CC0335"/>
    <w:rsid w:val="00CC0397"/>
    <w:rsid w:val="00CC0452"/>
    <w:rsid w:val="00CC04AD"/>
    <w:rsid w:val="00CC04EE"/>
    <w:rsid w:val="00CC06DC"/>
    <w:rsid w:val="00CC06F1"/>
    <w:rsid w:val="00CC07BB"/>
    <w:rsid w:val="00CC080C"/>
    <w:rsid w:val="00CC0928"/>
    <w:rsid w:val="00CC095B"/>
    <w:rsid w:val="00CC09CA"/>
    <w:rsid w:val="00CC0A42"/>
    <w:rsid w:val="00CC0A49"/>
    <w:rsid w:val="00CC0B30"/>
    <w:rsid w:val="00CC0B7C"/>
    <w:rsid w:val="00CC0CFB"/>
    <w:rsid w:val="00CC0E68"/>
    <w:rsid w:val="00CC0EAB"/>
    <w:rsid w:val="00CC10B9"/>
    <w:rsid w:val="00CC111D"/>
    <w:rsid w:val="00CC1284"/>
    <w:rsid w:val="00CC1326"/>
    <w:rsid w:val="00CC1331"/>
    <w:rsid w:val="00CC1401"/>
    <w:rsid w:val="00CC140A"/>
    <w:rsid w:val="00CC1435"/>
    <w:rsid w:val="00CC146D"/>
    <w:rsid w:val="00CC169E"/>
    <w:rsid w:val="00CC16C7"/>
    <w:rsid w:val="00CC18DC"/>
    <w:rsid w:val="00CC18EC"/>
    <w:rsid w:val="00CC18FE"/>
    <w:rsid w:val="00CC19BA"/>
    <w:rsid w:val="00CC1A0C"/>
    <w:rsid w:val="00CC1AA9"/>
    <w:rsid w:val="00CC1AAF"/>
    <w:rsid w:val="00CC1BA6"/>
    <w:rsid w:val="00CC1C92"/>
    <w:rsid w:val="00CC1CC4"/>
    <w:rsid w:val="00CC1CCA"/>
    <w:rsid w:val="00CC1DB1"/>
    <w:rsid w:val="00CC1DEA"/>
    <w:rsid w:val="00CC1E0A"/>
    <w:rsid w:val="00CC1E7F"/>
    <w:rsid w:val="00CC1EAC"/>
    <w:rsid w:val="00CC21AF"/>
    <w:rsid w:val="00CC221C"/>
    <w:rsid w:val="00CC23B2"/>
    <w:rsid w:val="00CC23ED"/>
    <w:rsid w:val="00CC23F2"/>
    <w:rsid w:val="00CC2435"/>
    <w:rsid w:val="00CC24C9"/>
    <w:rsid w:val="00CC24D5"/>
    <w:rsid w:val="00CC2578"/>
    <w:rsid w:val="00CC2680"/>
    <w:rsid w:val="00CC274D"/>
    <w:rsid w:val="00CC27A9"/>
    <w:rsid w:val="00CC27FC"/>
    <w:rsid w:val="00CC2883"/>
    <w:rsid w:val="00CC2CF8"/>
    <w:rsid w:val="00CC2D1F"/>
    <w:rsid w:val="00CC2D38"/>
    <w:rsid w:val="00CC2DB0"/>
    <w:rsid w:val="00CC2E0D"/>
    <w:rsid w:val="00CC2E0F"/>
    <w:rsid w:val="00CC2EC2"/>
    <w:rsid w:val="00CC2F42"/>
    <w:rsid w:val="00CC310C"/>
    <w:rsid w:val="00CC311E"/>
    <w:rsid w:val="00CC3161"/>
    <w:rsid w:val="00CC31D5"/>
    <w:rsid w:val="00CC323D"/>
    <w:rsid w:val="00CC338E"/>
    <w:rsid w:val="00CC340E"/>
    <w:rsid w:val="00CC3431"/>
    <w:rsid w:val="00CC34F6"/>
    <w:rsid w:val="00CC3535"/>
    <w:rsid w:val="00CC3638"/>
    <w:rsid w:val="00CC364C"/>
    <w:rsid w:val="00CC36D2"/>
    <w:rsid w:val="00CC3789"/>
    <w:rsid w:val="00CC3880"/>
    <w:rsid w:val="00CC3A3E"/>
    <w:rsid w:val="00CC3AC7"/>
    <w:rsid w:val="00CC3AEC"/>
    <w:rsid w:val="00CC3AF7"/>
    <w:rsid w:val="00CC3AFE"/>
    <w:rsid w:val="00CC3BBD"/>
    <w:rsid w:val="00CC3C57"/>
    <w:rsid w:val="00CC3D13"/>
    <w:rsid w:val="00CC3E19"/>
    <w:rsid w:val="00CC3ED6"/>
    <w:rsid w:val="00CC403F"/>
    <w:rsid w:val="00CC4102"/>
    <w:rsid w:val="00CC412E"/>
    <w:rsid w:val="00CC4214"/>
    <w:rsid w:val="00CC42FE"/>
    <w:rsid w:val="00CC441F"/>
    <w:rsid w:val="00CC4468"/>
    <w:rsid w:val="00CC4583"/>
    <w:rsid w:val="00CC4636"/>
    <w:rsid w:val="00CC4678"/>
    <w:rsid w:val="00CC4784"/>
    <w:rsid w:val="00CC4856"/>
    <w:rsid w:val="00CC4915"/>
    <w:rsid w:val="00CC493B"/>
    <w:rsid w:val="00CC4987"/>
    <w:rsid w:val="00CC4A22"/>
    <w:rsid w:val="00CC4B7F"/>
    <w:rsid w:val="00CC4C42"/>
    <w:rsid w:val="00CC4CEA"/>
    <w:rsid w:val="00CC4D0D"/>
    <w:rsid w:val="00CC4DFF"/>
    <w:rsid w:val="00CC4F36"/>
    <w:rsid w:val="00CC4F73"/>
    <w:rsid w:val="00CC4FCA"/>
    <w:rsid w:val="00CC5039"/>
    <w:rsid w:val="00CC50A4"/>
    <w:rsid w:val="00CC50AC"/>
    <w:rsid w:val="00CC5171"/>
    <w:rsid w:val="00CC51BC"/>
    <w:rsid w:val="00CC5308"/>
    <w:rsid w:val="00CC532A"/>
    <w:rsid w:val="00CC5377"/>
    <w:rsid w:val="00CC53B6"/>
    <w:rsid w:val="00CC53F9"/>
    <w:rsid w:val="00CC5475"/>
    <w:rsid w:val="00CC5534"/>
    <w:rsid w:val="00CC559E"/>
    <w:rsid w:val="00CC57E8"/>
    <w:rsid w:val="00CC57F9"/>
    <w:rsid w:val="00CC57FF"/>
    <w:rsid w:val="00CC5926"/>
    <w:rsid w:val="00CC5967"/>
    <w:rsid w:val="00CC59BB"/>
    <w:rsid w:val="00CC59FD"/>
    <w:rsid w:val="00CC5B2D"/>
    <w:rsid w:val="00CC5B43"/>
    <w:rsid w:val="00CC5BD2"/>
    <w:rsid w:val="00CC5C56"/>
    <w:rsid w:val="00CC5DBB"/>
    <w:rsid w:val="00CC5DC4"/>
    <w:rsid w:val="00CC5DFE"/>
    <w:rsid w:val="00CC5E3A"/>
    <w:rsid w:val="00CC5F3B"/>
    <w:rsid w:val="00CC5FB5"/>
    <w:rsid w:val="00CC5FEA"/>
    <w:rsid w:val="00CC6005"/>
    <w:rsid w:val="00CC6012"/>
    <w:rsid w:val="00CC60CA"/>
    <w:rsid w:val="00CC60DA"/>
    <w:rsid w:val="00CC60DE"/>
    <w:rsid w:val="00CC6139"/>
    <w:rsid w:val="00CC615D"/>
    <w:rsid w:val="00CC624B"/>
    <w:rsid w:val="00CC6265"/>
    <w:rsid w:val="00CC644D"/>
    <w:rsid w:val="00CC6451"/>
    <w:rsid w:val="00CC6569"/>
    <w:rsid w:val="00CC6603"/>
    <w:rsid w:val="00CC661A"/>
    <w:rsid w:val="00CC668D"/>
    <w:rsid w:val="00CC66AD"/>
    <w:rsid w:val="00CC672F"/>
    <w:rsid w:val="00CC6790"/>
    <w:rsid w:val="00CC682F"/>
    <w:rsid w:val="00CC68B3"/>
    <w:rsid w:val="00CC6B3D"/>
    <w:rsid w:val="00CC6B6F"/>
    <w:rsid w:val="00CC6BBC"/>
    <w:rsid w:val="00CC6BD1"/>
    <w:rsid w:val="00CC6D2C"/>
    <w:rsid w:val="00CC6E78"/>
    <w:rsid w:val="00CC6EC7"/>
    <w:rsid w:val="00CC6FD5"/>
    <w:rsid w:val="00CC70E4"/>
    <w:rsid w:val="00CC70F4"/>
    <w:rsid w:val="00CC71B4"/>
    <w:rsid w:val="00CC72D5"/>
    <w:rsid w:val="00CC736E"/>
    <w:rsid w:val="00CC739B"/>
    <w:rsid w:val="00CC7411"/>
    <w:rsid w:val="00CC7793"/>
    <w:rsid w:val="00CC780A"/>
    <w:rsid w:val="00CC7843"/>
    <w:rsid w:val="00CC7882"/>
    <w:rsid w:val="00CC78D9"/>
    <w:rsid w:val="00CC78EF"/>
    <w:rsid w:val="00CC7934"/>
    <w:rsid w:val="00CC7956"/>
    <w:rsid w:val="00CC79C3"/>
    <w:rsid w:val="00CC7AC2"/>
    <w:rsid w:val="00CC7B39"/>
    <w:rsid w:val="00CC7B5F"/>
    <w:rsid w:val="00CC7B95"/>
    <w:rsid w:val="00CC7B96"/>
    <w:rsid w:val="00CC7BDD"/>
    <w:rsid w:val="00CC7C25"/>
    <w:rsid w:val="00CC7D0E"/>
    <w:rsid w:val="00CC7E0C"/>
    <w:rsid w:val="00CC7E1B"/>
    <w:rsid w:val="00CC7E3B"/>
    <w:rsid w:val="00CC7EB0"/>
    <w:rsid w:val="00CC7F0C"/>
    <w:rsid w:val="00CC7F1F"/>
    <w:rsid w:val="00CC7F27"/>
    <w:rsid w:val="00CC7FF9"/>
    <w:rsid w:val="00CD0018"/>
    <w:rsid w:val="00CD00B0"/>
    <w:rsid w:val="00CD0114"/>
    <w:rsid w:val="00CD02DE"/>
    <w:rsid w:val="00CD03B0"/>
    <w:rsid w:val="00CD04E4"/>
    <w:rsid w:val="00CD05CE"/>
    <w:rsid w:val="00CD0641"/>
    <w:rsid w:val="00CD074B"/>
    <w:rsid w:val="00CD07D0"/>
    <w:rsid w:val="00CD0801"/>
    <w:rsid w:val="00CD0833"/>
    <w:rsid w:val="00CD0877"/>
    <w:rsid w:val="00CD08E4"/>
    <w:rsid w:val="00CD091C"/>
    <w:rsid w:val="00CD0A68"/>
    <w:rsid w:val="00CD0AF4"/>
    <w:rsid w:val="00CD0B62"/>
    <w:rsid w:val="00CD0BE8"/>
    <w:rsid w:val="00CD0D49"/>
    <w:rsid w:val="00CD0D69"/>
    <w:rsid w:val="00CD0DF3"/>
    <w:rsid w:val="00CD101D"/>
    <w:rsid w:val="00CD11DD"/>
    <w:rsid w:val="00CD1325"/>
    <w:rsid w:val="00CD1366"/>
    <w:rsid w:val="00CD141F"/>
    <w:rsid w:val="00CD144A"/>
    <w:rsid w:val="00CD14AC"/>
    <w:rsid w:val="00CD155C"/>
    <w:rsid w:val="00CD15D3"/>
    <w:rsid w:val="00CD1775"/>
    <w:rsid w:val="00CD186D"/>
    <w:rsid w:val="00CD194F"/>
    <w:rsid w:val="00CD1AB4"/>
    <w:rsid w:val="00CD1BD1"/>
    <w:rsid w:val="00CD1CE5"/>
    <w:rsid w:val="00CD1D19"/>
    <w:rsid w:val="00CD1D6F"/>
    <w:rsid w:val="00CD1EBD"/>
    <w:rsid w:val="00CD21B6"/>
    <w:rsid w:val="00CD227A"/>
    <w:rsid w:val="00CD22E7"/>
    <w:rsid w:val="00CD236A"/>
    <w:rsid w:val="00CD2395"/>
    <w:rsid w:val="00CD2454"/>
    <w:rsid w:val="00CD24A3"/>
    <w:rsid w:val="00CD2501"/>
    <w:rsid w:val="00CD257B"/>
    <w:rsid w:val="00CD263F"/>
    <w:rsid w:val="00CD266F"/>
    <w:rsid w:val="00CD2696"/>
    <w:rsid w:val="00CD2790"/>
    <w:rsid w:val="00CD27D3"/>
    <w:rsid w:val="00CD27F0"/>
    <w:rsid w:val="00CD28BD"/>
    <w:rsid w:val="00CD28D9"/>
    <w:rsid w:val="00CD292F"/>
    <w:rsid w:val="00CD294A"/>
    <w:rsid w:val="00CD29AA"/>
    <w:rsid w:val="00CD29E4"/>
    <w:rsid w:val="00CD2A88"/>
    <w:rsid w:val="00CD2B93"/>
    <w:rsid w:val="00CD2BE9"/>
    <w:rsid w:val="00CD2CE1"/>
    <w:rsid w:val="00CD2CE3"/>
    <w:rsid w:val="00CD2E04"/>
    <w:rsid w:val="00CD2FA5"/>
    <w:rsid w:val="00CD3020"/>
    <w:rsid w:val="00CD3088"/>
    <w:rsid w:val="00CD30CB"/>
    <w:rsid w:val="00CD30CE"/>
    <w:rsid w:val="00CD31ED"/>
    <w:rsid w:val="00CD31F8"/>
    <w:rsid w:val="00CD3271"/>
    <w:rsid w:val="00CD333D"/>
    <w:rsid w:val="00CD35D6"/>
    <w:rsid w:val="00CD36AD"/>
    <w:rsid w:val="00CD36BA"/>
    <w:rsid w:val="00CD36BE"/>
    <w:rsid w:val="00CD36F3"/>
    <w:rsid w:val="00CD3785"/>
    <w:rsid w:val="00CD37AC"/>
    <w:rsid w:val="00CD3889"/>
    <w:rsid w:val="00CD39CF"/>
    <w:rsid w:val="00CD3A34"/>
    <w:rsid w:val="00CD3AC0"/>
    <w:rsid w:val="00CD3C05"/>
    <w:rsid w:val="00CD3CA5"/>
    <w:rsid w:val="00CD3D61"/>
    <w:rsid w:val="00CD3DA4"/>
    <w:rsid w:val="00CD3DC4"/>
    <w:rsid w:val="00CD3E02"/>
    <w:rsid w:val="00CD3E26"/>
    <w:rsid w:val="00CD409F"/>
    <w:rsid w:val="00CD40F0"/>
    <w:rsid w:val="00CD40FF"/>
    <w:rsid w:val="00CD42C2"/>
    <w:rsid w:val="00CD42DF"/>
    <w:rsid w:val="00CD435E"/>
    <w:rsid w:val="00CD4405"/>
    <w:rsid w:val="00CD4413"/>
    <w:rsid w:val="00CD445E"/>
    <w:rsid w:val="00CD446B"/>
    <w:rsid w:val="00CD479A"/>
    <w:rsid w:val="00CD47AD"/>
    <w:rsid w:val="00CD4802"/>
    <w:rsid w:val="00CD4936"/>
    <w:rsid w:val="00CD49BB"/>
    <w:rsid w:val="00CD49D6"/>
    <w:rsid w:val="00CD49F2"/>
    <w:rsid w:val="00CD4C0B"/>
    <w:rsid w:val="00CD4C89"/>
    <w:rsid w:val="00CD4CCE"/>
    <w:rsid w:val="00CD4D70"/>
    <w:rsid w:val="00CD4DBA"/>
    <w:rsid w:val="00CD4E28"/>
    <w:rsid w:val="00CD4F31"/>
    <w:rsid w:val="00CD50E2"/>
    <w:rsid w:val="00CD51C8"/>
    <w:rsid w:val="00CD5294"/>
    <w:rsid w:val="00CD5305"/>
    <w:rsid w:val="00CD5389"/>
    <w:rsid w:val="00CD53B0"/>
    <w:rsid w:val="00CD53F5"/>
    <w:rsid w:val="00CD544E"/>
    <w:rsid w:val="00CD5574"/>
    <w:rsid w:val="00CD55B6"/>
    <w:rsid w:val="00CD55D1"/>
    <w:rsid w:val="00CD56E3"/>
    <w:rsid w:val="00CD5770"/>
    <w:rsid w:val="00CD57AE"/>
    <w:rsid w:val="00CD5858"/>
    <w:rsid w:val="00CD589F"/>
    <w:rsid w:val="00CD58AB"/>
    <w:rsid w:val="00CD590F"/>
    <w:rsid w:val="00CD5944"/>
    <w:rsid w:val="00CD59A4"/>
    <w:rsid w:val="00CD5BA1"/>
    <w:rsid w:val="00CD5BDB"/>
    <w:rsid w:val="00CD5D9D"/>
    <w:rsid w:val="00CD5E07"/>
    <w:rsid w:val="00CD5E89"/>
    <w:rsid w:val="00CD5ED2"/>
    <w:rsid w:val="00CD5F4F"/>
    <w:rsid w:val="00CD5F90"/>
    <w:rsid w:val="00CD60F0"/>
    <w:rsid w:val="00CD6104"/>
    <w:rsid w:val="00CD615A"/>
    <w:rsid w:val="00CD618E"/>
    <w:rsid w:val="00CD624C"/>
    <w:rsid w:val="00CD62A8"/>
    <w:rsid w:val="00CD641A"/>
    <w:rsid w:val="00CD6443"/>
    <w:rsid w:val="00CD648A"/>
    <w:rsid w:val="00CD656D"/>
    <w:rsid w:val="00CD6654"/>
    <w:rsid w:val="00CD66DC"/>
    <w:rsid w:val="00CD675B"/>
    <w:rsid w:val="00CD6809"/>
    <w:rsid w:val="00CD6854"/>
    <w:rsid w:val="00CD6872"/>
    <w:rsid w:val="00CD6904"/>
    <w:rsid w:val="00CD692C"/>
    <w:rsid w:val="00CD699B"/>
    <w:rsid w:val="00CD69AE"/>
    <w:rsid w:val="00CD69DD"/>
    <w:rsid w:val="00CD69FE"/>
    <w:rsid w:val="00CD6B11"/>
    <w:rsid w:val="00CD6B50"/>
    <w:rsid w:val="00CD6D14"/>
    <w:rsid w:val="00CD6D20"/>
    <w:rsid w:val="00CD6D51"/>
    <w:rsid w:val="00CD6D8E"/>
    <w:rsid w:val="00CD6E3E"/>
    <w:rsid w:val="00CD6F93"/>
    <w:rsid w:val="00CD6FE6"/>
    <w:rsid w:val="00CD7020"/>
    <w:rsid w:val="00CD709E"/>
    <w:rsid w:val="00CD7117"/>
    <w:rsid w:val="00CD7226"/>
    <w:rsid w:val="00CD72C3"/>
    <w:rsid w:val="00CD737B"/>
    <w:rsid w:val="00CD74D7"/>
    <w:rsid w:val="00CD7517"/>
    <w:rsid w:val="00CD75DC"/>
    <w:rsid w:val="00CD75F8"/>
    <w:rsid w:val="00CD764D"/>
    <w:rsid w:val="00CD7694"/>
    <w:rsid w:val="00CD773A"/>
    <w:rsid w:val="00CD774D"/>
    <w:rsid w:val="00CD777B"/>
    <w:rsid w:val="00CD781C"/>
    <w:rsid w:val="00CD783B"/>
    <w:rsid w:val="00CD787E"/>
    <w:rsid w:val="00CD797B"/>
    <w:rsid w:val="00CD79EC"/>
    <w:rsid w:val="00CD7A87"/>
    <w:rsid w:val="00CD7B6E"/>
    <w:rsid w:val="00CD7C03"/>
    <w:rsid w:val="00CD7D1E"/>
    <w:rsid w:val="00CD7DE6"/>
    <w:rsid w:val="00CD7ECA"/>
    <w:rsid w:val="00CD7FE2"/>
    <w:rsid w:val="00CE005B"/>
    <w:rsid w:val="00CE0147"/>
    <w:rsid w:val="00CE01C3"/>
    <w:rsid w:val="00CE0203"/>
    <w:rsid w:val="00CE0286"/>
    <w:rsid w:val="00CE02B8"/>
    <w:rsid w:val="00CE0367"/>
    <w:rsid w:val="00CE040D"/>
    <w:rsid w:val="00CE0423"/>
    <w:rsid w:val="00CE045C"/>
    <w:rsid w:val="00CE04BE"/>
    <w:rsid w:val="00CE0560"/>
    <w:rsid w:val="00CE05A6"/>
    <w:rsid w:val="00CE05B5"/>
    <w:rsid w:val="00CE063B"/>
    <w:rsid w:val="00CE06E8"/>
    <w:rsid w:val="00CE06FE"/>
    <w:rsid w:val="00CE070A"/>
    <w:rsid w:val="00CE0790"/>
    <w:rsid w:val="00CE0806"/>
    <w:rsid w:val="00CE08AC"/>
    <w:rsid w:val="00CE0916"/>
    <w:rsid w:val="00CE0951"/>
    <w:rsid w:val="00CE095F"/>
    <w:rsid w:val="00CE0980"/>
    <w:rsid w:val="00CE0999"/>
    <w:rsid w:val="00CE09CD"/>
    <w:rsid w:val="00CE0A22"/>
    <w:rsid w:val="00CE0A95"/>
    <w:rsid w:val="00CE0ADA"/>
    <w:rsid w:val="00CE0B30"/>
    <w:rsid w:val="00CE0B6F"/>
    <w:rsid w:val="00CE0B79"/>
    <w:rsid w:val="00CE0BC8"/>
    <w:rsid w:val="00CE0EC3"/>
    <w:rsid w:val="00CE0F3F"/>
    <w:rsid w:val="00CE0FBF"/>
    <w:rsid w:val="00CE1061"/>
    <w:rsid w:val="00CE1120"/>
    <w:rsid w:val="00CE11B7"/>
    <w:rsid w:val="00CE11CC"/>
    <w:rsid w:val="00CE122C"/>
    <w:rsid w:val="00CE12B2"/>
    <w:rsid w:val="00CE136E"/>
    <w:rsid w:val="00CE13CC"/>
    <w:rsid w:val="00CE13D0"/>
    <w:rsid w:val="00CE13DB"/>
    <w:rsid w:val="00CE13F4"/>
    <w:rsid w:val="00CE13F9"/>
    <w:rsid w:val="00CE15E2"/>
    <w:rsid w:val="00CE165B"/>
    <w:rsid w:val="00CE1780"/>
    <w:rsid w:val="00CE17A8"/>
    <w:rsid w:val="00CE1809"/>
    <w:rsid w:val="00CE18B3"/>
    <w:rsid w:val="00CE18D0"/>
    <w:rsid w:val="00CE1901"/>
    <w:rsid w:val="00CE19AF"/>
    <w:rsid w:val="00CE1A64"/>
    <w:rsid w:val="00CE1AF3"/>
    <w:rsid w:val="00CE1B63"/>
    <w:rsid w:val="00CE1B82"/>
    <w:rsid w:val="00CE1BF5"/>
    <w:rsid w:val="00CE1BFA"/>
    <w:rsid w:val="00CE1CB0"/>
    <w:rsid w:val="00CE1D18"/>
    <w:rsid w:val="00CE1E38"/>
    <w:rsid w:val="00CE1E7F"/>
    <w:rsid w:val="00CE1EA0"/>
    <w:rsid w:val="00CE1ED3"/>
    <w:rsid w:val="00CE1F11"/>
    <w:rsid w:val="00CE1F99"/>
    <w:rsid w:val="00CE21BC"/>
    <w:rsid w:val="00CE21DA"/>
    <w:rsid w:val="00CE21E2"/>
    <w:rsid w:val="00CE21EC"/>
    <w:rsid w:val="00CE22C6"/>
    <w:rsid w:val="00CE23A5"/>
    <w:rsid w:val="00CE23B5"/>
    <w:rsid w:val="00CE23BF"/>
    <w:rsid w:val="00CE246C"/>
    <w:rsid w:val="00CE2480"/>
    <w:rsid w:val="00CE2530"/>
    <w:rsid w:val="00CE26A7"/>
    <w:rsid w:val="00CE27B7"/>
    <w:rsid w:val="00CE2883"/>
    <w:rsid w:val="00CE2888"/>
    <w:rsid w:val="00CE2924"/>
    <w:rsid w:val="00CE299B"/>
    <w:rsid w:val="00CE29A8"/>
    <w:rsid w:val="00CE29C3"/>
    <w:rsid w:val="00CE2BF1"/>
    <w:rsid w:val="00CE2CD9"/>
    <w:rsid w:val="00CE2D61"/>
    <w:rsid w:val="00CE2DB0"/>
    <w:rsid w:val="00CE2E52"/>
    <w:rsid w:val="00CE2E74"/>
    <w:rsid w:val="00CE2F72"/>
    <w:rsid w:val="00CE2F78"/>
    <w:rsid w:val="00CE2FE2"/>
    <w:rsid w:val="00CE3048"/>
    <w:rsid w:val="00CE3099"/>
    <w:rsid w:val="00CE3166"/>
    <w:rsid w:val="00CE3179"/>
    <w:rsid w:val="00CE3201"/>
    <w:rsid w:val="00CE324B"/>
    <w:rsid w:val="00CE32F5"/>
    <w:rsid w:val="00CE3312"/>
    <w:rsid w:val="00CE3344"/>
    <w:rsid w:val="00CE33B4"/>
    <w:rsid w:val="00CE3419"/>
    <w:rsid w:val="00CE3464"/>
    <w:rsid w:val="00CE34DF"/>
    <w:rsid w:val="00CE351B"/>
    <w:rsid w:val="00CE357F"/>
    <w:rsid w:val="00CE35E6"/>
    <w:rsid w:val="00CE36A5"/>
    <w:rsid w:val="00CE3893"/>
    <w:rsid w:val="00CE39BB"/>
    <w:rsid w:val="00CE39E0"/>
    <w:rsid w:val="00CE39F1"/>
    <w:rsid w:val="00CE39FB"/>
    <w:rsid w:val="00CE3A1D"/>
    <w:rsid w:val="00CE3AE3"/>
    <w:rsid w:val="00CE3AE5"/>
    <w:rsid w:val="00CE3CCE"/>
    <w:rsid w:val="00CE3D6F"/>
    <w:rsid w:val="00CE3D88"/>
    <w:rsid w:val="00CE3DD1"/>
    <w:rsid w:val="00CE3E26"/>
    <w:rsid w:val="00CE3ED1"/>
    <w:rsid w:val="00CE3FCF"/>
    <w:rsid w:val="00CE4031"/>
    <w:rsid w:val="00CE4116"/>
    <w:rsid w:val="00CE4217"/>
    <w:rsid w:val="00CE4231"/>
    <w:rsid w:val="00CE42B6"/>
    <w:rsid w:val="00CE42E2"/>
    <w:rsid w:val="00CE42E5"/>
    <w:rsid w:val="00CE42F3"/>
    <w:rsid w:val="00CE46AE"/>
    <w:rsid w:val="00CE4780"/>
    <w:rsid w:val="00CE47A4"/>
    <w:rsid w:val="00CE4963"/>
    <w:rsid w:val="00CE49FE"/>
    <w:rsid w:val="00CE4A2A"/>
    <w:rsid w:val="00CE4B67"/>
    <w:rsid w:val="00CE4BFD"/>
    <w:rsid w:val="00CE4C54"/>
    <w:rsid w:val="00CE4DEF"/>
    <w:rsid w:val="00CE4DF3"/>
    <w:rsid w:val="00CE4E24"/>
    <w:rsid w:val="00CE4E30"/>
    <w:rsid w:val="00CE4E57"/>
    <w:rsid w:val="00CE4EBE"/>
    <w:rsid w:val="00CE4EC2"/>
    <w:rsid w:val="00CE4EE7"/>
    <w:rsid w:val="00CE4EF1"/>
    <w:rsid w:val="00CE5082"/>
    <w:rsid w:val="00CE509B"/>
    <w:rsid w:val="00CE50FB"/>
    <w:rsid w:val="00CE51BF"/>
    <w:rsid w:val="00CE521B"/>
    <w:rsid w:val="00CE5255"/>
    <w:rsid w:val="00CE5257"/>
    <w:rsid w:val="00CE527B"/>
    <w:rsid w:val="00CE52B7"/>
    <w:rsid w:val="00CE5350"/>
    <w:rsid w:val="00CE538E"/>
    <w:rsid w:val="00CE53B2"/>
    <w:rsid w:val="00CE54AE"/>
    <w:rsid w:val="00CE560B"/>
    <w:rsid w:val="00CE563A"/>
    <w:rsid w:val="00CE56CA"/>
    <w:rsid w:val="00CE578E"/>
    <w:rsid w:val="00CE592C"/>
    <w:rsid w:val="00CE5A68"/>
    <w:rsid w:val="00CE5AA9"/>
    <w:rsid w:val="00CE5B4D"/>
    <w:rsid w:val="00CE5B7C"/>
    <w:rsid w:val="00CE5CA0"/>
    <w:rsid w:val="00CE5D41"/>
    <w:rsid w:val="00CE5D63"/>
    <w:rsid w:val="00CE5DC1"/>
    <w:rsid w:val="00CE5E43"/>
    <w:rsid w:val="00CE5EE5"/>
    <w:rsid w:val="00CE5F13"/>
    <w:rsid w:val="00CE5FB9"/>
    <w:rsid w:val="00CE6078"/>
    <w:rsid w:val="00CE60ED"/>
    <w:rsid w:val="00CE6217"/>
    <w:rsid w:val="00CE64D9"/>
    <w:rsid w:val="00CE6506"/>
    <w:rsid w:val="00CE65CF"/>
    <w:rsid w:val="00CE6665"/>
    <w:rsid w:val="00CE666E"/>
    <w:rsid w:val="00CE669D"/>
    <w:rsid w:val="00CE6798"/>
    <w:rsid w:val="00CE67A0"/>
    <w:rsid w:val="00CE67DF"/>
    <w:rsid w:val="00CE67FA"/>
    <w:rsid w:val="00CE6829"/>
    <w:rsid w:val="00CE68D5"/>
    <w:rsid w:val="00CE6AEA"/>
    <w:rsid w:val="00CE6B4F"/>
    <w:rsid w:val="00CE6BCC"/>
    <w:rsid w:val="00CE6BD4"/>
    <w:rsid w:val="00CE6C75"/>
    <w:rsid w:val="00CE6CCE"/>
    <w:rsid w:val="00CE6D6D"/>
    <w:rsid w:val="00CE6EF5"/>
    <w:rsid w:val="00CE6F35"/>
    <w:rsid w:val="00CE7097"/>
    <w:rsid w:val="00CE7119"/>
    <w:rsid w:val="00CE71DF"/>
    <w:rsid w:val="00CE7210"/>
    <w:rsid w:val="00CE72C4"/>
    <w:rsid w:val="00CE733D"/>
    <w:rsid w:val="00CE7363"/>
    <w:rsid w:val="00CE7428"/>
    <w:rsid w:val="00CE7439"/>
    <w:rsid w:val="00CE763C"/>
    <w:rsid w:val="00CE7699"/>
    <w:rsid w:val="00CE775E"/>
    <w:rsid w:val="00CE7805"/>
    <w:rsid w:val="00CE785E"/>
    <w:rsid w:val="00CE78DE"/>
    <w:rsid w:val="00CE79A5"/>
    <w:rsid w:val="00CE79D9"/>
    <w:rsid w:val="00CE7A83"/>
    <w:rsid w:val="00CE7B52"/>
    <w:rsid w:val="00CE7C3A"/>
    <w:rsid w:val="00CE7C67"/>
    <w:rsid w:val="00CE7C76"/>
    <w:rsid w:val="00CE7C98"/>
    <w:rsid w:val="00CE7DCC"/>
    <w:rsid w:val="00CE7E2A"/>
    <w:rsid w:val="00CE7E94"/>
    <w:rsid w:val="00CE7EAF"/>
    <w:rsid w:val="00CE7EBD"/>
    <w:rsid w:val="00CE7F0F"/>
    <w:rsid w:val="00CE7FE4"/>
    <w:rsid w:val="00CF0082"/>
    <w:rsid w:val="00CF0149"/>
    <w:rsid w:val="00CF0153"/>
    <w:rsid w:val="00CF01A5"/>
    <w:rsid w:val="00CF01CF"/>
    <w:rsid w:val="00CF024B"/>
    <w:rsid w:val="00CF047A"/>
    <w:rsid w:val="00CF0591"/>
    <w:rsid w:val="00CF0763"/>
    <w:rsid w:val="00CF077D"/>
    <w:rsid w:val="00CF079F"/>
    <w:rsid w:val="00CF07F2"/>
    <w:rsid w:val="00CF0807"/>
    <w:rsid w:val="00CF085E"/>
    <w:rsid w:val="00CF0863"/>
    <w:rsid w:val="00CF08A0"/>
    <w:rsid w:val="00CF08BA"/>
    <w:rsid w:val="00CF0A4B"/>
    <w:rsid w:val="00CF0A96"/>
    <w:rsid w:val="00CF0AE5"/>
    <w:rsid w:val="00CF0B36"/>
    <w:rsid w:val="00CF0C11"/>
    <w:rsid w:val="00CF0C6C"/>
    <w:rsid w:val="00CF0CA8"/>
    <w:rsid w:val="00CF0CB2"/>
    <w:rsid w:val="00CF0CE0"/>
    <w:rsid w:val="00CF0D27"/>
    <w:rsid w:val="00CF0DD5"/>
    <w:rsid w:val="00CF0DF8"/>
    <w:rsid w:val="00CF0EF2"/>
    <w:rsid w:val="00CF0F05"/>
    <w:rsid w:val="00CF0FF2"/>
    <w:rsid w:val="00CF1094"/>
    <w:rsid w:val="00CF10EC"/>
    <w:rsid w:val="00CF1115"/>
    <w:rsid w:val="00CF1182"/>
    <w:rsid w:val="00CF124F"/>
    <w:rsid w:val="00CF1479"/>
    <w:rsid w:val="00CF149B"/>
    <w:rsid w:val="00CF14A2"/>
    <w:rsid w:val="00CF14CE"/>
    <w:rsid w:val="00CF14FE"/>
    <w:rsid w:val="00CF1550"/>
    <w:rsid w:val="00CF1659"/>
    <w:rsid w:val="00CF166B"/>
    <w:rsid w:val="00CF1708"/>
    <w:rsid w:val="00CF17E0"/>
    <w:rsid w:val="00CF18BA"/>
    <w:rsid w:val="00CF18DC"/>
    <w:rsid w:val="00CF1BB2"/>
    <w:rsid w:val="00CF1BBF"/>
    <w:rsid w:val="00CF1CC9"/>
    <w:rsid w:val="00CF1D8D"/>
    <w:rsid w:val="00CF1E8A"/>
    <w:rsid w:val="00CF1E96"/>
    <w:rsid w:val="00CF1EAC"/>
    <w:rsid w:val="00CF1EE8"/>
    <w:rsid w:val="00CF1F2F"/>
    <w:rsid w:val="00CF1FD0"/>
    <w:rsid w:val="00CF1FE1"/>
    <w:rsid w:val="00CF218B"/>
    <w:rsid w:val="00CF22B0"/>
    <w:rsid w:val="00CF2316"/>
    <w:rsid w:val="00CF233C"/>
    <w:rsid w:val="00CF2436"/>
    <w:rsid w:val="00CF254F"/>
    <w:rsid w:val="00CF25ED"/>
    <w:rsid w:val="00CF2639"/>
    <w:rsid w:val="00CF27F1"/>
    <w:rsid w:val="00CF2812"/>
    <w:rsid w:val="00CF28F7"/>
    <w:rsid w:val="00CF2991"/>
    <w:rsid w:val="00CF29BB"/>
    <w:rsid w:val="00CF29C9"/>
    <w:rsid w:val="00CF29DD"/>
    <w:rsid w:val="00CF2AC3"/>
    <w:rsid w:val="00CF2AE1"/>
    <w:rsid w:val="00CF2B2C"/>
    <w:rsid w:val="00CF2E05"/>
    <w:rsid w:val="00CF2E8E"/>
    <w:rsid w:val="00CF2F69"/>
    <w:rsid w:val="00CF307D"/>
    <w:rsid w:val="00CF316E"/>
    <w:rsid w:val="00CF31AE"/>
    <w:rsid w:val="00CF31C9"/>
    <w:rsid w:val="00CF31E2"/>
    <w:rsid w:val="00CF3276"/>
    <w:rsid w:val="00CF3310"/>
    <w:rsid w:val="00CF3342"/>
    <w:rsid w:val="00CF33BB"/>
    <w:rsid w:val="00CF3584"/>
    <w:rsid w:val="00CF3691"/>
    <w:rsid w:val="00CF3699"/>
    <w:rsid w:val="00CF36F9"/>
    <w:rsid w:val="00CF37A4"/>
    <w:rsid w:val="00CF37AE"/>
    <w:rsid w:val="00CF3837"/>
    <w:rsid w:val="00CF3B33"/>
    <w:rsid w:val="00CF3B65"/>
    <w:rsid w:val="00CF3BA8"/>
    <w:rsid w:val="00CF3BE7"/>
    <w:rsid w:val="00CF3C0D"/>
    <w:rsid w:val="00CF3C34"/>
    <w:rsid w:val="00CF3C73"/>
    <w:rsid w:val="00CF3CAE"/>
    <w:rsid w:val="00CF3CEA"/>
    <w:rsid w:val="00CF3CED"/>
    <w:rsid w:val="00CF3D1C"/>
    <w:rsid w:val="00CF3D3F"/>
    <w:rsid w:val="00CF40AD"/>
    <w:rsid w:val="00CF4269"/>
    <w:rsid w:val="00CF43CD"/>
    <w:rsid w:val="00CF4428"/>
    <w:rsid w:val="00CF442B"/>
    <w:rsid w:val="00CF447D"/>
    <w:rsid w:val="00CF462D"/>
    <w:rsid w:val="00CF4698"/>
    <w:rsid w:val="00CF47DC"/>
    <w:rsid w:val="00CF47DF"/>
    <w:rsid w:val="00CF4825"/>
    <w:rsid w:val="00CF484D"/>
    <w:rsid w:val="00CF4877"/>
    <w:rsid w:val="00CF496B"/>
    <w:rsid w:val="00CF4973"/>
    <w:rsid w:val="00CF4A19"/>
    <w:rsid w:val="00CF4B8E"/>
    <w:rsid w:val="00CF4B92"/>
    <w:rsid w:val="00CF4CD9"/>
    <w:rsid w:val="00CF4DA0"/>
    <w:rsid w:val="00CF52D7"/>
    <w:rsid w:val="00CF540B"/>
    <w:rsid w:val="00CF549F"/>
    <w:rsid w:val="00CF567F"/>
    <w:rsid w:val="00CF577D"/>
    <w:rsid w:val="00CF57B3"/>
    <w:rsid w:val="00CF57C9"/>
    <w:rsid w:val="00CF5866"/>
    <w:rsid w:val="00CF5868"/>
    <w:rsid w:val="00CF5920"/>
    <w:rsid w:val="00CF599A"/>
    <w:rsid w:val="00CF5C81"/>
    <w:rsid w:val="00CF5D4B"/>
    <w:rsid w:val="00CF5EC6"/>
    <w:rsid w:val="00CF5F4C"/>
    <w:rsid w:val="00CF5F7E"/>
    <w:rsid w:val="00CF5FFC"/>
    <w:rsid w:val="00CF600D"/>
    <w:rsid w:val="00CF606D"/>
    <w:rsid w:val="00CF60FB"/>
    <w:rsid w:val="00CF6132"/>
    <w:rsid w:val="00CF6133"/>
    <w:rsid w:val="00CF618A"/>
    <w:rsid w:val="00CF62F8"/>
    <w:rsid w:val="00CF6458"/>
    <w:rsid w:val="00CF6468"/>
    <w:rsid w:val="00CF653A"/>
    <w:rsid w:val="00CF6588"/>
    <w:rsid w:val="00CF65E1"/>
    <w:rsid w:val="00CF67B8"/>
    <w:rsid w:val="00CF698A"/>
    <w:rsid w:val="00CF69C8"/>
    <w:rsid w:val="00CF6B1C"/>
    <w:rsid w:val="00CF6C69"/>
    <w:rsid w:val="00CF6E12"/>
    <w:rsid w:val="00CF6E3A"/>
    <w:rsid w:val="00CF6E3F"/>
    <w:rsid w:val="00CF6F37"/>
    <w:rsid w:val="00CF6F59"/>
    <w:rsid w:val="00CF6F5E"/>
    <w:rsid w:val="00CF7113"/>
    <w:rsid w:val="00CF714C"/>
    <w:rsid w:val="00CF7265"/>
    <w:rsid w:val="00CF7379"/>
    <w:rsid w:val="00CF7387"/>
    <w:rsid w:val="00CF7392"/>
    <w:rsid w:val="00CF7424"/>
    <w:rsid w:val="00CF749E"/>
    <w:rsid w:val="00CF7574"/>
    <w:rsid w:val="00CF75EF"/>
    <w:rsid w:val="00CF762A"/>
    <w:rsid w:val="00CF7698"/>
    <w:rsid w:val="00CF76D6"/>
    <w:rsid w:val="00CF792C"/>
    <w:rsid w:val="00CF7AA0"/>
    <w:rsid w:val="00CF7BFF"/>
    <w:rsid w:val="00CF7C19"/>
    <w:rsid w:val="00CF7CA6"/>
    <w:rsid w:val="00CF7CD8"/>
    <w:rsid w:val="00CF7D2A"/>
    <w:rsid w:val="00CF7D8A"/>
    <w:rsid w:val="00CF7DAB"/>
    <w:rsid w:val="00CF7DFD"/>
    <w:rsid w:val="00CF7E1F"/>
    <w:rsid w:val="00CF7E87"/>
    <w:rsid w:val="00CF7EA3"/>
    <w:rsid w:val="00CF7F1B"/>
    <w:rsid w:val="00CF7F88"/>
    <w:rsid w:val="00CF7F95"/>
    <w:rsid w:val="00CF7FB2"/>
    <w:rsid w:val="00CF7FD2"/>
    <w:rsid w:val="00D000F6"/>
    <w:rsid w:val="00D00188"/>
    <w:rsid w:val="00D00245"/>
    <w:rsid w:val="00D002B9"/>
    <w:rsid w:val="00D002E9"/>
    <w:rsid w:val="00D003E8"/>
    <w:rsid w:val="00D00481"/>
    <w:rsid w:val="00D004F9"/>
    <w:rsid w:val="00D0050E"/>
    <w:rsid w:val="00D0051D"/>
    <w:rsid w:val="00D0056E"/>
    <w:rsid w:val="00D006DA"/>
    <w:rsid w:val="00D00751"/>
    <w:rsid w:val="00D007C6"/>
    <w:rsid w:val="00D0084A"/>
    <w:rsid w:val="00D008DF"/>
    <w:rsid w:val="00D00A3A"/>
    <w:rsid w:val="00D00A60"/>
    <w:rsid w:val="00D00A8F"/>
    <w:rsid w:val="00D00AAB"/>
    <w:rsid w:val="00D00B0C"/>
    <w:rsid w:val="00D00B44"/>
    <w:rsid w:val="00D00BA5"/>
    <w:rsid w:val="00D00C71"/>
    <w:rsid w:val="00D00DBB"/>
    <w:rsid w:val="00D00E31"/>
    <w:rsid w:val="00D00E8F"/>
    <w:rsid w:val="00D00EAF"/>
    <w:rsid w:val="00D00FA5"/>
    <w:rsid w:val="00D00FCA"/>
    <w:rsid w:val="00D01076"/>
    <w:rsid w:val="00D010EF"/>
    <w:rsid w:val="00D01172"/>
    <w:rsid w:val="00D0124A"/>
    <w:rsid w:val="00D01370"/>
    <w:rsid w:val="00D013C1"/>
    <w:rsid w:val="00D013EC"/>
    <w:rsid w:val="00D01552"/>
    <w:rsid w:val="00D01599"/>
    <w:rsid w:val="00D01689"/>
    <w:rsid w:val="00D016FC"/>
    <w:rsid w:val="00D01755"/>
    <w:rsid w:val="00D01760"/>
    <w:rsid w:val="00D01950"/>
    <w:rsid w:val="00D019CE"/>
    <w:rsid w:val="00D01A4C"/>
    <w:rsid w:val="00D01A96"/>
    <w:rsid w:val="00D01B7B"/>
    <w:rsid w:val="00D01BBC"/>
    <w:rsid w:val="00D01CB6"/>
    <w:rsid w:val="00D0200B"/>
    <w:rsid w:val="00D0201B"/>
    <w:rsid w:val="00D020A0"/>
    <w:rsid w:val="00D020C3"/>
    <w:rsid w:val="00D02170"/>
    <w:rsid w:val="00D0222F"/>
    <w:rsid w:val="00D0230A"/>
    <w:rsid w:val="00D02325"/>
    <w:rsid w:val="00D02399"/>
    <w:rsid w:val="00D0246E"/>
    <w:rsid w:val="00D02507"/>
    <w:rsid w:val="00D025EA"/>
    <w:rsid w:val="00D026C4"/>
    <w:rsid w:val="00D0281C"/>
    <w:rsid w:val="00D02925"/>
    <w:rsid w:val="00D0296D"/>
    <w:rsid w:val="00D0299B"/>
    <w:rsid w:val="00D02A43"/>
    <w:rsid w:val="00D02B00"/>
    <w:rsid w:val="00D02BC1"/>
    <w:rsid w:val="00D02C1B"/>
    <w:rsid w:val="00D02C7E"/>
    <w:rsid w:val="00D02CE5"/>
    <w:rsid w:val="00D02DA1"/>
    <w:rsid w:val="00D02DC6"/>
    <w:rsid w:val="00D02DD3"/>
    <w:rsid w:val="00D02E8E"/>
    <w:rsid w:val="00D02EA7"/>
    <w:rsid w:val="00D02F5D"/>
    <w:rsid w:val="00D02F67"/>
    <w:rsid w:val="00D02FDF"/>
    <w:rsid w:val="00D03000"/>
    <w:rsid w:val="00D031AD"/>
    <w:rsid w:val="00D031C3"/>
    <w:rsid w:val="00D032C9"/>
    <w:rsid w:val="00D033CE"/>
    <w:rsid w:val="00D034A2"/>
    <w:rsid w:val="00D034FA"/>
    <w:rsid w:val="00D0352D"/>
    <w:rsid w:val="00D03594"/>
    <w:rsid w:val="00D03603"/>
    <w:rsid w:val="00D03683"/>
    <w:rsid w:val="00D0386D"/>
    <w:rsid w:val="00D0393A"/>
    <w:rsid w:val="00D03944"/>
    <w:rsid w:val="00D03A1D"/>
    <w:rsid w:val="00D03ACA"/>
    <w:rsid w:val="00D03B0F"/>
    <w:rsid w:val="00D03B62"/>
    <w:rsid w:val="00D03B96"/>
    <w:rsid w:val="00D03D3A"/>
    <w:rsid w:val="00D03D78"/>
    <w:rsid w:val="00D03DEC"/>
    <w:rsid w:val="00D03E74"/>
    <w:rsid w:val="00D03F01"/>
    <w:rsid w:val="00D04224"/>
    <w:rsid w:val="00D04260"/>
    <w:rsid w:val="00D042DE"/>
    <w:rsid w:val="00D043D7"/>
    <w:rsid w:val="00D0444B"/>
    <w:rsid w:val="00D0447C"/>
    <w:rsid w:val="00D0449B"/>
    <w:rsid w:val="00D044D5"/>
    <w:rsid w:val="00D045BC"/>
    <w:rsid w:val="00D045E7"/>
    <w:rsid w:val="00D0461D"/>
    <w:rsid w:val="00D046AB"/>
    <w:rsid w:val="00D046CF"/>
    <w:rsid w:val="00D0471F"/>
    <w:rsid w:val="00D0474C"/>
    <w:rsid w:val="00D047EE"/>
    <w:rsid w:val="00D04822"/>
    <w:rsid w:val="00D048DC"/>
    <w:rsid w:val="00D04932"/>
    <w:rsid w:val="00D04AC6"/>
    <w:rsid w:val="00D04ADD"/>
    <w:rsid w:val="00D04B6C"/>
    <w:rsid w:val="00D04BBA"/>
    <w:rsid w:val="00D04E5F"/>
    <w:rsid w:val="00D04EC5"/>
    <w:rsid w:val="00D04F16"/>
    <w:rsid w:val="00D04F57"/>
    <w:rsid w:val="00D04FF9"/>
    <w:rsid w:val="00D05012"/>
    <w:rsid w:val="00D05115"/>
    <w:rsid w:val="00D05206"/>
    <w:rsid w:val="00D05250"/>
    <w:rsid w:val="00D0529E"/>
    <w:rsid w:val="00D052C9"/>
    <w:rsid w:val="00D053BE"/>
    <w:rsid w:val="00D053ED"/>
    <w:rsid w:val="00D054F7"/>
    <w:rsid w:val="00D0557B"/>
    <w:rsid w:val="00D05743"/>
    <w:rsid w:val="00D05745"/>
    <w:rsid w:val="00D05760"/>
    <w:rsid w:val="00D058E2"/>
    <w:rsid w:val="00D05917"/>
    <w:rsid w:val="00D0594A"/>
    <w:rsid w:val="00D0595D"/>
    <w:rsid w:val="00D05983"/>
    <w:rsid w:val="00D05991"/>
    <w:rsid w:val="00D059E6"/>
    <w:rsid w:val="00D05A39"/>
    <w:rsid w:val="00D05A95"/>
    <w:rsid w:val="00D05B71"/>
    <w:rsid w:val="00D05C33"/>
    <w:rsid w:val="00D05C70"/>
    <w:rsid w:val="00D05EA9"/>
    <w:rsid w:val="00D05F34"/>
    <w:rsid w:val="00D05F57"/>
    <w:rsid w:val="00D06038"/>
    <w:rsid w:val="00D06045"/>
    <w:rsid w:val="00D06092"/>
    <w:rsid w:val="00D0613B"/>
    <w:rsid w:val="00D062B4"/>
    <w:rsid w:val="00D062BA"/>
    <w:rsid w:val="00D06350"/>
    <w:rsid w:val="00D063D1"/>
    <w:rsid w:val="00D063DC"/>
    <w:rsid w:val="00D06487"/>
    <w:rsid w:val="00D0654B"/>
    <w:rsid w:val="00D06595"/>
    <w:rsid w:val="00D065B8"/>
    <w:rsid w:val="00D06661"/>
    <w:rsid w:val="00D06731"/>
    <w:rsid w:val="00D06744"/>
    <w:rsid w:val="00D067ED"/>
    <w:rsid w:val="00D06847"/>
    <w:rsid w:val="00D069AC"/>
    <w:rsid w:val="00D069AE"/>
    <w:rsid w:val="00D06AD0"/>
    <w:rsid w:val="00D06B58"/>
    <w:rsid w:val="00D06B76"/>
    <w:rsid w:val="00D06B91"/>
    <w:rsid w:val="00D06CC6"/>
    <w:rsid w:val="00D06CDB"/>
    <w:rsid w:val="00D06D08"/>
    <w:rsid w:val="00D06D19"/>
    <w:rsid w:val="00D06E82"/>
    <w:rsid w:val="00D07045"/>
    <w:rsid w:val="00D07186"/>
    <w:rsid w:val="00D071AD"/>
    <w:rsid w:val="00D07243"/>
    <w:rsid w:val="00D07261"/>
    <w:rsid w:val="00D07278"/>
    <w:rsid w:val="00D072CE"/>
    <w:rsid w:val="00D07306"/>
    <w:rsid w:val="00D0742E"/>
    <w:rsid w:val="00D0745B"/>
    <w:rsid w:val="00D0749E"/>
    <w:rsid w:val="00D074B9"/>
    <w:rsid w:val="00D07537"/>
    <w:rsid w:val="00D075CF"/>
    <w:rsid w:val="00D07646"/>
    <w:rsid w:val="00D077B4"/>
    <w:rsid w:val="00D077BE"/>
    <w:rsid w:val="00D0786B"/>
    <w:rsid w:val="00D07889"/>
    <w:rsid w:val="00D078B1"/>
    <w:rsid w:val="00D07911"/>
    <w:rsid w:val="00D07941"/>
    <w:rsid w:val="00D079F0"/>
    <w:rsid w:val="00D07A53"/>
    <w:rsid w:val="00D07BFB"/>
    <w:rsid w:val="00D07CEF"/>
    <w:rsid w:val="00D07D6C"/>
    <w:rsid w:val="00D07DBE"/>
    <w:rsid w:val="00D07E00"/>
    <w:rsid w:val="00D07E78"/>
    <w:rsid w:val="00D07F23"/>
    <w:rsid w:val="00D07F4A"/>
    <w:rsid w:val="00D07F4D"/>
    <w:rsid w:val="00D1000C"/>
    <w:rsid w:val="00D100C1"/>
    <w:rsid w:val="00D1020E"/>
    <w:rsid w:val="00D102A4"/>
    <w:rsid w:val="00D10353"/>
    <w:rsid w:val="00D103F0"/>
    <w:rsid w:val="00D10454"/>
    <w:rsid w:val="00D1048B"/>
    <w:rsid w:val="00D10539"/>
    <w:rsid w:val="00D10682"/>
    <w:rsid w:val="00D106E8"/>
    <w:rsid w:val="00D1084A"/>
    <w:rsid w:val="00D10866"/>
    <w:rsid w:val="00D108A1"/>
    <w:rsid w:val="00D108ED"/>
    <w:rsid w:val="00D108F8"/>
    <w:rsid w:val="00D1097C"/>
    <w:rsid w:val="00D109F5"/>
    <w:rsid w:val="00D10A02"/>
    <w:rsid w:val="00D10A54"/>
    <w:rsid w:val="00D10AF8"/>
    <w:rsid w:val="00D10C5A"/>
    <w:rsid w:val="00D10C72"/>
    <w:rsid w:val="00D10DDE"/>
    <w:rsid w:val="00D10DE4"/>
    <w:rsid w:val="00D10E5E"/>
    <w:rsid w:val="00D10F08"/>
    <w:rsid w:val="00D110A0"/>
    <w:rsid w:val="00D112D1"/>
    <w:rsid w:val="00D112F9"/>
    <w:rsid w:val="00D11344"/>
    <w:rsid w:val="00D113EA"/>
    <w:rsid w:val="00D11486"/>
    <w:rsid w:val="00D11532"/>
    <w:rsid w:val="00D11570"/>
    <w:rsid w:val="00D11604"/>
    <w:rsid w:val="00D1173E"/>
    <w:rsid w:val="00D1179A"/>
    <w:rsid w:val="00D117DA"/>
    <w:rsid w:val="00D11975"/>
    <w:rsid w:val="00D119A5"/>
    <w:rsid w:val="00D11A2B"/>
    <w:rsid w:val="00D11A37"/>
    <w:rsid w:val="00D11B4C"/>
    <w:rsid w:val="00D11BD4"/>
    <w:rsid w:val="00D11C69"/>
    <w:rsid w:val="00D11CE9"/>
    <w:rsid w:val="00D11CEC"/>
    <w:rsid w:val="00D11D6C"/>
    <w:rsid w:val="00D11DBD"/>
    <w:rsid w:val="00D11E60"/>
    <w:rsid w:val="00D12138"/>
    <w:rsid w:val="00D12147"/>
    <w:rsid w:val="00D12232"/>
    <w:rsid w:val="00D12378"/>
    <w:rsid w:val="00D1237B"/>
    <w:rsid w:val="00D12471"/>
    <w:rsid w:val="00D124F3"/>
    <w:rsid w:val="00D12679"/>
    <w:rsid w:val="00D126E1"/>
    <w:rsid w:val="00D1275F"/>
    <w:rsid w:val="00D12818"/>
    <w:rsid w:val="00D128A3"/>
    <w:rsid w:val="00D128B6"/>
    <w:rsid w:val="00D129B8"/>
    <w:rsid w:val="00D12A0D"/>
    <w:rsid w:val="00D12A54"/>
    <w:rsid w:val="00D12ABA"/>
    <w:rsid w:val="00D12ACC"/>
    <w:rsid w:val="00D12B79"/>
    <w:rsid w:val="00D12FD7"/>
    <w:rsid w:val="00D130BA"/>
    <w:rsid w:val="00D131AC"/>
    <w:rsid w:val="00D13210"/>
    <w:rsid w:val="00D133C0"/>
    <w:rsid w:val="00D134AC"/>
    <w:rsid w:val="00D134E4"/>
    <w:rsid w:val="00D13531"/>
    <w:rsid w:val="00D1355C"/>
    <w:rsid w:val="00D135CC"/>
    <w:rsid w:val="00D135D4"/>
    <w:rsid w:val="00D13600"/>
    <w:rsid w:val="00D1360A"/>
    <w:rsid w:val="00D1378C"/>
    <w:rsid w:val="00D139BD"/>
    <w:rsid w:val="00D13AE2"/>
    <w:rsid w:val="00D13B7A"/>
    <w:rsid w:val="00D13B7F"/>
    <w:rsid w:val="00D13B97"/>
    <w:rsid w:val="00D13BC4"/>
    <w:rsid w:val="00D13BEC"/>
    <w:rsid w:val="00D13BFD"/>
    <w:rsid w:val="00D13C7B"/>
    <w:rsid w:val="00D13D59"/>
    <w:rsid w:val="00D13D74"/>
    <w:rsid w:val="00D13D88"/>
    <w:rsid w:val="00D13E29"/>
    <w:rsid w:val="00D13E52"/>
    <w:rsid w:val="00D140D3"/>
    <w:rsid w:val="00D14133"/>
    <w:rsid w:val="00D141ED"/>
    <w:rsid w:val="00D14237"/>
    <w:rsid w:val="00D142B3"/>
    <w:rsid w:val="00D14340"/>
    <w:rsid w:val="00D143AE"/>
    <w:rsid w:val="00D143E2"/>
    <w:rsid w:val="00D1440B"/>
    <w:rsid w:val="00D14419"/>
    <w:rsid w:val="00D144DD"/>
    <w:rsid w:val="00D14514"/>
    <w:rsid w:val="00D14518"/>
    <w:rsid w:val="00D1453A"/>
    <w:rsid w:val="00D1461F"/>
    <w:rsid w:val="00D14683"/>
    <w:rsid w:val="00D1478F"/>
    <w:rsid w:val="00D14915"/>
    <w:rsid w:val="00D1493D"/>
    <w:rsid w:val="00D149DB"/>
    <w:rsid w:val="00D149FA"/>
    <w:rsid w:val="00D14AAA"/>
    <w:rsid w:val="00D14B95"/>
    <w:rsid w:val="00D14CBE"/>
    <w:rsid w:val="00D14DAC"/>
    <w:rsid w:val="00D14DEC"/>
    <w:rsid w:val="00D14EC3"/>
    <w:rsid w:val="00D14ED3"/>
    <w:rsid w:val="00D14EFD"/>
    <w:rsid w:val="00D14F95"/>
    <w:rsid w:val="00D14FA5"/>
    <w:rsid w:val="00D14FA7"/>
    <w:rsid w:val="00D15027"/>
    <w:rsid w:val="00D1504F"/>
    <w:rsid w:val="00D15167"/>
    <w:rsid w:val="00D152AC"/>
    <w:rsid w:val="00D1542D"/>
    <w:rsid w:val="00D1567A"/>
    <w:rsid w:val="00D15691"/>
    <w:rsid w:val="00D156B3"/>
    <w:rsid w:val="00D15831"/>
    <w:rsid w:val="00D15850"/>
    <w:rsid w:val="00D15AB9"/>
    <w:rsid w:val="00D15B56"/>
    <w:rsid w:val="00D15B6F"/>
    <w:rsid w:val="00D15BA9"/>
    <w:rsid w:val="00D15BCC"/>
    <w:rsid w:val="00D15BD2"/>
    <w:rsid w:val="00D15BD9"/>
    <w:rsid w:val="00D15C85"/>
    <w:rsid w:val="00D15D87"/>
    <w:rsid w:val="00D15DC7"/>
    <w:rsid w:val="00D15F22"/>
    <w:rsid w:val="00D15F29"/>
    <w:rsid w:val="00D15FC4"/>
    <w:rsid w:val="00D15FC9"/>
    <w:rsid w:val="00D160A3"/>
    <w:rsid w:val="00D16106"/>
    <w:rsid w:val="00D1617F"/>
    <w:rsid w:val="00D16295"/>
    <w:rsid w:val="00D162DA"/>
    <w:rsid w:val="00D166CF"/>
    <w:rsid w:val="00D166DA"/>
    <w:rsid w:val="00D1679A"/>
    <w:rsid w:val="00D167DC"/>
    <w:rsid w:val="00D167E6"/>
    <w:rsid w:val="00D169E3"/>
    <w:rsid w:val="00D16AA7"/>
    <w:rsid w:val="00D16AED"/>
    <w:rsid w:val="00D16B91"/>
    <w:rsid w:val="00D16BAA"/>
    <w:rsid w:val="00D16D61"/>
    <w:rsid w:val="00D16E6D"/>
    <w:rsid w:val="00D16EC5"/>
    <w:rsid w:val="00D16F5C"/>
    <w:rsid w:val="00D17028"/>
    <w:rsid w:val="00D171FA"/>
    <w:rsid w:val="00D17383"/>
    <w:rsid w:val="00D173A6"/>
    <w:rsid w:val="00D1750C"/>
    <w:rsid w:val="00D17670"/>
    <w:rsid w:val="00D177CB"/>
    <w:rsid w:val="00D17849"/>
    <w:rsid w:val="00D17995"/>
    <w:rsid w:val="00D17B63"/>
    <w:rsid w:val="00D17C65"/>
    <w:rsid w:val="00D17C95"/>
    <w:rsid w:val="00D17CF4"/>
    <w:rsid w:val="00D17EBC"/>
    <w:rsid w:val="00D17F25"/>
    <w:rsid w:val="00D17F4B"/>
    <w:rsid w:val="00D200B4"/>
    <w:rsid w:val="00D20211"/>
    <w:rsid w:val="00D2025C"/>
    <w:rsid w:val="00D203EF"/>
    <w:rsid w:val="00D20424"/>
    <w:rsid w:val="00D2046F"/>
    <w:rsid w:val="00D204C9"/>
    <w:rsid w:val="00D204DD"/>
    <w:rsid w:val="00D20511"/>
    <w:rsid w:val="00D20540"/>
    <w:rsid w:val="00D205BD"/>
    <w:rsid w:val="00D206C3"/>
    <w:rsid w:val="00D208F4"/>
    <w:rsid w:val="00D2091D"/>
    <w:rsid w:val="00D209A9"/>
    <w:rsid w:val="00D209BC"/>
    <w:rsid w:val="00D20A57"/>
    <w:rsid w:val="00D20B62"/>
    <w:rsid w:val="00D20BC6"/>
    <w:rsid w:val="00D20BF8"/>
    <w:rsid w:val="00D20C08"/>
    <w:rsid w:val="00D20C88"/>
    <w:rsid w:val="00D20CFF"/>
    <w:rsid w:val="00D20D44"/>
    <w:rsid w:val="00D20DEA"/>
    <w:rsid w:val="00D20DF7"/>
    <w:rsid w:val="00D20E02"/>
    <w:rsid w:val="00D20FF1"/>
    <w:rsid w:val="00D21090"/>
    <w:rsid w:val="00D21191"/>
    <w:rsid w:val="00D211D9"/>
    <w:rsid w:val="00D211DC"/>
    <w:rsid w:val="00D2123D"/>
    <w:rsid w:val="00D21245"/>
    <w:rsid w:val="00D2132F"/>
    <w:rsid w:val="00D214FD"/>
    <w:rsid w:val="00D2169D"/>
    <w:rsid w:val="00D21725"/>
    <w:rsid w:val="00D2178B"/>
    <w:rsid w:val="00D217CA"/>
    <w:rsid w:val="00D21896"/>
    <w:rsid w:val="00D21899"/>
    <w:rsid w:val="00D21BB3"/>
    <w:rsid w:val="00D21E33"/>
    <w:rsid w:val="00D21E67"/>
    <w:rsid w:val="00D21EDC"/>
    <w:rsid w:val="00D22181"/>
    <w:rsid w:val="00D221F9"/>
    <w:rsid w:val="00D2230D"/>
    <w:rsid w:val="00D22355"/>
    <w:rsid w:val="00D2236B"/>
    <w:rsid w:val="00D22399"/>
    <w:rsid w:val="00D22400"/>
    <w:rsid w:val="00D22413"/>
    <w:rsid w:val="00D22416"/>
    <w:rsid w:val="00D22425"/>
    <w:rsid w:val="00D22434"/>
    <w:rsid w:val="00D224B2"/>
    <w:rsid w:val="00D2259C"/>
    <w:rsid w:val="00D2264C"/>
    <w:rsid w:val="00D22899"/>
    <w:rsid w:val="00D2290D"/>
    <w:rsid w:val="00D22A34"/>
    <w:rsid w:val="00D22C58"/>
    <w:rsid w:val="00D22CD2"/>
    <w:rsid w:val="00D22EB4"/>
    <w:rsid w:val="00D22F92"/>
    <w:rsid w:val="00D22FBC"/>
    <w:rsid w:val="00D2301F"/>
    <w:rsid w:val="00D23091"/>
    <w:rsid w:val="00D2312F"/>
    <w:rsid w:val="00D2323D"/>
    <w:rsid w:val="00D233AB"/>
    <w:rsid w:val="00D233C5"/>
    <w:rsid w:val="00D2352B"/>
    <w:rsid w:val="00D2355C"/>
    <w:rsid w:val="00D23747"/>
    <w:rsid w:val="00D23AC8"/>
    <w:rsid w:val="00D23B83"/>
    <w:rsid w:val="00D23BF6"/>
    <w:rsid w:val="00D23CBD"/>
    <w:rsid w:val="00D23F04"/>
    <w:rsid w:val="00D240AA"/>
    <w:rsid w:val="00D24118"/>
    <w:rsid w:val="00D24143"/>
    <w:rsid w:val="00D241FD"/>
    <w:rsid w:val="00D242EC"/>
    <w:rsid w:val="00D24327"/>
    <w:rsid w:val="00D24340"/>
    <w:rsid w:val="00D243C5"/>
    <w:rsid w:val="00D243DB"/>
    <w:rsid w:val="00D243DF"/>
    <w:rsid w:val="00D243E3"/>
    <w:rsid w:val="00D24451"/>
    <w:rsid w:val="00D24517"/>
    <w:rsid w:val="00D246BC"/>
    <w:rsid w:val="00D24703"/>
    <w:rsid w:val="00D248B8"/>
    <w:rsid w:val="00D2495F"/>
    <w:rsid w:val="00D24B07"/>
    <w:rsid w:val="00D24D08"/>
    <w:rsid w:val="00D24D78"/>
    <w:rsid w:val="00D24DA6"/>
    <w:rsid w:val="00D24DAD"/>
    <w:rsid w:val="00D24DF6"/>
    <w:rsid w:val="00D24E73"/>
    <w:rsid w:val="00D24FC1"/>
    <w:rsid w:val="00D24FE2"/>
    <w:rsid w:val="00D24FFC"/>
    <w:rsid w:val="00D25028"/>
    <w:rsid w:val="00D250E9"/>
    <w:rsid w:val="00D2510A"/>
    <w:rsid w:val="00D25180"/>
    <w:rsid w:val="00D25185"/>
    <w:rsid w:val="00D25191"/>
    <w:rsid w:val="00D251A6"/>
    <w:rsid w:val="00D25229"/>
    <w:rsid w:val="00D2525A"/>
    <w:rsid w:val="00D2529D"/>
    <w:rsid w:val="00D253D6"/>
    <w:rsid w:val="00D2545A"/>
    <w:rsid w:val="00D25524"/>
    <w:rsid w:val="00D255DA"/>
    <w:rsid w:val="00D25611"/>
    <w:rsid w:val="00D2565F"/>
    <w:rsid w:val="00D25766"/>
    <w:rsid w:val="00D2577D"/>
    <w:rsid w:val="00D25955"/>
    <w:rsid w:val="00D259A1"/>
    <w:rsid w:val="00D259EC"/>
    <w:rsid w:val="00D25A0F"/>
    <w:rsid w:val="00D25A71"/>
    <w:rsid w:val="00D25A9F"/>
    <w:rsid w:val="00D25ACC"/>
    <w:rsid w:val="00D25AE5"/>
    <w:rsid w:val="00D25D5B"/>
    <w:rsid w:val="00D25DFD"/>
    <w:rsid w:val="00D25E1D"/>
    <w:rsid w:val="00D25E70"/>
    <w:rsid w:val="00D25EE7"/>
    <w:rsid w:val="00D25F06"/>
    <w:rsid w:val="00D260A1"/>
    <w:rsid w:val="00D260CE"/>
    <w:rsid w:val="00D26108"/>
    <w:rsid w:val="00D26251"/>
    <w:rsid w:val="00D2636C"/>
    <w:rsid w:val="00D2637F"/>
    <w:rsid w:val="00D26417"/>
    <w:rsid w:val="00D26432"/>
    <w:rsid w:val="00D264C6"/>
    <w:rsid w:val="00D26612"/>
    <w:rsid w:val="00D2662B"/>
    <w:rsid w:val="00D26674"/>
    <w:rsid w:val="00D266B2"/>
    <w:rsid w:val="00D266B6"/>
    <w:rsid w:val="00D2684D"/>
    <w:rsid w:val="00D2685A"/>
    <w:rsid w:val="00D26864"/>
    <w:rsid w:val="00D2696D"/>
    <w:rsid w:val="00D26A4B"/>
    <w:rsid w:val="00D26C9A"/>
    <w:rsid w:val="00D26CC5"/>
    <w:rsid w:val="00D26D39"/>
    <w:rsid w:val="00D26D58"/>
    <w:rsid w:val="00D26D83"/>
    <w:rsid w:val="00D26EBA"/>
    <w:rsid w:val="00D27045"/>
    <w:rsid w:val="00D271C8"/>
    <w:rsid w:val="00D271F7"/>
    <w:rsid w:val="00D27285"/>
    <w:rsid w:val="00D272CE"/>
    <w:rsid w:val="00D273C6"/>
    <w:rsid w:val="00D273F6"/>
    <w:rsid w:val="00D274B8"/>
    <w:rsid w:val="00D275FB"/>
    <w:rsid w:val="00D27618"/>
    <w:rsid w:val="00D276AD"/>
    <w:rsid w:val="00D276BA"/>
    <w:rsid w:val="00D27765"/>
    <w:rsid w:val="00D277F5"/>
    <w:rsid w:val="00D27810"/>
    <w:rsid w:val="00D27821"/>
    <w:rsid w:val="00D2784F"/>
    <w:rsid w:val="00D278D4"/>
    <w:rsid w:val="00D27953"/>
    <w:rsid w:val="00D2799A"/>
    <w:rsid w:val="00D27A12"/>
    <w:rsid w:val="00D27BDD"/>
    <w:rsid w:val="00D27C1A"/>
    <w:rsid w:val="00D27DC3"/>
    <w:rsid w:val="00D27FC3"/>
    <w:rsid w:val="00D30068"/>
    <w:rsid w:val="00D30110"/>
    <w:rsid w:val="00D30222"/>
    <w:rsid w:val="00D30268"/>
    <w:rsid w:val="00D30274"/>
    <w:rsid w:val="00D30305"/>
    <w:rsid w:val="00D30328"/>
    <w:rsid w:val="00D30356"/>
    <w:rsid w:val="00D30402"/>
    <w:rsid w:val="00D30477"/>
    <w:rsid w:val="00D305A6"/>
    <w:rsid w:val="00D30610"/>
    <w:rsid w:val="00D306B7"/>
    <w:rsid w:val="00D30734"/>
    <w:rsid w:val="00D30742"/>
    <w:rsid w:val="00D307C4"/>
    <w:rsid w:val="00D307CF"/>
    <w:rsid w:val="00D30828"/>
    <w:rsid w:val="00D308C4"/>
    <w:rsid w:val="00D30961"/>
    <w:rsid w:val="00D30968"/>
    <w:rsid w:val="00D309AD"/>
    <w:rsid w:val="00D309B5"/>
    <w:rsid w:val="00D309E1"/>
    <w:rsid w:val="00D30A88"/>
    <w:rsid w:val="00D30BB6"/>
    <w:rsid w:val="00D30BE3"/>
    <w:rsid w:val="00D30CAF"/>
    <w:rsid w:val="00D30D47"/>
    <w:rsid w:val="00D30E03"/>
    <w:rsid w:val="00D30E89"/>
    <w:rsid w:val="00D31088"/>
    <w:rsid w:val="00D310A1"/>
    <w:rsid w:val="00D310B1"/>
    <w:rsid w:val="00D31112"/>
    <w:rsid w:val="00D311E7"/>
    <w:rsid w:val="00D31243"/>
    <w:rsid w:val="00D3125B"/>
    <w:rsid w:val="00D312C7"/>
    <w:rsid w:val="00D312E1"/>
    <w:rsid w:val="00D312E3"/>
    <w:rsid w:val="00D3134A"/>
    <w:rsid w:val="00D31377"/>
    <w:rsid w:val="00D3140E"/>
    <w:rsid w:val="00D31461"/>
    <w:rsid w:val="00D3149D"/>
    <w:rsid w:val="00D314FA"/>
    <w:rsid w:val="00D31505"/>
    <w:rsid w:val="00D315E5"/>
    <w:rsid w:val="00D31625"/>
    <w:rsid w:val="00D31720"/>
    <w:rsid w:val="00D31762"/>
    <w:rsid w:val="00D317ED"/>
    <w:rsid w:val="00D3183A"/>
    <w:rsid w:val="00D318CA"/>
    <w:rsid w:val="00D31A74"/>
    <w:rsid w:val="00D31B5C"/>
    <w:rsid w:val="00D31B81"/>
    <w:rsid w:val="00D31CCE"/>
    <w:rsid w:val="00D31D85"/>
    <w:rsid w:val="00D31DC4"/>
    <w:rsid w:val="00D31DEF"/>
    <w:rsid w:val="00D31FC6"/>
    <w:rsid w:val="00D320A2"/>
    <w:rsid w:val="00D32161"/>
    <w:rsid w:val="00D32222"/>
    <w:rsid w:val="00D32385"/>
    <w:rsid w:val="00D323AD"/>
    <w:rsid w:val="00D323F3"/>
    <w:rsid w:val="00D32532"/>
    <w:rsid w:val="00D32576"/>
    <w:rsid w:val="00D32614"/>
    <w:rsid w:val="00D3261C"/>
    <w:rsid w:val="00D326C5"/>
    <w:rsid w:val="00D326FC"/>
    <w:rsid w:val="00D32718"/>
    <w:rsid w:val="00D32772"/>
    <w:rsid w:val="00D32773"/>
    <w:rsid w:val="00D327A6"/>
    <w:rsid w:val="00D32872"/>
    <w:rsid w:val="00D32878"/>
    <w:rsid w:val="00D32921"/>
    <w:rsid w:val="00D32A0A"/>
    <w:rsid w:val="00D32A37"/>
    <w:rsid w:val="00D32A57"/>
    <w:rsid w:val="00D32B28"/>
    <w:rsid w:val="00D32CC0"/>
    <w:rsid w:val="00D32CDE"/>
    <w:rsid w:val="00D32D46"/>
    <w:rsid w:val="00D32DA7"/>
    <w:rsid w:val="00D32DD1"/>
    <w:rsid w:val="00D32F3C"/>
    <w:rsid w:val="00D32FCD"/>
    <w:rsid w:val="00D33030"/>
    <w:rsid w:val="00D3305F"/>
    <w:rsid w:val="00D33074"/>
    <w:rsid w:val="00D3308B"/>
    <w:rsid w:val="00D331C5"/>
    <w:rsid w:val="00D331D1"/>
    <w:rsid w:val="00D3331F"/>
    <w:rsid w:val="00D33502"/>
    <w:rsid w:val="00D3360F"/>
    <w:rsid w:val="00D33631"/>
    <w:rsid w:val="00D336E8"/>
    <w:rsid w:val="00D3372A"/>
    <w:rsid w:val="00D3372F"/>
    <w:rsid w:val="00D33770"/>
    <w:rsid w:val="00D33791"/>
    <w:rsid w:val="00D337B0"/>
    <w:rsid w:val="00D33922"/>
    <w:rsid w:val="00D3393F"/>
    <w:rsid w:val="00D33997"/>
    <w:rsid w:val="00D339D2"/>
    <w:rsid w:val="00D33A66"/>
    <w:rsid w:val="00D33A9C"/>
    <w:rsid w:val="00D33AAD"/>
    <w:rsid w:val="00D33B35"/>
    <w:rsid w:val="00D33B5D"/>
    <w:rsid w:val="00D33BF0"/>
    <w:rsid w:val="00D33D67"/>
    <w:rsid w:val="00D33D69"/>
    <w:rsid w:val="00D33D90"/>
    <w:rsid w:val="00D33E7F"/>
    <w:rsid w:val="00D33EF7"/>
    <w:rsid w:val="00D33F52"/>
    <w:rsid w:val="00D340E8"/>
    <w:rsid w:val="00D341F0"/>
    <w:rsid w:val="00D341FD"/>
    <w:rsid w:val="00D3426C"/>
    <w:rsid w:val="00D34285"/>
    <w:rsid w:val="00D34380"/>
    <w:rsid w:val="00D345EE"/>
    <w:rsid w:val="00D34636"/>
    <w:rsid w:val="00D3466C"/>
    <w:rsid w:val="00D346A2"/>
    <w:rsid w:val="00D3483C"/>
    <w:rsid w:val="00D348C8"/>
    <w:rsid w:val="00D34A29"/>
    <w:rsid w:val="00D34B05"/>
    <w:rsid w:val="00D34B9C"/>
    <w:rsid w:val="00D34C2E"/>
    <w:rsid w:val="00D34C30"/>
    <w:rsid w:val="00D34C35"/>
    <w:rsid w:val="00D34D33"/>
    <w:rsid w:val="00D34DCD"/>
    <w:rsid w:val="00D34E36"/>
    <w:rsid w:val="00D34EDE"/>
    <w:rsid w:val="00D34F82"/>
    <w:rsid w:val="00D3504F"/>
    <w:rsid w:val="00D350A2"/>
    <w:rsid w:val="00D350CF"/>
    <w:rsid w:val="00D350D9"/>
    <w:rsid w:val="00D35174"/>
    <w:rsid w:val="00D351CF"/>
    <w:rsid w:val="00D352EC"/>
    <w:rsid w:val="00D35310"/>
    <w:rsid w:val="00D35339"/>
    <w:rsid w:val="00D3535C"/>
    <w:rsid w:val="00D353AD"/>
    <w:rsid w:val="00D35467"/>
    <w:rsid w:val="00D354F9"/>
    <w:rsid w:val="00D356D7"/>
    <w:rsid w:val="00D3572B"/>
    <w:rsid w:val="00D35801"/>
    <w:rsid w:val="00D359F7"/>
    <w:rsid w:val="00D359FB"/>
    <w:rsid w:val="00D35A57"/>
    <w:rsid w:val="00D35AB9"/>
    <w:rsid w:val="00D35AC7"/>
    <w:rsid w:val="00D35B1A"/>
    <w:rsid w:val="00D35BC0"/>
    <w:rsid w:val="00D35C4B"/>
    <w:rsid w:val="00D35C9F"/>
    <w:rsid w:val="00D35CA9"/>
    <w:rsid w:val="00D35D05"/>
    <w:rsid w:val="00D35D2C"/>
    <w:rsid w:val="00D35D43"/>
    <w:rsid w:val="00D35DBD"/>
    <w:rsid w:val="00D35E29"/>
    <w:rsid w:val="00D35E53"/>
    <w:rsid w:val="00D35E6B"/>
    <w:rsid w:val="00D35E8B"/>
    <w:rsid w:val="00D35EE1"/>
    <w:rsid w:val="00D3603D"/>
    <w:rsid w:val="00D36098"/>
    <w:rsid w:val="00D360D1"/>
    <w:rsid w:val="00D360D5"/>
    <w:rsid w:val="00D3613D"/>
    <w:rsid w:val="00D3616F"/>
    <w:rsid w:val="00D36294"/>
    <w:rsid w:val="00D362D6"/>
    <w:rsid w:val="00D362E7"/>
    <w:rsid w:val="00D363E6"/>
    <w:rsid w:val="00D36424"/>
    <w:rsid w:val="00D36481"/>
    <w:rsid w:val="00D36586"/>
    <w:rsid w:val="00D365E7"/>
    <w:rsid w:val="00D3667A"/>
    <w:rsid w:val="00D36797"/>
    <w:rsid w:val="00D3681A"/>
    <w:rsid w:val="00D36867"/>
    <w:rsid w:val="00D368C9"/>
    <w:rsid w:val="00D369FB"/>
    <w:rsid w:val="00D36A24"/>
    <w:rsid w:val="00D36AB9"/>
    <w:rsid w:val="00D36B11"/>
    <w:rsid w:val="00D36BAC"/>
    <w:rsid w:val="00D36BCC"/>
    <w:rsid w:val="00D36BD1"/>
    <w:rsid w:val="00D36CBA"/>
    <w:rsid w:val="00D36CDC"/>
    <w:rsid w:val="00D36E0D"/>
    <w:rsid w:val="00D36FAA"/>
    <w:rsid w:val="00D37124"/>
    <w:rsid w:val="00D3723C"/>
    <w:rsid w:val="00D3744C"/>
    <w:rsid w:val="00D374E1"/>
    <w:rsid w:val="00D37528"/>
    <w:rsid w:val="00D377F5"/>
    <w:rsid w:val="00D37815"/>
    <w:rsid w:val="00D37850"/>
    <w:rsid w:val="00D37883"/>
    <w:rsid w:val="00D378B2"/>
    <w:rsid w:val="00D378EE"/>
    <w:rsid w:val="00D37955"/>
    <w:rsid w:val="00D37A8E"/>
    <w:rsid w:val="00D37AEE"/>
    <w:rsid w:val="00D37BF5"/>
    <w:rsid w:val="00D37DFA"/>
    <w:rsid w:val="00D400BA"/>
    <w:rsid w:val="00D402BF"/>
    <w:rsid w:val="00D40441"/>
    <w:rsid w:val="00D40497"/>
    <w:rsid w:val="00D404CF"/>
    <w:rsid w:val="00D4056F"/>
    <w:rsid w:val="00D405AC"/>
    <w:rsid w:val="00D405D7"/>
    <w:rsid w:val="00D405E5"/>
    <w:rsid w:val="00D4061C"/>
    <w:rsid w:val="00D40666"/>
    <w:rsid w:val="00D4069B"/>
    <w:rsid w:val="00D406A4"/>
    <w:rsid w:val="00D40790"/>
    <w:rsid w:val="00D408AA"/>
    <w:rsid w:val="00D408C8"/>
    <w:rsid w:val="00D40984"/>
    <w:rsid w:val="00D40AA8"/>
    <w:rsid w:val="00D40B0C"/>
    <w:rsid w:val="00D40BA9"/>
    <w:rsid w:val="00D40C5D"/>
    <w:rsid w:val="00D40D5B"/>
    <w:rsid w:val="00D40DB9"/>
    <w:rsid w:val="00D40EE9"/>
    <w:rsid w:val="00D4102D"/>
    <w:rsid w:val="00D410E3"/>
    <w:rsid w:val="00D41316"/>
    <w:rsid w:val="00D41543"/>
    <w:rsid w:val="00D415D6"/>
    <w:rsid w:val="00D41751"/>
    <w:rsid w:val="00D41752"/>
    <w:rsid w:val="00D41759"/>
    <w:rsid w:val="00D4188C"/>
    <w:rsid w:val="00D41906"/>
    <w:rsid w:val="00D419A6"/>
    <w:rsid w:val="00D41A7A"/>
    <w:rsid w:val="00D41AD3"/>
    <w:rsid w:val="00D41B24"/>
    <w:rsid w:val="00D41B33"/>
    <w:rsid w:val="00D41B53"/>
    <w:rsid w:val="00D41F70"/>
    <w:rsid w:val="00D420A1"/>
    <w:rsid w:val="00D420DE"/>
    <w:rsid w:val="00D422D4"/>
    <w:rsid w:val="00D422E1"/>
    <w:rsid w:val="00D42462"/>
    <w:rsid w:val="00D424D8"/>
    <w:rsid w:val="00D42546"/>
    <w:rsid w:val="00D425E3"/>
    <w:rsid w:val="00D42600"/>
    <w:rsid w:val="00D42653"/>
    <w:rsid w:val="00D426DF"/>
    <w:rsid w:val="00D42709"/>
    <w:rsid w:val="00D42828"/>
    <w:rsid w:val="00D42893"/>
    <w:rsid w:val="00D428A4"/>
    <w:rsid w:val="00D42934"/>
    <w:rsid w:val="00D429C0"/>
    <w:rsid w:val="00D42B4F"/>
    <w:rsid w:val="00D42B5B"/>
    <w:rsid w:val="00D42C13"/>
    <w:rsid w:val="00D42CE4"/>
    <w:rsid w:val="00D42E79"/>
    <w:rsid w:val="00D42E89"/>
    <w:rsid w:val="00D42EFF"/>
    <w:rsid w:val="00D42F2E"/>
    <w:rsid w:val="00D42F94"/>
    <w:rsid w:val="00D43056"/>
    <w:rsid w:val="00D430FA"/>
    <w:rsid w:val="00D4313B"/>
    <w:rsid w:val="00D431B5"/>
    <w:rsid w:val="00D43283"/>
    <w:rsid w:val="00D432B7"/>
    <w:rsid w:val="00D433A1"/>
    <w:rsid w:val="00D4340C"/>
    <w:rsid w:val="00D4363C"/>
    <w:rsid w:val="00D436FC"/>
    <w:rsid w:val="00D437B3"/>
    <w:rsid w:val="00D4383B"/>
    <w:rsid w:val="00D43880"/>
    <w:rsid w:val="00D43A09"/>
    <w:rsid w:val="00D43A16"/>
    <w:rsid w:val="00D43A34"/>
    <w:rsid w:val="00D43A83"/>
    <w:rsid w:val="00D43AD6"/>
    <w:rsid w:val="00D43B25"/>
    <w:rsid w:val="00D43B43"/>
    <w:rsid w:val="00D43BC3"/>
    <w:rsid w:val="00D43C1E"/>
    <w:rsid w:val="00D43C97"/>
    <w:rsid w:val="00D43E19"/>
    <w:rsid w:val="00D43E6A"/>
    <w:rsid w:val="00D43FF5"/>
    <w:rsid w:val="00D441E3"/>
    <w:rsid w:val="00D44229"/>
    <w:rsid w:val="00D4427A"/>
    <w:rsid w:val="00D442BB"/>
    <w:rsid w:val="00D44353"/>
    <w:rsid w:val="00D445A2"/>
    <w:rsid w:val="00D44663"/>
    <w:rsid w:val="00D44704"/>
    <w:rsid w:val="00D447DF"/>
    <w:rsid w:val="00D448D5"/>
    <w:rsid w:val="00D44921"/>
    <w:rsid w:val="00D44AC7"/>
    <w:rsid w:val="00D44BCD"/>
    <w:rsid w:val="00D44C64"/>
    <w:rsid w:val="00D44CEA"/>
    <w:rsid w:val="00D44D74"/>
    <w:rsid w:val="00D44D8A"/>
    <w:rsid w:val="00D44E3A"/>
    <w:rsid w:val="00D44E6F"/>
    <w:rsid w:val="00D44E7E"/>
    <w:rsid w:val="00D44F4B"/>
    <w:rsid w:val="00D44FED"/>
    <w:rsid w:val="00D4502F"/>
    <w:rsid w:val="00D45043"/>
    <w:rsid w:val="00D45050"/>
    <w:rsid w:val="00D45067"/>
    <w:rsid w:val="00D451C0"/>
    <w:rsid w:val="00D451E5"/>
    <w:rsid w:val="00D451F7"/>
    <w:rsid w:val="00D4523F"/>
    <w:rsid w:val="00D45254"/>
    <w:rsid w:val="00D4535D"/>
    <w:rsid w:val="00D4537D"/>
    <w:rsid w:val="00D453BA"/>
    <w:rsid w:val="00D455A1"/>
    <w:rsid w:val="00D4563C"/>
    <w:rsid w:val="00D456DC"/>
    <w:rsid w:val="00D45879"/>
    <w:rsid w:val="00D4597C"/>
    <w:rsid w:val="00D45988"/>
    <w:rsid w:val="00D45A73"/>
    <w:rsid w:val="00D45B0F"/>
    <w:rsid w:val="00D45C12"/>
    <w:rsid w:val="00D45CC6"/>
    <w:rsid w:val="00D45D44"/>
    <w:rsid w:val="00D45D6A"/>
    <w:rsid w:val="00D45DA4"/>
    <w:rsid w:val="00D45DB5"/>
    <w:rsid w:val="00D45DEE"/>
    <w:rsid w:val="00D45DF5"/>
    <w:rsid w:val="00D460F8"/>
    <w:rsid w:val="00D4621E"/>
    <w:rsid w:val="00D4626A"/>
    <w:rsid w:val="00D4636A"/>
    <w:rsid w:val="00D46453"/>
    <w:rsid w:val="00D4648F"/>
    <w:rsid w:val="00D464F6"/>
    <w:rsid w:val="00D4656B"/>
    <w:rsid w:val="00D467D9"/>
    <w:rsid w:val="00D4687B"/>
    <w:rsid w:val="00D468D0"/>
    <w:rsid w:val="00D468F1"/>
    <w:rsid w:val="00D46908"/>
    <w:rsid w:val="00D4693F"/>
    <w:rsid w:val="00D469D4"/>
    <w:rsid w:val="00D46C2C"/>
    <w:rsid w:val="00D46D42"/>
    <w:rsid w:val="00D46E37"/>
    <w:rsid w:val="00D46E41"/>
    <w:rsid w:val="00D46EB7"/>
    <w:rsid w:val="00D46FFF"/>
    <w:rsid w:val="00D47141"/>
    <w:rsid w:val="00D471B5"/>
    <w:rsid w:val="00D473AE"/>
    <w:rsid w:val="00D473C7"/>
    <w:rsid w:val="00D47432"/>
    <w:rsid w:val="00D47627"/>
    <w:rsid w:val="00D4762B"/>
    <w:rsid w:val="00D4765D"/>
    <w:rsid w:val="00D476CE"/>
    <w:rsid w:val="00D476EF"/>
    <w:rsid w:val="00D4771F"/>
    <w:rsid w:val="00D478EC"/>
    <w:rsid w:val="00D47989"/>
    <w:rsid w:val="00D479F6"/>
    <w:rsid w:val="00D47AC9"/>
    <w:rsid w:val="00D47CE0"/>
    <w:rsid w:val="00D47D1C"/>
    <w:rsid w:val="00D47D28"/>
    <w:rsid w:val="00D47EB8"/>
    <w:rsid w:val="00D47F0C"/>
    <w:rsid w:val="00D47F79"/>
    <w:rsid w:val="00D47FDE"/>
    <w:rsid w:val="00D50000"/>
    <w:rsid w:val="00D5019E"/>
    <w:rsid w:val="00D501D6"/>
    <w:rsid w:val="00D501F8"/>
    <w:rsid w:val="00D5028C"/>
    <w:rsid w:val="00D502BB"/>
    <w:rsid w:val="00D502C5"/>
    <w:rsid w:val="00D50325"/>
    <w:rsid w:val="00D5032F"/>
    <w:rsid w:val="00D5036A"/>
    <w:rsid w:val="00D505A4"/>
    <w:rsid w:val="00D50661"/>
    <w:rsid w:val="00D507EB"/>
    <w:rsid w:val="00D50865"/>
    <w:rsid w:val="00D5098B"/>
    <w:rsid w:val="00D5099C"/>
    <w:rsid w:val="00D509DF"/>
    <w:rsid w:val="00D50A1F"/>
    <w:rsid w:val="00D50A29"/>
    <w:rsid w:val="00D50B51"/>
    <w:rsid w:val="00D50C1C"/>
    <w:rsid w:val="00D50C25"/>
    <w:rsid w:val="00D50C38"/>
    <w:rsid w:val="00D50CD7"/>
    <w:rsid w:val="00D50DB5"/>
    <w:rsid w:val="00D50DD0"/>
    <w:rsid w:val="00D50E3B"/>
    <w:rsid w:val="00D5106A"/>
    <w:rsid w:val="00D510C0"/>
    <w:rsid w:val="00D5118A"/>
    <w:rsid w:val="00D5128A"/>
    <w:rsid w:val="00D51335"/>
    <w:rsid w:val="00D514EF"/>
    <w:rsid w:val="00D51551"/>
    <w:rsid w:val="00D51552"/>
    <w:rsid w:val="00D51654"/>
    <w:rsid w:val="00D51691"/>
    <w:rsid w:val="00D5171B"/>
    <w:rsid w:val="00D51963"/>
    <w:rsid w:val="00D519C6"/>
    <w:rsid w:val="00D51A67"/>
    <w:rsid w:val="00D51B2E"/>
    <w:rsid w:val="00D51B50"/>
    <w:rsid w:val="00D51BFB"/>
    <w:rsid w:val="00D51C03"/>
    <w:rsid w:val="00D51C7A"/>
    <w:rsid w:val="00D51D0E"/>
    <w:rsid w:val="00D51D5F"/>
    <w:rsid w:val="00D51E2B"/>
    <w:rsid w:val="00D51E7B"/>
    <w:rsid w:val="00D51EA2"/>
    <w:rsid w:val="00D51EAB"/>
    <w:rsid w:val="00D51F2C"/>
    <w:rsid w:val="00D51F56"/>
    <w:rsid w:val="00D51F81"/>
    <w:rsid w:val="00D51FA4"/>
    <w:rsid w:val="00D52010"/>
    <w:rsid w:val="00D52210"/>
    <w:rsid w:val="00D52357"/>
    <w:rsid w:val="00D524B9"/>
    <w:rsid w:val="00D524FC"/>
    <w:rsid w:val="00D5255A"/>
    <w:rsid w:val="00D52670"/>
    <w:rsid w:val="00D527B0"/>
    <w:rsid w:val="00D527FB"/>
    <w:rsid w:val="00D52805"/>
    <w:rsid w:val="00D52879"/>
    <w:rsid w:val="00D528DA"/>
    <w:rsid w:val="00D52913"/>
    <w:rsid w:val="00D52923"/>
    <w:rsid w:val="00D52ACA"/>
    <w:rsid w:val="00D52AF1"/>
    <w:rsid w:val="00D52B7C"/>
    <w:rsid w:val="00D52C0A"/>
    <w:rsid w:val="00D52D83"/>
    <w:rsid w:val="00D52F38"/>
    <w:rsid w:val="00D52F63"/>
    <w:rsid w:val="00D52FDC"/>
    <w:rsid w:val="00D530A0"/>
    <w:rsid w:val="00D530A9"/>
    <w:rsid w:val="00D531F0"/>
    <w:rsid w:val="00D5323D"/>
    <w:rsid w:val="00D532B8"/>
    <w:rsid w:val="00D533DD"/>
    <w:rsid w:val="00D534C9"/>
    <w:rsid w:val="00D535E6"/>
    <w:rsid w:val="00D53696"/>
    <w:rsid w:val="00D536FA"/>
    <w:rsid w:val="00D5397F"/>
    <w:rsid w:val="00D539CB"/>
    <w:rsid w:val="00D53A1C"/>
    <w:rsid w:val="00D53AD7"/>
    <w:rsid w:val="00D53C07"/>
    <w:rsid w:val="00D53C21"/>
    <w:rsid w:val="00D53D3C"/>
    <w:rsid w:val="00D53E7B"/>
    <w:rsid w:val="00D53E8A"/>
    <w:rsid w:val="00D53F7F"/>
    <w:rsid w:val="00D53FA8"/>
    <w:rsid w:val="00D54062"/>
    <w:rsid w:val="00D5426D"/>
    <w:rsid w:val="00D542C6"/>
    <w:rsid w:val="00D54342"/>
    <w:rsid w:val="00D543C2"/>
    <w:rsid w:val="00D544B6"/>
    <w:rsid w:val="00D54532"/>
    <w:rsid w:val="00D5458A"/>
    <w:rsid w:val="00D5468A"/>
    <w:rsid w:val="00D546B2"/>
    <w:rsid w:val="00D547EE"/>
    <w:rsid w:val="00D549D6"/>
    <w:rsid w:val="00D54A0B"/>
    <w:rsid w:val="00D54B32"/>
    <w:rsid w:val="00D54BBA"/>
    <w:rsid w:val="00D54D70"/>
    <w:rsid w:val="00D54DB5"/>
    <w:rsid w:val="00D54DC6"/>
    <w:rsid w:val="00D54E6B"/>
    <w:rsid w:val="00D54EAE"/>
    <w:rsid w:val="00D54FC3"/>
    <w:rsid w:val="00D5503D"/>
    <w:rsid w:val="00D550C7"/>
    <w:rsid w:val="00D55135"/>
    <w:rsid w:val="00D55160"/>
    <w:rsid w:val="00D551F1"/>
    <w:rsid w:val="00D5522F"/>
    <w:rsid w:val="00D552B7"/>
    <w:rsid w:val="00D55333"/>
    <w:rsid w:val="00D55372"/>
    <w:rsid w:val="00D553AC"/>
    <w:rsid w:val="00D5540D"/>
    <w:rsid w:val="00D55415"/>
    <w:rsid w:val="00D554C9"/>
    <w:rsid w:val="00D554F2"/>
    <w:rsid w:val="00D5563A"/>
    <w:rsid w:val="00D55930"/>
    <w:rsid w:val="00D55B7F"/>
    <w:rsid w:val="00D55B8C"/>
    <w:rsid w:val="00D55B98"/>
    <w:rsid w:val="00D55BC9"/>
    <w:rsid w:val="00D55BFE"/>
    <w:rsid w:val="00D55CEC"/>
    <w:rsid w:val="00D55DB9"/>
    <w:rsid w:val="00D55EAC"/>
    <w:rsid w:val="00D55F1F"/>
    <w:rsid w:val="00D560BA"/>
    <w:rsid w:val="00D56154"/>
    <w:rsid w:val="00D561E7"/>
    <w:rsid w:val="00D563BF"/>
    <w:rsid w:val="00D56478"/>
    <w:rsid w:val="00D564E4"/>
    <w:rsid w:val="00D565A4"/>
    <w:rsid w:val="00D565DB"/>
    <w:rsid w:val="00D56685"/>
    <w:rsid w:val="00D567A7"/>
    <w:rsid w:val="00D567B4"/>
    <w:rsid w:val="00D567E7"/>
    <w:rsid w:val="00D56857"/>
    <w:rsid w:val="00D568D9"/>
    <w:rsid w:val="00D569FA"/>
    <w:rsid w:val="00D56ABE"/>
    <w:rsid w:val="00D56AC3"/>
    <w:rsid w:val="00D56B09"/>
    <w:rsid w:val="00D56B23"/>
    <w:rsid w:val="00D56B45"/>
    <w:rsid w:val="00D56B9F"/>
    <w:rsid w:val="00D56BBA"/>
    <w:rsid w:val="00D56C2D"/>
    <w:rsid w:val="00D56C9E"/>
    <w:rsid w:val="00D56D0B"/>
    <w:rsid w:val="00D56D7B"/>
    <w:rsid w:val="00D56D8E"/>
    <w:rsid w:val="00D56E09"/>
    <w:rsid w:val="00D56E4F"/>
    <w:rsid w:val="00D56EA2"/>
    <w:rsid w:val="00D56F7C"/>
    <w:rsid w:val="00D57018"/>
    <w:rsid w:val="00D57117"/>
    <w:rsid w:val="00D57243"/>
    <w:rsid w:val="00D5724D"/>
    <w:rsid w:val="00D57369"/>
    <w:rsid w:val="00D573A5"/>
    <w:rsid w:val="00D57549"/>
    <w:rsid w:val="00D575A4"/>
    <w:rsid w:val="00D57657"/>
    <w:rsid w:val="00D57738"/>
    <w:rsid w:val="00D57786"/>
    <w:rsid w:val="00D57800"/>
    <w:rsid w:val="00D578A7"/>
    <w:rsid w:val="00D57928"/>
    <w:rsid w:val="00D57A8E"/>
    <w:rsid w:val="00D57B55"/>
    <w:rsid w:val="00D57C27"/>
    <w:rsid w:val="00D57D08"/>
    <w:rsid w:val="00D57D0E"/>
    <w:rsid w:val="00D57DB4"/>
    <w:rsid w:val="00D57DD5"/>
    <w:rsid w:val="00D57E3C"/>
    <w:rsid w:val="00D57E81"/>
    <w:rsid w:val="00D57EEE"/>
    <w:rsid w:val="00D57F85"/>
    <w:rsid w:val="00D600C1"/>
    <w:rsid w:val="00D60154"/>
    <w:rsid w:val="00D601C2"/>
    <w:rsid w:val="00D6020A"/>
    <w:rsid w:val="00D60267"/>
    <w:rsid w:val="00D6027F"/>
    <w:rsid w:val="00D602EE"/>
    <w:rsid w:val="00D602FD"/>
    <w:rsid w:val="00D60368"/>
    <w:rsid w:val="00D603CF"/>
    <w:rsid w:val="00D603E8"/>
    <w:rsid w:val="00D60469"/>
    <w:rsid w:val="00D604DA"/>
    <w:rsid w:val="00D60533"/>
    <w:rsid w:val="00D605AC"/>
    <w:rsid w:val="00D606E0"/>
    <w:rsid w:val="00D60783"/>
    <w:rsid w:val="00D607FA"/>
    <w:rsid w:val="00D60977"/>
    <w:rsid w:val="00D6097C"/>
    <w:rsid w:val="00D6097F"/>
    <w:rsid w:val="00D609D5"/>
    <w:rsid w:val="00D60B42"/>
    <w:rsid w:val="00D60B4D"/>
    <w:rsid w:val="00D60B65"/>
    <w:rsid w:val="00D60B90"/>
    <w:rsid w:val="00D60BA1"/>
    <w:rsid w:val="00D60E5F"/>
    <w:rsid w:val="00D60F09"/>
    <w:rsid w:val="00D60F2E"/>
    <w:rsid w:val="00D60F6D"/>
    <w:rsid w:val="00D60FD4"/>
    <w:rsid w:val="00D61019"/>
    <w:rsid w:val="00D6109B"/>
    <w:rsid w:val="00D610E2"/>
    <w:rsid w:val="00D611B9"/>
    <w:rsid w:val="00D6122C"/>
    <w:rsid w:val="00D6123D"/>
    <w:rsid w:val="00D614C5"/>
    <w:rsid w:val="00D6152C"/>
    <w:rsid w:val="00D6155A"/>
    <w:rsid w:val="00D6156E"/>
    <w:rsid w:val="00D615DB"/>
    <w:rsid w:val="00D615E3"/>
    <w:rsid w:val="00D615FB"/>
    <w:rsid w:val="00D61665"/>
    <w:rsid w:val="00D61670"/>
    <w:rsid w:val="00D616F8"/>
    <w:rsid w:val="00D61714"/>
    <w:rsid w:val="00D61770"/>
    <w:rsid w:val="00D61789"/>
    <w:rsid w:val="00D617E2"/>
    <w:rsid w:val="00D61849"/>
    <w:rsid w:val="00D61895"/>
    <w:rsid w:val="00D61A02"/>
    <w:rsid w:val="00D61A1A"/>
    <w:rsid w:val="00D61AD3"/>
    <w:rsid w:val="00D61B03"/>
    <w:rsid w:val="00D61BB6"/>
    <w:rsid w:val="00D61E69"/>
    <w:rsid w:val="00D62152"/>
    <w:rsid w:val="00D62163"/>
    <w:rsid w:val="00D621BA"/>
    <w:rsid w:val="00D62258"/>
    <w:rsid w:val="00D6228E"/>
    <w:rsid w:val="00D623AA"/>
    <w:rsid w:val="00D62422"/>
    <w:rsid w:val="00D624D4"/>
    <w:rsid w:val="00D624F1"/>
    <w:rsid w:val="00D6255E"/>
    <w:rsid w:val="00D62760"/>
    <w:rsid w:val="00D6286E"/>
    <w:rsid w:val="00D62882"/>
    <w:rsid w:val="00D628CA"/>
    <w:rsid w:val="00D6292F"/>
    <w:rsid w:val="00D6295D"/>
    <w:rsid w:val="00D62A21"/>
    <w:rsid w:val="00D62A48"/>
    <w:rsid w:val="00D62D48"/>
    <w:rsid w:val="00D62D96"/>
    <w:rsid w:val="00D62FA1"/>
    <w:rsid w:val="00D62FC4"/>
    <w:rsid w:val="00D63024"/>
    <w:rsid w:val="00D630BF"/>
    <w:rsid w:val="00D630C9"/>
    <w:rsid w:val="00D632A3"/>
    <w:rsid w:val="00D632EA"/>
    <w:rsid w:val="00D6330A"/>
    <w:rsid w:val="00D63338"/>
    <w:rsid w:val="00D63427"/>
    <w:rsid w:val="00D63532"/>
    <w:rsid w:val="00D63569"/>
    <w:rsid w:val="00D63605"/>
    <w:rsid w:val="00D63667"/>
    <w:rsid w:val="00D636BA"/>
    <w:rsid w:val="00D63794"/>
    <w:rsid w:val="00D637D8"/>
    <w:rsid w:val="00D63963"/>
    <w:rsid w:val="00D63976"/>
    <w:rsid w:val="00D639F4"/>
    <w:rsid w:val="00D63A9A"/>
    <w:rsid w:val="00D63B0B"/>
    <w:rsid w:val="00D63B49"/>
    <w:rsid w:val="00D63BF7"/>
    <w:rsid w:val="00D63C80"/>
    <w:rsid w:val="00D63CA1"/>
    <w:rsid w:val="00D63DB2"/>
    <w:rsid w:val="00D63E74"/>
    <w:rsid w:val="00D63EB3"/>
    <w:rsid w:val="00D63EC8"/>
    <w:rsid w:val="00D63F20"/>
    <w:rsid w:val="00D640BF"/>
    <w:rsid w:val="00D641A6"/>
    <w:rsid w:val="00D641DB"/>
    <w:rsid w:val="00D64236"/>
    <w:rsid w:val="00D64260"/>
    <w:rsid w:val="00D64283"/>
    <w:rsid w:val="00D6436D"/>
    <w:rsid w:val="00D643E6"/>
    <w:rsid w:val="00D643F2"/>
    <w:rsid w:val="00D6445A"/>
    <w:rsid w:val="00D644B2"/>
    <w:rsid w:val="00D644CB"/>
    <w:rsid w:val="00D646D4"/>
    <w:rsid w:val="00D646F1"/>
    <w:rsid w:val="00D648BC"/>
    <w:rsid w:val="00D64A56"/>
    <w:rsid w:val="00D64ACF"/>
    <w:rsid w:val="00D64BEB"/>
    <w:rsid w:val="00D64CCF"/>
    <w:rsid w:val="00D64D81"/>
    <w:rsid w:val="00D64DDE"/>
    <w:rsid w:val="00D64E7E"/>
    <w:rsid w:val="00D64F4A"/>
    <w:rsid w:val="00D64F53"/>
    <w:rsid w:val="00D64F78"/>
    <w:rsid w:val="00D64FD4"/>
    <w:rsid w:val="00D65072"/>
    <w:rsid w:val="00D6507D"/>
    <w:rsid w:val="00D65166"/>
    <w:rsid w:val="00D6516C"/>
    <w:rsid w:val="00D6526E"/>
    <w:rsid w:val="00D65479"/>
    <w:rsid w:val="00D65511"/>
    <w:rsid w:val="00D65559"/>
    <w:rsid w:val="00D65632"/>
    <w:rsid w:val="00D65684"/>
    <w:rsid w:val="00D656DB"/>
    <w:rsid w:val="00D65805"/>
    <w:rsid w:val="00D6588A"/>
    <w:rsid w:val="00D6589C"/>
    <w:rsid w:val="00D659C8"/>
    <w:rsid w:val="00D65A03"/>
    <w:rsid w:val="00D65B33"/>
    <w:rsid w:val="00D65C08"/>
    <w:rsid w:val="00D65C2A"/>
    <w:rsid w:val="00D65C36"/>
    <w:rsid w:val="00D65CAA"/>
    <w:rsid w:val="00D65D3E"/>
    <w:rsid w:val="00D65D5A"/>
    <w:rsid w:val="00D65DCE"/>
    <w:rsid w:val="00D65DD3"/>
    <w:rsid w:val="00D65E07"/>
    <w:rsid w:val="00D65E70"/>
    <w:rsid w:val="00D65E76"/>
    <w:rsid w:val="00D65F80"/>
    <w:rsid w:val="00D65FCF"/>
    <w:rsid w:val="00D65FF5"/>
    <w:rsid w:val="00D66052"/>
    <w:rsid w:val="00D6606D"/>
    <w:rsid w:val="00D660A5"/>
    <w:rsid w:val="00D660D0"/>
    <w:rsid w:val="00D6613D"/>
    <w:rsid w:val="00D6619D"/>
    <w:rsid w:val="00D661A2"/>
    <w:rsid w:val="00D66222"/>
    <w:rsid w:val="00D66255"/>
    <w:rsid w:val="00D66306"/>
    <w:rsid w:val="00D6633A"/>
    <w:rsid w:val="00D6633E"/>
    <w:rsid w:val="00D663FC"/>
    <w:rsid w:val="00D6640D"/>
    <w:rsid w:val="00D6649D"/>
    <w:rsid w:val="00D6650B"/>
    <w:rsid w:val="00D666B2"/>
    <w:rsid w:val="00D666F1"/>
    <w:rsid w:val="00D6679A"/>
    <w:rsid w:val="00D6680F"/>
    <w:rsid w:val="00D66958"/>
    <w:rsid w:val="00D66A7A"/>
    <w:rsid w:val="00D66AC7"/>
    <w:rsid w:val="00D66C9F"/>
    <w:rsid w:val="00D66D19"/>
    <w:rsid w:val="00D66D4A"/>
    <w:rsid w:val="00D66DBC"/>
    <w:rsid w:val="00D66EC6"/>
    <w:rsid w:val="00D66EFB"/>
    <w:rsid w:val="00D66FA7"/>
    <w:rsid w:val="00D66FAA"/>
    <w:rsid w:val="00D67014"/>
    <w:rsid w:val="00D670B4"/>
    <w:rsid w:val="00D6720C"/>
    <w:rsid w:val="00D67449"/>
    <w:rsid w:val="00D6748E"/>
    <w:rsid w:val="00D67562"/>
    <w:rsid w:val="00D67576"/>
    <w:rsid w:val="00D67582"/>
    <w:rsid w:val="00D676AA"/>
    <w:rsid w:val="00D6795E"/>
    <w:rsid w:val="00D67964"/>
    <w:rsid w:val="00D67A3C"/>
    <w:rsid w:val="00D67AC5"/>
    <w:rsid w:val="00D67B26"/>
    <w:rsid w:val="00D67DF0"/>
    <w:rsid w:val="00D67DF1"/>
    <w:rsid w:val="00D67E7F"/>
    <w:rsid w:val="00D67EFB"/>
    <w:rsid w:val="00D67F1A"/>
    <w:rsid w:val="00D67F4B"/>
    <w:rsid w:val="00D67FCF"/>
    <w:rsid w:val="00D70009"/>
    <w:rsid w:val="00D70053"/>
    <w:rsid w:val="00D7009F"/>
    <w:rsid w:val="00D70172"/>
    <w:rsid w:val="00D702B3"/>
    <w:rsid w:val="00D702F0"/>
    <w:rsid w:val="00D702F4"/>
    <w:rsid w:val="00D7041A"/>
    <w:rsid w:val="00D70456"/>
    <w:rsid w:val="00D70505"/>
    <w:rsid w:val="00D70558"/>
    <w:rsid w:val="00D7067F"/>
    <w:rsid w:val="00D706D2"/>
    <w:rsid w:val="00D706E0"/>
    <w:rsid w:val="00D70780"/>
    <w:rsid w:val="00D707C5"/>
    <w:rsid w:val="00D707DE"/>
    <w:rsid w:val="00D708A6"/>
    <w:rsid w:val="00D70930"/>
    <w:rsid w:val="00D70934"/>
    <w:rsid w:val="00D70947"/>
    <w:rsid w:val="00D7095E"/>
    <w:rsid w:val="00D70A63"/>
    <w:rsid w:val="00D70ACE"/>
    <w:rsid w:val="00D70B8D"/>
    <w:rsid w:val="00D70BA4"/>
    <w:rsid w:val="00D70BD8"/>
    <w:rsid w:val="00D70C86"/>
    <w:rsid w:val="00D70D6E"/>
    <w:rsid w:val="00D70D9C"/>
    <w:rsid w:val="00D70DB6"/>
    <w:rsid w:val="00D70E43"/>
    <w:rsid w:val="00D70E55"/>
    <w:rsid w:val="00D70E93"/>
    <w:rsid w:val="00D70EB1"/>
    <w:rsid w:val="00D70EE6"/>
    <w:rsid w:val="00D70F05"/>
    <w:rsid w:val="00D70F22"/>
    <w:rsid w:val="00D70FD7"/>
    <w:rsid w:val="00D710D3"/>
    <w:rsid w:val="00D710F8"/>
    <w:rsid w:val="00D71143"/>
    <w:rsid w:val="00D7120E"/>
    <w:rsid w:val="00D71211"/>
    <w:rsid w:val="00D712A6"/>
    <w:rsid w:val="00D712CE"/>
    <w:rsid w:val="00D71374"/>
    <w:rsid w:val="00D71383"/>
    <w:rsid w:val="00D7143F"/>
    <w:rsid w:val="00D714D0"/>
    <w:rsid w:val="00D714E1"/>
    <w:rsid w:val="00D7155C"/>
    <w:rsid w:val="00D715BC"/>
    <w:rsid w:val="00D71617"/>
    <w:rsid w:val="00D716BB"/>
    <w:rsid w:val="00D71725"/>
    <w:rsid w:val="00D71751"/>
    <w:rsid w:val="00D717E0"/>
    <w:rsid w:val="00D718EC"/>
    <w:rsid w:val="00D7193B"/>
    <w:rsid w:val="00D719F9"/>
    <w:rsid w:val="00D71A63"/>
    <w:rsid w:val="00D71A7C"/>
    <w:rsid w:val="00D71B17"/>
    <w:rsid w:val="00D71B8E"/>
    <w:rsid w:val="00D71BD5"/>
    <w:rsid w:val="00D71C07"/>
    <w:rsid w:val="00D71C61"/>
    <w:rsid w:val="00D71FDB"/>
    <w:rsid w:val="00D71FF0"/>
    <w:rsid w:val="00D720F2"/>
    <w:rsid w:val="00D721D8"/>
    <w:rsid w:val="00D722A2"/>
    <w:rsid w:val="00D72302"/>
    <w:rsid w:val="00D72429"/>
    <w:rsid w:val="00D725D5"/>
    <w:rsid w:val="00D7265D"/>
    <w:rsid w:val="00D7271C"/>
    <w:rsid w:val="00D72750"/>
    <w:rsid w:val="00D7278B"/>
    <w:rsid w:val="00D727B3"/>
    <w:rsid w:val="00D727BD"/>
    <w:rsid w:val="00D727D2"/>
    <w:rsid w:val="00D7287F"/>
    <w:rsid w:val="00D729EB"/>
    <w:rsid w:val="00D72A26"/>
    <w:rsid w:val="00D72A2A"/>
    <w:rsid w:val="00D72A53"/>
    <w:rsid w:val="00D72A80"/>
    <w:rsid w:val="00D72B23"/>
    <w:rsid w:val="00D72B7F"/>
    <w:rsid w:val="00D72B8A"/>
    <w:rsid w:val="00D72B9A"/>
    <w:rsid w:val="00D72BCC"/>
    <w:rsid w:val="00D72C06"/>
    <w:rsid w:val="00D72C99"/>
    <w:rsid w:val="00D72DF9"/>
    <w:rsid w:val="00D72E98"/>
    <w:rsid w:val="00D72EA3"/>
    <w:rsid w:val="00D72ECF"/>
    <w:rsid w:val="00D72EDC"/>
    <w:rsid w:val="00D72F51"/>
    <w:rsid w:val="00D72F88"/>
    <w:rsid w:val="00D72FD7"/>
    <w:rsid w:val="00D73009"/>
    <w:rsid w:val="00D73020"/>
    <w:rsid w:val="00D7303B"/>
    <w:rsid w:val="00D73065"/>
    <w:rsid w:val="00D730CE"/>
    <w:rsid w:val="00D73159"/>
    <w:rsid w:val="00D731AC"/>
    <w:rsid w:val="00D731AD"/>
    <w:rsid w:val="00D7332D"/>
    <w:rsid w:val="00D734B5"/>
    <w:rsid w:val="00D734CB"/>
    <w:rsid w:val="00D734CC"/>
    <w:rsid w:val="00D7352A"/>
    <w:rsid w:val="00D73672"/>
    <w:rsid w:val="00D73744"/>
    <w:rsid w:val="00D73763"/>
    <w:rsid w:val="00D737C0"/>
    <w:rsid w:val="00D737FD"/>
    <w:rsid w:val="00D73943"/>
    <w:rsid w:val="00D73A66"/>
    <w:rsid w:val="00D73AB8"/>
    <w:rsid w:val="00D73AE7"/>
    <w:rsid w:val="00D73B67"/>
    <w:rsid w:val="00D73B7E"/>
    <w:rsid w:val="00D73D5B"/>
    <w:rsid w:val="00D73D79"/>
    <w:rsid w:val="00D73D94"/>
    <w:rsid w:val="00D73DAF"/>
    <w:rsid w:val="00D73E43"/>
    <w:rsid w:val="00D73E55"/>
    <w:rsid w:val="00D73F19"/>
    <w:rsid w:val="00D73F96"/>
    <w:rsid w:val="00D74028"/>
    <w:rsid w:val="00D7403E"/>
    <w:rsid w:val="00D74106"/>
    <w:rsid w:val="00D74297"/>
    <w:rsid w:val="00D742D6"/>
    <w:rsid w:val="00D742EB"/>
    <w:rsid w:val="00D744A0"/>
    <w:rsid w:val="00D74586"/>
    <w:rsid w:val="00D74587"/>
    <w:rsid w:val="00D745D7"/>
    <w:rsid w:val="00D745E1"/>
    <w:rsid w:val="00D745E2"/>
    <w:rsid w:val="00D746DC"/>
    <w:rsid w:val="00D746E4"/>
    <w:rsid w:val="00D74756"/>
    <w:rsid w:val="00D747F0"/>
    <w:rsid w:val="00D74894"/>
    <w:rsid w:val="00D748E7"/>
    <w:rsid w:val="00D74951"/>
    <w:rsid w:val="00D749C4"/>
    <w:rsid w:val="00D74AEC"/>
    <w:rsid w:val="00D74B94"/>
    <w:rsid w:val="00D74BB2"/>
    <w:rsid w:val="00D74C47"/>
    <w:rsid w:val="00D74C72"/>
    <w:rsid w:val="00D74CC8"/>
    <w:rsid w:val="00D74DBA"/>
    <w:rsid w:val="00D74DE4"/>
    <w:rsid w:val="00D74E21"/>
    <w:rsid w:val="00D74E78"/>
    <w:rsid w:val="00D74EE6"/>
    <w:rsid w:val="00D74F72"/>
    <w:rsid w:val="00D75016"/>
    <w:rsid w:val="00D7504F"/>
    <w:rsid w:val="00D7510E"/>
    <w:rsid w:val="00D7517E"/>
    <w:rsid w:val="00D7522C"/>
    <w:rsid w:val="00D7533E"/>
    <w:rsid w:val="00D753C1"/>
    <w:rsid w:val="00D75460"/>
    <w:rsid w:val="00D754D5"/>
    <w:rsid w:val="00D75656"/>
    <w:rsid w:val="00D757CA"/>
    <w:rsid w:val="00D75816"/>
    <w:rsid w:val="00D75860"/>
    <w:rsid w:val="00D758AE"/>
    <w:rsid w:val="00D758E3"/>
    <w:rsid w:val="00D7598F"/>
    <w:rsid w:val="00D75997"/>
    <w:rsid w:val="00D75B2E"/>
    <w:rsid w:val="00D75BB2"/>
    <w:rsid w:val="00D75CFA"/>
    <w:rsid w:val="00D75DB6"/>
    <w:rsid w:val="00D75DD1"/>
    <w:rsid w:val="00D75E34"/>
    <w:rsid w:val="00D75F82"/>
    <w:rsid w:val="00D761CE"/>
    <w:rsid w:val="00D76202"/>
    <w:rsid w:val="00D76272"/>
    <w:rsid w:val="00D763BD"/>
    <w:rsid w:val="00D764CC"/>
    <w:rsid w:val="00D764F2"/>
    <w:rsid w:val="00D765A2"/>
    <w:rsid w:val="00D7665A"/>
    <w:rsid w:val="00D766E2"/>
    <w:rsid w:val="00D76786"/>
    <w:rsid w:val="00D7679C"/>
    <w:rsid w:val="00D767FE"/>
    <w:rsid w:val="00D76856"/>
    <w:rsid w:val="00D7693E"/>
    <w:rsid w:val="00D769E4"/>
    <w:rsid w:val="00D76AAC"/>
    <w:rsid w:val="00D76ADA"/>
    <w:rsid w:val="00D76B15"/>
    <w:rsid w:val="00D76BCC"/>
    <w:rsid w:val="00D76CF5"/>
    <w:rsid w:val="00D76DE4"/>
    <w:rsid w:val="00D76E42"/>
    <w:rsid w:val="00D76EF9"/>
    <w:rsid w:val="00D76F05"/>
    <w:rsid w:val="00D76F4D"/>
    <w:rsid w:val="00D76FA2"/>
    <w:rsid w:val="00D77017"/>
    <w:rsid w:val="00D7719B"/>
    <w:rsid w:val="00D771CA"/>
    <w:rsid w:val="00D77258"/>
    <w:rsid w:val="00D77281"/>
    <w:rsid w:val="00D772A4"/>
    <w:rsid w:val="00D77377"/>
    <w:rsid w:val="00D773CB"/>
    <w:rsid w:val="00D77466"/>
    <w:rsid w:val="00D775E5"/>
    <w:rsid w:val="00D777AD"/>
    <w:rsid w:val="00D777DB"/>
    <w:rsid w:val="00D7787C"/>
    <w:rsid w:val="00D779CF"/>
    <w:rsid w:val="00D77A32"/>
    <w:rsid w:val="00D77AC6"/>
    <w:rsid w:val="00D77B67"/>
    <w:rsid w:val="00D77C46"/>
    <w:rsid w:val="00D77D41"/>
    <w:rsid w:val="00D77FE3"/>
    <w:rsid w:val="00D8004B"/>
    <w:rsid w:val="00D80103"/>
    <w:rsid w:val="00D8024B"/>
    <w:rsid w:val="00D8025F"/>
    <w:rsid w:val="00D8037B"/>
    <w:rsid w:val="00D8046F"/>
    <w:rsid w:val="00D8047E"/>
    <w:rsid w:val="00D80599"/>
    <w:rsid w:val="00D805C1"/>
    <w:rsid w:val="00D80658"/>
    <w:rsid w:val="00D8067F"/>
    <w:rsid w:val="00D80729"/>
    <w:rsid w:val="00D80821"/>
    <w:rsid w:val="00D8085B"/>
    <w:rsid w:val="00D809AF"/>
    <w:rsid w:val="00D80AA3"/>
    <w:rsid w:val="00D80AFD"/>
    <w:rsid w:val="00D80B2E"/>
    <w:rsid w:val="00D80BFF"/>
    <w:rsid w:val="00D80C06"/>
    <w:rsid w:val="00D80C22"/>
    <w:rsid w:val="00D80DB8"/>
    <w:rsid w:val="00D80DD7"/>
    <w:rsid w:val="00D80E25"/>
    <w:rsid w:val="00D80EAB"/>
    <w:rsid w:val="00D80EB5"/>
    <w:rsid w:val="00D80ED0"/>
    <w:rsid w:val="00D80EDE"/>
    <w:rsid w:val="00D80EED"/>
    <w:rsid w:val="00D80F63"/>
    <w:rsid w:val="00D810E7"/>
    <w:rsid w:val="00D81181"/>
    <w:rsid w:val="00D812B1"/>
    <w:rsid w:val="00D81333"/>
    <w:rsid w:val="00D8133F"/>
    <w:rsid w:val="00D81397"/>
    <w:rsid w:val="00D813CC"/>
    <w:rsid w:val="00D813F4"/>
    <w:rsid w:val="00D81442"/>
    <w:rsid w:val="00D81451"/>
    <w:rsid w:val="00D8146A"/>
    <w:rsid w:val="00D8156F"/>
    <w:rsid w:val="00D815B2"/>
    <w:rsid w:val="00D816BE"/>
    <w:rsid w:val="00D816D9"/>
    <w:rsid w:val="00D817C8"/>
    <w:rsid w:val="00D8193C"/>
    <w:rsid w:val="00D819B4"/>
    <w:rsid w:val="00D81B13"/>
    <w:rsid w:val="00D81B9A"/>
    <w:rsid w:val="00D81C24"/>
    <w:rsid w:val="00D81CB8"/>
    <w:rsid w:val="00D81CCF"/>
    <w:rsid w:val="00D81D29"/>
    <w:rsid w:val="00D81D4D"/>
    <w:rsid w:val="00D81DA5"/>
    <w:rsid w:val="00D81E4C"/>
    <w:rsid w:val="00D81EA1"/>
    <w:rsid w:val="00D81EF9"/>
    <w:rsid w:val="00D81F26"/>
    <w:rsid w:val="00D81F4A"/>
    <w:rsid w:val="00D81FA0"/>
    <w:rsid w:val="00D81FDA"/>
    <w:rsid w:val="00D81FE5"/>
    <w:rsid w:val="00D82008"/>
    <w:rsid w:val="00D820F3"/>
    <w:rsid w:val="00D8210B"/>
    <w:rsid w:val="00D82179"/>
    <w:rsid w:val="00D821C3"/>
    <w:rsid w:val="00D82201"/>
    <w:rsid w:val="00D822E6"/>
    <w:rsid w:val="00D822E9"/>
    <w:rsid w:val="00D82353"/>
    <w:rsid w:val="00D82431"/>
    <w:rsid w:val="00D8249C"/>
    <w:rsid w:val="00D824D1"/>
    <w:rsid w:val="00D82675"/>
    <w:rsid w:val="00D826F4"/>
    <w:rsid w:val="00D82706"/>
    <w:rsid w:val="00D82763"/>
    <w:rsid w:val="00D82799"/>
    <w:rsid w:val="00D828AC"/>
    <w:rsid w:val="00D828F6"/>
    <w:rsid w:val="00D8296C"/>
    <w:rsid w:val="00D82999"/>
    <w:rsid w:val="00D829F4"/>
    <w:rsid w:val="00D82B36"/>
    <w:rsid w:val="00D82B46"/>
    <w:rsid w:val="00D82D80"/>
    <w:rsid w:val="00D82DFC"/>
    <w:rsid w:val="00D82E8D"/>
    <w:rsid w:val="00D82EF3"/>
    <w:rsid w:val="00D82F03"/>
    <w:rsid w:val="00D82FB9"/>
    <w:rsid w:val="00D83031"/>
    <w:rsid w:val="00D831B0"/>
    <w:rsid w:val="00D83203"/>
    <w:rsid w:val="00D83248"/>
    <w:rsid w:val="00D832B8"/>
    <w:rsid w:val="00D83337"/>
    <w:rsid w:val="00D83357"/>
    <w:rsid w:val="00D833DC"/>
    <w:rsid w:val="00D833F8"/>
    <w:rsid w:val="00D834BC"/>
    <w:rsid w:val="00D835EC"/>
    <w:rsid w:val="00D8360F"/>
    <w:rsid w:val="00D8365B"/>
    <w:rsid w:val="00D836D2"/>
    <w:rsid w:val="00D836E9"/>
    <w:rsid w:val="00D83833"/>
    <w:rsid w:val="00D838FB"/>
    <w:rsid w:val="00D83BFE"/>
    <w:rsid w:val="00D83CBC"/>
    <w:rsid w:val="00D83DB0"/>
    <w:rsid w:val="00D83E24"/>
    <w:rsid w:val="00D83E47"/>
    <w:rsid w:val="00D83E6A"/>
    <w:rsid w:val="00D83F0D"/>
    <w:rsid w:val="00D8408A"/>
    <w:rsid w:val="00D840A7"/>
    <w:rsid w:val="00D840FD"/>
    <w:rsid w:val="00D8429C"/>
    <w:rsid w:val="00D843C0"/>
    <w:rsid w:val="00D843E3"/>
    <w:rsid w:val="00D84436"/>
    <w:rsid w:val="00D84437"/>
    <w:rsid w:val="00D8445E"/>
    <w:rsid w:val="00D8446C"/>
    <w:rsid w:val="00D8449A"/>
    <w:rsid w:val="00D84643"/>
    <w:rsid w:val="00D8464E"/>
    <w:rsid w:val="00D847D9"/>
    <w:rsid w:val="00D84810"/>
    <w:rsid w:val="00D84ACD"/>
    <w:rsid w:val="00D84B70"/>
    <w:rsid w:val="00D84C4C"/>
    <w:rsid w:val="00D84E7A"/>
    <w:rsid w:val="00D84EC5"/>
    <w:rsid w:val="00D84F9D"/>
    <w:rsid w:val="00D85002"/>
    <w:rsid w:val="00D8501D"/>
    <w:rsid w:val="00D85067"/>
    <w:rsid w:val="00D8506F"/>
    <w:rsid w:val="00D850B4"/>
    <w:rsid w:val="00D850BB"/>
    <w:rsid w:val="00D850E9"/>
    <w:rsid w:val="00D85115"/>
    <w:rsid w:val="00D85153"/>
    <w:rsid w:val="00D851B0"/>
    <w:rsid w:val="00D851ED"/>
    <w:rsid w:val="00D853AB"/>
    <w:rsid w:val="00D8549B"/>
    <w:rsid w:val="00D855C7"/>
    <w:rsid w:val="00D855DF"/>
    <w:rsid w:val="00D8569D"/>
    <w:rsid w:val="00D856C7"/>
    <w:rsid w:val="00D85734"/>
    <w:rsid w:val="00D85790"/>
    <w:rsid w:val="00D85900"/>
    <w:rsid w:val="00D85905"/>
    <w:rsid w:val="00D8597C"/>
    <w:rsid w:val="00D859C2"/>
    <w:rsid w:val="00D859CE"/>
    <w:rsid w:val="00D85B20"/>
    <w:rsid w:val="00D85BCB"/>
    <w:rsid w:val="00D85CC1"/>
    <w:rsid w:val="00D85D01"/>
    <w:rsid w:val="00D85EF8"/>
    <w:rsid w:val="00D86055"/>
    <w:rsid w:val="00D86060"/>
    <w:rsid w:val="00D8607E"/>
    <w:rsid w:val="00D861EE"/>
    <w:rsid w:val="00D861FD"/>
    <w:rsid w:val="00D862C4"/>
    <w:rsid w:val="00D862C9"/>
    <w:rsid w:val="00D8635D"/>
    <w:rsid w:val="00D8637F"/>
    <w:rsid w:val="00D864AB"/>
    <w:rsid w:val="00D8659F"/>
    <w:rsid w:val="00D865B4"/>
    <w:rsid w:val="00D865EF"/>
    <w:rsid w:val="00D86635"/>
    <w:rsid w:val="00D866A8"/>
    <w:rsid w:val="00D86878"/>
    <w:rsid w:val="00D868C3"/>
    <w:rsid w:val="00D868CF"/>
    <w:rsid w:val="00D869C0"/>
    <w:rsid w:val="00D86AA5"/>
    <w:rsid w:val="00D86B4E"/>
    <w:rsid w:val="00D86C77"/>
    <w:rsid w:val="00D86CA0"/>
    <w:rsid w:val="00D86D2E"/>
    <w:rsid w:val="00D86DA6"/>
    <w:rsid w:val="00D86E31"/>
    <w:rsid w:val="00D86EB8"/>
    <w:rsid w:val="00D86F1F"/>
    <w:rsid w:val="00D86F46"/>
    <w:rsid w:val="00D87073"/>
    <w:rsid w:val="00D870C7"/>
    <w:rsid w:val="00D87140"/>
    <w:rsid w:val="00D87198"/>
    <w:rsid w:val="00D871C5"/>
    <w:rsid w:val="00D873B9"/>
    <w:rsid w:val="00D8747D"/>
    <w:rsid w:val="00D87497"/>
    <w:rsid w:val="00D874A4"/>
    <w:rsid w:val="00D874A5"/>
    <w:rsid w:val="00D875E1"/>
    <w:rsid w:val="00D8761A"/>
    <w:rsid w:val="00D8764F"/>
    <w:rsid w:val="00D87695"/>
    <w:rsid w:val="00D876FF"/>
    <w:rsid w:val="00D879D2"/>
    <w:rsid w:val="00D879ED"/>
    <w:rsid w:val="00D87A7B"/>
    <w:rsid w:val="00D87C48"/>
    <w:rsid w:val="00D87CCA"/>
    <w:rsid w:val="00D87CD4"/>
    <w:rsid w:val="00D87CFC"/>
    <w:rsid w:val="00D87F08"/>
    <w:rsid w:val="00D87F16"/>
    <w:rsid w:val="00D87F36"/>
    <w:rsid w:val="00D87F73"/>
    <w:rsid w:val="00D90005"/>
    <w:rsid w:val="00D900B2"/>
    <w:rsid w:val="00D9011C"/>
    <w:rsid w:val="00D9016F"/>
    <w:rsid w:val="00D9017B"/>
    <w:rsid w:val="00D901CF"/>
    <w:rsid w:val="00D90279"/>
    <w:rsid w:val="00D9043E"/>
    <w:rsid w:val="00D90491"/>
    <w:rsid w:val="00D90519"/>
    <w:rsid w:val="00D905F2"/>
    <w:rsid w:val="00D9060E"/>
    <w:rsid w:val="00D90631"/>
    <w:rsid w:val="00D90657"/>
    <w:rsid w:val="00D9067F"/>
    <w:rsid w:val="00D9070C"/>
    <w:rsid w:val="00D9074C"/>
    <w:rsid w:val="00D9077C"/>
    <w:rsid w:val="00D908BE"/>
    <w:rsid w:val="00D90989"/>
    <w:rsid w:val="00D9098A"/>
    <w:rsid w:val="00D90A7B"/>
    <w:rsid w:val="00D90B98"/>
    <w:rsid w:val="00D90BC5"/>
    <w:rsid w:val="00D90D47"/>
    <w:rsid w:val="00D90DDA"/>
    <w:rsid w:val="00D90F97"/>
    <w:rsid w:val="00D91046"/>
    <w:rsid w:val="00D91148"/>
    <w:rsid w:val="00D91219"/>
    <w:rsid w:val="00D9136A"/>
    <w:rsid w:val="00D91384"/>
    <w:rsid w:val="00D915D8"/>
    <w:rsid w:val="00D91674"/>
    <w:rsid w:val="00D9167F"/>
    <w:rsid w:val="00D916A2"/>
    <w:rsid w:val="00D91837"/>
    <w:rsid w:val="00D9183C"/>
    <w:rsid w:val="00D91A6C"/>
    <w:rsid w:val="00D91A7C"/>
    <w:rsid w:val="00D91B1B"/>
    <w:rsid w:val="00D91B7C"/>
    <w:rsid w:val="00D91DE3"/>
    <w:rsid w:val="00D91E39"/>
    <w:rsid w:val="00D91EAE"/>
    <w:rsid w:val="00D91F91"/>
    <w:rsid w:val="00D91FFB"/>
    <w:rsid w:val="00D920B5"/>
    <w:rsid w:val="00D9215D"/>
    <w:rsid w:val="00D92161"/>
    <w:rsid w:val="00D92183"/>
    <w:rsid w:val="00D92213"/>
    <w:rsid w:val="00D9225D"/>
    <w:rsid w:val="00D92355"/>
    <w:rsid w:val="00D923BE"/>
    <w:rsid w:val="00D92402"/>
    <w:rsid w:val="00D92468"/>
    <w:rsid w:val="00D92527"/>
    <w:rsid w:val="00D92551"/>
    <w:rsid w:val="00D92559"/>
    <w:rsid w:val="00D925CC"/>
    <w:rsid w:val="00D925D4"/>
    <w:rsid w:val="00D92636"/>
    <w:rsid w:val="00D9275F"/>
    <w:rsid w:val="00D92786"/>
    <w:rsid w:val="00D9282B"/>
    <w:rsid w:val="00D92842"/>
    <w:rsid w:val="00D9286D"/>
    <w:rsid w:val="00D92896"/>
    <w:rsid w:val="00D92989"/>
    <w:rsid w:val="00D92A90"/>
    <w:rsid w:val="00D92B78"/>
    <w:rsid w:val="00D92BC5"/>
    <w:rsid w:val="00D92C43"/>
    <w:rsid w:val="00D92C70"/>
    <w:rsid w:val="00D92CE3"/>
    <w:rsid w:val="00D92CE6"/>
    <w:rsid w:val="00D92D3F"/>
    <w:rsid w:val="00D92D65"/>
    <w:rsid w:val="00D92E6A"/>
    <w:rsid w:val="00D92EDB"/>
    <w:rsid w:val="00D92F56"/>
    <w:rsid w:val="00D92F5C"/>
    <w:rsid w:val="00D92FA5"/>
    <w:rsid w:val="00D93141"/>
    <w:rsid w:val="00D931E8"/>
    <w:rsid w:val="00D9340E"/>
    <w:rsid w:val="00D93414"/>
    <w:rsid w:val="00D93419"/>
    <w:rsid w:val="00D9343A"/>
    <w:rsid w:val="00D9347F"/>
    <w:rsid w:val="00D93512"/>
    <w:rsid w:val="00D93517"/>
    <w:rsid w:val="00D93579"/>
    <w:rsid w:val="00D93662"/>
    <w:rsid w:val="00D936AB"/>
    <w:rsid w:val="00D93864"/>
    <w:rsid w:val="00D938CA"/>
    <w:rsid w:val="00D939C8"/>
    <w:rsid w:val="00D93ABE"/>
    <w:rsid w:val="00D93B24"/>
    <w:rsid w:val="00D93B49"/>
    <w:rsid w:val="00D93C27"/>
    <w:rsid w:val="00D93C5B"/>
    <w:rsid w:val="00D93D03"/>
    <w:rsid w:val="00D93D2C"/>
    <w:rsid w:val="00D93EFC"/>
    <w:rsid w:val="00D93FAE"/>
    <w:rsid w:val="00D940E7"/>
    <w:rsid w:val="00D9414F"/>
    <w:rsid w:val="00D9416C"/>
    <w:rsid w:val="00D9427F"/>
    <w:rsid w:val="00D943FC"/>
    <w:rsid w:val="00D944A5"/>
    <w:rsid w:val="00D94567"/>
    <w:rsid w:val="00D94652"/>
    <w:rsid w:val="00D94720"/>
    <w:rsid w:val="00D94917"/>
    <w:rsid w:val="00D949BC"/>
    <w:rsid w:val="00D949D4"/>
    <w:rsid w:val="00D94AEC"/>
    <w:rsid w:val="00D94BC2"/>
    <w:rsid w:val="00D94D31"/>
    <w:rsid w:val="00D94D32"/>
    <w:rsid w:val="00D94DA5"/>
    <w:rsid w:val="00D94DCD"/>
    <w:rsid w:val="00D94DF5"/>
    <w:rsid w:val="00D94E29"/>
    <w:rsid w:val="00D94EB8"/>
    <w:rsid w:val="00D94FB7"/>
    <w:rsid w:val="00D950B4"/>
    <w:rsid w:val="00D950BB"/>
    <w:rsid w:val="00D950F4"/>
    <w:rsid w:val="00D953CA"/>
    <w:rsid w:val="00D953D4"/>
    <w:rsid w:val="00D9548D"/>
    <w:rsid w:val="00D954C8"/>
    <w:rsid w:val="00D95621"/>
    <w:rsid w:val="00D9565C"/>
    <w:rsid w:val="00D95709"/>
    <w:rsid w:val="00D95810"/>
    <w:rsid w:val="00D959F4"/>
    <w:rsid w:val="00D95ABF"/>
    <w:rsid w:val="00D95B4D"/>
    <w:rsid w:val="00D95B69"/>
    <w:rsid w:val="00D95C08"/>
    <w:rsid w:val="00D95C38"/>
    <w:rsid w:val="00D95C3C"/>
    <w:rsid w:val="00D95D26"/>
    <w:rsid w:val="00D95DFB"/>
    <w:rsid w:val="00D95E03"/>
    <w:rsid w:val="00D95E1D"/>
    <w:rsid w:val="00D95E54"/>
    <w:rsid w:val="00D95F24"/>
    <w:rsid w:val="00D95F71"/>
    <w:rsid w:val="00D95FD2"/>
    <w:rsid w:val="00D96047"/>
    <w:rsid w:val="00D960D4"/>
    <w:rsid w:val="00D960EA"/>
    <w:rsid w:val="00D9629C"/>
    <w:rsid w:val="00D963D5"/>
    <w:rsid w:val="00D963EF"/>
    <w:rsid w:val="00D96404"/>
    <w:rsid w:val="00D964CC"/>
    <w:rsid w:val="00D96590"/>
    <w:rsid w:val="00D965C5"/>
    <w:rsid w:val="00D96694"/>
    <w:rsid w:val="00D9670A"/>
    <w:rsid w:val="00D96790"/>
    <w:rsid w:val="00D96797"/>
    <w:rsid w:val="00D967A2"/>
    <w:rsid w:val="00D96831"/>
    <w:rsid w:val="00D969A2"/>
    <w:rsid w:val="00D96A57"/>
    <w:rsid w:val="00D96A60"/>
    <w:rsid w:val="00D96AE2"/>
    <w:rsid w:val="00D96AF7"/>
    <w:rsid w:val="00D96C79"/>
    <w:rsid w:val="00D96C80"/>
    <w:rsid w:val="00D96D4E"/>
    <w:rsid w:val="00D96DE7"/>
    <w:rsid w:val="00D96E2C"/>
    <w:rsid w:val="00D96E2D"/>
    <w:rsid w:val="00D96ECA"/>
    <w:rsid w:val="00D96F74"/>
    <w:rsid w:val="00D97000"/>
    <w:rsid w:val="00D97123"/>
    <w:rsid w:val="00D971B2"/>
    <w:rsid w:val="00D97278"/>
    <w:rsid w:val="00D9731A"/>
    <w:rsid w:val="00D9735D"/>
    <w:rsid w:val="00D9736A"/>
    <w:rsid w:val="00D97422"/>
    <w:rsid w:val="00D975BF"/>
    <w:rsid w:val="00D975CE"/>
    <w:rsid w:val="00D975E9"/>
    <w:rsid w:val="00D975EA"/>
    <w:rsid w:val="00D97648"/>
    <w:rsid w:val="00D97728"/>
    <w:rsid w:val="00D9779B"/>
    <w:rsid w:val="00D97802"/>
    <w:rsid w:val="00D97808"/>
    <w:rsid w:val="00D978F8"/>
    <w:rsid w:val="00D9791E"/>
    <w:rsid w:val="00D979B2"/>
    <w:rsid w:val="00D97BD9"/>
    <w:rsid w:val="00D97C2A"/>
    <w:rsid w:val="00D97C52"/>
    <w:rsid w:val="00D97C7E"/>
    <w:rsid w:val="00D97CEC"/>
    <w:rsid w:val="00D97D69"/>
    <w:rsid w:val="00D97DDE"/>
    <w:rsid w:val="00D97E71"/>
    <w:rsid w:val="00D97FC1"/>
    <w:rsid w:val="00DA0035"/>
    <w:rsid w:val="00DA006E"/>
    <w:rsid w:val="00DA0224"/>
    <w:rsid w:val="00DA0292"/>
    <w:rsid w:val="00DA038D"/>
    <w:rsid w:val="00DA03FD"/>
    <w:rsid w:val="00DA04CA"/>
    <w:rsid w:val="00DA05D2"/>
    <w:rsid w:val="00DA071A"/>
    <w:rsid w:val="00DA0780"/>
    <w:rsid w:val="00DA0800"/>
    <w:rsid w:val="00DA08AF"/>
    <w:rsid w:val="00DA09C4"/>
    <w:rsid w:val="00DA09F6"/>
    <w:rsid w:val="00DA0A49"/>
    <w:rsid w:val="00DA0B7D"/>
    <w:rsid w:val="00DA0C54"/>
    <w:rsid w:val="00DA0C9F"/>
    <w:rsid w:val="00DA0CD6"/>
    <w:rsid w:val="00DA0D6B"/>
    <w:rsid w:val="00DA0D73"/>
    <w:rsid w:val="00DA0E14"/>
    <w:rsid w:val="00DA0E66"/>
    <w:rsid w:val="00DA0F64"/>
    <w:rsid w:val="00DA0F8A"/>
    <w:rsid w:val="00DA107C"/>
    <w:rsid w:val="00DA10D9"/>
    <w:rsid w:val="00DA1268"/>
    <w:rsid w:val="00DA12F5"/>
    <w:rsid w:val="00DA132C"/>
    <w:rsid w:val="00DA142A"/>
    <w:rsid w:val="00DA1524"/>
    <w:rsid w:val="00DA15B5"/>
    <w:rsid w:val="00DA1665"/>
    <w:rsid w:val="00DA16E1"/>
    <w:rsid w:val="00DA16E5"/>
    <w:rsid w:val="00DA1730"/>
    <w:rsid w:val="00DA1791"/>
    <w:rsid w:val="00DA17B9"/>
    <w:rsid w:val="00DA1880"/>
    <w:rsid w:val="00DA1916"/>
    <w:rsid w:val="00DA1A41"/>
    <w:rsid w:val="00DA1A5E"/>
    <w:rsid w:val="00DA1A62"/>
    <w:rsid w:val="00DA1AAB"/>
    <w:rsid w:val="00DA1AFE"/>
    <w:rsid w:val="00DA1BFF"/>
    <w:rsid w:val="00DA1C47"/>
    <w:rsid w:val="00DA1CCE"/>
    <w:rsid w:val="00DA1CF5"/>
    <w:rsid w:val="00DA1D61"/>
    <w:rsid w:val="00DA1DCF"/>
    <w:rsid w:val="00DA1DFC"/>
    <w:rsid w:val="00DA1E60"/>
    <w:rsid w:val="00DA1E82"/>
    <w:rsid w:val="00DA1EAE"/>
    <w:rsid w:val="00DA1FD2"/>
    <w:rsid w:val="00DA1FF0"/>
    <w:rsid w:val="00DA204A"/>
    <w:rsid w:val="00DA2053"/>
    <w:rsid w:val="00DA20AC"/>
    <w:rsid w:val="00DA210E"/>
    <w:rsid w:val="00DA215D"/>
    <w:rsid w:val="00DA21CC"/>
    <w:rsid w:val="00DA2207"/>
    <w:rsid w:val="00DA2208"/>
    <w:rsid w:val="00DA222B"/>
    <w:rsid w:val="00DA227F"/>
    <w:rsid w:val="00DA22F3"/>
    <w:rsid w:val="00DA2312"/>
    <w:rsid w:val="00DA2321"/>
    <w:rsid w:val="00DA2472"/>
    <w:rsid w:val="00DA24CB"/>
    <w:rsid w:val="00DA2646"/>
    <w:rsid w:val="00DA2649"/>
    <w:rsid w:val="00DA267F"/>
    <w:rsid w:val="00DA26B5"/>
    <w:rsid w:val="00DA2762"/>
    <w:rsid w:val="00DA2774"/>
    <w:rsid w:val="00DA28D8"/>
    <w:rsid w:val="00DA290F"/>
    <w:rsid w:val="00DA2A49"/>
    <w:rsid w:val="00DA2A94"/>
    <w:rsid w:val="00DA2AA4"/>
    <w:rsid w:val="00DA2B2F"/>
    <w:rsid w:val="00DA2B82"/>
    <w:rsid w:val="00DA2C7B"/>
    <w:rsid w:val="00DA2C97"/>
    <w:rsid w:val="00DA2D7E"/>
    <w:rsid w:val="00DA2DBC"/>
    <w:rsid w:val="00DA2E1F"/>
    <w:rsid w:val="00DA2E35"/>
    <w:rsid w:val="00DA2EED"/>
    <w:rsid w:val="00DA2FC4"/>
    <w:rsid w:val="00DA2FCA"/>
    <w:rsid w:val="00DA2FD4"/>
    <w:rsid w:val="00DA30D2"/>
    <w:rsid w:val="00DA31FE"/>
    <w:rsid w:val="00DA3219"/>
    <w:rsid w:val="00DA3274"/>
    <w:rsid w:val="00DA3285"/>
    <w:rsid w:val="00DA32C3"/>
    <w:rsid w:val="00DA3359"/>
    <w:rsid w:val="00DA339F"/>
    <w:rsid w:val="00DA344D"/>
    <w:rsid w:val="00DA34A6"/>
    <w:rsid w:val="00DA3516"/>
    <w:rsid w:val="00DA3569"/>
    <w:rsid w:val="00DA35B6"/>
    <w:rsid w:val="00DA35B7"/>
    <w:rsid w:val="00DA35DC"/>
    <w:rsid w:val="00DA3777"/>
    <w:rsid w:val="00DA37B6"/>
    <w:rsid w:val="00DA3841"/>
    <w:rsid w:val="00DA3862"/>
    <w:rsid w:val="00DA3881"/>
    <w:rsid w:val="00DA3ABF"/>
    <w:rsid w:val="00DA3BA1"/>
    <w:rsid w:val="00DA3BCC"/>
    <w:rsid w:val="00DA3BE4"/>
    <w:rsid w:val="00DA3CE1"/>
    <w:rsid w:val="00DA3D3E"/>
    <w:rsid w:val="00DA3D82"/>
    <w:rsid w:val="00DA3DCC"/>
    <w:rsid w:val="00DA3DF0"/>
    <w:rsid w:val="00DA3E10"/>
    <w:rsid w:val="00DA3F21"/>
    <w:rsid w:val="00DA3F38"/>
    <w:rsid w:val="00DA3F61"/>
    <w:rsid w:val="00DA3FB3"/>
    <w:rsid w:val="00DA3FE6"/>
    <w:rsid w:val="00DA3FFC"/>
    <w:rsid w:val="00DA408F"/>
    <w:rsid w:val="00DA416A"/>
    <w:rsid w:val="00DA41E6"/>
    <w:rsid w:val="00DA4267"/>
    <w:rsid w:val="00DA4363"/>
    <w:rsid w:val="00DA436C"/>
    <w:rsid w:val="00DA446B"/>
    <w:rsid w:val="00DA447E"/>
    <w:rsid w:val="00DA448A"/>
    <w:rsid w:val="00DA44D8"/>
    <w:rsid w:val="00DA4683"/>
    <w:rsid w:val="00DA4742"/>
    <w:rsid w:val="00DA479A"/>
    <w:rsid w:val="00DA48E7"/>
    <w:rsid w:val="00DA4953"/>
    <w:rsid w:val="00DA4992"/>
    <w:rsid w:val="00DA49E2"/>
    <w:rsid w:val="00DA4A55"/>
    <w:rsid w:val="00DA4A85"/>
    <w:rsid w:val="00DA4A88"/>
    <w:rsid w:val="00DA4AA5"/>
    <w:rsid w:val="00DA4B0A"/>
    <w:rsid w:val="00DA4C63"/>
    <w:rsid w:val="00DA4C89"/>
    <w:rsid w:val="00DA4CC2"/>
    <w:rsid w:val="00DA4D2D"/>
    <w:rsid w:val="00DA4D3F"/>
    <w:rsid w:val="00DA4E0E"/>
    <w:rsid w:val="00DA4EF3"/>
    <w:rsid w:val="00DA4F69"/>
    <w:rsid w:val="00DA5086"/>
    <w:rsid w:val="00DA51BC"/>
    <w:rsid w:val="00DA5282"/>
    <w:rsid w:val="00DA528D"/>
    <w:rsid w:val="00DA52F9"/>
    <w:rsid w:val="00DA5373"/>
    <w:rsid w:val="00DA539A"/>
    <w:rsid w:val="00DA53BD"/>
    <w:rsid w:val="00DA53C8"/>
    <w:rsid w:val="00DA546F"/>
    <w:rsid w:val="00DA54F4"/>
    <w:rsid w:val="00DA55A7"/>
    <w:rsid w:val="00DA55C4"/>
    <w:rsid w:val="00DA5711"/>
    <w:rsid w:val="00DA5839"/>
    <w:rsid w:val="00DA586B"/>
    <w:rsid w:val="00DA586D"/>
    <w:rsid w:val="00DA58AA"/>
    <w:rsid w:val="00DA591F"/>
    <w:rsid w:val="00DA5920"/>
    <w:rsid w:val="00DA59B3"/>
    <w:rsid w:val="00DA5A7E"/>
    <w:rsid w:val="00DA5AE6"/>
    <w:rsid w:val="00DA5B01"/>
    <w:rsid w:val="00DA5B42"/>
    <w:rsid w:val="00DA5BDE"/>
    <w:rsid w:val="00DA5DBC"/>
    <w:rsid w:val="00DA5E1C"/>
    <w:rsid w:val="00DA5E27"/>
    <w:rsid w:val="00DA5F19"/>
    <w:rsid w:val="00DA5FBF"/>
    <w:rsid w:val="00DA5FEF"/>
    <w:rsid w:val="00DA609D"/>
    <w:rsid w:val="00DA60D7"/>
    <w:rsid w:val="00DA60E7"/>
    <w:rsid w:val="00DA612C"/>
    <w:rsid w:val="00DA6159"/>
    <w:rsid w:val="00DA61C8"/>
    <w:rsid w:val="00DA6223"/>
    <w:rsid w:val="00DA6236"/>
    <w:rsid w:val="00DA63A4"/>
    <w:rsid w:val="00DA65AD"/>
    <w:rsid w:val="00DA65D0"/>
    <w:rsid w:val="00DA6668"/>
    <w:rsid w:val="00DA6669"/>
    <w:rsid w:val="00DA6680"/>
    <w:rsid w:val="00DA682C"/>
    <w:rsid w:val="00DA687D"/>
    <w:rsid w:val="00DA694A"/>
    <w:rsid w:val="00DA6957"/>
    <w:rsid w:val="00DA6999"/>
    <w:rsid w:val="00DA6B5D"/>
    <w:rsid w:val="00DA6B6D"/>
    <w:rsid w:val="00DA6C13"/>
    <w:rsid w:val="00DA6CC4"/>
    <w:rsid w:val="00DA6D33"/>
    <w:rsid w:val="00DA6DEB"/>
    <w:rsid w:val="00DA6F01"/>
    <w:rsid w:val="00DA6F32"/>
    <w:rsid w:val="00DA6F78"/>
    <w:rsid w:val="00DA7077"/>
    <w:rsid w:val="00DA7135"/>
    <w:rsid w:val="00DA72EA"/>
    <w:rsid w:val="00DA7463"/>
    <w:rsid w:val="00DA747F"/>
    <w:rsid w:val="00DA7562"/>
    <w:rsid w:val="00DA7577"/>
    <w:rsid w:val="00DA75C2"/>
    <w:rsid w:val="00DA7699"/>
    <w:rsid w:val="00DA76A7"/>
    <w:rsid w:val="00DA779D"/>
    <w:rsid w:val="00DA77EF"/>
    <w:rsid w:val="00DA77FD"/>
    <w:rsid w:val="00DA792F"/>
    <w:rsid w:val="00DA7996"/>
    <w:rsid w:val="00DA7ADB"/>
    <w:rsid w:val="00DA7AE6"/>
    <w:rsid w:val="00DA7B0F"/>
    <w:rsid w:val="00DA7C8A"/>
    <w:rsid w:val="00DA7D07"/>
    <w:rsid w:val="00DA7D63"/>
    <w:rsid w:val="00DA7E5A"/>
    <w:rsid w:val="00DA7E8A"/>
    <w:rsid w:val="00DA7ECB"/>
    <w:rsid w:val="00DA7FD1"/>
    <w:rsid w:val="00DA7FF7"/>
    <w:rsid w:val="00DB0143"/>
    <w:rsid w:val="00DB033E"/>
    <w:rsid w:val="00DB0394"/>
    <w:rsid w:val="00DB03C4"/>
    <w:rsid w:val="00DB03CD"/>
    <w:rsid w:val="00DB0459"/>
    <w:rsid w:val="00DB04D0"/>
    <w:rsid w:val="00DB0558"/>
    <w:rsid w:val="00DB057E"/>
    <w:rsid w:val="00DB05F3"/>
    <w:rsid w:val="00DB06EC"/>
    <w:rsid w:val="00DB06F4"/>
    <w:rsid w:val="00DB073E"/>
    <w:rsid w:val="00DB0AA9"/>
    <w:rsid w:val="00DB0AF8"/>
    <w:rsid w:val="00DB0B04"/>
    <w:rsid w:val="00DB0D31"/>
    <w:rsid w:val="00DB0D7B"/>
    <w:rsid w:val="00DB0DAE"/>
    <w:rsid w:val="00DB0DB5"/>
    <w:rsid w:val="00DB0FC0"/>
    <w:rsid w:val="00DB1035"/>
    <w:rsid w:val="00DB104F"/>
    <w:rsid w:val="00DB117A"/>
    <w:rsid w:val="00DB126C"/>
    <w:rsid w:val="00DB1496"/>
    <w:rsid w:val="00DB14BB"/>
    <w:rsid w:val="00DB1529"/>
    <w:rsid w:val="00DB15E5"/>
    <w:rsid w:val="00DB15F9"/>
    <w:rsid w:val="00DB169B"/>
    <w:rsid w:val="00DB16C3"/>
    <w:rsid w:val="00DB1819"/>
    <w:rsid w:val="00DB188A"/>
    <w:rsid w:val="00DB18B3"/>
    <w:rsid w:val="00DB1931"/>
    <w:rsid w:val="00DB1A2F"/>
    <w:rsid w:val="00DB1AD7"/>
    <w:rsid w:val="00DB1B05"/>
    <w:rsid w:val="00DB1B36"/>
    <w:rsid w:val="00DB1B64"/>
    <w:rsid w:val="00DB1BCA"/>
    <w:rsid w:val="00DB1DFB"/>
    <w:rsid w:val="00DB1E76"/>
    <w:rsid w:val="00DB1EA5"/>
    <w:rsid w:val="00DB1EA8"/>
    <w:rsid w:val="00DB1F40"/>
    <w:rsid w:val="00DB1F78"/>
    <w:rsid w:val="00DB1F82"/>
    <w:rsid w:val="00DB1FE9"/>
    <w:rsid w:val="00DB20B2"/>
    <w:rsid w:val="00DB213D"/>
    <w:rsid w:val="00DB2211"/>
    <w:rsid w:val="00DB2225"/>
    <w:rsid w:val="00DB249A"/>
    <w:rsid w:val="00DB254A"/>
    <w:rsid w:val="00DB257A"/>
    <w:rsid w:val="00DB26E1"/>
    <w:rsid w:val="00DB26EF"/>
    <w:rsid w:val="00DB27B3"/>
    <w:rsid w:val="00DB292A"/>
    <w:rsid w:val="00DB29D2"/>
    <w:rsid w:val="00DB2A0E"/>
    <w:rsid w:val="00DB2ACB"/>
    <w:rsid w:val="00DB2AFD"/>
    <w:rsid w:val="00DB2B63"/>
    <w:rsid w:val="00DB2B7F"/>
    <w:rsid w:val="00DB2C9B"/>
    <w:rsid w:val="00DB2CA2"/>
    <w:rsid w:val="00DB2CD8"/>
    <w:rsid w:val="00DB2D53"/>
    <w:rsid w:val="00DB2DD3"/>
    <w:rsid w:val="00DB2DE8"/>
    <w:rsid w:val="00DB2F38"/>
    <w:rsid w:val="00DB2F73"/>
    <w:rsid w:val="00DB30D2"/>
    <w:rsid w:val="00DB3122"/>
    <w:rsid w:val="00DB33AF"/>
    <w:rsid w:val="00DB33EF"/>
    <w:rsid w:val="00DB341D"/>
    <w:rsid w:val="00DB34AE"/>
    <w:rsid w:val="00DB356D"/>
    <w:rsid w:val="00DB358A"/>
    <w:rsid w:val="00DB35E5"/>
    <w:rsid w:val="00DB3678"/>
    <w:rsid w:val="00DB37C3"/>
    <w:rsid w:val="00DB38B0"/>
    <w:rsid w:val="00DB390B"/>
    <w:rsid w:val="00DB3AF9"/>
    <w:rsid w:val="00DB3B52"/>
    <w:rsid w:val="00DB3B90"/>
    <w:rsid w:val="00DB3BB4"/>
    <w:rsid w:val="00DB3C4D"/>
    <w:rsid w:val="00DB3CA8"/>
    <w:rsid w:val="00DB3D0E"/>
    <w:rsid w:val="00DB3E55"/>
    <w:rsid w:val="00DB3F22"/>
    <w:rsid w:val="00DB3F7C"/>
    <w:rsid w:val="00DB3FB9"/>
    <w:rsid w:val="00DB3FD9"/>
    <w:rsid w:val="00DB4195"/>
    <w:rsid w:val="00DB4210"/>
    <w:rsid w:val="00DB43DC"/>
    <w:rsid w:val="00DB4466"/>
    <w:rsid w:val="00DB456C"/>
    <w:rsid w:val="00DB47A7"/>
    <w:rsid w:val="00DB47C8"/>
    <w:rsid w:val="00DB49D8"/>
    <w:rsid w:val="00DB4ADC"/>
    <w:rsid w:val="00DB4C20"/>
    <w:rsid w:val="00DB4DAD"/>
    <w:rsid w:val="00DB4ECF"/>
    <w:rsid w:val="00DB4EFF"/>
    <w:rsid w:val="00DB4F9E"/>
    <w:rsid w:val="00DB4FCC"/>
    <w:rsid w:val="00DB4FF5"/>
    <w:rsid w:val="00DB5072"/>
    <w:rsid w:val="00DB5090"/>
    <w:rsid w:val="00DB5187"/>
    <w:rsid w:val="00DB518A"/>
    <w:rsid w:val="00DB5323"/>
    <w:rsid w:val="00DB53AC"/>
    <w:rsid w:val="00DB5458"/>
    <w:rsid w:val="00DB5500"/>
    <w:rsid w:val="00DB554C"/>
    <w:rsid w:val="00DB5620"/>
    <w:rsid w:val="00DB5654"/>
    <w:rsid w:val="00DB5683"/>
    <w:rsid w:val="00DB57EA"/>
    <w:rsid w:val="00DB58F1"/>
    <w:rsid w:val="00DB590A"/>
    <w:rsid w:val="00DB59D2"/>
    <w:rsid w:val="00DB5A30"/>
    <w:rsid w:val="00DB5A42"/>
    <w:rsid w:val="00DB5ABB"/>
    <w:rsid w:val="00DB5B71"/>
    <w:rsid w:val="00DB5C79"/>
    <w:rsid w:val="00DB5CD2"/>
    <w:rsid w:val="00DB5D62"/>
    <w:rsid w:val="00DB5ED5"/>
    <w:rsid w:val="00DB5EF2"/>
    <w:rsid w:val="00DB60EB"/>
    <w:rsid w:val="00DB6109"/>
    <w:rsid w:val="00DB6121"/>
    <w:rsid w:val="00DB61B5"/>
    <w:rsid w:val="00DB62F2"/>
    <w:rsid w:val="00DB63B8"/>
    <w:rsid w:val="00DB6425"/>
    <w:rsid w:val="00DB65CF"/>
    <w:rsid w:val="00DB66F0"/>
    <w:rsid w:val="00DB66F1"/>
    <w:rsid w:val="00DB676B"/>
    <w:rsid w:val="00DB6849"/>
    <w:rsid w:val="00DB69C7"/>
    <w:rsid w:val="00DB6BAD"/>
    <w:rsid w:val="00DB6C43"/>
    <w:rsid w:val="00DB6D4E"/>
    <w:rsid w:val="00DB6D5B"/>
    <w:rsid w:val="00DB6DBE"/>
    <w:rsid w:val="00DB6E4B"/>
    <w:rsid w:val="00DB6E60"/>
    <w:rsid w:val="00DB6E98"/>
    <w:rsid w:val="00DB6F3E"/>
    <w:rsid w:val="00DB703C"/>
    <w:rsid w:val="00DB70BB"/>
    <w:rsid w:val="00DB71AE"/>
    <w:rsid w:val="00DB7201"/>
    <w:rsid w:val="00DB724E"/>
    <w:rsid w:val="00DB742B"/>
    <w:rsid w:val="00DB744F"/>
    <w:rsid w:val="00DB750F"/>
    <w:rsid w:val="00DB7609"/>
    <w:rsid w:val="00DB7972"/>
    <w:rsid w:val="00DB7A0B"/>
    <w:rsid w:val="00DB7A80"/>
    <w:rsid w:val="00DB7B5B"/>
    <w:rsid w:val="00DB7BDE"/>
    <w:rsid w:val="00DB7D67"/>
    <w:rsid w:val="00DB7DF0"/>
    <w:rsid w:val="00DC001B"/>
    <w:rsid w:val="00DC0156"/>
    <w:rsid w:val="00DC01DF"/>
    <w:rsid w:val="00DC01E6"/>
    <w:rsid w:val="00DC0235"/>
    <w:rsid w:val="00DC0407"/>
    <w:rsid w:val="00DC0427"/>
    <w:rsid w:val="00DC04B5"/>
    <w:rsid w:val="00DC05A3"/>
    <w:rsid w:val="00DC074A"/>
    <w:rsid w:val="00DC0755"/>
    <w:rsid w:val="00DC0790"/>
    <w:rsid w:val="00DC0934"/>
    <w:rsid w:val="00DC094E"/>
    <w:rsid w:val="00DC0952"/>
    <w:rsid w:val="00DC0B8A"/>
    <w:rsid w:val="00DC0C88"/>
    <w:rsid w:val="00DC0CD3"/>
    <w:rsid w:val="00DC0D7D"/>
    <w:rsid w:val="00DC0E7F"/>
    <w:rsid w:val="00DC1074"/>
    <w:rsid w:val="00DC10AF"/>
    <w:rsid w:val="00DC1108"/>
    <w:rsid w:val="00DC1186"/>
    <w:rsid w:val="00DC1200"/>
    <w:rsid w:val="00DC14AA"/>
    <w:rsid w:val="00DC14D4"/>
    <w:rsid w:val="00DC14F3"/>
    <w:rsid w:val="00DC15D7"/>
    <w:rsid w:val="00DC169B"/>
    <w:rsid w:val="00DC1713"/>
    <w:rsid w:val="00DC172E"/>
    <w:rsid w:val="00DC1743"/>
    <w:rsid w:val="00DC18BC"/>
    <w:rsid w:val="00DC18EE"/>
    <w:rsid w:val="00DC1935"/>
    <w:rsid w:val="00DC1A7B"/>
    <w:rsid w:val="00DC1BB0"/>
    <w:rsid w:val="00DC1C20"/>
    <w:rsid w:val="00DC1C78"/>
    <w:rsid w:val="00DC1C92"/>
    <w:rsid w:val="00DC1CFC"/>
    <w:rsid w:val="00DC1D68"/>
    <w:rsid w:val="00DC1DC4"/>
    <w:rsid w:val="00DC1DD7"/>
    <w:rsid w:val="00DC1DE0"/>
    <w:rsid w:val="00DC1E15"/>
    <w:rsid w:val="00DC1E8D"/>
    <w:rsid w:val="00DC1F73"/>
    <w:rsid w:val="00DC1FBA"/>
    <w:rsid w:val="00DC2039"/>
    <w:rsid w:val="00DC2165"/>
    <w:rsid w:val="00DC2170"/>
    <w:rsid w:val="00DC2211"/>
    <w:rsid w:val="00DC2253"/>
    <w:rsid w:val="00DC2272"/>
    <w:rsid w:val="00DC2297"/>
    <w:rsid w:val="00DC22D8"/>
    <w:rsid w:val="00DC22D9"/>
    <w:rsid w:val="00DC23C3"/>
    <w:rsid w:val="00DC23FE"/>
    <w:rsid w:val="00DC2412"/>
    <w:rsid w:val="00DC2547"/>
    <w:rsid w:val="00DC2591"/>
    <w:rsid w:val="00DC25ED"/>
    <w:rsid w:val="00DC2606"/>
    <w:rsid w:val="00DC262A"/>
    <w:rsid w:val="00DC2772"/>
    <w:rsid w:val="00DC278F"/>
    <w:rsid w:val="00DC286B"/>
    <w:rsid w:val="00DC28A5"/>
    <w:rsid w:val="00DC2971"/>
    <w:rsid w:val="00DC2A73"/>
    <w:rsid w:val="00DC2B30"/>
    <w:rsid w:val="00DC2BC1"/>
    <w:rsid w:val="00DC2C5E"/>
    <w:rsid w:val="00DC2C9F"/>
    <w:rsid w:val="00DC2D29"/>
    <w:rsid w:val="00DC2ED7"/>
    <w:rsid w:val="00DC2F21"/>
    <w:rsid w:val="00DC2FD2"/>
    <w:rsid w:val="00DC2FFD"/>
    <w:rsid w:val="00DC3019"/>
    <w:rsid w:val="00DC3054"/>
    <w:rsid w:val="00DC306E"/>
    <w:rsid w:val="00DC307A"/>
    <w:rsid w:val="00DC3101"/>
    <w:rsid w:val="00DC3146"/>
    <w:rsid w:val="00DC31E8"/>
    <w:rsid w:val="00DC3223"/>
    <w:rsid w:val="00DC323B"/>
    <w:rsid w:val="00DC3299"/>
    <w:rsid w:val="00DC32C1"/>
    <w:rsid w:val="00DC3341"/>
    <w:rsid w:val="00DC349D"/>
    <w:rsid w:val="00DC36E9"/>
    <w:rsid w:val="00DC378D"/>
    <w:rsid w:val="00DC379B"/>
    <w:rsid w:val="00DC39BC"/>
    <w:rsid w:val="00DC3ABD"/>
    <w:rsid w:val="00DC3AE2"/>
    <w:rsid w:val="00DC3B56"/>
    <w:rsid w:val="00DC3B75"/>
    <w:rsid w:val="00DC3BC6"/>
    <w:rsid w:val="00DC3C35"/>
    <w:rsid w:val="00DC3C6D"/>
    <w:rsid w:val="00DC3C9A"/>
    <w:rsid w:val="00DC3D23"/>
    <w:rsid w:val="00DC3E7B"/>
    <w:rsid w:val="00DC3EF4"/>
    <w:rsid w:val="00DC3F73"/>
    <w:rsid w:val="00DC401B"/>
    <w:rsid w:val="00DC401C"/>
    <w:rsid w:val="00DC407F"/>
    <w:rsid w:val="00DC4084"/>
    <w:rsid w:val="00DC408C"/>
    <w:rsid w:val="00DC40D4"/>
    <w:rsid w:val="00DC415C"/>
    <w:rsid w:val="00DC4178"/>
    <w:rsid w:val="00DC41B7"/>
    <w:rsid w:val="00DC41CD"/>
    <w:rsid w:val="00DC423D"/>
    <w:rsid w:val="00DC4242"/>
    <w:rsid w:val="00DC44F6"/>
    <w:rsid w:val="00DC4592"/>
    <w:rsid w:val="00DC46E5"/>
    <w:rsid w:val="00DC46F4"/>
    <w:rsid w:val="00DC46FA"/>
    <w:rsid w:val="00DC4704"/>
    <w:rsid w:val="00DC478B"/>
    <w:rsid w:val="00DC482B"/>
    <w:rsid w:val="00DC48E2"/>
    <w:rsid w:val="00DC498E"/>
    <w:rsid w:val="00DC4998"/>
    <w:rsid w:val="00DC4A11"/>
    <w:rsid w:val="00DC4A51"/>
    <w:rsid w:val="00DC4A77"/>
    <w:rsid w:val="00DC4B82"/>
    <w:rsid w:val="00DC4C2E"/>
    <w:rsid w:val="00DC4CEB"/>
    <w:rsid w:val="00DC4D29"/>
    <w:rsid w:val="00DC4D76"/>
    <w:rsid w:val="00DC4E0C"/>
    <w:rsid w:val="00DC4E65"/>
    <w:rsid w:val="00DC4FD2"/>
    <w:rsid w:val="00DC5019"/>
    <w:rsid w:val="00DC5068"/>
    <w:rsid w:val="00DC5100"/>
    <w:rsid w:val="00DC51A9"/>
    <w:rsid w:val="00DC51E1"/>
    <w:rsid w:val="00DC5235"/>
    <w:rsid w:val="00DC5282"/>
    <w:rsid w:val="00DC52B5"/>
    <w:rsid w:val="00DC52EA"/>
    <w:rsid w:val="00DC5304"/>
    <w:rsid w:val="00DC53C9"/>
    <w:rsid w:val="00DC53CF"/>
    <w:rsid w:val="00DC5413"/>
    <w:rsid w:val="00DC5507"/>
    <w:rsid w:val="00DC554B"/>
    <w:rsid w:val="00DC55C2"/>
    <w:rsid w:val="00DC5679"/>
    <w:rsid w:val="00DC5696"/>
    <w:rsid w:val="00DC56B2"/>
    <w:rsid w:val="00DC57B3"/>
    <w:rsid w:val="00DC584C"/>
    <w:rsid w:val="00DC5916"/>
    <w:rsid w:val="00DC59A2"/>
    <w:rsid w:val="00DC59FA"/>
    <w:rsid w:val="00DC5A88"/>
    <w:rsid w:val="00DC5A8B"/>
    <w:rsid w:val="00DC5B72"/>
    <w:rsid w:val="00DC5CC0"/>
    <w:rsid w:val="00DC5D27"/>
    <w:rsid w:val="00DC5D4C"/>
    <w:rsid w:val="00DC5E45"/>
    <w:rsid w:val="00DC5F40"/>
    <w:rsid w:val="00DC6004"/>
    <w:rsid w:val="00DC610B"/>
    <w:rsid w:val="00DC6110"/>
    <w:rsid w:val="00DC6133"/>
    <w:rsid w:val="00DC6150"/>
    <w:rsid w:val="00DC6236"/>
    <w:rsid w:val="00DC62D8"/>
    <w:rsid w:val="00DC631F"/>
    <w:rsid w:val="00DC648A"/>
    <w:rsid w:val="00DC651B"/>
    <w:rsid w:val="00DC6557"/>
    <w:rsid w:val="00DC6564"/>
    <w:rsid w:val="00DC65AE"/>
    <w:rsid w:val="00DC65F2"/>
    <w:rsid w:val="00DC672E"/>
    <w:rsid w:val="00DC6791"/>
    <w:rsid w:val="00DC694A"/>
    <w:rsid w:val="00DC694C"/>
    <w:rsid w:val="00DC6B2C"/>
    <w:rsid w:val="00DC6B98"/>
    <w:rsid w:val="00DC6C61"/>
    <w:rsid w:val="00DC6C8A"/>
    <w:rsid w:val="00DC6D43"/>
    <w:rsid w:val="00DC6D57"/>
    <w:rsid w:val="00DC6D8D"/>
    <w:rsid w:val="00DC6ED6"/>
    <w:rsid w:val="00DC6EEE"/>
    <w:rsid w:val="00DC6F1D"/>
    <w:rsid w:val="00DC6FCC"/>
    <w:rsid w:val="00DC7082"/>
    <w:rsid w:val="00DC711F"/>
    <w:rsid w:val="00DC7138"/>
    <w:rsid w:val="00DC71AA"/>
    <w:rsid w:val="00DC7285"/>
    <w:rsid w:val="00DC728F"/>
    <w:rsid w:val="00DC72E6"/>
    <w:rsid w:val="00DC72EC"/>
    <w:rsid w:val="00DC7325"/>
    <w:rsid w:val="00DC7329"/>
    <w:rsid w:val="00DC745C"/>
    <w:rsid w:val="00DC7483"/>
    <w:rsid w:val="00DC75B0"/>
    <w:rsid w:val="00DC75DD"/>
    <w:rsid w:val="00DC75E1"/>
    <w:rsid w:val="00DC76E3"/>
    <w:rsid w:val="00DC7787"/>
    <w:rsid w:val="00DC7799"/>
    <w:rsid w:val="00DC77A1"/>
    <w:rsid w:val="00DC77B6"/>
    <w:rsid w:val="00DC780B"/>
    <w:rsid w:val="00DC7A44"/>
    <w:rsid w:val="00DC7B52"/>
    <w:rsid w:val="00DC7EAE"/>
    <w:rsid w:val="00DC7EFD"/>
    <w:rsid w:val="00DC7F06"/>
    <w:rsid w:val="00DC7F33"/>
    <w:rsid w:val="00DC7F82"/>
    <w:rsid w:val="00DC7F88"/>
    <w:rsid w:val="00DD00C5"/>
    <w:rsid w:val="00DD0109"/>
    <w:rsid w:val="00DD04CB"/>
    <w:rsid w:val="00DD0571"/>
    <w:rsid w:val="00DD0614"/>
    <w:rsid w:val="00DD0686"/>
    <w:rsid w:val="00DD06F3"/>
    <w:rsid w:val="00DD0707"/>
    <w:rsid w:val="00DD074C"/>
    <w:rsid w:val="00DD07CD"/>
    <w:rsid w:val="00DD07D7"/>
    <w:rsid w:val="00DD080B"/>
    <w:rsid w:val="00DD08CA"/>
    <w:rsid w:val="00DD0909"/>
    <w:rsid w:val="00DD095E"/>
    <w:rsid w:val="00DD0A45"/>
    <w:rsid w:val="00DD0AC3"/>
    <w:rsid w:val="00DD0B18"/>
    <w:rsid w:val="00DD0B1B"/>
    <w:rsid w:val="00DD0CCB"/>
    <w:rsid w:val="00DD0CF0"/>
    <w:rsid w:val="00DD0D7E"/>
    <w:rsid w:val="00DD0DBA"/>
    <w:rsid w:val="00DD0EBB"/>
    <w:rsid w:val="00DD1027"/>
    <w:rsid w:val="00DD10AF"/>
    <w:rsid w:val="00DD10B0"/>
    <w:rsid w:val="00DD119B"/>
    <w:rsid w:val="00DD11F8"/>
    <w:rsid w:val="00DD124A"/>
    <w:rsid w:val="00DD128F"/>
    <w:rsid w:val="00DD1290"/>
    <w:rsid w:val="00DD13C4"/>
    <w:rsid w:val="00DD1490"/>
    <w:rsid w:val="00DD16C9"/>
    <w:rsid w:val="00DD171D"/>
    <w:rsid w:val="00DD1726"/>
    <w:rsid w:val="00DD177A"/>
    <w:rsid w:val="00DD1887"/>
    <w:rsid w:val="00DD189F"/>
    <w:rsid w:val="00DD18AA"/>
    <w:rsid w:val="00DD196D"/>
    <w:rsid w:val="00DD198A"/>
    <w:rsid w:val="00DD1999"/>
    <w:rsid w:val="00DD1BD6"/>
    <w:rsid w:val="00DD1DDF"/>
    <w:rsid w:val="00DD1E45"/>
    <w:rsid w:val="00DD1EA6"/>
    <w:rsid w:val="00DD1F48"/>
    <w:rsid w:val="00DD1FD1"/>
    <w:rsid w:val="00DD20CF"/>
    <w:rsid w:val="00DD21CD"/>
    <w:rsid w:val="00DD21CE"/>
    <w:rsid w:val="00DD22BE"/>
    <w:rsid w:val="00DD22C2"/>
    <w:rsid w:val="00DD234E"/>
    <w:rsid w:val="00DD2564"/>
    <w:rsid w:val="00DD26D7"/>
    <w:rsid w:val="00DD27D2"/>
    <w:rsid w:val="00DD28CB"/>
    <w:rsid w:val="00DD291C"/>
    <w:rsid w:val="00DD2946"/>
    <w:rsid w:val="00DD29B4"/>
    <w:rsid w:val="00DD2B50"/>
    <w:rsid w:val="00DD2CD6"/>
    <w:rsid w:val="00DD2D1C"/>
    <w:rsid w:val="00DD2D2F"/>
    <w:rsid w:val="00DD2D43"/>
    <w:rsid w:val="00DD2D79"/>
    <w:rsid w:val="00DD2D98"/>
    <w:rsid w:val="00DD2DC9"/>
    <w:rsid w:val="00DD2E8A"/>
    <w:rsid w:val="00DD2F3D"/>
    <w:rsid w:val="00DD2FB6"/>
    <w:rsid w:val="00DD2FEF"/>
    <w:rsid w:val="00DD3039"/>
    <w:rsid w:val="00DD30FC"/>
    <w:rsid w:val="00DD334F"/>
    <w:rsid w:val="00DD3458"/>
    <w:rsid w:val="00DD34E2"/>
    <w:rsid w:val="00DD3521"/>
    <w:rsid w:val="00DD3556"/>
    <w:rsid w:val="00DD35D7"/>
    <w:rsid w:val="00DD35FD"/>
    <w:rsid w:val="00DD3722"/>
    <w:rsid w:val="00DD3793"/>
    <w:rsid w:val="00DD37E3"/>
    <w:rsid w:val="00DD38F0"/>
    <w:rsid w:val="00DD39FE"/>
    <w:rsid w:val="00DD3BD1"/>
    <w:rsid w:val="00DD3C42"/>
    <w:rsid w:val="00DD3C49"/>
    <w:rsid w:val="00DD3CC2"/>
    <w:rsid w:val="00DD3E5A"/>
    <w:rsid w:val="00DD4127"/>
    <w:rsid w:val="00DD4338"/>
    <w:rsid w:val="00DD4342"/>
    <w:rsid w:val="00DD4568"/>
    <w:rsid w:val="00DD45D2"/>
    <w:rsid w:val="00DD45DC"/>
    <w:rsid w:val="00DD4650"/>
    <w:rsid w:val="00DD4653"/>
    <w:rsid w:val="00DD46E0"/>
    <w:rsid w:val="00DD4832"/>
    <w:rsid w:val="00DD485C"/>
    <w:rsid w:val="00DD48D5"/>
    <w:rsid w:val="00DD49A4"/>
    <w:rsid w:val="00DD4A30"/>
    <w:rsid w:val="00DD4AA3"/>
    <w:rsid w:val="00DD4ACE"/>
    <w:rsid w:val="00DD4C0E"/>
    <w:rsid w:val="00DD4C9F"/>
    <w:rsid w:val="00DD4CF1"/>
    <w:rsid w:val="00DD4D46"/>
    <w:rsid w:val="00DD4D76"/>
    <w:rsid w:val="00DD4DB1"/>
    <w:rsid w:val="00DD4DB7"/>
    <w:rsid w:val="00DD4E27"/>
    <w:rsid w:val="00DD4FA4"/>
    <w:rsid w:val="00DD4FBE"/>
    <w:rsid w:val="00DD50D2"/>
    <w:rsid w:val="00DD51D4"/>
    <w:rsid w:val="00DD528F"/>
    <w:rsid w:val="00DD52A7"/>
    <w:rsid w:val="00DD55BA"/>
    <w:rsid w:val="00DD55D8"/>
    <w:rsid w:val="00DD5658"/>
    <w:rsid w:val="00DD58EB"/>
    <w:rsid w:val="00DD592B"/>
    <w:rsid w:val="00DD59F0"/>
    <w:rsid w:val="00DD5AD5"/>
    <w:rsid w:val="00DD5B7A"/>
    <w:rsid w:val="00DD5B83"/>
    <w:rsid w:val="00DD5C37"/>
    <w:rsid w:val="00DD5C57"/>
    <w:rsid w:val="00DD5D7A"/>
    <w:rsid w:val="00DD5EE6"/>
    <w:rsid w:val="00DD5F87"/>
    <w:rsid w:val="00DD5FAB"/>
    <w:rsid w:val="00DD60B1"/>
    <w:rsid w:val="00DD60DB"/>
    <w:rsid w:val="00DD60FC"/>
    <w:rsid w:val="00DD6119"/>
    <w:rsid w:val="00DD6146"/>
    <w:rsid w:val="00DD619C"/>
    <w:rsid w:val="00DD61C2"/>
    <w:rsid w:val="00DD6207"/>
    <w:rsid w:val="00DD6256"/>
    <w:rsid w:val="00DD63A9"/>
    <w:rsid w:val="00DD6608"/>
    <w:rsid w:val="00DD661A"/>
    <w:rsid w:val="00DD669C"/>
    <w:rsid w:val="00DD6725"/>
    <w:rsid w:val="00DD6731"/>
    <w:rsid w:val="00DD676C"/>
    <w:rsid w:val="00DD6844"/>
    <w:rsid w:val="00DD6908"/>
    <w:rsid w:val="00DD691E"/>
    <w:rsid w:val="00DD6958"/>
    <w:rsid w:val="00DD696E"/>
    <w:rsid w:val="00DD69BF"/>
    <w:rsid w:val="00DD69F5"/>
    <w:rsid w:val="00DD6BD9"/>
    <w:rsid w:val="00DD6BE6"/>
    <w:rsid w:val="00DD6E2F"/>
    <w:rsid w:val="00DD7142"/>
    <w:rsid w:val="00DD714F"/>
    <w:rsid w:val="00DD7281"/>
    <w:rsid w:val="00DD7456"/>
    <w:rsid w:val="00DD7464"/>
    <w:rsid w:val="00DD7542"/>
    <w:rsid w:val="00DD7607"/>
    <w:rsid w:val="00DD7664"/>
    <w:rsid w:val="00DD7694"/>
    <w:rsid w:val="00DD76AC"/>
    <w:rsid w:val="00DD784E"/>
    <w:rsid w:val="00DD7886"/>
    <w:rsid w:val="00DD79C7"/>
    <w:rsid w:val="00DD79F2"/>
    <w:rsid w:val="00DD7AC1"/>
    <w:rsid w:val="00DD7B36"/>
    <w:rsid w:val="00DD7BF5"/>
    <w:rsid w:val="00DD7C30"/>
    <w:rsid w:val="00DD7CE6"/>
    <w:rsid w:val="00DD7D42"/>
    <w:rsid w:val="00DD7E74"/>
    <w:rsid w:val="00DD7E8E"/>
    <w:rsid w:val="00DD7F03"/>
    <w:rsid w:val="00DE005D"/>
    <w:rsid w:val="00DE009F"/>
    <w:rsid w:val="00DE02C2"/>
    <w:rsid w:val="00DE0302"/>
    <w:rsid w:val="00DE038C"/>
    <w:rsid w:val="00DE0469"/>
    <w:rsid w:val="00DE04B4"/>
    <w:rsid w:val="00DE04B8"/>
    <w:rsid w:val="00DE04DB"/>
    <w:rsid w:val="00DE0612"/>
    <w:rsid w:val="00DE0631"/>
    <w:rsid w:val="00DE069C"/>
    <w:rsid w:val="00DE06DA"/>
    <w:rsid w:val="00DE0744"/>
    <w:rsid w:val="00DE077E"/>
    <w:rsid w:val="00DE079D"/>
    <w:rsid w:val="00DE0854"/>
    <w:rsid w:val="00DE09CF"/>
    <w:rsid w:val="00DE09DF"/>
    <w:rsid w:val="00DE0A67"/>
    <w:rsid w:val="00DE0B61"/>
    <w:rsid w:val="00DE0C4A"/>
    <w:rsid w:val="00DE0CC7"/>
    <w:rsid w:val="00DE0DB3"/>
    <w:rsid w:val="00DE0DDC"/>
    <w:rsid w:val="00DE0E38"/>
    <w:rsid w:val="00DE0E81"/>
    <w:rsid w:val="00DE0F51"/>
    <w:rsid w:val="00DE0F6F"/>
    <w:rsid w:val="00DE0FD3"/>
    <w:rsid w:val="00DE1085"/>
    <w:rsid w:val="00DE12B5"/>
    <w:rsid w:val="00DE12C4"/>
    <w:rsid w:val="00DE12CA"/>
    <w:rsid w:val="00DE133E"/>
    <w:rsid w:val="00DE13C5"/>
    <w:rsid w:val="00DE1551"/>
    <w:rsid w:val="00DE1553"/>
    <w:rsid w:val="00DE15F7"/>
    <w:rsid w:val="00DE1675"/>
    <w:rsid w:val="00DE1726"/>
    <w:rsid w:val="00DE17B9"/>
    <w:rsid w:val="00DE17F5"/>
    <w:rsid w:val="00DE1871"/>
    <w:rsid w:val="00DE193B"/>
    <w:rsid w:val="00DE19D8"/>
    <w:rsid w:val="00DE1A74"/>
    <w:rsid w:val="00DE1C6B"/>
    <w:rsid w:val="00DE1D0E"/>
    <w:rsid w:val="00DE1DE2"/>
    <w:rsid w:val="00DE1E0C"/>
    <w:rsid w:val="00DE1F26"/>
    <w:rsid w:val="00DE20EF"/>
    <w:rsid w:val="00DE22EB"/>
    <w:rsid w:val="00DE23E8"/>
    <w:rsid w:val="00DE246A"/>
    <w:rsid w:val="00DE24A9"/>
    <w:rsid w:val="00DE24E5"/>
    <w:rsid w:val="00DE25DE"/>
    <w:rsid w:val="00DE2623"/>
    <w:rsid w:val="00DE2836"/>
    <w:rsid w:val="00DE2961"/>
    <w:rsid w:val="00DE2A7D"/>
    <w:rsid w:val="00DE2AE2"/>
    <w:rsid w:val="00DE2D38"/>
    <w:rsid w:val="00DE2D41"/>
    <w:rsid w:val="00DE2D71"/>
    <w:rsid w:val="00DE2D88"/>
    <w:rsid w:val="00DE2DEF"/>
    <w:rsid w:val="00DE2E6D"/>
    <w:rsid w:val="00DE2EE4"/>
    <w:rsid w:val="00DE2F08"/>
    <w:rsid w:val="00DE2FEE"/>
    <w:rsid w:val="00DE310B"/>
    <w:rsid w:val="00DE3146"/>
    <w:rsid w:val="00DE315C"/>
    <w:rsid w:val="00DE3246"/>
    <w:rsid w:val="00DE3254"/>
    <w:rsid w:val="00DE3344"/>
    <w:rsid w:val="00DE33F2"/>
    <w:rsid w:val="00DE349E"/>
    <w:rsid w:val="00DE34D7"/>
    <w:rsid w:val="00DE3566"/>
    <w:rsid w:val="00DE3593"/>
    <w:rsid w:val="00DE35D4"/>
    <w:rsid w:val="00DE37B6"/>
    <w:rsid w:val="00DE3838"/>
    <w:rsid w:val="00DE389B"/>
    <w:rsid w:val="00DE38EB"/>
    <w:rsid w:val="00DE395E"/>
    <w:rsid w:val="00DE3BF6"/>
    <w:rsid w:val="00DE3CB4"/>
    <w:rsid w:val="00DE3CB9"/>
    <w:rsid w:val="00DE3CC0"/>
    <w:rsid w:val="00DE3F0A"/>
    <w:rsid w:val="00DE3FA2"/>
    <w:rsid w:val="00DE408C"/>
    <w:rsid w:val="00DE4239"/>
    <w:rsid w:val="00DE43B3"/>
    <w:rsid w:val="00DE4490"/>
    <w:rsid w:val="00DE44A8"/>
    <w:rsid w:val="00DE4596"/>
    <w:rsid w:val="00DE464F"/>
    <w:rsid w:val="00DE4707"/>
    <w:rsid w:val="00DE4763"/>
    <w:rsid w:val="00DE476A"/>
    <w:rsid w:val="00DE478E"/>
    <w:rsid w:val="00DE47F0"/>
    <w:rsid w:val="00DE4839"/>
    <w:rsid w:val="00DE486C"/>
    <w:rsid w:val="00DE4905"/>
    <w:rsid w:val="00DE4929"/>
    <w:rsid w:val="00DE49CB"/>
    <w:rsid w:val="00DE4A40"/>
    <w:rsid w:val="00DE4AAC"/>
    <w:rsid w:val="00DE4BDD"/>
    <w:rsid w:val="00DE4BE2"/>
    <w:rsid w:val="00DE4D37"/>
    <w:rsid w:val="00DE4DD2"/>
    <w:rsid w:val="00DE4E38"/>
    <w:rsid w:val="00DE4EE5"/>
    <w:rsid w:val="00DE4F4B"/>
    <w:rsid w:val="00DE4F58"/>
    <w:rsid w:val="00DE4FA5"/>
    <w:rsid w:val="00DE4FFF"/>
    <w:rsid w:val="00DE502D"/>
    <w:rsid w:val="00DE5064"/>
    <w:rsid w:val="00DE51FD"/>
    <w:rsid w:val="00DE5204"/>
    <w:rsid w:val="00DE52B1"/>
    <w:rsid w:val="00DE5432"/>
    <w:rsid w:val="00DE5456"/>
    <w:rsid w:val="00DE550D"/>
    <w:rsid w:val="00DE5550"/>
    <w:rsid w:val="00DE55CF"/>
    <w:rsid w:val="00DE578A"/>
    <w:rsid w:val="00DE57CE"/>
    <w:rsid w:val="00DE58C8"/>
    <w:rsid w:val="00DE5A36"/>
    <w:rsid w:val="00DE5AD1"/>
    <w:rsid w:val="00DE5AEC"/>
    <w:rsid w:val="00DE5B2A"/>
    <w:rsid w:val="00DE5B46"/>
    <w:rsid w:val="00DE5BDE"/>
    <w:rsid w:val="00DE5BEB"/>
    <w:rsid w:val="00DE5C09"/>
    <w:rsid w:val="00DE5C9D"/>
    <w:rsid w:val="00DE5CBC"/>
    <w:rsid w:val="00DE5CCE"/>
    <w:rsid w:val="00DE5CE3"/>
    <w:rsid w:val="00DE5CF0"/>
    <w:rsid w:val="00DE5D8A"/>
    <w:rsid w:val="00DE5E0E"/>
    <w:rsid w:val="00DE5F30"/>
    <w:rsid w:val="00DE5FA0"/>
    <w:rsid w:val="00DE5FD9"/>
    <w:rsid w:val="00DE6086"/>
    <w:rsid w:val="00DE60FD"/>
    <w:rsid w:val="00DE6190"/>
    <w:rsid w:val="00DE6252"/>
    <w:rsid w:val="00DE62EE"/>
    <w:rsid w:val="00DE632E"/>
    <w:rsid w:val="00DE6406"/>
    <w:rsid w:val="00DE640B"/>
    <w:rsid w:val="00DE659C"/>
    <w:rsid w:val="00DE65C9"/>
    <w:rsid w:val="00DE65DA"/>
    <w:rsid w:val="00DE663A"/>
    <w:rsid w:val="00DE66C6"/>
    <w:rsid w:val="00DE67EB"/>
    <w:rsid w:val="00DE686F"/>
    <w:rsid w:val="00DE68DC"/>
    <w:rsid w:val="00DE6969"/>
    <w:rsid w:val="00DE69DB"/>
    <w:rsid w:val="00DE6A66"/>
    <w:rsid w:val="00DE6C50"/>
    <w:rsid w:val="00DE6CEB"/>
    <w:rsid w:val="00DE6F12"/>
    <w:rsid w:val="00DE6F17"/>
    <w:rsid w:val="00DE6FBB"/>
    <w:rsid w:val="00DE7011"/>
    <w:rsid w:val="00DE7058"/>
    <w:rsid w:val="00DE715A"/>
    <w:rsid w:val="00DE7212"/>
    <w:rsid w:val="00DE722D"/>
    <w:rsid w:val="00DE72A2"/>
    <w:rsid w:val="00DE735B"/>
    <w:rsid w:val="00DE74AA"/>
    <w:rsid w:val="00DE74E2"/>
    <w:rsid w:val="00DE75B0"/>
    <w:rsid w:val="00DE75B4"/>
    <w:rsid w:val="00DE75C3"/>
    <w:rsid w:val="00DE7680"/>
    <w:rsid w:val="00DE77E0"/>
    <w:rsid w:val="00DE7945"/>
    <w:rsid w:val="00DE79D9"/>
    <w:rsid w:val="00DE7A1A"/>
    <w:rsid w:val="00DE7A30"/>
    <w:rsid w:val="00DE7A84"/>
    <w:rsid w:val="00DE7B26"/>
    <w:rsid w:val="00DE7BBF"/>
    <w:rsid w:val="00DE7C31"/>
    <w:rsid w:val="00DE7D0E"/>
    <w:rsid w:val="00DE7D82"/>
    <w:rsid w:val="00DE7DCF"/>
    <w:rsid w:val="00DE7E1D"/>
    <w:rsid w:val="00DE7E73"/>
    <w:rsid w:val="00DE7EF1"/>
    <w:rsid w:val="00DF0060"/>
    <w:rsid w:val="00DF007B"/>
    <w:rsid w:val="00DF0155"/>
    <w:rsid w:val="00DF0185"/>
    <w:rsid w:val="00DF0189"/>
    <w:rsid w:val="00DF0226"/>
    <w:rsid w:val="00DF0260"/>
    <w:rsid w:val="00DF0333"/>
    <w:rsid w:val="00DF033F"/>
    <w:rsid w:val="00DF0545"/>
    <w:rsid w:val="00DF054E"/>
    <w:rsid w:val="00DF05A3"/>
    <w:rsid w:val="00DF062C"/>
    <w:rsid w:val="00DF06A2"/>
    <w:rsid w:val="00DF06DF"/>
    <w:rsid w:val="00DF075B"/>
    <w:rsid w:val="00DF0762"/>
    <w:rsid w:val="00DF07A4"/>
    <w:rsid w:val="00DF080F"/>
    <w:rsid w:val="00DF0978"/>
    <w:rsid w:val="00DF0A4A"/>
    <w:rsid w:val="00DF0ADB"/>
    <w:rsid w:val="00DF0C35"/>
    <w:rsid w:val="00DF0C4E"/>
    <w:rsid w:val="00DF0CA4"/>
    <w:rsid w:val="00DF0DC5"/>
    <w:rsid w:val="00DF0E2D"/>
    <w:rsid w:val="00DF0F2C"/>
    <w:rsid w:val="00DF0F32"/>
    <w:rsid w:val="00DF1016"/>
    <w:rsid w:val="00DF1018"/>
    <w:rsid w:val="00DF1046"/>
    <w:rsid w:val="00DF1076"/>
    <w:rsid w:val="00DF11DE"/>
    <w:rsid w:val="00DF11FB"/>
    <w:rsid w:val="00DF1208"/>
    <w:rsid w:val="00DF1299"/>
    <w:rsid w:val="00DF12BE"/>
    <w:rsid w:val="00DF131C"/>
    <w:rsid w:val="00DF15DD"/>
    <w:rsid w:val="00DF15FE"/>
    <w:rsid w:val="00DF1620"/>
    <w:rsid w:val="00DF17A9"/>
    <w:rsid w:val="00DF17DD"/>
    <w:rsid w:val="00DF17E8"/>
    <w:rsid w:val="00DF1829"/>
    <w:rsid w:val="00DF1842"/>
    <w:rsid w:val="00DF185A"/>
    <w:rsid w:val="00DF19BE"/>
    <w:rsid w:val="00DF1B2A"/>
    <w:rsid w:val="00DF1B8B"/>
    <w:rsid w:val="00DF1F2A"/>
    <w:rsid w:val="00DF1FCA"/>
    <w:rsid w:val="00DF1FDA"/>
    <w:rsid w:val="00DF205F"/>
    <w:rsid w:val="00DF2218"/>
    <w:rsid w:val="00DF2269"/>
    <w:rsid w:val="00DF2294"/>
    <w:rsid w:val="00DF22A5"/>
    <w:rsid w:val="00DF230B"/>
    <w:rsid w:val="00DF2333"/>
    <w:rsid w:val="00DF23DA"/>
    <w:rsid w:val="00DF242B"/>
    <w:rsid w:val="00DF2449"/>
    <w:rsid w:val="00DF24DB"/>
    <w:rsid w:val="00DF254E"/>
    <w:rsid w:val="00DF2564"/>
    <w:rsid w:val="00DF257C"/>
    <w:rsid w:val="00DF2590"/>
    <w:rsid w:val="00DF2621"/>
    <w:rsid w:val="00DF26DF"/>
    <w:rsid w:val="00DF27D1"/>
    <w:rsid w:val="00DF27D3"/>
    <w:rsid w:val="00DF280C"/>
    <w:rsid w:val="00DF2866"/>
    <w:rsid w:val="00DF28A7"/>
    <w:rsid w:val="00DF2952"/>
    <w:rsid w:val="00DF2B73"/>
    <w:rsid w:val="00DF2BEE"/>
    <w:rsid w:val="00DF2CA1"/>
    <w:rsid w:val="00DF2D38"/>
    <w:rsid w:val="00DF2E25"/>
    <w:rsid w:val="00DF2E90"/>
    <w:rsid w:val="00DF3080"/>
    <w:rsid w:val="00DF32DF"/>
    <w:rsid w:val="00DF33FC"/>
    <w:rsid w:val="00DF342D"/>
    <w:rsid w:val="00DF349A"/>
    <w:rsid w:val="00DF34B0"/>
    <w:rsid w:val="00DF34DE"/>
    <w:rsid w:val="00DF3559"/>
    <w:rsid w:val="00DF3601"/>
    <w:rsid w:val="00DF364E"/>
    <w:rsid w:val="00DF3661"/>
    <w:rsid w:val="00DF375F"/>
    <w:rsid w:val="00DF37B3"/>
    <w:rsid w:val="00DF3819"/>
    <w:rsid w:val="00DF38E7"/>
    <w:rsid w:val="00DF390C"/>
    <w:rsid w:val="00DF395A"/>
    <w:rsid w:val="00DF399B"/>
    <w:rsid w:val="00DF3A80"/>
    <w:rsid w:val="00DF3AD3"/>
    <w:rsid w:val="00DF3AE0"/>
    <w:rsid w:val="00DF3B5E"/>
    <w:rsid w:val="00DF3B89"/>
    <w:rsid w:val="00DF3C0E"/>
    <w:rsid w:val="00DF3D96"/>
    <w:rsid w:val="00DF3E04"/>
    <w:rsid w:val="00DF3E97"/>
    <w:rsid w:val="00DF3F36"/>
    <w:rsid w:val="00DF3F6D"/>
    <w:rsid w:val="00DF3FAB"/>
    <w:rsid w:val="00DF4165"/>
    <w:rsid w:val="00DF41DD"/>
    <w:rsid w:val="00DF42C8"/>
    <w:rsid w:val="00DF433F"/>
    <w:rsid w:val="00DF434E"/>
    <w:rsid w:val="00DF4429"/>
    <w:rsid w:val="00DF444E"/>
    <w:rsid w:val="00DF45CB"/>
    <w:rsid w:val="00DF45E2"/>
    <w:rsid w:val="00DF4690"/>
    <w:rsid w:val="00DF4693"/>
    <w:rsid w:val="00DF46BA"/>
    <w:rsid w:val="00DF46E9"/>
    <w:rsid w:val="00DF472D"/>
    <w:rsid w:val="00DF4821"/>
    <w:rsid w:val="00DF48E7"/>
    <w:rsid w:val="00DF490C"/>
    <w:rsid w:val="00DF4975"/>
    <w:rsid w:val="00DF4A88"/>
    <w:rsid w:val="00DF4A9A"/>
    <w:rsid w:val="00DF4B11"/>
    <w:rsid w:val="00DF4B93"/>
    <w:rsid w:val="00DF4BBE"/>
    <w:rsid w:val="00DF4BDB"/>
    <w:rsid w:val="00DF4CF0"/>
    <w:rsid w:val="00DF4D76"/>
    <w:rsid w:val="00DF4D9C"/>
    <w:rsid w:val="00DF4DC2"/>
    <w:rsid w:val="00DF4EA4"/>
    <w:rsid w:val="00DF50F6"/>
    <w:rsid w:val="00DF516C"/>
    <w:rsid w:val="00DF5205"/>
    <w:rsid w:val="00DF5221"/>
    <w:rsid w:val="00DF529E"/>
    <w:rsid w:val="00DF52D2"/>
    <w:rsid w:val="00DF5309"/>
    <w:rsid w:val="00DF5385"/>
    <w:rsid w:val="00DF54E2"/>
    <w:rsid w:val="00DF557E"/>
    <w:rsid w:val="00DF5628"/>
    <w:rsid w:val="00DF569B"/>
    <w:rsid w:val="00DF56CE"/>
    <w:rsid w:val="00DF5719"/>
    <w:rsid w:val="00DF572E"/>
    <w:rsid w:val="00DF5740"/>
    <w:rsid w:val="00DF574C"/>
    <w:rsid w:val="00DF5929"/>
    <w:rsid w:val="00DF5997"/>
    <w:rsid w:val="00DF59E2"/>
    <w:rsid w:val="00DF5A5B"/>
    <w:rsid w:val="00DF5ABC"/>
    <w:rsid w:val="00DF5BC7"/>
    <w:rsid w:val="00DF5C15"/>
    <w:rsid w:val="00DF5C5B"/>
    <w:rsid w:val="00DF5EA2"/>
    <w:rsid w:val="00DF5EC9"/>
    <w:rsid w:val="00DF5ED3"/>
    <w:rsid w:val="00DF5F42"/>
    <w:rsid w:val="00DF5F70"/>
    <w:rsid w:val="00DF5FDE"/>
    <w:rsid w:val="00DF605E"/>
    <w:rsid w:val="00DF60A4"/>
    <w:rsid w:val="00DF6111"/>
    <w:rsid w:val="00DF6127"/>
    <w:rsid w:val="00DF6145"/>
    <w:rsid w:val="00DF64A2"/>
    <w:rsid w:val="00DF64BA"/>
    <w:rsid w:val="00DF652E"/>
    <w:rsid w:val="00DF665B"/>
    <w:rsid w:val="00DF6664"/>
    <w:rsid w:val="00DF66D1"/>
    <w:rsid w:val="00DF67CD"/>
    <w:rsid w:val="00DF686A"/>
    <w:rsid w:val="00DF686C"/>
    <w:rsid w:val="00DF68DF"/>
    <w:rsid w:val="00DF6916"/>
    <w:rsid w:val="00DF6926"/>
    <w:rsid w:val="00DF6BC3"/>
    <w:rsid w:val="00DF6E76"/>
    <w:rsid w:val="00DF6F61"/>
    <w:rsid w:val="00DF6F78"/>
    <w:rsid w:val="00DF6F84"/>
    <w:rsid w:val="00DF7005"/>
    <w:rsid w:val="00DF7036"/>
    <w:rsid w:val="00DF70DE"/>
    <w:rsid w:val="00DF7372"/>
    <w:rsid w:val="00DF742C"/>
    <w:rsid w:val="00DF7605"/>
    <w:rsid w:val="00DF77A7"/>
    <w:rsid w:val="00DF7862"/>
    <w:rsid w:val="00DF7868"/>
    <w:rsid w:val="00DF794F"/>
    <w:rsid w:val="00DF79A0"/>
    <w:rsid w:val="00DF7ACC"/>
    <w:rsid w:val="00DF7B0A"/>
    <w:rsid w:val="00DF7CBE"/>
    <w:rsid w:val="00DF7CD3"/>
    <w:rsid w:val="00DF7DA3"/>
    <w:rsid w:val="00DF7E47"/>
    <w:rsid w:val="00DF7E5B"/>
    <w:rsid w:val="00DF7F92"/>
    <w:rsid w:val="00E00008"/>
    <w:rsid w:val="00E00089"/>
    <w:rsid w:val="00E000E8"/>
    <w:rsid w:val="00E002BA"/>
    <w:rsid w:val="00E003FE"/>
    <w:rsid w:val="00E00443"/>
    <w:rsid w:val="00E0053B"/>
    <w:rsid w:val="00E005B3"/>
    <w:rsid w:val="00E005FF"/>
    <w:rsid w:val="00E0060E"/>
    <w:rsid w:val="00E00779"/>
    <w:rsid w:val="00E00861"/>
    <w:rsid w:val="00E008ED"/>
    <w:rsid w:val="00E009C1"/>
    <w:rsid w:val="00E00A5B"/>
    <w:rsid w:val="00E00A72"/>
    <w:rsid w:val="00E00AB6"/>
    <w:rsid w:val="00E00C86"/>
    <w:rsid w:val="00E00D1D"/>
    <w:rsid w:val="00E00E20"/>
    <w:rsid w:val="00E00E77"/>
    <w:rsid w:val="00E00F03"/>
    <w:rsid w:val="00E00F46"/>
    <w:rsid w:val="00E00F49"/>
    <w:rsid w:val="00E00F8C"/>
    <w:rsid w:val="00E00FA5"/>
    <w:rsid w:val="00E0111D"/>
    <w:rsid w:val="00E01135"/>
    <w:rsid w:val="00E011CD"/>
    <w:rsid w:val="00E01205"/>
    <w:rsid w:val="00E0138A"/>
    <w:rsid w:val="00E013F7"/>
    <w:rsid w:val="00E01495"/>
    <w:rsid w:val="00E01683"/>
    <w:rsid w:val="00E0176E"/>
    <w:rsid w:val="00E01834"/>
    <w:rsid w:val="00E0189A"/>
    <w:rsid w:val="00E01A12"/>
    <w:rsid w:val="00E01A3D"/>
    <w:rsid w:val="00E01A42"/>
    <w:rsid w:val="00E01A9F"/>
    <w:rsid w:val="00E01AE6"/>
    <w:rsid w:val="00E01C54"/>
    <w:rsid w:val="00E01CA7"/>
    <w:rsid w:val="00E01D8F"/>
    <w:rsid w:val="00E01DD0"/>
    <w:rsid w:val="00E01E72"/>
    <w:rsid w:val="00E01EEB"/>
    <w:rsid w:val="00E02138"/>
    <w:rsid w:val="00E0214A"/>
    <w:rsid w:val="00E0229E"/>
    <w:rsid w:val="00E022C5"/>
    <w:rsid w:val="00E0240F"/>
    <w:rsid w:val="00E0246B"/>
    <w:rsid w:val="00E02587"/>
    <w:rsid w:val="00E02624"/>
    <w:rsid w:val="00E02644"/>
    <w:rsid w:val="00E027C3"/>
    <w:rsid w:val="00E02852"/>
    <w:rsid w:val="00E0298D"/>
    <w:rsid w:val="00E029E6"/>
    <w:rsid w:val="00E02B05"/>
    <w:rsid w:val="00E02B3E"/>
    <w:rsid w:val="00E02BB2"/>
    <w:rsid w:val="00E02C0C"/>
    <w:rsid w:val="00E02C5C"/>
    <w:rsid w:val="00E02C68"/>
    <w:rsid w:val="00E02D8E"/>
    <w:rsid w:val="00E02E0B"/>
    <w:rsid w:val="00E02E14"/>
    <w:rsid w:val="00E02E23"/>
    <w:rsid w:val="00E02F5E"/>
    <w:rsid w:val="00E03047"/>
    <w:rsid w:val="00E0308A"/>
    <w:rsid w:val="00E03128"/>
    <w:rsid w:val="00E031CC"/>
    <w:rsid w:val="00E03240"/>
    <w:rsid w:val="00E0326B"/>
    <w:rsid w:val="00E0329A"/>
    <w:rsid w:val="00E03350"/>
    <w:rsid w:val="00E03363"/>
    <w:rsid w:val="00E03459"/>
    <w:rsid w:val="00E03463"/>
    <w:rsid w:val="00E03491"/>
    <w:rsid w:val="00E035A9"/>
    <w:rsid w:val="00E036C3"/>
    <w:rsid w:val="00E0374D"/>
    <w:rsid w:val="00E037CE"/>
    <w:rsid w:val="00E03843"/>
    <w:rsid w:val="00E038AE"/>
    <w:rsid w:val="00E038BF"/>
    <w:rsid w:val="00E03913"/>
    <w:rsid w:val="00E039F1"/>
    <w:rsid w:val="00E03AE0"/>
    <w:rsid w:val="00E03C89"/>
    <w:rsid w:val="00E03CB2"/>
    <w:rsid w:val="00E03D0D"/>
    <w:rsid w:val="00E03E05"/>
    <w:rsid w:val="00E03E31"/>
    <w:rsid w:val="00E03E7A"/>
    <w:rsid w:val="00E03ED4"/>
    <w:rsid w:val="00E03F97"/>
    <w:rsid w:val="00E03F9F"/>
    <w:rsid w:val="00E03FA6"/>
    <w:rsid w:val="00E04049"/>
    <w:rsid w:val="00E0412D"/>
    <w:rsid w:val="00E0428B"/>
    <w:rsid w:val="00E04552"/>
    <w:rsid w:val="00E04619"/>
    <w:rsid w:val="00E047B8"/>
    <w:rsid w:val="00E04807"/>
    <w:rsid w:val="00E0487F"/>
    <w:rsid w:val="00E048E1"/>
    <w:rsid w:val="00E0490B"/>
    <w:rsid w:val="00E04961"/>
    <w:rsid w:val="00E049D9"/>
    <w:rsid w:val="00E049EE"/>
    <w:rsid w:val="00E04B67"/>
    <w:rsid w:val="00E04BF3"/>
    <w:rsid w:val="00E04C95"/>
    <w:rsid w:val="00E04D08"/>
    <w:rsid w:val="00E04E62"/>
    <w:rsid w:val="00E04ED7"/>
    <w:rsid w:val="00E04EF7"/>
    <w:rsid w:val="00E04FFA"/>
    <w:rsid w:val="00E05051"/>
    <w:rsid w:val="00E05178"/>
    <w:rsid w:val="00E05316"/>
    <w:rsid w:val="00E05512"/>
    <w:rsid w:val="00E05715"/>
    <w:rsid w:val="00E057FD"/>
    <w:rsid w:val="00E0582B"/>
    <w:rsid w:val="00E059B2"/>
    <w:rsid w:val="00E059DD"/>
    <w:rsid w:val="00E05A0A"/>
    <w:rsid w:val="00E05AEF"/>
    <w:rsid w:val="00E05AF1"/>
    <w:rsid w:val="00E05B69"/>
    <w:rsid w:val="00E05D95"/>
    <w:rsid w:val="00E05ED6"/>
    <w:rsid w:val="00E05F2B"/>
    <w:rsid w:val="00E05FA9"/>
    <w:rsid w:val="00E0603D"/>
    <w:rsid w:val="00E06069"/>
    <w:rsid w:val="00E06154"/>
    <w:rsid w:val="00E06166"/>
    <w:rsid w:val="00E061F0"/>
    <w:rsid w:val="00E06208"/>
    <w:rsid w:val="00E06233"/>
    <w:rsid w:val="00E064CE"/>
    <w:rsid w:val="00E06663"/>
    <w:rsid w:val="00E06721"/>
    <w:rsid w:val="00E0675B"/>
    <w:rsid w:val="00E06805"/>
    <w:rsid w:val="00E06813"/>
    <w:rsid w:val="00E0681A"/>
    <w:rsid w:val="00E068DC"/>
    <w:rsid w:val="00E06913"/>
    <w:rsid w:val="00E06AA9"/>
    <w:rsid w:val="00E06B33"/>
    <w:rsid w:val="00E06B71"/>
    <w:rsid w:val="00E06BAB"/>
    <w:rsid w:val="00E06C8B"/>
    <w:rsid w:val="00E06CD0"/>
    <w:rsid w:val="00E06D16"/>
    <w:rsid w:val="00E06D7D"/>
    <w:rsid w:val="00E06DB2"/>
    <w:rsid w:val="00E06DB3"/>
    <w:rsid w:val="00E06DDF"/>
    <w:rsid w:val="00E06DEC"/>
    <w:rsid w:val="00E06E05"/>
    <w:rsid w:val="00E06E14"/>
    <w:rsid w:val="00E06E6A"/>
    <w:rsid w:val="00E06EEF"/>
    <w:rsid w:val="00E07047"/>
    <w:rsid w:val="00E07051"/>
    <w:rsid w:val="00E070AA"/>
    <w:rsid w:val="00E07269"/>
    <w:rsid w:val="00E07299"/>
    <w:rsid w:val="00E0738B"/>
    <w:rsid w:val="00E07454"/>
    <w:rsid w:val="00E0749C"/>
    <w:rsid w:val="00E074F3"/>
    <w:rsid w:val="00E07599"/>
    <w:rsid w:val="00E075BF"/>
    <w:rsid w:val="00E0760C"/>
    <w:rsid w:val="00E07774"/>
    <w:rsid w:val="00E07824"/>
    <w:rsid w:val="00E078F3"/>
    <w:rsid w:val="00E07982"/>
    <w:rsid w:val="00E079C2"/>
    <w:rsid w:val="00E07B05"/>
    <w:rsid w:val="00E07C0D"/>
    <w:rsid w:val="00E07CB9"/>
    <w:rsid w:val="00E07D24"/>
    <w:rsid w:val="00E07D9D"/>
    <w:rsid w:val="00E07EC5"/>
    <w:rsid w:val="00E07EDD"/>
    <w:rsid w:val="00E07F98"/>
    <w:rsid w:val="00E10002"/>
    <w:rsid w:val="00E100E7"/>
    <w:rsid w:val="00E10184"/>
    <w:rsid w:val="00E101F4"/>
    <w:rsid w:val="00E102E0"/>
    <w:rsid w:val="00E10317"/>
    <w:rsid w:val="00E10463"/>
    <w:rsid w:val="00E10508"/>
    <w:rsid w:val="00E10538"/>
    <w:rsid w:val="00E1054F"/>
    <w:rsid w:val="00E105B7"/>
    <w:rsid w:val="00E105E4"/>
    <w:rsid w:val="00E10628"/>
    <w:rsid w:val="00E1066A"/>
    <w:rsid w:val="00E10688"/>
    <w:rsid w:val="00E106FE"/>
    <w:rsid w:val="00E1074A"/>
    <w:rsid w:val="00E107A5"/>
    <w:rsid w:val="00E107B1"/>
    <w:rsid w:val="00E107E3"/>
    <w:rsid w:val="00E10893"/>
    <w:rsid w:val="00E10A19"/>
    <w:rsid w:val="00E10A56"/>
    <w:rsid w:val="00E10B44"/>
    <w:rsid w:val="00E10B99"/>
    <w:rsid w:val="00E10CAF"/>
    <w:rsid w:val="00E10D9B"/>
    <w:rsid w:val="00E10DD2"/>
    <w:rsid w:val="00E10ED9"/>
    <w:rsid w:val="00E10F6E"/>
    <w:rsid w:val="00E10F7A"/>
    <w:rsid w:val="00E10FBD"/>
    <w:rsid w:val="00E10FD7"/>
    <w:rsid w:val="00E11343"/>
    <w:rsid w:val="00E11350"/>
    <w:rsid w:val="00E113A6"/>
    <w:rsid w:val="00E113E6"/>
    <w:rsid w:val="00E11430"/>
    <w:rsid w:val="00E11537"/>
    <w:rsid w:val="00E11624"/>
    <w:rsid w:val="00E116D3"/>
    <w:rsid w:val="00E1173E"/>
    <w:rsid w:val="00E11843"/>
    <w:rsid w:val="00E118CF"/>
    <w:rsid w:val="00E118EF"/>
    <w:rsid w:val="00E11A1D"/>
    <w:rsid w:val="00E11AA3"/>
    <w:rsid w:val="00E11B53"/>
    <w:rsid w:val="00E11C4E"/>
    <w:rsid w:val="00E11C6C"/>
    <w:rsid w:val="00E11C78"/>
    <w:rsid w:val="00E11CB4"/>
    <w:rsid w:val="00E11D26"/>
    <w:rsid w:val="00E11E47"/>
    <w:rsid w:val="00E11EC2"/>
    <w:rsid w:val="00E11F03"/>
    <w:rsid w:val="00E11F53"/>
    <w:rsid w:val="00E11F9B"/>
    <w:rsid w:val="00E12049"/>
    <w:rsid w:val="00E1204E"/>
    <w:rsid w:val="00E120CA"/>
    <w:rsid w:val="00E12119"/>
    <w:rsid w:val="00E12183"/>
    <w:rsid w:val="00E12243"/>
    <w:rsid w:val="00E1228B"/>
    <w:rsid w:val="00E122CF"/>
    <w:rsid w:val="00E12363"/>
    <w:rsid w:val="00E123A8"/>
    <w:rsid w:val="00E1242C"/>
    <w:rsid w:val="00E1251E"/>
    <w:rsid w:val="00E12530"/>
    <w:rsid w:val="00E12591"/>
    <w:rsid w:val="00E1269E"/>
    <w:rsid w:val="00E127B7"/>
    <w:rsid w:val="00E128B7"/>
    <w:rsid w:val="00E1290A"/>
    <w:rsid w:val="00E129C0"/>
    <w:rsid w:val="00E12A3C"/>
    <w:rsid w:val="00E12A7D"/>
    <w:rsid w:val="00E12AEB"/>
    <w:rsid w:val="00E12B10"/>
    <w:rsid w:val="00E12B69"/>
    <w:rsid w:val="00E12BA7"/>
    <w:rsid w:val="00E12C95"/>
    <w:rsid w:val="00E12CAD"/>
    <w:rsid w:val="00E12CF4"/>
    <w:rsid w:val="00E12D8C"/>
    <w:rsid w:val="00E12F4B"/>
    <w:rsid w:val="00E12FD8"/>
    <w:rsid w:val="00E13044"/>
    <w:rsid w:val="00E13151"/>
    <w:rsid w:val="00E1316A"/>
    <w:rsid w:val="00E1318D"/>
    <w:rsid w:val="00E13236"/>
    <w:rsid w:val="00E132AB"/>
    <w:rsid w:val="00E132F8"/>
    <w:rsid w:val="00E1332C"/>
    <w:rsid w:val="00E13344"/>
    <w:rsid w:val="00E133B2"/>
    <w:rsid w:val="00E1343E"/>
    <w:rsid w:val="00E134DC"/>
    <w:rsid w:val="00E13514"/>
    <w:rsid w:val="00E135CF"/>
    <w:rsid w:val="00E136FB"/>
    <w:rsid w:val="00E137AC"/>
    <w:rsid w:val="00E13812"/>
    <w:rsid w:val="00E1383C"/>
    <w:rsid w:val="00E13895"/>
    <w:rsid w:val="00E139CF"/>
    <w:rsid w:val="00E13A06"/>
    <w:rsid w:val="00E13A10"/>
    <w:rsid w:val="00E13B25"/>
    <w:rsid w:val="00E13C56"/>
    <w:rsid w:val="00E13C71"/>
    <w:rsid w:val="00E13C94"/>
    <w:rsid w:val="00E13E17"/>
    <w:rsid w:val="00E13EA5"/>
    <w:rsid w:val="00E13F45"/>
    <w:rsid w:val="00E13FE6"/>
    <w:rsid w:val="00E140E4"/>
    <w:rsid w:val="00E1411A"/>
    <w:rsid w:val="00E1425A"/>
    <w:rsid w:val="00E142A3"/>
    <w:rsid w:val="00E1437A"/>
    <w:rsid w:val="00E14438"/>
    <w:rsid w:val="00E144AE"/>
    <w:rsid w:val="00E144B4"/>
    <w:rsid w:val="00E144B6"/>
    <w:rsid w:val="00E1454C"/>
    <w:rsid w:val="00E1457B"/>
    <w:rsid w:val="00E1460A"/>
    <w:rsid w:val="00E14861"/>
    <w:rsid w:val="00E14864"/>
    <w:rsid w:val="00E1487C"/>
    <w:rsid w:val="00E148A6"/>
    <w:rsid w:val="00E14AD5"/>
    <w:rsid w:val="00E14B4A"/>
    <w:rsid w:val="00E14B65"/>
    <w:rsid w:val="00E14BCD"/>
    <w:rsid w:val="00E14C7F"/>
    <w:rsid w:val="00E14C85"/>
    <w:rsid w:val="00E14DD3"/>
    <w:rsid w:val="00E14FCD"/>
    <w:rsid w:val="00E1500B"/>
    <w:rsid w:val="00E150EA"/>
    <w:rsid w:val="00E1513E"/>
    <w:rsid w:val="00E15250"/>
    <w:rsid w:val="00E1545A"/>
    <w:rsid w:val="00E1548B"/>
    <w:rsid w:val="00E154DA"/>
    <w:rsid w:val="00E15598"/>
    <w:rsid w:val="00E155E9"/>
    <w:rsid w:val="00E15614"/>
    <w:rsid w:val="00E1567A"/>
    <w:rsid w:val="00E1568D"/>
    <w:rsid w:val="00E156CB"/>
    <w:rsid w:val="00E15779"/>
    <w:rsid w:val="00E158B7"/>
    <w:rsid w:val="00E159EB"/>
    <w:rsid w:val="00E15A6B"/>
    <w:rsid w:val="00E15AC8"/>
    <w:rsid w:val="00E15BAD"/>
    <w:rsid w:val="00E15D18"/>
    <w:rsid w:val="00E15DCB"/>
    <w:rsid w:val="00E15E46"/>
    <w:rsid w:val="00E15EBB"/>
    <w:rsid w:val="00E15F64"/>
    <w:rsid w:val="00E15FA5"/>
    <w:rsid w:val="00E16005"/>
    <w:rsid w:val="00E1607B"/>
    <w:rsid w:val="00E16080"/>
    <w:rsid w:val="00E160FB"/>
    <w:rsid w:val="00E16152"/>
    <w:rsid w:val="00E16281"/>
    <w:rsid w:val="00E16283"/>
    <w:rsid w:val="00E1629C"/>
    <w:rsid w:val="00E16429"/>
    <w:rsid w:val="00E16430"/>
    <w:rsid w:val="00E16460"/>
    <w:rsid w:val="00E167E2"/>
    <w:rsid w:val="00E16830"/>
    <w:rsid w:val="00E16890"/>
    <w:rsid w:val="00E168A1"/>
    <w:rsid w:val="00E16947"/>
    <w:rsid w:val="00E16980"/>
    <w:rsid w:val="00E169E9"/>
    <w:rsid w:val="00E16A5D"/>
    <w:rsid w:val="00E16A87"/>
    <w:rsid w:val="00E16BD6"/>
    <w:rsid w:val="00E16D3D"/>
    <w:rsid w:val="00E16DE2"/>
    <w:rsid w:val="00E16F40"/>
    <w:rsid w:val="00E16FFB"/>
    <w:rsid w:val="00E1705F"/>
    <w:rsid w:val="00E170CE"/>
    <w:rsid w:val="00E1714B"/>
    <w:rsid w:val="00E17196"/>
    <w:rsid w:val="00E171F6"/>
    <w:rsid w:val="00E1722C"/>
    <w:rsid w:val="00E172B9"/>
    <w:rsid w:val="00E174E7"/>
    <w:rsid w:val="00E175D7"/>
    <w:rsid w:val="00E176B1"/>
    <w:rsid w:val="00E1777E"/>
    <w:rsid w:val="00E177BD"/>
    <w:rsid w:val="00E17921"/>
    <w:rsid w:val="00E17A65"/>
    <w:rsid w:val="00E17ACB"/>
    <w:rsid w:val="00E17B49"/>
    <w:rsid w:val="00E17BED"/>
    <w:rsid w:val="00E17D12"/>
    <w:rsid w:val="00E17D36"/>
    <w:rsid w:val="00E17D3A"/>
    <w:rsid w:val="00E17E1A"/>
    <w:rsid w:val="00E17E5D"/>
    <w:rsid w:val="00E17E84"/>
    <w:rsid w:val="00E17E88"/>
    <w:rsid w:val="00E17EE3"/>
    <w:rsid w:val="00E17F0E"/>
    <w:rsid w:val="00E17F36"/>
    <w:rsid w:val="00E17FBB"/>
    <w:rsid w:val="00E20094"/>
    <w:rsid w:val="00E200C7"/>
    <w:rsid w:val="00E200D1"/>
    <w:rsid w:val="00E200DD"/>
    <w:rsid w:val="00E2014B"/>
    <w:rsid w:val="00E20162"/>
    <w:rsid w:val="00E2016A"/>
    <w:rsid w:val="00E20170"/>
    <w:rsid w:val="00E201AD"/>
    <w:rsid w:val="00E201BD"/>
    <w:rsid w:val="00E2024E"/>
    <w:rsid w:val="00E20291"/>
    <w:rsid w:val="00E202B3"/>
    <w:rsid w:val="00E202F0"/>
    <w:rsid w:val="00E2034E"/>
    <w:rsid w:val="00E20351"/>
    <w:rsid w:val="00E203F3"/>
    <w:rsid w:val="00E20546"/>
    <w:rsid w:val="00E205E3"/>
    <w:rsid w:val="00E205E4"/>
    <w:rsid w:val="00E2068D"/>
    <w:rsid w:val="00E20929"/>
    <w:rsid w:val="00E209CF"/>
    <w:rsid w:val="00E20ABF"/>
    <w:rsid w:val="00E20B39"/>
    <w:rsid w:val="00E20B78"/>
    <w:rsid w:val="00E20B82"/>
    <w:rsid w:val="00E20BDC"/>
    <w:rsid w:val="00E20BF6"/>
    <w:rsid w:val="00E20D7E"/>
    <w:rsid w:val="00E20E1B"/>
    <w:rsid w:val="00E20EAE"/>
    <w:rsid w:val="00E20EF4"/>
    <w:rsid w:val="00E20F9F"/>
    <w:rsid w:val="00E21114"/>
    <w:rsid w:val="00E21211"/>
    <w:rsid w:val="00E214ED"/>
    <w:rsid w:val="00E216ED"/>
    <w:rsid w:val="00E21933"/>
    <w:rsid w:val="00E2197B"/>
    <w:rsid w:val="00E21A1B"/>
    <w:rsid w:val="00E21A3B"/>
    <w:rsid w:val="00E21A45"/>
    <w:rsid w:val="00E21BBB"/>
    <w:rsid w:val="00E21D1E"/>
    <w:rsid w:val="00E21EC8"/>
    <w:rsid w:val="00E21ED2"/>
    <w:rsid w:val="00E21EEC"/>
    <w:rsid w:val="00E21F09"/>
    <w:rsid w:val="00E21FC2"/>
    <w:rsid w:val="00E21FC8"/>
    <w:rsid w:val="00E220C2"/>
    <w:rsid w:val="00E2210B"/>
    <w:rsid w:val="00E22166"/>
    <w:rsid w:val="00E221CA"/>
    <w:rsid w:val="00E22631"/>
    <w:rsid w:val="00E22670"/>
    <w:rsid w:val="00E226FA"/>
    <w:rsid w:val="00E2283D"/>
    <w:rsid w:val="00E228DF"/>
    <w:rsid w:val="00E22911"/>
    <w:rsid w:val="00E22931"/>
    <w:rsid w:val="00E229E5"/>
    <w:rsid w:val="00E22A06"/>
    <w:rsid w:val="00E22B32"/>
    <w:rsid w:val="00E22B3A"/>
    <w:rsid w:val="00E22B4E"/>
    <w:rsid w:val="00E22BA9"/>
    <w:rsid w:val="00E22E6C"/>
    <w:rsid w:val="00E22F58"/>
    <w:rsid w:val="00E22F96"/>
    <w:rsid w:val="00E22F9C"/>
    <w:rsid w:val="00E230C1"/>
    <w:rsid w:val="00E23142"/>
    <w:rsid w:val="00E232ED"/>
    <w:rsid w:val="00E232F1"/>
    <w:rsid w:val="00E232F7"/>
    <w:rsid w:val="00E234F3"/>
    <w:rsid w:val="00E23553"/>
    <w:rsid w:val="00E235D1"/>
    <w:rsid w:val="00E235DF"/>
    <w:rsid w:val="00E23629"/>
    <w:rsid w:val="00E23731"/>
    <w:rsid w:val="00E23737"/>
    <w:rsid w:val="00E23750"/>
    <w:rsid w:val="00E2377F"/>
    <w:rsid w:val="00E237B8"/>
    <w:rsid w:val="00E2387B"/>
    <w:rsid w:val="00E23969"/>
    <w:rsid w:val="00E23C1D"/>
    <w:rsid w:val="00E23C54"/>
    <w:rsid w:val="00E23E59"/>
    <w:rsid w:val="00E23EA0"/>
    <w:rsid w:val="00E23F7D"/>
    <w:rsid w:val="00E23F88"/>
    <w:rsid w:val="00E24007"/>
    <w:rsid w:val="00E24012"/>
    <w:rsid w:val="00E24112"/>
    <w:rsid w:val="00E2414A"/>
    <w:rsid w:val="00E241B6"/>
    <w:rsid w:val="00E241F5"/>
    <w:rsid w:val="00E24278"/>
    <w:rsid w:val="00E242EE"/>
    <w:rsid w:val="00E2436F"/>
    <w:rsid w:val="00E24400"/>
    <w:rsid w:val="00E24485"/>
    <w:rsid w:val="00E244B1"/>
    <w:rsid w:val="00E24538"/>
    <w:rsid w:val="00E2466A"/>
    <w:rsid w:val="00E24714"/>
    <w:rsid w:val="00E24718"/>
    <w:rsid w:val="00E2473E"/>
    <w:rsid w:val="00E2476F"/>
    <w:rsid w:val="00E24903"/>
    <w:rsid w:val="00E249AD"/>
    <w:rsid w:val="00E24B45"/>
    <w:rsid w:val="00E24C58"/>
    <w:rsid w:val="00E24C9D"/>
    <w:rsid w:val="00E24CAB"/>
    <w:rsid w:val="00E24D23"/>
    <w:rsid w:val="00E24D43"/>
    <w:rsid w:val="00E24D47"/>
    <w:rsid w:val="00E24DE8"/>
    <w:rsid w:val="00E25009"/>
    <w:rsid w:val="00E2506C"/>
    <w:rsid w:val="00E25075"/>
    <w:rsid w:val="00E250EA"/>
    <w:rsid w:val="00E251DC"/>
    <w:rsid w:val="00E25216"/>
    <w:rsid w:val="00E2528D"/>
    <w:rsid w:val="00E25294"/>
    <w:rsid w:val="00E252AF"/>
    <w:rsid w:val="00E252EE"/>
    <w:rsid w:val="00E254E5"/>
    <w:rsid w:val="00E2561D"/>
    <w:rsid w:val="00E25683"/>
    <w:rsid w:val="00E2582F"/>
    <w:rsid w:val="00E258B7"/>
    <w:rsid w:val="00E2597C"/>
    <w:rsid w:val="00E25A13"/>
    <w:rsid w:val="00E25BB7"/>
    <w:rsid w:val="00E25D29"/>
    <w:rsid w:val="00E25DD4"/>
    <w:rsid w:val="00E25E35"/>
    <w:rsid w:val="00E25E4A"/>
    <w:rsid w:val="00E25E62"/>
    <w:rsid w:val="00E26049"/>
    <w:rsid w:val="00E26132"/>
    <w:rsid w:val="00E26183"/>
    <w:rsid w:val="00E26277"/>
    <w:rsid w:val="00E2639E"/>
    <w:rsid w:val="00E263B9"/>
    <w:rsid w:val="00E2652D"/>
    <w:rsid w:val="00E2652E"/>
    <w:rsid w:val="00E265CD"/>
    <w:rsid w:val="00E266A9"/>
    <w:rsid w:val="00E26705"/>
    <w:rsid w:val="00E2670B"/>
    <w:rsid w:val="00E267AF"/>
    <w:rsid w:val="00E26A73"/>
    <w:rsid w:val="00E26ABB"/>
    <w:rsid w:val="00E26ADE"/>
    <w:rsid w:val="00E26AE1"/>
    <w:rsid w:val="00E26B58"/>
    <w:rsid w:val="00E26BC6"/>
    <w:rsid w:val="00E26C2C"/>
    <w:rsid w:val="00E26C90"/>
    <w:rsid w:val="00E26D09"/>
    <w:rsid w:val="00E26ED4"/>
    <w:rsid w:val="00E26F18"/>
    <w:rsid w:val="00E27001"/>
    <w:rsid w:val="00E27121"/>
    <w:rsid w:val="00E2718B"/>
    <w:rsid w:val="00E271F8"/>
    <w:rsid w:val="00E27222"/>
    <w:rsid w:val="00E2724D"/>
    <w:rsid w:val="00E27465"/>
    <w:rsid w:val="00E274B4"/>
    <w:rsid w:val="00E27565"/>
    <w:rsid w:val="00E276A6"/>
    <w:rsid w:val="00E276B0"/>
    <w:rsid w:val="00E276F3"/>
    <w:rsid w:val="00E27834"/>
    <w:rsid w:val="00E27853"/>
    <w:rsid w:val="00E27854"/>
    <w:rsid w:val="00E279E0"/>
    <w:rsid w:val="00E27A56"/>
    <w:rsid w:val="00E27ADA"/>
    <w:rsid w:val="00E27B84"/>
    <w:rsid w:val="00E27BC6"/>
    <w:rsid w:val="00E27CD8"/>
    <w:rsid w:val="00E27D6A"/>
    <w:rsid w:val="00E27D72"/>
    <w:rsid w:val="00E27D91"/>
    <w:rsid w:val="00E27DD6"/>
    <w:rsid w:val="00E27E44"/>
    <w:rsid w:val="00E27E4E"/>
    <w:rsid w:val="00E27EBE"/>
    <w:rsid w:val="00E27EFC"/>
    <w:rsid w:val="00E27F08"/>
    <w:rsid w:val="00E27FFE"/>
    <w:rsid w:val="00E30000"/>
    <w:rsid w:val="00E30113"/>
    <w:rsid w:val="00E301E2"/>
    <w:rsid w:val="00E303B2"/>
    <w:rsid w:val="00E304E3"/>
    <w:rsid w:val="00E30542"/>
    <w:rsid w:val="00E3073F"/>
    <w:rsid w:val="00E30741"/>
    <w:rsid w:val="00E3082E"/>
    <w:rsid w:val="00E308AB"/>
    <w:rsid w:val="00E30934"/>
    <w:rsid w:val="00E30941"/>
    <w:rsid w:val="00E30962"/>
    <w:rsid w:val="00E30AE2"/>
    <w:rsid w:val="00E30B74"/>
    <w:rsid w:val="00E30BD1"/>
    <w:rsid w:val="00E30C0B"/>
    <w:rsid w:val="00E30C83"/>
    <w:rsid w:val="00E30C8F"/>
    <w:rsid w:val="00E30C90"/>
    <w:rsid w:val="00E30D16"/>
    <w:rsid w:val="00E30E04"/>
    <w:rsid w:val="00E30E88"/>
    <w:rsid w:val="00E30F27"/>
    <w:rsid w:val="00E30FAD"/>
    <w:rsid w:val="00E31001"/>
    <w:rsid w:val="00E3102F"/>
    <w:rsid w:val="00E311B1"/>
    <w:rsid w:val="00E31244"/>
    <w:rsid w:val="00E3126E"/>
    <w:rsid w:val="00E31469"/>
    <w:rsid w:val="00E31476"/>
    <w:rsid w:val="00E31756"/>
    <w:rsid w:val="00E317A1"/>
    <w:rsid w:val="00E317C8"/>
    <w:rsid w:val="00E317DB"/>
    <w:rsid w:val="00E3182F"/>
    <w:rsid w:val="00E3186C"/>
    <w:rsid w:val="00E318B7"/>
    <w:rsid w:val="00E3194D"/>
    <w:rsid w:val="00E31A8F"/>
    <w:rsid w:val="00E31AA8"/>
    <w:rsid w:val="00E31B53"/>
    <w:rsid w:val="00E31BB3"/>
    <w:rsid w:val="00E31C27"/>
    <w:rsid w:val="00E31D35"/>
    <w:rsid w:val="00E31D93"/>
    <w:rsid w:val="00E32094"/>
    <w:rsid w:val="00E320CB"/>
    <w:rsid w:val="00E3228C"/>
    <w:rsid w:val="00E322EC"/>
    <w:rsid w:val="00E3230D"/>
    <w:rsid w:val="00E32374"/>
    <w:rsid w:val="00E324A7"/>
    <w:rsid w:val="00E324AE"/>
    <w:rsid w:val="00E325BE"/>
    <w:rsid w:val="00E32643"/>
    <w:rsid w:val="00E326D5"/>
    <w:rsid w:val="00E32872"/>
    <w:rsid w:val="00E328C7"/>
    <w:rsid w:val="00E32AD6"/>
    <w:rsid w:val="00E32ADB"/>
    <w:rsid w:val="00E32B60"/>
    <w:rsid w:val="00E32B87"/>
    <w:rsid w:val="00E32BF8"/>
    <w:rsid w:val="00E32C47"/>
    <w:rsid w:val="00E32C97"/>
    <w:rsid w:val="00E32C9A"/>
    <w:rsid w:val="00E32CF5"/>
    <w:rsid w:val="00E32D88"/>
    <w:rsid w:val="00E32DBA"/>
    <w:rsid w:val="00E32DDB"/>
    <w:rsid w:val="00E32E5D"/>
    <w:rsid w:val="00E32EB9"/>
    <w:rsid w:val="00E32F4F"/>
    <w:rsid w:val="00E32F62"/>
    <w:rsid w:val="00E32FB4"/>
    <w:rsid w:val="00E330C3"/>
    <w:rsid w:val="00E33104"/>
    <w:rsid w:val="00E331EC"/>
    <w:rsid w:val="00E3321D"/>
    <w:rsid w:val="00E33356"/>
    <w:rsid w:val="00E333DE"/>
    <w:rsid w:val="00E3346E"/>
    <w:rsid w:val="00E3347A"/>
    <w:rsid w:val="00E334F3"/>
    <w:rsid w:val="00E335C7"/>
    <w:rsid w:val="00E33674"/>
    <w:rsid w:val="00E336A9"/>
    <w:rsid w:val="00E33766"/>
    <w:rsid w:val="00E3387A"/>
    <w:rsid w:val="00E3388D"/>
    <w:rsid w:val="00E338C0"/>
    <w:rsid w:val="00E33A02"/>
    <w:rsid w:val="00E33AFA"/>
    <w:rsid w:val="00E33B9B"/>
    <w:rsid w:val="00E33BE6"/>
    <w:rsid w:val="00E33C7D"/>
    <w:rsid w:val="00E33CCF"/>
    <w:rsid w:val="00E33CE6"/>
    <w:rsid w:val="00E33D4D"/>
    <w:rsid w:val="00E33E00"/>
    <w:rsid w:val="00E33E8A"/>
    <w:rsid w:val="00E33EA8"/>
    <w:rsid w:val="00E33F33"/>
    <w:rsid w:val="00E33F39"/>
    <w:rsid w:val="00E34186"/>
    <w:rsid w:val="00E34237"/>
    <w:rsid w:val="00E3425B"/>
    <w:rsid w:val="00E342E9"/>
    <w:rsid w:val="00E343E3"/>
    <w:rsid w:val="00E3440B"/>
    <w:rsid w:val="00E348B6"/>
    <w:rsid w:val="00E348E4"/>
    <w:rsid w:val="00E34A73"/>
    <w:rsid w:val="00E34A94"/>
    <w:rsid w:val="00E34BC1"/>
    <w:rsid w:val="00E34BE0"/>
    <w:rsid w:val="00E34C8E"/>
    <w:rsid w:val="00E34CF1"/>
    <w:rsid w:val="00E34DB4"/>
    <w:rsid w:val="00E34F20"/>
    <w:rsid w:val="00E34F2D"/>
    <w:rsid w:val="00E35020"/>
    <w:rsid w:val="00E35076"/>
    <w:rsid w:val="00E350D5"/>
    <w:rsid w:val="00E3510E"/>
    <w:rsid w:val="00E35118"/>
    <w:rsid w:val="00E35151"/>
    <w:rsid w:val="00E35320"/>
    <w:rsid w:val="00E35377"/>
    <w:rsid w:val="00E353AD"/>
    <w:rsid w:val="00E353FF"/>
    <w:rsid w:val="00E3545C"/>
    <w:rsid w:val="00E35465"/>
    <w:rsid w:val="00E354D1"/>
    <w:rsid w:val="00E354D6"/>
    <w:rsid w:val="00E35592"/>
    <w:rsid w:val="00E35635"/>
    <w:rsid w:val="00E357A1"/>
    <w:rsid w:val="00E357AF"/>
    <w:rsid w:val="00E35877"/>
    <w:rsid w:val="00E358BE"/>
    <w:rsid w:val="00E35907"/>
    <w:rsid w:val="00E35A2C"/>
    <w:rsid w:val="00E35A6A"/>
    <w:rsid w:val="00E35AD9"/>
    <w:rsid w:val="00E35AE1"/>
    <w:rsid w:val="00E35B17"/>
    <w:rsid w:val="00E35B35"/>
    <w:rsid w:val="00E35BE8"/>
    <w:rsid w:val="00E35C2C"/>
    <w:rsid w:val="00E35C4E"/>
    <w:rsid w:val="00E35C5A"/>
    <w:rsid w:val="00E35C9A"/>
    <w:rsid w:val="00E35DFE"/>
    <w:rsid w:val="00E35E62"/>
    <w:rsid w:val="00E35E8A"/>
    <w:rsid w:val="00E35F58"/>
    <w:rsid w:val="00E35FE8"/>
    <w:rsid w:val="00E3604A"/>
    <w:rsid w:val="00E36099"/>
    <w:rsid w:val="00E3612B"/>
    <w:rsid w:val="00E361CD"/>
    <w:rsid w:val="00E3623D"/>
    <w:rsid w:val="00E36266"/>
    <w:rsid w:val="00E3626C"/>
    <w:rsid w:val="00E3633F"/>
    <w:rsid w:val="00E3634D"/>
    <w:rsid w:val="00E363C9"/>
    <w:rsid w:val="00E364F3"/>
    <w:rsid w:val="00E36511"/>
    <w:rsid w:val="00E3667E"/>
    <w:rsid w:val="00E366D9"/>
    <w:rsid w:val="00E3670E"/>
    <w:rsid w:val="00E3673B"/>
    <w:rsid w:val="00E367D3"/>
    <w:rsid w:val="00E368B2"/>
    <w:rsid w:val="00E369D9"/>
    <w:rsid w:val="00E36A2F"/>
    <w:rsid w:val="00E36B50"/>
    <w:rsid w:val="00E36B51"/>
    <w:rsid w:val="00E36B8E"/>
    <w:rsid w:val="00E36CFB"/>
    <w:rsid w:val="00E36E5C"/>
    <w:rsid w:val="00E36E8E"/>
    <w:rsid w:val="00E36EF5"/>
    <w:rsid w:val="00E36F71"/>
    <w:rsid w:val="00E36FA0"/>
    <w:rsid w:val="00E36FE2"/>
    <w:rsid w:val="00E37015"/>
    <w:rsid w:val="00E370E9"/>
    <w:rsid w:val="00E370F0"/>
    <w:rsid w:val="00E37195"/>
    <w:rsid w:val="00E371DD"/>
    <w:rsid w:val="00E37258"/>
    <w:rsid w:val="00E37446"/>
    <w:rsid w:val="00E37452"/>
    <w:rsid w:val="00E375F3"/>
    <w:rsid w:val="00E37621"/>
    <w:rsid w:val="00E376F7"/>
    <w:rsid w:val="00E37739"/>
    <w:rsid w:val="00E377BB"/>
    <w:rsid w:val="00E37837"/>
    <w:rsid w:val="00E37860"/>
    <w:rsid w:val="00E37907"/>
    <w:rsid w:val="00E379FF"/>
    <w:rsid w:val="00E37A1B"/>
    <w:rsid w:val="00E37A84"/>
    <w:rsid w:val="00E37ACC"/>
    <w:rsid w:val="00E37AEA"/>
    <w:rsid w:val="00E37B19"/>
    <w:rsid w:val="00E37CDB"/>
    <w:rsid w:val="00E37D4F"/>
    <w:rsid w:val="00E37D76"/>
    <w:rsid w:val="00E37E6B"/>
    <w:rsid w:val="00E37FE7"/>
    <w:rsid w:val="00E40001"/>
    <w:rsid w:val="00E400B8"/>
    <w:rsid w:val="00E40167"/>
    <w:rsid w:val="00E401A0"/>
    <w:rsid w:val="00E401F4"/>
    <w:rsid w:val="00E40281"/>
    <w:rsid w:val="00E402AD"/>
    <w:rsid w:val="00E402CD"/>
    <w:rsid w:val="00E4030D"/>
    <w:rsid w:val="00E403BC"/>
    <w:rsid w:val="00E404BD"/>
    <w:rsid w:val="00E40500"/>
    <w:rsid w:val="00E40546"/>
    <w:rsid w:val="00E4058C"/>
    <w:rsid w:val="00E405A8"/>
    <w:rsid w:val="00E40619"/>
    <w:rsid w:val="00E40715"/>
    <w:rsid w:val="00E40749"/>
    <w:rsid w:val="00E40806"/>
    <w:rsid w:val="00E40812"/>
    <w:rsid w:val="00E4092D"/>
    <w:rsid w:val="00E40940"/>
    <w:rsid w:val="00E4099E"/>
    <w:rsid w:val="00E409BE"/>
    <w:rsid w:val="00E409E4"/>
    <w:rsid w:val="00E40A09"/>
    <w:rsid w:val="00E40A35"/>
    <w:rsid w:val="00E40A98"/>
    <w:rsid w:val="00E40AD2"/>
    <w:rsid w:val="00E40B93"/>
    <w:rsid w:val="00E40D1D"/>
    <w:rsid w:val="00E40DB9"/>
    <w:rsid w:val="00E40DD9"/>
    <w:rsid w:val="00E40EA3"/>
    <w:rsid w:val="00E40EEC"/>
    <w:rsid w:val="00E40FF8"/>
    <w:rsid w:val="00E410C4"/>
    <w:rsid w:val="00E41202"/>
    <w:rsid w:val="00E413B8"/>
    <w:rsid w:val="00E41405"/>
    <w:rsid w:val="00E41417"/>
    <w:rsid w:val="00E414D0"/>
    <w:rsid w:val="00E414F4"/>
    <w:rsid w:val="00E415AA"/>
    <w:rsid w:val="00E41650"/>
    <w:rsid w:val="00E416A5"/>
    <w:rsid w:val="00E41722"/>
    <w:rsid w:val="00E417AB"/>
    <w:rsid w:val="00E417FD"/>
    <w:rsid w:val="00E418BF"/>
    <w:rsid w:val="00E4198F"/>
    <w:rsid w:val="00E41BC5"/>
    <w:rsid w:val="00E41DC8"/>
    <w:rsid w:val="00E41E85"/>
    <w:rsid w:val="00E4200C"/>
    <w:rsid w:val="00E42039"/>
    <w:rsid w:val="00E42308"/>
    <w:rsid w:val="00E423E2"/>
    <w:rsid w:val="00E423E3"/>
    <w:rsid w:val="00E423EE"/>
    <w:rsid w:val="00E42428"/>
    <w:rsid w:val="00E42584"/>
    <w:rsid w:val="00E42617"/>
    <w:rsid w:val="00E42661"/>
    <w:rsid w:val="00E42677"/>
    <w:rsid w:val="00E426EB"/>
    <w:rsid w:val="00E42732"/>
    <w:rsid w:val="00E42776"/>
    <w:rsid w:val="00E427C9"/>
    <w:rsid w:val="00E42AE0"/>
    <w:rsid w:val="00E42B5C"/>
    <w:rsid w:val="00E42BC6"/>
    <w:rsid w:val="00E42CF3"/>
    <w:rsid w:val="00E42DD8"/>
    <w:rsid w:val="00E42E91"/>
    <w:rsid w:val="00E42EBB"/>
    <w:rsid w:val="00E42F25"/>
    <w:rsid w:val="00E42F84"/>
    <w:rsid w:val="00E42FD2"/>
    <w:rsid w:val="00E42FF1"/>
    <w:rsid w:val="00E43104"/>
    <w:rsid w:val="00E43159"/>
    <w:rsid w:val="00E4322B"/>
    <w:rsid w:val="00E43252"/>
    <w:rsid w:val="00E43277"/>
    <w:rsid w:val="00E4327C"/>
    <w:rsid w:val="00E43331"/>
    <w:rsid w:val="00E43355"/>
    <w:rsid w:val="00E43733"/>
    <w:rsid w:val="00E438DF"/>
    <w:rsid w:val="00E43904"/>
    <w:rsid w:val="00E43963"/>
    <w:rsid w:val="00E43A8B"/>
    <w:rsid w:val="00E43B71"/>
    <w:rsid w:val="00E43BBC"/>
    <w:rsid w:val="00E43BD9"/>
    <w:rsid w:val="00E43C23"/>
    <w:rsid w:val="00E43D17"/>
    <w:rsid w:val="00E43E41"/>
    <w:rsid w:val="00E44022"/>
    <w:rsid w:val="00E4410A"/>
    <w:rsid w:val="00E4422B"/>
    <w:rsid w:val="00E4432C"/>
    <w:rsid w:val="00E44345"/>
    <w:rsid w:val="00E44377"/>
    <w:rsid w:val="00E443D4"/>
    <w:rsid w:val="00E44405"/>
    <w:rsid w:val="00E444D2"/>
    <w:rsid w:val="00E445B7"/>
    <w:rsid w:val="00E446A6"/>
    <w:rsid w:val="00E4470F"/>
    <w:rsid w:val="00E448BD"/>
    <w:rsid w:val="00E44996"/>
    <w:rsid w:val="00E449CD"/>
    <w:rsid w:val="00E44AF0"/>
    <w:rsid w:val="00E44B03"/>
    <w:rsid w:val="00E44B95"/>
    <w:rsid w:val="00E44BDF"/>
    <w:rsid w:val="00E44CEB"/>
    <w:rsid w:val="00E44D53"/>
    <w:rsid w:val="00E44D6B"/>
    <w:rsid w:val="00E44DE2"/>
    <w:rsid w:val="00E44E71"/>
    <w:rsid w:val="00E44ED1"/>
    <w:rsid w:val="00E4501B"/>
    <w:rsid w:val="00E450BE"/>
    <w:rsid w:val="00E450E9"/>
    <w:rsid w:val="00E451AC"/>
    <w:rsid w:val="00E4521A"/>
    <w:rsid w:val="00E4524D"/>
    <w:rsid w:val="00E45271"/>
    <w:rsid w:val="00E4532D"/>
    <w:rsid w:val="00E45401"/>
    <w:rsid w:val="00E4540C"/>
    <w:rsid w:val="00E45427"/>
    <w:rsid w:val="00E454E1"/>
    <w:rsid w:val="00E45532"/>
    <w:rsid w:val="00E455BA"/>
    <w:rsid w:val="00E4563B"/>
    <w:rsid w:val="00E456AF"/>
    <w:rsid w:val="00E4576E"/>
    <w:rsid w:val="00E457FD"/>
    <w:rsid w:val="00E459BB"/>
    <w:rsid w:val="00E45A59"/>
    <w:rsid w:val="00E45A69"/>
    <w:rsid w:val="00E45B24"/>
    <w:rsid w:val="00E45C69"/>
    <w:rsid w:val="00E45D86"/>
    <w:rsid w:val="00E45DEB"/>
    <w:rsid w:val="00E45E0C"/>
    <w:rsid w:val="00E45E35"/>
    <w:rsid w:val="00E45E75"/>
    <w:rsid w:val="00E45EE6"/>
    <w:rsid w:val="00E45EED"/>
    <w:rsid w:val="00E45F40"/>
    <w:rsid w:val="00E45F44"/>
    <w:rsid w:val="00E45FAD"/>
    <w:rsid w:val="00E45FD6"/>
    <w:rsid w:val="00E46000"/>
    <w:rsid w:val="00E46008"/>
    <w:rsid w:val="00E46124"/>
    <w:rsid w:val="00E461E9"/>
    <w:rsid w:val="00E462C8"/>
    <w:rsid w:val="00E462EF"/>
    <w:rsid w:val="00E462FC"/>
    <w:rsid w:val="00E4632C"/>
    <w:rsid w:val="00E463A0"/>
    <w:rsid w:val="00E46470"/>
    <w:rsid w:val="00E464AF"/>
    <w:rsid w:val="00E464E5"/>
    <w:rsid w:val="00E46697"/>
    <w:rsid w:val="00E46760"/>
    <w:rsid w:val="00E4676D"/>
    <w:rsid w:val="00E467E6"/>
    <w:rsid w:val="00E46815"/>
    <w:rsid w:val="00E468A5"/>
    <w:rsid w:val="00E4692B"/>
    <w:rsid w:val="00E46A2C"/>
    <w:rsid w:val="00E46AF6"/>
    <w:rsid w:val="00E46BB0"/>
    <w:rsid w:val="00E46C12"/>
    <w:rsid w:val="00E46C21"/>
    <w:rsid w:val="00E46CCD"/>
    <w:rsid w:val="00E46D2B"/>
    <w:rsid w:val="00E46D9D"/>
    <w:rsid w:val="00E46DA7"/>
    <w:rsid w:val="00E46DE0"/>
    <w:rsid w:val="00E46DE7"/>
    <w:rsid w:val="00E46E44"/>
    <w:rsid w:val="00E47047"/>
    <w:rsid w:val="00E4708C"/>
    <w:rsid w:val="00E471DA"/>
    <w:rsid w:val="00E47247"/>
    <w:rsid w:val="00E472AA"/>
    <w:rsid w:val="00E4736B"/>
    <w:rsid w:val="00E47401"/>
    <w:rsid w:val="00E475B5"/>
    <w:rsid w:val="00E4760C"/>
    <w:rsid w:val="00E47630"/>
    <w:rsid w:val="00E4764C"/>
    <w:rsid w:val="00E47665"/>
    <w:rsid w:val="00E47742"/>
    <w:rsid w:val="00E47784"/>
    <w:rsid w:val="00E477A8"/>
    <w:rsid w:val="00E47866"/>
    <w:rsid w:val="00E47916"/>
    <w:rsid w:val="00E47A4D"/>
    <w:rsid w:val="00E47B1F"/>
    <w:rsid w:val="00E47BCB"/>
    <w:rsid w:val="00E47C1E"/>
    <w:rsid w:val="00E47D50"/>
    <w:rsid w:val="00E47D5D"/>
    <w:rsid w:val="00E47E42"/>
    <w:rsid w:val="00E47F63"/>
    <w:rsid w:val="00E47FF4"/>
    <w:rsid w:val="00E50007"/>
    <w:rsid w:val="00E50029"/>
    <w:rsid w:val="00E5018F"/>
    <w:rsid w:val="00E501C5"/>
    <w:rsid w:val="00E50213"/>
    <w:rsid w:val="00E50223"/>
    <w:rsid w:val="00E5027F"/>
    <w:rsid w:val="00E5028A"/>
    <w:rsid w:val="00E50329"/>
    <w:rsid w:val="00E50330"/>
    <w:rsid w:val="00E50421"/>
    <w:rsid w:val="00E5044E"/>
    <w:rsid w:val="00E505B8"/>
    <w:rsid w:val="00E506A2"/>
    <w:rsid w:val="00E50789"/>
    <w:rsid w:val="00E507A2"/>
    <w:rsid w:val="00E507B4"/>
    <w:rsid w:val="00E507BB"/>
    <w:rsid w:val="00E50865"/>
    <w:rsid w:val="00E50932"/>
    <w:rsid w:val="00E50AE9"/>
    <w:rsid w:val="00E50B09"/>
    <w:rsid w:val="00E50B5F"/>
    <w:rsid w:val="00E50BFA"/>
    <w:rsid w:val="00E50D7F"/>
    <w:rsid w:val="00E50D9B"/>
    <w:rsid w:val="00E50E10"/>
    <w:rsid w:val="00E50E23"/>
    <w:rsid w:val="00E50E37"/>
    <w:rsid w:val="00E50E3B"/>
    <w:rsid w:val="00E50FD1"/>
    <w:rsid w:val="00E50FE9"/>
    <w:rsid w:val="00E51000"/>
    <w:rsid w:val="00E51002"/>
    <w:rsid w:val="00E51043"/>
    <w:rsid w:val="00E51174"/>
    <w:rsid w:val="00E5119E"/>
    <w:rsid w:val="00E511F0"/>
    <w:rsid w:val="00E51303"/>
    <w:rsid w:val="00E5136F"/>
    <w:rsid w:val="00E5149D"/>
    <w:rsid w:val="00E514DA"/>
    <w:rsid w:val="00E514DE"/>
    <w:rsid w:val="00E515F4"/>
    <w:rsid w:val="00E51633"/>
    <w:rsid w:val="00E51715"/>
    <w:rsid w:val="00E51754"/>
    <w:rsid w:val="00E51763"/>
    <w:rsid w:val="00E51831"/>
    <w:rsid w:val="00E51893"/>
    <w:rsid w:val="00E51905"/>
    <w:rsid w:val="00E5193A"/>
    <w:rsid w:val="00E5199D"/>
    <w:rsid w:val="00E51B60"/>
    <w:rsid w:val="00E51B93"/>
    <w:rsid w:val="00E51C4E"/>
    <w:rsid w:val="00E51D10"/>
    <w:rsid w:val="00E51DA3"/>
    <w:rsid w:val="00E51DD3"/>
    <w:rsid w:val="00E51E96"/>
    <w:rsid w:val="00E51E98"/>
    <w:rsid w:val="00E51F00"/>
    <w:rsid w:val="00E51F1D"/>
    <w:rsid w:val="00E51F3C"/>
    <w:rsid w:val="00E52147"/>
    <w:rsid w:val="00E522C0"/>
    <w:rsid w:val="00E522F4"/>
    <w:rsid w:val="00E52479"/>
    <w:rsid w:val="00E524CE"/>
    <w:rsid w:val="00E5256D"/>
    <w:rsid w:val="00E52792"/>
    <w:rsid w:val="00E5293C"/>
    <w:rsid w:val="00E52950"/>
    <w:rsid w:val="00E52995"/>
    <w:rsid w:val="00E529B7"/>
    <w:rsid w:val="00E529CD"/>
    <w:rsid w:val="00E52B45"/>
    <w:rsid w:val="00E52B88"/>
    <w:rsid w:val="00E52C6D"/>
    <w:rsid w:val="00E52C8D"/>
    <w:rsid w:val="00E52CA2"/>
    <w:rsid w:val="00E52CCD"/>
    <w:rsid w:val="00E52D94"/>
    <w:rsid w:val="00E52FCA"/>
    <w:rsid w:val="00E5317F"/>
    <w:rsid w:val="00E532AD"/>
    <w:rsid w:val="00E5337C"/>
    <w:rsid w:val="00E5352E"/>
    <w:rsid w:val="00E535B7"/>
    <w:rsid w:val="00E535CC"/>
    <w:rsid w:val="00E53710"/>
    <w:rsid w:val="00E53732"/>
    <w:rsid w:val="00E53966"/>
    <w:rsid w:val="00E53A73"/>
    <w:rsid w:val="00E53AE6"/>
    <w:rsid w:val="00E53C03"/>
    <w:rsid w:val="00E53C61"/>
    <w:rsid w:val="00E53CCB"/>
    <w:rsid w:val="00E53CD5"/>
    <w:rsid w:val="00E53D68"/>
    <w:rsid w:val="00E53D97"/>
    <w:rsid w:val="00E53DC4"/>
    <w:rsid w:val="00E5414A"/>
    <w:rsid w:val="00E541E9"/>
    <w:rsid w:val="00E542B2"/>
    <w:rsid w:val="00E542D3"/>
    <w:rsid w:val="00E5442F"/>
    <w:rsid w:val="00E54432"/>
    <w:rsid w:val="00E544A3"/>
    <w:rsid w:val="00E544A4"/>
    <w:rsid w:val="00E544A9"/>
    <w:rsid w:val="00E544EF"/>
    <w:rsid w:val="00E54560"/>
    <w:rsid w:val="00E5459D"/>
    <w:rsid w:val="00E546AC"/>
    <w:rsid w:val="00E546AD"/>
    <w:rsid w:val="00E54721"/>
    <w:rsid w:val="00E54724"/>
    <w:rsid w:val="00E548E3"/>
    <w:rsid w:val="00E54911"/>
    <w:rsid w:val="00E54920"/>
    <w:rsid w:val="00E5495B"/>
    <w:rsid w:val="00E549CB"/>
    <w:rsid w:val="00E54A6E"/>
    <w:rsid w:val="00E54A84"/>
    <w:rsid w:val="00E54B0B"/>
    <w:rsid w:val="00E54B3B"/>
    <w:rsid w:val="00E54BAB"/>
    <w:rsid w:val="00E54C68"/>
    <w:rsid w:val="00E54D3C"/>
    <w:rsid w:val="00E54D76"/>
    <w:rsid w:val="00E54D77"/>
    <w:rsid w:val="00E54DAF"/>
    <w:rsid w:val="00E54DE5"/>
    <w:rsid w:val="00E54EC5"/>
    <w:rsid w:val="00E54F2D"/>
    <w:rsid w:val="00E54FB1"/>
    <w:rsid w:val="00E550FC"/>
    <w:rsid w:val="00E551A0"/>
    <w:rsid w:val="00E551A9"/>
    <w:rsid w:val="00E552BE"/>
    <w:rsid w:val="00E55307"/>
    <w:rsid w:val="00E5535D"/>
    <w:rsid w:val="00E553F0"/>
    <w:rsid w:val="00E5541A"/>
    <w:rsid w:val="00E55457"/>
    <w:rsid w:val="00E554EF"/>
    <w:rsid w:val="00E55578"/>
    <w:rsid w:val="00E555EB"/>
    <w:rsid w:val="00E5575A"/>
    <w:rsid w:val="00E55774"/>
    <w:rsid w:val="00E557AE"/>
    <w:rsid w:val="00E55866"/>
    <w:rsid w:val="00E55957"/>
    <w:rsid w:val="00E55972"/>
    <w:rsid w:val="00E559C2"/>
    <w:rsid w:val="00E55ABC"/>
    <w:rsid w:val="00E55AFC"/>
    <w:rsid w:val="00E55B8B"/>
    <w:rsid w:val="00E55E29"/>
    <w:rsid w:val="00E55E74"/>
    <w:rsid w:val="00E560DE"/>
    <w:rsid w:val="00E56103"/>
    <w:rsid w:val="00E561FF"/>
    <w:rsid w:val="00E56273"/>
    <w:rsid w:val="00E56318"/>
    <w:rsid w:val="00E5631A"/>
    <w:rsid w:val="00E563A1"/>
    <w:rsid w:val="00E564D3"/>
    <w:rsid w:val="00E56635"/>
    <w:rsid w:val="00E56671"/>
    <w:rsid w:val="00E5668D"/>
    <w:rsid w:val="00E566A5"/>
    <w:rsid w:val="00E56864"/>
    <w:rsid w:val="00E569DD"/>
    <w:rsid w:val="00E569E2"/>
    <w:rsid w:val="00E56B2B"/>
    <w:rsid w:val="00E56B40"/>
    <w:rsid w:val="00E56B5F"/>
    <w:rsid w:val="00E56B8F"/>
    <w:rsid w:val="00E56B93"/>
    <w:rsid w:val="00E56BAB"/>
    <w:rsid w:val="00E56CAE"/>
    <w:rsid w:val="00E56E15"/>
    <w:rsid w:val="00E56E1E"/>
    <w:rsid w:val="00E56E26"/>
    <w:rsid w:val="00E56EFB"/>
    <w:rsid w:val="00E56F32"/>
    <w:rsid w:val="00E56F3A"/>
    <w:rsid w:val="00E56F46"/>
    <w:rsid w:val="00E56F48"/>
    <w:rsid w:val="00E5707C"/>
    <w:rsid w:val="00E570F4"/>
    <w:rsid w:val="00E5710B"/>
    <w:rsid w:val="00E5711F"/>
    <w:rsid w:val="00E57135"/>
    <w:rsid w:val="00E57189"/>
    <w:rsid w:val="00E571B5"/>
    <w:rsid w:val="00E573A1"/>
    <w:rsid w:val="00E57470"/>
    <w:rsid w:val="00E57483"/>
    <w:rsid w:val="00E5751B"/>
    <w:rsid w:val="00E57528"/>
    <w:rsid w:val="00E575C9"/>
    <w:rsid w:val="00E575E6"/>
    <w:rsid w:val="00E575EF"/>
    <w:rsid w:val="00E575FD"/>
    <w:rsid w:val="00E5761B"/>
    <w:rsid w:val="00E576DF"/>
    <w:rsid w:val="00E577FC"/>
    <w:rsid w:val="00E5780A"/>
    <w:rsid w:val="00E5785A"/>
    <w:rsid w:val="00E57925"/>
    <w:rsid w:val="00E57A47"/>
    <w:rsid w:val="00E57AEF"/>
    <w:rsid w:val="00E57C25"/>
    <w:rsid w:val="00E57D41"/>
    <w:rsid w:val="00E57DB7"/>
    <w:rsid w:val="00E57E35"/>
    <w:rsid w:val="00E57EF8"/>
    <w:rsid w:val="00E57F7C"/>
    <w:rsid w:val="00E600E0"/>
    <w:rsid w:val="00E600E4"/>
    <w:rsid w:val="00E60142"/>
    <w:rsid w:val="00E60188"/>
    <w:rsid w:val="00E60193"/>
    <w:rsid w:val="00E60218"/>
    <w:rsid w:val="00E602BD"/>
    <w:rsid w:val="00E60358"/>
    <w:rsid w:val="00E6039F"/>
    <w:rsid w:val="00E603DD"/>
    <w:rsid w:val="00E60506"/>
    <w:rsid w:val="00E60510"/>
    <w:rsid w:val="00E6069D"/>
    <w:rsid w:val="00E60713"/>
    <w:rsid w:val="00E60734"/>
    <w:rsid w:val="00E6081C"/>
    <w:rsid w:val="00E60976"/>
    <w:rsid w:val="00E609B6"/>
    <w:rsid w:val="00E60A5E"/>
    <w:rsid w:val="00E60AC8"/>
    <w:rsid w:val="00E60B4E"/>
    <w:rsid w:val="00E60B53"/>
    <w:rsid w:val="00E60BB8"/>
    <w:rsid w:val="00E60C2E"/>
    <w:rsid w:val="00E60C53"/>
    <w:rsid w:val="00E60D0B"/>
    <w:rsid w:val="00E60DA9"/>
    <w:rsid w:val="00E60E6E"/>
    <w:rsid w:val="00E6103D"/>
    <w:rsid w:val="00E6106C"/>
    <w:rsid w:val="00E61077"/>
    <w:rsid w:val="00E61151"/>
    <w:rsid w:val="00E61194"/>
    <w:rsid w:val="00E61210"/>
    <w:rsid w:val="00E612B0"/>
    <w:rsid w:val="00E61314"/>
    <w:rsid w:val="00E6132D"/>
    <w:rsid w:val="00E61354"/>
    <w:rsid w:val="00E61544"/>
    <w:rsid w:val="00E61548"/>
    <w:rsid w:val="00E616C9"/>
    <w:rsid w:val="00E61790"/>
    <w:rsid w:val="00E617BB"/>
    <w:rsid w:val="00E617C0"/>
    <w:rsid w:val="00E617E0"/>
    <w:rsid w:val="00E6181B"/>
    <w:rsid w:val="00E61910"/>
    <w:rsid w:val="00E61957"/>
    <w:rsid w:val="00E61A47"/>
    <w:rsid w:val="00E61A8A"/>
    <w:rsid w:val="00E61A9C"/>
    <w:rsid w:val="00E61B13"/>
    <w:rsid w:val="00E61B16"/>
    <w:rsid w:val="00E61C33"/>
    <w:rsid w:val="00E61D22"/>
    <w:rsid w:val="00E61F95"/>
    <w:rsid w:val="00E620AE"/>
    <w:rsid w:val="00E620E9"/>
    <w:rsid w:val="00E62337"/>
    <w:rsid w:val="00E623A1"/>
    <w:rsid w:val="00E623CC"/>
    <w:rsid w:val="00E624B4"/>
    <w:rsid w:val="00E62543"/>
    <w:rsid w:val="00E62576"/>
    <w:rsid w:val="00E625C5"/>
    <w:rsid w:val="00E625ED"/>
    <w:rsid w:val="00E62839"/>
    <w:rsid w:val="00E628FC"/>
    <w:rsid w:val="00E6291C"/>
    <w:rsid w:val="00E6297C"/>
    <w:rsid w:val="00E62CB2"/>
    <w:rsid w:val="00E62D0A"/>
    <w:rsid w:val="00E62D27"/>
    <w:rsid w:val="00E62D5E"/>
    <w:rsid w:val="00E62E0A"/>
    <w:rsid w:val="00E62EC2"/>
    <w:rsid w:val="00E63012"/>
    <w:rsid w:val="00E63024"/>
    <w:rsid w:val="00E6315D"/>
    <w:rsid w:val="00E63224"/>
    <w:rsid w:val="00E6334B"/>
    <w:rsid w:val="00E6355E"/>
    <w:rsid w:val="00E63581"/>
    <w:rsid w:val="00E635B7"/>
    <w:rsid w:val="00E636DA"/>
    <w:rsid w:val="00E636EE"/>
    <w:rsid w:val="00E63892"/>
    <w:rsid w:val="00E638D1"/>
    <w:rsid w:val="00E63A32"/>
    <w:rsid w:val="00E63A4F"/>
    <w:rsid w:val="00E63A95"/>
    <w:rsid w:val="00E63B50"/>
    <w:rsid w:val="00E63B72"/>
    <w:rsid w:val="00E63BAD"/>
    <w:rsid w:val="00E63D64"/>
    <w:rsid w:val="00E63DD4"/>
    <w:rsid w:val="00E63DDA"/>
    <w:rsid w:val="00E63DE7"/>
    <w:rsid w:val="00E63E34"/>
    <w:rsid w:val="00E63E73"/>
    <w:rsid w:val="00E63E92"/>
    <w:rsid w:val="00E63F0A"/>
    <w:rsid w:val="00E63F2E"/>
    <w:rsid w:val="00E63FE0"/>
    <w:rsid w:val="00E63FF1"/>
    <w:rsid w:val="00E6408C"/>
    <w:rsid w:val="00E64167"/>
    <w:rsid w:val="00E64199"/>
    <w:rsid w:val="00E641D2"/>
    <w:rsid w:val="00E641D9"/>
    <w:rsid w:val="00E64283"/>
    <w:rsid w:val="00E6431C"/>
    <w:rsid w:val="00E64341"/>
    <w:rsid w:val="00E6446F"/>
    <w:rsid w:val="00E644B9"/>
    <w:rsid w:val="00E644D0"/>
    <w:rsid w:val="00E644FC"/>
    <w:rsid w:val="00E64536"/>
    <w:rsid w:val="00E64669"/>
    <w:rsid w:val="00E6466A"/>
    <w:rsid w:val="00E646C2"/>
    <w:rsid w:val="00E6482C"/>
    <w:rsid w:val="00E6487F"/>
    <w:rsid w:val="00E649E6"/>
    <w:rsid w:val="00E64C8C"/>
    <w:rsid w:val="00E64CA0"/>
    <w:rsid w:val="00E64CFF"/>
    <w:rsid w:val="00E64D4C"/>
    <w:rsid w:val="00E64DF2"/>
    <w:rsid w:val="00E64E15"/>
    <w:rsid w:val="00E64E75"/>
    <w:rsid w:val="00E64E79"/>
    <w:rsid w:val="00E64F5E"/>
    <w:rsid w:val="00E64FA2"/>
    <w:rsid w:val="00E65005"/>
    <w:rsid w:val="00E65113"/>
    <w:rsid w:val="00E65202"/>
    <w:rsid w:val="00E65210"/>
    <w:rsid w:val="00E65227"/>
    <w:rsid w:val="00E65298"/>
    <w:rsid w:val="00E6536D"/>
    <w:rsid w:val="00E6568D"/>
    <w:rsid w:val="00E65699"/>
    <w:rsid w:val="00E65737"/>
    <w:rsid w:val="00E6575C"/>
    <w:rsid w:val="00E657FB"/>
    <w:rsid w:val="00E65834"/>
    <w:rsid w:val="00E658F8"/>
    <w:rsid w:val="00E65911"/>
    <w:rsid w:val="00E65940"/>
    <w:rsid w:val="00E65AFA"/>
    <w:rsid w:val="00E65AFB"/>
    <w:rsid w:val="00E65B81"/>
    <w:rsid w:val="00E65BA2"/>
    <w:rsid w:val="00E65BB4"/>
    <w:rsid w:val="00E65D51"/>
    <w:rsid w:val="00E65D78"/>
    <w:rsid w:val="00E65E7F"/>
    <w:rsid w:val="00E65E86"/>
    <w:rsid w:val="00E65EB5"/>
    <w:rsid w:val="00E65F3C"/>
    <w:rsid w:val="00E65FD7"/>
    <w:rsid w:val="00E6605E"/>
    <w:rsid w:val="00E6628C"/>
    <w:rsid w:val="00E66371"/>
    <w:rsid w:val="00E6639A"/>
    <w:rsid w:val="00E66565"/>
    <w:rsid w:val="00E665C2"/>
    <w:rsid w:val="00E66621"/>
    <w:rsid w:val="00E667D2"/>
    <w:rsid w:val="00E6681B"/>
    <w:rsid w:val="00E6683D"/>
    <w:rsid w:val="00E66849"/>
    <w:rsid w:val="00E669E6"/>
    <w:rsid w:val="00E66B14"/>
    <w:rsid w:val="00E66B63"/>
    <w:rsid w:val="00E66BEE"/>
    <w:rsid w:val="00E66CA5"/>
    <w:rsid w:val="00E66CB3"/>
    <w:rsid w:val="00E66D69"/>
    <w:rsid w:val="00E66EA7"/>
    <w:rsid w:val="00E66EB4"/>
    <w:rsid w:val="00E66F86"/>
    <w:rsid w:val="00E671BD"/>
    <w:rsid w:val="00E67277"/>
    <w:rsid w:val="00E67282"/>
    <w:rsid w:val="00E672BB"/>
    <w:rsid w:val="00E672ED"/>
    <w:rsid w:val="00E673CA"/>
    <w:rsid w:val="00E67430"/>
    <w:rsid w:val="00E674D9"/>
    <w:rsid w:val="00E67539"/>
    <w:rsid w:val="00E676C4"/>
    <w:rsid w:val="00E676D1"/>
    <w:rsid w:val="00E67764"/>
    <w:rsid w:val="00E677F1"/>
    <w:rsid w:val="00E67877"/>
    <w:rsid w:val="00E679D4"/>
    <w:rsid w:val="00E67A4D"/>
    <w:rsid w:val="00E67B32"/>
    <w:rsid w:val="00E67C13"/>
    <w:rsid w:val="00E67C46"/>
    <w:rsid w:val="00E67C7B"/>
    <w:rsid w:val="00E67DEF"/>
    <w:rsid w:val="00E67E49"/>
    <w:rsid w:val="00E67E86"/>
    <w:rsid w:val="00E70061"/>
    <w:rsid w:val="00E701AB"/>
    <w:rsid w:val="00E70249"/>
    <w:rsid w:val="00E7033C"/>
    <w:rsid w:val="00E70474"/>
    <w:rsid w:val="00E704FC"/>
    <w:rsid w:val="00E7053D"/>
    <w:rsid w:val="00E705D2"/>
    <w:rsid w:val="00E706B4"/>
    <w:rsid w:val="00E706E4"/>
    <w:rsid w:val="00E70743"/>
    <w:rsid w:val="00E707AD"/>
    <w:rsid w:val="00E70930"/>
    <w:rsid w:val="00E709D7"/>
    <w:rsid w:val="00E70A01"/>
    <w:rsid w:val="00E70A2E"/>
    <w:rsid w:val="00E70A63"/>
    <w:rsid w:val="00E70B83"/>
    <w:rsid w:val="00E70C74"/>
    <w:rsid w:val="00E70C98"/>
    <w:rsid w:val="00E70D6F"/>
    <w:rsid w:val="00E70DA6"/>
    <w:rsid w:val="00E70E84"/>
    <w:rsid w:val="00E70F45"/>
    <w:rsid w:val="00E70FA5"/>
    <w:rsid w:val="00E7112F"/>
    <w:rsid w:val="00E71377"/>
    <w:rsid w:val="00E71417"/>
    <w:rsid w:val="00E71440"/>
    <w:rsid w:val="00E71472"/>
    <w:rsid w:val="00E71563"/>
    <w:rsid w:val="00E71638"/>
    <w:rsid w:val="00E716B7"/>
    <w:rsid w:val="00E716E1"/>
    <w:rsid w:val="00E7176A"/>
    <w:rsid w:val="00E717C2"/>
    <w:rsid w:val="00E7193F"/>
    <w:rsid w:val="00E71AB3"/>
    <w:rsid w:val="00E71ACC"/>
    <w:rsid w:val="00E71AD1"/>
    <w:rsid w:val="00E71CA2"/>
    <w:rsid w:val="00E71CA9"/>
    <w:rsid w:val="00E71D16"/>
    <w:rsid w:val="00E71D4B"/>
    <w:rsid w:val="00E71F96"/>
    <w:rsid w:val="00E72000"/>
    <w:rsid w:val="00E72064"/>
    <w:rsid w:val="00E720BB"/>
    <w:rsid w:val="00E720DE"/>
    <w:rsid w:val="00E7230E"/>
    <w:rsid w:val="00E72379"/>
    <w:rsid w:val="00E724D3"/>
    <w:rsid w:val="00E724DC"/>
    <w:rsid w:val="00E7252C"/>
    <w:rsid w:val="00E7254C"/>
    <w:rsid w:val="00E7271D"/>
    <w:rsid w:val="00E72777"/>
    <w:rsid w:val="00E7281B"/>
    <w:rsid w:val="00E728C5"/>
    <w:rsid w:val="00E72A42"/>
    <w:rsid w:val="00E72A90"/>
    <w:rsid w:val="00E72CDA"/>
    <w:rsid w:val="00E72D38"/>
    <w:rsid w:val="00E72D55"/>
    <w:rsid w:val="00E72E4E"/>
    <w:rsid w:val="00E72EAD"/>
    <w:rsid w:val="00E72FDC"/>
    <w:rsid w:val="00E730F3"/>
    <w:rsid w:val="00E7330C"/>
    <w:rsid w:val="00E73329"/>
    <w:rsid w:val="00E73464"/>
    <w:rsid w:val="00E734BD"/>
    <w:rsid w:val="00E735CB"/>
    <w:rsid w:val="00E73624"/>
    <w:rsid w:val="00E73687"/>
    <w:rsid w:val="00E73703"/>
    <w:rsid w:val="00E73728"/>
    <w:rsid w:val="00E73744"/>
    <w:rsid w:val="00E7380B"/>
    <w:rsid w:val="00E73869"/>
    <w:rsid w:val="00E73906"/>
    <w:rsid w:val="00E73970"/>
    <w:rsid w:val="00E739B9"/>
    <w:rsid w:val="00E73AB2"/>
    <w:rsid w:val="00E73B8A"/>
    <w:rsid w:val="00E73C23"/>
    <w:rsid w:val="00E73CB4"/>
    <w:rsid w:val="00E73D47"/>
    <w:rsid w:val="00E73ED9"/>
    <w:rsid w:val="00E73EE8"/>
    <w:rsid w:val="00E73EF7"/>
    <w:rsid w:val="00E74036"/>
    <w:rsid w:val="00E7406F"/>
    <w:rsid w:val="00E740D1"/>
    <w:rsid w:val="00E74127"/>
    <w:rsid w:val="00E741A6"/>
    <w:rsid w:val="00E7427D"/>
    <w:rsid w:val="00E74352"/>
    <w:rsid w:val="00E74455"/>
    <w:rsid w:val="00E74589"/>
    <w:rsid w:val="00E7465D"/>
    <w:rsid w:val="00E7468B"/>
    <w:rsid w:val="00E746A0"/>
    <w:rsid w:val="00E7472C"/>
    <w:rsid w:val="00E74758"/>
    <w:rsid w:val="00E7478F"/>
    <w:rsid w:val="00E747AF"/>
    <w:rsid w:val="00E7488C"/>
    <w:rsid w:val="00E74A85"/>
    <w:rsid w:val="00E74B65"/>
    <w:rsid w:val="00E74C62"/>
    <w:rsid w:val="00E74CDF"/>
    <w:rsid w:val="00E74D6C"/>
    <w:rsid w:val="00E74ED6"/>
    <w:rsid w:val="00E7518D"/>
    <w:rsid w:val="00E7523D"/>
    <w:rsid w:val="00E75298"/>
    <w:rsid w:val="00E755D5"/>
    <w:rsid w:val="00E75642"/>
    <w:rsid w:val="00E756B2"/>
    <w:rsid w:val="00E756D0"/>
    <w:rsid w:val="00E75742"/>
    <w:rsid w:val="00E75754"/>
    <w:rsid w:val="00E758EA"/>
    <w:rsid w:val="00E759B2"/>
    <w:rsid w:val="00E75A48"/>
    <w:rsid w:val="00E75A7C"/>
    <w:rsid w:val="00E75D9F"/>
    <w:rsid w:val="00E75E55"/>
    <w:rsid w:val="00E75E90"/>
    <w:rsid w:val="00E75F26"/>
    <w:rsid w:val="00E76167"/>
    <w:rsid w:val="00E761C7"/>
    <w:rsid w:val="00E76234"/>
    <w:rsid w:val="00E76263"/>
    <w:rsid w:val="00E762DA"/>
    <w:rsid w:val="00E76302"/>
    <w:rsid w:val="00E763BF"/>
    <w:rsid w:val="00E7650A"/>
    <w:rsid w:val="00E76561"/>
    <w:rsid w:val="00E7657B"/>
    <w:rsid w:val="00E7663B"/>
    <w:rsid w:val="00E76694"/>
    <w:rsid w:val="00E7670A"/>
    <w:rsid w:val="00E7681A"/>
    <w:rsid w:val="00E7683D"/>
    <w:rsid w:val="00E768DD"/>
    <w:rsid w:val="00E769C2"/>
    <w:rsid w:val="00E769DB"/>
    <w:rsid w:val="00E76A66"/>
    <w:rsid w:val="00E76AF1"/>
    <w:rsid w:val="00E76C4C"/>
    <w:rsid w:val="00E76C92"/>
    <w:rsid w:val="00E76D9A"/>
    <w:rsid w:val="00E76DD4"/>
    <w:rsid w:val="00E76EA2"/>
    <w:rsid w:val="00E76F6E"/>
    <w:rsid w:val="00E76FC8"/>
    <w:rsid w:val="00E76FED"/>
    <w:rsid w:val="00E770B5"/>
    <w:rsid w:val="00E770C2"/>
    <w:rsid w:val="00E770D3"/>
    <w:rsid w:val="00E770D8"/>
    <w:rsid w:val="00E771DB"/>
    <w:rsid w:val="00E772C2"/>
    <w:rsid w:val="00E7730A"/>
    <w:rsid w:val="00E7733C"/>
    <w:rsid w:val="00E777B3"/>
    <w:rsid w:val="00E77898"/>
    <w:rsid w:val="00E778FD"/>
    <w:rsid w:val="00E77A90"/>
    <w:rsid w:val="00E77B23"/>
    <w:rsid w:val="00E77B8A"/>
    <w:rsid w:val="00E77BBB"/>
    <w:rsid w:val="00E77C5D"/>
    <w:rsid w:val="00E77CF0"/>
    <w:rsid w:val="00E77CF7"/>
    <w:rsid w:val="00E77D9B"/>
    <w:rsid w:val="00E77DBB"/>
    <w:rsid w:val="00E77DF9"/>
    <w:rsid w:val="00E77E04"/>
    <w:rsid w:val="00E77E50"/>
    <w:rsid w:val="00E77FD4"/>
    <w:rsid w:val="00E77FEE"/>
    <w:rsid w:val="00E80013"/>
    <w:rsid w:val="00E8001E"/>
    <w:rsid w:val="00E8007C"/>
    <w:rsid w:val="00E8007F"/>
    <w:rsid w:val="00E80098"/>
    <w:rsid w:val="00E8017D"/>
    <w:rsid w:val="00E801F2"/>
    <w:rsid w:val="00E8030F"/>
    <w:rsid w:val="00E80326"/>
    <w:rsid w:val="00E8032F"/>
    <w:rsid w:val="00E803FF"/>
    <w:rsid w:val="00E805A8"/>
    <w:rsid w:val="00E805BB"/>
    <w:rsid w:val="00E8063E"/>
    <w:rsid w:val="00E80682"/>
    <w:rsid w:val="00E80683"/>
    <w:rsid w:val="00E806C5"/>
    <w:rsid w:val="00E80849"/>
    <w:rsid w:val="00E808D1"/>
    <w:rsid w:val="00E8092C"/>
    <w:rsid w:val="00E809DD"/>
    <w:rsid w:val="00E80C16"/>
    <w:rsid w:val="00E80C93"/>
    <w:rsid w:val="00E80E43"/>
    <w:rsid w:val="00E80F19"/>
    <w:rsid w:val="00E80F85"/>
    <w:rsid w:val="00E80FAC"/>
    <w:rsid w:val="00E8101F"/>
    <w:rsid w:val="00E81074"/>
    <w:rsid w:val="00E81082"/>
    <w:rsid w:val="00E81104"/>
    <w:rsid w:val="00E8120C"/>
    <w:rsid w:val="00E812A2"/>
    <w:rsid w:val="00E81301"/>
    <w:rsid w:val="00E813C0"/>
    <w:rsid w:val="00E813F3"/>
    <w:rsid w:val="00E8145F"/>
    <w:rsid w:val="00E81505"/>
    <w:rsid w:val="00E81672"/>
    <w:rsid w:val="00E8177C"/>
    <w:rsid w:val="00E81792"/>
    <w:rsid w:val="00E81799"/>
    <w:rsid w:val="00E817BB"/>
    <w:rsid w:val="00E81BBC"/>
    <w:rsid w:val="00E81BC1"/>
    <w:rsid w:val="00E81C1A"/>
    <w:rsid w:val="00E81D09"/>
    <w:rsid w:val="00E81D64"/>
    <w:rsid w:val="00E81D93"/>
    <w:rsid w:val="00E81D9D"/>
    <w:rsid w:val="00E81DD2"/>
    <w:rsid w:val="00E81E04"/>
    <w:rsid w:val="00E81E6A"/>
    <w:rsid w:val="00E81ECF"/>
    <w:rsid w:val="00E81EDA"/>
    <w:rsid w:val="00E81F0F"/>
    <w:rsid w:val="00E82066"/>
    <w:rsid w:val="00E82092"/>
    <w:rsid w:val="00E82096"/>
    <w:rsid w:val="00E8212C"/>
    <w:rsid w:val="00E821D6"/>
    <w:rsid w:val="00E821D8"/>
    <w:rsid w:val="00E8223C"/>
    <w:rsid w:val="00E8226F"/>
    <w:rsid w:val="00E8242E"/>
    <w:rsid w:val="00E824BF"/>
    <w:rsid w:val="00E824F4"/>
    <w:rsid w:val="00E826C6"/>
    <w:rsid w:val="00E8277C"/>
    <w:rsid w:val="00E827DE"/>
    <w:rsid w:val="00E82852"/>
    <w:rsid w:val="00E82928"/>
    <w:rsid w:val="00E82937"/>
    <w:rsid w:val="00E829DC"/>
    <w:rsid w:val="00E82ACE"/>
    <w:rsid w:val="00E82B11"/>
    <w:rsid w:val="00E82B12"/>
    <w:rsid w:val="00E82BBD"/>
    <w:rsid w:val="00E82C94"/>
    <w:rsid w:val="00E82CDC"/>
    <w:rsid w:val="00E82D68"/>
    <w:rsid w:val="00E82F43"/>
    <w:rsid w:val="00E82FA5"/>
    <w:rsid w:val="00E82FBE"/>
    <w:rsid w:val="00E8319D"/>
    <w:rsid w:val="00E831EE"/>
    <w:rsid w:val="00E83295"/>
    <w:rsid w:val="00E832A9"/>
    <w:rsid w:val="00E832CE"/>
    <w:rsid w:val="00E833C3"/>
    <w:rsid w:val="00E83405"/>
    <w:rsid w:val="00E8351A"/>
    <w:rsid w:val="00E835A2"/>
    <w:rsid w:val="00E8361A"/>
    <w:rsid w:val="00E8369D"/>
    <w:rsid w:val="00E836D0"/>
    <w:rsid w:val="00E83804"/>
    <w:rsid w:val="00E8392C"/>
    <w:rsid w:val="00E8398B"/>
    <w:rsid w:val="00E83A58"/>
    <w:rsid w:val="00E83B72"/>
    <w:rsid w:val="00E83C67"/>
    <w:rsid w:val="00E83C90"/>
    <w:rsid w:val="00E83DB5"/>
    <w:rsid w:val="00E83E24"/>
    <w:rsid w:val="00E83FDE"/>
    <w:rsid w:val="00E84065"/>
    <w:rsid w:val="00E84074"/>
    <w:rsid w:val="00E840C7"/>
    <w:rsid w:val="00E84117"/>
    <w:rsid w:val="00E8415B"/>
    <w:rsid w:val="00E841D8"/>
    <w:rsid w:val="00E841DF"/>
    <w:rsid w:val="00E842B0"/>
    <w:rsid w:val="00E84395"/>
    <w:rsid w:val="00E84453"/>
    <w:rsid w:val="00E84497"/>
    <w:rsid w:val="00E844A8"/>
    <w:rsid w:val="00E84526"/>
    <w:rsid w:val="00E845C0"/>
    <w:rsid w:val="00E8475A"/>
    <w:rsid w:val="00E84777"/>
    <w:rsid w:val="00E8489F"/>
    <w:rsid w:val="00E848CA"/>
    <w:rsid w:val="00E849BC"/>
    <w:rsid w:val="00E849DF"/>
    <w:rsid w:val="00E84ABA"/>
    <w:rsid w:val="00E84B36"/>
    <w:rsid w:val="00E84BAD"/>
    <w:rsid w:val="00E84BF3"/>
    <w:rsid w:val="00E84C36"/>
    <w:rsid w:val="00E84C3A"/>
    <w:rsid w:val="00E84C7B"/>
    <w:rsid w:val="00E84D77"/>
    <w:rsid w:val="00E84DEA"/>
    <w:rsid w:val="00E84F1D"/>
    <w:rsid w:val="00E84FA0"/>
    <w:rsid w:val="00E85004"/>
    <w:rsid w:val="00E8507C"/>
    <w:rsid w:val="00E85098"/>
    <w:rsid w:val="00E85131"/>
    <w:rsid w:val="00E8517B"/>
    <w:rsid w:val="00E852FD"/>
    <w:rsid w:val="00E85369"/>
    <w:rsid w:val="00E853EE"/>
    <w:rsid w:val="00E8545A"/>
    <w:rsid w:val="00E854AA"/>
    <w:rsid w:val="00E85567"/>
    <w:rsid w:val="00E855A2"/>
    <w:rsid w:val="00E85673"/>
    <w:rsid w:val="00E8567C"/>
    <w:rsid w:val="00E857BE"/>
    <w:rsid w:val="00E858E8"/>
    <w:rsid w:val="00E8590D"/>
    <w:rsid w:val="00E85925"/>
    <w:rsid w:val="00E85934"/>
    <w:rsid w:val="00E8597B"/>
    <w:rsid w:val="00E85A6C"/>
    <w:rsid w:val="00E85C49"/>
    <w:rsid w:val="00E85C9E"/>
    <w:rsid w:val="00E85F24"/>
    <w:rsid w:val="00E86000"/>
    <w:rsid w:val="00E8600C"/>
    <w:rsid w:val="00E86041"/>
    <w:rsid w:val="00E8614B"/>
    <w:rsid w:val="00E86174"/>
    <w:rsid w:val="00E864E9"/>
    <w:rsid w:val="00E86600"/>
    <w:rsid w:val="00E86768"/>
    <w:rsid w:val="00E86908"/>
    <w:rsid w:val="00E86911"/>
    <w:rsid w:val="00E86A2F"/>
    <w:rsid w:val="00E86A47"/>
    <w:rsid w:val="00E86A98"/>
    <w:rsid w:val="00E86B0A"/>
    <w:rsid w:val="00E86BFB"/>
    <w:rsid w:val="00E86CCE"/>
    <w:rsid w:val="00E86DA7"/>
    <w:rsid w:val="00E86DF1"/>
    <w:rsid w:val="00E86E0D"/>
    <w:rsid w:val="00E86E7D"/>
    <w:rsid w:val="00E86E91"/>
    <w:rsid w:val="00E86F06"/>
    <w:rsid w:val="00E86F46"/>
    <w:rsid w:val="00E86F57"/>
    <w:rsid w:val="00E8714D"/>
    <w:rsid w:val="00E87154"/>
    <w:rsid w:val="00E87162"/>
    <w:rsid w:val="00E87166"/>
    <w:rsid w:val="00E871A6"/>
    <w:rsid w:val="00E871B7"/>
    <w:rsid w:val="00E87200"/>
    <w:rsid w:val="00E87453"/>
    <w:rsid w:val="00E8746F"/>
    <w:rsid w:val="00E874FB"/>
    <w:rsid w:val="00E87551"/>
    <w:rsid w:val="00E87660"/>
    <w:rsid w:val="00E8777D"/>
    <w:rsid w:val="00E8792E"/>
    <w:rsid w:val="00E879EF"/>
    <w:rsid w:val="00E87A04"/>
    <w:rsid w:val="00E87BC2"/>
    <w:rsid w:val="00E87E12"/>
    <w:rsid w:val="00E87E34"/>
    <w:rsid w:val="00E87ED0"/>
    <w:rsid w:val="00E87EEB"/>
    <w:rsid w:val="00E87F30"/>
    <w:rsid w:val="00E87FAC"/>
    <w:rsid w:val="00E87FB8"/>
    <w:rsid w:val="00E90041"/>
    <w:rsid w:val="00E90088"/>
    <w:rsid w:val="00E90136"/>
    <w:rsid w:val="00E9020C"/>
    <w:rsid w:val="00E905D3"/>
    <w:rsid w:val="00E90619"/>
    <w:rsid w:val="00E90660"/>
    <w:rsid w:val="00E9066A"/>
    <w:rsid w:val="00E906C4"/>
    <w:rsid w:val="00E906F0"/>
    <w:rsid w:val="00E90718"/>
    <w:rsid w:val="00E90BBB"/>
    <w:rsid w:val="00E90C2D"/>
    <w:rsid w:val="00E90C7E"/>
    <w:rsid w:val="00E90CAB"/>
    <w:rsid w:val="00E90CE4"/>
    <w:rsid w:val="00E90DD2"/>
    <w:rsid w:val="00E90E4B"/>
    <w:rsid w:val="00E90EB0"/>
    <w:rsid w:val="00E90FEF"/>
    <w:rsid w:val="00E9113E"/>
    <w:rsid w:val="00E912BE"/>
    <w:rsid w:val="00E91300"/>
    <w:rsid w:val="00E91391"/>
    <w:rsid w:val="00E913A0"/>
    <w:rsid w:val="00E91426"/>
    <w:rsid w:val="00E91450"/>
    <w:rsid w:val="00E9145B"/>
    <w:rsid w:val="00E914E4"/>
    <w:rsid w:val="00E91778"/>
    <w:rsid w:val="00E9178C"/>
    <w:rsid w:val="00E918E6"/>
    <w:rsid w:val="00E91927"/>
    <w:rsid w:val="00E919AF"/>
    <w:rsid w:val="00E919E1"/>
    <w:rsid w:val="00E91ACE"/>
    <w:rsid w:val="00E91B3F"/>
    <w:rsid w:val="00E91BAC"/>
    <w:rsid w:val="00E91BFB"/>
    <w:rsid w:val="00E91C3F"/>
    <w:rsid w:val="00E91D89"/>
    <w:rsid w:val="00E921E0"/>
    <w:rsid w:val="00E92361"/>
    <w:rsid w:val="00E924A0"/>
    <w:rsid w:val="00E924CF"/>
    <w:rsid w:val="00E92567"/>
    <w:rsid w:val="00E925AB"/>
    <w:rsid w:val="00E925F2"/>
    <w:rsid w:val="00E9263F"/>
    <w:rsid w:val="00E926F4"/>
    <w:rsid w:val="00E928A2"/>
    <w:rsid w:val="00E928FB"/>
    <w:rsid w:val="00E92A84"/>
    <w:rsid w:val="00E92A91"/>
    <w:rsid w:val="00E92AB3"/>
    <w:rsid w:val="00E92AC2"/>
    <w:rsid w:val="00E92ADF"/>
    <w:rsid w:val="00E92AE6"/>
    <w:rsid w:val="00E92B8C"/>
    <w:rsid w:val="00E92B9D"/>
    <w:rsid w:val="00E92CC5"/>
    <w:rsid w:val="00E92E13"/>
    <w:rsid w:val="00E92FB8"/>
    <w:rsid w:val="00E9312A"/>
    <w:rsid w:val="00E93311"/>
    <w:rsid w:val="00E9338E"/>
    <w:rsid w:val="00E933FB"/>
    <w:rsid w:val="00E9348F"/>
    <w:rsid w:val="00E93558"/>
    <w:rsid w:val="00E93620"/>
    <w:rsid w:val="00E936E0"/>
    <w:rsid w:val="00E937E0"/>
    <w:rsid w:val="00E938AF"/>
    <w:rsid w:val="00E93942"/>
    <w:rsid w:val="00E9399F"/>
    <w:rsid w:val="00E939C0"/>
    <w:rsid w:val="00E93AFD"/>
    <w:rsid w:val="00E93CD8"/>
    <w:rsid w:val="00E93DF2"/>
    <w:rsid w:val="00E93ECF"/>
    <w:rsid w:val="00E93F98"/>
    <w:rsid w:val="00E940D0"/>
    <w:rsid w:val="00E94399"/>
    <w:rsid w:val="00E944FA"/>
    <w:rsid w:val="00E94596"/>
    <w:rsid w:val="00E946B3"/>
    <w:rsid w:val="00E947CF"/>
    <w:rsid w:val="00E947E9"/>
    <w:rsid w:val="00E948BC"/>
    <w:rsid w:val="00E9495E"/>
    <w:rsid w:val="00E94976"/>
    <w:rsid w:val="00E949EC"/>
    <w:rsid w:val="00E94B88"/>
    <w:rsid w:val="00E94B8E"/>
    <w:rsid w:val="00E94D6C"/>
    <w:rsid w:val="00E94DCA"/>
    <w:rsid w:val="00E94DDB"/>
    <w:rsid w:val="00E94ECA"/>
    <w:rsid w:val="00E94FCD"/>
    <w:rsid w:val="00E95040"/>
    <w:rsid w:val="00E95063"/>
    <w:rsid w:val="00E95107"/>
    <w:rsid w:val="00E95131"/>
    <w:rsid w:val="00E95155"/>
    <w:rsid w:val="00E95161"/>
    <w:rsid w:val="00E951E5"/>
    <w:rsid w:val="00E951EC"/>
    <w:rsid w:val="00E95251"/>
    <w:rsid w:val="00E952BF"/>
    <w:rsid w:val="00E95300"/>
    <w:rsid w:val="00E95371"/>
    <w:rsid w:val="00E95451"/>
    <w:rsid w:val="00E95495"/>
    <w:rsid w:val="00E9559F"/>
    <w:rsid w:val="00E955B8"/>
    <w:rsid w:val="00E9561E"/>
    <w:rsid w:val="00E95719"/>
    <w:rsid w:val="00E95727"/>
    <w:rsid w:val="00E95732"/>
    <w:rsid w:val="00E9588F"/>
    <w:rsid w:val="00E95898"/>
    <w:rsid w:val="00E958F6"/>
    <w:rsid w:val="00E959DD"/>
    <w:rsid w:val="00E95AA8"/>
    <w:rsid w:val="00E95AD3"/>
    <w:rsid w:val="00E95AF7"/>
    <w:rsid w:val="00E95B22"/>
    <w:rsid w:val="00E95B4A"/>
    <w:rsid w:val="00E95BD1"/>
    <w:rsid w:val="00E95C2F"/>
    <w:rsid w:val="00E95C7A"/>
    <w:rsid w:val="00E95D7D"/>
    <w:rsid w:val="00E95E38"/>
    <w:rsid w:val="00E95E50"/>
    <w:rsid w:val="00E95F8A"/>
    <w:rsid w:val="00E96019"/>
    <w:rsid w:val="00E9605B"/>
    <w:rsid w:val="00E960F2"/>
    <w:rsid w:val="00E9617F"/>
    <w:rsid w:val="00E96180"/>
    <w:rsid w:val="00E96328"/>
    <w:rsid w:val="00E9635A"/>
    <w:rsid w:val="00E96376"/>
    <w:rsid w:val="00E9639E"/>
    <w:rsid w:val="00E963D7"/>
    <w:rsid w:val="00E96442"/>
    <w:rsid w:val="00E9657C"/>
    <w:rsid w:val="00E96586"/>
    <w:rsid w:val="00E965B3"/>
    <w:rsid w:val="00E96609"/>
    <w:rsid w:val="00E967A1"/>
    <w:rsid w:val="00E96816"/>
    <w:rsid w:val="00E9697E"/>
    <w:rsid w:val="00E96A95"/>
    <w:rsid w:val="00E96AA7"/>
    <w:rsid w:val="00E96B1F"/>
    <w:rsid w:val="00E96B53"/>
    <w:rsid w:val="00E96B81"/>
    <w:rsid w:val="00E96BEB"/>
    <w:rsid w:val="00E96C14"/>
    <w:rsid w:val="00E96C69"/>
    <w:rsid w:val="00E96C73"/>
    <w:rsid w:val="00E96CB9"/>
    <w:rsid w:val="00E96E7F"/>
    <w:rsid w:val="00E96EEE"/>
    <w:rsid w:val="00E96F57"/>
    <w:rsid w:val="00E96F8E"/>
    <w:rsid w:val="00E970F1"/>
    <w:rsid w:val="00E97118"/>
    <w:rsid w:val="00E97206"/>
    <w:rsid w:val="00E97211"/>
    <w:rsid w:val="00E9729E"/>
    <w:rsid w:val="00E972A2"/>
    <w:rsid w:val="00E972EF"/>
    <w:rsid w:val="00E97375"/>
    <w:rsid w:val="00E97388"/>
    <w:rsid w:val="00E97399"/>
    <w:rsid w:val="00E973CA"/>
    <w:rsid w:val="00E973D4"/>
    <w:rsid w:val="00E973DF"/>
    <w:rsid w:val="00E97442"/>
    <w:rsid w:val="00E9747A"/>
    <w:rsid w:val="00E97490"/>
    <w:rsid w:val="00E974E9"/>
    <w:rsid w:val="00E97555"/>
    <w:rsid w:val="00E9757D"/>
    <w:rsid w:val="00E975A1"/>
    <w:rsid w:val="00E976F9"/>
    <w:rsid w:val="00E97756"/>
    <w:rsid w:val="00E9777B"/>
    <w:rsid w:val="00E97965"/>
    <w:rsid w:val="00E97970"/>
    <w:rsid w:val="00E979C9"/>
    <w:rsid w:val="00E97AF7"/>
    <w:rsid w:val="00E97B0D"/>
    <w:rsid w:val="00E97BA9"/>
    <w:rsid w:val="00E97BC3"/>
    <w:rsid w:val="00E97C04"/>
    <w:rsid w:val="00E97CE0"/>
    <w:rsid w:val="00E97E21"/>
    <w:rsid w:val="00E97ED5"/>
    <w:rsid w:val="00E97F13"/>
    <w:rsid w:val="00E97F15"/>
    <w:rsid w:val="00EA00BA"/>
    <w:rsid w:val="00EA0110"/>
    <w:rsid w:val="00EA012C"/>
    <w:rsid w:val="00EA0187"/>
    <w:rsid w:val="00EA023F"/>
    <w:rsid w:val="00EA0285"/>
    <w:rsid w:val="00EA037F"/>
    <w:rsid w:val="00EA03FB"/>
    <w:rsid w:val="00EA04BE"/>
    <w:rsid w:val="00EA052E"/>
    <w:rsid w:val="00EA06B1"/>
    <w:rsid w:val="00EA0776"/>
    <w:rsid w:val="00EA08AF"/>
    <w:rsid w:val="00EA0B10"/>
    <w:rsid w:val="00EA0B46"/>
    <w:rsid w:val="00EA0DF5"/>
    <w:rsid w:val="00EA0F01"/>
    <w:rsid w:val="00EA0F94"/>
    <w:rsid w:val="00EA1128"/>
    <w:rsid w:val="00EA1150"/>
    <w:rsid w:val="00EA115B"/>
    <w:rsid w:val="00EA13E0"/>
    <w:rsid w:val="00EA14C9"/>
    <w:rsid w:val="00EA169B"/>
    <w:rsid w:val="00EA17B4"/>
    <w:rsid w:val="00EA17EE"/>
    <w:rsid w:val="00EA1892"/>
    <w:rsid w:val="00EA18AD"/>
    <w:rsid w:val="00EA191C"/>
    <w:rsid w:val="00EA1925"/>
    <w:rsid w:val="00EA19F8"/>
    <w:rsid w:val="00EA1B64"/>
    <w:rsid w:val="00EA1B9C"/>
    <w:rsid w:val="00EA1BFC"/>
    <w:rsid w:val="00EA1C3E"/>
    <w:rsid w:val="00EA1C68"/>
    <w:rsid w:val="00EA1D76"/>
    <w:rsid w:val="00EA1E75"/>
    <w:rsid w:val="00EA1EF6"/>
    <w:rsid w:val="00EA1F80"/>
    <w:rsid w:val="00EA1F8D"/>
    <w:rsid w:val="00EA1FCA"/>
    <w:rsid w:val="00EA2012"/>
    <w:rsid w:val="00EA2122"/>
    <w:rsid w:val="00EA213F"/>
    <w:rsid w:val="00EA2238"/>
    <w:rsid w:val="00EA2257"/>
    <w:rsid w:val="00EA22F0"/>
    <w:rsid w:val="00EA2386"/>
    <w:rsid w:val="00EA23A8"/>
    <w:rsid w:val="00EA23C0"/>
    <w:rsid w:val="00EA2426"/>
    <w:rsid w:val="00EA258C"/>
    <w:rsid w:val="00EA2707"/>
    <w:rsid w:val="00EA274B"/>
    <w:rsid w:val="00EA27DB"/>
    <w:rsid w:val="00EA27EA"/>
    <w:rsid w:val="00EA27EB"/>
    <w:rsid w:val="00EA2835"/>
    <w:rsid w:val="00EA28D1"/>
    <w:rsid w:val="00EA29A0"/>
    <w:rsid w:val="00EA29BC"/>
    <w:rsid w:val="00EA2A53"/>
    <w:rsid w:val="00EA2E3E"/>
    <w:rsid w:val="00EA2E84"/>
    <w:rsid w:val="00EA2F00"/>
    <w:rsid w:val="00EA2F0E"/>
    <w:rsid w:val="00EA2F44"/>
    <w:rsid w:val="00EA303D"/>
    <w:rsid w:val="00EA3151"/>
    <w:rsid w:val="00EA323C"/>
    <w:rsid w:val="00EA326A"/>
    <w:rsid w:val="00EA326C"/>
    <w:rsid w:val="00EA33F4"/>
    <w:rsid w:val="00EA3438"/>
    <w:rsid w:val="00EA3466"/>
    <w:rsid w:val="00EA34A3"/>
    <w:rsid w:val="00EA3556"/>
    <w:rsid w:val="00EA35B1"/>
    <w:rsid w:val="00EA3630"/>
    <w:rsid w:val="00EA36E6"/>
    <w:rsid w:val="00EA39FC"/>
    <w:rsid w:val="00EA3AA8"/>
    <w:rsid w:val="00EA3BB0"/>
    <w:rsid w:val="00EA3C21"/>
    <w:rsid w:val="00EA3C30"/>
    <w:rsid w:val="00EA3C35"/>
    <w:rsid w:val="00EA3C9C"/>
    <w:rsid w:val="00EA3CB3"/>
    <w:rsid w:val="00EA3CE3"/>
    <w:rsid w:val="00EA3D8F"/>
    <w:rsid w:val="00EA3DAD"/>
    <w:rsid w:val="00EA3DEE"/>
    <w:rsid w:val="00EA3DF8"/>
    <w:rsid w:val="00EA3F74"/>
    <w:rsid w:val="00EA413D"/>
    <w:rsid w:val="00EA4163"/>
    <w:rsid w:val="00EA41A1"/>
    <w:rsid w:val="00EA4406"/>
    <w:rsid w:val="00EA4670"/>
    <w:rsid w:val="00EA47E7"/>
    <w:rsid w:val="00EA4847"/>
    <w:rsid w:val="00EA493B"/>
    <w:rsid w:val="00EA495A"/>
    <w:rsid w:val="00EA4A4C"/>
    <w:rsid w:val="00EA4A78"/>
    <w:rsid w:val="00EA4B30"/>
    <w:rsid w:val="00EA4C5A"/>
    <w:rsid w:val="00EA4D01"/>
    <w:rsid w:val="00EA4DC5"/>
    <w:rsid w:val="00EA4DF1"/>
    <w:rsid w:val="00EA4F84"/>
    <w:rsid w:val="00EA4FB7"/>
    <w:rsid w:val="00EA5000"/>
    <w:rsid w:val="00EA5168"/>
    <w:rsid w:val="00EA52F9"/>
    <w:rsid w:val="00EA5358"/>
    <w:rsid w:val="00EA541C"/>
    <w:rsid w:val="00EA5452"/>
    <w:rsid w:val="00EA5521"/>
    <w:rsid w:val="00EA55FD"/>
    <w:rsid w:val="00EA5643"/>
    <w:rsid w:val="00EA56C1"/>
    <w:rsid w:val="00EA57E1"/>
    <w:rsid w:val="00EA58B4"/>
    <w:rsid w:val="00EA59E3"/>
    <w:rsid w:val="00EA5AC8"/>
    <w:rsid w:val="00EA5B86"/>
    <w:rsid w:val="00EA5B8C"/>
    <w:rsid w:val="00EA5B90"/>
    <w:rsid w:val="00EA5C2D"/>
    <w:rsid w:val="00EA5C48"/>
    <w:rsid w:val="00EA5C78"/>
    <w:rsid w:val="00EA5C8A"/>
    <w:rsid w:val="00EA5CB4"/>
    <w:rsid w:val="00EA5E29"/>
    <w:rsid w:val="00EA5E41"/>
    <w:rsid w:val="00EA5EB7"/>
    <w:rsid w:val="00EA5F1F"/>
    <w:rsid w:val="00EA5F24"/>
    <w:rsid w:val="00EA5F5A"/>
    <w:rsid w:val="00EA6096"/>
    <w:rsid w:val="00EA60E2"/>
    <w:rsid w:val="00EA60E5"/>
    <w:rsid w:val="00EA6173"/>
    <w:rsid w:val="00EA623A"/>
    <w:rsid w:val="00EA6284"/>
    <w:rsid w:val="00EA631F"/>
    <w:rsid w:val="00EA6320"/>
    <w:rsid w:val="00EA6399"/>
    <w:rsid w:val="00EA6437"/>
    <w:rsid w:val="00EA6505"/>
    <w:rsid w:val="00EA66BE"/>
    <w:rsid w:val="00EA6840"/>
    <w:rsid w:val="00EA6945"/>
    <w:rsid w:val="00EA69A3"/>
    <w:rsid w:val="00EA6A52"/>
    <w:rsid w:val="00EA6A72"/>
    <w:rsid w:val="00EA6B62"/>
    <w:rsid w:val="00EA6B76"/>
    <w:rsid w:val="00EA6B85"/>
    <w:rsid w:val="00EA6BFB"/>
    <w:rsid w:val="00EA6E00"/>
    <w:rsid w:val="00EA6F21"/>
    <w:rsid w:val="00EA6FFE"/>
    <w:rsid w:val="00EA7046"/>
    <w:rsid w:val="00EA7130"/>
    <w:rsid w:val="00EA7144"/>
    <w:rsid w:val="00EA714B"/>
    <w:rsid w:val="00EA721F"/>
    <w:rsid w:val="00EA73B3"/>
    <w:rsid w:val="00EA73D4"/>
    <w:rsid w:val="00EA73EC"/>
    <w:rsid w:val="00EA74DF"/>
    <w:rsid w:val="00EA74FF"/>
    <w:rsid w:val="00EA7577"/>
    <w:rsid w:val="00EA7702"/>
    <w:rsid w:val="00EA78D9"/>
    <w:rsid w:val="00EA78DD"/>
    <w:rsid w:val="00EA7A1B"/>
    <w:rsid w:val="00EA7ABB"/>
    <w:rsid w:val="00EA7B1C"/>
    <w:rsid w:val="00EA7F4C"/>
    <w:rsid w:val="00EA7FAA"/>
    <w:rsid w:val="00EB008D"/>
    <w:rsid w:val="00EB0239"/>
    <w:rsid w:val="00EB0279"/>
    <w:rsid w:val="00EB0520"/>
    <w:rsid w:val="00EB08C9"/>
    <w:rsid w:val="00EB0A04"/>
    <w:rsid w:val="00EB0B0F"/>
    <w:rsid w:val="00EB0CE9"/>
    <w:rsid w:val="00EB0D05"/>
    <w:rsid w:val="00EB0D75"/>
    <w:rsid w:val="00EB0F8B"/>
    <w:rsid w:val="00EB107D"/>
    <w:rsid w:val="00EB11DF"/>
    <w:rsid w:val="00EB13E5"/>
    <w:rsid w:val="00EB141C"/>
    <w:rsid w:val="00EB14CF"/>
    <w:rsid w:val="00EB14FF"/>
    <w:rsid w:val="00EB15E1"/>
    <w:rsid w:val="00EB15F8"/>
    <w:rsid w:val="00EB1656"/>
    <w:rsid w:val="00EB1711"/>
    <w:rsid w:val="00EB175B"/>
    <w:rsid w:val="00EB1797"/>
    <w:rsid w:val="00EB17A6"/>
    <w:rsid w:val="00EB1911"/>
    <w:rsid w:val="00EB197F"/>
    <w:rsid w:val="00EB19DB"/>
    <w:rsid w:val="00EB1AE4"/>
    <w:rsid w:val="00EB1B3F"/>
    <w:rsid w:val="00EB1BB4"/>
    <w:rsid w:val="00EB1BC1"/>
    <w:rsid w:val="00EB1D48"/>
    <w:rsid w:val="00EB1EE0"/>
    <w:rsid w:val="00EB2053"/>
    <w:rsid w:val="00EB214E"/>
    <w:rsid w:val="00EB216C"/>
    <w:rsid w:val="00EB2184"/>
    <w:rsid w:val="00EB222E"/>
    <w:rsid w:val="00EB2285"/>
    <w:rsid w:val="00EB23A6"/>
    <w:rsid w:val="00EB251D"/>
    <w:rsid w:val="00EB2556"/>
    <w:rsid w:val="00EB2585"/>
    <w:rsid w:val="00EB2600"/>
    <w:rsid w:val="00EB2740"/>
    <w:rsid w:val="00EB27F7"/>
    <w:rsid w:val="00EB27FA"/>
    <w:rsid w:val="00EB2A03"/>
    <w:rsid w:val="00EB2BFD"/>
    <w:rsid w:val="00EB2C86"/>
    <w:rsid w:val="00EB2CF3"/>
    <w:rsid w:val="00EB2E23"/>
    <w:rsid w:val="00EB2E72"/>
    <w:rsid w:val="00EB2EF8"/>
    <w:rsid w:val="00EB301C"/>
    <w:rsid w:val="00EB3065"/>
    <w:rsid w:val="00EB3073"/>
    <w:rsid w:val="00EB307E"/>
    <w:rsid w:val="00EB30E0"/>
    <w:rsid w:val="00EB30EA"/>
    <w:rsid w:val="00EB3102"/>
    <w:rsid w:val="00EB312A"/>
    <w:rsid w:val="00EB3183"/>
    <w:rsid w:val="00EB31F0"/>
    <w:rsid w:val="00EB34D8"/>
    <w:rsid w:val="00EB34DE"/>
    <w:rsid w:val="00EB3596"/>
    <w:rsid w:val="00EB3831"/>
    <w:rsid w:val="00EB38C2"/>
    <w:rsid w:val="00EB3A13"/>
    <w:rsid w:val="00EB3B0A"/>
    <w:rsid w:val="00EB3B7C"/>
    <w:rsid w:val="00EB3C5B"/>
    <w:rsid w:val="00EB3FA6"/>
    <w:rsid w:val="00EB40C5"/>
    <w:rsid w:val="00EB414C"/>
    <w:rsid w:val="00EB41BD"/>
    <w:rsid w:val="00EB41CD"/>
    <w:rsid w:val="00EB421E"/>
    <w:rsid w:val="00EB4230"/>
    <w:rsid w:val="00EB4291"/>
    <w:rsid w:val="00EB42B3"/>
    <w:rsid w:val="00EB432C"/>
    <w:rsid w:val="00EB437B"/>
    <w:rsid w:val="00EB4381"/>
    <w:rsid w:val="00EB43DC"/>
    <w:rsid w:val="00EB44FD"/>
    <w:rsid w:val="00EB4554"/>
    <w:rsid w:val="00EB4572"/>
    <w:rsid w:val="00EB4644"/>
    <w:rsid w:val="00EB468C"/>
    <w:rsid w:val="00EB46E9"/>
    <w:rsid w:val="00EB47DE"/>
    <w:rsid w:val="00EB47F7"/>
    <w:rsid w:val="00EB4965"/>
    <w:rsid w:val="00EB49A8"/>
    <w:rsid w:val="00EB49C7"/>
    <w:rsid w:val="00EB4A6F"/>
    <w:rsid w:val="00EB4B5E"/>
    <w:rsid w:val="00EB4BB9"/>
    <w:rsid w:val="00EB4C84"/>
    <w:rsid w:val="00EB4D7F"/>
    <w:rsid w:val="00EB4D80"/>
    <w:rsid w:val="00EB4D92"/>
    <w:rsid w:val="00EB4FBD"/>
    <w:rsid w:val="00EB4FF7"/>
    <w:rsid w:val="00EB5030"/>
    <w:rsid w:val="00EB5069"/>
    <w:rsid w:val="00EB50CB"/>
    <w:rsid w:val="00EB50F7"/>
    <w:rsid w:val="00EB523B"/>
    <w:rsid w:val="00EB5248"/>
    <w:rsid w:val="00EB52F8"/>
    <w:rsid w:val="00EB537E"/>
    <w:rsid w:val="00EB5382"/>
    <w:rsid w:val="00EB56D3"/>
    <w:rsid w:val="00EB5772"/>
    <w:rsid w:val="00EB57D7"/>
    <w:rsid w:val="00EB581E"/>
    <w:rsid w:val="00EB5967"/>
    <w:rsid w:val="00EB599E"/>
    <w:rsid w:val="00EB5B64"/>
    <w:rsid w:val="00EB5BFB"/>
    <w:rsid w:val="00EB5C18"/>
    <w:rsid w:val="00EB5CB1"/>
    <w:rsid w:val="00EB5DB4"/>
    <w:rsid w:val="00EB5DD1"/>
    <w:rsid w:val="00EB5EBC"/>
    <w:rsid w:val="00EB60AC"/>
    <w:rsid w:val="00EB6133"/>
    <w:rsid w:val="00EB6190"/>
    <w:rsid w:val="00EB6222"/>
    <w:rsid w:val="00EB6229"/>
    <w:rsid w:val="00EB6340"/>
    <w:rsid w:val="00EB63B2"/>
    <w:rsid w:val="00EB6437"/>
    <w:rsid w:val="00EB643E"/>
    <w:rsid w:val="00EB6568"/>
    <w:rsid w:val="00EB65D5"/>
    <w:rsid w:val="00EB660F"/>
    <w:rsid w:val="00EB6811"/>
    <w:rsid w:val="00EB686A"/>
    <w:rsid w:val="00EB69C2"/>
    <w:rsid w:val="00EB69FE"/>
    <w:rsid w:val="00EB6C21"/>
    <w:rsid w:val="00EB6CAB"/>
    <w:rsid w:val="00EB6DB8"/>
    <w:rsid w:val="00EB6E15"/>
    <w:rsid w:val="00EB6EAF"/>
    <w:rsid w:val="00EB6EB3"/>
    <w:rsid w:val="00EB6F06"/>
    <w:rsid w:val="00EB6F4F"/>
    <w:rsid w:val="00EB7060"/>
    <w:rsid w:val="00EB7063"/>
    <w:rsid w:val="00EB71D5"/>
    <w:rsid w:val="00EB72C6"/>
    <w:rsid w:val="00EB72EF"/>
    <w:rsid w:val="00EB7501"/>
    <w:rsid w:val="00EB750E"/>
    <w:rsid w:val="00EB7510"/>
    <w:rsid w:val="00EB767C"/>
    <w:rsid w:val="00EB77B8"/>
    <w:rsid w:val="00EB7802"/>
    <w:rsid w:val="00EB787F"/>
    <w:rsid w:val="00EB788D"/>
    <w:rsid w:val="00EB78B5"/>
    <w:rsid w:val="00EB78CB"/>
    <w:rsid w:val="00EB790B"/>
    <w:rsid w:val="00EB798E"/>
    <w:rsid w:val="00EB7AD5"/>
    <w:rsid w:val="00EB7BAB"/>
    <w:rsid w:val="00EB7C19"/>
    <w:rsid w:val="00EB7C61"/>
    <w:rsid w:val="00EB7CB1"/>
    <w:rsid w:val="00EB7D14"/>
    <w:rsid w:val="00EB7D19"/>
    <w:rsid w:val="00EB7D8B"/>
    <w:rsid w:val="00EB7E3C"/>
    <w:rsid w:val="00EB7E6E"/>
    <w:rsid w:val="00EB7E8E"/>
    <w:rsid w:val="00EB7F48"/>
    <w:rsid w:val="00EC021D"/>
    <w:rsid w:val="00EC0271"/>
    <w:rsid w:val="00EC02F0"/>
    <w:rsid w:val="00EC04B5"/>
    <w:rsid w:val="00EC04D0"/>
    <w:rsid w:val="00EC04FA"/>
    <w:rsid w:val="00EC0535"/>
    <w:rsid w:val="00EC05AA"/>
    <w:rsid w:val="00EC05E0"/>
    <w:rsid w:val="00EC062D"/>
    <w:rsid w:val="00EC0681"/>
    <w:rsid w:val="00EC0800"/>
    <w:rsid w:val="00EC094D"/>
    <w:rsid w:val="00EC0B23"/>
    <w:rsid w:val="00EC0B43"/>
    <w:rsid w:val="00EC0B7F"/>
    <w:rsid w:val="00EC0BA8"/>
    <w:rsid w:val="00EC0BAE"/>
    <w:rsid w:val="00EC0D70"/>
    <w:rsid w:val="00EC0E33"/>
    <w:rsid w:val="00EC0EAE"/>
    <w:rsid w:val="00EC101F"/>
    <w:rsid w:val="00EC1111"/>
    <w:rsid w:val="00EC1232"/>
    <w:rsid w:val="00EC129D"/>
    <w:rsid w:val="00EC12A6"/>
    <w:rsid w:val="00EC13E0"/>
    <w:rsid w:val="00EC1453"/>
    <w:rsid w:val="00EC14AF"/>
    <w:rsid w:val="00EC1534"/>
    <w:rsid w:val="00EC1547"/>
    <w:rsid w:val="00EC15B3"/>
    <w:rsid w:val="00EC15EC"/>
    <w:rsid w:val="00EC17C8"/>
    <w:rsid w:val="00EC1853"/>
    <w:rsid w:val="00EC1986"/>
    <w:rsid w:val="00EC199C"/>
    <w:rsid w:val="00EC1AB7"/>
    <w:rsid w:val="00EC1BC4"/>
    <w:rsid w:val="00EC1C50"/>
    <w:rsid w:val="00EC1C80"/>
    <w:rsid w:val="00EC1E18"/>
    <w:rsid w:val="00EC1E53"/>
    <w:rsid w:val="00EC1ED4"/>
    <w:rsid w:val="00EC1F24"/>
    <w:rsid w:val="00EC1F44"/>
    <w:rsid w:val="00EC1FAE"/>
    <w:rsid w:val="00EC1FED"/>
    <w:rsid w:val="00EC20E3"/>
    <w:rsid w:val="00EC2103"/>
    <w:rsid w:val="00EC2129"/>
    <w:rsid w:val="00EC217A"/>
    <w:rsid w:val="00EC219A"/>
    <w:rsid w:val="00EC229A"/>
    <w:rsid w:val="00EC22A5"/>
    <w:rsid w:val="00EC2349"/>
    <w:rsid w:val="00EC2361"/>
    <w:rsid w:val="00EC24BD"/>
    <w:rsid w:val="00EC269C"/>
    <w:rsid w:val="00EC283C"/>
    <w:rsid w:val="00EC28B5"/>
    <w:rsid w:val="00EC2911"/>
    <w:rsid w:val="00EC2942"/>
    <w:rsid w:val="00EC29CD"/>
    <w:rsid w:val="00EC2BCD"/>
    <w:rsid w:val="00EC2C76"/>
    <w:rsid w:val="00EC2CC8"/>
    <w:rsid w:val="00EC2CFC"/>
    <w:rsid w:val="00EC2D03"/>
    <w:rsid w:val="00EC2DBD"/>
    <w:rsid w:val="00EC2FB8"/>
    <w:rsid w:val="00EC3051"/>
    <w:rsid w:val="00EC305B"/>
    <w:rsid w:val="00EC30D5"/>
    <w:rsid w:val="00EC317D"/>
    <w:rsid w:val="00EC32F3"/>
    <w:rsid w:val="00EC332D"/>
    <w:rsid w:val="00EC346E"/>
    <w:rsid w:val="00EC3509"/>
    <w:rsid w:val="00EC355B"/>
    <w:rsid w:val="00EC3574"/>
    <w:rsid w:val="00EC3604"/>
    <w:rsid w:val="00EC364A"/>
    <w:rsid w:val="00EC3654"/>
    <w:rsid w:val="00EC365E"/>
    <w:rsid w:val="00EC36A2"/>
    <w:rsid w:val="00EC37D5"/>
    <w:rsid w:val="00EC381A"/>
    <w:rsid w:val="00EC392A"/>
    <w:rsid w:val="00EC3AC8"/>
    <w:rsid w:val="00EC3AF7"/>
    <w:rsid w:val="00EC3C0E"/>
    <w:rsid w:val="00EC3C22"/>
    <w:rsid w:val="00EC3C8E"/>
    <w:rsid w:val="00EC3CD4"/>
    <w:rsid w:val="00EC3CFC"/>
    <w:rsid w:val="00EC4416"/>
    <w:rsid w:val="00EC442F"/>
    <w:rsid w:val="00EC44F5"/>
    <w:rsid w:val="00EC45A6"/>
    <w:rsid w:val="00EC4641"/>
    <w:rsid w:val="00EC4682"/>
    <w:rsid w:val="00EC4890"/>
    <w:rsid w:val="00EC48A9"/>
    <w:rsid w:val="00EC4904"/>
    <w:rsid w:val="00EC4972"/>
    <w:rsid w:val="00EC4990"/>
    <w:rsid w:val="00EC49EF"/>
    <w:rsid w:val="00EC4AFF"/>
    <w:rsid w:val="00EC4BF2"/>
    <w:rsid w:val="00EC4C08"/>
    <w:rsid w:val="00EC4CF8"/>
    <w:rsid w:val="00EC4D96"/>
    <w:rsid w:val="00EC4EEB"/>
    <w:rsid w:val="00EC4F5F"/>
    <w:rsid w:val="00EC4F72"/>
    <w:rsid w:val="00EC504C"/>
    <w:rsid w:val="00EC5067"/>
    <w:rsid w:val="00EC50E9"/>
    <w:rsid w:val="00EC5222"/>
    <w:rsid w:val="00EC5328"/>
    <w:rsid w:val="00EC5343"/>
    <w:rsid w:val="00EC5344"/>
    <w:rsid w:val="00EC535B"/>
    <w:rsid w:val="00EC53BC"/>
    <w:rsid w:val="00EC5416"/>
    <w:rsid w:val="00EC54EE"/>
    <w:rsid w:val="00EC5554"/>
    <w:rsid w:val="00EC5585"/>
    <w:rsid w:val="00EC56F3"/>
    <w:rsid w:val="00EC5763"/>
    <w:rsid w:val="00EC5862"/>
    <w:rsid w:val="00EC5917"/>
    <w:rsid w:val="00EC5986"/>
    <w:rsid w:val="00EC59B0"/>
    <w:rsid w:val="00EC59B5"/>
    <w:rsid w:val="00EC5A22"/>
    <w:rsid w:val="00EC5B95"/>
    <w:rsid w:val="00EC5BF8"/>
    <w:rsid w:val="00EC5D1E"/>
    <w:rsid w:val="00EC5D38"/>
    <w:rsid w:val="00EC5D7D"/>
    <w:rsid w:val="00EC5E33"/>
    <w:rsid w:val="00EC5F61"/>
    <w:rsid w:val="00EC5F82"/>
    <w:rsid w:val="00EC6224"/>
    <w:rsid w:val="00EC6241"/>
    <w:rsid w:val="00EC629C"/>
    <w:rsid w:val="00EC62D5"/>
    <w:rsid w:val="00EC6313"/>
    <w:rsid w:val="00EC639E"/>
    <w:rsid w:val="00EC6462"/>
    <w:rsid w:val="00EC6500"/>
    <w:rsid w:val="00EC6514"/>
    <w:rsid w:val="00EC66FB"/>
    <w:rsid w:val="00EC67E9"/>
    <w:rsid w:val="00EC68CB"/>
    <w:rsid w:val="00EC6963"/>
    <w:rsid w:val="00EC6983"/>
    <w:rsid w:val="00EC69BC"/>
    <w:rsid w:val="00EC6A21"/>
    <w:rsid w:val="00EC6A3D"/>
    <w:rsid w:val="00EC6AC8"/>
    <w:rsid w:val="00EC6ADC"/>
    <w:rsid w:val="00EC6C5F"/>
    <w:rsid w:val="00EC6CC4"/>
    <w:rsid w:val="00EC6D7B"/>
    <w:rsid w:val="00EC6DA5"/>
    <w:rsid w:val="00EC6E5C"/>
    <w:rsid w:val="00EC6EAC"/>
    <w:rsid w:val="00EC6F67"/>
    <w:rsid w:val="00EC6FA3"/>
    <w:rsid w:val="00EC70A4"/>
    <w:rsid w:val="00EC7134"/>
    <w:rsid w:val="00EC71CD"/>
    <w:rsid w:val="00EC7204"/>
    <w:rsid w:val="00EC722A"/>
    <w:rsid w:val="00EC725B"/>
    <w:rsid w:val="00EC72DC"/>
    <w:rsid w:val="00EC731C"/>
    <w:rsid w:val="00EC7340"/>
    <w:rsid w:val="00EC7342"/>
    <w:rsid w:val="00EC742E"/>
    <w:rsid w:val="00EC7464"/>
    <w:rsid w:val="00EC7521"/>
    <w:rsid w:val="00EC7615"/>
    <w:rsid w:val="00EC7849"/>
    <w:rsid w:val="00EC7A06"/>
    <w:rsid w:val="00EC7B14"/>
    <w:rsid w:val="00EC7C67"/>
    <w:rsid w:val="00EC7CF0"/>
    <w:rsid w:val="00EC7D7F"/>
    <w:rsid w:val="00EC7DD4"/>
    <w:rsid w:val="00EC7E7F"/>
    <w:rsid w:val="00EC7F2E"/>
    <w:rsid w:val="00EC7F39"/>
    <w:rsid w:val="00EC7F5F"/>
    <w:rsid w:val="00EC7F66"/>
    <w:rsid w:val="00EC7F75"/>
    <w:rsid w:val="00EC7FC8"/>
    <w:rsid w:val="00ED0052"/>
    <w:rsid w:val="00ED00B1"/>
    <w:rsid w:val="00ED0134"/>
    <w:rsid w:val="00ED0186"/>
    <w:rsid w:val="00ED01A2"/>
    <w:rsid w:val="00ED033F"/>
    <w:rsid w:val="00ED03CB"/>
    <w:rsid w:val="00ED0418"/>
    <w:rsid w:val="00ED0426"/>
    <w:rsid w:val="00ED04AB"/>
    <w:rsid w:val="00ED04EA"/>
    <w:rsid w:val="00ED05F9"/>
    <w:rsid w:val="00ED0654"/>
    <w:rsid w:val="00ED0730"/>
    <w:rsid w:val="00ED0751"/>
    <w:rsid w:val="00ED0767"/>
    <w:rsid w:val="00ED07F2"/>
    <w:rsid w:val="00ED0899"/>
    <w:rsid w:val="00ED0A65"/>
    <w:rsid w:val="00ED0A9A"/>
    <w:rsid w:val="00ED0BB8"/>
    <w:rsid w:val="00ED0BF4"/>
    <w:rsid w:val="00ED0C5D"/>
    <w:rsid w:val="00ED0C84"/>
    <w:rsid w:val="00ED0C85"/>
    <w:rsid w:val="00ED0DAB"/>
    <w:rsid w:val="00ED10CC"/>
    <w:rsid w:val="00ED10F9"/>
    <w:rsid w:val="00ED1358"/>
    <w:rsid w:val="00ED13B6"/>
    <w:rsid w:val="00ED1450"/>
    <w:rsid w:val="00ED149D"/>
    <w:rsid w:val="00ED1632"/>
    <w:rsid w:val="00ED1727"/>
    <w:rsid w:val="00ED1769"/>
    <w:rsid w:val="00ED1779"/>
    <w:rsid w:val="00ED184F"/>
    <w:rsid w:val="00ED18AC"/>
    <w:rsid w:val="00ED18CD"/>
    <w:rsid w:val="00ED19A1"/>
    <w:rsid w:val="00ED19B9"/>
    <w:rsid w:val="00ED1A80"/>
    <w:rsid w:val="00ED1B0A"/>
    <w:rsid w:val="00ED1B26"/>
    <w:rsid w:val="00ED1BBF"/>
    <w:rsid w:val="00ED1E5D"/>
    <w:rsid w:val="00ED1E64"/>
    <w:rsid w:val="00ED1F6B"/>
    <w:rsid w:val="00ED2061"/>
    <w:rsid w:val="00ED216E"/>
    <w:rsid w:val="00ED2172"/>
    <w:rsid w:val="00ED2187"/>
    <w:rsid w:val="00ED21FF"/>
    <w:rsid w:val="00ED2245"/>
    <w:rsid w:val="00ED2260"/>
    <w:rsid w:val="00ED2326"/>
    <w:rsid w:val="00ED23A4"/>
    <w:rsid w:val="00ED23FD"/>
    <w:rsid w:val="00ED24C0"/>
    <w:rsid w:val="00ED2532"/>
    <w:rsid w:val="00ED253C"/>
    <w:rsid w:val="00ED2641"/>
    <w:rsid w:val="00ED27B6"/>
    <w:rsid w:val="00ED28ED"/>
    <w:rsid w:val="00ED291C"/>
    <w:rsid w:val="00ED298E"/>
    <w:rsid w:val="00ED2AA8"/>
    <w:rsid w:val="00ED2AAD"/>
    <w:rsid w:val="00ED2BB3"/>
    <w:rsid w:val="00ED2C51"/>
    <w:rsid w:val="00ED2CEE"/>
    <w:rsid w:val="00ED2D21"/>
    <w:rsid w:val="00ED2EFD"/>
    <w:rsid w:val="00ED2FE1"/>
    <w:rsid w:val="00ED3038"/>
    <w:rsid w:val="00ED306B"/>
    <w:rsid w:val="00ED3088"/>
    <w:rsid w:val="00ED30AF"/>
    <w:rsid w:val="00ED30C3"/>
    <w:rsid w:val="00ED30FE"/>
    <w:rsid w:val="00ED3109"/>
    <w:rsid w:val="00ED3197"/>
    <w:rsid w:val="00ED3272"/>
    <w:rsid w:val="00ED3296"/>
    <w:rsid w:val="00ED33FC"/>
    <w:rsid w:val="00ED346D"/>
    <w:rsid w:val="00ED34DA"/>
    <w:rsid w:val="00ED34EE"/>
    <w:rsid w:val="00ED354D"/>
    <w:rsid w:val="00ED3557"/>
    <w:rsid w:val="00ED3574"/>
    <w:rsid w:val="00ED35CC"/>
    <w:rsid w:val="00ED35D7"/>
    <w:rsid w:val="00ED3711"/>
    <w:rsid w:val="00ED3715"/>
    <w:rsid w:val="00ED3766"/>
    <w:rsid w:val="00ED3848"/>
    <w:rsid w:val="00ED38F5"/>
    <w:rsid w:val="00ED3B5F"/>
    <w:rsid w:val="00ED3BDF"/>
    <w:rsid w:val="00ED3D95"/>
    <w:rsid w:val="00ED3E54"/>
    <w:rsid w:val="00ED3FE6"/>
    <w:rsid w:val="00ED4012"/>
    <w:rsid w:val="00ED40AB"/>
    <w:rsid w:val="00ED4222"/>
    <w:rsid w:val="00ED42E2"/>
    <w:rsid w:val="00ED4304"/>
    <w:rsid w:val="00ED434E"/>
    <w:rsid w:val="00ED43C7"/>
    <w:rsid w:val="00ED440B"/>
    <w:rsid w:val="00ED4489"/>
    <w:rsid w:val="00ED44C5"/>
    <w:rsid w:val="00ED4510"/>
    <w:rsid w:val="00ED454D"/>
    <w:rsid w:val="00ED47EB"/>
    <w:rsid w:val="00ED4880"/>
    <w:rsid w:val="00ED489A"/>
    <w:rsid w:val="00ED4B64"/>
    <w:rsid w:val="00ED4B91"/>
    <w:rsid w:val="00ED4B98"/>
    <w:rsid w:val="00ED4C3F"/>
    <w:rsid w:val="00ED4C88"/>
    <w:rsid w:val="00ED4DDA"/>
    <w:rsid w:val="00ED4E30"/>
    <w:rsid w:val="00ED4E68"/>
    <w:rsid w:val="00ED4E69"/>
    <w:rsid w:val="00ED4EB0"/>
    <w:rsid w:val="00ED4FD2"/>
    <w:rsid w:val="00ED5044"/>
    <w:rsid w:val="00ED5075"/>
    <w:rsid w:val="00ED50C4"/>
    <w:rsid w:val="00ED511B"/>
    <w:rsid w:val="00ED5137"/>
    <w:rsid w:val="00ED5247"/>
    <w:rsid w:val="00ED524F"/>
    <w:rsid w:val="00ED55BF"/>
    <w:rsid w:val="00ED55EA"/>
    <w:rsid w:val="00ED5692"/>
    <w:rsid w:val="00ED5697"/>
    <w:rsid w:val="00ED5749"/>
    <w:rsid w:val="00ED5874"/>
    <w:rsid w:val="00ED58A7"/>
    <w:rsid w:val="00ED58C0"/>
    <w:rsid w:val="00ED59D2"/>
    <w:rsid w:val="00ED5A08"/>
    <w:rsid w:val="00ED5AD6"/>
    <w:rsid w:val="00ED5AF1"/>
    <w:rsid w:val="00ED5BCA"/>
    <w:rsid w:val="00ED5BF4"/>
    <w:rsid w:val="00ED5C6B"/>
    <w:rsid w:val="00ED5E27"/>
    <w:rsid w:val="00ED5F4F"/>
    <w:rsid w:val="00ED5FEB"/>
    <w:rsid w:val="00ED6130"/>
    <w:rsid w:val="00ED6133"/>
    <w:rsid w:val="00ED6171"/>
    <w:rsid w:val="00ED61BF"/>
    <w:rsid w:val="00ED6208"/>
    <w:rsid w:val="00ED6294"/>
    <w:rsid w:val="00ED62EE"/>
    <w:rsid w:val="00ED64B2"/>
    <w:rsid w:val="00ED64FD"/>
    <w:rsid w:val="00ED651C"/>
    <w:rsid w:val="00ED6550"/>
    <w:rsid w:val="00ED664A"/>
    <w:rsid w:val="00ED66B7"/>
    <w:rsid w:val="00ED67D0"/>
    <w:rsid w:val="00ED6837"/>
    <w:rsid w:val="00ED68C5"/>
    <w:rsid w:val="00ED68D0"/>
    <w:rsid w:val="00ED6A3F"/>
    <w:rsid w:val="00ED6A4F"/>
    <w:rsid w:val="00ED6AE1"/>
    <w:rsid w:val="00ED6B2E"/>
    <w:rsid w:val="00ED6B37"/>
    <w:rsid w:val="00ED6B5E"/>
    <w:rsid w:val="00ED6B7A"/>
    <w:rsid w:val="00ED6C1B"/>
    <w:rsid w:val="00ED6C2C"/>
    <w:rsid w:val="00ED6C67"/>
    <w:rsid w:val="00ED6C87"/>
    <w:rsid w:val="00ED6D63"/>
    <w:rsid w:val="00ED6EAC"/>
    <w:rsid w:val="00ED6F74"/>
    <w:rsid w:val="00ED7078"/>
    <w:rsid w:val="00ED71D1"/>
    <w:rsid w:val="00ED723C"/>
    <w:rsid w:val="00ED749B"/>
    <w:rsid w:val="00ED74DD"/>
    <w:rsid w:val="00ED75C8"/>
    <w:rsid w:val="00ED76A8"/>
    <w:rsid w:val="00ED77F7"/>
    <w:rsid w:val="00ED780A"/>
    <w:rsid w:val="00ED782E"/>
    <w:rsid w:val="00ED785F"/>
    <w:rsid w:val="00ED7954"/>
    <w:rsid w:val="00ED79A6"/>
    <w:rsid w:val="00ED7A29"/>
    <w:rsid w:val="00ED7B22"/>
    <w:rsid w:val="00ED7B50"/>
    <w:rsid w:val="00ED7B67"/>
    <w:rsid w:val="00ED7BAF"/>
    <w:rsid w:val="00ED7BFE"/>
    <w:rsid w:val="00ED7C81"/>
    <w:rsid w:val="00ED7D93"/>
    <w:rsid w:val="00ED7DE8"/>
    <w:rsid w:val="00ED7E2F"/>
    <w:rsid w:val="00ED7E78"/>
    <w:rsid w:val="00ED7E7D"/>
    <w:rsid w:val="00ED7F3B"/>
    <w:rsid w:val="00EE004E"/>
    <w:rsid w:val="00EE0101"/>
    <w:rsid w:val="00EE0112"/>
    <w:rsid w:val="00EE0367"/>
    <w:rsid w:val="00EE039F"/>
    <w:rsid w:val="00EE0403"/>
    <w:rsid w:val="00EE05E9"/>
    <w:rsid w:val="00EE05F3"/>
    <w:rsid w:val="00EE0662"/>
    <w:rsid w:val="00EE078D"/>
    <w:rsid w:val="00EE07C5"/>
    <w:rsid w:val="00EE09EC"/>
    <w:rsid w:val="00EE0A4A"/>
    <w:rsid w:val="00EE0BD9"/>
    <w:rsid w:val="00EE0D26"/>
    <w:rsid w:val="00EE0D30"/>
    <w:rsid w:val="00EE0D7F"/>
    <w:rsid w:val="00EE0D8B"/>
    <w:rsid w:val="00EE0EB3"/>
    <w:rsid w:val="00EE0F5E"/>
    <w:rsid w:val="00EE0F89"/>
    <w:rsid w:val="00EE0FDB"/>
    <w:rsid w:val="00EE101B"/>
    <w:rsid w:val="00EE107C"/>
    <w:rsid w:val="00EE1080"/>
    <w:rsid w:val="00EE1156"/>
    <w:rsid w:val="00EE1219"/>
    <w:rsid w:val="00EE1378"/>
    <w:rsid w:val="00EE152F"/>
    <w:rsid w:val="00EE1640"/>
    <w:rsid w:val="00EE178D"/>
    <w:rsid w:val="00EE17A3"/>
    <w:rsid w:val="00EE187A"/>
    <w:rsid w:val="00EE18E7"/>
    <w:rsid w:val="00EE18F8"/>
    <w:rsid w:val="00EE1932"/>
    <w:rsid w:val="00EE1949"/>
    <w:rsid w:val="00EE194C"/>
    <w:rsid w:val="00EE1A5A"/>
    <w:rsid w:val="00EE1A65"/>
    <w:rsid w:val="00EE1A73"/>
    <w:rsid w:val="00EE1B20"/>
    <w:rsid w:val="00EE1BCE"/>
    <w:rsid w:val="00EE1C5E"/>
    <w:rsid w:val="00EE1D10"/>
    <w:rsid w:val="00EE1DE3"/>
    <w:rsid w:val="00EE1E0F"/>
    <w:rsid w:val="00EE1E25"/>
    <w:rsid w:val="00EE1E9D"/>
    <w:rsid w:val="00EE1F39"/>
    <w:rsid w:val="00EE1F94"/>
    <w:rsid w:val="00EE2026"/>
    <w:rsid w:val="00EE222A"/>
    <w:rsid w:val="00EE229A"/>
    <w:rsid w:val="00EE2433"/>
    <w:rsid w:val="00EE24E6"/>
    <w:rsid w:val="00EE25B8"/>
    <w:rsid w:val="00EE26C1"/>
    <w:rsid w:val="00EE26D0"/>
    <w:rsid w:val="00EE277A"/>
    <w:rsid w:val="00EE2A5B"/>
    <w:rsid w:val="00EE2BE0"/>
    <w:rsid w:val="00EE2C41"/>
    <w:rsid w:val="00EE2C66"/>
    <w:rsid w:val="00EE2D18"/>
    <w:rsid w:val="00EE2D84"/>
    <w:rsid w:val="00EE2DC3"/>
    <w:rsid w:val="00EE2DFE"/>
    <w:rsid w:val="00EE2E4B"/>
    <w:rsid w:val="00EE2E86"/>
    <w:rsid w:val="00EE3005"/>
    <w:rsid w:val="00EE30A3"/>
    <w:rsid w:val="00EE3329"/>
    <w:rsid w:val="00EE3334"/>
    <w:rsid w:val="00EE3370"/>
    <w:rsid w:val="00EE338F"/>
    <w:rsid w:val="00EE33C8"/>
    <w:rsid w:val="00EE3419"/>
    <w:rsid w:val="00EE349E"/>
    <w:rsid w:val="00EE3578"/>
    <w:rsid w:val="00EE3604"/>
    <w:rsid w:val="00EE3685"/>
    <w:rsid w:val="00EE3800"/>
    <w:rsid w:val="00EE383E"/>
    <w:rsid w:val="00EE3861"/>
    <w:rsid w:val="00EE391B"/>
    <w:rsid w:val="00EE392B"/>
    <w:rsid w:val="00EE3A29"/>
    <w:rsid w:val="00EE3AC6"/>
    <w:rsid w:val="00EE3B0E"/>
    <w:rsid w:val="00EE3BFF"/>
    <w:rsid w:val="00EE3C30"/>
    <w:rsid w:val="00EE3D95"/>
    <w:rsid w:val="00EE3E61"/>
    <w:rsid w:val="00EE3F57"/>
    <w:rsid w:val="00EE3F76"/>
    <w:rsid w:val="00EE402D"/>
    <w:rsid w:val="00EE4133"/>
    <w:rsid w:val="00EE41B4"/>
    <w:rsid w:val="00EE42B0"/>
    <w:rsid w:val="00EE4337"/>
    <w:rsid w:val="00EE43A5"/>
    <w:rsid w:val="00EE450A"/>
    <w:rsid w:val="00EE460C"/>
    <w:rsid w:val="00EE4628"/>
    <w:rsid w:val="00EE4632"/>
    <w:rsid w:val="00EE46D5"/>
    <w:rsid w:val="00EE473A"/>
    <w:rsid w:val="00EE4762"/>
    <w:rsid w:val="00EE4875"/>
    <w:rsid w:val="00EE48AB"/>
    <w:rsid w:val="00EE4941"/>
    <w:rsid w:val="00EE495A"/>
    <w:rsid w:val="00EE49F6"/>
    <w:rsid w:val="00EE4A00"/>
    <w:rsid w:val="00EE4A2E"/>
    <w:rsid w:val="00EE4AA0"/>
    <w:rsid w:val="00EE4B52"/>
    <w:rsid w:val="00EE4C83"/>
    <w:rsid w:val="00EE4C9D"/>
    <w:rsid w:val="00EE4D57"/>
    <w:rsid w:val="00EE4E1A"/>
    <w:rsid w:val="00EE5122"/>
    <w:rsid w:val="00EE512B"/>
    <w:rsid w:val="00EE523C"/>
    <w:rsid w:val="00EE5288"/>
    <w:rsid w:val="00EE534C"/>
    <w:rsid w:val="00EE54B9"/>
    <w:rsid w:val="00EE54FA"/>
    <w:rsid w:val="00EE556D"/>
    <w:rsid w:val="00EE567D"/>
    <w:rsid w:val="00EE56C3"/>
    <w:rsid w:val="00EE57D2"/>
    <w:rsid w:val="00EE58F5"/>
    <w:rsid w:val="00EE592D"/>
    <w:rsid w:val="00EE598F"/>
    <w:rsid w:val="00EE5996"/>
    <w:rsid w:val="00EE59AC"/>
    <w:rsid w:val="00EE5ABD"/>
    <w:rsid w:val="00EE5AEA"/>
    <w:rsid w:val="00EE5BE6"/>
    <w:rsid w:val="00EE5C66"/>
    <w:rsid w:val="00EE5C84"/>
    <w:rsid w:val="00EE5DA9"/>
    <w:rsid w:val="00EE5E47"/>
    <w:rsid w:val="00EE5EB8"/>
    <w:rsid w:val="00EE601E"/>
    <w:rsid w:val="00EE607A"/>
    <w:rsid w:val="00EE60CD"/>
    <w:rsid w:val="00EE6265"/>
    <w:rsid w:val="00EE62DF"/>
    <w:rsid w:val="00EE6366"/>
    <w:rsid w:val="00EE63F2"/>
    <w:rsid w:val="00EE6410"/>
    <w:rsid w:val="00EE6415"/>
    <w:rsid w:val="00EE646D"/>
    <w:rsid w:val="00EE64BF"/>
    <w:rsid w:val="00EE64E0"/>
    <w:rsid w:val="00EE6518"/>
    <w:rsid w:val="00EE6587"/>
    <w:rsid w:val="00EE65D0"/>
    <w:rsid w:val="00EE65EA"/>
    <w:rsid w:val="00EE666B"/>
    <w:rsid w:val="00EE66DF"/>
    <w:rsid w:val="00EE670D"/>
    <w:rsid w:val="00EE6730"/>
    <w:rsid w:val="00EE673E"/>
    <w:rsid w:val="00EE6740"/>
    <w:rsid w:val="00EE67BC"/>
    <w:rsid w:val="00EE67D2"/>
    <w:rsid w:val="00EE68C8"/>
    <w:rsid w:val="00EE6902"/>
    <w:rsid w:val="00EE696D"/>
    <w:rsid w:val="00EE6980"/>
    <w:rsid w:val="00EE69E6"/>
    <w:rsid w:val="00EE6A8D"/>
    <w:rsid w:val="00EE6B34"/>
    <w:rsid w:val="00EE6B66"/>
    <w:rsid w:val="00EE6C8F"/>
    <w:rsid w:val="00EE6CBD"/>
    <w:rsid w:val="00EE6CC7"/>
    <w:rsid w:val="00EE6D87"/>
    <w:rsid w:val="00EE6E3D"/>
    <w:rsid w:val="00EE6F32"/>
    <w:rsid w:val="00EE6F70"/>
    <w:rsid w:val="00EE7012"/>
    <w:rsid w:val="00EE70CF"/>
    <w:rsid w:val="00EE7142"/>
    <w:rsid w:val="00EE71E9"/>
    <w:rsid w:val="00EE71FC"/>
    <w:rsid w:val="00EE724F"/>
    <w:rsid w:val="00EE728E"/>
    <w:rsid w:val="00EE72AA"/>
    <w:rsid w:val="00EE72AF"/>
    <w:rsid w:val="00EE72D2"/>
    <w:rsid w:val="00EE736F"/>
    <w:rsid w:val="00EE739C"/>
    <w:rsid w:val="00EE73BA"/>
    <w:rsid w:val="00EE7426"/>
    <w:rsid w:val="00EE7468"/>
    <w:rsid w:val="00EE74C0"/>
    <w:rsid w:val="00EE75AA"/>
    <w:rsid w:val="00EE75D4"/>
    <w:rsid w:val="00EE7608"/>
    <w:rsid w:val="00EE761D"/>
    <w:rsid w:val="00EE769C"/>
    <w:rsid w:val="00EE773C"/>
    <w:rsid w:val="00EE77D9"/>
    <w:rsid w:val="00EE7825"/>
    <w:rsid w:val="00EE78EE"/>
    <w:rsid w:val="00EE7983"/>
    <w:rsid w:val="00EE7ABF"/>
    <w:rsid w:val="00EE7B00"/>
    <w:rsid w:val="00EE7BA0"/>
    <w:rsid w:val="00EE7BF3"/>
    <w:rsid w:val="00EE7C11"/>
    <w:rsid w:val="00EE7D07"/>
    <w:rsid w:val="00EE7D42"/>
    <w:rsid w:val="00EE7D89"/>
    <w:rsid w:val="00EE7DD5"/>
    <w:rsid w:val="00EE7E94"/>
    <w:rsid w:val="00EE7ED1"/>
    <w:rsid w:val="00EE7FA4"/>
    <w:rsid w:val="00EF003C"/>
    <w:rsid w:val="00EF009D"/>
    <w:rsid w:val="00EF00C0"/>
    <w:rsid w:val="00EF0127"/>
    <w:rsid w:val="00EF02B5"/>
    <w:rsid w:val="00EF02E4"/>
    <w:rsid w:val="00EF03B3"/>
    <w:rsid w:val="00EF03BD"/>
    <w:rsid w:val="00EF053B"/>
    <w:rsid w:val="00EF05F6"/>
    <w:rsid w:val="00EF0855"/>
    <w:rsid w:val="00EF0925"/>
    <w:rsid w:val="00EF09B4"/>
    <w:rsid w:val="00EF09E0"/>
    <w:rsid w:val="00EF0A64"/>
    <w:rsid w:val="00EF0A96"/>
    <w:rsid w:val="00EF0AB4"/>
    <w:rsid w:val="00EF0AB8"/>
    <w:rsid w:val="00EF0C3D"/>
    <w:rsid w:val="00EF0E92"/>
    <w:rsid w:val="00EF0EDE"/>
    <w:rsid w:val="00EF1055"/>
    <w:rsid w:val="00EF115A"/>
    <w:rsid w:val="00EF1180"/>
    <w:rsid w:val="00EF118F"/>
    <w:rsid w:val="00EF11F4"/>
    <w:rsid w:val="00EF1261"/>
    <w:rsid w:val="00EF146E"/>
    <w:rsid w:val="00EF1523"/>
    <w:rsid w:val="00EF155C"/>
    <w:rsid w:val="00EF1620"/>
    <w:rsid w:val="00EF1641"/>
    <w:rsid w:val="00EF1855"/>
    <w:rsid w:val="00EF195D"/>
    <w:rsid w:val="00EF1B52"/>
    <w:rsid w:val="00EF1BB9"/>
    <w:rsid w:val="00EF1CE1"/>
    <w:rsid w:val="00EF1FE3"/>
    <w:rsid w:val="00EF203D"/>
    <w:rsid w:val="00EF219D"/>
    <w:rsid w:val="00EF225F"/>
    <w:rsid w:val="00EF226E"/>
    <w:rsid w:val="00EF22A3"/>
    <w:rsid w:val="00EF2393"/>
    <w:rsid w:val="00EF24AB"/>
    <w:rsid w:val="00EF2570"/>
    <w:rsid w:val="00EF25C6"/>
    <w:rsid w:val="00EF26BA"/>
    <w:rsid w:val="00EF273C"/>
    <w:rsid w:val="00EF2836"/>
    <w:rsid w:val="00EF2841"/>
    <w:rsid w:val="00EF28D4"/>
    <w:rsid w:val="00EF2917"/>
    <w:rsid w:val="00EF29EA"/>
    <w:rsid w:val="00EF29EB"/>
    <w:rsid w:val="00EF2BBB"/>
    <w:rsid w:val="00EF2DAF"/>
    <w:rsid w:val="00EF2DFB"/>
    <w:rsid w:val="00EF2E3A"/>
    <w:rsid w:val="00EF2F16"/>
    <w:rsid w:val="00EF2F7C"/>
    <w:rsid w:val="00EF3002"/>
    <w:rsid w:val="00EF302E"/>
    <w:rsid w:val="00EF3058"/>
    <w:rsid w:val="00EF30EC"/>
    <w:rsid w:val="00EF3128"/>
    <w:rsid w:val="00EF3147"/>
    <w:rsid w:val="00EF31B6"/>
    <w:rsid w:val="00EF31D8"/>
    <w:rsid w:val="00EF3214"/>
    <w:rsid w:val="00EF3470"/>
    <w:rsid w:val="00EF34CE"/>
    <w:rsid w:val="00EF350C"/>
    <w:rsid w:val="00EF360A"/>
    <w:rsid w:val="00EF36A1"/>
    <w:rsid w:val="00EF371C"/>
    <w:rsid w:val="00EF37F2"/>
    <w:rsid w:val="00EF389A"/>
    <w:rsid w:val="00EF3A24"/>
    <w:rsid w:val="00EF3A92"/>
    <w:rsid w:val="00EF3AB9"/>
    <w:rsid w:val="00EF3B45"/>
    <w:rsid w:val="00EF3BB1"/>
    <w:rsid w:val="00EF3C76"/>
    <w:rsid w:val="00EF3CA1"/>
    <w:rsid w:val="00EF3DE6"/>
    <w:rsid w:val="00EF3EC9"/>
    <w:rsid w:val="00EF3F5B"/>
    <w:rsid w:val="00EF3FE1"/>
    <w:rsid w:val="00EF3FF8"/>
    <w:rsid w:val="00EF3FFE"/>
    <w:rsid w:val="00EF40A6"/>
    <w:rsid w:val="00EF40C9"/>
    <w:rsid w:val="00EF4216"/>
    <w:rsid w:val="00EF42BD"/>
    <w:rsid w:val="00EF42EE"/>
    <w:rsid w:val="00EF42F9"/>
    <w:rsid w:val="00EF4399"/>
    <w:rsid w:val="00EF4406"/>
    <w:rsid w:val="00EF440C"/>
    <w:rsid w:val="00EF4410"/>
    <w:rsid w:val="00EF4571"/>
    <w:rsid w:val="00EF4666"/>
    <w:rsid w:val="00EF4729"/>
    <w:rsid w:val="00EF476A"/>
    <w:rsid w:val="00EF4860"/>
    <w:rsid w:val="00EF48AD"/>
    <w:rsid w:val="00EF4928"/>
    <w:rsid w:val="00EF49F0"/>
    <w:rsid w:val="00EF4B5B"/>
    <w:rsid w:val="00EF4BC7"/>
    <w:rsid w:val="00EF4DEF"/>
    <w:rsid w:val="00EF4E45"/>
    <w:rsid w:val="00EF4E4E"/>
    <w:rsid w:val="00EF4E91"/>
    <w:rsid w:val="00EF5141"/>
    <w:rsid w:val="00EF514B"/>
    <w:rsid w:val="00EF51E2"/>
    <w:rsid w:val="00EF524A"/>
    <w:rsid w:val="00EF556F"/>
    <w:rsid w:val="00EF5743"/>
    <w:rsid w:val="00EF5809"/>
    <w:rsid w:val="00EF5866"/>
    <w:rsid w:val="00EF5995"/>
    <w:rsid w:val="00EF5A19"/>
    <w:rsid w:val="00EF5BCC"/>
    <w:rsid w:val="00EF5D2D"/>
    <w:rsid w:val="00EF5D80"/>
    <w:rsid w:val="00EF5D87"/>
    <w:rsid w:val="00EF5DA9"/>
    <w:rsid w:val="00EF5DCA"/>
    <w:rsid w:val="00EF5DE9"/>
    <w:rsid w:val="00EF5E0A"/>
    <w:rsid w:val="00EF5E1B"/>
    <w:rsid w:val="00EF5E86"/>
    <w:rsid w:val="00EF604F"/>
    <w:rsid w:val="00EF60E4"/>
    <w:rsid w:val="00EF60E8"/>
    <w:rsid w:val="00EF60EE"/>
    <w:rsid w:val="00EF610F"/>
    <w:rsid w:val="00EF616A"/>
    <w:rsid w:val="00EF63E8"/>
    <w:rsid w:val="00EF6424"/>
    <w:rsid w:val="00EF6441"/>
    <w:rsid w:val="00EF64DB"/>
    <w:rsid w:val="00EF65A6"/>
    <w:rsid w:val="00EF65C7"/>
    <w:rsid w:val="00EF6710"/>
    <w:rsid w:val="00EF6771"/>
    <w:rsid w:val="00EF6782"/>
    <w:rsid w:val="00EF67D3"/>
    <w:rsid w:val="00EF68EF"/>
    <w:rsid w:val="00EF6945"/>
    <w:rsid w:val="00EF698A"/>
    <w:rsid w:val="00EF6A0A"/>
    <w:rsid w:val="00EF6ACB"/>
    <w:rsid w:val="00EF6B02"/>
    <w:rsid w:val="00EF6B11"/>
    <w:rsid w:val="00EF6BF9"/>
    <w:rsid w:val="00EF6C27"/>
    <w:rsid w:val="00EF6D4A"/>
    <w:rsid w:val="00EF6DA0"/>
    <w:rsid w:val="00EF6EAE"/>
    <w:rsid w:val="00EF6F0C"/>
    <w:rsid w:val="00EF7060"/>
    <w:rsid w:val="00EF70CC"/>
    <w:rsid w:val="00EF7111"/>
    <w:rsid w:val="00EF7160"/>
    <w:rsid w:val="00EF7288"/>
    <w:rsid w:val="00EF72E5"/>
    <w:rsid w:val="00EF734A"/>
    <w:rsid w:val="00EF73A2"/>
    <w:rsid w:val="00EF73EF"/>
    <w:rsid w:val="00EF747D"/>
    <w:rsid w:val="00EF7667"/>
    <w:rsid w:val="00EF76F3"/>
    <w:rsid w:val="00EF77D5"/>
    <w:rsid w:val="00EF77ED"/>
    <w:rsid w:val="00EF78FD"/>
    <w:rsid w:val="00EF795C"/>
    <w:rsid w:val="00EF798E"/>
    <w:rsid w:val="00EF7AA0"/>
    <w:rsid w:val="00EF7B09"/>
    <w:rsid w:val="00EF7B44"/>
    <w:rsid w:val="00EF7BA3"/>
    <w:rsid w:val="00EF7CF5"/>
    <w:rsid w:val="00EF7D29"/>
    <w:rsid w:val="00EF7F78"/>
    <w:rsid w:val="00EF7FF3"/>
    <w:rsid w:val="00F0005A"/>
    <w:rsid w:val="00F000F4"/>
    <w:rsid w:val="00F00106"/>
    <w:rsid w:val="00F001E1"/>
    <w:rsid w:val="00F0028A"/>
    <w:rsid w:val="00F002B9"/>
    <w:rsid w:val="00F005F5"/>
    <w:rsid w:val="00F00666"/>
    <w:rsid w:val="00F0068B"/>
    <w:rsid w:val="00F0079B"/>
    <w:rsid w:val="00F0084B"/>
    <w:rsid w:val="00F0088B"/>
    <w:rsid w:val="00F00968"/>
    <w:rsid w:val="00F00A25"/>
    <w:rsid w:val="00F00A30"/>
    <w:rsid w:val="00F00AEF"/>
    <w:rsid w:val="00F00AF9"/>
    <w:rsid w:val="00F00B6B"/>
    <w:rsid w:val="00F00B95"/>
    <w:rsid w:val="00F00C96"/>
    <w:rsid w:val="00F00D37"/>
    <w:rsid w:val="00F00E90"/>
    <w:rsid w:val="00F00ED4"/>
    <w:rsid w:val="00F00EE2"/>
    <w:rsid w:val="00F01017"/>
    <w:rsid w:val="00F0101F"/>
    <w:rsid w:val="00F010FE"/>
    <w:rsid w:val="00F01114"/>
    <w:rsid w:val="00F01224"/>
    <w:rsid w:val="00F012A3"/>
    <w:rsid w:val="00F0130E"/>
    <w:rsid w:val="00F0134F"/>
    <w:rsid w:val="00F013BF"/>
    <w:rsid w:val="00F01409"/>
    <w:rsid w:val="00F0145D"/>
    <w:rsid w:val="00F01497"/>
    <w:rsid w:val="00F014E4"/>
    <w:rsid w:val="00F01525"/>
    <w:rsid w:val="00F01548"/>
    <w:rsid w:val="00F016C9"/>
    <w:rsid w:val="00F016F0"/>
    <w:rsid w:val="00F01725"/>
    <w:rsid w:val="00F0177E"/>
    <w:rsid w:val="00F017EB"/>
    <w:rsid w:val="00F01829"/>
    <w:rsid w:val="00F01892"/>
    <w:rsid w:val="00F01893"/>
    <w:rsid w:val="00F01900"/>
    <w:rsid w:val="00F01921"/>
    <w:rsid w:val="00F01A4F"/>
    <w:rsid w:val="00F01A94"/>
    <w:rsid w:val="00F01B74"/>
    <w:rsid w:val="00F01BB1"/>
    <w:rsid w:val="00F01BE1"/>
    <w:rsid w:val="00F01BE9"/>
    <w:rsid w:val="00F01C3F"/>
    <w:rsid w:val="00F01C9B"/>
    <w:rsid w:val="00F01D48"/>
    <w:rsid w:val="00F01DCF"/>
    <w:rsid w:val="00F01E44"/>
    <w:rsid w:val="00F01E80"/>
    <w:rsid w:val="00F01F19"/>
    <w:rsid w:val="00F01F27"/>
    <w:rsid w:val="00F01F8D"/>
    <w:rsid w:val="00F01F9A"/>
    <w:rsid w:val="00F01FB6"/>
    <w:rsid w:val="00F0204C"/>
    <w:rsid w:val="00F0213C"/>
    <w:rsid w:val="00F0214E"/>
    <w:rsid w:val="00F021ED"/>
    <w:rsid w:val="00F02200"/>
    <w:rsid w:val="00F0221A"/>
    <w:rsid w:val="00F02263"/>
    <w:rsid w:val="00F02293"/>
    <w:rsid w:val="00F022C7"/>
    <w:rsid w:val="00F022CC"/>
    <w:rsid w:val="00F02398"/>
    <w:rsid w:val="00F023A8"/>
    <w:rsid w:val="00F02427"/>
    <w:rsid w:val="00F02585"/>
    <w:rsid w:val="00F0262B"/>
    <w:rsid w:val="00F02652"/>
    <w:rsid w:val="00F026EA"/>
    <w:rsid w:val="00F027A1"/>
    <w:rsid w:val="00F027D1"/>
    <w:rsid w:val="00F02872"/>
    <w:rsid w:val="00F02961"/>
    <w:rsid w:val="00F02A2A"/>
    <w:rsid w:val="00F02B5C"/>
    <w:rsid w:val="00F02BA6"/>
    <w:rsid w:val="00F02C0A"/>
    <w:rsid w:val="00F02C40"/>
    <w:rsid w:val="00F02C70"/>
    <w:rsid w:val="00F02C97"/>
    <w:rsid w:val="00F02D24"/>
    <w:rsid w:val="00F02DF2"/>
    <w:rsid w:val="00F02E35"/>
    <w:rsid w:val="00F02F21"/>
    <w:rsid w:val="00F02FA1"/>
    <w:rsid w:val="00F02FDE"/>
    <w:rsid w:val="00F02FE0"/>
    <w:rsid w:val="00F030AD"/>
    <w:rsid w:val="00F0320D"/>
    <w:rsid w:val="00F03299"/>
    <w:rsid w:val="00F033E3"/>
    <w:rsid w:val="00F0342A"/>
    <w:rsid w:val="00F03604"/>
    <w:rsid w:val="00F037EE"/>
    <w:rsid w:val="00F0389E"/>
    <w:rsid w:val="00F038B7"/>
    <w:rsid w:val="00F038E1"/>
    <w:rsid w:val="00F03D1E"/>
    <w:rsid w:val="00F03E3A"/>
    <w:rsid w:val="00F03E3C"/>
    <w:rsid w:val="00F03E79"/>
    <w:rsid w:val="00F03EB9"/>
    <w:rsid w:val="00F03F40"/>
    <w:rsid w:val="00F03FF0"/>
    <w:rsid w:val="00F04147"/>
    <w:rsid w:val="00F04234"/>
    <w:rsid w:val="00F04279"/>
    <w:rsid w:val="00F043C9"/>
    <w:rsid w:val="00F043E1"/>
    <w:rsid w:val="00F0440C"/>
    <w:rsid w:val="00F0446C"/>
    <w:rsid w:val="00F0448A"/>
    <w:rsid w:val="00F04545"/>
    <w:rsid w:val="00F0457D"/>
    <w:rsid w:val="00F04682"/>
    <w:rsid w:val="00F046B6"/>
    <w:rsid w:val="00F04775"/>
    <w:rsid w:val="00F04826"/>
    <w:rsid w:val="00F04854"/>
    <w:rsid w:val="00F0491F"/>
    <w:rsid w:val="00F049FD"/>
    <w:rsid w:val="00F04A44"/>
    <w:rsid w:val="00F04B1A"/>
    <w:rsid w:val="00F04BE3"/>
    <w:rsid w:val="00F04C4C"/>
    <w:rsid w:val="00F04D0F"/>
    <w:rsid w:val="00F04D1F"/>
    <w:rsid w:val="00F04E05"/>
    <w:rsid w:val="00F04E2A"/>
    <w:rsid w:val="00F04E65"/>
    <w:rsid w:val="00F04EB7"/>
    <w:rsid w:val="00F04EBA"/>
    <w:rsid w:val="00F0502B"/>
    <w:rsid w:val="00F05055"/>
    <w:rsid w:val="00F05104"/>
    <w:rsid w:val="00F05106"/>
    <w:rsid w:val="00F051DA"/>
    <w:rsid w:val="00F051E2"/>
    <w:rsid w:val="00F05240"/>
    <w:rsid w:val="00F052CD"/>
    <w:rsid w:val="00F05306"/>
    <w:rsid w:val="00F05368"/>
    <w:rsid w:val="00F0536D"/>
    <w:rsid w:val="00F05508"/>
    <w:rsid w:val="00F055DD"/>
    <w:rsid w:val="00F055FE"/>
    <w:rsid w:val="00F05743"/>
    <w:rsid w:val="00F057C1"/>
    <w:rsid w:val="00F057F2"/>
    <w:rsid w:val="00F05831"/>
    <w:rsid w:val="00F0585A"/>
    <w:rsid w:val="00F0585E"/>
    <w:rsid w:val="00F05891"/>
    <w:rsid w:val="00F05974"/>
    <w:rsid w:val="00F059DE"/>
    <w:rsid w:val="00F05B05"/>
    <w:rsid w:val="00F05C7D"/>
    <w:rsid w:val="00F05E93"/>
    <w:rsid w:val="00F05F9B"/>
    <w:rsid w:val="00F05FC8"/>
    <w:rsid w:val="00F060A6"/>
    <w:rsid w:val="00F06137"/>
    <w:rsid w:val="00F06195"/>
    <w:rsid w:val="00F06226"/>
    <w:rsid w:val="00F06325"/>
    <w:rsid w:val="00F06344"/>
    <w:rsid w:val="00F06354"/>
    <w:rsid w:val="00F06360"/>
    <w:rsid w:val="00F06391"/>
    <w:rsid w:val="00F06426"/>
    <w:rsid w:val="00F0644E"/>
    <w:rsid w:val="00F06463"/>
    <w:rsid w:val="00F06485"/>
    <w:rsid w:val="00F06521"/>
    <w:rsid w:val="00F06567"/>
    <w:rsid w:val="00F065BC"/>
    <w:rsid w:val="00F066A9"/>
    <w:rsid w:val="00F066CA"/>
    <w:rsid w:val="00F0688D"/>
    <w:rsid w:val="00F068A5"/>
    <w:rsid w:val="00F068E6"/>
    <w:rsid w:val="00F069C0"/>
    <w:rsid w:val="00F069D2"/>
    <w:rsid w:val="00F06BE4"/>
    <w:rsid w:val="00F06C7D"/>
    <w:rsid w:val="00F06D6A"/>
    <w:rsid w:val="00F06EDB"/>
    <w:rsid w:val="00F06F31"/>
    <w:rsid w:val="00F06F8A"/>
    <w:rsid w:val="00F07057"/>
    <w:rsid w:val="00F072E9"/>
    <w:rsid w:val="00F0731C"/>
    <w:rsid w:val="00F07348"/>
    <w:rsid w:val="00F07371"/>
    <w:rsid w:val="00F0739A"/>
    <w:rsid w:val="00F07486"/>
    <w:rsid w:val="00F074BB"/>
    <w:rsid w:val="00F074C9"/>
    <w:rsid w:val="00F075FF"/>
    <w:rsid w:val="00F077D3"/>
    <w:rsid w:val="00F0781B"/>
    <w:rsid w:val="00F07855"/>
    <w:rsid w:val="00F0785C"/>
    <w:rsid w:val="00F078D8"/>
    <w:rsid w:val="00F07948"/>
    <w:rsid w:val="00F0796A"/>
    <w:rsid w:val="00F07980"/>
    <w:rsid w:val="00F07A4D"/>
    <w:rsid w:val="00F07A9C"/>
    <w:rsid w:val="00F07ACF"/>
    <w:rsid w:val="00F07B6D"/>
    <w:rsid w:val="00F07DEA"/>
    <w:rsid w:val="00F07EF4"/>
    <w:rsid w:val="00F10069"/>
    <w:rsid w:val="00F10073"/>
    <w:rsid w:val="00F10080"/>
    <w:rsid w:val="00F100C2"/>
    <w:rsid w:val="00F10182"/>
    <w:rsid w:val="00F101FB"/>
    <w:rsid w:val="00F10258"/>
    <w:rsid w:val="00F104A2"/>
    <w:rsid w:val="00F10523"/>
    <w:rsid w:val="00F105CF"/>
    <w:rsid w:val="00F1063A"/>
    <w:rsid w:val="00F106A0"/>
    <w:rsid w:val="00F106AB"/>
    <w:rsid w:val="00F107B0"/>
    <w:rsid w:val="00F1080A"/>
    <w:rsid w:val="00F1085D"/>
    <w:rsid w:val="00F1097C"/>
    <w:rsid w:val="00F10A84"/>
    <w:rsid w:val="00F10B58"/>
    <w:rsid w:val="00F10C85"/>
    <w:rsid w:val="00F10C88"/>
    <w:rsid w:val="00F10E0D"/>
    <w:rsid w:val="00F11182"/>
    <w:rsid w:val="00F1122B"/>
    <w:rsid w:val="00F112C9"/>
    <w:rsid w:val="00F11304"/>
    <w:rsid w:val="00F113EE"/>
    <w:rsid w:val="00F114D5"/>
    <w:rsid w:val="00F11619"/>
    <w:rsid w:val="00F11752"/>
    <w:rsid w:val="00F1176A"/>
    <w:rsid w:val="00F117F6"/>
    <w:rsid w:val="00F11804"/>
    <w:rsid w:val="00F118BB"/>
    <w:rsid w:val="00F11922"/>
    <w:rsid w:val="00F11943"/>
    <w:rsid w:val="00F1195B"/>
    <w:rsid w:val="00F11B56"/>
    <w:rsid w:val="00F11B59"/>
    <w:rsid w:val="00F11B9B"/>
    <w:rsid w:val="00F11C56"/>
    <w:rsid w:val="00F11C8A"/>
    <w:rsid w:val="00F11CCB"/>
    <w:rsid w:val="00F11CE6"/>
    <w:rsid w:val="00F11D7B"/>
    <w:rsid w:val="00F11E5B"/>
    <w:rsid w:val="00F11E68"/>
    <w:rsid w:val="00F11E69"/>
    <w:rsid w:val="00F11EBD"/>
    <w:rsid w:val="00F11EEF"/>
    <w:rsid w:val="00F11FD9"/>
    <w:rsid w:val="00F1206B"/>
    <w:rsid w:val="00F1206E"/>
    <w:rsid w:val="00F120C4"/>
    <w:rsid w:val="00F120EB"/>
    <w:rsid w:val="00F1217F"/>
    <w:rsid w:val="00F121C2"/>
    <w:rsid w:val="00F12381"/>
    <w:rsid w:val="00F123E5"/>
    <w:rsid w:val="00F124AD"/>
    <w:rsid w:val="00F1261E"/>
    <w:rsid w:val="00F12642"/>
    <w:rsid w:val="00F126DF"/>
    <w:rsid w:val="00F127B9"/>
    <w:rsid w:val="00F12891"/>
    <w:rsid w:val="00F12A74"/>
    <w:rsid w:val="00F12A94"/>
    <w:rsid w:val="00F12B7C"/>
    <w:rsid w:val="00F12BCA"/>
    <w:rsid w:val="00F12BDB"/>
    <w:rsid w:val="00F12CD7"/>
    <w:rsid w:val="00F12CEB"/>
    <w:rsid w:val="00F12D19"/>
    <w:rsid w:val="00F12D6F"/>
    <w:rsid w:val="00F12DAF"/>
    <w:rsid w:val="00F12EBB"/>
    <w:rsid w:val="00F12EFD"/>
    <w:rsid w:val="00F12F0A"/>
    <w:rsid w:val="00F12F55"/>
    <w:rsid w:val="00F12FC4"/>
    <w:rsid w:val="00F13050"/>
    <w:rsid w:val="00F130D9"/>
    <w:rsid w:val="00F13145"/>
    <w:rsid w:val="00F131A4"/>
    <w:rsid w:val="00F13268"/>
    <w:rsid w:val="00F132B8"/>
    <w:rsid w:val="00F13340"/>
    <w:rsid w:val="00F13377"/>
    <w:rsid w:val="00F1344F"/>
    <w:rsid w:val="00F134C6"/>
    <w:rsid w:val="00F13508"/>
    <w:rsid w:val="00F13620"/>
    <w:rsid w:val="00F1366B"/>
    <w:rsid w:val="00F136D3"/>
    <w:rsid w:val="00F13811"/>
    <w:rsid w:val="00F1385F"/>
    <w:rsid w:val="00F13888"/>
    <w:rsid w:val="00F138D3"/>
    <w:rsid w:val="00F138DC"/>
    <w:rsid w:val="00F1391A"/>
    <w:rsid w:val="00F13923"/>
    <w:rsid w:val="00F13A13"/>
    <w:rsid w:val="00F13ACF"/>
    <w:rsid w:val="00F13BBF"/>
    <w:rsid w:val="00F13C71"/>
    <w:rsid w:val="00F13C72"/>
    <w:rsid w:val="00F13C83"/>
    <w:rsid w:val="00F13CBD"/>
    <w:rsid w:val="00F13CFA"/>
    <w:rsid w:val="00F13D49"/>
    <w:rsid w:val="00F13E00"/>
    <w:rsid w:val="00F13E2F"/>
    <w:rsid w:val="00F14074"/>
    <w:rsid w:val="00F1408C"/>
    <w:rsid w:val="00F140DA"/>
    <w:rsid w:val="00F14108"/>
    <w:rsid w:val="00F14142"/>
    <w:rsid w:val="00F1414D"/>
    <w:rsid w:val="00F141BA"/>
    <w:rsid w:val="00F1425F"/>
    <w:rsid w:val="00F14261"/>
    <w:rsid w:val="00F142C4"/>
    <w:rsid w:val="00F142FC"/>
    <w:rsid w:val="00F1431C"/>
    <w:rsid w:val="00F143C0"/>
    <w:rsid w:val="00F14415"/>
    <w:rsid w:val="00F14451"/>
    <w:rsid w:val="00F1445D"/>
    <w:rsid w:val="00F14534"/>
    <w:rsid w:val="00F145A7"/>
    <w:rsid w:val="00F1463E"/>
    <w:rsid w:val="00F146D3"/>
    <w:rsid w:val="00F1471C"/>
    <w:rsid w:val="00F14738"/>
    <w:rsid w:val="00F1478B"/>
    <w:rsid w:val="00F1480D"/>
    <w:rsid w:val="00F1481B"/>
    <w:rsid w:val="00F1484D"/>
    <w:rsid w:val="00F148B3"/>
    <w:rsid w:val="00F1491B"/>
    <w:rsid w:val="00F14989"/>
    <w:rsid w:val="00F149EC"/>
    <w:rsid w:val="00F14A97"/>
    <w:rsid w:val="00F14B95"/>
    <w:rsid w:val="00F14B9B"/>
    <w:rsid w:val="00F14BF3"/>
    <w:rsid w:val="00F14BFD"/>
    <w:rsid w:val="00F14C28"/>
    <w:rsid w:val="00F14CC9"/>
    <w:rsid w:val="00F14E1F"/>
    <w:rsid w:val="00F14E2B"/>
    <w:rsid w:val="00F14EB0"/>
    <w:rsid w:val="00F14F2C"/>
    <w:rsid w:val="00F14F72"/>
    <w:rsid w:val="00F14FCD"/>
    <w:rsid w:val="00F15091"/>
    <w:rsid w:val="00F150CC"/>
    <w:rsid w:val="00F151C1"/>
    <w:rsid w:val="00F152B3"/>
    <w:rsid w:val="00F15389"/>
    <w:rsid w:val="00F1540A"/>
    <w:rsid w:val="00F15418"/>
    <w:rsid w:val="00F1555B"/>
    <w:rsid w:val="00F1556F"/>
    <w:rsid w:val="00F15587"/>
    <w:rsid w:val="00F155FC"/>
    <w:rsid w:val="00F157BD"/>
    <w:rsid w:val="00F157EB"/>
    <w:rsid w:val="00F1582F"/>
    <w:rsid w:val="00F15A21"/>
    <w:rsid w:val="00F15A38"/>
    <w:rsid w:val="00F15B17"/>
    <w:rsid w:val="00F15B1C"/>
    <w:rsid w:val="00F15B37"/>
    <w:rsid w:val="00F15C1E"/>
    <w:rsid w:val="00F15C40"/>
    <w:rsid w:val="00F15D4A"/>
    <w:rsid w:val="00F15DCC"/>
    <w:rsid w:val="00F15F05"/>
    <w:rsid w:val="00F15F71"/>
    <w:rsid w:val="00F16036"/>
    <w:rsid w:val="00F160DC"/>
    <w:rsid w:val="00F160E0"/>
    <w:rsid w:val="00F16293"/>
    <w:rsid w:val="00F163F1"/>
    <w:rsid w:val="00F1640C"/>
    <w:rsid w:val="00F1656D"/>
    <w:rsid w:val="00F165BA"/>
    <w:rsid w:val="00F1663B"/>
    <w:rsid w:val="00F167E1"/>
    <w:rsid w:val="00F16946"/>
    <w:rsid w:val="00F169B3"/>
    <w:rsid w:val="00F16AA8"/>
    <w:rsid w:val="00F16AD8"/>
    <w:rsid w:val="00F16D1C"/>
    <w:rsid w:val="00F16D66"/>
    <w:rsid w:val="00F16E7D"/>
    <w:rsid w:val="00F16F2D"/>
    <w:rsid w:val="00F16F60"/>
    <w:rsid w:val="00F170A4"/>
    <w:rsid w:val="00F1737C"/>
    <w:rsid w:val="00F1740D"/>
    <w:rsid w:val="00F174B6"/>
    <w:rsid w:val="00F174B7"/>
    <w:rsid w:val="00F175AD"/>
    <w:rsid w:val="00F17703"/>
    <w:rsid w:val="00F17820"/>
    <w:rsid w:val="00F17828"/>
    <w:rsid w:val="00F178F2"/>
    <w:rsid w:val="00F1793D"/>
    <w:rsid w:val="00F17951"/>
    <w:rsid w:val="00F17A62"/>
    <w:rsid w:val="00F17ADE"/>
    <w:rsid w:val="00F17B61"/>
    <w:rsid w:val="00F17C00"/>
    <w:rsid w:val="00F17CD2"/>
    <w:rsid w:val="00F17D13"/>
    <w:rsid w:val="00F17D63"/>
    <w:rsid w:val="00F17D75"/>
    <w:rsid w:val="00F17E02"/>
    <w:rsid w:val="00F17E5B"/>
    <w:rsid w:val="00F17E6B"/>
    <w:rsid w:val="00F17F07"/>
    <w:rsid w:val="00F17FD8"/>
    <w:rsid w:val="00F20041"/>
    <w:rsid w:val="00F2005E"/>
    <w:rsid w:val="00F2007A"/>
    <w:rsid w:val="00F200B1"/>
    <w:rsid w:val="00F200E1"/>
    <w:rsid w:val="00F2020D"/>
    <w:rsid w:val="00F20237"/>
    <w:rsid w:val="00F2024A"/>
    <w:rsid w:val="00F202E1"/>
    <w:rsid w:val="00F202FE"/>
    <w:rsid w:val="00F204B2"/>
    <w:rsid w:val="00F204C2"/>
    <w:rsid w:val="00F204DF"/>
    <w:rsid w:val="00F2051A"/>
    <w:rsid w:val="00F20527"/>
    <w:rsid w:val="00F20537"/>
    <w:rsid w:val="00F20570"/>
    <w:rsid w:val="00F20592"/>
    <w:rsid w:val="00F20690"/>
    <w:rsid w:val="00F2074C"/>
    <w:rsid w:val="00F2081A"/>
    <w:rsid w:val="00F20893"/>
    <w:rsid w:val="00F2090A"/>
    <w:rsid w:val="00F209A4"/>
    <w:rsid w:val="00F20A05"/>
    <w:rsid w:val="00F20A39"/>
    <w:rsid w:val="00F20AA9"/>
    <w:rsid w:val="00F20AFE"/>
    <w:rsid w:val="00F20B81"/>
    <w:rsid w:val="00F20C89"/>
    <w:rsid w:val="00F20CC9"/>
    <w:rsid w:val="00F20CCF"/>
    <w:rsid w:val="00F20DB3"/>
    <w:rsid w:val="00F20E75"/>
    <w:rsid w:val="00F21024"/>
    <w:rsid w:val="00F210E0"/>
    <w:rsid w:val="00F2111F"/>
    <w:rsid w:val="00F21222"/>
    <w:rsid w:val="00F212C0"/>
    <w:rsid w:val="00F212D6"/>
    <w:rsid w:val="00F21385"/>
    <w:rsid w:val="00F2146D"/>
    <w:rsid w:val="00F2149A"/>
    <w:rsid w:val="00F214EA"/>
    <w:rsid w:val="00F215CC"/>
    <w:rsid w:val="00F2169A"/>
    <w:rsid w:val="00F216BF"/>
    <w:rsid w:val="00F216E1"/>
    <w:rsid w:val="00F2173A"/>
    <w:rsid w:val="00F21740"/>
    <w:rsid w:val="00F217C0"/>
    <w:rsid w:val="00F218B3"/>
    <w:rsid w:val="00F218CD"/>
    <w:rsid w:val="00F218FD"/>
    <w:rsid w:val="00F21931"/>
    <w:rsid w:val="00F21935"/>
    <w:rsid w:val="00F21956"/>
    <w:rsid w:val="00F21AB4"/>
    <w:rsid w:val="00F21C1D"/>
    <w:rsid w:val="00F21C47"/>
    <w:rsid w:val="00F21D84"/>
    <w:rsid w:val="00F21DF6"/>
    <w:rsid w:val="00F21E59"/>
    <w:rsid w:val="00F2206E"/>
    <w:rsid w:val="00F22086"/>
    <w:rsid w:val="00F221B4"/>
    <w:rsid w:val="00F221CB"/>
    <w:rsid w:val="00F22225"/>
    <w:rsid w:val="00F2223F"/>
    <w:rsid w:val="00F22270"/>
    <w:rsid w:val="00F222AE"/>
    <w:rsid w:val="00F222D0"/>
    <w:rsid w:val="00F22329"/>
    <w:rsid w:val="00F223B6"/>
    <w:rsid w:val="00F224CF"/>
    <w:rsid w:val="00F2253D"/>
    <w:rsid w:val="00F2253E"/>
    <w:rsid w:val="00F225EE"/>
    <w:rsid w:val="00F22695"/>
    <w:rsid w:val="00F227E9"/>
    <w:rsid w:val="00F22919"/>
    <w:rsid w:val="00F22925"/>
    <w:rsid w:val="00F2293E"/>
    <w:rsid w:val="00F22949"/>
    <w:rsid w:val="00F22A74"/>
    <w:rsid w:val="00F22B17"/>
    <w:rsid w:val="00F22B50"/>
    <w:rsid w:val="00F22BC9"/>
    <w:rsid w:val="00F22BDE"/>
    <w:rsid w:val="00F22C2C"/>
    <w:rsid w:val="00F22D0B"/>
    <w:rsid w:val="00F22D66"/>
    <w:rsid w:val="00F22DA1"/>
    <w:rsid w:val="00F22DE2"/>
    <w:rsid w:val="00F22DED"/>
    <w:rsid w:val="00F22E52"/>
    <w:rsid w:val="00F22EDE"/>
    <w:rsid w:val="00F2308F"/>
    <w:rsid w:val="00F23118"/>
    <w:rsid w:val="00F23131"/>
    <w:rsid w:val="00F23154"/>
    <w:rsid w:val="00F23298"/>
    <w:rsid w:val="00F232BB"/>
    <w:rsid w:val="00F232EC"/>
    <w:rsid w:val="00F2362D"/>
    <w:rsid w:val="00F236C3"/>
    <w:rsid w:val="00F236D4"/>
    <w:rsid w:val="00F2370A"/>
    <w:rsid w:val="00F2374C"/>
    <w:rsid w:val="00F237CC"/>
    <w:rsid w:val="00F23851"/>
    <w:rsid w:val="00F2386B"/>
    <w:rsid w:val="00F239A9"/>
    <w:rsid w:val="00F23C85"/>
    <w:rsid w:val="00F23CAB"/>
    <w:rsid w:val="00F23CC1"/>
    <w:rsid w:val="00F23EDB"/>
    <w:rsid w:val="00F23F66"/>
    <w:rsid w:val="00F23FF1"/>
    <w:rsid w:val="00F24072"/>
    <w:rsid w:val="00F240B7"/>
    <w:rsid w:val="00F24148"/>
    <w:rsid w:val="00F241C2"/>
    <w:rsid w:val="00F24213"/>
    <w:rsid w:val="00F24415"/>
    <w:rsid w:val="00F245BA"/>
    <w:rsid w:val="00F24644"/>
    <w:rsid w:val="00F24664"/>
    <w:rsid w:val="00F246AE"/>
    <w:rsid w:val="00F2470B"/>
    <w:rsid w:val="00F2485C"/>
    <w:rsid w:val="00F2488D"/>
    <w:rsid w:val="00F249B3"/>
    <w:rsid w:val="00F24A55"/>
    <w:rsid w:val="00F24AFC"/>
    <w:rsid w:val="00F24B10"/>
    <w:rsid w:val="00F24B86"/>
    <w:rsid w:val="00F24BFF"/>
    <w:rsid w:val="00F24C2F"/>
    <w:rsid w:val="00F24C7B"/>
    <w:rsid w:val="00F24CB5"/>
    <w:rsid w:val="00F24DA2"/>
    <w:rsid w:val="00F24DAA"/>
    <w:rsid w:val="00F24DC6"/>
    <w:rsid w:val="00F24E90"/>
    <w:rsid w:val="00F24ED7"/>
    <w:rsid w:val="00F24FB5"/>
    <w:rsid w:val="00F25092"/>
    <w:rsid w:val="00F250B4"/>
    <w:rsid w:val="00F25153"/>
    <w:rsid w:val="00F251F8"/>
    <w:rsid w:val="00F252ED"/>
    <w:rsid w:val="00F2538C"/>
    <w:rsid w:val="00F2538E"/>
    <w:rsid w:val="00F2545F"/>
    <w:rsid w:val="00F25507"/>
    <w:rsid w:val="00F25639"/>
    <w:rsid w:val="00F25671"/>
    <w:rsid w:val="00F25695"/>
    <w:rsid w:val="00F25725"/>
    <w:rsid w:val="00F25736"/>
    <w:rsid w:val="00F2573A"/>
    <w:rsid w:val="00F258F8"/>
    <w:rsid w:val="00F25AB5"/>
    <w:rsid w:val="00F25C47"/>
    <w:rsid w:val="00F25C94"/>
    <w:rsid w:val="00F25D53"/>
    <w:rsid w:val="00F25E1F"/>
    <w:rsid w:val="00F25FC0"/>
    <w:rsid w:val="00F25FD0"/>
    <w:rsid w:val="00F25FD6"/>
    <w:rsid w:val="00F26067"/>
    <w:rsid w:val="00F2607E"/>
    <w:rsid w:val="00F260AF"/>
    <w:rsid w:val="00F260D6"/>
    <w:rsid w:val="00F260F9"/>
    <w:rsid w:val="00F26204"/>
    <w:rsid w:val="00F2620A"/>
    <w:rsid w:val="00F2631F"/>
    <w:rsid w:val="00F26355"/>
    <w:rsid w:val="00F26400"/>
    <w:rsid w:val="00F26438"/>
    <w:rsid w:val="00F26461"/>
    <w:rsid w:val="00F26463"/>
    <w:rsid w:val="00F264AA"/>
    <w:rsid w:val="00F26520"/>
    <w:rsid w:val="00F2658A"/>
    <w:rsid w:val="00F26635"/>
    <w:rsid w:val="00F26636"/>
    <w:rsid w:val="00F26703"/>
    <w:rsid w:val="00F267EF"/>
    <w:rsid w:val="00F26800"/>
    <w:rsid w:val="00F2681D"/>
    <w:rsid w:val="00F26876"/>
    <w:rsid w:val="00F26911"/>
    <w:rsid w:val="00F26970"/>
    <w:rsid w:val="00F26992"/>
    <w:rsid w:val="00F26A4E"/>
    <w:rsid w:val="00F26A6D"/>
    <w:rsid w:val="00F26AAB"/>
    <w:rsid w:val="00F26B2D"/>
    <w:rsid w:val="00F26B6D"/>
    <w:rsid w:val="00F26B9E"/>
    <w:rsid w:val="00F26C64"/>
    <w:rsid w:val="00F26C70"/>
    <w:rsid w:val="00F26C71"/>
    <w:rsid w:val="00F26CBB"/>
    <w:rsid w:val="00F26CD0"/>
    <w:rsid w:val="00F26D1C"/>
    <w:rsid w:val="00F26D48"/>
    <w:rsid w:val="00F26E56"/>
    <w:rsid w:val="00F26F90"/>
    <w:rsid w:val="00F27048"/>
    <w:rsid w:val="00F27135"/>
    <w:rsid w:val="00F2713A"/>
    <w:rsid w:val="00F27275"/>
    <w:rsid w:val="00F2727D"/>
    <w:rsid w:val="00F2731A"/>
    <w:rsid w:val="00F27328"/>
    <w:rsid w:val="00F274F9"/>
    <w:rsid w:val="00F27533"/>
    <w:rsid w:val="00F275EF"/>
    <w:rsid w:val="00F27635"/>
    <w:rsid w:val="00F276A6"/>
    <w:rsid w:val="00F277E9"/>
    <w:rsid w:val="00F27986"/>
    <w:rsid w:val="00F27A36"/>
    <w:rsid w:val="00F27A79"/>
    <w:rsid w:val="00F27AE5"/>
    <w:rsid w:val="00F27AEE"/>
    <w:rsid w:val="00F27C81"/>
    <w:rsid w:val="00F27D43"/>
    <w:rsid w:val="00F27D51"/>
    <w:rsid w:val="00F27D65"/>
    <w:rsid w:val="00F27DE6"/>
    <w:rsid w:val="00F27E06"/>
    <w:rsid w:val="00F27E8A"/>
    <w:rsid w:val="00F27EE6"/>
    <w:rsid w:val="00F30115"/>
    <w:rsid w:val="00F30239"/>
    <w:rsid w:val="00F30270"/>
    <w:rsid w:val="00F302D6"/>
    <w:rsid w:val="00F30389"/>
    <w:rsid w:val="00F3040A"/>
    <w:rsid w:val="00F305A5"/>
    <w:rsid w:val="00F306C7"/>
    <w:rsid w:val="00F306F9"/>
    <w:rsid w:val="00F30734"/>
    <w:rsid w:val="00F307A3"/>
    <w:rsid w:val="00F30878"/>
    <w:rsid w:val="00F30A41"/>
    <w:rsid w:val="00F30AA3"/>
    <w:rsid w:val="00F30BC0"/>
    <w:rsid w:val="00F30C5C"/>
    <w:rsid w:val="00F30C63"/>
    <w:rsid w:val="00F30C88"/>
    <w:rsid w:val="00F30CB6"/>
    <w:rsid w:val="00F30CC6"/>
    <w:rsid w:val="00F30D68"/>
    <w:rsid w:val="00F30D78"/>
    <w:rsid w:val="00F30E88"/>
    <w:rsid w:val="00F30F2E"/>
    <w:rsid w:val="00F30F4F"/>
    <w:rsid w:val="00F30F53"/>
    <w:rsid w:val="00F30FA2"/>
    <w:rsid w:val="00F31079"/>
    <w:rsid w:val="00F31161"/>
    <w:rsid w:val="00F311B4"/>
    <w:rsid w:val="00F3133A"/>
    <w:rsid w:val="00F31382"/>
    <w:rsid w:val="00F3139A"/>
    <w:rsid w:val="00F31413"/>
    <w:rsid w:val="00F315B7"/>
    <w:rsid w:val="00F315C3"/>
    <w:rsid w:val="00F3160A"/>
    <w:rsid w:val="00F3179C"/>
    <w:rsid w:val="00F317A3"/>
    <w:rsid w:val="00F31917"/>
    <w:rsid w:val="00F319E1"/>
    <w:rsid w:val="00F31AB7"/>
    <w:rsid w:val="00F31B9E"/>
    <w:rsid w:val="00F31C94"/>
    <w:rsid w:val="00F31CFF"/>
    <w:rsid w:val="00F31D04"/>
    <w:rsid w:val="00F31EEB"/>
    <w:rsid w:val="00F31FB6"/>
    <w:rsid w:val="00F32033"/>
    <w:rsid w:val="00F3223C"/>
    <w:rsid w:val="00F3240E"/>
    <w:rsid w:val="00F324AF"/>
    <w:rsid w:val="00F32525"/>
    <w:rsid w:val="00F325A0"/>
    <w:rsid w:val="00F32603"/>
    <w:rsid w:val="00F3264C"/>
    <w:rsid w:val="00F326AE"/>
    <w:rsid w:val="00F326F6"/>
    <w:rsid w:val="00F32756"/>
    <w:rsid w:val="00F327F9"/>
    <w:rsid w:val="00F32846"/>
    <w:rsid w:val="00F32932"/>
    <w:rsid w:val="00F329C2"/>
    <w:rsid w:val="00F329D8"/>
    <w:rsid w:val="00F329E1"/>
    <w:rsid w:val="00F32A12"/>
    <w:rsid w:val="00F32A1A"/>
    <w:rsid w:val="00F32A67"/>
    <w:rsid w:val="00F32ADC"/>
    <w:rsid w:val="00F32B98"/>
    <w:rsid w:val="00F32BAD"/>
    <w:rsid w:val="00F32C48"/>
    <w:rsid w:val="00F32C89"/>
    <w:rsid w:val="00F32CD3"/>
    <w:rsid w:val="00F32D84"/>
    <w:rsid w:val="00F32DA2"/>
    <w:rsid w:val="00F32E4B"/>
    <w:rsid w:val="00F32E54"/>
    <w:rsid w:val="00F32FA4"/>
    <w:rsid w:val="00F330A9"/>
    <w:rsid w:val="00F33114"/>
    <w:rsid w:val="00F33308"/>
    <w:rsid w:val="00F3351A"/>
    <w:rsid w:val="00F33669"/>
    <w:rsid w:val="00F336EE"/>
    <w:rsid w:val="00F3376C"/>
    <w:rsid w:val="00F33777"/>
    <w:rsid w:val="00F337FA"/>
    <w:rsid w:val="00F3383A"/>
    <w:rsid w:val="00F33880"/>
    <w:rsid w:val="00F33A05"/>
    <w:rsid w:val="00F33CAA"/>
    <w:rsid w:val="00F33E63"/>
    <w:rsid w:val="00F33E8C"/>
    <w:rsid w:val="00F33EAE"/>
    <w:rsid w:val="00F33F90"/>
    <w:rsid w:val="00F340CD"/>
    <w:rsid w:val="00F34166"/>
    <w:rsid w:val="00F341F2"/>
    <w:rsid w:val="00F34249"/>
    <w:rsid w:val="00F3436D"/>
    <w:rsid w:val="00F3437C"/>
    <w:rsid w:val="00F34420"/>
    <w:rsid w:val="00F3447D"/>
    <w:rsid w:val="00F34490"/>
    <w:rsid w:val="00F3451F"/>
    <w:rsid w:val="00F345F0"/>
    <w:rsid w:val="00F3460C"/>
    <w:rsid w:val="00F34651"/>
    <w:rsid w:val="00F346CF"/>
    <w:rsid w:val="00F348A1"/>
    <w:rsid w:val="00F34A20"/>
    <w:rsid w:val="00F34A45"/>
    <w:rsid w:val="00F34B2D"/>
    <w:rsid w:val="00F34BAC"/>
    <w:rsid w:val="00F34CB0"/>
    <w:rsid w:val="00F34D5E"/>
    <w:rsid w:val="00F34F23"/>
    <w:rsid w:val="00F34F94"/>
    <w:rsid w:val="00F34FA4"/>
    <w:rsid w:val="00F34FDF"/>
    <w:rsid w:val="00F35076"/>
    <w:rsid w:val="00F35199"/>
    <w:rsid w:val="00F351EE"/>
    <w:rsid w:val="00F35227"/>
    <w:rsid w:val="00F35239"/>
    <w:rsid w:val="00F3524F"/>
    <w:rsid w:val="00F35257"/>
    <w:rsid w:val="00F35313"/>
    <w:rsid w:val="00F35355"/>
    <w:rsid w:val="00F35393"/>
    <w:rsid w:val="00F354BC"/>
    <w:rsid w:val="00F354C3"/>
    <w:rsid w:val="00F35586"/>
    <w:rsid w:val="00F3561E"/>
    <w:rsid w:val="00F3563A"/>
    <w:rsid w:val="00F35722"/>
    <w:rsid w:val="00F35847"/>
    <w:rsid w:val="00F35890"/>
    <w:rsid w:val="00F358BC"/>
    <w:rsid w:val="00F35B7E"/>
    <w:rsid w:val="00F35C1E"/>
    <w:rsid w:val="00F35EA9"/>
    <w:rsid w:val="00F3605B"/>
    <w:rsid w:val="00F3605D"/>
    <w:rsid w:val="00F36079"/>
    <w:rsid w:val="00F3611B"/>
    <w:rsid w:val="00F361F6"/>
    <w:rsid w:val="00F3627E"/>
    <w:rsid w:val="00F363C7"/>
    <w:rsid w:val="00F36425"/>
    <w:rsid w:val="00F36486"/>
    <w:rsid w:val="00F36589"/>
    <w:rsid w:val="00F3662E"/>
    <w:rsid w:val="00F36689"/>
    <w:rsid w:val="00F366F4"/>
    <w:rsid w:val="00F36703"/>
    <w:rsid w:val="00F36763"/>
    <w:rsid w:val="00F36A1B"/>
    <w:rsid w:val="00F36BEF"/>
    <w:rsid w:val="00F36C09"/>
    <w:rsid w:val="00F36CFB"/>
    <w:rsid w:val="00F36D05"/>
    <w:rsid w:val="00F36D51"/>
    <w:rsid w:val="00F36D7F"/>
    <w:rsid w:val="00F36E49"/>
    <w:rsid w:val="00F36ED5"/>
    <w:rsid w:val="00F36F56"/>
    <w:rsid w:val="00F36F64"/>
    <w:rsid w:val="00F36FCA"/>
    <w:rsid w:val="00F36FE4"/>
    <w:rsid w:val="00F37151"/>
    <w:rsid w:val="00F3728F"/>
    <w:rsid w:val="00F372C3"/>
    <w:rsid w:val="00F37304"/>
    <w:rsid w:val="00F373DA"/>
    <w:rsid w:val="00F37447"/>
    <w:rsid w:val="00F37544"/>
    <w:rsid w:val="00F376FD"/>
    <w:rsid w:val="00F37A36"/>
    <w:rsid w:val="00F37A8A"/>
    <w:rsid w:val="00F37ACE"/>
    <w:rsid w:val="00F37DE8"/>
    <w:rsid w:val="00F37E37"/>
    <w:rsid w:val="00F37F81"/>
    <w:rsid w:val="00F40022"/>
    <w:rsid w:val="00F400FF"/>
    <w:rsid w:val="00F401C0"/>
    <w:rsid w:val="00F401E3"/>
    <w:rsid w:val="00F40234"/>
    <w:rsid w:val="00F4037F"/>
    <w:rsid w:val="00F4040C"/>
    <w:rsid w:val="00F40422"/>
    <w:rsid w:val="00F40438"/>
    <w:rsid w:val="00F404AA"/>
    <w:rsid w:val="00F404C8"/>
    <w:rsid w:val="00F4052A"/>
    <w:rsid w:val="00F4062D"/>
    <w:rsid w:val="00F40777"/>
    <w:rsid w:val="00F4084F"/>
    <w:rsid w:val="00F40B62"/>
    <w:rsid w:val="00F40B85"/>
    <w:rsid w:val="00F40BF9"/>
    <w:rsid w:val="00F40C2C"/>
    <w:rsid w:val="00F40D45"/>
    <w:rsid w:val="00F40DB3"/>
    <w:rsid w:val="00F40DBC"/>
    <w:rsid w:val="00F40EAF"/>
    <w:rsid w:val="00F41190"/>
    <w:rsid w:val="00F411E3"/>
    <w:rsid w:val="00F411FF"/>
    <w:rsid w:val="00F41264"/>
    <w:rsid w:val="00F412D4"/>
    <w:rsid w:val="00F412F3"/>
    <w:rsid w:val="00F413A4"/>
    <w:rsid w:val="00F413D4"/>
    <w:rsid w:val="00F416AE"/>
    <w:rsid w:val="00F4174A"/>
    <w:rsid w:val="00F417BC"/>
    <w:rsid w:val="00F417CE"/>
    <w:rsid w:val="00F4185A"/>
    <w:rsid w:val="00F41870"/>
    <w:rsid w:val="00F418B6"/>
    <w:rsid w:val="00F41990"/>
    <w:rsid w:val="00F41A24"/>
    <w:rsid w:val="00F41A36"/>
    <w:rsid w:val="00F41A39"/>
    <w:rsid w:val="00F41AD2"/>
    <w:rsid w:val="00F41BBA"/>
    <w:rsid w:val="00F41C1F"/>
    <w:rsid w:val="00F41C31"/>
    <w:rsid w:val="00F41D38"/>
    <w:rsid w:val="00F41D43"/>
    <w:rsid w:val="00F41D8F"/>
    <w:rsid w:val="00F41DCD"/>
    <w:rsid w:val="00F41E89"/>
    <w:rsid w:val="00F41E92"/>
    <w:rsid w:val="00F41F92"/>
    <w:rsid w:val="00F41FA2"/>
    <w:rsid w:val="00F41FB6"/>
    <w:rsid w:val="00F41FDD"/>
    <w:rsid w:val="00F42019"/>
    <w:rsid w:val="00F42058"/>
    <w:rsid w:val="00F420B8"/>
    <w:rsid w:val="00F42167"/>
    <w:rsid w:val="00F422B6"/>
    <w:rsid w:val="00F422E2"/>
    <w:rsid w:val="00F42404"/>
    <w:rsid w:val="00F4245D"/>
    <w:rsid w:val="00F424B1"/>
    <w:rsid w:val="00F4252E"/>
    <w:rsid w:val="00F42575"/>
    <w:rsid w:val="00F4268C"/>
    <w:rsid w:val="00F42747"/>
    <w:rsid w:val="00F42752"/>
    <w:rsid w:val="00F4276E"/>
    <w:rsid w:val="00F4278F"/>
    <w:rsid w:val="00F4279E"/>
    <w:rsid w:val="00F4282D"/>
    <w:rsid w:val="00F42892"/>
    <w:rsid w:val="00F4294E"/>
    <w:rsid w:val="00F42969"/>
    <w:rsid w:val="00F429D3"/>
    <w:rsid w:val="00F42A01"/>
    <w:rsid w:val="00F42A1A"/>
    <w:rsid w:val="00F42A92"/>
    <w:rsid w:val="00F42CF5"/>
    <w:rsid w:val="00F42DEC"/>
    <w:rsid w:val="00F42E71"/>
    <w:rsid w:val="00F42EDE"/>
    <w:rsid w:val="00F43030"/>
    <w:rsid w:val="00F431BA"/>
    <w:rsid w:val="00F43222"/>
    <w:rsid w:val="00F4325B"/>
    <w:rsid w:val="00F43299"/>
    <w:rsid w:val="00F432DC"/>
    <w:rsid w:val="00F432FA"/>
    <w:rsid w:val="00F433D2"/>
    <w:rsid w:val="00F43438"/>
    <w:rsid w:val="00F43480"/>
    <w:rsid w:val="00F434BA"/>
    <w:rsid w:val="00F435BC"/>
    <w:rsid w:val="00F435E7"/>
    <w:rsid w:val="00F4370C"/>
    <w:rsid w:val="00F437E9"/>
    <w:rsid w:val="00F43908"/>
    <w:rsid w:val="00F4394A"/>
    <w:rsid w:val="00F43981"/>
    <w:rsid w:val="00F43A48"/>
    <w:rsid w:val="00F43A54"/>
    <w:rsid w:val="00F43B27"/>
    <w:rsid w:val="00F43B66"/>
    <w:rsid w:val="00F43C51"/>
    <w:rsid w:val="00F43D49"/>
    <w:rsid w:val="00F43DE2"/>
    <w:rsid w:val="00F43E05"/>
    <w:rsid w:val="00F43FD8"/>
    <w:rsid w:val="00F4409D"/>
    <w:rsid w:val="00F4426D"/>
    <w:rsid w:val="00F4433A"/>
    <w:rsid w:val="00F44385"/>
    <w:rsid w:val="00F443FF"/>
    <w:rsid w:val="00F44410"/>
    <w:rsid w:val="00F44418"/>
    <w:rsid w:val="00F444B1"/>
    <w:rsid w:val="00F44540"/>
    <w:rsid w:val="00F445B1"/>
    <w:rsid w:val="00F44606"/>
    <w:rsid w:val="00F44631"/>
    <w:rsid w:val="00F446A2"/>
    <w:rsid w:val="00F446B7"/>
    <w:rsid w:val="00F44811"/>
    <w:rsid w:val="00F448A0"/>
    <w:rsid w:val="00F448D1"/>
    <w:rsid w:val="00F448D4"/>
    <w:rsid w:val="00F44A65"/>
    <w:rsid w:val="00F44AD8"/>
    <w:rsid w:val="00F44B33"/>
    <w:rsid w:val="00F44C63"/>
    <w:rsid w:val="00F44D2E"/>
    <w:rsid w:val="00F44D7E"/>
    <w:rsid w:val="00F44DBD"/>
    <w:rsid w:val="00F44F5E"/>
    <w:rsid w:val="00F451DB"/>
    <w:rsid w:val="00F452AA"/>
    <w:rsid w:val="00F452F1"/>
    <w:rsid w:val="00F453FD"/>
    <w:rsid w:val="00F45420"/>
    <w:rsid w:val="00F45467"/>
    <w:rsid w:val="00F4546F"/>
    <w:rsid w:val="00F454BE"/>
    <w:rsid w:val="00F4553E"/>
    <w:rsid w:val="00F455AA"/>
    <w:rsid w:val="00F45621"/>
    <w:rsid w:val="00F45641"/>
    <w:rsid w:val="00F456A4"/>
    <w:rsid w:val="00F4573F"/>
    <w:rsid w:val="00F4578B"/>
    <w:rsid w:val="00F4589C"/>
    <w:rsid w:val="00F45943"/>
    <w:rsid w:val="00F45990"/>
    <w:rsid w:val="00F45B3E"/>
    <w:rsid w:val="00F45BB2"/>
    <w:rsid w:val="00F45D88"/>
    <w:rsid w:val="00F45E63"/>
    <w:rsid w:val="00F45EA9"/>
    <w:rsid w:val="00F45EB7"/>
    <w:rsid w:val="00F45F26"/>
    <w:rsid w:val="00F45F27"/>
    <w:rsid w:val="00F46043"/>
    <w:rsid w:val="00F46094"/>
    <w:rsid w:val="00F461D8"/>
    <w:rsid w:val="00F462CB"/>
    <w:rsid w:val="00F46414"/>
    <w:rsid w:val="00F46479"/>
    <w:rsid w:val="00F4647D"/>
    <w:rsid w:val="00F4647E"/>
    <w:rsid w:val="00F4651D"/>
    <w:rsid w:val="00F46580"/>
    <w:rsid w:val="00F465A6"/>
    <w:rsid w:val="00F4668D"/>
    <w:rsid w:val="00F46697"/>
    <w:rsid w:val="00F466A0"/>
    <w:rsid w:val="00F466D6"/>
    <w:rsid w:val="00F466E9"/>
    <w:rsid w:val="00F466ED"/>
    <w:rsid w:val="00F466F5"/>
    <w:rsid w:val="00F4673D"/>
    <w:rsid w:val="00F4695F"/>
    <w:rsid w:val="00F469D7"/>
    <w:rsid w:val="00F46A30"/>
    <w:rsid w:val="00F46ACD"/>
    <w:rsid w:val="00F46C44"/>
    <w:rsid w:val="00F46C6B"/>
    <w:rsid w:val="00F46CF8"/>
    <w:rsid w:val="00F46D3E"/>
    <w:rsid w:val="00F46EEF"/>
    <w:rsid w:val="00F46EF8"/>
    <w:rsid w:val="00F46FD2"/>
    <w:rsid w:val="00F470A9"/>
    <w:rsid w:val="00F47171"/>
    <w:rsid w:val="00F474E6"/>
    <w:rsid w:val="00F4750F"/>
    <w:rsid w:val="00F47653"/>
    <w:rsid w:val="00F4766A"/>
    <w:rsid w:val="00F47707"/>
    <w:rsid w:val="00F477E3"/>
    <w:rsid w:val="00F477EE"/>
    <w:rsid w:val="00F477F1"/>
    <w:rsid w:val="00F4786F"/>
    <w:rsid w:val="00F47873"/>
    <w:rsid w:val="00F4789A"/>
    <w:rsid w:val="00F47950"/>
    <w:rsid w:val="00F47992"/>
    <w:rsid w:val="00F479B1"/>
    <w:rsid w:val="00F479F4"/>
    <w:rsid w:val="00F47B55"/>
    <w:rsid w:val="00F47BEF"/>
    <w:rsid w:val="00F47DAC"/>
    <w:rsid w:val="00F47DC8"/>
    <w:rsid w:val="00F47DF6"/>
    <w:rsid w:val="00F47E6B"/>
    <w:rsid w:val="00F47EC4"/>
    <w:rsid w:val="00F50105"/>
    <w:rsid w:val="00F5015C"/>
    <w:rsid w:val="00F501C6"/>
    <w:rsid w:val="00F502AC"/>
    <w:rsid w:val="00F50310"/>
    <w:rsid w:val="00F50395"/>
    <w:rsid w:val="00F50612"/>
    <w:rsid w:val="00F506E0"/>
    <w:rsid w:val="00F50749"/>
    <w:rsid w:val="00F50759"/>
    <w:rsid w:val="00F5084F"/>
    <w:rsid w:val="00F5089B"/>
    <w:rsid w:val="00F50938"/>
    <w:rsid w:val="00F50994"/>
    <w:rsid w:val="00F50A40"/>
    <w:rsid w:val="00F50C44"/>
    <w:rsid w:val="00F50E57"/>
    <w:rsid w:val="00F50E72"/>
    <w:rsid w:val="00F510FC"/>
    <w:rsid w:val="00F51185"/>
    <w:rsid w:val="00F511DD"/>
    <w:rsid w:val="00F5123C"/>
    <w:rsid w:val="00F51288"/>
    <w:rsid w:val="00F5142C"/>
    <w:rsid w:val="00F5150B"/>
    <w:rsid w:val="00F51627"/>
    <w:rsid w:val="00F51685"/>
    <w:rsid w:val="00F51713"/>
    <w:rsid w:val="00F5174B"/>
    <w:rsid w:val="00F517BE"/>
    <w:rsid w:val="00F517CE"/>
    <w:rsid w:val="00F51804"/>
    <w:rsid w:val="00F5199D"/>
    <w:rsid w:val="00F51A50"/>
    <w:rsid w:val="00F51AD3"/>
    <w:rsid w:val="00F51B28"/>
    <w:rsid w:val="00F51C47"/>
    <w:rsid w:val="00F51CB0"/>
    <w:rsid w:val="00F51E0C"/>
    <w:rsid w:val="00F51E55"/>
    <w:rsid w:val="00F51EE1"/>
    <w:rsid w:val="00F51F32"/>
    <w:rsid w:val="00F521B6"/>
    <w:rsid w:val="00F521C6"/>
    <w:rsid w:val="00F52361"/>
    <w:rsid w:val="00F52527"/>
    <w:rsid w:val="00F525DE"/>
    <w:rsid w:val="00F52616"/>
    <w:rsid w:val="00F5261E"/>
    <w:rsid w:val="00F5266B"/>
    <w:rsid w:val="00F52736"/>
    <w:rsid w:val="00F5288D"/>
    <w:rsid w:val="00F529BC"/>
    <w:rsid w:val="00F52A0E"/>
    <w:rsid w:val="00F52A48"/>
    <w:rsid w:val="00F52A85"/>
    <w:rsid w:val="00F52AED"/>
    <w:rsid w:val="00F52B1C"/>
    <w:rsid w:val="00F52BB4"/>
    <w:rsid w:val="00F52C92"/>
    <w:rsid w:val="00F52D90"/>
    <w:rsid w:val="00F52DD0"/>
    <w:rsid w:val="00F52E3F"/>
    <w:rsid w:val="00F52F36"/>
    <w:rsid w:val="00F52F77"/>
    <w:rsid w:val="00F52FAA"/>
    <w:rsid w:val="00F52FB5"/>
    <w:rsid w:val="00F52FDE"/>
    <w:rsid w:val="00F53060"/>
    <w:rsid w:val="00F530EA"/>
    <w:rsid w:val="00F5310F"/>
    <w:rsid w:val="00F53162"/>
    <w:rsid w:val="00F531A1"/>
    <w:rsid w:val="00F531E7"/>
    <w:rsid w:val="00F531F4"/>
    <w:rsid w:val="00F53251"/>
    <w:rsid w:val="00F53288"/>
    <w:rsid w:val="00F53289"/>
    <w:rsid w:val="00F532C0"/>
    <w:rsid w:val="00F5345D"/>
    <w:rsid w:val="00F5352D"/>
    <w:rsid w:val="00F53614"/>
    <w:rsid w:val="00F536C3"/>
    <w:rsid w:val="00F53862"/>
    <w:rsid w:val="00F538A6"/>
    <w:rsid w:val="00F538DE"/>
    <w:rsid w:val="00F53A28"/>
    <w:rsid w:val="00F53AE2"/>
    <w:rsid w:val="00F53B28"/>
    <w:rsid w:val="00F53B7C"/>
    <w:rsid w:val="00F53B9C"/>
    <w:rsid w:val="00F53BAE"/>
    <w:rsid w:val="00F53D0E"/>
    <w:rsid w:val="00F53D5C"/>
    <w:rsid w:val="00F53ED5"/>
    <w:rsid w:val="00F53F52"/>
    <w:rsid w:val="00F5406E"/>
    <w:rsid w:val="00F540CB"/>
    <w:rsid w:val="00F540F0"/>
    <w:rsid w:val="00F540FF"/>
    <w:rsid w:val="00F5412E"/>
    <w:rsid w:val="00F5414A"/>
    <w:rsid w:val="00F5423E"/>
    <w:rsid w:val="00F5427D"/>
    <w:rsid w:val="00F5445F"/>
    <w:rsid w:val="00F54485"/>
    <w:rsid w:val="00F5449E"/>
    <w:rsid w:val="00F544E2"/>
    <w:rsid w:val="00F5473F"/>
    <w:rsid w:val="00F54754"/>
    <w:rsid w:val="00F54830"/>
    <w:rsid w:val="00F54870"/>
    <w:rsid w:val="00F5491A"/>
    <w:rsid w:val="00F54991"/>
    <w:rsid w:val="00F5499F"/>
    <w:rsid w:val="00F54A34"/>
    <w:rsid w:val="00F54B27"/>
    <w:rsid w:val="00F54C2B"/>
    <w:rsid w:val="00F54E28"/>
    <w:rsid w:val="00F54FD3"/>
    <w:rsid w:val="00F55083"/>
    <w:rsid w:val="00F55112"/>
    <w:rsid w:val="00F5513A"/>
    <w:rsid w:val="00F552A7"/>
    <w:rsid w:val="00F5531F"/>
    <w:rsid w:val="00F5540F"/>
    <w:rsid w:val="00F5543E"/>
    <w:rsid w:val="00F554D0"/>
    <w:rsid w:val="00F554EF"/>
    <w:rsid w:val="00F5563F"/>
    <w:rsid w:val="00F55664"/>
    <w:rsid w:val="00F556AC"/>
    <w:rsid w:val="00F556D0"/>
    <w:rsid w:val="00F556E5"/>
    <w:rsid w:val="00F557AA"/>
    <w:rsid w:val="00F557B0"/>
    <w:rsid w:val="00F557C3"/>
    <w:rsid w:val="00F55919"/>
    <w:rsid w:val="00F559BA"/>
    <w:rsid w:val="00F559DC"/>
    <w:rsid w:val="00F55A7A"/>
    <w:rsid w:val="00F55BB9"/>
    <w:rsid w:val="00F55C4F"/>
    <w:rsid w:val="00F55C53"/>
    <w:rsid w:val="00F55CEE"/>
    <w:rsid w:val="00F55E37"/>
    <w:rsid w:val="00F55E85"/>
    <w:rsid w:val="00F55EC7"/>
    <w:rsid w:val="00F55FC5"/>
    <w:rsid w:val="00F56011"/>
    <w:rsid w:val="00F560A5"/>
    <w:rsid w:val="00F56186"/>
    <w:rsid w:val="00F56198"/>
    <w:rsid w:val="00F561CB"/>
    <w:rsid w:val="00F56203"/>
    <w:rsid w:val="00F5625B"/>
    <w:rsid w:val="00F5628D"/>
    <w:rsid w:val="00F56371"/>
    <w:rsid w:val="00F563BF"/>
    <w:rsid w:val="00F5658A"/>
    <w:rsid w:val="00F565B7"/>
    <w:rsid w:val="00F565C3"/>
    <w:rsid w:val="00F5662E"/>
    <w:rsid w:val="00F566D6"/>
    <w:rsid w:val="00F5678E"/>
    <w:rsid w:val="00F56B3D"/>
    <w:rsid w:val="00F56C34"/>
    <w:rsid w:val="00F56C41"/>
    <w:rsid w:val="00F56C80"/>
    <w:rsid w:val="00F56DD2"/>
    <w:rsid w:val="00F56E24"/>
    <w:rsid w:val="00F56E7B"/>
    <w:rsid w:val="00F56F1F"/>
    <w:rsid w:val="00F56F53"/>
    <w:rsid w:val="00F56FA7"/>
    <w:rsid w:val="00F57034"/>
    <w:rsid w:val="00F570C1"/>
    <w:rsid w:val="00F570CD"/>
    <w:rsid w:val="00F570D3"/>
    <w:rsid w:val="00F570F0"/>
    <w:rsid w:val="00F57228"/>
    <w:rsid w:val="00F57282"/>
    <w:rsid w:val="00F57294"/>
    <w:rsid w:val="00F5735B"/>
    <w:rsid w:val="00F5738D"/>
    <w:rsid w:val="00F573C6"/>
    <w:rsid w:val="00F57415"/>
    <w:rsid w:val="00F57501"/>
    <w:rsid w:val="00F57513"/>
    <w:rsid w:val="00F57568"/>
    <w:rsid w:val="00F5761F"/>
    <w:rsid w:val="00F57699"/>
    <w:rsid w:val="00F5770A"/>
    <w:rsid w:val="00F57767"/>
    <w:rsid w:val="00F577AE"/>
    <w:rsid w:val="00F577DC"/>
    <w:rsid w:val="00F5780C"/>
    <w:rsid w:val="00F578F0"/>
    <w:rsid w:val="00F579E9"/>
    <w:rsid w:val="00F57AC3"/>
    <w:rsid w:val="00F57AD1"/>
    <w:rsid w:val="00F57B06"/>
    <w:rsid w:val="00F57CD3"/>
    <w:rsid w:val="00F57D6C"/>
    <w:rsid w:val="00F57FAA"/>
    <w:rsid w:val="00F57FCE"/>
    <w:rsid w:val="00F57FE2"/>
    <w:rsid w:val="00F600A0"/>
    <w:rsid w:val="00F6010F"/>
    <w:rsid w:val="00F60150"/>
    <w:rsid w:val="00F60194"/>
    <w:rsid w:val="00F6022B"/>
    <w:rsid w:val="00F60286"/>
    <w:rsid w:val="00F602BB"/>
    <w:rsid w:val="00F60307"/>
    <w:rsid w:val="00F6034B"/>
    <w:rsid w:val="00F604A2"/>
    <w:rsid w:val="00F604ED"/>
    <w:rsid w:val="00F60555"/>
    <w:rsid w:val="00F605D4"/>
    <w:rsid w:val="00F605F2"/>
    <w:rsid w:val="00F606D3"/>
    <w:rsid w:val="00F6077D"/>
    <w:rsid w:val="00F607D7"/>
    <w:rsid w:val="00F60802"/>
    <w:rsid w:val="00F6088C"/>
    <w:rsid w:val="00F6089E"/>
    <w:rsid w:val="00F608CA"/>
    <w:rsid w:val="00F608E9"/>
    <w:rsid w:val="00F60943"/>
    <w:rsid w:val="00F6095D"/>
    <w:rsid w:val="00F60989"/>
    <w:rsid w:val="00F609C9"/>
    <w:rsid w:val="00F60BA1"/>
    <w:rsid w:val="00F60BC3"/>
    <w:rsid w:val="00F60CDE"/>
    <w:rsid w:val="00F60D49"/>
    <w:rsid w:val="00F60D96"/>
    <w:rsid w:val="00F60E01"/>
    <w:rsid w:val="00F60E2B"/>
    <w:rsid w:val="00F60E4A"/>
    <w:rsid w:val="00F60EE7"/>
    <w:rsid w:val="00F6118E"/>
    <w:rsid w:val="00F6121A"/>
    <w:rsid w:val="00F61236"/>
    <w:rsid w:val="00F612B7"/>
    <w:rsid w:val="00F61399"/>
    <w:rsid w:val="00F613F6"/>
    <w:rsid w:val="00F61430"/>
    <w:rsid w:val="00F61549"/>
    <w:rsid w:val="00F61564"/>
    <w:rsid w:val="00F61590"/>
    <w:rsid w:val="00F61641"/>
    <w:rsid w:val="00F61678"/>
    <w:rsid w:val="00F616EF"/>
    <w:rsid w:val="00F617A8"/>
    <w:rsid w:val="00F618A3"/>
    <w:rsid w:val="00F61BAE"/>
    <w:rsid w:val="00F61C05"/>
    <w:rsid w:val="00F61CA8"/>
    <w:rsid w:val="00F61CC0"/>
    <w:rsid w:val="00F61CDE"/>
    <w:rsid w:val="00F61CEB"/>
    <w:rsid w:val="00F61DE9"/>
    <w:rsid w:val="00F61E20"/>
    <w:rsid w:val="00F61E4B"/>
    <w:rsid w:val="00F61F08"/>
    <w:rsid w:val="00F61F8B"/>
    <w:rsid w:val="00F61FC9"/>
    <w:rsid w:val="00F6204C"/>
    <w:rsid w:val="00F6204D"/>
    <w:rsid w:val="00F620F8"/>
    <w:rsid w:val="00F622F1"/>
    <w:rsid w:val="00F62387"/>
    <w:rsid w:val="00F623DE"/>
    <w:rsid w:val="00F6265B"/>
    <w:rsid w:val="00F626F6"/>
    <w:rsid w:val="00F6277B"/>
    <w:rsid w:val="00F627FC"/>
    <w:rsid w:val="00F628A9"/>
    <w:rsid w:val="00F629C9"/>
    <w:rsid w:val="00F62A7D"/>
    <w:rsid w:val="00F62AB1"/>
    <w:rsid w:val="00F62B8B"/>
    <w:rsid w:val="00F62C12"/>
    <w:rsid w:val="00F62D80"/>
    <w:rsid w:val="00F62E0A"/>
    <w:rsid w:val="00F63043"/>
    <w:rsid w:val="00F63106"/>
    <w:rsid w:val="00F6317A"/>
    <w:rsid w:val="00F6325A"/>
    <w:rsid w:val="00F6332D"/>
    <w:rsid w:val="00F63431"/>
    <w:rsid w:val="00F6343F"/>
    <w:rsid w:val="00F63440"/>
    <w:rsid w:val="00F6345B"/>
    <w:rsid w:val="00F634CA"/>
    <w:rsid w:val="00F63515"/>
    <w:rsid w:val="00F6368D"/>
    <w:rsid w:val="00F636BF"/>
    <w:rsid w:val="00F636EB"/>
    <w:rsid w:val="00F63705"/>
    <w:rsid w:val="00F637AC"/>
    <w:rsid w:val="00F637AE"/>
    <w:rsid w:val="00F637C8"/>
    <w:rsid w:val="00F6382D"/>
    <w:rsid w:val="00F638E1"/>
    <w:rsid w:val="00F63A49"/>
    <w:rsid w:val="00F63AC8"/>
    <w:rsid w:val="00F63B2C"/>
    <w:rsid w:val="00F63BC2"/>
    <w:rsid w:val="00F63BCF"/>
    <w:rsid w:val="00F63C06"/>
    <w:rsid w:val="00F63C24"/>
    <w:rsid w:val="00F63CE4"/>
    <w:rsid w:val="00F63D08"/>
    <w:rsid w:val="00F63DDC"/>
    <w:rsid w:val="00F63EE0"/>
    <w:rsid w:val="00F6401B"/>
    <w:rsid w:val="00F6411E"/>
    <w:rsid w:val="00F64139"/>
    <w:rsid w:val="00F6415A"/>
    <w:rsid w:val="00F64179"/>
    <w:rsid w:val="00F641C0"/>
    <w:rsid w:val="00F641F6"/>
    <w:rsid w:val="00F64258"/>
    <w:rsid w:val="00F642A3"/>
    <w:rsid w:val="00F642FE"/>
    <w:rsid w:val="00F6433C"/>
    <w:rsid w:val="00F64357"/>
    <w:rsid w:val="00F64371"/>
    <w:rsid w:val="00F643B4"/>
    <w:rsid w:val="00F64430"/>
    <w:rsid w:val="00F6455A"/>
    <w:rsid w:val="00F64567"/>
    <w:rsid w:val="00F645DE"/>
    <w:rsid w:val="00F6463A"/>
    <w:rsid w:val="00F646BD"/>
    <w:rsid w:val="00F647E6"/>
    <w:rsid w:val="00F6483D"/>
    <w:rsid w:val="00F64855"/>
    <w:rsid w:val="00F64856"/>
    <w:rsid w:val="00F64898"/>
    <w:rsid w:val="00F648F5"/>
    <w:rsid w:val="00F6495F"/>
    <w:rsid w:val="00F649E2"/>
    <w:rsid w:val="00F64C2F"/>
    <w:rsid w:val="00F64C57"/>
    <w:rsid w:val="00F64D24"/>
    <w:rsid w:val="00F64D56"/>
    <w:rsid w:val="00F64F25"/>
    <w:rsid w:val="00F6505F"/>
    <w:rsid w:val="00F65202"/>
    <w:rsid w:val="00F653C4"/>
    <w:rsid w:val="00F6549D"/>
    <w:rsid w:val="00F654D0"/>
    <w:rsid w:val="00F654E3"/>
    <w:rsid w:val="00F6551C"/>
    <w:rsid w:val="00F65653"/>
    <w:rsid w:val="00F6568B"/>
    <w:rsid w:val="00F656FC"/>
    <w:rsid w:val="00F65734"/>
    <w:rsid w:val="00F657A9"/>
    <w:rsid w:val="00F6580F"/>
    <w:rsid w:val="00F65816"/>
    <w:rsid w:val="00F658E8"/>
    <w:rsid w:val="00F65914"/>
    <w:rsid w:val="00F65ABE"/>
    <w:rsid w:val="00F65B08"/>
    <w:rsid w:val="00F65BAD"/>
    <w:rsid w:val="00F65BD1"/>
    <w:rsid w:val="00F65C32"/>
    <w:rsid w:val="00F65EE0"/>
    <w:rsid w:val="00F65F56"/>
    <w:rsid w:val="00F65F85"/>
    <w:rsid w:val="00F66028"/>
    <w:rsid w:val="00F6607C"/>
    <w:rsid w:val="00F660A8"/>
    <w:rsid w:val="00F66120"/>
    <w:rsid w:val="00F66144"/>
    <w:rsid w:val="00F66168"/>
    <w:rsid w:val="00F661CD"/>
    <w:rsid w:val="00F66221"/>
    <w:rsid w:val="00F6624A"/>
    <w:rsid w:val="00F662F2"/>
    <w:rsid w:val="00F66354"/>
    <w:rsid w:val="00F663F9"/>
    <w:rsid w:val="00F66414"/>
    <w:rsid w:val="00F66514"/>
    <w:rsid w:val="00F665C8"/>
    <w:rsid w:val="00F665DC"/>
    <w:rsid w:val="00F66628"/>
    <w:rsid w:val="00F66653"/>
    <w:rsid w:val="00F666F5"/>
    <w:rsid w:val="00F666FA"/>
    <w:rsid w:val="00F66717"/>
    <w:rsid w:val="00F6675A"/>
    <w:rsid w:val="00F66782"/>
    <w:rsid w:val="00F667CE"/>
    <w:rsid w:val="00F668A5"/>
    <w:rsid w:val="00F66934"/>
    <w:rsid w:val="00F66939"/>
    <w:rsid w:val="00F669FC"/>
    <w:rsid w:val="00F66A19"/>
    <w:rsid w:val="00F66A22"/>
    <w:rsid w:val="00F66A7B"/>
    <w:rsid w:val="00F66A8E"/>
    <w:rsid w:val="00F66A94"/>
    <w:rsid w:val="00F66ACF"/>
    <w:rsid w:val="00F66D70"/>
    <w:rsid w:val="00F66E08"/>
    <w:rsid w:val="00F66FF8"/>
    <w:rsid w:val="00F6704A"/>
    <w:rsid w:val="00F6708E"/>
    <w:rsid w:val="00F67096"/>
    <w:rsid w:val="00F670FA"/>
    <w:rsid w:val="00F67141"/>
    <w:rsid w:val="00F67181"/>
    <w:rsid w:val="00F671C2"/>
    <w:rsid w:val="00F67222"/>
    <w:rsid w:val="00F672DB"/>
    <w:rsid w:val="00F672DF"/>
    <w:rsid w:val="00F673AB"/>
    <w:rsid w:val="00F6741C"/>
    <w:rsid w:val="00F67462"/>
    <w:rsid w:val="00F674E2"/>
    <w:rsid w:val="00F674FA"/>
    <w:rsid w:val="00F67504"/>
    <w:rsid w:val="00F67586"/>
    <w:rsid w:val="00F675DB"/>
    <w:rsid w:val="00F67628"/>
    <w:rsid w:val="00F67706"/>
    <w:rsid w:val="00F677EE"/>
    <w:rsid w:val="00F677F6"/>
    <w:rsid w:val="00F67842"/>
    <w:rsid w:val="00F678F1"/>
    <w:rsid w:val="00F678F9"/>
    <w:rsid w:val="00F6794C"/>
    <w:rsid w:val="00F67975"/>
    <w:rsid w:val="00F679B8"/>
    <w:rsid w:val="00F679FB"/>
    <w:rsid w:val="00F679FF"/>
    <w:rsid w:val="00F67A2D"/>
    <w:rsid w:val="00F67B0E"/>
    <w:rsid w:val="00F67B2A"/>
    <w:rsid w:val="00F67B82"/>
    <w:rsid w:val="00F67BBD"/>
    <w:rsid w:val="00F67C34"/>
    <w:rsid w:val="00F67CB0"/>
    <w:rsid w:val="00F67CBA"/>
    <w:rsid w:val="00F67CF2"/>
    <w:rsid w:val="00F67CF9"/>
    <w:rsid w:val="00F67D75"/>
    <w:rsid w:val="00F67DFC"/>
    <w:rsid w:val="00F67E04"/>
    <w:rsid w:val="00F67F76"/>
    <w:rsid w:val="00F67F9A"/>
    <w:rsid w:val="00F700E8"/>
    <w:rsid w:val="00F700F5"/>
    <w:rsid w:val="00F7013A"/>
    <w:rsid w:val="00F7013C"/>
    <w:rsid w:val="00F701DE"/>
    <w:rsid w:val="00F702F5"/>
    <w:rsid w:val="00F70413"/>
    <w:rsid w:val="00F70485"/>
    <w:rsid w:val="00F704BF"/>
    <w:rsid w:val="00F70531"/>
    <w:rsid w:val="00F705B4"/>
    <w:rsid w:val="00F705DD"/>
    <w:rsid w:val="00F7067B"/>
    <w:rsid w:val="00F70795"/>
    <w:rsid w:val="00F707C5"/>
    <w:rsid w:val="00F707D8"/>
    <w:rsid w:val="00F70898"/>
    <w:rsid w:val="00F708AE"/>
    <w:rsid w:val="00F70A03"/>
    <w:rsid w:val="00F70A14"/>
    <w:rsid w:val="00F70AF1"/>
    <w:rsid w:val="00F70C93"/>
    <w:rsid w:val="00F70E4C"/>
    <w:rsid w:val="00F70E8B"/>
    <w:rsid w:val="00F70ED4"/>
    <w:rsid w:val="00F70F1D"/>
    <w:rsid w:val="00F70F2F"/>
    <w:rsid w:val="00F70F5C"/>
    <w:rsid w:val="00F71008"/>
    <w:rsid w:val="00F711DB"/>
    <w:rsid w:val="00F7141A"/>
    <w:rsid w:val="00F7142C"/>
    <w:rsid w:val="00F7142E"/>
    <w:rsid w:val="00F715D0"/>
    <w:rsid w:val="00F71630"/>
    <w:rsid w:val="00F7168E"/>
    <w:rsid w:val="00F71701"/>
    <w:rsid w:val="00F71720"/>
    <w:rsid w:val="00F7182F"/>
    <w:rsid w:val="00F7192A"/>
    <w:rsid w:val="00F719E3"/>
    <w:rsid w:val="00F71A69"/>
    <w:rsid w:val="00F71C68"/>
    <w:rsid w:val="00F71D1B"/>
    <w:rsid w:val="00F71D2C"/>
    <w:rsid w:val="00F71E07"/>
    <w:rsid w:val="00F71E32"/>
    <w:rsid w:val="00F71E3E"/>
    <w:rsid w:val="00F71E4C"/>
    <w:rsid w:val="00F71F02"/>
    <w:rsid w:val="00F71F5B"/>
    <w:rsid w:val="00F72078"/>
    <w:rsid w:val="00F72089"/>
    <w:rsid w:val="00F720A7"/>
    <w:rsid w:val="00F72188"/>
    <w:rsid w:val="00F7218A"/>
    <w:rsid w:val="00F72194"/>
    <w:rsid w:val="00F72266"/>
    <w:rsid w:val="00F72285"/>
    <w:rsid w:val="00F7234A"/>
    <w:rsid w:val="00F7247F"/>
    <w:rsid w:val="00F72697"/>
    <w:rsid w:val="00F7285A"/>
    <w:rsid w:val="00F7299C"/>
    <w:rsid w:val="00F729B6"/>
    <w:rsid w:val="00F72A20"/>
    <w:rsid w:val="00F72A8F"/>
    <w:rsid w:val="00F72AE8"/>
    <w:rsid w:val="00F72C07"/>
    <w:rsid w:val="00F72D53"/>
    <w:rsid w:val="00F72D75"/>
    <w:rsid w:val="00F72DD5"/>
    <w:rsid w:val="00F72EFD"/>
    <w:rsid w:val="00F72F04"/>
    <w:rsid w:val="00F72FA2"/>
    <w:rsid w:val="00F72FF7"/>
    <w:rsid w:val="00F7300A"/>
    <w:rsid w:val="00F73087"/>
    <w:rsid w:val="00F73123"/>
    <w:rsid w:val="00F7319F"/>
    <w:rsid w:val="00F731FA"/>
    <w:rsid w:val="00F7325E"/>
    <w:rsid w:val="00F73308"/>
    <w:rsid w:val="00F7332C"/>
    <w:rsid w:val="00F73365"/>
    <w:rsid w:val="00F73465"/>
    <w:rsid w:val="00F7373C"/>
    <w:rsid w:val="00F73828"/>
    <w:rsid w:val="00F73946"/>
    <w:rsid w:val="00F7396F"/>
    <w:rsid w:val="00F73A44"/>
    <w:rsid w:val="00F73F25"/>
    <w:rsid w:val="00F73F80"/>
    <w:rsid w:val="00F74108"/>
    <w:rsid w:val="00F741AD"/>
    <w:rsid w:val="00F74268"/>
    <w:rsid w:val="00F744AF"/>
    <w:rsid w:val="00F744B8"/>
    <w:rsid w:val="00F74504"/>
    <w:rsid w:val="00F74604"/>
    <w:rsid w:val="00F7466B"/>
    <w:rsid w:val="00F749AE"/>
    <w:rsid w:val="00F749E9"/>
    <w:rsid w:val="00F74A3E"/>
    <w:rsid w:val="00F74AD1"/>
    <w:rsid w:val="00F74B5E"/>
    <w:rsid w:val="00F74C0B"/>
    <w:rsid w:val="00F74C2D"/>
    <w:rsid w:val="00F74C4C"/>
    <w:rsid w:val="00F74C7C"/>
    <w:rsid w:val="00F74CAD"/>
    <w:rsid w:val="00F74CC6"/>
    <w:rsid w:val="00F74CE5"/>
    <w:rsid w:val="00F74DE3"/>
    <w:rsid w:val="00F74E3D"/>
    <w:rsid w:val="00F74E40"/>
    <w:rsid w:val="00F74EDF"/>
    <w:rsid w:val="00F74F79"/>
    <w:rsid w:val="00F750BB"/>
    <w:rsid w:val="00F75260"/>
    <w:rsid w:val="00F75284"/>
    <w:rsid w:val="00F754FD"/>
    <w:rsid w:val="00F75614"/>
    <w:rsid w:val="00F75642"/>
    <w:rsid w:val="00F75738"/>
    <w:rsid w:val="00F757E9"/>
    <w:rsid w:val="00F759AA"/>
    <w:rsid w:val="00F759ED"/>
    <w:rsid w:val="00F75A67"/>
    <w:rsid w:val="00F75AC4"/>
    <w:rsid w:val="00F75AFC"/>
    <w:rsid w:val="00F75B80"/>
    <w:rsid w:val="00F75C52"/>
    <w:rsid w:val="00F75C62"/>
    <w:rsid w:val="00F75D0B"/>
    <w:rsid w:val="00F75DD5"/>
    <w:rsid w:val="00F75F6A"/>
    <w:rsid w:val="00F76075"/>
    <w:rsid w:val="00F760AE"/>
    <w:rsid w:val="00F760FE"/>
    <w:rsid w:val="00F76146"/>
    <w:rsid w:val="00F7617D"/>
    <w:rsid w:val="00F761DE"/>
    <w:rsid w:val="00F76268"/>
    <w:rsid w:val="00F76324"/>
    <w:rsid w:val="00F763B3"/>
    <w:rsid w:val="00F763C3"/>
    <w:rsid w:val="00F76779"/>
    <w:rsid w:val="00F7679B"/>
    <w:rsid w:val="00F767CE"/>
    <w:rsid w:val="00F768B0"/>
    <w:rsid w:val="00F76992"/>
    <w:rsid w:val="00F769DE"/>
    <w:rsid w:val="00F76A2A"/>
    <w:rsid w:val="00F76A84"/>
    <w:rsid w:val="00F76B80"/>
    <w:rsid w:val="00F76C6D"/>
    <w:rsid w:val="00F76CF2"/>
    <w:rsid w:val="00F76D00"/>
    <w:rsid w:val="00F76D21"/>
    <w:rsid w:val="00F76E2B"/>
    <w:rsid w:val="00F76E65"/>
    <w:rsid w:val="00F76E76"/>
    <w:rsid w:val="00F76EAC"/>
    <w:rsid w:val="00F76FC3"/>
    <w:rsid w:val="00F76FCD"/>
    <w:rsid w:val="00F770F9"/>
    <w:rsid w:val="00F771C6"/>
    <w:rsid w:val="00F77309"/>
    <w:rsid w:val="00F77347"/>
    <w:rsid w:val="00F773BB"/>
    <w:rsid w:val="00F774FC"/>
    <w:rsid w:val="00F7751E"/>
    <w:rsid w:val="00F775C5"/>
    <w:rsid w:val="00F77657"/>
    <w:rsid w:val="00F776FE"/>
    <w:rsid w:val="00F777B1"/>
    <w:rsid w:val="00F77861"/>
    <w:rsid w:val="00F77984"/>
    <w:rsid w:val="00F77999"/>
    <w:rsid w:val="00F779ED"/>
    <w:rsid w:val="00F77AB1"/>
    <w:rsid w:val="00F77AD1"/>
    <w:rsid w:val="00F77B27"/>
    <w:rsid w:val="00F77C7A"/>
    <w:rsid w:val="00F77CF8"/>
    <w:rsid w:val="00F77D1B"/>
    <w:rsid w:val="00F77D21"/>
    <w:rsid w:val="00F77D27"/>
    <w:rsid w:val="00F77DB9"/>
    <w:rsid w:val="00F77E26"/>
    <w:rsid w:val="00F77E6D"/>
    <w:rsid w:val="00F77ED2"/>
    <w:rsid w:val="00F77F69"/>
    <w:rsid w:val="00F80112"/>
    <w:rsid w:val="00F80313"/>
    <w:rsid w:val="00F80390"/>
    <w:rsid w:val="00F80533"/>
    <w:rsid w:val="00F80676"/>
    <w:rsid w:val="00F8070C"/>
    <w:rsid w:val="00F80774"/>
    <w:rsid w:val="00F80A77"/>
    <w:rsid w:val="00F80C15"/>
    <w:rsid w:val="00F80D5E"/>
    <w:rsid w:val="00F80E1D"/>
    <w:rsid w:val="00F80E62"/>
    <w:rsid w:val="00F80EDA"/>
    <w:rsid w:val="00F80F87"/>
    <w:rsid w:val="00F81017"/>
    <w:rsid w:val="00F81068"/>
    <w:rsid w:val="00F81075"/>
    <w:rsid w:val="00F81085"/>
    <w:rsid w:val="00F811DA"/>
    <w:rsid w:val="00F81222"/>
    <w:rsid w:val="00F8122C"/>
    <w:rsid w:val="00F812C8"/>
    <w:rsid w:val="00F81311"/>
    <w:rsid w:val="00F81327"/>
    <w:rsid w:val="00F8144A"/>
    <w:rsid w:val="00F81551"/>
    <w:rsid w:val="00F81601"/>
    <w:rsid w:val="00F81634"/>
    <w:rsid w:val="00F81778"/>
    <w:rsid w:val="00F817F2"/>
    <w:rsid w:val="00F81851"/>
    <w:rsid w:val="00F81866"/>
    <w:rsid w:val="00F819B7"/>
    <w:rsid w:val="00F819E8"/>
    <w:rsid w:val="00F81A24"/>
    <w:rsid w:val="00F81AFC"/>
    <w:rsid w:val="00F81D20"/>
    <w:rsid w:val="00F81D81"/>
    <w:rsid w:val="00F81DC5"/>
    <w:rsid w:val="00F81EF5"/>
    <w:rsid w:val="00F81F1C"/>
    <w:rsid w:val="00F81F8A"/>
    <w:rsid w:val="00F81FA5"/>
    <w:rsid w:val="00F81FCF"/>
    <w:rsid w:val="00F81FFB"/>
    <w:rsid w:val="00F81FFD"/>
    <w:rsid w:val="00F82040"/>
    <w:rsid w:val="00F82181"/>
    <w:rsid w:val="00F821B1"/>
    <w:rsid w:val="00F82237"/>
    <w:rsid w:val="00F8224F"/>
    <w:rsid w:val="00F8225A"/>
    <w:rsid w:val="00F82360"/>
    <w:rsid w:val="00F82396"/>
    <w:rsid w:val="00F82404"/>
    <w:rsid w:val="00F8241B"/>
    <w:rsid w:val="00F82461"/>
    <w:rsid w:val="00F82516"/>
    <w:rsid w:val="00F82553"/>
    <w:rsid w:val="00F8259B"/>
    <w:rsid w:val="00F825D8"/>
    <w:rsid w:val="00F82621"/>
    <w:rsid w:val="00F82660"/>
    <w:rsid w:val="00F826CC"/>
    <w:rsid w:val="00F826D9"/>
    <w:rsid w:val="00F82723"/>
    <w:rsid w:val="00F827E9"/>
    <w:rsid w:val="00F82803"/>
    <w:rsid w:val="00F8282C"/>
    <w:rsid w:val="00F82835"/>
    <w:rsid w:val="00F828DC"/>
    <w:rsid w:val="00F82A3D"/>
    <w:rsid w:val="00F82A73"/>
    <w:rsid w:val="00F82AB5"/>
    <w:rsid w:val="00F82AE5"/>
    <w:rsid w:val="00F82B05"/>
    <w:rsid w:val="00F82B18"/>
    <w:rsid w:val="00F82B57"/>
    <w:rsid w:val="00F82C8A"/>
    <w:rsid w:val="00F82CE9"/>
    <w:rsid w:val="00F82DBA"/>
    <w:rsid w:val="00F82EF6"/>
    <w:rsid w:val="00F82F6C"/>
    <w:rsid w:val="00F8306E"/>
    <w:rsid w:val="00F830B3"/>
    <w:rsid w:val="00F831E3"/>
    <w:rsid w:val="00F833A1"/>
    <w:rsid w:val="00F83471"/>
    <w:rsid w:val="00F8351C"/>
    <w:rsid w:val="00F8362B"/>
    <w:rsid w:val="00F83647"/>
    <w:rsid w:val="00F836EE"/>
    <w:rsid w:val="00F837A4"/>
    <w:rsid w:val="00F837B5"/>
    <w:rsid w:val="00F837E7"/>
    <w:rsid w:val="00F8390E"/>
    <w:rsid w:val="00F8397B"/>
    <w:rsid w:val="00F83B30"/>
    <w:rsid w:val="00F83B49"/>
    <w:rsid w:val="00F83BB3"/>
    <w:rsid w:val="00F83BD4"/>
    <w:rsid w:val="00F83C65"/>
    <w:rsid w:val="00F83CB3"/>
    <w:rsid w:val="00F83DA1"/>
    <w:rsid w:val="00F83DDC"/>
    <w:rsid w:val="00F83E02"/>
    <w:rsid w:val="00F83EA2"/>
    <w:rsid w:val="00F83EE4"/>
    <w:rsid w:val="00F83F75"/>
    <w:rsid w:val="00F83F82"/>
    <w:rsid w:val="00F83F89"/>
    <w:rsid w:val="00F84145"/>
    <w:rsid w:val="00F841D6"/>
    <w:rsid w:val="00F84264"/>
    <w:rsid w:val="00F84346"/>
    <w:rsid w:val="00F8435C"/>
    <w:rsid w:val="00F843A4"/>
    <w:rsid w:val="00F843AC"/>
    <w:rsid w:val="00F84474"/>
    <w:rsid w:val="00F84567"/>
    <w:rsid w:val="00F846AD"/>
    <w:rsid w:val="00F846F4"/>
    <w:rsid w:val="00F847F0"/>
    <w:rsid w:val="00F84880"/>
    <w:rsid w:val="00F84981"/>
    <w:rsid w:val="00F84988"/>
    <w:rsid w:val="00F84A08"/>
    <w:rsid w:val="00F84A46"/>
    <w:rsid w:val="00F84A75"/>
    <w:rsid w:val="00F84A8C"/>
    <w:rsid w:val="00F84C38"/>
    <w:rsid w:val="00F84C7B"/>
    <w:rsid w:val="00F84DE4"/>
    <w:rsid w:val="00F84DF8"/>
    <w:rsid w:val="00F84E5B"/>
    <w:rsid w:val="00F8501A"/>
    <w:rsid w:val="00F850B1"/>
    <w:rsid w:val="00F850C2"/>
    <w:rsid w:val="00F85162"/>
    <w:rsid w:val="00F852D0"/>
    <w:rsid w:val="00F85326"/>
    <w:rsid w:val="00F8539F"/>
    <w:rsid w:val="00F853AF"/>
    <w:rsid w:val="00F853ED"/>
    <w:rsid w:val="00F85443"/>
    <w:rsid w:val="00F855DC"/>
    <w:rsid w:val="00F8566D"/>
    <w:rsid w:val="00F85689"/>
    <w:rsid w:val="00F856CE"/>
    <w:rsid w:val="00F85704"/>
    <w:rsid w:val="00F85708"/>
    <w:rsid w:val="00F85776"/>
    <w:rsid w:val="00F8591F"/>
    <w:rsid w:val="00F859A6"/>
    <w:rsid w:val="00F85AA7"/>
    <w:rsid w:val="00F85C39"/>
    <w:rsid w:val="00F85C9B"/>
    <w:rsid w:val="00F85CCF"/>
    <w:rsid w:val="00F85DDA"/>
    <w:rsid w:val="00F85ED4"/>
    <w:rsid w:val="00F85EE1"/>
    <w:rsid w:val="00F86190"/>
    <w:rsid w:val="00F8627E"/>
    <w:rsid w:val="00F862B9"/>
    <w:rsid w:val="00F8663B"/>
    <w:rsid w:val="00F86658"/>
    <w:rsid w:val="00F866D6"/>
    <w:rsid w:val="00F86764"/>
    <w:rsid w:val="00F86AAC"/>
    <w:rsid w:val="00F86B56"/>
    <w:rsid w:val="00F86BBD"/>
    <w:rsid w:val="00F86BFA"/>
    <w:rsid w:val="00F86C5C"/>
    <w:rsid w:val="00F86D5C"/>
    <w:rsid w:val="00F86DC9"/>
    <w:rsid w:val="00F86F78"/>
    <w:rsid w:val="00F86F7B"/>
    <w:rsid w:val="00F86FA8"/>
    <w:rsid w:val="00F86FBB"/>
    <w:rsid w:val="00F8704C"/>
    <w:rsid w:val="00F87191"/>
    <w:rsid w:val="00F8723E"/>
    <w:rsid w:val="00F8726F"/>
    <w:rsid w:val="00F872D1"/>
    <w:rsid w:val="00F87306"/>
    <w:rsid w:val="00F87319"/>
    <w:rsid w:val="00F87440"/>
    <w:rsid w:val="00F87453"/>
    <w:rsid w:val="00F874C2"/>
    <w:rsid w:val="00F87566"/>
    <w:rsid w:val="00F87644"/>
    <w:rsid w:val="00F876F1"/>
    <w:rsid w:val="00F87704"/>
    <w:rsid w:val="00F8779C"/>
    <w:rsid w:val="00F87822"/>
    <w:rsid w:val="00F87864"/>
    <w:rsid w:val="00F87877"/>
    <w:rsid w:val="00F878B1"/>
    <w:rsid w:val="00F878DA"/>
    <w:rsid w:val="00F87A3D"/>
    <w:rsid w:val="00F87B15"/>
    <w:rsid w:val="00F87B31"/>
    <w:rsid w:val="00F87BD8"/>
    <w:rsid w:val="00F87BDE"/>
    <w:rsid w:val="00F87D50"/>
    <w:rsid w:val="00F87DBD"/>
    <w:rsid w:val="00F87DF6"/>
    <w:rsid w:val="00F87DFB"/>
    <w:rsid w:val="00F87F7A"/>
    <w:rsid w:val="00F87FDE"/>
    <w:rsid w:val="00F9006C"/>
    <w:rsid w:val="00F90207"/>
    <w:rsid w:val="00F9034C"/>
    <w:rsid w:val="00F9035B"/>
    <w:rsid w:val="00F9037A"/>
    <w:rsid w:val="00F90512"/>
    <w:rsid w:val="00F905DF"/>
    <w:rsid w:val="00F90633"/>
    <w:rsid w:val="00F90677"/>
    <w:rsid w:val="00F906B8"/>
    <w:rsid w:val="00F907E9"/>
    <w:rsid w:val="00F907ED"/>
    <w:rsid w:val="00F90A4D"/>
    <w:rsid w:val="00F90A67"/>
    <w:rsid w:val="00F90B40"/>
    <w:rsid w:val="00F90BE9"/>
    <w:rsid w:val="00F90C15"/>
    <w:rsid w:val="00F90D9B"/>
    <w:rsid w:val="00F90F7C"/>
    <w:rsid w:val="00F90F9D"/>
    <w:rsid w:val="00F910CB"/>
    <w:rsid w:val="00F91285"/>
    <w:rsid w:val="00F91381"/>
    <w:rsid w:val="00F913E2"/>
    <w:rsid w:val="00F9142D"/>
    <w:rsid w:val="00F91545"/>
    <w:rsid w:val="00F915D4"/>
    <w:rsid w:val="00F91666"/>
    <w:rsid w:val="00F916E2"/>
    <w:rsid w:val="00F91808"/>
    <w:rsid w:val="00F91873"/>
    <w:rsid w:val="00F9193D"/>
    <w:rsid w:val="00F9195F"/>
    <w:rsid w:val="00F919BB"/>
    <w:rsid w:val="00F91A3A"/>
    <w:rsid w:val="00F91A5C"/>
    <w:rsid w:val="00F91A7C"/>
    <w:rsid w:val="00F91A7F"/>
    <w:rsid w:val="00F91B7C"/>
    <w:rsid w:val="00F91B99"/>
    <w:rsid w:val="00F91C56"/>
    <w:rsid w:val="00F91C6C"/>
    <w:rsid w:val="00F91CFB"/>
    <w:rsid w:val="00F91E08"/>
    <w:rsid w:val="00F91E74"/>
    <w:rsid w:val="00F91EF7"/>
    <w:rsid w:val="00F91F50"/>
    <w:rsid w:val="00F91FF3"/>
    <w:rsid w:val="00F92089"/>
    <w:rsid w:val="00F920DE"/>
    <w:rsid w:val="00F9219A"/>
    <w:rsid w:val="00F923B2"/>
    <w:rsid w:val="00F92418"/>
    <w:rsid w:val="00F9241F"/>
    <w:rsid w:val="00F925F3"/>
    <w:rsid w:val="00F92637"/>
    <w:rsid w:val="00F926A4"/>
    <w:rsid w:val="00F926AD"/>
    <w:rsid w:val="00F92808"/>
    <w:rsid w:val="00F92825"/>
    <w:rsid w:val="00F92879"/>
    <w:rsid w:val="00F928A4"/>
    <w:rsid w:val="00F92942"/>
    <w:rsid w:val="00F92A05"/>
    <w:rsid w:val="00F92A0D"/>
    <w:rsid w:val="00F92A57"/>
    <w:rsid w:val="00F92ABC"/>
    <w:rsid w:val="00F92B00"/>
    <w:rsid w:val="00F92B15"/>
    <w:rsid w:val="00F92BBD"/>
    <w:rsid w:val="00F92C1D"/>
    <w:rsid w:val="00F92D6A"/>
    <w:rsid w:val="00F92D73"/>
    <w:rsid w:val="00F92F24"/>
    <w:rsid w:val="00F92F38"/>
    <w:rsid w:val="00F92F40"/>
    <w:rsid w:val="00F92FE4"/>
    <w:rsid w:val="00F930E1"/>
    <w:rsid w:val="00F93181"/>
    <w:rsid w:val="00F9322E"/>
    <w:rsid w:val="00F9329C"/>
    <w:rsid w:val="00F9337C"/>
    <w:rsid w:val="00F9350D"/>
    <w:rsid w:val="00F9359F"/>
    <w:rsid w:val="00F93622"/>
    <w:rsid w:val="00F93766"/>
    <w:rsid w:val="00F93882"/>
    <w:rsid w:val="00F9393F"/>
    <w:rsid w:val="00F9394A"/>
    <w:rsid w:val="00F939CB"/>
    <w:rsid w:val="00F93A43"/>
    <w:rsid w:val="00F93AA0"/>
    <w:rsid w:val="00F93B18"/>
    <w:rsid w:val="00F93C74"/>
    <w:rsid w:val="00F93C8B"/>
    <w:rsid w:val="00F93D5D"/>
    <w:rsid w:val="00F93DD4"/>
    <w:rsid w:val="00F93E6C"/>
    <w:rsid w:val="00F93F4D"/>
    <w:rsid w:val="00F93F83"/>
    <w:rsid w:val="00F93F9A"/>
    <w:rsid w:val="00F93FA7"/>
    <w:rsid w:val="00F93FD6"/>
    <w:rsid w:val="00F941BA"/>
    <w:rsid w:val="00F941C5"/>
    <w:rsid w:val="00F9425F"/>
    <w:rsid w:val="00F942C7"/>
    <w:rsid w:val="00F9438D"/>
    <w:rsid w:val="00F944F0"/>
    <w:rsid w:val="00F94519"/>
    <w:rsid w:val="00F9454B"/>
    <w:rsid w:val="00F94569"/>
    <w:rsid w:val="00F945AE"/>
    <w:rsid w:val="00F945E6"/>
    <w:rsid w:val="00F945ED"/>
    <w:rsid w:val="00F94649"/>
    <w:rsid w:val="00F946B0"/>
    <w:rsid w:val="00F9473F"/>
    <w:rsid w:val="00F94748"/>
    <w:rsid w:val="00F94764"/>
    <w:rsid w:val="00F947AB"/>
    <w:rsid w:val="00F9488D"/>
    <w:rsid w:val="00F9493A"/>
    <w:rsid w:val="00F94B22"/>
    <w:rsid w:val="00F94B70"/>
    <w:rsid w:val="00F94B8A"/>
    <w:rsid w:val="00F94C58"/>
    <w:rsid w:val="00F94C5C"/>
    <w:rsid w:val="00F94C97"/>
    <w:rsid w:val="00F94CD4"/>
    <w:rsid w:val="00F94D60"/>
    <w:rsid w:val="00F94DEE"/>
    <w:rsid w:val="00F94F58"/>
    <w:rsid w:val="00F95071"/>
    <w:rsid w:val="00F95140"/>
    <w:rsid w:val="00F95182"/>
    <w:rsid w:val="00F95194"/>
    <w:rsid w:val="00F951BA"/>
    <w:rsid w:val="00F95241"/>
    <w:rsid w:val="00F953FF"/>
    <w:rsid w:val="00F95513"/>
    <w:rsid w:val="00F9551A"/>
    <w:rsid w:val="00F9557F"/>
    <w:rsid w:val="00F955D9"/>
    <w:rsid w:val="00F955FC"/>
    <w:rsid w:val="00F956B5"/>
    <w:rsid w:val="00F95840"/>
    <w:rsid w:val="00F9586D"/>
    <w:rsid w:val="00F959B9"/>
    <w:rsid w:val="00F959E3"/>
    <w:rsid w:val="00F95A07"/>
    <w:rsid w:val="00F95A3B"/>
    <w:rsid w:val="00F95DD3"/>
    <w:rsid w:val="00F95DF0"/>
    <w:rsid w:val="00F95E93"/>
    <w:rsid w:val="00F96030"/>
    <w:rsid w:val="00F96090"/>
    <w:rsid w:val="00F96106"/>
    <w:rsid w:val="00F96159"/>
    <w:rsid w:val="00F9622C"/>
    <w:rsid w:val="00F9632A"/>
    <w:rsid w:val="00F9639B"/>
    <w:rsid w:val="00F9640D"/>
    <w:rsid w:val="00F96468"/>
    <w:rsid w:val="00F9646C"/>
    <w:rsid w:val="00F96487"/>
    <w:rsid w:val="00F96526"/>
    <w:rsid w:val="00F965E0"/>
    <w:rsid w:val="00F965E4"/>
    <w:rsid w:val="00F968F6"/>
    <w:rsid w:val="00F969EB"/>
    <w:rsid w:val="00F96A34"/>
    <w:rsid w:val="00F96A9F"/>
    <w:rsid w:val="00F96B7A"/>
    <w:rsid w:val="00F96B86"/>
    <w:rsid w:val="00F96BB8"/>
    <w:rsid w:val="00F96C12"/>
    <w:rsid w:val="00F96C89"/>
    <w:rsid w:val="00F96CE1"/>
    <w:rsid w:val="00F96DC2"/>
    <w:rsid w:val="00F96E3E"/>
    <w:rsid w:val="00F96EDD"/>
    <w:rsid w:val="00F96FA9"/>
    <w:rsid w:val="00F96FC2"/>
    <w:rsid w:val="00F97068"/>
    <w:rsid w:val="00F97143"/>
    <w:rsid w:val="00F97165"/>
    <w:rsid w:val="00F9716D"/>
    <w:rsid w:val="00F971B6"/>
    <w:rsid w:val="00F97215"/>
    <w:rsid w:val="00F9728D"/>
    <w:rsid w:val="00F97352"/>
    <w:rsid w:val="00F973C8"/>
    <w:rsid w:val="00F973FD"/>
    <w:rsid w:val="00F97445"/>
    <w:rsid w:val="00F9747C"/>
    <w:rsid w:val="00F97510"/>
    <w:rsid w:val="00F97527"/>
    <w:rsid w:val="00F97529"/>
    <w:rsid w:val="00F9763A"/>
    <w:rsid w:val="00F97713"/>
    <w:rsid w:val="00F9771C"/>
    <w:rsid w:val="00F97761"/>
    <w:rsid w:val="00F9792E"/>
    <w:rsid w:val="00F9794B"/>
    <w:rsid w:val="00F97A35"/>
    <w:rsid w:val="00F97AEF"/>
    <w:rsid w:val="00F97BD2"/>
    <w:rsid w:val="00F97D38"/>
    <w:rsid w:val="00F97D3F"/>
    <w:rsid w:val="00F97D94"/>
    <w:rsid w:val="00F97E45"/>
    <w:rsid w:val="00F97E61"/>
    <w:rsid w:val="00F97F5B"/>
    <w:rsid w:val="00F97FD2"/>
    <w:rsid w:val="00FA00B7"/>
    <w:rsid w:val="00FA00EA"/>
    <w:rsid w:val="00FA011B"/>
    <w:rsid w:val="00FA018D"/>
    <w:rsid w:val="00FA01EB"/>
    <w:rsid w:val="00FA028D"/>
    <w:rsid w:val="00FA02EA"/>
    <w:rsid w:val="00FA03E5"/>
    <w:rsid w:val="00FA04D5"/>
    <w:rsid w:val="00FA057F"/>
    <w:rsid w:val="00FA05AF"/>
    <w:rsid w:val="00FA066B"/>
    <w:rsid w:val="00FA06B2"/>
    <w:rsid w:val="00FA0712"/>
    <w:rsid w:val="00FA0764"/>
    <w:rsid w:val="00FA0790"/>
    <w:rsid w:val="00FA07FF"/>
    <w:rsid w:val="00FA088E"/>
    <w:rsid w:val="00FA0894"/>
    <w:rsid w:val="00FA091C"/>
    <w:rsid w:val="00FA0A9F"/>
    <w:rsid w:val="00FA0AAD"/>
    <w:rsid w:val="00FA0CFE"/>
    <w:rsid w:val="00FA0D1C"/>
    <w:rsid w:val="00FA0D27"/>
    <w:rsid w:val="00FA0DC2"/>
    <w:rsid w:val="00FA0EEA"/>
    <w:rsid w:val="00FA0EF9"/>
    <w:rsid w:val="00FA0F12"/>
    <w:rsid w:val="00FA0FF9"/>
    <w:rsid w:val="00FA108E"/>
    <w:rsid w:val="00FA10DB"/>
    <w:rsid w:val="00FA110F"/>
    <w:rsid w:val="00FA1208"/>
    <w:rsid w:val="00FA135F"/>
    <w:rsid w:val="00FA13BA"/>
    <w:rsid w:val="00FA1400"/>
    <w:rsid w:val="00FA147B"/>
    <w:rsid w:val="00FA16BA"/>
    <w:rsid w:val="00FA17E9"/>
    <w:rsid w:val="00FA17FC"/>
    <w:rsid w:val="00FA181E"/>
    <w:rsid w:val="00FA1932"/>
    <w:rsid w:val="00FA1959"/>
    <w:rsid w:val="00FA1CC4"/>
    <w:rsid w:val="00FA1CDD"/>
    <w:rsid w:val="00FA1D11"/>
    <w:rsid w:val="00FA1F1E"/>
    <w:rsid w:val="00FA1F3D"/>
    <w:rsid w:val="00FA2013"/>
    <w:rsid w:val="00FA2034"/>
    <w:rsid w:val="00FA2052"/>
    <w:rsid w:val="00FA2057"/>
    <w:rsid w:val="00FA2175"/>
    <w:rsid w:val="00FA225D"/>
    <w:rsid w:val="00FA229F"/>
    <w:rsid w:val="00FA230D"/>
    <w:rsid w:val="00FA233A"/>
    <w:rsid w:val="00FA2344"/>
    <w:rsid w:val="00FA2368"/>
    <w:rsid w:val="00FA23D5"/>
    <w:rsid w:val="00FA2426"/>
    <w:rsid w:val="00FA24D2"/>
    <w:rsid w:val="00FA250C"/>
    <w:rsid w:val="00FA2561"/>
    <w:rsid w:val="00FA25FB"/>
    <w:rsid w:val="00FA26FF"/>
    <w:rsid w:val="00FA2704"/>
    <w:rsid w:val="00FA2759"/>
    <w:rsid w:val="00FA283A"/>
    <w:rsid w:val="00FA2852"/>
    <w:rsid w:val="00FA2854"/>
    <w:rsid w:val="00FA28C5"/>
    <w:rsid w:val="00FA28F5"/>
    <w:rsid w:val="00FA2904"/>
    <w:rsid w:val="00FA29A3"/>
    <w:rsid w:val="00FA2A36"/>
    <w:rsid w:val="00FA2B56"/>
    <w:rsid w:val="00FA2B60"/>
    <w:rsid w:val="00FA2B77"/>
    <w:rsid w:val="00FA2B93"/>
    <w:rsid w:val="00FA2C9E"/>
    <w:rsid w:val="00FA2C9F"/>
    <w:rsid w:val="00FA2D15"/>
    <w:rsid w:val="00FA2DB5"/>
    <w:rsid w:val="00FA2E2B"/>
    <w:rsid w:val="00FA2E43"/>
    <w:rsid w:val="00FA2ECA"/>
    <w:rsid w:val="00FA2F40"/>
    <w:rsid w:val="00FA2F59"/>
    <w:rsid w:val="00FA2F73"/>
    <w:rsid w:val="00FA2F86"/>
    <w:rsid w:val="00FA2FB5"/>
    <w:rsid w:val="00FA3109"/>
    <w:rsid w:val="00FA3137"/>
    <w:rsid w:val="00FA31E3"/>
    <w:rsid w:val="00FA33CA"/>
    <w:rsid w:val="00FA33F4"/>
    <w:rsid w:val="00FA347C"/>
    <w:rsid w:val="00FA34CB"/>
    <w:rsid w:val="00FA35E9"/>
    <w:rsid w:val="00FA3648"/>
    <w:rsid w:val="00FA369A"/>
    <w:rsid w:val="00FA3772"/>
    <w:rsid w:val="00FA3854"/>
    <w:rsid w:val="00FA38AC"/>
    <w:rsid w:val="00FA3967"/>
    <w:rsid w:val="00FA3AB3"/>
    <w:rsid w:val="00FA3AB9"/>
    <w:rsid w:val="00FA3AC8"/>
    <w:rsid w:val="00FA3B79"/>
    <w:rsid w:val="00FA3D01"/>
    <w:rsid w:val="00FA3D91"/>
    <w:rsid w:val="00FA3E35"/>
    <w:rsid w:val="00FA3E7D"/>
    <w:rsid w:val="00FA3E9A"/>
    <w:rsid w:val="00FA3F25"/>
    <w:rsid w:val="00FA400E"/>
    <w:rsid w:val="00FA408D"/>
    <w:rsid w:val="00FA4120"/>
    <w:rsid w:val="00FA4177"/>
    <w:rsid w:val="00FA41D2"/>
    <w:rsid w:val="00FA41E7"/>
    <w:rsid w:val="00FA4206"/>
    <w:rsid w:val="00FA4261"/>
    <w:rsid w:val="00FA42CE"/>
    <w:rsid w:val="00FA4313"/>
    <w:rsid w:val="00FA4365"/>
    <w:rsid w:val="00FA43E9"/>
    <w:rsid w:val="00FA442C"/>
    <w:rsid w:val="00FA44CA"/>
    <w:rsid w:val="00FA44F5"/>
    <w:rsid w:val="00FA450D"/>
    <w:rsid w:val="00FA452D"/>
    <w:rsid w:val="00FA4570"/>
    <w:rsid w:val="00FA460F"/>
    <w:rsid w:val="00FA4667"/>
    <w:rsid w:val="00FA4672"/>
    <w:rsid w:val="00FA4774"/>
    <w:rsid w:val="00FA478D"/>
    <w:rsid w:val="00FA478F"/>
    <w:rsid w:val="00FA47CA"/>
    <w:rsid w:val="00FA4B00"/>
    <w:rsid w:val="00FA4B61"/>
    <w:rsid w:val="00FA4B7A"/>
    <w:rsid w:val="00FA4C14"/>
    <w:rsid w:val="00FA4CA6"/>
    <w:rsid w:val="00FA4CF6"/>
    <w:rsid w:val="00FA4E0E"/>
    <w:rsid w:val="00FA4FA5"/>
    <w:rsid w:val="00FA504A"/>
    <w:rsid w:val="00FA5083"/>
    <w:rsid w:val="00FA513A"/>
    <w:rsid w:val="00FA51F9"/>
    <w:rsid w:val="00FA53AB"/>
    <w:rsid w:val="00FA546B"/>
    <w:rsid w:val="00FA54A2"/>
    <w:rsid w:val="00FA5593"/>
    <w:rsid w:val="00FA56A7"/>
    <w:rsid w:val="00FA57DF"/>
    <w:rsid w:val="00FA587F"/>
    <w:rsid w:val="00FA58A0"/>
    <w:rsid w:val="00FA58FA"/>
    <w:rsid w:val="00FA58FC"/>
    <w:rsid w:val="00FA5AC3"/>
    <w:rsid w:val="00FA5B25"/>
    <w:rsid w:val="00FA5BCB"/>
    <w:rsid w:val="00FA5BD1"/>
    <w:rsid w:val="00FA5DED"/>
    <w:rsid w:val="00FA60EE"/>
    <w:rsid w:val="00FA60FE"/>
    <w:rsid w:val="00FA61D5"/>
    <w:rsid w:val="00FA62B1"/>
    <w:rsid w:val="00FA62B2"/>
    <w:rsid w:val="00FA6328"/>
    <w:rsid w:val="00FA6384"/>
    <w:rsid w:val="00FA639C"/>
    <w:rsid w:val="00FA6444"/>
    <w:rsid w:val="00FA683C"/>
    <w:rsid w:val="00FA6ADB"/>
    <w:rsid w:val="00FA6AE8"/>
    <w:rsid w:val="00FA6B7E"/>
    <w:rsid w:val="00FA6C65"/>
    <w:rsid w:val="00FA6C75"/>
    <w:rsid w:val="00FA6C84"/>
    <w:rsid w:val="00FA6C86"/>
    <w:rsid w:val="00FA6E11"/>
    <w:rsid w:val="00FA6E9A"/>
    <w:rsid w:val="00FA7082"/>
    <w:rsid w:val="00FA7089"/>
    <w:rsid w:val="00FA70F9"/>
    <w:rsid w:val="00FA7115"/>
    <w:rsid w:val="00FA72FD"/>
    <w:rsid w:val="00FA73B6"/>
    <w:rsid w:val="00FA750F"/>
    <w:rsid w:val="00FA7573"/>
    <w:rsid w:val="00FA75AD"/>
    <w:rsid w:val="00FA75BD"/>
    <w:rsid w:val="00FA7909"/>
    <w:rsid w:val="00FA793B"/>
    <w:rsid w:val="00FA79B2"/>
    <w:rsid w:val="00FA7AC7"/>
    <w:rsid w:val="00FA7B18"/>
    <w:rsid w:val="00FA7B58"/>
    <w:rsid w:val="00FA7B75"/>
    <w:rsid w:val="00FA7CCB"/>
    <w:rsid w:val="00FA7D11"/>
    <w:rsid w:val="00FA7D6E"/>
    <w:rsid w:val="00FA7F2C"/>
    <w:rsid w:val="00FA7F39"/>
    <w:rsid w:val="00FA7F6B"/>
    <w:rsid w:val="00FA7F94"/>
    <w:rsid w:val="00FA7F95"/>
    <w:rsid w:val="00FB0036"/>
    <w:rsid w:val="00FB0096"/>
    <w:rsid w:val="00FB0186"/>
    <w:rsid w:val="00FB0194"/>
    <w:rsid w:val="00FB01B7"/>
    <w:rsid w:val="00FB01C0"/>
    <w:rsid w:val="00FB01CC"/>
    <w:rsid w:val="00FB0378"/>
    <w:rsid w:val="00FB03D5"/>
    <w:rsid w:val="00FB03FC"/>
    <w:rsid w:val="00FB041E"/>
    <w:rsid w:val="00FB058F"/>
    <w:rsid w:val="00FB0597"/>
    <w:rsid w:val="00FB0842"/>
    <w:rsid w:val="00FB0A46"/>
    <w:rsid w:val="00FB0BDB"/>
    <w:rsid w:val="00FB0C74"/>
    <w:rsid w:val="00FB0D4B"/>
    <w:rsid w:val="00FB0F1C"/>
    <w:rsid w:val="00FB10DE"/>
    <w:rsid w:val="00FB1121"/>
    <w:rsid w:val="00FB1135"/>
    <w:rsid w:val="00FB1205"/>
    <w:rsid w:val="00FB12B9"/>
    <w:rsid w:val="00FB12E4"/>
    <w:rsid w:val="00FB130A"/>
    <w:rsid w:val="00FB1572"/>
    <w:rsid w:val="00FB1590"/>
    <w:rsid w:val="00FB1697"/>
    <w:rsid w:val="00FB1745"/>
    <w:rsid w:val="00FB17BD"/>
    <w:rsid w:val="00FB17C1"/>
    <w:rsid w:val="00FB18D4"/>
    <w:rsid w:val="00FB1A2B"/>
    <w:rsid w:val="00FB1A31"/>
    <w:rsid w:val="00FB1ADD"/>
    <w:rsid w:val="00FB1AF9"/>
    <w:rsid w:val="00FB1BAA"/>
    <w:rsid w:val="00FB1BB1"/>
    <w:rsid w:val="00FB1C5F"/>
    <w:rsid w:val="00FB1D25"/>
    <w:rsid w:val="00FB1D4A"/>
    <w:rsid w:val="00FB1D4B"/>
    <w:rsid w:val="00FB1DB8"/>
    <w:rsid w:val="00FB1EF6"/>
    <w:rsid w:val="00FB1FEE"/>
    <w:rsid w:val="00FB200A"/>
    <w:rsid w:val="00FB2068"/>
    <w:rsid w:val="00FB20E8"/>
    <w:rsid w:val="00FB215B"/>
    <w:rsid w:val="00FB2358"/>
    <w:rsid w:val="00FB238F"/>
    <w:rsid w:val="00FB24A8"/>
    <w:rsid w:val="00FB24BA"/>
    <w:rsid w:val="00FB24CD"/>
    <w:rsid w:val="00FB24ED"/>
    <w:rsid w:val="00FB255D"/>
    <w:rsid w:val="00FB259A"/>
    <w:rsid w:val="00FB25D2"/>
    <w:rsid w:val="00FB2692"/>
    <w:rsid w:val="00FB27E7"/>
    <w:rsid w:val="00FB28AA"/>
    <w:rsid w:val="00FB2905"/>
    <w:rsid w:val="00FB2C61"/>
    <w:rsid w:val="00FB2C63"/>
    <w:rsid w:val="00FB2D41"/>
    <w:rsid w:val="00FB2DCC"/>
    <w:rsid w:val="00FB2E9C"/>
    <w:rsid w:val="00FB2EF1"/>
    <w:rsid w:val="00FB2F14"/>
    <w:rsid w:val="00FB2F91"/>
    <w:rsid w:val="00FB2FC6"/>
    <w:rsid w:val="00FB3190"/>
    <w:rsid w:val="00FB321B"/>
    <w:rsid w:val="00FB32E3"/>
    <w:rsid w:val="00FB338D"/>
    <w:rsid w:val="00FB3450"/>
    <w:rsid w:val="00FB349D"/>
    <w:rsid w:val="00FB34B6"/>
    <w:rsid w:val="00FB3529"/>
    <w:rsid w:val="00FB3580"/>
    <w:rsid w:val="00FB363E"/>
    <w:rsid w:val="00FB3694"/>
    <w:rsid w:val="00FB3805"/>
    <w:rsid w:val="00FB38E0"/>
    <w:rsid w:val="00FB3B5F"/>
    <w:rsid w:val="00FB3EF5"/>
    <w:rsid w:val="00FB3FC3"/>
    <w:rsid w:val="00FB4030"/>
    <w:rsid w:val="00FB403B"/>
    <w:rsid w:val="00FB4040"/>
    <w:rsid w:val="00FB40AB"/>
    <w:rsid w:val="00FB4163"/>
    <w:rsid w:val="00FB4198"/>
    <w:rsid w:val="00FB4223"/>
    <w:rsid w:val="00FB42B0"/>
    <w:rsid w:val="00FB42BA"/>
    <w:rsid w:val="00FB4322"/>
    <w:rsid w:val="00FB445D"/>
    <w:rsid w:val="00FB44DA"/>
    <w:rsid w:val="00FB4525"/>
    <w:rsid w:val="00FB453D"/>
    <w:rsid w:val="00FB4541"/>
    <w:rsid w:val="00FB4551"/>
    <w:rsid w:val="00FB46B3"/>
    <w:rsid w:val="00FB47D6"/>
    <w:rsid w:val="00FB481F"/>
    <w:rsid w:val="00FB4867"/>
    <w:rsid w:val="00FB487D"/>
    <w:rsid w:val="00FB498F"/>
    <w:rsid w:val="00FB49BA"/>
    <w:rsid w:val="00FB4A53"/>
    <w:rsid w:val="00FB4AC5"/>
    <w:rsid w:val="00FB4AE7"/>
    <w:rsid w:val="00FB4C5B"/>
    <w:rsid w:val="00FB4C90"/>
    <w:rsid w:val="00FB4CAE"/>
    <w:rsid w:val="00FB4CB8"/>
    <w:rsid w:val="00FB4CC8"/>
    <w:rsid w:val="00FB4D3C"/>
    <w:rsid w:val="00FB4DA9"/>
    <w:rsid w:val="00FB4E32"/>
    <w:rsid w:val="00FB4F1B"/>
    <w:rsid w:val="00FB4F29"/>
    <w:rsid w:val="00FB4F74"/>
    <w:rsid w:val="00FB5088"/>
    <w:rsid w:val="00FB508D"/>
    <w:rsid w:val="00FB50C6"/>
    <w:rsid w:val="00FB511E"/>
    <w:rsid w:val="00FB51CB"/>
    <w:rsid w:val="00FB5282"/>
    <w:rsid w:val="00FB53AA"/>
    <w:rsid w:val="00FB5475"/>
    <w:rsid w:val="00FB54E7"/>
    <w:rsid w:val="00FB550B"/>
    <w:rsid w:val="00FB553C"/>
    <w:rsid w:val="00FB553E"/>
    <w:rsid w:val="00FB5607"/>
    <w:rsid w:val="00FB56C7"/>
    <w:rsid w:val="00FB56D9"/>
    <w:rsid w:val="00FB572F"/>
    <w:rsid w:val="00FB57E2"/>
    <w:rsid w:val="00FB5935"/>
    <w:rsid w:val="00FB5AB6"/>
    <w:rsid w:val="00FB5BA9"/>
    <w:rsid w:val="00FB5C85"/>
    <w:rsid w:val="00FB5CE8"/>
    <w:rsid w:val="00FB5D0C"/>
    <w:rsid w:val="00FB5D98"/>
    <w:rsid w:val="00FB5E35"/>
    <w:rsid w:val="00FB5ECA"/>
    <w:rsid w:val="00FB6024"/>
    <w:rsid w:val="00FB608F"/>
    <w:rsid w:val="00FB60AC"/>
    <w:rsid w:val="00FB61AC"/>
    <w:rsid w:val="00FB632B"/>
    <w:rsid w:val="00FB6493"/>
    <w:rsid w:val="00FB6497"/>
    <w:rsid w:val="00FB6594"/>
    <w:rsid w:val="00FB6596"/>
    <w:rsid w:val="00FB6609"/>
    <w:rsid w:val="00FB6625"/>
    <w:rsid w:val="00FB666E"/>
    <w:rsid w:val="00FB67DC"/>
    <w:rsid w:val="00FB67E8"/>
    <w:rsid w:val="00FB6862"/>
    <w:rsid w:val="00FB6994"/>
    <w:rsid w:val="00FB6AF8"/>
    <w:rsid w:val="00FB6B55"/>
    <w:rsid w:val="00FB6BB3"/>
    <w:rsid w:val="00FB6BB7"/>
    <w:rsid w:val="00FB6BEE"/>
    <w:rsid w:val="00FB6C3E"/>
    <w:rsid w:val="00FB6E35"/>
    <w:rsid w:val="00FB6E70"/>
    <w:rsid w:val="00FB6E75"/>
    <w:rsid w:val="00FB6ED4"/>
    <w:rsid w:val="00FB6F83"/>
    <w:rsid w:val="00FB6FC7"/>
    <w:rsid w:val="00FB7037"/>
    <w:rsid w:val="00FB7071"/>
    <w:rsid w:val="00FB708F"/>
    <w:rsid w:val="00FB70EA"/>
    <w:rsid w:val="00FB7124"/>
    <w:rsid w:val="00FB7149"/>
    <w:rsid w:val="00FB7199"/>
    <w:rsid w:val="00FB71E5"/>
    <w:rsid w:val="00FB71FA"/>
    <w:rsid w:val="00FB725C"/>
    <w:rsid w:val="00FB729F"/>
    <w:rsid w:val="00FB738A"/>
    <w:rsid w:val="00FB73D8"/>
    <w:rsid w:val="00FB74C9"/>
    <w:rsid w:val="00FB755D"/>
    <w:rsid w:val="00FB762A"/>
    <w:rsid w:val="00FB76A5"/>
    <w:rsid w:val="00FB7792"/>
    <w:rsid w:val="00FB7798"/>
    <w:rsid w:val="00FB77CD"/>
    <w:rsid w:val="00FB784F"/>
    <w:rsid w:val="00FB7AF8"/>
    <w:rsid w:val="00FB7B24"/>
    <w:rsid w:val="00FB7C70"/>
    <w:rsid w:val="00FB7CFE"/>
    <w:rsid w:val="00FB7D4C"/>
    <w:rsid w:val="00FB7F22"/>
    <w:rsid w:val="00FB7F99"/>
    <w:rsid w:val="00FB7FEE"/>
    <w:rsid w:val="00FC0052"/>
    <w:rsid w:val="00FC009A"/>
    <w:rsid w:val="00FC0148"/>
    <w:rsid w:val="00FC014D"/>
    <w:rsid w:val="00FC0175"/>
    <w:rsid w:val="00FC01B2"/>
    <w:rsid w:val="00FC0311"/>
    <w:rsid w:val="00FC0358"/>
    <w:rsid w:val="00FC0392"/>
    <w:rsid w:val="00FC042A"/>
    <w:rsid w:val="00FC04DB"/>
    <w:rsid w:val="00FC0516"/>
    <w:rsid w:val="00FC0555"/>
    <w:rsid w:val="00FC0601"/>
    <w:rsid w:val="00FC0634"/>
    <w:rsid w:val="00FC078A"/>
    <w:rsid w:val="00FC078C"/>
    <w:rsid w:val="00FC07B2"/>
    <w:rsid w:val="00FC07D5"/>
    <w:rsid w:val="00FC08B3"/>
    <w:rsid w:val="00FC08CF"/>
    <w:rsid w:val="00FC08D5"/>
    <w:rsid w:val="00FC08F7"/>
    <w:rsid w:val="00FC092E"/>
    <w:rsid w:val="00FC094B"/>
    <w:rsid w:val="00FC0A0F"/>
    <w:rsid w:val="00FC0AF7"/>
    <w:rsid w:val="00FC0B61"/>
    <w:rsid w:val="00FC0C30"/>
    <w:rsid w:val="00FC0C39"/>
    <w:rsid w:val="00FC0D28"/>
    <w:rsid w:val="00FC0DB3"/>
    <w:rsid w:val="00FC0E12"/>
    <w:rsid w:val="00FC0EA2"/>
    <w:rsid w:val="00FC0ECE"/>
    <w:rsid w:val="00FC0ED6"/>
    <w:rsid w:val="00FC0F76"/>
    <w:rsid w:val="00FC0FAA"/>
    <w:rsid w:val="00FC1023"/>
    <w:rsid w:val="00FC1099"/>
    <w:rsid w:val="00FC10D5"/>
    <w:rsid w:val="00FC1118"/>
    <w:rsid w:val="00FC1457"/>
    <w:rsid w:val="00FC14CA"/>
    <w:rsid w:val="00FC1521"/>
    <w:rsid w:val="00FC1657"/>
    <w:rsid w:val="00FC1723"/>
    <w:rsid w:val="00FC1735"/>
    <w:rsid w:val="00FC1757"/>
    <w:rsid w:val="00FC17C1"/>
    <w:rsid w:val="00FC17CA"/>
    <w:rsid w:val="00FC17E2"/>
    <w:rsid w:val="00FC19B5"/>
    <w:rsid w:val="00FC1D43"/>
    <w:rsid w:val="00FC1D9D"/>
    <w:rsid w:val="00FC1DF3"/>
    <w:rsid w:val="00FC1F7E"/>
    <w:rsid w:val="00FC1FA4"/>
    <w:rsid w:val="00FC214A"/>
    <w:rsid w:val="00FC2175"/>
    <w:rsid w:val="00FC221A"/>
    <w:rsid w:val="00FC2229"/>
    <w:rsid w:val="00FC24C4"/>
    <w:rsid w:val="00FC254D"/>
    <w:rsid w:val="00FC2553"/>
    <w:rsid w:val="00FC256B"/>
    <w:rsid w:val="00FC2611"/>
    <w:rsid w:val="00FC2659"/>
    <w:rsid w:val="00FC27D2"/>
    <w:rsid w:val="00FC2844"/>
    <w:rsid w:val="00FC2975"/>
    <w:rsid w:val="00FC29CE"/>
    <w:rsid w:val="00FC2A2F"/>
    <w:rsid w:val="00FC2AA6"/>
    <w:rsid w:val="00FC2B68"/>
    <w:rsid w:val="00FC2B85"/>
    <w:rsid w:val="00FC2BC5"/>
    <w:rsid w:val="00FC2BC9"/>
    <w:rsid w:val="00FC2D7D"/>
    <w:rsid w:val="00FC2FEC"/>
    <w:rsid w:val="00FC3059"/>
    <w:rsid w:val="00FC3167"/>
    <w:rsid w:val="00FC32D0"/>
    <w:rsid w:val="00FC32DC"/>
    <w:rsid w:val="00FC32E4"/>
    <w:rsid w:val="00FC32EC"/>
    <w:rsid w:val="00FC3531"/>
    <w:rsid w:val="00FC35D5"/>
    <w:rsid w:val="00FC368B"/>
    <w:rsid w:val="00FC36EC"/>
    <w:rsid w:val="00FC375E"/>
    <w:rsid w:val="00FC3873"/>
    <w:rsid w:val="00FC3888"/>
    <w:rsid w:val="00FC38E9"/>
    <w:rsid w:val="00FC38F7"/>
    <w:rsid w:val="00FC38FE"/>
    <w:rsid w:val="00FC3954"/>
    <w:rsid w:val="00FC3A43"/>
    <w:rsid w:val="00FC3A7F"/>
    <w:rsid w:val="00FC3ACD"/>
    <w:rsid w:val="00FC3BC4"/>
    <w:rsid w:val="00FC3C1B"/>
    <w:rsid w:val="00FC3D21"/>
    <w:rsid w:val="00FC3D92"/>
    <w:rsid w:val="00FC3E65"/>
    <w:rsid w:val="00FC3F0B"/>
    <w:rsid w:val="00FC3F39"/>
    <w:rsid w:val="00FC4053"/>
    <w:rsid w:val="00FC410F"/>
    <w:rsid w:val="00FC430A"/>
    <w:rsid w:val="00FC43C6"/>
    <w:rsid w:val="00FC43F2"/>
    <w:rsid w:val="00FC445F"/>
    <w:rsid w:val="00FC4467"/>
    <w:rsid w:val="00FC45F8"/>
    <w:rsid w:val="00FC4623"/>
    <w:rsid w:val="00FC4655"/>
    <w:rsid w:val="00FC4703"/>
    <w:rsid w:val="00FC4721"/>
    <w:rsid w:val="00FC472D"/>
    <w:rsid w:val="00FC48B4"/>
    <w:rsid w:val="00FC4938"/>
    <w:rsid w:val="00FC497D"/>
    <w:rsid w:val="00FC4AB9"/>
    <w:rsid w:val="00FC4B2B"/>
    <w:rsid w:val="00FC4B46"/>
    <w:rsid w:val="00FC4CF4"/>
    <w:rsid w:val="00FC4E41"/>
    <w:rsid w:val="00FC4E94"/>
    <w:rsid w:val="00FC4F6D"/>
    <w:rsid w:val="00FC4F7C"/>
    <w:rsid w:val="00FC50A4"/>
    <w:rsid w:val="00FC5105"/>
    <w:rsid w:val="00FC5143"/>
    <w:rsid w:val="00FC51E9"/>
    <w:rsid w:val="00FC52BE"/>
    <w:rsid w:val="00FC5325"/>
    <w:rsid w:val="00FC5346"/>
    <w:rsid w:val="00FC5438"/>
    <w:rsid w:val="00FC5484"/>
    <w:rsid w:val="00FC54EB"/>
    <w:rsid w:val="00FC556A"/>
    <w:rsid w:val="00FC5622"/>
    <w:rsid w:val="00FC5626"/>
    <w:rsid w:val="00FC5654"/>
    <w:rsid w:val="00FC5753"/>
    <w:rsid w:val="00FC5970"/>
    <w:rsid w:val="00FC597F"/>
    <w:rsid w:val="00FC5AB6"/>
    <w:rsid w:val="00FC5C08"/>
    <w:rsid w:val="00FC5C4D"/>
    <w:rsid w:val="00FC5C79"/>
    <w:rsid w:val="00FC5CD5"/>
    <w:rsid w:val="00FC5D38"/>
    <w:rsid w:val="00FC5E0F"/>
    <w:rsid w:val="00FC5F2B"/>
    <w:rsid w:val="00FC5FA7"/>
    <w:rsid w:val="00FC6072"/>
    <w:rsid w:val="00FC60CE"/>
    <w:rsid w:val="00FC6188"/>
    <w:rsid w:val="00FC61CD"/>
    <w:rsid w:val="00FC6209"/>
    <w:rsid w:val="00FC6243"/>
    <w:rsid w:val="00FC62C8"/>
    <w:rsid w:val="00FC62FF"/>
    <w:rsid w:val="00FC634C"/>
    <w:rsid w:val="00FC647E"/>
    <w:rsid w:val="00FC6490"/>
    <w:rsid w:val="00FC6573"/>
    <w:rsid w:val="00FC659A"/>
    <w:rsid w:val="00FC675F"/>
    <w:rsid w:val="00FC6859"/>
    <w:rsid w:val="00FC68CE"/>
    <w:rsid w:val="00FC68FA"/>
    <w:rsid w:val="00FC694C"/>
    <w:rsid w:val="00FC69AF"/>
    <w:rsid w:val="00FC69DF"/>
    <w:rsid w:val="00FC69E1"/>
    <w:rsid w:val="00FC6A23"/>
    <w:rsid w:val="00FC6B19"/>
    <w:rsid w:val="00FC6B2C"/>
    <w:rsid w:val="00FC6B31"/>
    <w:rsid w:val="00FC6BB4"/>
    <w:rsid w:val="00FC6BCF"/>
    <w:rsid w:val="00FC6C1E"/>
    <w:rsid w:val="00FC6D0B"/>
    <w:rsid w:val="00FC6D20"/>
    <w:rsid w:val="00FC6D4C"/>
    <w:rsid w:val="00FC6DA5"/>
    <w:rsid w:val="00FC6DF1"/>
    <w:rsid w:val="00FC6E2D"/>
    <w:rsid w:val="00FC6E77"/>
    <w:rsid w:val="00FC6E8F"/>
    <w:rsid w:val="00FC6ED5"/>
    <w:rsid w:val="00FC6F30"/>
    <w:rsid w:val="00FC71A9"/>
    <w:rsid w:val="00FC7243"/>
    <w:rsid w:val="00FC7353"/>
    <w:rsid w:val="00FC73D9"/>
    <w:rsid w:val="00FC73DB"/>
    <w:rsid w:val="00FC7425"/>
    <w:rsid w:val="00FC7471"/>
    <w:rsid w:val="00FC7489"/>
    <w:rsid w:val="00FC750F"/>
    <w:rsid w:val="00FC75E3"/>
    <w:rsid w:val="00FC7686"/>
    <w:rsid w:val="00FC7867"/>
    <w:rsid w:val="00FC78DA"/>
    <w:rsid w:val="00FC7ABB"/>
    <w:rsid w:val="00FC7BC1"/>
    <w:rsid w:val="00FC7C5B"/>
    <w:rsid w:val="00FC7C9E"/>
    <w:rsid w:val="00FD000B"/>
    <w:rsid w:val="00FD0090"/>
    <w:rsid w:val="00FD0236"/>
    <w:rsid w:val="00FD0454"/>
    <w:rsid w:val="00FD0479"/>
    <w:rsid w:val="00FD04B2"/>
    <w:rsid w:val="00FD0502"/>
    <w:rsid w:val="00FD0543"/>
    <w:rsid w:val="00FD0576"/>
    <w:rsid w:val="00FD0703"/>
    <w:rsid w:val="00FD0A6C"/>
    <w:rsid w:val="00FD0AB5"/>
    <w:rsid w:val="00FD0B24"/>
    <w:rsid w:val="00FD0BD3"/>
    <w:rsid w:val="00FD0C1A"/>
    <w:rsid w:val="00FD0C24"/>
    <w:rsid w:val="00FD0C84"/>
    <w:rsid w:val="00FD0D27"/>
    <w:rsid w:val="00FD0D8B"/>
    <w:rsid w:val="00FD0EA0"/>
    <w:rsid w:val="00FD0EC2"/>
    <w:rsid w:val="00FD0F28"/>
    <w:rsid w:val="00FD114F"/>
    <w:rsid w:val="00FD124F"/>
    <w:rsid w:val="00FD12E4"/>
    <w:rsid w:val="00FD12F8"/>
    <w:rsid w:val="00FD131D"/>
    <w:rsid w:val="00FD13BB"/>
    <w:rsid w:val="00FD1501"/>
    <w:rsid w:val="00FD15B9"/>
    <w:rsid w:val="00FD1655"/>
    <w:rsid w:val="00FD1701"/>
    <w:rsid w:val="00FD1711"/>
    <w:rsid w:val="00FD1733"/>
    <w:rsid w:val="00FD181D"/>
    <w:rsid w:val="00FD1854"/>
    <w:rsid w:val="00FD189B"/>
    <w:rsid w:val="00FD18D4"/>
    <w:rsid w:val="00FD1926"/>
    <w:rsid w:val="00FD19A7"/>
    <w:rsid w:val="00FD1A48"/>
    <w:rsid w:val="00FD1A5C"/>
    <w:rsid w:val="00FD1AFE"/>
    <w:rsid w:val="00FD1B18"/>
    <w:rsid w:val="00FD1B3B"/>
    <w:rsid w:val="00FD1B8D"/>
    <w:rsid w:val="00FD1C33"/>
    <w:rsid w:val="00FD1C5C"/>
    <w:rsid w:val="00FD1C7F"/>
    <w:rsid w:val="00FD1E76"/>
    <w:rsid w:val="00FD1FBF"/>
    <w:rsid w:val="00FD2008"/>
    <w:rsid w:val="00FD2020"/>
    <w:rsid w:val="00FD206A"/>
    <w:rsid w:val="00FD211A"/>
    <w:rsid w:val="00FD216D"/>
    <w:rsid w:val="00FD21A9"/>
    <w:rsid w:val="00FD220B"/>
    <w:rsid w:val="00FD221D"/>
    <w:rsid w:val="00FD230B"/>
    <w:rsid w:val="00FD2330"/>
    <w:rsid w:val="00FD237D"/>
    <w:rsid w:val="00FD250C"/>
    <w:rsid w:val="00FD2525"/>
    <w:rsid w:val="00FD2720"/>
    <w:rsid w:val="00FD2744"/>
    <w:rsid w:val="00FD276A"/>
    <w:rsid w:val="00FD2805"/>
    <w:rsid w:val="00FD2861"/>
    <w:rsid w:val="00FD2B02"/>
    <w:rsid w:val="00FD2B08"/>
    <w:rsid w:val="00FD2B63"/>
    <w:rsid w:val="00FD2B9D"/>
    <w:rsid w:val="00FD2C3A"/>
    <w:rsid w:val="00FD2D5B"/>
    <w:rsid w:val="00FD2DC2"/>
    <w:rsid w:val="00FD2FDA"/>
    <w:rsid w:val="00FD3033"/>
    <w:rsid w:val="00FD307A"/>
    <w:rsid w:val="00FD30EA"/>
    <w:rsid w:val="00FD311C"/>
    <w:rsid w:val="00FD3252"/>
    <w:rsid w:val="00FD329F"/>
    <w:rsid w:val="00FD34A3"/>
    <w:rsid w:val="00FD34F5"/>
    <w:rsid w:val="00FD3515"/>
    <w:rsid w:val="00FD3521"/>
    <w:rsid w:val="00FD352A"/>
    <w:rsid w:val="00FD3547"/>
    <w:rsid w:val="00FD3561"/>
    <w:rsid w:val="00FD357D"/>
    <w:rsid w:val="00FD35DD"/>
    <w:rsid w:val="00FD36B7"/>
    <w:rsid w:val="00FD391B"/>
    <w:rsid w:val="00FD3994"/>
    <w:rsid w:val="00FD3B3A"/>
    <w:rsid w:val="00FD3B54"/>
    <w:rsid w:val="00FD3C9B"/>
    <w:rsid w:val="00FD3CA2"/>
    <w:rsid w:val="00FD3CC3"/>
    <w:rsid w:val="00FD3CEE"/>
    <w:rsid w:val="00FD3D16"/>
    <w:rsid w:val="00FD3D58"/>
    <w:rsid w:val="00FD3D63"/>
    <w:rsid w:val="00FD4013"/>
    <w:rsid w:val="00FD4069"/>
    <w:rsid w:val="00FD414D"/>
    <w:rsid w:val="00FD4280"/>
    <w:rsid w:val="00FD42F7"/>
    <w:rsid w:val="00FD43BE"/>
    <w:rsid w:val="00FD44E6"/>
    <w:rsid w:val="00FD44ED"/>
    <w:rsid w:val="00FD456B"/>
    <w:rsid w:val="00FD4577"/>
    <w:rsid w:val="00FD45A0"/>
    <w:rsid w:val="00FD45B9"/>
    <w:rsid w:val="00FD45DD"/>
    <w:rsid w:val="00FD48C9"/>
    <w:rsid w:val="00FD48D0"/>
    <w:rsid w:val="00FD48FE"/>
    <w:rsid w:val="00FD494E"/>
    <w:rsid w:val="00FD49E2"/>
    <w:rsid w:val="00FD4B1C"/>
    <w:rsid w:val="00FD4B47"/>
    <w:rsid w:val="00FD4B62"/>
    <w:rsid w:val="00FD4BD1"/>
    <w:rsid w:val="00FD4E85"/>
    <w:rsid w:val="00FD4F3B"/>
    <w:rsid w:val="00FD5205"/>
    <w:rsid w:val="00FD5442"/>
    <w:rsid w:val="00FD5463"/>
    <w:rsid w:val="00FD5508"/>
    <w:rsid w:val="00FD5576"/>
    <w:rsid w:val="00FD557D"/>
    <w:rsid w:val="00FD55D8"/>
    <w:rsid w:val="00FD5626"/>
    <w:rsid w:val="00FD5707"/>
    <w:rsid w:val="00FD5933"/>
    <w:rsid w:val="00FD59D9"/>
    <w:rsid w:val="00FD5A3C"/>
    <w:rsid w:val="00FD5B59"/>
    <w:rsid w:val="00FD5BAE"/>
    <w:rsid w:val="00FD5C31"/>
    <w:rsid w:val="00FD5C62"/>
    <w:rsid w:val="00FD5C9D"/>
    <w:rsid w:val="00FD5E2B"/>
    <w:rsid w:val="00FD5E3D"/>
    <w:rsid w:val="00FD5E50"/>
    <w:rsid w:val="00FD5E67"/>
    <w:rsid w:val="00FD6119"/>
    <w:rsid w:val="00FD61A4"/>
    <w:rsid w:val="00FD6219"/>
    <w:rsid w:val="00FD62F5"/>
    <w:rsid w:val="00FD6338"/>
    <w:rsid w:val="00FD65B5"/>
    <w:rsid w:val="00FD66A7"/>
    <w:rsid w:val="00FD66F9"/>
    <w:rsid w:val="00FD67C7"/>
    <w:rsid w:val="00FD69FD"/>
    <w:rsid w:val="00FD6A1E"/>
    <w:rsid w:val="00FD6A69"/>
    <w:rsid w:val="00FD6AE5"/>
    <w:rsid w:val="00FD6BD3"/>
    <w:rsid w:val="00FD6BF3"/>
    <w:rsid w:val="00FD6C89"/>
    <w:rsid w:val="00FD6CE4"/>
    <w:rsid w:val="00FD6DD8"/>
    <w:rsid w:val="00FD6E06"/>
    <w:rsid w:val="00FD6E25"/>
    <w:rsid w:val="00FD6F1F"/>
    <w:rsid w:val="00FD6FA7"/>
    <w:rsid w:val="00FD7139"/>
    <w:rsid w:val="00FD722E"/>
    <w:rsid w:val="00FD7258"/>
    <w:rsid w:val="00FD739C"/>
    <w:rsid w:val="00FD74AE"/>
    <w:rsid w:val="00FD7579"/>
    <w:rsid w:val="00FD75EF"/>
    <w:rsid w:val="00FD768E"/>
    <w:rsid w:val="00FD78BD"/>
    <w:rsid w:val="00FD78C1"/>
    <w:rsid w:val="00FD78DB"/>
    <w:rsid w:val="00FD79D0"/>
    <w:rsid w:val="00FD79EB"/>
    <w:rsid w:val="00FD7A92"/>
    <w:rsid w:val="00FD7B81"/>
    <w:rsid w:val="00FD7BEF"/>
    <w:rsid w:val="00FD7D51"/>
    <w:rsid w:val="00FD7D60"/>
    <w:rsid w:val="00FD7DF1"/>
    <w:rsid w:val="00FD7E25"/>
    <w:rsid w:val="00FD7E84"/>
    <w:rsid w:val="00FD7F17"/>
    <w:rsid w:val="00FD7F39"/>
    <w:rsid w:val="00FD7FFB"/>
    <w:rsid w:val="00FE0065"/>
    <w:rsid w:val="00FE01A1"/>
    <w:rsid w:val="00FE02C3"/>
    <w:rsid w:val="00FE0323"/>
    <w:rsid w:val="00FE0337"/>
    <w:rsid w:val="00FE03BB"/>
    <w:rsid w:val="00FE03F6"/>
    <w:rsid w:val="00FE04E4"/>
    <w:rsid w:val="00FE056B"/>
    <w:rsid w:val="00FE065C"/>
    <w:rsid w:val="00FE0674"/>
    <w:rsid w:val="00FE09A5"/>
    <w:rsid w:val="00FE09E0"/>
    <w:rsid w:val="00FE0AA6"/>
    <w:rsid w:val="00FE0AAF"/>
    <w:rsid w:val="00FE0AFB"/>
    <w:rsid w:val="00FE0B0F"/>
    <w:rsid w:val="00FE0BF2"/>
    <w:rsid w:val="00FE0C02"/>
    <w:rsid w:val="00FE0D7D"/>
    <w:rsid w:val="00FE10ED"/>
    <w:rsid w:val="00FE117E"/>
    <w:rsid w:val="00FE11BD"/>
    <w:rsid w:val="00FE11D9"/>
    <w:rsid w:val="00FE12C8"/>
    <w:rsid w:val="00FE131B"/>
    <w:rsid w:val="00FE14BD"/>
    <w:rsid w:val="00FE14D7"/>
    <w:rsid w:val="00FE1616"/>
    <w:rsid w:val="00FE16CD"/>
    <w:rsid w:val="00FE16D5"/>
    <w:rsid w:val="00FE170C"/>
    <w:rsid w:val="00FE17C1"/>
    <w:rsid w:val="00FE185B"/>
    <w:rsid w:val="00FE1995"/>
    <w:rsid w:val="00FE1AA8"/>
    <w:rsid w:val="00FE1B3E"/>
    <w:rsid w:val="00FE1BBC"/>
    <w:rsid w:val="00FE1BF2"/>
    <w:rsid w:val="00FE1C19"/>
    <w:rsid w:val="00FE1C47"/>
    <w:rsid w:val="00FE1C73"/>
    <w:rsid w:val="00FE1DD3"/>
    <w:rsid w:val="00FE1DE0"/>
    <w:rsid w:val="00FE1F97"/>
    <w:rsid w:val="00FE2059"/>
    <w:rsid w:val="00FE2088"/>
    <w:rsid w:val="00FE223D"/>
    <w:rsid w:val="00FE2280"/>
    <w:rsid w:val="00FE2319"/>
    <w:rsid w:val="00FE2433"/>
    <w:rsid w:val="00FE24AC"/>
    <w:rsid w:val="00FE2510"/>
    <w:rsid w:val="00FE252A"/>
    <w:rsid w:val="00FE2694"/>
    <w:rsid w:val="00FE26D1"/>
    <w:rsid w:val="00FE279B"/>
    <w:rsid w:val="00FE29F4"/>
    <w:rsid w:val="00FE2AA8"/>
    <w:rsid w:val="00FE2AF2"/>
    <w:rsid w:val="00FE2B8A"/>
    <w:rsid w:val="00FE2BBE"/>
    <w:rsid w:val="00FE2BDB"/>
    <w:rsid w:val="00FE2C72"/>
    <w:rsid w:val="00FE2CBF"/>
    <w:rsid w:val="00FE2DA1"/>
    <w:rsid w:val="00FE2DAE"/>
    <w:rsid w:val="00FE2DB3"/>
    <w:rsid w:val="00FE2E14"/>
    <w:rsid w:val="00FE2E86"/>
    <w:rsid w:val="00FE2ECA"/>
    <w:rsid w:val="00FE2F09"/>
    <w:rsid w:val="00FE2F13"/>
    <w:rsid w:val="00FE2F20"/>
    <w:rsid w:val="00FE300A"/>
    <w:rsid w:val="00FE3073"/>
    <w:rsid w:val="00FE30D6"/>
    <w:rsid w:val="00FE30E8"/>
    <w:rsid w:val="00FE3156"/>
    <w:rsid w:val="00FE3203"/>
    <w:rsid w:val="00FE3213"/>
    <w:rsid w:val="00FE32CA"/>
    <w:rsid w:val="00FE3316"/>
    <w:rsid w:val="00FE3395"/>
    <w:rsid w:val="00FE3408"/>
    <w:rsid w:val="00FE3454"/>
    <w:rsid w:val="00FE364F"/>
    <w:rsid w:val="00FE36CC"/>
    <w:rsid w:val="00FE36D3"/>
    <w:rsid w:val="00FE36D9"/>
    <w:rsid w:val="00FE37BB"/>
    <w:rsid w:val="00FE383B"/>
    <w:rsid w:val="00FE38A3"/>
    <w:rsid w:val="00FE39DE"/>
    <w:rsid w:val="00FE3A30"/>
    <w:rsid w:val="00FE3A84"/>
    <w:rsid w:val="00FE3AAF"/>
    <w:rsid w:val="00FE3BD6"/>
    <w:rsid w:val="00FE3BEC"/>
    <w:rsid w:val="00FE3C51"/>
    <w:rsid w:val="00FE3C83"/>
    <w:rsid w:val="00FE3CB7"/>
    <w:rsid w:val="00FE3CDF"/>
    <w:rsid w:val="00FE3D56"/>
    <w:rsid w:val="00FE3D6C"/>
    <w:rsid w:val="00FE3DC6"/>
    <w:rsid w:val="00FE3DCA"/>
    <w:rsid w:val="00FE3E38"/>
    <w:rsid w:val="00FE3E70"/>
    <w:rsid w:val="00FE3ED6"/>
    <w:rsid w:val="00FE3ED7"/>
    <w:rsid w:val="00FE3F10"/>
    <w:rsid w:val="00FE3F4B"/>
    <w:rsid w:val="00FE3F57"/>
    <w:rsid w:val="00FE3FB4"/>
    <w:rsid w:val="00FE3FBC"/>
    <w:rsid w:val="00FE4020"/>
    <w:rsid w:val="00FE4096"/>
    <w:rsid w:val="00FE414A"/>
    <w:rsid w:val="00FE4240"/>
    <w:rsid w:val="00FE4463"/>
    <w:rsid w:val="00FE452A"/>
    <w:rsid w:val="00FE4530"/>
    <w:rsid w:val="00FE4636"/>
    <w:rsid w:val="00FE46CE"/>
    <w:rsid w:val="00FE47BC"/>
    <w:rsid w:val="00FE47F6"/>
    <w:rsid w:val="00FE4849"/>
    <w:rsid w:val="00FE4960"/>
    <w:rsid w:val="00FE4A2D"/>
    <w:rsid w:val="00FE4A54"/>
    <w:rsid w:val="00FE4AAD"/>
    <w:rsid w:val="00FE4AF9"/>
    <w:rsid w:val="00FE4BA9"/>
    <w:rsid w:val="00FE4BE4"/>
    <w:rsid w:val="00FE4C2F"/>
    <w:rsid w:val="00FE4D04"/>
    <w:rsid w:val="00FE4D4F"/>
    <w:rsid w:val="00FE4D78"/>
    <w:rsid w:val="00FE4E74"/>
    <w:rsid w:val="00FE52DB"/>
    <w:rsid w:val="00FE535C"/>
    <w:rsid w:val="00FE5414"/>
    <w:rsid w:val="00FE55E8"/>
    <w:rsid w:val="00FE5666"/>
    <w:rsid w:val="00FE574F"/>
    <w:rsid w:val="00FE5794"/>
    <w:rsid w:val="00FE584C"/>
    <w:rsid w:val="00FE5B13"/>
    <w:rsid w:val="00FE5B97"/>
    <w:rsid w:val="00FE5EF7"/>
    <w:rsid w:val="00FE60B3"/>
    <w:rsid w:val="00FE610F"/>
    <w:rsid w:val="00FE61D1"/>
    <w:rsid w:val="00FE620D"/>
    <w:rsid w:val="00FE644D"/>
    <w:rsid w:val="00FE645D"/>
    <w:rsid w:val="00FE65C8"/>
    <w:rsid w:val="00FE66C6"/>
    <w:rsid w:val="00FE6731"/>
    <w:rsid w:val="00FE6737"/>
    <w:rsid w:val="00FE678F"/>
    <w:rsid w:val="00FE6830"/>
    <w:rsid w:val="00FE6AAF"/>
    <w:rsid w:val="00FE6ACF"/>
    <w:rsid w:val="00FE6C41"/>
    <w:rsid w:val="00FE6C97"/>
    <w:rsid w:val="00FE6DE7"/>
    <w:rsid w:val="00FE702D"/>
    <w:rsid w:val="00FE70D1"/>
    <w:rsid w:val="00FE7128"/>
    <w:rsid w:val="00FE7145"/>
    <w:rsid w:val="00FE7280"/>
    <w:rsid w:val="00FE741A"/>
    <w:rsid w:val="00FE7492"/>
    <w:rsid w:val="00FE74FE"/>
    <w:rsid w:val="00FE761D"/>
    <w:rsid w:val="00FE77AE"/>
    <w:rsid w:val="00FE786C"/>
    <w:rsid w:val="00FE789F"/>
    <w:rsid w:val="00FE795C"/>
    <w:rsid w:val="00FE795D"/>
    <w:rsid w:val="00FE7A34"/>
    <w:rsid w:val="00FE7B9D"/>
    <w:rsid w:val="00FE7C2E"/>
    <w:rsid w:val="00FE7D25"/>
    <w:rsid w:val="00FE7D45"/>
    <w:rsid w:val="00FE7D9B"/>
    <w:rsid w:val="00FE7DA9"/>
    <w:rsid w:val="00FE7DE3"/>
    <w:rsid w:val="00FE7DF5"/>
    <w:rsid w:val="00FE7E48"/>
    <w:rsid w:val="00FE7ED4"/>
    <w:rsid w:val="00FE7FB7"/>
    <w:rsid w:val="00FE7FEF"/>
    <w:rsid w:val="00FF0042"/>
    <w:rsid w:val="00FF004E"/>
    <w:rsid w:val="00FF00D5"/>
    <w:rsid w:val="00FF0188"/>
    <w:rsid w:val="00FF01EC"/>
    <w:rsid w:val="00FF0262"/>
    <w:rsid w:val="00FF026E"/>
    <w:rsid w:val="00FF0275"/>
    <w:rsid w:val="00FF053E"/>
    <w:rsid w:val="00FF0567"/>
    <w:rsid w:val="00FF0622"/>
    <w:rsid w:val="00FF0862"/>
    <w:rsid w:val="00FF08AC"/>
    <w:rsid w:val="00FF09BF"/>
    <w:rsid w:val="00FF09F1"/>
    <w:rsid w:val="00FF09F8"/>
    <w:rsid w:val="00FF0A71"/>
    <w:rsid w:val="00FF0B19"/>
    <w:rsid w:val="00FF0C02"/>
    <w:rsid w:val="00FF0C7C"/>
    <w:rsid w:val="00FF0C92"/>
    <w:rsid w:val="00FF0CEF"/>
    <w:rsid w:val="00FF0D01"/>
    <w:rsid w:val="00FF0D5A"/>
    <w:rsid w:val="00FF0DA5"/>
    <w:rsid w:val="00FF0E1A"/>
    <w:rsid w:val="00FF0E53"/>
    <w:rsid w:val="00FF0E8E"/>
    <w:rsid w:val="00FF1024"/>
    <w:rsid w:val="00FF10A8"/>
    <w:rsid w:val="00FF10B7"/>
    <w:rsid w:val="00FF118D"/>
    <w:rsid w:val="00FF125A"/>
    <w:rsid w:val="00FF1387"/>
    <w:rsid w:val="00FF1399"/>
    <w:rsid w:val="00FF1734"/>
    <w:rsid w:val="00FF1770"/>
    <w:rsid w:val="00FF1821"/>
    <w:rsid w:val="00FF192A"/>
    <w:rsid w:val="00FF1A3B"/>
    <w:rsid w:val="00FF1ABC"/>
    <w:rsid w:val="00FF1B30"/>
    <w:rsid w:val="00FF1B57"/>
    <w:rsid w:val="00FF1B9C"/>
    <w:rsid w:val="00FF1BF9"/>
    <w:rsid w:val="00FF1EEB"/>
    <w:rsid w:val="00FF1F06"/>
    <w:rsid w:val="00FF1F07"/>
    <w:rsid w:val="00FF20C9"/>
    <w:rsid w:val="00FF2178"/>
    <w:rsid w:val="00FF229B"/>
    <w:rsid w:val="00FF2369"/>
    <w:rsid w:val="00FF23DE"/>
    <w:rsid w:val="00FF2462"/>
    <w:rsid w:val="00FF24BE"/>
    <w:rsid w:val="00FF25CF"/>
    <w:rsid w:val="00FF282D"/>
    <w:rsid w:val="00FF28F7"/>
    <w:rsid w:val="00FF294E"/>
    <w:rsid w:val="00FF296C"/>
    <w:rsid w:val="00FF2AA2"/>
    <w:rsid w:val="00FF2AED"/>
    <w:rsid w:val="00FF2B73"/>
    <w:rsid w:val="00FF2BC7"/>
    <w:rsid w:val="00FF2D0F"/>
    <w:rsid w:val="00FF2D6A"/>
    <w:rsid w:val="00FF2DB8"/>
    <w:rsid w:val="00FF2DE6"/>
    <w:rsid w:val="00FF2F79"/>
    <w:rsid w:val="00FF2FF6"/>
    <w:rsid w:val="00FF2FF9"/>
    <w:rsid w:val="00FF3051"/>
    <w:rsid w:val="00FF31B8"/>
    <w:rsid w:val="00FF3483"/>
    <w:rsid w:val="00FF34BE"/>
    <w:rsid w:val="00FF34D5"/>
    <w:rsid w:val="00FF35C5"/>
    <w:rsid w:val="00FF3673"/>
    <w:rsid w:val="00FF3686"/>
    <w:rsid w:val="00FF3695"/>
    <w:rsid w:val="00FF36AD"/>
    <w:rsid w:val="00FF3701"/>
    <w:rsid w:val="00FF3724"/>
    <w:rsid w:val="00FF3735"/>
    <w:rsid w:val="00FF3846"/>
    <w:rsid w:val="00FF38BD"/>
    <w:rsid w:val="00FF3941"/>
    <w:rsid w:val="00FF3CD2"/>
    <w:rsid w:val="00FF3DB0"/>
    <w:rsid w:val="00FF3E22"/>
    <w:rsid w:val="00FF3E35"/>
    <w:rsid w:val="00FF3E9F"/>
    <w:rsid w:val="00FF3EEC"/>
    <w:rsid w:val="00FF3F60"/>
    <w:rsid w:val="00FF4076"/>
    <w:rsid w:val="00FF4226"/>
    <w:rsid w:val="00FF42CA"/>
    <w:rsid w:val="00FF42DA"/>
    <w:rsid w:val="00FF4319"/>
    <w:rsid w:val="00FF436C"/>
    <w:rsid w:val="00FF4481"/>
    <w:rsid w:val="00FF4513"/>
    <w:rsid w:val="00FF46D9"/>
    <w:rsid w:val="00FF477F"/>
    <w:rsid w:val="00FF48EB"/>
    <w:rsid w:val="00FF491F"/>
    <w:rsid w:val="00FF4952"/>
    <w:rsid w:val="00FF4A53"/>
    <w:rsid w:val="00FF4ABE"/>
    <w:rsid w:val="00FF4AD4"/>
    <w:rsid w:val="00FF4B01"/>
    <w:rsid w:val="00FF4B54"/>
    <w:rsid w:val="00FF4BC0"/>
    <w:rsid w:val="00FF4E64"/>
    <w:rsid w:val="00FF4E93"/>
    <w:rsid w:val="00FF4F6A"/>
    <w:rsid w:val="00FF4F9A"/>
    <w:rsid w:val="00FF4FA8"/>
    <w:rsid w:val="00FF5090"/>
    <w:rsid w:val="00FF511B"/>
    <w:rsid w:val="00FF5139"/>
    <w:rsid w:val="00FF5279"/>
    <w:rsid w:val="00FF53F9"/>
    <w:rsid w:val="00FF5743"/>
    <w:rsid w:val="00FF5754"/>
    <w:rsid w:val="00FF57E8"/>
    <w:rsid w:val="00FF5842"/>
    <w:rsid w:val="00FF59AE"/>
    <w:rsid w:val="00FF59E2"/>
    <w:rsid w:val="00FF5A75"/>
    <w:rsid w:val="00FF5C56"/>
    <w:rsid w:val="00FF5C7C"/>
    <w:rsid w:val="00FF5CD3"/>
    <w:rsid w:val="00FF5CE7"/>
    <w:rsid w:val="00FF5E84"/>
    <w:rsid w:val="00FF5F00"/>
    <w:rsid w:val="00FF5F89"/>
    <w:rsid w:val="00FF603B"/>
    <w:rsid w:val="00FF60BE"/>
    <w:rsid w:val="00FF60EE"/>
    <w:rsid w:val="00FF61C1"/>
    <w:rsid w:val="00FF61DD"/>
    <w:rsid w:val="00FF61FA"/>
    <w:rsid w:val="00FF621F"/>
    <w:rsid w:val="00FF62F6"/>
    <w:rsid w:val="00FF63AF"/>
    <w:rsid w:val="00FF6444"/>
    <w:rsid w:val="00FF64B8"/>
    <w:rsid w:val="00FF64D7"/>
    <w:rsid w:val="00FF653D"/>
    <w:rsid w:val="00FF6558"/>
    <w:rsid w:val="00FF6597"/>
    <w:rsid w:val="00FF66D9"/>
    <w:rsid w:val="00FF6726"/>
    <w:rsid w:val="00FF6958"/>
    <w:rsid w:val="00FF6A48"/>
    <w:rsid w:val="00FF6A60"/>
    <w:rsid w:val="00FF6AF8"/>
    <w:rsid w:val="00FF6BA5"/>
    <w:rsid w:val="00FF6BCE"/>
    <w:rsid w:val="00FF6C6F"/>
    <w:rsid w:val="00FF6CB2"/>
    <w:rsid w:val="00FF6DC2"/>
    <w:rsid w:val="00FF6E3F"/>
    <w:rsid w:val="00FF6F8B"/>
    <w:rsid w:val="00FF6F93"/>
    <w:rsid w:val="00FF6FC5"/>
    <w:rsid w:val="00FF6FF9"/>
    <w:rsid w:val="00FF7227"/>
    <w:rsid w:val="00FF7336"/>
    <w:rsid w:val="00FF7377"/>
    <w:rsid w:val="00FF73BB"/>
    <w:rsid w:val="00FF73C3"/>
    <w:rsid w:val="00FF7516"/>
    <w:rsid w:val="00FF7544"/>
    <w:rsid w:val="00FF7557"/>
    <w:rsid w:val="00FF7609"/>
    <w:rsid w:val="00FF768C"/>
    <w:rsid w:val="00FF76D2"/>
    <w:rsid w:val="00FF7766"/>
    <w:rsid w:val="00FF782A"/>
    <w:rsid w:val="00FF789B"/>
    <w:rsid w:val="00FF7999"/>
    <w:rsid w:val="00FF7A2D"/>
    <w:rsid w:val="00FF7A42"/>
    <w:rsid w:val="00FF7ABF"/>
    <w:rsid w:val="00FF7AD1"/>
    <w:rsid w:val="00FF7C35"/>
    <w:rsid w:val="00FF7D8F"/>
    <w:rsid w:val="00FF7DBA"/>
    <w:rsid w:val="00FF7E65"/>
    <w:rsid w:val="015B6E6F"/>
    <w:rsid w:val="0199F20D"/>
    <w:rsid w:val="02A3515C"/>
    <w:rsid w:val="02CAABC1"/>
    <w:rsid w:val="02D1D3A3"/>
    <w:rsid w:val="030BBDB7"/>
    <w:rsid w:val="035EE280"/>
    <w:rsid w:val="03ED3712"/>
    <w:rsid w:val="052E1B2D"/>
    <w:rsid w:val="0730AAB8"/>
    <w:rsid w:val="09F50B76"/>
    <w:rsid w:val="0AA5F8E1"/>
    <w:rsid w:val="0C139E09"/>
    <w:rsid w:val="0CA0A818"/>
    <w:rsid w:val="0D64CC2A"/>
    <w:rsid w:val="0D6BAF3F"/>
    <w:rsid w:val="0EBC3AB9"/>
    <w:rsid w:val="0F3B3065"/>
    <w:rsid w:val="10B2846D"/>
    <w:rsid w:val="1178B9C1"/>
    <w:rsid w:val="1260C6EF"/>
    <w:rsid w:val="1274015D"/>
    <w:rsid w:val="12E91BA6"/>
    <w:rsid w:val="141A05D6"/>
    <w:rsid w:val="146F15E8"/>
    <w:rsid w:val="14B41068"/>
    <w:rsid w:val="15650D25"/>
    <w:rsid w:val="1585BD43"/>
    <w:rsid w:val="1603E4C0"/>
    <w:rsid w:val="17610F20"/>
    <w:rsid w:val="178A4670"/>
    <w:rsid w:val="1860F72F"/>
    <w:rsid w:val="18FFB8A9"/>
    <w:rsid w:val="191EC244"/>
    <w:rsid w:val="1A34CE19"/>
    <w:rsid w:val="1A64020E"/>
    <w:rsid w:val="1A94DC85"/>
    <w:rsid w:val="1BC3C2D6"/>
    <w:rsid w:val="1DDA6ED5"/>
    <w:rsid w:val="1DE4E69D"/>
    <w:rsid w:val="1E01C856"/>
    <w:rsid w:val="1E69F299"/>
    <w:rsid w:val="1FDB6656"/>
    <w:rsid w:val="2048332E"/>
    <w:rsid w:val="208130B3"/>
    <w:rsid w:val="20ABF811"/>
    <w:rsid w:val="22000058"/>
    <w:rsid w:val="2218A378"/>
    <w:rsid w:val="227031B9"/>
    <w:rsid w:val="22EDB3F0"/>
    <w:rsid w:val="230BD380"/>
    <w:rsid w:val="233D1FCF"/>
    <w:rsid w:val="2343C567"/>
    <w:rsid w:val="23D7C77C"/>
    <w:rsid w:val="24027618"/>
    <w:rsid w:val="24098620"/>
    <w:rsid w:val="241D9972"/>
    <w:rsid w:val="25621DB7"/>
    <w:rsid w:val="28546C6C"/>
    <w:rsid w:val="28C2FBF5"/>
    <w:rsid w:val="29948E92"/>
    <w:rsid w:val="2B19800F"/>
    <w:rsid w:val="2B36AADD"/>
    <w:rsid w:val="2BAD0642"/>
    <w:rsid w:val="2CF6342C"/>
    <w:rsid w:val="2D9067B9"/>
    <w:rsid w:val="2E2C1C75"/>
    <w:rsid w:val="2EAF0CF0"/>
    <w:rsid w:val="2FD3FE39"/>
    <w:rsid w:val="31292C38"/>
    <w:rsid w:val="31697697"/>
    <w:rsid w:val="31BCF309"/>
    <w:rsid w:val="31D7C94A"/>
    <w:rsid w:val="31EC76BE"/>
    <w:rsid w:val="328EA878"/>
    <w:rsid w:val="3416C466"/>
    <w:rsid w:val="37396A28"/>
    <w:rsid w:val="3792B123"/>
    <w:rsid w:val="38BFDB7E"/>
    <w:rsid w:val="397EE2CA"/>
    <w:rsid w:val="3B34C9CD"/>
    <w:rsid w:val="3BCF908B"/>
    <w:rsid w:val="3C1E28C9"/>
    <w:rsid w:val="3CB8F6AB"/>
    <w:rsid w:val="3F69D4F4"/>
    <w:rsid w:val="3F7AC84D"/>
    <w:rsid w:val="408A052F"/>
    <w:rsid w:val="40A8691B"/>
    <w:rsid w:val="417E0F99"/>
    <w:rsid w:val="42A0C60B"/>
    <w:rsid w:val="4351890B"/>
    <w:rsid w:val="4471847F"/>
    <w:rsid w:val="4549B054"/>
    <w:rsid w:val="474ECB08"/>
    <w:rsid w:val="479F796B"/>
    <w:rsid w:val="48AE90A7"/>
    <w:rsid w:val="48DE3BA2"/>
    <w:rsid w:val="4B258E3B"/>
    <w:rsid w:val="4BE18FB3"/>
    <w:rsid w:val="4CE8AD6F"/>
    <w:rsid w:val="4D0F9617"/>
    <w:rsid w:val="4D34B8AE"/>
    <w:rsid w:val="4DA95991"/>
    <w:rsid w:val="4FF8BB6E"/>
    <w:rsid w:val="50B6503C"/>
    <w:rsid w:val="52A49ABB"/>
    <w:rsid w:val="52DC4D0E"/>
    <w:rsid w:val="53274686"/>
    <w:rsid w:val="537E8B1B"/>
    <w:rsid w:val="53A1784A"/>
    <w:rsid w:val="53B75E38"/>
    <w:rsid w:val="542018FD"/>
    <w:rsid w:val="542E03DF"/>
    <w:rsid w:val="549DC51E"/>
    <w:rsid w:val="54AA5178"/>
    <w:rsid w:val="54DD5F23"/>
    <w:rsid w:val="553DA523"/>
    <w:rsid w:val="55879FF4"/>
    <w:rsid w:val="55E68B81"/>
    <w:rsid w:val="56AEBC1A"/>
    <w:rsid w:val="5707B3AA"/>
    <w:rsid w:val="572B0BB2"/>
    <w:rsid w:val="573E705F"/>
    <w:rsid w:val="577599CE"/>
    <w:rsid w:val="582ACBBF"/>
    <w:rsid w:val="58568E6E"/>
    <w:rsid w:val="58600064"/>
    <w:rsid w:val="59C8FD97"/>
    <w:rsid w:val="5A6F9765"/>
    <w:rsid w:val="5AA000CC"/>
    <w:rsid w:val="5B5ADC4A"/>
    <w:rsid w:val="5D943ADE"/>
    <w:rsid w:val="5DAD67AA"/>
    <w:rsid w:val="5DC7D877"/>
    <w:rsid w:val="5DE01D31"/>
    <w:rsid w:val="5E7194CA"/>
    <w:rsid w:val="6001596B"/>
    <w:rsid w:val="6008B8A1"/>
    <w:rsid w:val="604A74BF"/>
    <w:rsid w:val="61DB9BE8"/>
    <w:rsid w:val="62D46938"/>
    <w:rsid w:val="6477C26B"/>
    <w:rsid w:val="64854625"/>
    <w:rsid w:val="65291E64"/>
    <w:rsid w:val="65BBD488"/>
    <w:rsid w:val="66A0324A"/>
    <w:rsid w:val="678A9056"/>
    <w:rsid w:val="67DF9241"/>
    <w:rsid w:val="68885CC5"/>
    <w:rsid w:val="68C1CFEC"/>
    <w:rsid w:val="68CEDC05"/>
    <w:rsid w:val="69A201CD"/>
    <w:rsid w:val="69AC81CD"/>
    <w:rsid w:val="6A28CF6E"/>
    <w:rsid w:val="6A73569C"/>
    <w:rsid w:val="6A84F3B6"/>
    <w:rsid w:val="6BA8E651"/>
    <w:rsid w:val="6CE3D99A"/>
    <w:rsid w:val="6CE45CBF"/>
    <w:rsid w:val="6DF1106B"/>
    <w:rsid w:val="6EFE7E11"/>
    <w:rsid w:val="6F852786"/>
    <w:rsid w:val="70F800CE"/>
    <w:rsid w:val="7100A0FD"/>
    <w:rsid w:val="7193E830"/>
    <w:rsid w:val="728A7AC7"/>
    <w:rsid w:val="72C930AD"/>
    <w:rsid w:val="72D97E2F"/>
    <w:rsid w:val="73037F82"/>
    <w:rsid w:val="735163CD"/>
    <w:rsid w:val="73DD25C1"/>
    <w:rsid w:val="7557A221"/>
    <w:rsid w:val="755BAD94"/>
    <w:rsid w:val="76844FC5"/>
    <w:rsid w:val="775EEAB1"/>
    <w:rsid w:val="77B6FBC3"/>
    <w:rsid w:val="77F054D7"/>
    <w:rsid w:val="791DC6E5"/>
    <w:rsid w:val="796D43A1"/>
    <w:rsid w:val="7A26998E"/>
    <w:rsid w:val="7A7E9E33"/>
    <w:rsid w:val="7BAAAAC3"/>
    <w:rsid w:val="7BDEBF0E"/>
    <w:rsid w:val="7D865AE1"/>
    <w:rsid w:val="7F4E5C6C"/>
    <w:rsid w:val="7FB2F0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14776C"/>
  <w15:chartTrackingRefBased/>
  <w15:docId w15:val="{290FAE07-C8C0-4176-859A-7BDAACEB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2D4"/>
    <w:pPr>
      <w:spacing w:after="120"/>
    </w:pPr>
    <w:rPr>
      <w:rFonts w:ascii="Segoe UI" w:hAnsi="Segoe UI"/>
      <w:sz w:val="19"/>
      <w:lang w:val="en-AU"/>
    </w:rPr>
  </w:style>
  <w:style w:type="paragraph" w:styleId="Heading1">
    <w:name w:val="heading 1"/>
    <w:basedOn w:val="Normal"/>
    <w:next w:val="Normal"/>
    <w:link w:val="Heading1Char"/>
    <w:uiPriority w:val="19"/>
    <w:qFormat/>
    <w:rsid w:val="00B34736"/>
    <w:pPr>
      <w:keepNext/>
      <w:pageBreakBefore/>
      <w:numPr>
        <w:numId w:val="49"/>
      </w:numPr>
      <w:spacing w:after="60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7764C6"/>
    <w:pPr>
      <w:keepNext/>
      <w:numPr>
        <w:ilvl w:val="1"/>
        <w:numId w:val="49"/>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B34736"/>
    <w:pPr>
      <w:keepNext/>
      <w:numPr>
        <w:ilvl w:val="2"/>
        <w:numId w:val="49"/>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EA3C9C"/>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B34736"/>
    <w:pPr>
      <w:keepNext/>
      <w:numPr>
        <w:ilvl w:val="4"/>
        <w:numId w:val="49"/>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B34736"/>
    <w:pPr>
      <w:keepNext/>
      <w:keepLines/>
      <w:numPr>
        <w:ilvl w:val="5"/>
        <w:numId w:val="49"/>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EA3C9C"/>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EA3C9C"/>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19"/>
    <w:semiHidden/>
    <w:qFormat/>
    <w:rsid w:val="00A63EC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EA3C9C"/>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7764C6"/>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EA3C9C"/>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EA3C9C"/>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EA3C9C"/>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EA3C9C"/>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B34736"/>
    <w:pPr>
      <w:numPr>
        <w:numId w:val="2"/>
      </w:numPr>
      <w:suppressAutoHyphens/>
    </w:pPr>
    <w:rPr>
      <w:rFonts w:eastAsia="Times New Roman" w:cs="Times New Roman"/>
      <w:szCs w:val="19"/>
      <w:lang w:eastAsia="en-AU"/>
    </w:rPr>
  </w:style>
  <w:style w:type="paragraph" w:customStyle="1" w:styleId="TableNheader">
    <w:name w:val="Table N header"/>
    <w:basedOn w:val="Normal"/>
    <w:uiPriority w:val="2"/>
    <w:qFormat/>
    <w:rsid w:val="00EA3C9C"/>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A3C9C"/>
    <w:pPr>
      <w:spacing w:before="60" w:after="60"/>
    </w:pPr>
    <w:rPr>
      <w:sz w:val="17"/>
    </w:rPr>
  </w:style>
  <w:style w:type="paragraph" w:styleId="Header">
    <w:name w:val="header"/>
    <w:basedOn w:val="Normal"/>
    <w:link w:val="HeaderChar"/>
    <w:uiPriority w:val="99"/>
    <w:unhideWhenUsed/>
    <w:rsid w:val="00EA3C9C"/>
    <w:pPr>
      <w:tabs>
        <w:tab w:val="center" w:pos="4513"/>
        <w:tab w:val="right" w:pos="9026"/>
      </w:tabs>
      <w:spacing w:after="0"/>
    </w:pPr>
  </w:style>
  <w:style w:type="character" w:customStyle="1" w:styleId="HeaderChar">
    <w:name w:val="Header Char"/>
    <w:basedOn w:val="DefaultParagraphFont"/>
    <w:link w:val="Header"/>
    <w:uiPriority w:val="99"/>
    <w:rsid w:val="00EA3C9C"/>
    <w:rPr>
      <w:rFonts w:ascii="Segoe UI" w:hAnsi="Segoe UI"/>
      <w:sz w:val="19"/>
      <w:lang w:val="en-AU"/>
    </w:rPr>
  </w:style>
  <w:style w:type="paragraph" w:styleId="Footer">
    <w:name w:val="footer"/>
    <w:aliases w:val="Foot note"/>
    <w:basedOn w:val="Normal"/>
    <w:link w:val="FooterChar"/>
    <w:uiPriority w:val="89"/>
    <w:unhideWhenUsed/>
    <w:rsid w:val="00EA3C9C"/>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EA3C9C"/>
    <w:rPr>
      <w:rFonts w:ascii="Segoe UI" w:hAnsi="Segoe UI"/>
      <w:sz w:val="15"/>
      <w:lang w:val="en-AU"/>
    </w:rPr>
  </w:style>
  <w:style w:type="paragraph" w:styleId="Caption">
    <w:name w:val="caption"/>
    <w:basedOn w:val="Normal"/>
    <w:next w:val="Normal"/>
    <w:uiPriority w:val="35"/>
    <w:qFormat/>
    <w:rsid w:val="00EA3C9C"/>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B34736"/>
    <w:pPr>
      <w:numPr>
        <w:numId w:val="1"/>
      </w:numPr>
      <w:spacing w:before="60" w:after="60"/>
    </w:pPr>
    <w:rPr>
      <w:sz w:val="17"/>
    </w:rPr>
  </w:style>
  <w:style w:type="paragraph" w:customStyle="1" w:styleId="TableNListnumbered">
    <w:name w:val="Table N List (numbered)"/>
    <w:basedOn w:val="TableNBullet"/>
    <w:uiPriority w:val="2"/>
    <w:qFormat/>
    <w:rsid w:val="00B34736"/>
    <w:pPr>
      <w:numPr>
        <w:numId w:val="17"/>
      </w:numPr>
    </w:pPr>
  </w:style>
  <w:style w:type="paragraph" w:customStyle="1" w:styleId="xAppendixLevel1">
    <w:name w:val="xAppendix Level 1"/>
    <w:basedOn w:val="Heading1"/>
    <w:next w:val="Normal"/>
    <w:uiPriority w:val="98"/>
    <w:qFormat/>
    <w:rsid w:val="00B34736"/>
    <w:pPr>
      <w:numPr>
        <w:numId w:val="18"/>
      </w:numPr>
    </w:pPr>
    <w:rPr>
      <w:bCs/>
    </w:rPr>
  </w:style>
  <w:style w:type="paragraph" w:customStyle="1" w:styleId="xAppendixLevel2">
    <w:name w:val="xAppendix Level 2"/>
    <w:basedOn w:val="Heading2"/>
    <w:next w:val="Normal"/>
    <w:uiPriority w:val="98"/>
    <w:qFormat/>
    <w:rsid w:val="00B34736"/>
    <w:pPr>
      <w:numPr>
        <w:numId w:val="18"/>
      </w:numPr>
    </w:pPr>
    <w:rPr>
      <w:bCs/>
      <w:sz w:val="34"/>
    </w:rPr>
  </w:style>
  <w:style w:type="paragraph" w:customStyle="1" w:styleId="xAppendixLevel3">
    <w:name w:val="xAppendix Level 3"/>
    <w:basedOn w:val="Heading3"/>
    <w:next w:val="Normal"/>
    <w:uiPriority w:val="98"/>
    <w:qFormat/>
    <w:rsid w:val="00B34736"/>
    <w:pPr>
      <w:numPr>
        <w:numId w:val="18"/>
      </w:numPr>
    </w:pPr>
    <w:rPr>
      <w:bCs/>
    </w:rPr>
  </w:style>
  <w:style w:type="paragraph" w:customStyle="1" w:styleId="Listnumbered">
    <w:name w:val="List (numbered)"/>
    <w:basedOn w:val="Normal"/>
    <w:uiPriority w:val="1"/>
    <w:qFormat/>
    <w:rsid w:val="00B34736"/>
    <w:pPr>
      <w:numPr>
        <w:numId w:val="65"/>
      </w:numPr>
    </w:pPr>
  </w:style>
  <w:style w:type="paragraph" w:customStyle="1" w:styleId="Source">
    <w:name w:val="Source"/>
    <w:basedOn w:val="Normal"/>
    <w:next w:val="Normal"/>
    <w:link w:val="SourceChar"/>
    <w:uiPriority w:val="39"/>
    <w:rsid w:val="00EA3C9C"/>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EA3C9C"/>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B34736"/>
    <w:pPr>
      <w:numPr>
        <w:numId w:val="16"/>
      </w:numPr>
      <w:spacing w:before="60" w:after="60"/>
    </w:pPr>
    <w:rPr>
      <w:sz w:val="16"/>
    </w:rPr>
  </w:style>
  <w:style w:type="paragraph" w:customStyle="1" w:styleId="Tableexpheader">
    <w:name w:val="Table exp header"/>
    <w:basedOn w:val="Normal"/>
    <w:uiPriority w:val="3"/>
    <w:qFormat/>
    <w:rsid w:val="00EA3C9C"/>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B34736"/>
    <w:pPr>
      <w:spacing w:before="60" w:after="60"/>
      <w:ind w:left="227" w:hanging="227"/>
    </w:pPr>
    <w:rPr>
      <w:sz w:val="16"/>
    </w:rPr>
  </w:style>
  <w:style w:type="paragraph" w:customStyle="1" w:styleId="TableExpText">
    <w:name w:val="Table Exp Text"/>
    <w:basedOn w:val="Normal"/>
    <w:uiPriority w:val="3"/>
    <w:qFormat/>
    <w:rsid w:val="00EA3C9C"/>
    <w:rPr>
      <w:sz w:val="16"/>
    </w:rPr>
  </w:style>
  <w:style w:type="character" w:customStyle="1" w:styleId="Heading7Char">
    <w:name w:val="Heading 7 Char"/>
    <w:basedOn w:val="DefaultParagraphFont"/>
    <w:link w:val="Heading7"/>
    <w:uiPriority w:val="19"/>
    <w:semiHidden/>
    <w:rsid w:val="00EA3C9C"/>
    <w:rPr>
      <w:rFonts w:ascii="Segoe UI" w:eastAsiaTheme="majorEastAsia" w:hAnsi="Segoe UI" w:cstheme="majorBidi"/>
      <w:i/>
      <w:iCs/>
      <w:color w:val="404040" w:themeColor="text1" w:themeTint="BF"/>
      <w:sz w:val="19"/>
      <w:lang w:val="en-AU"/>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EA3C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C9C"/>
    <w:rPr>
      <w:rFonts w:ascii="Tahoma" w:hAnsi="Tahoma" w:cs="Tahoma"/>
      <w:sz w:val="16"/>
      <w:szCs w:val="16"/>
      <w:lang w:val="en-AU"/>
    </w:rPr>
  </w:style>
  <w:style w:type="table" w:styleId="LightList-Accent5">
    <w:name w:val="Light List Accent 5"/>
    <w:basedOn w:val="TableNormal"/>
    <w:uiPriority w:val="61"/>
    <w:rsid w:val="00EA3C9C"/>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EA3C9C"/>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EA3C9C"/>
    <w:rPr>
      <w:rFonts w:ascii="Segoe UI" w:eastAsia="Times New Roman" w:hAnsi="Segoe UI" w:cs="Times New Roman"/>
      <w:sz w:val="17"/>
      <w:szCs w:val="19"/>
      <w:lang w:val="en-AU" w:eastAsia="en-AU"/>
    </w:rPr>
  </w:style>
  <w:style w:type="table" w:styleId="TableGrid">
    <w:name w:val="Table Grid"/>
    <w:aliases w:val="Nous Table,Table,NOUS,NOUS Side Header"/>
    <w:basedOn w:val="TableNormal"/>
    <w:uiPriority w:val="39"/>
    <w:rsid w:val="00B34736"/>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mSun-ExtB" w:hAnsi="SimSun-ExtB"/>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Light" w:hAnsi="Segoe UI Light"/>
        <w:sz w:val="17"/>
      </w:rPr>
    </w:tblStylePr>
    <w:tblStylePr w:type="band2Horz">
      <w:rPr>
        <w:rFonts w:ascii="Segoe UI Light" w:hAnsi="Segoe UI Light"/>
        <w:sz w:val="17"/>
      </w:rPr>
    </w:tblStylePr>
  </w:style>
  <w:style w:type="character" w:customStyle="1" w:styleId="BulletChar">
    <w:name w:val="Bullet Char"/>
    <w:basedOn w:val="DefaultParagraphFont"/>
    <w:link w:val="Bullet"/>
    <w:uiPriority w:val="2"/>
    <w:rsid w:val="00EA3C9C"/>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EA3C9C"/>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EA3C9C"/>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EA3C9C"/>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EA3C9C"/>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B34736"/>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imSun-ExtB" w:hAnsi="SimSun-ExtB"/>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EA3C9C"/>
    <w:rPr>
      <w:rFonts w:ascii="Segoe UI" w:eastAsiaTheme="majorEastAsia" w:hAnsi="Segoe UI" w:cstheme="majorBidi"/>
      <w:color w:val="404040" w:themeColor="text1" w:themeTint="BF"/>
      <w:sz w:val="20"/>
      <w:szCs w:val="20"/>
      <w:lang w:val="en-AU"/>
    </w:rPr>
  </w:style>
  <w:style w:type="character" w:styleId="Hyperlink">
    <w:name w:val="Hyperlink"/>
    <w:basedOn w:val="DefaultParagraphFont"/>
    <w:uiPriority w:val="99"/>
    <w:unhideWhenUsed/>
    <w:rsid w:val="00EA3C9C"/>
    <w:rPr>
      <w:color w:val="00264D" w:themeColor="background2"/>
      <w:u w:val="single"/>
    </w:rPr>
  </w:style>
  <w:style w:type="table" w:customStyle="1" w:styleId="NousTableTopandside">
    <w:name w:val="Nous Table_Top and side"/>
    <w:basedOn w:val="TableNormal"/>
    <w:uiPriority w:val="99"/>
    <w:rsid w:val="00B3473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imSun-ExtB" w:hAnsi="SimSun-ExtB"/>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imSun-ExtB" w:hAnsi="SimSun-ExtB"/>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EA3C9C"/>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EA3C9C"/>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EA3C9C"/>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EA3C9C"/>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B34736"/>
    <w:pPr>
      <w:numPr>
        <w:numId w:val="14"/>
      </w:numPr>
    </w:pPr>
  </w:style>
  <w:style w:type="paragraph" w:customStyle="1" w:styleId="longformcalloutnumber">
    <w:name w:val="long form callout number"/>
    <w:basedOn w:val="longformcalloutbullet"/>
    <w:uiPriority w:val="20"/>
    <w:qFormat/>
    <w:rsid w:val="00B34736"/>
    <w:pPr>
      <w:numPr>
        <w:numId w:val="15"/>
      </w:numPr>
    </w:pPr>
  </w:style>
  <w:style w:type="paragraph" w:customStyle="1" w:styleId="NousFooter">
    <w:name w:val="Nous Footer"/>
    <w:basedOn w:val="Normal"/>
    <w:uiPriority w:val="96"/>
    <w:qFormat/>
    <w:rsid w:val="00EA3C9C"/>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EA3C9C"/>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2D562F"/>
    <w:pPr>
      <w:tabs>
        <w:tab w:val="left" w:pos="851"/>
        <w:tab w:val="right" w:leader="dot" w:pos="8920"/>
      </w:tabs>
      <w:spacing w:after="100" w:line="240" w:lineRule="auto"/>
      <w:ind w:left="426"/>
    </w:pPr>
    <w:rPr>
      <w:rFonts w:cstheme="minorHAnsi"/>
      <w:noProof/>
      <w:lang w:val="en-US"/>
    </w:rPr>
  </w:style>
  <w:style w:type="paragraph" w:styleId="TOC1">
    <w:name w:val="toc 1"/>
    <w:basedOn w:val="Normal"/>
    <w:next w:val="Normal"/>
    <w:autoRedefine/>
    <w:uiPriority w:val="39"/>
    <w:unhideWhenUsed/>
    <w:rsid w:val="000F018C"/>
    <w:pPr>
      <w:tabs>
        <w:tab w:val="left" w:pos="426"/>
        <w:tab w:val="left" w:pos="1134"/>
        <w:tab w:val="right" w:leader="dot" w:pos="8920"/>
      </w:tabs>
      <w:spacing w:after="100" w:line="240" w:lineRule="auto"/>
    </w:pPr>
    <w:rPr>
      <w:noProof/>
      <w:lang w:val="en-US"/>
    </w:rPr>
  </w:style>
  <w:style w:type="paragraph" w:customStyle="1" w:styleId="BioQualifications">
    <w:name w:val="Bio Qualifications"/>
    <w:basedOn w:val="Normal"/>
    <w:uiPriority w:val="97"/>
    <w:qFormat/>
    <w:rsid w:val="00625270"/>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A3C9C"/>
    <w:rPr>
      <w:sz w:val="16"/>
      <w:szCs w:val="16"/>
    </w:rPr>
  </w:style>
  <w:style w:type="paragraph" w:styleId="CommentText">
    <w:name w:val="annotation text"/>
    <w:basedOn w:val="Normal"/>
    <w:link w:val="CommentTextChar"/>
    <w:uiPriority w:val="99"/>
    <w:unhideWhenUsed/>
    <w:rsid w:val="00EA3C9C"/>
    <w:pPr>
      <w:spacing w:line="240" w:lineRule="auto"/>
    </w:pPr>
    <w:rPr>
      <w:sz w:val="20"/>
      <w:szCs w:val="20"/>
    </w:rPr>
  </w:style>
  <w:style w:type="character" w:customStyle="1" w:styleId="CommentTextChar">
    <w:name w:val="Comment Text Char"/>
    <w:basedOn w:val="DefaultParagraphFont"/>
    <w:link w:val="CommentText"/>
    <w:uiPriority w:val="99"/>
    <w:rsid w:val="00EA3C9C"/>
    <w:rPr>
      <w:rFonts w:ascii="Segoe UI" w:hAnsi="Segoe UI"/>
      <w:sz w:val="20"/>
      <w:szCs w:val="20"/>
      <w:lang w:val="en-AU"/>
    </w:rPr>
  </w:style>
  <w:style w:type="paragraph" w:customStyle="1" w:styleId="introductionlist">
    <w:name w:val="introduction list"/>
    <w:basedOn w:val="Sectionintroduction"/>
    <w:uiPriority w:val="21"/>
    <w:qFormat/>
    <w:rsid w:val="00B34736"/>
    <w:pPr>
      <w:numPr>
        <w:numId w:val="13"/>
      </w:numPr>
      <w:spacing w:before="60"/>
    </w:pPr>
  </w:style>
  <w:style w:type="paragraph" w:customStyle="1" w:styleId="intoductionbullet">
    <w:name w:val="intoduction bullet"/>
    <w:basedOn w:val="Sectionintroduction"/>
    <w:uiPriority w:val="21"/>
    <w:qFormat/>
    <w:rsid w:val="00B34736"/>
    <w:pPr>
      <w:numPr>
        <w:numId w:val="12"/>
      </w:numPr>
    </w:pPr>
  </w:style>
  <w:style w:type="paragraph" w:customStyle="1" w:styleId="BioQualificationsText">
    <w:name w:val="Bio Qualifications Text"/>
    <w:basedOn w:val="Normal"/>
    <w:uiPriority w:val="97"/>
    <w:qFormat/>
    <w:rsid w:val="00625270"/>
    <w:pPr>
      <w:spacing w:line="240" w:lineRule="auto"/>
      <w:jc w:val="center"/>
    </w:pPr>
  </w:style>
  <w:style w:type="paragraph" w:customStyle="1" w:styleId="Covertitle">
    <w:name w:val="Cover title"/>
    <w:basedOn w:val="Normal"/>
    <w:link w:val="CovertitleChar"/>
    <w:uiPriority w:val="99"/>
    <w:semiHidden/>
    <w:rsid w:val="00EA3C9C"/>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EA3C9C"/>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EA3C9C"/>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EA3C9C"/>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EA3C9C"/>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EA3C9C"/>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EA3C9C"/>
    <w:rPr>
      <w:color w:val="808080"/>
    </w:rPr>
  </w:style>
  <w:style w:type="table" w:customStyle="1" w:styleId="Sectionintroductiontable">
    <w:name w:val="Section introduction table"/>
    <w:basedOn w:val="TableNormal"/>
    <w:uiPriority w:val="99"/>
    <w:rsid w:val="00B34736"/>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imSun-ExtB" w:hAnsi="@SimSun-ExtB"/>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B34736"/>
  </w:style>
  <w:style w:type="numbering" w:customStyle="1" w:styleId="TableexpListnumberedmultilevel">
    <w:name w:val="Table exp List (numbered) multilevel"/>
    <w:uiPriority w:val="99"/>
    <w:rsid w:val="00B34736"/>
    <w:pPr>
      <w:numPr>
        <w:numId w:val="19"/>
      </w:numPr>
    </w:pPr>
  </w:style>
  <w:style w:type="numbering" w:customStyle="1" w:styleId="TableNListnumberedmultilevel">
    <w:name w:val="Table N List (numbered) multilevel"/>
    <w:uiPriority w:val="99"/>
    <w:rsid w:val="00EA3C9C"/>
    <w:pPr>
      <w:numPr>
        <w:numId w:val="17"/>
      </w:numPr>
    </w:pPr>
  </w:style>
  <w:style w:type="table" w:customStyle="1" w:styleId="NousLongformcallout">
    <w:name w:val="Nous_Long form call out"/>
    <w:basedOn w:val="TableNormal"/>
    <w:uiPriority w:val="99"/>
    <w:rsid w:val="00EA3C9C"/>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aliases w:val="Footnotes Text,FSFootnotes Text"/>
    <w:basedOn w:val="Normal"/>
    <w:link w:val="FootnoteTextChar"/>
    <w:uiPriority w:val="99"/>
    <w:unhideWhenUsed/>
    <w:qFormat/>
    <w:rsid w:val="00EA3C9C"/>
    <w:pPr>
      <w:spacing w:after="0" w:line="240" w:lineRule="auto"/>
    </w:pPr>
    <w:rPr>
      <w:sz w:val="15"/>
      <w:szCs w:val="20"/>
    </w:rPr>
  </w:style>
  <w:style w:type="character" w:customStyle="1" w:styleId="FootnoteTextChar">
    <w:name w:val="Footnote Text Char"/>
    <w:aliases w:val="Footnotes Text Char,FSFootnotes Text Char"/>
    <w:basedOn w:val="DefaultParagraphFont"/>
    <w:link w:val="FootnoteText"/>
    <w:uiPriority w:val="99"/>
    <w:rsid w:val="00EA3C9C"/>
    <w:rPr>
      <w:rFonts w:ascii="Segoe UI" w:hAnsi="Segoe UI"/>
      <w:sz w:val="15"/>
      <w:szCs w:val="20"/>
      <w:lang w:val="en-AU"/>
    </w:rPr>
  </w:style>
  <w:style w:type="paragraph" w:customStyle="1" w:styleId="CaseStudytitle">
    <w:name w:val="Case Study title"/>
    <w:basedOn w:val="Normal"/>
    <w:qFormat/>
    <w:rsid w:val="00EA3C9C"/>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EA3C9C"/>
    <w:rPr>
      <w:rFonts w:ascii="Segoe UI" w:hAnsi="Segoe UI"/>
      <w:sz w:val="17"/>
      <w:lang w:val="en-AU"/>
    </w:rPr>
  </w:style>
  <w:style w:type="character" w:styleId="FootnoteReference">
    <w:name w:val="footnote reference"/>
    <w:basedOn w:val="DefaultParagraphFont"/>
    <w:uiPriority w:val="99"/>
    <w:unhideWhenUsed/>
    <w:rsid w:val="00083C44"/>
    <w:rPr>
      <w:vertAlign w:val="superscript"/>
    </w:rPr>
  </w:style>
  <w:style w:type="paragraph" w:styleId="ListParagraph">
    <w:name w:val="List Paragraph"/>
    <w:aliases w:val="Recommendation,L,Bullet Point,Bullet point,Bullet points,Content descriptions,List Paragraph1,List Paragraph11,NFP GP Bulleted List,FooterText,numbered,Paragraphe de liste1,Bulletr List Paragraph,列出段落,列出段落1,List Paragraph2,CV text,Dot pt"/>
    <w:basedOn w:val="Normal"/>
    <w:link w:val="ListParagraphChar"/>
    <w:uiPriority w:val="34"/>
    <w:qFormat/>
    <w:rsid w:val="00083C44"/>
    <w:pPr>
      <w:ind w:left="720"/>
      <w:contextualSpacing/>
    </w:pPr>
  </w:style>
  <w:style w:type="paragraph" w:styleId="CommentSubject">
    <w:name w:val="annotation subject"/>
    <w:basedOn w:val="CommentText"/>
    <w:next w:val="CommentText"/>
    <w:link w:val="CommentSubjectChar"/>
    <w:uiPriority w:val="99"/>
    <w:semiHidden/>
    <w:unhideWhenUsed/>
    <w:rsid w:val="00083C44"/>
    <w:rPr>
      <w:b/>
      <w:bCs/>
    </w:rPr>
  </w:style>
  <w:style w:type="character" w:customStyle="1" w:styleId="CommentSubjectChar">
    <w:name w:val="Comment Subject Char"/>
    <w:basedOn w:val="CommentTextChar"/>
    <w:link w:val="CommentSubject"/>
    <w:uiPriority w:val="99"/>
    <w:semiHidden/>
    <w:rsid w:val="00083C44"/>
    <w:rPr>
      <w:rFonts w:ascii="Segoe UI" w:hAnsi="Segoe UI"/>
      <w:b/>
      <w:bCs/>
      <w:sz w:val="20"/>
      <w:szCs w:val="20"/>
      <w:lang w:val="en-AU"/>
    </w:rPr>
  </w:style>
  <w:style w:type="table" w:customStyle="1" w:styleId="NOUSSideHeader1">
    <w:name w:val="NOUS Side Header1"/>
    <w:basedOn w:val="TableNormal"/>
    <w:next w:val="TableGrid"/>
    <w:uiPriority w:val="39"/>
    <w:rsid w:val="00B34736"/>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mSun-ExtB" w:hAnsi="SimSun-ExtB"/>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Light" w:hAnsi="Segoe UI Light"/>
        <w:sz w:val="17"/>
      </w:rPr>
    </w:tblStylePr>
    <w:tblStylePr w:type="band2Horz">
      <w:rPr>
        <w:rFonts w:ascii="Segoe UI Light" w:hAnsi="Segoe UI Light"/>
        <w:sz w:val="17"/>
      </w:rPr>
    </w:tblStylePr>
  </w:style>
  <w:style w:type="paragraph" w:styleId="TOCHeading">
    <w:name w:val="TOC Heading"/>
    <w:basedOn w:val="Heading1"/>
    <w:next w:val="Normal"/>
    <w:uiPriority w:val="39"/>
    <w:unhideWhenUsed/>
    <w:qFormat/>
    <w:rsid w:val="00083C44"/>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083C44"/>
    <w:pPr>
      <w:spacing w:after="100"/>
      <w:ind w:left="380"/>
    </w:pPr>
  </w:style>
  <w:style w:type="paragraph" w:styleId="Revision">
    <w:name w:val="Revision"/>
    <w:hidden/>
    <w:uiPriority w:val="99"/>
    <w:semiHidden/>
    <w:rsid w:val="00083C44"/>
    <w:pPr>
      <w:spacing w:after="0" w:line="240" w:lineRule="auto"/>
    </w:pPr>
    <w:rPr>
      <w:rFonts w:ascii="Segoe UI" w:hAnsi="Segoe UI"/>
      <w:sz w:val="19"/>
      <w:lang w:val="en-AU"/>
    </w:rPr>
  </w:style>
  <w:style w:type="paragraph" w:customStyle="1" w:styleId="RISNormal">
    <w:name w:val="RIS Normal"/>
    <w:qFormat/>
    <w:rsid w:val="00083C44"/>
    <w:pPr>
      <w:spacing w:before="120" w:after="120" w:line="276" w:lineRule="auto"/>
    </w:pPr>
    <w:rPr>
      <w:rFonts w:ascii="Cambria" w:eastAsia="Calibri" w:hAnsi="Cambria" w:cs="Times New Roman"/>
      <w:lang w:val="en-AU"/>
    </w:rPr>
  </w:style>
  <w:style w:type="paragraph" w:styleId="TOC4">
    <w:name w:val="toc 4"/>
    <w:basedOn w:val="Normal"/>
    <w:next w:val="Normal"/>
    <w:autoRedefine/>
    <w:uiPriority w:val="39"/>
    <w:unhideWhenUsed/>
    <w:rsid w:val="00083C44"/>
    <w:pPr>
      <w:spacing w:after="100"/>
      <w:ind w:left="570"/>
    </w:pPr>
  </w:style>
  <w:style w:type="paragraph" w:styleId="TOC5">
    <w:name w:val="toc 5"/>
    <w:basedOn w:val="Normal"/>
    <w:next w:val="Normal"/>
    <w:autoRedefine/>
    <w:uiPriority w:val="39"/>
    <w:unhideWhenUsed/>
    <w:rsid w:val="00083C44"/>
    <w:pPr>
      <w:spacing w:after="100"/>
      <w:ind w:left="760"/>
    </w:pPr>
  </w:style>
  <w:style w:type="paragraph" w:customStyle="1" w:styleId="Default">
    <w:name w:val="Default"/>
    <w:rsid w:val="00083C44"/>
    <w:pPr>
      <w:widowControl w:val="0"/>
      <w:autoSpaceDE w:val="0"/>
      <w:autoSpaceDN w:val="0"/>
      <w:adjustRightInd w:val="0"/>
      <w:spacing w:after="0" w:line="240" w:lineRule="auto"/>
    </w:pPr>
    <w:rPr>
      <w:rFonts w:ascii="Arial" w:eastAsia="Times New Roman" w:hAnsi="Arial" w:cs="Arial"/>
      <w:color w:val="000000"/>
      <w:sz w:val="24"/>
      <w:szCs w:val="24"/>
      <w:lang w:val="en-AU" w:eastAsia="en-AU"/>
    </w:rPr>
  </w:style>
  <w:style w:type="character" w:customStyle="1" w:styleId="ListParagraphChar">
    <w:name w:val="List Paragraph Char"/>
    <w:aliases w:val="Recommendation Char,L Char,Bullet Point Char,Bullet point Char,Bullet points Char,Content descriptions Char,List Paragraph1 Char,List Paragraph11 Char,NFP GP Bulleted List Char,FooterText Char,numbered Char,Paragraphe de liste1 Char"/>
    <w:basedOn w:val="DefaultParagraphFont"/>
    <w:link w:val="ListParagraph"/>
    <w:uiPriority w:val="34"/>
    <w:locked/>
    <w:rsid w:val="00083C44"/>
    <w:rPr>
      <w:rFonts w:ascii="Segoe UI" w:hAnsi="Segoe UI"/>
      <w:sz w:val="19"/>
      <w:lang w:val="en-AU"/>
    </w:rPr>
  </w:style>
  <w:style w:type="character" w:customStyle="1" w:styleId="UnresolvedMention1">
    <w:name w:val="Unresolved Mention1"/>
    <w:basedOn w:val="DefaultParagraphFont"/>
    <w:uiPriority w:val="99"/>
    <w:unhideWhenUsed/>
    <w:rsid w:val="00083C44"/>
    <w:rPr>
      <w:color w:val="605E5C"/>
      <w:shd w:val="clear" w:color="auto" w:fill="E1DFDD"/>
    </w:rPr>
  </w:style>
  <w:style w:type="paragraph" w:styleId="TOC6">
    <w:name w:val="toc 6"/>
    <w:basedOn w:val="Normal"/>
    <w:next w:val="Normal"/>
    <w:autoRedefine/>
    <w:uiPriority w:val="39"/>
    <w:unhideWhenUsed/>
    <w:rsid w:val="00083C44"/>
    <w:pPr>
      <w:spacing w:after="100"/>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083C44"/>
    <w:pPr>
      <w:spacing w:after="100"/>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083C44"/>
    <w:pPr>
      <w:spacing w:after="100"/>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083C44"/>
    <w:pPr>
      <w:spacing w:after="100"/>
      <w:ind w:left="1760"/>
    </w:pPr>
    <w:rPr>
      <w:rFonts w:asciiTheme="minorHAnsi" w:eastAsiaTheme="minorEastAsia" w:hAnsiTheme="minorHAnsi"/>
      <w:sz w:val="22"/>
      <w:lang w:val="en-US"/>
    </w:rPr>
  </w:style>
  <w:style w:type="character" w:customStyle="1" w:styleId="Mention1">
    <w:name w:val="Mention1"/>
    <w:basedOn w:val="DefaultParagraphFont"/>
    <w:uiPriority w:val="99"/>
    <w:unhideWhenUsed/>
    <w:rsid w:val="00083C44"/>
    <w:rPr>
      <w:color w:val="2B579A"/>
      <w:shd w:val="clear" w:color="auto" w:fill="E1DFDD"/>
    </w:rPr>
  </w:style>
  <w:style w:type="character" w:customStyle="1" w:styleId="fontstyle01">
    <w:name w:val="fontstyle01"/>
    <w:basedOn w:val="DefaultParagraphFont"/>
    <w:rsid w:val="00083C44"/>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083C44"/>
    <w:rPr>
      <w:rFonts w:ascii="Times New Roman" w:hAnsi="Times New Roman" w:cs="Times New Roman" w:hint="default"/>
      <w:b w:val="0"/>
      <w:bCs w:val="0"/>
      <w:i w:val="0"/>
      <w:iCs w:val="0"/>
      <w:color w:val="000000"/>
      <w:sz w:val="22"/>
      <w:szCs w:val="22"/>
    </w:rPr>
  </w:style>
  <w:style w:type="character" w:customStyle="1" w:styleId="fontstyle31">
    <w:name w:val="fontstyle31"/>
    <w:basedOn w:val="DefaultParagraphFont"/>
    <w:rsid w:val="00083C44"/>
    <w:rPr>
      <w:rFonts w:ascii="TimesNewRoman" w:hAnsi="TimesNewRoman" w:hint="default"/>
      <w:b w:val="0"/>
      <w:bCs w:val="0"/>
      <w:i w:val="0"/>
      <w:iCs w:val="0"/>
      <w:color w:val="000000"/>
      <w:sz w:val="16"/>
      <w:szCs w:val="16"/>
    </w:rPr>
  </w:style>
  <w:style w:type="character" w:customStyle="1" w:styleId="fontstyle41">
    <w:name w:val="fontstyle41"/>
    <w:basedOn w:val="DefaultParagraphFont"/>
    <w:rsid w:val="00083C44"/>
    <w:rPr>
      <w:rFonts w:ascii="Times New Roman" w:hAnsi="Times New Roman" w:cs="Times New Roman" w:hint="default"/>
      <w:b w:val="0"/>
      <w:bCs w:val="0"/>
      <w:i/>
      <w:iCs/>
      <w:color w:val="000000"/>
      <w:sz w:val="16"/>
      <w:szCs w:val="16"/>
    </w:rPr>
  </w:style>
  <w:style w:type="paragraph" w:styleId="NormalWeb">
    <w:name w:val="Normal (Web)"/>
    <w:basedOn w:val="Normal"/>
    <w:uiPriority w:val="99"/>
    <w:unhideWhenUsed/>
    <w:rsid w:val="00083C4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EA3C9C"/>
    <w:rPr>
      <w:color w:val="0048C7" w:themeColor="followedHyperlink"/>
      <w:u w:val="single"/>
    </w:rPr>
  </w:style>
  <w:style w:type="table" w:customStyle="1" w:styleId="NOUSSideHeader2">
    <w:name w:val="NOUS Side Header2"/>
    <w:basedOn w:val="TableNormal"/>
    <w:next w:val="TableGrid"/>
    <w:uiPriority w:val="39"/>
    <w:rsid w:val="009C0E2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Yu Gothic Light" w:hAnsi="@Yu Gothic 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Symbol" w:hAnsi="Segoe UI Symbol"/>
        <w:sz w:val="17"/>
      </w:rPr>
    </w:tblStylePr>
    <w:tblStylePr w:type="band2Horz">
      <w:rPr>
        <w:rFonts w:ascii="Segoe UI Symbol" w:hAnsi="Segoe UI Symbol"/>
        <w:sz w:val="17"/>
      </w:rPr>
    </w:tblStylePr>
  </w:style>
  <w:style w:type="paragraph" w:styleId="TableofAuthorities">
    <w:name w:val="table of authorities"/>
    <w:basedOn w:val="Normal"/>
    <w:next w:val="Normal"/>
    <w:uiPriority w:val="99"/>
    <w:unhideWhenUsed/>
    <w:rsid w:val="000B05F8"/>
    <w:pPr>
      <w:spacing w:after="0" w:line="240" w:lineRule="auto"/>
      <w:ind w:left="240" w:hanging="240"/>
    </w:pPr>
    <w:rPr>
      <w:rFonts w:asciiTheme="minorHAnsi" w:eastAsia="Times New Roman" w:hAnsiTheme="minorHAnsi" w:cs="Times New Roman"/>
      <w:sz w:val="24"/>
      <w:szCs w:val="24"/>
      <w:lang w:eastAsia="en-GB"/>
    </w:rPr>
  </w:style>
  <w:style w:type="character" w:customStyle="1" w:styleId="UnresolvedMention2">
    <w:name w:val="Unresolved Mention2"/>
    <w:basedOn w:val="DefaultParagraphFont"/>
    <w:uiPriority w:val="99"/>
    <w:unhideWhenUsed/>
    <w:rsid w:val="0083479D"/>
    <w:rPr>
      <w:color w:val="605E5C"/>
      <w:shd w:val="clear" w:color="auto" w:fill="E1DFDD"/>
    </w:rPr>
  </w:style>
  <w:style w:type="character" w:customStyle="1" w:styleId="Mention2">
    <w:name w:val="Mention2"/>
    <w:basedOn w:val="DefaultParagraphFont"/>
    <w:uiPriority w:val="99"/>
    <w:unhideWhenUsed/>
    <w:rsid w:val="0083479D"/>
    <w:rPr>
      <w:color w:val="2B579A"/>
      <w:shd w:val="clear" w:color="auto" w:fill="E1DFDD"/>
    </w:rPr>
  </w:style>
  <w:style w:type="table" w:customStyle="1" w:styleId="NOUSSideHeader3">
    <w:name w:val="NOUS Side Header3"/>
    <w:basedOn w:val="TableNormal"/>
    <w:next w:val="TableGrid"/>
    <w:uiPriority w:val="39"/>
    <w:rsid w:val="00A34465"/>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MDL2 Assets" w:hAnsi="Segoe MDL2 Asset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table" w:customStyle="1" w:styleId="NOUSSideHeader4">
    <w:name w:val="NOUS Side Header4"/>
    <w:basedOn w:val="TableNormal"/>
    <w:next w:val="TableGrid"/>
    <w:uiPriority w:val="39"/>
    <w:rsid w:val="00A34465"/>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MDL2 Assets" w:hAnsi="Segoe MDL2 Asset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table" w:customStyle="1" w:styleId="NOUSSideHeader5">
    <w:name w:val="NOUS Side Header5"/>
    <w:basedOn w:val="TableNormal"/>
    <w:next w:val="TableGrid"/>
    <w:uiPriority w:val="39"/>
    <w:rsid w:val="00A34465"/>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MDL2 Assets" w:hAnsi="Segoe MDL2 Asset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table" w:customStyle="1" w:styleId="NOUSSideHeader6">
    <w:name w:val="NOUS Side Header6"/>
    <w:basedOn w:val="TableNormal"/>
    <w:next w:val="TableGrid"/>
    <w:uiPriority w:val="39"/>
    <w:rsid w:val="00A34465"/>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MDL2 Assets" w:hAnsi="Segoe MDL2 Asset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table" w:customStyle="1" w:styleId="NOUSSideHeader7">
    <w:name w:val="NOUS Side Header7"/>
    <w:basedOn w:val="TableNormal"/>
    <w:next w:val="TableGrid"/>
    <w:uiPriority w:val="39"/>
    <w:rsid w:val="00A34465"/>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MDL2 Assets" w:hAnsi="Segoe MDL2 Asset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table" w:customStyle="1" w:styleId="NOUSSideHeader8">
    <w:name w:val="NOUS Side Header8"/>
    <w:basedOn w:val="TableNormal"/>
    <w:next w:val="TableGrid"/>
    <w:uiPriority w:val="39"/>
    <w:rsid w:val="00A34465"/>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MDL2 Assets" w:hAnsi="Segoe MDL2 Asset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table" w:customStyle="1" w:styleId="NOUSSideHeader9">
    <w:name w:val="NOUS Side Header9"/>
    <w:basedOn w:val="TableNormal"/>
    <w:next w:val="TableGrid"/>
    <w:uiPriority w:val="39"/>
    <w:rsid w:val="00A34465"/>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MDL2 Assets" w:hAnsi="Segoe MDL2 Asset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table" w:customStyle="1" w:styleId="NOUSSideHeader10">
    <w:name w:val="NOUS Side Header10"/>
    <w:basedOn w:val="TableNormal"/>
    <w:next w:val="TableGrid"/>
    <w:uiPriority w:val="39"/>
    <w:rsid w:val="00A34465"/>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MDL2 Assets" w:hAnsi="Segoe MDL2 Asset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table" w:customStyle="1" w:styleId="NOUSSideHeader11">
    <w:name w:val="NOUS Side Header11"/>
    <w:basedOn w:val="TableNormal"/>
    <w:next w:val="TableGrid"/>
    <w:uiPriority w:val="39"/>
    <w:rsid w:val="00A34465"/>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MDL2 Assets" w:hAnsi="Segoe MDL2 Asset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character" w:customStyle="1" w:styleId="cf01">
    <w:name w:val="cf01"/>
    <w:basedOn w:val="DefaultParagraphFont"/>
    <w:rsid w:val="00697E67"/>
    <w:rPr>
      <w:rFonts w:ascii="Segoe UI" w:hAnsi="Segoe UI" w:cs="Segoe UI" w:hint="default"/>
      <w:sz w:val="18"/>
      <w:szCs w:val="18"/>
    </w:rPr>
  </w:style>
  <w:style w:type="character" w:styleId="Strong">
    <w:name w:val="Strong"/>
    <w:basedOn w:val="DefaultParagraphFont"/>
    <w:uiPriority w:val="22"/>
    <w:qFormat/>
    <w:rsid w:val="00697E67"/>
    <w:rPr>
      <w:b/>
      <w:bCs/>
    </w:rPr>
  </w:style>
  <w:style w:type="character" w:customStyle="1" w:styleId="ui-provider">
    <w:name w:val="ui-provider"/>
    <w:basedOn w:val="DefaultParagraphFont"/>
    <w:rsid w:val="00D614C5"/>
  </w:style>
  <w:style w:type="paragraph" w:customStyle="1" w:styleId="pf0">
    <w:name w:val="pf0"/>
    <w:basedOn w:val="Normal"/>
    <w:rsid w:val="00A8418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IOsubheadingnew">
    <w:name w:val="BIO sub heading_new"/>
    <w:basedOn w:val="Normal"/>
    <w:qFormat/>
    <w:rsid w:val="00EA3C9C"/>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TableNbiophoto">
    <w:name w:val="Table N bio photo"/>
    <w:basedOn w:val="TableNText"/>
    <w:qFormat/>
    <w:rsid w:val="00EA3C9C"/>
    <w:pPr>
      <w:spacing w:after="0" w:line="257" w:lineRule="auto"/>
    </w:pPr>
  </w:style>
  <w:style w:type="paragraph" w:customStyle="1" w:styleId="pf1">
    <w:name w:val="pf1"/>
    <w:basedOn w:val="Normal"/>
    <w:rsid w:val="00FE452A"/>
    <w:pPr>
      <w:spacing w:before="100" w:beforeAutospacing="1" w:after="100" w:afterAutospacing="1" w:line="240" w:lineRule="auto"/>
      <w:ind w:left="540"/>
    </w:pPr>
    <w:rPr>
      <w:rFonts w:ascii="Times New Roman" w:eastAsia="Times New Roman" w:hAnsi="Times New Roman" w:cs="Times New Roman"/>
      <w:sz w:val="24"/>
      <w:szCs w:val="24"/>
      <w:lang w:eastAsia="en-AU"/>
    </w:rPr>
  </w:style>
  <w:style w:type="character" w:customStyle="1" w:styleId="cf21">
    <w:name w:val="cf21"/>
    <w:basedOn w:val="DefaultParagraphFont"/>
    <w:rsid w:val="00FE452A"/>
    <w:rPr>
      <w:rFonts w:ascii="Segoe UI" w:hAnsi="Segoe UI" w:cs="Segoe UI" w:hint="default"/>
      <w:color w:val="846867"/>
      <w:sz w:val="18"/>
      <w:szCs w:val="18"/>
    </w:rPr>
  </w:style>
  <w:style w:type="character" w:customStyle="1" w:styleId="cf11">
    <w:name w:val="cf11"/>
    <w:basedOn w:val="DefaultParagraphFont"/>
    <w:rsid w:val="00FE452A"/>
    <w:rPr>
      <w:rFonts w:ascii="Segoe UI" w:hAnsi="Segoe UI" w:cs="Segoe UI" w:hint="default"/>
      <w:color w:val="846867"/>
      <w:sz w:val="18"/>
      <w:szCs w:val="18"/>
    </w:rPr>
  </w:style>
  <w:style w:type="paragraph" w:customStyle="1" w:styleId="pf2">
    <w:name w:val="pf2"/>
    <w:basedOn w:val="Normal"/>
    <w:rsid w:val="00054276"/>
    <w:pPr>
      <w:spacing w:before="100" w:beforeAutospacing="1" w:after="100" w:afterAutospacing="1" w:line="240" w:lineRule="auto"/>
      <w:ind w:left="1440"/>
    </w:pPr>
    <w:rPr>
      <w:rFonts w:ascii="Times New Roman" w:eastAsia="Times New Roman" w:hAnsi="Times New Roman" w:cs="Times New Roman"/>
      <w:sz w:val="24"/>
      <w:szCs w:val="24"/>
      <w:lang w:eastAsia="en-AU"/>
    </w:rPr>
  </w:style>
  <w:style w:type="character" w:customStyle="1" w:styleId="cf31">
    <w:name w:val="cf31"/>
    <w:basedOn w:val="DefaultParagraphFont"/>
    <w:rsid w:val="00054276"/>
    <w:rPr>
      <w:rFonts w:ascii="Segoe UI" w:hAnsi="Segoe UI" w:cs="Segoe UI" w:hint="default"/>
      <w:sz w:val="18"/>
      <w:szCs w:val="18"/>
    </w:rPr>
  </w:style>
  <w:style w:type="table" w:styleId="PlainTable1">
    <w:name w:val="Plain Table 1"/>
    <w:basedOn w:val="TableNormal"/>
    <w:uiPriority w:val="41"/>
    <w:rsid w:val="004F3F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USSideHeader12">
    <w:name w:val="NOUS Side Header12"/>
    <w:basedOn w:val="TableNormal"/>
    <w:next w:val="TableGrid"/>
    <w:uiPriority w:val="39"/>
    <w:rsid w:val="00ED2EFD"/>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Banner" w:hAnsi="Sitka Banner"/>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SimSun" w:hAnsi="@NSimSun"/>
        <w:sz w:val="17"/>
      </w:rPr>
    </w:tblStylePr>
    <w:tblStylePr w:type="band2Horz">
      <w:rPr>
        <w:rFonts w:ascii="@NSimSun" w:hAnsi="@NSimSun"/>
        <w:sz w:val="17"/>
      </w:rPr>
    </w:tblStylePr>
  </w:style>
  <w:style w:type="table" w:customStyle="1" w:styleId="NOUSSideHeader13">
    <w:name w:val="NOUS Side Header13"/>
    <w:basedOn w:val="TableNormal"/>
    <w:next w:val="TableGrid"/>
    <w:uiPriority w:val="39"/>
    <w:rsid w:val="00375687"/>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Banner" w:hAnsi="Sitka Banner"/>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SimSun" w:hAnsi="@NSimSun"/>
        <w:sz w:val="17"/>
      </w:rPr>
    </w:tblStylePr>
    <w:tblStylePr w:type="band2Horz">
      <w:rPr>
        <w:rFonts w:ascii="@NSimSun" w:hAnsi="@NSimSun"/>
        <w:sz w:val="17"/>
      </w:rPr>
    </w:tblStylePr>
  </w:style>
  <w:style w:type="paragraph" w:customStyle="1" w:styleId="Recbullet">
    <w:name w:val="Rec bullet"/>
    <w:basedOn w:val="ListParagraph"/>
    <w:qFormat/>
    <w:rsid w:val="00B42634"/>
    <w:pPr>
      <w:numPr>
        <w:numId w:val="20"/>
      </w:numPr>
      <w:spacing w:before="120" w:line="276" w:lineRule="auto"/>
    </w:pPr>
    <w:rPr>
      <w:rFonts w:asciiTheme="minorHAnsi" w:eastAsiaTheme="minorEastAsia" w:hAnsiTheme="minorHAnsi"/>
      <w:b/>
      <w:bCs/>
      <w:sz w:val="21"/>
      <w:szCs w:val="21"/>
      <w:lang w:eastAsia="en-AU"/>
    </w:rPr>
  </w:style>
  <w:style w:type="table" w:customStyle="1" w:styleId="NOUSSideHeader14">
    <w:name w:val="NOUS Side Header14"/>
    <w:basedOn w:val="TableNormal"/>
    <w:next w:val="TableGrid"/>
    <w:uiPriority w:val="39"/>
    <w:rsid w:val="00060CC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customStyle="1" w:styleId="NOUSSideHeader15">
    <w:name w:val="NOUS Side Header15"/>
    <w:basedOn w:val="TableNormal"/>
    <w:next w:val="TableGrid"/>
    <w:uiPriority w:val="39"/>
    <w:rsid w:val="001E4E4F"/>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customStyle="1" w:styleId="NOUSSideHeader16">
    <w:name w:val="NOUS Side Header16"/>
    <w:basedOn w:val="TableNormal"/>
    <w:next w:val="TableGrid"/>
    <w:uiPriority w:val="39"/>
    <w:rsid w:val="00452BD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styleId="Mention">
    <w:name w:val="Mention"/>
    <w:basedOn w:val="DefaultParagraphFont"/>
    <w:uiPriority w:val="99"/>
    <w:unhideWhenUsed/>
    <w:rsid w:val="00166883"/>
    <w:rPr>
      <w:color w:val="2B579A"/>
      <w:shd w:val="clear" w:color="auto" w:fill="E1DFDD"/>
    </w:rPr>
  </w:style>
  <w:style w:type="character" w:styleId="UnresolvedMention">
    <w:name w:val="Unresolved Mention"/>
    <w:basedOn w:val="DefaultParagraphFont"/>
    <w:uiPriority w:val="99"/>
    <w:unhideWhenUsed/>
    <w:rsid w:val="00991B58"/>
    <w:rPr>
      <w:color w:val="605E5C"/>
      <w:shd w:val="clear" w:color="auto" w:fill="E1DFDD"/>
    </w:rPr>
  </w:style>
  <w:style w:type="character" w:customStyle="1" w:styleId="Heading9Char">
    <w:name w:val="Heading 9 Char"/>
    <w:basedOn w:val="DefaultParagraphFont"/>
    <w:link w:val="Heading9"/>
    <w:uiPriority w:val="19"/>
    <w:semiHidden/>
    <w:rsid w:val="00A63EC4"/>
    <w:rPr>
      <w:rFonts w:asciiTheme="majorHAnsi" w:eastAsiaTheme="majorEastAsia" w:hAnsiTheme="majorHAnsi" w:cstheme="majorBidi"/>
      <w:i/>
      <w:iCs/>
      <w:color w:val="272727" w:themeColor="text1" w:themeTint="D8"/>
      <w:sz w:val="21"/>
      <w:szCs w:val="21"/>
      <w:lang w:val="en-AU"/>
    </w:rPr>
  </w:style>
  <w:style w:type="paragraph" w:styleId="Bibliography">
    <w:name w:val="Bibliography"/>
    <w:basedOn w:val="Normal"/>
    <w:next w:val="Normal"/>
    <w:uiPriority w:val="37"/>
    <w:semiHidden/>
    <w:unhideWhenUsed/>
    <w:rsid w:val="00A63EC4"/>
  </w:style>
  <w:style w:type="paragraph" w:styleId="BlockText">
    <w:name w:val="Block Text"/>
    <w:basedOn w:val="Normal"/>
    <w:uiPriority w:val="99"/>
    <w:semiHidden/>
    <w:unhideWhenUsed/>
    <w:rsid w:val="00A63EC4"/>
    <w:pPr>
      <w:pBdr>
        <w:top w:val="single" w:sz="2" w:space="10" w:color="FF3A40" w:themeColor="accent1"/>
        <w:left w:val="single" w:sz="2" w:space="10" w:color="FF3A40" w:themeColor="accent1"/>
        <w:bottom w:val="single" w:sz="2" w:space="10" w:color="FF3A40" w:themeColor="accent1"/>
        <w:right w:val="single" w:sz="2" w:space="10" w:color="FF3A40" w:themeColor="accent1"/>
      </w:pBdr>
      <w:ind w:left="1152" w:right="1152"/>
    </w:pPr>
    <w:rPr>
      <w:rFonts w:asciiTheme="minorHAnsi" w:eastAsiaTheme="minorEastAsia" w:hAnsiTheme="minorHAnsi"/>
      <w:i/>
      <w:iCs/>
      <w:color w:val="FF3A40" w:themeColor="accent1"/>
    </w:rPr>
  </w:style>
  <w:style w:type="paragraph" w:styleId="BodyText">
    <w:name w:val="Body Text"/>
    <w:basedOn w:val="Normal"/>
    <w:link w:val="BodyTextChar"/>
    <w:uiPriority w:val="99"/>
    <w:semiHidden/>
    <w:unhideWhenUsed/>
    <w:rsid w:val="00A63EC4"/>
  </w:style>
  <w:style w:type="character" w:customStyle="1" w:styleId="BodyTextChar">
    <w:name w:val="Body Text Char"/>
    <w:basedOn w:val="DefaultParagraphFont"/>
    <w:link w:val="BodyText"/>
    <w:uiPriority w:val="99"/>
    <w:semiHidden/>
    <w:rsid w:val="00A63EC4"/>
    <w:rPr>
      <w:rFonts w:ascii="Segoe UI" w:hAnsi="Segoe UI"/>
      <w:sz w:val="19"/>
      <w:lang w:val="en-AU"/>
    </w:rPr>
  </w:style>
  <w:style w:type="paragraph" w:styleId="BodyText2">
    <w:name w:val="Body Text 2"/>
    <w:basedOn w:val="Normal"/>
    <w:link w:val="BodyText2Char"/>
    <w:uiPriority w:val="99"/>
    <w:semiHidden/>
    <w:unhideWhenUsed/>
    <w:rsid w:val="00A63EC4"/>
    <w:pPr>
      <w:spacing w:line="480" w:lineRule="auto"/>
    </w:pPr>
  </w:style>
  <w:style w:type="character" w:customStyle="1" w:styleId="BodyText2Char">
    <w:name w:val="Body Text 2 Char"/>
    <w:basedOn w:val="DefaultParagraphFont"/>
    <w:link w:val="BodyText2"/>
    <w:uiPriority w:val="99"/>
    <w:semiHidden/>
    <w:rsid w:val="00A63EC4"/>
    <w:rPr>
      <w:rFonts w:ascii="Segoe UI" w:hAnsi="Segoe UI"/>
      <w:sz w:val="19"/>
      <w:lang w:val="en-AU"/>
    </w:rPr>
  </w:style>
  <w:style w:type="paragraph" w:styleId="BodyText3">
    <w:name w:val="Body Text 3"/>
    <w:basedOn w:val="Normal"/>
    <w:link w:val="BodyText3Char"/>
    <w:uiPriority w:val="99"/>
    <w:semiHidden/>
    <w:unhideWhenUsed/>
    <w:rsid w:val="00A63EC4"/>
    <w:rPr>
      <w:sz w:val="16"/>
      <w:szCs w:val="16"/>
    </w:rPr>
  </w:style>
  <w:style w:type="character" w:customStyle="1" w:styleId="BodyText3Char">
    <w:name w:val="Body Text 3 Char"/>
    <w:basedOn w:val="DefaultParagraphFont"/>
    <w:link w:val="BodyText3"/>
    <w:uiPriority w:val="99"/>
    <w:semiHidden/>
    <w:rsid w:val="00A63EC4"/>
    <w:rPr>
      <w:rFonts w:ascii="Segoe UI" w:hAnsi="Segoe UI"/>
      <w:sz w:val="16"/>
      <w:szCs w:val="16"/>
      <w:lang w:val="en-AU"/>
    </w:rPr>
  </w:style>
  <w:style w:type="paragraph" w:styleId="BodyTextFirstIndent">
    <w:name w:val="Body Text First Indent"/>
    <w:basedOn w:val="BodyText"/>
    <w:link w:val="BodyTextFirstIndentChar"/>
    <w:uiPriority w:val="99"/>
    <w:semiHidden/>
    <w:unhideWhenUsed/>
    <w:rsid w:val="00A63EC4"/>
    <w:pPr>
      <w:ind w:firstLine="360"/>
    </w:pPr>
  </w:style>
  <w:style w:type="character" w:customStyle="1" w:styleId="BodyTextFirstIndentChar">
    <w:name w:val="Body Text First Indent Char"/>
    <w:basedOn w:val="BodyTextChar"/>
    <w:link w:val="BodyTextFirstIndent"/>
    <w:uiPriority w:val="99"/>
    <w:semiHidden/>
    <w:rsid w:val="00A63EC4"/>
    <w:rPr>
      <w:rFonts w:ascii="Segoe UI" w:hAnsi="Segoe UI"/>
      <w:sz w:val="19"/>
      <w:lang w:val="en-AU"/>
    </w:rPr>
  </w:style>
  <w:style w:type="paragraph" w:styleId="BodyTextIndent">
    <w:name w:val="Body Text Indent"/>
    <w:basedOn w:val="Normal"/>
    <w:link w:val="BodyTextIndentChar"/>
    <w:uiPriority w:val="99"/>
    <w:semiHidden/>
    <w:unhideWhenUsed/>
    <w:rsid w:val="00A63EC4"/>
    <w:pPr>
      <w:ind w:left="283"/>
    </w:pPr>
  </w:style>
  <w:style w:type="character" w:customStyle="1" w:styleId="BodyTextIndentChar">
    <w:name w:val="Body Text Indent Char"/>
    <w:basedOn w:val="DefaultParagraphFont"/>
    <w:link w:val="BodyTextIndent"/>
    <w:uiPriority w:val="99"/>
    <w:semiHidden/>
    <w:rsid w:val="00A63EC4"/>
    <w:rPr>
      <w:rFonts w:ascii="Segoe UI" w:hAnsi="Segoe UI"/>
      <w:sz w:val="19"/>
      <w:lang w:val="en-AU"/>
    </w:rPr>
  </w:style>
  <w:style w:type="paragraph" w:styleId="BodyTextFirstIndent2">
    <w:name w:val="Body Text First Indent 2"/>
    <w:basedOn w:val="BodyTextIndent"/>
    <w:link w:val="BodyTextFirstIndent2Char"/>
    <w:uiPriority w:val="99"/>
    <w:semiHidden/>
    <w:unhideWhenUsed/>
    <w:rsid w:val="00A63EC4"/>
    <w:pPr>
      <w:ind w:left="360" w:firstLine="360"/>
    </w:pPr>
  </w:style>
  <w:style w:type="character" w:customStyle="1" w:styleId="BodyTextFirstIndent2Char">
    <w:name w:val="Body Text First Indent 2 Char"/>
    <w:basedOn w:val="BodyTextIndentChar"/>
    <w:link w:val="BodyTextFirstIndent2"/>
    <w:uiPriority w:val="99"/>
    <w:semiHidden/>
    <w:rsid w:val="00A63EC4"/>
    <w:rPr>
      <w:rFonts w:ascii="Segoe UI" w:hAnsi="Segoe UI"/>
      <w:sz w:val="19"/>
      <w:lang w:val="en-AU"/>
    </w:rPr>
  </w:style>
  <w:style w:type="paragraph" w:styleId="BodyTextIndent2">
    <w:name w:val="Body Text Indent 2"/>
    <w:basedOn w:val="Normal"/>
    <w:link w:val="BodyTextIndent2Char"/>
    <w:uiPriority w:val="99"/>
    <w:semiHidden/>
    <w:unhideWhenUsed/>
    <w:rsid w:val="00A63EC4"/>
    <w:pPr>
      <w:spacing w:line="480" w:lineRule="auto"/>
      <w:ind w:left="283"/>
    </w:pPr>
  </w:style>
  <w:style w:type="character" w:customStyle="1" w:styleId="BodyTextIndent2Char">
    <w:name w:val="Body Text Indent 2 Char"/>
    <w:basedOn w:val="DefaultParagraphFont"/>
    <w:link w:val="BodyTextIndent2"/>
    <w:uiPriority w:val="99"/>
    <w:semiHidden/>
    <w:rsid w:val="00A63EC4"/>
    <w:rPr>
      <w:rFonts w:ascii="Segoe UI" w:hAnsi="Segoe UI"/>
      <w:sz w:val="19"/>
      <w:lang w:val="en-AU"/>
    </w:rPr>
  </w:style>
  <w:style w:type="paragraph" w:styleId="BodyTextIndent3">
    <w:name w:val="Body Text Indent 3"/>
    <w:basedOn w:val="Normal"/>
    <w:link w:val="BodyTextIndent3Char"/>
    <w:uiPriority w:val="99"/>
    <w:semiHidden/>
    <w:unhideWhenUsed/>
    <w:rsid w:val="00A63EC4"/>
    <w:pPr>
      <w:ind w:left="283"/>
    </w:pPr>
    <w:rPr>
      <w:sz w:val="16"/>
      <w:szCs w:val="16"/>
    </w:rPr>
  </w:style>
  <w:style w:type="character" w:customStyle="1" w:styleId="BodyTextIndent3Char">
    <w:name w:val="Body Text Indent 3 Char"/>
    <w:basedOn w:val="DefaultParagraphFont"/>
    <w:link w:val="BodyTextIndent3"/>
    <w:uiPriority w:val="99"/>
    <w:semiHidden/>
    <w:rsid w:val="00A63EC4"/>
    <w:rPr>
      <w:rFonts w:ascii="Segoe UI" w:hAnsi="Segoe UI"/>
      <w:sz w:val="16"/>
      <w:szCs w:val="16"/>
      <w:lang w:val="en-AU"/>
    </w:rPr>
  </w:style>
  <w:style w:type="paragraph" w:styleId="Closing">
    <w:name w:val="Closing"/>
    <w:basedOn w:val="Normal"/>
    <w:link w:val="ClosingChar"/>
    <w:uiPriority w:val="99"/>
    <w:semiHidden/>
    <w:unhideWhenUsed/>
    <w:rsid w:val="00A63EC4"/>
    <w:pPr>
      <w:spacing w:after="0" w:line="240" w:lineRule="auto"/>
      <w:ind w:left="4252"/>
    </w:pPr>
  </w:style>
  <w:style w:type="character" w:customStyle="1" w:styleId="ClosingChar">
    <w:name w:val="Closing Char"/>
    <w:basedOn w:val="DefaultParagraphFont"/>
    <w:link w:val="Closing"/>
    <w:uiPriority w:val="99"/>
    <w:semiHidden/>
    <w:rsid w:val="00A63EC4"/>
    <w:rPr>
      <w:rFonts w:ascii="Segoe UI" w:hAnsi="Segoe UI"/>
      <w:sz w:val="19"/>
      <w:lang w:val="en-AU"/>
    </w:rPr>
  </w:style>
  <w:style w:type="paragraph" w:styleId="Date">
    <w:name w:val="Date"/>
    <w:basedOn w:val="Normal"/>
    <w:next w:val="Normal"/>
    <w:link w:val="DateChar"/>
    <w:uiPriority w:val="99"/>
    <w:semiHidden/>
    <w:unhideWhenUsed/>
    <w:rsid w:val="00A63EC4"/>
  </w:style>
  <w:style w:type="character" w:customStyle="1" w:styleId="DateChar">
    <w:name w:val="Date Char"/>
    <w:basedOn w:val="DefaultParagraphFont"/>
    <w:link w:val="Date"/>
    <w:uiPriority w:val="99"/>
    <w:semiHidden/>
    <w:rsid w:val="00A63EC4"/>
    <w:rPr>
      <w:rFonts w:ascii="Segoe UI" w:hAnsi="Segoe UI"/>
      <w:sz w:val="19"/>
      <w:lang w:val="en-AU"/>
    </w:rPr>
  </w:style>
  <w:style w:type="paragraph" w:styleId="DocumentMap">
    <w:name w:val="Document Map"/>
    <w:basedOn w:val="Normal"/>
    <w:link w:val="DocumentMapChar"/>
    <w:uiPriority w:val="99"/>
    <w:semiHidden/>
    <w:unhideWhenUsed/>
    <w:rsid w:val="00A63EC4"/>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A63EC4"/>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A63EC4"/>
    <w:pPr>
      <w:spacing w:after="0" w:line="240" w:lineRule="auto"/>
    </w:pPr>
  </w:style>
  <w:style w:type="character" w:customStyle="1" w:styleId="E-mailSignatureChar">
    <w:name w:val="E-mail Signature Char"/>
    <w:basedOn w:val="DefaultParagraphFont"/>
    <w:link w:val="E-mailSignature"/>
    <w:uiPriority w:val="99"/>
    <w:semiHidden/>
    <w:rsid w:val="00A63EC4"/>
    <w:rPr>
      <w:rFonts w:ascii="Segoe UI" w:hAnsi="Segoe UI"/>
      <w:sz w:val="19"/>
      <w:lang w:val="en-AU"/>
    </w:rPr>
  </w:style>
  <w:style w:type="paragraph" w:styleId="EndnoteText">
    <w:name w:val="endnote text"/>
    <w:basedOn w:val="Normal"/>
    <w:link w:val="EndnoteTextChar"/>
    <w:uiPriority w:val="99"/>
    <w:semiHidden/>
    <w:unhideWhenUsed/>
    <w:rsid w:val="00A63E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3EC4"/>
    <w:rPr>
      <w:rFonts w:ascii="Segoe UI" w:hAnsi="Segoe UI"/>
      <w:sz w:val="20"/>
      <w:szCs w:val="20"/>
      <w:lang w:val="en-AU"/>
    </w:rPr>
  </w:style>
  <w:style w:type="paragraph" w:styleId="EnvelopeAddress">
    <w:name w:val="envelope address"/>
    <w:basedOn w:val="Normal"/>
    <w:uiPriority w:val="99"/>
    <w:semiHidden/>
    <w:unhideWhenUsed/>
    <w:rsid w:val="00A63EC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63EC4"/>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63EC4"/>
    <w:pPr>
      <w:spacing w:after="0" w:line="240" w:lineRule="auto"/>
    </w:pPr>
    <w:rPr>
      <w:i/>
      <w:iCs/>
    </w:rPr>
  </w:style>
  <w:style w:type="character" w:customStyle="1" w:styleId="HTMLAddressChar">
    <w:name w:val="HTML Address Char"/>
    <w:basedOn w:val="DefaultParagraphFont"/>
    <w:link w:val="HTMLAddress"/>
    <w:uiPriority w:val="99"/>
    <w:semiHidden/>
    <w:rsid w:val="00A63EC4"/>
    <w:rPr>
      <w:rFonts w:ascii="Segoe UI" w:hAnsi="Segoe UI"/>
      <w:i/>
      <w:iCs/>
      <w:sz w:val="19"/>
      <w:lang w:val="en-AU"/>
    </w:rPr>
  </w:style>
  <w:style w:type="paragraph" w:styleId="HTMLPreformatted">
    <w:name w:val="HTML Preformatted"/>
    <w:basedOn w:val="Normal"/>
    <w:link w:val="HTMLPreformattedChar"/>
    <w:uiPriority w:val="99"/>
    <w:semiHidden/>
    <w:unhideWhenUsed/>
    <w:rsid w:val="00A63EC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63EC4"/>
    <w:rPr>
      <w:rFonts w:ascii="Consolas" w:hAnsi="Consolas"/>
      <w:sz w:val="20"/>
      <w:szCs w:val="20"/>
      <w:lang w:val="en-AU"/>
    </w:rPr>
  </w:style>
  <w:style w:type="paragraph" w:styleId="Index1">
    <w:name w:val="index 1"/>
    <w:basedOn w:val="Normal"/>
    <w:next w:val="Normal"/>
    <w:autoRedefine/>
    <w:uiPriority w:val="99"/>
    <w:semiHidden/>
    <w:unhideWhenUsed/>
    <w:rsid w:val="00A63EC4"/>
    <w:pPr>
      <w:spacing w:after="0" w:line="240" w:lineRule="auto"/>
      <w:ind w:left="190" w:hanging="190"/>
    </w:pPr>
  </w:style>
  <w:style w:type="paragraph" w:styleId="Index2">
    <w:name w:val="index 2"/>
    <w:basedOn w:val="Normal"/>
    <w:next w:val="Normal"/>
    <w:autoRedefine/>
    <w:uiPriority w:val="99"/>
    <w:semiHidden/>
    <w:unhideWhenUsed/>
    <w:rsid w:val="00A63EC4"/>
    <w:pPr>
      <w:spacing w:after="0" w:line="240" w:lineRule="auto"/>
      <w:ind w:left="380" w:hanging="190"/>
    </w:pPr>
  </w:style>
  <w:style w:type="paragraph" w:styleId="Index3">
    <w:name w:val="index 3"/>
    <w:basedOn w:val="Normal"/>
    <w:next w:val="Normal"/>
    <w:autoRedefine/>
    <w:uiPriority w:val="99"/>
    <w:semiHidden/>
    <w:unhideWhenUsed/>
    <w:rsid w:val="00A63EC4"/>
    <w:pPr>
      <w:spacing w:after="0" w:line="240" w:lineRule="auto"/>
      <w:ind w:left="570" w:hanging="190"/>
    </w:pPr>
  </w:style>
  <w:style w:type="paragraph" w:styleId="Index4">
    <w:name w:val="index 4"/>
    <w:basedOn w:val="Normal"/>
    <w:next w:val="Normal"/>
    <w:autoRedefine/>
    <w:uiPriority w:val="99"/>
    <w:semiHidden/>
    <w:unhideWhenUsed/>
    <w:rsid w:val="00A63EC4"/>
    <w:pPr>
      <w:spacing w:after="0" w:line="240" w:lineRule="auto"/>
      <w:ind w:left="760" w:hanging="190"/>
    </w:pPr>
  </w:style>
  <w:style w:type="paragraph" w:styleId="Index5">
    <w:name w:val="index 5"/>
    <w:basedOn w:val="Normal"/>
    <w:next w:val="Normal"/>
    <w:autoRedefine/>
    <w:uiPriority w:val="99"/>
    <w:semiHidden/>
    <w:unhideWhenUsed/>
    <w:rsid w:val="00A63EC4"/>
    <w:pPr>
      <w:spacing w:after="0" w:line="240" w:lineRule="auto"/>
      <w:ind w:left="950" w:hanging="190"/>
    </w:pPr>
  </w:style>
  <w:style w:type="paragraph" w:styleId="Index6">
    <w:name w:val="index 6"/>
    <w:basedOn w:val="Normal"/>
    <w:next w:val="Normal"/>
    <w:autoRedefine/>
    <w:uiPriority w:val="99"/>
    <w:semiHidden/>
    <w:unhideWhenUsed/>
    <w:rsid w:val="00A63EC4"/>
    <w:pPr>
      <w:spacing w:after="0" w:line="240" w:lineRule="auto"/>
      <w:ind w:left="1140" w:hanging="190"/>
    </w:pPr>
  </w:style>
  <w:style w:type="paragraph" w:styleId="Index7">
    <w:name w:val="index 7"/>
    <w:basedOn w:val="Normal"/>
    <w:next w:val="Normal"/>
    <w:autoRedefine/>
    <w:uiPriority w:val="99"/>
    <w:semiHidden/>
    <w:unhideWhenUsed/>
    <w:rsid w:val="00A63EC4"/>
    <w:pPr>
      <w:spacing w:after="0" w:line="240" w:lineRule="auto"/>
      <w:ind w:left="1330" w:hanging="190"/>
    </w:pPr>
  </w:style>
  <w:style w:type="paragraph" w:styleId="Index8">
    <w:name w:val="index 8"/>
    <w:basedOn w:val="Normal"/>
    <w:next w:val="Normal"/>
    <w:autoRedefine/>
    <w:uiPriority w:val="99"/>
    <w:semiHidden/>
    <w:unhideWhenUsed/>
    <w:rsid w:val="00A63EC4"/>
    <w:pPr>
      <w:spacing w:after="0" w:line="240" w:lineRule="auto"/>
      <w:ind w:left="1520" w:hanging="190"/>
    </w:pPr>
  </w:style>
  <w:style w:type="paragraph" w:styleId="Index9">
    <w:name w:val="index 9"/>
    <w:basedOn w:val="Normal"/>
    <w:next w:val="Normal"/>
    <w:autoRedefine/>
    <w:uiPriority w:val="99"/>
    <w:semiHidden/>
    <w:unhideWhenUsed/>
    <w:rsid w:val="00A63EC4"/>
    <w:pPr>
      <w:spacing w:after="0" w:line="240" w:lineRule="auto"/>
      <w:ind w:left="1710" w:hanging="190"/>
    </w:pPr>
  </w:style>
  <w:style w:type="paragraph" w:styleId="IndexHeading">
    <w:name w:val="index heading"/>
    <w:basedOn w:val="Normal"/>
    <w:next w:val="Index1"/>
    <w:uiPriority w:val="99"/>
    <w:semiHidden/>
    <w:unhideWhenUsed/>
    <w:rsid w:val="00A63EC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A63EC4"/>
    <w:pPr>
      <w:pBdr>
        <w:top w:val="single" w:sz="4" w:space="10" w:color="FF3A40" w:themeColor="accent1"/>
        <w:bottom w:val="single" w:sz="4" w:space="10" w:color="FF3A40" w:themeColor="accent1"/>
      </w:pBdr>
      <w:spacing w:before="360" w:after="360"/>
      <w:ind w:left="864" w:right="864"/>
      <w:jc w:val="center"/>
    </w:pPr>
    <w:rPr>
      <w:i/>
      <w:iCs/>
      <w:color w:val="FF3A40" w:themeColor="accent1"/>
    </w:rPr>
  </w:style>
  <w:style w:type="character" w:customStyle="1" w:styleId="IntenseQuoteChar">
    <w:name w:val="Intense Quote Char"/>
    <w:basedOn w:val="DefaultParagraphFont"/>
    <w:link w:val="IntenseQuote"/>
    <w:uiPriority w:val="30"/>
    <w:rsid w:val="00A63EC4"/>
    <w:rPr>
      <w:rFonts w:ascii="Segoe UI" w:hAnsi="Segoe UI"/>
      <w:i/>
      <w:iCs/>
      <w:color w:val="FF3A40" w:themeColor="accent1"/>
      <w:sz w:val="19"/>
      <w:lang w:val="en-AU"/>
    </w:rPr>
  </w:style>
  <w:style w:type="paragraph" w:styleId="List">
    <w:name w:val="List"/>
    <w:basedOn w:val="Normal"/>
    <w:uiPriority w:val="99"/>
    <w:semiHidden/>
    <w:unhideWhenUsed/>
    <w:rsid w:val="00A63EC4"/>
    <w:pPr>
      <w:ind w:left="283" w:hanging="283"/>
      <w:contextualSpacing/>
    </w:pPr>
  </w:style>
  <w:style w:type="paragraph" w:styleId="List2">
    <w:name w:val="List 2"/>
    <w:basedOn w:val="Normal"/>
    <w:uiPriority w:val="99"/>
    <w:semiHidden/>
    <w:unhideWhenUsed/>
    <w:rsid w:val="00A63EC4"/>
    <w:pPr>
      <w:ind w:left="566" w:hanging="283"/>
      <w:contextualSpacing/>
    </w:pPr>
  </w:style>
  <w:style w:type="paragraph" w:styleId="List3">
    <w:name w:val="List 3"/>
    <w:basedOn w:val="Normal"/>
    <w:uiPriority w:val="99"/>
    <w:semiHidden/>
    <w:unhideWhenUsed/>
    <w:rsid w:val="00A63EC4"/>
    <w:pPr>
      <w:ind w:left="849" w:hanging="283"/>
      <w:contextualSpacing/>
    </w:pPr>
  </w:style>
  <w:style w:type="paragraph" w:styleId="List4">
    <w:name w:val="List 4"/>
    <w:basedOn w:val="Normal"/>
    <w:uiPriority w:val="99"/>
    <w:semiHidden/>
    <w:unhideWhenUsed/>
    <w:rsid w:val="00A63EC4"/>
    <w:pPr>
      <w:ind w:left="1132" w:hanging="283"/>
      <w:contextualSpacing/>
    </w:pPr>
  </w:style>
  <w:style w:type="paragraph" w:styleId="List5">
    <w:name w:val="List 5"/>
    <w:basedOn w:val="Normal"/>
    <w:uiPriority w:val="99"/>
    <w:semiHidden/>
    <w:unhideWhenUsed/>
    <w:rsid w:val="00A63EC4"/>
    <w:pPr>
      <w:ind w:left="1415" w:hanging="283"/>
      <w:contextualSpacing/>
    </w:pPr>
  </w:style>
  <w:style w:type="paragraph" w:styleId="ListBullet">
    <w:name w:val="List Bullet"/>
    <w:basedOn w:val="Normal"/>
    <w:uiPriority w:val="99"/>
    <w:semiHidden/>
    <w:unhideWhenUsed/>
    <w:rsid w:val="00A63EC4"/>
    <w:pPr>
      <w:numPr>
        <w:numId w:val="51"/>
      </w:numPr>
      <w:contextualSpacing/>
    </w:pPr>
  </w:style>
  <w:style w:type="paragraph" w:styleId="ListBullet2">
    <w:name w:val="List Bullet 2"/>
    <w:basedOn w:val="Normal"/>
    <w:uiPriority w:val="99"/>
    <w:semiHidden/>
    <w:unhideWhenUsed/>
    <w:rsid w:val="00A63EC4"/>
    <w:pPr>
      <w:numPr>
        <w:numId w:val="52"/>
      </w:numPr>
      <w:contextualSpacing/>
    </w:pPr>
  </w:style>
  <w:style w:type="paragraph" w:styleId="ListBullet3">
    <w:name w:val="List Bullet 3"/>
    <w:basedOn w:val="Normal"/>
    <w:uiPriority w:val="99"/>
    <w:semiHidden/>
    <w:unhideWhenUsed/>
    <w:rsid w:val="00A63EC4"/>
    <w:pPr>
      <w:numPr>
        <w:numId w:val="53"/>
      </w:numPr>
      <w:contextualSpacing/>
    </w:pPr>
  </w:style>
  <w:style w:type="paragraph" w:styleId="ListBullet4">
    <w:name w:val="List Bullet 4"/>
    <w:basedOn w:val="Normal"/>
    <w:uiPriority w:val="99"/>
    <w:semiHidden/>
    <w:unhideWhenUsed/>
    <w:rsid w:val="00A63EC4"/>
    <w:pPr>
      <w:numPr>
        <w:numId w:val="54"/>
      </w:numPr>
      <w:contextualSpacing/>
    </w:pPr>
  </w:style>
  <w:style w:type="paragraph" w:styleId="ListBullet5">
    <w:name w:val="List Bullet 5"/>
    <w:basedOn w:val="Normal"/>
    <w:uiPriority w:val="99"/>
    <w:semiHidden/>
    <w:unhideWhenUsed/>
    <w:rsid w:val="00A63EC4"/>
    <w:pPr>
      <w:numPr>
        <w:numId w:val="55"/>
      </w:numPr>
      <w:contextualSpacing/>
    </w:pPr>
  </w:style>
  <w:style w:type="paragraph" w:styleId="ListContinue">
    <w:name w:val="List Continue"/>
    <w:basedOn w:val="Normal"/>
    <w:uiPriority w:val="99"/>
    <w:semiHidden/>
    <w:unhideWhenUsed/>
    <w:rsid w:val="00A63EC4"/>
    <w:pPr>
      <w:ind w:left="283"/>
      <w:contextualSpacing/>
    </w:pPr>
  </w:style>
  <w:style w:type="paragraph" w:styleId="ListContinue2">
    <w:name w:val="List Continue 2"/>
    <w:basedOn w:val="Normal"/>
    <w:uiPriority w:val="99"/>
    <w:semiHidden/>
    <w:unhideWhenUsed/>
    <w:rsid w:val="00A63EC4"/>
    <w:pPr>
      <w:ind w:left="566"/>
      <w:contextualSpacing/>
    </w:pPr>
  </w:style>
  <w:style w:type="paragraph" w:styleId="ListContinue3">
    <w:name w:val="List Continue 3"/>
    <w:basedOn w:val="Normal"/>
    <w:uiPriority w:val="99"/>
    <w:semiHidden/>
    <w:unhideWhenUsed/>
    <w:rsid w:val="00A63EC4"/>
    <w:pPr>
      <w:ind w:left="849"/>
      <w:contextualSpacing/>
    </w:pPr>
  </w:style>
  <w:style w:type="paragraph" w:styleId="ListContinue4">
    <w:name w:val="List Continue 4"/>
    <w:basedOn w:val="Normal"/>
    <w:uiPriority w:val="99"/>
    <w:semiHidden/>
    <w:unhideWhenUsed/>
    <w:rsid w:val="00A63EC4"/>
    <w:pPr>
      <w:ind w:left="1132"/>
      <w:contextualSpacing/>
    </w:pPr>
  </w:style>
  <w:style w:type="paragraph" w:styleId="ListContinue5">
    <w:name w:val="List Continue 5"/>
    <w:basedOn w:val="Normal"/>
    <w:uiPriority w:val="99"/>
    <w:semiHidden/>
    <w:unhideWhenUsed/>
    <w:rsid w:val="00A63EC4"/>
    <w:pPr>
      <w:ind w:left="1415"/>
      <w:contextualSpacing/>
    </w:pPr>
  </w:style>
  <w:style w:type="paragraph" w:styleId="ListNumber">
    <w:name w:val="List Number"/>
    <w:basedOn w:val="Normal"/>
    <w:uiPriority w:val="99"/>
    <w:semiHidden/>
    <w:unhideWhenUsed/>
    <w:rsid w:val="00A63EC4"/>
    <w:pPr>
      <w:numPr>
        <w:numId w:val="56"/>
      </w:numPr>
      <w:contextualSpacing/>
    </w:pPr>
  </w:style>
  <w:style w:type="paragraph" w:styleId="ListNumber2">
    <w:name w:val="List Number 2"/>
    <w:basedOn w:val="Normal"/>
    <w:uiPriority w:val="99"/>
    <w:semiHidden/>
    <w:unhideWhenUsed/>
    <w:rsid w:val="00A63EC4"/>
    <w:pPr>
      <w:numPr>
        <w:numId w:val="57"/>
      </w:numPr>
      <w:contextualSpacing/>
    </w:pPr>
  </w:style>
  <w:style w:type="paragraph" w:styleId="ListNumber3">
    <w:name w:val="List Number 3"/>
    <w:basedOn w:val="Normal"/>
    <w:uiPriority w:val="99"/>
    <w:semiHidden/>
    <w:unhideWhenUsed/>
    <w:rsid w:val="00A63EC4"/>
    <w:pPr>
      <w:numPr>
        <w:numId w:val="58"/>
      </w:numPr>
      <w:contextualSpacing/>
    </w:pPr>
  </w:style>
  <w:style w:type="paragraph" w:styleId="ListNumber4">
    <w:name w:val="List Number 4"/>
    <w:basedOn w:val="Normal"/>
    <w:uiPriority w:val="99"/>
    <w:semiHidden/>
    <w:unhideWhenUsed/>
    <w:rsid w:val="00A63EC4"/>
    <w:pPr>
      <w:numPr>
        <w:numId w:val="59"/>
      </w:numPr>
      <w:contextualSpacing/>
    </w:pPr>
  </w:style>
  <w:style w:type="paragraph" w:styleId="ListNumber5">
    <w:name w:val="List Number 5"/>
    <w:basedOn w:val="Normal"/>
    <w:uiPriority w:val="99"/>
    <w:semiHidden/>
    <w:unhideWhenUsed/>
    <w:rsid w:val="00A63EC4"/>
    <w:pPr>
      <w:numPr>
        <w:numId w:val="60"/>
      </w:numPr>
      <w:contextualSpacing/>
    </w:pPr>
  </w:style>
  <w:style w:type="paragraph" w:styleId="MacroText">
    <w:name w:val="macro"/>
    <w:link w:val="MacroTextChar"/>
    <w:uiPriority w:val="99"/>
    <w:semiHidden/>
    <w:unhideWhenUsed/>
    <w:rsid w:val="00A63EC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A63EC4"/>
    <w:rPr>
      <w:rFonts w:ascii="Consolas" w:hAnsi="Consolas"/>
      <w:sz w:val="20"/>
      <w:szCs w:val="20"/>
      <w:lang w:val="en-AU"/>
    </w:rPr>
  </w:style>
  <w:style w:type="paragraph" w:styleId="MessageHeader">
    <w:name w:val="Message Header"/>
    <w:basedOn w:val="Normal"/>
    <w:link w:val="MessageHeaderChar"/>
    <w:uiPriority w:val="99"/>
    <w:semiHidden/>
    <w:unhideWhenUsed/>
    <w:rsid w:val="00A63E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63EC4"/>
    <w:rPr>
      <w:rFonts w:asciiTheme="majorHAnsi" w:eastAsiaTheme="majorEastAsia" w:hAnsiTheme="majorHAnsi" w:cstheme="majorBidi"/>
      <w:sz w:val="24"/>
      <w:szCs w:val="24"/>
      <w:shd w:val="pct20" w:color="auto" w:fill="auto"/>
      <w:lang w:val="en-AU"/>
    </w:rPr>
  </w:style>
  <w:style w:type="paragraph" w:styleId="NoSpacing">
    <w:name w:val="No Spacing"/>
    <w:uiPriority w:val="1"/>
    <w:rsid w:val="00A63EC4"/>
    <w:pPr>
      <w:spacing w:after="0" w:line="240" w:lineRule="auto"/>
    </w:pPr>
    <w:rPr>
      <w:rFonts w:ascii="Segoe UI" w:hAnsi="Segoe UI"/>
      <w:sz w:val="19"/>
      <w:lang w:val="en-AU"/>
    </w:rPr>
  </w:style>
  <w:style w:type="paragraph" w:styleId="NormalIndent">
    <w:name w:val="Normal Indent"/>
    <w:basedOn w:val="Normal"/>
    <w:uiPriority w:val="99"/>
    <w:semiHidden/>
    <w:unhideWhenUsed/>
    <w:rsid w:val="00A63EC4"/>
    <w:pPr>
      <w:ind w:left="720"/>
    </w:pPr>
  </w:style>
  <w:style w:type="paragraph" w:styleId="NoteHeading">
    <w:name w:val="Note Heading"/>
    <w:basedOn w:val="Normal"/>
    <w:next w:val="Normal"/>
    <w:link w:val="NoteHeadingChar"/>
    <w:uiPriority w:val="99"/>
    <w:semiHidden/>
    <w:unhideWhenUsed/>
    <w:rsid w:val="00A63EC4"/>
    <w:pPr>
      <w:spacing w:after="0" w:line="240" w:lineRule="auto"/>
    </w:pPr>
  </w:style>
  <w:style w:type="character" w:customStyle="1" w:styleId="NoteHeadingChar">
    <w:name w:val="Note Heading Char"/>
    <w:basedOn w:val="DefaultParagraphFont"/>
    <w:link w:val="NoteHeading"/>
    <w:uiPriority w:val="99"/>
    <w:semiHidden/>
    <w:rsid w:val="00A63EC4"/>
    <w:rPr>
      <w:rFonts w:ascii="Segoe UI" w:hAnsi="Segoe UI"/>
      <w:sz w:val="19"/>
      <w:lang w:val="en-AU"/>
    </w:rPr>
  </w:style>
  <w:style w:type="paragraph" w:styleId="PlainText">
    <w:name w:val="Plain Text"/>
    <w:basedOn w:val="Normal"/>
    <w:link w:val="PlainTextChar"/>
    <w:uiPriority w:val="99"/>
    <w:semiHidden/>
    <w:unhideWhenUsed/>
    <w:rsid w:val="00A63E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63EC4"/>
    <w:rPr>
      <w:rFonts w:ascii="Consolas" w:hAnsi="Consolas"/>
      <w:sz w:val="21"/>
      <w:szCs w:val="21"/>
      <w:lang w:val="en-AU"/>
    </w:rPr>
  </w:style>
  <w:style w:type="paragraph" w:styleId="Quote">
    <w:name w:val="Quote"/>
    <w:basedOn w:val="Normal"/>
    <w:next w:val="Normal"/>
    <w:link w:val="QuoteChar"/>
    <w:uiPriority w:val="29"/>
    <w:rsid w:val="00A63EC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63EC4"/>
    <w:rPr>
      <w:rFonts w:ascii="Segoe UI" w:hAnsi="Segoe UI"/>
      <w:i/>
      <w:iCs/>
      <w:color w:val="404040" w:themeColor="text1" w:themeTint="BF"/>
      <w:sz w:val="19"/>
      <w:lang w:val="en-AU"/>
    </w:rPr>
  </w:style>
  <w:style w:type="paragraph" w:styleId="Salutation">
    <w:name w:val="Salutation"/>
    <w:basedOn w:val="Normal"/>
    <w:next w:val="Normal"/>
    <w:link w:val="SalutationChar"/>
    <w:uiPriority w:val="99"/>
    <w:semiHidden/>
    <w:unhideWhenUsed/>
    <w:rsid w:val="00A63EC4"/>
  </w:style>
  <w:style w:type="character" w:customStyle="1" w:styleId="SalutationChar">
    <w:name w:val="Salutation Char"/>
    <w:basedOn w:val="DefaultParagraphFont"/>
    <w:link w:val="Salutation"/>
    <w:uiPriority w:val="99"/>
    <w:semiHidden/>
    <w:rsid w:val="00A63EC4"/>
    <w:rPr>
      <w:rFonts w:ascii="Segoe UI" w:hAnsi="Segoe UI"/>
      <w:sz w:val="19"/>
      <w:lang w:val="en-AU"/>
    </w:rPr>
  </w:style>
  <w:style w:type="paragraph" w:styleId="Signature">
    <w:name w:val="Signature"/>
    <w:basedOn w:val="Normal"/>
    <w:link w:val="SignatureChar"/>
    <w:uiPriority w:val="99"/>
    <w:semiHidden/>
    <w:unhideWhenUsed/>
    <w:rsid w:val="00A63EC4"/>
    <w:pPr>
      <w:spacing w:after="0" w:line="240" w:lineRule="auto"/>
      <w:ind w:left="4252"/>
    </w:pPr>
  </w:style>
  <w:style w:type="character" w:customStyle="1" w:styleId="SignatureChar">
    <w:name w:val="Signature Char"/>
    <w:basedOn w:val="DefaultParagraphFont"/>
    <w:link w:val="Signature"/>
    <w:uiPriority w:val="99"/>
    <w:semiHidden/>
    <w:rsid w:val="00A63EC4"/>
    <w:rPr>
      <w:rFonts w:ascii="Segoe UI" w:hAnsi="Segoe UI"/>
      <w:sz w:val="19"/>
      <w:lang w:val="en-AU"/>
    </w:rPr>
  </w:style>
  <w:style w:type="paragraph" w:styleId="Subtitle">
    <w:name w:val="Subtitle"/>
    <w:basedOn w:val="Normal"/>
    <w:next w:val="Normal"/>
    <w:link w:val="SubtitleChar"/>
    <w:uiPriority w:val="11"/>
    <w:rsid w:val="00A63EC4"/>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63EC4"/>
    <w:rPr>
      <w:rFonts w:eastAsiaTheme="minorEastAsia"/>
      <w:color w:val="5A5A5A" w:themeColor="text1" w:themeTint="A5"/>
      <w:spacing w:val="15"/>
      <w:lang w:val="en-AU"/>
    </w:rPr>
  </w:style>
  <w:style w:type="paragraph" w:styleId="TableofFigures">
    <w:name w:val="table of figures"/>
    <w:basedOn w:val="Normal"/>
    <w:next w:val="Normal"/>
    <w:uiPriority w:val="99"/>
    <w:semiHidden/>
    <w:unhideWhenUsed/>
    <w:rsid w:val="00A63EC4"/>
    <w:pPr>
      <w:spacing w:after="0"/>
    </w:pPr>
  </w:style>
  <w:style w:type="paragraph" w:styleId="Title">
    <w:name w:val="Title"/>
    <w:basedOn w:val="Normal"/>
    <w:next w:val="Normal"/>
    <w:link w:val="TitleChar"/>
    <w:uiPriority w:val="10"/>
    <w:rsid w:val="00A63E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EC4"/>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A63EC4"/>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668">
      <w:bodyDiv w:val="1"/>
      <w:marLeft w:val="0"/>
      <w:marRight w:val="0"/>
      <w:marTop w:val="0"/>
      <w:marBottom w:val="0"/>
      <w:divBdr>
        <w:top w:val="none" w:sz="0" w:space="0" w:color="auto"/>
        <w:left w:val="none" w:sz="0" w:space="0" w:color="auto"/>
        <w:bottom w:val="none" w:sz="0" w:space="0" w:color="auto"/>
        <w:right w:val="none" w:sz="0" w:space="0" w:color="auto"/>
      </w:divBdr>
      <w:divsChild>
        <w:div w:id="55394987">
          <w:marLeft w:val="547"/>
          <w:marRight w:val="0"/>
          <w:marTop w:val="0"/>
          <w:marBottom w:val="0"/>
          <w:divBdr>
            <w:top w:val="none" w:sz="0" w:space="0" w:color="auto"/>
            <w:left w:val="none" w:sz="0" w:space="0" w:color="auto"/>
            <w:bottom w:val="none" w:sz="0" w:space="0" w:color="auto"/>
            <w:right w:val="none" w:sz="0" w:space="0" w:color="auto"/>
          </w:divBdr>
        </w:div>
        <w:div w:id="89349832">
          <w:marLeft w:val="547"/>
          <w:marRight w:val="0"/>
          <w:marTop w:val="0"/>
          <w:marBottom w:val="0"/>
          <w:divBdr>
            <w:top w:val="none" w:sz="0" w:space="0" w:color="auto"/>
            <w:left w:val="none" w:sz="0" w:space="0" w:color="auto"/>
            <w:bottom w:val="none" w:sz="0" w:space="0" w:color="auto"/>
            <w:right w:val="none" w:sz="0" w:space="0" w:color="auto"/>
          </w:divBdr>
        </w:div>
        <w:div w:id="870843575">
          <w:marLeft w:val="547"/>
          <w:marRight w:val="0"/>
          <w:marTop w:val="0"/>
          <w:marBottom w:val="0"/>
          <w:divBdr>
            <w:top w:val="none" w:sz="0" w:space="0" w:color="auto"/>
            <w:left w:val="none" w:sz="0" w:space="0" w:color="auto"/>
            <w:bottom w:val="none" w:sz="0" w:space="0" w:color="auto"/>
            <w:right w:val="none" w:sz="0" w:space="0" w:color="auto"/>
          </w:divBdr>
        </w:div>
        <w:div w:id="919603921">
          <w:marLeft w:val="547"/>
          <w:marRight w:val="0"/>
          <w:marTop w:val="0"/>
          <w:marBottom w:val="0"/>
          <w:divBdr>
            <w:top w:val="none" w:sz="0" w:space="0" w:color="auto"/>
            <w:left w:val="none" w:sz="0" w:space="0" w:color="auto"/>
            <w:bottom w:val="none" w:sz="0" w:space="0" w:color="auto"/>
            <w:right w:val="none" w:sz="0" w:space="0" w:color="auto"/>
          </w:divBdr>
        </w:div>
        <w:div w:id="1445267962">
          <w:marLeft w:val="547"/>
          <w:marRight w:val="0"/>
          <w:marTop w:val="0"/>
          <w:marBottom w:val="0"/>
          <w:divBdr>
            <w:top w:val="none" w:sz="0" w:space="0" w:color="auto"/>
            <w:left w:val="none" w:sz="0" w:space="0" w:color="auto"/>
            <w:bottom w:val="none" w:sz="0" w:space="0" w:color="auto"/>
            <w:right w:val="none" w:sz="0" w:space="0" w:color="auto"/>
          </w:divBdr>
        </w:div>
        <w:div w:id="1715344706">
          <w:marLeft w:val="547"/>
          <w:marRight w:val="0"/>
          <w:marTop w:val="0"/>
          <w:marBottom w:val="0"/>
          <w:divBdr>
            <w:top w:val="none" w:sz="0" w:space="0" w:color="auto"/>
            <w:left w:val="none" w:sz="0" w:space="0" w:color="auto"/>
            <w:bottom w:val="none" w:sz="0" w:space="0" w:color="auto"/>
            <w:right w:val="none" w:sz="0" w:space="0" w:color="auto"/>
          </w:divBdr>
        </w:div>
      </w:divsChild>
    </w:div>
    <w:div w:id="35198162">
      <w:bodyDiv w:val="1"/>
      <w:marLeft w:val="0"/>
      <w:marRight w:val="0"/>
      <w:marTop w:val="0"/>
      <w:marBottom w:val="0"/>
      <w:divBdr>
        <w:top w:val="none" w:sz="0" w:space="0" w:color="auto"/>
        <w:left w:val="none" w:sz="0" w:space="0" w:color="auto"/>
        <w:bottom w:val="none" w:sz="0" w:space="0" w:color="auto"/>
        <w:right w:val="none" w:sz="0" w:space="0" w:color="auto"/>
      </w:divBdr>
    </w:div>
    <w:div w:id="44568737">
      <w:bodyDiv w:val="1"/>
      <w:marLeft w:val="0"/>
      <w:marRight w:val="0"/>
      <w:marTop w:val="0"/>
      <w:marBottom w:val="0"/>
      <w:divBdr>
        <w:top w:val="none" w:sz="0" w:space="0" w:color="auto"/>
        <w:left w:val="none" w:sz="0" w:space="0" w:color="auto"/>
        <w:bottom w:val="none" w:sz="0" w:space="0" w:color="auto"/>
        <w:right w:val="none" w:sz="0" w:space="0" w:color="auto"/>
      </w:divBdr>
    </w:div>
    <w:div w:id="60060139">
      <w:bodyDiv w:val="1"/>
      <w:marLeft w:val="0"/>
      <w:marRight w:val="0"/>
      <w:marTop w:val="0"/>
      <w:marBottom w:val="0"/>
      <w:divBdr>
        <w:top w:val="none" w:sz="0" w:space="0" w:color="auto"/>
        <w:left w:val="none" w:sz="0" w:space="0" w:color="auto"/>
        <w:bottom w:val="none" w:sz="0" w:space="0" w:color="auto"/>
        <w:right w:val="none" w:sz="0" w:space="0" w:color="auto"/>
      </w:divBdr>
    </w:div>
    <w:div w:id="79301073">
      <w:bodyDiv w:val="1"/>
      <w:marLeft w:val="0"/>
      <w:marRight w:val="0"/>
      <w:marTop w:val="0"/>
      <w:marBottom w:val="0"/>
      <w:divBdr>
        <w:top w:val="none" w:sz="0" w:space="0" w:color="auto"/>
        <w:left w:val="none" w:sz="0" w:space="0" w:color="auto"/>
        <w:bottom w:val="none" w:sz="0" w:space="0" w:color="auto"/>
        <w:right w:val="none" w:sz="0" w:space="0" w:color="auto"/>
      </w:divBdr>
    </w:div>
    <w:div w:id="143009217">
      <w:bodyDiv w:val="1"/>
      <w:marLeft w:val="0"/>
      <w:marRight w:val="0"/>
      <w:marTop w:val="0"/>
      <w:marBottom w:val="0"/>
      <w:divBdr>
        <w:top w:val="none" w:sz="0" w:space="0" w:color="auto"/>
        <w:left w:val="none" w:sz="0" w:space="0" w:color="auto"/>
        <w:bottom w:val="none" w:sz="0" w:space="0" w:color="auto"/>
        <w:right w:val="none" w:sz="0" w:space="0" w:color="auto"/>
      </w:divBdr>
    </w:div>
    <w:div w:id="180516451">
      <w:bodyDiv w:val="1"/>
      <w:marLeft w:val="0"/>
      <w:marRight w:val="0"/>
      <w:marTop w:val="0"/>
      <w:marBottom w:val="0"/>
      <w:divBdr>
        <w:top w:val="none" w:sz="0" w:space="0" w:color="auto"/>
        <w:left w:val="none" w:sz="0" w:space="0" w:color="auto"/>
        <w:bottom w:val="none" w:sz="0" w:space="0" w:color="auto"/>
        <w:right w:val="none" w:sz="0" w:space="0" w:color="auto"/>
      </w:divBdr>
    </w:div>
    <w:div w:id="204411737">
      <w:bodyDiv w:val="1"/>
      <w:marLeft w:val="0"/>
      <w:marRight w:val="0"/>
      <w:marTop w:val="0"/>
      <w:marBottom w:val="0"/>
      <w:divBdr>
        <w:top w:val="none" w:sz="0" w:space="0" w:color="auto"/>
        <w:left w:val="none" w:sz="0" w:space="0" w:color="auto"/>
        <w:bottom w:val="none" w:sz="0" w:space="0" w:color="auto"/>
        <w:right w:val="none" w:sz="0" w:space="0" w:color="auto"/>
      </w:divBdr>
    </w:div>
    <w:div w:id="228686359">
      <w:bodyDiv w:val="1"/>
      <w:marLeft w:val="0"/>
      <w:marRight w:val="0"/>
      <w:marTop w:val="0"/>
      <w:marBottom w:val="0"/>
      <w:divBdr>
        <w:top w:val="none" w:sz="0" w:space="0" w:color="auto"/>
        <w:left w:val="none" w:sz="0" w:space="0" w:color="auto"/>
        <w:bottom w:val="none" w:sz="0" w:space="0" w:color="auto"/>
        <w:right w:val="none" w:sz="0" w:space="0" w:color="auto"/>
      </w:divBdr>
    </w:div>
    <w:div w:id="247160549">
      <w:bodyDiv w:val="1"/>
      <w:marLeft w:val="0"/>
      <w:marRight w:val="0"/>
      <w:marTop w:val="0"/>
      <w:marBottom w:val="0"/>
      <w:divBdr>
        <w:top w:val="none" w:sz="0" w:space="0" w:color="auto"/>
        <w:left w:val="none" w:sz="0" w:space="0" w:color="auto"/>
        <w:bottom w:val="none" w:sz="0" w:space="0" w:color="auto"/>
        <w:right w:val="none" w:sz="0" w:space="0" w:color="auto"/>
      </w:divBdr>
    </w:div>
    <w:div w:id="256133860">
      <w:bodyDiv w:val="1"/>
      <w:marLeft w:val="0"/>
      <w:marRight w:val="0"/>
      <w:marTop w:val="0"/>
      <w:marBottom w:val="0"/>
      <w:divBdr>
        <w:top w:val="none" w:sz="0" w:space="0" w:color="auto"/>
        <w:left w:val="none" w:sz="0" w:space="0" w:color="auto"/>
        <w:bottom w:val="none" w:sz="0" w:space="0" w:color="auto"/>
        <w:right w:val="none" w:sz="0" w:space="0" w:color="auto"/>
      </w:divBdr>
    </w:div>
    <w:div w:id="283386996">
      <w:bodyDiv w:val="1"/>
      <w:marLeft w:val="0"/>
      <w:marRight w:val="0"/>
      <w:marTop w:val="0"/>
      <w:marBottom w:val="0"/>
      <w:divBdr>
        <w:top w:val="none" w:sz="0" w:space="0" w:color="auto"/>
        <w:left w:val="none" w:sz="0" w:space="0" w:color="auto"/>
        <w:bottom w:val="none" w:sz="0" w:space="0" w:color="auto"/>
        <w:right w:val="none" w:sz="0" w:space="0" w:color="auto"/>
      </w:divBdr>
      <w:divsChild>
        <w:div w:id="1804930179">
          <w:marLeft w:val="446"/>
          <w:marRight w:val="0"/>
          <w:marTop w:val="240"/>
          <w:marBottom w:val="0"/>
          <w:divBdr>
            <w:top w:val="none" w:sz="0" w:space="0" w:color="auto"/>
            <w:left w:val="none" w:sz="0" w:space="0" w:color="auto"/>
            <w:bottom w:val="none" w:sz="0" w:space="0" w:color="auto"/>
            <w:right w:val="none" w:sz="0" w:space="0" w:color="auto"/>
          </w:divBdr>
        </w:div>
      </w:divsChild>
    </w:div>
    <w:div w:id="295061554">
      <w:bodyDiv w:val="1"/>
      <w:marLeft w:val="0"/>
      <w:marRight w:val="0"/>
      <w:marTop w:val="0"/>
      <w:marBottom w:val="0"/>
      <w:divBdr>
        <w:top w:val="none" w:sz="0" w:space="0" w:color="auto"/>
        <w:left w:val="none" w:sz="0" w:space="0" w:color="auto"/>
        <w:bottom w:val="none" w:sz="0" w:space="0" w:color="auto"/>
        <w:right w:val="none" w:sz="0" w:space="0" w:color="auto"/>
      </w:divBdr>
      <w:divsChild>
        <w:div w:id="88089528">
          <w:marLeft w:val="547"/>
          <w:marRight w:val="0"/>
          <w:marTop w:val="0"/>
          <w:marBottom w:val="0"/>
          <w:divBdr>
            <w:top w:val="none" w:sz="0" w:space="0" w:color="auto"/>
            <w:left w:val="none" w:sz="0" w:space="0" w:color="auto"/>
            <w:bottom w:val="none" w:sz="0" w:space="0" w:color="auto"/>
            <w:right w:val="none" w:sz="0" w:space="0" w:color="auto"/>
          </w:divBdr>
        </w:div>
        <w:div w:id="175921217">
          <w:marLeft w:val="547"/>
          <w:marRight w:val="0"/>
          <w:marTop w:val="0"/>
          <w:marBottom w:val="0"/>
          <w:divBdr>
            <w:top w:val="none" w:sz="0" w:space="0" w:color="auto"/>
            <w:left w:val="none" w:sz="0" w:space="0" w:color="auto"/>
            <w:bottom w:val="none" w:sz="0" w:space="0" w:color="auto"/>
            <w:right w:val="none" w:sz="0" w:space="0" w:color="auto"/>
          </w:divBdr>
        </w:div>
        <w:div w:id="707218759">
          <w:marLeft w:val="547"/>
          <w:marRight w:val="0"/>
          <w:marTop w:val="0"/>
          <w:marBottom w:val="0"/>
          <w:divBdr>
            <w:top w:val="none" w:sz="0" w:space="0" w:color="auto"/>
            <w:left w:val="none" w:sz="0" w:space="0" w:color="auto"/>
            <w:bottom w:val="none" w:sz="0" w:space="0" w:color="auto"/>
            <w:right w:val="none" w:sz="0" w:space="0" w:color="auto"/>
          </w:divBdr>
        </w:div>
        <w:div w:id="1567033865">
          <w:marLeft w:val="547"/>
          <w:marRight w:val="0"/>
          <w:marTop w:val="0"/>
          <w:marBottom w:val="0"/>
          <w:divBdr>
            <w:top w:val="none" w:sz="0" w:space="0" w:color="auto"/>
            <w:left w:val="none" w:sz="0" w:space="0" w:color="auto"/>
            <w:bottom w:val="none" w:sz="0" w:space="0" w:color="auto"/>
            <w:right w:val="none" w:sz="0" w:space="0" w:color="auto"/>
          </w:divBdr>
        </w:div>
      </w:divsChild>
    </w:div>
    <w:div w:id="308485164">
      <w:bodyDiv w:val="1"/>
      <w:marLeft w:val="0"/>
      <w:marRight w:val="0"/>
      <w:marTop w:val="0"/>
      <w:marBottom w:val="0"/>
      <w:divBdr>
        <w:top w:val="none" w:sz="0" w:space="0" w:color="auto"/>
        <w:left w:val="none" w:sz="0" w:space="0" w:color="auto"/>
        <w:bottom w:val="none" w:sz="0" w:space="0" w:color="auto"/>
        <w:right w:val="none" w:sz="0" w:space="0" w:color="auto"/>
      </w:divBdr>
    </w:div>
    <w:div w:id="316541764">
      <w:bodyDiv w:val="1"/>
      <w:marLeft w:val="0"/>
      <w:marRight w:val="0"/>
      <w:marTop w:val="0"/>
      <w:marBottom w:val="0"/>
      <w:divBdr>
        <w:top w:val="none" w:sz="0" w:space="0" w:color="auto"/>
        <w:left w:val="none" w:sz="0" w:space="0" w:color="auto"/>
        <w:bottom w:val="none" w:sz="0" w:space="0" w:color="auto"/>
        <w:right w:val="none" w:sz="0" w:space="0" w:color="auto"/>
      </w:divBdr>
    </w:div>
    <w:div w:id="332270626">
      <w:bodyDiv w:val="1"/>
      <w:marLeft w:val="0"/>
      <w:marRight w:val="0"/>
      <w:marTop w:val="0"/>
      <w:marBottom w:val="0"/>
      <w:divBdr>
        <w:top w:val="none" w:sz="0" w:space="0" w:color="auto"/>
        <w:left w:val="none" w:sz="0" w:space="0" w:color="auto"/>
        <w:bottom w:val="none" w:sz="0" w:space="0" w:color="auto"/>
        <w:right w:val="none" w:sz="0" w:space="0" w:color="auto"/>
      </w:divBdr>
    </w:div>
    <w:div w:id="339282505">
      <w:bodyDiv w:val="1"/>
      <w:marLeft w:val="0"/>
      <w:marRight w:val="0"/>
      <w:marTop w:val="0"/>
      <w:marBottom w:val="0"/>
      <w:divBdr>
        <w:top w:val="none" w:sz="0" w:space="0" w:color="auto"/>
        <w:left w:val="none" w:sz="0" w:space="0" w:color="auto"/>
        <w:bottom w:val="none" w:sz="0" w:space="0" w:color="auto"/>
        <w:right w:val="none" w:sz="0" w:space="0" w:color="auto"/>
      </w:divBdr>
      <w:divsChild>
        <w:div w:id="2050453606">
          <w:marLeft w:val="0"/>
          <w:marRight w:val="0"/>
          <w:marTop w:val="0"/>
          <w:marBottom w:val="0"/>
          <w:divBdr>
            <w:top w:val="none" w:sz="0" w:space="0" w:color="auto"/>
            <w:left w:val="none" w:sz="0" w:space="0" w:color="auto"/>
            <w:bottom w:val="none" w:sz="0" w:space="0" w:color="auto"/>
            <w:right w:val="none" w:sz="0" w:space="0" w:color="auto"/>
          </w:divBdr>
        </w:div>
      </w:divsChild>
    </w:div>
    <w:div w:id="350838931">
      <w:bodyDiv w:val="1"/>
      <w:marLeft w:val="0"/>
      <w:marRight w:val="0"/>
      <w:marTop w:val="0"/>
      <w:marBottom w:val="0"/>
      <w:divBdr>
        <w:top w:val="none" w:sz="0" w:space="0" w:color="auto"/>
        <w:left w:val="none" w:sz="0" w:space="0" w:color="auto"/>
        <w:bottom w:val="none" w:sz="0" w:space="0" w:color="auto"/>
        <w:right w:val="none" w:sz="0" w:space="0" w:color="auto"/>
      </w:divBdr>
    </w:div>
    <w:div w:id="362677031">
      <w:bodyDiv w:val="1"/>
      <w:marLeft w:val="0"/>
      <w:marRight w:val="0"/>
      <w:marTop w:val="0"/>
      <w:marBottom w:val="0"/>
      <w:divBdr>
        <w:top w:val="none" w:sz="0" w:space="0" w:color="auto"/>
        <w:left w:val="none" w:sz="0" w:space="0" w:color="auto"/>
        <w:bottom w:val="none" w:sz="0" w:space="0" w:color="auto"/>
        <w:right w:val="none" w:sz="0" w:space="0" w:color="auto"/>
      </w:divBdr>
    </w:div>
    <w:div w:id="408885519">
      <w:bodyDiv w:val="1"/>
      <w:marLeft w:val="0"/>
      <w:marRight w:val="0"/>
      <w:marTop w:val="0"/>
      <w:marBottom w:val="0"/>
      <w:divBdr>
        <w:top w:val="none" w:sz="0" w:space="0" w:color="auto"/>
        <w:left w:val="none" w:sz="0" w:space="0" w:color="auto"/>
        <w:bottom w:val="none" w:sz="0" w:space="0" w:color="auto"/>
        <w:right w:val="none" w:sz="0" w:space="0" w:color="auto"/>
      </w:divBdr>
    </w:div>
    <w:div w:id="415369044">
      <w:bodyDiv w:val="1"/>
      <w:marLeft w:val="0"/>
      <w:marRight w:val="0"/>
      <w:marTop w:val="0"/>
      <w:marBottom w:val="0"/>
      <w:divBdr>
        <w:top w:val="none" w:sz="0" w:space="0" w:color="auto"/>
        <w:left w:val="none" w:sz="0" w:space="0" w:color="auto"/>
        <w:bottom w:val="none" w:sz="0" w:space="0" w:color="auto"/>
        <w:right w:val="none" w:sz="0" w:space="0" w:color="auto"/>
      </w:divBdr>
    </w:div>
    <w:div w:id="422773132">
      <w:bodyDiv w:val="1"/>
      <w:marLeft w:val="0"/>
      <w:marRight w:val="0"/>
      <w:marTop w:val="0"/>
      <w:marBottom w:val="0"/>
      <w:divBdr>
        <w:top w:val="none" w:sz="0" w:space="0" w:color="auto"/>
        <w:left w:val="none" w:sz="0" w:space="0" w:color="auto"/>
        <w:bottom w:val="none" w:sz="0" w:space="0" w:color="auto"/>
        <w:right w:val="none" w:sz="0" w:space="0" w:color="auto"/>
      </w:divBdr>
    </w:div>
    <w:div w:id="436368607">
      <w:bodyDiv w:val="1"/>
      <w:marLeft w:val="0"/>
      <w:marRight w:val="0"/>
      <w:marTop w:val="0"/>
      <w:marBottom w:val="0"/>
      <w:divBdr>
        <w:top w:val="none" w:sz="0" w:space="0" w:color="auto"/>
        <w:left w:val="none" w:sz="0" w:space="0" w:color="auto"/>
        <w:bottom w:val="none" w:sz="0" w:space="0" w:color="auto"/>
        <w:right w:val="none" w:sz="0" w:space="0" w:color="auto"/>
      </w:divBdr>
    </w:div>
    <w:div w:id="438183865">
      <w:bodyDiv w:val="1"/>
      <w:marLeft w:val="0"/>
      <w:marRight w:val="0"/>
      <w:marTop w:val="0"/>
      <w:marBottom w:val="0"/>
      <w:divBdr>
        <w:top w:val="none" w:sz="0" w:space="0" w:color="auto"/>
        <w:left w:val="none" w:sz="0" w:space="0" w:color="auto"/>
        <w:bottom w:val="none" w:sz="0" w:space="0" w:color="auto"/>
        <w:right w:val="none" w:sz="0" w:space="0" w:color="auto"/>
      </w:divBdr>
    </w:div>
    <w:div w:id="443231000">
      <w:bodyDiv w:val="1"/>
      <w:marLeft w:val="0"/>
      <w:marRight w:val="0"/>
      <w:marTop w:val="0"/>
      <w:marBottom w:val="0"/>
      <w:divBdr>
        <w:top w:val="none" w:sz="0" w:space="0" w:color="auto"/>
        <w:left w:val="none" w:sz="0" w:space="0" w:color="auto"/>
        <w:bottom w:val="none" w:sz="0" w:space="0" w:color="auto"/>
        <w:right w:val="none" w:sz="0" w:space="0" w:color="auto"/>
      </w:divBdr>
    </w:div>
    <w:div w:id="446462320">
      <w:bodyDiv w:val="1"/>
      <w:marLeft w:val="0"/>
      <w:marRight w:val="0"/>
      <w:marTop w:val="0"/>
      <w:marBottom w:val="0"/>
      <w:divBdr>
        <w:top w:val="none" w:sz="0" w:space="0" w:color="auto"/>
        <w:left w:val="none" w:sz="0" w:space="0" w:color="auto"/>
        <w:bottom w:val="none" w:sz="0" w:space="0" w:color="auto"/>
        <w:right w:val="none" w:sz="0" w:space="0" w:color="auto"/>
      </w:divBdr>
    </w:div>
    <w:div w:id="448864642">
      <w:bodyDiv w:val="1"/>
      <w:marLeft w:val="0"/>
      <w:marRight w:val="0"/>
      <w:marTop w:val="0"/>
      <w:marBottom w:val="0"/>
      <w:divBdr>
        <w:top w:val="none" w:sz="0" w:space="0" w:color="auto"/>
        <w:left w:val="none" w:sz="0" w:space="0" w:color="auto"/>
        <w:bottom w:val="none" w:sz="0" w:space="0" w:color="auto"/>
        <w:right w:val="none" w:sz="0" w:space="0" w:color="auto"/>
      </w:divBdr>
    </w:div>
    <w:div w:id="450897732">
      <w:bodyDiv w:val="1"/>
      <w:marLeft w:val="0"/>
      <w:marRight w:val="0"/>
      <w:marTop w:val="0"/>
      <w:marBottom w:val="0"/>
      <w:divBdr>
        <w:top w:val="none" w:sz="0" w:space="0" w:color="auto"/>
        <w:left w:val="none" w:sz="0" w:space="0" w:color="auto"/>
        <w:bottom w:val="none" w:sz="0" w:space="0" w:color="auto"/>
        <w:right w:val="none" w:sz="0" w:space="0" w:color="auto"/>
      </w:divBdr>
    </w:div>
    <w:div w:id="452865219">
      <w:bodyDiv w:val="1"/>
      <w:marLeft w:val="0"/>
      <w:marRight w:val="0"/>
      <w:marTop w:val="0"/>
      <w:marBottom w:val="0"/>
      <w:divBdr>
        <w:top w:val="none" w:sz="0" w:space="0" w:color="auto"/>
        <w:left w:val="none" w:sz="0" w:space="0" w:color="auto"/>
        <w:bottom w:val="none" w:sz="0" w:space="0" w:color="auto"/>
        <w:right w:val="none" w:sz="0" w:space="0" w:color="auto"/>
      </w:divBdr>
    </w:div>
    <w:div w:id="461657871">
      <w:bodyDiv w:val="1"/>
      <w:marLeft w:val="0"/>
      <w:marRight w:val="0"/>
      <w:marTop w:val="0"/>
      <w:marBottom w:val="0"/>
      <w:divBdr>
        <w:top w:val="none" w:sz="0" w:space="0" w:color="auto"/>
        <w:left w:val="none" w:sz="0" w:space="0" w:color="auto"/>
        <w:bottom w:val="none" w:sz="0" w:space="0" w:color="auto"/>
        <w:right w:val="none" w:sz="0" w:space="0" w:color="auto"/>
      </w:divBdr>
    </w:div>
    <w:div w:id="478155718">
      <w:bodyDiv w:val="1"/>
      <w:marLeft w:val="0"/>
      <w:marRight w:val="0"/>
      <w:marTop w:val="0"/>
      <w:marBottom w:val="0"/>
      <w:divBdr>
        <w:top w:val="none" w:sz="0" w:space="0" w:color="auto"/>
        <w:left w:val="none" w:sz="0" w:space="0" w:color="auto"/>
        <w:bottom w:val="none" w:sz="0" w:space="0" w:color="auto"/>
        <w:right w:val="none" w:sz="0" w:space="0" w:color="auto"/>
      </w:divBdr>
    </w:div>
    <w:div w:id="480928937">
      <w:bodyDiv w:val="1"/>
      <w:marLeft w:val="0"/>
      <w:marRight w:val="0"/>
      <w:marTop w:val="0"/>
      <w:marBottom w:val="0"/>
      <w:divBdr>
        <w:top w:val="none" w:sz="0" w:space="0" w:color="auto"/>
        <w:left w:val="none" w:sz="0" w:space="0" w:color="auto"/>
        <w:bottom w:val="none" w:sz="0" w:space="0" w:color="auto"/>
        <w:right w:val="none" w:sz="0" w:space="0" w:color="auto"/>
      </w:divBdr>
      <w:divsChild>
        <w:div w:id="279924295">
          <w:marLeft w:val="360"/>
          <w:marRight w:val="0"/>
          <w:marTop w:val="60"/>
          <w:marBottom w:val="60"/>
          <w:divBdr>
            <w:top w:val="none" w:sz="0" w:space="0" w:color="auto"/>
            <w:left w:val="none" w:sz="0" w:space="0" w:color="auto"/>
            <w:bottom w:val="none" w:sz="0" w:space="0" w:color="auto"/>
            <w:right w:val="none" w:sz="0" w:space="0" w:color="auto"/>
          </w:divBdr>
        </w:div>
        <w:div w:id="369184019">
          <w:marLeft w:val="360"/>
          <w:marRight w:val="0"/>
          <w:marTop w:val="60"/>
          <w:marBottom w:val="60"/>
          <w:divBdr>
            <w:top w:val="none" w:sz="0" w:space="0" w:color="auto"/>
            <w:left w:val="none" w:sz="0" w:space="0" w:color="auto"/>
            <w:bottom w:val="none" w:sz="0" w:space="0" w:color="auto"/>
            <w:right w:val="none" w:sz="0" w:space="0" w:color="auto"/>
          </w:divBdr>
        </w:div>
        <w:div w:id="1370957410">
          <w:marLeft w:val="360"/>
          <w:marRight w:val="0"/>
          <w:marTop w:val="60"/>
          <w:marBottom w:val="60"/>
          <w:divBdr>
            <w:top w:val="none" w:sz="0" w:space="0" w:color="auto"/>
            <w:left w:val="none" w:sz="0" w:space="0" w:color="auto"/>
            <w:bottom w:val="none" w:sz="0" w:space="0" w:color="auto"/>
            <w:right w:val="none" w:sz="0" w:space="0" w:color="auto"/>
          </w:divBdr>
        </w:div>
        <w:div w:id="1526284429">
          <w:marLeft w:val="360"/>
          <w:marRight w:val="0"/>
          <w:marTop w:val="60"/>
          <w:marBottom w:val="60"/>
          <w:divBdr>
            <w:top w:val="none" w:sz="0" w:space="0" w:color="auto"/>
            <w:left w:val="none" w:sz="0" w:space="0" w:color="auto"/>
            <w:bottom w:val="none" w:sz="0" w:space="0" w:color="auto"/>
            <w:right w:val="none" w:sz="0" w:space="0" w:color="auto"/>
          </w:divBdr>
        </w:div>
      </w:divsChild>
    </w:div>
    <w:div w:id="484055374">
      <w:bodyDiv w:val="1"/>
      <w:marLeft w:val="0"/>
      <w:marRight w:val="0"/>
      <w:marTop w:val="0"/>
      <w:marBottom w:val="0"/>
      <w:divBdr>
        <w:top w:val="none" w:sz="0" w:space="0" w:color="auto"/>
        <w:left w:val="none" w:sz="0" w:space="0" w:color="auto"/>
        <w:bottom w:val="none" w:sz="0" w:space="0" w:color="auto"/>
        <w:right w:val="none" w:sz="0" w:space="0" w:color="auto"/>
      </w:divBdr>
      <w:divsChild>
        <w:div w:id="490027169">
          <w:marLeft w:val="547"/>
          <w:marRight w:val="0"/>
          <w:marTop w:val="0"/>
          <w:marBottom w:val="0"/>
          <w:divBdr>
            <w:top w:val="none" w:sz="0" w:space="0" w:color="auto"/>
            <w:left w:val="none" w:sz="0" w:space="0" w:color="auto"/>
            <w:bottom w:val="none" w:sz="0" w:space="0" w:color="auto"/>
            <w:right w:val="none" w:sz="0" w:space="0" w:color="auto"/>
          </w:divBdr>
        </w:div>
        <w:div w:id="944921964">
          <w:marLeft w:val="547"/>
          <w:marRight w:val="0"/>
          <w:marTop w:val="0"/>
          <w:marBottom w:val="0"/>
          <w:divBdr>
            <w:top w:val="none" w:sz="0" w:space="0" w:color="auto"/>
            <w:left w:val="none" w:sz="0" w:space="0" w:color="auto"/>
            <w:bottom w:val="none" w:sz="0" w:space="0" w:color="auto"/>
            <w:right w:val="none" w:sz="0" w:space="0" w:color="auto"/>
          </w:divBdr>
        </w:div>
        <w:div w:id="1097864282">
          <w:marLeft w:val="547"/>
          <w:marRight w:val="0"/>
          <w:marTop w:val="0"/>
          <w:marBottom w:val="0"/>
          <w:divBdr>
            <w:top w:val="none" w:sz="0" w:space="0" w:color="auto"/>
            <w:left w:val="none" w:sz="0" w:space="0" w:color="auto"/>
            <w:bottom w:val="none" w:sz="0" w:space="0" w:color="auto"/>
            <w:right w:val="none" w:sz="0" w:space="0" w:color="auto"/>
          </w:divBdr>
        </w:div>
        <w:div w:id="1252928976">
          <w:marLeft w:val="547"/>
          <w:marRight w:val="0"/>
          <w:marTop w:val="0"/>
          <w:marBottom w:val="0"/>
          <w:divBdr>
            <w:top w:val="none" w:sz="0" w:space="0" w:color="auto"/>
            <w:left w:val="none" w:sz="0" w:space="0" w:color="auto"/>
            <w:bottom w:val="none" w:sz="0" w:space="0" w:color="auto"/>
            <w:right w:val="none" w:sz="0" w:space="0" w:color="auto"/>
          </w:divBdr>
        </w:div>
        <w:div w:id="1255093234">
          <w:marLeft w:val="547"/>
          <w:marRight w:val="0"/>
          <w:marTop w:val="0"/>
          <w:marBottom w:val="0"/>
          <w:divBdr>
            <w:top w:val="none" w:sz="0" w:space="0" w:color="auto"/>
            <w:left w:val="none" w:sz="0" w:space="0" w:color="auto"/>
            <w:bottom w:val="none" w:sz="0" w:space="0" w:color="auto"/>
            <w:right w:val="none" w:sz="0" w:space="0" w:color="auto"/>
          </w:divBdr>
        </w:div>
        <w:div w:id="1925409713">
          <w:marLeft w:val="547"/>
          <w:marRight w:val="0"/>
          <w:marTop w:val="0"/>
          <w:marBottom w:val="0"/>
          <w:divBdr>
            <w:top w:val="none" w:sz="0" w:space="0" w:color="auto"/>
            <w:left w:val="none" w:sz="0" w:space="0" w:color="auto"/>
            <w:bottom w:val="none" w:sz="0" w:space="0" w:color="auto"/>
            <w:right w:val="none" w:sz="0" w:space="0" w:color="auto"/>
          </w:divBdr>
        </w:div>
      </w:divsChild>
    </w:div>
    <w:div w:id="489061184">
      <w:bodyDiv w:val="1"/>
      <w:marLeft w:val="0"/>
      <w:marRight w:val="0"/>
      <w:marTop w:val="0"/>
      <w:marBottom w:val="0"/>
      <w:divBdr>
        <w:top w:val="none" w:sz="0" w:space="0" w:color="auto"/>
        <w:left w:val="none" w:sz="0" w:space="0" w:color="auto"/>
        <w:bottom w:val="none" w:sz="0" w:space="0" w:color="auto"/>
        <w:right w:val="none" w:sz="0" w:space="0" w:color="auto"/>
      </w:divBdr>
    </w:div>
    <w:div w:id="491798974">
      <w:bodyDiv w:val="1"/>
      <w:marLeft w:val="0"/>
      <w:marRight w:val="0"/>
      <w:marTop w:val="0"/>
      <w:marBottom w:val="0"/>
      <w:divBdr>
        <w:top w:val="none" w:sz="0" w:space="0" w:color="auto"/>
        <w:left w:val="none" w:sz="0" w:space="0" w:color="auto"/>
        <w:bottom w:val="none" w:sz="0" w:space="0" w:color="auto"/>
        <w:right w:val="none" w:sz="0" w:space="0" w:color="auto"/>
      </w:divBdr>
    </w:div>
    <w:div w:id="498736455">
      <w:bodyDiv w:val="1"/>
      <w:marLeft w:val="0"/>
      <w:marRight w:val="0"/>
      <w:marTop w:val="0"/>
      <w:marBottom w:val="0"/>
      <w:divBdr>
        <w:top w:val="none" w:sz="0" w:space="0" w:color="auto"/>
        <w:left w:val="none" w:sz="0" w:space="0" w:color="auto"/>
        <w:bottom w:val="none" w:sz="0" w:space="0" w:color="auto"/>
        <w:right w:val="none" w:sz="0" w:space="0" w:color="auto"/>
      </w:divBdr>
    </w:div>
    <w:div w:id="500971960">
      <w:bodyDiv w:val="1"/>
      <w:marLeft w:val="0"/>
      <w:marRight w:val="0"/>
      <w:marTop w:val="0"/>
      <w:marBottom w:val="0"/>
      <w:divBdr>
        <w:top w:val="none" w:sz="0" w:space="0" w:color="auto"/>
        <w:left w:val="none" w:sz="0" w:space="0" w:color="auto"/>
        <w:bottom w:val="none" w:sz="0" w:space="0" w:color="auto"/>
        <w:right w:val="none" w:sz="0" w:space="0" w:color="auto"/>
      </w:divBdr>
    </w:div>
    <w:div w:id="501093447">
      <w:bodyDiv w:val="1"/>
      <w:marLeft w:val="0"/>
      <w:marRight w:val="0"/>
      <w:marTop w:val="0"/>
      <w:marBottom w:val="0"/>
      <w:divBdr>
        <w:top w:val="none" w:sz="0" w:space="0" w:color="auto"/>
        <w:left w:val="none" w:sz="0" w:space="0" w:color="auto"/>
        <w:bottom w:val="none" w:sz="0" w:space="0" w:color="auto"/>
        <w:right w:val="none" w:sz="0" w:space="0" w:color="auto"/>
      </w:divBdr>
    </w:div>
    <w:div w:id="650603685">
      <w:bodyDiv w:val="1"/>
      <w:marLeft w:val="0"/>
      <w:marRight w:val="0"/>
      <w:marTop w:val="0"/>
      <w:marBottom w:val="0"/>
      <w:divBdr>
        <w:top w:val="none" w:sz="0" w:space="0" w:color="auto"/>
        <w:left w:val="none" w:sz="0" w:space="0" w:color="auto"/>
        <w:bottom w:val="none" w:sz="0" w:space="0" w:color="auto"/>
        <w:right w:val="none" w:sz="0" w:space="0" w:color="auto"/>
      </w:divBdr>
      <w:divsChild>
        <w:div w:id="159581658">
          <w:marLeft w:val="547"/>
          <w:marRight w:val="0"/>
          <w:marTop w:val="0"/>
          <w:marBottom w:val="0"/>
          <w:divBdr>
            <w:top w:val="none" w:sz="0" w:space="0" w:color="auto"/>
            <w:left w:val="none" w:sz="0" w:space="0" w:color="auto"/>
            <w:bottom w:val="none" w:sz="0" w:space="0" w:color="auto"/>
            <w:right w:val="none" w:sz="0" w:space="0" w:color="auto"/>
          </w:divBdr>
        </w:div>
        <w:div w:id="485323795">
          <w:marLeft w:val="547"/>
          <w:marRight w:val="0"/>
          <w:marTop w:val="0"/>
          <w:marBottom w:val="0"/>
          <w:divBdr>
            <w:top w:val="none" w:sz="0" w:space="0" w:color="auto"/>
            <w:left w:val="none" w:sz="0" w:space="0" w:color="auto"/>
            <w:bottom w:val="none" w:sz="0" w:space="0" w:color="auto"/>
            <w:right w:val="none" w:sz="0" w:space="0" w:color="auto"/>
          </w:divBdr>
        </w:div>
        <w:div w:id="751123011">
          <w:marLeft w:val="547"/>
          <w:marRight w:val="0"/>
          <w:marTop w:val="0"/>
          <w:marBottom w:val="0"/>
          <w:divBdr>
            <w:top w:val="none" w:sz="0" w:space="0" w:color="auto"/>
            <w:left w:val="none" w:sz="0" w:space="0" w:color="auto"/>
            <w:bottom w:val="none" w:sz="0" w:space="0" w:color="auto"/>
            <w:right w:val="none" w:sz="0" w:space="0" w:color="auto"/>
          </w:divBdr>
        </w:div>
        <w:div w:id="811094085">
          <w:marLeft w:val="547"/>
          <w:marRight w:val="0"/>
          <w:marTop w:val="0"/>
          <w:marBottom w:val="0"/>
          <w:divBdr>
            <w:top w:val="none" w:sz="0" w:space="0" w:color="auto"/>
            <w:left w:val="none" w:sz="0" w:space="0" w:color="auto"/>
            <w:bottom w:val="none" w:sz="0" w:space="0" w:color="auto"/>
            <w:right w:val="none" w:sz="0" w:space="0" w:color="auto"/>
          </w:divBdr>
        </w:div>
        <w:div w:id="846990052">
          <w:marLeft w:val="547"/>
          <w:marRight w:val="0"/>
          <w:marTop w:val="0"/>
          <w:marBottom w:val="0"/>
          <w:divBdr>
            <w:top w:val="none" w:sz="0" w:space="0" w:color="auto"/>
            <w:left w:val="none" w:sz="0" w:space="0" w:color="auto"/>
            <w:bottom w:val="none" w:sz="0" w:space="0" w:color="auto"/>
            <w:right w:val="none" w:sz="0" w:space="0" w:color="auto"/>
          </w:divBdr>
        </w:div>
        <w:div w:id="1491213959">
          <w:marLeft w:val="547"/>
          <w:marRight w:val="0"/>
          <w:marTop w:val="0"/>
          <w:marBottom w:val="0"/>
          <w:divBdr>
            <w:top w:val="none" w:sz="0" w:space="0" w:color="auto"/>
            <w:left w:val="none" w:sz="0" w:space="0" w:color="auto"/>
            <w:bottom w:val="none" w:sz="0" w:space="0" w:color="auto"/>
            <w:right w:val="none" w:sz="0" w:space="0" w:color="auto"/>
          </w:divBdr>
        </w:div>
      </w:divsChild>
    </w:div>
    <w:div w:id="653531828">
      <w:bodyDiv w:val="1"/>
      <w:marLeft w:val="0"/>
      <w:marRight w:val="0"/>
      <w:marTop w:val="0"/>
      <w:marBottom w:val="0"/>
      <w:divBdr>
        <w:top w:val="none" w:sz="0" w:space="0" w:color="auto"/>
        <w:left w:val="none" w:sz="0" w:space="0" w:color="auto"/>
        <w:bottom w:val="none" w:sz="0" w:space="0" w:color="auto"/>
        <w:right w:val="none" w:sz="0" w:space="0" w:color="auto"/>
      </w:divBdr>
    </w:div>
    <w:div w:id="703100268">
      <w:bodyDiv w:val="1"/>
      <w:marLeft w:val="0"/>
      <w:marRight w:val="0"/>
      <w:marTop w:val="0"/>
      <w:marBottom w:val="0"/>
      <w:divBdr>
        <w:top w:val="none" w:sz="0" w:space="0" w:color="auto"/>
        <w:left w:val="none" w:sz="0" w:space="0" w:color="auto"/>
        <w:bottom w:val="none" w:sz="0" w:space="0" w:color="auto"/>
        <w:right w:val="none" w:sz="0" w:space="0" w:color="auto"/>
      </w:divBdr>
    </w:div>
    <w:div w:id="707487342">
      <w:bodyDiv w:val="1"/>
      <w:marLeft w:val="0"/>
      <w:marRight w:val="0"/>
      <w:marTop w:val="0"/>
      <w:marBottom w:val="0"/>
      <w:divBdr>
        <w:top w:val="none" w:sz="0" w:space="0" w:color="auto"/>
        <w:left w:val="none" w:sz="0" w:space="0" w:color="auto"/>
        <w:bottom w:val="none" w:sz="0" w:space="0" w:color="auto"/>
        <w:right w:val="none" w:sz="0" w:space="0" w:color="auto"/>
      </w:divBdr>
    </w:div>
    <w:div w:id="709109142">
      <w:bodyDiv w:val="1"/>
      <w:marLeft w:val="0"/>
      <w:marRight w:val="0"/>
      <w:marTop w:val="0"/>
      <w:marBottom w:val="0"/>
      <w:divBdr>
        <w:top w:val="none" w:sz="0" w:space="0" w:color="auto"/>
        <w:left w:val="none" w:sz="0" w:space="0" w:color="auto"/>
        <w:bottom w:val="none" w:sz="0" w:space="0" w:color="auto"/>
        <w:right w:val="none" w:sz="0" w:space="0" w:color="auto"/>
      </w:divBdr>
      <w:divsChild>
        <w:div w:id="745422383">
          <w:marLeft w:val="547"/>
          <w:marRight w:val="0"/>
          <w:marTop w:val="0"/>
          <w:marBottom w:val="0"/>
          <w:divBdr>
            <w:top w:val="none" w:sz="0" w:space="0" w:color="auto"/>
            <w:left w:val="none" w:sz="0" w:space="0" w:color="auto"/>
            <w:bottom w:val="none" w:sz="0" w:space="0" w:color="auto"/>
            <w:right w:val="none" w:sz="0" w:space="0" w:color="auto"/>
          </w:divBdr>
        </w:div>
        <w:div w:id="1025836063">
          <w:marLeft w:val="547"/>
          <w:marRight w:val="0"/>
          <w:marTop w:val="0"/>
          <w:marBottom w:val="0"/>
          <w:divBdr>
            <w:top w:val="none" w:sz="0" w:space="0" w:color="auto"/>
            <w:left w:val="none" w:sz="0" w:space="0" w:color="auto"/>
            <w:bottom w:val="none" w:sz="0" w:space="0" w:color="auto"/>
            <w:right w:val="none" w:sz="0" w:space="0" w:color="auto"/>
          </w:divBdr>
        </w:div>
        <w:div w:id="2064984264">
          <w:marLeft w:val="547"/>
          <w:marRight w:val="0"/>
          <w:marTop w:val="0"/>
          <w:marBottom w:val="0"/>
          <w:divBdr>
            <w:top w:val="none" w:sz="0" w:space="0" w:color="auto"/>
            <w:left w:val="none" w:sz="0" w:space="0" w:color="auto"/>
            <w:bottom w:val="none" w:sz="0" w:space="0" w:color="auto"/>
            <w:right w:val="none" w:sz="0" w:space="0" w:color="auto"/>
          </w:divBdr>
        </w:div>
      </w:divsChild>
    </w:div>
    <w:div w:id="728651716">
      <w:bodyDiv w:val="1"/>
      <w:marLeft w:val="0"/>
      <w:marRight w:val="0"/>
      <w:marTop w:val="0"/>
      <w:marBottom w:val="0"/>
      <w:divBdr>
        <w:top w:val="none" w:sz="0" w:space="0" w:color="auto"/>
        <w:left w:val="none" w:sz="0" w:space="0" w:color="auto"/>
        <w:bottom w:val="none" w:sz="0" w:space="0" w:color="auto"/>
        <w:right w:val="none" w:sz="0" w:space="0" w:color="auto"/>
      </w:divBdr>
    </w:div>
    <w:div w:id="740057313">
      <w:bodyDiv w:val="1"/>
      <w:marLeft w:val="0"/>
      <w:marRight w:val="0"/>
      <w:marTop w:val="0"/>
      <w:marBottom w:val="0"/>
      <w:divBdr>
        <w:top w:val="none" w:sz="0" w:space="0" w:color="auto"/>
        <w:left w:val="none" w:sz="0" w:space="0" w:color="auto"/>
        <w:bottom w:val="none" w:sz="0" w:space="0" w:color="auto"/>
        <w:right w:val="none" w:sz="0" w:space="0" w:color="auto"/>
      </w:divBdr>
    </w:div>
    <w:div w:id="757334352">
      <w:bodyDiv w:val="1"/>
      <w:marLeft w:val="0"/>
      <w:marRight w:val="0"/>
      <w:marTop w:val="0"/>
      <w:marBottom w:val="0"/>
      <w:divBdr>
        <w:top w:val="none" w:sz="0" w:space="0" w:color="auto"/>
        <w:left w:val="none" w:sz="0" w:space="0" w:color="auto"/>
        <w:bottom w:val="none" w:sz="0" w:space="0" w:color="auto"/>
        <w:right w:val="none" w:sz="0" w:space="0" w:color="auto"/>
      </w:divBdr>
    </w:div>
    <w:div w:id="776100344">
      <w:bodyDiv w:val="1"/>
      <w:marLeft w:val="0"/>
      <w:marRight w:val="0"/>
      <w:marTop w:val="0"/>
      <w:marBottom w:val="0"/>
      <w:divBdr>
        <w:top w:val="none" w:sz="0" w:space="0" w:color="auto"/>
        <w:left w:val="none" w:sz="0" w:space="0" w:color="auto"/>
        <w:bottom w:val="none" w:sz="0" w:space="0" w:color="auto"/>
        <w:right w:val="none" w:sz="0" w:space="0" w:color="auto"/>
      </w:divBdr>
    </w:div>
    <w:div w:id="780565595">
      <w:bodyDiv w:val="1"/>
      <w:marLeft w:val="0"/>
      <w:marRight w:val="0"/>
      <w:marTop w:val="0"/>
      <w:marBottom w:val="0"/>
      <w:divBdr>
        <w:top w:val="none" w:sz="0" w:space="0" w:color="auto"/>
        <w:left w:val="none" w:sz="0" w:space="0" w:color="auto"/>
        <w:bottom w:val="none" w:sz="0" w:space="0" w:color="auto"/>
        <w:right w:val="none" w:sz="0" w:space="0" w:color="auto"/>
      </w:divBdr>
      <w:divsChild>
        <w:div w:id="460730849">
          <w:marLeft w:val="0"/>
          <w:marRight w:val="0"/>
          <w:marTop w:val="0"/>
          <w:marBottom w:val="0"/>
          <w:divBdr>
            <w:top w:val="none" w:sz="0" w:space="0" w:color="auto"/>
            <w:left w:val="none" w:sz="0" w:space="0" w:color="auto"/>
            <w:bottom w:val="none" w:sz="0" w:space="0" w:color="auto"/>
            <w:right w:val="none" w:sz="0" w:space="0" w:color="auto"/>
          </w:divBdr>
        </w:div>
      </w:divsChild>
    </w:div>
    <w:div w:id="781727816">
      <w:bodyDiv w:val="1"/>
      <w:marLeft w:val="0"/>
      <w:marRight w:val="0"/>
      <w:marTop w:val="0"/>
      <w:marBottom w:val="0"/>
      <w:divBdr>
        <w:top w:val="none" w:sz="0" w:space="0" w:color="auto"/>
        <w:left w:val="none" w:sz="0" w:space="0" w:color="auto"/>
        <w:bottom w:val="none" w:sz="0" w:space="0" w:color="auto"/>
        <w:right w:val="none" w:sz="0" w:space="0" w:color="auto"/>
      </w:divBdr>
    </w:div>
    <w:div w:id="786584489">
      <w:bodyDiv w:val="1"/>
      <w:marLeft w:val="0"/>
      <w:marRight w:val="0"/>
      <w:marTop w:val="0"/>
      <w:marBottom w:val="0"/>
      <w:divBdr>
        <w:top w:val="none" w:sz="0" w:space="0" w:color="auto"/>
        <w:left w:val="none" w:sz="0" w:space="0" w:color="auto"/>
        <w:bottom w:val="none" w:sz="0" w:space="0" w:color="auto"/>
        <w:right w:val="none" w:sz="0" w:space="0" w:color="auto"/>
      </w:divBdr>
    </w:div>
    <w:div w:id="788007597">
      <w:bodyDiv w:val="1"/>
      <w:marLeft w:val="0"/>
      <w:marRight w:val="0"/>
      <w:marTop w:val="0"/>
      <w:marBottom w:val="0"/>
      <w:divBdr>
        <w:top w:val="none" w:sz="0" w:space="0" w:color="auto"/>
        <w:left w:val="none" w:sz="0" w:space="0" w:color="auto"/>
        <w:bottom w:val="none" w:sz="0" w:space="0" w:color="auto"/>
        <w:right w:val="none" w:sz="0" w:space="0" w:color="auto"/>
      </w:divBdr>
    </w:div>
    <w:div w:id="815923932">
      <w:bodyDiv w:val="1"/>
      <w:marLeft w:val="0"/>
      <w:marRight w:val="0"/>
      <w:marTop w:val="0"/>
      <w:marBottom w:val="0"/>
      <w:divBdr>
        <w:top w:val="none" w:sz="0" w:space="0" w:color="auto"/>
        <w:left w:val="none" w:sz="0" w:space="0" w:color="auto"/>
        <w:bottom w:val="none" w:sz="0" w:space="0" w:color="auto"/>
        <w:right w:val="none" w:sz="0" w:space="0" w:color="auto"/>
      </w:divBdr>
      <w:divsChild>
        <w:div w:id="439185073">
          <w:marLeft w:val="274"/>
          <w:marRight w:val="0"/>
          <w:marTop w:val="0"/>
          <w:marBottom w:val="0"/>
          <w:divBdr>
            <w:top w:val="none" w:sz="0" w:space="0" w:color="auto"/>
            <w:left w:val="none" w:sz="0" w:space="0" w:color="auto"/>
            <w:bottom w:val="none" w:sz="0" w:space="0" w:color="auto"/>
            <w:right w:val="none" w:sz="0" w:space="0" w:color="auto"/>
          </w:divBdr>
        </w:div>
        <w:div w:id="506602049">
          <w:marLeft w:val="274"/>
          <w:marRight w:val="0"/>
          <w:marTop w:val="0"/>
          <w:marBottom w:val="0"/>
          <w:divBdr>
            <w:top w:val="none" w:sz="0" w:space="0" w:color="auto"/>
            <w:left w:val="none" w:sz="0" w:space="0" w:color="auto"/>
            <w:bottom w:val="none" w:sz="0" w:space="0" w:color="auto"/>
            <w:right w:val="none" w:sz="0" w:space="0" w:color="auto"/>
          </w:divBdr>
        </w:div>
        <w:div w:id="695933132">
          <w:marLeft w:val="274"/>
          <w:marRight w:val="0"/>
          <w:marTop w:val="0"/>
          <w:marBottom w:val="0"/>
          <w:divBdr>
            <w:top w:val="none" w:sz="0" w:space="0" w:color="auto"/>
            <w:left w:val="none" w:sz="0" w:space="0" w:color="auto"/>
            <w:bottom w:val="none" w:sz="0" w:space="0" w:color="auto"/>
            <w:right w:val="none" w:sz="0" w:space="0" w:color="auto"/>
          </w:divBdr>
        </w:div>
      </w:divsChild>
    </w:div>
    <w:div w:id="823084161">
      <w:bodyDiv w:val="1"/>
      <w:marLeft w:val="0"/>
      <w:marRight w:val="0"/>
      <w:marTop w:val="0"/>
      <w:marBottom w:val="0"/>
      <w:divBdr>
        <w:top w:val="none" w:sz="0" w:space="0" w:color="auto"/>
        <w:left w:val="none" w:sz="0" w:space="0" w:color="auto"/>
        <w:bottom w:val="none" w:sz="0" w:space="0" w:color="auto"/>
        <w:right w:val="none" w:sz="0" w:space="0" w:color="auto"/>
      </w:divBdr>
      <w:divsChild>
        <w:div w:id="289631159">
          <w:marLeft w:val="734"/>
          <w:marRight w:val="0"/>
          <w:marTop w:val="80"/>
          <w:marBottom w:val="0"/>
          <w:divBdr>
            <w:top w:val="none" w:sz="0" w:space="0" w:color="auto"/>
            <w:left w:val="none" w:sz="0" w:space="0" w:color="auto"/>
            <w:bottom w:val="none" w:sz="0" w:space="0" w:color="auto"/>
            <w:right w:val="none" w:sz="0" w:space="0" w:color="auto"/>
          </w:divBdr>
        </w:div>
        <w:div w:id="531725540">
          <w:marLeft w:val="734"/>
          <w:marRight w:val="0"/>
          <w:marTop w:val="80"/>
          <w:marBottom w:val="0"/>
          <w:divBdr>
            <w:top w:val="none" w:sz="0" w:space="0" w:color="auto"/>
            <w:left w:val="none" w:sz="0" w:space="0" w:color="auto"/>
            <w:bottom w:val="none" w:sz="0" w:space="0" w:color="auto"/>
            <w:right w:val="none" w:sz="0" w:space="0" w:color="auto"/>
          </w:divBdr>
        </w:div>
        <w:div w:id="1906256446">
          <w:marLeft w:val="734"/>
          <w:marRight w:val="0"/>
          <w:marTop w:val="80"/>
          <w:marBottom w:val="0"/>
          <w:divBdr>
            <w:top w:val="none" w:sz="0" w:space="0" w:color="auto"/>
            <w:left w:val="none" w:sz="0" w:space="0" w:color="auto"/>
            <w:bottom w:val="none" w:sz="0" w:space="0" w:color="auto"/>
            <w:right w:val="none" w:sz="0" w:space="0" w:color="auto"/>
          </w:divBdr>
        </w:div>
        <w:div w:id="2122534358">
          <w:marLeft w:val="734"/>
          <w:marRight w:val="0"/>
          <w:marTop w:val="80"/>
          <w:marBottom w:val="0"/>
          <w:divBdr>
            <w:top w:val="none" w:sz="0" w:space="0" w:color="auto"/>
            <w:left w:val="none" w:sz="0" w:space="0" w:color="auto"/>
            <w:bottom w:val="none" w:sz="0" w:space="0" w:color="auto"/>
            <w:right w:val="none" w:sz="0" w:space="0" w:color="auto"/>
          </w:divBdr>
        </w:div>
      </w:divsChild>
    </w:div>
    <w:div w:id="836845509">
      <w:bodyDiv w:val="1"/>
      <w:marLeft w:val="0"/>
      <w:marRight w:val="0"/>
      <w:marTop w:val="0"/>
      <w:marBottom w:val="0"/>
      <w:divBdr>
        <w:top w:val="none" w:sz="0" w:space="0" w:color="auto"/>
        <w:left w:val="none" w:sz="0" w:space="0" w:color="auto"/>
        <w:bottom w:val="none" w:sz="0" w:space="0" w:color="auto"/>
        <w:right w:val="none" w:sz="0" w:space="0" w:color="auto"/>
      </w:divBdr>
    </w:div>
    <w:div w:id="844367078">
      <w:bodyDiv w:val="1"/>
      <w:marLeft w:val="0"/>
      <w:marRight w:val="0"/>
      <w:marTop w:val="0"/>
      <w:marBottom w:val="0"/>
      <w:divBdr>
        <w:top w:val="none" w:sz="0" w:space="0" w:color="auto"/>
        <w:left w:val="none" w:sz="0" w:space="0" w:color="auto"/>
        <w:bottom w:val="none" w:sz="0" w:space="0" w:color="auto"/>
        <w:right w:val="none" w:sz="0" w:space="0" w:color="auto"/>
      </w:divBdr>
      <w:divsChild>
        <w:div w:id="1188562429">
          <w:marLeft w:val="274"/>
          <w:marRight w:val="0"/>
          <w:marTop w:val="0"/>
          <w:marBottom w:val="0"/>
          <w:divBdr>
            <w:top w:val="none" w:sz="0" w:space="0" w:color="auto"/>
            <w:left w:val="none" w:sz="0" w:space="0" w:color="auto"/>
            <w:bottom w:val="none" w:sz="0" w:space="0" w:color="auto"/>
            <w:right w:val="none" w:sz="0" w:space="0" w:color="auto"/>
          </w:divBdr>
        </w:div>
        <w:div w:id="1432623767">
          <w:marLeft w:val="274"/>
          <w:marRight w:val="0"/>
          <w:marTop w:val="0"/>
          <w:marBottom w:val="0"/>
          <w:divBdr>
            <w:top w:val="none" w:sz="0" w:space="0" w:color="auto"/>
            <w:left w:val="none" w:sz="0" w:space="0" w:color="auto"/>
            <w:bottom w:val="none" w:sz="0" w:space="0" w:color="auto"/>
            <w:right w:val="none" w:sz="0" w:space="0" w:color="auto"/>
          </w:divBdr>
        </w:div>
        <w:div w:id="2133284855">
          <w:marLeft w:val="274"/>
          <w:marRight w:val="0"/>
          <w:marTop w:val="0"/>
          <w:marBottom w:val="0"/>
          <w:divBdr>
            <w:top w:val="none" w:sz="0" w:space="0" w:color="auto"/>
            <w:left w:val="none" w:sz="0" w:space="0" w:color="auto"/>
            <w:bottom w:val="none" w:sz="0" w:space="0" w:color="auto"/>
            <w:right w:val="none" w:sz="0" w:space="0" w:color="auto"/>
          </w:divBdr>
        </w:div>
      </w:divsChild>
    </w:div>
    <w:div w:id="865293133">
      <w:bodyDiv w:val="1"/>
      <w:marLeft w:val="0"/>
      <w:marRight w:val="0"/>
      <w:marTop w:val="0"/>
      <w:marBottom w:val="0"/>
      <w:divBdr>
        <w:top w:val="none" w:sz="0" w:space="0" w:color="auto"/>
        <w:left w:val="none" w:sz="0" w:space="0" w:color="auto"/>
        <w:bottom w:val="none" w:sz="0" w:space="0" w:color="auto"/>
        <w:right w:val="none" w:sz="0" w:space="0" w:color="auto"/>
      </w:divBdr>
      <w:divsChild>
        <w:div w:id="708452426">
          <w:marLeft w:val="547"/>
          <w:marRight w:val="0"/>
          <w:marTop w:val="0"/>
          <w:marBottom w:val="0"/>
          <w:divBdr>
            <w:top w:val="none" w:sz="0" w:space="0" w:color="auto"/>
            <w:left w:val="none" w:sz="0" w:space="0" w:color="auto"/>
            <w:bottom w:val="none" w:sz="0" w:space="0" w:color="auto"/>
            <w:right w:val="none" w:sz="0" w:space="0" w:color="auto"/>
          </w:divBdr>
        </w:div>
        <w:div w:id="787771693">
          <w:marLeft w:val="547"/>
          <w:marRight w:val="0"/>
          <w:marTop w:val="0"/>
          <w:marBottom w:val="0"/>
          <w:divBdr>
            <w:top w:val="none" w:sz="0" w:space="0" w:color="auto"/>
            <w:left w:val="none" w:sz="0" w:space="0" w:color="auto"/>
            <w:bottom w:val="none" w:sz="0" w:space="0" w:color="auto"/>
            <w:right w:val="none" w:sz="0" w:space="0" w:color="auto"/>
          </w:divBdr>
        </w:div>
        <w:div w:id="859902868">
          <w:marLeft w:val="547"/>
          <w:marRight w:val="0"/>
          <w:marTop w:val="0"/>
          <w:marBottom w:val="0"/>
          <w:divBdr>
            <w:top w:val="none" w:sz="0" w:space="0" w:color="auto"/>
            <w:left w:val="none" w:sz="0" w:space="0" w:color="auto"/>
            <w:bottom w:val="none" w:sz="0" w:space="0" w:color="auto"/>
            <w:right w:val="none" w:sz="0" w:space="0" w:color="auto"/>
          </w:divBdr>
        </w:div>
      </w:divsChild>
    </w:div>
    <w:div w:id="878473313">
      <w:bodyDiv w:val="1"/>
      <w:marLeft w:val="0"/>
      <w:marRight w:val="0"/>
      <w:marTop w:val="0"/>
      <w:marBottom w:val="0"/>
      <w:divBdr>
        <w:top w:val="none" w:sz="0" w:space="0" w:color="auto"/>
        <w:left w:val="none" w:sz="0" w:space="0" w:color="auto"/>
        <w:bottom w:val="none" w:sz="0" w:space="0" w:color="auto"/>
        <w:right w:val="none" w:sz="0" w:space="0" w:color="auto"/>
      </w:divBdr>
    </w:div>
    <w:div w:id="892274879">
      <w:bodyDiv w:val="1"/>
      <w:marLeft w:val="0"/>
      <w:marRight w:val="0"/>
      <w:marTop w:val="0"/>
      <w:marBottom w:val="0"/>
      <w:divBdr>
        <w:top w:val="none" w:sz="0" w:space="0" w:color="auto"/>
        <w:left w:val="none" w:sz="0" w:space="0" w:color="auto"/>
        <w:bottom w:val="none" w:sz="0" w:space="0" w:color="auto"/>
        <w:right w:val="none" w:sz="0" w:space="0" w:color="auto"/>
      </w:divBdr>
    </w:div>
    <w:div w:id="900335445">
      <w:bodyDiv w:val="1"/>
      <w:marLeft w:val="0"/>
      <w:marRight w:val="0"/>
      <w:marTop w:val="0"/>
      <w:marBottom w:val="0"/>
      <w:divBdr>
        <w:top w:val="none" w:sz="0" w:space="0" w:color="auto"/>
        <w:left w:val="none" w:sz="0" w:space="0" w:color="auto"/>
        <w:bottom w:val="none" w:sz="0" w:space="0" w:color="auto"/>
        <w:right w:val="none" w:sz="0" w:space="0" w:color="auto"/>
      </w:divBdr>
    </w:div>
    <w:div w:id="908883572">
      <w:bodyDiv w:val="1"/>
      <w:marLeft w:val="0"/>
      <w:marRight w:val="0"/>
      <w:marTop w:val="0"/>
      <w:marBottom w:val="0"/>
      <w:divBdr>
        <w:top w:val="none" w:sz="0" w:space="0" w:color="auto"/>
        <w:left w:val="none" w:sz="0" w:space="0" w:color="auto"/>
        <w:bottom w:val="none" w:sz="0" w:space="0" w:color="auto"/>
        <w:right w:val="none" w:sz="0" w:space="0" w:color="auto"/>
      </w:divBdr>
    </w:div>
    <w:div w:id="913009027">
      <w:bodyDiv w:val="1"/>
      <w:marLeft w:val="0"/>
      <w:marRight w:val="0"/>
      <w:marTop w:val="0"/>
      <w:marBottom w:val="0"/>
      <w:divBdr>
        <w:top w:val="none" w:sz="0" w:space="0" w:color="auto"/>
        <w:left w:val="none" w:sz="0" w:space="0" w:color="auto"/>
        <w:bottom w:val="none" w:sz="0" w:space="0" w:color="auto"/>
        <w:right w:val="none" w:sz="0" w:space="0" w:color="auto"/>
      </w:divBdr>
    </w:div>
    <w:div w:id="914971633">
      <w:bodyDiv w:val="1"/>
      <w:marLeft w:val="0"/>
      <w:marRight w:val="0"/>
      <w:marTop w:val="0"/>
      <w:marBottom w:val="0"/>
      <w:divBdr>
        <w:top w:val="none" w:sz="0" w:space="0" w:color="auto"/>
        <w:left w:val="none" w:sz="0" w:space="0" w:color="auto"/>
        <w:bottom w:val="none" w:sz="0" w:space="0" w:color="auto"/>
        <w:right w:val="none" w:sz="0" w:space="0" w:color="auto"/>
      </w:divBdr>
    </w:div>
    <w:div w:id="924076203">
      <w:bodyDiv w:val="1"/>
      <w:marLeft w:val="0"/>
      <w:marRight w:val="0"/>
      <w:marTop w:val="0"/>
      <w:marBottom w:val="0"/>
      <w:divBdr>
        <w:top w:val="none" w:sz="0" w:space="0" w:color="auto"/>
        <w:left w:val="none" w:sz="0" w:space="0" w:color="auto"/>
        <w:bottom w:val="none" w:sz="0" w:space="0" w:color="auto"/>
        <w:right w:val="none" w:sz="0" w:space="0" w:color="auto"/>
      </w:divBdr>
    </w:div>
    <w:div w:id="933172342">
      <w:bodyDiv w:val="1"/>
      <w:marLeft w:val="0"/>
      <w:marRight w:val="0"/>
      <w:marTop w:val="0"/>
      <w:marBottom w:val="0"/>
      <w:divBdr>
        <w:top w:val="none" w:sz="0" w:space="0" w:color="auto"/>
        <w:left w:val="none" w:sz="0" w:space="0" w:color="auto"/>
        <w:bottom w:val="none" w:sz="0" w:space="0" w:color="auto"/>
        <w:right w:val="none" w:sz="0" w:space="0" w:color="auto"/>
      </w:divBdr>
    </w:div>
    <w:div w:id="943224004">
      <w:bodyDiv w:val="1"/>
      <w:marLeft w:val="0"/>
      <w:marRight w:val="0"/>
      <w:marTop w:val="0"/>
      <w:marBottom w:val="0"/>
      <w:divBdr>
        <w:top w:val="none" w:sz="0" w:space="0" w:color="auto"/>
        <w:left w:val="none" w:sz="0" w:space="0" w:color="auto"/>
        <w:bottom w:val="none" w:sz="0" w:space="0" w:color="auto"/>
        <w:right w:val="none" w:sz="0" w:space="0" w:color="auto"/>
      </w:divBdr>
    </w:div>
    <w:div w:id="955674149">
      <w:bodyDiv w:val="1"/>
      <w:marLeft w:val="0"/>
      <w:marRight w:val="0"/>
      <w:marTop w:val="0"/>
      <w:marBottom w:val="0"/>
      <w:divBdr>
        <w:top w:val="none" w:sz="0" w:space="0" w:color="auto"/>
        <w:left w:val="none" w:sz="0" w:space="0" w:color="auto"/>
        <w:bottom w:val="none" w:sz="0" w:space="0" w:color="auto"/>
        <w:right w:val="none" w:sz="0" w:space="0" w:color="auto"/>
      </w:divBdr>
      <w:divsChild>
        <w:div w:id="952713788">
          <w:marLeft w:val="547"/>
          <w:marRight w:val="0"/>
          <w:marTop w:val="0"/>
          <w:marBottom w:val="0"/>
          <w:divBdr>
            <w:top w:val="none" w:sz="0" w:space="0" w:color="auto"/>
            <w:left w:val="none" w:sz="0" w:space="0" w:color="auto"/>
            <w:bottom w:val="none" w:sz="0" w:space="0" w:color="auto"/>
            <w:right w:val="none" w:sz="0" w:space="0" w:color="auto"/>
          </w:divBdr>
        </w:div>
        <w:div w:id="1536624337">
          <w:marLeft w:val="547"/>
          <w:marRight w:val="0"/>
          <w:marTop w:val="0"/>
          <w:marBottom w:val="0"/>
          <w:divBdr>
            <w:top w:val="none" w:sz="0" w:space="0" w:color="auto"/>
            <w:left w:val="none" w:sz="0" w:space="0" w:color="auto"/>
            <w:bottom w:val="none" w:sz="0" w:space="0" w:color="auto"/>
            <w:right w:val="none" w:sz="0" w:space="0" w:color="auto"/>
          </w:divBdr>
        </w:div>
        <w:div w:id="1545604435">
          <w:marLeft w:val="547"/>
          <w:marRight w:val="0"/>
          <w:marTop w:val="0"/>
          <w:marBottom w:val="0"/>
          <w:divBdr>
            <w:top w:val="none" w:sz="0" w:space="0" w:color="auto"/>
            <w:left w:val="none" w:sz="0" w:space="0" w:color="auto"/>
            <w:bottom w:val="none" w:sz="0" w:space="0" w:color="auto"/>
            <w:right w:val="none" w:sz="0" w:space="0" w:color="auto"/>
          </w:divBdr>
        </w:div>
        <w:div w:id="1734423189">
          <w:marLeft w:val="547"/>
          <w:marRight w:val="0"/>
          <w:marTop w:val="0"/>
          <w:marBottom w:val="0"/>
          <w:divBdr>
            <w:top w:val="none" w:sz="0" w:space="0" w:color="auto"/>
            <w:left w:val="none" w:sz="0" w:space="0" w:color="auto"/>
            <w:bottom w:val="none" w:sz="0" w:space="0" w:color="auto"/>
            <w:right w:val="none" w:sz="0" w:space="0" w:color="auto"/>
          </w:divBdr>
        </w:div>
      </w:divsChild>
    </w:div>
    <w:div w:id="971254045">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8705366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26251556">
      <w:bodyDiv w:val="1"/>
      <w:marLeft w:val="0"/>
      <w:marRight w:val="0"/>
      <w:marTop w:val="0"/>
      <w:marBottom w:val="0"/>
      <w:divBdr>
        <w:top w:val="none" w:sz="0" w:space="0" w:color="auto"/>
        <w:left w:val="none" w:sz="0" w:space="0" w:color="auto"/>
        <w:bottom w:val="none" w:sz="0" w:space="0" w:color="auto"/>
        <w:right w:val="none" w:sz="0" w:space="0" w:color="auto"/>
      </w:divBdr>
      <w:divsChild>
        <w:div w:id="353307727">
          <w:marLeft w:val="547"/>
          <w:marRight w:val="0"/>
          <w:marTop w:val="0"/>
          <w:marBottom w:val="0"/>
          <w:divBdr>
            <w:top w:val="none" w:sz="0" w:space="0" w:color="auto"/>
            <w:left w:val="none" w:sz="0" w:space="0" w:color="auto"/>
            <w:bottom w:val="none" w:sz="0" w:space="0" w:color="auto"/>
            <w:right w:val="none" w:sz="0" w:space="0" w:color="auto"/>
          </w:divBdr>
        </w:div>
        <w:div w:id="575019929">
          <w:marLeft w:val="547"/>
          <w:marRight w:val="0"/>
          <w:marTop w:val="0"/>
          <w:marBottom w:val="0"/>
          <w:divBdr>
            <w:top w:val="none" w:sz="0" w:space="0" w:color="auto"/>
            <w:left w:val="none" w:sz="0" w:space="0" w:color="auto"/>
            <w:bottom w:val="none" w:sz="0" w:space="0" w:color="auto"/>
            <w:right w:val="none" w:sz="0" w:space="0" w:color="auto"/>
          </w:divBdr>
        </w:div>
        <w:div w:id="1047069647">
          <w:marLeft w:val="547"/>
          <w:marRight w:val="0"/>
          <w:marTop w:val="0"/>
          <w:marBottom w:val="0"/>
          <w:divBdr>
            <w:top w:val="none" w:sz="0" w:space="0" w:color="auto"/>
            <w:left w:val="none" w:sz="0" w:space="0" w:color="auto"/>
            <w:bottom w:val="none" w:sz="0" w:space="0" w:color="auto"/>
            <w:right w:val="none" w:sz="0" w:space="0" w:color="auto"/>
          </w:divBdr>
        </w:div>
        <w:div w:id="1310749100">
          <w:marLeft w:val="547"/>
          <w:marRight w:val="0"/>
          <w:marTop w:val="0"/>
          <w:marBottom w:val="0"/>
          <w:divBdr>
            <w:top w:val="none" w:sz="0" w:space="0" w:color="auto"/>
            <w:left w:val="none" w:sz="0" w:space="0" w:color="auto"/>
            <w:bottom w:val="none" w:sz="0" w:space="0" w:color="auto"/>
            <w:right w:val="none" w:sz="0" w:space="0" w:color="auto"/>
          </w:divBdr>
        </w:div>
        <w:div w:id="1722972893">
          <w:marLeft w:val="547"/>
          <w:marRight w:val="0"/>
          <w:marTop w:val="0"/>
          <w:marBottom w:val="0"/>
          <w:divBdr>
            <w:top w:val="none" w:sz="0" w:space="0" w:color="auto"/>
            <w:left w:val="none" w:sz="0" w:space="0" w:color="auto"/>
            <w:bottom w:val="none" w:sz="0" w:space="0" w:color="auto"/>
            <w:right w:val="none" w:sz="0" w:space="0" w:color="auto"/>
          </w:divBdr>
        </w:div>
        <w:div w:id="1787700593">
          <w:marLeft w:val="547"/>
          <w:marRight w:val="0"/>
          <w:marTop w:val="0"/>
          <w:marBottom w:val="0"/>
          <w:divBdr>
            <w:top w:val="none" w:sz="0" w:space="0" w:color="auto"/>
            <w:left w:val="none" w:sz="0" w:space="0" w:color="auto"/>
            <w:bottom w:val="none" w:sz="0" w:space="0" w:color="auto"/>
            <w:right w:val="none" w:sz="0" w:space="0" w:color="auto"/>
          </w:divBdr>
        </w:div>
      </w:divsChild>
    </w:div>
    <w:div w:id="1037968971">
      <w:bodyDiv w:val="1"/>
      <w:marLeft w:val="0"/>
      <w:marRight w:val="0"/>
      <w:marTop w:val="0"/>
      <w:marBottom w:val="0"/>
      <w:divBdr>
        <w:top w:val="none" w:sz="0" w:space="0" w:color="auto"/>
        <w:left w:val="none" w:sz="0" w:space="0" w:color="auto"/>
        <w:bottom w:val="none" w:sz="0" w:space="0" w:color="auto"/>
        <w:right w:val="none" w:sz="0" w:space="0" w:color="auto"/>
      </w:divBdr>
    </w:div>
    <w:div w:id="1070007314">
      <w:bodyDiv w:val="1"/>
      <w:marLeft w:val="0"/>
      <w:marRight w:val="0"/>
      <w:marTop w:val="0"/>
      <w:marBottom w:val="0"/>
      <w:divBdr>
        <w:top w:val="none" w:sz="0" w:space="0" w:color="auto"/>
        <w:left w:val="none" w:sz="0" w:space="0" w:color="auto"/>
        <w:bottom w:val="none" w:sz="0" w:space="0" w:color="auto"/>
        <w:right w:val="none" w:sz="0" w:space="0" w:color="auto"/>
      </w:divBdr>
    </w:div>
    <w:div w:id="1073893780">
      <w:bodyDiv w:val="1"/>
      <w:marLeft w:val="0"/>
      <w:marRight w:val="0"/>
      <w:marTop w:val="0"/>
      <w:marBottom w:val="0"/>
      <w:divBdr>
        <w:top w:val="none" w:sz="0" w:space="0" w:color="auto"/>
        <w:left w:val="none" w:sz="0" w:space="0" w:color="auto"/>
        <w:bottom w:val="none" w:sz="0" w:space="0" w:color="auto"/>
        <w:right w:val="none" w:sz="0" w:space="0" w:color="auto"/>
      </w:divBdr>
    </w:div>
    <w:div w:id="1077902797">
      <w:bodyDiv w:val="1"/>
      <w:marLeft w:val="0"/>
      <w:marRight w:val="0"/>
      <w:marTop w:val="0"/>
      <w:marBottom w:val="0"/>
      <w:divBdr>
        <w:top w:val="none" w:sz="0" w:space="0" w:color="auto"/>
        <w:left w:val="none" w:sz="0" w:space="0" w:color="auto"/>
        <w:bottom w:val="none" w:sz="0" w:space="0" w:color="auto"/>
        <w:right w:val="none" w:sz="0" w:space="0" w:color="auto"/>
      </w:divBdr>
    </w:div>
    <w:div w:id="1088188135">
      <w:bodyDiv w:val="1"/>
      <w:marLeft w:val="0"/>
      <w:marRight w:val="0"/>
      <w:marTop w:val="0"/>
      <w:marBottom w:val="0"/>
      <w:divBdr>
        <w:top w:val="none" w:sz="0" w:space="0" w:color="auto"/>
        <w:left w:val="none" w:sz="0" w:space="0" w:color="auto"/>
        <w:bottom w:val="none" w:sz="0" w:space="0" w:color="auto"/>
        <w:right w:val="none" w:sz="0" w:space="0" w:color="auto"/>
      </w:divBdr>
    </w:div>
    <w:div w:id="1128402256">
      <w:bodyDiv w:val="1"/>
      <w:marLeft w:val="0"/>
      <w:marRight w:val="0"/>
      <w:marTop w:val="0"/>
      <w:marBottom w:val="0"/>
      <w:divBdr>
        <w:top w:val="none" w:sz="0" w:space="0" w:color="auto"/>
        <w:left w:val="none" w:sz="0" w:space="0" w:color="auto"/>
        <w:bottom w:val="none" w:sz="0" w:space="0" w:color="auto"/>
        <w:right w:val="none" w:sz="0" w:space="0" w:color="auto"/>
      </w:divBdr>
    </w:div>
    <w:div w:id="1157112531">
      <w:bodyDiv w:val="1"/>
      <w:marLeft w:val="0"/>
      <w:marRight w:val="0"/>
      <w:marTop w:val="0"/>
      <w:marBottom w:val="0"/>
      <w:divBdr>
        <w:top w:val="none" w:sz="0" w:space="0" w:color="auto"/>
        <w:left w:val="none" w:sz="0" w:space="0" w:color="auto"/>
        <w:bottom w:val="none" w:sz="0" w:space="0" w:color="auto"/>
        <w:right w:val="none" w:sz="0" w:space="0" w:color="auto"/>
      </w:divBdr>
    </w:div>
    <w:div w:id="1167019464">
      <w:bodyDiv w:val="1"/>
      <w:marLeft w:val="0"/>
      <w:marRight w:val="0"/>
      <w:marTop w:val="0"/>
      <w:marBottom w:val="0"/>
      <w:divBdr>
        <w:top w:val="none" w:sz="0" w:space="0" w:color="auto"/>
        <w:left w:val="none" w:sz="0" w:space="0" w:color="auto"/>
        <w:bottom w:val="none" w:sz="0" w:space="0" w:color="auto"/>
        <w:right w:val="none" w:sz="0" w:space="0" w:color="auto"/>
      </w:divBdr>
    </w:div>
    <w:div w:id="1193804738">
      <w:bodyDiv w:val="1"/>
      <w:marLeft w:val="0"/>
      <w:marRight w:val="0"/>
      <w:marTop w:val="0"/>
      <w:marBottom w:val="0"/>
      <w:divBdr>
        <w:top w:val="none" w:sz="0" w:space="0" w:color="auto"/>
        <w:left w:val="none" w:sz="0" w:space="0" w:color="auto"/>
        <w:bottom w:val="none" w:sz="0" w:space="0" w:color="auto"/>
        <w:right w:val="none" w:sz="0" w:space="0" w:color="auto"/>
      </w:divBdr>
    </w:div>
    <w:div w:id="1199583046">
      <w:bodyDiv w:val="1"/>
      <w:marLeft w:val="0"/>
      <w:marRight w:val="0"/>
      <w:marTop w:val="0"/>
      <w:marBottom w:val="0"/>
      <w:divBdr>
        <w:top w:val="none" w:sz="0" w:space="0" w:color="auto"/>
        <w:left w:val="none" w:sz="0" w:space="0" w:color="auto"/>
        <w:bottom w:val="none" w:sz="0" w:space="0" w:color="auto"/>
        <w:right w:val="none" w:sz="0" w:space="0" w:color="auto"/>
      </w:divBdr>
      <w:divsChild>
        <w:div w:id="25957971">
          <w:marLeft w:val="274"/>
          <w:marRight w:val="0"/>
          <w:marTop w:val="0"/>
          <w:marBottom w:val="0"/>
          <w:divBdr>
            <w:top w:val="none" w:sz="0" w:space="0" w:color="auto"/>
            <w:left w:val="none" w:sz="0" w:space="0" w:color="auto"/>
            <w:bottom w:val="none" w:sz="0" w:space="0" w:color="auto"/>
            <w:right w:val="none" w:sz="0" w:space="0" w:color="auto"/>
          </w:divBdr>
        </w:div>
        <w:div w:id="1470903319">
          <w:marLeft w:val="274"/>
          <w:marRight w:val="0"/>
          <w:marTop w:val="0"/>
          <w:marBottom w:val="0"/>
          <w:divBdr>
            <w:top w:val="none" w:sz="0" w:space="0" w:color="auto"/>
            <w:left w:val="none" w:sz="0" w:space="0" w:color="auto"/>
            <w:bottom w:val="none" w:sz="0" w:space="0" w:color="auto"/>
            <w:right w:val="none" w:sz="0" w:space="0" w:color="auto"/>
          </w:divBdr>
        </w:div>
        <w:div w:id="1715882721">
          <w:marLeft w:val="274"/>
          <w:marRight w:val="0"/>
          <w:marTop w:val="0"/>
          <w:marBottom w:val="0"/>
          <w:divBdr>
            <w:top w:val="none" w:sz="0" w:space="0" w:color="auto"/>
            <w:left w:val="none" w:sz="0" w:space="0" w:color="auto"/>
            <w:bottom w:val="none" w:sz="0" w:space="0" w:color="auto"/>
            <w:right w:val="none" w:sz="0" w:space="0" w:color="auto"/>
          </w:divBdr>
        </w:div>
      </w:divsChild>
    </w:div>
    <w:div w:id="1204635621">
      <w:bodyDiv w:val="1"/>
      <w:marLeft w:val="0"/>
      <w:marRight w:val="0"/>
      <w:marTop w:val="0"/>
      <w:marBottom w:val="0"/>
      <w:divBdr>
        <w:top w:val="none" w:sz="0" w:space="0" w:color="auto"/>
        <w:left w:val="none" w:sz="0" w:space="0" w:color="auto"/>
        <w:bottom w:val="none" w:sz="0" w:space="0" w:color="auto"/>
        <w:right w:val="none" w:sz="0" w:space="0" w:color="auto"/>
      </w:divBdr>
    </w:div>
    <w:div w:id="1213997762">
      <w:bodyDiv w:val="1"/>
      <w:marLeft w:val="0"/>
      <w:marRight w:val="0"/>
      <w:marTop w:val="0"/>
      <w:marBottom w:val="0"/>
      <w:divBdr>
        <w:top w:val="none" w:sz="0" w:space="0" w:color="auto"/>
        <w:left w:val="none" w:sz="0" w:space="0" w:color="auto"/>
        <w:bottom w:val="none" w:sz="0" w:space="0" w:color="auto"/>
        <w:right w:val="none" w:sz="0" w:space="0" w:color="auto"/>
      </w:divBdr>
    </w:div>
    <w:div w:id="1230461579">
      <w:bodyDiv w:val="1"/>
      <w:marLeft w:val="0"/>
      <w:marRight w:val="0"/>
      <w:marTop w:val="0"/>
      <w:marBottom w:val="0"/>
      <w:divBdr>
        <w:top w:val="none" w:sz="0" w:space="0" w:color="auto"/>
        <w:left w:val="none" w:sz="0" w:space="0" w:color="auto"/>
        <w:bottom w:val="none" w:sz="0" w:space="0" w:color="auto"/>
        <w:right w:val="none" w:sz="0" w:space="0" w:color="auto"/>
      </w:divBdr>
    </w:div>
    <w:div w:id="1240825242">
      <w:bodyDiv w:val="1"/>
      <w:marLeft w:val="0"/>
      <w:marRight w:val="0"/>
      <w:marTop w:val="0"/>
      <w:marBottom w:val="0"/>
      <w:divBdr>
        <w:top w:val="none" w:sz="0" w:space="0" w:color="auto"/>
        <w:left w:val="none" w:sz="0" w:space="0" w:color="auto"/>
        <w:bottom w:val="none" w:sz="0" w:space="0" w:color="auto"/>
        <w:right w:val="none" w:sz="0" w:space="0" w:color="auto"/>
      </w:divBdr>
    </w:div>
    <w:div w:id="1253050355">
      <w:bodyDiv w:val="1"/>
      <w:marLeft w:val="0"/>
      <w:marRight w:val="0"/>
      <w:marTop w:val="0"/>
      <w:marBottom w:val="0"/>
      <w:divBdr>
        <w:top w:val="none" w:sz="0" w:space="0" w:color="auto"/>
        <w:left w:val="none" w:sz="0" w:space="0" w:color="auto"/>
        <w:bottom w:val="none" w:sz="0" w:space="0" w:color="auto"/>
        <w:right w:val="none" w:sz="0" w:space="0" w:color="auto"/>
      </w:divBdr>
      <w:divsChild>
        <w:div w:id="1125738498">
          <w:marLeft w:val="0"/>
          <w:marRight w:val="0"/>
          <w:marTop w:val="0"/>
          <w:marBottom w:val="0"/>
          <w:divBdr>
            <w:top w:val="none" w:sz="0" w:space="0" w:color="auto"/>
            <w:left w:val="none" w:sz="0" w:space="0" w:color="auto"/>
            <w:bottom w:val="none" w:sz="0" w:space="0" w:color="auto"/>
            <w:right w:val="none" w:sz="0" w:space="0" w:color="auto"/>
          </w:divBdr>
        </w:div>
      </w:divsChild>
    </w:div>
    <w:div w:id="1275483700">
      <w:bodyDiv w:val="1"/>
      <w:marLeft w:val="0"/>
      <w:marRight w:val="0"/>
      <w:marTop w:val="0"/>
      <w:marBottom w:val="0"/>
      <w:divBdr>
        <w:top w:val="none" w:sz="0" w:space="0" w:color="auto"/>
        <w:left w:val="none" w:sz="0" w:space="0" w:color="auto"/>
        <w:bottom w:val="none" w:sz="0" w:space="0" w:color="auto"/>
        <w:right w:val="none" w:sz="0" w:space="0" w:color="auto"/>
      </w:divBdr>
    </w:div>
    <w:div w:id="1276910960">
      <w:bodyDiv w:val="1"/>
      <w:marLeft w:val="0"/>
      <w:marRight w:val="0"/>
      <w:marTop w:val="0"/>
      <w:marBottom w:val="0"/>
      <w:divBdr>
        <w:top w:val="none" w:sz="0" w:space="0" w:color="auto"/>
        <w:left w:val="none" w:sz="0" w:space="0" w:color="auto"/>
        <w:bottom w:val="none" w:sz="0" w:space="0" w:color="auto"/>
        <w:right w:val="none" w:sz="0" w:space="0" w:color="auto"/>
      </w:divBdr>
    </w:div>
    <w:div w:id="1282416150">
      <w:bodyDiv w:val="1"/>
      <w:marLeft w:val="0"/>
      <w:marRight w:val="0"/>
      <w:marTop w:val="0"/>
      <w:marBottom w:val="0"/>
      <w:divBdr>
        <w:top w:val="none" w:sz="0" w:space="0" w:color="auto"/>
        <w:left w:val="none" w:sz="0" w:space="0" w:color="auto"/>
        <w:bottom w:val="none" w:sz="0" w:space="0" w:color="auto"/>
        <w:right w:val="none" w:sz="0" w:space="0" w:color="auto"/>
      </w:divBdr>
    </w:div>
    <w:div w:id="1317804244">
      <w:bodyDiv w:val="1"/>
      <w:marLeft w:val="0"/>
      <w:marRight w:val="0"/>
      <w:marTop w:val="0"/>
      <w:marBottom w:val="0"/>
      <w:divBdr>
        <w:top w:val="none" w:sz="0" w:space="0" w:color="auto"/>
        <w:left w:val="none" w:sz="0" w:space="0" w:color="auto"/>
        <w:bottom w:val="none" w:sz="0" w:space="0" w:color="auto"/>
        <w:right w:val="none" w:sz="0" w:space="0" w:color="auto"/>
      </w:divBdr>
    </w:div>
    <w:div w:id="1321881982">
      <w:bodyDiv w:val="1"/>
      <w:marLeft w:val="0"/>
      <w:marRight w:val="0"/>
      <w:marTop w:val="0"/>
      <w:marBottom w:val="0"/>
      <w:divBdr>
        <w:top w:val="none" w:sz="0" w:space="0" w:color="auto"/>
        <w:left w:val="none" w:sz="0" w:space="0" w:color="auto"/>
        <w:bottom w:val="none" w:sz="0" w:space="0" w:color="auto"/>
        <w:right w:val="none" w:sz="0" w:space="0" w:color="auto"/>
      </w:divBdr>
      <w:divsChild>
        <w:div w:id="860508651">
          <w:marLeft w:val="274"/>
          <w:marRight w:val="0"/>
          <w:marTop w:val="0"/>
          <w:marBottom w:val="0"/>
          <w:divBdr>
            <w:top w:val="none" w:sz="0" w:space="0" w:color="auto"/>
            <w:left w:val="none" w:sz="0" w:space="0" w:color="auto"/>
            <w:bottom w:val="none" w:sz="0" w:space="0" w:color="auto"/>
            <w:right w:val="none" w:sz="0" w:space="0" w:color="auto"/>
          </w:divBdr>
        </w:div>
        <w:div w:id="1756169940">
          <w:marLeft w:val="274"/>
          <w:marRight w:val="0"/>
          <w:marTop w:val="0"/>
          <w:marBottom w:val="0"/>
          <w:divBdr>
            <w:top w:val="none" w:sz="0" w:space="0" w:color="auto"/>
            <w:left w:val="none" w:sz="0" w:space="0" w:color="auto"/>
            <w:bottom w:val="none" w:sz="0" w:space="0" w:color="auto"/>
            <w:right w:val="none" w:sz="0" w:space="0" w:color="auto"/>
          </w:divBdr>
        </w:div>
        <w:div w:id="1819955319">
          <w:marLeft w:val="274"/>
          <w:marRight w:val="0"/>
          <w:marTop w:val="0"/>
          <w:marBottom w:val="0"/>
          <w:divBdr>
            <w:top w:val="none" w:sz="0" w:space="0" w:color="auto"/>
            <w:left w:val="none" w:sz="0" w:space="0" w:color="auto"/>
            <w:bottom w:val="none" w:sz="0" w:space="0" w:color="auto"/>
            <w:right w:val="none" w:sz="0" w:space="0" w:color="auto"/>
          </w:divBdr>
        </w:div>
      </w:divsChild>
    </w:div>
    <w:div w:id="1326936094">
      <w:bodyDiv w:val="1"/>
      <w:marLeft w:val="0"/>
      <w:marRight w:val="0"/>
      <w:marTop w:val="0"/>
      <w:marBottom w:val="0"/>
      <w:divBdr>
        <w:top w:val="none" w:sz="0" w:space="0" w:color="auto"/>
        <w:left w:val="none" w:sz="0" w:space="0" w:color="auto"/>
        <w:bottom w:val="none" w:sz="0" w:space="0" w:color="auto"/>
        <w:right w:val="none" w:sz="0" w:space="0" w:color="auto"/>
      </w:divBdr>
    </w:div>
    <w:div w:id="1344168001">
      <w:bodyDiv w:val="1"/>
      <w:marLeft w:val="0"/>
      <w:marRight w:val="0"/>
      <w:marTop w:val="0"/>
      <w:marBottom w:val="0"/>
      <w:divBdr>
        <w:top w:val="none" w:sz="0" w:space="0" w:color="auto"/>
        <w:left w:val="none" w:sz="0" w:space="0" w:color="auto"/>
        <w:bottom w:val="none" w:sz="0" w:space="0" w:color="auto"/>
        <w:right w:val="none" w:sz="0" w:space="0" w:color="auto"/>
      </w:divBdr>
      <w:divsChild>
        <w:div w:id="194200283">
          <w:marLeft w:val="274"/>
          <w:marRight w:val="0"/>
          <w:marTop w:val="0"/>
          <w:marBottom w:val="0"/>
          <w:divBdr>
            <w:top w:val="none" w:sz="0" w:space="0" w:color="auto"/>
            <w:left w:val="none" w:sz="0" w:space="0" w:color="auto"/>
            <w:bottom w:val="none" w:sz="0" w:space="0" w:color="auto"/>
            <w:right w:val="none" w:sz="0" w:space="0" w:color="auto"/>
          </w:divBdr>
        </w:div>
        <w:div w:id="1017658114">
          <w:marLeft w:val="274"/>
          <w:marRight w:val="0"/>
          <w:marTop w:val="0"/>
          <w:marBottom w:val="0"/>
          <w:divBdr>
            <w:top w:val="none" w:sz="0" w:space="0" w:color="auto"/>
            <w:left w:val="none" w:sz="0" w:space="0" w:color="auto"/>
            <w:bottom w:val="none" w:sz="0" w:space="0" w:color="auto"/>
            <w:right w:val="none" w:sz="0" w:space="0" w:color="auto"/>
          </w:divBdr>
        </w:div>
        <w:div w:id="1863321743">
          <w:marLeft w:val="274"/>
          <w:marRight w:val="0"/>
          <w:marTop w:val="0"/>
          <w:marBottom w:val="0"/>
          <w:divBdr>
            <w:top w:val="none" w:sz="0" w:space="0" w:color="auto"/>
            <w:left w:val="none" w:sz="0" w:space="0" w:color="auto"/>
            <w:bottom w:val="none" w:sz="0" w:space="0" w:color="auto"/>
            <w:right w:val="none" w:sz="0" w:space="0" w:color="auto"/>
          </w:divBdr>
        </w:div>
      </w:divsChild>
    </w:div>
    <w:div w:id="1363902038">
      <w:bodyDiv w:val="1"/>
      <w:marLeft w:val="0"/>
      <w:marRight w:val="0"/>
      <w:marTop w:val="0"/>
      <w:marBottom w:val="0"/>
      <w:divBdr>
        <w:top w:val="none" w:sz="0" w:space="0" w:color="auto"/>
        <w:left w:val="none" w:sz="0" w:space="0" w:color="auto"/>
        <w:bottom w:val="none" w:sz="0" w:space="0" w:color="auto"/>
        <w:right w:val="none" w:sz="0" w:space="0" w:color="auto"/>
      </w:divBdr>
    </w:div>
    <w:div w:id="1365521870">
      <w:bodyDiv w:val="1"/>
      <w:marLeft w:val="0"/>
      <w:marRight w:val="0"/>
      <w:marTop w:val="0"/>
      <w:marBottom w:val="0"/>
      <w:divBdr>
        <w:top w:val="none" w:sz="0" w:space="0" w:color="auto"/>
        <w:left w:val="none" w:sz="0" w:space="0" w:color="auto"/>
        <w:bottom w:val="none" w:sz="0" w:space="0" w:color="auto"/>
        <w:right w:val="none" w:sz="0" w:space="0" w:color="auto"/>
      </w:divBdr>
    </w:div>
    <w:div w:id="1367026731">
      <w:bodyDiv w:val="1"/>
      <w:marLeft w:val="0"/>
      <w:marRight w:val="0"/>
      <w:marTop w:val="0"/>
      <w:marBottom w:val="0"/>
      <w:divBdr>
        <w:top w:val="none" w:sz="0" w:space="0" w:color="auto"/>
        <w:left w:val="none" w:sz="0" w:space="0" w:color="auto"/>
        <w:bottom w:val="none" w:sz="0" w:space="0" w:color="auto"/>
        <w:right w:val="none" w:sz="0" w:space="0" w:color="auto"/>
      </w:divBdr>
    </w:div>
    <w:div w:id="1376613718">
      <w:bodyDiv w:val="1"/>
      <w:marLeft w:val="0"/>
      <w:marRight w:val="0"/>
      <w:marTop w:val="0"/>
      <w:marBottom w:val="0"/>
      <w:divBdr>
        <w:top w:val="none" w:sz="0" w:space="0" w:color="auto"/>
        <w:left w:val="none" w:sz="0" w:space="0" w:color="auto"/>
        <w:bottom w:val="none" w:sz="0" w:space="0" w:color="auto"/>
        <w:right w:val="none" w:sz="0" w:space="0" w:color="auto"/>
      </w:divBdr>
    </w:div>
    <w:div w:id="1386877001">
      <w:bodyDiv w:val="1"/>
      <w:marLeft w:val="0"/>
      <w:marRight w:val="0"/>
      <w:marTop w:val="0"/>
      <w:marBottom w:val="0"/>
      <w:divBdr>
        <w:top w:val="none" w:sz="0" w:space="0" w:color="auto"/>
        <w:left w:val="none" w:sz="0" w:space="0" w:color="auto"/>
        <w:bottom w:val="none" w:sz="0" w:space="0" w:color="auto"/>
        <w:right w:val="none" w:sz="0" w:space="0" w:color="auto"/>
      </w:divBdr>
    </w:div>
    <w:div w:id="1395199846">
      <w:bodyDiv w:val="1"/>
      <w:marLeft w:val="0"/>
      <w:marRight w:val="0"/>
      <w:marTop w:val="0"/>
      <w:marBottom w:val="0"/>
      <w:divBdr>
        <w:top w:val="none" w:sz="0" w:space="0" w:color="auto"/>
        <w:left w:val="none" w:sz="0" w:space="0" w:color="auto"/>
        <w:bottom w:val="none" w:sz="0" w:space="0" w:color="auto"/>
        <w:right w:val="none" w:sz="0" w:space="0" w:color="auto"/>
      </w:divBdr>
      <w:divsChild>
        <w:div w:id="1182865598">
          <w:marLeft w:val="274"/>
          <w:marRight w:val="0"/>
          <w:marTop w:val="0"/>
          <w:marBottom w:val="0"/>
          <w:divBdr>
            <w:top w:val="none" w:sz="0" w:space="0" w:color="auto"/>
            <w:left w:val="none" w:sz="0" w:space="0" w:color="auto"/>
            <w:bottom w:val="none" w:sz="0" w:space="0" w:color="auto"/>
            <w:right w:val="none" w:sz="0" w:space="0" w:color="auto"/>
          </w:divBdr>
        </w:div>
        <w:div w:id="1268000660">
          <w:marLeft w:val="274"/>
          <w:marRight w:val="0"/>
          <w:marTop w:val="0"/>
          <w:marBottom w:val="0"/>
          <w:divBdr>
            <w:top w:val="none" w:sz="0" w:space="0" w:color="auto"/>
            <w:left w:val="none" w:sz="0" w:space="0" w:color="auto"/>
            <w:bottom w:val="none" w:sz="0" w:space="0" w:color="auto"/>
            <w:right w:val="none" w:sz="0" w:space="0" w:color="auto"/>
          </w:divBdr>
        </w:div>
        <w:div w:id="1663461558">
          <w:marLeft w:val="274"/>
          <w:marRight w:val="0"/>
          <w:marTop w:val="0"/>
          <w:marBottom w:val="0"/>
          <w:divBdr>
            <w:top w:val="none" w:sz="0" w:space="0" w:color="auto"/>
            <w:left w:val="none" w:sz="0" w:space="0" w:color="auto"/>
            <w:bottom w:val="none" w:sz="0" w:space="0" w:color="auto"/>
            <w:right w:val="none" w:sz="0" w:space="0" w:color="auto"/>
          </w:divBdr>
        </w:div>
      </w:divsChild>
    </w:div>
    <w:div w:id="1403718363">
      <w:bodyDiv w:val="1"/>
      <w:marLeft w:val="0"/>
      <w:marRight w:val="0"/>
      <w:marTop w:val="0"/>
      <w:marBottom w:val="0"/>
      <w:divBdr>
        <w:top w:val="none" w:sz="0" w:space="0" w:color="auto"/>
        <w:left w:val="none" w:sz="0" w:space="0" w:color="auto"/>
        <w:bottom w:val="none" w:sz="0" w:space="0" w:color="auto"/>
        <w:right w:val="none" w:sz="0" w:space="0" w:color="auto"/>
      </w:divBdr>
    </w:div>
    <w:div w:id="1419518508">
      <w:bodyDiv w:val="1"/>
      <w:marLeft w:val="0"/>
      <w:marRight w:val="0"/>
      <w:marTop w:val="0"/>
      <w:marBottom w:val="0"/>
      <w:divBdr>
        <w:top w:val="none" w:sz="0" w:space="0" w:color="auto"/>
        <w:left w:val="none" w:sz="0" w:space="0" w:color="auto"/>
        <w:bottom w:val="none" w:sz="0" w:space="0" w:color="auto"/>
        <w:right w:val="none" w:sz="0" w:space="0" w:color="auto"/>
      </w:divBdr>
    </w:div>
    <w:div w:id="1422217762">
      <w:bodyDiv w:val="1"/>
      <w:marLeft w:val="0"/>
      <w:marRight w:val="0"/>
      <w:marTop w:val="0"/>
      <w:marBottom w:val="0"/>
      <w:divBdr>
        <w:top w:val="none" w:sz="0" w:space="0" w:color="auto"/>
        <w:left w:val="none" w:sz="0" w:space="0" w:color="auto"/>
        <w:bottom w:val="none" w:sz="0" w:space="0" w:color="auto"/>
        <w:right w:val="none" w:sz="0" w:space="0" w:color="auto"/>
      </w:divBdr>
    </w:div>
    <w:div w:id="1424837723">
      <w:bodyDiv w:val="1"/>
      <w:marLeft w:val="0"/>
      <w:marRight w:val="0"/>
      <w:marTop w:val="0"/>
      <w:marBottom w:val="0"/>
      <w:divBdr>
        <w:top w:val="none" w:sz="0" w:space="0" w:color="auto"/>
        <w:left w:val="none" w:sz="0" w:space="0" w:color="auto"/>
        <w:bottom w:val="none" w:sz="0" w:space="0" w:color="auto"/>
        <w:right w:val="none" w:sz="0" w:space="0" w:color="auto"/>
      </w:divBdr>
    </w:div>
    <w:div w:id="1431046278">
      <w:bodyDiv w:val="1"/>
      <w:marLeft w:val="0"/>
      <w:marRight w:val="0"/>
      <w:marTop w:val="0"/>
      <w:marBottom w:val="0"/>
      <w:divBdr>
        <w:top w:val="none" w:sz="0" w:space="0" w:color="auto"/>
        <w:left w:val="none" w:sz="0" w:space="0" w:color="auto"/>
        <w:bottom w:val="none" w:sz="0" w:space="0" w:color="auto"/>
        <w:right w:val="none" w:sz="0" w:space="0" w:color="auto"/>
      </w:divBdr>
    </w:div>
    <w:div w:id="1436756265">
      <w:bodyDiv w:val="1"/>
      <w:marLeft w:val="0"/>
      <w:marRight w:val="0"/>
      <w:marTop w:val="0"/>
      <w:marBottom w:val="0"/>
      <w:divBdr>
        <w:top w:val="none" w:sz="0" w:space="0" w:color="auto"/>
        <w:left w:val="none" w:sz="0" w:space="0" w:color="auto"/>
        <w:bottom w:val="none" w:sz="0" w:space="0" w:color="auto"/>
        <w:right w:val="none" w:sz="0" w:space="0" w:color="auto"/>
      </w:divBdr>
      <w:divsChild>
        <w:div w:id="813641503">
          <w:marLeft w:val="274"/>
          <w:marRight w:val="0"/>
          <w:marTop w:val="0"/>
          <w:marBottom w:val="0"/>
          <w:divBdr>
            <w:top w:val="none" w:sz="0" w:space="0" w:color="auto"/>
            <w:left w:val="none" w:sz="0" w:space="0" w:color="auto"/>
            <w:bottom w:val="none" w:sz="0" w:space="0" w:color="auto"/>
            <w:right w:val="none" w:sz="0" w:space="0" w:color="auto"/>
          </w:divBdr>
        </w:div>
        <w:div w:id="953244242">
          <w:marLeft w:val="274"/>
          <w:marRight w:val="0"/>
          <w:marTop w:val="0"/>
          <w:marBottom w:val="0"/>
          <w:divBdr>
            <w:top w:val="none" w:sz="0" w:space="0" w:color="auto"/>
            <w:left w:val="none" w:sz="0" w:space="0" w:color="auto"/>
            <w:bottom w:val="none" w:sz="0" w:space="0" w:color="auto"/>
            <w:right w:val="none" w:sz="0" w:space="0" w:color="auto"/>
          </w:divBdr>
        </w:div>
        <w:div w:id="1942060052">
          <w:marLeft w:val="274"/>
          <w:marRight w:val="0"/>
          <w:marTop w:val="0"/>
          <w:marBottom w:val="0"/>
          <w:divBdr>
            <w:top w:val="none" w:sz="0" w:space="0" w:color="auto"/>
            <w:left w:val="none" w:sz="0" w:space="0" w:color="auto"/>
            <w:bottom w:val="none" w:sz="0" w:space="0" w:color="auto"/>
            <w:right w:val="none" w:sz="0" w:space="0" w:color="auto"/>
          </w:divBdr>
        </w:div>
      </w:divsChild>
    </w:div>
    <w:div w:id="1451973824">
      <w:bodyDiv w:val="1"/>
      <w:marLeft w:val="0"/>
      <w:marRight w:val="0"/>
      <w:marTop w:val="0"/>
      <w:marBottom w:val="0"/>
      <w:divBdr>
        <w:top w:val="none" w:sz="0" w:space="0" w:color="auto"/>
        <w:left w:val="none" w:sz="0" w:space="0" w:color="auto"/>
        <w:bottom w:val="none" w:sz="0" w:space="0" w:color="auto"/>
        <w:right w:val="none" w:sz="0" w:space="0" w:color="auto"/>
      </w:divBdr>
    </w:div>
    <w:div w:id="1478571968">
      <w:bodyDiv w:val="1"/>
      <w:marLeft w:val="0"/>
      <w:marRight w:val="0"/>
      <w:marTop w:val="0"/>
      <w:marBottom w:val="0"/>
      <w:divBdr>
        <w:top w:val="none" w:sz="0" w:space="0" w:color="auto"/>
        <w:left w:val="none" w:sz="0" w:space="0" w:color="auto"/>
        <w:bottom w:val="none" w:sz="0" w:space="0" w:color="auto"/>
        <w:right w:val="none" w:sz="0" w:space="0" w:color="auto"/>
      </w:divBdr>
      <w:divsChild>
        <w:div w:id="535241849">
          <w:marLeft w:val="0"/>
          <w:marRight w:val="0"/>
          <w:marTop w:val="0"/>
          <w:marBottom w:val="0"/>
          <w:divBdr>
            <w:top w:val="none" w:sz="0" w:space="0" w:color="auto"/>
            <w:left w:val="none" w:sz="0" w:space="0" w:color="auto"/>
            <w:bottom w:val="none" w:sz="0" w:space="0" w:color="auto"/>
            <w:right w:val="none" w:sz="0" w:space="0" w:color="auto"/>
          </w:divBdr>
          <w:divsChild>
            <w:div w:id="9646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23637">
      <w:bodyDiv w:val="1"/>
      <w:marLeft w:val="0"/>
      <w:marRight w:val="0"/>
      <w:marTop w:val="0"/>
      <w:marBottom w:val="0"/>
      <w:divBdr>
        <w:top w:val="none" w:sz="0" w:space="0" w:color="auto"/>
        <w:left w:val="none" w:sz="0" w:space="0" w:color="auto"/>
        <w:bottom w:val="none" w:sz="0" w:space="0" w:color="auto"/>
        <w:right w:val="none" w:sz="0" w:space="0" w:color="auto"/>
      </w:divBdr>
      <w:divsChild>
        <w:div w:id="61417484">
          <w:marLeft w:val="274"/>
          <w:marRight w:val="0"/>
          <w:marTop w:val="0"/>
          <w:marBottom w:val="0"/>
          <w:divBdr>
            <w:top w:val="none" w:sz="0" w:space="0" w:color="auto"/>
            <w:left w:val="none" w:sz="0" w:space="0" w:color="auto"/>
            <w:bottom w:val="none" w:sz="0" w:space="0" w:color="auto"/>
            <w:right w:val="none" w:sz="0" w:space="0" w:color="auto"/>
          </w:divBdr>
        </w:div>
        <w:div w:id="276984652">
          <w:marLeft w:val="274"/>
          <w:marRight w:val="0"/>
          <w:marTop w:val="0"/>
          <w:marBottom w:val="0"/>
          <w:divBdr>
            <w:top w:val="none" w:sz="0" w:space="0" w:color="auto"/>
            <w:left w:val="none" w:sz="0" w:space="0" w:color="auto"/>
            <w:bottom w:val="none" w:sz="0" w:space="0" w:color="auto"/>
            <w:right w:val="none" w:sz="0" w:space="0" w:color="auto"/>
          </w:divBdr>
        </w:div>
        <w:div w:id="432290775">
          <w:marLeft w:val="274"/>
          <w:marRight w:val="0"/>
          <w:marTop w:val="0"/>
          <w:marBottom w:val="0"/>
          <w:divBdr>
            <w:top w:val="none" w:sz="0" w:space="0" w:color="auto"/>
            <w:left w:val="none" w:sz="0" w:space="0" w:color="auto"/>
            <w:bottom w:val="none" w:sz="0" w:space="0" w:color="auto"/>
            <w:right w:val="none" w:sz="0" w:space="0" w:color="auto"/>
          </w:divBdr>
        </w:div>
      </w:divsChild>
    </w:div>
    <w:div w:id="1498956131">
      <w:bodyDiv w:val="1"/>
      <w:marLeft w:val="0"/>
      <w:marRight w:val="0"/>
      <w:marTop w:val="0"/>
      <w:marBottom w:val="0"/>
      <w:divBdr>
        <w:top w:val="none" w:sz="0" w:space="0" w:color="auto"/>
        <w:left w:val="none" w:sz="0" w:space="0" w:color="auto"/>
        <w:bottom w:val="none" w:sz="0" w:space="0" w:color="auto"/>
        <w:right w:val="none" w:sz="0" w:space="0" w:color="auto"/>
      </w:divBdr>
      <w:divsChild>
        <w:div w:id="898367517">
          <w:marLeft w:val="547"/>
          <w:marRight w:val="0"/>
          <w:marTop w:val="0"/>
          <w:marBottom w:val="0"/>
          <w:divBdr>
            <w:top w:val="none" w:sz="0" w:space="0" w:color="auto"/>
            <w:left w:val="none" w:sz="0" w:space="0" w:color="auto"/>
            <w:bottom w:val="none" w:sz="0" w:space="0" w:color="auto"/>
            <w:right w:val="none" w:sz="0" w:space="0" w:color="auto"/>
          </w:divBdr>
        </w:div>
        <w:div w:id="1314944872">
          <w:marLeft w:val="547"/>
          <w:marRight w:val="0"/>
          <w:marTop w:val="0"/>
          <w:marBottom w:val="0"/>
          <w:divBdr>
            <w:top w:val="none" w:sz="0" w:space="0" w:color="auto"/>
            <w:left w:val="none" w:sz="0" w:space="0" w:color="auto"/>
            <w:bottom w:val="none" w:sz="0" w:space="0" w:color="auto"/>
            <w:right w:val="none" w:sz="0" w:space="0" w:color="auto"/>
          </w:divBdr>
        </w:div>
        <w:div w:id="1542093425">
          <w:marLeft w:val="547"/>
          <w:marRight w:val="0"/>
          <w:marTop w:val="0"/>
          <w:marBottom w:val="0"/>
          <w:divBdr>
            <w:top w:val="none" w:sz="0" w:space="0" w:color="auto"/>
            <w:left w:val="none" w:sz="0" w:space="0" w:color="auto"/>
            <w:bottom w:val="none" w:sz="0" w:space="0" w:color="auto"/>
            <w:right w:val="none" w:sz="0" w:space="0" w:color="auto"/>
          </w:divBdr>
        </w:div>
        <w:div w:id="1917011318">
          <w:marLeft w:val="547"/>
          <w:marRight w:val="0"/>
          <w:marTop w:val="0"/>
          <w:marBottom w:val="0"/>
          <w:divBdr>
            <w:top w:val="none" w:sz="0" w:space="0" w:color="auto"/>
            <w:left w:val="none" w:sz="0" w:space="0" w:color="auto"/>
            <w:bottom w:val="none" w:sz="0" w:space="0" w:color="auto"/>
            <w:right w:val="none" w:sz="0" w:space="0" w:color="auto"/>
          </w:divBdr>
        </w:div>
        <w:div w:id="2020497084">
          <w:marLeft w:val="547"/>
          <w:marRight w:val="0"/>
          <w:marTop w:val="0"/>
          <w:marBottom w:val="0"/>
          <w:divBdr>
            <w:top w:val="none" w:sz="0" w:space="0" w:color="auto"/>
            <w:left w:val="none" w:sz="0" w:space="0" w:color="auto"/>
            <w:bottom w:val="none" w:sz="0" w:space="0" w:color="auto"/>
            <w:right w:val="none" w:sz="0" w:space="0" w:color="auto"/>
          </w:divBdr>
        </w:div>
        <w:div w:id="2118286214">
          <w:marLeft w:val="547"/>
          <w:marRight w:val="0"/>
          <w:marTop w:val="0"/>
          <w:marBottom w:val="0"/>
          <w:divBdr>
            <w:top w:val="none" w:sz="0" w:space="0" w:color="auto"/>
            <w:left w:val="none" w:sz="0" w:space="0" w:color="auto"/>
            <w:bottom w:val="none" w:sz="0" w:space="0" w:color="auto"/>
            <w:right w:val="none" w:sz="0" w:space="0" w:color="auto"/>
          </w:divBdr>
        </w:div>
      </w:divsChild>
    </w:div>
    <w:div w:id="1549873058">
      <w:bodyDiv w:val="1"/>
      <w:marLeft w:val="0"/>
      <w:marRight w:val="0"/>
      <w:marTop w:val="0"/>
      <w:marBottom w:val="0"/>
      <w:divBdr>
        <w:top w:val="none" w:sz="0" w:space="0" w:color="auto"/>
        <w:left w:val="none" w:sz="0" w:space="0" w:color="auto"/>
        <w:bottom w:val="none" w:sz="0" w:space="0" w:color="auto"/>
        <w:right w:val="none" w:sz="0" w:space="0" w:color="auto"/>
      </w:divBdr>
    </w:div>
    <w:div w:id="1553425171">
      <w:bodyDiv w:val="1"/>
      <w:marLeft w:val="0"/>
      <w:marRight w:val="0"/>
      <w:marTop w:val="0"/>
      <w:marBottom w:val="0"/>
      <w:divBdr>
        <w:top w:val="none" w:sz="0" w:space="0" w:color="auto"/>
        <w:left w:val="none" w:sz="0" w:space="0" w:color="auto"/>
        <w:bottom w:val="none" w:sz="0" w:space="0" w:color="auto"/>
        <w:right w:val="none" w:sz="0" w:space="0" w:color="auto"/>
      </w:divBdr>
    </w:div>
    <w:div w:id="1560936971">
      <w:bodyDiv w:val="1"/>
      <w:marLeft w:val="0"/>
      <w:marRight w:val="0"/>
      <w:marTop w:val="0"/>
      <w:marBottom w:val="0"/>
      <w:divBdr>
        <w:top w:val="none" w:sz="0" w:space="0" w:color="auto"/>
        <w:left w:val="none" w:sz="0" w:space="0" w:color="auto"/>
        <w:bottom w:val="none" w:sz="0" w:space="0" w:color="auto"/>
        <w:right w:val="none" w:sz="0" w:space="0" w:color="auto"/>
      </w:divBdr>
    </w:div>
    <w:div w:id="1562473400">
      <w:bodyDiv w:val="1"/>
      <w:marLeft w:val="0"/>
      <w:marRight w:val="0"/>
      <w:marTop w:val="0"/>
      <w:marBottom w:val="0"/>
      <w:divBdr>
        <w:top w:val="none" w:sz="0" w:space="0" w:color="auto"/>
        <w:left w:val="none" w:sz="0" w:space="0" w:color="auto"/>
        <w:bottom w:val="none" w:sz="0" w:space="0" w:color="auto"/>
        <w:right w:val="none" w:sz="0" w:space="0" w:color="auto"/>
      </w:divBdr>
    </w:div>
    <w:div w:id="1580097953">
      <w:bodyDiv w:val="1"/>
      <w:marLeft w:val="0"/>
      <w:marRight w:val="0"/>
      <w:marTop w:val="0"/>
      <w:marBottom w:val="0"/>
      <w:divBdr>
        <w:top w:val="none" w:sz="0" w:space="0" w:color="auto"/>
        <w:left w:val="none" w:sz="0" w:space="0" w:color="auto"/>
        <w:bottom w:val="none" w:sz="0" w:space="0" w:color="auto"/>
        <w:right w:val="none" w:sz="0" w:space="0" w:color="auto"/>
      </w:divBdr>
    </w:div>
    <w:div w:id="1589535919">
      <w:bodyDiv w:val="1"/>
      <w:marLeft w:val="0"/>
      <w:marRight w:val="0"/>
      <w:marTop w:val="0"/>
      <w:marBottom w:val="0"/>
      <w:divBdr>
        <w:top w:val="none" w:sz="0" w:space="0" w:color="auto"/>
        <w:left w:val="none" w:sz="0" w:space="0" w:color="auto"/>
        <w:bottom w:val="none" w:sz="0" w:space="0" w:color="auto"/>
        <w:right w:val="none" w:sz="0" w:space="0" w:color="auto"/>
      </w:divBdr>
    </w:div>
    <w:div w:id="1593322268">
      <w:bodyDiv w:val="1"/>
      <w:marLeft w:val="0"/>
      <w:marRight w:val="0"/>
      <w:marTop w:val="0"/>
      <w:marBottom w:val="0"/>
      <w:divBdr>
        <w:top w:val="none" w:sz="0" w:space="0" w:color="auto"/>
        <w:left w:val="none" w:sz="0" w:space="0" w:color="auto"/>
        <w:bottom w:val="none" w:sz="0" w:space="0" w:color="auto"/>
        <w:right w:val="none" w:sz="0" w:space="0" w:color="auto"/>
      </w:divBdr>
    </w:div>
    <w:div w:id="1594051882">
      <w:bodyDiv w:val="1"/>
      <w:marLeft w:val="0"/>
      <w:marRight w:val="0"/>
      <w:marTop w:val="0"/>
      <w:marBottom w:val="0"/>
      <w:divBdr>
        <w:top w:val="none" w:sz="0" w:space="0" w:color="auto"/>
        <w:left w:val="none" w:sz="0" w:space="0" w:color="auto"/>
        <w:bottom w:val="none" w:sz="0" w:space="0" w:color="auto"/>
        <w:right w:val="none" w:sz="0" w:space="0" w:color="auto"/>
      </w:divBdr>
    </w:div>
    <w:div w:id="1615749879">
      <w:bodyDiv w:val="1"/>
      <w:marLeft w:val="0"/>
      <w:marRight w:val="0"/>
      <w:marTop w:val="0"/>
      <w:marBottom w:val="0"/>
      <w:divBdr>
        <w:top w:val="none" w:sz="0" w:space="0" w:color="auto"/>
        <w:left w:val="none" w:sz="0" w:space="0" w:color="auto"/>
        <w:bottom w:val="none" w:sz="0" w:space="0" w:color="auto"/>
        <w:right w:val="none" w:sz="0" w:space="0" w:color="auto"/>
      </w:divBdr>
    </w:div>
    <w:div w:id="1692141184">
      <w:bodyDiv w:val="1"/>
      <w:marLeft w:val="0"/>
      <w:marRight w:val="0"/>
      <w:marTop w:val="0"/>
      <w:marBottom w:val="0"/>
      <w:divBdr>
        <w:top w:val="none" w:sz="0" w:space="0" w:color="auto"/>
        <w:left w:val="none" w:sz="0" w:space="0" w:color="auto"/>
        <w:bottom w:val="none" w:sz="0" w:space="0" w:color="auto"/>
        <w:right w:val="none" w:sz="0" w:space="0" w:color="auto"/>
      </w:divBdr>
    </w:div>
    <w:div w:id="1693801925">
      <w:bodyDiv w:val="1"/>
      <w:marLeft w:val="0"/>
      <w:marRight w:val="0"/>
      <w:marTop w:val="0"/>
      <w:marBottom w:val="0"/>
      <w:divBdr>
        <w:top w:val="none" w:sz="0" w:space="0" w:color="auto"/>
        <w:left w:val="none" w:sz="0" w:space="0" w:color="auto"/>
        <w:bottom w:val="none" w:sz="0" w:space="0" w:color="auto"/>
        <w:right w:val="none" w:sz="0" w:space="0" w:color="auto"/>
      </w:divBdr>
    </w:div>
    <w:div w:id="1694695939">
      <w:bodyDiv w:val="1"/>
      <w:marLeft w:val="0"/>
      <w:marRight w:val="0"/>
      <w:marTop w:val="0"/>
      <w:marBottom w:val="0"/>
      <w:divBdr>
        <w:top w:val="none" w:sz="0" w:space="0" w:color="auto"/>
        <w:left w:val="none" w:sz="0" w:space="0" w:color="auto"/>
        <w:bottom w:val="none" w:sz="0" w:space="0" w:color="auto"/>
        <w:right w:val="none" w:sz="0" w:space="0" w:color="auto"/>
      </w:divBdr>
      <w:divsChild>
        <w:div w:id="106891150">
          <w:marLeft w:val="0"/>
          <w:marRight w:val="0"/>
          <w:marTop w:val="0"/>
          <w:marBottom w:val="0"/>
          <w:divBdr>
            <w:top w:val="single" w:sz="2" w:space="0" w:color="auto"/>
            <w:left w:val="single" w:sz="2" w:space="0" w:color="auto"/>
            <w:bottom w:val="single" w:sz="6" w:space="0" w:color="auto"/>
            <w:right w:val="single" w:sz="2" w:space="0" w:color="auto"/>
          </w:divBdr>
          <w:divsChild>
            <w:div w:id="1781949677">
              <w:marLeft w:val="0"/>
              <w:marRight w:val="0"/>
              <w:marTop w:val="100"/>
              <w:marBottom w:val="100"/>
              <w:divBdr>
                <w:top w:val="single" w:sz="2" w:space="0" w:color="D9D9E3"/>
                <w:left w:val="single" w:sz="2" w:space="0" w:color="D9D9E3"/>
                <w:bottom w:val="single" w:sz="2" w:space="0" w:color="D9D9E3"/>
                <w:right w:val="single" w:sz="2" w:space="0" w:color="D9D9E3"/>
              </w:divBdr>
              <w:divsChild>
                <w:div w:id="1381857031">
                  <w:marLeft w:val="0"/>
                  <w:marRight w:val="0"/>
                  <w:marTop w:val="0"/>
                  <w:marBottom w:val="0"/>
                  <w:divBdr>
                    <w:top w:val="single" w:sz="2" w:space="0" w:color="D9D9E3"/>
                    <w:left w:val="single" w:sz="2" w:space="0" w:color="D9D9E3"/>
                    <w:bottom w:val="single" w:sz="2" w:space="0" w:color="D9D9E3"/>
                    <w:right w:val="single" w:sz="2" w:space="0" w:color="D9D9E3"/>
                  </w:divBdr>
                  <w:divsChild>
                    <w:div w:id="1909801624">
                      <w:marLeft w:val="0"/>
                      <w:marRight w:val="0"/>
                      <w:marTop w:val="0"/>
                      <w:marBottom w:val="0"/>
                      <w:divBdr>
                        <w:top w:val="single" w:sz="2" w:space="0" w:color="D9D9E3"/>
                        <w:left w:val="single" w:sz="2" w:space="0" w:color="D9D9E3"/>
                        <w:bottom w:val="single" w:sz="2" w:space="0" w:color="D9D9E3"/>
                        <w:right w:val="single" w:sz="2" w:space="0" w:color="D9D9E3"/>
                      </w:divBdr>
                      <w:divsChild>
                        <w:div w:id="91973439">
                          <w:marLeft w:val="0"/>
                          <w:marRight w:val="0"/>
                          <w:marTop w:val="0"/>
                          <w:marBottom w:val="0"/>
                          <w:divBdr>
                            <w:top w:val="single" w:sz="2" w:space="0" w:color="D9D9E3"/>
                            <w:left w:val="single" w:sz="2" w:space="0" w:color="D9D9E3"/>
                            <w:bottom w:val="single" w:sz="2" w:space="0" w:color="D9D9E3"/>
                            <w:right w:val="single" w:sz="2" w:space="0" w:color="D9D9E3"/>
                          </w:divBdr>
                          <w:divsChild>
                            <w:div w:id="522403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6694170">
      <w:bodyDiv w:val="1"/>
      <w:marLeft w:val="0"/>
      <w:marRight w:val="0"/>
      <w:marTop w:val="0"/>
      <w:marBottom w:val="0"/>
      <w:divBdr>
        <w:top w:val="none" w:sz="0" w:space="0" w:color="auto"/>
        <w:left w:val="none" w:sz="0" w:space="0" w:color="auto"/>
        <w:bottom w:val="none" w:sz="0" w:space="0" w:color="auto"/>
        <w:right w:val="none" w:sz="0" w:space="0" w:color="auto"/>
      </w:divBdr>
    </w:div>
    <w:div w:id="1716192928">
      <w:bodyDiv w:val="1"/>
      <w:marLeft w:val="0"/>
      <w:marRight w:val="0"/>
      <w:marTop w:val="0"/>
      <w:marBottom w:val="0"/>
      <w:divBdr>
        <w:top w:val="none" w:sz="0" w:space="0" w:color="auto"/>
        <w:left w:val="none" w:sz="0" w:space="0" w:color="auto"/>
        <w:bottom w:val="none" w:sz="0" w:space="0" w:color="auto"/>
        <w:right w:val="none" w:sz="0" w:space="0" w:color="auto"/>
      </w:divBdr>
      <w:divsChild>
        <w:div w:id="951396544">
          <w:marLeft w:val="274"/>
          <w:marRight w:val="0"/>
          <w:marTop w:val="0"/>
          <w:marBottom w:val="0"/>
          <w:divBdr>
            <w:top w:val="none" w:sz="0" w:space="0" w:color="auto"/>
            <w:left w:val="none" w:sz="0" w:space="0" w:color="auto"/>
            <w:bottom w:val="none" w:sz="0" w:space="0" w:color="auto"/>
            <w:right w:val="none" w:sz="0" w:space="0" w:color="auto"/>
          </w:divBdr>
        </w:div>
        <w:div w:id="1115909125">
          <w:marLeft w:val="274"/>
          <w:marRight w:val="0"/>
          <w:marTop w:val="0"/>
          <w:marBottom w:val="0"/>
          <w:divBdr>
            <w:top w:val="none" w:sz="0" w:space="0" w:color="auto"/>
            <w:left w:val="none" w:sz="0" w:space="0" w:color="auto"/>
            <w:bottom w:val="none" w:sz="0" w:space="0" w:color="auto"/>
            <w:right w:val="none" w:sz="0" w:space="0" w:color="auto"/>
          </w:divBdr>
        </w:div>
        <w:div w:id="2140415845">
          <w:marLeft w:val="274"/>
          <w:marRight w:val="0"/>
          <w:marTop w:val="0"/>
          <w:marBottom w:val="0"/>
          <w:divBdr>
            <w:top w:val="none" w:sz="0" w:space="0" w:color="auto"/>
            <w:left w:val="none" w:sz="0" w:space="0" w:color="auto"/>
            <w:bottom w:val="none" w:sz="0" w:space="0" w:color="auto"/>
            <w:right w:val="none" w:sz="0" w:space="0" w:color="auto"/>
          </w:divBdr>
        </w:div>
      </w:divsChild>
    </w:div>
    <w:div w:id="1724058786">
      <w:bodyDiv w:val="1"/>
      <w:marLeft w:val="0"/>
      <w:marRight w:val="0"/>
      <w:marTop w:val="0"/>
      <w:marBottom w:val="0"/>
      <w:divBdr>
        <w:top w:val="none" w:sz="0" w:space="0" w:color="auto"/>
        <w:left w:val="none" w:sz="0" w:space="0" w:color="auto"/>
        <w:bottom w:val="none" w:sz="0" w:space="0" w:color="auto"/>
        <w:right w:val="none" w:sz="0" w:space="0" w:color="auto"/>
      </w:divBdr>
      <w:divsChild>
        <w:div w:id="2086606178">
          <w:marLeft w:val="0"/>
          <w:marRight w:val="0"/>
          <w:marTop w:val="0"/>
          <w:marBottom w:val="0"/>
          <w:divBdr>
            <w:top w:val="none" w:sz="0" w:space="0" w:color="auto"/>
            <w:left w:val="none" w:sz="0" w:space="0" w:color="auto"/>
            <w:bottom w:val="none" w:sz="0" w:space="0" w:color="auto"/>
            <w:right w:val="none" w:sz="0" w:space="0" w:color="auto"/>
          </w:divBdr>
          <w:divsChild>
            <w:div w:id="109857877">
              <w:marLeft w:val="0"/>
              <w:marRight w:val="0"/>
              <w:marTop w:val="0"/>
              <w:marBottom w:val="0"/>
              <w:divBdr>
                <w:top w:val="none" w:sz="0" w:space="0" w:color="auto"/>
                <w:left w:val="none" w:sz="0" w:space="0" w:color="auto"/>
                <w:bottom w:val="none" w:sz="0" w:space="0" w:color="auto"/>
                <w:right w:val="none" w:sz="0" w:space="0" w:color="auto"/>
              </w:divBdr>
            </w:div>
            <w:div w:id="20491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2868">
      <w:bodyDiv w:val="1"/>
      <w:marLeft w:val="0"/>
      <w:marRight w:val="0"/>
      <w:marTop w:val="0"/>
      <w:marBottom w:val="0"/>
      <w:divBdr>
        <w:top w:val="none" w:sz="0" w:space="0" w:color="auto"/>
        <w:left w:val="none" w:sz="0" w:space="0" w:color="auto"/>
        <w:bottom w:val="none" w:sz="0" w:space="0" w:color="auto"/>
        <w:right w:val="none" w:sz="0" w:space="0" w:color="auto"/>
      </w:divBdr>
      <w:divsChild>
        <w:div w:id="272178322">
          <w:marLeft w:val="274"/>
          <w:marRight w:val="0"/>
          <w:marTop w:val="0"/>
          <w:marBottom w:val="0"/>
          <w:divBdr>
            <w:top w:val="none" w:sz="0" w:space="0" w:color="auto"/>
            <w:left w:val="none" w:sz="0" w:space="0" w:color="auto"/>
            <w:bottom w:val="none" w:sz="0" w:space="0" w:color="auto"/>
            <w:right w:val="none" w:sz="0" w:space="0" w:color="auto"/>
          </w:divBdr>
        </w:div>
        <w:div w:id="521475654">
          <w:marLeft w:val="274"/>
          <w:marRight w:val="0"/>
          <w:marTop w:val="0"/>
          <w:marBottom w:val="0"/>
          <w:divBdr>
            <w:top w:val="none" w:sz="0" w:space="0" w:color="auto"/>
            <w:left w:val="none" w:sz="0" w:space="0" w:color="auto"/>
            <w:bottom w:val="none" w:sz="0" w:space="0" w:color="auto"/>
            <w:right w:val="none" w:sz="0" w:space="0" w:color="auto"/>
          </w:divBdr>
        </w:div>
        <w:div w:id="618800020">
          <w:marLeft w:val="274"/>
          <w:marRight w:val="0"/>
          <w:marTop w:val="0"/>
          <w:marBottom w:val="0"/>
          <w:divBdr>
            <w:top w:val="none" w:sz="0" w:space="0" w:color="auto"/>
            <w:left w:val="none" w:sz="0" w:space="0" w:color="auto"/>
            <w:bottom w:val="none" w:sz="0" w:space="0" w:color="auto"/>
            <w:right w:val="none" w:sz="0" w:space="0" w:color="auto"/>
          </w:divBdr>
        </w:div>
      </w:divsChild>
    </w:div>
    <w:div w:id="1761682440">
      <w:bodyDiv w:val="1"/>
      <w:marLeft w:val="0"/>
      <w:marRight w:val="0"/>
      <w:marTop w:val="0"/>
      <w:marBottom w:val="0"/>
      <w:divBdr>
        <w:top w:val="none" w:sz="0" w:space="0" w:color="auto"/>
        <w:left w:val="none" w:sz="0" w:space="0" w:color="auto"/>
        <w:bottom w:val="none" w:sz="0" w:space="0" w:color="auto"/>
        <w:right w:val="none" w:sz="0" w:space="0" w:color="auto"/>
      </w:divBdr>
    </w:div>
    <w:div w:id="1787314351">
      <w:bodyDiv w:val="1"/>
      <w:marLeft w:val="0"/>
      <w:marRight w:val="0"/>
      <w:marTop w:val="0"/>
      <w:marBottom w:val="0"/>
      <w:divBdr>
        <w:top w:val="none" w:sz="0" w:space="0" w:color="auto"/>
        <w:left w:val="none" w:sz="0" w:space="0" w:color="auto"/>
        <w:bottom w:val="none" w:sz="0" w:space="0" w:color="auto"/>
        <w:right w:val="none" w:sz="0" w:space="0" w:color="auto"/>
      </w:divBdr>
    </w:div>
    <w:div w:id="1859659680">
      <w:bodyDiv w:val="1"/>
      <w:marLeft w:val="0"/>
      <w:marRight w:val="0"/>
      <w:marTop w:val="0"/>
      <w:marBottom w:val="0"/>
      <w:divBdr>
        <w:top w:val="none" w:sz="0" w:space="0" w:color="auto"/>
        <w:left w:val="none" w:sz="0" w:space="0" w:color="auto"/>
        <w:bottom w:val="none" w:sz="0" w:space="0" w:color="auto"/>
        <w:right w:val="none" w:sz="0" w:space="0" w:color="auto"/>
      </w:divBdr>
    </w:div>
    <w:div w:id="1861774683">
      <w:bodyDiv w:val="1"/>
      <w:marLeft w:val="0"/>
      <w:marRight w:val="0"/>
      <w:marTop w:val="0"/>
      <w:marBottom w:val="0"/>
      <w:divBdr>
        <w:top w:val="none" w:sz="0" w:space="0" w:color="auto"/>
        <w:left w:val="none" w:sz="0" w:space="0" w:color="auto"/>
        <w:bottom w:val="none" w:sz="0" w:space="0" w:color="auto"/>
        <w:right w:val="none" w:sz="0" w:space="0" w:color="auto"/>
      </w:divBdr>
      <w:divsChild>
        <w:div w:id="320043113">
          <w:marLeft w:val="734"/>
          <w:marRight w:val="0"/>
          <w:marTop w:val="80"/>
          <w:marBottom w:val="0"/>
          <w:divBdr>
            <w:top w:val="none" w:sz="0" w:space="0" w:color="auto"/>
            <w:left w:val="none" w:sz="0" w:space="0" w:color="auto"/>
            <w:bottom w:val="none" w:sz="0" w:space="0" w:color="auto"/>
            <w:right w:val="none" w:sz="0" w:space="0" w:color="auto"/>
          </w:divBdr>
        </w:div>
        <w:div w:id="505438197">
          <w:marLeft w:val="734"/>
          <w:marRight w:val="0"/>
          <w:marTop w:val="80"/>
          <w:marBottom w:val="0"/>
          <w:divBdr>
            <w:top w:val="none" w:sz="0" w:space="0" w:color="auto"/>
            <w:left w:val="none" w:sz="0" w:space="0" w:color="auto"/>
            <w:bottom w:val="none" w:sz="0" w:space="0" w:color="auto"/>
            <w:right w:val="none" w:sz="0" w:space="0" w:color="auto"/>
          </w:divBdr>
        </w:div>
        <w:div w:id="535587213">
          <w:marLeft w:val="734"/>
          <w:marRight w:val="0"/>
          <w:marTop w:val="80"/>
          <w:marBottom w:val="0"/>
          <w:divBdr>
            <w:top w:val="none" w:sz="0" w:space="0" w:color="auto"/>
            <w:left w:val="none" w:sz="0" w:space="0" w:color="auto"/>
            <w:bottom w:val="none" w:sz="0" w:space="0" w:color="auto"/>
            <w:right w:val="none" w:sz="0" w:space="0" w:color="auto"/>
          </w:divBdr>
        </w:div>
        <w:div w:id="1312952567">
          <w:marLeft w:val="734"/>
          <w:marRight w:val="0"/>
          <w:marTop w:val="80"/>
          <w:marBottom w:val="0"/>
          <w:divBdr>
            <w:top w:val="none" w:sz="0" w:space="0" w:color="auto"/>
            <w:left w:val="none" w:sz="0" w:space="0" w:color="auto"/>
            <w:bottom w:val="none" w:sz="0" w:space="0" w:color="auto"/>
            <w:right w:val="none" w:sz="0" w:space="0" w:color="auto"/>
          </w:divBdr>
        </w:div>
      </w:divsChild>
    </w:div>
    <w:div w:id="1869369880">
      <w:bodyDiv w:val="1"/>
      <w:marLeft w:val="0"/>
      <w:marRight w:val="0"/>
      <w:marTop w:val="0"/>
      <w:marBottom w:val="0"/>
      <w:divBdr>
        <w:top w:val="none" w:sz="0" w:space="0" w:color="auto"/>
        <w:left w:val="none" w:sz="0" w:space="0" w:color="auto"/>
        <w:bottom w:val="none" w:sz="0" w:space="0" w:color="auto"/>
        <w:right w:val="none" w:sz="0" w:space="0" w:color="auto"/>
      </w:divBdr>
    </w:div>
    <w:div w:id="1877959552">
      <w:bodyDiv w:val="1"/>
      <w:marLeft w:val="0"/>
      <w:marRight w:val="0"/>
      <w:marTop w:val="0"/>
      <w:marBottom w:val="0"/>
      <w:divBdr>
        <w:top w:val="none" w:sz="0" w:space="0" w:color="auto"/>
        <w:left w:val="none" w:sz="0" w:space="0" w:color="auto"/>
        <w:bottom w:val="none" w:sz="0" w:space="0" w:color="auto"/>
        <w:right w:val="none" w:sz="0" w:space="0" w:color="auto"/>
      </w:divBdr>
    </w:div>
    <w:div w:id="1904873982">
      <w:bodyDiv w:val="1"/>
      <w:marLeft w:val="0"/>
      <w:marRight w:val="0"/>
      <w:marTop w:val="0"/>
      <w:marBottom w:val="0"/>
      <w:divBdr>
        <w:top w:val="none" w:sz="0" w:space="0" w:color="auto"/>
        <w:left w:val="none" w:sz="0" w:space="0" w:color="auto"/>
        <w:bottom w:val="none" w:sz="0" w:space="0" w:color="auto"/>
        <w:right w:val="none" w:sz="0" w:space="0" w:color="auto"/>
      </w:divBdr>
    </w:div>
    <w:div w:id="1910991847">
      <w:bodyDiv w:val="1"/>
      <w:marLeft w:val="0"/>
      <w:marRight w:val="0"/>
      <w:marTop w:val="0"/>
      <w:marBottom w:val="0"/>
      <w:divBdr>
        <w:top w:val="none" w:sz="0" w:space="0" w:color="auto"/>
        <w:left w:val="none" w:sz="0" w:space="0" w:color="auto"/>
        <w:bottom w:val="none" w:sz="0" w:space="0" w:color="auto"/>
        <w:right w:val="none" w:sz="0" w:space="0" w:color="auto"/>
      </w:divBdr>
      <w:divsChild>
        <w:div w:id="167411510">
          <w:marLeft w:val="274"/>
          <w:marRight w:val="0"/>
          <w:marTop w:val="0"/>
          <w:marBottom w:val="0"/>
          <w:divBdr>
            <w:top w:val="none" w:sz="0" w:space="0" w:color="auto"/>
            <w:left w:val="none" w:sz="0" w:space="0" w:color="auto"/>
            <w:bottom w:val="none" w:sz="0" w:space="0" w:color="auto"/>
            <w:right w:val="none" w:sz="0" w:space="0" w:color="auto"/>
          </w:divBdr>
        </w:div>
        <w:div w:id="380984082">
          <w:marLeft w:val="274"/>
          <w:marRight w:val="0"/>
          <w:marTop w:val="0"/>
          <w:marBottom w:val="0"/>
          <w:divBdr>
            <w:top w:val="none" w:sz="0" w:space="0" w:color="auto"/>
            <w:left w:val="none" w:sz="0" w:space="0" w:color="auto"/>
            <w:bottom w:val="none" w:sz="0" w:space="0" w:color="auto"/>
            <w:right w:val="none" w:sz="0" w:space="0" w:color="auto"/>
          </w:divBdr>
        </w:div>
        <w:div w:id="827750182">
          <w:marLeft w:val="274"/>
          <w:marRight w:val="0"/>
          <w:marTop w:val="0"/>
          <w:marBottom w:val="0"/>
          <w:divBdr>
            <w:top w:val="none" w:sz="0" w:space="0" w:color="auto"/>
            <w:left w:val="none" w:sz="0" w:space="0" w:color="auto"/>
            <w:bottom w:val="none" w:sz="0" w:space="0" w:color="auto"/>
            <w:right w:val="none" w:sz="0" w:space="0" w:color="auto"/>
          </w:divBdr>
        </w:div>
      </w:divsChild>
    </w:div>
    <w:div w:id="1911650873">
      <w:bodyDiv w:val="1"/>
      <w:marLeft w:val="0"/>
      <w:marRight w:val="0"/>
      <w:marTop w:val="0"/>
      <w:marBottom w:val="0"/>
      <w:divBdr>
        <w:top w:val="none" w:sz="0" w:space="0" w:color="auto"/>
        <w:left w:val="none" w:sz="0" w:space="0" w:color="auto"/>
        <w:bottom w:val="none" w:sz="0" w:space="0" w:color="auto"/>
        <w:right w:val="none" w:sz="0" w:space="0" w:color="auto"/>
      </w:divBdr>
    </w:div>
    <w:div w:id="1913539897">
      <w:bodyDiv w:val="1"/>
      <w:marLeft w:val="0"/>
      <w:marRight w:val="0"/>
      <w:marTop w:val="0"/>
      <w:marBottom w:val="0"/>
      <w:divBdr>
        <w:top w:val="none" w:sz="0" w:space="0" w:color="auto"/>
        <w:left w:val="none" w:sz="0" w:space="0" w:color="auto"/>
        <w:bottom w:val="none" w:sz="0" w:space="0" w:color="auto"/>
        <w:right w:val="none" w:sz="0" w:space="0" w:color="auto"/>
      </w:divBdr>
    </w:div>
    <w:div w:id="1976980892">
      <w:bodyDiv w:val="1"/>
      <w:marLeft w:val="0"/>
      <w:marRight w:val="0"/>
      <w:marTop w:val="0"/>
      <w:marBottom w:val="0"/>
      <w:divBdr>
        <w:top w:val="none" w:sz="0" w:space="0" w:color="auto"/>
        <w:left w:val="none" w:sz="0" w:space="0" w:color="auto"/>
        <w:bottom w:val="none" w:sz="0" w:space="0" w:color="auto"/>
        <w:right w:val="none" w:sz="0" w:space="0" w:color="auto"/>
      </w:divBdr>
    </w:div>
    <w:div w:id="1993634149">
      <w:bodyDiv w:val="1"/>
      <w:marLeft w:val="0"/>
      <w:marRight w:val="0"/>
      <w:marTop w:val="0"/>
      <w:marBottom w:val="0"/>
      <w:divBdr>
        <w:top w:val="none" w:sz="0" w:space="0" w:color="auto"/>
        <w:left w:val="none" w:sz="0" w:space="0" w:color="auto"/>
        <w:bottom w:val="none" w:sz="0" w:space="0" w:color="auto"/>
        <w:right w:val="none" w:sz="0" w:space="0" w:color="auto"/>
      </w:divBdr>
      <w:divsChild>
        <w:div w:id="1100684292">
          <w:marLeft w:val="274"/>
          <w:marRight w:val="0"/>
          <w:marTop w:val="0"/>
          <w:marBottom w:val="0"/>
          <w:divBdr>
            <w:top w:val="none" w:sz="0" w:space="0" w:color="auto"/>
            <w:left w:val="none" w:sz="0" w:space="0" w:color="auto"/>
            <w:bottom w:val="none" w:sz="0" w:space="0" w:color="auto"/>
            <w:right w:val="none" w:sz="0" w:space="0" w:color="auto"/>
          </w:divBdr>
        </w:div>
        <w:div w:id="1383019850">
          <w:marLeft w:val="274"/>
          <w:marRight w:val="0"/>
          <w:marTop w:val="0"/>
          <w:marBottom w:val="0"/>
          <w:divBdr>
            <w:top w:val="none" w:sz="0" w:space="0" w:color="auto"/>
            <w:left w:val="none" w:sz="0" w:space="0" w:color="auto"/>
            <w:bottom w:val="none" w:sz="0" w:space="0" w:color="auto"/>
            <w:right w:val="none" w:sz="0" w:space="0" w:color="auto"/>
          </w:divBdr>
        </w:div>
        <w:div w:id="2099935340">
          <w:marLeft w:val="274"/>
          <w:marRight w:val="0"/>
          <w:marTop w:val="0"/>
          <w:marBottom w:val="0"/>
          <w:divBdr>
            <w:top w:val="none" w:sz="0" w:space="0" w:color="auto"/>
            <w:left w:val="none" w:sz="0" w:space="0" w:color="auto"/>
            <w:bottom w:val="none" w:sz="0" w:space="0" w:color="auto"/>
            <w:right w:val="none" w:sz="0" w:space="0" w:color="auto"/>
          </w:divBdr>
        </w:div>
      </w:divsChild>
    </w:div>
    <w:div w:id="2019497781">
      <w:bodyDiv w:val="1"/>
      <w:marLeft w:val="0"/>
      <w:marRight w:val="0"/>
      <w:marTop w:val="0"/>
      <w:marBottom w:val="0"/>
      <w:divBdr>
        <w:top w:val="none" w:sz="0" w:space="0" w:color="auto"/>
        <w:left w:val="none" w:sz="0" w:space="0" w:color="auto"/>
        <w:bottom w:val="none" w:sz="0" w:space="0" w:color="auto"/>
        <w:right w:val="none" w:sz="0" w:space="0" w:color="auto"/>
      </w:divBdr>
    </w:div>
    <w:div w:id="2026009432">
      <w:bodyDiv w:val="1"/>
      <w:marLeft w:val="0"/>
      <w:marRight w:val="0"/>
      <w:marTop w:val="0"/>
      <w:marBottom w:val="0"/>
      <w:divBdr>
        <w:top w:val="none" w:sz="0" w:space="0" w:color="auto"/>
        <w:left w:val="none" w:sz="0" w:space="0" w:color="auto"/>
        <w:bottom w:val="none" w:sz="0" w:space="0" w:color="auto"/>
        <w:right w:val="none" w:sz="0" w:space="0" w:color="auto"/>
      </w:divBdr>
    </w:div>
    <w:div w:id="2046324049">
      <w:bodyDiv w:val="1"/>
      <w:marLeft w:val="0"/>
      <w:marRight w:val="0"/>
      <w:marTop w:val="0"/>
      <w:marBottom w:val="0"/>
      <w:divBdr>
        <w:top w:val="none" w:sz="0" w:space="0" w:color="auto"/>
        <w:left w:val="none" w:sz="0" w:space="0" w:color="auto"/>
        <w:bottom w:val="none" w:sz="0" w:space="0" w:color="auto"/>
        <w:right w:val="none" w:sz="0" w:space="0" w:color="auto"/>
      </w:divBdr>
    </w:div>
    <w:div w:id="2054570269">
      <w:bodyDiv w:val="1"/>
      <w:marLeft w:val="0"/>
      <w:marRight w:val="0"/>
      <w:marTop w:val="0"/>
      <w:marBottom w:val="0"/>
      <w:divBdr>
        <w:top w:val="none" w:sz="0" w:space="0" w:color="auto"/>
        <w:left w:val="none" w:sz="0" w:space="0" w:color="auto"/>
        <w:bottom w:val="none" w:sz="0" w:space="0" w:color="auto"/>
        <w:right w:val="none" w:sz="0" w:space="0" w:color="auto"/>
      </w:divBdr>
    </w:div>
    <w:div w:id="2071342366">
      <w:bodyDiv w:val="1"/>
      <w:marLeft w:val="0"/>
      <w:marRight w:val="0"/>
      <w:marTop w:val="0"/>
      <w:marBottom w:val="0"/>
      <w:divBdr>
        <w:top w:val="none" w:sz="0" w:space="0" w:color="auto"/>
        <w:left w:val="none" w:sz="0" w:space="0" w:color="auto"/>
        <w:bottom w:val="none" w:sz="0" w:space="0" w:color="auto"/>
        <w:right w:val="none" w:sz="0" w:space="0" w:color="auto"/>
      </w:divBdr>
    </w:div>
    <w:div w:id="2074884601">
      <w:bodyDiv w:val="1"/>
      <w:marLeft w:val="0"/>
      <w:marRight w:val="0"/>
      <w:marTop w:val="0"/>
      <w:marBottom w:val="0"/>
      <w:divBdr>
        <w:top w:val="none" w:sz="0" w:space="0" w:color="auto"/>
        <w:left w:val="none" w:sz="0" w:space="0" w:color="auto"/>
        <w:bottom w:val="none" w:sz="0" w:space="0" w:color="auto"/>
        <w:right w:val="none" w:sz="0" w:space="0" w:color="auto"/>
      </w:divBdr>
      <w:divsChild>
        <w:div w:id="456409927">
          <w:marLeft w:val="274"/>
          <w:marRight w:val="0"/>
          <w:marTop w:val="0"/>
          <w:marBottom w:val="0"/>
          <w:divBdr>
            <w:top w:val="none" w:sz="0" w:space="0" w:color="auto"/>
            <w:left w:val="none" w:sz="0" w:space="0" w:color="auto"/>
            <w:bottom w:val="none" w:sz="0" w:space="0" w:color="auto"/>
            <w:right w:val="none" w:sz="0" w:space="0" w:color="auto"/>
          </w:divBdr>
        </w:div>
        <w:div w:id="831873401">
          <w:marLeft w:val="274"/>
          <w:marRight w:val="0"/>
          <w:marTop w:val="0"/>
          <w:marBottom w:val="0"/>
          <w:divBdr>
            <w:top w:val="none" w:sz="0" w:space="0" w:color="auto"/>
            <w:left w:val="none" w:sz="0" w:space="0" w:color="auto"/>
            <w:bottom w:val="none" w:sz="0" w:space="0" w:color="auto"/>
            <w:right w:val="none" w:sz="0" w:space="0" w:color="auto"/>
          </w:divBdr>
        </w:div>
        <w:div w:id="2033146299">
          <w:marLeft w:val="274"/>
          <w:marRight w:val="0"/>
          <w:marTop w:val="0"/>
          <w:marBottom w:val="0"/>
          <w:divBdr>
            <w:top w:val="none" w:sz="0" w:space="0" w:color="auto"/>
            <w:left w:val="none" w:sz="0" w:space="0" w:color="auto"/>
            <w:bottom w:val="none" w:sz="0" w:space="0" w:color="auto"/>
            <w:right w:val="none" w:sz="0" w:space="0" w:color="auto"/>
          </w:divBdr>
        </w:div>
      </w:divsChild>
    </w:div>
    <w:div w:id="2075539290">
      <w:bodyDiv w:val="1"/>
      <w:marLeft w:val="0"/>
      <w:marRight w:val="0"/>
      <w:marTop w:val="0"/>
      <w:marBottom w:val="0"/>
      <w:divBdr>
        <w:top w:val="none" w:sz="0" w:space="0" w:color="auto"/>
        <w:left w:val="none" w:sz="0" w:space="0" w:color="auto"/>
        <w:bottom w:val="none" w:sz="0" w:space="0" w:color="auto"/>
        <w:right w:val="none" w:sz="0" w:space="0" w:color="auto"/>
      </w:divBdr>
    </w:div>
    <w:div w:id="2083064992">
      <w:bodyDiv w:val="1"/>
      <w:marLeft w:val="0"/>
      <w:marRight w:val="0"/>
      <w:marTop w:val="0"/>
      <w:marBottom w:val="0"/>
      <w:divBdr>
        <w:top w:val="none" w:sz="0" w:space="0" w:color="auto"/>
        <w:left w:val="none" w:sz="0" w:space="0" w:color="auto"/>
        <w:bottom w:val="none" w:sz="0" w:space="0" w:color="auto"/>
        <w:right w:val="none" w:sz="0" w:space="0" w:color="auto"/>
      </w:divBdr>
    </w:div>
    <w:div w:id="2094277405">
      <w:bodyDiv w:val="1"/>
      <w:marLeft w:val="0"/>
      <w:marRight w:val="0"/>
      <w:marTop w:val="0"/>
      <w:marBottom w:val="0"/>
      <w:divBdr>
        <w:top w:val="none" w:sz="0" w:space="0" w:color="auto"/>
        <w:left w:val="none" w:sz="0" w:space="0" w:color="auto"/>
        <w:bottom w:val="none" w:sz="0" w:space="0" w:color="auto"/>
        <w:right w:val="none" w:sz="0" w:space="0" w:color="auto"/>
      </w:divBdr>
    </w:div>
    <w:div w:id="2128085424">
      <w:bodyDiv w:val="1"/>
      <w:marLeft w:val="0"/>
      <w:marRight w:val="0"/>
      <w:marTop w:val="0"/>
      <w:marBottom w:val="0"/>
      <w:divBdr>
        <w:top w:val="none" w:sz="0" w:space="0" w:color="auto"/>
        <w:left w:val="none" w:sz="0" w:space="0" w:color="auto"/>
        <w:bottom w:val="none" w:sz="0" w:space="0" w:color="auto"/>
        <w:right w:val="none" w:sz="0" w:space="0" w:color="auto"/>
      </w:divBdr>
    </w:div>
    <w:div w:id="214592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gif"/><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fao.org/fao-who-codexalimentarius/about-codex/en/%23c453333" TargetMode="External"/><Relationship Id="rId13" Type="http://schemas.openxmlformats.org/officeDocument/2006/relationships/hyperlink" Target="https:/www.fao.org/fao-who-codexalimentarius/sh-proxy/en/?lnk=1&amp;url=https%253A%252F%252Fworkspace.fao.org%252Fsites%252Fcodex%252FStandards%252FCXC%2B15-1976%252FCXP_015e.pdf" TargetMode="External"/><Relationship Id="rId18" Type="http://schemas.openxmlformats.org/officeDocument/2006/relationships/hyperlink" Target="https://treasury.gov.au/the-department/accountability-reporting/aligning-with-international-standards" TargetMode="External"/><Relationship Id="rId26" Type="http://schemas.openxmlformats.org/officeDocument/2006/relationships/hyperlink" Target="https://doi.org/10.1111/pai.13883" TargetMode="External"/><Relationship Id="rId3" Type="http://schemas.openxmlformats.org/officeDocument/2006/relationships/hyperlink" Target="https:/www.afgc.org.au/industry-resources/sustaining-australia-food-and-grocery-manufacturing-2030" TargetMode="External"/><Relationship Id="rId21" Type="http://schemas.openxmlformats.org/officeDocument/2006/relationships/hyperlink" Target="https://www.treasury.govt.nz/publications/guide/guidelines-setting-charges-public-sector" TargetMode="External"/><Relationship Id="rId7" Type="http://schemas.openxmlformats.org/officeDocument/2006/relationships/hyperlink" Target="https://ec.europa.eu/food/safety/general_food_law/principles_en" TargetMode="External"/><Relationship Id="rId12" Type="http://schemas.openxmlformats.org/officeDocument/2006/relationships/hyperlink" Target="https://unece.org/DAM/trade/agr/standard/eggs/e/63produc.pdf" TargetMode="External"/><Relationship Id="rId17" Type="http://schemas.openxmlformats.org/officeDocument/2006/relationships/hyperlink" Target="https://webarchive.nla.gov.au/awa/20151020202248/http://www.dpmc.gov.au/pmc/publication/industry-innovation-and-competitiveness-agenda-report-action-plan-stronger-australia" TargetMode="External"/><Relationship Id="rId25" Type="http://schemas.openxmlformats.org/officeDocument/2006/relationships/hyperlink" Target="https://www.agriculture.gov.au/sites/default/files/documents/APVMA%20-%20Strategic%20Review%20Report.PDF" TargetMode="External"/><Relationship Id="rId2" Type="http://schemas.openxmlformats.org/officeDocument/2006/relationships/hyperlink" Target="https://www.mbie.govt.nz/dmsdocument/2209-emerging-growth-opportunities-nz-food-beverage-pdf" TargetMode="External"/><Relationship Id="rId16" Type="http://schemas.openxmlformats.org/officeDocument/2006/relationships/hyperlink" Target="https://www.ncbi.nlm.nih.gov/pmc/articles/PMC9249520/%23:~:text=According%20to%20several%20studies%2C%20health,and%20influences%20growth%20and%20development." TargetMode="External"/><Relationship Id="rId20" Type="http://schemas.openxmlformats.org/officeDocument/2006/relationships/hyperlink" Target="https://www.finance.gov.au/government/managing-commonwealth-resources/implementing-charging-framework-rmg-302/australian-government-cost-recovery-policy" TargetMode="External"/><Relationship Id="rId29" Type="http://schemas.openxmlformats.org/officeDocument/2006/relationships/hyperlink" Target="https://nousgroup.sharepoint.com/sites/TS17256/Shared%20Documents/General/F.%20Deliverables/Draft%20IA%20for%20early%20assessment%20(v2%20-%20post%20OIA%20feedback)/November%202023%20version/%3chttps:/www.foodstandards.gov.au/code/applications/Pages/a1212.aspx%3e" TargetMode="External"/><Relationship Id="rId1" Type="http://schemas.openxmlformats.org/officeDocument/2006/relationships/hyperlink" Target="https://www.ag.gov.au/rights-and-protections/human-rights-and-anti-discrimination/human-rights-scrutiny/public-sector-guidance-sheets/right-adequate-standard-living-including-food-water-and-housing%23what-is-the-right-to-an-adequate-standard-of-living" TargetMode="External"/><Relationship Id="rId6" Type="http://schemas.openxmlformats.org/officeDocument/2006/relationships/hyperlink" Target="https://www.irishstatutebook.ie/eli/1998/act/29/enacted/en/pdf" TargetMode="External"/><Relationship Id="rId11" Type="http://schemas.openxmlformats.org/officeDocument/2006/relationships/hyperlink" Target="https://www.canada.ca/en/health-canada/corporate/about-health-canada/reports-publications/health-products-food-branch/health-canada-decision-making-framework-identifying-assessing-managing-health-risks.html" TargetMode="External"/><Relationship Id="rId24" Type="http://schemas.openxmlformats.org/officeDocument/2006/relationships/hyperlink" Target="https://www.mpi.govt.nz/dmsdocument/9596/direct" TargetMode="External"/><Relationship Id="rId5" Type="http://schemas.openxmlformats.org/officeDocument/2006/relationships/hyperlink" Target="https://www.foodstandards.gov.au/code/fofr/pages/default.aspx" TargetMode="External"/><Relationship Id="rId15" Type="http://schemas.openxmlformats.org/officeDocument/2006/relationships/hyperlink" Target="https:/www.efsa.europa.eu/en/data-report/food-consumption-data" TargetMode="External"/><Relationship Id="rId23" Type="http://schemas.openxmlformats.org/officeDocument/2006/relationships/hyperlink" Target="https://www.dewr.gov.au/download/2913/competitiveness-agenda/4035/document/pdf" TargetMode="External"/><Relationship Id="rId28" Type="http://schemas.openxmlformats.org/officeDocument/2006/relationships/hyperlink" Target="https://anfab.org.au/edit/research_projects/ANFAB_2020_Market%20Study.pdf" TargetMode="External"/><Relationship Id="rId10" Type="http://schemas.openxmlformats.org/officeDocument/2006/relationships/hyperlink" Target="https://www.canada.ca/en/impact-assessment-agency/services/policy-guidance/practitioners-guide-impact-assessment-act/indigenous-knowledge-under-the-impact-assessment-act.html" TargetMode="External"/><Relationship Id="rId19" Type="http://schemas.openxmlformats.org/officeDocument/2006/relationships/hyperlink" Target="https://www.finance.gov.au/government/managing-commonwealth-resources/implementing-charging-framework-rmg-302/australian-government-cost-recovery-policy" TargetMode="External"/><Relationship Id="rId4" Type="http://schemas.openxmlformats.org/officeDocument/2006/relationships/hyperlink" Target="https://www.mbie.govt.nz/business-and-employment/economic-development/growing-the-food-and-beverage-sector/" TargetMode="External"/><Relationship Id="rId9" Type="http://schemas.openxmlformats.org/officeDocument/2006/relationships/hyperlink" Target="https://www.niaa.gov.au/resource-centre/indigenous-affairs/australia-and-aotearoa-new-zealand-indigenous-collaboration-arrangement" TargetMode="External"/><Relationship Id="rId14" Type="http://schemas.openxmlformats.org/officeDocument/2006/relationships/hyperlink" Target="https://www.fda.gov/drugs/questions-and-answers-fdas-adverse-event-reporting-system-faers/fda-adverse-event-reporting-system-faers-public-dashboard" TargetMode="External"/><Relationship Id="rId22" Type="http://schemas.openxmlformats.org/officeDocument/2006/relationships/hyperlink" Target="https://www.foodstandards.gov.au/publications/Documents/FSANZ%20Annual%20Report%202021-22.pdf" TargetMode="External"/><Relationship Id="rId27" Type="http://schemas.openxmlformats.org/officeDocument/2006/relationships/hyperlink" Target="https://www.foodstandards.gov.au/publications/Documents/Review%20of%20the%20regulatory%20management%20of%20food%20allergens.pdf" TargetMode="External"/><Relationship Id="rId30" Type="http://schemas.openxmlformats.org/officeDocument/2006/relationships/hyperlink" Target="https://www.foodstandards.gov.au/code/applications/Pages/A1226%20-%20Food%20derived%20from%20insect-protecte%20corn%20line%20MON95379.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1713CF619B4984A02EF6290868C64D"/>
        <w:category>
          <w:name w:val="General"/>
          <w:gallery w:val="placeholder"/>
        </w:category>
        <w:types>
          <w:type w:val="bbPlcHdr"/>
        </w:types>
        <w:behaviors>
          <w:behavior w:val="content"/>
        </w:behaviors>
        <w:guid w:val="{F258B5CF-5411-4A10-956F-6E553EA5FA7C}"/>
      </w:docPartPr>
      <w:docPartBody>
        <w:p w:rsidR="008E4605" w:rsidRDefault="008E460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imSun-ExtB">
    <w:charset w:val="86"/>
    <w:family w:val="modern"/>
    <w:pitch w:val="fixed"/>
    <w:sig w:usb0="00000003" w:usb1="0A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Segoe MDL2 Assets">
    <w:panose1 w:val="050A0102010101010101"/>
    <w:charset w:val="00"/>
    <w:family w:val="roman"/>
    <w:pitch w:val="variable"/>
    <w:sig w:usb0="00000003" w:usb1="10000000" w:usb2="00000000" w:usb3="00000000" w:csb0="00000001" w:csb1="00000000"/>
  </w:font>
  <w:font w:name="@MS UI Gothic">
    <w:charset w:val="80"/>
    <w:family w:val="swiss"/>
    <w:pitch w:val="variable"/>
    <w:sig w:usb0="E00002FF" w:usb1="6AC7FDFB" w:usb2="08000012" w:usb3="00000000" w:csb0="0002009F" w:csb1="00000000"/>
  </w:font>
  <w:font w:name="Sitka Banner">
    <w:panose1 w:val="02000505000000020004"/>
    <w:charset w:val="00"/>
    <w:family w:val="auto"/>
    <w:pitch w:val="variable"/>
    <w:sig w:usb0="A00002EF" w:usb1="4000204B" w:usb2="00000000" w:usb3="00000000" w:csb0="0000019F" w:csb1="00000000"/>
  </w:font>
  <w:font w:name="@NSimSun">
    <w:charset w:val="86"/>
    <w:family w:val="modern"/>
    <w:pitch w:val="fixed"/>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605"/>
    <w:rsid w:val="00007C3E"/>
    <w:rsid w:val="00017CF4"/>
    <w:rsid w:val="000431B1"/>
    <w:rsid w:val="00055CC7"/>
    <w:rsid w:val="00063A1C"/>
    <w:rsid w:val="0007379D"/>
    <w:rsid w:val="000B3D1C"/>
    <w:rsid w:val="000C0CB6"/>
    <w:rsid w:val="000C5F6A"/>
    <w:rsid w:val="000E07AB"/>
    <w:rsid w:val="000F4453"/>
    <w:rsid w:val="00127355"/>
    <w:rsid w:val="00193969"/>
    <w:rsid w:val="001D0BB3"/>
    <w:rsid w:val="001F1C39"/>
    <w:rsid w:val="0020697B"/>
    <w:rsid w:val="002227AD"/>
    <w:rsid w:val="00225778"/>
    <w:rsid w:val="00231BE8"/>
    <w:rsid w:val="00236A86"/>
    <w:rsid w:val="00245680"/>
    <w:rsid w:val="00254EA5"/>
    <w:rsid w:val="002632EA"/>
    <w:rsid w:val="00265ABB"/>
    <w:rsid w:val="0029493B"/>
    <w:rsid w:val="002A19B5"/>
    <w:rsid w:val="002A3D2B"/>
    <w:rsid w:val="002A49DD"/>
    <w:rsid w:val="002A6B52"/>
    <w:rsid w:val="002F1436"/>
    <w:rsid w:val="00301C8D"/>
    <w:rsid w:val="0030249E"/>
    <w:rsid w:val="00314BA5"/>
    <w:rsid w:val="003210A1"/>
    <w:rsid w:val="003253E6"/>
    <w:rsid w:val="00335116"/>
    <w:rsid w:val="0035035E"/>
    <w:rsid w:val="00364D34"/>
    <w:rsid w:val="003737E7"/>
    <w:rsid w:val="00392EB3"/>
    <w:rsid w:val="003A2BF0"/>
    <w:rsid w:val="003C1714"/>
    <w:rsid w:val="003C5031"/>
    <w:rsid w:val="003E6A56"/>
    <w:rsid w:val="003F1529"/>
    <w:rsid w:val="004058B2"/>
    <w:rsid w:val="00405F5C"/>
    <w:rsid w:val="00425B8C"/>
    <w:rsid w:val="00430BA8"/>
    <w:rsid w:val="00455061"/>
    <w:rsid w:val="00464C81"/>
    <w:rsid w:val="00482EFF"/>
    <w:rsid w:val="00490C67"/>
    <w:rsid w:val="004B717C"/>
    <w:rsid w:val="004C1861"/>
    <w:rsid w:val="0051677C"/>
    <w:rsid w:val="00521869"/>
    <w:rsid w:val="00534F21"/>
    <w:rsid w:val="00573A07"/>
    <w:rsid w:val="005A1E1F"/>
    <w:rsid w:val="005A3F50"/>
    <w:rsid w:val="005A752B"/>
    <w:rsid w:val="005C4525"/>
    <w:rsid w:val="005D10FA"/>
    <w:rsid w:val="00621675"/>
    <w:rsid w:val="006323C7"/>
    <w:rsid w:val="006454C3"/>
    <w:rsid w:val="00655D76"/>
    <w:rsid w:val="00685784"/>
    <w:rsid w:val="006F3C86"/>
    <w:rsid w:val="007255CF"/>
    <w:rsid w:val="00744D63"/>
    <w:rsid w:val="00765D90"/>
    <w:rsid w:val="00795340"/>
    <w:rsid w:val="007B21DC"/>
    <w:rsid w:val="007B67D2"/>
    <w:rsid w:val="00806C3D"/>
    <w:rsid w:val="00830B99"/>
    <w:rsid w:val="00844241"/>
    <w:rsid w:val="00871620"/>
    <w:rsid w:val="00894B5C"/>
    <w:rsid w:val="008E4605"/>
    <w:rsid w:val="008F7B2D"/>
    <w:rsid w:val="009073CA"/>
    <w:rsid w:val="00913DC1"/>
    <w:rsid w:val="00924CD0"/>
    <w:rsid w:val="009337DD"/>
    <w:rsid w:val="00934562"/>
    <w:rsid w:val="00956905"/>
    <w:rsid w:val="00967F62"/>
    <w:rsid w:val="00970177"/>
    <w:rsid w:val="009A042E"/>
    <w:rsid w:val="009F5FB7"/>
    <w:rsid w:val="00A10C25"/>
    <w:rsid w:val="00A16472"/>
    <w:rsid w:val="00A32938"/>
    <w:rsid w:val="00A601F6"/>
    <w:rsid w:val="00AA4640"/>
    <w:rsid w:val="00AC5BF4"/>
    <w:rsid w:val="00B0507E"/>
    <w:rsid w:val="00B055C0"/>
    <w:rsid w:val="00B52438"/>
    <w:rsid w:val="00B55DC9"/>
    <w:rsid w:val="00B61863"/>
    <w:rsid w:val="00B910C2"/>
    <w:rsid w:val="00BA53FC"/>
    <w:rsid w:val="00BD140A"/>
    <w:rsid w:val="00BE70ED"/>
    <w:rsid w:val="00C30B1B"/>
    <w:rsid w:val="00C72595"/>
    <w:rsid w:val="00C73F7D"/>
    <w:rsid w:val="00C876AE"/>
    <w:rsid w:val="00C87D48"/>
    <w:rsid w:val="00C91AD8"/>
    <w:rsid w:val="00C921F6"/>
    <w:rsid w:val="00CC627F"/>
    <w:rsid w:val="00CC76B5"/>
    <w:rsid w:val="00CD112C"/>
    <w:rsid w:val="00CE4920"/>
    <w:rsid w:val="00CE736B"/>
    <w:rsid w:val="00D203E6"/>
    <w:rsid w:val="00D342D9"/>
    <w:rsid w:val="00D438F5"/>
    <w:rsid w:val="00D44AB7"/>
    <w:rsid w:val="00D57B52"/>
    <w:rsid w:val="00D62212"/>
    <w:rsid w:val="00D733E1"/>
    <w:rsid w:val="00D8765D"/>
    <w:rsid w:val="00DC4423"/>
    <w:rsid w:val="00DD298A"/>
    <w:rsid w:val="00DE7295"/>
    <w:rsid w:val="00DF797B"/>
    <w:rsid w:val="00E03B57"/>
    <w:rsid w:val="00E46874"/>
    <w:rsid w:val="00EC0FC0"/>
    <w:rsid w:val="00EC7EBE"/>
    <w:rsid w:val="00ED0F51"/>
    <w:rsid w:val="00F17222"/>
    <w:rsid w:val="00F404D3"/>
    <w:rsid w:val="00F67856"/>
    <w:rsid w:val="00F71057"/>
    <w:rsid w:val="00F77009"/>
    <w:rsid w:val="00F84673"/>
    <w:rsid w:val="00FC05D6"/>
    <w:rsid w:val="00FC16E8"/>
    <w:rsid w:val="00FC32C5"/>
    <w:rsid w:val="00FD4027"/>
    <w:rsid w:val="00FF31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687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F3C9EF74896F844B99F178EF43DC0166" ma:contentTypeVersion="" ma:contentTypeDescription="PDMS Document Site Content Type" ma:contentTypeScope="" ma:versionID="8269b35718f11bd055afc28bcffc705b">
  <xsd:schema xmlns:xsd="http://www.w3.org/2001/XMLSchema" xmlns:xs="http://www.w3.org/2001/XMLSchema" xmlns:p="http://schemas.microsoft.com/office/2006/metadata/properties" xmlns:ns2="6658BCA4-7673-47AB-9D50-F6BCF45C197F" targetNamespace="http://schemas.microsoft.com/office/2006/metadata/properties" ma:root="true" ma:fieldsID="0dab9903dbcd6ee88a3c0e943b3e6d65" ns2:_="">
    <xsd:import namespace="6658BCA4-7673-47AB-9D50-F6BCF45C197F"/>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58BCA4-7673-47AB-9D50-F6BCF45C197F"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6658BCA4-7673-47AB-9D50-F6BCF45C197F"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E371D4-E4D5-44A7-895A-EF14DFE06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58BCA4-7673-47AB-9D50-F6BCF45C1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6658BCA4-7673-47AB-9D50-F6BCF45C197F"/>
  </ds:schemaRefs>
</ds:datastoreItem>
</file>

<file path=customXml/itemProps5.xml><?xml version="1.0" encoding="utf-8"?>
<ds:datastoreItem xmlns:ds="http://schemas.openxmlformats.org/officeDocument/2006/customXml" ds:itemID="{25944F0B-9105-4216-8C79-85199AC48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122</Pages>
  <Words>40943</Words>
  <Characters>233378</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Modernising the Food Standards Australia New Zealand Act 1991</vt:lpstr>
    </vt:vector>
  </TitlesOfParts>
  <LinksUpToDate>false</LinksUpToDate>
  <CharactersWithSpaces>273774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Modernising the Food Standards Australia New Zealand Act 1991</dc:title>
  <dc:subject>Impact Analysis</dc:subject>
  <dc:creator>Australian Government Department of Health</dc:creator>
  <cp:keywords/>
  <dc:description/>
  <cp:lastPrinted>2024-02-13T05:19:00Z</cp:lastPrinted>
  <dcterms:created xsi:type="dcterms:W3CDTF">2024-02-15T05:54:00Z</dcterms:created>
  <dcterms:modified xsi:type="dcterms:W3CDTF">2024-02-15T08:46:00Z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0x010100266966F133664895A6EE3632470D45F500F3C9EF74896F844B99F178EF43DC0166</vt:lpwstr>
  </property>
  <property fmtid="{D5CDD505-2E9C-101B-9397-08002B2CF9AE}" pid="3" name="MediaServiceImageTags">
    <vt:lpwstr/>
  </property>
</Properties>
</file>