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8CD" w:rsidRDefault="00A42EE8" w:rsidP="009278CD">
      <w:pPr>
        <w:pStyle w:val="TOCHeading"/>
        <w:spacing w:after="120"/>
        <w:rPr>
          <w:color w:val="auto"/>
          <w:u w:val="single"/>
        </w:rPr>
      </w:pPr>
      <w:r>
        <w:rPr>
          <w:color w:val="auto"/>
          <w:u w:val="single"/>
        </w:rPr>
        <w:t>Implementation</w:t>
      </w:r>
      <w:r w:rsidR="009278CD" w:rsidRPr="00C61392">
        <w:rPr>
          <w:color w:val="auto"/>
          <w:u w:val="single"/>
        </w:rPr>
        <w:t xml:space="preserve"> Plan: </w:t>
      </w:r>
      <w:r w:rsidR="00133279" w:rsidRPr="00C61392">
        <w:rPr>
          <w:color w:val="auto"/>
          <w:u w:val="single"/>
        </w:rPr>
        <w:t>Fifth</w:t>
      </w:r>
      <w:r w:rsidR="009278CD" w:rsidRPr="00C61392">
        <w:rPr>
          <w:color w:val="auto"/>
          <w:u w:val="single"/>
        </w:rPr>
        <w:t xml:space="preserve"> National </w:t>
      </w:r>
      <w:r w:rsidR="00133279" w:rsidRPr="00C61392">
        <w:rPr>
          <w:color w:val="auto"/>
          <w:u w:val="single"/>
        </w:rPr>
        <w:t>Hepatitis C</w:t>
      </w:r>
      <w:r w:rsidR="009278CD" w:rsidRPr="00C61392">
        <w:rPr>
          <w:color w:val="auto"/>
          <w:u w:val="single"/>
        </w:rPr>
        <w:t xml:space="preserve"> Strategy</w:t>
      </w:r>
    </w:p>
    <w:p w:rsidR="00CA1ADB" w:rsidRDefault="00CA1ADB" w:rsidP="00CA1ADB">
      <w:r>
        <w:t xml:space="preserve">Name/organisation: </w:t>
      </w:r>
    </w:p>
    <w:p w:rsidR="00CA1ADB" w:rsidRPr="00CA1ADB" w:rsidRDefault="00CA1ADB" w:rsidP="00CA1ADB">
      <w:r>
        <w:t xml:space="preserve">Email contact: </w:t>
      </w:r>
    </w:p>
    <w:tbl>
      <w:tblPr>
        <w:tblW w:w="21080" w:type="dxa"/>
        <w:tblInd w:w="1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211"/>
        <w:gridCol w:w="399"/>
        <w:gridCol w:w="5628"/>
        <w:gridCol w:w="1943"/>
        <w:gridCol w:w="3428"/>
        <w:gridCol w:w="3513"/>
        <w:gridCol w:w="1958"/>
      </w:tblGrid>
      <w:tr w:rsidR="0033041E" w:rsidRPr="000245C4" w:rsidTr="0033041E">
        <w:trPr>
          <w:trHeight w:val="1455"/>
          <w:tblHeader/>
        </w:trPr>
        <w:tc>
          <w:tcPr>
            <w:tcW w:w="4211" w:type="dxa"/>
            <w:shd w:val="clear" w:color="auto" w:fill="800080"/>
            <w:hideMark/>
          </w:tcPr>
          <w:p w:rsidR="0033041E" w:rsidRPr="00C61392" w:rsidRDefault="0033041E" w:rsidP="000245C4">
            <w:pPr>
              <w:spacing w:after="0" w:line="240" w:lineRule="auto"/>
              <w:jc w:val="center"/>
              <w:rPr>
                <w:rFonts w:ascii="Calibri" w:eastAsia="Times New Roman" w:hAnsi="Calibri" w:cs="Calibri"/>
                <w:b/>
                <w:color w:val="FFFFFF" w:themeColor="background1"/>
                <w:sz w:val="18"/>
                <w:szCs w:val="18"/>
                <w:lang w:eastAsia="en-AU"/>
              </w:rPr>
            </w:pPr>
            <w:bookmarkStart w:id="0" w:name="_GoBack" w:colFirst="7" w:colLast="7"/>
            <w:r w:rsidRPr="00C61392">
              <w:rPr>
                <w:rFonts w:ascii="Calibri" w:eastAsia="Times New Roman" w:hAnsi="Calibri" w:cs="Calibri"/>
                <w:b/>
                <w:color w:val="FFFFFF" w:themeColor="background1"/>
                <w:sz w:val="18"/>
                <w:szCs w:val="18"/>
                <w:lang w:eastAsia="en-AU"/>
              </w:rPr>
              <w:t xml:space="preserve">Higher-level Priority Areas </w:t>
            </w:r>
          </w:p>
        </w:tc>
        <w:tc>
          <w:tcPr>
            <w:tcW w:w="399" w:type="dxa"/>
            <w:shd w:val="clear" w:color="auto" w:fill="800080"/>
            <w:hideMark/>
          </w:tcPr>
          <w:p w:rsidR="0033041E" w:rsidRPr="00C61392" w:rsidRDefault="0033041E" w:rsidP="000245C4">
            <w:pPr>
              <w:spacing w:after="0" w:line="240" w:lineRule="auto"/>
              <w:jc w:val="center"/>
              <w:rPr>
                <w:rFonts w:ascii="Calibri" w:eastAsia="Times New Roman" w:hAnsi="Calibri" w:cs="Calibri"/>
                <w:b/>
                <w:color w:val="FFFFFF" w:themeColor="background1"/>
                <w:sz w:val="18"/>
                <w:szCs w:val="18"/>
                <w:lang w:eastAsia="en-AU"/>
              </w:rPr>
            </w:pPr>
            <w:r w:rsidRPr="00C61392">
              <w:rPr>
                <w:rFonts w:ascii="Calibri" w:eastAsia="Times New Roman" w:hAnsi="Calibri" w:cs="Calibri"/>
                <w:b/>
                <w:color w:val="FFFFFF" w:themeColor="background1"/>
                <w:sz w:val="18"/>
                <w:szCs w:val="18"/>
                <w:lang w:eastAsia="en-AU"/>
              </w:rPr>
              <w:t> </w:t>
            </w:r>
          </w:p>
        </w:tc>
        <w:tc>
          <w:tcPr>
            <w:tcW w:w="5628" w:type="dxa"/>
            <w:shd w:val="clear" w:color="auto" w:fill="800080"/>
            <w:hideMark/>
          </w:tcPr>
          <w:p w:rsidR="0033041E" w:rsidRPr="00C61392" w:rsidRDefault="0033041E" w:rsidP="000245C4">
            <w:pPr>
              <w:spacing w:after="0" w:line="240" w:lineRule="auto"/>
              <w:jc w:val="center"/>
              <w:rPr>
                <w:rFonts w:ascii="Calibri" w:eastAsia="Times New Roman" w:hAnsi="Calibri" w:cs="Calibri"/>
                <w:b/>
                <w:color w:val="FFFFFF" w:themeColor="background1"/>
                <w:sz w:val="18"/>
                <w:szCs w:val="18"/>
                <w:lang w:eastAsia="en-AU"/>
              </w:rPr>
            </w:pPr>
            <w:r w:rsidRPr="00C61392">
              <w:rPr>
                <w:rFonts w:ascii="Calibri" w:eastAsia="Times New Roman" w:hAnsi="Calibri" w:cs="Calibri"/>
                <w:b/>
                <w:color w:val="FFFFFF" w:themeColor="background1"/>
                <w:sz w:val="18"/>
                <w:szCs w:val="18"/>
                <w:lang w:eastAsia="en-AU"/>
              </w:rPr>
              <w:t>Key area for action</w:t>
            </w:r>
          </w:p>
        </w:tc>
        <w:tc>
          <w:tcPr>
            <w:tcW w:w="1943" w:type="dxa"/>
            <w:shd w:val="clear" w:color="auto" w:fill="800080"/>
            <w:hideMark/>
          </w:tcPr>
          <w:p w:rsidR="0033041E" w:rsidRPr="00C61392" w:rsidRDefault="0033041E" w:rsidP="000245C4">
            <w:pPr>
              <w:spacing w:after="0" w:line="240" w:lineRule="auto"/>
              <w:jc w:val="center"/>
              <w:rPr>
                <w:rFonts w:ascii="Calibri" w:eastAsia="Times New Roman" w:hAnsi="Calibri" w:cs="Calibri"/>
                <w:b/>
                <w:color w:val="FFFFFF" w:themeColor="background1"/>
                <w:sz w:val="18"/>
                <w:szCs w:val="18"/>
                <w:lang w:eastAsia="en-AU"/>
              </w:rPr>
            </w:pPr>
            <w:r w:rsidRPr="00C61392">
              <w:rPr>
                <w:rFonts w:ascii="Calibri" w:eastAsia="Times New Roman" w:hAnsi="Calibri" w:cs="Calibri"/>
                <w:b/>
                <w:color w:val="FFFFFF" w:themeColor="background1"/>
                <w:sz w:val="18"/>
                <w:szCs w:val="18"/>
                <w:lang w:eastAsia="en-AU"/>
              </w:rPr>
              <w:t>PRIORITY FOR ACTION:</w:t>
            </w:r>
          </w:p>
          <w:p w:rsidR="0033041E" w:rsidRPr="00C61392" w:rsidRDefault="0033041E" w:rsidP="000245C4">
            <w:pPr>
              <w:spacing w:after="0" w:line="240" w:lineRule="auto"/>
              <w:jc w:val="center"/>
              <w:rPr>
                <w:rFonts w:ascii="Calibri" w:eastAsia="Times New Roman" w:hAnsi="Calibri" w:cs="Calibri"/>
                <w:b/>
                <w:color w:val="FFFFFF" w:themeColor="background1"/>
                <w:sz w:val="18"/>
                <w:szCs w:val="18"/>
                <w:lang w:eastAsia="en-AU"/>
              </w:rPr>
            </w:pPr>
            <w:r w:rsidRPr="00C61392">
              <w:rPr>
                <w:rFonts w:ascii="Calibri" w:eastAsia="Times New Roman" w:hAnsi="Calibri" w:cs="Calibri"/>
                <w:b/>
                <w:color w:val="FFFFFF" w:themeColor="background1"/>
                <w:sz w:val="18"/>
                <w:szCs w:val="18"/>
                <w:lang w:eastAsia="en-AU"/>
              </w:rPr>
              <w:br/>
              <w:t>H = highest priority for 2019/20</w:t>
            </w:r>
            <w:r w:rsidRPr="00C61392">
              <w:rPr>
                <w:rFonts w:ascii="Calibri" w:eastAsia="Times New Roman" w:hAnsi="Calibri" w:cs="Calibri"/>
                <w:b/>
                <w:color w:val="FFFFFF" w:themeColor="background1"/>
                <w:sz w:val="18"/>
                <w:szCs w:val="18"/>
                <w:lang w:eastAsia="en-AU"/>
              </w:rPr>
              <w:br/>
              <w:t>L = lower priority - to commence 2021/22</w:t>
            </w:r>
          </w:p>
        </w:tc>
        <w:tc>
          <w:tcPr>
            <w:tcW w:w="3428" w:type="dxa"/>
            <w:shd w:val="clear" w:color="auto" w:fill="800080"/>
            <w:hideMark/>
          </w:tcPr>
          <w:p w:rsidR="0033041E" w:rsidRPr="00C61392" w:rsidRDefault="0033041E" w:rsidP="008F50BF">
            <w:pPr>
              <w:spacing w:after="0" w:line="240" w:lineRule="auto"/>
              <w:jc w:val="center"/>
              <w:rPr>
                <w:rFonts w:ascii="Calibri" w:eastAsia="Times New Roman" w:hAnsi="Calibri" w:cs="Calibri"/>
                <w:b/>
                <w:color w:val="FFFFFF" w:themeColor="background1"/>
                <w:sz w:val="18"/>
                <w:szCs w:val="18"/>
                <w:lang w:eastAsia="en-AU"/>
              </w:rPr>
            </w:pPr>
            <w:r w:rsidRPr="00C61392">
              <w:rPr>
                <w:rFonts w:ascii="Calibri" w:eastAsia="Times New Roman" w:hAnsi="Calibri" w:cs="Calibri"/>
                <w:b/>
                <w:color w:val="FFFFFF" w:themeColor="background1"/>
                <w:sz w:val="18"/>
                <w:szCs w:val="18"/>
                <w:lang w:eastAsia="en-AU"/>
              </w:rPr>
              <w:t>CURRENT ACTIVITIES:</w:t>
            </w:r>
          </w:p>
          <w:p w:rsidR="0033041E" w:rsidRPr="00C61392" w:rsidRDefault="0033041E" w:rsidP="008F50BF">
            <w:pPr>
              <w:spacing w:after="0" w:line="240" w:lineRule="auto"/>
              <w:jc w:val="center"/>
              <w:rPr>
                <w:rFonts w:ascii="Calibri" w:eastAsia="Times New Roman" w:hAnsi="Calibri" w:cs="Calibri"/>
                <w:b/>
                <w:color w:val="FFFFFF" w:themeColor="background1"/>
                <w:sz w:val="18"/>
                <w:szCs w:val="18"/>
                <w:lang w:eastAsia="en-AU"/>
              </w:rPr>
            </w:pPr>
            <w:r w:rsidRPr="00C61392">
              <w:rPr>
                <w:rFonts w:ascii="Calibri" w:eastAsia="Times New Roman" w:hAnsi="Calibri" w:cs="Calibri"/>
                <w:b/>
                <w:color w:val="FFFFFF" w:themeColor="background1"/>
                <w:sz w:val="18"/>
                <w:szCs w:val="18"/>
                <w:lang w:eastAsia="en-AU"/>
              </w:rPr>
              <w:br/>
              <w:t>What current main activities are supporting this key area for action?</w:t>
            </w:r>
          </w:p>
        </w:tc>
        <w:tc>
          <w:tcPr>
            <w:tcW w:w="3513" w:type="dxa"/>
            <w:shd w:val="clear" w:color="auto" w:fill="800080"/>
            <w:hideMark/>
          </w:tcPr>
          <w:p w:rsidR="0033041E" w:rsidRPr="00C61392" w:rsidRDefault="0033041E" w:rsidP="000245C4">
            <w:pPr>
              <w:spacing w:after="0" w:line="240" w:lineRule="auto"/>
              <w:jc w:val="center"/>
              <w:rPr>
                <w:rFonts w:ascii="Calibri" w:eastAsia="Times New Roman" w:hAnsi="Calibri" w:cs="Calibri"/>
                <w:b/>
                <w:color w:val="FFFFFF" w:themeColor="background1"/>
                <w:sz w:val="18"/>
                <w:szCs w:val="18"/>
                <w:lang w:eastAsia="en-AU"/>
              </w:rPr>
            </w:pPr>
            <w:r w:rsidRPr="00C61392">
              <w:rPr>
                <w:rFonts w:ascii="Calibri" w:eastAsia="Times New Roman" w:hAnsi="Calibri" w:cs="Calibri"/>
                <w:b/>
                <w:color w:val="FFFFFF" w:themeColor="background1"/>
                <w:sz w:val="18"/>
                <w:szCs w:val="18"/>
                <w:lang w:eastAsia="en-AU"/>
              </w:rPr>
              <w:t xml:space="preserve">NEXT STEPS: </w:t>
            </w:r>
          </w:p>
          <w:p w:rsidR="0033041E" w:rsidRPr="00C61392" w:rsidRDefault="0033041E" w:rsidP="000245C4">
            <w:pPr>
              <w:spacing w:after="0" w:line="240" w:lineRule="auto"/>
              <w:jc w:val="center"/>
              <w:rPr>
                <w:rFonts w:ascii="Calibri" w:eastAsia="Times New Roman" w:hAnsi="Calibri" w:cs="Calibri"/>
                <w:b/>
                <w:color w:val="FFFFFF" w:themeColor="background1"/>
                <w:sz w:val="18"/>
                <w:szCs w:val="18"/>
                <w:lang w:eastAsia="en-AU"/>
              </w:rPr>
            </w:pPr>
            <w:r w:rsidRPr="00C61392">
              <w:rPr>
                <w:rFonts w:ascii="Calibri" w:eastAsia="Times New Roman" w:hAnsi="Calibri" w:cs="Calibri"/>
                <w:b/>
                <w:color w:val="FFFFFF" w:themeColor="background1"/>
                <w:sz w:val="18"/>
                <w:szCs w:val="18"/>
                <w:lang w:eastAsia="en-AU"/>
              </w:rPr>
              <w:br/>
              <w:t>What additional activity is needed to progress this key area for action?</w:t>
            </w:r>
          </w:p>
        </w:tc>
        <w:tc>
          <w:tcPr>
            <w:tcW w:w="1958" w:type="dxa"/>
            <w:shd w:val="clear" w:color="auto" w:fill="800080"/>
            <w:hideMark/>
          </w:tcPr>
          <w:p w:rsidR="0033041E" w:rsidRPr="00C61392" w:rsidRDefault="0033041E" w:rsidP="000245C4">
            <w:pPr>
              <w:spacing w:after="0" w:line="240" w:lineRule="auto"/>
              <w:jc w:val="center"/>
              <w:rPr>
                <w:rFonts w:ascii="Calibri" w:eastAsia="Times New Roman" w:hAnsi="Calibri" w:cs="Calibri"/>
                <w:b/>
                <w:color w:val="FFFFFF" w:themeColor="background1"/>
                <w:sz w:val="18"/>
                <w:szCs w:val="18"/>
                <w:lang w:eastAsia="en-AU"/>
              </w:rPr>
            </w:pPr>
            <w:r w:rsidRPr="00C61392">
              <w:rPr>
                <w:rFonts w:ascii="Calibri" w:eastAsia="Times New Roman" w:hAnsi="Calibri" w:cs="Calibri"/>
                <w:b/>
                <w:color w:val="FFFFFF" w:themeColor="background1"/>
                <w:sz w:val="18"/>
                <w:szCs w:val="18"/>
                <w:lang w:eastAsia="en-AU"/>
              </w:rPr>
              <w:t>Who is the lead for initiating / implementing this additional action?</w:t>
            </w:r>
          </w:p>
        </w:tc>
      </w:tr>
      <w:tr w:rsidR="0033041E" w:rsidRPr="000245C4" w:rsidTr="0033041E">
        <w:trPr>
          <w:trHeight w:val="1005"/>
        </w:trPr>
        <w:tc>
          <w:tcPr>
            <w:tcW w:w="4211" w:type="dxa"/>
            <w:vMerge w:val="restart"/>
            <w:shd w:val="clear" w:color="auto" w:fill="auto"/>
            <w:hideMark/>
          </w:tcPr>
          <w:p w:rsidR="0033041E" w:rsidRDefault="0033041E" w:rsidP="00BA6BEF">
            <w:pPr>
              <w:spacing w:after="0" w:line="240" w:lineRule="auto"/>
              <w:rPr>
                <w:rFonts w:ascii="Calibri" w:eastAsia="Times New Roman" w:hAnsi="Calibri" w:cs="Calibri"/>
                <w:sz w:val="18"/>
                <w:szCs w:val="18"/>
                <w:lang w:eastAsia="en-AU"/>
              </w:rPr>
            </w:pPr>
            <w:r w:rsidRPr="000245C4">
              <w:rPr>
                <w:rFonts w:ascii="Calibri" w:eastAsia="Times New Roman" w:hAnsi="Calibri" w:cs="Calibri"/>
                <w:sz w:val="18"/>
                <w:szCs w:val="18"/>
                <w:u w:val="single"/>
                <w:lang w:eastAsia="en-AU"/>
              </w:rPr>
              <w:t xml:space="preserve">Education and </w:t>
            </w:r>
            <w:r>
              <w:rPr>
                <w:rFonts w:ascii="Calibri" w:eastAsia="Times New Roman" w:hAnsi="Calibri" w:cs="Calibri"/>
                <w:sz w:val="18"/>
                <w:szCs w:val="18"/>
                <w:u w:val="single"/>
                <w:lang w:eastAsia="en-AU"/>
              </w:rPr>
              <w:t>p</w:t>
            </w:r>
            <w:r w:rsidRPr="000245C4">
              <w:rPr>
                <w:rFonts w:ascii="Calibri" w:eastAsia="Times New Roman" w:hAnsi="Calibri" w:cs="Calibri"/>
                <w:sz w:val="18"/>
                <w:szCs w:val="18"/>
                <w:u w:val="single"/>
                <w:lang w:eastAsia="en-AU"/>
              </w:rPr>
              <w:t xml:space="preserve">revention </w:t>
            </w:r>
            <w:r w:rsidRPr="000245C4">
              <w:rPr>
                <w:rFonts w:ascii="Calibri" w:eastAsia="Times New Roman" w:hAnsi="Calibri" w:cs="Calibri"/>
                <w:sz w:val="18"/>
                <w:szCs w:val="18"/>
                <w:lang w:eastAsia="en-AU"/>
              </w:rPr>
              <w:br/>
            </w:r>
            <w:r w:rsidRPr="000245C4">
              <w:rPr>
                <w:rFonts w:ascii="Calibri" w:eastAsia="Times New Roman" w:hAnsi="Calibri" w:cs="Calibri"/>
                <w:i/>
                <w:iCs/>
                <w:sz w:val="18"/>
                <w:szCs w:val="18"/>
                <w:lang w:eastAsia="en-AU"/>
              </w:rPr>
              <w:br/>
            </w:r>
            <w:r w:rsidRPr="00BA6BEF">
              <w:rPr>
                <w:rFonts w:ascii="Calibri" w:eastAsia="Times New Roman" w:hAnsi="Calibri" w:cs="Calibri"/>
                <w:sz w:val="18"/>
                <w:szCs w:val="18"/>
                <w:lang w:eastAsia="en-AU"/>
              </w:rPr>
              <w:t>Improve knowledge and awareness of hepatitis C in the general community and priority populations, to support prevention of transmission and engagement in testing and treatment</w:t>
            </w:r>
          </w:p>
          <w:p w:rsidR="0033041E" w:rsidRPr="00BA6BEF" w:rsidRDefault="0033041E" w:rsidP="00BA6BEF">
            <w:pPr>
              <w:spacing w:after="0" w:line="240" w:lineRule="auto"/>
              <w:rPr>
                <w:rFonts w:ascii="Calibri" w:eastAsia="Times New Roman" w:hAnsi="Calibri" w:cs="Calibri"/>
                <w:sz w:val="18"/>
                <w:szCs w:val="18"/>
                <w:lang w:eastAsia="en-AU"/>
              </w:rPr>
            </w:pPr>
          </w:p>
          <w:p w:rsidR="0033041E" w:rsidRPr="000245C4" w:rsidRDefault="0033041E" w:rsidP="00BA6BEF">
            <w:pPr>
              <w:spacing w:after="0" w:line="240" w:lineRule="auto"/>
              <w:rPr>
                <w:rFonts w:ascii="Calibri" w:eastAsia="Times New Roman" w:hAnsi="Calibri" w:cs="Calibri"/>
                <w:sz w:val="18"/>
                <w:szCs w:val="18"/>
                <w:lang w:eastAsia="en-AU"/>
              </w:rPr>
            </w:pPr>
            <w:r w:rsidRPr="00BA6BEF">
              <w:rPr>
                <w:rFonts w:ascii="Calibri" w:eastAsia="Times New Roman" w:hAnsi="Calibri" w:cs="Calibri"/>
                <w:sz w:val="18"/>
                <w:szCs w:val="18"/>
                <w:lang w:eastAsia="en-AU"/>
              </w:rPr>
              <w:t>Improve equitable access to successful preventative measures for all priority populations, with a focus on sterile injecting equipment through NSPs</w:t>
            </w:r>
          </w:p>
        </w:tc>
        <w:tc>
          <w:tcPr>
            <w:tcW w:w="399" w:type="dxa"/>
            <w:shd w:val="clear" w:color="auto" w:fill="auto"/>
            <w:hideMark/>
          </w:tcPr>
          <w:p w:rsidR="0033041E" w:rsidRPr="000245C4" w:rsidRDefault="0033041E" w:rsidP="000245C4">
            <w:pPr>
              <w:spacing w:after="0" w:line="240" w:lineRule="auto"/>
              <w:jc w:val="center"/>
              <w:rPr>
                <w:rFonts w:ascii="Calibri" w:eastAsia="Times New Roman" w:hAnsi="Calibri" w:cs="Calibri"/>
                <w:sz w:val="18"/>
                <w:szCs w:val="18"/>
                <w:lang w:eastAsia="en-AU"/>
              </w:rPr>
            </w:pPr>
            <w:r w:rsidRPr="000245C4">
              <w:rPr>
                <w:rFonts w:ascii="Calibri" w:eastAsia="Times New Roman" w:hAnsi="Calibri" w:cs="Calibri"/>
                <w:sz w:val="18"/>
                <w:szCs w:val="18"/>
                <w:lang w:eastAsia="en-AU"/>
              </w:rPr>
              <w:t>1</w:t>
            </w:r>
          </w:p>
        </w:tc>
        <w:tc>
          <w:tcPr>
            <w:tcW w:w="5628" w:type="dxa"/>
            <w:shd w:val="clear" w:color="auto" w:fill="auto"/>
          </w:tcPr>
          <w:p w:rsidR="0033041E" w:rsidRPr="000245C4" w:rsidRDefault="0033041E" w:rsidP="000245C4">
            <w:pPr>
              <w:spacing w:after="0" w:line="240" w:lineRule="auto"/>
              <w:rPr>
                <w:rFonts w:ascii="Calibri" w:eastAsia="Times New Roman" w:hAnsi="Calibri" w:cs="Calibri"/>
                <w:sz w:val="18"/>
                <w:szCs w:val="18"/>
                <w:lang w:eastAsia="en-AU"/>
              </w:rPr>
            </w:pPr>
            <w:r w:rsidRPr="000D06CA">
              <w:rPr>
                <w:rFonts w:ascii="Calibri" w:eastAsia="Times New Roman" w:hAnsi="Calibri" w:cs="Calibri"/>
                <w:sz w:val="18"/>
                <w:szCs w:val="18"/>
                <w:lang w:eastAsia="en-AU"/>
              </w:rPr>
              <w:t>Implement a national hepatitis C public education initiative which incorporates a focus on transmission routes, risks and evidence-based prevention strategies</w:t>
            </w:r>
          </w:p>
        </w:tc>
        <w:tc>
          <w:tcPr>
            <w:tcW w:w="1943" w:type="dxa"/>
            <w:shd w:val="clear" w:color="auto" w:fill="auto"/>
            <w:hideMark/>
          </w:tcPr>
          <w:p w:rsidR="0033041E" w:rsidRPr="000245C4" w:rsidRDefault="0033041E" w:rsidP="000245C4">
            <w:pPr>
              <w:spacing w:after="0" w:line="240" w:lineRule="auto"/>
              <w:rPr>
                <w:rFonts w:ascii="Segoe UI" w:eastAsia="Times New Roman" w:hAnsi="Segoe UI" w:cs="Segoe UI"/>
                <w:color w:val="000000"/>
                <w:sz w:val="18"/>
                <w:szCs w:val="18"/>
                <w:lang w:eastAsia="en-AU"/>
              </w:rPr>
            </w:pPr>
            <w:r w:rsidRPr="000245C4">
              <w:rPr>
                <w:rFonts w:ascii="Segoe UI" w:eastAsia="Times New Roman" w:hAnsi="Segoe UI" w:cs="Segoe UI"/>
                <w:color w:val="000000"/>
                <w:sz w:val="18"/>
                <w:szCs w:val="18"/>
                <w:lang w:eastAsia="en-AU"/>
              </w:rPr>
              <w:t> </w:t>
            </w:r>
          </w:p>
        </w:tc>
        <w:tc>
          <w:tcPr>
            <w:tcW w:w="3428" w:type="dxa"/>
            <w:shd w:val="clear" w:color="auto" w:fill="auto"/>
            <w:hideMark/>
          </w:tcPr>
          <w:p w:rsidR="0033041E" w:rsidRPr="000245C4" w:rsidRDefault="0033041E" w:rsidP="000245C4">
            <w:pPr>
              <w:spacing w:after="0" w:line="240" w:lineRule="auto"/>
              <w:rPr>
                <w:rFonts w:ascii="Segoe UI" w:eastAsia="Times New Roman" w:hAnsi="Segoe UI" w:cs="Segoe UI"/>
                <w:color w:val="000000"/>
                <w:sz w:val="18"/>
                <w:szCs w:val="18"/>
                <w:lang w:eastAsia="en-AU"/>
              </w:rPr>
            </w:pPr>
            <w:r w:rsidRPr="000245C4">
              <w:rPr>
                <w:rFonts w:ascii="Segoe UI" w:eastAsia="Times New Roman" w:hAnsi="Segoe UI" w:cs="Segoe UI"/>
                <w:color w:val="000000"/>
                <w:sz w:val="18"/>
                <w:szCs w:val="18"/>
                <w:lang w:eastAsia="en-AU"/>
              </w:rPr>
              <w:t> </w:t>
            </w:r>
          </w:p>
        </w:tc>
        <w:tc>
          <w:tcPr>
            <w:tcW w:w="3513" w:type="dxa"/>
            <w:shd w:val="clear" w:color="auto" w:fill="auto"/>
            <w:hideMark/>
          </w:tcPr>
          <w:p w:rsidR="0033041E" w:rsidRPr="000245C4" w:rsidRDefault="0033041E" w:rsidP="000245C4">
            <w:pPr>
              <w:spacing w:after="0" w:line="240" w:lineRule="auto"/>
              <w:rPr>
                <w:rFonts w:ascii="Segoe UI" w:eastAsia="Times New Roman" w:hAnsi="Segoe UI" w:cs="Segoe UI"/>
                <w:color w:val="000000"/>
                <w:sz w:val="18"/>
                <w:szCs w:val="18"/>
                <w:lang w:eastAsia="en-AU"/>
              </w:rPr>
            </w:pPr>
            <w:r w:rsidRPr="000245C4">
              <w:rPr>
                <w:rFonts w:ascii="Segoe UI" w:eastAsia="Times New Roman" w:hAnsi="Segoe UI" w:cs="Segoe UI"/>
                <w:color w:val="000000"/>
                <w:sz w:val="18"/>
                <w:szCs w:val="18"/>
                <w:lang w:eastAsia="en-AU"/>
              </w:rPr>
              <w:t> </w:t>
            </w:r>
          </w:p>
        </w:tc>
        <w:tc>
          <w:tcPr>
            <w:tcW w:w="1958" w:type="dxa"/>
            <w:shd w:val="clear" w:color="auto" w:fill="auto"/>
            <w:hideMark/>
          </w:tcPr>
          <w:p w:rsidR="0033041E" w:rsidRPr="000245C4" w:rsidRDefault="0033041E" w:rsidP="000245C4">
            <w:pPr>
              <w:spacing w:after="0" w:line="240" w:lineRule="auto"/>
              <w:rPr>
                <w:rFonts w:ascii="Calibri" w:eastAsia="Times New Roman" w:hAnsi="Calibri" w:cs="Calibri"/>
                <w:color w:val="000000"/>
                <w:sz w:val="18"/>
                <w:szCs w:val="18"/>
                <w:lang w:eastAsia="en-AU"/>
              </w:rPr>
            </w:pPr>
            <w:r w:rsidRPr="000245C4">
              <w:rPr>
                <w:rFonts w:ascii="Calibri" w:eastAsia="Times New Roman" w:hAnsi="Calibri" w:cs="Calibri"/>
                <w:color w:val="000000"/>
                <w:sz w:val="18"/>
                <w:szCs w:val="18"/>
                <w:lang w:eastAsia="en-AU"/>
              </w:rPr>
              <w:t> </w:t>
            </w:r>
          </w:p>
        </w:tc>
      </w:tr>
      <w:tr w:rsidR="0033041E" w:rsidRPr="000245C4" w:rsidTr="0033041E">
        <w:trPr>
          <w:trHeight w:val="540"/>
        </w:trPr>
        <w:tc>
          <w:tcPr>
            <w:tcW w:w="4211" w:type="dxa"/>
            <w:vMerge/>
            <w:vAlign w:val="center"/>
            <w:hideMark/>
          </w:tcPr>
          <w:p w:rsidR="0033041E" w:rsidRPr="000245C4" w:rsidRDefault="0033041E" w:rsidP="000245C4">
            <w:pPr>
              <w:spacing w:after="0" w:line="240" w:lineRule="auto"/>
              <w:rPr>
                <w:rFonts w:ascii="Calibri" w:eastAsia="Times New Roman" w:hAnsi="Calibri" w:cs="Calibri"/>
                <w:sz w:val="18"/>
                <w:szCs w:val="18"/>
                <w:lang w:eastAsia="en-AU"/>
              </w:rPr>
            </w:pPr>
          </w:p>
        </w:tc>
        <w:tc>
          <w:tcPr>
            <w:tcW w:w="399" w:type="dxa"/>
            <w:shd w:val="clear" w:color="auto" w:fill="auto"/>
            <w:hideMark/>
          </w:tcPr>
          <w:p w:rsidR="0033041E" w:rsidRPr="000245C4" w:rsidRDefault="0033041E" w:rsidP="000245C4">
            <w:pPr>
              <w:spacing w:after="0" w:line="240" w:lineRule="auto"/>
              <w:jc w:val="center"/>
              <w:rPr>
                <w:rFonts w:ascii="Calibri" w:eastAsia="Times New Roman" w:hAnsi="Calibri" w:cs="Calibri"/>
                <w:color w:val="000000"/>
                <w:sz w:val="18"/>
                <w:szCs w:val="18"/>
                <w:lang w:eastAsia="en-AU"/>
              </w:rPr>
            </w:pPr>
            <w:r w:rsidRPr="000245C4">
              <w:rPr>
                <w:rFonts w:ascii="Calibri" w:eastAsia="Times New Roman" w:hAnsi="Calibri" w:cs="Calibri"/>
                <w:color w:val="000000"/>
                <w:sz w:val="18"/>
                <w:szCs w:val="18"/>
                <w:lang w:eastAsia="en-AU"/>
              </w:rPr>
              <w:t>2</w:t>
            </w:r>
          </w:p>
        </w:tc>
        <w:tc>
          <w:tcPr>
            <w:tcW w:w="5628" w:type="dxa"/>
            <w:shd w:val="clear" w:color="auto" w:fill="auto"/>
          </w:tcPr>
          <w:p w:rsidR="0033041E" w:rsidRPr="000245C4" w:rsidRDefault="0033041E" w:rsidP="000245C4">
            <w:pPr>
              <w:spacing w:after="0" w:line="240" w:lineRule="auto"/>
              <w:rPr>
                <w:rFonts w:ascii="Calibri" w:eastAsia="Times New Roman" w:hAnsi="Calibri" w:cs="Calibri"/>
                <w:sz w:val="18"/>
                <w:szCs w:val="18"/>
                <w:lang w:eastAsia="en-AU"/>
              </w:rPr>
            </w:pPr>
            <w:r w:rsidRPr="000D06CA">
              <w:rPr>
                <w:rFonts w:ascii="Calibri" w:eastAsia="Times New Roman" w:hAnsi="Calibri" w:cs="Calibri"/>
                <w:sz w:val="18"/>
                <w:szCs w:val="18"/>
                <w:lang w:eastAsia="en-AU"/>
              </w:rPr>
              <w:t>Scale up access to tailored information, education and prevention programs (including peer-based programs, in-language and low literacy resources) targeting each priority population across priority settings, to improve hepatitis C related health literacy, promote transmission risk mitigation, and support engagement in testing and treatment</w:t>
            </w:r>
          </w:p>
        </w:tc>
        <w:tc>
          <w:tcPr>
            <w:tcW w:w="1943" w:type="dxa"/>
            <w:shd w:val="clear" w:color="auto" w:fill="auto"/>
            <w:hideMark/>
          </w:tcPr>
          <w:p w:rsidR="0033041E" w:rsidRPr="000245C4" w:rsidRDefault="0033041E" w:rsidP="000245C4">
            <w:pPr>
              <w:spacing w:after="0" w:line="240" w:lineRule="auto"/>
              <w:rPr>
                <w:rFonts w:ascii="Segoe UI" w:eastAsia="Times New Roman" w:hAnsi="Segoe UI" w:cs="Segoe UI"/>
                <w:color w:val="000000"/>
                <w:sz w:val="18"/>
                <w:szCs w:val="18"/>
                <w:lang w:eastAsia="en-AU"/>
              </w:rPr>
            </w:pPr>
            <w:r w:rsidRPr="000245C4">
              <w:rPr>
                <w:rFonts w:ascii="Segoe UI" w:eastAsia="Times New Roman" w:hAnsi="Segoe UI" w:cs="Segoe UI"/>
                <w:color w:val="000000"/>
                <w:sz w:val="18"/>
                <w:szCs w:val="18"/>
                <w:lang w:eastAsia="en-AU"/>
              </w:rPr>
              <w:t> </w:t>
            </w:r>
          </w:p>
        </w:tc>
        <w:tc>
          <w:tcPr>
            <w:tcW w:w="3428" w:type="dxa"/>
            <w:shd w:val="clear" w:color="auto" w:fill="auto"/>
            <w:hideMark/>
          </w:tcPr>
          <w:p w:rsidR="0033041E" w:rsidRPr="000245C4" w:rsidRDefault="0033041E" w:rsidP="000245C4">
            <w:pPr>
              <w:spacing w:after="0" w:line="240" w:lineRule="auto"/>
              <w:rPr>
                <w:rFonts w:ascii="Segoe UI" w:eastAsia="Times New Roman" w:hAnsi="Segoe UI" w:cs="Segoe UI"/>
                <w:color w:val="000000"/>
                <w:sz w:val="18"/>
                <w:szCs w:val="18"/>
                <w:lang w:eastAsia="en-AU"/>
              </w:rPr>
            </w:pPr>
            <w:r w:rsidRPr="000245C4">
              <w:rPr>
                <w:rFonts w:ascii="Segoe UI" w:eastAsia="Times New Roman" w:hAnsi="Segoe UI" w:cs="Segoe UI"/>
                <w:color w:val="000000"/>
                <w:sz w:val="18"/>
                <w:szCs w:val="18"/>
                <w:lang w:eastAsia="en-AU"/>
              </w:rPr>
              <w:t> </w:t>
            </w:r>
          </w:p>
        </w:tc>
        <w:tc>
          <w:tcPr>
            <w:tcW w:w="3513" w:type="dxa"/>
            <w:shd w:val="clear" w:color="auto" w:fill="auto"/>
            <w:hideMark/>
          </w:tcPr>
          <w:p w:rsidR="0033041E" w:rsidRPr="000245C4" w:rsidRDefault="0033041E" w:rsidP="000245C4">
            <w:pPr>
              <w:spacing w:after="0" w:line="240" w:lineRule="auto"/>
              <w:rPr>
                <w:rFonts w:ascii="Segoe UI" w:eastAsia="Times New Roman" w:hAnsi="Segoe UI" w:cs="Segoe UI"/>
                <w:color w:val="000000"/>
                <w:sz w:val="18"/>
                <w:szCs w:val="18"/>
                <w:lang w:eastAsia="en-AU"/>
              </w:rPr>
            </w:pPr>
            <w:r w:rsidRPr="000245C4">
              <w:rPr>
                <w:rFonts w:ascii="Segoe UI" w:eastAsia="Times New Roman" w:hAnsi="Segoe UI" w:cs="Segoe UI"/>
                <w:color w:val="000000"/>
                <w:sz w:val="18"/>
                <w:szCs w:val="18"/>
                <w:lang w:eastAsia="en-AU"/>
              </w:rPr>
              <w:t> </w:t>
            </w:r>
          </w:p>
        </w:tc>
        <w:tc>
          <w:tcPr>
            <w:tcW w:w="1958" w:type="dxa"/>
            <w:shd w:val="clear" w:color="auto" w:fill="auto"/>
            <w:hideMark/>
          </w:tcPr>
          <w:p w:rsidR="0033041E" w:rsidRPr="000245C4" w:rsidRDefault="0033041E" w:rsidP="000245C4">
            <w:pPr>
              <w:spacing w:after="0" w:line="240" w:lineRule="auto"/>
              <w:rPr>
                <w:rFonts w:ascii="Calibri" w:eastAsia="Times New Roman" w:hAnsi="Calibri" w:cs="Calibri"/>
                <w:color w:val="000000"/>
                <w:sz w:val="18"/>
                <w:szCs w:val="18"/>
                <w:lang w:eastAsia="en-AU"/>
              </w:rPr>
            </w:pPr>
            <w:r w:rsidRPr="000245C4">
              <w:rPr>
                <w:rFonts w:ascii="Calibri" w:eastAsia="Times New Roman" w:hAnsi="Calibri" w:cs="Calibri"/>
                <w:color w:val="000000"/>
                <w:sz w:val="18"/>
                <w:szCs w:val="18"/>
                <w:lang w:eastAsia="en-AU"/>
              </w:rPr>
              <w:t> </w:t>
            </w:r>
          </w:p>
        </w:tc>
      </w:tr>
      <w:tr w:rsidR="0033041E" w:rsidRPr="000245C4" w:rsidTr="0033041E">
        <w:trPr>
          <w:trHeight w:val="720"/>
        </w:trPr>
        <w:tc>
          <w:tcPr>
            <w:tcW w:w="4211" w:type="dxa"/>
            <w:vMerge/>
            <w:vAlign w:val="center"/>
            <w:hideMark/>
          </w:tcPr>
          <w:p w:rsidR="0033041E" w:rsidRPr="000245C4" w:rsidRDefault="0033041E" w:rsidP="000245C4">
            <w:pPr>
              <w:spacing w:after="0" w:line="240" w:lineRule="auto"/>
              <w:rPr>
                <w:rFonts w:ascii="Calibri" w:eastAsia="Times New Roman" w:hAnsi="Calibri" w:cs="Calibri"/>
                <w:sz w:val="18"/>
                <w:szCs w:val="18"/>
                <w:lang w:eastAsia="en-AU"/>
              </w:rPr>
            </w:pPr>
          </w:p>
        </w:tc>
        <w:tc>
          <w:tcPr>
            <w:tcW w:w="399" w:type="dxa"/>
            <w:shd w:val="clear" w:color="auto" w:fill="auto"/>
            <w:hideMark/>
          </w:tcPr>
          <w:p w:rsidR="0033041E" w:rsidRPr="000245C4" w:rsidRDefault="0033041E" w:rsidP="000245C4">
            <w:pPr>
              <w:spacing w:after="0" w:line="240" w:lineRule="auto"/>
              <w:jc w:val="center"/>
              <w:rPr>
                <w:rFonts w:ascii="Calibri" w:eastAsia="Times New Roman" w:hAnsi="Calibri" w:cs="Calibri"/>
                <w:color w:val="000000"/>
                <w:sz w:val="18"/>
                <w:szCs w:val="18"/>
                <w:lang w:eastAsia="en-AU"/>
              </w:rPr>
            </w:pPr>
            <w:r w:rsidRPr="000245C4">
              <w:rPr>
                <w:rFonts w:ascii="Calibri" w:eastAsia="Times New Roman" w:hAnsi="Calibri" w:cs="Calibri"/>
                <w:color w:val="000000"/>
                <w:sz w:val="18"/>
                <w:szCs w:val="18"/>
                <w:lang w:eastAsia="en-AU"/>
              </w:rPr>
              <w:t>3</w:t>
            </w:r>
          </w:p>
        </w:tc>
        <w:tc>
          <w:tcPr>
            <w:tcW w:w="5628" w:type="dxa"/>
            <w:shd w:val="clear" w:color="auto" w:fill="auto"/>
          </w:tcPr>
          <w:p w:rsidR="0033041E" w:rsidRPr="000245C4" w:rsidRDefault="0033041E" w:rsidP="000245C4">
            <w:pPr>
              <w:spacing w:after="0" w:line="240" w:lineRule="auto"/>
              <w:rPr>
                <w:rFonts w:ascii="Calibri" w:eastAsia="Times New Roman" w:hAnsi="Calibri" w:cs="Calibri"/>
                <w:sz w:val="18"/>
                <w:szCs w:val="18"/>
                <w:lang w:eastAsia="en-AU"/>
              </w:rPr>
            </w:pPr>
            <w:r w:rsidRPr="000D06CA">
              <w:rPr>
                <w:rFonts w:ascii="Calibri" w:eastAsia="Times New Roman" w:hAnsi="Calibri" w:cs="Calibri"/>
                <w:sz w:val="18"/>
                <w:szCs w:val="18"/>
                <w:lang w:eastAsia="en-AU"/>
              </w:rPr>
              <w:t>Facilitate the sharing of successful prevention approaches and initiatives and support the adaptation of successful approaches to other priority populations and settings, including custodial settings</w:t>
            </w:r>
          </w:p>
        </w:tc>
        <w:tc>
          <w:tcPr>
            <w:tcW w:w="1943" w:type="dxa"/>
            <w:shd w:val="clear" w:color="auto" w:fill="auto"/>
            <w:hideMark/>
          </w:tcPr>
          <w:p w:rsidR="0033041E" w:rsidRPr="000245C4" w:rsidRDefault="0033041E" w:rsidP="000245C4">
            <w:pPr>
              <w:spacing w:after="0" w:line="240" w:lineRule="auto"/>
              <w:rPr>
                <w:rFonts w:ascii="Calibri" w:eastAsia="Times New Roman" w:hAnsi="Calibri" w:cs="Calibri"/>
                <w:color w:val="000000"/>
                <w:sz w:val="18"/>
                <w:szCs w:val="18"/>
                <w:lang w:eastAsia="en-AU"/>
              </w:rPr>
            </w:pPr>
            <w:r w:rsidRPr="000245C4">
              <w:rPr>
                <w:rFonts w:ascii="Calibri" w:eastAsia="Times New Roman" w:hAnsi="Calibri" w:cs="Calibri"/>
                <w:color w:val="000000"/>
                <w:sz w:val="18"/>
                <w:szCs w:val="18"/>
                <w:lang w:eastAsia="en-AU"/>
              </w:rPr>
              <w:t> </w:t>
            </w:r>
          </w:p>
        </w:tc>
        <w:tc>
          <w:tcPr>
            <w:tcW w:w="3428" w:type="dxa"/>
            <w:shd w:val="clear" w:color="auto" w:fill="auto"/>
            <w:hideMark/>
          </w:tcPr>
          <w:p w:rsidR="0033041E" w:rsidRPr="000245C4" w:rsidRDefault="0033041E" w:rsidP="000245C4">
            <w:pPr>
              <w:spacing w:after="0" w:line="240" w:lineRule="auto"/>
              <w:rPr>
                <w:rFonts w:ascii="Calibri" w:eastAsia="Times New Roman" w:hAnsi="Calibri" w:cs="Calibri"/>
                <w:color w:val="000000"/>
                <w:sz w:val="18"/>
                <w:szCs w:val="18"/>
                <w:lang w:eastAsia="en-AU"/>
              </w:rPr>
            </w:pPr>
            <w:r w:rsidRPr="000245C4">
              <w:rPr>
                <w:rFonts w:ascii="Calibri" w:eastAsia="Times New Roman" w:hAnsi="Calibri" w:cs="Calibri"/>
                <w:color w:val="000000"/>
                <w:sz w:val="18"/>
                <w:szCs w:val="18"/>
                <w:lang w:eastAsia="en-AU"/>
              </w:rPr>
              <w:t> </w:t>
            </w:r>
          </w:p>
        </w:tc>
        <w:tc>
          <w:tcPr>
            <w:tcW w:w="3513" w:type="dxa"/>
            <w:shd w:val="clear" w:color="auto" w:fill="auto"/>
            <w:hideMark/>
          </w:tcPr>
          <w:p w:rsidR="0033041E" w:rsidRPr="000245C4" w:rsidRDefault="0033041E" w:rsidP="000245C4">
            <w:pPr>
              <w:spacing w:after="0" w:line="240" w:lineRule="auto"/>
              <w:rPr>
                <w:rFonts w:ascii="Calibri" w:eastAsia="Times New Roman" w:hAnsi="Calibri" w:cs="Calibri"/>
                <w:color w:val="000000"/>
                <w:sz w:val="18"/>
                <w:szCs w:val="18"/>
                <w:lang w:eastAsia="en-AU"/>
              </w:rPr>
            </w:pPr>
            <w:r w:rsidRPr="000245C4">
              <w:rPr>
                <w:rFonts w:ascii="Calibri" w:eastAsia="Times New Roman" w:hAnsi="Calibri" w:cs="Calibri"/>
                <w:color w:val="000000"/>
                <w:sz w:val="18"/>
                <w:szCs w:val="18"/>
                <w:lang w:eastAsia="en-AU"/>
              </w:rPr>
              <w:t> </w:t>
            </w:r>
          </w:p>
        </w:tc>
        <w:tc>
          <w:tcPr>
            <w:tcW w:w="1958" w:type="dxa"/>
            <w:shd w:val="clear" w:color="auto" w:fill="auto"/>
            <w:hideMark/>
          </w:tcPr>
          <w:p w:rsidR="0033041E" w:rsidRPr="000245C4" w:rsidRDefault="0033041E" w:rsidP="000245C4">
            <w:pPr>
              <w:spacing w:after="0" w:line="240" w:lineRule="auto"/>
              <w:rPr>
                <w:rFonts w:ascii="Calibri" w:eastAsia="Times New Roman" w:hAnsi="Calibri" w:cs="Calibri"/>
                <w:color w:val="000000"/>
                <w:sz w:val="18"/>
                <w:szCs w:val="18"/>
                <w:lang w:eastAsia="en-AU"/>
              </w:rPr>
            </w:pPr>
            <w:r w:rsidRPr="000245C4">
              <w:rPr>
                <w:rFonts w:ascii="Calibri" w:eastAsia="Times New Roman" w:hAnsi="Calibri" w:cs="Calibri"/>
                <w:color w:val="000000"/>
                <w:sz w:val="18"/>
                <w:szCs w:val="18"/>
                <w:lang w:eastAsia="en-AU"/>
              </w:rPr>
              <w:t> </w:t>
            </w:r>
          </w:p>
        </w:tc>
      </w:tr>
      <w:tr w:rsidR="0033041E" w:rsidRPr="000245C4" w:rsidTr="0033041E">
        <w:trPr>
          <w:trHeight w:val="1440"/>
        </w:trPr>
        <w:tc>
          <w:tcPr>
            <w:tcW w:w="4211" w:type="dxa"/>
            <w:vMerge/>
            <w:vAlign w:val="center"/>
            <w:hideMark/>
          </w:tcPr>
          <w:p w:rsidR="0033041E" w:rsidRPr="000245C4" w:rsidRDefault="0033041E" w:rsidP="000245C4">
            <w:pPr>
              <w:spacing w:after="0" w:line="240" w:lineRule="auto"/>
              <w:rPr>
                <w:rFonts w:ascii="Calibri" w:eastAsia="Times New Roman" w:hAnsi="Calibri" w:cs="Calibri"/>
                <w:sz w:val="18"/>
                <w:szCs w:val="18"/>
                <w:lang w:eastAsia="en-AU"/>
              </w:rPr>
            </w:pPr>
          </w:p>
        </w:tc>
        <w:tc>
          <w:tcPr>
            <w:tcW w:w="399" w:type="dxa"/>
            <w:shd w:val="clear" w:color="auto" w:fill="auto"/>
            <w:hideMark/>
          </w:tcPr>
          <w:p w:rsidR="0033041E" w:rsidRPr="000245C4" w:rsidRDefault="0033041E" w:rsidP="000245C4">
            <w:pPr>
              <w:spacing w:after="0" w:line="240" w:lineRule="auto"/>
              <w:jc w:val="center"/>
              <w:rPr>
                <w:rFonts w:ascii="Calibri" w:eastAsia="Times New Roman" w:hAnsi="Calibri" w:cs="Calibri"/>
                <w:color w:val="000000"/>
                <w:sz w:val="18"/>
                <w:szCs w:val="18"/>
                <w:lang w:eastAsia="en-AU"/>
              </w:rPr>
            </w:pPr>
            <w:r w:rsidRPr="000245C4">
              <w:rPr>
                <w:rFonts w:ascii="Calibri" w:eastAsia="Times New Roman" w:hAnsi="Calibri" w:cs="Calibri"/>
                <w:color w:val="000000"/>
                <w:sz w:val="18"/>
                <w:szCs w:val="18"/>
                <w:lang w:eastAsia="en-AU"/>
              </w:rPr>
              <w:t>4</w:t>
            </w:r>
          </w:p>
        </w:tc>
        <w:tc>
          <w:tcPr>
            <w:tcW w:w="5628" w:type="dxa"/>
            <w:shd w:val="clear" w:color="auto" w:fill="auto"/>
          </w:tcPr>
          <w:p w:rsidR="0033041E" w:rsidRPr="000245C4" w:rsidRDefault="0033041E" w:rsidP="000245C4">
            <w:pPr>
              <w:spacing w:after="0" w:line="240" w:lineRule="auto"/>
              <w:rPr>
                <w:rFonts w:ascii="Calibri" w:eastAsia="Times New Roman" w:hAnsi="Calibri" w:cs="Calibri"/>
                <w:sz w:val="18"/>
                <w:szCs w:val="18"/>
                <w:lang w:eastAsia="en-AU"/>
              </w:rPr>
            </w:pPr>
            <w:r w:rsidRPr="000D06CA">
              <w:rPr>
                <w:rFonts w:ascii="Calibri" w:eastAsia="Times New Roman" w:hAnsi="Calibri" w:cs="Calibri"/>
                <w:sz w:val="18"/>
                <w:szCs w:val="18"/>
                <w:lang w:eastAsia="en-AU"/>
              </w:rPr>
              <w:t>Increase the availability and distribution of sterile injecting equipment and information on safer injecting among people who inject drugs across all priority settings, including facilitation of peer-based harm reduction initiatives, education and equipment distribution</w:t>
            </w:r>
          </w:p>
        </w:tc>
        <w:tc>
          <w:tcPr>
            <w:tcW w:w="1943" w:type="dxa"/>
            <w:shd w:val="clear" w:color="auto" w:fill="auto"/>
            <w:hideMark/>
          </w:tcPr>
          <w:p w:rsidR="0033041E" w:rsidRPr="000245C4" w:rsidRDefault="0033041E" w:rsidP="000245C4">
            <w:pPr>
              <w:spacing w:after="0" w:line="240" w:lineRule="auto"/>
              <w:rPr>
                <w:rFonts w:ascii="Calibri" w:eastAsia="Times New Roman" w:hAnsi="Calibri" w:cs="Calibri"/>
                <w:color w:val="000000"/>
                <w:sz w:val="18"/>
                <w:szCs w:val="18"/>
                <w:lang w:eastAsia="en-AU"/>
              </w:rPr>
            </w:pPr>
            <w:r w:rsidRPr="000245C4">
              <w:rPr>
                <w:rFonts w:ascii="Calibri" w:eastAsia="Times New Roman" w:hAnsi="Calibri" w:cs="Calibri"/>
                <w:color w:val="000000"/>
                <w:sz w:val="18"/>
                <w:szCs w:val="18"/>
                <w:lang w:eastAsia="en-AU"/>
              </w:rPr>
              <w:t> </w:t>
            </w:r>
          </w:p>
        </w:tc>
        <w:tc>
          <w:tcPr>
            <w:tcW w:w="3428" w:type="dxa"/>
            <w:shd w:val="clear" w:color="auto" w:fill="auto"/>
            <w:hideMark/>
          </w:tcPr>
          <w:p w:rsidR="0033041E" w:rsidRPr="000245C4" w:rsidRDefault="0033041E" w:rsidP="000245C4">
            <w:pPr>
              <w:spacing w:after="0" w:line="240" w:lineRule="auto"/>
              <w:rPr>
                <w:rFonts w:ascii="Calibri" w:eastAsia="Times New Roman" w:hAnsi="Calibri" w:cs="Calibri"/>
                <w:color w:val="000000"/>
                <w:sz w:val="18"/>
                <w:szCs w:val="18"/>
                <w:lang w:eastAsia="en-AU"/>
              </w:rPr>
            </w:pPr>
            <w:r w:rsidRPr="000245C4">
              <w:rPr>
                <w:rFonts w:ascii="Calibri" w:eastAsia="Times New Roman" w:hAnsi="Calibri" w:cs="Calibri"/>
                <w:color w:val="000000"/>
                <w:sz w:val="18"/>
                <w:szCs w:val="18"/>
                <w:lang w:eastAsia="en-AU"/>
              </w:rPr>
              <w:t> </w:t>
            </w:r>
          </w:p>
        </w:tc>
        <w:tc>
          <w:tcPr>
            <w:tcW w:w="3513" w:type="dxa"/>
            <w:shd w:val="clear" w:color="auto" w:fill="auto"/>
            <w:hideMark/>
          </w:tcPr>
          <w:p w:rsidR="0033041E" w:rsidRPr="000245C4" w:rsidRDefault="0033041E" w:rsidP="000245C4">
            <w:pPr>
              <w:spacing w:after="0" w:line="240" w:lineRule="auto"/>
              <w:rPr>
                <w:rFonts w:ascii="Calibri" w:eastAsia="Times New Roman" w:hAnsi="Calibri" w:cs="Calibri"/>
                <w:color w:val="000000"/>
                <w:sz w:val="18"/>
                <w:szCs w:val="18"/>
                <w:lang w:eastAsia="en-AU"/>
              </w:rPr>
            </w:pPr>
            <w:r w:rsidRPr="000245C4">
              <w:rPr>
                <w:rFonts w:ascii="Calibri" w:eastAsia="Times New Roman" w:hAnsi="Calibri" w:cs="Calibri"/>
                <w:color w:val="000000"/>
                <w:sz w:val="18"/>
                <w:szCs w:val="18"/>
                <w:lang w:eastAsia="en-AU"/>
              </w:rPr>
              <w:t> </w:t>
            </w:r>
          </w:p>
        </w:tc>
        <w:tc>
          <w:tcPr>
            <w:tcW w:w="1958" w:type="dxa"/>
            <w:shd w:val="clear" w:color="auto" w:fill="auto"/>
            <w:hideMark/>
          </w:tcPr>
          <w:p w:rsidR="0033041E" w:rsidRPr="000245C4" w:rsidRDefault="0033041E" w:rsidP="000245C4">
            <w:pPr>
              <w:spacing w:after="0" w:line="240" w:lineRule="auto"/>
              <w:rPr>
                <w:rFonts w:ascii="Calibri" w:eastAsia="Times New Roman" w:hAnsi="Calibri" w:cs="Calibri"/>
                <w:color w:val="000000"/>
                <w:sz w:val="18"/>
                <w:szCs w:val="18"/>
                <w:lang w:eastAsia="en-AU"/>
              </w:rPr>
            </w:pPr>
            <w:r w:rsidRPr="000245C4">
              <w:rPr>
                <w:rFonts w:ascii="Calibri" w:eastAsia="Times New Roman" w:hAnsi="Calibri" w:cs="Calibri"/>
                <w:color w:val="000000"/>
                <w:sz w:val="18"/>
                <w:szCs w:val="18"/>
                <w:lang w:eastAsia="en-AU"/>
              </w:rPr>
              <w:t> </w:t>
            </w:r>
          </w:p>
        </w:tc>
      </w:tr>
      <w:tr w:rsidR="0033041E" w:rsidRPr="000245C4" w:rsidTr="0033041E">
        <w:trPr>
          <w:trHeight w:val="960"/>
        </w:trPr>
        <w:tc>
          <w:tcPr>
            <w:tcW w:w="4211" w:type="dxa"/>
            <w:vMerge/>
            <w:vAlign w:val="center"/>
            <w:hideMark/>
          </w:tcPr>
          <w:p w:rsidR="0033041E" w:rsidRPr="000245C4" w:rsidRDefault="0033041E" w:rsidP="000245C4">
            <w:pPr>
              <w:spacing w:after="0" w:line="240" w:lineRule="auto"/>
              <w:rPr>
                <w:rFonts w:ascii="Calibri" w:eastAsia="Times New Roman" w:hAnsi="Calibri" w:cs="Calibri"/>
                <w:sz w:val="18"/>
                <w:szCs w:val="18"/>
                <w:lang w:eastAsia="en-AU"/>
              </w:rPr>
            </w:pPr>
          </w:p>
        </w:tc>
        <w:tc>
          <w:tcPr>
            <w:tcW w:w="399" w:type="dxa"/>
            <w:shd w:val="clear" w:color="auto" w:fill="auto"/>
            <w:hideMark/>
          </w:tcPr>
          <w:p w:rsidR="0033041E" w:rsidRPr="000245C4" w:rsidRDefault="0033041E" w:rsidP="000245C4">
            <w:pPr>
              <w:spacing w:after="0" w:line="240" w:lineRule="auto"/>
              <w:jc w:val="center"/>
              <w:rPr>
                <w:rFonts w:ascii="Calibri" w:eastAsia="Times New Roman" w:hAnsi="Calibri" w:cs="Calibri"/>
                <w:sz w:val="18"/>
                <w:szCs w:val="18"/>
                <w:lang w:eastAsia="en-AU"/>
              </w:rPr>
            </w:pPr>
            <w:r w:rsidRPr="000245C4">
              <w:rPr>
                <w:rFonts w:ascii="Calibri" w:eastAsia="Times New Roman" w:hAnsi="Calibri" w:cs="Calibri"/>
                <w:sz w:val="18"/>
                <w:szCs w:val="18"/>
                <w:lang w:eastAsia="en-AU"/>
              </w:rPr>
              <w:t>5</w:t>
            </w:r>
          </w:p>
        </w:tc>
        <w:tc>
          <w:tcPr>
            <w:tcW w:w="5628" w:type="dxa"/>
            <w:shd w:val="clear" w:color="auto" w:fill="auto"/>
          </w:tcPr>
          <w:p w:rsidR="0033041E" w:rsidRPr="000245C4" w:rsidRDefault="0033041E" w:rsidP="000245C4">
            <w:pPr>
              <w:spacing w:after="0" w:line="240" w:lineRule="auto"/>
              <w:rPr>
                <w:rFonts w:ascii="Calibri" w:eastAsia="Times New Roman" w:hAnsi="Calibri" w:cs="Calibri"/>
                <w:sz w:val="18"/>
                <w:szCs w:val="18"/>
                <w:lang w:eastAsia="en-AU"/>
              </w:rPr>
            </w:pPr>
            <w:r w:rsidRPr="000D06CA">
              <w:rPr>
                <w:rFonts w:ascii="Calibri" w:eastAsia="Times New Roman" w:hAnsi="Calibri" w:cs="Calibri"/>
                <w:sz w:val="18"/>
                <w:szCs w:val="18"/>
                <w:lang w:eastAsia="en-AU"/>
              </w:rPr>
              <w:t>Support an increase in the provision of and equitable access to evidence-based OTP in priority populations and priority settings and address key barriers to access</w:t>
            </w:r>
          </w:p>
        </w:tc>
        <w:tc>
          <w:tcPr>
            <w:tcW w:w="1943" w:type="dxa"/>
            <w:shd w:val="clear" w:color="auto" w:fill="auto"/>
            <w:hideMark/>
          </w:tcPr>
          <w:p w:rsidR="0033041E" w:rsidRPr="000245C4" w:rsidRDefault="0033041E" w:rsidP="000245C4">
            <w:pPr>
              <w:spacing w:after="0" w:line="240" w:lineRule="auto"/>
              <w:rPr>
                <w:rFonts w:ascii="Calibri" w:eastAsia="Times New Roman" w:hAnsi="Calibri" w:cs="Calibri"/>
                <w:b/>
                <w:bCs/>
                <w:color w:val="000000"/>
                <w:sz w:val="18"/>
                <w:szCs w:val="18"/>
                <w:lang w:eastAsia="en-AU"/>
              </w:rPr>
            </w:pPr>
            <w:r w:rsidRPr="000245C4">
              <w:rPr>
                <w:rFonts w:ascii="Calibri" w:eastAsia="Times New Roman" w:hAnsi="Calibri" w:cs="Calibri"/>
                <w:b/>
                <w:bCs/>
                <w:color w:val="000000"/>
                <w:sz w:val="18"/>
                <w:szCs w:val="18"/>
                <w:lang w:eastAsia="en-AU"/>
              </w:rPr>
              <w:t> </w:t>
            </w:r>
          </w:p>
        </w:tc>
        <w:tc>
          <w:tcPr>
            <w:tcW w:w="3428" w:type="dxa"/>
            <w:shd w:val="clear" w:color="auto" w:fill="auto"/>
            <w:hideMark/>
          </w:tcPr>
          <w:p w:rsidR="0033041E" w:rsidRPr="000245C4" w:rsidRDefault="0033041E" w:rsidP="000245C4">
            <w:pPr>
              <w:spacing w:after="0" w:line="240" w:lineRule="auto"/>
              <w:rPr>
                <w:rFonts w:ascii="Calibri" w:eastAsia="Times New Roman" w:hAnsi="Calibri" w:cs="Calibri"/>
                <w:b/>
                <w:bCs/>
                <w:color w:val="000000"/>
                <w:sz w:val="18"/>
                <w:szCs w:val="18"/>
                <w:lang w:eastAsia="en-AU"/>
              </w:rPr>
            </w:pPr>
            <w:r w:rsidRPr="000245C4">
              <w:rPr>
                <w:rFonts w:ascii="Calibri" w:eastAsia="Times New Roman" w:hAnsi="Calibri" w:cs="Calibri"/>
                <w:b/>
                <w:bCs/>
                <w:color w:val="000000"/>
                <w:sz w:val="18"/>
                <w:szCs w:val="18"/>
                <w:lang w:eastAsia="en-AU"/>
              </w:rPr>
              <w:t> </w:t>
            </w:r>
          </w:p>
        </w:tc>
        <w:tc>
          <w:tcPr>
            <w:tcW w:w="3513" w:type="dxa"/>
            <w:shd w:val="clear" w:color="auto" w:fill="auto"/>
            <w:hideMark/>
          </w:tcPr>
          <w:p w:rsidR="0033041E" w:rsidRPr="000245C4" w:rsidRDefault="0033041E" w:rsidP="000245C4">
            <w:pPr>
              <w:spacing w:after="0" w:line="240" w:lineRule="auto"/>
              <w:rPr>
                <w:rFonts w:ascii="Calibri" w:eastAsia="Times New Roman" w:hAnsi="Calibri" w:cs="Calibri"/>
                <w:b/>
                <w:bCs/>
                <w:color w:val="000000"/>
                <w:sz w:val="18"/>
                <w:szCs w:val="18"/>
                <w:lang w:eastAsia="en-AU"/>
              </w:rPr>
            </w:pPr>
            <w:r w:rsidRPr="000245C4">
              <w:rPr>
                <w:rFonts w:ascii="Calibri" w:eastAsia="Times New Roman" w:hAnsi="Calibri" w:cs="Calibri"/>
                <w:b/>
                <w:bCs/>
                <w:color w:val="000000"/>
                <w:sz w:val="18"/>
                <w:szCs w:val="18"/>
                <w:lang w:eastAsia="en-AU"/>
              </w:rPr>
              <w:t> </w:t>
            </w:r>
          </w:p>
        </w:tc>
        <w:tc>
          <w:tcPr>
            <w:tcW w:w="1958" w:type="dxa"/>
            <w:shd w:val="clear" w:color="auto" w:fill="auto"/>
            <w:hideMark/>
          </w:tcPr>
          <w:p w:rsidR="0033041E" w:rsidRPr="000245C4" w:rsidRDefault="0033041E" w:rsidP="000245C4">
            <w:pPr>
              <w:spacing w:after="0" w:line="240" w:lineRule="auto"/>
              <w:rPr>
                <w:rFonts w:ascii="Calibri" w:eastAsia="Times New Roman" w:hAnsi="Calibri" w:cs="Calibri"/>
                <w:color w:val="000000"/>
                <w:sz w:val="18"/>
                <w:szCs w:val="18"/>
                <w:lang w:eastAsia="en-AU"/>
              </w:rPr>
            </w:pPr>
            <w:r w:rsidRPr="000245C4">
              <w:rPr>
                <w:rFonts w:ascii="Calibri" w:eastAsia="Times New Roman" w:hAnsi="Calibri" w:cs="Calibri"/>
                <w:color w:val="000000"/>
                <w:sz w:val="18"/>
                <w:szCs w:val="18"/>
                <w:lang w:eastAsia="en-AU"/>
              </w:rPr>
              <w:t> </w:t>
            </w:r>
          </w:p>
        </w:tc>
      </w:tr>
      <w:tr w:rsidR="0033041E" w:rsidRPr="000245C4" w:rsidTr="0033041E">
        <w:trPr>
          <w:trHeight w:val="786"/>
        </w:trPr>
        <w:tc>
          <w:tcPr>
            <w:tcW w:w="4211" w:type="dxa"/>
            <w:vMerge w:val="restart"/>
            <w:shd w:val="clear" w:color="auto" w:fill="auto"/>
            <w:hideMark/>
          </w:tcPr>
          <w:p w:rsidR="0033041E" w:rsidRDefault="0033041E" w:rsidP="000D06CA">
            <w:pPr>
              <w:spacing w:after="0" w:line="240" w:lineRule="auto"/>
              <w:rPr>
                <w:rFonts w:ascii="Calibri" w:eastAsia="Times New Roman" w:hAnsi="Calibri" w:cs="Calibri"/>
                <w:sz w:val="18"/>
                <w:szCs w:val="18"/>
                <w:lang w:eastAsia="en-AU"/>
              </w:rPr>
            </w:pPr>
            <w:r w:rsidRPr="000245C4">
              <w:rPr>
                <w:rFonts w:ascii="Calibri" w:eastAsia="Times New Roman" w:hAnsi="Calibri" w:cs="Calibri"/>
                <w:sz w:val="18"/>
                <w:szCs w:val="18"/>
                <w:u w:val="single"/>
                <w:lang w:eastAsia="en-AU"/>
              </w:rPr>
              <w:t>Testing, treatment and management</w:t>
            </w:r>
            <w:r w:rsidRPr="000245C4">
              <w:rPr>
                <w:rFonts w:ascii="Calibri" w:eastAsia="Times New Roman" w:hAnsi="Calibri" w:cs="Calibri"/>
                <w:sz w:val="18"/>
                <w:szCs w:val="18"/>
                <w:u w:val="single"/>
                <w:lang w:eastAsia="en-AU"/>
              </w:rPr>
              <w:br/>
            </w:r>
            <w:r w:rsidRPr="000245C4">
              <w:rPr>
                <w:rFonts w:ascii="Calibri" w:eastAsia="Times New Roman" w:hAnsi="Calibri" w:cs="Calibri"/>
                <w:sz w:val="18"/>
                <w:szCs w:val="18"/>
                <w:lang w:eastAsia="en-AU"/>
              </w:rPr>
              <w:br/>
            </w:r>
            <w:r w:rsidRPr="000D06CA">
              <w:rPr>
                <w:rFonts w:ascii="Calibri" w:eastAsia="Times New Roman" w:hAnsi="Calibri" w:cs="Calibri"/>
                <w:sz w:val="18"/>
                <w:szCs w:val="18"/>
                <w:lang w:eastAsia="en-AU"/>
              </w:rPr>
              <w:t>Implement approaches that maximise the number of people living with hepatitis C who are diagnosed; and support the completion of confirmatory testing  and treatment for priority populations</w:t>
            </w:r>
          </w:p>
          <w:p w:rsidR="0033041E" w:rsidRPr="000D06CA" w:rsidRDefault="0033041E" w:rsidP="000D06CA">
            <w:pPr>
              <w:spacing w:after="0" w:line="240" w:lineRule="auto"/>
              <w:rPr>
                <w:rFonts w:ascii="Calibri" w:eastAsia="Times New Roman" w:hAnsi="Calibri" w:cs="Calibri"/>
                <w:sz w:val="18"/>
                <w:szCs w:val="18"/>
                <w:lang w:eastAsia="en-AU"/>
              </w:rPr>
            </w:pPr>
          </w:p>
          <w:p w:rsidR="0033041E" w:rsidRPr="000245C4" w:rsidRDefault="0033041E" w:rsidP="000D06CA">
            <w:pPr>
              <w:spacing w:after="0" w:line="240" w:lineRule="auto"/>
              <w:rPr>
                <w:rFonts w:ascii="Calibri" w:eastAsia="Times New Roman" w:hAnsi="Calibri" w:cs="Calibri"/>
                <w:sz w:val="18"/>
                <w:szCs w:val="18"/>
                <w:lang w:eastAsia="en-AU"/>
              </w:rPr>
            </w:pPr>
            <w:r w:rsidRPr="000D06CA">
              <w:rPr>
                <w:rFonts w:ascii="Calibri" w:eastAsia="Times New Roman" w:hAnsi="Calibri" w:cs="Calibri"/>
                <w:sz w:val="18"/>
                <w:szCs w:val="18"/>
                <w:lang w:eastAsia="en-AU"/>
              </w:rPr>
              <w:t>Support health professionals to provide current, innovative and effective testing and care for people living with hepatitis C</w:t>
            </w:r>
          </w:p>
        </w:tc>
        <w:tc>
          <w:tcPr>
            <w:tcW w:w="399" w:type="dxa"/>
            <w:shd w:val="clear" w:color="auto" w:fill="auto"/>
          </w:tcPr>
          <w:p w:rsidR="0033041E" w:rsidRPr="000245C4" w:rsidRDefault="0033041E" w:rsidP="006C4584">
            <w:pPr>
              <w:spacing w:after="0" w:line="240" w:lineRule="auto"/>
              <w:jc w:val="center"/>
              <w:rPr>
                <w:rFonts w:ascii="Calibri" w:eastAsia="Times New Roman" w:hAnsi="Calibri" w:cs="Calibri"/>
                <w:sz w:val="18"/>
                <w:szCs w:val="18"/>
                <w:lang w:eastAsia="en-AU"/>
              </w:rPr>
            </w:pPr>
            <w:r>
              <w:rPr>
                <w:rFonts w:ascii="Calibri" w:eastAsia="Times New Roman" w:hAnsi="Calibri" w:cs="Calibri"/>
                <w:sz w:val="18"/>
                <w:szCs w:val="18"/>
                <w:lang w:eastAsia="en-AU"/>
              </w:rPr>
              <w:t>6</w:t>
            </w:r>
          </w:p>
        </w:tc>
        <w:tc>
          <w:tcPr>
            <w:tcW w:w="5628" w:type="dxa"/>
            <w:shd w:val="clear" w:color="auto" w:fill="auto"/>
          </w:tcPr>
          <w:p w:rsidR="0033041E" w:rsidRPr="000245C4" w:rsidRDefault="0033041E" w:rsidP="000245C4">
            <w:pPr>
              <w:spacing w:after="0" w:line="240" w:lineRule="auto"/>
              <w:rPr>
                <w:rFonts w:ascii="Calibri" w:eastAsia="Times New Roman" w:hAnsi="Calibri" w:cs="Calibri"/>
                <w:sz w:val="18"/>
                <w:szCs w:val="18"/>
                <w:lang w:eastAsia="en-AU"/>
              </w:rPr>
            </w:pPr>
            <w:r w:rsidRPr="000D06CA">
              <w:rPr>
                <w:rFonts w:ascii="Calibri" w:eastAsia="Times New Roman" w:hAnsi="Calibri" w:cs="Calibri"/>
                <w:sz w:val="18"/>
                <w:szCs w:val="18"/>
                <w:lang w:eastAsia="en-AU"/>
              </w:rPr>
              <w:t>Incorporate information on new cures and how to access testing and treatment into the national hepatitis C public education initiative</w:t>
            </w:r>
          </w:p>
        </w:tc>
        <w:tc>
          <w:tcPr>
            <w:tcW w:w="1943" w:type="dxa"/>
            <w:shd w:val="clear" w:color="auto" w:fill="auto"/>
            <w:hideMark/>
          </w:tcPr>
          <w:p w:rsidR="0033041E" w:rsidRPr="000245C4" w:rsidRDefault="0033041E" w:rsidP="000245C4">
            <w:pPr>
              <w:spacing w:after="0" w:line="240" w:lineRule="auto"/>
              <w:rPr>
                <w:rFonts w:ascii="Calibri" w:eastAsia="Times New Roman" w:hAnsi="Calibri" w:cs="Calibri"/>
                <w:b/>
                <w:bCs/>
                <w:color w:val="000000"/>
                <w:sz w:val="18"/>
                <w:szCs w:val="18"/>
                <w:lang w:eastAsia="en-AU"/>
              </w:rPr>
            </w:pPr>
            <w:r w:rsidRPr="000245C4">
              <w:rPr>
                <w:rFonts w:ascii="Calibri" w:eastAsia="Times New Roman" w:hAnsi="Calibri" w:cs="Calibri"/>
                <w:b/>
                <w:bCs/>
                <w:color w:val="000000"/>
                <w:sz w:val="18"/>
                <w:szCs w:val="18"/>
                <w:lang w:eastAsia="en-AU"/>
              </w:rPr>
              <w:t> </w:t>
            </w:r>
          </w:p>
        </w:tc>
        <w:tc>
          <w:tcPr>
            <w:tcW w:w="3428" w:type="dxa"/>
            <w:shd w:val="clear" w:color="auto" w:fill="auto"/>
            <w:hideMark/>
          </w:tcPr>
          <w:p w:rsidR="0033041E" w:rsidRPr="000245C4" w:rsidRDefault="0033041E" w:rsidP="000245C4">
            <w:pPr>
              <w:spacing w:after="0" w:line="240" w:lineRule="auto"/>
              <w:rPr>
                <w:rFonts w:ascii="Calibri" w:eastAsia="Times New Roman" w:hAnsi="Calibri" w:cs="Calibri"/>
                <w:b/>
                <w:bCs/>
                <w:color w:val="000000"/>
                <w:sz w:val="18"/>
                <w:szCs w:val="18"/>
                <w:lang w:eastAsia="en-AU"/>
              </w:rPr>
            </w:pPr>
            <w:r w:rsidRPr="000245C4">
              <w:rPr>
                <w:rFonts w:ascii="Calibri" w:eastAsia="Times New Roman" w:hAnsi="Calibri" w:cs="Calibri"/>
                <w:b/>
                <w:bCs/>
                <w:color w:val="000000"/>
                <w:sz w:val="18"/>
                <w:szCs w:val="18"/>
                <w:lang w:eastAsia="en-AU"/>
              </w:rPr>
              <w:t> </w:t>
            </w:r>
          </w:p>
        </w:tc>
        <w:tc>
          <w:tcPr>
            <w:tcW w:w="3513" w:type="dxa"/>
            <w:shd w:val="clear" w:color="auto" w:fill="auto"/>
            <w:hideMark/>
          </w:tcPr>
          <w:p w:rsidR="0033041E" w:rsidRPr="000245C4" w:rsidRDefault="0033041E" w:rsidP="000245C4">
            <w:pPr>
              <w:spacing w:after="0" w:line="240" w:lineRule="auto"/>
              <w:rPr>
                <w:rFonts w:ascii="Calibri" w:eastAsia="Times New Roman" w:hAnsi="Calibri" w:cs="Calibri"/>
                <w:b/>
                <w:bCs/>
                <w:color w:val="000000"/>
                <w:sz w:val="18"/>
                <w:szCs w:val="18"/>
                <w:lang w:eastAsia="en-AU"/>
              </w:rPr>
            </w:pPr>
            <w:r w:rsidRPr="000245C4">
              <w:rPr>
                <w:rFonts w:ascii="Calibri" w:eastAsia="Times New Roman" w:hAnsi="Calibri" w:cs="Calibri"/>
                <w:b/>
                <w:bCs/>
                <w:color w:val="000000"/>
                <w:sz w:val="18"/>
                <w:szCs w:val="18"/>
                <w:lang w:eastAsia="en-AU"/>
              </w:rPr>
              <w:t> </w:t>
            </w:r>
          </w:p>
        </w:tc>
        <w:tc>
          <w:tcPr>
            <w:tcW w:w="1958" w:type="dxa"/>
            <w:shd w:val="clear" w:color="auto" w:fill="auto"/>
            <w:hideMark/>
          </w:tcPr>
          <w:p w:rsidR="0033041E" w:rsidRPr="000245C4" w:rsidRDefault="0033041E" w:rsidP="000245C4">
            <w:pPr>
              <w:spacing w:after="0" w:line="240" w:lineRule="auto"/>
              <w:rPr>
                <w:rFonts w:ascii="Calibri" w:eastAsia="Times New Roman" w:hAnsi="Calibri" w:cs="Calibri"/>
                <w:color w:val="000000"/>
                <w:sz w:val="18"/>
                <w:szCs w:val="18"/>
                <w:lang w:eastAsia="en-AU"/>
              </w:rPr>
            </w:pPr>
            <w:r w:rsidRPr="000245C4">
              <w:rPr>
                <w:rFonts w:ascii="Calibri" w:eastAsia="Times New Roman" w:hAnsi="Calibri" w:cs="Calibri"/>
                <w:color w:val="000000"/>
                <w:sz w:val="18"/>
                <w:szCs w:val="18"/>
                <w:lang w:eastAsia="en-AU"/>
              </w:rPr>
              <w:t> </w:t>
            </w:r>
          </w:p>
        </w:tc>
      </w:tr>
      <w:tr w:rsidR="0033041E" w:rsidRPr="000245C4" w:rsidTr="0033041E">
        <w:trPr>
          <w:trHeight w:val="691"/>
        </w:trPr>
        <w:tc>
          <w:tcPr>
            <w:tcW w:w="4211" w:type="dxa"/>
            <w:vMerge/>
            <w:vAlign w:val="center"/>
            <w:hideMark/>
          </w:tcPr>
          <w:p w:rsidR="0033041E" w:rsidRPr="000245C4" w:rsidRDefault="0033041E" w:rsidP="000245C4">
            <w:pPr>
              <w:spacing w:after="0" w:line="240" w:lineRule="auto"/>
              <w:rPr>
                <w:rFonts w:ascii="Calibri" w:eastAsia="Times New Roman" w:hAnsi="Calibri" w:cs="Calibri"/>
                <w:sz w:val="18"/>
                <w:szCs w:val="18"/>
                <w:lang w:eastAsia="en-AU"/>
              </w:rPr>
            </w:pPr>
          </w:p>
        </w:tc>
        <w:tc>
          <w:tcPr>
            <w:tcW w:w="399" w:type="dxa"/>
            <w:shd w:val="clear" w:color="auto" w:fill="auto"/>
          </w:tcPr>
          <w:p w:rsidR="0033041E" w:rsidRPr="000245C4" w:rsidRDefault="0033041E" w:rsidP="006C4584">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7</w:t>
            </w:r>
          </w:p>
        </w:tc>
        <w:tc>
          <w:tcPr>
            <w:tcW w:w="5628" w:type="dxa"/>
            <w:shd w:val="clear" w:color="auto" w:fill="auto"/>
          </w:tcPr>
          <w:p w:rsidR="0033041E" w:rsidRPr="000245C4" w:rsidRDefault="0033041E" w:rsidP="000245C4">
            <w:pPr>
              <w:spacing w:after="0" w:line="240" w:lineRule="auto"/>
              <w:rPr>
                <w:rFonts w:ascii="Calibri" w:eastAsia="Times New Roman" w:hAnsi="Calibri" w:cs="Calibri"/>
                <w:sz w:val="18"/>
                <w:szCs w:val="18"/>
                <w:lang w:eastAsia="en-AU"/>
              </w:rPr>
            </w:pPr>
            <w:r w:rsidRPr="000D06CA">
              <w:rPr>
                <w:rFonts w:ascii="Calibri" w:eastAsia="Times New Roman" w:hAnsi="Calibri" w:cs="Calibri"/>
                <w:sz w:val="18"/>
                <w:szCs w:val="18"/>
                <w:lang w:eastAsia="en-AU"/>
              </w:rPr>
              <w:t>Explore the use of rapid testing and point-of-care (POC) technologies where appropriate to improve access to testing and engagement with priority populations</w:t>
            </w:r>
          </w:p>
        </w:tc>
        <w:tc>
          <w:tcPr>
            <w:tcW w:w="1943" w:type="dxa"/>
            <w:shd w:val="clear" w:color="auto" w:fill="auto"/>
            <w:hideMark/>
          </w:tcPr>
          <w:p w:rsidR="0033041E" w:rsidRPr="000245C4" w:rsidRDefault="0033041E" w:rsidP="000245C4">
            <w:pPr>
              <w:spacing w:after="0" w:line="240" w:lineRule="auto"/>
              <w:rPr>
                <w:rFonts w:ascii="Calibri" w:eastAsia="Times New Roman" w:hAnsi="Calibri" w:cs="Calibri"/>
                <w:b/>
                <w:bCs/>
                <w:color w:val="000000"/>
                <w:sz w:val="18"/>
                <w:szCs w:val="18"/>
                <w:lang w:eastAsia="en-AU"/>
              </w:rPr>
            </w:pPr>
            <w:r w:rsidRPr="000245C4">
              <w:rPr>
                <w:rFonts w:ascii="Calibri" w:eastAsia="Times New Roman" w:hAnsi="Calibri" w:cs="Calibri"/>
                <w:b/>
                <w:bCs/>
                <w:color w:val="000000"/>
                <w:sz w:val="18"/>
                <w:szCs w:val="18"/>
                <w:lang w:eastAsia="en-AU"/>
              </w:rPr>
              <w:t> </w:t>
            </w:r>
          </w:p>
        </w:tc>
        <w:tc>
          <w:tcPr>
            <w:tcW w:w="3428" w:type="dxa"/>
            <w:shd w:val="clear" w:color="auto" w:fill="auto"/>
            <w:hideMark/>
          </w:tcPr>
          <w:p w:rsidR="0033041E" w:rsidRPr="000245C4" w:rsidRDefault="0033041E" w:rsidP="000245C4">
            <w:pPr>
              <w:spacing w:after="0" w:line="240" w:lineRule="auto"/>
              <w:rPr>
                <w:rFonts w:ascii="Calibri" w:eastAsia="Times New Roman" w:hAnsi="Calibri" w:cs="Calibri"/>
                <w:b/>
                <w:bCs/>
                <w:color w:val="000000"/>
                <w:sz w:val="18"/>
                <w:szCs w:val="18"/>
                <w:lang w:eastAsia="en-AU"/>
              </w:rPr>
            </w:pPr>
            <w:r w:rsidRPr="000245C4">
              <w:rPr>
                <w:rFonts w:ascii="Calibri" w:eastAsia="Times New Roman" w:hAnsi="Calibri" w:cs="Calibri"/>
                <w:b/>
                <w:bCs/>
                <w:color w:val="000000"/>
                <w:sz w:val="18"/>
                <w:szCs w:val="18"/>
                <w:lang w:eastAsia="en-AU"/>
              </w:rPr>
              <w:t> </w:t>
            </w:r>
          </w:p>
        </w:tc>
        <w:tc>
          <w:tcPr>
            <w:tcW w:w="3513" w:type="dxa"/>
            <w:shd w:val="clear" w:color="auto" w:fill="auto"/>
            <w:hideMark/>
          </w:tcPr>
          <w:p w:rsidR="0033041E" w:rsidRPr="000245C4" w:rsidRDefault="0033041E" w:rsidP="000245C4">
            <w:pPr>
              <w:spacing w:after="0" w:line="240" w:lineRule="auto"/>
              <w:rPr>
                <w:rFonts w:ascii="Calibri" w:eastAsia="Times New Roman" w:hAnsi="Calibri" w:cs="Calibri"/>
                <w:b/>
                <w:bCs/>
                <w:color w:val="000000"/>
                <w:sz w:val="18"/>
                <w:szCs w:val="18"/>
                <w:lang w:eastAsia="en-AU"/>
              </w:rPr>
            </w:pPr>
            <w:r w:rsidRPr="000245C4">
              <w:rPr>
                <w:rFonts w:ascii="Calibri" w:eastAsia="Times New Roman" w:hAnsi="Calibri" w:cs="Calibri"/>
                <w:b/>
                <w:bCs/>
                <w:color w:val="000000"/>
                <w:sz w:val="18"/>
                <w:szCs w:val="18"/>
                <w:lang w:eastAsia="en-AU"/>
              </w:rPr>
              <w:t> </w:t>
            </w:r>
          </w:p>
        </w:tc>
        <w:tc>
          <w:tcPr>
            <w:tcW w:w="1958" w:type="dxa"/>
            <w:shd w:val="clear" w:color="auto" w:fill="auto"/>
            <w:hideMark/>
          </w:tcPr>
          <w:p w:rsidR="0033041E" w:rsidRPr="000245C4" w:rsidRDefault="0033041E" w:rsidP="000245C4">
            <w:pPr>
              <w:spacing w:after="0" w:line="240" w:lineRule="auto"/>
              <w:rPr>
                <w:rFonts w:ascii="Calibri" w:eastAsia="Times New Roman" w:hAnsi="Calibri" w:cs="Calibri"/>
                <w:color w:val="000000"/>
                <w:sz w:val="18"/>
                <w:szCs w:val="18"/>
                <w:lang w:eastAsia="en-AU"/>
              </w:rPr>
            </w:pPr>
            <w:r w:rsidRPr="000245C4">
              <w:rPr>
                <w:rFonts w:ascii="Calibri" w:eastAsia="Times New Roman" w:hAnsi="Calibri" w:cs="Calibri"/>
                <w:color w:val="000000"/>
                <w:sz w:val="18"/>
                <w:szCs w:val="18"/>
                <w:lang w:eastAsia="en-AU"/>
              </w:rPr>
              <w:t> </w:t>
            </w:r>
          </w:p>
        </w:tc>
      </w:tr>
      <w:tr w:rsidR="0033041E" w:rsidRPr="000245C4" w:rsidTr="0033041E">
        <w:trPr>
          <w:trHeight w:val="960"/>
        </w:trPr>
        <w:tc>
          <w:tcPr>
            <w:tcW w:w="4211" w:type="dxa"/>
            <w:vMerge/>
            <w:vAlign w:val="center"/>
            <w:hideMark/>
          </w:tcPr>
          <w:p w:rsidR="0033041E" w:rsidRPr="000245C4" w:rsidRDefault="0033041E" w:rsidP="000245C4">
            <w:pPr>
              <w:spacing w:after="0" w:line="240" w:lineRule="auto"/>
              <w:rPr>
                <w:rFonts w:ascii="Calibri" w:eastAsia="Times New Roman" w:hAnsi="Calibri" w:cs="Calibri"/>
                <w:sz w:val="18"/>
                <w:szCs w:val="18"/>
                <w:lang w:eastAsia="en-AU"/>
              </w:rPr>
            </w:pPr>
          </w:p>
        </w:tc>
        <w:tc>
          <w:tcPr>
            <w:tcW w:w="399" w:type="dxa"/>
            <w:shd w:val="clear" w:color="auto" w:fill="auto"/>
          </w:tcPr>
          <w:p w:rsidR="0033041E" w:rsidRPr="000245C4" w:rsidRDefault="0033041E" w:rsidP="006C4584">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8</w:t>
            </w:r>
          </w:p>
        </w:tc>
        <w:tc>
          <w:tcPr>
            <w:tcW w:w="5628" w:type="dxa"/>
            <w:shd w:val="clear" w:color="auto" w:fill="auto"/>
          </w:tcPr>
          <w:p w:rsidR="0033041E" w:rsidRPr="000245C4" w:rsidRDefault="0033041E" w:rsidP="000245C4">
            <w:pPr>
              <w:spacing w:after="0" w:line="240" w:lineRule="auto"/>
              <w:rPr>
                <w:rFonts w:ascii="Calibri" w:eastAsia="Times New Roman" w:hAnsi="Calibri" w:cs="Calibri"/>
                <w:sz w:val="18"/>
                <w:szCs w:val="18"/>
                <w:lang w:eastAsia="en-AU"/>
              </w:rPr>
            </w:pPr>
            <w:r w:rsidRPr="000D06CA">
              <w:rPr>
                <w:rFonts w:ascii="Calibri" w:eastAsia="Times New Roman" w:hAnsi="Calibri" w:cs="Calibri"/>
                <w:sz w:val="18"/>
                <w:szCs w:val="18"/>
                <w:lang w:eastAsia="en-AU"/>
              </w:rPr>
              <w:t>Further develop and deliver evidence-based risk assessment and testing approaches for key priority populations which provide strong linkage to treatment</w:t>
            </w:r>
          </w:p>
        </w:tc>
        <w:tc>
          <w:tcPr>
            <w:tcW w:w="1943" w:type="dxa"/>
            <w:shd w:val="clear" w:color="auto" w:fill="auto"/>
            <w:hideMark/>
          </w:tcPr>
          <w:p w:rsidR="0033041E" w:rsidRPr="000245C4" w:rsidRDefault="0033041E" w:rsidP="000245C4">
            <w:pPr>
              <w:spacing w:after="0" w:line="240" w:lineRule="auto"/>
              <w:rPr>
                <w:rFonts w:ascii="Calibri" w:eastAsia="Times New Roman" w:hAnsi="Calibri" w:cs="Calibri"/>
                <w:b/>
                <w:bCs/>
                <w:color w:val="000000"/>
                <w:sz w:val="18"/>
                <w:szCs w:val="18"/>
                <w:lang w:eastAsia="en-AU"/>
              </w:rPr>
            </w:pPr>
            <w:r w:rsidRPr="000245C4">
              <w:rPr>
                <w:rFonts w:ascii="Calibri" w:eastAsia="Times New Roman" w:hAnsi="Calibri" w:cs="Calibri"/>
                <w:b/>
                <w:bCs/>
                <w:color w:val="000000"/>
                <w:sz w:val="18"/>
                <w:szCs w:val="18"/>
                <w:lang w:eastAsia="en-AU"/>
              </w:rPr>
              <w:t> </w:t>
            </w:r>
          </w:p>
        </w:tc>
        <w:tc>
          <w:tcPr>
            <w:tcW w:w="3428" w:type="dxa"/>
            <w:shd w:val="clear" w:color="auto" w:fill="auto"/>
            <w:hideMark/>
          </w:tcPr>
          <w:p w:rsidR="0033041E" w:rsidRPr="000245C4" w:rsidRDefault="0033041E" w:rsidP="000245C4">
            <w:pPr>
              <w:spacing w:after="0" w:line="240" w:lineRule="auto"/>
              <w:rPr>
                <w:rFonts w:ascii="Calibri" w:eastAsia="Times New Roman" w:hAnsi="Calibri" w:cs="Calibri"/>
                <w:b/>
                <w:bCs/>
                <w:color w:val="000000"/>
                <w:sz w:val="18"/>
                <w:szCs w:val="18"/>
                <w:lang w:eastAsia="en-AU"/>
              </w:rPr>
            </w:pPr>
            <w:r w:rsidRPr="000245C4">
              <w:rPr>
                <w:rFonts w:ascii="Calibri" w:eastAsia="Times New Roman" w:hAnsi="Calibri" w:cs="Calibri"/>
                <w:b/>
                <w:bCs/>
                <w:color w:val="000000"/>
                <w:sz w:val="18"/>
                <w:szCs w:val="18"/>
                <w:lang w:eastAsia="en-AU"/>
              </w:rPr>
              <w:t> </w:t>
            </w:r>
          </w:p>
        </w:tc>
        <w:tc>
          <w:tcPr>
            <w:tcW w:w="3513" w:type="dxa"/>
            <w:shd w:val="clear" w:color="auto" w:fill="auto"/>
            <w:hideMark/>
          </w:tcPr>
          <w:p w:rsidR="0033041E" w:rsidRPr="000245C4" w:rsidRDefault="0033041E" w:rsidP="000245C4">
            <w:pPr>
              <w:spacing w:after="0" w:line="240" w:lineRule="auto"/>
              <w:rPr>
                <w:rFonts w:ascii="Calibri" w:eastAsia="Times New Roman" w:hAnsi="Calibri" w:cs="Calibri"/>
                <w:b/>
                <w:bCs/>
                <w:color w:val="000000"/>
                <w:sz w:val="18"/>
                <w:szCs w:val="18"/>
                <w:lang w:eastAsia="en-AU"/>
              </w:rPr>
            </w:pPr>
            <w:r w:rsidRPr="000245C4">
              <w:rPr>
                <w:rFonts w:ascii="Calibri" w:eastAsia="Times New Roman" w:hAnsi="Calibri" w:cs="Calibri"/>
                <w:b/>
                <w:bCs/>
                <w:color w:val="000000"/>
                <w:sz w:val="18"/>
                <w:szCs w:val="18"/>
                <w:lang w:eastAsia="en-AU"/>
              </w:rPr>
              <w:t> </w:t>
            </w:r>
          </w:p>
        </w:tc>
        <w:tc>
          <w:tcPr>
            <w:tcW w:w="1958" w:type="dxa"/>
            <w:shd w:val="clear" w:color="auto" w:fill="auto"/>
            <w:hideMark/>
          </w:tcPr>
          <w:p w:rsidR="0033041E" w:rsidRPr="000245C4" w:rsidRDefault="0033041E" w:rsidP="000245C4">
            <w:pPr>
              <w:spacing w:after="0" w:line="240" w:lineRule="auto"/>
              <w:rPr>
                <w:rFonts w:ascii="Calibri" w:eastAsia="Times New Roman" w:hAnsi="Calibri" w:cs="Calibri"/>
                <w:color w:val="000000"/>
                <w:sz w:val="18"/>
                <w:szCs w:val="18"/>
                <w:lang w:eastAsia="en-AU"/>
              </w:rPr>
            </w:pPr>
            <w:r w:rsidRPr="000245C4">
              <w:rPr>
                <w:rFonts w:ascii="Calibri" w:eastAsia="Times New Roman" w:hAnsi="Calibri" w:cs="Calibri"/>
                <w:color w:val="000000"/>
                <w:sz w:val="18"/>
                <w:szCs w:val="18"/>
                <w:lang w:eastAsia="en-AU"/>
              </w:rPr>
              <w:t> </w:t>
            </w:r>
          </w:p>
        </w:tc>
      </w:tr>
      <w:tr w:rsidR="0033041E" w:rsidRPr="000245C4" w:rsidTr="0033041E">
        <w:trPr>
          <w:trHeight w:val="480"/>
        </w:trPr>
        <w:tc>
          <w:tcPr>
            <w:tcW w:w="4211" w:type="dxa"/>
            <w:vMerge/>
            <w:vAlign w:val="center"/>
            <w:hideMark/>
          </w:tcPr>
          <w:p w:rsidR="0033041E" w:rsidRPr="000245C4" w:rsidRDefault="0033041E" w:rsidP="000245C4">
            <w:pPr>
              <w:spacing w:after="0" w:line="240" w:lineRule="auto"/>
              <w:rPr>
                <w:rFonts w:ascii="Calibri" w:eastAsia="Times New Roman" w:hAnsi="Calibri" w:cs="Calibri"/>
                <w:sz w:val="18"/>
                <w:szCs w:val="18"/>
                <w:lang w:eastAsia="en-AU"/>
              </w:rPr>
            </w:pPr>
          </w:p>
        </w:tc>
        <w:tc>
          <w:tcPr>
            <w:tcW w:w="399" w:type="dxa"/>
            <w:shd w:val="clear" w:color="auto" w:fill="auto"/>
          </w:tcPr>
          <w:p w:rsidR="0033041E" w:rsidRPr="000245C4" w:rsidRDefault="0033041E" w:rsidP="006C4584">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9</w:t>
            </w:r>
          </w:p>
        </w:tc>
        <w:tc>
          <w:tcPr>
            <w:tcW w:w="5628" w:type="dxa"/>
            <w:shd w:val="clear" w:color="auto" w:fill="auto"/>
          </w:tcPr>
          <w:p w:rsidR="0033041E" w:rsidRPr="000245C4" w:rsidRDefault="0033041E" w:rsidP="000245C4">
            <w:pPr>
              <w:spacing w:after="0" w:line="240" w:lineRule="auto"/>
              <w:rPr>
                <w:rFonts w:ascii="Calibri" w:eastAsia="Times New Roman" w:hAnsi="Calibri" w:cs="Calibri"/>
                <w:sz w:val="18"/>
                <w:szCs w:val="18"/>
                <w:lang w:eastAsia="en-AU"/>
              </w:rPr>
            </w:pPr>
            <w:r w:rsidRPr="000D06CA">
              <w:rPr>
                <w:rFonts w:ascii="Calibri" w:eastAsia="Times New Roman" w:hAnsi="Calibri" w:cs="Calibri"/>
                <w:sz w:val="18"/>
                <w:szCs w:val="18"/>
                <w:lang w:eastAsia="en-AU"/>
              </w:rPr>
              <w:t>Identify opportunities to improve the application of recommended testing procedures for hepatitis C by clinicians, including the feasibility of automatic HCV RNA testing for priority populations</w:t>
            </w:r>
          </w:p>
        </w:tc>
        <w:tc>
          <w:tcPr>
            <w:tcW w:w="1943" w:type="dxa"/>
            <w:shd w:val="clear" w:color="auto" w:fill="auto"/>
            <w:hideMark/>
          </w:tcPr>
          <w:p w:rsidR="0033041E" w:rsidRPr="000245C4" w:rsidRDefault="0033041E" w:rsidP="000245C4">
            <w:pPr>
              <w:spacing w:after="0" w:line="240" w:lineRule="auto"/>
              <w:rPr>
                <w:rFonts w:ascii="Calibri" w:eastAsia="Times New Roman" w:hAnsi="Calibri" w:cs="Calibri"/>
                <w:b/>
                <w:bCs/>
                <w:color w:val="000000"/>
                <w:sz w:val="18"/>
                <w:szCs w:val="18"/>
                <w:lang w:eastAsia="en-AU"/>
              </w:rPr>
            </w:pPr>
            <w:r w:rsidRPr="000245C4">
              <w:rPr>
                <w:rFonts w:ascii="Calibri" w:eastAsia="Times New Roman" w:hAnsi="Calibri" w:cs="Calibri"/>
                <w:b/>
                <w:bCs/>
                <w:color w:val="000000"/>
                <w:sz w:val="18"/>
                <w:szCs w:val="18"/>
                <w:lang w:eastAsia="en-AU"/>
              </w:rPr>
              <w:t> </w:t>
            </w:r>
          </w:p>
        </w:tc>
        <w:tc>
          <w:tcPr>
            <w:tcW w:w="3428" w:type="dxa"/>
            <w:shd w:val="clear" w:color="auto" w:fill="auto"/>
            <w:hideMark/>
          </w:tcPr>
          <w:p w:rsidR="0033041E" w:rsidRPr="000245C4" w:rsidRDefault="0033041E" w:rsidP="000245C4">
            <w:pPr>
              <w:spacing w:after="0" w:line="240" w:lineRule="auto"/>
              <w:rPr>
                <w:rFonts w:ascii="Calibri" w:eastAsia="Times New Roman" w:hAnsi="Calibri" w:cs="Calibri"/>
                <w:b/>
                <w:bCs/>
                <w:color w:val="000000"/>
                <w:sz w:val="18"/>
                <w:szCs w:val="18"/>
                <w:lang w:eastAsia="en-AU"/>
              </w:rPr>
            </w:pPr>
            <w:r w:rsidRPr="000245C4">
              <w:rPr>
                <w:rFonts w:ascii="Calibri" w:eastAsia="Times New Roman" w:hAnsi="Calibri" w:cs="Calibri"/>
                <w:b/>
                <w:bCs/>
                <w:color w:val="000000"/>
                <w:sz w:val="18"/>
                <w:szCs w:val="18"/>
                <w:lang w:eastAsia="en-AU"/>
              </w:rPr>
              <w:t> </w:t>
            </w:r>
          </w:p>
        </w:tc>
        <w:tc>
          <w:tcPr>
            <w:tcW w:w="3513" w:type="dxa"/>
            <w:shd w:val="clear" w:color="auto" w:fill="auto"/>
            <w:hideMark/>
          </w:tcPr>
          <w:p w:rsidR="0033041E" w:rsidRPr="000245C4" w:rsidRDefault="0033041E" w:rsidP="000245C4">
            <w:pPr>
              <w:spacing w:after="0" w:line="240" w:lineRule="auto"/>
              <w:rPr>
                <w:rFonts w:ascii="Calibri" w:eastAsia="Times New Roman" w:hAnsi="Calibri" w:cs="Calibri"/>
                <w:b/>
                <w:bCs/>
                <w:color w:val="000000"/>
                <w:sz w:val="18"/>
                <w:szCs w:val="18"/>
                <w:lang w:eastAsia="en-AU"/>
              </w:rPr>
            </w:pPr>
            <w:r w:rsidRPr="000245C4">
              <w:rPr>
                <w:rFonts w:ascii="Calibri" w:eastAsia="Times New Roman" w:hAnsi="Calibri" w:cs="Calibri"/>
                <w:b/>
                <w:bCs/>
                <w:color w:val="000000"/>
                <w:sz w:val="18"/>
                <w:szCs w:val="18"/>
                <w:lang w:eastAsia="en-AU"/>
              </w:rPr>
              <w:t> </w:t>
            </w:r>
          </w:p>
        </w:tc>
        <w:tc>
          <w:tcPr>
            <w:tcW w:w="1958" w:type="dxa"/>
            <w:shd w:val="clear" w:color="auto" w:fill="auto"/>
            <w:hideMark/>
          </w:tcPr>
          <w:p w:rsidR="0033041E" w:rsidRPr="000245C4" w:rsidRDefault="0033041E" w:rsidP="000245C4">
            <w:pPr>
              <w:spacing w:after="0" w:line="240" w:lineRule="auto"/>
              <w:rPr>
                <w:rFonts w:ascii="Calibri" w:eastAsia="Times New Roman" w:hAnsi="Calibri" w:cs="Calibri"/>
                <w:color w:val="000000"/>
                <w:sz w:val="18"/>
                <w:szCs w:val="18"/>
                <w:lang w:eastAsia="en-AU"/>
              </w:rPr>
            </w:pPr>
            <w:r w:rsidRPr="000245C4">
              <w:rPr>
                <w:rFonts w:ascii="Calibri" w:eastAsia="Times New Roman" w:hAnsi="Calibri" w:cs="Calibri"/>
                <w:color w:val="000000"/>
                <w:sz w:val="18"/>
                <w:szCs w:val="18"/>
                <w:lang w:eastAsia="en-AU"/>
              </w:rPr>
              <w:t> </w:t>
            </w:r>
          </w:p>
        </w:tc>
      </w:tr>
      <w:tr w:rsidR="0033041E" w:rsidRPr="000245C4" w:rsidTr="0033041E">
        <w:trPr>
          <w:trHeight w:val="495"/>
        </w:trPr>
        <w:tc>
          <w:tcPr>
            <w:tcW w:w="4211" w:type="dxa"/>
            <w:vMerge/>
            <w:vAlign w:val="center"/>
            <w:hideMark/>
          </w:tcPr>
          <w:p w:rsidR="0033041E" w:rsidRPr="000245C4" w:rsidRDefault="0033041E" w:rsidP="000245C4">
            <w:pPr>
              <w:spacing w:after="0" w:line="240" w:lineRule="auto"/>
              <w:rPr>
                <w:rFonts w:ascii="Calibri" w:eastAsia="Times New Roman" w:hAnsi="Calibri" w:cs="Calibri"/>
                <w:sz w:val="18"/>
                <w:szCs w:val="18"/>
                <w:lang w:eastAsia="en-AU"/>
              </w:rPr>
            </w:pPr>
          </w:p>
        </w:tc>
        <w:tc>
          <w:tcPr>
            <w:tcW w:w="399" w:type="dxa"/>
            <w:shd w:val="clear" w:color="auto" w:fill="auto"/>
          </w:tcPr>
          <w:p w:rsidR="0033041E" w:rsidRPr="000245C4" w:rsidRDefault="0033041E" w:rsidP="006C4584">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10</w:t>
            </w:r>
          </w:p>
        </w:tc>
        <w:tc>
          <w:tcPr>
            <w:tcW w:w="5628" w:type="dxa"/>
            <w:shd w:val="clear" w:color="auto" w:fill="auto"/>
          </w:tcPr>
          <w:p w:rsidR="0033041E" w:rsidRPr="000245C4" w:rsidRDefault="0033041E" w:rsidP="000245C4">
            <w:pPr>
              <w:spacing w:after="0" w:line="240" w:lineRule="auto"/>
              <w:rPr>
                <w:rFonts w:ascii="Calibri" w:eastAsia="Times New Roman" w:hAnsi="Calibri" w:cs="Calibri"/>
                <w:color w:val="000000"/>
                <w:sz w:val="18"/>
                <w:szCs w:val="18"/>
                <w:lang w:eastAsia="en-AU"/>
              </w:rPr>
            </w:pPr>
            <w:r w:rsidRPr="000D06CA">
              <w:rPr>
                <w:rFonts w:ascii="Calibri" w:eastAsia="Times New Roman" w:hAnsi="Calibri" w:cs="Calibri"/>
                <w:color w:val="000000"/>
                <w:sz w:val="18"/>
                <w:szCs w:val="18"/>
                <w:lang w:eastAsia="en-AU"/>
              </w:rPr>
              <w:t>Support best-practice case finding, treatment and management for hepatitis C in all primary care settings</w:t>
            </w:r>
          </w:p>
        </w:tc>
        <w:tc>
          <w:tcPr>
            <w:tcW w:w="1943" w:type="dxa"/>
            <w:shd w:val="clear" w:color="auto" w:fill="auto"/>
            <w:hideMark/>
          </w:tcPr>
          <w:p w:rsidR="0033041E" w:rsidRPr="000245C4" w:rsidRDefault="0033041E" w:rsidP="000245C4">
            <w:pPr>
              <w:spacing w:after="0" w:line="240" w:lineRule="auto"/>
              <w:rPr>
                <w:rFonts w:ascii="Calibri" w:eastAsia="Times New Roman" w:hAnsi="Calibri" w:cs="Calibri"/>
                <w:b/>
                <w:bCs/>
                <w:color w:val="000000"/>
                <w:sz w:val="18"/>
                <w:szCs w:val="18"/>
                <w:lang w:eastAsia="en-AU"/>
              </w:rPr>
            </w:pPr>
            <w:r w:rsidRPr="000245C4">
              <w:rPr>
                <w:rFonts w:ascii="Calibri" w:eastAsia="Times New Roman" w:hAnsi="Calibri" w:cs="Calibri"/>
                <w:b/>
                <w:bCs/>
                <w:color w:val="000000"/>
                <w:sz w:val="18"/>
                <w:szCs w:val="18"/>
                <w:lang w:eastAsia="en-AU"/>
              </w:rPr>
              <w:t> </w:t>
            </w:r>
          </w:p>
        </w:tc>
        <w:tc>
          <w:tcPr>
            <w:tcW w:w="3428" w:type="dxa"/>
            <w:shd w:val="clear" w:color="auto" w:fill="auto"/>
            <w:hideMark/>
          </w:tcPr>
          <w:p w:rsidR="0033041E" w:rsidRPr="000245C4" w:rsidRDefault="0033041E" w:rsidP="000245C4">
            <w:pPr>
              <w:spacing w:after="0" w:line="240" w:lineRule="auto"/>
              <w:rPr>
                <w:rFonts w:ascii="Calibri" w:eastAsia="Times New Roman" w:hAnsi="Calibri" w:cs="Calibri"/>
                <w:b/>
                <w:bCs/>
                <w:color w:val="000000"/>
                <w:sz w:val="18"/>
                <w:szCs w:val="18"/>
                <w:lang w:eastAsia="en-AU"/>
              </w:rPr>
            </w:pPr>
            <w:r w:rsidRPr="000245C4">
              <w:rPr>
                <w:rFonts w:ascii="Calibri" w:eastAsia="Times New Roman" w:hAnsi="Calibri" w:cs="Calibri"/>
                <w:b/>
                <w:bCs/>
                <w:color w:val="000000"/>
                <w:sz w:val="18"/>
                <w:szCs w:val="18"/>
                <w:lang w:eastAsia="en-AU"/>
              </w:rPr>
              <w:t> </w:t>
            </w:r>
          </w:p>
        </w:tc>
        <w:tc>
          <w:tcPr>
            <w:tcW w:w="3513" w:type="dxa"/>
            <w:shd w:val="clear" w:color="auto" w:fill="auto"/>
            <w:hideMark/>
          </w:tcPr>
          <w:p w:rsidR="0033041E" w:rsidRPr="000245C4" w:rsidRDefault="0033041E" w:rsidP="000245C4">
            <w:pPr>
              <w:spacing w:after="0" w:line="240" w:lineRule="auto"/>
              <w:rPr>
                <w:rFonts w:ascii="Calibri" w:eastAsia="Times New Roman" w:hAnsi="Calibri" w:cs="Calibri"/>
                <w:b/>
                <w:bCs/>
                <w:color w:val="000000"/>
                <w:sz w:val="18"/>
                <w:szCs w:val="18"/>
                <w:lang w:eastAsia="en-AU"/>
              </w:rPr>
            </w:pPr>
            <w:r w:rsidRPr="000245C4">
              <w:rPr>
                <w:rFonts w:ascii="Calibri" w:eastAsia="Times New Roman" w:hAnsi="Calibri" w:cs="Calibri"/>
                <w:b/>
                <w:bCs/>
                <w:color w:val="000000"/>
                <w:sz w:val="18"/>
                <w:szCs w:val="18"/>
                <w:lang w:eastAsia="en-AU"/>
              </w:rPr>
              <w:t> </w:t>
            </w:r>
          </w:p>
        </w:tc>
        <w:tc>
          <w:tcPr>
            <w:tcW w:w="1958" w:type="dxa"/>
            <w:shd w:val="clear" w:color="auto" w:fill="auto"/>
            <w:hideMark/>
          </w:tcPr>
          <w:p w:rsidR="0033041E" w:rsidRPr="000245C4" w:rsidRDefault="0033041E" w:rsidP="000245C4">
            <w:pPr>
              <w:spacing w:after="0" w:line="240" w:lineRule="auto"/>
              <w:rPr>
                <w:rFonts w:ascii="Calibri" w:eastAsia="Times New Roman" w:hAnsi="Calibri" w:cs="Calibri"/>
                <w:color w:val="000000"/>
                <w:sz w:val="18"/>
                <w:szCs w:val="18"/>
                <w:lang w:eastAsia="en-AU"/>
              </w:rPr>
            </w:pPr>
            <w:r w:rsidRPr="000245C4">
              <w:rPr>
                <w:rFonts w:ascii="Calibri" w:eastAsia="Times New Roman" w:hAnsi="Calibri" w:cs="Calibri"/>
                <w:color w:val="000000"/>
                <w:sz w:val="18"/>
                <w:szCs w:val="18"/>
                <w:lang w:eastAsia="en-AU"/>
              </w:rPr>
              <w:t> </w:t>
            </w:r>
          </w:p>
        </w:tc>
      </w:tr>
      <w:tr w:rsidR="0033041E" w:rsidRPr="000245C4" w:rsidTr="0033041E">
        <w:trPr>
          <w:trHeight w:val="495"/>
        </w:trPr>
        <w:tc>
          <w:tcPr>
            <w:tcW w:w="4211" w:type="dxa"/>
            <w:vMerge/>
            <w:vAlign w:val="center"/>
          </w:tcPr>
          <w:p w:rsidR="0033041E" w:rsidRPr="000245C4" w:rsidRDefault="0033041E" w:rsidP="000245C4">
            <w:pPr>
              <w:spacing w:after="0" w:line="240" w:lineRule="auto"/>
              <w:rPr>
                <w:rFonts w:ascii="Calibri" w:eastAsia="Times New Roman" w:hAnsi="Calibri" w:cs="Calibri"/>
                <w:sz w:val="18"/>
                <w:szCs w:val="18"/>
                <w:lang w:eastAsia="en-AU"/>
              </w:rPr>
            </w:pPr>
          </w:p>
        </w:tc>
        <w:tc>
          <w:tcPr>
            <w:tcW w:w="399" w:type="dxa"/>
            <w:shd w:val="clear" w:color="auto" w:fill="auto"/>
          </w:tcPr>
          <w:p w:rsidR="0033041E" w:rsidRDefault="0033041E" w:rsidP="006C4584">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11</w:t>
            </w:r>
          </w:p>
        </w:tc>
        <w:tc>
          <w:tcPr>
            <w:tcW w:w="5628" w:type="dxa"/>
            <w:shd w:val="clear" w:color="auto" w:fill="auto"/>
          </w:tcPr>
          <w:p w:rsidR="0033041E" w:rsidRPr="000245C4" w:rsidRDefault="0033041E" w:rsidP="000245C4">
            <w:pPr>
              <w:spacing w:after="0" w:line="240" w:lineRule="auto"/>
              <w:rPr>
                <w:rFonts w:ascii="Calibri" w:eastAsia="Times New Roman" w:hAnsi="Calibri" w:cs="Calibri"/>
                <w:color w:val="000000"/>
                <w:sz w:val="18"/>
                <w:szCs w:val="18"/>
                <w:lang w:eastAsia="en-AU"/>
              </w:rPr>
            </w:pPr>
            <w:r w:rsidRPr="000D06CA">
              <w:rPr>
                <w:rFonts w:ascii="Calibri" w:eastAsia="Times New Roman" w:hAnsi="Calibri" w:cs="Calibri"/>
                <w:color w:val="000000"/>
                <w:sz w:val="18"/>
                <w:szCs w:val="18"/>
                <w:lang w:eastAsia="en-AU"/>
              </w:rPr>
              <w:t xml:space="preserve">Develop and integrate peer-based support models that include people with lived experience of hepatitis C as peer navigators in diagnosis, treatment and care for all priority populations  </w:t>
            </w:r>
          </w:p>
        </w:tc>
        <w:tc>
          <w:tcPr>
            <w:tcW w:w="1943" w:type="dxa"/>
            <w:shd w:val="clear" w:color="auto" w:fill="auto"/>
          </w:tcPr>
          <w:p w:rsidR="0033041E" w:rsidRPr="000245C4" w:rsidRDefault="0033041E" w:rsidP="000245C4">
            <w:pPr>
              <w:spacing w:after="0" w:line="240" w:lineRule="auto"/>
              <w:rPr>
                <w:rFonts w:ascii="Calibri" w:eastAsia="Times New Roman" w:hAnsi="Calibri" w:cs="Calibri"/>
                <w:b/>
                <w:bCs/>
                <w:color w:val="000000"/>
                <w:sz w:val="18"/>
                <w:szCs w:val="18"/>
                <w:lang w:eastAsia="en-AU"/>
              </w:rPr>
            </w:pPr>
          </w:p>
        </w:tc>
        <w:tc>
          <w:tcPr>
            <w:tcW w:w="3428" w:type="dxa"/>
            <w:shd w:val="clear" w:color="auto" w:fill="auto"/>
          </w:tcPr>
          <w:p w:rsidR="0033041E" w:rsidRPr="000245C4" w:rsidRDefault="0033041E" w:rsidP="000245C4">
            <w:pPr>
              <w:spacing w:after="0" w:line="240" w:lineRule="auto"/>
              <w:rPr>
                <w:rFonts w:ascii="Calibri" w:eastAsia="Times New Roman" w:hAnsi="Calibri" w:cs="Calibri"/>
                <w:b/>
                <w:bCs/>
                <w:color w:val="000000"/>
                <w:sz w:val="18"/>
                <w:szCs w:val="18"/>
                <w:lang w:eastAsia="en-AU"/>
              </w:rPr>
            </w:pPr>
          </w:p>
        </w:tc>
        <w:tc>
          <w:tcPr>
            <w:tcW w:w="3513" w:type="dxa"/>
            <w:shd w:val="clear" w:color="auto" w:fill="auto"/>
          </w:tcPr>
          <w:p w:rsidR="0033041E" w:rsidRPr="000245C4" w:rsidRDefault="0033041E" w:rsidP="000245C4">
            <w:pPr>
              <w:spacing w:after="0" w:line="240" w:lineRule="auto"/>
              <w:rPr>
                <w:rFonts w:ascii="Calibri" w:eastAsia="Times New Roman" w:hAnsi="Calibri" w:cs="Calibri"/>
                <w:b/>
                <w:bCs/>
                <w:color w:val="000000"/>
                <w:sz w:val="18"/>
                <w:szCs w:val="18"/>
                <w:lang w:eastAsia="en-AU"/>
              </w:rPr>
            </w:pPr>
          </w:p>
        </w:tc>
        <w:tc>
          <w:tcPr>
            <w:tcW w:w="1958" w:type="dxa"/>
            <w:shd w:val="clear" w:color="auto" w:fill="auto"/>
          </w:tcPr>
          <w:p w:rsidR="0033041E" w:rsidRPr="000245C4" w:rsidRDefault="0033041E" w:rsidP="000245C4">
            <w:pPr>
              <w:spacing w:after="0" w:line="240" w:lineRule="auto"/>
              <w:rPr>
                <w:rFonts w:ascii="Calibri" w:eastAsia="Times New Roman" w:hAnsi="Calibri" w:cs="Calibri"/>
                <w:color w:val="000000"/>
                <w:sz w:val="18"/>
                <w:szCs w:val="18"/>
                <w:lang w:eastAsia="en-AU"/>
              </w:rPr>
            </w:pPr>
          </w:p>
        </w:tc>
      </w:tr>
      <w:tr w:rsidR="0033041E" w:rsidRPr="000245C4" w:rsidTr="0033041E">
        <w:trPr>
          <w:trHeight w:val="495"/>
        </w:trPr>
        <w:tc>
          <w:tcPr>
            <w:tcW w:w="4211" w:type="dxa"/>
            <w:vMerge w:val="restart"/>
            <w:vAlign w:val="center"/>
          </w:tcPr>
          <w:p w:rsidR="0033041E" w:rsidRPr="00842592" w:rsidRDefault="0033041E" w:rsidP="00842592">
            <w:pPr>
              <w:spacing w:before="240" w:after="0"/>
              <w:rPr>
                <w:rFonts w:ascii="Calibri" w:eastAsia="Times New Roman" w:hAnsi="Calibri" w:cs="Calibri"/>
                <w:sz w:val="18"/>
                <w:szCs w:val="18"/>
                <w:u w:val="single"/>
                <w:lang w:eastAsia="en-AU"/>
              </w:rPr>
            </w:pPr>
            <w:r w:rsidRPr="00842592">
              <w:rPr>
                <w:rFonts w:ascii="Calibri" w:eastAsia="Times New Roman" w:hAnsi="Calibri" w:cs="Calibri"/>
                <w:sz w:val="18"/>
                <w:szCs w:val="18"/>
                <w:u w:val="single"/>
                <w:lang w:eastAsia="en-AU"/>
              </w:rPr>
              <w:t>Equitable access and coordination of care</w:t>
            </w:r>
          </w:p>
          <w:p w:rsidR="0033041E" w:rsidRDefault="0033041E" w:rsidP="00842592">
            <w:pPr>
              <w:pStyle w:val="CommentText"/>
              <w:spacing w:after="60"/>
              <w:rPr>
                <w:rFonts w:ascii="Calibri" w:eastAsia="Times New Roman" w:hAnsi="Calibri" w:cs="Calibri"/>
                <w:sz w:val="18"/>
                <w:szCs w:val="18"/>
                <w:lang w:eastAsia="en-AU"/>
              </w:rPr>
            </w:pPr>
          </w:p>
          <w:p w:rsidR="0033041E" w:rsidRDefault="0033041E" w:rsidP="000D06CA">
            <w:pPr>
              <w:spacing w:after="0" w:line="240" w:lineRule="auto"/>
              <w:rPr>
                <w:rFonts w:ascii="Calibri" w:eastAsia="Times New Roman" w:hAnsi="Calibri" w:cs="Calibri"/>
                <w:sz w:val="18"/>
                <w:szCs w:val="18"/>
                <w:lang w:eastAsia="en-AU"/>
              </w:rPr>
            </w:pPr>
            <w:r w:rsidRPr="000D06CA">
              <w:rPr>
                <w:rFonts w:ascii="Calibri" w:eastAsia="Times New Roman" w:hAnsi="Calibri" w:cs="Calibri"/>
                <w:sz w:val="18"/>
                <w:szCs w:val="18"/>
                <w:lang w:eastAsia="en-AU"/>
              </w:rPr>
              <w:t>Continue to strengthen connections between priority populations, the healthcare workforce and community organisations to facilitate coordination of care</w:t>
            </w:r>
          </w:p>
          <w:p w:rsidR="0033041E" w:rsidRDefault="0033041E" w:rsidP="000D06CA">
            <w:pPr>
              <w:spacing w:after="0" w:line="240" w:lineRule="auto"/>
              <w:rPr>
                <w:rFonts w:ascii="Calibri" w:eastAsia="Times New Roman" w:hAnsi="Calibri" w:cs="Calibri"/>
                <w:sz w:val="18"/>
                <w:szCs w:val="18"/>
                <w:lang w:eastAsia="en-AU"/>
              </w:rPr>
            </w:pPr>
          </w:p>
          <w:p w:rsidR="0033041E" w:rsidRPr="000245C4" w:rsidRDefault="0033041E" w:rsidP="000D06CA">
            <w:pPr>
              <w:spacing w:after="0" w:line="240" w:lineRule="auto"/>
              <w:rPr>
                <w:rFonts w:ascii="Calibri" w:eastAsia="Times New Roman" w:hAnsi="Calibri" w:cs="Calibri"/>
                <w:sz w:val="18"/>
                <w:szCs w:val="18"/>
                <w:lang w:eastAsia="en-AU"/>
              </w:rPr>
            </w:pPr>
            <w:r w:rsidRPr="000D06CA">
              <w:rPr>
                <w:rFonts w:ascii="Calibri" w:eastAsia="Times New Roman" w:hAnsi="Calibri" w:cs="Calibri"/>
                <w:sz w:val="18"/>
                <w:szCs w:val="18"/>
                <w:lang w:eastAsia="en-AU"/>
              </w:rPr>
              <w:t>Ensure equitable access to treatment and care for all priority populations, including people in custodial settings and people reinfected after cure</w:t>
            </w:r>
          </w:p>
        </w:tc>
        <w:tc>
          <w:tcPr>
            <w:tcW w:w="399" w:type="dxa"/>
            <w:shd w:val="clear" w:color="auto" w:fill="auto"/>
          </w:tcPr>
          <w:p w:rsidR="0033041E" w:rsidRPr="000245C4" w:rsidRDefault="0033041E" w:rsidP="00CE0F63">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lastRenderedPageBreak/>
              <w:t>12</w:t>
            </w:r>
          </w:p>
        </w:tc>
        <w:tc>
          <w:tcPr>
            <w:tcW w:w="5628" w:type="dxa"/>
            <w:shd w:val="clear" w:color="auto" w:fill="auto"/>
          </w:tcPr>
          <w:p w:rsidR="0033041E" w:rsidRPr="000245C4" w:rsidRDefault="0033041E" w:rsidP="000245C4">
            <w:pPr>
              <w:spacing w:after="0" w:line="240" w:lineRule="auto"/>
              <w:rPr>
                <w:rFonts w:ascii="Calibri" w:eastAsia="Times New Roman" w:hAnsi="Calibri" w:cs="Calibri"/>
                <w:color w:val="000000"/>
                <w:sz w:val="18"/>
                <w:szCs w:val="18"/>
                <w:lang w:eastAsia="en-AU"/>
              </w:rPr>
            </w:pPr>
            <w:r w:rsidRPr="004B4BC7">
              <w:rPr>
                <w:rFonts w:ascii="Calibri" w:eastAsia="Times New Roman" w:hAnsi="Calibri" w:cs="Calibri"/>
                <w:color w:val="000000"/>
                <w:sz w:val="18"/>
                <w:szCs w:val="18"/>
                <w:lang w:eastAsia="en-AU"/>
              </w:rPr>
              <w:t>Support models of care that provide effective testing, treatment and management of people living with hepatitis C in primary health settings, including links and referral pathways to specialist and multidisciplinary services</w:t>
            </w:r>
          </w:p>
        </w:tc>
        <w:tc>
          <w:tcPr>
            <w:tcW w:w="1943" w:type="dxa"/>
            <w:shd w:val="clear" w:color="auto" w:fill="auto"/>
          </w:tcPr>
          <w:p w:rsidR="0033041E" w:rsidRPr="000245C4" w:rsidRDefault="0033041E" w:rsidP="000245C4">
            <w:pPr>
              <w:spacing w:after="0" w:line="240" w:lineRule="auto"/>
              <w:rPr>
                <w:rFonts w:ascii="Calibri" w:eastAsia="Times New Roman" w:hAnsi="Calibri" w:cs="Calibri"/>
                <w:b/>
                <w:bCs/>
                <w:color w:val="000000"/>
                <w:sz w:val="18"/>
                <w:szCs w:val="18"/>
                <w:lang w:eastAsia="en-AU"/>
              </w:rPr>
            </w:pPr>
          </w:p>
        </w:tc>
        <w:tc>
          <w:tcPr>
            <w:tcW w:w="3428" w:type="dxa"/>
            <w:shd w:val="clear" w:color="auto" w:fill="auto"/>
          </w:tcPr>
          <w:p w:rsidR="0033041E" w:rsidRPr="000245C4" w:rsidRDefault="0033041E" w:rsidP="000245C4">
            <w:pPr>
              <w:spacing w:after="0" w:line="240" w:lineRule="auto"/>
              <w:rPr>
                <w:rFonts w:ascii="Calibri" w:eastAsia="Times New Roman" w:hAnsi="Calibri" w:cs="Calibri"/>
                <w:b/>
                <w:bCs/>
                <w:color w:val="000000"/>
                <w:sz w:val="18"/>
                <w:szCs w:val="18"/>
                <w:lang w:eastAsia="en-AU"/>
              </w:rPr>
            </w:pPr>
          </w:p>
        </w:tc>
        <w:tc>
          <w:tcPr>
            <w:tcW w:w="3513" w:type="dxa"/>
            <w:shd w:val="clear" w:color="auto" w:fill="auto"/>
          </w:tcPr>
          <w:p w:rsidR="0033041E" w:rsidRPr="000245C4" w:rsidRDefault="0033041E" w:rsidP="000245C4">
            <w:pPr>
              <w:spacing w:after="0" w:line="240" w:lineRule="auto"/>
              <w:rPr>
                <w:rFonts w:ascii="Calibri" w:eastAsia="Times New Roman" w:hAnsi="Calibri" w:cs="Calibri"/>
                <w:b/>
                <w:bCs/>
                <w:color w:val="000000"/>
                <w:sz w:val="18"/>
                <w:szCs w:val="18"/>
                <w:lang w:eastAsia="en-AU"/>
              </w:rPr>
            </w:pPr>
          </w:p>
        </w:tc>
        <w:tc>
          <w:tcPr>
            <w:tcW w:w="1958" w:type="dxa"/>
            <w:shd w:val="clear" w:color="auto" w:fill="auto"/>
          </w:tcPr>
          <w:p w:rsidR="0033041E" w:rsidRPr="000245C4" w:rsidRDefault="0033041E" w:rsidP="000245C4">
            <w:pPr>
              <w:spacing w:after="0" w:line="240" w:lineRule="auto"/>
              <w:rPr>
                <w:rFonts w:ascii="Calibri" w:eastAsia="Times New Roman" w:hAnsi="Calibri" w:cs="Calibri"/>
                <w:color w:val="000000"/>
                <w:sz w:val="18"/>
                <w:szCs w:val="18"/>
                <w:lang w:eastAsia="en-AU"/>
              </w:rPr>
            </w:pPr>
          </w:p>
        </w:tc>
      </w:tr>
      <w:tr w:rsidR="0033041E" w:rsidRPr="000245C4" w:rsidTr="0033041E">
        <w:trPr>
          <w:trHeight w:val="495"/>
        </w:trPr>
        <w:tc>
          <w:tcPr>
            <w:tcW w:w="4211" w:type="dxa"/>
            <w:vMerge/>
            <w:vAlign w:val="center"/>
          </w:tcPr>
          <w:p w:rsidR="0033041E" w:rsidRPr="000245C4" w:rsidRDefault="0033041E" w:rsidP="000245C4">
            <w:pPr>
              <w:spacing w:after="0" w:line="240" w:lineRule="auto"/>
              <w:rPr>
                <w:rFonts w:ascii="Calibri" w:eastAsia="Times New Roman" w:hAnsi="Calibri" w:cs="Calibri"/>
                <w:sz w:val="18"/>
                <w:szCs w:val="18"/>
                <w:lang w:eastAsia="en-AU"/>
              </w:rPr>
            </w:pPr>
          </w:p>
        </w:tc>
        <w:tc>
          <w:tcPr>
            <w:tcW w:w="399" w:type="dxa"/>
            <w:shd w:val="clear" w:color="auto" w:fill="auto"/>
          </w:tcPr>
          <w:p w:rsidR="0033041E" w:rsidRPr="000245C4" w:rsidRDefault="0033041E" w:rsidP="00CE0F63">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13</w:t>
            </w:r>
          </w:p>
        </w:tc>
        <w:tc>
          <w:tcPr>
            <w:tcW w:w="5628" w:type="dxa"/>
            <w:shd w:val="clear" w:color="auto" w:fill="auto"/>
          </w:tcPr>
          <w:p w:rsidR="0033041E" w:rsidRPr="000245C4" w:rsidRDefault="0033041E" w:rsidP="000245C4">
            <w:pPr>
              <w:spacing w:after="0" w:line="240" w:lineRule="auto"/>
              <w:rPr>
                <w:rFonts w:ascii="Calibri" w:eastAsia="Times New Roman" w:hAnsi="Calibri" w:cs="Calibri"/>
                <w:color w:val="000000"/>
                <w:sz w:val="18"/>
                <w:szCs w:val="18"/>
                <w:lang w:eastAsia="en-AU"/>
              </w:rPr>
            </w:pPr>
            <w:r w:rsidRPr="004B4BC7">
              <w:rPr>
                <w:rFonts w:ascii="Calibri" w:eastAsia="Times New Roman" w:hAnsi="Calibri" w:cs="Calibri"/>
                <w:color w:val="000000"/>
                <w:sz w:val="18"/>
                <w:szCs w:val="18"/>
                <w:lang w:eastAsia="en-AU"/>
              </w:rPr>
              <w:t>Identify opportunities to improve patient management systems to better support the primary care workforce to promptly identify and provide treatment and care for people living with hepatitis C</w:t>
            </w:r>
          </w:p>
        </w:tc>
        <w:tc>
          <w:tcPr>
            <w:tcW w:w="1943" w:type="dxa"/>
            <w:shd w:val="clear" w:color="auto" w:fill="auto"/>
          </w:tcPr>
          <w:p w:rsidR="0033041E" w:rsidRPr="000245C4" w:rsidRDefault="0033041E" w:rsidP="000245C4">
            <w:pPr>
              <w:spacing w:after="0" w:line="240" w:lineRule="auto"/>
              <w:rPr>
                <w:rFonts w:ascii="Calibri" w:eastAsia="Times New Roman" w:hAnsi="Calibri" w:cs="Calibri"/>
                <w:b/>
                <w:bCs/>
                <w:color w:val="000000"/>
                <w:sz w:val="18"/>
                <w:szCs w:val="18"/>
                <w:lang w:eastAsia="en-AU"/>
              </w:rPr>
            </w:pPr>
          </w:p>
        </w:tc>
        <w:tc>
          <w:tcPr>
            <w:tcW w:w="3428" w:type="dxa"/>
            <w:shd w:val="clear" w:color="auto" w:fill="auto"/>
          </w:tcPr>
          <w:p w:rsidR="0033041E" w:rsidRPr="000245C4" w:rsidRDefault="0033041E" w:rsidP="000245C4">
            <w:pPr>
              <w:spacing w:after="0" w:line="240" w:lineRule="auto"/>
              <w:rPr>
                <w:rFonts w:ascii="Calibri" w:eastAsia="Times New Roman" w:hAnsi="Calibri" w:cs="Calibri"/>
                <w:b/>
                <w:bCs/>
                <w:color w:val="000000"/>
                <w:sz w:val="18"/>
                <w:szCs w:val="18"/>
                <w:lang w:eastAsia="en-AU"/>
              </w:rPr>
            </w:pPr>
          </w:p>
        </w:tc>
        <w:tc>
          <w:tcPr>
            <w:tcW w:w="3513" w:type="dxa"/>
            <w:shd w:val="clear" w:color="auto" w:fill="auto"/>
          </w:tcPr>
          <w:p w:rsidR="0033041E" w:rsidRPr="000245C4" w:rsidRDefault="0033041E" w:rsidP="000245C4">
            <w:pPr>
              <w:spacing w:after="0" w:line="240" w:lineRule="auto"/>
              <w:rPr>
                <w:rFonts w:ascii="Calibri" w:eastAsia="Times New Roman" w:hAnsi="Calibri" w:cs="Calibri"/>
                <w:b/>
                <w:bCs/>
                <w:color w:val="000000"/>
                <w:sz w:val="18"/>
                <w:szCs w:val="18"/>
                <w:lang w:eastAsia="en-AU"/>
              </w:rPr>
            </w:pPr>
          </w:p>
        </w:tc>
        <w:tc>
          <w:tcPr>
            <w:tcW w:w="1958" w:type="dxa"/>
            <w:shd w:val="clear" w:color="auto" w:fill="auto"/>
          </w:tcPr>
          <w:p w:rsidR="0033041E" w:rsidRPr="000245C4" w:rsidRDefault="0033041E" w:rsidP="000245C4">
            <w:pPr>
              <w:spacing w:after="0" w:line="240" w:lineRule="auto"/>
              <w:rPr>
                <w:rFonts w:ascii="Calibri" w:eastAsia="Times New Roman" w:hAnsi="Calibri" w:cs="Calibri"/>
                <w:color w:val="000000"/>
                <w:sz w:val="18"/>
                <w:szCs w:val="18"/>
                <w:lang w:eastAsia="en-AU"/>
              </w:rPr>
            </w:pPr>
          </w:p>
        </w:tc>
      </w:tr>
      <w:tr w:rsidR="0033041E" w:rsidRPr="000245C4" w:rsidTr="0033041E">
        <w:trPr>
          <w:trHeight w:val="495"/>
        </w:trPr>
        <w:tc>
          <w:tcPr>
            <w:tcW w:w="4211" w:type="dxa"/>
            <w:vMerge/>
            <w:vAlign w:val="center"/>
          </w:tcPr>
          <w:p w:rsidR="0033041E" w:rsidRPr="000245C4" w:rsidRDefault="0033041E" w:rsidP="000245C4">
            <w:pPr>
              <w:spacing w:after="0" w:line="240" w:lineRule="auto"/>
              <w:rPr>
                <w:rFonts w:ascii="Calibri" w:eastAsia="Times New Roman" w:hAnsi="Calibri" w:cs="Calibri"/>
                <w:sz w:val="18"/>
                <w:szCs w:val="18"/>
                <w:lang w:eastAsia="en-AU"/>
              </w:rPr>
            </w:pPr>
          </w:p>
        </w:tc>
        <w:tc>
          <w:tcPr>
            <w:tcW w:w="399" w:type="dxa"/>
            <w:shd w:val="clear" w:color="auto" w:fill="auto"/>
          </w:tcPr>
          <w:p w:rsidR="0033041E" w:rsidRPr="000245C4" w:rsidRDefault="0033041E" w:rsidP="00CE0F63">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14</w:t>
            </w:r>
          </w:p>
        </w:tc>
        <w:tc>
          <w:tcPr>
            <w:tcW w:w="5628" w:type="dxa"/>
            <w:shd w:val="clear" w:color="auto" w:fill="auto"/>
          </w:tcPr>
          <w:p w:rsidR="0033041E" w:rsidRPr="000245C4" w:rsidRDefault="0033041E" w:rsidP="00D803F9">
            <w:pPr>
              <w:tabs>
                <w:tab w:val="left" w:pos="939"/>
              </w:tabs>
              <w:spacing w:after="0" w:line="240" w:lineRule="auto"/>
              <w:rPr>
                <w:rFonts w:ascii="Calibri" w:eastAsia="Times New Roman" w:hAnsi="Calibri" w:cs="Calibri"/>
                <w:color w:val="000000"/>
                <w:sz w:val="18"/>
                <w:szCs w:val="18"/>
                <w:lang w:eastAsia="en-AU"/>
              </w:rPr>
            </w:pPr>
            <w:r w:rsidRPr="004B4BC7">
              <w:rPr>
                <w:rFonts w:ascii="Calibri" w:eastAsia="Times New Roman" w:hAnsi="Calibri" w:cs="Calibri"/>
                <w:color w:val="000000"/>
                <w:sz w:val="18"/>
                <w:szCs w:val="18"/>
                <w:lang w:eastAsia="en-AU"/>
              </w:rPr>
              <w:t>Improve the coordination of hepatitis C treatment services and other service providers, including general practice, Aboriginal and Torres Strait Islander health services, AOD, NSPs, sexual health services, peer-based services and mental health services to better link people at risk of or living with hepatitis C to prevention, testing, and relevant follow-up and management</w:t>
            </w:r>
          </w:p>
        </w:tc>
        <w:tc>
          <w:tcPr>
            <w:tcW w:w="1943" w:type="dxa"/>
            <w:shd w:val="clear" w:color="auto" w:fill="auto"/>
          </w:tcPr>
          <w:p w:rsidR="0033041E" w:rsidRPr="000245C4" w:rsidRDefault="0033041E" w:rsidP="000245C4">
            <w:pPr>
              <w:spacing w:after="0" w:line="240" w:lineRule="auto"/>
              <w:rPr>
                <w:rFonts w:ascii="Calibri" w:eastAsia="Times New Roman" w:hAnsi="Calibri" w:cs="Calibri"/>
                <w:b/>
                <w:bCs/>
                <w:color w:val="000000"/>
                <w:sz w:val="18"/>
                <w:szCs w:val="18"/>
                <w:lang w:eastAsia="en-AU"/>
              </w:rPr>
            </w:pPr>
          </w:p>
        </w:tc>
        <w:tc>
          <w:tcPr>
            <w:tcW w:w="3428" w:type="dxa"/>
            <w:shd w:val="clear" w:color="auto" w:fill="auto"/>
          </w:tcPr>
          <w:p w:rsidR="0033041E" w:rsidRPr="000245C4" w:rsidRDefault="0033041E" w:rsidP="000245C4">
            <w:pPr>
              <w:spacing w:after="0" w:line="240" w:lineRule="auto"/>
              <w:rPr>
                <w:rFonts w:ascii="Calibri" w:eastAsia="Times New Roman" w:hAnsi="Calibri" w:cs="Calibri"/>
                <w:b/>
                <w:bCs/>
                <w:color w:val="000000"/>
                <w:sz w:val="18"/>
                <w:szCs w:val="18"/>
                <w:lang w:eastAsia="en-AU"/>
              </w:rPr>
            </w:pPr>
          </w:p>
        </w:tc>
        <w:tc>
          <w:tcPr>
            <w:tcW w:w="3513" w:type="dxa"/>
            <w:shd w:val="clear" w:color="auto" w:fill="auto"/>
          </w:tcPr>
          <w:p w:rsidR="0033041E" w:rsidRPr="000245C4" w:rsidRDefault="0033041E" w:rsidP="000245C4">
            <w:pPr>
              <w:spacing w:after="0" w:line="240" w:lineRule="auto"/>
              <w:rPr>
                <w:rFonts w:ascii="Calibri" w:eastAsia="Times New Roman" w:hAnsi="Calibri" w:cs="Calibri"/>
                <w:b/>
                <w:bCs/>
                <w:color w:val="000000"/>
                <w:sz w:val="18"/>
                <w:szCs w:val="18"/>
                <w:lang w:eastAsia="en-AU"/>
              </w:rPr>
            </w:pPr>
          </w:p>
        </w:tc>
        <w:tc>
          <w:tcPr>
            <w:tcW w:w="1958" w:type="dxa"/>
            <w:shd w:val="clear" w:color="auto" w:fill="auto"/>
          </w:tcPr>
          <w:p w:rsidR="0033041E" w:rsidRPr="000245C4" w:rsidRDefault="0033041E" w:rsidP="000245C4">
            <w:pPr>
              <w:spacing w:after="0" w:line="240" w:lineRule="auto"/>
              <w:rPr>
                <w:rFonts w:ascii="Calibri" w:eastAsia="Times New Roman" w:hAnsi="Calibri" w:cs="Calibri"/>
                <w:color w:val="000000"/>
                <w:sz w:val="18"/>
                <w:szCs w:val="18"/>
                <w:lang w:eastAsia="en-AU"/>
              </w:rPr>
            </w:pPr>
          </w:p>
        </w:tc>
      </w:tr>
      <w:tr w:rsidR="0033041E" w:rsidRPr="000245C4" w:rsidTr="0033041E">
        <w:trPr>
          <w:trHeight w:val="495"/>
        </w:trPr>
        <w:tc>
          <w:tcPr>
            <w:tcW w:w="4211" w:type="dxa"/>
            <w:vMerge/>
            <w:vAlign w:val="center"/>
          </w:tcPr>
          <w:p w:rsidR="0033041E" w:rsidRPr="000245C4" w:rsidRDefault="0033041E" w:rsidP="000245C4">
            <w:pPr>
              <w:spacing w:after="0" w:line="240" w:lineRule="auto"/>
              <w:rPr>
                <w:rFonts w:ascii="Calibri" w:eastAsia="Times New Roman" w:hAnsi="Calibri" w:cs="Calibri"/>
                <w:sz w:val="18"/>
                <w:szCs w:val="18"/>
                <w:lang w:eastAsia="en-AU"/>
              </w:rPr>
            </w:pPr>
          </w:p>
        </w:tc>
        <w:tc>
          <w:tcPr>
            <w:tcW w:w="399" w:type="dxa"/>
            <w:shd w:val="clear" w:color="auto" w:fill="auto"/>
          </w:tcPr>
          <w:p w:rsidR="0033041E" w:rsidRPr="000245C4" w:rsidRDefault="0033041E" w:rsidP="00CE0F63">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15</w:t>
            </w:r>
          </w:p>
        </w:tc>
        <w:tc>
          <w:tcPr>
            <w:tcW w:w="5628" w:type="dxa"/>
            <w:shd w:val="clear" w:color="auto" w:fill="auto"/>
          </w:tcPr>
          <w:p w:rsidR="0033041E" w:rsidRPr="000245C4" w:rsidRDefault="0033041E" w:rsidP="000245C4">
            <w:pPr>
              <w:spacing w:after="0" w:line="240" w:lineRule="auto"/>
              <w:rPr>
                <w:rFonts w:ascii="Calibri" w:eastAsia="Times New Roman" w:hAnsi="Calibri" w:cs="Calibri"/>
                <w:color w:val="000000"/>
                <w:sz w:val="18"/>
                <w:szCs w:val="18"/>
                <w:lang w:eastAsia="en-AU"/>
              </w:rPr>
            </w:pPr>
            <w:r w:rsidRPr="004B4BC7">
              <w:rPr>
                <w:rFonts w:ascii="Calibri" w:eastAsia="Times New Roman" w:hAnsi="Calibri" w:cs="Calibri"/>
                <w:color w:val="000000"/>
                <w:sz w:val="18"/>
                <w:szCs w:val="18"/>
                <w:lang w:eastAsia="en-AU"/>
              </w:rPr>
              <w:t>Enhance partnerships between jurisdictional health and justice systems and facilitate knowledge sharing across jurisdictions regarding prevention, testing, treatment and support services for inmates and those recently released</w:t>
            </w:r>
          </w:p>
        </w:tc>
        <w:tc>
          <w:tcPr>
            <w:tcW w:w="1943" w:type="dxa"/>
            <w:shd w:val="clear" w:color="auto" w:fill="auto"/>
          </w:tcPr>
          <w:p w:rsidR="0033041E" w:rsidRPr="000245C4" w:rsidRDefault="0033041E" w:rsidP="000245C4">
            <w:pPr>
              <w:spacing w:after="0" w:line="240" w:lineRule="auto"/>
              <w:rPr>
                <w:rFonts w:ascii="Calibri" w:eastAsia="Times New Roman" w:hAnsi="Calibri" w:cs="Calibri"/>
                <w:b/>
                <w:bCs/>
                <w:color w:val="000000"/>
                <w:sz w:val="18"/>
                <w:szCs w:val="18"/>
                <w:lang w:eastAsia="en-AU"/>
              </w:rPr>
            </w:pPr>
          </w:p>
        </w:tc>
        <w:tc>
          <w:tcPr>
            <w:tcW w:w="3428" w:type="dxa"/>
            <w:shd w:val="clear" w:color="auto" w:fill="auto"/>
          </w:tcPr>
          <w:p w:rsidR="0033041E" w:rsidRPr="000245C4" w:rsidRDefault="0033041E" w:rsidP="000245C4">
            <w:pPr>
              <w:spacing w:after="0" w:line="240" w:lineRule="auto"/>
              <w:rPr>
                <w:rFonts w:ascii="Calibri" w:eastAsia="Times New Roman" w:hAnsi="Calibri" w:cs="Calibri"/>
                <w:b/>
                <w:bCs/>
                <w:color w:val="000000"/>
                <w:sz w:val="18"/>
                <w:szCs w:val="18"/>
                <w:lang w:eastAsia="en-AU"/>
              </w:rPr>
            </w:pPr>
          </w:p>
        </w:tc>
        <w:tc>
          <w:tcPr>
            <w:tcW w:w="3513" w:type="dxa"/>
            <w:shd w:val="clear" w:color="auto" w:fill="auto"/>
          </w:tcPr>
          <w:p w:rsidR="0033041E" w:rsidRPr="000245C4" w:rsidRDefault="0033041E" w:rsidP="000245C4">
            <w:pPr>
              <w:spacing w:after="0" w:line="240" w:lineRule="auto"/>
              <w:rPr>
                <w:rFonts w:ascii="Calibri" w:eastAsia="Times New Roman" w:hAnsi="Calibri" w:cs="Calibri"/>
                <w:b/>
                <w:bCs/>
                <w:color w:val="000000"/>
                <w:sz w:val="18"/>
                <w:szCs w:val="18"/>
                <w:lang w:eastAsia="en-AU"/>
              </w:rPr>
            </w:pPr>
          </w:p>
        </w:tc>
        <w:tc>
          <w:tcPr>
            <w:tcW w:w="1958" w:type="dxa"/>
            <w:shd w:val="clear" w:color="auto" w:fill="auto"/>
          </w:tcPr>
          <w:p w:rsidR="0033041E" w:rsidRPr="000245C4" w:rsidRDefault="0033041E" w:rsidP="000245C4">
            <w:pPr>
              <w:spacing w:after="0" w:line="240" w:lineRule="auto"/>
              <w:rPr>
                <w:rFonts w:ascii="Calibri" w:eastAsia="Times New Roman" w:hAnsi="Calibri" w:cs="Calibri"/>
                <w:color w:val="000000"/>
                <w:sz w:val="18"/>
                <w:szCs w:val="18"/>
                <w:lang w:eastAsia="en-AU"/>
              </w:rPr>
            </w:pPr>
          </w:p>
        </w:tc>
      </w:tr>
      <w:tr w:rsidR="0033041E" w:rsidRPr="000245C4" w:rsidTr="0033041E">
        <w:trPr>
          <w:trHeight w:val="495"/>
        </w:trPr>
        <w:tc>
          <w:tcPr>
            <w:tcW w:w="4211" w:type="dxa"/>
            <w:vMerge/>
            <w:vAlign w:val="center"/>
          </w:tcPr>
          <w:p w:rsidR="0033041E" w:rsidRPr="000245C4" w:rsidRDefault="0033041E" w:rsidP="000245C4">
            <w:pPr>
              <w:spacing w:after="0" w:line="240" w:lineRule="auto"/>
              <w:rPr>
                <w:rFonts w:ascii="Calibri" w:eastAsia="Times New Roman" w:hAnsi="Calibri" w:cs="Calibri"/>
                <w:sz w:val="18"/>
                <w:szCs w:val="18"/>
                <w:lang w:eastAsia="en-AU"/>
              </w:rPr>
            </w:pPr>
          </w:p>
        </w:tc>
        <w:tc>
          <w:tcPr>
            <w:tcW w:w="399" w:type="dxa"/>
            <w:shd w:val="clear" w:color="auto" w:fill="auto"/>
          </w:tcPr>
          <w:p w:rsidR="0033041E" w:rsidRDefault="0033041E" w:rsidP="00CE0F63">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16</w:t>
            </w:r>
          </w:p>
        </w:tc>
        <w:tc>
          <w:tcPr>
            <w:tcW w:w="5628" w:type="dxa"/>
            <w:shd w:val="clear" w:color="auto" w:fill="auto"/>
          </w:tcPr>
          <w:p w:rsidR="0033041E" w:rsidRPr="000245C4" w:rsidRDefault="0033041E" w:rsidP="000245C4">
            <w:pPr>
              <w:spacing w:after="0" w:line="240" w:lineRule="auto"/>
              <w:rPr>
                <w:rFonts w:ascii="Calibri" w:eastAsia="Times New Roman" w:hAnsi="Calibri" w:cs="Calibri"/>
                <w:color w:val="000000"/>
                <w:sz w:val="18"/>
                <w:szCs w:val="18"/>
                <w:lang w:eastAsia="en-AU"/>
              </w:rPr>
            </w:pPr>
            <w:r w:rsidRPr="004B4BC7">
              <w:rPr>
                <w:rFonts w:ascii="Calibri" w:eastAsia="Times New Roman" w:hAnsi="Calibri" w:cs="Calibri"/>
                <w:color w:val="000000"/>
                <w:sz w:val="18"/>
                <w:szCs w:val="18"/>
                <w:lang w:eastAsia="en-AU"/>
              </w:rPr>
              <w:t>Identify and trial opportunities to increase access to prevention, testing and treatment in custodial settings</w:t>
            </w:r>
          </w:p>
        </w:tc>
        <w:tc>
          <w:tcPr>
            <w:tcW w:w="1943" w:type="dxa"/>
            <w:shd w:val="clear" w:color="auto" w:fill="auto"/>
          </w:tcPr>
          <w:p w:rsidR="0033041E" w:rsidRPr="000245C4" w:rsidRDefault="0033041E" w:rsidP="000245C4">
            <w:pPr>
              <w:spacing w:after="0" w:line="240" w:lineRule="auto"/>
              <w:rPr>
                <w:rFonts w:ascii="Calibri" w:eastAsia="Times New Roman" w:hAnsi="Calibri" w:cs="Calibri"/>
                <w:b/>
                <w:bCs/>
                <w:color w:val="000000"/>
                <w:sz w:val="18"/>
                <w:szCs w:val="18"/>
                <w:lang w:eastAsia="en-AU"/>
              </w:rPr>
            </w:pPr>
          </w:p>
        </w:tc>
        <w:tc>
          <w:tcPr>
            <w:tcW w:w="3428" w:type="dxa"/>
            <w:shd w:val="clear" w:color="auto" w:fill="auto"/>
          </w:tcPr>
          <w:p w:rsidR="0033041E" w:rsidRPr="000245C4" w:rsidRDefault="0033041E" w:rsidP="000245C4">
            <w:pPr>
              <w:spacing w:after="0" w:line="240" w:lineRule="auto"/>
              <w:rPr>
                <w:rFonts w:ascii="Calibri" w:eastAsia="Times New Roman" w:hAnsi="Calibri" w:cs="Calibri"/>
                <w:b/>
                <w:bCs/>
                <w:color w:val="000000"/>
                <w:sz w:val="18"/>
                <w:szCs w:val="18"/>
                <w:lang w:eastAsia="en-AU"/>
              </w:rPr>
            </w:pPr>
          </w:p>
        </w:tc>
        <w:tc>
          <w:tcPr>
            <w:tcW w:w="3513" w:type="dxa"/>
            <w:shd w:val="clear" w:color="auto" w:fill="auto"/>
          </w:tcPr>
          <w:p w:rsidR="0033041E" w:rsidRPr="000245C4" w:rsidRDefault="0033041E" w:rsidP="000245C4">
            <w:pPr>
              <w:spacing w:after="0" w:line="240" w:lineRule="auto"/>
              <w:rPr>
                <w:rFonts w:ascii="Calibri" w:eastAsia="Times New Roman" w:hAnsi="Calibri" w:cs="Calibri"/>
                <w:b/>
                <w:bCs/>
                <w:color w:val="000000"/>
                <w:sz w:val="18"/>
                <w:szCs w:val="18"/>
                <w:lang w:eastAsia="en-AU"/>
              </w:rPr>
            </w:pPr>
          </w:p>
        </w:tc>
        <w:tc>
          <w:tcPr>
            <w:tcW w:w="1958" w:type="dxa"/>
            <w:shd w:val="clear" w:color="auto" w:fill="auto"/>
          </w:tcPr>
          <w:p w:rsidR="0033041E" w:rsidRPr="000245C4" w:rsidRDefault="0033041E" w:rsidP="000245C4">
            <w:pPr>
              <w:spacing w:after="0" w:line="240" w:lineRule="auto"/>
              <w:rPr>
                <w:rFonts w:ascii="Calibri" w:eastAsia="Times New Roman" w:hAnsi="Calibri" w:cs="Calibri"/>
                <w:color w:val="000000"/>
                <w:sz w:val="18"/>
                <w:szCs w:val="18"/>
                <w:lang w:eastAsia="en-AU"/>
              </w:rPr>
            </w:pPr>
          </w:p>
        </w:tc>
      </w:tr>
      <w:tr w:rsidR="0033041E" w:rsidRPr="000245C4" w:rsidTr="0033041E">
        <w:trPr>
          <w:trHeight w:val="495"/>
        </w:trPr>
        <w:tc>
          <w:tcPr>
            <w:tcW w:w="4211" w:type="dxa"/>
            <w:vMerge/>
            <w:vAlign w:val="center"/>
          </w:tcPr>
          <w:p w:rsidR="0033041E" w:rsidRPr="000245C4" w:rsidRDefault="0033041E" w:rsidP="000245C4">
            <w:pPr>
              <w:spacing w:after="0" w:line="240" w:lineRule="auto"/>
              <w:rPr>
                <w:rFonts w:ascii="Calibri" w:eastAsia="Times New Roman" w:hAnsi="Calibri" w:cs="Calibri"/>
                <w:sz w:val="18"/>
                <w:szCs w:val="18"/>
                <w:lang w:eastAsia="en-AU"/>
              </w:rPr>
            </w:pPr>
          </w:p>
        </w:tc>
        <w:tc>
          <w:tcPr>
            <w:tcW w:w="399" w:type="dxa"/>
            <w:shd w:val="clear" w:color="auto" w:fill="auto"/>
          </w:tcPr>
          <w:p w:rsidR="0033041E" w:rsidRDefault="0033041E" w:rsidP="00CE0F63">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17</w:t>
            </w:r>
          </w:p>
        </w:tc>
        <w:tc>
          <w:tcPr>
            <w:tcW w:w="5628" w:type="dxa"/>
            <w:shd w:val="clear" w:color="auto" w:fill="auto"/>
          </w:tcPr>
          <w:p w:rsidR="0033041E" w:rsidRPr="000245C4" w:rsidRDefault="0033041E" w:rsidP="000245C4">
            <w:pPr>
              <w:spacing w:after="0" w:line="240" w:lineRule="auto"/>
              <w:rPr>
                <w:rFonts w:ascii="Calibri" w:eastAsia="Times New Roman" w:hAnsi="Calibri" w:cs="Calibri"/>
                <w:color w:val="000000"/>
                <w:sz w:val="18"/>
                <w:szCs w:val="18"/>
                <w:lang w:eastAsia="en-AU"/>
              </w:rPr>
            </w:pPr>
            <w:r w:rsidRPr="004B4BC7">
              <w:rPr>
                <w:rFonts w:ascii="Calibri" w:eastAsia="Times New Roman" w:hAnsi="Calibri" w:cs="Calibri"/>
                <w:color w:val="000000"/>
                <w:sz w:val="18"/>
                <w:szCs w:val="18"/>
                <w:lang w:eastAsia="en-AU"/>
              </w:rPr>
              <w:t>Establish and support nurse-led and other treatment programs in custodial settings, review prescribing arrangements for authorised nurse practitioners in these settings, and develop systems for active case management of people released from prison upon re-entry into the community</w:t>
            </w:r>
          </w:p>
        </w:tc>
        <w:tc>
          <w:tcPr>
            <w:tcW w:w="1943" w:type="dxa"/>
            <w:shd w:val="clear" w:color="auto" w:fill="auto"/>
          </w:tcPr>
          <w:p w:rsidR="0033041E" w:rsidRPr="000245C4" w:rsidRDefault="0033041E" w:rsidP="000245C4">
            <w:pPr>
              <w:spacing w:after="0" w:line="240" w:lineRule="auto"/>
              <w:rPr>
                <w:rFonts w:ascii="Calibri" w:eastAsia="Times New Roman" w:hAnsi="Calibri" w:cs="Calibri"/>
                <w:b/>
                <w:bCs/>
                <w:color w:val="000000"/>
                <w:sz w:val="18"/>
                <w:szCs w:val="18"/>
                <w:lang w:eastAsia="en-AU"/>
              </w:rPr>
            </w:pPr>
          </w:p>
        </w:tc>
        <w:tc>
          <w:tcPr>
            <w:tcW w:w="3428" w:type="dxa"/>
            <w:shd w:val="clear" w:color="auto" w:fill="auto"/>
          </w:tcPr>
          <w:p w:rsidR="0033041E" w:rsidRPr="000245C4" w:rsidRDefault="0033041E" w:rsidP="000245C4">
            <w:pPr>
              <w:spacing w:after="0" w:line="240" w:lineRule="auto"/>
              <w:rPr>
                <w:rFonts w:ascii="Calibri" w:eastAsia="Times New Roman" w:hAnsi="Calibri" w:cs="Calibri"/>
                <w:b/>
                <w:bCs/>
                <w:color w:val="000000"/>
                <w:sz w:val="18"/>
                <w:szCs w:val="18"/>
                <w:lang w:eastAsia="en-AU"/>
              </w:rPr>
            </w:pPr>
          </w:p>
        </w:tc>
        <w:tc>
          <w:tcPr>
            <w:tcW w:w="3513" w:type="dxa"/>
            <w:shd w:val="clear" w:color="auto" w:fill="auto"/>
          </w:tcPr>
          <w:p w:rsidR="0033041E" w:rsidRPr="000245C4" w:rsidRDefault="0033041E" w:rsidP="000245C4">
            <w:pPr>
              <w:spacing w:after="0" w:line="240" w:lineRule="auto"/>
              <w:rPr>
                <w:rFonts w:ascii="Calibri" w:eastAsia="Times New Roman" w:hAnsi="Calibri" w:cs="Calibri"/>
                <w:b/>
                <w:bCs/>
                <w:color w:val="000000"/>
                <w:sz w:val="18"/>
                <w:szCs w:val="18"/>
                <w:lang w:eastAsia="en-AU"/>
              </w:rPr>
            </w:pPr>
          </w:p>
        </w:tc>
        <w:tc>
          <w:tcPr>
            <w:tcW w:w="1958" w:type="dxa"/>
            <w:shd w:val="clear" w:color="auto" w:fill="auto"/>
          </w:tcPr>
          <w:p w:rsidR="0033041E" w:rsidRPr="000245C4" w:rsidRDefault="0033041E" w:rsidP="000245C4">
            <w:pPr>
              <w:spacing w:after="0" w:line="240" w:lineRule="auto"/>
              <w:rPr>
                <w:rFonts w:ascii="Calibri" w:eastAsia="Times New Roman" w:hAnsi="Calibri" w:cs="Calibri"/>
                <w:color w:val="000000"/>
                <w:sz w:val="18"/>
                <w:szCs w:val="18"/>
                <w:lang w:eastAsia="en-AU"/>
              </w:rPr>
            </w:pPr>
          </w:p>
        </w:tc>
      </w:tr>
      <w:tr w:rsidR="0033041E" w:rsidRPr="000245C4" w:rsidTr="0033041E">
        <w:trPr>
          <w:trHeight w:val="495"/>
        </w:trPr>
        <w:tc>
          <w:tcPr>
            <w:tcW w:w="4211" w:type="dxa"/>
            <w:vMerge/>
            <w:vAlign w:val="center"/>
          </w:tcPr>
          <w:p w:rsidR="0033041E" w:rsidRPr="000245C4" w:rsidRDefault="0033041E" w:rsidP="004B4BC7">
            <w:pPr>
              <w:spacing w:after="0" w:line="240" w:lineRule="auto"/>
              <w:rPr>
                <w:rFonts w:ascii="Calibri" w:eastAsia="Times New Roman" w:hAnsi="Calibri" w:cs="Calibri"/>
                <w:sz w:val="18"/>
                <w:szCs w:val="18"/>
                <w:lang w:eastAsia="en-AU"/>
              </w:rPr>
            </w:pPr>
          </w:p>
        </w:tc>
        <w:tc>
          <w:tcPr>
            <w:tcW w:w="399" w:type="dxa"/>
            <w:shd w:val="clear" w:color="auto" w:fill="auto"/>
          </w:tcPr>
          <w:p w:rsidR="0033041E" w:rsidRDefault="0033041E" w:rsidP="00CE0F63">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18</w:t>
            </w:r>
          </w:p>
        </w:tc>
        <w:tc>
          <w:tcPr>
            <w:tcW w:w="5628" w:type="dxa"/>
            <w:shd w:val="clear" w:color="auto" w:fill="auto"/>
          </w:tcPr>
          <w:p w:rsidR="0033041E" w:rsidRPr="000245C4" w:rsidRDefault="0033041E" w:rsidP="000245C4">
            <w:pPr>
              <w:spacing w:after="0" w:line="240" w:lineRule="auto"/>
              <w:rPr>
                <w:rFonts w:ascii="Calibri" w:eastAsia="Times New Roman" w:hAnsi="Calibri" w:cs="Calibri"/>
                <w:color w:val="000000"/>
                <w:sz w:val="18"/>
                <w:szCs w:val="18"/>
                <w:lang w:eastAsia="en-AU"/>
              </w:rPr>
            </w:pPr>
            <w:r w:rsidRPr="004B4BC7">
              <w:rPr>
                <w:rFonts w:ascii="Calibri" w:eastAsia="Times New Roman" w:hAnsi="Calibri" w:cs="Calibri"/>
                <w:color w:val="000000"/>
                <w:sz w:val="18"/>
                <w:szCs w:val="18"/>
                <w:lang w:eastAsia="en-AU"/>
              </w:rPr>
              <w:t>Explore the inclusion of hepatitis C related key performance indicators, aligned to the targets of this strategy, for organisations central to the delivery of hepatitis C programs or services, including Primary Health Networks and custodial facilities</w:t>
            </w:r>
          </w:p>
        </w:tc>
        <w:tc>
          <w:tcPr>
            <w:tcW w:w="1943" w:type="dxa"/>
            <w:shd w:val="clear" w:color="auto" w:fill="auto"/>
          </w:tcPr>
          <w:p w:rsidR="0033041E" w:rsidRPr="000245C4" w:rsidRDefault="0033041E" w:rsidP="000245C4">
            <w:pPr>
              <w:spacing w:after="0" w:line="240" w:lineRule="auto"/>
              <w:rPr>
                <w:rFonts w:ascii="Calibri" w:eastAsia="Times New Roman" w:hAnsi="Calibri" w:cs="Calibri"/>
                <w:b/>
                <w:bCs/>
                <w:color w:val="000000"/>
                <w:sz w:val="18"/>
                <w:szCs w:val="18"/>
                <w:lang w:eastAsia="en-AU"/>
              </w:rPr>
            </w:pPr>
          </w:p>
        </w:tc>
        <w:tc>
          <w:tcPr>
            <w:tcW w:w="3428" w:type="dxa"/>
            <w:shd w:val="clear" w:color="auto" w:fill="auto"/>
          </w:tcPr>
          <w:p w:rsidR="0033041E" w:rsidRPr="000245C4" w:rsidRDefault="0033041E" w:rsidP="000245C4">
            <w:pPr>
              <w:spacing w:after="0" w:line="240" w:lineRule="auto"/>
              <w:rPr>
                <w:rFonts w:ascii="Calibri" w:eastAsia="Times New Roman" w:hAnsi="Calibri" w:cs="Calibri"/>
                <w:b/>
                <w:bCs/>
                <w:color w:val="000000"/>
                <w:sz w:val="18"/>
                <w:szCs w:val="18"/>
                <w:lang w:eastAsia="en-AU"/>
              </w:rPr>
            </w:pPr>
          </w:p>
        </w:tc>
        <w:tc>
          <w:tcPr>
            <w:tcW w:w="3513" w:type="dxa"/>
            <w:shd w:val="clear" w:color="auto" w:fill="auto"/>
          </w:tcPr>
          <w:p w:rsidR="0033041E" w:rsidRPr="000245C4" w:rsidRDefault="0033041E" w:rsidP="000245C4">
            <w:pPr>
              <w:spacing w:after="0" w:line="240" w:lineRule="auto"/>
              <w:rPr>
                <w:rFonts w:ascii="Calibri" w:eastAsia="Times New Roman" w:hAnsi="Calibri" w:cs="Calibri"/>
                <w:b/>
                <w:bCs/>
                <w:color w:val="000000"/>
                <w:sz w:val="18"/>
                <w:szCs w:val="18"/>
                <w:lang w:eastAsia="en-AU"/>
              </w:rPr>
            </w:pPr>
          </w:p>
        </w:tc>
        <w:tc>
          <w:tcPr>
            <w:tcW w:w="1958" w:type="dxa"/>
            <w:shd w:val="clear" w:color="auto" w:fill="auto"/>
          </w:tcPr>
          <w:p w:rsidR="0033041E" w:rsidRPr="000245C4" w:rsidRDefault="0033041E" w:rsidP="000245C4">
            <w:pPr>
              <w:spacing w:after="0" w:line="240" w:lineRule="auto"/>
              <w:rPr>
                <w:rFonts w:ascii="Calibri" w:eastAsia="Times New Roman" w:hAnsi="Calibri" w:cs="Calibri"/>
                <w:color w:val="000000"/>
                <w:sz w:val="18"/>
                <w:szCs w:val="18"/>
                <w:lang w:eastAsia="en-AU"/>
              </w:rPr>
            </w:pPr>
          </w:p>
        </w:tc>
      </w:tr>
      <w:tr w:rsidR="0033041E" w:rsidRPr="000245C4" w:rsidTr="0033041E">
        <w:trPr>
          <w:trHeight w:val="495"/>
        </w:trPr>
        <w:tc>
          <w:tcPr>
            <w:tcW w:w="4211" w:type="dxa"/>
            <w:vMerge w:val="restart"/>
            <w:vAlign w:val="center"/>
          </w:tcPr>
          <w:p w:rsidR="0033041E" w:rsidRPr="00841056" w:rsidRDefault="0033041E" w:rsidP="004B4BC7">
            <w:pPr>
              <w:spacing w:after="0" w:line="240" w:lineRule="auto"/>
              <w:rPr>
                <w:rFonts w:ascii="Calibri" w:eastAsia="Times New Roman" w:hAnsi="Calibri" w:cs="Calibri"/>
                <w:sz w:val="18"/>
                <w:szCs w:val="18"/>
                <w:u w:val="single"/>
                <w:lang w:eastAsia="en-AU"/>
              </w:rPr>
            </w:pPr>
            <w:r w:rsidRPr="00841056">
              <w:rPr>
                <w:rFonts w:ascii="Calibri" w:eastAsia="Times New Roman" w:hAnsi="Calibri" w:cs="Calibri"/>
                <w:sz w:val="18"/>
                <w:szCs w:val="18"/>
                <w:u w:val="single"/>
                <w:lang w:eastAsia="en-AU"/>
              </w:rPr>
              <w:t>Addressing stigma and creating an enabling environment</w:t>
            </w:r>
          </w:p>
          <w:p w:rsidR="0033041E" w:rsidRDefault="0033041E" w:rsidP="004B4BC7">
            <w:pPr>
              <w:spacing w:after="0" w:line="240" w:lineRule="auto"/>
              <w:rPr>
                <w:rFonts w:ascii="Calibri" w:eastAsia="Times New Roman" w:hAnsi="Calibri" w:cs="Calibri"/>
                <w:sz w:val="18"/>
                <w:szCs w:val="18"/>
                <w:lang w:eastAsia="en-AU"/>
              </w:rPr>
            </w:pPr>
          </w:p>
          <w:p w:rsidR="0033041E" w:rsidRDefault="0033041E" w:rsidP="004B4BC7">
            <w:pPr>
              <w:spacing w:after="0" w:line="240" w:lineRule="auto"/>
              <w:rPr>
                <w:rFonts w:ascii="Calibri" w:eastAsia="Times New Roman" w:hAnsi="Calibri" w:cs="Calibri"/>
                <w:sz w:val="18"/>
                <w:szCs w:val="18"/>
                <w:lang w:eastAsia="en-AU"/>
              </w:rPr>
            </w:pPr>
            <w:r w:rsidRPr="004B4BC7">
              <w:rPr>
                <w:rFonts w:ascii="Calibri" w:eastAsia="Times New Roman" w:hAnsi="Calibri" w:cs="Calibri"/>
                <w:sz w:val="18"/>
                <w:szCs w:val="18"/>
                <w:lang w:eastAsia="en-AU"/>
              </w:rPr>
              <w:t>Implement a range of initiatives to address stigma and discrimination and minimise their impact on the health of people at risk of or living with hepatitis C</w:t>
            </w:r>
          </w:p>
          <w:p w:rsidR="0033041E" w:rsidRPr="004B4BC7" w:rsidRDefault="0033041E" w:rsidP="004B4BC7">
            <w:pPr>
              <w:spacing w:after="0" w:line="240" w:lineRule="auto"/>
              <w:rPr>
                <w:rFonts w:ascii="Calibri" w:eastAsia="Times New Roman" w:hAnsi="Calibri" w:cs="Calibri"/>
                <w:sz w:val="18"/>
                <w:szCs w:val="18"/>
                <w:lang w:eastAsia="en-AU"/>
              </w:rPr>
            </w:pPr>
          </w:p>
          <w:p w:rsidR="0033041E" w:rsidRPr="000245C4" w:rsidRDefault="0033041E" w:rsidP="004B4BC7">
            <w:pPr>
              <w:spacing w:after="0" w:line="240" w:lineRule="auto"/>
              <w:rPr>
                <w:rFonts w:ascii="Calibri" w:eastAsia="Times New Roman" w:hAnsi="Calibri" w:cs="Calibri"/>
                <w:sz w:val="18"/>
                <w:szCs w:val="18"/>
                <w:lang w:eastAsia="en-AU"/>
              </w:rPr>
            </w:pPr>
            <w:r>
              <w:rPr>
                <w:rFonts w:ascii="Calibri" w:eastAsia="Times New Roman" w:hAnsi="Calibri" w:cs="Calibri"/>
                <w:sz w:val="18"/>
                <w:szCs w:val="18"/>
                <w:lang w:eastAsia="en-AU"/>
              </w:rPr>
              <w:t>C</w:t>
            </w:r>
            <w:r w:rsidRPr="004B4BC7">
              <w:rPr>
                <w:rFonts w:ascii="Calibri" w:eastAsia="Times New Roman" w:hAnsi="Calibri" w:cs="Calibri"/>
                <w:sz w:val="18"/>
                <w:szCs w:val="18"/>
                <w:lang w:eastAsia="en-AU"/>
              </w:rPr>
              <w:t>ontinue to work towards addressing the legal, regulatory and policy barriers which affect priority populations and influence their health-seeking behaviours</w:t>
            </w:r>
          </w:p>
        </w:tc>
        <w:tc>
          <w:tcPr>
            <w:tcW w:w="399" w:type="dxa"/>
            <w:shd w:val="clear" w:color="auto" w:fill="auto"/>
          </w:tcPr>
          <w:p w:rsidR="0033041E" w:rsidRPr="000245C4" w:rsidRDefault="0033041E" w:rsidP="006B508B">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19</w:t>
            </w:r>
          </w:p>
        </w:tc>
        <w:tc>
          <w:tcPr>
            <w:tcW w:w="5628" w:type="dxa"/>
            <w:shd w:val="clear" w:color="auto" w:fill="auto"/>
          </w:tcPr>
          <w:p w:rsidR="0033041E" w:rsidRPr="000245C4" w:rsidRDefault="0033041E" w:rsidP="000245C4">
            <w:pPr>
              <w:spacing w:after="0" w:line="240" w:lineRule="auto"/>
              <w:rPr>
                <w:rFonts w:ascii="Calibri" w:eastAsia="Times New Roman" w:hAnsi="Calibri" w:cs="Calibri"/>
                <w:color w:val="000000"/>
                <w:sz w:val="18"/>
                <w:szCs w:val="18"/>
                <w:lang w:eastAsia="en-AU"/>
              </w:rPr>
            </w:pPr>
            <w:r w:rsidRPr="004B4BC7">
              <w:rPr>
                <w:rFonts w:ascii="Calibri" w:eastAsia="Times New Roman" w:hAnsi="Calibri" w:cs="Calibri"/>
                <w:color w:val="000000"/>
                <w:sz w:val="18"/>
                <w:szCs w:val="18"/>
                <w:lang w:eastAsia="en-AU"/>
              </w:rPr>
              <w:t>Incorporate messaging to counteract stigma into the national hepatitis C public education initiative</w:t>
            </w:r>
          </w:p>
        </w:tc>
        <w:tc>
          <w:tcPr>
            <w:tcW w:w="1943" w:type="dxa"/>
            <w:shd w:val="clear" w:color="auto" w:fill="auto"/>
          </w:tcPr>
          <w:p w:rsidR="0033041E" w:rsidRPr="000245C4" w:rsidRDefault="0033041E" w:rsidP="000245C4">
            <w:pPr>
              <w:spacing w:after="0" w:line="240" w:lineRule="auto"/>
              <w:rPr>
                <w:rFonts w:ascii="Calibri" w:eastAsia="Times New Roman" w:hAnsi="Calibri" w:cs="Calibri"/>
                <w:b/>
                <w:bCs/>
                <w:color w:val="000000"/>
                <w:sz w:val="18"/>
                <w:szCs w:val="18"/>
                <w:lang w:eastAsia="en-AU"/>
              </w:rPr>
            </w:pPr>
          </w:p>
        </w:tc>
        <w:tc>
          <w:tcPr>
            <w:tcW w:w="3428" w:type="dxa"/>
            <w:shd w:val="clear" w:color="auto" w:fill="auto"/>
          </w:tcPr>
          <w:p w:rsidR="0033041E" w:rsidRPr="000245C4" w:rsidRDefault="0033041E" w:rsidP="000245C4">
            <w:pPr>
              <w:spacing w:after="0" w:line="240" w:lineRule="auto"/>
              <w:rPr>
                <w:rFonts w:ascii="Calibri" w:eastAsia="Times New Roman" w:hAnsi="Calibri" w:cs="Calibri"/>
                <w:b/>
                <w:bCs/>
                <w:color w:val="000000"/>
                <w:sz w:val="18"/>
                <w:szCs w:val="18"/>
                <w:lang w:eastAsia="en-AU"/>
              </w:rPr>
            </w:pPr>
          </w:p>
        </w:tc>
        <w:tc>
          <w:tcPr>
            <w:tcW w:w="3513" w:type="dxa"/>
            <w:shd w:val="clear" w:color="auto" w:fill="auto"/>
          </w:tcPr>
          <w:p w:rsidR="0033041E" w:rsidRPr="000245C4" w:rsidRDefault="0033041E" w:rsidP="000245C4">
            <w:pPr>
              <w:spacing w:after="0" w:line="240" w:lineRule="auto"/>
              <w:rPr>
                <w:rFonts w:ascii="Calibri" w:eastAsia="Times New Roman" w:hAnsi="Calibri" w:cs="Calibri"/>
                <w:b/>
                <w:bCs/>
                <w:color w:val="000000"/>
                <w:sz w:val="18"/>
                <w:szCs w:val="18"/>
                <w:lang w:eastAsia="en-AU"/>
              </w:rPr>
            </w:pPr>
          </w:p>
        </w:tc>
        <w:tc>
          <w:tcPr>
            <w:tcW w:w="1958" w:type="dxa"/>
            <w:shd w:val="clear" w:color="auto" w:fill="auto"/>
          </w:tcPr>
          <w:p w:rsidR="0033041E" w:rsidRPr="000245C4" w:rsidRDefault="0033041E" w:rsidP="000245C4">
            <w:pPr>
              <w:spacing w:after="0" w:line="240" w:lineRule="auto"/>
              <w:rPr>
                <w:rFonts w:ascii="Calibri" w:eastAsia="Times New Roman" w:hAnsi="Calibri" w:cs="Calibri"/>
                <w:color w:val="000000"/>
                <w:sz w:val="18"/>
                <w:szCs w:val="18"/>
                <w:lang w:eastAsia="en-AU"/>
              </w:rPr>
            </w:pPr>
          </w:p>
        </w:tc>
      </w:tr>
      <w:tr w:rsidR="0033041E" w:rsidRPr="000245C4" w:rsidTr="0033041E">
        <w:trPr>
          <w:trHeight w:val="495"/>
        </w:trPr>
        <w:tc>
          <w:tcPr>
            <w:tcW w:w="4211" w:type="dxa"/>
            <w:vMerge/>
            <w:vAlign w:val="center"/>
          </w:tcPr>
          <w:p w:rsidR="0033041E" w:rsidRPr="000245C4" w:rsidRDefault="0033041E" w:rsidP="000245C4">
            <w:pPr>
              <w:spacing w:after="0" w:line="240" w:lineRule="auto"/>
              <w:rPr>
                <w:rFonts w:ascii="Calibri" w:eastAsia="Times New Roman" w:hAnsi="Calibri" w:cs="Calibri"/>
                <w:sz w:val="18"/>
                <w:szCs w:val="18"/>
                <w:lang w:eastAsia="en-AU"/>
              </w:rPr>
            </w:pPr>
          </w:p>
        </w:tc>
        <w:tc>
          <w:tcPr>
            <w:tcW w:w="399" w:type="dxa"/>
            <w:shd w:val="clear" w:color="auto" w:fill="auto"/>
          </w:tcPr>
          <w:p w:rsidR="0033041E" w:rsidRDefault="0033041E" w:rsidP="006B508B">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20</w:t>
            </w:r>
          </w:p>
        </w:tc>
        <w:tc>
          <w:tcPr>
            <w:tcW w:w="5628" w:type="dxa"/>
            <w:shd w:val="clear" w:color="auto" w:fill="auto"/>
          </w:tcPr>
          <w:p w:rsidR="0033041E" w:rsidRPr="000245C4" w:rsidRDefault="0033041E" w:rsidP="00841056">
            <w:pPr>
              <w:spacing w:after="0" w:line="240" w:lineRule="auto"/>
              <w:rPr>
                <w:rFonts w:ascii="Calibri" w:eastAsia="Times New Roman" w:hAnsi="Calibri" w:cs="Calibri"/>
                <w:color w:val="000000"/>
                <w:sz w:val="18"/>
                <w:szCs w:val="18"/>
                <w:lang w:eastAsia="en-AU"/>
              </w:rPr>
            </w:pPr>
            <w:r w:rsidRPr="004B4BC7">
              <w:rPr>
                <w:rFonts w:ascii="Calibri" w:eastAsia="Times New Roman" w:hAnsi="Calibri" w:cs="Calibri"/>
                <w:color w:val="000000"/>
                <w:sz w:val="18"/>
                <w:szCs w:val="18"/>
                <w:lang w:eastAsia="en-AU"/>
              </w:rPr>
              <w:t>Monitor laws, policies, stigma and discrimination which impact on health-seeking behaviour among priority populations and their access to testing and services; and work to ameliorate legal, regulatory and policy barriers to an appropriate and evidence-based response</w:t>
            </w:r>
          </w:p>
        </w:tc>
        <w:tc>
          <w:tcPr>
            <w:tcW w:w="1943" w:type="dxa"/>
            <w:shd w:val="clear" w:color="auto" w:fill="auto"/>
          </w:tcPr>
          <w:p w:rsidR="0033041E" w:rsidRPr="000245C4" w:rsidRDefault="0033041E" w:rsidP="000245C4">
            <w:pPr>
              <w:spacing w:after="0" w:line="240" w:lineRule="auto"/>
              <w:rPr>
                <w:rFonts w:ascii="Calibri" w:eastAsia="Times New Roman" w:hAnsi="Calibri" w:cs="Calibri"/>
                <w:b/>
                <w:bCs/>
                <w:color w:val="000000"/>
                <w:sz w:val="18"/>
                <w:szCs w:val="18"/>
                <w:lang w:eastAsia="en-AU"/>
              </w:rPr>
            </w:pPr>
          </w:p>
        </w:tc>
        <w:tc>
          <w:tcPr>
            <w:tcW w:w="3428" w:type="dxa"/>
            <w:shd w:val="clear" w:color="auto" w:fill="auto"/>
          </w:tcPr>
          <w:p w:rsidR="0033041E" w:rsidRPr="000245C4" w:rsidRDefault="0033041E" w:rsidP="000245C4">
            <w:pPr>
              <w:spacing w:after="0" w:line="240" w:lineRule="auto"/>
              <w:rPr>
                <w:rFonts w:ascii="Calibri" w:eastAsia="Times New Roman" w:hAnsi="Calibri" w:cs="Calibri"/>
                <w:b/>
                <w:bCs/>
                <w:color w:val="000000"/>
                <w:sz w:val="18"/>
                <w:szCs w:val="18"/>
                <w:lang w:eastAsia="en-AU"/>
              </w:rPr>
            </w:pPr>
          </w:p>
        </w:tc>
        <w:tc>
          <w:tcPr>
            <w:tcW w:w="3513" w:type="dxa"/>
            <w:shd w:val="clear" w:color="auto" w:fill="auto"/>
          </w:tcPr>
          <w:p w:rsidR="0033041E" w:rsidRPr="000245C4" w:rsidRDefault="0033041E" w:rsidP="000245C4">
            <w:pPr>
              <w:spacing w:after="0" w:line="240" w:lineRule="auto"/>
              <w:rPr>
                <w:rFonts w:ascii="Calibri" w:eastAsia="Times New Roman" w:hAnsi="Calibri" w:cs="Calibri"/>
                <w:b/>
                <w:bCs/>
                <w:color w:val="000000"/>
                <w:sz w:val="18"/>
                <w:szCs w:val="18"/>
                <w:lang w:eastAsia="en-AU"/>
              </w:rPr>
            </w:pPr>
          </w:p>
        </w:tc>
        <w:tc>
          <w:tcPr>
            <w:tcW w:w="1958" w:type="dxa"/>
            <w:shd w:val="clear" w:color="auto" w:fill="auto"/>
          </w:tcPr>
          <w:p w:rsidR="0033041E" w:rsidRPr="000245C4" w:rsidRDefault="0033041E" w:rsidP="000245C4">
            <w:pPr>
              <w:spacing w:after="0" w:line="240" w:lineRule="auto"/>
              <w:rPr>
                <w:rFonts w:ascii="Calibri" w:eastAsia="Times New Roman" w:hAnsi="Calibri" w:cs="Calibri"/>
                <w:color w:val="000000"/>
                <w:sz w:val="18"/>
                <w:szCs w:val="18"/>
                <w:lang w:eastAsia="en-AU"/>
              </w:rPr>
            </w:pPr>
          </w:p>
        </w:tc>
      </w:tr>
      <w:tr w:rsidR="0033041E" w:rsidRPr="000245C4" w:rsidTr="0033041E">
        <w:trPr>
          <w:trHeight w:val="495"/>
        </w:trPr>
        <w:tc>
          <w:tcPr>
            <w:tcW w:w="4211" w:type="dxa"/>
            <w:vMerge/>
            <w:vAlign w:val="center"/>
          </w:tcPr>
          <w:p w:rsidR="0033041E" w:rsidRPr="000245C4" w:rsidRDefault="0033041E" w:rsidP="000245C4">
            <w:pPr>
              <w:spacing w:after="0" w:line="240" w:lineRule="auto"/>
              <w:rPr>
                <w:rFonts w:ascii="Calibri" w:eastAsia="Times New Roman" w:hAnsi="Calibri" w:cs="Calibri"/>
                <w:sz w:val="18"/>
                <w:szCs w:val="18"/>
                <w:lang w:eastAsia="en-AU"/>
              </w:rPr>
            </w:pPr>
          </w:p>
        </w:tc>
        <w:tc>
          <w:tcPr>
            <w:tcW w:w="399" w:type="dxa"/>
            <w:shd w:val="clear" w:color="auto" w:fill="auto"/>
          </w:tcPr>
          <w:p w:rsidR="0033041E" w:rsidRDefault="0033041E" w:rsidP="006B508B">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21</w:t>
            </w:r>
          </w:p>
        </w:tc>
        <w:tc>
          <w:tcPr>
            <w:tcW w:w="5628" w:type="dxa"/>
            <w:shd w:val="clear" w:color="auto" w:fill="auto"/>
          </w:tcPr>
          <w:p w:rsidR="0033041E" w:rsidRPr="000245C4" w:rsidRDefault="0033041E" w:rsidP="00841056">
            <w:pPr>
              <w:spacing w:after="0" w:line="240" w:lineRule="auto"/>
              <w:rPr>
                <w:rFonts w:ascii="Calibri" w:eastAsia="Times New Roman" w:hAnsi="Calibri" w:cs="Calibri"/>
                <w:color w:val="000000"/>
                <w:sz w:val="18"/>
                <w:szCs w:val="18"/>
                <w:lang w:eastAsia="en-AU"/>
              </w:rPr>
            </w:pPr>
            <w:r w:rsidRPr="004B4BC7">
              <w:rPr>
                <w:rFonts w:ascii="Calibri" w:eastAsia="Times New Roman" w:hAnsi="Calibri" w:cs="Calibri"/>
                <w:color w:val="000000"/>
                <w:sz w:val="18"/>
                <w:szCs w:val="18"/>
                <w:lang w:eastAsia="en-AU"/>
              </w:rPr>
              <w:t>Review and address institutional, regulatory and system policies which create barriers to equality of prevention, testing, treatment, care and support for people living with hepatitis C and priority populations</w:t>
            </w:r>
          </w:p>
        </w:tc>
        <w:tc>
          <w:tcPr>
            <w:tcW w:w="1943" w:type="dxa"/>
            <w:shd w:val="clear" w:color="auto" w:fill="auto"/>
          </w:tcPr>
          <w:p w:rsidR="0033041E" w:rsidRPr="000245C4" w:rsidRDefault="0033041E" w:rsidP="000245C4">
            <w:pPr>
              <w:spacing w:after="0" w:line="240" w:lineRule="auto"/>
              <w:rPr>
                <w:rFonts w:ascii="Calibri" w:eastAsia="Times New Roman" w:hAnsi="Calibri" w:cs="Calibri"/>
                <w:b/>
                <w:bCs/>
                <w:color w:val="000000"/>
                <w:sz w:val="18"/>
                <w:szCs w:val="18"/>
                <w:lang w:eastAsia="en-AU"/>
              </w:rPr>
            </w:pPr>
          </w:p>
        </w:tc>
        <w:tc>
          <w:tcPr>
            <w:tcW w:w="3428" w:type="dxa"/>
            <w:shd w:val="clear" w:color="auto" w:fill="auto"/>
          </w:tcPr>
          <w:p w:rsidR="0033041E" w:rsidRPr="000245C4" w:rsidRDefault="0033041E" w:rsidP="000245C4">
            <w:pPr>
              <w:spacing w:after="0" w:line="240" w:lineRule="auto"/>
              <w:rPr>
                <w:rFonts w:ascii="Calibri" w:eastAsia="Times New Roman" w:hAnsi="Calibri" w:cs="Calibri"/>
                <w:b/>
                <w:bCs/>
                <w:color w:val="000000"/>
                <w:sz w:val="18"/>
                <w:szCs w:val="18"/>
                <w:lang w:eastAsia="en-AU"/>
              </w:rPr>
            </w:pPr>
          </w:p>
        </w:tc>
        <w:tc>
          <w:tcPr>
            <w:tcW w:w="3513" w:type="dxa"/>
            <w:shd w:val="clear" w:color="auto" w:fill="auto"/>
          </w:tcPr>
          <w:p w:rsidR="0033041E" w:rsidRPr="000245C4" w:rsidRDefault="0033041E" w:rsidP="000245C4">
            <w:pPr>
              <w:spacing w:after="0" w:line="240" w:lineRule="auto"/>
              <w:rPr>
                <w:rFonts w:ascii="Calibri" w:eastAsia="Times New Roman" w:hAnsi="Calibri" w:cs="Calibri"/>
                <w:b/>
                <w:bCs/>
                <w:color w:val="000000"/>
                <w:sz w:val="18"/>
                <w:szCs w:val="18"/>
                <w:lang w:eastAsia="en-AU"/>
              </w:rPr>
            </w:pPr>
          </w:p>
        </w:tc>
        <w:tc>
          <w:tcPr>
            <w:tcW w:w="1958" w:type="dxa"/>
            <w:shd w:val="clear" w:color="auto" w:fill="auto"/>
          </w:tcPr>
          <w:p w:rsidR="0033041E" w:rsidRPr="000245C4" w:rsidRDefault="0033041E" w:rsidP="000245C4">
            <w:pPr>
              <w:spacing w:after="0" w:line="240" w:lineRule="auto"/>
              <w:rPr>
                <w:rFonts w:ascii="Calibri" w:eastAsia="Times New Roman" w:hAnsi="Calibri" w:cs="Calibri"/>
                <w:color w:val="000000"/>
                <w:sz w:val="18"/>
                <w:szCs w:val="18"/>
                <w:lang w:eastAsia="en-AU"/>
              </w:rPr>
            </w:pPr>
          </w:p>
        </w:tc>
      </w:tr>
      <w:tr w:rsidR="0033041E" w:rsidRPr="000245C4" w:rsidTr="0033041E">
        <w:trPr>
          <w:trHeight w:val="495"/>
        </w:trPr>
        <w:tc>
          <w:tcPr>
            <w:tcW w:w="4211" w:type="dxa"/>
            <w:vMerge/>
            <w:vAlign w:val="center"/>
          </w:tcPr>
          <w:p w:rsidR="0033041E" w:rsidRPr="000245C4" w:rsidRDefault="0033041E" w:rsidP="000245C4">
            <w:pPr>
              <w:spacing w:after="0" w:line="240" w:lineRule="auto"/>
              <w:rPr>
                <w:rFonts w:ascii="Calibri" w:eastAsia="Times New Roman" w:hAnsi="Calibri" w:cs="Calibri"/>
                <w:sz w:val="18"/>
                <w:szCs w:val="18"/>
                <w:lang w:eastAsia="en-AU"/>
              </w:rPr>
            </w:pPr>
          </w:p>
        </w:tc>
        <w:tc>
          <w:tcPr>
            <w:tcW w:w="399" w:type="dxa"/>
            <w:shd w:val="clear" w:color="auto" w:fill="auto"/>
          </w:tcPr>
          <w:p w:rsidR="0033041E" w:rsidRDefault="0033041E" w:rsidP="006B508B">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22</w:t>
            </w:r>
          </w:p>
        </w:tc>
        <w:tc>
          <w:tcPr>
            <w:tcW w:w="5628" w:type="dxa"/>
            <w:shd w:val="clear" w:color="auto" w:fill="auto"/>
          </w:tcPr>
          <w:p w:rsidR="0033041E" w:rsidRPr="000245C4" w:rsidRDefault="0033041E" w:rsidP="00841056">
            <w:pPr>
              <w:spacing w:after="0" w:line="240" w:lineRule="auto"/>
              <w:rPr>
                <w:rFonts w:ascii="Calibri" w:eastAsia="Times New Roman" w:hAnsi="Calibri" w:cs="Calibri"/>
                <w:color w:val="000000"/>
                <w:sz w:val="18"/>
                <w:szCs w:val="18"/>
                <w:lang w:eastAsia="en-AU"/>
              </w:rPr>
            </w:pPr>
            <w:r w:rsidRPr="004B4BC7">
              <w:rPr>
                <w:rFonts w:ascii="Calibri" w:eastAsia="Times New Roman" w:hAnsi="Calibri" w:cs="Calibri"/>
                <w:color w:val="000000"/>
                <w:sz w:val="18"/>
                <w:szCs w:val="18"/>
                <w:lang w:eastAsia="en-AU"/>
              </w:rPr>
              <w:t>Implement initiatives in the community and healthcare settings aimed at minimising stigma and discrimination against people living with hepatitis C, people who inject drugs and other priority populations</w:t>
            </w:r>
          </w:p>
        </w:tc>
        <w:tc>
          <w:tcPr>
            <w:tcW w:w="1943" w:type="dxa"/>
            <w:shd w:val="clear" w:color="auto" w:fill="auto"/>
          </w:tcPr>
          <w:p w:rsidR="0033041E" w:rsidRPr="000245C4" w:rsidRDefault="0033041E" w:rsidP="000245C4">
            <w:pPr>
              <w:spacing w:after="0" w:line="240" w:lineRule="auto"/>
              <w:rPr>
                <w:rFonts w:ascii="Calibri" w:eastAsia="Times New Roman" w:hAnsi="Calibri" w:cs="Calibri"/>
                <w:b/>
                <w:bCs/>
                <w:color w:val="000000"/>
                <w:sz w:val="18"/>
                <w:szCs w:val="18"/>
                <w:lang w:eastAsia="en-AU"/>
              </w:rPr>
            </w:pPr>
          </w:p>
        </w:tc>
        <w:tc>
          <w:tcPr>
            <w:tcW w:w="3428" w:type="dxa"/>
            <w:shd w:val="clear" w:color="auto" w:fill="auto"/>
          </w:tcPr>
          <w:p w:rsidR="0033041E" w:rsidRPr="000245C4" w:rsidRDefault="0033041E" w:rsidP="000245C4">
            <w:pPr>
              <w:spacing w:after="0" w:line="240" w:lineRule="auto"/>
              <w:rPr>
                <w:rFonts w:ascii="Calibri" w:eastAsia="Times New Roman" w:hAnsi="Calibri" w:cs="Calibri"/>
                <w:b/>
                <w:bCs/>
                <w:color w:val="000000"/>
                <w:sz w:val="18"/>
                <w:szCs w:val="18"/>
                <w:lang w:eastAsia="en-AU"/>
              </w:rPr>
            </w:pPr>
          </w:p>
        </w:tc>
        <w:tc>
          <w:tcPr>
            <w:tcW w:w="3513" w:type="dxa"/>
            <w:shd w:val="clear" w:color="auto" w:fill="auto"/>
          </w:tcPr>
          <w:p w:rsidR="0033041E" w:rsidRPr="000245C4" w:rsidRDefault="0033041E" w:rsidP="000245C4">
            <w:pPr>
              <w:spacing w:after="0" w:line="240" w:lineRule="auto"/>
              <w:rPr>
                <w:rFonts w:ascii="Calibri" w:eastAsia="Times New Roman" w:hAnsi="Calibri" w:cs="Calibri"/>
                <w:b/>
                <w:bCs/>
                <w:color w:val="000000"/>
                <w:sz w:val="18"/>
                <w:szCs w:val="18"/>
                <w:lang w:eastAsia="en-AU"/>
              </w:rPr>
            </w:pPr>
          </w:p>
        </w:tc>
        <w:tc>
          <w:tcPr>
            <w:tcW w:w="1958" w:type="dxa"/>
            <w:shd w:val="clear" w:color="auto" w:fill="auto"/>
          </w:tcPr>
          <w:p w:rsidR="0033041E" w:rsidRPr="000245C4" w:rsidRDefault="0033041E" w:rsidP="000245C4">
            <w:pPr>
              <w:spacing w:after="0" w:line="240" w:lineRule="auto"/>
              <w:rPr>
                <w:rFonts w:ascii="Calibri" w:eastAsia="Times New Roman" w:hAnsi="Calibri" w:cs="Calibri"/>
                <w:color w:val="000000"/>
                <w:sz w:val="18"/>
                <w:szCs w:val="18"/>
                <w:lang w:eastAsia="en-AU"/>
              </w:rPr>
            </w:pPr>
          </w:p>
        </w:tc>
      </w:tr>
      <w:tr w:rsidR="0033041E" w:rsidRPr="000245C4" w:rsidTr="0033041E">
        <w:trPr>
          <w:trHeight w:val="495"/>
        </w:trPr>
        <w:tc>
          <w:tcPr>
            <w:tcW w:w="4211" w:type="dxa"/>
            <w:vMerge w:val="restart"/>
            <w:vAlign w:val="center"/>
          </w:tcPr>
          <w:p w:rsidR="0033041E" w:rsidRPr="00842592" w:rsidRDefault="0033041E" w:rsidP="003360BE">
            <w:pPr>
              <w:spacing w:after="0" w:line="240" w:lineRule="auto"/>
              <w:rPr>
                <w:rFonts w:ascii="Calibri" w:eastAsia="Times New Roman" w:hAnsi="Calibri" w:cs="Calibri"/>
                <w:sz w:val="18"/>
                <w:szCs w:val="18"/>
                <w:u w:val="single"/>
                <w:lang w:eastAsia="en-AU"/>
              </w:rPr>
            </w:pPr>
            <w:r w:rsidRPr="00842592">
              <w:rPr>
                <w:rFonts w:ascii="Calibri" w:eastAsia="Times New Roman" w:hAnsi="Calibri" w:cs="Calibri"/>
                <w:sz w:val="18"/>
                <w:szCs w:val="18"/>
                <w:u w:val="single"/>
                <w:lang w:eastAsia="en-AU"/>
              </w:rPr>
              <w:t xml:space="preserve">Workforce </w:t>
            </w:r>
          </w:p>
          <w:p w:rsidR="0033041E" w:rsidRDefault="0033041E" w:rsidP="003360BE">
            <w:pPr>
              <w:spacing w:after="0" w:line="240" w:lineRule="auto"/>
              <w:rPr>
                <w:rFonts w:ascii="Calibri" w:eastAsia="Times New Roman" w:hAnsi="Calibri" w:cs="Calibri"/>
                <w:sz w:val="18"/>
                <w:szCs w:val="18"/>
                <w:lang w:eastAsia="en-AU"/>
              </w:rPr>
            </w:pPr>
          </w:p>
          <w:p w:rsidR="0033041E" w:rsidRPr="000245C4" w:rsidRDefault="0033041E" w:rsidP="003360BE">
            <w:pPr>
              <w:spacing w:after="0" w:line="240" w:lineRule="auto"/>
              <w:rPr>
                <w:rFonts w:ascii="Calibri" w:eastAsia="Times New Roman" w:hAnsi="Calibri" w:cs="Calibri"/>
                <w:sz w:val="18"/>
                <w:szCs w:val="18"/>
                <w:lang w:eastAsia="en-AU"/>
              </w:rPr>
            </w:pPr>
            <w:r w:rsidRPr="004B4BC7">
              <w:rPr>
                <w:rFonts w:ascii="Calibri" w:eastAsia="Times New Roman" w:hAnsi="Calibri" w:cs="Calibri"/>
                <w:sz w:val="18"/>
                <w:szCs w:val="18"/>
                <w:lang w:eastAsia="en-AU"/>
              </w:rPr>
              <w:t>Facilitate a highly skilled multidisciplinary workforce that is respectful of and responsive to the needs of people at risk of or living with hepatitis C</w:t>
            </w:r>
          </w:p>
        </w:tc>
        <w:tc>
          <w:tcPr>
            <w:tcW w:w="399" w:type="dxa"/>
            <w:shd w:val="clear" w:color="auto" w:fill="auto"/>
          </w:tcPr>
          <w:p w:rsidR="0033041E" w:rsidRDefault="0033041E" w:rsidP="000B28B2">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23</w:t>
            </w:r>
          </w:p>
        </w:tc>
        <w:tc>
          <w:tcPr>
            <w:tcW w:w="5628" w:type="dxa"/>
            <w:shd w:val="clear" w:color="auto" w:fill="auto"/>
          </w:tcPr>
          <w:p w:rsidR="0033041E" w:rsidRPr="000245C4" w:rsidRDefault="0033041E" w:rsidP="000245C4">
            <w:pPr>
              <w:spacing w:after="0" w:line="240" w:lineRule="auto"/>
              <w:rPr>
                <w:rFonts w:ascii="Calibri" w:eastAsia="Times New Roman" w:hAnsi="Calibri" w:cs="Calibri"/>
                <w:color w:val="000000"/>
                <w:sz w:val="18"/>
                <w:szCs w:val="18"/>
                <w:lang w:eastAsia="en-AU"/>
              </w:rPr>
            </w:pPr>
            <w:r w:rsidRPr="004B4BC7">
              <w:rPr>
                <w:rFonts w:ascii="Calibri" w:eastAsia="Times New Roman" w:hAnsi="Calibri" w:cs="Calibri"/>
                <w:color w:val="000000"/>
                <w:sz w:val="18"/>
                <w:szCs w:val="18"/>
                <w:lang w:eastAsia="en-AU"/>
              </w:rPr>
              <w:t>Implement targeted initiatives to facilitate a highly skilled clinical and community sector workforce, including the use of online learning, web-based resources, mobile applications and face-to-face learning opportunities</w:t>
            </w:r>
          </w:p>
        </w:tc>
        <w:tc>
          <w:tcPr>
            <w:tcW w:w="1943" w:type="dxa"/>
            <w:shd w:val="clear" w:color="auto" w:fill="auto"/>
          </w:tcPr>
          <w:p w:rsidR="0033041E" w:rsidRPr="000245C4" w:rsidRDefault="0033041E" w:rsidP="000245C4">
            <w:pPr>
              <w:spacing w:after="0" w:line="240" w:lineRule="auto"/>
              <w:rPr>
                <w:rFonts w:ascii="Calibri" w:eastAsia="Times New Roman" w:hAnsi="Calibri" w:cs="Calibri"/>
                <w:b/>
                <w:bCs/>
                <w:color w:val="000000"/>
                <w:sz w:val="18"/>
                <w:szCs w:val="18"/>
                <w:lang w:eastAsia="en-AU"/>
              </w:rPr>
            </w:pPr>
          </w:p>
        </w:tc>
        <w:tc>
          <w:tcPr>
            <w:tcW w:w="3428" w:type="dxa"/>
            <w:shd w:val="clear" w:color="auto" w:fill="auto"/>
          </w:tcPr>
          <w:p w:rsidR="0033041E" w:rsidRPr="000245C4" w:rsidRDefault="0033041E" w:rsidP="000245C4">
            <w:pPr>
              <w:spacing w:after="0" w:line="240" w:lineRule="auto"/>
              <w:rPr>
                <w:rFonts w:ascii="Calibri" w:eastAsia="Times New Roman" w:hAnsi="Calibri" w:cs="Calibri"/>
                <w:b/>
                <w:bCs/>
                <w:color w:val="000000"/>
                <w:sz w:val="18"/>
                <w:szCs w:val="18"/>
                <w:lang w:eastAsia="en-AU"/>
              </w:rPr>
            </w:pPr>
          </w:p>
        </w:tc>
        <w:tc>
          <w:tcPr>
            <w:tcW w:w="3513" w:type="dxa"/>
            <w:shd w:val="clear" w:color="auto" w:fill="auto"/>
          </w:tcPr>
          <w:p w:rsidR="0033041E" w:rsidRPr="000245C4" w:rsidRDefault="0033041E" w:rsidP="000245C4">
            <w:pPr>
              <w:spacing w:after="0" w:line="240" w:lineRule="auto"/>
              <w:rPr>
                <w:rFonts w:ascii="Calibri" w:eastAsia="Times New Roman" w:hAnsi="Calibri" w:cs="Calibri"/>
                <w:b/>
                <w:bCs/>
                <w:color w:val="000000"/>
                <w:sz w:val="18"/>
                <w:szCs w:val="18"/>
                <w:lang w:eastAsia="en-AU"/>
              </w:rPr>
            </w:pPr>
          </w:p>
        </w:tc>
        <w:tc>
          <w:tcPr>
            <w:tcW w:w="1958" w:type="dxa"/>
            <w:shd w:val="clear" w:color="auto" w:fill="auto"/>
          </w:tcPr>
          <w:p w:rsidR="0033041E" w:rsidRPr="000245C4" w:rsidRDefault="0033041E" w:rsidP="000245C4">
            <w:pPr>
              <w:spacing w:after="0" w:line="240" w:lineRule="auto"/>
              <w:rPr>
                <w:rFonts w:ascii="Calibri" w:eastAsia="Times New Roman" w:hAnsi="Calibri" w:cs="Calibri"/>
                <w:color w:val="000000"/>
                <w:sz w:val="18"/>
                <w:szCs w:val="18"/>
                <w:lang w:eastAsia="en-AU"/>
              </w:rPr>
            </w:pPr>
          </w:p>
        </w:tc>
      </w:tr>
      <w:tr w:rsidR="0033041E" w:rsidRPr="000245C4" w:rsidTr="0033041E">
        <w:trPr>
          <w:trHeight w:val="495"/>
        </w:trPr>
        <w:tc>
          <w:tcPr>
            <w:tcW w:w="4211" w:type="dxa"/>
            <w:vMerge/>
            <w:vAlign w:val="center"/>
          </w:tcPr>
          <w:p w:rsidR="0033041E" w:rsidRPr="000245C4" w:rsidRDefault="0033041E" w:rsidP="000245C4">
            <w:pPr>
              <w:spacing w:after="0" w:line="240" w:lineRule="auto"/>
              <w:rPr>
                <w:rFonts w:ascii="Calibri" w:eastAsia="Times New Roman" w:hAnsi="Calibri" w:cs="Calibri"/>
                <w:sz w:val="18"/>
                <w:szCs w:val="18"/>
                <w:lang w:eastAsia="en-AU"/>
              </w:rPr>
            </w:pPr>
          </w:p>
        </w:tc>
        <w:tc>
          <w:tcPr>
            <w:tcW w:w="399" w:type="dxa"/>
            <w:shd w:val="clear" w:color="auto" w:fill="auto"/>
          </w:tcPr>
          <w:p w:rsidR="0033041E" w:rsidRDefault="0033041E" w:rsidP="000B28B2">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24</w:t>
            </w:r>
          </w:p>
        </w:tc>
        <w:tc>
          <w:tcPr>
            <w:tcW w:w="5628" w:type="dxa"/>
            <w:shd w:val="clear" w:color="auto" w:fill="auto"/>
          </w:tcPr>
          <w:p w:rsidR="0033041E" w:rsidRPr="000245C4" w:rsidRDefault="0033041E" w:rsidP="00CD6D2D">
            <w:pPr>
              <w:spacing w:after="0" w:line="240" w:lineRule="auto"/>
              <w:rPr>
                <w:rFonts w:ascii="Calibri" w:eastAsia="Times New Roman" w:hAnsi="Calibri" w:cs="Calibri"/>
                <w:color w:val="000000"/>
                <w:sz w:val="18"/>
                <w:szCs w:val="18"/>
                <w:lang w:eastAsia="en-AU"/>
              </w:rPr>
            </w:pPr>
            <w:r w:rsidRPr="004B4BC7">
              <w:rPr>
                <w:rFonts w:ascii="Calibri" w:eastAsia="Times New Roman" w:hAnsi="Calibri" w:cs="Calibri"/>
                <w:color w:val="000000"/>
                <w:sz w:val="18"/>
                <w:szCs w:val="18"/>
                <w:lang w:eastAsia="en-AU"/>
              </w:rPr>
              <w:t>Continue to prioritise education and resources to support GPs and other prescribers in prescribing DAAs, managing patient care, and utilising available multidisciplinary referral pathways</w:t>
            </w:r>
          </w:p>
        </w:tc>
        <w:tc>
          <w:tcPr>
            <w:tcW w:w="1943" w:type="dxa"/>
            <w:shd w:val="clear" w:color="auto" w:fill="auto"/>
          </w:tcPr>
          <w:p w:rsidR="0033041E" w:rsidRPr="000245C4" w:rsidRDefault="0033041E" w:rsidP="000245C4">
            <w:pPr>
              <w:spacing w:after="0" w:line="240" w:lineRule="auto"/>
              <w:rPr>
                <w:rFonts w:ascii="Calibri" w:eastAsia="Times New Roman" w:hAnsi="Calibri" w:cs="Calibri"/>
                <w:b/>
                <w:bCs/>
                <w:color w:val="000000"/>
                <w:sz w:val="18"/>
                <w:szCs w:val="18"/>
                <w:lang w:eastAsia="en-AU"/>
              </w:rPr>
            </w:pPr>
          </w:p>
        </w:tc>
        <w:tc>
          <w:tcPr>
            <w:tcW w:w="3428" w:type="dxa"/>
            <w:shd w:val="clear" w:color="auto" w:fill="auto"/>
          </w:tcPr>
          <w:p w:rsidR="0033041E" w:rsidRPr="000245C4" w:rsidRDefault="0033041E" w:rsidP="000245C4">
            <w:pPr>
              <w:spacing w:after="0" w:line="240" w:lineRule="auto"/>
              <w:rPr>
                <w:rFonts w:ascii="Calibri" w:eastAsia="Times New Roman" w:hAnsi="Calibri" w:cs="Calibri"/>
                <w:b/>
                <w:bCs/>
                <w:color w:val="000000"/>
                <w:sz w:val="18"/>
                <w:szCs w:val="18"/>
                <w:lang w:eastAsia="en-AU"/>
              </w:rPr>
            </w:pPr>
          </w:p>
        </w:tc>
        <w:tc>
          <w:tcPr>
            <w:tcW w:w="3513" w:type="dxa"/>
            <w:shd w:val="clear" w:color="auto" w:fill="auto"/>
          </w:tcPr>
          <w:p w:rsidR="0033041E" w:rsidRPr="000245C4" w:rsidRDefault="0033041E" w:rsidP="000245C4">
            <w:pPr>
              <w:spacing w:after="0" w:line="240" w:lineRule="auto"/>
              <w:rPr>
                <w:rFonts w:ascii="Calibri" w:eastAsia="Times New Roman" w:hAnsi="Calibri" w:cs="Calibri"/>
                <w:b/>
                <w:bCs/>
                <w:color w:val="000000"/>
                <w:sz w:val="18"/>
                <w:szCs w:val="18"/>
                <w:lang w:eastAsia="en-AU"/>
              </w:rPr>
            </w:pPr>
          </w:p>
        </w:tc>
        <w:tc>
          <w:tcPr>
            <w:tcW w:w="1958" w:type="dxa"/>
            <w:shd w:val="clear" w:color="auto" w:fill="auto"/>
          </w:tcPr>
          <w:p w:rsidR="0033041E" w:rsidRPr="000245C4" w:rsidRDefault="0033041E" w:rsidP="000245C4">
            <w:pPr>
              <w:spacing w:after="0" w:line="240" w:lineRule="auto"/>
              <w:rPr>
                <w:rFonts w:ascii="Calibri" w:eastAsia="Times New Roman" w:hAnsi="Calibri" w:cs="Calibri"/>
                <w:color w:val="000000"/>
                <w:sz w:val="18"/>
                <w:szCs w:val="18"/>
                <w:lang w:eastAsia="en-AU"/>
              </w:rPr>
            </w:pPr>
          </w:p>
        </w:tc>
      </w:tr>
      <w:tr w:rsidR="0033041E" w:rsidRPr="000245C4" w:rsidTr="0033041E">
        <w:trPr>
          <w:trHeight w:val="495"/>
        </w:trPr>
        <w:tc>
          <w:tcPr>
            <w:tcW w:w="4211" w:type="dxa"/>
            <w:vMerge/>
            <w:vAlign w:val="center"/>
          </w:tcPr>
          <w:p w:rsidR="0033041E" w:rsidRPr="000245C4" w:rsidRDefault="0033041E" w:rsidP="000245C4">
            <w:pPr>
              <w:spacing w:after="0" w:line="240" w:lineRule="auto"/>
              <w:rPr>
                <w:rFonts w:ascii="Calibri" w:eastAsia="Times New Roman" w:hAnsi="Calibri" w:cs="Calibri"/>
                <w:sz w:val="18"/>
                <w:szCs w:val="18"/>
                <w:lang w:eastAsia="en-AU"/>
              </w:rPr>
            </w:pPr>
          </w:p>
        </w:tc>
        <w:tc>
          <w:tcPr>
            <w:tcW w:w="399" w:type="dxa"/>
            <w:shd w:val="clear" w:color="auto" w:fill="auto"/>
          </w:tcPr>
          <w:p w:rsidR="0033041E" w:rsidRDefault="0033041E" w:rsidP="000B28B2">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25</w:t>
            </w:r>
          </w:p>
        </w:tc>
        <w:tc>
          <w:tcPr>
            <w:tcW w:w="5628" w:type="dxa"/>
            <w:shd w:val="clear" w:color="auto" w:fill="auto"/>
          </w:tcPr>
          <w:p w:rsidR="0033041E" w:rsidRPr="000245C4" w:rsidRDefault="0033041E" w:rsidP="000245C4">
            <w:pPr>
              <w:spacing w:after="0" w:line="240" w:lineRule="auto"/>
              <w:rPr>
                <w:rFonts w:ascii="Calibri" w:eastAsia="Times New Roman" w:hAnsi="Calibri" w:cs="Calibri"/>
                <w:color w:val="000000"/>
                <w:sz w:val="18"/>
                <w:szCs w:val="18"/>
                <w:lang w:eastAsia="en-AU"/>
              </w:rPr>
            </w:pPr>
            <w:r w:rsidRPr="004B4BC7">
              <w:rPr>
                <w:rFonts w:ascii="Calibri" w:eastAsia="Times New Roman" w:hAnsi="Calibri" w:cs="Calibri"/>
                <w:color w:val="000000"/>
                <w:sz w:val="18"/>
                <w:szCs w:val="18"/>
                <w:lang w:eastAsia="en-AU"/>
              </w:rPr>
              <w:t>Support community organisations, the healthcare workforce and peer workers to increase their engagement with priority populations to improve health literacy and connection to care</w:t>
            </w:r>
          </w:p>
        </w:tc>
        <w:tc>
          <w:tcPr>
            <w:tcW w:w="1943" w:type="dxa"/>
            <w:shd w:val="clear" w:color="auto" w:fill="auto"/>
          </w:tcPr>
          <w:p w:rsidR="0033041E" w:rsidRPr="000245C4" w:rsidRDefault="0033041E" w:rsidP="000245C4">
            <w:pPr>
              <w:spacing w:after="0" w:line="240" w:lineRule="auto"/>
              <w:rPr>
                <w:rFonts w:ascii="Calibri" w:eastAsia="Times New Roman" w:hAnsi="Calibri" w:cs="Calibri"/>
                <w:b/>
                <w:bCs/>
                <w:color w:val="000000"/>
                <w:sz w:val="18"/>
                <w:szCs w:val="18"/>
                <w:lang w:eastAsia="en-AU"/>
              </w:rPr>
            </w:pPr>
          </w:p>
        </w:tc>
        <w:tc>
          <w:tcPr>
            <w:tcW w:w="3428" w:type="dxa"/>
            <w:shd w:val="clear" w:color="auto" w:fill="auto"/>
          </w:tcPr>
          <w:p w:rsidR="0033041E" w:rsidRPr="000245C4" w:rsidRDefault="0033041E" w:rsidP="000245C4">
            <w:pPr>
              <w:spacing w:after="0" w:line="240" w:lineRule="auto"/>
              <w:rPr>
                <w:rFonts w:ascii="Calibri" w:eastAsia="Times New Roman" w:hAnsi="Calibri" w:cs="Calibri"/>
                <w:b/>
                <w:bCs/>
                <w:color w:val="000000"/>
                <w:sz w:val="18"/>
                <w:szCs w:val="18"/>
                <w:lang w:eastAsia="en-AU"/>
              </w:rPr>
            </w:pPr>
          </w:p>
        </w:tc>
        <w:tc>
          <w:tcPr>
            <w:tcW w:w="3513" w:type="dxa"/>
            <w:shd w:val="clear" w:color="auto" w:fill="auto"/>
          </w:tcPr>
          <w:p w:rsidR="0033041E" w:rsidRPr="000245C4" w:rsidRDefault="0033041E" w:rsidP="000245C4">
            <w:pPr>
              <w:spacing w:after="0" w:line="240" w:lineRule="auto"/>
              <w:rPr>
                <w:rFonts w:ascii="Calibri" w:eastAsia="Times New Roman" w:hAnsi="Calibri" w:cs="Calibri"/>
                <w:b/>
                <w:bCs/>
                <w:color w:val="000000"/>
                <w:sz w:val="18"/>
                <w:szCs w:val="18"/>
                <w:lang w:eastAsia="en-AU"/>
              </w:rPr>
            </w:pPr>
          </w:p>
        </w:tc>
        <w:tc>
          <w:tcPr>
            <w:tcW w:w="1958" w:type="dxa"/>
            <w:shd w:val="clear" w:color="auto" w:fill="auto"/>
          </w:tcPr>
          <w:p w:rsidR="0033041E" w:rsidRPr="000245C4" w:rsidRDefault="0033041E" w:rsidP="000245C4">
            <w:pPr>
              <w:spacing w:after="0" w:line="240" w:lineRule="auto"/>
              <w:rPr>
                <w:rFonts w:ascii="Calibri" w:eastAsia="Times New Roman" w:hAnsi="Calibri" w:cs="Calibri"/>
                <w:color w:val="000000"/>
                <w:sz w:val="18"/>
                <w:szCs w:val="18"/>
                <w:lang w:eastAsia="en-AU"/>
              </w:rPr>
            </w:pPr>
          </w:p>
        </w:tc>
      </w:tr>
      <w:tr w:rsidR="0033041E" w:rsidRPr="000245C4" w:rsidTr="0033041E">
        <w:trPr>
          <w:trHeight w:val="495"/>
        </w:trPr>
        <w:tc>
          <w:tcPr>
            <w:tcW w:w="4211" w:type="dxa"/>
            <w:vMerge/>
            <w:vAlign w:val="center"/>
          </w:tcPr>
          <w:p w:rsidR="0033041E" w:rsidRPr="000245C4" w:rsidRDefault="0033041E" w:rsidP="000245C4">
            <w:pPr>
              <w:spacing w:after="0" w:line="240" w:lineRule="auto"/>
              <w:rPr>
                <w:rFonts w:ascii="Calibri" w:eastAsia="Times New Roman" w:hAnsi="Calibri" w:cs="Calibri"/>
                <w:sz w:val="18"/>
                <w:szCs w:val="18"/>
                <w:lang w:eastAsia="en-AU"/>
              </w:rPr>
            </w:pPr>
          </w:p>
        </w:tc>
        <w:tc>
          <w:tcPr>
            <w:tcW w:w="399" w:type="dxa"/>
            <w:shd w:val="clear" w:color="auto" w:fill="auto"/>
          </w:tcPr>
          <w:p w:rsidR="0033041E" w:rsidRDefault="0033041E" w:rsidP="000B28B2">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26</w:t>
            </w:r>
          </w:p>
        </w:tc>
        <w:tc>
          <w:tcPr>
            <w:tcW w:w="5628" w:type="dxa"/>
            <w:shd w:val="clear" w:color="auto" w:fill="auto"/>
          </w:tcPr>
          <w:p w:rsidR="0033041E" w:rsidRPr="000245C4" w:rsidRDefault="0033041E" w:rsidP="000245C4">
            <w:pPr>
              <w:spacing w:after="0" w:line="240" w:lineRule="auto"/>
              <w:rPr>
                <w:rFonts w:ascii="Calibri" w:eastAsia="Times New Roman" w:hAnsi="Calibri" w:cs="Calibri"/>
                <w:color w:val="000000"/>
                <w:sz w:val="18"/>
                <w:szCs w:val="18"/>
                <w:lang w:eastAsia="en-AU"/>
              </w:rPr>
            </w:pPr>
            <w:r w:rsidRPr="004B4BC7">
              <w:rPr>
                <w:rFonts w:ascii="Calibri" w:eastAsia="Times New Roman" w:hAnsi="Calibri" w:cs="Calibri"/>
                <w:color w:val="000000"/>
                <w:sz w:val="18"/>
                <w:szCs w:val="18"/>
                <w:lang w:eastAsia="en-AU"/>
              </w:rPr>
              <w:t>Facilitate and support the involvement of the primary care workforce in the early detection and treatment of hepatitis C, including access to remote support for those new to treating hepatitis C, upskilling and training, and other approaches</w:t>
            </w:r>
          </w:p>
        </w:tc>
        <w:tc>
          <w:tcPr>
            <w:tcW w:w="1943" w:type="dxa"/>
            <w:shd w:val="clear" w:color="auto" w:fill="auto"/>
          </w:tcPr>
          <w:p w:rsidR="0033041E" w:rsidRPr="000245C4" w:rsidRDefault="0033041E" w:rsidP="000245C4">
            <w:pPr>
              <w:spacing w:after="0" w:line="240" w:lineRule="auto"/>
              <w:rPr>
                <w:rFonts w:ascii="Calibri" w:eastAsia="Times New Roman" w:hAnsi="Calibri" w:cs="Calibri"/>
                <w:b/>
                <w:bCs/>
                <w:color w:val="000000"/>
                <w:sz w:val="18"/>
                <w:szCs w:val="18"/>
                <w:lang w:eastAsia="en-AU"/>
              </w:rPr>
            </w:pPr>
          </w:p>
        </w:tc>
        <w:tc>
          <w:tcPr>
            <w:tcW w:w="3428" w:type="dxa"/>
            <w:shd w:val="clear" w:color="auto" w:fill="auto"/>
          </w:tcPr>
          <w:p w:rsidR="0033041E" w:rsidRPr="000245C4" w:rsidRDefault="0033041E" w:rsidP="000245C4">
            <w:pPr>
              <w:spacing w:after="0" w:line="240" w:lineRule="auto"/>
              <w:rPr>
                <w:rFonts w:ascii="Calibri" w:eastAsia="Times New Roman" w:hAnsi="Calibri" w:cs="Calibri"/>
                <w:b/>
                <w:bCs/>
                <w:color w:val="000000"/>
                <w:sz w:val="18"/>
                <w:szCs w:val="18"/>
                <w:lang w:eastAsia="en-AU"/>
              </w:rPr>
            </w:pPr>
          </w:p>
        </w:tc>
        <w:tc>
          <w:tcPr>
            <w:tcW w:w="3513" w:type="dxa"/>
            <w:shd w:val="clear" w:color="auto" w:fill="auto"/>
          </w:tcPr>
          <w:p w:rsidR="0033041E" w:rsidRPr="000245C4" w:rsidRDefault="0033041E" w:rsidP="000245C4">
            <w:pPr>
              <w:spacing w:after="0" w:line="240" w:lineRule="auto"/>
              <w:rPr>
                <w:rFonts w:ascii="Calibri" w:eastAsia="Times New Roman" w:hAnsi="Calibri" w:cs="Calibri"/>
                <w:b/>
                <w:bCs/>
                <w:color w:val="000000"/>
                <w:sz w:val="18"/>
                <w:szCs w:val="18"/>
                <w:lang w:eastAsia="en-AU"/>
              </w:rPr>
            </w:pPr>
          </w:p>
        </w:tc>
        <w:tc>
          <w:tcPr>
            <w:tcW w:w="1958" w:type="dxa"/>
            <w:shd w:val="clear" w:color="auto" w:fill="auto"/>
          </w:tcPr>
          <w:p w:rsidR="0033041E" w:rsidRPr="000245C4" w:rsidRDefault="0033041E" w:rsidP="000245C4">
            <w:pPr>
              <w:spacing w:after="0" w:line="240" w:lineRule="auto"/>
              <w:rPr>
                <w:rFonts w:ascii="Calibri" w:eastAsia="Times New Roman" w:hAnsi="Calibri" w:cs="Calibri"/>
                <w:color w:val="000000"/>
                <w:sz w:val="18"/>
                <w:szCs w:val="18"/>
                <w:lang w:eastAsia="en-AU"/>
              </w:rPr>
            </w:pPr>
          </w:p>
        </w:tc>
      </w:tr>
      <w:tr w:rsidR="0033041E" w:rsidRPr="000245C4" w:rsidTr="0033041E">
        <w:trPr>
          <w:trHeight w:val="495"/>
        </w:trPr>
        <w:tc>
          <w:tcPr>
            <w:tcW w:w="4211" w:type="dxa"/>
            <w:vMerge/>
            <w:vAlign w:val="center"/>
          </w:tcPr>
          <w:p w:rsidR="0033041E" w:rsidRPr="000245C4" w:rsidRDefault="0033041E" w:rsidP="000245C4">
            <w:pPr>
              <w:spacing w:after="0" w:line="240" w:lineRule="auto"/>
              <w:rPr>
                <w:rFonts w:ascii="Calibri" w:eastAsia="Times New Roman" w:hAnsi="Calibri" w:cs="Calibri"/>
                <w:sz w:val="18"/>
                <w:szCs w:val="18"/>
                <w:lang w:eastAsia="en-AU"/>
              </w:rPr>
            </w:pPr>
          </w:p>
        </w:tc>
        <w:tc>
          <w:tcPr>
            <w:tcW w:w="399" w:type="dxa"/>
            <w:shd w:val="clear" w:color="auto" w:fill="auto"/>
          </w:tcPr>
          <w:p w:rsidR="0033041E" w:rsidRDefault="0033041E" w:rsidP="000B28B2">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27</w:t>
            </w:r>
          </w:p>
        </w:tc>
        <w:tc>
          <w:tcPr>
            <w:tcW w:w="5628" w:type="dxa"/>
            <w:shd w:val="clear" w:color="auto" w:fill="auto"/>
          </w:tcPr>
          <w:p w:rsidR="0033041E" w:rsidRPr="000245C4" w:rsidRDefault="0033041E" w:rsidP="000245C4">
            <w:pPr>
              <w:spacing w:after="0" w:line="240" w:lineRule="auto"/>
              <w:rPr>
                <w:rFonts w:ascii="Calibri" w:eastAsia="Times New Roman" w:hAnsi="Calibri" w:cs="Calibri"/>
                <w:color w:val="000000"/>
                <w:sz w:val="18"/>
                <w:szCs w:val="18"/>
                <w:lang w:eastAsia="en-AU"/>
              </w:rPr>
            </w:pPr>
            <w:r w:rsidRPr="004B4BC7">
              <w:rPr>
                <w:rFonts w:ascii="Calibri" w:eastAsia="Times New Roman" w:hAnsi="Calibri" w:cs="Calibri"/>
                <w:color w:val="000000"/>
                <w:sz w:val="18"/>
                <w:szCs w:val="18"/>
                <w:lang w:eastAsia="en-AU"/>
              </w:rPr>
              <w:t>Support the continued provision, dissemination and maintenance of evidence-based, responsive and accessible national clinical guidelines and other information resources on testing, treatment, care and support for people living with hepatitis C that are adapted to the needs of the workforce</w:t>
            </w:r>
          </w:p>
        </w:tc>
        <w:tc>
          <w:tcPr>
            <w:tcW w:w="1943" w:type="dxa"/>
            <w:shd w:val="clear" w:color="auto" w:fill="auto"/>
          </w:tcPr>
          <w:p w:rsidR="0033041E" w:rsidRPr="000245C4" w:rsidRDefault="0033041E" w:rsidP="000245C4">
            <w:pPr>
              <w:spacing w:after="0" w:line="240" w:lineRule="auto"/>
              <w:rPr>
                <w:rFonts w:ascii="Calibri" w:eastAsia="Times New Roman" w:hAnsi="Calibri" w:cs="Calibri"/>
                <w:b/>
                <w:bCs/>
                <w:color w:val="000000"/>
                <w:sz w:val="18"/>
                <w:szCs w:val="18"/>
                <w:lang w:eastAsia="en-AU"/>
              </w:rPr>
            </w:pPr>
          </w:p>
        </w:tc>
        <w:tc>
          <w:tcPr>
            <w:tcW w:w="3428" w:type="dxa"/>
            <w:shd w:val="clear" w:color="auto" w:fill="auto"/>
          </w:tcPr>
          <w:p w:rsidR="0033041E" w:rsidRPr="000245C4" w:rsidRDefault="0033041E" w:rsidP="000245C4">
            <w:pPr>
              <w:spacing w:after="0" w:line="240" w:lineRule="auto"/>
              <w:rPr>
                <w:rFonts w:ascii="Calibri" w:eastAsia="Times New Roman" w:hAnsi="Calibri" w:cs="Calibri"/>
                <w:b/>
                <w:bCs/>
                <w:color w:val="000000"/>
                <w:sz w:val="18"/>
                <w:szCs w:val="18"/>
                <w:lang w:eastAsia="en-AU"/>
              </w:rPr>
            </w:pPr>
          </w:p>
        </w:tc>
        <w:tc>
          <w:tcPr>
            <w:tcW w:w="3513" w:type="dxa"/>
            <w:shd w:val="clear" w:color="auto" w:fill="auto"/>
          </w:tcPr>
          <w:p w:rsidR="0033041E" w:rsidRPr="000245C4" w:rsidRDefault="0033041E" w:rsidP="000245C4">
            <w:pPr>
              <w:spacing w:after="0" w:line="240" w:lineRule="auto"/>
              <w:rPr>
                <w:rFonts w:ascii="Calibri" w:eastAsia="Times New Roman" w:hAnsi="Calibri" w:cs="Calibri"/>
                <w:b/>
                <w:bCs/>
                <w:color w:val="000000"/>
                <w:sz w:val="18"/>
                <w:szCs w:val="18"/>
                <w:lang w:eastAsia="en-AU"/>
              </w:rPr>
            </w:pPr>
          </w:p>
        </w:tc>
        <w:tc>
          <w:tcPr>
            <w:tcW w:w="1958" w:type="dxa"/>
            <w:shd w:val="clear" w:color="auto" w:fill="auto"/>
          </w:tcPr>
          <w:p w:rsidR="0033041E" w:rsidRPr="000245C4" w:rsidRDefault="0033041E" w:rsidP="000245C4">
            <w:pPr>
              <w:spacing w:after="0" w:line="240" w:lineRule="auto"/>
              <w:rPr>
                <w:rFonts w:ascii="Calibri" w:eastAsia="Times New Roman" w:hAnsi="Calibri" w:cs="Calibri"/>
                <w:color w:val="000000"/>
                <w:sz w:val="18"/>
                <w:szCs w:val="18"/>
                <w:lang w:eastAsia="en-AU"/>
              </w:rPr>
            </w:pPr>
          </w:p>
        </w:tc>
      </w:tr>
      <w:tr w:rsidR="0033041E" w:rsidRPr="000245C4" w:rsidTr="0033041E">
        <w:trPr>
          <w:trHeight w:val="495"/>
        </w:trPr>
        <w:tc>
          <w:tcPr>
            <w:tcW w:w="4211" w:type="dxa"/>
            <w:vMerge/>
            <w:vAlign w:val="center"/>
          </w:tcPr>
          <w:p w:rsidR="0033041E" w:rsidRPr="000245C4" w:rsidRDefault="0033041E" w:rsidP="000245C4">
            <w:pPr>
              <w:spacing w:after="0" w:line="240" w:lineRule="auto"/>
              <w:rPr>
                <w:rFonts w:ascii="Calibri" w:eastAsia="Times New Roman" w:hAnsi="Calibri" w:cs="Calibri"/>
                <w:sz w:val="18"/>
                <w:szCs w:val="18"/>
                <w:lang w:eastAsia="en-AU"/>
              </w:rPr>
            </w:pPr>
          </w:p>
        </w:tc>
        <w:tc>
          <w:tcPr>
            <w:tcW w:w="399" w:type="dxa"/>
            <w:shd w:val="clear" w:color="auto" w:fill="auto"/>
          </w:tcPr>
          <w:p w:rsidR="0033041E" w:rsidRDefault="0033041E" w:rsidP="000B28B2">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28</w:t>
            </w:r>
          </w:p>
        </w:tc>
        <w:tc>
          <w:tcPr>
            <w:tcW w:w="5628" w:type="dxa"/>
            <w:shd w:val="clear" w:color="auto" w:fill="auto"/>
          </w:tcPr>
          <w:p w:rsidR="0033041E" w:rsidRPr="000245C4" w:rsidRDefault="0033041E" w:rsidP="000245C4">
            <w:pPr>
              <w:spacing w:after="0" w:line="240" w:lineRule="auto"/>
              <w:rPr>
                <w:rFonts w:ascii="Calibri" w:eastAsia="Times New Roman" w:hAnsi="Calibri" w:cs="Calibri"/>
                <w:color w:val="000000"/>
                <w:sz w:val="18"/>
                <w:szCs w:val="18"/>
                <w:lang w:eastAsia="en-AU"/>
              </w:rPr>
            </w:pPr>
            <w:r w:rsidRPr="004B4BC7">
              <w:rPr>
                <w:rFonts w:ascii="Calibri" w:eastAsia="Times New Roman" w:hAnsi="Calibri" w:cs="Calibri"/>
                <w:color w:val="000000"/>
                <w:sz w:val="18"/>
                <w:szCs w:val="18"/>
                <w:lang w:eastAsia="en-AU"/>
              </w:rPr>
              <w:t>Continue to explore and share experiences of innovative models of care for hepatitis C prevention and management, particularly models for rural and remote areas and areas of workforce shortage</w:t>
            </w:r>
          </w:p>
        </w:tc>
        <w:tc>
          <w:tcPr>
            <w:tcW w:w="1943" w:type="dxa"/>
            <w:shd w:val="clear" w:color="auto" w:fill="auto"/>
          </w:tcPr>
          <w:p w:rsidR="0033041E" w:rsidRPr="000245C4" w:rsidRDefault="0033041E" w:rsidP="000245C4">
            <w:pPr>
              <w:spacing w:after="0" w:line="240" w:lineRule="auto"/>
              <w:rPr>
                <w:rFonts w:ascii="Calibri" w:eastAsia="Times New Roman" w:hAnsi="Calibri" w:cs="Calibri"/>
                <w:b/>
                <w:bCs/>
                <w:color w:val="000000"/>
                <w:sz w:val="18"/>
                <w:szCs w:val="18"/>
                <w:lang w:eastAsia="en-AU"/>
              </w:rPr>
            </w:pPr>
          </w:p>
        </w:tc>
        <w:tc>
          <w:tcPr>
            <w:tcW w:w="3428" w:type="dxa"/>
            <w:shd w:val="clear" w:color="auto" w:fill="auto"/>
          </w:tcPr>
          <w:p w:rsidR="0033041E" w:rsidRPr="000245C4" w:rsidRDefault="0033041E" w:rsidP="000245C4">
            <w:pPr>
              <w:spacing w:after="0" w:line="240" w:lineRule="auto"/>
              <w:rPr>
                <w:rFonts w:ascii="Calibri" w:eastAsia="Times New Roman" w:hAnsi="Calibri" w:cs="Calibri"/>
                <w:b/>
                <w:bCs/>
                <w:color w:val="000000"/>
                <w:sz w:val="18"/>
                <w:szCs w:val="18"/>
                <w:lang w:eastAsia="en-AU"/>
              </w:rPr>
            </w:pPr>
          </w:p>
        </w:tc>
        <w:tc>
          <w:tcPr>
            <w:tcW w:w="3513" w:type="dxa"/>
            <w:shd w:val="clear" w:color="auto" w:fill="auto"/>
          </w:tcPr>
          <w:p w:rsidR="0033041E" w:rsidRPr="000245C4" w:rsidRDefault="0033041E" w:rsidP="000245C4">
            <w:pPr>
              <w:spacing w:after="0" w:line="240" w:lineRule="auto"/>
              <w:rPr>
                <w:rFonts w:ascii="Calibri" w:eastAsia="Times New Roman" w:hAnsi="Calibri" w:cs="Calibri"/>
                <w:b/>
                <w:bCs/>
                <w:color w:val="000000"/>
                <w:sz w:val="18"/>
                <w:szCs w:val="18"/>
                <w:lang w:eastAsia="en-AU"/>
              </w:rPr>
            </w:pPr>
          </w:p>
        </w:tc>
        <w:tc>
          <w:tcPr>
            <w:tcW w:w="1958" w:type="dxa"/>
            <w:shd w:val="clear" w:color="auto" w:fill="auto"/>
          </w:tcPr>
          <w:p w:rsidR="0033041E" w:rsidRPr="000245C4" w:rsidRDefault="0033041E" w:rsidP="000245C4">
            <w:pPr>
              <w:spacing w:after="0" w:line="240" w:lineRule="auto"/>
              <w:rPr>
                <w:rFonts w:ascii="Calibri" w:eastAsia="Times New Roman" w:hAnsi="Calibri" w:cs="Calibri"/>
                <w:color w:val="000000"/>
                <w:sz w:val="18"/>
                <w:szCs w:val="18"/>
                <w:lang w:eastAsia="en-AU"/>
              </w:rPr>
            </w:pPr>
          </w:p>
        </w:tc>
      </w:tr>
      <w:tr w:rsidR="0033041E" w:rsidRPr="000245C4" w:rsidTr="0033041E">
        <w:trPr>
          <w:trHeight w:val="495"/>
        </w:trPr>
        <w:tc>
          <w:tcPr>
            <w:tcW w:w="4211" w:type="dxa"/>
            <w:vMerge w:val="restart"/>
            <w:vAlign w:val="center"/>
          </w:tcPr>
          <w:p w:rsidR="0033041E" w:rsidRPr="00A0221A" w:rsidRDefault="0033041E" w:rsidP="000245C4">
            <w:pPr>
              <w:spacing w:after="0" w:line="240" w:lineRule="auto"/>
              <w:rPr>
                <w:rFonts w:ascii="Calibri" w:eastAsia="Times New Roman" w:hAnsi="Calibri" w:cs="Calibri"/>
                <w:sz w:val="18"/>
                <w:szCs w:val="18"/>
                <w:u w:val="single"/>
                <w:lang w:eastAsia="en-AU"/>
              </w:rPr>
            </w:pPr>
            <w:r w:rsidRPr="00A0221A">
              <w:rPr>
                <w:rFonts w:ascii="Calibri" w:eastAsia="Times New Roman" w:hAnsi="Calibri" w:cs="Calibri"/>
                <w:sz w:val="18"/>
                <w:szCs w:val="18"/>
                <w:u w:val="single"/>
                <w:lang w:eastAsia="en-AU"/>
              </w:rPr>
              <w:lastRenderedPageBreak/>
              <w:t>Data, surveillance, research and evaluation</w:t>
            </w:r>
          </w:p>
          <w:p w:rsidR="0033041E" w:rsidRDefault="0033041E" w:rsidP="000245C4">
            <w:pPr>
              <w:spacing w:after="0" w:line="240" w:lineRule="auto"/>
              <w:rPr>
                <w:rFonts w:ascii="Calibri" w:eastAsia="Times New Roman" w:hAnsi="Calibri" w:cs="Calibri"/>
                <w:sz w:val="18"/>
                <w:szCs w:val="18"/>
                <w:lang w:eastAsia="en-AU"/>
              </w:rPr>
            </w:pPr>
          </w:p>
          <w:p w:rsidR="0033041E" w:rsidRPr="000245C4" w:rsidRDefault="0033041E" w:rsidP="000245C4">
            <w:pPr>
              <w:spacing w:after="0" w:line="240" w:lineRule="auto"/>
              <w:rPr>
                <w:rFonts w:ascii="Calibri" w:eastAsia="Times New Roman" w:hAnsi="Calibri" w:cs="Calibri"/>
                <w:sz w:val="18"/>
                <w:szCs w:val="18"/>
                <w:lang w:eastAsia="en-AU"/>
              </w:rPr>
            </w:pPr>
            <w:r w:rsidRPr="004B4BC7">
              <w:rPr>
                <w:rFonts w:ascii="Calibri" w:eastAsia="Times New Roman" w:hAnsi="Calibri" w:cs="Calibri"/>
                <w:sz w:val="18"/>
                <w:szCs w:val="18"/>
                <w:lang w:eastAsia="en-AU"/>
              </w:rPr>
              <w:t>Continue to build a strong evidence base for responding to hepatitis C in Australia, informed by high quality, timely data and surveillance systems that underpin evidence-based local and national responses</w:t>
            </w:r>
          </w:p>
        </w:tc>
        <w:tc>
          <w:tcPr>
            <w:tcW w:w="399" w:type="dxa"/>
            <w:shd w:val="clear" w:color="auto" w:fill="auto"/>
          </w:tcPr>
          <w:p w:rsidR="0033041E" w:rsidRDefault="0033041E" w:rsidP="00FB1768">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29</w:t>
            </w:r>
          </w:p>
        </w:tc>
        <w:tc>
          <w:tcPr>
            <w:tcW w:w="5628" w:type="dxa"/>
            <w:shd w:val="clear" w:color="auto" w:fill="auto"/>
          </w:tcPr>
          <w:p w:rsidR="0033041E" w:rsidRPr="000245C4" w:rsidRDefault="0033041E" w:rsidP="000245C4">
            <w:pPr>
              <w:spacing w:after="0" w:line="240" w:lineRule="auto"/>
              <w:rPr>
                <w:rFonts w:ascii="Calibri" w:eastAsia="Times New Roman" w:hAnsi="Calibri" w:cs="Calibri"/>
                <w:color w:val="000000"/>
                <w:sz w:val="18"/>
                <w:szCs w:val="18"/>
                <w:lang w:eastAsia="en-AU"/>
              </w:rPr>
            </w:pPr>
            <w:r w:rsidRPr="00687530">
              <w:rPr>
                <w:rFonts w:ascii="Calibri" w:eastAsia="Times New Roman" w:hAnsi="Calibri" w:cs="Calibri"/>
                <w:color w:val="000000"/>
                <w:sz w:val="18"/>
                <w:szCs w:val="18"/>
                <w:lang w:eastAsia="en-AU"/>
              </w:rPr>
              <w:t>Identify opportunities to improve the timeliness and consistency of data collections</w:t>
            </w:r>
          </w:p>
        </w:tc>
        <w:tc>
          <w:tcPr>
            <w:tcW w:w="1943" w:type="dxa"/>
            <w:shd w:val="clear" w:color="auto" w:fill="auto"/>
          </w:tcPr>
          <w:p w:rsidR="0033041E" w:rsidRPr="000245C4" w:rsidRDefault="0033041E" w:rsidP="000245C4">
            <w:pPr>
              <w:spacing w:after="0" w:line="240" w:lineRule="auto"/>
              <w:rPr>
                <w:rFonts w:ascii="Calibri" w:eastAsia="Times New Roman" w:hAnsi="Calibri" w:cs="Calibri"/>
                <w:b/>
                <w:bCs/>
                <w:color w:val="000000"/>
                <w:sz w:val="18"/>
                <w:szCs w:val="18"/>
                <w:lang w:eastAsia="en-AU"/>
              </w:rPr>
            </w:pPr>
          </w:p>
        </w:tc>
        <w:tc>
          <w:tcPr>
            <w:tcW w:w="3428" w:type="dxa"/>
            <w:shd w:val="clear" w:color="auto" w:fill="auto"/>
          </w:tcPr>
          <w:p w:rsidR="0033041E" w:rsidRPr="000245C4" w:rsidRDefault="0033041E" w:rsidP="000245C4">
            <w:pPr>
              <w:spacing w:after="0" w:line="240" w:lineRule="auto"/>
              <w:rPr>
                <w:rFonts w:ascii="Calibri" w:eastAsia="Times New Roman" w:hAnsi="Calibri" w:cs="Calibri"/>
                <w:b/>
                <w:bCs/>
                <w:color w:val="000000"/>
                <w:sz w:val="18"/>
                <w:szCs w:val="18"/>
                <w:lang w:eastAsia="en-AU"/>
              </w:rPr>
            </w:pPr>
          </w:p>
        </w:tc>
        <w:tc>
          <w:tcPr>
            <w:tcW w:w="3513" w:type="dxa"/>
            <w:shd w:val="clear" w:color="auto" w:fill="auto"/>
          </w:tcPr>
          <w:p w:rsidR="0033041E" w:rsidRPr="000245C4" w:rsidRDefault="0033041E" w:rsidP="000245C4">
            <w:pPr>
              <w:spacing w:after="0" w:line="240" w:lineRule="auto"/>
              <w:rPr>
                <w:rFonts w:ascii="Calibri" w:eastAsia="Times New Roman" w:hAnsi="Calibri" w:cs="Calibri"/>
                <w:b/>
                <w:bCs/>
                <w:color w:val="000000"/>
                <w:sz w:val="18"/>
                <w:szCs w:val="18"/>
                <w:lang w:eastAsia="en-AU"/>
              </w:rPr>
            </w:pPr>
          </w:p>
        </w:tc>
        <w:tc>
          <w:tcPr>
            <w:tcW w:w="1958" w:type="dxa"/>
            <w:shd w:val="clear" w:color="auto" w:fill="auto"/>
          </w:tcPr>
          <w:p w:rsidR="0033041E" w:rsidRPr="000245C4" w:rsidRDefault="0033041E" w:rsidP="000245C4">
            <w:pPr>
              <w:spacing w:after="0" w:line="240" w:lineRule="auto"/>
              <w:rPr>
                <w:rFonts w:ascii="Calibri" w:eastAsia="Times New Roman" w:hAnsi="Calibri" w:cs="Calibri"/>
                <w:color w:val="000000"/>
                <w:sz w:val="18"/>
                <w:szCs w:val="18"/>
                <w:lang w:eastAsia="en-AU"/>
              </w:rPr>
            </w:pPr>
          </w:p>
        </w:tc>
      </w:tr>
      <w:tr w:rsidR="0033041E" w:rsidRPr="000245C4" w:rsidTr="0033041E">
        <w:trPr>
          <w:trHeight w:val="495"/>
        </w:trPr>
        <w:tc>
          <w:tcPr>
            <w:tcW w:w="4211" w:type="dxa"/>
            <w:vMerge/>
            <w:vAlign w:val="center"/>
          </w:tcPr>
          <w:p w:rsidR="0033041E" w:rsidRPr="000245C4" w:rsidRDefault="0033041E" w:rsidP="000245C4">
            <w:pPr>
              <w:spacing w:after="0" w:line="240" w:lineRule="auto"/>
              <w:rPr>
                <w:rFonts w:ascii="Calibri" w:eastAsia="Times New Roman" w:hAnsi="Calibri" w:cs="Calibri"/>
                <w:sz w:val="18"/>
                <w:szCs w:val="18"/>
                <w:lang w:eastAsia="en-AU"/>
              </w:rPr>
            </w:pPr>
          </w:p>
        </w:tc>
        <w:tc>
          <w:tcPr>
            <w:tcW w:w="399" w:type="dxa"/>
            <w:shd w:val="clear" w:color="auto" w:fill="auto"/>
          </w:tcPr>
          <w:p w:rsidR="0033041E" w:rsidRDefault="0033041E" w:rsidP="00FB1768">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30</w:t>
            </w:r>
          </w:p>
        </w:tc>
        <w:tc>
          <w:tcPr>
            <w:tcW w:w="5628" w:type="dxa"/>
            <w:shd w:val="clear" w:color="auto" w:fill="auto"/>
          </w:tcPr>
          <w:p w:rsidR="0033041E" w:rsidRPr="000245C4" w:rsidRDefault="0033041E" w:rsidP="000245C4">
            <w:pPr>
              <w:spacing w:after="0" w:line="240" w:lineRule="auto"/>
              <w:rPr>
                <w:rFonts w:ascii="Calibri" w:eastAsia="Times New Roman" w:hAnsi="Calibri" w:cs="Calibri"/>
                <w:color w:val="000000"/>
                <w:sz w:val="18"/>
                <w:szCs w:val="18"/>
                <w:lang w:eastAsia="en-AU"/>
              </w:rPr>
            </w:pPr>
            <w:r w:rsidRPr="00687530">
              <w:rPr>
                <w:rFonts w:ascii="Calibri" w:eastAsia="Times New Roman" w:hAnsi="Calibri" w:cs="Calibri"/>
                <w:color w:val="000000"/>
                <w:sz w:val="18"/>
                <w:szCs w:val="18"/>
                <w:lang w:eastAsia="en-AU"/>
              </w:rPr>
              <w:t>Implement initiatives to improve data completeness of Aboriginal and Torres Strait Islander status and country of birth in clinical and pathology settings; and for collecting data on the impact of hepatitis C on sex workers in Australia</w:t>
            </w:r>
          </w:p>
        </w:tc>
        <w:tc>
          <w:tcPr>
            <w:tcW w:w="1943" w:type="dxa"/>
            <w:shd w:val="clear" w:color="auto" w:fill="auto"/>
          </w:tcPr>
          <w:p w:rsidR="0033041E" w:rsidRPr="000245C4" w:rsidRDefault="0033041E" w:rsidP="000245C4">
            <w:pPr>
              <w:spacing w:after="0" w:line="240" w:lineRule="auto"/>
              <w:rPr>
                <w:rFonts w:ascii="Calibri" w:eastAsia="Times New Roman" w:hAnsi="Calibri" w:cs="Calibri"/>
                <w:b/>
                <w:bCs/>
                <w:color w:val="000000"/>
                <w:sz w:val="18"/>
                <w:szCs w:val="18"/>
                <w:lang w:eastAsia="en-AU"/>
              </w:rPr>
            </w:pPr>
          </w:p>
        </w:tc>
        <w:tc>
          <w:tcPr>
            <w:tcW w:w="3428" w:type="dxa"/>
            <w:shd w:val="clear" w:color="auto" w:fill="auto"/>
          </w:tcPr>
          <w:p w:rsidR="0033041E" w:rsidRPr="000245C4" w:rsidRDefault="0033041E" w:rsidP="000245C4">
            <w:pPr>
              <w:spacing w:after="0" w:line="240" w:lineRule="auto"/>
              <w:rPr>
                <w:rFonts w:ascii="Calibri" w:eastAsia="Times New Roman" w:hAnsi="Calibri" w:cs="Calibri"/>
                <w:b/>
                <w:bCs/>
                <w:color w:val="000000"/>
                <w:sz w:val="18"/>
                <w:szCs w:val="18"/>
                <w:lang w:eastAsia="en-AU"/>
              </w:rPr>
            </w:pPr>
          </w:p>
        </w:tc>
        <w:tc>
          <w:tcPr>
            <w:tcW w:w="3513" w:type="dxa"/>
            <w:shd w:val="clear" w:color="auto" w:fill="auto"/>
          </w:tcPr>
          <w:p w:rsidR="0033041E" w:rsidRPr="000245C4" w:rsidRDefault="0033041E" w:rsidP="000245C4">
            <w:pPr>
              <w:spacing w:after="0" w:line="240" w:lineRule="auto"/>
              <w:rPr>
                <w:rFonts w:ascii="Calibri" w:eastAsia="Times New Roman" w:hAnsi="Calibri" w:cs="Calibri"/>
                <w:b/>
                <w:bCs/>
                <w:color w:val="000000"/>
                <w:sz w:val="18"/>
                <w:szCs w:val="18"/>
                <w:lang w:eastAsia="en-AU"/>
              </w:rPr>
            </w:pPr>
          </w:p>
        </w:tc>
        <w:tc>
          <w:tcPr>
            <w:tcW w:w="1958" w:type="dxa"/>
            <w:shd w:val="clear" w:color="auto" w:fill="auto"/>
          </w:tcPr>
          <w:p w:rsidR="0033041E" w:rsidRPr="000245C4" w:rsidRDefault="0033041E" w:rsidP="000245C4">
            <w:pPr>
              <w:spacing w:after="0" w:line="240" w:lineRule="auto"/>
              <w:rPr>
                <w:rFonts w:ascii="Calibri" w:eastAsia="Times New Roman" w:hAnsi="Calibri" w:cs="Calibri"/>
                <w:color w:val="000000"/>
                <w:sz w:val="18"/>
                <w:szCs w:val="18"/>
                <w:lang w:eastAsia="en-AU"/>
              </w:rPr>
            </w:pPr>
          </w:p>
        </w:tc>
      </w:tr>
      <w:tr w:rsidR="0033041E" w:rsidRPr="000245C4" w:rsidTr="0033041E">
        <w:trPr>
          <w:trHeight w:val="495"/>
        </w:trPr>
        <w:tc>
          <w:tcPr>
            <w:tcW w:w="4211" w:type="dxa"/>
            <w:vMerge/>
            <w:vAlign w:val="center"/>
          </w:tcPr>
          <w:p w:rsidR="0033041E" w:rsidRPr="000245C4" w:rsidRDefault="0033041E" w:rsidP="000245C4">
            <w:pPr>
              <w:spacing w:after="0" w:line="240" w:lineRule="auto"/>
              <w:rPr>
                <w:rFonts w:ascii="Calibri" w:eastAsia="Times New Roman" w:hAnsi="Calibri" w:cs="Calibri"/>
                <w:sz w:val="18"/>
                <w:szCs w:val="18"/>
                <w:lang w:eastAsia="en-AU"/>
              </w:rPr>
            </w:pPr>
          </w:p>
        </w:tc>
        <w:tc>
          <w:tcPr>
            <w:tcW w:w="399" w:type="dxa"/>
            <w:shd w:val="clear" w:color="auto" w:fill="auto"/>
          </w:tcPr>
          <w:p w:rsidR="0033041E" w:rsidRDefault="0033041E" w:rsidP="00FB1768">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31</w:t>
            </w:r>
          </w:p>
        </w:tc>
        <w:tc>
          <w:tcPr>
            <w:tcW w:w="5628" w:type="dxa"/>
            <w:shd w:val="clear" w:color="auto" w:fill="auto"/>
          </w:tcPr>
          <w:p w:rsidR="0033041E" w:rsidRPr="000245C4" w:rsidRDefault="0033041E" w:rsidP="000245C4">
            <w:pPr>
              <w:spacing w:after="0" w:line="240" w:lineRule="auto"/>
              <w:rPr>
                <w:rFonts w:ascii="Calibri" w:eastAsia="Times New Roman" w:hAnsi="Calibri" w:cs="Calibri"/>
                <w:color w:val="000000"/>
                <w:sz w:val="18"/>
                <w:szCs w:val="18"/>
                <w:lang w:eastAsia="en-AU"/>
              </w:rPr>
            </w:pPr>
            <w:r w:rsidRPr="00687530">
              <w:rPr>
                <w:rFonts w:ascii="Calibri" w:eastAsia="Times New Roman" w:hAnsi="Calibri" w:cs="Calibri"/>
                <w:color w:val="000000"/>
                <w:sz w:val="18"/>
                <w:szCs w:val="18"/>
                <w:lang w:eastAsia="en-AU"/>
              </w:rPr>
              <w:t>Investigate opportunities to better measure incidence and prevalence of hepatitis C in the community, including linkage of data on the incidence of reinfection</w:t>
            </w:r>
          </w:p>
        </w:tc>
        <w:tc>
          <w:tcPr>
            <w:tcW w:w="1943" w:type="dxa"/>
            <w:shd w:val="clear" w:color="auto" w:fill="auto"/>
          </w:tcPr>
          <w:p w:rsidR="0033041E" w:rsidRPr="000245C4" w:rsidRDefault="0033041E" w:rsidP="000245C4">
            <w:pPr>
              <w:spacing w:after="0" w:line="240" w:lineRule="auto"/>
              <w:rPr>
                <w:rFonts w:ascii="Calibri" w:eastAsia="Times New Roman" w:hAnsi="Calibri" w:cs="Calibri"/>
                <w:b/>
                <w:bCs/>
                <w:color w:val="000000"/>
                <w:sz w:val="18"/>
                <w:szCs w:val="18"/>
                <w:lang w:eastAsia="en-AU"/>
              </w:rPr>
            </w:pPr>
          </w:p>
        </w:tc>
        <w:tc>
          <w:tcPr>
            <w:tcW w:w="3428" w:type="dxa"/>
            <w:shd w:val="clear" w:color="auto" w:fill="auto"/>
          </w:tcPr>
          <w:p w:rsidR="0033041E" w:rsidRPr="000245C4" w:rsidRDefault="0033041E" w:rsidP="000245C4">
            <w:pPr>
              <w:spacing w:after="0" w:line="240" w:lineRule="auto"/>
              <w:rPr>
                <w:rFonts w:ascii="Calibri" w:eastAsia="Times New Roman" w:hAnsi="Calibri" w:cs="Calibri"/>
                <w:b/>
                <w:bCs/>
                <w:color w:val="000000"/>
                <w:sz w:val="18"/>
                <w:szCs w:val="18"/>
                <w:lang w:eastAsia="en-AU"/>
              </w:rPr>
            </w:pPr>
          </w:p>
        </w:tc>
        <w:tc>
          <w:tcPr>
            <w:tcW w:w="3513" w:type="dxa"/>
            <w:shd w:val="clear" w:color="auto" w:fill="auto"/>
          </w:tcPr>
          <w:p w:rsidR="0033041E" w:rsidRPr="000245C4" w:rsidRDefault="0033041E" w:rsidP="000245C4">
            <w:pPr>
              <w:spacing w:after="0" w:line="240" w:lineRule="auto"/>
              <w:rPr>
                <w:rFonts w:ascii="Calibri" w:eastAsia="Times New Roman" w:hAnsi="Calibri" w:cs="Calibri"/>
                <w:b/>
                <w:bCs/>
                <w:color w:val="000000"/>
                <w:sz w:val="18"/>
                <w:szCs w:val="18"/>
                <w:lang w:eastAsia="en-AU"/>
              </w:rPr>
            </w:pPr>
          </w:p>
        </w:tc>
        <w:tc>
          <w:tcPr>
            <w:tcW w:w="1958" w:type="dxa"/>
            <w:shd w:val="clear" w:color="auto" w:fill="auto"/>
          </w:tcPr>
          <w:p w:rsidR="0033041E" w:rsidRPr="000245C4" w:rsidRDefault="0033041E" w:rsidP="000245C4">
            <w:pPr>
              <w:spacing w:after="0" w:line="240" w:lineRule="auto"/>
              <w:rPr>
                <w:rFonts w:ascii="Calibri" w:eastAsia="Times New Roman" w:hAnsi="Calibri" w:cs="Calibri"/>
                <w:color w:val="000000"/>
                <w:sz w:val="18"/>
                <w:szCs w:val="18"/>
                <w:lang w:eastAsia="en-AU"/>
              </w:rPr>
            </w:pPr>
          </w:p>
        </w:tc>
      </w:tr>
      <w:tr w:rsidR="0033041E" w:rsidRPr="000245C4" w:rsidTr="0033041E">
        <w:trPr>
          <w:trHeight w:val="495"/>
        </w:trPr>
        <w:tc>
          <w:tcPr>
            <w:tcW w:w="4211" w:type="dxa"/>
            <w:vMerge/>
            <w:vAlign w:val="center"/>
          </w:tcPr>
          <w:p w:rsidR="0033041E" w:rsidRPr="000245C4" w:rsidRDefault="0033041E" w:rsidP="000245C4">
            <w:pPr>
              <w:spacing w:after="0" w:line="240" w:lineRule="auto"/>
              <w:rPr>
                <w:rFonts w:ascii="Calibri" w:eastAsia="Times New Roman" w:hAnsi="Calibri" w:cs="Calibri"/>
                <w:sz w:val="18"/>
                <w:szCs w:val="18"/>
                <w:lang w:eastAsia="en-AU"/>
              </w:rPr>
            </w:pPr>
          </w:p>
        </w:tc>
        <w:tc>
          <w:tcPr>
            <w:tcW w:w="399" w:type="dxa"/>
            <w:shd w:val="clear" w:color="auto" w:fill="auto"/>
          </w:tcPr>
          <w:p w:rsidR="0033041E" w:rsidRDefault="0033041E" w:rsidP="00FB1768">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32</w:t>
            </w:r>
          </w:p>
        </w:tc>
        <w:tc>
          <w:tcPr>
            <w:tcW w:w="5628" w:type="dxa"/>
            <w:shd w:val="clear" w:color="auto" w:fill="auto"/>
          </w:tcPr>
          <w:p w:rsidR="0033041E" w:rsidRPr="000245C4" w:rsidRDefault="0033041E" w:rsidP="000245C4">
            <w:pPr>
              <w:spacing w:after="0" w:line="240" w:lineRule="auto"/>
              <w:rPr>
                <w:rFonts w:ascii="Calibri" w:eastAsia="Times New Roman" w:hAnsi="Calibri" w:cs="Calibri"/>
                <w:color w:val="000000"/>
                <w:sz w:val="18"/>
                <w:szCs w:val="18"/>
                <w:lang w:eastAsia="en-AU"/>
              </w:rPr>
            </w:pPr>
            <w:r w:rsidRPr="00687530">
              <w:rPr>
                <w:rFonts w:ascii="Calibri" w:eastAsia="Times New Roman" w:hAnsi="Calibri" w:cs="Calibri"/>
                <w:color w:val="000000"/>
                <w:sz w:val="18"/>
                <w:szCs w:val="18"/>
                <w:lang w:eastAsia="en-AU"/>
              </w:rPr>
              <w:t>Identify gaps in surveillance data for measuring and monitoring the implementation of this strategy and prioritise these for action</w:t>
            </w:r>
          </w:p>
        </w:tc>
        <w:tc>
          <w:tcPr>
            <w:tcW w:w="1943" w:type="dxa"/>
            <w:shd w:val="clear" w:color="auto" w:fill="auto"/>
          </w:tcPr>
          <w:p w:rsidR="0033041E" w:rsidRPr="000245C4" w:rsidRDefault="0033041E" w:rsidP="000245C4">
            <w:pPr>
              <w:spacing w:after="0" w:line="240" w:lineRule="auto"/>
              <w:rPr>
                <w:rFonts w:ascii="Calibri" w:eastAsia="Times New Roman" w:hAnsi="Calibri" w:cs="Calibri"/>
                <w:b/>
                <w:bCs/>
                <w:color w:val="000000"/>
                <w:sz w:val="18"/>
                <w:szCs w:val="18"/>
                <w:lang w:eastAsia="en-AU"/>
              </w:rPr>
            </w:pPr>
          </w:p>
        </w:tc>
        <w:tc>
          <w:tcPr>
            <w:tcW w:w="3428" w:type="dxa"/>
            <w:shd w:val="clear" w:color="auto" w:fill="auto"/>
          </w:tcPr>
          <w:p w:rsidR="0033041E" w:rsidRPr="000245C4" w:rsidRDefault="0033041E" w:rsidP="000245C4">
            <w:pPr>
              <w:spacing w:after="0" w:line="240" w:lineRule="auto"/>
              <w:rPr>
                <w:rFonts w:ascii="Calibri" w:eastAsia="Times New Roman" w:hAnsi="Calibri" w:cs="Calibri"/>
                <w:b/>
                <w:bCs/>
                <w:color w:val="000000"/>
                <w:sz w:val="18"/>
                <w:szCs w:val="18"/>
                <w:lang w:eastAsia="en-AU"/>
              </w:rPr>
            </w:pPr>
          </w:p>
        </w:tc>
        <w:tc>
          <w:tcPr>
            <w:tcW w:w="3513" w:type="dxa"/>
            <w:shd w:val="clear" w:color="auto" w:fill="auto"/>
          </w:tcPr>
          <w:p w:rsidR="0033041E" w:rsidRPr="000245C4" w:rsidRDefault="0033041E" w:rsidP="000245C4">
            <w:pPr>
              <w:spacing w:after="0" w:line="240" w:lineRule="auto"/>
              <w:rPr>
                <w:rFonts w:ascii="Calibri" w:eastAsia="Times New Roman" w:hAnsi="Calibri" w:cs="Calibri"/>
                <w:b/>
                <w:bCs/>
                <w:color w:val="000000"/>
                <w:sz w:val="18"/>
                <w:szCs w:val="18"/>
                <w:lang w:eastAsia="en-AU"/>
              </w:rPr>
            </w:pPr>
          </w:p>
        </w:tc>
        <w:tc>
          <w:tcPr>
            <w:tcW w:w="1958" w:type="dxa"/>
            <w:shd w:val="clear" w:color="auto" w:fill="auto"/>
          </w:tcPr>
          <w:p w:rsidR="0033041E" w:rsidRPr="000245C4" w:rsidRDefault="0033041E" w:rsidP="000245C4">
            <w:pPr>
              <w:spacing w:after="0" w:line="240" w:lineRule="auto"/>
              <w:rPr>
                <w:rFonts w:ascii="Calibri" w:eastAsia="Times New Roman" w:hAnsi="Calibri" w:cs="Calibri"/>
                <w:color w:val="000000"/>
                <w:sz w:val="18"/>
                <w:szCs w:val="18"/>
                <w:lang w:eastAsia="en-AU"/>
              </w:rPr>
            </w:pPr>
          </w:p>
        </w:tc>
      </w:tr>
      <w:tr w:rsidR="0033041E" w:rsidRPr="000245C4" w:rsidTr="0033041E">
        <w:trPr>
          <w:trHeight w:val="495"/>
        </w:trPr>
        <w:tc>
          <w:tcPr>
            <w:tcW w:w="4211" w:type="dxa"/>
            <w:vMerge/>
            <w:vAlign w:val="center"/>
          </w:tcPr>
          <w:p w:rsidR="0033041E" w:rsidRPr="000245C4" w:rsidRDefault="0033041E" w:rsidP="000245C4">
            <w:pPr>
              <w:spacing w:after="0" w:line="240" w:lineRule="auto"/>
              <w:rPr>
                <w:rFonts w:ascii="Calibri" w:eastAsia="Times New Roman" w:hAnsi="Calibri" w:cs="Calibri"/>
                <w:sz w:val="18"/>
                <w:szCs w:val="18"/>
                <w:lang w:eastAsia="en-AU"/>
              </w:rPr>
            </w:pPr>
          </w:p>
        </w:tc>
        <w:tc>
          <w:tcPr>
            <w:tcW w:w="399" w:type="dxa"/>
            <w:shd w:val="clear" w:color="auto" w:fill="auto"/>
          </w:tcPr>
          <w:p w:rsidR="0033041E" w:rsidRDefault="0033041E" w:rsidP="000245C4">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33</w:t>
            </w:r>
          </w:p>
        </w:tc>
        <w:tc>
          <w:tcPr>
            <w:tcW w:w="5628" w:type="dxa"/>
            <w:shd w:val="clear" w:color="auto" w:fill="auto"/>
          </w:tcPr>
          <w:p w:rsidR="0033041E" w:rsidRPr="000245C4" w:rsidRDefault="0033041E" w:rsidP="000245C4">
            <w:pPr>
              <w:spacing w:after="0" w:line="240" w:lineRule="auto"/>
              <w:rPr>
                <w:rFonts w:ascii="Calibri" w:eastAsia="Times New Roman" w:hAnsi="Calibri" w:cs="Calibri"/>
                <w:color w:val="000000"/>
                <w:sz w:val="18"/>
                <w:szCs w:val="18"/>
                <w:lang w:eastAsia="en-AU"/>
              </w:rPr>
            </w:pPr>
            <w:r w:rsidRPr="00687530">
              <w:rPr>
                <w:rFonts w:ascii="Calibri" w:eastAsia="Times New Roman" w:hAnsi="Calibri" w:cs="Calibri"/>
                <w:color w:val="000000"/>
                <w:sz w:val="18"/>
                <w:szCs w:val="18"/>
                <w:lang w:eastAsia="en-AU"/>
              </w:rPr>
              <w:t>Improve surveillance of issues that impact people living with hepatitis C, including stigma and discrimination and quality of life measures</w:t>
            </w:r>
          </w:p>
        </w:tc>
        <w:tc>
          <w:tcPr>
            <w:tcW w:w="1943" w:type="dxa"/>
            <w:shd w:val="clear" w:color="auto" w:fill="auto"/>
          </w:tcPr>
          <w:p w:rsidR="0033041E" w:rsidRPr="000245C4" w:rsidRDefault="0033041E" w:rsidP="000245C4">
            <w:pPr>
              <w:spacing w:after="0" w:line="240" w:lineRule="auto"/>
              <w:rPr>
                <w:rFonts w:ascii="Calibri" w:eastAsia="Times New Roman" w:hAnsi="Calibri" w:cs="Calibri"/>
                <w:b/>
                <w:bCs/>
                <w:color w:val="000000"/>
                <w:sz w:val="18"/>
                <w:szCs w:val="18"/>
                <w:lang w:eastAsia="en-AU"/>
              </w:rPr>
            </w:pPr>
          </w:p>
        </w:tc>
        <w:tc>
          <w:tcPr>
            <w:tcW w:w="3428" w:type="dxa"/>
            <w:shd w:val="clear" w:color="auto" w:fill="auto"/>
          </w:tcPr>
          <w:p w:rsidR="0033041E" w:rsidRPr="000245C4" w:rsidRDefault="0033041E" w:rsidP="000245C4">
            <w:pPr>
              <w:spacing w:after="0" w:line="240" w:lineRule="auto"/>
              <w:rPr>
                <w:rFonts w:ascii="Calibri" w:eastAsia="Times New Roman" w:hAnsi="Calibri" w:cs="Calibri"/>
                <w:b/>
                <w:bCs/>
                <w:color w:val="000000"/>
                <w:sz w:val="18"/>
                <w:szCs w:val="18"/>
                <w:lang w:eastAsia="en-AU"/>
              </w:rPr>
            </w:pPr>
          </w:p>
        </w:tc>
        <w:tc>
          <w:tcPr>
            <w:tcW w:w="3513" w:type="dxa"/>
            <w:shd w:val="clear" w:color="auto" w:fill="auto"/>
          </w:tcPr>
          <w:p w:rsidR="0033041E" w:rsidRPr="000245C4" w:rsidRDefault="0033041E" w:rsidP="000245C4">
            <w:pPr>
              <w:spacing w:after="0" w:line="240" w:lineRule="auto"/>
              <w:rPr>
                <w:rFonts w:ascii="Calibri" w:eastAsia="Times New Roman" w:hAnsi="Calibri" w:cs="Calibri"/>
                <w:b/>
                <w:bCs/>
                <w:color w:val="000000"/>
                <w:sz w:val="18"/>
                <w:szCs w:val="18"/>
                <w:lang w:eastAsia="en-AU"/>
              </w:rPr>
            </w:pPr>
          </w:p>
        </w:tc>
        <w:tc>
          <w:tcPr>
            <w:tcW w:w="1958" w:type="dxa"/>
            <w:shd w:val="clear" w:color="auto" w:fill="auto"/>
          </w:tcPr>
          <w:p w:rsidR="0033041E" w:rsidRPr="000245C4" w:rsidRDefault="0033041E" w:rsidP="000245C4">
            <w:pPr>
              <w:spacing w:after="0" w:line="240" w:lineRule="auto"/>
              <w:rPr>
                <w:rFonts w:ascii="Calibri" w:eastAsia="Times New Roman" w:hAnsi="Calibri" w:cs="Calibri"/>
                <w:color w:val="000000"/>
                <w:sz w:val="18"/>
                <w:szCs w:val="18"/>
                <w:lang w:eastAsia="en-AU"/>
              </w:rPr>
            </w:pPr>
          </w:p>
        </w:tc>
      </w:tr>
      <w:tr w:rsidR="0033041E" w:rsidRPr="000245C4" w:rsidTr="0033041E">
        <w:trPr>
          <w:trHeight w:val="495"/>
        </w:trPr>
        <w:tc>
          <w:tcPr>
            <w:tcW w:w="4211" w:type="dxa"/>
            <w:vMerge/>
            <w:vAlign w:val="center"/>
          </w:tcPr>
          <w:p w:rsidR="0033041E" w:rsidRPr="000245C4" w:rsidRDefault="0033041E" w:rsidP="000245C4">
            <w:pPr>
              <w:spacing w:after="0" w:line="240" w:lineRule="auto"/>
              <w:rPr>
                <w:rFonts w:ascii="Calibri" w:eastAsia="Times New Roman" w:hAnsi="Calibri" w:cs="Calibri"/>
                <w:sz w:val="18"/>
                <w:szCs w:val="18"/>
                <w:lang w:eastAsia="en-AU"/>
              </w:rPr>
            </w:pPr>
          </w:p>
        </w:tc>
        <w:tc>
          <w:tcPr>
            <w:tcW w:w="399" w:type="dxa"/>
            <w:shd w:val="clear" w:color="auto" w:fill="auto"/>
          </w:tcPr>
          <w:p w:rsidR="0033041E" w:rsidRDefault="0033041E" w:rsidP="000245C4">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34</w:t>
            </w:r>
          </w:p>
        </w:tc>
        <w:tc>
          <w:tcPr>
            <w:tcW w:w="5628" w:type="dxa"/>
            <w:shd w:val="clear" w:color="auto" w:fill="auto"/>
          </w:tcPr>
          <w:p w:rsidR="0033041E" w:rsidRPr="000245C4" w:rsidRDefault="0033041E" w:rsidP="00687530">
            <w:pPr>
              <w:spacing w:after="0" w:line="240" w:lineRule="auto"/>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P</w:t>
            </w:r>
            <w:r w:rsidRPr="00687530">
              <w:rPr>
                <w:rFonts w:ascii="Calibri" w:eastAsia="Times New Roman" w:hAnsi="Calibri" w:cs="Calibri"/>
                <w:color w:val="000000"/>
                <w:sz w:val="18"/>
                <w:szCs w:val="18"/>
                <w:lang w:eastAsia="en-AU"/>
              </w:rPr>
              <w:t>romote a balance of social, behavioural, epidemiological and clinical research to better inform all aspects of the response</w:t>
            </w:r>
          </w:p>
        </w:tc>
        <w:tc>
          <w:tcPr>
            <w:tcW w:w="1943" w:type="dxa"/>
            <w:shd w:val="clear" w:color="auto" w:fill="auto"/>
          </w:tcPr>
          <w:p w:rsidR="0033041E" w:rsidRPr="000245C4" w:rsidRDefault="0033041E" w:rsidP="000245C4">
            <w:pPr>
              <w:spacing w:after="0" w:line="240" w:lineRule="auto"/>
              <w:rPr>
                <w:rFonts w:ascii="Calibri" w:eastAsia="Times New Roman" w:hAnsi="Calibri" w:cs="Calibri"/>
                <w:b/>
                <w:bCs/>
                <w:color w:val="000000"/>
                <w:sz w:val="18"/>
                <w:szCs w:val="18"/>
                <w:lang w:eastAsia="en-AU"/>
              </w:rPr>
            </w:pPr>
          </w:p>
        </w:tc>
        <w:tc>
          <w:tcPr>
            <w:tcW w:w="3428" w:type="dxa"/>
            <w:shd w:val="clear" w:color="auto" w:fill="auto"/>
          </w:tcPr>
          <w:p w:rsidR="0033041E" w:rsidRPr="000245C4" w:rsidRDefault="0033041E" w:rsidP="000245C4">
            <w:pPr>
              <w:spacing w:after="0" w:line="240" w:lineRule="auto"/>
              <w:rPr>
                <w:rFonts w:ascii="Calibri" w:eastAsia="Times New Roman" w:hAnsi="Calibri" w:cs="Calibri"/>
                <w:b/>
                <w:bCs/>
                <w:color w:val="000000"/>
                <w:sz w:val="18"/>
                <w:szCs w:val="18"/>
                <w:lang w:eastAsia="en-AU"/>
              </w:rPr>
            </w:pPr>
          </w:p>
        </w:tc>
        <w:tc>
          <w:tcPr>
            <w:tcW w:w="3513" w:type="dxa"/>
            <w:shd w:val="clear" w:color="auto" w:fill="auto"/>
          </w:tcPr>
          <w:p w:rsidR="0033041E" w:rsidRPr="000245C4" w:rsidRDefault="0033041E" w:rsidP="000245C4">
            <w:pPr>
              <w:spacing w:after="0" w:line="240" w:lineRule="auto"/>
              <w:rPr>
                <w:rFonts w:ascii="Calibri" w:eastAsia="Times New Roman" w:hAnsi="Calibri" w:cs="Calibri"/>
                <w:b/>
                <w:bCs/>
                <w:color w:val="000000"/>
                <w:sz w:val="18"/>
                <w:szCs w:val="18"/>
                <w:lang w:eastAsia="en-AU"/>
              </w:rPr>
            </w:pPr>
          </w:p>
        </w:tc>
        <w:tc>
          <w:tcPr>
            <w:tcW w:w="1958" w:type="dxa"/>
            <w:shd w:val="clear" w:color="auto" w:fill="auto"/>
          </w:tcPr>
          <w:p w:rsidR="0033041E" w:rsidRPr="000245C4" w:rsidRDefault="0033041E" w:rsidP="000245C4">
            <w:pPr>
              <w:spacing w:after="0" w:line="240" w:lineRule="auto"/>
              <w:rPr>
                <w:rFonts w:ascii="Calibri" w:eastAsia="Times New Roman" w:hAnsi="Calibri" w:cs="Calibri"/>
                <w:color w:val="000000"/>
                <w:sz w:val="18"/>
                <w:szCs w:val="18"/>
                <w:lang w:eastAsia="en-AU"/>
              </w:rPr>
            </w:pPr>
          </w:p>
        </w:tc>
      </w:tr>
      <w:tr w:rsidR="0033041E" w:rsidRPr="000245C4" w:rsidTr="0033041E">
        <w:trPr>
          <w:trHeight w:val="495"/>
        </w:trPr>
        <w:tc>
          <w:tcPr>
            <w:tcW w:w="4211" w:type="dxa"/>
            <w:vMerge/>
            <w:vAlign w:val="center"/>
          </w:tcPr>
          <w:p w:rsidR="0033041E" w:rsidRPr="000245C4" w:rsidRDefault="0033041E" w:rsidP="000245C4">
            <w:pPr>
              <w:spacing w:after="0" w:line="240" w:lineRule="auto"/>
              <w:rPr>
                <w:rFonts w:ascii="Calibri" w:eastAsia="Times New Roman" w:hAnsi="Calibri" w:cs="Calibri"/>
                <w:sz w:val="18"/>
                <w:szCs w:val="18"/>
                <w:lang w:eastAsia="en-AU"/>
              </w:rPr>
            </w:pPr>
          </w:p>
        </w:tc>
        <w:tc>
          <w:tcPr>
            <w:tcW w:w="399" w:type="dxa"/>
            <w:shd w:val="clear" w:color="auto" w:fill="auto"/>
          </w:tcPr>
          <w:p w:rsidR="0033041E" w:rsidRDefault="0033041E" w:rsidP="000245C4">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35</w:t>
            </w:r>
          </w:p>
        </w:tc>
        <w:tc>
          <w:tcPr>
            <w:tcW w:w="5628" w:type="dxa"/>
            <w:shd w:val="clear" w:color="auto" w:fill="auto"/>
          </w:tcPr>
          <w:p w:rsidR="0033041E" w:rsidRPr="000245C4" w:rsidRDefault="0033041E" w:rsidP="000245C4">
            <w:pPr>
              <w:spacing w:after="0" w:line="240" w:lineRule="auto"/>
              <w:rPr>
                <w:rFonts w:ascii="Calibri" w:eastAsia="Times New Roman" w:hAnsi="Calibri" w:cs="Calibri"/>
                <w:color w:val="000000"/>
                <w:sz w:val="18"/>
                <w:szCs w:val="18"/>
                <w:lang w:eastAsia="en-AU"/>
              </w:rPr>
            </w:pPr>
            <w:r w:rsidRPr="00687530">
              <w:rPr>
                <w:rFonts w:ascii="Calibri" w:eastAsia="Times New Roman" w:hAnsi="Calibri" w:cs="Calibri"/>
                <w:color w:val="000000"/>
                <w:sz w:val="18"/>
                <w:szCs w:val="18"/>
                <w:lang w:eastAsia="en-AU"/>
              </w:rPr>
              <w:t>Ensure current and future programs and activities are evaluated to ensure linkage and alignment to the priority areas of this strategy</w:t>
            </w:r>
          </w:p>
        </w:tc>
        <w:tc>
          <w:tcPr>
            <w:tcW w:w="1943" w:type="dxa"/>
            <w:shd w:val="clear" w:color="auto" w:fill="auto"/>
          </w:tcPr>
          <w:p w:rsidR="0033041E" w:rsidRPr="000245C4" w:rsidRDefault="0033041E" w:rsidP="000245C4">
            <w:pPr>
              <w:spacing w:after="0" w:line="240" w:lineRule="auto"/>
              <w:rPr>
                <w:rFonts w:ascii="Calibri" w:eastAsia="Times New Roman" w:hAnsi="Calibri" w:cs="Calibri"/>
                <w:b/>
                <w:bCs/>
                <w:color w:val="000000"/>
                <w:sz w:val="18"/>
                <w:szCs w:val="18"/>
                <w:lang w:eastAsia="en-AU"/>
              </w:rPr>
            </w:pPr>
          </w:p>
        </w:tc>
        <w:tc>
          <w:tcPr>
            <w:tcW w:w="3428" w:type="dxa"/>
            <w:shd w:val="clear" w:color="auto" w:fill="auto"/>
          </w:tcPr>
          <w:p w:rsidR="0033041E" w:rsidRPr="000245C4" w:rsidRDefault="0033041E" w:rsidP="000245C4">
            <w:pPr>
              <w:spacing w:after="0" w:line="240" w:lineRule="auto"/>
              <w:rPr>
                <w:rFonts w:ascii="Calibri" w:eastAsia="Times New Roman" w:hAnsi="Calibri" w:cs="Calibri"/>
                <w:b/>
                <w:bCs/>
                <w:color w:val="000000"/>
                <w:sz w:val="18"/>
                <w:szCs w:val="18"/>
                <w:lang w:eastAsia="en-AU"/>
              </w:rPr>
            </w:pPr>
          </w:p>
        </w:tc>
        <w:tc>
          <w:tcPr>
            <w:tcW w:w="3513" w:type="dxa"/>
            <w:shd w:val="clear" w:color="auto" w:fill="auto"/>
          </w:tcPr>
          <w:p w:rsidR="0033041E" w:rsidRPr="000245C4" w:rsidRDefault="0033041E" w:rsidP="000245C4">
            <w:pPr>
              <w:spacing w:after="0" w:line="240" w:lineRule="auto"/>
              <w:rPr>
                <w:rFonts w:ascii="Calibri" w:eastAsia="Times New Roman" w:hAnsi="Calibri" w:cs="Calibri"/>
                <w:b/>
                <w:bCs/>
                <w:color w:val="000000"/>
                <w:sz w:val="18"/>
                <w:szCs w:val="18"/>
                <w:lang w:eastAsia="en-AU"/>
              </w:rPr>
            </w:pPr>
          </w:p>
        </w:tc>
        <w:tc>
          <w:tcPr>
            <w:tcW w:w="1958" w:type="dxa"/>
            <w:shd w:val="clear" w:color="auto" w:fill="auto"/>
          </w:tcPr>
          <w:p w:rsidR="0033041E" w:rsidRPr="000245C4" w:rsidRDefault="0033041E" w:rsidP="000245C4">
            <w:pPr>
              <w:spacing w:after="0" w:line="240" w:lineRule="auto"/>
              <w:rPr>
                <w:rFonts w:ascii="Calibri" w:eastAsia="Times New Roman" w:hAnsi="Calibri" w:cs="Calibri"/>
                <w:color w:val="000000"/>
                <w:sz w:val="18"/>
                <w:szCs w:val="18"/>
                <w:lang w:eastAsia="en-AU"/>
              </w:rPr>
            </w:pPr>
          </w:p>
        </w:tc>
      </w:tr>
      <w:tr w:rsidR="0033041E" w:rsidRPr="000245C4" w:rsidTr="00B004AA">
        <w:trPr>
          <w:trHeight w:val="495"/>
        </w:trPr>
        <w:tc>
          <w:tcPr>
            <w:tcW w:w="4211" w:type="dxa"/>
            <w:vAlign w:val="center"/>
          </w:tcPr>
          <w:p w:rsidR="0033041E" w:rsidRPr="000245C4" w:rsidRDefault="0033041E" w:rsidP="000245C4">
            <w:pPr>
              <w:spacing w:after="0" w:line="240" w:lineRule="auto"/>
              <w:rPr>
                <w:rFonts w:ascii="Calibri" w:eastAsia="Times New Roman" w:hAnsi="Calibri" w:cs="Calibri"/>
                <w:sz w:val="18"/>
                <w:szCs w:val="18"/>
                <w:lang w:eastAsia="en-AU"/>
              </w:rPr>
            </w:pPr>
            <w:r>
              <w:rPr>
                <w:rFonts w:ascii="Calibri" w:eastAsia="Times New Roman" w:hAnsi="Calibri" w:cs="Calibri"/>
                <w:sz w:val="18"/>
                <w:szCs w:val="18"/>
                <w:lang w:eastAsia="en-AU"/>
              </w:rPr>
              <w:t xml:space="preserve">Would you like to provide any other comments? </w:t>
            </w:r>
            <w:r>
              <w:rPr>
                <w:rFonts w:ascii="Calibri" w:eastAsia="Times New Roman" w:hAnsi="Calibri" w:cs="Calibri"/>
                <w:sz w:val="18"/>
                <w:szCs w:val="18"/>
                <w:lang w:eastAsia="en-AU"/>
              </w:rPr>
              <w:br/>
              <w:t>(Free text)</w:t>
            </w:r>
          </w:p>
        </w:tc>
        <w:tc>
          <w:tcPr>
            <w:tcW w:w="16869" w:type="dxa"/>
            <w:gridSpan w:val="6"/>
            <w:shd w:val="clear" w:color="auto" w:fill="auto"/>
          </w:tcPr>
          <w:p w:rsidR="0033041E" w:rsidRPr="000245C4" w:rsidRDefault="0033041E" w:rsidP="000245C4">
            <w:pPr>
              <w:spacing w:after="0" w:line="240" w:lineRule="auto"/>
              <w:rPr>
                <w:rFonts w:ascii="Calibri" w:eastAsia="Times New Roman" w:hAnsi="Calibri" w:cs="Calibri"/>
                <w:color w:val="000000"/>
                <w:sz w:val="18"/>
                <w:szCs w:val="18"/>
                <w:lang w:eastAsia="en-AU"/>
              </w:rPr>
            </w:pPr>
          </w:p>
        </w:tc>
      </w:tr>
      <w:bookmarkEnd w:id="0"/>
    </w:tbl>
    <w:p w:rsidR="006950EA" w:rsidRDefault="006950EA" w:rsidP="006950EA">
      <w:pPr>
        <w:pStyle w:val="Listnumbered"/>
        <w:spacing w:after="100"/>
        <w:rPr>
          <w:rFonts w:cs="Segoe UI"/>
          <w:i/>
          <w:sz w:val="21"/>
          <w:szCs w:val="21"/>
        </w:rPr>
      </w:pPr>
    </w:p>
    <w:sectPr w:rsidR="006950EA" w:rsidSect="00CF30B5">
      <w:headerReference w:type="default" r:id="rId8"/>
      <w:footerReference w:type="default" r:id="rId9"/>
      <w:pgSz w:w="23814" w:h="16839"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4C2" w:rsidRDefault="00EC44C2" w:rsidP="00EC44C2">
      <w:pPr>
        <w:spacing w:after="0" w:line="240" w:lineRule="auto"/>
      </w:pPr>
      <w:r>
        <w:separator/>
      </w:r>
    </w:p>
  </w:endnote>
  <w:endnote w:type="continuationSeparator" w:id="0">
    <w:p w:rsidR="00EC44C2" w:rsidRDefault="00EC44C2" w:rsidP="00EC4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0059647"/>
      <w:docPartObj>
        <w:docPartGallery w:val="Page Numbers (Bottom of Page)"/>
        <w:docPartUnique/>
      </w:docPartObj>
    </w:sdtPr>
    <w:sdtEndPr>
      <w:rPr>
        <w:noProof/>
      </w:rPr>
    </w:sdtEndPr>
    <w:sdtContent>
      <w:p w:rsidR="00EC44C2" w:rsidRDefault="00EC44C2">
        <w:pPr>
          <w:pStyle w:val="Footer"/>
          <w:jc w:val="right"/>
        </w:pPr>
        <w:r>
          <w:fldChar w:fldCharType="begin"/>
        </w:r>
        <w:r>
          <w:instrText xml:space="preserve"> PAGE   \* MERGEFORMAT </w:instrText>
        </w:r>
        <w:r>
          <w:fldChar w:fldCharType="separate"/>
        </w:r>
        <w:r w:rsidR="00AD7A6E">
          <w:rPr>
            <w:noProof/>
          </w:rPr>
          <w:t>2</w:t>
        </w:r>
        <w:r>
          <w:rPr>
            <w:noProof/>
          </w:rPr>
          <w:fldChar w:fldCharType="end"/>
        </w:r>
      </w:p>
    </w:sdtContent>
  </w:sdt>
  <w:p w:rsidR="00EC44C2" w:rsidRDefault="00EC44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4C2" w:rsidRDefault="00EC44C2" w:rsidP="00EC44C2">
      <w:pPr>
        <w:spacing w:after="0" w:line="240" w:lineRule="auto"/>
      </w:pPr>
      <w:r>
        <w:separator/>
      </w:r>
    </w:p>
  </w:footnote>
  <w:footnote w:type="continuationSeparator" w:id="0">
    <w:p w:rsidR="00EC44C2" w:rsidRDefault="00EC44C2" w:rsidP="00EC44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CB3" w:rsidRDefault="009D7CB3" w:rsidP="009D7CB3">
    <w:pPr>
      <w:pStyle w:val="Header"/>
      <w:jc w:val="right"/>
    </w:pPr>
    <w:r>
      <w:t xml:space="preserve">Template for the Fifth National Hepatitis C Strategy – return to </w:t>
    </w:r>
    <w:hyperlink r:id="rId1" w:history="1">
      <w:r w:rsidRPr="003D2DC9">
        <w:rPr>
          <w:rStyle w:val="Hyperlink"/>
        </w:rPr>
        <w:t>BBVSTITSH@health.gov.au</w:t>
      </w:r>
    </w:hyperlink>
    <w:r>
      <w:t xml:space="preserve"> </w:t>
    </w:r>
  </w:p>
  <w:p w:rsidR="009D7CB3" w:rsidRDefault="009D7C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5401"/>
    <w:multiLevelType w:val="hybridMultilevel"/>
    <w:tmpl w:val="C882B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243268"/>
    <w:multiLevelType w:val="hybridMultilevel"/>
    <w:tmpl w:val="1A64F0FC"/>
    <w:lvl w:ilvl="0" w:tplc="7366770A">
      <w:start w:val="1"/>
      <w:numFmt w:val="decimal"/>
      <w:lvlText w:val="%1."/>
      <w:lvlJc w:val="left"/>
      <w:pPr>
        <w:ind w:left="360" w:hanging="360"/>
      </w:pPr>
      <w:rPr>
        <w:rFonts w:hint="default"/>
        <w:b/>
        <w:color w:val="F8981D"/>
        <w:sz w:val="16"/>
        <w:szCs w:val="16"/>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23B1874"/>
    <w:multiLevelType w:val="hybridMultilevel"/>
    <w:tmpl w:val="A1163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0E6C54"/>
    <w:multiLevelType w:val="hybridMultilevel"/>
    <w:tmpl w:val="E40E730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75641CF"/>
    <w:multiLevelType w:val="hybridMultilevel"/>
    <w:tmpl w:val="EB8E6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16937E9"/>
    <w:multiLevelType w:val="hybridMultilevel"/>
    <w:tmpl w:val="B7129EF6"/>
    <w:lvl w:ilvl="0" w:tplc="BE18282E">
      <w:start w:val="1"/>
      <w:numFmt w:val="decimal"/>
      <w:lvlText w:val="%1."/>
      <w:lvlJc w:val="left"/>
      <w:pPr>
        <w:ind w:left="720" w:hanging="360"/>
      </w:pPr>
      <w:rPr>
        <w:b/>
        <w:color w:val="9BBB59" w:themeColor="accent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3060398"/>
    <w:multiLevelType w:val="hybridMultilevel"/>
    <w:tmpl w:val="10CA7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51E2170"/>
    <w:multiLevelType w:val="hybridMultilevel"/>
    <w:tmpl w:val="17C2F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6CB4DA2"/>
    <w:multiLevelType w:val="hybridMultilevel"/>
    <w:tmpl w:val="18A01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FF840F4"/>
    <w:multiLevelType w:val="hybridMultilevel"/>
    <w:tmpl w:val="42FC4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5C134BE"/>
    <w:multiLevelType w:val="hybridMultilevel"/>
    <w:tmpl w:val="1FBE1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10"/>
  </w:num>
  <w:num w:numId="5">
    <w:abstractNumId w:val="7"/>
  </w:num>
  <w:num w:numId="6">
    <w:abstractNumId w:val="8"/>
  </w:num>
  <w:num w:numId="7">
    <w:abstractNumId w:val="0"/>
  </w:num>
  <w:num w:numId="8">
    <w:abstractNumId w:val="2"/>
  </w:num>
  <w:num w:numId="9">
    <w:abstractNumId w:val="6"/>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56D"/>
    <w:rsid w:val="000245C4"/>
    <w:rsid w:val="000A1A60"/>
    <w:rsid w:val="000D06CA"/>
    <w:rsid w:val="00104213"/>
    <w:rsid w:val="00133279"/>
    <w:rsid w:val="00136DF8"/>
    <w:rsid w:val="0015448A"/>
    <w:rsid w:val="001F7C7E"/>
    <w:rsid w:val="0020046E"/>
    <w:rsid w:val="00286964"/>
    <w:rsid w:val="00290067"/>
    <w:rsid w:val="00296019"/>
    <w:rsid w:val="002A085B"/>
    <w:rsid w:val="002A3C21"/>
    <w:rsid w:val="002E67DD"/>
    <w:rsid w:val="0033041E"/>
    <w:rsid w:val="00344907"/>
    <w:rsid w:val="003571BD"/>
    <w:rsid w:val="00363384"/>
    <w:rsid w:val="003E6528"/>
    <w:rsid w:val="004418BE"/>
    <w:rsid w:val="00464DFE"/>
    <w:rsid w:val="00466B74"/>
    <w:rsid w:val="004932BA"/>
    <w:rsid w:val="00496068"/>
    <w:rsid w:val="004B4BC7"/>
    <w:rsid w:val="00521189"/>
    <w:rsid w:val="00554ABA"/>
    <w:rsid w:val="00560441"/>
    <w:rsid w:val="0056168B"/>
    <w:rsid w:val="00633936"/>
    <w:rsid w:val="00634426"/>
    <w:rsid w:val="006347D5"/>
    <w:rsid w:val="006465EF"/>
    <w:rsid w:val="00661464"/>
    <w:rsid w:val="00687530"/>
    <w:rsid w:val="006950EA"/>
    <w:rsid w:val="00697457"/>
    <w:rsid w:val="0071501E"/>
    <w:rsid w:val="00747936"/>
    <w:rsid w:val="007A681F"/>
    <w:rsid w:val="007B0505"/>
    <w:rsid w:val="007B7501"/>
    <w:rsid w:val="007D35E2"/>
    <w:rsid w:val="007F31E7"/>
    <w:rsid w:val="008012B7"/>
    <w:rsid w:val="00822D92"/>
    <w:rsid w:val="00841056"/>
    <w:rsid w:val="00842592"/>
    <w:rsid w:val="0086176A"/>
    <w:rsid w:val="00884E51"/>
    <w:rsid w:val="008E69D9"/>
    <w:rsid w:val="008F50BF"/>
    <w:rsid w:val="008F6D42"/>
    <w:rsid w:val="009020A8"/>
    <w:rsid w:val="00904117"/>
    <w:rsid w:val="00924B0A"/>
    <w:rsid w:val="009278CD"/>
    <w:rsid w:val="00950C35"/>
    <w:rsid w:val="00982358"/>
    <w:rsid w:val="009962D0"/>
    <w:rsid w:val="009D7CB3"/>
    <w:rsid w:val="009F5D0E"/>
    <w:rsid w:val="00A0221A"/>
    <w:rsid w:val="00A13E0B"/>
    <w:rsid w:val="00A42EE8"/>
    <w:rsid w:val="00A57959"/>
    <w:rsid w:val="00A839C5"/>
    <w:rsid w:val="00AD46D0"/>
    <w:rsid w:val="00AD703B"/>
    <w:rsid w:val="00AD7A6E"/>
    <w:rsid w:val="00AE356D"/>
    <w:rsid w:val="00B0096D"/>
    <w:rsid w:val="00B5581F"/>
    <w:rsid w:val="00B9028F"/>
    <w:rsid w:val="00BA6BEF"/>
    <w:rsid w:val="00BB1E97"/>
    <w:rsid w:val="00C14BDE"/>
    <w:rsid w:val="00C61392"/>
    <w:rsid w:val="00C62C95"/>
    <w:rsid w:val="00C64E79"/>
    <w:rsid w:val="00C65CED"/>
    <w:rsid w:val="00C76A45"/>
    <w:rsid w:val="00C81CA8"/>
    <w:rsid w:val="00C81E22"/>
    <w:rsid w:val="00C924DD"/>
    <w:rsid w:val="00C92BEF"/>
    <w:rsid w:val="00C94980"/>
    <w:rsid w:val="00CA1ADB"/>
    <w:rsid w:val="00CD40B2"/>
    <w:rsid w:val="00CD6D2D"/>
    <w:rsid w:val="00CF30B5"/>
    <w:rsid w:val="00D4684E"/>
    <w:rsid w:val="00D803F9"/>
    <w:rsid w:val="00D91DF2"/>
    <w:rsid w:val="00D922BC"/>
    <w:rsid w:val="00DA1AAE"/>
    <w:rsid w:val="00E35037"/>
    <w:rsid w:val="00E421D6"/>
    <w:rsid w:val="00E90092"/>
    <w:rsid w:val="00EB6F05"/>
    <w:rsid w:val="00EC44C2"/>
    <w:rsid w:val="00ED2130"/>
    <w:rsid w:val="00ED710D"/>
    <w:rsid w:val="00EE5EA9"/>
    <w:rsid w:val="00F119BC"/>
    <w:rsid w:val="00F41023"/>
    <w:rsid w:val="00FC305E"/>
    <w:rsid w:val="00FD69F0"/>
    <w:rsid w:val="00FE4FF7"/>
    <w:rsid w:val="00FE66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E0A6A478-FCFE-4E9C-9573-E0BCB3463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8CD"/>
  </w:style>
  <w:style w:type="paragraph" w:styleId="Heading1">
    <w:name w:val="heading 1"/>
    <w:basedOn w:val="Normal"/>
    <w:next w:val="Normal"/>
    <w:link w:val="Heading1Char"/>
    <w:uiPriority w:val="9"/>
    <w:qFormat/>
    <w:rsid w:val="009278CD"/>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278CD"/>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9278CD"/>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9278CD"/>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9278CD"/>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9278CD"/>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9278CD"/>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9278CD"/>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9278CD"/>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numbered">
    <w:name w:val="List (numbered)"/>
    <w:basedOn w:val="Normal"/>
    <w:uiPriority w:val="1"/>
    <w:qFormat/>
    <w:rsid w:val="00EC44C2"/>
    <w:pPr>
      <w:spacing w:line="240" w:lineRule="auto"/>
    </w:pPr>
    <w:rPr>
      <w:rFonts w:ascii="Segoe UI" w:hAnsi="Segoe UI"/>
      <w:sz w:val="19"/>
    </w:rPr>
  </w:style>
  <w:style w:type="paragraph" w:styleId="Header">
    <w:name w:val="header"/>
    <w:basedOn w:val="Normal"/>
    <w:link w:val="HeaderChar"/>
    <w:uiPriority w:val="99"/>
    <w:unhideWhenUsed/>
    <w:rsid w:val="00EC44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4C2"/>
  </w:style>
  <w:style w:type="paragraph" w:styleId="Footer">
    <w:name w:val="footer"/>
    <w:basedOn w:val="Normal"/>
    <w:link w:val="FooterChar"/>
    <w:uiPriority w:val="99"/>
    <w:unhideWhenUsed/>
    <w:rsid w:val="00EC44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4C2"/>
  </w:style>
  <w:style w:type="paragraph" w:styleId="ListParagraph">
    <w:name w:val="List Paragraph"/>
    <w:aliases w:val="Bullet point,Bullet text,Bulleted Para,Bullets,CV text,Dot pt,F5 List Paragraph,FooterText,L,List Paragraph1,List Paragraph11,List Paragraph111,List Paragraph2,Medium Grid 1 - Accent 21,NFP GP Bulleted List,Recommendation,NAST Quote,列"/>
    <w:basedOn w:val="Normal"/>
    <w:link w:val="ListParagraphChar"/>
    <w:uiPriority w:val="34"/>
    <w:qFormat/>
    <w:rsid w:val="00C81CA8"/>
    <w:pPr>
      <w:ind w:left="720"/>
      <w:contextualSpacing/>
    </w:pPr>
  </w:style>
  <w:style w:type="paragraph" w:styleId="FootnoteText">
    <w:name w:val="footnote text"/>
    <w:basedOn w:val="Normal"/>
    <w:link w:val="FootnoteTextChar"/>
    <w:rsid w:val="0086176A"/>
    <w:pPr>
      <w:spacing w:after="0" w:line="240" w:lineRule="auto"/>
    </w:pPr>
  </w:style>
  <w:style w:type="character" w:customStyle="1" w:styleId="FootnoteTextChar">
    <w:name w:val="Footnote Text Char"/>
    <w:basedOn w:val="DefaultParagraphFont"/>
    <w:link w:val="FootnoteText"/>
    <w:rsid w:val="0086176A"/>
    <w:rPr>
      <w:sz w:val="20"/>
      <w:szCs w:val="20"/>
    </w:rPr>
  </w:style>
  <w:style w:type="character" w:styleId="FootnoteReference">
    <w:name w:val="footnote reference"/>
    <w:basedOn w:val="DefaultParagraphFont"/>
    <w:rsid w:val="0086176A"/>
    <w:rPr>
      <w:vertAlign w:val="superscript"/>
    </w:rPr>
  </w:style>
  <w:style w:type="paragraph" w:styleId="BalloonText">
    <w:name w:val="Balloon Text"/>
    <w:basedOn w:val="Normal"/>
    <w:link w:val="BalloonTextChar"/>
    <w:uiPriority w:val="99"/>
    <w:semiHidden/>
    <w:unhideWhenUsed/>
    <w:rsid w:val="001F7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C7E"/>
    <w:rPr>
      <w:rFonts w:ascii="Tahoma" w:hAnsi="Tahoma" w:cs="Tahoma"/>
      <w:sz w:val="16"/>
      <w:szCs w:val="16"/>
    </w:rPr>
  </w:style>
  <w:style w:type="table" w:styleId="TableGrid">
    <w:name w:val="Table Grid"/>
    <w:basedOn w:val="TableNormal"/>
    <w:uiPriority w:val="59"/>
    <w:rsid w:val="00E35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6DF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9278CD"/>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9278CD"/>
    <w:pPr>
      <w:outlineLvl w:val="9"/>
    </w:pPr>
  </w:style>
  <w:style w:type="character" w:customStyle="1" w:styleId="Heading2Char">
    <w:name w:val="Heading 2 Char"/>
    <w:basedOn w:val="DefaultParagraphFont"/>
    <w:link w:val="Heading2"/>
    <w:uiPriority w:val="9"/>
    <w:semiHidden/>
    <w:rsid w:val="009278CD"/>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9278CD"/>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9278CD"/>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9278CD"/>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9278CD"/>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9278CD"/>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9278CD"/>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9278CD"/>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9278CD"/>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9278CD"/>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9278CD"/>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9278CD"/>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9278CD"/>
    <w:rPr>
      <w:rFonts w:asciiTheme="majorHAnsi" w:eastAsiaTheme="majorEastAsia" w:hAnsiTheme="majorHAnsi" w:cstheme="majorBidi"/>
      <w:sz w:val="24"/>
      <w:szCs w:val="24"/>
    </w:rPr>
  </w:style>
  <w:style w:type="character" w:styleId="Strong">
    <w:name w:val="Strong"/>
    <w:basedOn w:val="DefaultParagraphFont"/>
    <w:uiPriority w:val="22"/>
    <w:qFormat/>
    <w:rsid w:val="009278CD"/>
    <w:rPr>
      <w:b/>
      <w:bCs/>
    </w:rPr>
  </w:style>
  <w:style w:type="character" w:styleId="Emphasis">
    <w:name w:val="Emphasis"/>
    <w:basedOn w:val="DefaultParagraphFont"/>
    <w:uiPriority w:val="20"/>
    <w:qFormat/>
    <w:rsid w:val="009278CD"/>
    <w:rPr>
      <w:i/>
      <w:iCs/>
    </w:rPr>
  </w:style>
  <w:style w:type="paragraph" w:styleId="NoSpacing">
    <w:name w:val="No Spacing"/>
    <w:uiPriority w:val="1"/>
    <w:qFormat/>
    <w:rsid w:val="009278CD"/>
    <w:pPr>
      <w:spacing w:after="0" w:line="240" w:lineRule="auto"/>
    </w:pPr>
  </w:style>
  <w:style w:type="paragraph" w:styleId="Quote">
    <w:name w:val="Quote"/>
    <w:basedOn w:val="Normal"/>
    <w:next w:val="Normal"/>
    <w:link w:val="QuoteChar"/>
    <w:uiPriority w:val="29"/>
    <w:qFormat/>
    <w:rsid w:val="009278C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9278CD"/>
    <w:rPr>
      <w:i/>
      <w:iCs/>
      <w:color w:val="404040" w:themeColor="text1" w:themeTint="BF"/>
    </w:rPr>
  </w:style>
  <w:style w:type="paragraph" w:styleId="IntenseQuote">
    <w:name w:val="Intense Quote"/>
    <w:basedOn w:val="Normal"/>
    <w:next w:val="Normal"/>
    <w:link w:val="IntenseQuoteChar"/>
    <w:uiPriority w:val="30"/>
    <w:qFormat/>
    <w:rsid w:val="009278CD"/>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9278CD"/>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9278CD"/>
    <w:rPr>
      <w:i/>
      <w:iCs/>
      <w:color w:val="404040" w:themeColor="text1" w:themeTint="BF"/>
    </w:rPr>
  </w:style>
  <w:style w:type="character" w:styleId="IntenseEmphasis">
    <w:name w:val="Intense Emphasis"/>
    <w:basedOn w:val="DefaultParagraphFont"/>
    <w:uiPriority w:val="21"/>
    <w:qFormat/>
    <w:rsid w:val="009278CD"/>
    <w:rPr>
      <w:b/>
      <w:bCs/>
      <w:i/>
      <w:iCs/>
    </w:rPr>
  </w:style>
  <w:style w:type="character" w:styleId="SubtleReference">
    <w:name w:val="Subtle Reference"/>
    <w:basedOn w:val="DefaultParagraphFont"/>
    <w:uiPriority w:val="31"/>
    <w:qFormat/>
    <w:rsid w:val="009278C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278CD"/>
    <w:rPr>
      <w:b/>
      <w:bCs/>
      <w:smallCaps/>
      <w:spacing w:val="5"/>
      <w:u w:val="single"/>
    </w:rPr>
  </w:style>
  <w:style w:type="character" w:styleId="BookTitle">
    <w:name w:val="Book Title"/>
    <w:basedOn w:val="DefaultParagraphFont"/>
    <w:uiPriority w:val="33"/>
    <w:qFormat/>
    <w:rsid w:val="009278CD"/>
    <w:rPr>
      <w:b/>
      <w:bCs/>
      <w:smallCaps/>
    </w:rPr>
  </w:style>
  <w:style w:type="paragraph" w:styleId="CommentText">
    <w:name w:val="annotation text"/>
    <w:basedOn w:val="Normal"/>
    <w:link w:val="CommentTextChar"/>
    <w:uiPriority w:val="99"/>
    <w:unhideWhenUsed/>
    <w:rsid w:val="00842592"/>
    <w:pPr>
      <w:spacing w:line="240" w:lineRule="auto"/>
    </w:pPr>
    <w:rPr>
      <w:rFonts w:ascii="Segoe UI" w:eastAsia="Calibri" w:hAnsi="Segoe UI" w:cs="Times New Roman"/>
    </w:rPr>
  </w:style>
  <w:style w:type="character" w:customStyle="1" w:styleId="CommentTextChar">
    <w:name w:val="Comment Text Char"/>
    <w:basedOn w:val="DefaultParagraphFont"/>
    <w:link w:val="CommentText"/>
    <w:uiPriority w:val="99"/>
    <w:rsid w:val="00842592"/>
    <w:rPr>
      <w:rFonts w:ascii="Segoe UI" w:eastAsia="Calibri" w:hAnsi="Segoe UI" w:cs="Times New Roman"/>
    </w:rPr>
  </w:style>
  <w:style w:type="character" w:customStyle="1" w:styleId="ListParagraphChar">
    <w:name w:val="List Paragraph Char"/>
    <w:aliases w:val="Bullet point Char,Bullet text Char,Bulleted Para Char,Bullets Char,CV text Char,Dot pt Char,F5 List Paragraph Char,FooterText Char,L Char,List Paragraph1 Char,List Paragraph11 Char,List Paragraph111 Char,List Paragraph2 Char,列 Char"/>
    <w:link w:val="ListParagraph"/>
    <w:uiPriority w:val="34"/>
    <w:qFormat/>
    <w:locked/>
    <w:rsid w:val="00842592"/>
  </w:style>
  <w:style w:type="character" w:styleId="Hyperlink">
    <w:name w:val="Hyperlink"/>
    <w:basedOn w:val="DefaultParagraphFont"/>
    <w:uiPriority w:val="99"/>
    <w:unhideWhenUsed/>
    <w:rsid w:val="009D7C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561957">
      <w:bodyDiv w:val="1"/>
      <w:marLeft w:val="0"/>
      <w:marRight w:val="0"/>
      <w:marTop w:val="0"/>
      <w:marBottom w:val="0"/>
      <w:divBdr>
        <w:top w:val="none" w:sz="0" w:space="0" w:color="auto"/>
        <w:left w:val="none" w:sz="0" w:space="0" w:color="auto"/>
        <w:bottom w:val="none" w:sz="0" w:space="0" w:color="auto"/>
        <w:right w:val="none" w:sz="0" w:space="0" w:color="auto"/>
      </w:divBdr>
    </w:div>
    <w:div w:id="862088417">
      <w:bodyDiv w:val="1"/>
      <w:marLeft w:val="0"/>
      <w:marRight w:val="0"/>
      <w:marTop w:val="0"/>
      <w:marBottom w:val="0"/>
      <w:divBdr>
        <w:top w:val="none" w:sz="0" w:space="0" w:color="auto"/>
        <w:left w:val="none" w:sz="0" w:space="0" w:color="auto"/>
        <w:bottom w:val="none" w:sz="0" w:space="0" w:color="auto"/>
        <w:right w:val="none" w:sz="0" w:space="0" w:color="auto"/>
      </w:divBdr>
    </w:div>
    <w:div w:id="1652127279">
      <w:bodyDiv w:val="1"/>
      <w:marLeft w:val="0"/>
      <w:marRight w:val="0"/>
      <w:marTop w:val="0"/>
      <w:marBottom w:val="0"/>
      <w:divBdr>
        <w:top w:val="none" w:sz="0" w:space="0" w:color="auto"/>
        <w:left w:val="none" w:sz="0" w:space="0" w:color="auto"/>
        <w:bottom w:val="none" w:sz="0" w:space="0" w:color="auto"/>
        <w:right w:val="none" w:sz="0" w:space="0" w:color="auto"/>
      </w:divBdr>
    </w:div>
    <w:div w:id="1893542959">
      <w:bodyDiv w:val="1"/>
      <w:marLeft w:val="0"/>
      <w:marRight w:val="0"/>
      <w:marTop w:val="0"/>
      <w:marBottom w:val="0"/>
      <w:divBdr>
        <w:top w:val="none" w:sz="0" w:space="0" w:color="auto"/>
        <w:left w:val="none" w:sz="0" w:space="0" w:color="auto"/>
        <w:bottom w:val="none" w:sz="0" w:space="0" w:color="auto"/>
        <w:right w:val="none" w:sz="0" w:space="0" w:color="auto"/>
      </w:divBdr>
    </w:div>
    <w:div w:id="210495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BBVSTITSH@health.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F1245-F56E-4B2A-A32E-03A55FB72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1429</Words>
  <Characters>8149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OHP</dc:creator>
  <cp:lastModifiedBy>Gray, Nicole</cp:lastModifiedBy>
  <cp:revision>9</cp:revision>
  <dcterms:created xsi:type="dcterms:W3CDTF">2018-11-20T00:07:00Z</dcterms:created>
  <dcterms:modified xsi:type="dcterms:W3CDTF">2019-01-22T22:25:00Z</dcterms:modified>
</cp:coreProperties>
</file>