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D29" w:rsidRDefault="000B6D29" w:rsidP="00CA4FF1">
      <w:pPr>
        <w:jc w:val="center"/>
      </w:pPr>
    </w:p>
    <w:p w:rsidR="000B6D29" w:rsidRDefault="000B6D29" w:rsidP="00CA4FF1">
      <w:pPr>
        <w:jc w:val="center"/>
      </w:pPr>
    </w:p>
    <w:p w:rsidR="000B6D29" w:rsidRDefault="000B6D29" w:rsidP="00CA4FF1">
      <w:pPr>
        <w:jc w:val="center"/>
      </w:pPr>
    </w:p>
    <w:p w:rsidR="00CA4FF1" w:rsidRDefault="00CA4FF1" w:rsidP="00CA4FF1">
      <w:pPr>
        <w:jc w:val="center"/>
      </w:pPr>
      <w:r w:rsidRPr="00D912DB">
        <w:rPr>
          <w:noProof/>
          <w:sz w:val="28"/>
          <w:szCs w:val="28"/>
          <w:lang w:eastAsia="en-AU"/>
        </w:rPr>
        <w:drawing>
          <wp:inline distT="0" distB="0" distL="0" distR="0" wp14:anchorId="173C23CC" wp14:editId="79360EA4">
            <wp:extent cx="1688400" cy="1119600"/>
            <wp:effectExtent l="0" t="0" r="7620" b="4445"/>
            <wp:docPr id="2" name="Picture 2" descr="Department of Health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partment of Health Crest"/>
                    <pic:cNvPicPr/>
                  </pic:nvPicPr>
                  <pic:blipFill>
                    <a:blip r:embed="rId9"/>
                    <a:stretch>
                      <a:fillRect/>
                    </a:stretch>
                  </pic:blipFill>
                  <pic:spPr>
                    <a:xfrm>
                      <a:off x="0" y="0"/>
                      <a:ext cx="1688400" cy="1119600"/>
                    </a:xfrm>
                    <a:prstGeom prst="rect">
                      <a:avLst/>
                    </a:prstGeom>
                  </pic:spPr>
                </pic:pic>
              </a:graphicData>
            </a:graphic>
          </wp:inline>
        </w:drawing>
      </w:r>
    </w:p>
    <w:p w:rsidR="00CA4FF1" w:rsidRDefault="00CA4FF1" w:rsidP="00CA4FF1">
      <w:pPr>
        <w:pStyle w:val="Title"/>
        <w:spacing w:before="2040"/>
        <w:contextualSpacing w:val="0"/>
        <w:rPr>
          <w:sz w:val="40"/>
        </w:rPr>
      </w:pPr>
      <w:r w:rsidRPr="00BC047B">
        <w:rPr>
          <w:sz w:val="40"/>
        </w:rPr>
        <w:t xml:space="preserve">Specialist Dementia </w:t>
      </w:r>
      <w:bookmarkStart w:id="0" w:name="_GoBack"/>
      <w:bookmarkEnd w:id="0"/>
      <w:r w:rsidRPr="00BC047B">
        <w:rPr>
          <w:sz w:val="40"/>
        </w:rPr>
        <w:t>Care Units</w:t>
      </w:r>
    </w:p>
    <w:p w:rsidR="00CA4FF1" w:rsidRPr="00BC047B" w:rsidRDefault="00CA4FF1" w:rsidP="00CA4FF1">
      <w:pPr>
        <w:pStyle w:val="Subtitle"/>
        <w:spacing w:before="1200"/>
        <w:jc w:val="center"/>
        <w:rPr>
          <w:sz w:val="32"/>
        </w:rPr>
      </w:pPr>
      <w:r w:rsidRPr="00BC047B">
        <w:rPr>
          <w:sz w:val="32"/>
        </w:rPr>
        <w:t>Consultation paper</w:t>
      </w:r>
    </w:p>
    <w:p w:rsidR="00CA4FF1" w:rsidRDefault="00CA4FF1" w:rsidP="00CA4FF1">
      <w:pPr>
        <w:pStyle w:val="Subtitle"/>
        <w:jc w:val="center"/>
        <w:rPr>
          <w:sz w:val="32"/>
        </w:rPr>
      </w:pPr>
      <w:r w:rsidRPr="00BC047B">
        <w:rPr>
          <w:sz w:val="32"/>
        </w:rPr>
        <w:t>November 2017</w:t>
      </w:r>
    </w:p>
    <w:p w:rsidR="00CA4FF1" w:rsidRDefault="00CA4FF1" w:rsidP="00CA4FF1">
      <w:pPr>
        <w:jc w:val="center"/>
      </w:pPr>
      <w:r>
        <w:br w:type="page"/>
      </w:r>
    </w:p>
    <w:sdt>
      <w:sdtPr>
        <w:rPr>
          <w:rFonts w:asciiTheme="minorHAnsi" w:eastAsia="Times New Roman" w:hAnsiTheme="minorHAnsi" w:cs="Times New Roman"/>
          <w:b w:val="0"/>
          <w:bCs w:val="0"/>
          <w:color w:val="auto"/>
          <w:sz w:val="24"/>
          <w:szCs w:val="24"/>
          <w:lang w:val="en-AU" w:eastAsia="en-US"/>
        </w:rPr>
        <w:id w:val="692349626"/>
        <w:docPartObj>
          <w:docPartGallery w:val="Table of Contents"/>
          <w:docPartUnique/>
        </w:docPartObj>
      </w:sdtPr>
      <w:sdtEndPr>
        <w:rPr>
          <w:noProof/>
        </w:rPr>
      </w:sdtEndPr>
      <w:sdtContent>
        <w:p w:rsidR="00CA4FF1" w:rsidRPr="00A84DCE" w:rsidRDefault="00CA4FF1" w:rsidP="00CA4FF1">
          <w:pPr>
            <w:pStyle w:val="TOCHeading"/>
            <w:jc w:val="both"/>
            <w:rPr>
              <w:rFonts w:ascii="Arial" w:hAnsi="Arial" w:cs="Arial"/>
            </w:rPr>
          </w:pPr>
          <w:r w:rsidRPr="00A84DCE">
            <w:rPr>
              <w:rFonts w:ascii="Arial" w:hAnsi="Arial" w:cs="Arial"/>
              <w:color w:val="auto"/>
            </w:rPr>
            <w:t>Contents</w:t>
          </w:r>
        </w:p>
        <w:p w:rsidR="00A96923" w:rsidRDefault="00CA4FF1">
          <w:pPr>
            <w:pStyle w:val="TOC1"/>
            <w:rPr>
              <w:rFonts w:eastAsiaTheme="minorEastAsia" w:cstheme="minorBidi"/>
              <w:noProof/>
              <w:sz w:val="22"/>
              <w:szCs w:val="22"/>
              <w:lang w:eastAsia="en-AU"/>
            </w:rPr>
          </w:pPr>
          <w:r>
            <w:fldChar w:fldCharType="begin"/>
          </w:r>
          <w:r>
            <w:instrText xml:space="preserve"> TOC \o "1-3" \h \z \u </w:instrText>
          </w:r>
          <w:r>
            <w:fldChar w:fldCharType="separate"/>
          </w:r>
          <w:hyperlink w:anchor="_Toc499538713" w:history="1">
            <w:r w:rsidR="00A96923" w:rsidRPr="00D27240">
              <w:rPr>
                <w:rStyle w:val="Hyperlink"/>
                <w:noProof/>
              </w:rPr>
              <w:t>Abbreviations</w:t>
            </w:r>
            <w:r w:rsidR="00A96923">
              <w:rPr>
                <w:noProof/>
                <w:webHidden/>
              </w:rPr>
              <w:tab/>
            </w:r>
            <w:r w:rsidR="00A96923">
              <w:rPr>
                <w:noProof/>
                <w:webHidden/>
              </w:rPr>
              <w:fldChar w:fldCharType="begin"/>
            </w:r>
            <w:r w:rsidR="00A96923">
              <w:rPr>
                <w:noProof/>
                <w:webHidden/>
              </w:rPr>
              <w:instrText xml:space="preserve"> PAGEREF _Toc499538713 \h </w:instrText>
            </w:r>
            <w:r w:rsidR="00A96923">
              <w:rPr>
                <w:noProof/>
                <w:webHidden/>
              </w:rPr>
            </w:r>
            <w:r w:rsidR="00A96923">
              <w:rPr>
                <w:noProof/>
                <w:webHidden/>
              </w:rPr>
              <w:fldChar w:fldCharType="separate"/>
            </w:r>
            <w:r w:rsidR="00A96923">
              <w:rPr>
                <w:noProof/>
                <w:webHidden/>
              </w:rPr>
              <w:t>5</w:t>
            </w:r>
            <w:r w:rsidR="00A96923">
              <w:rPr>
                <w:noProof/>
                <w:webHidden/>
              </w:rPr>
              <w:fldChar w:fldCharType="end"/>
            </w:r>
          </w:hyperlink>
        </w:p>
        <w:p w:rsidR="00A96923" w:rsidRDefault="00A96923">
          <w:pPr>
            <w:pStyle w:val="TOC1"/>
            <w:rPr>
              <w:rFonts w:eastAsiaTheme="minorEastAsia" w:cstheme="minorBidi"/>
              <w:noProof/>
              <w:sz w:val="22"/>
              <w:szCs w:val="22"/>
              <w:lang w:eastAsia="en-AU"/>
            </w:rPr>
          </w:pPr>
          <w:hyperlink w:anchor="_Toc499538714" w:history="1">
            <w:r w:rsidRPr="00D27240">
              <w:rPr>
                <w:rStyle w:val="Hyperlink"/>
                <w:noProof/>
              </w:rPr>
              <w:t>Executive summary</w:t>
            </w:r>
            <w:r>
              <w:rPr>
                <w:noProof/>
                <w:webHidden/>
              </w:rPr>
              <w:tab/>
            </w:r>
            <w:r>
              <w:rPr>
                <w:noProof/>
                <w:webHidden/>
              </w:rPr>
              <w:fldChar w:fldCharType="begin"/>
            </w:r>
            <w:r>
              <w:rPr>
                <w:noProof/>
                <w:webHidden/>
              </w:rPr>
              <w:instrText xml:space="preserve"> PAGEREF _Toc499538714 \h </w:instrText>
            </w:r>
            <w:r>
              <w:rPr>
                <w:noProof/>
                <w:webHidden/>
              </w:rPr>
            </w:r>
            <w:r>
              <w:rPr>
                <w:noProof/>
                <w:webHidden/>
              </w:rPr>
              <w:fldChar w:fldCharType="separate"/>
            </w:r>
            <w:r>
              <w:rPr>
                <w:noProof/>
                <w:webHidden/>
              </w:rPr>
              <w:t>6</w:t>
            </w:r>
            <w:r>
              <w:rPr>
                <w:noProof/>
                <w:webHidden/>
              </w:rPr>
              <w:fldChar w:fldCharType="end"/>
            </w:r>
          </w:hyperlink>
        </w:p>
        <w:p w:rsidR="00A96923" w:rsidRDefault="00A96923">
          <w:pPr>
            <w:pStyle w:val="TOC1"/>
            <w:rPr>
              <w:rFonts w:eastAsiaTheme="minorEastAsia" w:cstheme="minorBidi"/>
              <w:noProof/>
              <w:sz w:val="22"/>
              <w:szCs w:val="22"/>
              <w:lang w:eastAsia="en-AU"/>
            </w:rPr>
          </w:pPr>
          <w:hyperlink w:anchor="_Toc499538715" w:history="1">
            <w:r w:rsidRPr="00D27240">
              <w:rPr>
                <w:rStyle w:val="Hyperlink"/>
                <w:noProof/>
              </w:rPr>
              <w:t>Questions</w:t>
            </w:r>
            <w:r>
              <w:rPr>
                <w:noProof/>
                <w:webHidden/>
              </w:rPr>
              <w:tab/>
            </w:r>
            <w:r>
              <w:rPr>
                <w:noProof/>
                <w:webHidden/>
              </w:rPr>
              <w:fldChar w:fldCharType="begin"/>
            </w:r>
            <w:r>
              <w:rPr>
                <w:noProof/>
                <w:webHidden/>
              </w:rPr>
              <w:instrText xml:space="preserve"> PAGEREF _Toc499538715 \h </w:instrText>
            </w:r>
            <w:r>
              <w:rPr>
                <w:noProof/>
                <w:webHidden/>
              </w:rPr>
            </w:r>
            <w:r>
              <w:rPr>
                <w:noProof/>
                <w:webHidden/>
              </w:rPr>
              <w:fldChar w:fldCharType="separate"/>
            </w:r>
            <w:r>
              <w:rPr>
                <w:noProof/>
                <w:webHidden/>
              </w:rPr>
              <w:t>8</w:t>
            </w:r>
            <w:r>
              <w:rPr>
                <w:noProof/>
                <w:webHidden/>
              </w:rPr>
              <w:fldChar w:fldCharType="end"/>
            </w:r>
          </w:hyperlink>
        </w:p>
        <w:p w:rsidR="00A96923" w:rsidRDefault="00A96923">
          <w:pPr>
            <w:pStyle w:val="TOC1"/>
            <w:tabs>
              <w:tab w:val="left" w:pos="480"/>
            </w:tabs>
            <w:rPr>
              <w:rFonts w:eastAsiaTheme="minorEastAsia" w:cstheme="minorBidi"/>
              <w:noProof/>
              <w:sz w:val="22"/>
              <w:szCs w:val="22"/>
              <w:lang w:eastAsia="en-AU"/>
            </w:rPr>
          </w:pPr>
          <w:hyperlink w:anchor="_Toc499538716" w:history="1">
            <w:r w:rsidRPr="00D27240">
              <w:rPr>
                <w:rStyle w:val="Hyperlink"/>
                <w:noProof/>
              </w:rPr>
              <w:t>1.</w:t>
            </w:r>
            <w:r>
              <w:rPr>
                <w:rFonts w:eastAsiaTheme="minorEastAsia" w:cstheme="minorBidi"/>
                <w:noProof/>
                <w:sz w:val="22"/>
                <w:szCs w:val="22"/>
                <w:lang w:eastAsia="en-AU"/>
              </w:rPr>
              <w:tab/>
            </w:r>
            <w:r w:rsidRPr="00D27240">
              <w:rPr>
                <w:rStyle w:val="Hyperlink"/>
                <w:noProof/>
              </w:rPr>
              <w:t>Introduction</w:t>
            </w:r>
            <w:r>
              <w:rPr>
                <w:noProof/>
                <w:webHidden/>
              </w:rPr>
              <w:tab/>
            </w:r>
            <w:r>
              <w:rPr>
                <w:noProof/>
                <w:webHidden/>
              </w:rPr>
              <w:fldChar w:fldCharType="begin"/>
            </w:r>
            <w:r>
              <w:rPr>
                <w:noProof/>
                <w:webHidden/>
              </w:rPr>
              <w:instrText xml:space="preserve"> PAGEREF _Toc499538716 \h </w:instrText>
            </w:r>
            <w:r>
              <w:rPr>
                <w:noProof/>
                <w:webHidden/>
              </w:rPr>
            </w:r>
            <w:r>
              <w:rPr>
                <w:noProof/>
                <w:webHidden/>
              </w:rPr>
              <w:fldChar w:fldCharType="separate"/>
            </w:r>
            <w:r>
              <w:rPr>
                <w:noProof/>
                <w:webHidden/>
              </w:rPr>
              <w:t>10</w:t>
            </w:r>
            <w:r>
              <w:rPr>
                <w:noProof/>
                <w:webHidden/>
              </w:rPr>
              <w:fldChar w:fldCharType="end"/>
            </w:r>
          </w:hyperlink>
        </w:p>
        <w:p w:rsidR="00A96923" w:rsidRDefault="00A96923">
          <w:pPr>
            <w:pStyle w:val="TOC2"/>
            <w:rPr>
              <w:rFonts w:eastAsiaTheme="minorEastAsia" w:cstheme="minorBidi"/>
              <w:noProof/>
              <w:sz w:val="22"/>
              <w:szCs w:val="22"/>
              <w:lang w:eastAsia="en-AU"/>
            </w:rPr>
          </w:pPr>
          <w:hyperlink w:anchor="_Toc499538717" w:history="1">
            <w:r w:rsidRPr="00D27240">
              <w:rPr>
                <w:rStyle w:val="Hyperlink"/>
                <w:noProof/>
              </w:rPr>
              <w:t>1.1</w:t>
            </w:r>
            <w:r>
              <w:rPr>
                <w:rFonts w:eastAsiaTheme="minorEastAsia" w:cstheme="minorBidi"/>
                <w:noProof/>
                <w:sz w:val="22"/>
                <w:szCs w:val="22"/>
                <w:lang w:eastAsia="en-AU"/>
              </w:rPr>
              <w:tab/>
            </w:r>
            <w:r w:rsidRPr="00D27240">
              <w:rPr>
                <w:rStyle w:val="Hyperlink"/>
                <w:noProof/>
              </w:rPr>
              <w:t>Purpose of this paper</w:t>
            </w:r>
            <w:r>
              <w:rPr>
                <w:noProof/>
                <w:webHidden/>
              </w:rPr>
              <w:tab/>
            </w:r>
            <w:r>
              <w:rPr>
                <w:noProof/>
                <w:webHidden/>
              </w:rPr>
              <w:fldChar w:fldCharType="begin"/>
            </w:r>
            <w:r>
              <w:rPr>
                <w:noProof/>
                <w:webHidden/>
              </w:rPr>
              <w:instrText xml:space="preserve"> PAGEREF _Toc499538717 \h </w:instrText>
            </w:r>
            <w:r>
              <w:rPr>
                <w:noProof/>
                <w:webHidden/>
              </w:rPr>
            </w:r>
            <w:r>
              <w:rPr>
                <w:noProof/>
                <w:webHidden/>
              </w:rPr>
              <w:fldChar w:fldCharType="separate"/>
            </w:r>
            <w:r>
              <w:rPr>
                <w:noProof/>
                <w:webHidden/>
              </w:rPr>
              <w:t>10</w:t>
            </w:r>
            <w:r>
              <w:rPr>
                <w:noProof/>
                <w:webHidden/>
              </w:rPr>
              <w:fldChar w:fldCharType="end"/>
            </w:r>
          </w:hyperlink>
        </w:p>
        <w:p w:rsidR="00A96923" w:rsidRDefault="00A96923">
          <w:pPr>
            <w:pStyle w:val="TOC2"/>
            <w:rPr>
              <w:rFonts w:eastAsiaTheme="minorEastAsia" w:cstheme="minorBidi"/>
              <w:noProof/>
              <w:sz w:val="22"/>
              <w:szCs w:val="22"/>
              <w:lang w:eastAsia="en-AU"/>
            </w:rPr>
          </w:pPr>
          <w:hyperlink w:anchor="_Toc499538718" w:history="1">
            <w:r w:rsidRPr="00D27240">
              <w:rPr>
                <w:rStyle w:val="Hyperlink"/>
                <w:noProof/>
              </w:rPr>
              <w:t>1.2</w:t>
            </w:r>
            <w:r>
              <w:rPr>
                <w:rFonts w:eastAsiaTheme="minorEastAsia" w:cstheme="minorBidi"/>
                <w:noProof/>
                <w:sz w:val="22"/>
                <w:szCs w:val="22"/>
                <w:lang w:eastAsia="en-AU"/>
              </w:rPr>
              <w:tab/>
            </w:r>
            <w:r w:rsidRPr="00D27240">
              <w:rPr>
                <w:rStyle w:val="Hyperlink"/>
                <w:noProof/>
              </w:rPr>
              <w:t>Scope of consultation</w:t>
            </w:r>
            <w:r>
              <w:rPr>
                <w:noProof/>
                <w:webHidden/>
              </w:rPr>
              <w:tab/>
            </w:r>
            <w:r>
              <w:rPr>
                <w:noProof/>
                <w:webHidden/>
              </w:rPr>
              <w:fldChar w:fldCharType="begin"/>
            </w:r>
            <w:r>
              <w:rPr>
                <w:noProof/>
                <w:webHidden/>
              </w:rPr>
              <w:instrText xml:space="preserve"> PAGEREF _Toc499538718 \h </w:instrText>
            </w:r>
            <w:r>
              <w:rPr>
                <w:noProof/>
                <w:webHidden/>
              </w:rPr>
            </w:r>
            <w:r>
              <w:rPr>
                <w:noProof/>
                <w:webHidden/>
              </w:rPr>
              <w:fldChar w:fldCharType="separate"/>
            </w:r>
            <w:r>
              <w:rPr>
                <w:noProof/>
                <w:webHidden/>
              </w:rPr>
              <w:t>10</w:t>
            </w:r>
            <w:r>
              <w:rPr>
                <w:noProof/>
                <w:webHidden/>
              </w:rPr>
              <w:fldChar w:fldCharType="end"/>
            </w:r>
          </w:hyperlink>
        </w:p>
        <w:p w:rsidR="00A96923" w:rsidRDefault="00A96923">
          <w:pPr>
            <w:pStyle w:val="TOC1"/>
            <w:tabs>
              <w:tab w:val="left" w:pos="480"/>
            </w:tabs>
            <w:rPr>
              <w:rFonts w:eastAsiaTheme="minorEastAsia" w:cstheme="minorBidi"/>
              <w:noProof/>
              <w:sz w:val="22"/>
              <w:szCs w:val="22"/>
              <w:lang w:eastAsia="en-AU"/>
            </w:rPr>
          </w:pPr>
          <w:hyperlink w:anchor="_Toc499538719" w:history="1">
            <w:r w:rsidRPr="00D27240">
              <w:rPr>
                <w:rStyle w:val="Hyperlink"/>
                <w:noProof/>
              </w:rPr>
              <w:t>2.</w:t>
            </w:r>
            <w:r>
              <w:rPr>
                <w:rFonts w:eastAsiaTheme="minorEastAsia" w:cstheme="minorBidi"/>
                <w:noProof/>
                <w:sz w:val="22"/>
                <w:szCs w:val="22"/>
                <w:lang w:eastAsia="en-AU"/>
              </w:rPr>
              <w:tab/>
            </w:r>
            <w:r w:rsidRPr="00D27240">
              <w:rPr>
                <w:rStyle w:val="Hyperlink"/>
                <w:noProof/>
              </w:rPr>
              <w:t>Background</w:t>
            </w:r>
            <w:r>
              <w:rPr>
                <w:noProof/>
                <w:webHidden/>
              </w:rPr>
              <w:tab/>
            </w:r>
            <w:r>
              <w:rPr>
                <w:noProof/>
                <w:webHidden/>
              </w:rPr>
              <w:fldChar w:fldCharType="begin"/>
            </w:r>
            <w:r>
              <w:rPr>
                <w:noProof/>
                <w:webHidden/>
              </w:rPr>
              <w:instrText xml:space="preserve"> PAGEREF _Toc499538719 \h </w:instrText>
            </w:r>
            <w:r>
              <w:rPr>
                <w:noProof/>
                <w:webHidden/>
              </w:rPr>
            </w:r>
            <w:r>
              <w:rPr>
                <w:noProof/>
                <w:webHidden/>
              </w:rPr>
              <w:fldChar w:fldCharType="separate"/>
            </w:r>
            <w:r>
              <w:rPr>
                <w:noProof/>
                <w:webHidden/>
              </w:rPr>
              <w:t>11</w:t>
            </w:r>
            <w:r>
              <w:rPr>
                <w:noProof/>
                <w:webHidden/>
              </w:rPr>
              <w:fldChar w:fldCharType="end"/>
            </w:r>
          </w:hyperlink>
        </w:p>
        <w:p w:rsidR="00A96923" w:rsidRDefault="00A96923">
          <w:pPr>
            <w:pStyle w:val="TOC2"/>
            <w:rPr>
              <w:rFonts w:eastAsiaTheme="minorEastAsia" w:cstheme="minorBidi"/>
              <w:noProof/>
              <w:sz w:val="22"/>
              <w:szCs w:val="22"/>
              <w:lang w:eastAsia="en-AU"/>
            </w:rPr>
          </w:pPr>
          <w:hyperlink w:anchor="_Toc499538720" w:history="1">
            <w:r w:rsidRPr="00D27240">
              <w:rPr>
                <w:rStyle w:val="Hyperlink"/>
                <w:noProof/>
              </w:rPr>
              <w:t>2.1</w:t>
            </w:r>
            <w:r>
              <w:rPr>
                <w:rFonts w:eastAsiaTheme="minorEastAsia" w:cstheme="minorBidi"/>
                <w:noProof/>
                <w:sz w:val="22"/>
                <w:szCs w:val="22"/>
                <w:lang w:eastAsia="en-AU"/>
              </w:rPr>
              <w:tab/>
            </w:r>
            <w:r w:rsidRPr="00D27240">
              <w:rPr>
                <w:rStyle w:val="Hyperlink"/>
                <w:noProof/>
              </w:rPr>
              <w:t>Behavioural and psychological symptoms of dementia</w:t>
            </w:r>
            <w:r>
              <w:rPr>
                <w:noProof/>
                <w:webHidden/>
              </w:rPr>
              <w:tab/>
            </w:r>
            <w:r>
              <w:rPr>
                <w:noProof/>
                <w:webHidden/>
              </w:rPr>
              <w:fldChar w:fldCharType="begin"/>
            </w:r>
            <w:r>
              <w:rPr>
                <w:noProof/>
                <w:webHidden/>
              </w:rPr>
              <w:instrText xml:space="preserve"> PAGEREF _Toc499538720 \h </w:instrText>
            </w:r>
            <w:r>
              <w:rPr>
                <w:noProof/>
                <w:webHidden/>
              </w:rPr>
            </w:r>
            <w:r>
              <w:rPr>
                <w:noProof/>
                <w:webHidden/>
              </w:rPr>
              <w:fldChar w:fldCharType="separate"/>
            </w:r>
            <w:r>
              <w:rPr>
                <w:noProof/>
                <w:webHidden/>
              </w:rPr>
              <w:t>11</w:t>
            </w:r>
            <w:r>
              <w:rPr>
                <w:noProof/>
                <w:webHidden/>
              </w:rPr>
              <w:fldChar w:fldCharType="end"/>
            </w:r>
          </w:hyperlink>
        </w:p>
        <w:p w:rsidR="00A96923" w:rsidRDefault="00A96923">
          <w:pPr>
            <w:pStyle w:val="TOC2"/>
            <w:rPr>
              <w:rFonts w:eastAsiaTheme="minorEastAsia" w:cstheme="minorBidi"/>
              <w:noProof/>
              <w:sz w:val="22"/>
              <w:szCs w:val="22"/>
              <w:lang w:eastAsia="en-AU"/>
            </w:rPr>
          </w:pPr>
          <w:hyperlink w:anchor="_Toc499538721" w:history="1">
            <w:r w:rsidRPr="00D27240">
              <w:rPr>
                <w:rStyle w:val="Hyperlink"/>
                <w:noProof/>
              </w:rPr>
              <w:t>2.2</w:t>
            </w:r>
            <w:r>
              <w:rPr>
                <w:rFonts w:eastAsiaTheme="minorEastAsia" w:cstheme="minorBidi"/>
                <w:noProof/>
                <w:sz w:val="22"/>
                <w:szCs w:val="22"/>
                <w:lang w:eastAsia="en-AU"/>
              </w:rPr>
              <w:tab/>
            </w:r>
            <w:r w:rsidRPr="00D27240">
              <w:rPr>
                <w:rStyle w:val="Hyperlink"/>
                <w:noProof/>
              </w:rPr>
              <w:t>Existing government support for people with dementia and BPSD</w:t>
            </w:r>
            <w:r>
              <w:rPr>
                <w:noProof/>
                <w:webHidden/>
              </w:rPr>
              <w:tab/>
            </w:r>
            <w:r>
              <w:rPr>
                <w:noProof/>
                <w:webHidden/>
              </w:rPr>
              <w:fldChar w:fldCharType="begin"/>
            </w:r>
            <w:r>
              <w:rPr>
                <w:noProof/>
                <w:webHidden/>
              </w:rPr>
              <w:instrText xml:space="preserve"> PAGEREF _Toc499538721 \h </w:instrText>
            </w:r>
            <w:r>
              <w:rPr>
                <w:noProof/>
                <w:webHidden/>
              </w:rPr>
            </w:r>
            <w:r>
              <w:rPr>
                <w:noProof/>
                <w:webHidden/>
              </w:rPr>
              <w:fldChar w:fldCharType="separate"/>
            </w:r>
            <w:r>
              <w:rPr>
                <w:noProof/>
                <w:webHidden/>
              </w:rPr>
              <w:t>12</w:t>
            </w:r>
            <w:r>
              <w:rPr>
                <w:noProof/>
                <w:webHidden/>
              </w:rPr>
              <w:fldChar w:fldCharType="end"/>
            </w:r>
          </w:hyperlink>
        </w:p>
        <w:p w:rsidR="00A96923" w:rsidRDefault="00A96923">
          <w:pPr>
            <w:pStyle w:val="TOC3"/>
            <w:tabs>
              <w:tab w:val="left" w:pos="1320"/>
              <w:tab w:val="right" w:leader="dot" w:pos="8296"/>
            </w:tabs>
            <w:rPr>
              <w:rFonts w:eastAsiaTheme="minorEastAsia" w:cstheme="minorBidi"/>
              <w:noProof/>
              <w:sz w:val="22"/>
              <w:szCs w:val="22"/>
              <w:lang w:eastAsia="en-AU"/>
            </w:rPr>
          </w:pPr>
          <w:hyperlink w:anchor="_Toc499538722" w:history="1">
            <w:r w:rsidRPr="00D27240">
              <w:rPr>
                <w:rStyle w:val="Hyperlink"/>
                <w:noProof/>
              </w:rPr>
              <w:t>2.2.1</w:t>
            </w:r>
            <w:r>
              <w:rPr>
                <w:rFonts w:eastAsiaTheme="minorEastAsia" w:cstheme="minorBidi"/>
                <w:noProof/>
                <w:sz w:val="22"/>
                <w:szCs w:val="22"/>
                <w:lang w:eastAsia="en-AU"/>
              </w:rPr>
              <w:tab/>
            </w:r>
            <w:r w:rsidRPr="00D27240">
              <w:rPr>
                <w:rStyle w:val="Hyperlink"/>
                <w:noProof/>
              </w:rPr>
              <w:t>Australian Government dementia specific supports</w:t>
            </w:r>
            <w:r>
              <w:rPr>
                <w:noProof/>
                <w:webHidden/>
              </w:rPr>
              <w:tab/>
            </w:r>
            <w:r>
              <w:rPr>
                <w:noProof/>
                <w:webHidden/>
              </w:rPr>
              <w:fldChar w:fldCharType="begin"/>
            </w:r>
            <w:r>
              <w:rPr>
                <w:noProof/>
                <w:webHidden/>
              </w:rPr>
              <w:instrText xml:space="preserve"> PAGEREF _Toc499538722 \h </w:instrText>
            </w:r>
            <w:r>
              <w:rPr>
                <w:noProof/>
                <w:webHidden/>
              </w:rPr>
            </w:r>
            <w:r>
              <w:rPr>
                <w:noProof/>
                <w:webHidden/>
              </w:rPr>
              <w:fldChar w:fldCharType="separate"/>
            </w:r>
            <w:r>
              <w:rPr>
                <w:noProof/>
                <w:webHidden/>
              </w:rPr>
              <w:t>12</w:t>
            </w:r>
            <w:r>
              <w:rPr>
                <w:noProof/>
                <w:webHidden/>
              </w:rPr>
              <w:fldChar w:fldCharType="end"/>
            </w:r>
          </w:hyperlink>
        </w:p>
        <w:p w:rsidR="00A96923" w:rsidRDefault="00A96923">
          <w:pPr>
            <w:pStyle w:val="TOC3"/>
            <w:tabs>
              <w:tab w:val="left" w:pos="1320"/>
              <w:tab w:val="right" w:leader="dot" w:pos="8296"/>
            </w:tabs>
            <w:rPr>
              <w:rFonts w:eastAsiaTheme="minorEastAsia" w:cstheme="minorBidi"/>
              <w:noProof/>
              <w:sz w:val="22"/>
              <w:szCs w:val="22"/>
              <w:lang w:eastAsia="en-AU"/>
            </w:rPr>
          </w:pPr>
          <w:hyperlink w:anchor="_Toc499538723" w:history="1">
            <w:r w:rsidRPr="00D27240">
              <w:rPr>
                <w:rStyle w:val="Hyperlink"/>
                <w:noProof/>
              </w:rPr>
              <w:t>2.2.2</w:t>
            </w:r>
            <w:r>
              <w:rPr>
                <w:rFonts w:eastAsiaTheme="minorEastAsia" w:cstheme="minorBidi"/>
                <w:noProof/>
                <w:sz w:val="22"/>
                <w:szCs w:val="22"/>
                <w:lang w:eastAsia="en-AU"/>
              </w:rPr>
              <w:tab/>
            </w:r>
            <w:r w:rsidRPr="00D27240">
              <w:rPr>
                <w:rStyle w:val="Hyperlink"/>
                <w:noProof/>
              </w:rPr>
              <w:t>State and territory government supports for people with dementia</w:t>
            </w:r>
            <w:r>
              <w:rPr>
                <w:noProof/>
                <w:webHidden/>
              </w:rPr>
              <w:tab/>
            </w:r>
            <w:r>
              <w:rPr>
                <w:noProof/>
                <w:webHidden/>
              </w:rPr>
              <w:fldChar w:fldCharType="begin"/>
            </w:r>
            <w:r>
              <w:rPr>
                <w:noProof/>
                <w:webHidden/>
              </w:rPr>
              <w:instrText xml:space="preserve"> PAGEREF _Toc499538723 \h </w:instrText>
            </w:r>
            <w:r>
              <w:rPr>
                <w:noProof/>
                <w:webHidden/>
              </w:rPr>
            </w:r>
            <w:r>
              <w:rPr>
                <w:noProof/>
                <w:webHidden/>
              </w:rPr>
              <w:fldChar w:fldCharType="separate"/>
            </w:r>
            <w:r>
              <w:rPr>
                <w:noProof/>
                <w:webHidden/>
              </w:rPr>
              <w:t>14</w:t>
            </w:r>
            <w:r>
              <w:rPr>
                <w:noProof/>
                <w:webHidden/>
              </w:rPr>
              <w:fldChar w:fldCharType="end"/>
            </w:r>
          </w:hyperlink>
        </w:p>
        <w:p w:rsidR="00A96923" w:rsidRDefault="00A96923">
          <w:pPr>
            <w:pStyle w:val="TOC3"/>
            <w:tabs>
              <w:tab w:val="left" w:pos="1320"/>
              <w:tab w:val="right" w:leader="dot" w:pos="8296"/>
            </w:tabs>
            <w:rPr>
              <w:rFonts w:eastAsiaTheme="minorEastAsia" w:cstheme="minorBidi"/>
              <w:noProof/>
              <w:sz w:val="22"/>
              <w:szCs w:val="22"/>
              <w:lang w:eastAsia="en-AU"/>
            </w:rPr>
          </w:pPr>
          <w:hyperlink w:anchor="_Toc499538724" w:history="1">
            <w:r w:rsidRPr="00D27240">
              <w:rPr>
                <w:rStyle w:val="Hyperlink"/>
                <w:noProof/>
              </w:rPr>
              <w:t>2.2.3</w:t>
            </w:r>
            <w:r>
              <w:rPr>
                <w:rFonts w:eastAsiaTheme="minorEastAsia" w:cstheme="minorBidi"/>
                <w:noProof/>
                <w:sz w:val="22"/>
                <w:szCs w:val="22"/>
                <w:lang w:eastAsia="en-AU"/>
              </w:rPr>
              <w:tab/>
            </w:r>
            <w:r w:rsidRPr="00D27240">
              <w:rPr>
                <w:rStyle w:val="Hyperlink"/>
                <w:noProof/>
              </w:rPr>
              <w:t>Supports available through the NDIS and Continuity of Support Programme</w:t>
            </w:r>
            <w:r>
              <w:rPr>
                <w:noProof/>
                <w:webHidden/>
              </w:rPr>
              <w:tab/>
            </w:r>
            <w:r>
              <w:rPr>
                <w:noProof/>
                <w:webHidden/>
              </w:rPr>
              <w:fldChar w:fldCharType="begin"/>
            </w:r>
            <w:r>
              <w:rPr>
                <w:noProof/>
                <w:webHidden/>
              </w:rPr>
              <w:instrText xml:space="preserve"> PAGEREF _Toc499538724 \h </w:instrText>
            </w:r>
            <w:r>
              <w:rPr>
                <w:noProof/>
                <w:webHidden/>
              </w:rPr>
            </w:r>
            <w:r>
              <w:rPr>
                <w:noProof/>
                <w:webHidden/>
              </w:rPr>
              <w:fldChar w:fldCharType="separate"/>
            </w:r>
            <w:r>
              <w:rPr>
                <w:noProof/>
                <w:webHidden/>
              </w:rPr>
              <w:t>15</w:t>
            </w:r>
            <w:r>
              <w:rPr>
                <w:noProof/>
                <w:webHidden/>
              </w:rPr>
              <w:fldChar w:fldCharType="end"/>
            </w:r>
          </w:hyperlink>
        </w:p>
        <w:p w:rsidR="00A96923" w:rsidRDefault="00A96923">
          <w:pPr>
            <w:pStyle w:val="TOC2"/>
            <w:rPr>
              <w:rFonts w:eastAsiaTheme="minorEastAsia" w:cstheme="minorBidi"/>
              <w:noProof/>
              <w:sz w:val="22"/>
              <w:szCs w:val="22"/>
              <w:lang w:eastAsia="en-AU"/>
            </w:rPr>
          </w:pPr>
          <w:hyperlink w:anchor="_Toc499538725" w:history="1">
            <w:r w:rsidRPr="00D27240">
              <w:rPr>
                <w:rStyle w:val="Hyperlink"/>
                <w:noProof/>
              </w:rPr>
              <w:t>2.3</w:t>
            </w:r>
            <w:r>
              <w:rPr>
                <w:rFonts w:eastAsiaTheme="minorEastAsia" w:cstheme="minorBidi"/>
                <w:noProof/>
                <w:sz w:val="22"/>
                <w:szCs w:val="22"/>
                <w:lang w:eastAsia="en-AU"/>
              </w:rPr>
              <w:tab/>
            </w:r>
            <w:r w:rsidRPr="00D27240">
              <w:rPr>
                <w:rStyle w:val="Hyperlink"/>
                <w:noProof/>
              </w:rPr>
              <w:t>Why are SDCUs being established?</w:t>
            </w:r>
            <w:r>
              <w:rPr>
                <w:noProof/>
                <w:webHidden/>
              </w:rPr>
              <w:tab/>
            </w:r>
            <w:r>
              <w:rPr>
                <w:noProof/>
                <w:webHidden/>
              </w:rPr>
              <w:fldChar w:fldCharType="begin"/>
            </w:r>
            <w:r>
              <w:rPr>
                <w:noProof/>
                <w:webHidden/>
              </w:rPr>
              <w:instrText xml:space="preserve"> PAGEREF _Toc499538725 \h </w:instrText>
            </w:r>
            <w:r>
              <w:rPr>
                <w:noProof/>
                <w:webHidden/>
              </w:rPr>
            </w:r>
            <w:r>
              <w:rPr>
                <w:noProof/>
                <w:webHidden/>
              </w:rPr>
              <w:fldChar w:fldCharType="separate"/>
            </w:r>
            <w:r>
              <w:rPr>
                <w:noProof/>
                <w:webHidden/>
              </w:rPr>
              <w:t>16</w:t>
            </w:r>
            <w:r>
              <w:rPr>
                <w:noProof/>
                <w:webHidden/>
              </w:rPr>
              <w:fldChar w:fldCharType="end"/>
            </w:r>
          </w:hyperlink>
        </w:p>
        <w:p w:rsidR="00A96923" w:rsidRDefault="00A96923">
          <w:pPr>
            <w:pStyle w:val="TOC3"/>
            <w:tabs>
              <w:tab w:val="left" w:pos="1320"/>
              <w:tab w:val="right" w:leader="dot" w:pos="8296"/>
            </w:tabs>
            <w:rPr>
              <w:rFonts w:eastAsiaTheme="minorEastAsia" w:cstheme="minorBidi"/>
              <w:noProof/>
              <w:sz w:val="22"/>
              <w:szCs w:val="22"/>
              <w:lang w:eastAsia="en-AU"/>
            </w:rPr>
          </w:pPr>
          <w:hyperlink w:anchor="_Toc499538726" w:history="1">
            <w:r w:rsidRPr="00D27240">
              <w:rPr>
                <w:rStyle w:val="Hyperlink"/>
                <w:noProof/>
              </w:rPr>
              <w:t>2.3.1</w:t>
            </w:r>
            <w:r>
              <w:rPr>
                <w:rFonts w:eastAsiaTheme="minorEastAsia" w:cstheme="minorBidi"/>
                <w:noProof/>
                <w:sz w:val="22"/>
                <w:szCs w:val="22"/>
                <w:lang w:eastAsia="en-AU"/>
              </w:rPr>
              <w:tab/>
            </w:r>
            <w:r w:rsidRPr="00D27240">
              <w:rPr>
                <w:rStyle w:val="Hyperlink"/>
                <w:noProof/>
              </w:rPr>
              <w:t>Aged care sector capability</w:t>
            </w:r>
            <w:r>
              <w:rPr>
                <w:noProof/>
                <w:webHidden/>
              </w:rPr>
              <w:tab/>
            </w:r>
            <w:r>
              <w:rPr>
                <w:noProof/>
                <w:webHidden/>
              </w:rPr>
              <w:fldChar w:fldCharType="begin"/>
            </w:r>
            <w:r>
              <w:rPr>
                <w:noProof/>
                <w:webHidden/>
              </w:rPr>
              <w:instrText xml:space="preserve"> PAGEREF _Toc499538726 \h </w:instrText>
            </w:r>
            <w:r>
              <w:rPr>
                <w:noProof/>
                <w:webHidden/>
              </w:rPr>
            </w:r>
            <w:r>
              <w:rPr>
                <w:noProof/>
                <w:webHidden/>
              </w:rPr>
              <w:fldChar w:fldCharType="separate"/>
            </w:r>
            <w:r>
              <w:rPr>
                <w:noProof/>
                <w:webHidden/>
              </w:rPr>
              <w:t>16</w:t>
            </w:r>
            <w:r>
              <w:rPr>
                <w:noProof/>
                <w:webHidden/>
              </w:rPr>
              <w:fldChar w:fldCharType="end"/>
            </w:r>
          </w:hyperlink>
        </w:p>
        <w:p w:rsidR="00A96923" w:rsidRDefault="00A96923">
          <w:pPr>
            <w:pStyle w:val="TOC3"/>
            <w:tabs>
              <w:tab w:val="left" w:pos="1320"/>
              <w:tab w:val="right" w:leader="dot" w:pos="8296"/>
            </w:tabs>
            <w:rPr>
              <w:rFonts w:eastAsiaTheme="minorEastAsia" w:cstheme="minorBidi"/>
              <w:noProof/>
              <w:sz w:val="22"/>
              <w:szCs w:val="22"/>
              <w:lang w:eastAsia="en-AU"/>
            </w:rPr>
          </w:pPr>
          <w:hyperlink w:anchor="_Toc499538727" w:history="1">
            <w:r w:rsidRPr="00D27240">
              <w:rPr>
                <w:rStyle w:val="Hyperlink"/>
                <w:noProof/>
              </w:rPr>
              <w:t>2.3.2</w:t>
            </w:r>
            <w:r>
              <w:rPr>
                <w:rFonts w:eastAsiaTheme="minorEastAsia" w:cstheme="minorBidi"/>
                <w:noProof/>
                <w:sz w:val="22"/>
                <w:szCs w:val="22"/>
                <w:lang w:eastAsia="en-AU"/>
              </w:rPr>
              <w:tab/>
            </w:r>
            <w:r w:rsidRPr="00D27240">
              <w:rPr>
                <w:rStyle w:val="Hyperlink"/>
                <w:noProof/>
              </w:rPr>
              <w:t>Access to appropriate services and complex existing client pathways</w:t>
            </w:r>
            <w:r>
              <w:rPr>
                <w:noProof/>
                <w:webHidden/>
              </w:rPr>
              <w:tab/>
            </w:r>
            <w:r>
              <w:rPr>
                <w:noProof/>
                <w:webHidden/>
              </w:rPr>
              <w:fldChar w:fldCharType="begin"/>
            </w:r>
            <w:r>
              <w:rPr>
                <w:noProof/>
                <w:webHidden/>
              </w:rPr>
              <w:instrText xml:space="preserve"> PAGEREF _Toc499538727 \h </w:instrText>
            </w:r>
            <w:r>
              <w:rPr>
                <w:noProof/>
                <w:webHidden/>
              </w:rPr>
            </w:r>
            <w:r>
              <w:rPr>
                <w:noProof/>
                <w:webHidden/>
              </w:rPr>
              <w:fldChar w:fldCharType="separate"/>
            </w:r>
            <w:r>
              <w:rPr>
                <w:noProof/>
                <w:webHidden/>
              </w:rPr>
              <w:t>16</w:t>
            </w:r>
            <w:r>
              <w:rPr>
                <w:noProof/>
                <w:webHidden/>
              </w:rPr>
              <w:fldChar w:fldCharType="end"/>
            </w:r>
          </w:hyperlink>
        </w:p>
        <w:p w:rsidR="00A96923" w:rsidRDefault="00A96923">
          <w:pPr>
            <w:pStyle w:val="TOC2"/>
            <w:rPr>
              <w:rFonts w:eastAsiaTheme="minorEastAsia" w:cstheme="minorBidi"/>
              <w:noProof/>
              <w:sz w:val="22"/>
              <w:szCs w:val="22"/>
              <w:lang w:eastAsia="en-AU"/>
            </w:rPr>
          </w:pPr>
          <w:hyperlink w:anchor="_Toc499538728" w:history="1">
            <w:r w:rsidRPr="00D27240">
              <w:rPr>
                <w:rStyle w:val="Hyperlink"/>
                <w:noProof/>
              </w:rPr>
              <w:t>2.4</w:t>
            </w:r>
            <w:r>
              <w:rPr>
                <w:rFonts w:eastAsiaTheme="minorEastAsia" w:cstheme="minorBidi"/>
                <w:noProof/>
                <w:sz w:val="22"/>
                <w:szCs w:val="22"/>
                <w:lang w:eastAsia="en-AU"/>
              </w:rPr>
              <w:tab/>
            </w:r>
            <w:r w:rsidRPr="00D27240">
              <w:rPr>
                <w:rStyle w:val="Hyperlink"/>
                <w:noProof/>
              </w:rPr>
              <w:t>What are the impacts of the current system issues?</w:t>
            </w:r>
            <w:r>
              <w:rPr>
                <w:noProof/>
                <w:webHidden/>
              </w:rPr>
              <w:tab/>
            </w:r>
            <w:r>
              <w:rPr>
                <w:noProof/>
                <w:webHidden/>
              </w:rPr>
              <w:fldChar w:fldCharType="begin"/>
            </w:r>
            <w:r>
              <w:rPr>
                <w:noProof/>
                <w:webHidden/>
              </w:rPr>
              <w:instrText xml:space="preserve"> PAGEREF _Toc499538728 \h </w:instrText>
            </w:r>
            <w:r>
              <w:rPr>
                <w:noProof/>
                <w:webHidden/>
              </w:rPr>
            </w:r>
            <w:r>
              <w:rPr>
                <w:noProof/>
                <w:webHidden/>
              </w:rPr>
              <w:fldChar w:fldCharType="separate"/>
            </w:r>
            <w:r>
              <w:rPr>
                <w:noProof/>
                <w:webHidden/>
              </w:rPr>
              <w:t>18</w:t>
            </w:r>
            <w:r>
              <w:rPr>
                <w:noProof/>
                <w:webHidden/>
              </w:rPr>
              <w:fldChar w:fldCharType="end"/>
            </w:r>
          </w:hyperlink>
        </w:p>
        <w:p w:rsidR="00A96923" w:rsidRDefault="00A96923">
          <w:pPr>
            <w:pStyle w:val="TOC2"/>
            <w:rPr>
              <w:rFonts w:eastAsiaTheme="minorEastAsia" w:cstheme="minorBidi"/>
              <w:noProof/>
              <w:sz w:val="22"/>
              <w:szCs w:val="22"/>
              <w:lang w:eastAsia="en-AU"/>
            </w:rPr>
          </w:pPr>
          <w:hyperlink w:anchor="_Toc499538729" w:history="1">
            <w:r w:rsidRPr="00D27240">
              <w:rPr>
                <w:rStyle w:val="Hyperlink"/>
                <w:noProof/>
              </w:rPr>
              <w:t>2.5</w:t>
            </w:r>
            <w:r>
              <w:rPr>
                <w:rFonts w:eastAsiaTheme="minorEastAsia" w:cstheme="minorBidi"/>
                <w:noProof/>
                <w:sz w:val="22"/>
                <w:szCs w:val="22"/>
                <w:lang w:eastAsia="en-AU"/>
              </w:rPr>
              <w:tab/>
            </w:r>
            <w:r w:rsidRPr="00D27240">
              <w:rPr>
                <w:rStyle w:val="Hyperlink"/>
                <w:noProof/>
              </w:rPr>
              <w:t>The Australian Government’s commitment to establish SDCUs</w:t>
            </w:r>
            <w:r>
              <w:rPr>
                <w:noProof/>
                <w:webHidden/>
              </w:rPr>
              <w:tab/>
            </w:r>
            <w:r>
              <w:rPr>
                <w:noProof/>
                <w:webHidden/>
              </w:rPr>
              <w:fldChar w:fldCharType="begin"/>
            </w:r>
            <w:r>
              <w:rPr>
                <w:noProof/>
                <w:webHidden/>
              </w:rPr>
              <w:instrText xml:space="preserve"> PAGEREF _Toc499538729 \h </w:instrText>
            </w:r>
            <w:r>
              <w:rPr>
                <w:noProof/>
                <w:webHidden/>
              </w:rPr>
            </w:r>
            <w:r>
              <w:rPr>
                <w:noProof/>
                <w:webHidden/>
              </w:rPr>
              <w:fldChar w:fldCharType="separate"/>
            </w:r>
            <w:r>
              <w:rPr>
                <w:noProof/>
                <w:webHidden/>
              </w:rPr>
              <w:t>19</w:t>
            </w:r>
            <w:r>
              <w:rPr>
                <w:noProof/>
                <w:webHidden/>
              </w:rPr>
              <w:fldChar w:fldCharType="end"/>
            </w:r>
          </w:hyperlink>
        </w:p>
        <w:p w:rsidR="00A96923" w:rsidRDefault="00A96923">
          <w:pPr>
            <w:pStyle w:val="TOC1"/>
            <w:tabs>
              <w:tab w:val="left" w:pos="480"/>
            </w:tabs>
            <w:rPr>
              <w:rFonts w:eastAsiaTheme="minorEastAsia" w:cstheme="minorBidi"/>
              <w:noProof/>
              <w:sz w:val="22"/>
              <w:szCs w:val="22"/>
              <w:lang w:eastAsia="en-AU"/>
            </w:rPr>
          </w:pPr>
          <w:hyperlink w:anchor="_Toc499538730" w:history="1">
            <w:r w:rsidRPr="00D27240">
              <w:rPr>
                <w:rStyle w:val="Hyperlink"/>
                <w:rFonts w:eastAsiaTheme="minorHAnsi"/>
                <w:noProof/>
              </w:rPr>
              <w:t>3.</w:t>
            </w:r>
            <w:r>
              <w:rPr>
                <w:rFonts w:eastAsiaTheme="minorEastAsia" w:cstheme="minorBidi"/>
                <w:noProof/>
                <w:sz w:val="22"/>
                <w:szCs w:val="22"/>
                <w:lang w:eastAsia="en-AU"/>
              </w:rPr>
              <w:tab/>
            </w:r>
            <w:r w:rsidRPr="00D27240">
              <w:rPr>
                <w:rStyle w:val="Hyperlink"/>
                <w:rFonts w:eastAsiaTheme="minorHAnsi"/>
                <w:noProof/>
              </w:rPr>
              <w:t>Development of the SDCU service model</w:t>
            </w:r>
            <w:r>
              <w:rPr>
                <w:noProof/>
                <w:webHidden/>
              </w:rPr>
              <w:tab/>
            </w:r>
            <w:r>
              <w:rPr>
                <w:noProof/>
                <w:webHidden/>
              </w:rPr>
              <w:fldChar w:fldCharType="begin"/>
            </w:r>
            <w:r>
              <w:rPr>
                <w:noProof/>
                <w:webHidden/>
              </w:rPr>
              <w:instrText xml:space="preserve"> PAGEREF _Toc499538730 \h </w:instrText>
            </w:r>
            <w:r>
              <w:rPr>
                <w:noProof/>
                <w:webHidden/>
              </w:rPr>
            </w:r>
            <w:r>
              <w:rPr>
                <w:noProof/>
                <w:webHidden/>
              </w:rPr>
              <w:fldChar w:fldCharType="separate"/>
            </w:r>
            <w:r>
              <w:rPr>
                <w:noProof/>
                <w:webHidden/>
              </w:rPr>
              <w:t>21</w:t>
            </w:r>
            <w:r>
              <w:rPr>
                <w:noProof/>
                <w:webHidden/>
              </w:rPr>
              <w:fldChar w:fldCharType="end"/>
            </w:r>
          </w:hyperlink>
        </w:p>
        <w:p w:rsidR="00A96923" w:rsidRDefault="00A96923">
          <w:pPr>
            <w:pStyle w:val="TOC2"/>
            <w:rPr>
              <w:rFonts w:eastAsiaTheme="minorEastAsia" w:cstheme="minorBidi"/>
              <w:noProof/>
              <w:sz w:val="22"/>
              <w:szCs w:val="22"/>
              <w:lang w:eastAsia="en-AU"/>
            </w:rPr>
          </w:pPr>
          <w:hyperlink w:anchor="_Toc499538731" w:history="1">
            <w:r w:rsidRPr="00D27240">
              <w:rPr>
                <w:rStyle w:val="Hyperlink"/>
                <w:noProof/>
              </w:rPr>
              <w:t>3.1</w:t>
            </w:r>
            <w:r>
              <w:rPr>
                <w:rFonts w:eastAsiaTheme="minorEastAsia" w:cstheme="minorBidi"/>
                <w:noProof/>
                <w:sz w:val="22"/>
                <w:szCs w:val="22"/>
                <w:lang w:eastAsia="en-AU"/>
              </w:rPr>
              <w:tab/>
            </w:r>
            <w:r w:rsidRPr="00D27240">
              <w:rPr>
                <w:rStyle w:val="Hyperlink"/>
                <w:noProof/>
              </w:rPr>
              <w:t>Inputs that have informed the proposed SDCU arrangements</w:t>
            </w:r>
            <w:r>
              <w:rPr>
                <w:noProof/>
                <w:webHidden/>
              </w:rPr>
              <w:tab/>
            </w:r>
            <w:r>
              <w:rPr>
                <w:noProof/>
                <w:webHidden/>
              </w:rPr>
              <w:fldChar w:fldCharType="begin"/>
            </w:r>
            <w:r>
              <w:rPr>
                <w:noProof/>
                <w:webHidden/>
              </w:rPr>
              <w:instrText xml:space="preserve"> PAGEREF _Toc499538731 \h </w:instrText>
            </w:r>
            <w:r>
              <w:rPr>
                <w:noProof/>
                <w:webHidden/>
              </w:rPr>
            </w:r>
            <w:r>
              <w:rPr>
                <w:noProof/>
                <w:webHidden/>
              </w:rPr>
              <w:fldChar w:fldCharType="separate"/>
            </w:r>
            <w:r>
              <w:rPr>
                <w:noProof/>
                <w:webHidden/>
              </w:rPr>
              <w:t>21</w:t>
            </w:r>
            <w:r>
              <w:rPr>
                <w:noProof/>
                <w:webHidden/>
              </w:rPr>
              <w:fldChar w:fldCharType="end"/>
            </w:r>
          </w:hyperlink>
        </w:p>
        <w:p w:rsidR="00A96923" w:rsidRDefault="00A96923">
          <w:pPr>
            <w:pStyle w:val="TOC2"/>
            <w:rPr>
              <w:rFonts w:eastAsiaTheme="minorEastAsia" w:cstheme="minorBidi"/>
              <w:noProof/>
              <w:sz w:val="22"/>
              <w:szCs w:val="22"/>
              <w:lang w:eastAsia="en-AU"/>
            </w:rPr>
          </w:pPr>
          <w:hyperlink w:anchor="_Toc499538732" w:history="1">
            <w:r w:rsidRPr="00D27240">
              <w:rPr>
                <w:rStyle w:val="Hyperlink"/>
                <w:noProof/>
              </w:rPr>
              <w:t>3.2</w:t>
            </w:r>
            <w:r>
              <w:rPr>
                <w:rFonts w:eastAsiaTheme="minorEastAsia" w:cstheme="minorBidi"/>
                <w:noProof/>
                <w:sz w:val="22"/>
                <w:szCs w:val="22"/>
                <w:lang w:eastAsia="en-AU"/>
              </w:rPr>
              <w:tab/>
            </w:r>
            <w:r w:rsidRPr="00D27240">
              <w:rPr>
                <w:rStyle w:val="Hyperlink"/>
                <w:noProof/>
              </w:rPr>
              <w:t>Broader policy context in which SDCUs will operate</w:t>
            </w:r>
            <w:r>
              <w:rPr>
                <w:noProof/>
                <w:webHidden/>
              </w:rPr>
              <w:tab/>
            </w:r>
            <w:r>
              <w:rPr>
                <w:noProof/>
                <w:webHidden/>
              </w:rPr>
              <w:fldChar w:fldCharType="begin"/>
            </w:r>
            <w:r>
              <w:rPr>
                <w:noProof/>
                <w:webHidden/>
              </w:rPr>
              <w:instrText xml:space="preserve"> PAGEREF _Toc499538732 \h </w:instrText>
            </w:r>
            <w:r>
              <w:rPr>
                <w:noProof/>
                <w:webHidden/>
              </w:rPr>
            </w:r>
            <w:r>
              <w:rPr>
                <w:noProof/>
                <w:webHidden/>
              </w:rPr>
              <w:fldChar w:fldCharType="separate"/>
            </w:r>
            <w:r>
              <w:rPr>
                <w:noProof/>
                <w:webHidden/>
              </w:rPr>
              <w:t>21</w:t>
            </w:r>
            <w:r>
              <w:rPr>
                <w:noProof/>
                <w:webHidden/>
              </w:rPr>
              <w:fldChar w:fldCharType="end"/>
            </w:r>
          </w:hyperlink>
        </w:p>
        <w:p w:rsidR="00A96923" w:rsidRDefault="00A96923">
          <w:pPr>
            <w:pStyle w:val="TOC2"/>
            <w:rPr>
              <w:rFonts w:eastAsiaTheme="minorEastAsia" w:cstheme="minorBidi"/>
              <w:noProof/>
              <w:sz w:val="22"/>
              <w:szCs w:val="22"/>
              <w:lang w:eastAsia="en-AU"/>
            </w:rPr>
          </w:pPr>
          <w:hyperlink w:anchor="_Toc499538733" w:history="1">
            <w:r w:rsidRPr="00D27240">
              <w:rPr>
                <w:rStyle w:val="Hyperlink"/>
                <w:noProof/>
              </w:rPr>
              <w:t>3.3</w:t>
            </w:r>
            <w:r>
              <w:rPr>
                <w:rFonts w:eastAsiaTheme="minorEastAsia" w:cstheme="minorBidi"/>
                <w:noProof/>
                <w:sz w:val="22"/>
                <w:szCs w:val="22"/>
                <w:lang w:eastAsia="en-AU"/>
              </w:rPr>
              <w:tab/>
            </w:r>
            <w:r w:rsidRPr="00D27240">
              <w:rPr>
                <w:rStyle w:val="Hyperlink"/>
                <w:noProof/>
              </w:rPr>
              <w:t>Consultation feedback to date</w:t>
            </w:r>
            <w:r>
              <w:rPr>
                <w:noProof/>
                <w:webHidden/>
              </w:rPr>
              <w:tab/>
            </w:r>
            <w:r>
              <w:rPr>
                <w:noProof/>
                <w:webHidden/>
              </w:rPr>
              <w:fldChar w:fldCharType="begin"/>
            </w:r>
            <w:r>
              <w:rPr>
                <w:noProof/>
                <w:webHidden/>
              </w:rPr>
              <w:instrText xml:space="preserve"> PAGEREF _Toc499538733 \h </w:instrText>
            </w:r>
            <w:r>
              <w:rPr>
                <w:noProof/>
                <w:webHidden/>
              </w:rPr>
            </w:r>
            <w:r>
              <w:rPr>
                <w:noProof/>
                <w:webHidden/>
              </w:rPr>
              <w:fldChar w:fldCharType="separate"/>
            </w:r>
            <w:r>
              <w:rPr>
                <w:noProof/>
                <w:webHidden/>
              </w:rPr>
              <w:t>22</w:t>
            </w:r>
            <w:r>
              <w:rPr>
                <w:noProof/>
                <w:webHidden/>
              </w:rPr>
              <w:fldChar w:fldCharType="end"/>
            </w:r>
          </w:hyperlink>
        </w:p>
        <w:p w:rsidR="00A96923" w:rsidRDefault="00A96923">
          <w:pPr>
            <w:pStyle w:val="TOC2"/>
            <w:rPr>
              <w:rFonts w:eastAsiaTheme="minorEastAsia" w:cstheme="minorBidi"/>
              <w:noProof/>
              <w:sz w:val="22"/>
              <w:szCs w:val="22"/>
              <w:lang w:eastAsia="en-AU"/>
            </w:rPr>
          </w:pPr>
          <w:hyperlink w:anchor="_Toc499538734" w:history="1">
            <w:r w:rsidRPr="00D27240">
              <w:rPr>
                <w:rStyle w:val="Hyperlink"/>
                <w:noProof/>
              </w:rPr>
              <w:t>3.4</w:t>
            </w:r>
            <w:r>
              <w:rPr>
                <w:rFonts w:eastAsiaTheme="minorEastAsia" w:cstheme="minorBidi"/>
                <w:noProof/>
                <w:sz w:val="22"/>
                <w:szCs w:val="22"/>
                <w:lang w:eastAsia="en-AU"/>
              </w:rPr>
              <w:tab/>
            </w:r>
            <w:r w:rsidRPr="00D27240">
              <w:rPr>
                <w:rStyle w:val="Hyperlink"/>
                <w:noProof/>
              </w:rPr>
              <w:t>The service planning framework for people with BPSD</w:t>
            </w:r>
            <w:r>
              <w:rPr>
                <w:noProof/>
                <w:webHidden/>
              </w:rPr>
              <w:tab/>
            </w:r>
            <w:r>
              <w:rPr>
                <w:noProof/>
                <w:webHidden/>
              </w:rPr>
              <w:fldChar w:fldCharType="begin"/>
            </w:r>
            <w:r>
              <w:rPr>
                <w:noProof/>
                <w:webHidden/>
              </w:rPr>
              <w:instrText xml:space="preserve"> PAGEREF _Toc499538734 \h </w:instrText>
            </w:r>
            <w:r>
              <w:rPr>
                <w:noProof/>
                <w:webHidden/>
              </w:rPr>
            </w:r>
            <w:r>
              <w:rPr>
                <w:noProof/>
                <w:webHidden/>
              </w:rPr>
              <w:fldChar w:fldCharType="separate"/>
            </w:r>
            <w:r>
              <w:rPr>
                <w:noProof/>
                <w:webHidden/>
              </w:rPr>
              <w:t>23</w:t>
            </w:r>
            <w:r>
              <w:rPr>
                <w:noProof/>
                <w:webHidden/>
              </w:rPr>
              <w:fldChar w:fldCharType="end"/>
            </w:r>
          </w:hyperlink>
        </w:p>
        <w:p w:rsidR="00A96923" w:rsidRDefault="00A96923">
          <w:pPr>
            <w:pStyle w:val="TOC3"/>
            <w:tabs>
              <w:tab w:val="left" w:pos="1320"/>
              <w:tab w:val="right" w:leader="dot" w:pos="8296"/>
            </w:tabs>
            <w:rPr>
              <w:rFonts w:eastAsiaTheme="minorEastAsia" w:cstheme="minorBidi"/>
              <w:noProof/>
              <w:sz w:val="22"/>
              <w:szCs w:val="22"/>
              <w:lang w:eastAsia="en-AU"/>
            </w:rPr>
          </w:pPr>
          <w:hyperlink w:anchor="_Toc499538735" w:history="1">
            <w:r w:rsidRPr="00D27240">
              <w:rPr>
                <w:rStyle w:val="Hyperlink"/>
                <w:noProof/>
              </w:rPr>
              <w:t>3.4.1</w:t>
            </w:r>
            <w:r>
              <w:rPr>
                <w:rFonts w:eastAsiaTheme="minorEastAsia" w:cstheme="minorBidi"/>
                <w:noProof/>
                <w:sz w:val="22"/>
                <w:szCs w:val="22"/>
                <w:lang w:eastAsia="en-AU"/>
              </w:rPr>
              <w:tab/>
            </w:r>
            <w:r w:rsidRPr="00D27240">
              <w:rPr>
                <w:rStyle w:val="Hyperlink"/>
                <w:noProof/>
              </w:rPr>
              <w:t>The prevalence of people with very severe BPSD</w:t>
            </w:r>
            <w:r>
              <w:rPr>
                <w:noProof/>
                <w:webHidden/>
              </w:rPr>
              <w:tab/>
            </w:r>
            <w:r>
              <w:rPr>
                <w:noProof/>
                <w:webHidden/>
              </w:rPr>
              <w:fldChar w:fldCharType="begin"/>
            </w:r>
            <w:r>
              <w:rPr>
                <w:noProof/>
                <w:webHidden/>
              </w:rPr>
              <w:instrText xml:space="preserve"> PAGEREF _Toc499538735 \h </w:instrText>
            </w:r>
            <w:r>
              <w:rPr>
                <w:noProof/>
                <w:webHidden/>
              </w:rPr>
            </w:r>
            <w:r>
              <w:rPr>
                <w:noProof/>
                <w:webHidden/>
              </w:rPr>
              <w:fldChar w:fldCharType="separate"/>
            </w:r>
            <w:r>
              <w:rPr>
                <w:noProof/>
                <w:webHidden/>
              </w:rPr>
              <w:t>23</w:t>
            </w:r>
            <w:r>
              <w:rPr>
                <w:noProof/>
                <w:webHidden/>
              </w:rPr>
              <w:fldChar w:fldCharType="end"/>
            </w:r>
          </w:hyperlink>
        </w:p>
        <w:p w:rsidR="00A96923" w:rsidRDefault="00A96923">
          <w:pPr>
            <w:pStyle w:val="TOC3"/>
            <w:tabs>
              <w:tab w:val="left" w:pos="1320"/>
              <w:tab w:val="right" w:leader="dot" w:pos="8296"/>
            </w:tabs>
            <w:rPr>
              <w:rFonts w:eastAsiaTheme="minorEastAsia" w:cstheme="minorBidi"/>
              <w:noProof/>
              <w:sz w:val="22"/>
              <w:szCs w:val="22"/>
              <w:lang w:eastAsia="en-AU"/>
            </w:rPr>
          </w:pPr>
          <w:hyperlink w:anchor="_Toc499538736" w:history="1">
            <w:r w:rsidRPr="00D27240">
              <w:rPr>
                <w:rStyle w:val="Hyperlink"/>
                <w:noProof/>
              </w:rPr>
              <w:t>3.4.2</w:t>
            </w:r>
            <w:r>
              <w:rPr>
                <w:rFonts w:eastAsiaTheme="minorEastAsia" w:cstheme="minorBidi"/>
                <w:noProof/>
                <w:sz w:val="22"/>
                <w:szCs w:val="22"/>
                <w:lang w:eastAsia="en-AU"/>
              </w:rPr>
              <w:tab/>
            </w:r>
            <w:r w:rsidRPr="00D27240">
              <w:rPr>
                <w:rStyle w:val="Hyperlink"/>
                <w:noProof/>
              </w:rPr>
              <w:t>Demand for SDCU services</w:t>
            </w:r>
            <w:r>
              <w:rPr>
                <w:noProof/>
                <w:webHidden/>
              </w:rPr>
              <w:tab/>
            </w:r>
            <w:r>
              <w:rPr>
                <w:noProof/>
                <w:webHidden/>
              </w:rPr>
              <w:fldChar w:fldCharType="begin"/>
            </w:r>
            <w:r>
              <w:rPr>
                <w:noProof/>
                <w:webHidden/>
              </w:rPr>
              <w:instrText xml:space="preserve"> PAGEREF _Toc499538736 \h </w:instrText>
            </w:r>
            <w:r>
              <w:rPr>
                <w:noProof/>
                <w:webHidden/>
              </w:rPr>
            </w:r>
            <w:r>
              <w:rPr>
                <w:noProof/>
                <w:webHidden/>
              </w:rPr>
              <w:fldChar w:fldCharType="separate"/>
            </w:r>
            <w:r>
              <w:rPr>
                <w:noProof/>
                <w:webHidden/>
              </w:rPr>
              <w:t>23</w:t>
            </w:r>
            <w:r>
              <w:rPr>
                <w:noProof/>
                <w:webHidden/>
              </w:rPr>
              <w:fldChar w:fldCharType="end"/>
            </w:r>
          </w:hyperlink>
        </w:p>
        <w:p w:rsidR="00A96923" w:rsidRDefault="00A96923">
          <w:pPr>
            <w:pStyle w:val="TOC1"/>
            <w:tabs>
              <w:tab w:val="left" w:pos="480"/>
            </w:tabs>
            <w:rPr>
              <w:rFonts w:eastAsiaTheme="minorEastAsia" w:cstheme="minorBidi"/>
              <w:noProof/>
              <w:sz w:val="22"/>
              <w:szCs w:val="22"/>
              <w:lang w:eastAsia="en-AU"/>
            </w:rPr>
          </w:pPr>
          <w:hyperlink w:anchor="_Toc499538737" w:history="1">
            <w:r w:rsidRPr="00D27240">
              <w:rPr>
                <w:rStyle w:val="Hyperlink"/>
                <w:noProof/>
              </w:rPr>
              <w:t>4.</w:t>
            </w:r>
            <w:r>
              <w:rPr>
                <w:rFonts w:eastAsiaTheme="minorEastAsia" w:cstheme="minorBidi"/>
                <w:noProof/>
                <w:sz w:val="22"/>
                <w:szCs w:val="22"/>
                <w:lang w:eastAsia="en-AU"/>
              </w:rPr>
              <w:tab/>
            </w:r>
            <w:r w:rsidRPr="00D27240">
              <w:rPr>
                <w:rStyle w:val="Hyperlink"/>
                <w:noProof/>
              </w:rPr>
              <w:t>SDCU proposed service model</w:t>
            </w:r>
            <w:r>
              <w:rPr>
                <w:noProof/>
                <w:webHidden/>
              </w:rPr>
              <w:tab/>
            </w:r>
            <w:r>
              <w:rPr>
                <w:noProof/>
                <w:webHidden/>
              </w:rPr>
              <w:fldChar w:fldCharType="begin"/>
            </w:r>
            <w:r>
              <w:rPr>
                <w:noProof/>
                <w:webHidden/>
              </w:rPr>
              <w:instrText xml:space="preserve"> PAGEREF _Toc499538737 \h </w:instrText>
            </w:r>
            <w:r>
              <w:rPr>
                <w:noProof/>
                <w:webHidden/>
              </w:rPr>
            </w:r>
            <w:r>
              <w:rPr>
                <w:noProof/>
                <w:webHidden/>
              </w:rPr>
              <w:fldChar w:fldCharType="separate"/>
            </w:r>
            <w:r>
              <w:rPr>
                <w:noProof/>
                <w:webHidden/>
              </w:rPr>
              <w:t>24</w:t>
            </w:r>
            <w:r>
              <w:rPr>
                <w:noProof/>
                <w:webHidden/>
              </w:rPr>
              <w:fldChar w:fldCharType="end"/>
            </w:r>
          </w:hyperlink>
        </w:p>
        <w:p w:rsidR="00A96923" w:rsidRDefault="00A96923">
          <w:pPr>
            <w:pStyle w:val="TOC2"/>
            <w:rPr>
              <w:rFonts w:eastAsiaTheme="minorEastAsia" w:cstheme="minorBidi"/>
              <w:noProof/>
              <w:sz w:val="22"/>
              <w:szCs w:val="22"/>
              <w:lang w:eastAsia="en-AU"/>
            </w:rPr>
          </w:pPr>
          <w:hyperlink w:anchor="_Toc499538738" w:history="1">
            <w:r w:rsidRPr="00D27240">
              <w:rPr>
                <w:rStyle w:val="Hyperlink"/>
                <w:noProof/>
              </w:rPr>
              <w:t>4.1</w:t>
            </w:r>
            <w:r>
              <w:rPr>
                <w:rFonts w:eastAsiaTheme="minorEastAsia" w:cstheme="minorBidi"/>
                <w:noProof/>
                <w:sz w:val="22"/>
                <w:szCs w:val="22"/>
                <w:lang w:eastAsia="en-AU"/>
              </w:rPr>
              <w:tab/>
            </w:r>
            <w:r w:rsidRPr="00D27240">
              <w:rPr>
                <w:rStyle w:val="Hyperlink"/>
                <w:noProof/>
              </w:rPr>
              <w:t>SDCU overview</w:t>
            </w:r>
            <w:r>
              <w:rPr>
                <w:noProof/>
                <w:webHidden/>
              </w:rPr>
              <w:tab/>
            </w:r>
            <w:r>
              <w:rPr>
                <w:noProof/>
                <w:webHidden/>
              </w:rPr>
              <w:fldChar w:fldCharType="begin"/>
            </w:r>
            <w:r>
              <w:rPr>
                <w:noProof/>
                <w:webHidden/>
              </w:rPr>
              <w:instrText xml:space="preserve"> PAGEREF _Toc499538738 \h </w:instrText>
            </w:r>
            <w:r>
              <w:rPr>
                <w:noProof/>
                <w:webHidden/>
              </w:rPr>
            </w:r>
            <w:r>
              <w:rPr>
                <w:noProof/>
                <w:webHidden/>
              </w:rPr>
              <w:fldChar w:fldCharType="separate"/>
            </w:r>
            <w:r>
              <w:rPr>
                <w:noProof/>
                <w:webHidden/>
              </w:rPr>
              <w:t>24</w:t>
            </w:r>
            <w:r>
              <w:rPr>
                <w:noProof/>
                <w:webHidden/>
              </w:rPr>
              <w:fldChar w:fldCharType="end"/>
            </w:r>
          </w:hyperlink>
        </w:p>
        <w:p w:rsidR="00A96923" w:rsidRDefault="00A96923">
          <w:pPr>
            <w:pStyle w:val="TOC2"/>
            <w:rPr>
              <w:rFonts w:eastAsiaTheme="minorEastAsia" w:cstheme="minorBidi"/>
              <w:noProof/>
              <w:sz w:val="22"/>
              <w:szCs w:val="22"/>
              <w:lang w:eastAsia="en-AU"/>
            </w:rPr>
          </w:pPr>
          <w:hyperlink w:anchor="_Toc499538739" w:history="1">
            <w:r w:rsidRPr="00D27240">
              <w:rPr>
                <w:rStyle w:val="Hyperlink"/>
                <w:noProof/>
              </w:rPr>
              <w:t>4.2</w:t>
            </w:r>
            <w:r>
              <w:rPr>
                <w:rFonts w:eastAsiaTheme="minorEastAsia" w:cstheme="minorBidi"/>
                <w:noProof/>
                <w:sz w:val="22"/>
                <w:szCs w:val="22"/>
                <w:lang w:eastAsia="en-AU"/>
              </w:rPr>
              <w:tab/>
            </w:r>
            <w:r w:rsidRPr="00D27240">
              <w:rPr>
                <w:rStyle w:val="Hyperlink"/>
                <w:noProof/>
              </w:rPr>
              <w:t>SDCU aims and objectives</w:t>
            </w:r>
            <w:r>
              <w:rPr>
                <w:noProof/>
                <w:webHidden/>
              </w:rPr>
              <w:tab/>
            </w:r>
            <w:r>
              <w:rPr>
                <w:noProof/>
                <w:webHidden/>
              </w:rPr>
              <w:fldChar w:fldCharType="begin"/>
            </w:r>
            <w:r>
              <w:rPr>
                <w:noProof/>
                <w:webHidden/>
              </w:rPr>
              <w:instrText xml:space="preserve"> PAGEREF _Toc499538739 \h </w:instrText>
            </w:r>
            <w:r>
              <w:rPr>
                <w:noProof/>
                <w:webHidden/>
              </w:rPr>
            </w:r>
            <w:r>
              <w:rPr>
                <w:noProof/>
                <w:webHidden/>
              </w:rPr>
              <w:fldChar w:fldCharType="separate"/>
            </w:r>
            <w:r>
              <w:rPr>
                <w:noProof/>
                <w:webHidden/>
              </w:rPr>
              <w:t>24</w:t>
            </w:r>
            <w:r>
              <w:rPr>
                <w:noProof/>
                <w:webHidden/>
              </w:rPr>
              <w:fldChar w:fldCharType="end"/>
            </w:r>
          </w:hyperlink>
        </w:p>
        <w:p w:rsidR="00A96923" w:rsidRDefault="00A96923">
          <w:pPr>
            <w:pStyle w:val="TOC2"/>
            <w:rPr>
              <w:rFonts w:eastAsiaTheme="minorEastAsia" w:cstheme="minorBidi"/>
              <w:noProof/>
              <w:sz w:val="22"/>
              <w:szCs w:val="22"/>
              <w:lang w:eastAsia="en-AU"/>
            </w:rPr>
          </w:pPr>
          <w:hyperlink w:anchor="_Toc499538740" w:history="1">
            <w:r w:rsidRPr="00D27240">
              <w:rPr>
                <w:rStyle w:val="Hyperlink"/>
                <w:noProof/>
              </w:rPr>
              <w:t>4.3</w:t>
            </w:r>
            <w:r>
              <w:rPr>
                <w:rFonts w:eastAsiaTheme="minorEastAsia" w:cstheme="minorBidi"/>
                <w:noProof/>
                <w:sz w:val="22"/>
                <w:szCs w:val="22"/>
                <w:lang w:eastAsia="en-AU"/>
              </w:rPr>
              <w:tab/>
            </w:r>
            <w:r w:rsidRPr="00D27240">
              <w:rPr>
                <w:rStyle w:val="Hyperlink"/>
                <w:noProof/>
              </w:rPr>
              <w:t>SDCU intended benefits</w:t>
            </w:r>
            <w:r>
              <w:rPr>
                <w:noProof/>
                <w:webHidden/>
              </w:rPr>
              <w:tab/>
            </w:r>
            <w:r>
              <w:rPr>
                <w:noProof/>
                <w:webHidden/>
              </w:rPr>
              <w:fldChar w:fldCharType="begin"/>
            </w:r>
            <w:r>
              <w:rPr>
                <w:noProof/>
                <w:webHidden/>
              </w:rPr>
              <w:instrText xml:space="preserve"> PAGEREF _Toc499538740 \h </w:instrText>
            </w:r>
            <w:r>
              <w:rPr>
                <w:noProof/>
                <w:webHidden/>
              </w:rPr>
            </w:r>
            <w:r>
              <w:rPr>
                <w:noProof/>
                <w:webHidden/>
              </w:rPr>
              <w:fldChar w:fldCharType="separate"/>
            </w:r>
            <w:r>
              <w:rPr>
                <w:noProof/>
                <w:webHidden/>
              </w:rPr>
              <w:t>25</w:t>
            </w:r>
            <w:r>
              <w:rPr>
                <w:noProof/>
                <w:webHidden/>
              </w:rPr>
              <w:fldChar w:fldCharType="end"/>
            </w:r>
          </w:hyperlink>
        </w:p>
        <w:p w:rsidR="00A96923" w:rsidRDefault="00A96923">
          <w:pPr>
            <w:pStyle w:val="TOC2"/>
            <w:rPr>
              <w:rFonts w:eastAsiaTheme="minorEastAsia" w:cstheme="minorBidi"/>
              <w:noProof/>
              <w:sz w:val="22"/>
              <w:szCs w:val="22"/>
              <w:lang w:eastAsia="en-AU"/>
            </w:rPr>
          </w:pPr>
          <w:hyperlink w:anchor="_Toc499538741" w:history="1">
            <w:r w:rsidRPr="00D27240">
              <w:rPr>
                <w:rStyle w:val="Hyperlink"/>
                <w:noProof/>
              </w:rPr>
              <w:t>4.4</w:t>
            </w:r>
            <w:r>
              <w:rPr>
                <w:rFonts w:eastAsiaTheme="minorEastAsia" w:cstheme="minorBidi"/>
                <w:noProof/>
                <w:sz w:val="22"/>
                <w:szCs w:val="22"/>
                <w:lang w:eastAsia="en-AU"/>
              </w:rPr>
              <w:tab/>
            </w:r>
            <w:r w:rsidRPr="00D27240">
              <w:rPr>
                <w:rStyle w:val="Hyperlink"/>
                <w:noProof/>
              </w:rPr>
              <w:t>The SDCU model of care</w:t>
            </w:r>
            <w:r>
              <w:rPr>
                <w:noProof/>
                <w:webHidden/>
              </w:rPr>
              <w:tab/>
            </w:r>
            <w:r>
              <w:rPr>
                <w:noProof/>
                <w:webHidden/>
              </w:rPr>
              <w:fldChar w:fldCharType="begin"/>
            </w:r>
            <w:r>
              <w:rPr>
                <w:noProof/>
                <w:webHidden/>
              </w:rPr>
              <w:instrText xml:space="preserve"> PAGEREF _Toc499538741 \h </w:instrText>
            </w:r>
            <w:r>
              <w:rPr>
                <w:noProof/>
                <w:webHidden/>
              </w:rPr>
            </w:r>
            <w:r>
              <w:rPr>
                <w:noProof/>
                <w:webHidden/>
              </w:rPr>
              <w:fldChar w:fldCharType="separate"/>
            </w:r>
            <w:r>
              <w:rPr>
                <w:noProof/>
                <w:webHidden/>
              </w:rPr>
              <w:t>27</w:t>
            </w:r>
            <w:r>
              <w:rPr>
                <w:noProof/>
                <w:webHidden/>
              </w:rPr>
              <w:fldChar w:fldCharType="end"/>
            </w:r>
          </w:hyperlink>
        </w:p>
        <w:p w:rsidR="00A96923" w:rsidRDefault="00A96923">
          <w:pPr>
            <w:pStyle w:val="TOC3"/>
            <w:tabs>
              <w:tab w:val="left" w:pos="1320"/>
              <w:tab w:val="right" w:leader="dot" w:pos="8296"/>
            </w:tabs>
            <w:rPr>
              <w:rFonts w:eastAsiaTheme="minorEastAsia" w:cstheme="minorBidi"/>
              <w:noProof/>
              <w:sz w:val="22"/>
              <w:szCs w:val="22"/>
              <w:lang w:eastAsia="en-AU"/>
            </w:rPr>
          </w:pPr>
          <w:hyperlink w:anchor="_Toc499538742" w:history="1">
            <w:r w:rsidRPr="00D27240">
              <w:rPr>
                <w:rStyle w:val="Hyperlink"/>
                <w:noProof/>
              </w:rPr>
              <w:t>4.4.1</w:t>
            </w:r>
            <w:r>
              <w:rPr>
                <w:rFonts w:eastAsiaTheme="minorEastAsia" w:cstheme="minorBidi"/>
                <w:noProof/>
                <w:sz w:val="22"/>
                <w:szCs w:val="22"/>
                <w:lang w:eastAsia="en-AU"/>
              </w:rPr>
              <w:tab/>
            </w:r>
            <w:r w:rsidRPr="00D27240">
              <w:rPr>
                <w:rStyle w:val="Hyperlink"/>
                <w:noProof/>
              </w:rPr>
              <w:t>Pillar 1 - Pre-entry</w:t>
            </w:r>
            <w:r>
              <w:rPr>
                <w:noProof/>
                <w:webHidden/>
              </w:rPr>
              <w:tab/>
            </w:r>
            <w:r>
              <w:rPr>
                <w:noProof/>
                <w:webHidden/>
              </w:rPr>
              <w:fldChar w:fldCharType="begin"/>
            </w:r>
            <w:r>
              <w:rPr>
                <w:noProof/>
                <w:webHidden/>
              </w:rPr>
              <w:instrText xml:space="preserve"> PAGEREF _Toc499538742 \h </w:instrText>
            </w:r>
            <w:r>
              <w:rPr>
                <w:noProof/>
                <w:webHidden/>
              </w:rPr>
            </w:r>
            <w:r>
              <w:rPr>
                <w:noProof/>
                <w:webHidden/>
              </w:rPr>
              <w:fldChar w:fldCharType="separate"/>
            </w:r>
            <w:r>
              <w:rPr>
                <w:noProof/>
                <w:webHidden/>
              </w:rPr>
              <w:t>27</w:t>
            </w:r>
            <w:r>
              <w:rPr>
                <w:noProof/>
                <w:webHidden/>
              </w:rPr>
              <w:fldChar w:fldCharType="end"/>
            </w:r>
          </w:hyperlink>
        </w:p>
        <w:p w:rsidR="00A96923" w:rsidRDefault="00A96923">
          <w:pPr>
            <w:pStyle w:val="TOC3"/>
            <w:tabs>
              <w:tab w:val="left" w:pos="1540"/>
              <w:tab w:val="right" w:leader="dot" w:pos="8296"/>
            </w:tabs>
            <w:rPr>
              <w:rFonts w:eastAsiaTheme="minorEastAsia" w:cstheme="minorBidi"/>
              <w:noProof/>
              <w:sz w:val="22"/>
              <w:szCs w:val="22"/>
              <w:lang w:eastAsia="en-AU"/>
            </w:rPr>
          </w:pPr>
          <w:hyperlink w:anchor="_Toc499538743" w:history="1">
            <w:r w:rsidRPr="00D27240">
              <w:rPr>
                <w:rStyle w:val="Hyperlink"/>
                <w:noProof/>
              </w:rPr>
              <w:t>4.4.1.1</w:t>
            </w:r>
            <w:r>
              <w:rPr>
                <w:rFonts w:eastAsiaTheme="minorEastAsia" w:cstheme="minorBidi"/>
                <w:noProof/>
                <w:sz w:val="22"/>
                <w:szCs w:val="22"/>
                <w:lang w:eastAsia="en-AU"/>
              </w:rPr>
              <w:tab/>
            </w:r>
            <w:r w:rsidRPr="00D27240">
              <w:rPr>
                <w:rStyle w:val="Hyperlink"/>
                <w:noProof/>
              </w:rPr>
              <w:t>SDCU target group</w:t>
            </w:r>
            <w:r>
              <w:rPr>
                <w:noProof/>
                <w:webHidden/>
              </w:rPr>
              <w:tab/>
            </w:r>
            <w:r>
              <w:rPr>
                <w:noProof/>
                <w:webHidden/>
              </w:rPr>
              <w:fldChar w:fldCharType="begin"/>
            </w:r>
            <w:r>
              <w:rPr>
                <w:noProof/>
                <w:webHidden/>
              </w:rPr>
              <w:instrText xml:space="preserve"> PAGEREF _Toc499538743 \h </w:instrText>
            </w:r>
            <w:r>
              <w:rPr>
                <w:noProof/>
                <w:webHidden/>
              </w:rPr>
            </w:r>
            <w:r>
              <w:rPr>
                <w:noProof/>
                <w:webHidden/>
              </w:rPr>
              <w:fldChar w:fldCharType="separate"/>
            </w:r>
            <w:r>
              <w:rPr>
                <w:noProof/>
                <w:webHidden/>
              </w:rPr>
              <w:t>27</w:t>
            </w:r>
            <w:r>
              <w:rPr>
                <w:noProof/>
                <w:webHidden/>
              </w:rPr>
              <w:fldChar w:fldCharType="end"/>
            </w:r>
          </w:hyperlink>
        </w:p>
        <w:p w:rsidR="00A96923" w:rsidRDefault="00A96923">
          <w:pPr>
            <w:pStyle w:val="TOC3"/>
            <w:tabs>
              <w:tab w:val="left" w:pos="1540"/>
              <w:tab w:val="right" w:leader="dot" w:pos="8296"/>
            </w:tabs>
            <w:rPr>
              <w:rFonts w:eastAsiaTheme="minorEastAsia" w:cstheme="minorBidi"/>
              <w:noProof/>
              <w:sz w:val="22"/>
              <w:szCs w:val="22"/>
              <w:lang w:eastAsia="en-AU"/>
            </w:rPr>
          </w:pPr>
          <w:hyperlink w:anchor="_Toc499538744" w:history="1">
            <w:r w:rsidRPr="00D27240">
              <w:rPr>
                <w:rStyle w:val="Hyperlink"/>
                <w:noProof/>
              </w:rPr>
              <w:t>4.4.1.2</w:t>
            </w:r>
            <w:r>
              <w:rPr>
                <w:rFonts w:eastAsiaTheme="minorEastAsia" w:cstheme="minorBidi"/>
                <w:noProof/>
                <w:sz w:val="22"/>
                <w:szCs w:val="22"/>
                <w:lang w:eastAsia="en-AU"/>
              </w:rPr>
              <w:tab/>
            </w:r>
            <w:r w:rsidRPr="00D27240">
              <w:rPr>
                <w:rStyle w:val="Hyperlink"/>
                <w:noProof/>
              </w:rPr>
              <w:t>Referral pathway</w:t>
            </w:r>
            <w:r>
              <w:rPr>
                <w:noProof/>
                <w:webHidden/>
              </w:rPr>
              <w:tab/>
            </w:r>
            <w:r>
              <w:rPr>
                <w:noProof/>
                <w:webHidden/>
              </w:rPr>
              <w:fldChar w:fldCharType="begin"/>
            </w:r>
            <w:r>
              <w:rPr>
                <w:noProof/>
                <w:webHidden/>
              </w:rPr>
              <w:instrText xml:space="preserve"> PAGEREF _Toc499538744 \h </w:instrText>
            </w:r>
            <w:r>
              <w:rPr>
                <w:noProof/>
                <w:webHidden/>
              </w:rPr>
            </w:r>
            <w:r>
              <w:rPr>
                <w:noProof/>
                <w:webHidden/>
              </w:rPr>
              <w:fldChar w:fldCharType="separate"/>
            </w:r>
            <w:r>
              <w:rPr>
                <w:noProof/>
                <w:webHidden/>
              </w:rPr>
              <w:t>28</w:t>
            </w:r>
            <w:r>
              <w:rPr>
                <w:noProof/>
                <w:webHidden/>
              </w:rPr>
              <w:fldChar w:fldCharType="end"/>
            </w:r>
          </w:hyperlink>
        </w:p>
        <w:p w:rsidR="00A96923" w:rsidRDefault="00A96923">
          <w:pPr>
            <w:pStyle w:val="TOC3"/>
            <w:tabs>
              <w:tab w:val="left" w:pos="1540"/>
              <w:tab w:val="right" w:leader="dot" w:pos="8296"/>
            </w:tabs>
            <w:rPr>
              <w:rFonts w:eastAsiaTheme="minorEastAsia" w:cstheme="minorBidi"/>
              <w:noProof/>
              <w:sz w:val="22"/>
              <w:szCs w:val="22"/>
              <w:lang w:eastAsia="en-AU"/>
            </w:rPr>
          </w:pPr>
          <w:hyperlink w:anchor="_Toc499538745" w:history="1">
            <w:r w:rsidRPr="00D27240">
              <w:rPr>
                <w:rStyle w:val="Hyperlink"/>
                <w:noProof/>
              </w:rPr>
              <w:t>4.4.1.3</w:t>
            </w:r>
            <w:r>
              <w:rPr>
                <w:rFonts w:eastAsiaTheme="minorEastAsia" w:cstheme="minorBidi"/>
                <w:noProof/>
                <w:sz w:val="22"/>
                <w:szCs w:val="22"/>
                <w:lang w:eastAsia="en-AU"/>
              </w:rPr>
              <w:tab/>
            </w:r>
            <w:r w:rsidRPr="00D27240">
              <w:rPr>
                <w:rStyle w:val="Hyperlink"/>
                <w:noProof/>
              </w:rPr>
              <w:t>Centralised intake and assessment</w:t>
            </w:r>
            <w:r>
              <w:rPr>
                <w:noProof/>
                <w:webHidden/>
              </w:rPr>
              <w:tab/>
            </w:r>
            <w:r>
              <w:rPr>
                <w:noProof/>
                <w:webHidden/>
              </w:rPr>
              <w:fldChar w:fldCharType="begin"/>
            </w:r>
            <w:r>
              <w:rPr>
                <w:noProof/>
                <w:webHidden/>
              </w:rPr>
              <w:instrText xml:space="preserve"> PAGEREF _Toc499538745 \h </w:instrText>
            </w:r>
            <w:r>
              <w:rPr>
                <w:noProof/>
                <w:webHidden/>
              </w:rPr>
            </w:r>
            <w:r>
              <w:rPr>
                <w:noProof/>
                <w:webHidden/>
              </w:rPr>
              <w:fldChar w:fldCharType="separate"/>
            </w:r>
            <w:r>
              <w:rPr>
                <w:noProof/>
                <w:webHidden/>
              </w:rPr>
              <w:t>28</w:t>
            </w:r>
            <w:r>
              <w:rPr>
                <w:noProof/>
                <w:webHidden/>
              </w:rPr>
              <w:fldChar w:fldCharType="end"/>
            </w:r>
          </w:hyperlink>
        </w:p>
        <w:p w:rsidR="00A96923" w:rsidRDefault="00A96923">
          <w:pPr>
            <w:pStyle w:val="TOC3"/>
            <w:tabs>
              <w:tab w:val="left" w:pos="1540"/>
              <w:tab w:val="right" w:leader="dot" w:pos="8296"/>
            </w:tabs>
            <w:rPr>
              <w:rFonts w:eastAsiaTheme="minorEastAsia" w:cstheme="minorBidi"/>
              <w:noProof/>
              <w:sz w:val="22"/>
              <w:szCs w:val="22"/>
              <w:lang w:eastAsia="en-AU"/>
            </w:rPr>
          </w:pPr>
          <w:hyperlink w:anchor="_Toc499538746" w:history="1">
            <w:r w:rsidRPr="00D27240">
              <w:rPr>
                <w:rStyle w:val="Hyperlink"/>
                <w:rFonts w:eastAsiaTheme="minorHAnsi"/>
                <w:noProof/>
              </w:rPr>
              <w:t>4.4.1.4</w:t>
            </w:r>
            <w:r>
              <w:rPr>
                <w:rFonts w:eastAsiaTheme="minorEastAsia" w:cstheme="minorBidi"/>
                <w:noProof/>
                <w:sz w:val="22"/>
                <w:szCs w:val="22"/>
                <w:lang w:eastAsia="en-AU"/>
              </w:rPr>
              <w:tab/>
            </w:r>
            <w:r w:rsidRPr="00D27240">
              <w:rPr>
                <w:rStyle w:val="Hyperlink"/>
                <w:noProof/>
              </w:rPr>
              <w:t>SDCU assessment elements</w:t>
            </w:r>
            <w:r>
              <w:rPr>
                <w:noProof/>
                <w:webHidden/>
              </w:rPr>
              <w:tab/>
            </w:r>
            <w:r>
              <w:rPr>
                <w:noProof/>
                <w:webHidden/>
              </w:rPr>
              <w:fldChar w:fldCharType="begin"/>
            </w:r>
            <w:r>
              <w:rPr>
                <w:noProof/>
                <w:webHidden/>
              </w:rPr>
              <w:instrText xml:space="preserve"> PAGEREF _Toc499538746 \h </w:instrText>
            </w:r>
            <w:r>
              <w:rPr>
                <w:noProof/>
                <w:webHidden/>
              </w:rPr>
            </w:r>
            <w:r>
              <w:rPr>
                <w:noProof/>
                <w:webHidden/>
              </w:rPr>
              <w:fldChar w:fldCharType="separate"/>
            </w:r>
            <w:r>
              <w:rPr>
                <w:noProof/>
                <w:webHidden/>
              </w:rPr>
              <w:t>29</w:t>
            </w:r>
            <w:r>
              <w:rPr>
                <w:noProof/>
                <w:webHidden/>
              </w:rPr>
              <w:fldChar w:fldCharType="end"/>
            </w:r>
          </w:hyperlink>
        </w:p>
        <w:p w:rsidR="00A96923" w:rsidRDefault="00A96923">
          <w:pPr>
            <w:pStyle w:val="TOC3"/>
            <w:tabs>
              <w:tab w:val="left" w:pos="1540"/>
              <w:tab w:val="right" w:leader="dot" w:pos="8296"/>
            </w:tabs>
            <w:rPr>
              <w:rFonts w:eastAsiaTheme="minorEastAsia" w:cstheme="minorBidi"/>
              <w:noProof/>
              <w:sz w:val="22"/>
              <w:szCs w:val="22"/>
              <w:lang w:eastAsia="en-AU"/>
            </w:rPr>
          </w:pPr>
          <w:hyperlink w:anchor="_Toc499538747" w:history="1">
            <w:r w:rsidRPr="00D27240">
              <w:rPr>
                <w:rStyle w:val="Hyperlink"/>
                <w:noProof/>
              </w:rPr>
              <w:t>4.4.1.5</w:t>
            </w:r>
            <w:r>
              <w:rPr>
                <w:rFonts w:eastAsiaTheme="minorEastAsia" w:cstheme="minorBidi"/>
                <w:noProof/>
                <w:sz w:val="22"/>
                <w:szCs w:val="22"/>
                <w:lang w:eastAsia="en-AU"/>
              </w:rPr>
              <w:tab/>
            </w:r>
            <w:r w:rsidRPr="00D27240">
              <w:rPr>
                <w:rStyle w:val="Hyperlink"/>
                <w:noProof/>
              </w:rPr>
              <w:t>SDCU hypothetical case studies</w:t>
            </w:r>
            <w:r>
              <w:rPr>
                <w:noProof/>
                <w:webHidden/>
              </w:rPr>
              <w:tab/>
            </w:r>
            <w:r>
              <w:rPr>
                <w:noProof/>
                <w:webHidden/>
              </w:rPr>
              <w:fldChar w:fldCharType="begin"/>
            </w:r>
            <w:r>
              <w:rPr>
                <w:noProof/>
                <w:webHidden/>
              </w:rPr>
              <w:instrText xml:space="preserve"> PAGEREF _Toc499538747 \h </w:instrText>
            </w:r>
            <w:r>
              <w:rPr>
                <w:noProof/>
                <w:webHidden/>
              </w:rPr>
            </w:r>
            <w:r>
              <w:rPr>
                <w:noProof/>
                <w:webHidden/>
              </w:rPr>
              <w:fldChar w:fldCharType="separate"/>
            </w:r>
            <w:r>
              <w:rPr>
                <w:noProof/>
                <w:webHidden/>
              </w:rPr>
              <w:t>33</w:t>
            </w:r>
            <w:r>
              <w:rPr>
                <w:noProof/>
                <w:webHidden/>
              </w:rPr>
              <w:fldChar w:fldCharType="end"/>
            </w:r>
          </w:hyperlink>
        </w:p>
        <w:p w:rsidR="00A96923" w:rsidRDefault="00A96923">
          <w:pPr>
            <w:pStyle w:val="TOC3"/>
            <w:tabs>
              <w:tab w:val="left" w:pos="1320"/>
              <w:tab w:val="right" w:leader="dot" w:pos="8296"/>
            </w:tabs>
            <w:rPr>
              <w:rFonts w:eastAsiaTheme="minorEastAsia" w:cstheme="minorBidi"/>
              <w:noProof/>
              <w:sz w:val="22"/>
              <w:szCs w:val="22"/>
              <w:lang w:eastAsia="en-AU"/>
            </w:rPr>
          </w:pPr>
          <w:hyperlink w:anchor="_Toc499538748" w:history="1">
            <w:r w:rsidRPr="00D27240">
              <w:rPr>
                <w:rStyle w:val="Hyperlink"/>
                <w:noProof/>
              </w:rPr>
              <w:t>4.4.2</w:t>
            </w:r>
            <w:r>
              <w:rPr>
                <w:rFonts w:eastAsiaTheme="minorEastAsia" w:cstheme="minorBidi"/>
                <w:noProof/>
                <w:sz w:val="22"/>
                <w:szCs w:val="22"/>
                <w:lang w:eastAsia="en-AU"/>
              </w:rPr>
              <w:tab/>
            </w:r>
            <w:r w:rsidRPr="00D27240">
              <w:rPr>
                <w:rStyle w:val="Hyperlink"/>
                <w:noProof/>
              </w:rPr>
              <w:t>Pillar 2 – SDCU delivery</w:t>
            </w:r>
            <w:r>
              <w:rPr>
                <w:noProof/>
                <w:webHidden/>
              </w:rPr>
              <w:tab/>
            </w:r>
            <w:r>
              <w:rPr>
                <w:noProof/>
                <w:webHidden/>
              </w:rPr>
              <w:fldChar w:fldCharType="begin"/>
            </w:r>
            <w:r>
              <w:rPr>
                <w:noProof/>
                <w:webHidden/>
              </w:rPr>
              <w:instrText xml:space="preserve"> PAGEREF _Toc499538748 \h </w:instrText>
            </w:r>
            <w:r>
              <w:rPr>
                <w:noProof/>
                <w:webHidden/>
              </w:rPr>
            </w:r>
            <w:r>
              <w:rPr>
                <w:noProof/>
                <w:webHidden/>
              </w:rPr>
              <w:fldChar w:fldCharType="separate"/>
            </w:r>
            <w:r>
              <w:rPr>
                <w:noProof/>
                <w:webHidden/>
              </w:rPr>
              <w:t>35</w:t>
            </w:r>
            <w:r>
              <w:rPr>
                <w:noProof/>
                <w:webHidden/>
              </w:rPr>
              <w:fldChar w:fldCharType="end"/>
            </w:r>
          </w:hyperlink>
        </w:p>
        <w:p w:rsidR="00A96923" w:rsidRDefault="00A96923">
          <w:pPr>
            <w:pStyle w:val="TOC3"/>
            <w:tabs>
              <w:tab w:val="left" w:pos="1540"/>
              <w:tab w:val="right" w:leader="dot" w:pos="8296"/>
            </w:tabs>
            <w:rPr>
              <w:rFonts w:eastAsiaTheme="minorEastAsia" w:cstheme="minorBidi"/>
              <w:noProof/>
              <w:sz w:val="22"/>
              <w:szCs w:val="22"/>
              <w:lang w:eastAsia="en-AU"/>
            </w:rPr>
          </w:pPr>
          <w:hyperlink w:anchor="_Toc499538749" w:history="1">
            <w:r w:rsidRPr="00D27240">
              <w:rPr>
                <w:rStyle w:val="Hyperlink"/>
                <w:noProof/>
              </w:rPr>
              <w:t>4.4.2.1</w:t>
            </w:r>
            <w:r>
              <w:rPr>
                <w:rFonts w:eastAsiaTheme="minorEastAsia" w:cstheme="minorBidi"/>
                <w:noProof/>
                <w:sz w:val="22"/>
                <w:szCs w:val="22"/>
                <w:lang w:eastAsia="en-AU"/>
              </w:rPr>
              <w:tab/>
            </w:r>
            <w:r w:rsidRPr="00D27240">
              <w:rPr>
                <w:rStyle w:val="Hyperlink"/>
                <w:noProof/>
              </w:rPr>
              <w:t>Care setting</w:t>
            </w:r>
            <w:r>
              <w:rPr>
                <w:noProof/>
                <w:webHidden/>
              </w:rPr>
              <w:tab/>
            </w:r>
            <w:r>
              <w:rPr>
                <w:noProof/>
                <w:webHidden/>
              </w:rPr>
              <w:fldChar w:fldCharType="begin"/>
            </w:r>
            <w:r>
              <w:rPr>
                <w:noProof/>
                <w:webHidden/>
              </w:rPr>
              <w:instrText xml:space="preserve"> PAGEREF _Toc499538749 \h </w:instrText>
            </w:r>
            <w:r>
              <w:rPr>
                <w:noProof/>
                <w:webHidden/>
              </w:rPr>
            </w:r>
            <w:r>
              <w:rPr>
                <w:noProof/>
                <w:webHidden/>
              </w:rPr>
              <w:fldChar w:fldCharType="separate"/>
            </w:r>
            <w:r>
              <w:rPr>
                <w:noProof/>
                <w:webHidden/>
              </w:rPr>
              <w:t>35</w:t>
            </w:r>
            <w:r>
              <w:rPr>
                <w:noProof/>
                <w:webHidden/>
              </w:rPr>
              <w:fldChar w:fldCharType="end"/>
            </w:r>
          </w:hyperlink>
        </w:p>
        <w:p w:rsidR="00A96923" w:rsidRDefault="00A96923">
          <w:pPr>
            <w:pStyle w:val="TOC3"/>
            <w:tabs>
              <w:tab w:val="left" w:pos="1540"/>
              <w:tab w:val="right" w:leader="dot" w:pos="8296"/>
            </w:tabs>
            <w:rPr>
              <w:rFonts w:eastAsiaTheme="minorEastAsia" w:cstheme="minorBidi"/>
              <w:noProof/>
              <w:sz w:val="22"/>
              <w:szCs w:val="22"/>
              <w:lang w:eastAsia="en-AU"/>
            </w:rPr>
          </w:pPr>
          <w:hyperlink w:anchor="_Toc499538750" w:history="1">
            <w:r w:rsidRPr="00D27240">
              <w:rPr>
                <w:rStyle w:val="Hyperlink"/>
                <w:noProof/>
              </w:rPr>
              <w:t>4.4.2.2</w:t>
            </w:r>
            <w:r>
              <w:rPr>
                <w:rFonts w:eastAsiaTheme="minorEastAsia" w:cstheme="minorBidi"/>
                <w:noProof/>
                <w:sz w:val="22"/>
                <w:szCs w:val="22"/>
                <w:lang w:eastAsia="en-AU"/>
              </w:rPr>
              <w:tab/>
            </w:r>
            <w:r w:rsidRPr="00D27240">
              <w:rPr>
                <w:rStyle w:val="Hyperlink"/>
                <w:noProof/>
              </w:rPr>
              <w:t>Philosophy of care and care approach</w:t>
            </w:r>
            <w:r>
              <w:rPr>
                <w:noProof/>
                <w:webHidden/>
              </w:rPr>
              <w:tab/>
            </w:r>
            <w:r>
              <w:rPr>
                <w:noProof/>
                <w:webHidden/>
              </w:rPr>
              <w:fldChar w:fldCharType="begin"/>
            </w:r>
            <w:r>
              <w:rPr>
                <w:noProof/>
                <w:webHidden/>
              </w:rPr>
              <w:instrText xml:space="preserve"> PAGEREF _Toc499538750 \h </w:instrText>
            </w:r>
            <w:r>
              <w:rPr>
                <w:noProof/>
                <w:webHidden/>
              </w:rPr>
            </w:r>
            <w:r>
              <w:rPr>
                <w:noProof/>
                <w:webHidden/>
              </w:rPr>
              <w:fldChar w:fldCharType="separate"/>
            </w:r>
            <w:r>
              <w:rPr>
                <w:noProof/>
                <w:webHidden/>
              </w:rPr>
              <w:t>35</w:t>
            </w:r>
            <w:r>
              <w:rPr>
                <w:noProof/>
                <w:webHidden/>
              </w:rPr>
              <w:fldChar w:fldCharType="end"/>
            </w:r>
          </w:hyperlink>
        </w:p>
        <w:p w:rsidR="00A96923" w:rsidRDefault="00A96923">
          <w:pPr>
            <w:pStyle w:val="TOC3"/>
            <w:tabs>
              <w:tab w:val="left" w:pos="1540"/>
              <w:tab w:val="right" w:leader="dot" w:pos="8296"/>
            </w:tabs>
            <w:rPr>
              <w:rFonts w:eastAsiaTheme="minorEastAsia" w:cstheme="minorBidi"/>
              <w:noProof/>
              <w:sz w:val="22"/>
              <w:szCs w:val="22"/>
              <w:lang w:eastAsia="en-AU"/>
            </w:rPr>
          </w:pPr>
          <w:hyperlink w:anchor="_Toc499538751" w:history="1">
            <w:r w:rsidRPr="00D27240">
              <w:rPr>
                <w:rStyle w:val="Hyperlink"/>
                <w:noProof/>
              </w:rPr>
              <w:t>4.4.2.3</w:t>
            </w:r>
            <w:r>
              <w:rPr>
                <w:rFonts w:eastAsiaTheme="minorEastAsia" w:cstheme="minorBidi"/>
                <w:noProof/>
                <w:sz w:val="22"/>
                <w:szCs w:val="22"/>
                <w:lang w:eastAsia="en-AU"/>
              </w:rPr>
              <w:tab/>
            </w:r>
            <w:r w:rsidRPr="00D27240">
              <w:rPr>
                <w:rStyle w:val="Hyperlink"/>
                <w:noProof/>
              </w:rPr>
              <w:t>Care planning</w:t>
            </w:r>
            <w:r>
              <w:rPr>
                <w:noProof/>
                <w:webHidden/>
              </w:rPr>
              <w:tab/>
            </w:r>
            <w:r>
              <w:rPr>
                <w:noProof/>
                <w:webHidden/>
              </w:rPr>
              <w:fldChar w:fldCharType="begin"/>
            </w:r>
            <w:r>
              <w:rPr>
                <w:noProof/>
                <w:webHidden/>
              </w:rPr>
              <w:instrText xml:space="preserve"> PAGEREF _Toc499538751 \h </w:instrText>
            </w:r>
            <w:r>
              <w:rPr>
                <w:noProof/>
                <w:webHidden/>
              </w:rPr>
            </w:r>
            <w:r>
              <w:rPr>
                <w:noProof/>
                <w:webHidden/>
              </w:rPr>
              <w:fldChar w:fldCharType="separate"/>
            </w:r>
            <w:r>
              <w:rPr>
                <w:noProof/>
                <w:webHidden/>
              </w:rPr>
              <w:t>36</w:t>
            </w:r>
            <w:r>
              <w:rPr>
                <w:noProof/>
                <w:webHidden/>
              </w:rPr>
              <w:fldChar w:fldCharType="end"/>
            </w:r>
          </w:hyperlink>
        </w:p>
        <w:p w:rsidR="00A96923" w:rsidRDefault="00A96923">
          <w:pPr>
            <w:pStyle w:val="TOC3"/>
            <w:tabs>
              <w:tab w:val="left" w:pos="1540"/>
              <w:tab w:val="right" w:leader="dot" w:pos="8296"/>
            </w:tabs>
            <w:rPr>
              <w:rFonts w:eastAsiaTheme="minorEastAsia" w:cstheme="minorBidi"/>
              <w:noProof/>
              <w:sz w:val="22"/>
              <w:szCs w:val="22"/>
              <w:lang w:eastAsia="en-AU"/>
            </w:rPr>
          </w:pPr>
          <w:hyperlink w:anchor="_Toc499538752" w:history="1">
            <w:r w:rsidRPr="00D27240">
              <w:rPr>
                <w:rStyle w:val="Hyperlink"/>
                <w:noProof/>
              </w:rPr>
              <w:t>4.4.2.4</w:t>
            </w:r>
            <w:r>
              <w:rPr>
                <w:rFonts w:eastAsiaTheme="minorEastAsia" w:cstheme="minorBidi"/>
                <w:noProof/>
                <w:sz w:val="22"/>
                <w:szCs w:val="22"/>
                <w:lang w:eastAsia="en-AU"/>
              </w:rPr>
              <w:tab/>
            </w:r>
            <w:r w:rsidRPr="00D27240">
              <w:rPr>
                <w:rStyle w:val="Hyperlink"/>
                <w:noProof/>
              </w:rPr>
              <w:t>Care and services to be provided</w:t>
            </w:r>
            <w:r>
              <w:rPr>
                <w:noProof/>
                <w:webHidden/>
              </w:rPr>
              <w:tab/>
            </w:r>
            <w:r>
              <w:rPr>
                <w:noProof/>
                <w:webHidden/>
              </w:rPr>
              <w:fldChar w:fldCharType="begin"/>
            </w:r>
            <w:r>
              <w:rPr>
                <w:noProof/>
                <w:webHidden/>
              </w:rPr>
              <w:instrText xml:space="preserve"> PAGEREF _Toc499538752 \h </w:instrText>
            </w:r>
            <w:r>
              <w:rPr>
                <w:noProof/>
                <w:webHidden/>
              </w:rPr>
            </w:r>
            <w:r>
              <w:rPr>
                <w:noProof/>
                <w:webHidden/>
              </w:rPr>
              <w:fldChar w:fldCharType="separate"/>
            </w:r>
            <w:r>
              <w:rPr>
                <w:noProof/>
                <w:webHidden/>
              </w:rPr>
              <w:t>36</w:t>
            </w:r>
            <w:r>
              <w:rPr>
                <w:noProof/>
                <w:webHidden/>
              </w:rPr>
              <w:fldChar w:fldCharType="end"/>
            </w:r>
          </w:hyperlink>
        </w:p>
        <w:p w:rsidR="00A96923" w:rsidRDefault="00A96923">
          <w:pPr>
            <w:pStyle w:val="TOC3"/>
            <w:tabs>
              <w:tab w:val="left" w:pos="1540"/>
              <w:tab w:val="right" w:leader="dot" w:pos="8296"/>
            </w:tabs>
            <w:rPr>
              <w:rFonts w:eastAsiaTheme="minorEastAsia" w:cstheme="minorBidi"/>
              <w:noProof/>
              <w:sz w:val="22"/>
              <w:szCs w:val="22"/>
              <w:lang w:eastAsia="en-AU"/>
            </w:rPr>
          </w:pPr>
          <w:hyperlink w:anchor="_Toc499538753" w:history="1">
            <w:r w:rsidRPr="00D27240">
              <w:rPr>
                <w:rStyle w:val="Hyperlink"/>
                <w:noProof/>
              </w:rPr>
              <w:t>4.4.2.5</w:t>
            </w:r>
            <w:r>
              <w:rPr>
                <w:rFonts w:eastAsiaTheme="minorEastAsia" w:cstheme="minorBidi"/>
                <w:noProof/>
                <w:sz w:val="22"/>
                <w:szCs w:val="22"/>
                <w:lang w:eastAsia="en-AU"/>
              </w:rPr>
              <w:tab/>
            </w:r>
            <w:r w:rsidRPr="00D27240">
              <w:rPr>
                <w:rStyle w:val="Hyperlink"/>
                <w:noProof/>
              </w:rPr>
              <w:t>Therapeutic and meaningful activity</w:t>
            </w:r>
            <w:r>
              <w:rPr>
                <w:noProof/>
                <w:webHidden/>
              </w:rPr>
              <w:tab/>
            </w:r>
            <w:r>
              <w:rPr>
                <w:noProof/>
                <w:webHidden/>
              </w:rPr>
              <w:fldChar w:fldCharType="begin"/>
            </w:r>
            <w:r>
              <w:rPr>
                <w:noProof/>
                <w:webHidden/>
              </w:rPr>
              <w:instrText xml:space="preserve"> PAGEREF _Toc499538753 \h </w:instrText>
            </w:r>
            <w:r>
              <w:rPr>
                <w:noProof/>
                <w:webHidden/>
              </w:rPr>
            </w:r>
            <w:r>
              <w:rPr>
                <w:noProof/>
                <w:webHidden/>
              </w:rPr>
              <w:fldChar w:fldCharType="separate"/>
            </w:r>
            <w:r>
              <w:rPr>
                <w:noProof/>
                <w:webHidden/>
              </w:rPr>
              <w:t>37</w:t>
            </w:r>
            <w:r>
              <w:rPr>
                <w:noProof/>
                <w:webHidden/>
              </w:rPr>
              <w:fldChar w:fldCharType="end"/>
            </w:r>
          </w:hyperlink>
        </w:p>
        <w:p w:rsidR="00A96923" w:rsidRDefault="00A96923">
          <w:pPr>
            <w:pStyle w:val="TOC3"/>
            <w:tabs>
              <w:tab w:val="left" w:pos="1540"/>
              <w:tab w:val="right" w:leader="dot" w:pos="8296"/>
            </w:tabs>
            <w:rPr>
              <w:rFonts w:eastAsiaTheme="minorEastAsia" w:cstheme="minorBidi"/>
              <w:noProof/>
              <w:sz w:val="22"/>
              <w:szCs w:val="22"/>
              <w:lang w:eastAsia="en-AU"/>
            </w:rPr>
          </w:pPr>
          <w:hyperlink w:anchor="_Toc499538754" w:history="1">
            <w:r w:rsidRPr="00D27240">
              <w:rPr>
                <w:rStyle w:val="Hyperlink"/>
                <w:noProof/>
              </w:rPr>
              <w:t>4.4.2.6</w:t>
            </w:r>
            <w:r>
              <w:rPr>
                <w:rFonts w:eastAsiaTheme="minorEastAsia" w:cstheme="minorBidi"/>
                <w:noProof/>
                <w:sz w:val="22"/>
                <w:szCs w:val="22"/>
                <w:lang w:eastAsia="en-AU"/>
              </w:rPr>
              <w:tab/>
            </w:r>
            <w:r w:rsidRPr="00D27240">
              <w:rPr>
                <w:rStyle w:val="Hyperlink"/>
                <w:noProof/>
              </w:rPr>
              <w:t>Leave from care</w:t>
            </w:r>
            <w:r>
              <w:rPr>
                <w:noProof/>
                <w:webHidden/>
              </w:rPr>
              <w:tab/>
            </w:r>
            <w:r>
              <w:rPr>
                <w:noProof/>
                <w:webHidden/>
              </w:rPr>
              <w:fldChar w:fldCharType="begin"/>
            </w:r>
            <w:r>
              <w:rPr>
                <w:noProof/>
                <w:webHidden/>
              </w:rPr>
              <w:instrText xml:space="preserve"> PAGEREF _Toc499538754 \h </w:instrText>
            </w:r>
            <w:r>
              <w:rPr>
                <w:noProof/>
                <w:webHidden/>
              </w:rPr>
            </w:r>
            <w:r>
              <w:rPr>
                <w:noProof/>
                <w:webHidden/>
              </w:rPr>
              <w:fldChar w:fldCharType="separate"/>
            </w:r>
            <w:r>
              <w:rPr>
                <w:noProof/>
                <w:webHidden/>
              </w:rPr>
              <w:t>37</w:t>
            </w:r>
            <w:r>
              <w:rPr>
                <w:noProof/>
                <w:webHidden/>
              </w:rPr>
              <w:fldChar w:fldCharType="end"/>
            </w:r>
          </w:hyperlink>
        </w:p>
        <w:p w:rsidR="00A96923" w:rsidRDefault="00A96923">
          <w:pPr>
            <w:pStyle w:val="TOC3"/>
            <w:tabs>
              <w:tab w:val="left" w:pos="1540"/>
              <w:tab w:val="right" w:leader="dot" w:pos="8296"/>
            </w:tabs>
            <w:rPr>
              <w:rFonts w:eastAsiaTheme="minorEastAsia" w:cstheme="minorBidi"/>
              <w:noProof/>
              <w:sz w:val="22"/>
              <w:szCs w:val="22"/>
              <w:lang w:eastAsia="en-AU"/>
            </w:rPr>
          </w:pPr>
          <w:hyperlink w:anchor="_Toc499538755" w:history="1">
            <w:r w:rsidRPr="00D27240">
              <w:rPr>
                <w:rStyle w:val="Hyperlink"/>
                <w:noProof/>
              </w:rPr>
              <w:t>4.4.2.7</w:t>
            </w:r>
            <w:r>
              <w:rPr>
                <w:rFonts w:eastAsiaTheme="minorEastAsia" w:cstheme="minorBidi"/>
                <w:noProof/>
                <w:sz w:val="22"/>
                <w:szCs w:val="22"/>
                <w:lang w:eastAsia="en-AU"/>
              </w:rPr>
              <w:tab/>
            </w:r>
            <w:r w:rsidRPr="00D27240">
              <w:rPr>
                <w:rStyle w:val="Hyperlink"/>
                <w:noProof/>
              </w:rPr>
              <w:t>Minimal use of restraint</w:t>
            </w:r>
            <w:r>
              <w:rPr>
                <w:noProof/>
                <w:webHidden/>
              </w:rPr>
              <w:tab/>
            </w:r>
            <w:r>
              <w:rPr>
                <w:noProof/>
                <w:webHidden/>
              </w:rPr>
              <w:fldChar w:fldCharType="begin"/>
            </w:r>
            <w:r>
              <w:rPr>
                <w:noProof/>
                <w:webHidden/>
              </w:rPr>
              <w:instrText xml:space="preserve"> PAGEREF _Toc499538755 \h </w:instrText>
            </w:r>
            <w:r>
              <w:rPr>
                <w:noProof/>
                <w:webHidden/>
              </w:rPr>
            </w:r>
            <w:r>
              <w:rPr>
                <w:noProof/>
                <w:webHidden/>
              </w:rPr>
              <w:fldChar w:fldCharType="separate"/>
            </w:r>
            <w:r>
              <w:rPr>
                <w:noProof/>
                <w:webHidden/>
              </w:rPr>
              <w:t>37</w:t>
            </w:r>
            <w:r>
              <w:rPr>
                <w:noProof/>
                <w:webHidden/>
              </w:rPr>
              <w:fldChar w:fldCharType="end"/>
            </w:r>
          </w:hyperlink>
        </w:p>
        <w:p w:rsidR="00A96923" w:rsidRDefault="00A96923">
          <w:pPr>
            <w:pStyle w:val="TOC3"/>
            <w:tabs>
              <w:tab w:val="left" w:pos="1320"/>
              <w:tab w:val="right" w:leader="dot" w:pos="8296"/>
            </w:tabs>
            <w:rPr>
              <w:rFonts w:eastAsiaTheme="minorEastAsia" w:cstheme="minorBidi"/>
              <w:noProof/>
              <w:sz w:val="22"/>
              <w:szCs w:val="22"/>
              <w:lang w:eastAsia="en-AU"/>
            </w:rPr>
          </w:pPr>
          <w:hyperlink w:anchor="_Toc499538756" w:history="1">
            <w:r w:rsidRPr="00D27240">
              <w:rPr>
                <w:rStyle w:val="Hyperlink"/>
                <w:noProof/>
              </w:rPr>
              <w:t>4.4.3</w:t>
            </w:r>
            <w:r>
              <w:rPr>
                <w:rFonts w:eastAsiaTheme="minorEastAsia" w:cstheme="minorBidi"/>
                <w:noProof/>
                <w:sz w:val="22"/>
                <w:szCs w:val="22"/>
                <w:lang w:eastAsia="en-AU"/>
              </w:rPr>
              <w:tab/>
            </w:r>
            <w:r w:rsidRPr="00D27240">
              <w:rPr>
                <w:rStyle w:val="Hyperlink"/>
                <w:noProof/>
              </w:rPr>
              <w:t>Pillar 3 – Supported transition out</w:t>
            </w:r>
            <w:r>
              <w:rPr>
                <w:noProof/>
                <w:webHidden/>
              </w:rPr>
              <w:tab/>
            </w:r>
            <w:r>
              <w:rPr>
                <w:noProof/>
                <w:webHidden/>
              </w:rPr>
              <w:fldChar w:fldCharType="begin"/>
            </w:r>
            <w:r>
              <w:rPr>
                <w:noProof/>
                <w:webHidden/>
              </w:rPr>
              <w:instrText xml:space="preserve"> PAGEREF _Toc499538756 \h </w:instrText>
            </w:r>
            <w:r>
              <w:rPr>
                <w:noProof/>
                <w:webHidden/>
              </w:rPr>
            </w:r>
            <w:r>
              <w:rPr>
                <w:noProof/>
                <w:webHidden/>
              </w:rPr>
              <w:fldChar w:fldCharType="separate"/>
            </w:r>
            <w:r>
              <w:rPr>
                <w:noProof/>
                <w:webHidden/>
              </w:rPr>
              <w:t>37</w:t>
            </w:r>
            <w:r>
              <w:rPr>
                <w:noProof/>
                <w:webHidden/>
              </w:rPr>
              <w:fldChar w:fldCharType="end"/>
            </w:r>
          </w:hyperlink>
        </w:p>
        <w:p w:rsidR="00A96923" w:rsidRDefault="00A96923">
          <w:pPr>
            <w:pStyle w:val="TOC3"/>
            <w:tabs>
              <w:tab w:val="left" w:pos="1540"/>
              <w:tab w:val="right" w:leader="dot" w:pos="8296"/>
            </w:tabs>
            <w:rPr>
              <w:rFonts w:eastAsiaTheme="minorEastAsia" w:cstheme="minorBidi"/>
              <w:noProof/>
              <w:sz w:val="22"/>
              <w:szCs w:val="22"/>
              <w:lang w:eastAsia="en-AU"/>
            </w:rPr>
          </w:pPr>
          <w:hyperlink w:anchor="_Toc499538757" w:history="1">
            <w:r w:rsidRPr="00D27240">
              <w:rPr>
                <w:rStyle w:val="Hyperlink"/>
                <w:noProof/>
              </w:rPr>
              <w:t>4.4.3.1</w:t>
            </w:r>
            <w:r>
              <w:rPr>
                <w:rFonts w:eastAsiaTheme="minorEastAsia" w:cstheme="minorBidi"/>
                <w:noProof/>
                <w:sz w:val="22"/>
                <w:szCs w:val="22"/>
                <w:lang w:eastAsia="en-AU"/>
              </w:rPr>
              <w:tab/>
            </w:r>
            <w:r w:rsidRPr="00D27240">
              <w:rPr>
                <w:rStyle w:val="Hyperlink"/>
                <w:noProof/>
              </w:rPr>
              <w:t>Duration of stay</w:t>
            </w:r>
            <w:r>
              <w:rPr>
                <w:noProof/>
                <w:webHidden/>
              </w:rPr>
              <w:tab/>
            </w:r>
            <w:r>
              <w:rPr>
                <w:noProof/>
                <w:webHidden/>
              </w:rPr>
              <w:fldChar w:fldCharType="begin"/>
            </w:r>
            <w:r>
              <w:rPr>
                <w:noProof/>
                <w:webHidden/>
              </w:rPr>
              <w:instrText xml:space="preserve"> PAGEREF _Toc499538757 \h </w:instrText>
            </w:r>
            <w:r>
              <w:rPr>
                <w:noProof/>
                <w:webHidden/>
              </w:rPr>
            </w:r>
            <w:r>
              <w:rPr>
                <w:noProof/>
                <w:webHidden/>
              </w:rPr>
              <w:fldChar w:fldCharType="separate"/>
            </w:r>
            <w:r>
              <w:rPr>
                <w:noProof/>
                <w:webHidden/>
              </w:rPr>
              <w:t>37</w:t>
            </w:r>
            <w:r>
              <w:rPr>
                <w:noProof/>
                <w:webHidden/>
              </w:rPr>
              <w:fldChar w:fldCharType="end"/>
            </w:r>
          </w:hyperlink>
        </w:p>
        <w:p w:rsidR="00A96923" w:rsidRDefault="00A96923">
          <w:pPr>
            <w:pStyle w:val="TOC3"/>
            <w:tabs>
              <w:tab w:val="left" w:pos="1540"/>
              <w:tab w:val="right" w:leader="dot" w:pos="8296"/>
            </w:tabs>
            <w:rPr>
              <w:rFonts w:eastAsiaTheme="minorEastAsia" w:cstheme="minorBidi"/>
              <w:noProof/>
              <w:sz w:val="22"/>
              <w:szCs w:val="22"/>
              <w:lang w:eastAsia="en-AU"/>
            </w:rPr>
          </w:pPr>
          <w:hyperlink w:anchor="_Toc499538758" w:history="1">
            <w:r w:rsidRPr="00D27240">
              <w:rPr>
                <w:rStyle w:val="Hyperlink"/>
                <w:noProof/>
              </w:rPr>
              <w:t>4.4.3.2</w:t>
            </w:r>
            <w:r>
              <w:rPr>
                <w:rFonts w:eastAsiaTheme="minorEastAsia" w:cstheme="minorBidi"/>
                <w:noProof/>
                <w:sz w:val="22"/>
                <w:szCs w:val="22"/>
                <w:lang w:eastAsia="en-AU"/>
              </w:rPr>
              <w:tab/>
            </w:r>
            <w:r w:rsidRPr="00D27240">
              <w:rPr>
                <w:rStyle w:val="Hyperlink"/>
                <w:noProof/>
              </w:rPr>
              <w:t>Monitoring, review and transition out processes</w:t>
            </w:r>
            <w:r>
              <w:rPr>
                <w:noProof/>
                <w:webHidden/>
              </w:rPr>
              <w:tab/>
            </w:r>
            <w:r>
              <w:rPr>
                <w:noProof/>
                <w:webHidden/>
              </w:rPr>
              <w:fldChar w:fldCharType="begin"/>
            </w:r>
            <w:r>
              <w:rPr>
                <w:noProof/>
                <w:webHidden/>
              </w:rPr>
              <w:instrText xml:space="preserve"> PAGEREF _Toc499538758 \h </w:instrText>
            </w:r>
            <w:r>
              <w:rPr>
                <w:noProof/>
                <w:webHidden/>
              </w:rPr>
            </w:r>
            <w:r>
              <w:rPr>
                <w:noProof/>
                <w:webHidden/>
              </w:rPr>
              <w:fldChar w:fldCharType="separate"/>
            </w:r>
            <w:r>
              <w:rPr>
                <w:noProof/>
                <w:webHidden/>
              </w:rPr>
              <w:t>38</w:t>
            </w:r>
            <w:r>
              <w:rPr>
                <w:noProof/>
                <w:webHidden/>
              </w:rPr>
              <w:fldChar w:fldCharType="end"/>
            </w:r>
          </w:hyperlink>
        </w:p>
        <w:p w:rsidR="00A96923" w:rsidRDefault="00A96923">
          <w:pPr>
            <w:pStyle w:val="TOC3"/>
            <w:tabs>
              <w:tab w:val="left" w:pos="1540"/>
              <w:tab w:val="right" w:leader="dot" w:pos="8296"/>
            </w:tabs>
            <w:rPr>
              <w:rFonts w:eastAsiaTheme="minorEastAsia" w:cstheme="minorBidi"/>
              <w:noProof/>
              <w:sz w:val="22"/>
              <w:szCs w:val="22"/>
              <w:lang w:eastAsia="en-AU"/>
            </w:rPr>
          </w:pPr>
          <w:hyperlink w:anchor="_Toc499538759" w:history="1">
            <w:r w:rsidRPr="00D27240">
              <w:rPr>
                <w:rStyle w:val="Hyperlink"/>
                <w:noProof/>
              </w:rPr>
              <w:t>4.4.3.3</w:t>
            </w:r>
            <w:r>
              <w:rPr>
                <w:rFonts w:eastAsiaTheme="minorEastAsia" w:cstheme="minorBidi"/>
                <w:noProof/>
                <w:sz w:val="22"/>
                <w:szCs w:val="22"/>
                <w:lang w:eastAsia="en-AU"/>
              </w:rPr>
              <w:tab/>
            </w:r>
            <w:r w:rsidRPr="00D27240">
              <w:rPr>
                <w:rStyle w:val="Hyperlink"/>
                <w:noProof/>
              </w:rPr>
              <w:t>Post-discharge transitional support</w:t>
            </w:r>
            <w:r>
              <w:rPr>
                <w:noProof/>
                <w:webHidden/>
              </w:rPr>
              <w:tab/>
            </w:r>
            <w:r>
              <w:rPr>
                <w:noProof/>
                <w:webHidden/>
              </w:rPr>
              <w:fldChar w:fldCharType="begin"/>
            </w:r>
            <w:r>
              <w:rPr>
                <w:noProof/>
                <w:webHidden/>
              </w:rPr>
              <w:instrText xml:space="preserve"> PAGEREF _Toc499538759 \h </w:instrText>
            </w:r>
            <w:r>
              <w:rPr>
                <w:noProof/>
                <w:webHidden/>
              </w:rPr>
            </w:r>
            <w:r>
              <w:rPr>
                <w:noProof/>
                <w:webHidden/>
              </w:rPr>
              <w:fldChar w:fldCharType="separate"/>
            </w:r>
            <w:r>
              <w:rPr>
                <w:noProof/>
                <w:webHidden/>
              </w:rPr>
              <w:t>38</w:t>
            </w:r>
            <w:r>
              <w:rPr>
                <w:noProof/>
                <w:webHidden/>
              </w:rPr>
              <w:fldChar w:fldCharType="end"/>
            </w:r>
          </w:hyperlink>
        </w:p>
        <w:p w:rsidR="00A96923" w:rsidRDefault="00A96923">
          <w:pPr>
            <w:pStyle w:val="TOC3"/>
            <w:tabs>
              <w:tab w:val="left" w:pos="1540"/>
              <w:tab w:val="right" w:leader="dot" w:pos="8296"/>
            </w:tabs>
            <w:rPr>
              <w:rFonts w:eastAsiaTheme="minorEastAsia" w:cstheme="minorBidi"/>
              <w:noProof/>
              <w:sz w:val="22"/>
              <w:szCs w:val="22"/>
              <w:lang w:eastAsia="en-AU"/>
            </w:rPr>
          </w:pPr>
          <w:hyperlink w:anchor="_Toc499538760" w:history="1">
            <w:r w:rsidRPr="00D27240">
              <w:rPr>
                <w:rStyle w:val="Hyperlink"/>
                <w:noProof/>
              </w:rPr>
              <w:t>4.4.3.4</w:t>
            </w:r>
            <w:r>
              <w:rPr>
                <w:rFonts w:eastAsiaTheme="minorEastAsia" w:cstheme="minorBidi"/>
                <w:noProof/>
                <w:sz w:val="22"/>
                <w:szCs w:val="22"/>
                <w:lang w:eastAsia="en-AU"/>
              </w:rPr>
              <w:tab/>
            </w:r>
            <w:r w:rsidRPr="00D27240">
              <w:rPr>
                <w:rStyle w:val="Hyperlink"/>
                <w:noProof/>
              </w:rPr>
              <w:t>Security of tenure</w:t>
            </w:r>
            <w:r>
              <w:rPr>
                <w:noProof/>
                <w:webHidden/>
              </w:rPr>
              <w:tab/>
            </w:r>
            <w:r>
              <w:rPr>
                <w:noProof/>
                <w:webHidden/>
              </w:rPr>
              <w:fldChar w:fldCharType="begin"/>
            </w:r>
            <w:r>
              <w:rPr>
                <w:noProof/>
                <w:webHidden/>
              </w:rPr>
              <w:instrText xml:space="preserve"> PAGEREF _Toc499538760 \h </w:instrText>
            </w:r>
            <w:r>
              <w:rPr>
                <w:noProof/>
                <w:webHidden/>
              </w:rPr>
            </w:r>
            <w:r>
              <w:rPr>
                <w:noProof/>
                <w:webHidden/>
              </w:rPr>
              <w:fldChar w:fldCharType="separate"/>
            </w:r>
            <w:r>
              <w:rPr>
                <w:noProof/>
                <w:webHidden/>
              </w:rPr>
              <w:t>38</w:t>
            </w:r>
            <w:r>
              <w:rPr>
                <w:noProof/>
                <w:webHidden/>
              </w:rPr>
              <w:fldChar w:fldCharType="end"/>
            </w:r>
          </w:hyperlink>
        </w:p>
        <w:p w:rsidR="00A96923" w:rsidRDefault="00A96923">
          <w:pPr>
            <w:pStyle w:val="TOC3"/>
            <w:tabs>
              <w:tab w:val="left" w:pos="1540"/>
              <w:tab w:val="right" w:leader="dot" w:pos="8296"/>
            </w:tabs>
            <w:rPr>
              <w:rFonts w:eastAsiaTheme="minorEastAsia" w:cstheme="minorBidi"/>
              <w:noProof/>
              <w:sz w:val="22"/>
              <w:szCs w:val="22"/>
              <w:lang w:eastAsia="en-AU"/>
            </w:rPr>
          </w:pPr>
          <w:hyperlink w:anchor="_Toc499538761" w:history="1">
            <w:r w:rsidRPr="00D27240">
              <w:rPr>
                <w:rStyle w:val="Hyperlink"/>
                <w:noProof/>
              </w:rPr>
              <w:t>4.4.3.5</w:t>
            </w:r>
            <w:r>
              <w:rPr>
                <w:rFonts w:eastAsiaTheme="minorEastAsia" w:cstheme="minorBidi"/>
                <w:noProof/>
                <w:sz w:val="22"/>
                <w:szCs w:val="22"/>
                <w:lang w:eastAsia="en-AU"/>
              </w:rPr>
              <w:tab/>
            </w:r>
            <w:r w:rsidRPr="00D27240">
              <w:rPr>
                <w:rStyle w:val="Hyperlink"/>
                <w:noProof/>
              </w:rPr>
              <w:t>SDCU re-admission</w:t>
            </w:r>
            <w:r>
              <w:rPr>
                <w:noProof/>
                <w:webHidden/>
              </w:rPr>
              <w:tab/>
            </w:r>
            <w:r>
              <w:rPr>
                <w:noProof/>
                <w:webHidden/>
              </w:rPr>
              <w:fldChar w:fldCharType="begin"/>
            </w:r>
            <w:r>
              <w:rPr>
                <w:noProof/>
                <w:webHidden/>
              </w:rPr>
              <w:instrText xml:space="preserve"> PAGEREF _Toc499538761 \h </w:instrText>
            </w:r>
            <w:r>
              <w:rPr>
                <w:noProof/>
                <w:webHidden/>
              </w:rPr>
            </w:r>
            <w:r>
              <w:rPr>
                <w:noProof/>
                <w:webHidden/>
              </w:rPr>
              <w:fldChar w:fldCharType="separate"/>
            </w:r>
            <w:r>
              <w:rPr>
                <w:noProof/>
                <w:webHidden/>
              </w:rPr>
              <w:t>39</w:t>
            </w:r>
            <w:r>
              <w:rPr>
                <w:noProof/>
                <w:webHidden/>
              </w:rPr>
              <w:fldChar w:fldCharType="end"/>
            </w:r>
          </w:hyperlink>
        </w:p>
        <w:p w:rsidR="00A96923" w:rsidRDefault="00A96923">
          <w:pPr>
            <w:pStyle w:val="TOC3"/>
            <w:tabs>
              <w:tab w:val="left" w:pos="1320"/>
              <w:tab w:val="right" w:leader="dot" w:pos="8296"/>
            </w:tabs>
            <w:rPr>
              <w:rFonts w:eastAsiaTheme="minorEastAsia" w:cstheme="minorBidi"/>
              <w:noProof/>
              <w:sz w:val="22"/>
              <w:szCs w:val="22"/>
              <w:lang w:eastAsia="en-AU"/>
            </w:rPr>
          </w:pPr>
          <w:hyperlink w:anchor="_Toc499538762" w:history="1">
            <w:r w:rsidRPr="00D27240">
              <w:rPr>
                <w:rStyle w:val="Hyperlink"/>
                <w:noProof/>
              </w:rPr>
              <w:t>4.4.4</w:t>
            </w:r>
            <w:r>
              <w:rPr>
                <w:rFonts w:eastAsiaTheme="minorEastAsia" w:cstheme="minorBidi"/>
                <w:noProof/>
                <w:sz w:val="22"/>
                <w:szCs w:val="22"/>
                <w:lang w:eastAsia="en-AU"/>
              </w:rPr>
              <w:tab/>
            </w:r>
            <w:r w:rsidRPr="00D27240">
              <w:rPr>
                <w:rStyle w:val="Hyperlink"/>
                <w:noProof/>
              </w:rPr>
              <w:t>Pillar 4 – Enabling elements</w:t>
            </w:r>
            <w:r>
              <w:rPr>
                <w:noProof/>
                <w:webHidden/>
              </w:rPr>
              <w:tab/>
            </w:r>
            <w:r>
              <w:rPr>
                <w:noProof/>
                <w:webHidden/>
              </w:rPr>
              <w:fldChar w:fldCharType="begin"/>
            </w:r>
            <w:r>
              <w:rPr>
                <w:noProof/>
                <w:webHidden/>
              </w:rPr>
              <w:instrText xml:space="preserve"> PAGEREF _Toc499538762 \h </w:instrText>
            </w:r>
            <w:r>
              <w:rPr>
                <w:noProof/>
                <w:webHidden/>
              </w:rPr>
            </w:r>
            <w:r>
              <w:rPr>
                <w:noProof/>
                <w:webHidden/>
              </w:rPr>
              <w:fldChar w:fldCharType="separate"/>
            </w:r>
            <w:r>
              <w:rPr>
                <w:noProof/>
                <w:webHidden/>
              </w:rPr>
              <w:t>39</w:t>
            </w:r>
            <w:r>
              <w:rPr>
                <w:noProof/>
                <w:webHidden/>
              </w:rPr>
              <w:fldChar w:fldCharType="end"/>
            </w:r>
          </w:hyperlink>
        </w:p>
        <w:p w:rsidR="00A96923" w:rsidRDefault="00A96923">
          <w:pPr>
            <w:pStyle w:val="TOC3"/>
            <w:tabs>
              <w:tab w:val="left" w:pos="1540"/>
              <w:tab w:val="right" w:leader="dot" w:pos="8296"/>
            </w:tabs>
            <w:rPr>
              <w:rFonts w:eastAsiaTheme="minorEastAsia" w:cstheme="minorBidi"/>
              <w:noProof/>
              <w:sz w:val="22"/>
              <w:szCs w:val="22"/>
              <w:lang w:eastAsia="en-AU"/>
            </w:rPr>
          </w:pPr>
          <w:hyperlink w:anchor="_Toc499538763" w:history="1">
            <w:r w:rsidRPr="00D27240">
              <w:rPr>
                <w:rStyle w:val="Hyperlink"/>
                <w:noProof/>
              </w:rPr>
              <w:t>4.4.4.1</w:t>
            </w:r>
            <w:r>
              <w:rPr>
                <w:rFonts w:eastAsiaTheme="minorEastAsia" w:cstheme="minorBidi"/>
                <w:noProof/>
                <w:sz w:val="22"/>
                <w:szCs w:val="22"/>
                <w:lang w:eastAsia="en-AU"/>
              </w:rPr>
              <w:tab/>
            </w:r>
            <w:r w:rsidRPr="00D27240">
              <w:rPr>
                <w:rStyle w:val="Hyperlink"/>
                <w:noProof/>
              </w:rPr>
              <w:t>Staffing, education, training and culture</w:t>
            </w:r>
            <w:r>
              <w:rPr>
                <w:noProof/>
                <w:webHidden/>
              </w:rPr>
              <w:tab/>
            </w:r>
            <w:r>
              <w:rPr>
                <w:noProof/>
                <w:webHidden/>
              </w:rPr>
              <w:fldChar w:fldCharType="begin"/>
            </w:r>
            <w:r>
              <w:rPr>
                <w:noProof/>
                <w:webHidden/>
              </w:rPr>
              <w:instrText xml:space="preserve"> PAGEREF _Toc499538763 \h </w:instrText>
            </w:r>
            <w:r>
              <w:rPr>
                <w:noProof/>
                <w:webHidden/>
              </w:rPr>
            </w:r>
            <w:r>
              <w:rPr>
                <w:noProof/>
                <w:webHidden/>
              </w:rPr>
              <w:fldChar w:fldCharType="separate"/>
            </w:r>
            <w:r>
              <w:rPr>
                <w:noProof/>
                <w:webHidden/>
              </w:rPr>
              <w:t>39</w:t>
            </w:r>
            <w:r>
              <w:rPr>
                <w:noProof/>
                <w:webHidden/>
              </w:rPr>
              <w:fldChar w:fldCharType="end"/>
            </w:r>
          </w:hyperlink>
        </w:p>
        <w:p w:rsidR="00A96923" w:rsidRDefault="00A96923">
          <w:pPr>
            <w:pStyle w:val="TOC3"/>
            <w:tabs>
              <w:tab w:val="left" w:pos="1540"/>
              <w:tab w:val="right" w:leader="dot" w:pos="8296"/>
            </w:tabs>
            <w:rPr>
              <w:rFonts w:eastAsiaTheme="minorEastAsia" w:cstheme="minorBidi"/>
              <w:noProof/>
              <w:sz w:val="22"/>
              <w:szCs w:val="22"/>
              <w:lang w:eastAsia="en-AU"/>
            </w:rPr>
          </w:pPr>
          <w:hyperlink w:anchor="_Toc499538764" w:history="1">
            <w:r w:rsidRPr="00D27240">
              <w:rPr>
                <w:rStyle w:val="Hyperlink"/>
                <w:noProof/>
              </w:rPr>
              <w:t>4.4.4.2</w:t>
            </w:r>
            <w:r>
              <w:rPr>
                <w:rFonts w:eastAsiaTheme="minorEastAsia" w:cstheme="minorBidi"/>
                <w:noProof/>
                <w:sz w:val="22"/>
                <w:szCs w:val="22"/>
                <w:lang w:eastAsia="en-AU"/>
              </w:rPr>
              <w:tab/>
            </w:r>
            <w:r w:rsidRPr="00D27240">
              <w:rPr>
                <w:rStyle w:val="Hyperlink"/>
                <w:noProof/>
              </w:rPr>
              <w:t>Physical environment</w:t>
            </w:r>
            <w:r>
              <w:rPr>
                <w:noProof/>
                <w:webHidden/>
              </w:rPr>
              <w:tab/>
            </w:r>
            <w:r>
              <w:rPr>
                <w:noProof/>
                <w:webHidden/>
              </w:rPr>
              <w:fldChar w:fldCharType="begin"/>
            </w:r>
            <w:r>
              <w:rPr>
                <w:noProof/>
                <w:webHidden/>
              </w:rPr>
              <w:instrText xml:space="preserve"> PAGEREF _Toc499538764 \h </w:instrText>
            </w:r>
            <w:r>
              <w:rPr>
                <w:noProof/>
                <w:webHidden/>
              </w:rPr>
            </w:r>
            <w:r>
              <w:rPr>
                <w:noProof/>
                <w:webHidden/>
              </w:rPr>
              <w:fldChar w:fldCharType="separate"/>
            </w:r>
            <w:r>
              <w:rPr>
                <w:noProof/>
                <w:webHidden/>
              </w:rPr>
              <w:t>39</w:t>
            </w:r>
            <w:r>
              <w:rPr>
                <w:noProof/>
                <w:webHidden/>
              </w:rPr>
              <w:fldChar w:fldCharType="end"/>
            </w:r>
          </w:hyperlink>
        </w:p>
        <w:p w:rsidR="00A96923" w:rsidRDefault="00A96923">
          <w:pPr>
            <w:pStyle w:val="TOC3"/>
            <w:tabs>
              <w:tab w:val="left" w:pos="1540"/>
              <w:tab w:val="right" w:leader="dot" w:pos="8296"/>
            </w:tabs>
            <w:rPr>
              <w:rFonts w:eastAsiaTheme="minorEastAsia" w:cstheme="minorBidi"/>
              <w:noProof/>
              <w:sz w:val="22"/>
              <w:szCs w:val="22"/>
              <w:lang w:eastAsia="en-AU"/>
            </w:rPr>
          </w:pPr>
          <w:hyperlink w:anchor="_Toc499538765" w:history="1">
            <w:r w:rsidRPr="00D27240">
              <w:rPr>
                <w:rStyle w:val="Hyperlink"/>
                <w:noProof/>
              </w:rPr>
              <w:t>4.4.4.3</w:t>
            </w:r>
            <w:r>
              <w:rPr>
                <w:rFonts w:eastAsiaTheme="minorEastAsia" w:cstheme="minorBidi"/>
                <w:noProof/>
                <w:sz w:val="22"/>
                <w:szCs w:val="22"/>
                <w:lang w:eastAsia="en-AU"/>
              </w:rPr>
              <w:tab/>
            </w:r>
            <w:r w:rsidRPr="00D27240">
              <w:rPr>
                <w:rStyle w:val="Hyperlink"/>
                <w:noProof/>
              </w:rPr>
              <w:t>Clinical governance and partnerships</w:t>
            </w:r>
            <w:r>
              <w:rPr>
                <w:noProof/>
                <w:webHidden/>
              </w:rPr>
              <w:tab/>
            </w:r>
            <w:r>
              <w:rPr>
                <w:noProof/>
                <w:webHidden/>
              </w:rPr>
              <w:fldChar w:fldCharType="begin"/>
            </w:r>
            <w:r>
              <w:rPr>
                <w:noProof/>
                <w:webHidden/>
              </w:rPr>
              <w:instrText xml:space="preserve"> PAGEREF _Toc499538765 \h </w:instrText>
            </w:r>
            <w:r>
              <w:rPr>
                <w:noProof/>
                <w:webHidden/>
              </w:rPr>
            </w:r>
            <w:r>
              <w:rPr>
                <w:noProof/>
                <w:webHidden/>
              </w:rPr>
              <w:fldChar w:fldCharType="separate"/>
            </w:r>
            <w:r>
              <w:rPr>
                <w:noProof/>
                <w:webHidden/>
              </w:rPr>
              <w:t>40</w:t>
            </w:r>
            <w:r>
              <w:rPr>
                <w:noProof/>
                <w:webHidden/>
              </w:rPr>
              <w:fldChar w:fldCharType="end"/>
            </w:r>
          </w:hyperlink>
        </w:p>
        <w:p w:rsidR="00A96923" w:rsidRDefault="00A96923">
          <w:pPr>
            <w:pStyle w:val="TOC3"/>
            <w:tabs>
              <w:tab w:val="left" w:pos="1540"/>
              <w:tab w:val="right" w:leader="dot" w:pos="8296"/>
            </w:tabs>
            <w:rPr>
              <w:rFonts w:eastAsiaTheme="minorEastAsia" w:cstheme="minorBidi"/>
              <w:noProof/>
              <w:sz w:val="22"/>
              <w:szCs w:val="22"/>
              <w:lang w:eastAsia="en-AU"/>
            </w:rPr>
          </w:pPr>
          <w:hyperlink w:anchor="_Toc499538766" w:history="1">
            <w:r w:rsidRPr="00D27240">
              <w:rPr>
                <w:rStyle w:val="Hyperlink"/>
                <w:noProof/>
              </w:rPr>
              <w:t>4.4.4.4</w:t>
            </w:r>
            <w:r>
              <w:rPr>
                <w:rFonts w:eastAsiaTheme="minorEastAsia" w:cstheme="minorBidi"/>
                <w:noProof/>
                <w:sz w:val="22"/>
                <w:szCs w:val="22"/>
                <w:lang w:eastAsia="en-AU"/>
              </w:rPr>
              <w:tab/>
            </w:r>
            <w:r w:rsidRPr="00D27240">
              <w:rPr>
                <w:rStyle w:val="Hyperlink"/>
                <w:noProof/>
              </w:rPr>
              <w:t>Involvement of families and carers</w:t>
            </w:r>
            <w:r>
              <w:rPr>
                <w:noProof/>
                <w:webHidden/>
              </w:rPr>
              <w:tab/>
            </w:r>
            <w:r>
              <w:rPr>
                <w:noProof/>
                <w:webHidden/>
              </w:rPr>
              <w:fldChar w:fldCharType="begin"/>
            </w:r>
            <w:r>
              <w:rPr>
                <w:noProof/>
                <w:webHidden/>
              </w:rPr>
              <w:instrText xml:space="preserve"> PAGEREF _Toc499538766 \h </w:instrText>
            </w:r>
            <w:r>
              <w:rPr>
                <w:noProof/>
                <w:webHidden/>
              </w:rPr>
            </w:r>
            <w:r>
              <w:rPr>
                <w:noProof/>
                <w:webHidden/>
              </w:rPr>
              <w:fldChar w:fldCharType="separate"/>
            </w:r>
            <w:r>
              <w:rPr>
                <w:noProof/>
                <w:webHidden/>
              </w:rPr>
              <w:t>40</w:t>
            </w:r>
            <w:r>
              <w:rPr>
                <w:noProof/>
                <w:webHidden/>
              </w:rPr>
              <w:fldChar w:fldCharType="end"/>
            </w:r>
          </w:hyperlink>
        </w:p>
        <w:p w:rsidR="00A96923" w:rsidRDefault="00A96923">
          <w:pPr>
            <w:pStyle w:val="TOC3"/>
            <w:tabs>
              <w:tab w:val="left" w:pos="1540"/>
              <w:tab w:val="right" w:leader="dot" w:pos="8296"/>
            </w:tabs>
            <w:rPr>
              <w:rFonts w:eastAsiaTheme="minorEastAsia" w:cstheme="minorBidi"/>
              <w:noProof/>
              <w:sz w:val="22"/>
              <w:szCs w:val="22"/>
              <w:lang w:eastAsia="en-AU"/>
            </w:rPr>
          </w:pPr>
          <w:hyperlink w:anchor="_Toc499538767" w:history="1">
            <w:r w:rsidRPr="00D27240">
              <w:rPr>
                <w:rStyle w:val="Hyperlink"/>
                <w:noProof/>
              </w:rPr>
              <w:t>4.4.4.5</w:t>
            </w:r>
            <w:r>
              <w:rPr>
                <w:rFonts w:eastAsiaTheme="minorEastAsia" w:cstheme="minorBidi"/>
                <w:noProof/>
                <w:sz w:val="22"/>
                <w:szCs w:val="22"/>
                <w:lang w:eastAsia="en-AU"/>
              </w:rPr>
              <w:tab/>
            </w:r>
            <w:r w:rsidRPr="00D27240">
              <w:rPr>
                <w:rStyle w:val="Hyperlink"/>
                <w:noProof/>
              </w:rPr>
              <w:t>Commitment to continuous improvement</w:t>
            </w:r>
            <w:r>
              <w:rPr>
                <w:noProof/>
                <w:webHidden/>
              </w:rPr>
              <w:tab/>
            </w:r>
            <w:r>
              <w:rPr>
                <w:noProof/>
                <w:webHidden/>
              </w:rPr>
              <w:fldChar w:fldCharType="begin"/>
            </w:r>
            <w:r>
              <w:rPr>
                <w:noProof/>
                <w:webHidden/>
              </w:rPr>
              <w:instrText xml:space="preserve"> PAGEREF _Toc499538767 \h </w:instrText>
            </w:r>
            <w:r>
              <w:rPr>
                <w:noProof/>
                <w:webHidden/>
              </w:rPr>
            </w:r>
            <w:r>
              <w:rPr>
                <w:noProof/>
                <w:webHidden/>
              </w:rPr>
              <w:fldChar w:fldCharType="separate"/>
            </w:r>
            <w:r>
              <w:rPr>
                <w:noProof/>
                <w:webHidden/>
              </w:rPr>
              <w:t>40</w:t>
            </w:r>
            <w:r>
              <w:rPr>
                <w:noProof/>
                <w:webHidden/>
              </w:rPr>
              <w:fldChar w:fldCharType="end"/>
            </w:r>
          </w:hyperlink>
        </w:p>
        <w:p w:rsidR="00A96923" w:rsidRDefault="00A96923">
          <w:pPr>
            <w:pStyle w:val="TOC3"/>
            <w:tabs>
              <w:tab w:val="left" w:pos="1540"/>
              <w:tab w:val="right" w:leader="dot" w:pos="8296"/>
            </w:tabs>
            <w:rPr>
              <w:rFonts w:eastAsiaTheme="minorEastAsia" w:cstheme="minorBidi"/>
              <w:noProof/>
              <w:sz w:val="22"/>
              <w:szCs w:val="22"/>
              <w:lang w:eastAsia="en-AU"/>
            </w:rPr>
          </w:pPr>
          <w:hyperlink w:anchor="_Toc499538768" w:history="1">
            <w:r w:rsidRPr="00D27240">
              <w:rPr>
                <w:rStyle w:val="Hyperlink"/>
                <w:noProof/>
              </w:rPr>
              <w:t>4.4.4.6</w:t>
            </w:r>
            <w:r>
              <w:rPr>
                <w:rFonts w:eastAsiaTheme="minorEastAsia" w:cstheme="minorBidi"/>
                <w:noProof/>
                <w:sz w:val="22"/>
                <w:szCs w:val="22"/>
                <w:lang w:eastAsia="en-AU"/>
              </w:rPr>
              <w:tab/>
            </w:r>
            <w:r w:rsidRPr="00D27240">
              <w:rPr>
                <w:rStyle w:val="Hyperlink"/>
                <w:noProof/>
              </w:rPr>
              <w:t>Quality and safeguards</w:t>
            </w:r>
            <w:r>
              <w:rPr>
                <w:noProof/>
                <w:webHidden/>
              </w:rPr>
              <w:tab/>
            </w:r>
            <w:r>
              <w:rPr>
                <w:noProof/>
                <w:webHidden/>
              </w:rPr>
              <w:fldChar w:fldCharType="begin"/>
            </w:r>
            <w:r>
              <w:rPr>
                <w:noProof/>
                <w:webHidden/>
              </w:rPr>
              <w:instrText xml:space="preserve"> PAGEREF _Toc499538768 \h </w:instrText>
            </w:r>
            <w:r>
              <w:rPr>
                <w:noProof/>
                <w:webHidden/>
              </w:rPr>
            </w:r>
            <w:r>
              <w:rPr>
                <w:noProof/>
                <w:webHidden/>
              </w:rPr>
              <w:fldChar w:fldCharType="separate"/>
            </w:r>
            <w:r>
              <w:rPr>
                <w:noProof/>
                <w:webHidden/>
              </w:rPr>
              <w:t>41</w:t>
            </w:r>
            <w:r>
              <w:rPr>
                <w:noProof/>
                <w:webHidden/>
              </w:rPr>
              <w:fldChar w:fldCharType="end"/>
            </w:r>
          </w:hyperlink>
        </w:p>
        <w:p w:rsidR="00A96923" w:rsidRDefault="00A96923">
          <w:pPr>
            <w:pStyle w:val="TOC2"/>
            <w:rPr>
              <w:rFonts w:eastAsiaTheme="minorEastAsia" w:cstheme="minorBidi"/>
              <w:noProof/>
              <w:sz w:val="22"/>
              <w:szCs w:val="22"/>
              <w:lang w:eastAsia="en-AU"/>
            </w:rPr>
          </w:pPr>
          <w:hyperlink w:anchor="_Toc499538769" w:history="1">
            <w:r w:rsidRPr="00D27240">
              <w:rPr>
                <w:rStyle w:val="Hyperlink"/>
                <w:noProof/>
              </w:rPr>
              <w:t>4.5</w:t>
            </w:r>
            <w:r>
              <w:rPr>
                <w:rFonts w:eastAsiaTheme="minorEastAsia" w:cstheme="minorBidi"/>
                <w:noProof/>
                <w:sz w:val="22"/>
                <w:szCs w:val="22"/>
                <w:lang w:eastAsia="en-AU"/>
              </w:rPr>
              <w:tab/>
            </w:r>
            <w:r w:rsidRPr="00D27240">
              <w:rPr>
                <w:rStyle w:val="Hyperlink"/>
                <w:noProof/>
              </w:rPr>
              <w:t>How will SDCUs complement existing health and aged care services for people with very severe BPSD?</w:t>
            </w:r>
            <w:r>
              <w:rPr>
                <w:noProof/>
                <w:webHidden/>
              </w:rPr>
              <w:tab/>
            </w:r>
            <w:r>
              <w:rPr>
                <w:noProof/>
                <w:webHidden/>
              </w:rPr>
              <w:fldChar w:fldCharType="begin"/>
            </w:r>
            <w:r>
              <w:rPr>
                <w:noProof/>
                <w:webHidden/>
              </w:rPr>
              <w:instrText xml:space="preserve"> PAGEREF _Toc499538769 \h </w:instrText>
            </w:r>
            <w:r>
              <w:rPr>
                <w:noProof/>
                <w:webHidden/>
              </w:rPr>
            </w:r>
            <w:r>
              <w:rPr>
                <w:noProof/>
                <w:webHidden/>
              </w:rPr>
              <w:fldChar w:fldCharType="separate"/>
            </w:r>
            <w:r>
              <w:rPr>
                <w:noProof/>
                <w:webHidden/>
              </w:rPr>
              <w:t>41</w:t>
            </w:r>
            <w:r>
              <w:rPr>
                <w:noProof/>
                <w:webHidden/>
              </w:rPr>
              <w:fldChar w:fldCharType="end"/>
            </w:r>
          </w:hyperlink>
        </w:p>
        <w:p w:rsidR="00A96923" w:rsidRDefault="00A96923">
          <w:pPr>
            <w:pStyle w:val="TOC2"/>
            <w:rPr>
              <w:rFonts w:eastAsiaTheme="minorEastAsia" w:cstheme="minorBidi"/>
              <w:noProof/>
              <w:sz w:val="22"/>
              <w:szCs w:val="22"/>
              <w:lang w:eastAsia="en-AU"/>
            </w:rPr>
          </w:pPr>
          <w:hyperlink w:anchor="_Toc499538770" w:history="1">
            <w:r w:rsidRPr="00D27240">
              <w:rPr>
                <w:rStyle w:val="Hyperlink"/>
                <w:noProof/>
              </w:rPr>
              <w:t>4.6</w:t>
            </w:r>
            <w:r>
              <w:rPr>
                <w:rFonts w:eastAsiaTheme="minorEastAsia" w:cstheme="minorBidi"/>
                <w:noProof/>
                <w:sz w:val="22"/>
                <w:szCs w:val="22"/>
                <w:lang w:eastAsia="en-AU"/>
              </w:rPr>
              <w:tab/>
            </w:r>
            <w:r w:rsidRPr="00D27240">
              <w:rPr>
                <w:rStyle w:val="Hyperlink"/>
                <w:noProof/>
              </w:rPr>
              <w:t>Providing appropriate care for people with diverse backgrounds</w:t>
            </w:r>
            <w:r>
              <w:rPr>
                <w:noProof/>
                <w:webHidden/>
              </w:rPr>
              <w:tab/>
            </w:r>
            <w:r>
              <w:rPr>
                <w:noProof/>
                <w:webHidden/>
              </w:rPr>
              <w:fldChar w:fldCharType="begin"/>
            </w:r>
            <w:r>
              <w:rPr>
                <w:noProof/>
                <w:webHidden/>
              </w:rPr>
              <w:instrText xml:space="preserve"> PAGEREF _Toc499538770 \h </w:instrText>
            </w:r>
            <w:r>
              <w:rPr>
                <w:noProof/>
                <w:webHidden/>
              </w:rPr>
            </w:r>
            <w:r>
              <w:rPr>
                <w:noProof/>
                <w:webHidden/>
              </w:rPr>
              <w:fldChar w:fldCharType="separate"/>
            </w:r>
            <w:r>
              <w:rPr>
                <w:noProof/>
                <w:webHidden/>
              </w:rPr>
              <w:t>41</w:t>
            </w:r>
            <w:r>
              <w:rPr>
                <w:noProof/>
                <w:webHidden/>
              </w:rPr>
              <w:fldChar w:fldCharType="end"/>
            </w:r>
          </w:hyperlink>
        </w:p>
        <w:p w:rsidR="00A96923" w:rsidRDefault="00A96923">
          <w:pPr>
            <w:pStyle w:val="TOC3"/>
            <w:tabs>
              <w:tab w:val="left" w:pos="1320"/>
              <w:tab w:val="right" w:leader="dot" w:pos="8296"/>
            </w:tabs>
            <w:rPr>
              <w:rFonts w:eastAsiaTheme="minorEastAsia" w:cstheme="minorBidi"/>
              <w:noProof/>
              <w:sz w:val="22"/>
              <w:szCs w:val="22"/>
              <w:lang w:eastAsia="en-AU"/>
            </w:rPr>
          </w:pPr>
          <w:hyperlink w:anchor="_Toc499538771" w:history="1">
            <w:r w:rsidRPr="00D27240">
              <w:rPr>
                <w:rStyle w:val="Hyperlink"/>
                <w:noProof/>
              </w:rPr>
              <w:t>4.6.1</w:t>
            </w:r>
            <w:r>
              <w:rPr>
                <w:rFonts w:eastAsiaTheme="minorEastAsia" w:cstheme="minorBidi"/>
                <w:noProof/>
                <w:sz w:val="22"/>
                <w:szCs w:val="22"/>
                <w:lang w:eastAsia="en-AU"/>
              </w:rPr>
              <w:tab/>
            </w:r>
            <w:r w:rsidRPr="00D27240">
              <w:rPr>
                <w:rStyle w:val="Hyperlink"/>
                <w:noProof/>
              </w:rPr>
              <w:t>Aboriginal and Torres Strait Islander peoples</w:t>
            </w:r>
            <w:r>
              <w:rPr>
                <w:noProof/>
                <w:webHidden/>
              </w:rPr>
              <w:tab/>
            </w:r>
            <w:r>
              <w:rPr>
                <w:noProof/>
                <w:webHidden/>
              </w:rPr>
              <w:fldChar w:fldCharType="begin"/>
            </w:r>
            <w:r>
              <w:rPr>
                <w:noProof/>
                <w:webHidden/>
              </w:rPr>
              <w:instrText xml:space="preserve"> PAGEREF _Toc499538771 \h </w:instrText>
            </w:r>
            <w:r>
              <w:rPr>
                <w:noProof/>
                <w:webHidden/>
              </w:rPr>
            </w:r>
            <w:r>
              <w:rPr>
                <w:noProof/>
                <w:webHidden/>
              </w:rPr>
              <w:fldChar w:fldCharType="separate"/>
            </w:r>
            <w:r>
              <w:rPr>
                <w:noProof/>
                <w:webHidden/>
              </w:rPr>
              <w:t>41</w:t>
            </w:r>
            <w:r>
              <w:rPr>
                <w:noProof/>
                <w:webHidden/>
              </w:rPr>
              <w:fldChar w:fldCharType="end"/>
            </w:r>
          </w:hyperlink>
        </w:p>
        <w:p w:rsidR="00A96923" w:rsidRDefault="00A96923">
          <w:pPr>
            <w:pStyle w:val="TOC3"/>
            <w:tabs>
              <w:tab w:val="left" w:pos="1320"/>
              <w:tab w:val="right" w:leader="dot" w:pos="8296"/>
            </w:tabs>
            <w:rPr>
              <w:rFonts w:eastAsiaTheme="minorEastAsia" w:cstheme="minorBidi"/>
              <w:noProof/>
              <w:sz w:val="22"/>
              <w:szCs w:val="22"/>
              <w:lang w:eastAsia="en-AU"/>
            </w:rPr>
          </w:pPr>
          <w:hyperlink w:anchor="_Toc499538772" w:history="1">
            <w:r w:rsidRPr="00D27240">
              <w:rPr>
                <w:rStyle w:val="Hyperlink"/>
                <w:noProof/>
              </w:rPr>
              <w:t>4.6.2</w:t>
            </w:r>
            <w:r>
              <w:rPr>
                <w:rFonts w:eastAsiaTheme="minorEastAsia" w:cstheme="minorBidi"/>
                <w:noProof/>
                <w:sz w:val="22"/>
                <w:szCs w:val="22"/>
                <w:lang w:eastAsia="en-AU"/>
              </w:rPr>
              <w:tab/>
            </w:r>
            <w:r w:rsidRPr="00D27240">
              <w:rPr>
                <w:rStyle w:val="Hyperlink"/>
                <w:noProof/>
              </w:rPr>
              <w:t>People from culturally and linguistically diverse backgrounds</w:t>
            </w:r>
            <w:r>
              <w:rPr>
                <w:noProof/>
                <w:webHidden/>
              </w:rPr>
              <w:tab/>
            </w:r>
            <w:r>
              <w:rPr>
                <w:noProof/>
                <w:webHidden/>
              </w:rPr>
              <w:fldChar w:fldCharType="begin"/>
            </w:r>
            <w:r>
              <w:rPr>
                <w:noProof/>
                <w:webHidden/>
              </w:rPr>
              <w:instrText xml:space="preserve"> PAGEREF _Toc499538772 \h </w:instrText>
            </w:r>
            <w:r>
              <w:rPr>
                <w:noProof/>
                <w:webHidden/>
              </w:rPr>
            </w:r>
            <w:r>
              <w:rPr>
                <w:noProof/>
                <w:webHidden/>
              </w:rPr>
              <w:fldChar w:fldCharType="separate"/>
            </w:r>
            <w:r>
              <w:rPr>
                <w:noProof/>
                <w:webHidden/>
              </w:rPr>
              <w:t>42</w:t>
            </w:r>
            <w:r>
              <w:rPr>
                <w:noProof/>
                <w:webHidden/>
              </w:rPr>
              <w:fldChar w:fldCharType="end"/>
            </w:r>
          </w:hyperlink>
        </w:p>
        <w:p w:rsidR="00A96923" w:rsidRDefault="00A96923">
          <w:pPr>
            <w:pStyle w:val="TOC3"/>
            <w:tabs>
              <w:tab w:val="left" w:pos="1320"/>
              <w:tab w:val="right" w:leader="dot" w:pos="8296"/>
            </w:tabs>
            <w:rPr>
              <w:rFonts w:eastAsiaTheme="minorEastAsia" w:cstheme="minorBidi"/>
              <w:noProof/>
              <w:sz w:val="22"/>
              <w:szCs w:val="22"/>
              <w:lang w:eastAsia="en-AU"/>
            </w:rPr>
          </w:pPr>
          <w:hyperlink w:anchor="_Toc499538773" w:history="1">
            <w:r w:rsidRPr="00D27240">
              <w:rPr>
                <w:rStyle w:val="Hyperlink"/>
                <w:noProof/>
              </w:rPr>
              <w:t>4.6.3</w:t>
            </w:r>
            <w:r>
              <w:rPr>
                <w:rFonts w:eastAsiaTheme="minorEastAsia" w:cstheme="minorBidi"/>
                <w:noProof/>
                <w:sz w:val="22"/>
                <w:szCs w:val="22"/>
                <w:lang w:eastAsia="en-AU"/>
              </w:rPr>
              <w:tab/>
            </w:r>
            <w:r w:rsidRPr="00D27240">
              <w:rPr>
                <w:rStyle w:val="Hyperlink"/>
                <w:noProof/>
              </w:rPr>
              <w:t>Aged Care Diversity Framework</w:t>
            </w:r>
            <w:r>
              <w:rPr>
                <w:noProof/>
                <w:webHidden/>
              </w:rPr>
              <w:tab/>
            </w:r>
            <w:r>
              <w:rPr>
                <w:noProof/>
                <w:webHidden/>
              </w:rPr>
              <w:fldChar w:fldCharType="begin"/>
            </w:r>
            <w:r>
              <w:rPr>
                <w:noProof/>
                <w:webHidden/>
              </w:rPr>
              <w:instrText xml:space="preserve"> PAGEREF _Toc499538773 \h </w:instrText>
            </w:r>
            <w:r>
              <w:rPr>
                <w:noProof/>
                <w:webHidden/>
              </w:rPr>
            </w:r>
            <w:r>
              <w:rPr>
                <w:noProof/>
                <w:webHidden/>
              </w:rPr>
              <w:fldChar w:fldCharType="separate"/>
            </w:r>
            <w:r>
              <w:rPr>
                <w:noProof/>
                <w:webHidden/>
              </w:rPr>
              <w:t>42</w:t>
            </w:r>
            <w:r>
              <w:rPr>
                <w:noProof/>
                <w:webHidden/>
              </w:rPr>
              <w:fldChar w:fldCharType="end"/>
            </w:r>
          </w:hyperlink>
        </w:p>
        <w:p w:rsidR="00A96923" w:rsidRDefault="00A96923">
          <w:pPr>
            <w:pStyle w:val="TOC3"/>
            <w:tabs>
              <w:tab w:val="left" w:pos="1320"/>
              <w:tab w:val="right" w:leader="dot" w:pos="8296"/>
            </w:tabs>
            <w:rPr>
              <w:rFonts w:eastAsiaTheme="minorEastAsia" w:cstheme="minorBidi"/>
              <w:noProof/>
              <w:sz w:val="22"/>
              <w:szCs w:val="22"/>
              <w:lang w:eastAsia="en-AU"/>
            </w:rPr>
          </w:pPr>
          <w:hyperlink w:anchor="_Toc499538774" w:history="1">
            <w:r w:rsidRPr="00D27240">
              <w:rPr>
                <w:rStyle w:val="Hyperlink"/>
                <w:noProof/>
              </w:rPr>
              <w:t>4.6.4</w:t>
            </w:r>
            <w:r>
              <w:rPr>
                <w:rFonts w:eastAsiaTheme="minorEastAsia" w:cstheme="minorBidi"/>
                <w:noProof/>
                <w:sz w:val="22"/>
                <w:szCs w:val="22"/>
                <w:lang w:eastAsia="en-AU"/>
              </w:rPr>
              <w:tab/>
            </w:r>
            <w:r w:rsidRPr="00D27240">
              <w:rPr>
                <w:rStyle w:val="Hyperlink"/>
                <w:noProof/>
              </w:rPr>
              <w:t>How will SDCUs ensure access for people in rural and remote areas?</w:t>
            </w:r>
            <w:r>
              <w:rPr>
                <w:noProof/>
                <w:webHidden/>
              </w:rPr>
              <w:tab/>
            </w:r>
            <w:r>
              <w:rPr>
                <w:noProof/>
                <w:webHidden/>
              </w:rPr>
              <w:fldChar w:fldCharType="begin"/>
            </w:r>
            <w:r>
              <w:rPr>
                <w:noProof/>
                <w:webHidden/>
              </w:rPr>
              <w:instrText xml:space="preserve"> PAGEREF _Toc499538774 \h </w:instrText>
            </w:r>
            <w:r>
              <w:rPr>
                <w:noProof/>
                <w:webHidden/>
              </w:rPr>
            </w:r>
            <w:r>
              <w:rPr>
                <w:noProof/>
                <w:webHidden/>
              </w:rPr>
              <w:fldChar w:fldCharType="separate"/>
            </w:r>
            <w:r>
              <w:rPr>
                <w:noProof/>
                <w:webHidden/>
              </w:rPr>
              <w:t>42</w:t>
            </w:r>
            <w:r>
              <w:rPr>
                <w:noProof/>
                <w:webHidden/>
              </w:rPr>
              <w:fldChar w:fldCharType="end"/>
            </w:r>
          </w:hyperlink>
        </w:p>
        <w:p w:rsidR="00A96923" w:rsidRDefault="00A96923">
          <w:pPr>
            <w:pStyle w:val="TOC1"/>
            <w:tabs>
              <w:tab w:val="left" w:pos="480"/>
            </w:tabs>
            <w:rPr>
              <w:rFonts w:eastAsiaTheme="minorEastAsia" w:cstheme="minorBidi"/>
              <w:noProof/>
              <w:sz w:val="22"/>
              <w:szCs w:val="22"/>
              <w:lang w:eastAsia="en-AU"/>
            </w:rPr>
          </w:pPr>
          <w:hyperlink w:anchor="_Toc499538775" w:history="1">
            <w:r w:rsidRPr="00D27240">
              <w:rPr>
                <w:rStyle w:val="Hyperlink"/>
                <w:noProof/>
              </w:rPr>
              <w:t>5.</w:t>
            </w:r>
            <w:r>
              <w:rPr>
                <w:rFonts w:eastAsiaTheme="minorEastAsia" w:cstheme="minorBidi"/>
                <w:noProof/>
                <w:sz w:val="22"/>
                <w:szCs w:val="22"/>
                <w:lang w:eastAsia="en-AU"/>
              </w:rPr>
              <w:tab/>
            </w:r>
            <w:r w:rsidRPr="00D27240">
              <w:rPr>
                <w:rStyle w:val="Hyperlink"/>
                <w:noProof/>
              </w:rPr>
              <w:t>SDCU proposed funding and administration</w:t>
            </w:r>
            <w:r>
              <w:rPr>
                <w:noProof/>
                <w:webHidden/>
              </w:rPr>
              <w:tab/>
            </w:r>
            <w:r>
              <w:rPr>
                <w:noProof/>
                <w:webHidden/>
              </w:rPr>
              <w:fldChar w:fldCharType="begin"/>
            </w:r>
            <w:r>
              <w:rPr>
                <w:noProof/>
                <w:webHidden/>
              </w:rPr>
              <w:instrText xml:space="preserve"> PAGEREF _Toc499538775 \h </w:instrText>
            </w:r>
            <w:r>
              <w:rPr>
                <w:noProof/>
                <w:webHidden/>
              </w:rPr>
            </w:r>
            <w:r>
              <w:rPr>
                <w:noProof/>
                <w:webHidden/>
              </w:rPr>
              <w:fldChar w:fldCharType="separate"/>
            </w:r>
            <w:r>
              <w:rPr>
                <w:noProof/>
                <w:webHidden/>
              </w:rPr>
              <w:t>43</w:t>
            </w:r>
            <w:r>
              <w:rPr>
                <w:noProof/>
                <w:webHidden/>
              </w:rPr>
              <w:fldChar w:fldCharType="end"/>
            </w:r>
          </w:hyperlink>
        </w:p>
        <w:p w:rsidR="00A96923" w:rsidRDefault="00A96923">
          <w:pPr>
            <w:pStyle w:val="TOC2"/>
            <w:rPr>
              <w:rFonts w:eastAsiaTheme="minorEastAsia" w:cstheme="minorBidi"/>
              <w:noProof/>
              <w:sz w:val="22"/>
              <w:szCs w:val="22"/>
              <w:lang w:eastAsia="en-AU"/>
            </w:rPr>
          </w:pPr>
          <w:hyperlink w:anchor="_Toc499538776" w:history="1">
            <w:r w:rsidRPr="00D27240">
              <w:rPr>
                <w:rStyle w:val="Hyperlink"/>
                <w:noProof/>
              </w:rPr>
              <w:t>5.1</w:t>
            </w:r>
            <w:r>
              <w:rPr>
                <w:rFonts w:eastAsiaTheme="minorEastAsia" w:cstheme="minorBidi"/>
                <w:noProof/>
                <w:sz w:val="22"/>
                <w:szCs w:val="22"/>
                <w:lang w:eastAsia="en-AU"/>
              </w:rPr>
              <w:tab/>
            </w:r>
            <w:r w:rsidRPr="00D27240">
              <w:rPr>
                <w:rStyle w:val="Hyperlink"/>
                <w:noProof/>
              </w:rPr>
              <w:t>Funding approach and amount</w:t>
            </w:r>
            <w:r>
              <w:rPr>
                <w:noProof/>
                <w:webHidden/>
              </w:rPr>
              <w:tab/>
            </w:r>
            <w:r>
              <w:rPr>
                <w:noProof/>
                <w:webHidden/>
              </w:rPr>
              <w:fldChar w:fldCharType="begin"/>
            </w:r>
            <w:r>
              <w:rPr>
                <w:noProof/>
                <w:webHidden/>
              </w:rPr>
              <w:instrText xml:space="preserve"> PAGEREF _Toc499538776 \h </w:instrText>
            </w:r>
            <w:r>
              <w:rPr>
                <w:noProof/>
                <w:webHidden/>
              </w:rPr>
            </w:r>
            <w:r>
              <w:rPr>
                <w:noProof/>
                <w:webHidden/>
              </w:rPr>
              <w:fldChar w:fldCharType="separate"/>
            </w:r>
            <w:r>
              <w:rPr>
                <w:noProof/>
                <w:webHidden/>
              </w:rPr>
              <w:t>43</w:t>
            </w:r>
            <w:r>
              <w:rPr>
                <w:noProof/>
                <w:webHidden/>
              </w:rPr>
              <w:fldChar w:fldCharType="end"/>
            </w:r>
          </w:hyperlink>
        </w:p>
        <w:p w:rsidR="00A96923" w:rsidRDefault="00A96923">
          <w:pPr>
            <w:pStyle w:val="TOC2"/>
            <w:rPr>
              <w:rFonts w:eastAsiaTheme="minorEastAsia" w:cstheme="minorBidi"/>
              <w:noProof/>
              <w:sz w:val="22"/>
              <w:szCs w:val="22"/>
              <w:lang w:eastAsia="en-AU"/>
            </w:rPr>
          </w:pPr>
          <w:hyperlink w:anchor="_Toc499538777" w:history="1">
            <w:r w:rsidRPr="00D27240">
              <w:rPr>
                <w:rStyle w:val="Hyperlink"/>
                <w:noProof/>
              </w:rPr>
              <w:t>5.2</w:t>
            </w:r>
            <w:r>
              <w:rPr>
                <w:rFonts w:eastAsiaTheme="minorEastAsia" w:cstheme="minorBidi"/>
                <w:noProof/>
                <w:sz w:val="22"/>
                <w:szCs w:val="22"/>
                <w:lang w:eastAsia="en-AU"/>
              </w:rPr>
              <w:tab/>
            </w:r>
            <w:r w:rsidRPr="00D27240">
              <w:rPr>
                <w:rStyle w:val="Hyperlink"/>
                <w:noProof/>
              </w:rPr>
              <w:t>Administrative options for providing ‘top up’ funding for SDCUs</w:t>
            </w:r>
            <w:r>
              <w:rPr>
                <w:noProof/>
                <w:webHidden/>
              </w:rPr>
              <w:tab/>
            </w:r>
            <w:r>
              <w:rPr>
                <w:noProof/>
                <w:webHidden/>
              </w:rPr>
              <w:fldChar w:fldCharType="begin"/>
            </w:r>
            <w:r>
              <w:rPr>
                <w:noProof/>
                <w:webHidden/>
              </w:rPr>
              <w:instrText xml:space="preserve"> PAGEREF _Toc499538777 \h </w:instrText>
            </w:r>
            <w:r>
              <w:rPr>
                <w:noProof/>
                <w:webHidden/>
              </w:rPr>
            </w:r>
            <w:r>
              <w:rPr>
                <w:noProof/>
                <w:webHidden/>
              </w:rPr>
              <w:fldChar w:fldCharType="separate"/>
            </w:r>
            <w:r>
              <w:rPr>
                <w:noProof/>
                <w:webHidden/>
              </w:rPr>
              <w:t>44</w:t>
            </w:r>
            <w:r>
              <w:rPr>
                <w:noProof/>
                <w:webHidden/>
              </w:rPr>
              <w:fldChar w:fldCharType="end"/>
            </w:r>
          </w:hyperlink>
        </w:p>
        <w:p w:rsidR="00A96923" w:rsidRDefault="00A96923">
          <w:pPr>
            <w:pStyle w:val="TOC3"/>
            <w:tabs>
              <w:tab w:val="left" w:pos="1320"/>
              <w:tab w:val="right" w:leader="dot" w:pos="8296"/>
            </w:tabs>
            <w:rPr>
              <w:rFonts w:eastAsiaTheme="minorEastAsia" w:cstheme="minorBidi"/>
              <w:noProof/>
              <w:sz w:val="22"/>
              <w:szCs w:val="22"/>
              <w:lang w:eastAsia="en-AU"/>
            </w:rPr>
          </w:pPr>
          <w:hyperlink w:anchor="_Toc499538778" w:history="1">
            <w:r w:rsidRPr="00D27240">
              <w:rPr>
                <w:rStyle w:val="Hyperlink"/>
                <w:noProof/>
              </w:rPr>
              <w:t>5.2.1</w:t>
            </w:r>
            <w:r>
              <w:rPr>
                <w:rFonts w:eastAsiaTheme="minorEastAsia" w:cstheme="minorBidi"/>
                <w:noProof/>
                <w:sz w:val="22"/>
                <w:szCs w:val="22"/>
                <w:lang w:eastAsia="en-AU"/>
              </w:rPr>
              <w:tab/>
            </w:r>
            <w:r w:rsidRPr="00D27240">
              <w:rPr>
                <w:rStyle w:val="Hyperlink"/>
                <w:noProof/>
              </w:rPr>
              <w:t>Option one: basic aged care funding plus ‘top up’ funding via a targeted supplement</w:t>
            </w:r>
            <w:r>
              <w:rPr>
                <w:noProof/>
                <w:webHidden/>
              </w:rPr>
              <w:tab/>
            </w:r>
            <w:r>
              <w:rPr>
                <w:noProof/>
                <w:webHidden/>
              </w:rPr>
              <w:fldChar w:fldCharType="begin"/>
            </w:r>
            <w:r>
              <w:rPr>
                <w:noProof/>
                <w:webHidden/>
              </w:rPr>
              <w:instrText xml:space="preserve"> PAGEREF _Toc499538778 \h </w:instrText>
            </w:r>
            <w:r>
              <w:rPr>
                <w:noProof/>
                <w:webHidden/>
              </w:rPr>
            </w:r>
            <w:r>
              <w:rPr>
                <w:noProof/>
                <w:webHidden/>
              </w:rPr>
              <w:fldChar w:fldCharType="separate"/>
            </w:r>
            <w:r>
              <w:rPr>
                <w:noProof/>
                <w:webHidden/>
              </w:rPr>
              <w:t>44</w:t>
            </w:r>
            <w:r>
              <w:rPr>
                <w:noProof/>
                <w:webHidden/>
              </w:rPr>
              <w:fldChar w:fldCharType="end"/>
            </w:r>
          </w:hyperlink>
        </w:p>
        <w:p w:rsidR="00A96923" w:rsidRDefault="00A96923">
          <w:pPr>
            <w:pStyle w:val="TOC3"/>
            <w:tabs>
              <w:tab w:val="left" w:pos="1320"/>
              <w:tab w:val="right" w:leader="dot" w:pos="8296"/>
            </w:tabs>
            <w:rPr>
              <w:rFonts w:eastAsiaTheme="minorEastAsia" w:cstheme="minorBidi"/>
              <w:noProof/>
              <w:sz w:val="22"/>
              <w:szCs w:val="22"/>
              <w:lang w:eastAsia="en-AU"/>
            </w:rPr>
          </w:pPr>
          <w:hyperlink w:anchor="_Toc499538779" w:history="1">
            <w:r w:rsidRPr="00D27240">
              <w:rPr>
                <w:rStyle w:val="Hyperlink"/>
                <w:noProof/>
              </w:rPr>
              <w:t>5.2.2</w:t>
            </w:r>
            <w:r>
              <w:rPr>
                <w:rFonts w:eastAsiaTheme="minorEastAsia" w:cstheme="minorBidi"/>
                <w:noProof/>
                <w:sz w:val="22"/>
                <w:szCs w:val="22"/>
                <w:lang w:eastAsia="en-AU"/>
              </w:rPr>
              <w:tab/>
            </w:r>
            <w:r w:rsidRPr="00D27240">
              <w:rPr>
                <w:rStyle w:val="Hyperlink"/>
                <w:noProof/>
              </w:rPr>
              <w:t>Option two: basic aged care funding plus ‘top up’ funding via a grant</w:t>
            </w:r>
            <w:r>
              <w:rPr>
                <w:noProof/>
                <w:webHidden/>
              </w:rPr>
              <w:tab/>
            </w:r>
            <w:r>
              <w:rPr>
                <w:noProof/>
                <w:webHidden/>
              </w:rPr>
              <w:fldChar w:fldCharType="begin"/>
            </w:r>
            <w:r>
              <w:rPr>
                <w:noProof/>
                <w:webHidden/>
              </w:rPr>
              <w:instrText xml:space="preserve"> PAGEREF _Toc499538779 \h </w:instrText>
            </w:r>
            <w:r>
              <w:rPr>
                <w:noProof/>
                <w:webHidden/>
              </w:rPr>
            </w:r>
            <w:r>
              <w:rPr>
                <w:noProof/>
                <w:webHidden/>
              </w:rPr>
              <w:fldChar w:fldCharType="separate"/>
            </w:r>
            <w:r>
              <w:rPr>
                <w:noProof/>
                <w:webHidden/>
              </w:rPr>
              <w:t>44</w:t>
            </w:r>
            <w:r>
              <w:rPr>
                <w:noProof/>
                <w:webHidden/>
              </w:rPr>
              <w:fldChar w:fldCharType="end"/>
            </w:r>
          </w:hyperlink>
        </w:p>
        <w:p w:rsidR="00A96923" w:rsidRDefault="00A96923">
          <w:pPr>
            <w:pStyle w:val="TOC2"/>
            <w:rPr>
              <w:rFonts w:eastAsiaTheme="minorEastAsia" w:cstheme="minorBidi"/>
              <w:noProof/>
              <w:sz w:val="22"/>
              <w:szCs w:val="22"/>
              <w:lang w:eastAsia="en-AU"/>
            </w:rPr>
          </w:pPr>
          <w:hyperlink w:anchor="_Toc499538780" w:history="1">
            <w:r w:rsidRPr="00D27240">
              <w:rPr>
                <w:rStyle w:val="Hyperlink"/>
                <w:noProof/>
              </w:rPr>
              <w:t>5.3</w:t>
            </w:r>
            <w:r>
              <w:rPr>
                <w:rFonts w:eastAsiaTheme="minorEastAsia" w:cstheme="minorBidi"/>
                <w:noProof/>
                <w:sz w:val="22"/>
                <w:szCs w:val="22"/>
                <w:lang w:eastAsia="en-AU"/>
              </w:rPr>
              <w:tab/>
            </w:r>
            <w:r w:rsidRPr="00D27240">
              <w:rPr>
                <w:rStyle w:val="Hyperlink"/>
                <w:noProof/>
              </w:rPr>
              <w:t>Block funding versus occupancy-based funding</w:t>
            </w:r>
            <w:r>
              <w:rPr>
                <w:noProof/>
                <w:webHidden/>
              </w:rPr>
              <w:tab/>
            </w:r>
            <w:r>
              <w:rPr>
                <w:noProof/>
                <w:webHidden/>
              </w:rPr>
              <w:fldChar w:fldCharType="begin"/>
            </w:r>
            <w:r>
              <w:rPr>
                <w:noProof/>
                <w:webHidden/>
              </w:rPr>
              <w:instrText xml:space="preserve"> PAGEREF _Toc499538780 \h </w:instrText>
            </w:r>
            <w:r>
              <w:rPr>
                <w:noProof/>
                <w:webHidden/>
              </w:rPr>
            </w:r>
            <w:r>
              <w:rPr>
                <w:noProof/>
                <w:webHidden/>
              </w:rPr>
              <w:fldChar w:fldCharType="separate"/>
            </w:r>
            <w:r>
              <w:rPr>
                <w:noProof/>
                <w:webHidden/>
              </w:rPr>
              <w:t>45</w:t>
            </w:r>
            <w:r>
              <w:rPr>
                <w:noProof/>
                <w:webHidden/>
              </w:rPr>
              <w:fldChar w:fldCharType="end"/>
            </w:r>
          </w:hyperlink>
        </w:p>
        <w:p w:rsidR="00A96923" w:rsidRDefault="00A96923">
          <w:pPr>
            <w:pStyle w:val="TOC2"/>
            <w:rPr>
              <w:rFonts w:eastAsiaTheme="minorEastAsia" w:cstheme="minorBidi"/>
              <w:noProof/>
              <w:sz w:val="22"/>
              <w:szCs w:val="22"/>
              <w:lang w:eastAsia="en-AU"/>
            </w:rPr>
          </w:pPr>
          <w:hyperlink w:anchor="_Toc499538781" w:history="1">
            <w:r w:rsidRPr="00D27240">
              <w:rPr>
                <w:rStyle w:val="Hyperlink"/>
                <w:noProof/>
              </w:rPr>
              <w:t>5.4</w:t>
            </w:r>
            <w:r>
              <w:rPr>
                <w:rFonts w:eastAsiaTheme="minorEastAsia" w:cstheme="minorBidi"/>
                <w:noProof/>
                <w:sz w:val="22"/>
                <w:szCs w:val="22"/>
                <w:lang w:eastAsia="en-AU"/>
              </w:rPr>
              <w:tab/>
            </w:r>
            <w:r w:rsidRPr="00D27240">
              <w:rPr>
                <w:rStyle w:val="Hyperlink"/>
                <w:noProof/>
              </w:rPr>
              <w:t>Use of top up funding</w:t>
            </w:r>
            <w:r>
              <w:rPr>
                <w:noProof/>
                <w:webHidden/>
              </w:rPr>
              <w:tab/>
            </w:r>
            <w:r>
              <w:rPr>
                <w:noProof/>
                <w:webHidden/>
              </w:rPr>
              <w:fldChar w:fldCharType="begin"/>
            </w:r>
            <w:r>
              <w:rPr>
                <w:noProof/>
                <w:webHidden/>
              </w:rPr>
              <w:instrText xml:space="preserve"> PAGEREF _Toc499538781 \h </w:instrText>
            </w:r>
            <w:r>
              <w:rPr>
                <w:noProof/>
                <w:webHidden/>
              </w:rPr>
            </w:r>
            <w:r>
              <w:rPr>
                <w:noProof/>
                <w:webHidden/>
              </w:rPr>
              <w:fldChar w:fldCharType="separate"/>
            </w:r>
            <w:r>
              <w:rPr>
                <w:noProof/>
                <w:webHidden/>
              </w:rPr>
              <w:t>45</w:t>
            </w:r>
            <w:r>
              <w:rPr>
                <w:noProof/>
                <w:webHidden/>
              </w:rPr>
              <w:fldChar w:fldCharType="end"/>
            </w:r>
          </w:hyperlink>
        </w:p>
        <w:p w:rsidR="00A96923" w:rsidRDefault="00A96923">
          <w:pPr>
            <w:pStyle w:val="TOC2"/>
            <w:rPr>
              <w:rFonts w:eastAsiaTheme="minorEastAsia" w:cstheme="minorBidi"/>
              <w:noProof/>
              <w:sz w:val="22"/>
              <w:szCs w:val="22"/>
              <w:lang w:eastAsia="en-AU"/>
            </w:rPr>
          </w:pPr>
          <w:hyperlink w:anchor="_Toc499538782" w:history="1">
            <w:r w:rsidRPr="00D27240">
              <w:rPr>
                <w:rStyle w:val="Hyperlink"/>
                <w:noProof/>
              </w:rPr>
              <w:t>5.5</w:t>
            </w:r>
            <w:r>
              <w:rPr>
                <w:rFonts w:eastAsiaTheme="minorEastAsia" w:cstheme="minorBidi"/>
                <w:noProof/>
                <w:sz w:val="22"/>
                <w:szCs w:val="22"/>
                <w:lang w:eastAsia="en-AU"/>
              </w:rPr>
              <w:tab/>
            </w:r>
            <w:r w:rsidRPr="00D27240">
              <w:rPr>
                <w:rStyle w:val="Hyperlink"/>
                <w:noProof/>
              </w:rPr>
              <w:t>Client fees and payments</w:t>
            </w:r>
            <w:r>
              <w:rPr>
                <w:noProof/>
                <w:webHidden/>
              </w:rPr>
              <w:tab/>
            </w:r>
            <w:r>
              <w:rPr>
                <w:noProof/>
                <w:webHidden/>
              </w:rPr>
              <w:fldChar w:fldCharType="begin"/>
            </w:r>
            <w:r>
              <w:rPr>
                <w:noProof/>
                <w:webHidden/>
              </w:rPr>
              <w:instrText xml:space="preserve"> PAGEREF _Toc499538782 \h </w:instrText>
            </w:r>
            <w:r>
              <w:rPr>
                <w:noProof/>
                <w:webHidden/>
              </w:rPr>
            </w:r>
            <w:r>
              <w:rPr>
                <w:noProof/>
                <w:webHidden/>
              </w:rPr>
              <w:fldChar w:fldCharType="separate"/>
            </w:r>
            <w:r>
              <w:rPr>
                <w:noProof/>
                <w:webHidden/>
              </w:rPr>
              <w:t>45</w:t>
            </w:r>
            <w:r>
              <w:rPr>
                <w:noProof/>
                <w:webHidden/>
              </w:rPr>
              <w:fldChar w:fldCharType="end"/>
            </w:r>
          </w:hyperlink>
        </w:p>
        <w:p w:rsidR="00A96923" w:rsidRDefault="00A96923">
          <w:pPr>
            <w:pStyle w:val="TOC2"/>
            <w:rPr>
              <w:rFonts w:eastAsiaTheme="minorEastAsia" w:cstheme="minorBidi"/>
              <w:noProof/>
              <w:sz w:val="22"/>
              <w:szCs w:val="22"/>
              <w:lang w:eastAsia="en-AU"/>
            </w:rPr>
          </w:pPr>
          <w:hyperlink w:anchor="_Toc499538783" w:history="1">
            <w:r w:rsidRPr="00D27240">
              <w:rPr>
                <w:rStyle w:val="Hyperlink"/>
                <w:noProof/>
              </w:rPr>
              <w:t>5.6</w:t>
            </w:r>
            <w:r>
              <w:rPr>
                <w:rFonts w:eastAsiaTheme="minorEastAsia" w:cstheme="minorBidi"/>
                <w:noProof/>
                <w:sz w:val="22"/>
                <w:szCs w:val="22"/>
                <w:lang w:eastAsia="en-AU"/>
              </w:rPr>
              <w:tab/>
            </w:r>
            <w:r w:rsidRPr="00D27240">
              <w:rPr>
                <w:rStyle w:val="Hyperlink"/>
                <w:noProof/>
              </w:rPr>
              <w:t>Reporting and related requirements</w:t>
            </w:r>
            <w:r>
              <w:rPr>
                <w:noProof/>
                <w:webHidden/>
              </w:rPr>
              <w:tab/>
            </w:r>
            <w:r>
              <w:rPr>
                <w:noProof/>
                <w:webHidden/>
              </w:rPr>
              <w:fldChar w:fldCharType="begin"/>
            </w:r>
            <w:r>
              <w:rPr>
                <w:noProof/>
                <w:webHidden/>
              </w:rPr>
              <w:instrText xml:space="preserve"> PAGEREF _Toc499538783 \h </w:instrText>
            </w:r>
            <w:r>
              <w:rPr>
                <w:noProof/>
                <w:webHidden/>
              </w:rPr>
            </w:r>
            <w:r>
              <w:rPr>
                <w:noProof/>
                <w:webHidden/>
              </w:rPr>
              <w:fldChar w:fldCharType="separate"/>
            </w:r>
            <w:r>
              <w:rPr>
                <w:noProof/>
                <w:webHidden/>
              </w:rPr>
              <w:t>46</w:t>
            </w:r>
            <w:r>
              <w:rPr>
                <w:noProof/>
                <w:webHidden/>
              </w:rPr>
              <w:fldChar w:fldCharType="end"/>
            </w:r>
          </w:hyperlink>
        </w:p>
        <w:p w:rsidR="00A96923" w:rsidRDefault="00A96923">
          <w:pPr>
            <w:pStyle w:val="TOC2"/>
            <w:rPr>
              <w:rFonts w:eastAsiaTheme="minorEastAsia" w:cstheme="minorBidi"/>
              <w:noProof/>
              <w:sz w:val="22"/>
              <w:szCs w:val="22"/>
              <w:lang w:eastAsia="en-AU"/>
            </w:rPr>
          </w:pPr>
          <w:hyperlink w:anchor="_Toc499538784" w:history="1">
            <w:r w:rsidRPr="00D27240">
              <w:rPr>
                <w:rStyle w:val="Hyperlink"/>
                <w:noProof/>
              </w:rPr>
              <w:t>5.7</w:t>
            </w:r>
            <w:r>
              <w:rPr>
                <w:rFonts w:eastAsiaTheme="minorEastAsia" w:cstheme="minorBidi"/>
                <w:noProof/>
                <w:sz w:val="22"/>
                <w:szCs w:val="22"/>
                <w:lang w:eastAsia="en-AU"/>
              </w:rPr>
              <w:tab/>
            </w:r>
            <w:r w:rsidRPr="00D27240">
              <w:rPr>
                <w:rStyle w:val="Hyperlink"/>
                <w:noProof/>
              </w:rPr>
              <w:t>Provider eligibility and selection</w:t>
            </w:r>
            <w:r>
              <w:rPr>
                <w:noProof/>
                <w:webHidden/>
              </w:rPr>
              <w:tab/>
            </w:r>
            <w:r>
              <w:rPr>
                <w:noProof/>
                <w:webHidden/>
              </w:rPr>
              <w:fldChar w:fldCharType="begin"/>
            </w:r>
            <w:r>
              <w:rPr>
                <w:noProof/>
                <w:webHidden/>
              </w:rPr>
              <w:instrText xml:space="preserve"> PAGEREF _Toc499538784 \h </w:instrText>
            </w:r>
            <w:r>
              <w:rPr>
                <w:noProof/>
                <w:webHidden/>
              </w:rPr>
            </w:r>
            <w:r>
              <w:rPr>
                <w:noProof/>
                <w:webHidden/>
              </w:rPr>
              <w:fldChar w:fldCharType="separate"/>
            </w:r>
            <w:r>
              <w:rPr>
                <w:noProof/>
                <w:webHidden/>
              </w:rPr>
              <w:t>46</w:t>
            </w:r>
            <w:r>
              <w:rPr>
                <w:noProof/>
                <w:webHidden/>
              </w:rPr>
              <w:fldChar w:fldCharType="end"/>
            </w:r>
          </w:hyperlink>
        </w:p>
        <w:p w:rsidR="00A96923" w:rsidRDefault="00A96923">
          <w:pPr>
            <w:pStyle w:val="TOC2"/>
            <w:rPr>
              <w:rFonts w:eastAsiaTheme="minorEastAsia" w:cstheme="minorBidi"/>
              <w:noProof/>
              <w:sz w:val="22"/>
              <w:szCs w:val="22"/>
              <w:lang w:eastAsia="en-AU"/>
            </w:rPr>
          </w:pPr>
          <w:hyperlink w:anchor="_Toc499538785" w:history="1">
            <w:r w:rsidRPr="00D27240">
              <w:rPr>
                <w:rStyle w:val="Hyperlink"/>
                <w:noProof/>
              </w:rPr>
              <w:t>5.8</w:t>
            </w:r>
            <w:r>
              <w:rPr>
                <w:rFonts w:eastAsiaTheme="minorEastAsia" w:cstheme="minorBidi"/>
                <w:noProof/>
                <w:sz w:val="22"/>
                <w:szCs w:val="22"/>
                <w:lang w:eastAsia="en-AU"/>
              </w:rPr>
              <w:tab/>
            </w:r>
            <w:r w:rsidRPr="00D27240">
              <w:rPr>
                <w:rStyle w:val="Hyperlink"/>
                <w:noProof/>
              </w:rPr>
              <w:t>How will SDCUs be rolled out across regions?</w:t>
            </w:r>
            <w:r>
              <w:rPr>
                <w:noProof/>
                <w:webHidden/>
              </w:rPr>
              <w:tab/>
            </w:r>
            <w:r>
              <w:rPr>
                <w:noProof/>
                <w:webHidden/>
              </w:rPr>
              <w:fldChar w:fldCharType="begin"/>
            </w:r>
            <w:r>
              <w:rPr>
                <w:noProof/>
                <w:webHidden/>
              </w:rPr>
              <w:instrText xml:space="preserve"> PAGEREF _Toc499538785 \h </w:instrText>
            </w:r>
            <w:r>
              <w:rPr>
                <w:noProof/>
                <w:webHidden/>
              </w:rPr>
            </w:r>
            <w:r>
              <w:rPr>
                <w:noProof/>
                <w:webHidden/>
              </w:rPr>
              <w:fldChar w:fldCharType="separate"/>
            </w:r>
            <w:r>
              <w:rPr>
                <w:noProof/>
                <w:webHidden/>
              </w:rPr>
              <w:t>47</w:t>
            </w:r>
            <w:r>
              <w:rPr>
                <w:noProof/>
                <w:webHidden/>
              </w:rPr>
              <w:fldChar w:fldCharType="end"/>
            </w:r>
          </w:hyperlink>
        </w:p>
        <w:p w:rsidR="00A96923" w:rsidRDefault="00A96923">
          <w:pPr>
            <w:pStyle w:val="TOC1"/>
            <w:tabs>
              <w:tab w:val="left" w:pos="480"/>
            </w:tabs>
            <w:rPr>
              <w:rFonts w:eastAsiaTheme="minorEastAsia" w:cstheme="minorBidi"/>
              <w:noProof/>
              <w:sz w:val="22"/>
              <w:szCs w:val="22"/>
              <w:lang w:eastAsia="en-AU"/>
            </w:rPr>
          </w:pPr>
          <w:hyperlink w:anchor="_Toc499538786" w:history="1">
            <w:r w:rsidRPr="00D27240">
              <w:rPr>
                <w:rStyle w:val="Hyperlink"/>
                <w:noProof/>
              </w:rPr>
              <w:t>6.</w:t>
            </w:r>
            <w:r>
              <w:rPr>
                <w:rFonts w:eastAsiaTheme="minorEastAsia" w:cstheme="minorBidi"/>
                <w:noProof/>
                <w:sz w:val="22"/>
                <w:szCs w:val="22"/>
                <w:lang w:eastAsia="en-AU"/>
              </w:rPr>
              <w:tab/>
            </w:r>
            <w:r w:rsidRPr="00D27240">
              <w:rPr>
                <w:rStyle w:val="Hyperlink"/>
                <w:noProof/>
              </w:rPr>
              <w:t>SDCU program evaluation</w:t>
            </w:r>
            <w:r>
              <w:rPr>
                <w:noProof/>
                <w:webHidden/>
              </w:rPr>
              <w:tab/>
            </w:r>
            <w:r>
              <w:rPr>
                <w:noProof/>
                <w:webHidden/>
              </w:rPr>
              <w:fldChar w:fldCharType="begin"/>
            </w:r>
            <w:r>
              <w:rPr>
                <w:noProof/>
                <w:webHidden/>
              </w:rPr>
              <w:instrText xml:space="preserve"> PAGEREF _Toc499538786 \h </w:instrText>
            </w:r>
            <w:r>
              <w:rPr>
                <w:noProof/>
                <w:webHidden/>
              </w:rPr>
            </w:r>
            <w:r>
              <w:rPr>
                <w:noProof/>
                <w:webHidden/>
              </w:rPr>
              <w:fldChar w:fldCharType="separate"/>
            </w:r>
            <w:r>
              <w:rPr>
                <w:noProof/>
                <w:webHidden/>
              </w:rPr>
              <w:t>47</w:t>
            </w:r>
            <w:r>
              <w:rPr>
                <w:noProof/>
                <w:webHidden/>
              </w:rPr>
              <w:fldChar w:fldCharType="end"/>
            </w:r>
          </w:hyperlink>
        </w:p>
        <w:p w:rsidR="00A96923" w:rsidRDefault="00A96923">
          <w:pPr>
            <w:pStyle w:val="TOC1"/>
            <w:tabs>
              <w:tab w:val="left" w:pos="480"/>
            </w:tabs>
            <w:rPr>
              <w:rFonts w:eastAsiaTheme="minorEastAsia" w:cstheme="minorBidi"/>
              <w:noProof/>
              <w:sz w:val="22"/>
              <w:szCs w:val="22"/>
              <w:lang w:eastAsia="en-AU"/>
            </w:rPr>
          </w:pPr>
          <w:hyperlink w:anchor="_Toc499538787" w:history="1">
            <w:r w:rsidRPr="00D27240">
              <w:rPr>
                <w:rStyle w:val="Hyperlink"/>
                <w:noProof/>
              </w:rPr>
              <w:t>7.</w:t>
            </w:r>
            <w:r>
              <w:rPr>
                <w:rFonts w:eastAsiaTheme="minorEastAsia" w:cstheme="minorBidi"/>
                <w:noProof/>
                <w:sz w:val="22"/>
                <w:szCs w:val="22"/>
                <w:lang w:eastAsia="en-AU"/>
              </w:rPr>
              <w:tab/>
            </w:r>
            <w:r w:rsidRPr="00D27240">
              <w:rPr>
                <w:rStyle w:val="Hyperlink"/>
                <w:noProof/>
              </w:rPr>
              <w:t>SDCU implementation timeframes</w:t>
            </w:r>
            <w:r>
              <w:rPr>
                <w:noProof/>
                <w:webHidden/>
              </w:rPr>
              <w:tab/>
            </w:r>
            <w:r>
              <w:rPr>
                <w:noProof/>
                <w:webHidden/>
              </w:rPr>
              <w:fldChar w:fldCharType="begin"/>
            </w:r>
            <w:r>
              <w:rPr>
                <w:noProof/>
                <w:webHidden/>
              </w:rPr>
              <w:instrText xml:space="preserve"> PAGEREF _Toc499538787 \h </w:instrText>
            </w:r>
            <w:r>
              <w:rPr>
                <w:noProof/>
                <w:webHidden/>
              </w:rPr>
            </w:r>
            <w:r>
              <w:rPr>
                <w:noProof/>
                <w:webHidden/>
              </w:rPr>
              <w:fldChar w:fldCharType="separate"/>
            </w:r>
            <w:r>
              <w:rPr>
                <w:noProof/>
                <w:webHidden/>
              </w:rPr>
              <w:t>48</w:t>
            </w:r>
            <w:r>
              <w:rPr>
                <w:noProof/>
                <w:webHidden/>
              </w:rPr>
              <w:fldChar w:fldCharType="end"/>
            </w:r>
          </w:hyperlink>
        </w:p>
        <w:p w:rsidR="00A96923" w:rsidRDefault="00A96923">
          <w:pPr>
            <w:pStyle w:val="TOC1"/>
            <w:tabs>
              <w:tab w:val="left" w:pos="480"/>
            </w:tabs>
            <w:rPr>
              <w:rFonts w:eastAsiaTheme="minorEastAsia" w:cstheme="minorBidi"/>
              <w:noProof/>
              <w:sz w:val="22"/>
              <w:szCs w:val="22"/>
              <w:lang w:eastAsia="en-AU"/>
            </w:rPr>
          </w:pPr>
          <w:hyperlink w:anchor="_Toc499538788" w:history="1">
            <w:r w:rsidRPr="00D27240">
              <w:rPr>
                <w:rStyle w:val="Hyperlink"/>
                <w:noProof/>
              </w:rPr>
              <w:t>8.</w:t>
            </w:r>
            <w:r>
              <w:rPr>
                <w:rFonts w:eastAsiaTheme="minorEastAsia" w:cstheme="minorBidi"/>
                <w:noProof/>
                <w:sz w:val="22"/>
                <w:szCs w:val="22"/>
                <w:lang w:eastAsia="en-AU"/>
              </w:rPr>
              <w:tab/>
            </w:r>
            <w:r w:rsidRPr="00D27240">
              <w:rPr>
                <w:rStyle w:val="Hyperlink"/>
                <w:noProof/>
              </w:rPr>
              <w:t>Next steps and further information</w:t>
            </w:r>
            <w:r>
              <w:rPr>
                <w:noProof/>
                <w:webHidden/>
              </w:rPr>
              <w:tab/>
            </w:r>
            <w:r>
              <w:rPr>
                <w:noProof/>
                <w:webHidden/>
              </w:rPr>
              <w:fldChar w:fldCharType="begin"/>
            </w:r>
            <w:r>
              <w:rPr>
                <w:noProof/>
                <w:webHidden/>
              </w:rPr>
              <w:instrText xml:space="preserve"> PAGEREF _Toc499538788 \h </w:instrText>
            </w:r>
            <w:r>
              <w:rPr>
                <w:noProof/>
                <w:webHidden/>
              </w:rPr>
            </w:r>
            <w:r>
              <w:rPr>
                <w:noProof/>
                <w:webHidden/>
              </w:rPr>
              <w:fldChar w:fldCharType="separate"/>
            </w:r>
            <w:r>
              <w:rPr>
                <w:noProof/>
                <w:webHidden/>
              </w:rPr>
              <w:t>48</w:t>
            </w:r>
            <w:r>
              <w:rPr>
                <w:noProof/>
                <w:webHidden/>
              </w:rPr>
              <w:fldChar w:fldCharType="end"/>
            </w:r>
          </w:hyperlink>
        </w:p>
        <w:p w:rsidR="00A96923" w:rsidRDefault="00A96923">
          <w:pPr>
            <w:pStyle w:val="TOC1"/>
            <w:rPr>
              <w:rFonts w:eastAsiaTheme="minorEastAsia" w:cstheme="minorBidi"/>
              <w:noProof/>
              <w:sz w:val="22"/>
              <w:szCs w:val="22"/>
              <w:lang w:eastAsia="en-AU"/>
            </w:rPr>
          </w:pPr>
          <w:hyperlink w:anchor="_Toc499538789" w:history="1">
            <w:r w:rsidRPr="00D27240">
              <w:rPr>
                <w:rStyle w:val="Hyperlink"/>
                <w:noProof/>
              </w:rPr>
              <w:t>Endnotes</w:t>
            </w:r>
            <w:r>
              <w:rPr>
                <w:noProof/>
                <w:webHidden/>
              </w:rPr>
              <w:tab/>
            </w:r>
            <w:r>
              <w:rPr>
                <w:noProof/>
                <w:webHidden/>
              </w:rPr>
              <w:fldChar w:fldCharType="begin"/>
            </w:r>
            <w:r>
              <w:rPr>
                <w:noProof/>
                <w:webHidden/>
              </w:rPr>
              <w:instrText xml:space="preserve"> PAGEREF _Toc499538789 \h </w:instrText>
            </w:r>
            <w:r>
              <w:rPr>
                <w:noProof/>
                <w:webHidden/>
              </w:rPr>
            </w:r>
            <w:r>
              <w:rPr>
                <w:noProof/>
                <w:webHidden/>
              </w:rPr>
              <w:fldChar w:fldCharType="separate"/>
            </w:r>
            <w:r>
              <w:rPr>
                <w:noProof/>
                <w:webHidden/>
              </w:rPr>
              <w:t>50</w:t>
            </w:r>
            <w:r>
              <w:rPr>
                <w:noProof/>
                <w:webHidden/>
              </w:rPr>
              <w:fldChar w:fldCharType="end"/>
            </w:r>
          </w:hyperlink>
        </w:p>
        <w:p w:rsidR="00CA4FF1" w:rsidRDefault="00CA4FF1" w:rsidP="00CA4FF1">
          <w:pPr>
            <w:jc w:val="both"/>
          </w:pPr>
          <w:r>
            <w:rPr>
              <w:b/>
              <w:bCs/>
              <w:noProof/>
            </w:rPr>
            <w:fldChar w:fldCharType="end"/>
          </w:r>
        </w:p>
      </w:sdtContent>
    </w:sdt>
    <w:p w:rsidR="00CA4FF1" w:rsidRDefault="00CA4FF1" w:rsidP="00CA4FF1">
      <w:pPr>
        <w:jc w:val="both"/>
        <w:rPr>
          <w:b/>
        </w:rPr>
      </w:pPr>
      <w:r>
        <w:rPr>
          <w:b/>
        </w:rPr>
        <w:br w:type="page"/>
      </w:r>
    </w:p>
    <w:p w:rsidR="00CA4FF1" w:rsidRDefault="00CA4FF1" w:rsidP="00CA4FF1">
      <w:pPr>
        <w:pStyle w:val="Heading1"/>
        <w:jc w:val="both"/>
      </w:pPr>
      <w:bookmarkStart w:id="1" w:name="_Toc499538713"/>
      <w:r>
        <w:lastRenderedPageBreak/>
        <w:t>Abbreviations</w:t>
      </w:r>
      <w:bookmarkEnd w:id="1"/>
    </w:p>
    <w:p w:rsidR="00CA4FF1" w:rsidRPr="00ED051E" w:rsidRDefault="00CA4FF1" w:rsidP="00CA4FF1">
      <w:pPr>
        <w:jc w:val="both"/>
      </w:pPr>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bbreviations"/>
        <w:tblDescription w:val="table of abbreviations used in the document"/>
      </w:tblPr>
      <w:tblGrid>
        <w:gridCol w:w="2093"/>
        <w:gridCol w:w="6804"/>
      </w:tblGrid>
      <w:tr w:rsidR="00CA4FF1" w:rsidRPr="00DD7FA8" w:rsidTr="00F24B50">
        <w:trPr>
          <w:tblHeader/>
        </w:trPr>
        <w:tc>
          <w:tcPr>
            <w:tcW w:w="2093" w:type="dxa"/>
          </w:tcPr>
          <w:p w:rsidR="00CA4FF1" w:rsidRPr="00B824B7" w:rsidRDefault="00CA4FF1" w:rsidP="00F24B50">
            <w:pPr>
              <w:spacing w:after="120"/>
              <w:jc w:val="both"/>
              <w:rPr>
                <w:b/>
                <w:sz w:val="24"/>
              </w:rPr>
            </w:pPr>
            <w:r w:rsidRPr="00B824B7">
              <w:rPr>
                <w:b/>
                <w:sz w:val="24"/>
              </w:rPr>
              <w:t>Abbreviation</w:t>
            </w:r>
          </w:p>
        </w:tc>
        <w:tc>
          <w:tcPr>
            <w:tcW w:w="6804" w:type="dxa"/>
          </w:tcPr>
          <w:p w:rsidR="00CA4FF1" w:rsidRPr="00B824B7" w:rsidRDefault="00CA4FF1" w:rsidP="00F24B50">
            <w:pPr>
              <w:spacing w:after="120"/>
              <w:jc w:val="both"/>
              <w:rPr>
                <w:b/>
                <w:sz w:val="24"/>
              </w:rPr>
            </w:pPr>
            <w:r w:rsidRPr="00B824B7">
              <w:rPr>
                <w:b/>
                <w:sz w:val="24"/>
              </w:rPr>
              <w:t>Description</w:t>
            </w:r>
          </w:p>
        </w:tc>
      </w:tr>
      <w:tr w:rsidR="00CA4FF1" w:rsidTr="00F24B50">
        <w:tc>
          <w:tcPr>
            <w:tcW w:w="2093" w:type="dxa"/>
          </w:tcPr>
          <w:p w:rsidR="00CA4FF1" w:rsidRPr="00B824B7" w:rsidRDefault="00CA4FF1" w:rsidP="00F24B50">
            <w:pPr>
              <w:spacing w:after="120"/>
              <w:jc w:val="both"/>
              <w:rPr>
                <w:sz w:val="24"/>
              </w:rPr>
            </w:pPr>
            <w:r w:rsidRPr="00B824B7">
              <w:rPr>
                <w:sz w:val="24"/>
              </w:rPr>
              <w:t>ACAR</w:t>
            </w:r>
          </w:p>
        </w:tc>
        <w:tc>
          <w:tcPr>
            <w:tcW w:w="6804" w:type="dxa"/>
          </w:tcPr>
          <w:p w:rsidR="00CA4FF1" w:rsidRPr="00B824B7" w:rsidRDefault="00CA4FF1" w:rsidP="00F24B50">
            <w:pPr>
              <w:spacing w:after="120"/>
              <w:jc w:val="both"/>
              <w:rPr>
                <w:sz w:val="24"/>
              </w:rPr>
            </w:pPr>
            <w:r w:rsidRPr="00B824B7">
              <w:rPr>
                <w:sz w:val="24"/>
              </w:rPr>
              <w:t>Aged Care Approvals Round</w:t>
            </w:r>
          </w:p>
        </w:tc>
      </w:tr>
      <w:tr w:rsidR="00CA4FF1" w:rsidTr="00F24B50">
        <w:tc>
          <w:tcPr>
            <w:tcW w:w="2093" w:type="dxa"/>
          </w:tcPr>
          <w:p w:rsidR="00CA4FF1" w:rsidRPr="00B824B7" w:rsidRDefault="00CA4FF1" w:rsidP="00F24B50">
            <w:pPr>
              <w:spacing w:after="120"/>
              <w:jc w:val="both"/>
              <w:rPr>
                <w:sz w:val="24"/>
              </w:rPr>
            </w:pPr>
            <w:r w:rsidRPr="00B824B7">
              <w:rPr>
                <w:sz w:val="24"/>
              </w:rPr>
              <w:t>ACAT</w:t>
            </w:r>
          </w:p>
        </w:tc>
        <w:tc>
          <w:tcPr>
            <w:tcW w:w="6804" w:type="dxa"/>
          </w:tcPr>
          <w:p w:rsidR="00CA4FF1" w:rsidRPr="00B824B7" w:rsidRDefault="00CA4FF1" w:rsidP="00F24B50">
            <w:pPr>
              <w:spacing w:after="120"/>
              <w:jc w:val="both"/>
              <w:rPr>
                <w:sz w:val="24"/>
              </w:rPr>
            </w:pPr>
            <w:r w:rsidRPr="00B824B7">
              <w:rPr>
                <w:sz w:val="24"/>
              </w:rPr>
              <w:t>Aged Care Assessment Team</w:t>
            </w:r>
          </w:p>
        </w:tc>
      </w:tr>
      <w:tr w:rsidR="00CA4FF1" w:rsidTr="00F24B50">
        <w:tc>
          <w:tcPr>
            <w:tcW w:w="2093" w:type="dxa"/>
          </w:tcPr>
          <w:p w:rsidR="00CA4FF1" w:rsidRPr="00B824B7" w:rsidRDefault="00CA4FF1" w:rsidP="00F24B50">
            <w:pPr>
              <w:spacing w:after="120"/>
              <w:jc w:val="both"/>
              <w:rPr>
                <w:sz w:val="24"/>
              </w:rPr>
            </w:pPr>
            <w:r w:rsidRPr="00B824B7">
              <w:rPr>
                <w:sz w:val="24"/>
              </w:rPr>
              <w:t>ACFI</w:t>
            </w:r>
          </w:p>
        </w:tc>
        <w:tc>
          <w:tcPr>
            <w:tcW w:w="6804" w:type="dxa"/>
          </w:tcPr>
          <w:p w:rsidR="00CA4FF1" w:rsidRPr="00B824B7" w:rsidRDefault="00CA4FF1" w:rsidP="00F24B50">
            <w:pPr>
              <w:spacing w:after="120"/>
              <w:jc w:val="both"/>
              <w:rPr>
                <w:sz w:val="24"/>
              </w:rPr>
            </w:pPr>
            <w:r w:rsidRPr="00B824B7">
              <w:rPr>
                <w:sz w:val="24"/>
              </w:rPr>
              <w:t>Aged Care Funding Instrument</w:t>
            </w:r>
          </w:p>
        </w:tc>
      </w:tr>
      <w:tr w:rsidR="00CA4FF1" w:rsidRPr="00F112C3" w:rsidTr="00F24B50">
        <w:tc>
          <w:tcPr>
            <w:tcW w:w="2093" w:type="dxa"/>
          </w:tcPr>
          <w:p w:rsidR="00CA4FF1" w:rsidRPr="00B824B7" w:rsidRDefault="00CA4FF1" w:rsidP="00F24B50">
            <w:pPr>
              <w:spacing w:after="120"/>
              <w:jc w:val="both"/>
              <w:rPr>
                <w:sz w:val="24"/>
              </w:rPr>
            </w:pPr>
            <w:r w:rsidRPr="00B824B7">
              <w:rPr>
                <w:sz w:val="24"/>
              </w:rPr>
              <w:t>BPSD</w:t>
            </w:r>
          </w:p>
        </w:tc>
        <w:tc>
          <w:tcPr>
            <w:tcW w:w="6804" w:type="dxa"/>
          </w:tcPr>
          <w:p w:rsidR="00CA4FF1" w:rsidRPr="00B824B7" w:rsidRDefault="00CA4FF1" w:rsidP="00F24B50">
            <w:pPr>
              <w:spacing w:after="120"/>
              <w:jc w:val="both"/>
              <w:rPr>
                <w:sz w:val="24"/>
              </w:rPr>
            </w:pPr>
            <w:r w:rsidRPr="00B824B7">
              <w:rPr>
                <w:sz w:val="24"/>
              </w:rPr>
              <w:t>behavioural and psychological symptoms of dementia</w:t>
            </w:r>
          </w:p>
        </w:tc>
      </w:tr>
      <w:tr w:rsidR="00CA4FF1" w:rsidTr="00F24B50">
        <w:tc>
          <w:tcPr>
            <w:tcW w:w="2093" w:type="dxa"/>
          </w:tcPr>
          <w:p w:rsidR="00CA4FF1" w:rsidRPr="00B824B7" w:rsidRDefault="00CA4FF1" w:rsidP="00F24B50">
            <w:pPr>
              <w:spacing w:after="120"/>
              <w:jc w:val="both"/>
              <w:rPr>
                <w:sz w:val="24"/>
              </w:rPr>
            </w:pPr>
            <w:r w:rsidRPr="00B824B7">
              <w:rPr>
                <w:sz w:val="24"/>
              </w:rPr>
              <w:t>CALD</w:t>
            </w:r>
          </w:p>
        </w:tc>
        <w:tc>
          <w:tcPr>
            <w:tcW w:w="6804" w:type="dxa"/>
          </w:tcPr>
          <w:p w:rsidR="00CA4FF1" w:rsidRPr="00B824B7" w:rsidRDefault="00CA4FF1" w:rsidP="00F24B50">
            <w:pPr>
              <w:spacing w:after="120"/>
              <w:jc w:val="both"/>
              <w:rPr>
                <w:sz w:val="24"/>
              </w:rPr>
            </w:pPr>
            <w:r w:rsidRPr="00B824B7">
              <w:rPr>
                <w:sz w:val="24"/>
              </w:rPr>
              <w:t>culturally and linguistically diverse</w:t>
            </w:r>
          </w:p>
        </w:tc>
      </w:tr>
      <w:tr w:rsidR="00CA4FF1" w:rsidTr="00F24B50">
        <w:tc>
          <w:tcPr>
            <w:tcW w:w="2093" w:type="dxa"/>
          </w:tcPr>
          <w:p w:rsidR="00CA4FF1" w:rsidRPr="00B824B7" w:rsidRDefault="00CA4FF1" w:rsidP="00F24B50">
            <w:pPr>
              <w:spacing w:after="120"/>
              <w:jc w:val="both"/>
              <w:rPr>
                <w:sz w:val="24"/>
              </w:rPr>
            </w:pPr>
            <w:r w:rsidRPr="00B824B7">
              <w:rPr>
                <w:sz w:val="24"/>
              </w:rPr>
              <w:t>DBMAS</w:t>
            </w:r>
          </w:p>
        </w:tc>
        <w:tc>
          <w:tcPr>
            <w:tcW w:w="6804" w:type="dxa"/>
          </w:tcPr>
          <w:p w:rsidR="00CA4FF1" w:rsidRPr="00B824B7" w:rsidRDefault="00CA4FF1" w:rsidP="00F24B50">
            <w:pPr>
              <w:spacing w:after="120"/>
              <w:jc w:val="both"/>
              <w:rPr>
                <w:sz w:val="24"/>
              </w:rPr>
            </w:pPr>
            <w:r w:rsidRPr="00B824B7">
              <w:rPr>
                <w:sz w:val="24"/>
              </w:rPr>
              <w:t>Dementia Behaviour Management Advisory Service</w:t>
            </w:r>
          </w:p>
        </w:tc>
      </w:tr>
      <w:tr w:rsidR="00CA4FF1" w:rsidTr="00F24B50">
        <w:tc>
          <w:tcPr>
            <w:tcW w:w="2093" w:type="dxa"/>
          </w:tcPr>
          <w:p w:rsidR="00CA4FF1" w:rsidRPr="00B824B7" w:rsidRDefault="00CA4FF1" w:rsidP="00F24B50">
            <w:pPr>
              <w:spacing w:after="120"/>
              <w:jc w:val="both"/>
              <w:rPr>
                <w:sz w:val="24"/>
              </w:rPr>
            </w:pPr>
            <w:r w:rsidRPr="00B824B7">
              <w:rPr>
                <w:sz w:val="24"/>
              </w:rPr>
              <w:t>DTA</w:t>
            </w:r>
          </w:p>
        </w:tc>
        <w:tc>
          <w:tcPr>
            <w:tcW w:w="6804" w:type="dxa"/>
          </w:tcPr>
          <w:p w:rsidR="00CA4FF1" w:rsidRPr="00B824B7" w:rsidRDefault="00CA4FF1" w:rsidP="00F24B50">
            <w:pPr>
              <w:spacing w:after="120"/>
              <w:jc w:val="both"/>
              <w:rPr>
                <w:sz w:val="24"/>
              </w:rPr>
            </w:pPr>
            <w:r w:rsidRPr="00B824B7">
              <w:rPr>
                <w:sz w:val="24"/>
              </w:rPr>
              <w:t>Dementia Training Australia</w:t>
            </w:r>
          </w:p>
        </w:tc>
      </w:tr>
      <w:tr w:rsidR="00CA4FF1" w:rsidTr="00F24B50">
        <w:tc>
          <w:tcPr>
            <w:tcW w:w="2093" w:type="dxa"/>
          </w:tcPr>
          <w:p w:rsidR="00CA4FF1" w:rsidRPr="00B824B7" w:rsidRDefault="00CA4FF1" w:rsidP="00F24B50">
            <w:pPr>
              <w:spacing w:after="120"/>
              <w:jc w:val="both"/>
              <w:rPr>
                <w:sz w:val="24"/>
              </w:rPr>
            </w:pPr>
            <w:r w:rsidRPr="00B824B7">
              <w:rPr>
                <w:sz w:val="24"/>
              </w:rPr>
              <w:t>GPs</w:t>
            </w:r>
          </w:p>
        </w:tc>
        <w:tc>
          <w:tcPr>
            <w:tcW w:w="6804" w:type="dxa"/>
          </w:tcPr>
          <w:p w:rsidR="00CA4FF1" w:rsidRPr="00B824B7" w:rsidRDefault="00CA4FF1" w:rsidP="00F24B50">
            <w:pPr>
              <w:spacing w:after="120"/>
              <w:jc w:val="both"/>
              <w:rPr>
                <w:sz w:val="24"/>
              </w:rPr>
            </w:pPr>
            <w:r w:rsidRPr="00B824B7">
              <w:rPr>
                <w:sz w:val="24"/>
              </w:rPr>
              <w:t>general practitioners</w:t>
            </w:r>
          </w:p>
        </w:tc>
      </w:tr>
      <w:tr w:rsidR="00CA4FF1" w:rsidTr="00F24B50">
        <w:tc>
          <w:tcPr>
            <w:tcW w:w="2093" w:type="dxa"/>
          </w:tcPr>
          <w:p w:rsidR="00CA4FF1" w:rsidRPr="00B824B7" w:rsidRDefault="00CA4FF1" w:rsidP="00F24B50">
            <w:pPr>
              <w:spacing w:after="120"/>
              <w:jc w:val="both"/>
              <w:rPr>
                <w:sz w:val="24"/>
              </w:rPr>
            </w:pPr>
            <w:r w:rsidRPr="00B824B7">
              <w:rPr>
                <w:sz w:val="24"/>
              </w:rPr>
              <w:t>ICT</w:t>
            </w:r>
          </w:p>
        </w:tc>
        <w:tc>
          <w:tcPr>
            <w:tcW w:w="6804" w:type="dxa"/>
          </w:tcPr>
          <w:p w:rsidR="00CA4FF1" w:rsidRPr="00B824B7" w:rsidRDefault="00CA4FF1" w:rsidP="00F24B50">
            <w:pPr>
              <w:spacing w:after="120"/>
              <w:jc w:val="both"/>
              <w:rPr>
                <w:sz w:val="24"/>
              </w:rPr>
            </w:pPr>
            <w:r w:rsidRPr="00B824B7">
              <w:rPr>
                <w:sz w:val="24"/>
              </w:rPr>
              <w:t>information and communications technology</w:t>
            </w:r>
          </w:p>
        </w:tc>
      </w:tr>
      <w:tr w:rsidR="00CA4FF1" w:rsidTr="00F24B50">
        <w:tc>
          <w:tcPr>
            <w:tcW w:w="2093" w:type="dxa"/>
          </w:tcPr>
          <w:p w:rsidR="00CA4FF1" w:rsidRPr="00B824B7" w:rsidDel="00687F1A" w:rsidRDefault="00CA4FF1" w:rsidP="00F24B50">
            <w:pPr>
              <w:spacing w:after="120"/>
              <w:jc w:val="both"/>
              <w:rPr>
                <w:sz w:val="24"/>
              </w:rPr>
            </w:pPr>
            <w:r w:rsidRPr="00B824B7">
              <w:rPr>
                <w:sz w:val="24"/>
              </w:rPr>
              <w:t>LHN</w:t>
            </w:r>
          </w:p>
        </w:tc>
        <w:tc>
          <w:tcPr>
            <w:tcW w:w="6804" w:type="dxa"/>
          </w:tcPr>
          <w:p w:rsidR="00CA4FF1" w:rsidRPr="00B824B7" w:rsidDel="00687F1A" w:rsidRDefault="00CA4FF1" w:rsidP="00F24B50">
            <w:pPr>
              <w:spacing w:after="120"/>
              <w:jc w:val="both"/>
              <w:rPr>
                <w:sz w:val="24"/>
              </w:rPr>
            </w:pPr>
            <w:r w:rsidRPr="00B824B7">
              <w:rPr>
                <w:sz w:val="24"/>
              </w:rPr>
              <w:t>Local Hospital Network</w:t>
            </w:r>
          </w:p>
        </w:tc>
      </w:tr>
      <w:tr w:rsidR="00CA4FF1" w:rsidTr="00F24B50">
        <w:tc>
          <w:tcPr>
            <w:tcW w:w="2093" w:type="dxa"/>
          </w:tcPr>
          <w:p w:rsidR="00CA4FF1" w:rsidRPr="00B824B7" w:rsidRDefault="00CA4FF1" w:rsidP="00F24B50">
            <w:pPr>
              <w:spacing w:after="120"/>
              <w:jc w:val="both"/>
              <w:rPr>
                <w:sz w:val="24"/>
              </w:rPr>
            </w:pPr>
            <w:r w:rsidRPr="00B824B7">
              <w:rPr>
                <w:sz w:val="24"/>
              </w:rPr>
              <w:t>NDIS</w:t>
            </w:r>
          </w:p>
        </w:tc>
        <w:tc>
          <w:tcPr>
            <w:tcW w:w="6804" w:type="dxa"/>
          </w:tcPr>
          <w:p w:rsidR="00CA4FF1" w:rsidRPr="00B824B7" w:rsidRDefault="00CA4FF1" w:rsidP="00F24B50">
            <w:pPr>
              <w:spacing w:after="120"/>
              <w:jc w:val="both"/>
              <w:rPr>
                <w:sz w:val="24"/>
              </w:rPr>
            </w:pPr>
            <w:r w:rsidRPr="00B824B7">
              <w:rPr>
                <w:sz w:val="24"/>
              </w:rPr>
              <w:t>National Disability Insurance Scheme</w:t>
            </w:r>
          </w:p>
        </w:tc>
      </w:tr>
      <w:tr w:rsidR="00CA4FF1" w:rsidTr="00F24B50">
        <w:tc>
          <w:tcPr>
            <w:tcW w:w="2093" w:type="dxa"/>
          </w:tcPr>
          <w:p w:rsidR="00CA4FF1" w:rsidRPr="00B824B7" w:rsidRDefault="00CA4FF1" w:rsidP="00F24B50">
            <w:pPr>
              <w:spacing w:after="120"/>
              <w:jc w:val="both"/>
              <w:rPr>
                <w:sz w:val="24"/>
              </w:rPr>
            </w:pPr>
            <w:r w:rsidRPr="00B824B7">
              <w:rPr>
                <w:sz w:val="24"/>
              </w:rPr>
              <w:t>PHN</w:t>
            </w:r>
          </w:p>
        </w:tc>
        <w:tc>
          <w:tcPr>
            <w:tcW w:w="6804" w:type="dxa"/>
          </w:tcPr>
          <w:p w:rsidR="00CA4FF1" w:rsidRPr="00B824B7" w:rsidRDefault="00CA4FF1" w:rsidP="00F24B50">
            <w:pPr>
              <w:spacing w:after="120"/>
              <w:jc w:val="both"/>
              <w:rPr>
                <w:sz w:val="24"/>
              </w:rPr>
            </w:pPr>
            <w:r w:rsidRPr="00B824B7">
              <w:rPr>
                <w:sz w:val="24"/>
              </w:rPr>
              <w:t>Primary Health Network</w:t>
            </w:r>
          </w:p>
        </w:tc>
      </w:tr>
      <w:tr w:rsidR="00CA4FF1" w:rsidTr="00F24B50">
        <w:tc>
          <w:tcPr>
            <w:tcW w:w="2093" w:type="dxa"/>
          </w:tcPr>
          <w:p w:rsidR="00CA4FF1" w:rsidRPr="00B824B7" w:rsidRDefault="00CA4FF1" w:rsidP="00F24B50">
            <w:pPr>
              <w:spacing w:after="120"/>
              <w:jc w:val="both"/>
              <w:rPr>
                <w:sz w:val="24"/>
              </w:rPr>
            </w:pPr>
            <w:r w:rsidRPr="00B824B7">
              <w:rPr>
                <w:sz w:val="24"/>
              </w:rPr>
              <w:t>Quality Agency</w:t>
            </w:r>
          </w:p>
        </w:tc>
        <w:tc>
          <w:tcPr>
            <w:tcW w:w="6804" w:type="dxa"/>
          </w:tcPr>
          <w:p w:rsidR="00CA4FF1" w:rsidRPr="00B824B7" w:rsidRDefault="00CA4FF1" w:rsidP="00F24B50">
            <w:pPr>
              <w:spacing w:after="120"/>
              <w:jc w:val="both"/>
              <w:rPr>
                <w:sz w:val="24"/>
              </w:rPr>
            </w:pPr>
            <w:r w:rsidRPr="00B824B7">
              <w:rPr>
                <w:sz w:val="24"/>
              </w:rPr>
              <w:t>Australian Aged Care Quality Agency</w:t>
            </w:r>
          </w:p>
        </w:tc>
      </w:tr>
      <w:tr w:rsidR="00CA4FF1" w:rsidTr="00F24B50">
        <w:tc>
          <w:tcPr>
            <w:tcW w:w="2093" w:type="dxa"/>
          </w:tcPr>
          <w:p w:rsidR="00CA4FF1" w:rsidRPr="00B824B7" w:rsidRDefault="00CA4FF1" w:rsidP="00F24B50">
            <w:pPr>
              <w:spacing w:after="120"/>
              <w:jc w:val="both"/>
              <w:rPr>
                <w:sz w:val="24"/>
              </w:rPr>
            </w:pPr>
            <w:r w:rsidRPr="00B824B7">
              <w:rPr>
                <w:sz w:val="24"/>
              </w:rPr>
              <w:t>SBRT</w:t>
            </w:r>
          </w:p>
        </w:tc>
        <w:tc>
          <w:tcPr>
            <w:tcW w:w="6804" w:type="dxa"/>
          </w:tcPr>
          <w:p w:rsidR="00CA4FF1" w:rsidRPr="00B824B7" w:rsidRDefault="00CA4FF1" w:rsidP="00F24B50">
            <w:pPr>
              <w:spacing w:after="120"/>
              <w:jc w:val="both"/>
              <w:rPr>
                <w:sz w:val="24"/>
              </w:rPr>
            </w:pPr>
            <w:r w:rsidRPr="00B824B7">
              <w:rPr>
                <w:sz w:val="24"/>
              </w:rPr>
              <w:t>Severe Behaviour Response Team</w:t>
            </w:r>
          </w:p>
        </w:tc>
      </w:tr>
      <w:tr w:rsidR="00CA4FF1" w:rsidTr="00F24B50">
        <w:tc>
          <w:tcPr>
            <w:tcW w:w="2093" w:type="dxa"/>
          </w:tcPr>
          <w:p w:rsidR="00CA4FF1" w:rsidRPr="00B824B7" w:rsidRDefault="00CA4FF1" w:rsidP="00F24B50">
            <w:pPr>
              <w:spacing w:after="120"/>
              <w:jc w:val="both"/>
              <w:rPr>
                <w:sz w:val="24"/>
              </w:rPr>
            </w:pPr>
            <w:r w:rsidRPr="00B824B7">
              <w:rPr>
                <w:sz w:val="24"/>
              </w:rPr>
              <w:t>SDCU</w:t>
            </w:r>
          </w:p>
        </w:tc>
        <w:tc>
          <w:tcPr>
            <w:tcW w:w="6804" w:type="dxa"/>
          </w:tcPr>
          <w:p w:rsidR="00CA4FF1" w:rsidRPr="00B824B7" w:rsidRDefault="00CA4FF1" w:rsidP="00F24B50">
            <w:pPr>
              <w:spacing w:after="120"/>
              <w:jc w:val="both"/>
              <w:rPr>
                <w:sz w:val="24"/>
              </w:rPr>
            </w:pPr>
            <w:r w:rsidRPr="00B824B7">
              <w:rPr>
                <w:sz w:val="24"/>
              </w:rPr>
              <w:t>Specialist Dementia Care Unit</w:t>
            </w:r>
          </w:p>
        </w:tc>
      </w:tr>
    </w:tbl>
    <w:p w:rsidR="00CA4FF1" w:rsidRPr="00BC047B" w:rsidRDefault="00CA4FF1" w:rsidP="00CA4FF1">
      <w:pPr>
        <w:jc w:val="both"/>
      </w:pPr>
    </w:p>
    <w:p w:rsidR="00CA4FF1" w:rsidRDefault="00CA4FF1" w:rsidP="00CA4FF1">
      <w:pPr>
        <w:jc w:val="both"/>
        <w:rPr>
          <w:rFonts w:ascii="Arial" w:hAnsi="Arial" w:cs="Arial"/>
          <w:b/>
          <w:bCs/>
          <w:kern w:val="28"/>
          <w:sz w:val="28"/>
          <w:szCs w:val="32"/>
        </w:rPr>
      </w:pPr>
      <w:r>
        <w:br w:type="page"/>
      </w:r>
    </w:p>
    <w:p w:rsidR="00CA4FF1" w:rsidRDefault="00CA4FF1" w:rsidP="00CA4FF1">
      <w:pPr>
        <w:pStyle w:val="Heading1"/>
        <w:jc w:val="both"/>
      </w:pPr>
      <w:bookmarkStart w:id="2" w:name="_Toc499538714"/>
      <w:r w:rsidRPr="00C24CE8">
        <w:lastRenderedPageBreak/>
        <w:t>Executive summary</w:t>
      </w:r>
      <w:bookmarkEnd w:id="2"/>
    </w:p>
    <w:p w:rsidR="00CA4FF1" w:rsidRPr="00C24CE8" w:rsidRDefault="00CA4FF1" w:rsidP="00CA4FF1">
      <w:pPr>
        <w:jc w:val="both"/>
      </w:pPr>
      <w:r w:rsidRPr="00C24CE8">
        <w:t>In 2016, the Australian Government announced it would establish Specialist Dementia Care Units (SDCUs) to support people who experience very severe behavioural and psychological symptoms of dementia (BPSD). The Government committed to establish at least one SDCU in each of the 31 Primary Health Network (PHN) regions.</w:t>
      </w:r>
    </w:p>
    <w:p w:rsidR="00CA4FF1" w:rsidRPr="00C24CE8" w:rsidRDefault="00CA4FF1" w:rsidP="00CA4FF1">
      <w:pPr>
        <w:jc w:val="both"/>
      </w:pPr>
    </w:p>
    <w:p w:rsidR="00CA4FF1" w:rsidRPr="00C24CE8" w:rsidRDefault="00CA4FF1" w:rsidP="00CA4FF1">
      <w:pPr>
        <w:jc w:val="both"/>
      </w:pPr>
      <w:r w:rsidRPr="00C24CE8">
        <w:t xml:space="preserve">There are a number of existing Australian Government and state and territory government-funded supports, and initiatives by </w:t>
      </w:r>
      <w:r>
        <w:t xml:space="preserve">individual </w:t>
      </w:r>
      <w:r w:rsidRPr="00C24CE8">
        <w:t xml:space="preserve">aged care providers, to support people with BPSD. However, stakeholders have consistently identified a gap in the ability of the aged care and the broader health system to provide appropriate care for the small minority of people (estimated as up to 1 per cent of people with dementia) with very severe BPSD. </w:t>
      </w:r>
    </w:p>
    <w:p w:rsidR="00CA4FF1" w:rsidRPr="00C24CE8" w:rsidRDefault="00CA4FF1" w:rsidP="00CA4FF1">
      <w:pPr>
        <w:jc w:val="both"/>
      </w:pPr>
    </w:p>
    <w:p w:rsidR="00CA4FF1" w:rsidRPr="00C24CE8" w:rsidRDefault="00CA4FF1" w:rsidP="00CA4FF1">
      <w:pPr>
        <w:jc w:val="both"/>
      </w:pPr>
      <w:r w:rsidRPr="00C24CE8">
        <w:t>SDCUs are intended to complement similar existing and planned state and territory government investments in services for people with very severe BPSD.</w:t>
      </w:r>
    </w:p>
    <w:p w:rsidR="00CA4FF1" w:rsidRPr="00C24CE8" w:rsidRDefault="00CA4FF1" w:rsidP="00CA4FF1">
      <w:pPr>
        <w:jc w:val="both"/>
      </w:pPr>
    </w:p>
    <w:p w:rsidR="00CA4FF1" w:rsidRPr="00C24CE8" w:rsidRDefault="00CA4FF1" w:rsidP="00CA4FF1">
      <w:pPr>
        <w:jc w:val="both"/>
      </w:pPr>
      <w:r w:rsidRPr="00C24CE8">
        <w:t>SDCUs are being established to:</w:t>
      </w:r>
    </w:p>
    <w:p w:rsidR="00CA4FF1" w:rsidRPr="00C24CE8" w:rsidRDefault="00CA4FF1" w:rsidP="00CA4FF1">
      <w:pPr>
        <w:numPr>
          <w:ilvl w:val="0"/>
          <w:numId w:val="33"/>
        </w:numPr>
        <w:jc w:val="both"/>
      </w:pPr>
      <w:r w:rsidRPr="00C24CE8">
        <w:t xml:space="preserve">provide care for people with very severe BPSD who are unable to be effectively cared for by mainstream aged care services due to the risk of harm they present to themselves or others </w:t>
      </w:r>
    </w:p>
    <w:p w:rsidR="00CA4FF1" w:rsidRPr="00C24CE8" w:rsidRDefault="00CA4FF1" w:rsidP="00CA4FF1">
      <w:pPr>
        <w:numPr>
          <w:ilvl w:val="0"/>
          <w:numId w:val="33"/>
        </w:numPr>
        <w:jc w:val="both"/>
      </w:pPr>
      <w:r w:rsidRPr="00C24CE8">
        <w:t xml:space="preserve">deliver care within a dedicated 8–12 bed unit with a residential aged care setting </w:t>
      </w:r>
    </w:p>
    <w:p w:rsidR="00CA4FF1" w:rsidRPr="003E6B24" w:rsidRDefault="00CA4FF1" w:rsidP="00CA4FF1">
      <w:pPr>
        <w:numPr>
          <w:ilvl w:val="0"/>
          <w:numId w:val="33"/>
        </w:numPr>
        <w:jc w:val="both"/>
      </w:pPr>
      <w:r w:rsidRPr="00C24CE8">
        <w:t xml:space="preserve">offer transitional support </w:t>
      </w:r>
      <w:r>
        <w:t xml:space="preserve">that </w:t>
      </w:r>
      <w:r w:rsidRPr="00C24CE8">
        <w:t>focus</w:t>
      </w:r>
      <w:r>
        <w:t>es</w:t>
      </w:r>
      <w:r w:rsidRPr="00C24CE8">
        <w:t xml:space="preserve"> on reducing or stabilising symptoms</w:t>
      </w:r>
      <w:r>
        <w:t>,</w:t>
      </w:r>
      <w:r w:rsidRPr="00C24CE8">
        <w:t xml:space="preserve"> with the aim of enabling the person to transition to a less intensive care setting</w:t>
      </w:r>
    </w:p>
    <w:p w:rsidR="00770F6F" w:rsidRDefault="00CA4FF1" w:rsidP="00CA4FF1">
      <w:pPr>
        <w:numPr>
          <w:ilvl w:val="0"/>
          <w:numId w:val="33"/>
        </w:numPr>
        <w:jc w:val="both"/>
      </w:pPr>
      <w:r w:rsidRPr="00C24CE8">
        <w:t>operate as the ‘third level’ of Australian Government programs to assist people with dementia, complementing the existing Dementia Behaviour Management Advisory Service and Severe Behaviour Response Teams</w:t>
      </w:r>
    </w:p>
    <w:p w:rsidR="00770F6F" w:rsidRPr="006B5219" w:rsidRDefault="00770F6F" w:rsidP="00770F6F">
      <w:pPr>
        <w:numPr>
          <w:ilvl w:val="0"/>
          <w:numId w:val="33"/>
        </w:numPr>
        <w:autoSpaceDE w:val="0"/>
        <w:autoSpaceDN w:val="0"/>
        <w:adjustRightInd w:val="0"/>
        <w:spacing w:before="100" w:beforeAutospacing="1" w:after="100" w:afterAutospacing="1"/>
        <w:contextualSpacing/>
        <w:jc w:val="both"/>
        <w:rPr>
          <w:rFonts w:eastAsiaTheme="minorHAnsi" w:cs="Arial"/>
          <w:iCs/>
        </w:rPr>
      </w:pPr>
      <w:r w:rsidRPr="006B5219">
        <w:rPr>
          <w:rFonts w:eastAsiaTheme="minorHAnsi" w:cs="Arial"/>
          <w:iCs/>
        </w:rPr>
        <w:t xml:space="preserve">enhance the </w:t>
      </w:r>
      <w:r w:rsidRPr="00AE3B8A">
        <w:t xml:space="preserve"> existing health and aged care service systems for people with very severe BPSD, including complementing state and </w:t>
      </w:r>
      <w:r w:rsidRPr="006B5219">
        <w:rPr>
          <w:rFonts w:eastAsiaTheme="minorHAnsi" w:cs="Arial"/>
          <w:iCs/>
        </w:rPr>
        <w:t>territory government funded services and supports for people with BPSD.</w:t>
      </w:r>
      <w:r w:rsidRPr="00AE3B8A">
        <w:t xml:space="preserve"> </w:t>
      </w:r>
    </w:p>
    <w:p w:rsidR="00CA4FF1" w:rsidRPr="00C24CE8" w:rsidRDefault="00CA4FF1" w:rsidP="00770F6F">
      <w:pPr>
        <w:ind w:left="720"/>
        <w:jc w:val="both"/>
      </w:pPr>
      <w:r w:rsidRPr="00C24CE8">
        <w:t xml:space="preserve"> </w:t>
      </w:r>
    </w:p>
    <w:p w:rsidR="00CA4FF1" w:rsidRPr="00C24CE8" w:rsidRDefault="00CA4FF1" w:rsidP="00CA4FF1">
      <w:pPr>
        <w:jc w:val="both"/>
      </w:pPr>
      <w:r w:rsidRPr="00C24CE8">
        <w:t>This consultation paper has been developed to provide information about the development of the SDCU initiative to date, and seek feedback on the best way forward. It builds on targeted consultation, consideration of existing services, and analysis of best practice evidence. Key considerations include:</w:t>
      </w:r>
    </w:p>
    <w:p w:rsidR="00CA4FF1" w:rsidRPr="00C24CE8" w:rsidRDefault="00CA4FF1" w:rsidP="00CA4FF1">
      <w:pPr>
        <w:numPr>
          <w:ilvl w:val="0"/>
          <w:numId w:val="33"/>
        </w:numPr>
        <w:jc w:val="both"/>
      </w:pPr>
      <w:r w:rsidRPr="00C24CE8">
        <w:t>how SDCUs will intersect with existing supports for people with dementia</w:t>
      </w:r>
    </w:p>
    <w:p w:rsidR="00CA4FF1" w:rsidRPr="00C24CE8" w:rsidRDefault="00CA4FF1" w:rsidP="00CA4FF1">
      <w:pPr>
        <w:numPr>
          <w:ilvl w:val="0"/>
          <w:numId w:val="33"/>
        </w:numPr>
        <w:jc w:val="both"/>
      </w:pPr>
      <w:r w:rsidRPr="00C24CE8">
        <w:t>the proposed high-level model of care</w:t>
      </w:r>
    </w:p>
    <w:p w:rsidR="00CA4FF1" w:rsidRDefault="00CA4FF1" w:rsidP="00CA4FF1">
      <w:pPr>
        <w:numPr>
          <w:ilvl w:val="0"/>
          <w:numId w:val="33"/>
        </w:numPr>
        <w:jc w:val="both"/>
      </w:pPr>
      <w:proofErr w:type="gramStart"/>
      <w:r w:rsidRPr="00C24CE8">
        <w:t>funding</w:t>
      </w:r>
      <w:proofErr w:type="gramEnd"/>
      <w:r w:rsidRPr="00C24CE8">
        <w:t xml:space="preserve"> and administrative options.</w:t>
      </w:r>
    </w:p>
    <w:p w:rsidR="00CA4FF1" w:rsidRDefault="00CA4FF1" w:rsidP="00CA4FF1">
      <w:pPr>
        <w:ind w:left="720"/>
        <w:jc w:val="both"/>
      </w:pPr>
    </w:p>
    <w:p w:rsidR="00CA4FF1" w:rsidRPr="00C24CE8" w:rsidRDefault="00CA4FF1" w:rsidP="00CA4FF1">
      <w:pPr>
        <w:jc w:val="both"/>
      </w:pPr>
      <w:r>
        <w:t>The proposed arrangements outlined in this paper have not been agreed by Government and may change, including in response to consultation feedback.</w:t>
      </w:r>
    </w:p>
    <w:p w:rsidR="00CA4FF1" w:rsidRPr="00C24CE8" w:rsidRDefault="00CA4FF1" w:rsidP="00CA4FF1">
      <w:pPr>
        <w:jc w:val="both"/>
      </w:pPr>
    </w:p>
    <w:p w:rsidR="00CA4FF1" w:rsidRPr="00C24CE8" w:rsidRDefault="00AE3B8A" w:rsidP="00CA4FF1">
      <w:pPr>
        <w:jc w:val="both"/>
      </w:pPr>
      <w:hyperlink w:anchor="_Introduction" w:history="1">
        <w:r w:rsidR="00CA4FF1" w:rsidRPr="00C24CE8">
          <w:rPr>
            <w:rStyle w:val="Hyperlink"/>
          </w:rPr>
          <w:t>Section 1</w:t>
        </w:r>
      </w:hyperlink>
      <w:r w:rsidR="00CA4FF1" w:rsidRPr="00C24CE8">
        <w:t xml:space="preserve"> describes the purpose and scope of the consultation paper.</w:t>
      </w:r>
    </w:p>
    <w:p w:rsidR="00CA4FF1" w:rsidRPr="00C24CE8" w:rsidRDefault="00CA4FF1" w:rsidP="00CA4FF1">
      <w:pPr>
        <w:jc w:val="both"/>
      </w:pPr>
    </w:p>
    <w:p w:rsidR="00CA4FF1" w:rsidRPr="00C24CE8" w:rsidRDefault="00AE3B8A" w:rsidP="00CA4FF1">
      <w:pPr>
        <w:jc w:val="both"/>
      </w:pPr>
      <w:hyperlink w:anchor="_Background" w:history="1">
        <w:r w:rsidR="00CA4FF1" w:rsidRPr="00C24CE8">
          <w:rPr>
            <w:rStyle w:val="Hyperlink"/>
          </w:rPr>
          <w:t>Section 2</w:t>
        </w:r>
      </w:hyperlink>
      <w:r w:rsidR="00CA4FF1" w:rsidRPr="00C24CE8">
        <w:t xml:space="preserve"> outlines the rationale for establishing SDCUs, and describes the current service environment. </w:t>
      </w:r>
    </w:p>
    <w:p w:rsidR="00CA4FF1" w:rsidRPr="00C24CE8" w:rsidRDefault="00CA4FF1" w:rsidP="00CA4FF1">
      <w:pPr>
        <w:jc w:val="both"/>
      </w:pPr>
    </w:p>
    <w:p w:rsidR="00CA4FF1" w:rsidRPr="00C24CE8" w:rsidRDefault="00AE3B8A" w:rsidP="00CA4FF1">
      <w:pPr>
        <w:jc w:val="both"/>
      </w:pPr>
      <w:hyperlink w:anchor="_Development_of_the" w:history="1">
        <w:r w:rsidR="00CA4FF1" w:rsidRPr="00C24CE8">
          <w:rPr>
            <w:rStyle w:val="Hyperlink"/>
          </w:rPr>
          <w:t>Section 3</w:t>
        </w:r>
      </w:hyperlink>
      <w:r w:rsidR="00CA4FF1" w:rsidRPr="00C24CE8">
        <w:t xml:space="preserve"> summarises consultation to date, and discusses broader policy considerations that will impact the design, implementation, and operation of SDCUs. This includes the service planning framework for people with BPSD.</w:t>
      </w:r>
    </w:p>
    <w:p w:rsidR="00CA4FF1" w:rsidRPr="00C24CE8" w:rsidRDefault="00CA4FF1" w:rsidP="00CA4FF1">
      <w:pPr>
        <w:jc w:val="both"/>
      </w:pPr>
    </w:p>
    <w:p w:rsidR="00CA4FF1" w:rsidRPr="004C30F9" w:rsidRDefault="00AE3B8A" w:rsidP="00CA4FF1">
      <w:pPr>
        <w:jc w:val="both"/>
      </w:pPr>
      <w:hyperlink w:anchor="_SDCU_proposed_service" w:history="1">
        <w:r w:rsidR="00CA4FF1" w:rsidRPr="004C30F9">
          <w:rPr>
            <w:rStyle w:val="Hyperlink"/>
          </w:rPr>
          <w:t>Section 4</w:t>
        </w:r>
      </w:hyperlink>
      <w:r w:rsidR="00CA4FF1" w:rsidRPr="004C30F9">
        <w:t xml:space="preserve"> describes the proposed high-level model of care for the SDCUs. The ultimate goal of the SDCU program is to improve the aged care system response to, and individual-level outcomes for, people with very severe BPSD. SDCUs will provide a person-centred, goal-oriented and multidisciplinary approach to care. </w:t>
      </w:r>
      <w:r w:rsidR="00CA4FF1">
        <w:t xml:space="preserve">A </w:t>
      </w:r>
      <w:r w:rsidR="00CA4FF1" w:rsidRPr="004C30F9">
        <w:t>number of principles for SDCU service delivery that reflect this approach</w:t>
      </w:r>
      <w:r w:rsidR="00CA4FF1">
        <w:t xml:space="preserve"> are proposed</w:t>
      </w:r>
      <w:r w:rsidR="00CA4FF1" w:rsidRPr="004C30F9">
        <w:t xml:space="preserve">. </w:t>
      </w:r>
    </w:p>
    <w:p w:rsidR="00CA4FF1" w:rsidRPr="004C30F9" w:rsidRDefault="00CA4FF1" w:rsidP="00CA4FF1">
      <w:pPr>
        <w:jc w:val="both"/>
      </w:pPr>
    </w:p>
    <w:p w:rsidR="00CA4FF1" w:rsidRPr="00A47944" w:rsidRDefault="00CA4FF1" w:rsidP="00CA4FF1">
      <w:pPr>
        <w:jc w:val="both"/>
        <w:rPr>
          <w:rStyle w:val="Hyperlink"/>
          <w:color w:val="auto"/>
          <w:u w:val="none"/>
        </w:rPr>
      </w:pPr>
      <w:r>
        <w:rPr>
          <w:rStyle w:val="Hyperlink"/>
          <w:color w:val="auto"/>
          <w:u w:val="none"/>
        </w:rPr>
        <w:t>It is proposed that p</w:t>
      </w:r>
      <w:r w:rsidRPr="00A47944">
        <w:rPr>
          <w:rStyle w:val="Hyperlink"/>
          <w:color w:val="auto"/>
          <w:u w:val="none"/>
        </w:rPr>
        <w:t>eople with very severe BPSD can be referred for SDCU assessment from the community, residential aged care, or acute care. Referral intake and assessment will be centralised. Specific eligibility criteria will apply. The SDCU client pathway will involve three main steps – pre-entry, service delivery and supported transition out. Each step will be supported by several enabling elements: SDCU staffing, education, training and culture, physical environment, clinical governance and partnerships, involvement of families and carers, commitment to continuous improvement, and quality and safeguards.</w:t>
      </w:r>
    </w:p>
    <w:p w:rsidR="00CA4FF1" w:rsidRPr="003E6B24" w:rsidRDefault="00CA4FF1" w:rsidP="00CA4FF1">
      <w:pPr>
        <w:jc w:val="both"/>
        <w:rPr>
          <w:rStyle w:val="Hyperlink"/>
        </w:rPr>
      </w:pPr>
    </w:p>
    <w:p w:rsidR="00CA4FF1" w:rsidRDefault="00CA4FF1" w:rsidP="00CA4FF1">
      <w:pPr>
        <w:jc w:val="both"/>
        <w:rPr>
          <w:rStyle w:val="Hyperlink"/>
          <w:color w:val="auto"/>
          <w:u w:val="none"/>
        </w:rPr>
      </w:pPr>
      <w:r w:rsidRPr="008B49D6">
        <w:rPr>
          <w:rStyle w:val="Hyperlink"/>
          <w:color w:val="auto"/>
          <w:u w:val="none"/>
        </w:rPr>
        <w:t xml:space="preserve">Section 4 also </w:t>
      </w:r>
      <w:r w:rsidRPr="00A47944">
        <w:rPr>
          <w:rStyle w:val="Hyperlink"/>
          <w:color w:val="auto"/>
          <w:u w:val="none"/>
        </w:rPr>
        <w:t>discusses how appropriate care for people with diverse backgrounds including people in rural and remote communities can be provided, and seeks views on flexible approaches and alternate models.</w:t>
      </w:r>
    </w:p>
    <w:p w:rsidR="00CA4FF1" w:rsidRPr="003E6B24" w:rsidRDefault="00CA4FF1" w:rsidP="00CA4FF1">
      <w:pPr>
        <w:jc w:val="both"/>
        <w:rPr>
          <w:rStyle w:val="Hyperlink"/>
        </w:rPr>
      </w:pPr>
    </w:p>
    <w:p w:rsidR="00CA4FF1" w:rsidRPr="004C30F9" w:rsidRDefault="00AE3B8A" w:rsidP="00CA4FF1">
      <w:pPr>
        <w:jc w:val="both"/>
      </w:pPr>
      <w:hyperlink w:anchor="_SDCU_proposed_funding" w:history="1">
        <w:r w:rsidR="00CA4FF1" w:rsidRPr="004C30F9">
          <w:rPr>
            <w:rStyle w:val="Hyperlink"/>
          </w:rPr>
          <w:t>Section 5</w:t>
        </w:r>
      </w:hyperlink>
      <w:r w:rsidR="00CA4FF1" w:rsidRPr="004C30F9">
        <w:t xml:space="preserve"> </w:t>
      </w:r>
      <w:r w:rsidR="00CA4FF1">
        <w:t xml:space="preserve">outlines </w:t>
      </w:r>
      <w:r w:rsidR="00CA4FF1" w:rsidRPr="004C30F9">
        <w:t>possible funding and administrative options.</w:t>
      </w:r>
      <w:r w:rsidR="00CA4FF1">
        <w:t xml:space="preserve"> </w:t>
      </w:r>
      <w:r w:rsidR="00CA4FF1" w:rsidRPr="004C30F9">
        <w:t xml:space="preserve">We propose that SDCUs are funded by providing additional or ‘top up’ funding above standard residential aged care funding. </w:t>
      </w:r>
      <w:r w:rsidR="00CA4FF1">
        <w:t xml:space="preserve">We seek stakeholder views on whether this Australian Government ‘top up’ funding should be provided via a targeted supplement under the </w:t>
      </w:r>
      <w:r w:rsidR="00CA4FF1" w:rsidRPr="004C30F9">
        <w:rPr>
          <w:i/>
        </w:rPr>
        <w:t>Aged Care Act 1997</w:t>
      </w:r>
      <w:r w:rsidR="00CA4FF1">
        <w:t xml:space="preserve"> or via a grant. </w:t>
      </w:r>
      <w:r w:rsidR="00CA4FF1" w:rsidRPr="004C30F9">
        <w:t>Section 5 also</w:t>
      </w:r>
      <w:r w:rsidR="00CA4FF1">
        <w:t xml:space="preserve"> outlines the proposed use of ‘top up’ funding, </w:t>
      </w:r>
      <w:r w:rsidR="00CA4FF1" w:rsidRPr="004C30F9">
        <w:t xml:space="preserve">eligibility and selection of SDCU providers, and </w:t>
      </w:r>
      <w:r w:rsidR="00CA4FF1">
        <w:t xml:space="preserve">the rollout of </w:t>
      </w:r>
      <w:r w:rsidR="00CA4FF1" w:rsidRPr="004C30F9">
        <w:t>SDCUs across PHN</w:t>
      </w:r>
      <w:r w:rsidR="00CA4FF1">
        <w:t xml:space="preserve"> regions</w:t>
      </w:r>
      <w:r w:rsidR="00CA4FF1" w:rsidRPr="004C30F9">
        <w:t>. Subject to final decision</w:t>
      </w:r>
      <w:r w:rsidR="00CA4FF1">
        <w:t>s</w:t>
      </w:r>
      <w:r w:rsidR="00CA4FF1" w:rsidRPr="004C30F9">
        <w:t xml:space="preserve"> by the Australian Government, i</w:t>
      </w:r>
      <w:r w:rsidR="00CA4FF1">
        <w:t>t</w:t>
      </w:r>
      <w:r w:rsidR="00CA4FF1" w:rsidRPr="004C30F9">
        <w:t xml:space="preserve"> expected that all 372 SDCU places will be operational by 2023-24.</w:t>
      </w:r>
    </w:p>
    <w:p w:rsidR="00CA4FF1" w:rsidRPr="004C30F9" w:rsidRDefault="00CA4FF1" w:rsidP="00CA4FF1">
      <w:pPr>
        <w:jc w:val="both"/>
      </w:pPr>
    </w:p>
    <w:p w:rsidR="00CA4FF1" w:rsidRPr="004C30F9" w:rsidRDefault="00AE3B8A" w:rsidP="00CA4FF1">
      <w:pPr>
        <w:jc w:val="both"/>
      </w:pPr>
      <w:hyperlink w:anchor="_SDCU_program_evaluation" w:history="1">
        <w:r w:rsidR="00CA4FF1" w:rsidRPr="004C30F9">
          <w:rPr>
            <w:rStyle w:val="Hyperlink"/>
          </w:rPr>
          <w:t>Section 6</w:t>
        </w:r>
      </w:hyperlink>
      <w:r w:rsidR="00CA4FF1" w:rsidRPr="004C30F9">
        <w:t xml:space="preserve"> talks about possible elements for evaluation of the SDCU program</w:t>
      </w:r>
      <w:r w:rsidR="00CA4FF1">
        <w:t xml:space="preserve"> and the </w:t>
      </w:r>
      <w:r w:rsidR="00CA4FF1" w:rsidRPr="004C30F9">
        <w:t>opportunity to increase evidence about this type of service</w:t>
      </w:r>
      <w:r w:rsidR="00CA4FF1">
        <w:t>, which is continuing to evolve in Australia and internationally</w:t>
      </w:r>
      <w:r w:rsidR="00CA4FF1" w:rsidRPr="004C30F9">
        <w:t xml:space="preserve">. </w:t>
      </w:r>
    </w:p>
    <w:p w:rsidR="00CA4FF1" w:rsidRPr="004C30F9" w:rsidRDefault="00CA4FF1" w:rsidP="00CA4FF1">
      <w:pPr>
        <w:jc w:val="both"/>
      </w:pPr>
    </w:p>
    <w:p w:rsidR="00CA4FF1" w:rsidRPr="004C30F9" w:rsidRDefault="00AE3B8A" w:rsidP="00CA4FF1">
      <w:pPr>
        <w:jc w:val="both"/>
      </w:pPr>
      <w:hyperlink w:anchor="_SDCU_implementation_timeframes" w:history="1">
        <w:r w:rsidR="00CA4FF1" w:rsidRPr="004C30F9">
          <w:rPr>
            <w:rStyle w:val="Hyperlink"/>
          </w:rPr>
          <w:t>Section 7</w:t>
        </w:r>
      </w:hyperlink>
      <w:r w:rsidR="00CA4FF1" w:rsidRPr="004C30F9">
        <w:t xml:space="preserve"> provides high-level timeframes for implementation of the SDCU initiative.</w:t>
      </w:r>
    </w:p>
    <w:p w:rsidR="00CA4FF1" w:rsidRPr="004C30F9" w:rsidRDefault="00CA4FF1" w:rsidP="00CA4FF1">
      <w:pPr>
        <w:jc w:val="both"/>
      </w:pPr>
    </w:p>
    <w:p w:rsidR="00CA4FF1" w:rsidRPr="004C30F9" w:rsidRDefault="00CA4FF1" w:rsidP="00CA4FF1">
      <w:pPr>
        <w:jc w:val="both"/>
      </w:pPr>
      <w:r w:rsidRPr="004C30F9">
        <w:t xml:space="preserve">Feedback on this paper will be used to </w:t>
      </w:r>
      <w:r>
        <w:t xml:space="preserve">inform advice and </w:t>
      </w:r>
      <w:r w:rsidRPr="004C30F9">
        <w:t>decisions about SDCU design and implementation. Once the preferred model of care and administrative arrangements are decided</w:t>
      </w:r>
      <w:r>
        <w:t xml:space="preserve"> by the Australian Government</w:t>
      </w:r>
      <w:r w:rsidRPr="004C30F9">
        <w:t xml:space="preserve">, further targeted consultation will occur. </w:t>
      </w:r>
    </w:p>
    <w:p w:rsidR="00CA4FF1" w:rsidRPr="00044DE7" w:rsidRDefault="00CA4FF1" w:rsidP="00CA4FF1">
      <w:pPr>
        <w:jc w:val="both"/>
        <w:rPr>
          <w:highlight w:val="lightGray"/>
        </w:rPr>
      </w:pPr>
      <w:r>
        <w:rPr>
          <w:highlight w:val="lightGray"/>
        </w:rPr>
        <w:br w:type="page"/>
      </w:r>
    </w:p>
    <w:p w:rsidR="00CA4FF1" w:rsidRDefault="00CA4FF1" w:rsidP="00CA4FF1">
      <w:pPr>
        <w:pStyle w:val="Heading1"/>
        <w:jc w:val="both"/>
      </w:pPr>
      <w:bookmarkStart w:id="3" w:name="_Toc499538715"/>
      <w:r w:rsidRPr="00A47944">
        <w:lastRenderedPageBreak/>
        <w:t>Questions</w:t>
      </w:r>
      <w:bookmarkEnd w:id="3"/>
    </w:p>
    <w:p w:rsidR="00CA4FF1" w:rsidRPr="00FB37DC" w:rsidRDefault="00CA4FF1" w:rsidP="00CA4FF1">
      <w:pPr>
        <w:jc w:val="both"/>
        <w:rPr>
          <w:i/>
          <w:sz w:val="22"/>
        </w:rPr>
      </w:pPr>
      <w:r w:rsidRPr="00FB37DC">
        <w:rPr>
          <w:i/>
          <w:sz w:val="22"/>
        </w:rPr>
        <w:t>Refer to the main body of the paper for detailed discussion.</w:t>
      </w:r>
    </w:p>
    <w:p w:rsidR="00CA4FF1" w:rsidRPr="00FB37DC" w:rsidRDefault="00CA4FF1" w:rsidP="00CA4FF1">
      <w:pPr>
        <w:jc w:val="both"/>
      </w:pPr>
    </w:p>
    <w:p w:rsidR="00CA4FF1" w:rsidRDefault="00CA4FF1" w:rsidP="00CA4FF1">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jc w:val="both"/>
      </w:pPr>
      <w:r>
        <w:t xml:space="preserve">Q1) </w:t>
      </w:r>
      <w:r w:rsidRPr="00727D15">
        <w:t>Are there are other</w:t>
      </w:r>
      <w:r>
        <w:t xml:space="preserve"> </w:t>
      </w:r>
      <w:r w:rsidRPr="00727D15">
        <w:t xml:space="preserve">system reforms </w:t>
      </w:r>
      <w:r>
        <w:t xml:space="preserve">that </w:t>
      </w:r>
      <w:r w:rsidRPr="00727D15">
        <w:t xml:space="preserve">would </w:t>
      </w:r>
      <w:r>
        <w:t>impact on, or be impacted by, the establishment of Australian Government-funded SDCUs?</w:t>
      </w:r>
    </w:p>
    <w:p w:rsidR="00CA4FF1" w:rsidRDefault="00CA4FF1" w:rsidP="00CA4FF1">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jc w:val="both"/>
      </w:pPr>
    </w:p>
    <w:p w:rsidR="00CA4FF1" w:rsidRDefault="00CA4FF1" w:rsidP="00CA4FF1">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jc w:val="both"/>
      </w:pPr>
      <w:r>
        <w:t>Q2)</w:t>
      </w:r>
      <w:r w:rsidRPr="00CE5AB9">
        <w:t xml:space="preserve"> </w:t>
      </w:r>
      <w:proofErr w:type="gramStart"/>
      <w:r w:rsidRPr="00CE5AB9">
        <w:t>What</w:t>
      </w:r>
      <w:proofErr w:type="gramEnd"/>
      <w:r w:rsidRPr="00CE5AB9">
        <w:t xml:space="preserve"> other </w:t>
      </w:r>
      <w:r>
        <w:t xml:space="preserve">risks and </w:t>
      </w:r>
      <w:r w:rsidRPr="00CE5AB9">
        <w:t xml:space="preserve">issues need to be considered in introducing SDCUs into the existing service systems for people with very severe </w:t>
      </w:r>
      <w:r>
        <w:t xml:space="preserve">(tier 6) </w:t>
      </w:r>
      <w:r w:rsidRPr="00CE5AB9">
        <w:t>BPSD?</w:t>
      </w:r>
    </w:p>
    <w:p w:rsidR="00CA4FF1" w:rsidRPr="00CE5AB9" w:rsidRDefault="00CA4FF1" w:rsidP="00CA4FF1">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jc w:val="both"/>
      </w:pPr>
    </w:p>
    <w:p w:rsidR="00CA4FF1" w:rsidRDefault="00CA4FF1" w:rsidP="00CA4FF1">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jc w:val="both"/>
      </w:pPr>
      <w:r>
        <w:t>Q3)</w:t>
      </w:r>
      <w:r w:rsidRPr="00CE5AB9">
        <w:t xml:space="preserve"> Are there alternat</w:t>
      </w:r>
      <w:r>
        <w:t xml:space="preserve">ives to the </w:t>
      </w:r>
      <w:r w:rsidRPr="00CE5AB9">
        <w:t>establishment of SDCU</w:t>
      </w:r>
      <w:r>
        <w:t>s</w:t>
      </w:r>
      <w:r w:rsidRPr="00CE5AB9">
        <w:t xml:space="preserve"> that </w:t>
      </w:r>
      <w:r>
        <w:t xml:space="preserve">would better address the current system </w:t>
      </w:r>
      <w:r w:rsidRPr="00CE5AB9">
        <w:t>issues</w:t>
      </w:r>
      <w:r>
        <w:t>, which should be considered by Government?</w:t>
      </w:r>
    </w:p>
    <w:p w:rsidR="00CA4FF1" w:rsidRDefault="00CA4FF1" w:rsidP="00CA4FF1">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jc w:val="both"/>
      </w:pPr>
    </w:p>
    <w:p w:rsidR="00CA4FF1" w:rsidRDefault="00CA4FF1" w:rsidP="00CA4FF1">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jc w:val="both"/>
      </w:pPr>
      <w:r w:rsidRPr="001C4297">
        <w:t xml:space="preserve">Q4) Do you consider 1,450 to be a reasonable estimate </w:t>
      </w:r>
      <w:r>
        <w:t>of the national demand for SDCU-</w:t>
      </w:r>
      <w:r w:rsidRPr="001C4297">
        <w:t>like beds for people with very severe BPSD? If not what other factors and/or methodologies should be considered?</w:t>
      </w:r>
      <w:r w:rsidRPr="001C4297" w:rsidDel="000C3B6C">
        <w:t xml:space="preserve"> </w:t>
      </w:r>
    </w:p>
    <w:p w:rsidR="00CA4FF1" w:rsidRPr="001C4297" w:rsidRDefault="00CA4FF1" w:rsidP="00CA4FF1">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jc w:val="both"/>
      </w:pPr>
    </w:p>
    <w:p w:rsidR="00CA4FF1" w:rsidRDefault="00CA4FF1" w:rsidP="00CA4FF1">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jc w:val="both"/>
      </w:pPr>
      <w:r w:rsidRPr="001C4297">
        <w:t>Q5) Are the proposed SDCU</w:t>
      </w:r>
      <w:r>
        <w:t xml:space="preserve"> service principles appropriate?</w:t>
      </w:r>
      <w:r w:rsidRPr="001C4297">
        <w:t xml:space="preserve"> </w:t>
      </w:r>
      <w:r>
        <w:t>I</w:t>
      </w:r>
      <w:r w:rsidRPr="001C4297">
        <w:t>f not</w:t>
      </w:r>
      <w:r>
        <w:t>,</w:t>
      </w:r>
      <w:r w:rsidRPr="001C4297">
        <w:t xml:space="preserve"> how should they be amended?</w:t>
      </w:r>
    </w:p>
    <w:p w:rsidR="00CA4FF1" w:rsidRPr="001C4297" w:rsidRDefault="00CA4FF1" w:rsidP="00CA4FF1">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jc w:val="both"/>
      </w:pPr>
    </w:p>
    <w:p w:rsidR="00CA4FF1" w:rsidRDefault="00CA4FF1" w:rsidP="00CA4FF1">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jc w:val="both"/>
      </w:pPr>
      <w:r w:rsidRPr="001C4297">
        <w:t xml:space="preserve">Q6) Are the above benefits what SDCUs should be aiming to deliver? If not, why? </w:t>
      </w:r>
    </w:p>
    <w:p w:rsidR="00CA4FF1" w:rsidRPr="001C4297" w:rsidRDefault="00CA4FF1" w:rsidP="00CA4FF1">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jc w:val="both"/>
        <w:rPr>
          <w:b/>
        </w:rPr>
      </w:pPr>
    </w:p>
    <w:p w:rsidR="00CA4FF1" w:rsidRDefault="00CA4FF1" w:rsidP="00CA4FF1">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jc w:val="both"/>
      </w:pPr>
      <w:r w:rsidRPr="001C4297">
        <w:t xml:space="preserve">Q7) </w:t>
      </w:r>
      <w:proofErr w:type="gramStart"/>
      <w:r w:rsidRPr="001C4297">
        <w:t>What</w:t>
      </w:r>
      <w:proofErr w:type="gramEnd"/>
      <w:r w:rsidRPr="001C4297">
        <w:t xml:space="preserve"> are the pros and cons of the SBRT performing the SDCU assessment service role?</w:t>
      </w:r>
      <w:r>
        <w:t xml:space="preserve"> </w:t>
      </w:r>
      <w:r w:rsidRPr="001C4297">
        <w:t>What other body (or bodies) might appropriately carry out this role?</w:t>
      </w:r>
    </w:p>
    <w:p w:rsidR="00CA4FF1" w:rsidRPr="001C4297" w:rsidRDefault="00CA4FF1" w:rsidP="00CA4FF1">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jc w:val="both"/>
      </w:pPr>
    </w:p>
    <w:p w:rsidR="00CA4FF1" w:rsidRDefault="00CA4FF1" w:rsidP="00CA4FF1">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jc w:val="both"/>
      </w:pPr>
      <w:r w:rsidRPr="001C4297">
        <w:t>Q</w:t>
      </w:r>
      <w:r>
        <w:t>8</w:t>
      </w:r>
      <w:r w:rsidRPr="001C4297">
        <w:t>) Might the requirement for evidence of a primary dementia diagnosis (as described above) impact on timely access to SDCU services for some people with BPSD?</w:t>
      </w:r>
    </w:p>
    <w:p w:rsidR="00CA4FF1" w:rsidRPr="001C4297" w:rsidRDefault="00CA4FF1" w:rsidP="00CA4FF1">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jc w:val="both"/>
      </w:pPr>
    </w:p>
    <w:p w:rsidR="00CA4FF1" w:rsidRDefault="00CA4FF1" w:rsidP="00CA4FF1">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jc w:val="both"/>
      </w:pPr>
      <w:r w:rsidRPr="001C4297">
        <w:t>Q</w:t>
      </w:r>
      <w:r>
        <w:t>9</w:t>
      </w:r>
      <w:r w:rsidRPr="001C4297">
        <w:t xml:space="preserve">) Are </w:t>
      </w:r>
      <w:r>
        <w:t xml:space="preserve">the proposed </w:t>
      </w:r>
      <w:r w:rsidRPr="001C4297">
        <w:t>assessment arrangements appropriate? If not</w:t>
      </w:r>
      <w:r>
        <w:t>,</w:t>
      </w:r>
      <w:r w:rsidRPr="001C4297">
        <w:t xml:space="preserve"> why not?</w:t>
      </w:r>
    </w:p>
    <w:p w:rsidR="00CA4FF1" w:rsidRPr="001C4297" w:rsidRDefault="00CA4FF1" w:rsidP="00CA4FF1">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jc w:val="both"/>
      </w:pPr>
    </w:p>
    <w:p w:rsidR="00CA4FF1" w:rsidRDefault="00CA4FF1" w:rsidP="00CA4FF1">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jc w:val="both"/>
      </w:pPr>
      <w:r w:rsidRPr="001C4297">
        <w:t>Q1</w:t>
      </w:r>
      <w:r>
        <w:t>0</w:t>
      </w:r>
      <w:r w:rsidRPr="001C4297">
        <w:t xml:space="preserve">) </w:t>
      </w:r>
      <w:proofErr w:type="gramStart"/>
      <w:r w:rsidRPr="001C4297">
        <w:t>What</w:t>
      </w:r>
      <w:proofErr w:type="gramEnd"/>
      <w:r w:rsidRPr="001C4297">
        <w:t xml:space="preserve"> other factors </w:t>
      </w:r>
      <w:r>
        <w:t>s</w:t>
      </w:r>
      <w:r w:rsidRPr="001C4297">
        <w:t>hould the SDCU assessment service consider in deciding whet</w:t>
      </w:r>
      <w:r>
        <w:t>her to recommend a person for a</w:t>
      </w:r>
      <w:r w:rsidRPr="001C4297">
        <w:t xml:space="preserve"> SDCU placement?</w:t>
      </w:r>
    </w:p>
    <w:p w:rsidR="00CA4FF1" w:rsidRPr="001C4297" w:rsidRDefault="00CA4FF1" w:rsidP="00CA4FF1">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jc w:val="both"/>
      </w:pPr>
    </w:p>
    <w:p w:rsidR="00CA4FF1" w:rsidRPr="001C4297" w:rsidRDefault="00CA4FF1" w:rsidP="00CA4FF1">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jc w:val="both"/>
      </w:pPr>
      <w:r w:rsidRPr="001C4297">
        <w:t>Q1</w:t>
      </w:r>
      <w:r>
        <w:t>1</w:t>
      </w:r>
      <w:r w:rsidRPr="001C4297">
        <w:t>) Is an 8–12 bed unit (within a larger residential aged care facility) the appropriate care setting for SDCUs? Are there circumstances in which larger or smaller units would be more appropriate?</w:t>
      </w:r>
    </w:p>
    <w:p w:rsidR="00CA4FF1" w:rsidRDefault="00CA4FF1" w:rsidP="00CA4FF1">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jc w:val="both"/>
      </w:pPr>
    </w:p>
    <w:p w:rsidR="00CA4FF1" w:rsidRDefault="00CA4FF1" w:rsidP="00CA4FF1">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jc w:val="both"/>
      </w:pPr>
      <w:r w:rsidRPr="00B8730E">
        <w:t>Q1</w:t>
      </w:r>
      <w:r>
        <w:t>2</w:t>
      </w:r>
      <w:r w:rsidRPr="00B8730E">
        <w:t xml:space="preserve">) </w:t>
      </w:r>
      <w:proofErr w:type="gramStart"/>
      <w:r w:rsidRPr="00B8730E">
        <w:t>Should</w:t>
      </w:r>
      <w:proofErr w:type="gramEnd"/>
      <w:r w:rsidRPr="00B8730E">
        <w:t xml:space="preserve"> there be a maximum limit on the duration of an individual’s residence within a SDCU? If not, why not? </w:t>
      </w:r>
      <w:proofErr w:type="gramStart"/>
      <w:r w:rsidRPr="00B8730E">
        <w:t>If so, how long?</w:t>
      </w:r>
      <w:proofErr w:type="gramEnd"/>
      <w:r w:rsidRPr="00B8730E">
        <w:t xml:space="preserve"> </w:t>
      </w:r>
    </w:p>
    <w:p w:rsidR="00CA4FF1" w:rsidRPr="00B8730E" w:rsidRDefault="00CA4FF1" w:rsidP="00CA4FF1">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jc w:val="both"/>
      </w:pPr>
    </w:p>
    <w:p w:rsidR="00CA4FF1" w:rsidRDefault="00CA4FF1" w:rsidP="00CA4FF1">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jc w:val="both"/>
      </w:pPr>
      <w:r w:rsidRPr="00B8730E">
        <w:t>Q1</w:t>
      </w:r>
      <w:r>
        <w:t>3</w:t>
      </w:r>
      <w:r w:rsidRPr="00B8730E">
        <w:t xml:space="preserve">) </w:t>
      </w:r>
      <w:proofErr w:type="gramStart"/>
      <w:r w:rsidRPr="00B8730E">
        <w:t>What</w:t>
      </w:r>
      <w:proofErr w:type="gramEnd"/>
      <w:r w:rsidRPr="00B8730E">
        <w:t xml:space="preserve"> is a reasonable period for transitional support from a SDCU to the new accommodation provider? </w:t>
      </w:r>
    </w:p>
    <w:p w:rsidR="00CA4FF1" w:rsidRPr="00B8730E" w:rsidRDefault="00CA4FF1" w:rsidP="00CA4FF1">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jc w:val="both"/>
      </w:pPr>
    </w:p>
    <w:p w:rsidR="00CA4FF1" w:rsidRDefault="00CA4FF1" w:rsidP="00CA4FF1">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jc w:val="both"/>
      </w:pPr>
      <w:r>
        <w:t>Q14</w:t>
      </w:r>
      <w:r w:rsidRPr="00B8730E">
        <w:t xml:space="preserve">) Might existing security of tenure arrangements pose a significant issue for the ‘transitional’ operation of SDCUs? </w:t>
      </w:r>
      <w:proofErr w:type="gramStart"/>
      <w:r w:rsidRPr="00B8730E">
        <w:t>If so, how?</w:t>
      </w:r>
      <w:proofErr w:type="gramEnd"/>
    </w:p>
    <w:p w:rsidR="00CA4FF1" w:rsidRPr="00B8730E" w:rsidRDefault="00CA4FF1" w:rsidP="00CA4FF1">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jc w:val="both"/>
      </w:pPr>
    </w:p>
    <w:p w:rsidR="00CA4FF1" w:rsidRDefault="00CA4FF1" w:rsidP="00CA4FF1">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jc w:val="both"/>
      </w:pPr>
      <w:r>
        <w:lastRenderedPageBreak/>
        <w:t>Q15</w:t>
      </w:r>
      <w:r w:rsidRPr="00B8730E">
        <w:t xml:space="preserve">) </w:t>
      </w:r>
      <w:proofErr w:type="gramStart"/>
      <w:r w:rsidRPr="00B8730E">
        <w:t>What</w:t>
      </w:r>
      <w:proofErr w:type="gramEnd"/>
      <w:r w:rsidRPr="00B8730E">
        <w:t xml:space="preserve"> strategi</w:t>
      </w:r>
      <w:r>
        <w:t xml:space="preserve">es could be used to facilitate </w:t>
      </w:r>
      <w:r w:rsidRPr="00B8730E">
        <w:t>SDCU ‘throughput’ within existing security of tenure provisions?</w:t>
      </w:r>
    </w:p>
    <w:p w:rsidR="00CA4FF1" w:rsidRPr="00B8730E" w:rsidRDefault="00CA4FF1" w:rsidP="00CA4FF1">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jc w:val="both"/>
      </w:pPr>
    </w:p>
    <w:p w:rsidR="00CA4FF1" w:rsidRDefault="00CA4FF1" w:rsidP="00CA4FF1">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jc w:val="both"/>
      </w:pPr>
      <w:r w:rsidRPr="00B8730E">
        <w:t>Q</w:t>
      </w:r>
      <w:r>
        <w:t>16</w:t>
      </w:r>
      <w:r w:rsidRPr="00B8730E">
        <w:t xml:space="preserve">) </w:t>
      </w:r>
      <w:proofErr w:type="gramStart"/>
      <w:r w:rsidRPr="00B8730E">
        <w:t>What</w:t>
      </w:r>
      <w:proofErr w:type="gramEnd"/>
      <w:r w:rsidRPr="00B8730E">
        <w:t xml:space="preserve"> mechanisms should be used to support partnerships between SDCUs and acute services?</w:t>
      </w:r>
    </w:p>
    <w:p w:rsidR="00CA4FF1" w:rsidRPr="00B8730E" w:rsidRDefault="00CA4FF1" w:rsidP="00CA4FF1">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jc w:val="both"/>
      </w:pPr>
    </w:p>
    <w:p w:rsidR="00CA4FF1" w:rsidRDefault="00CA4FF1" w:rsidP="00CA4FF1">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jc w:val="both"/>
      </w:pPr>
      <w:r>
        <w:t>Q17</w:t>
      </w:r>
      <w:r w:rsidRPr="00B8730E">
        <w:t>) Should there be any additional requirements for SDCU providers caring for people from Aboriginal and Torres Strait Islander, CALD or other diverse backgrounds?</w:t>
      </w:r>
    </w:p>
    <w:p w:rsidR="00CA4FF1" w:rsidRDefault="00CA4FF1" w:rsidP="00CA4FF1">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jc w:val="both"/>
      </w:pPr>
    </w:p>
    <w:p w:rsidR="00CA4FF1" w:rsidRPr="00832CC4" w:rsidRDefault="00CA4FF1" w:rsidP="00CA4FF1">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jc w:val="both"/>
      </w:pPr>
      <w:r w:rsidRPr="00815E2F">
        <w:t>Q</w:t>
      </w:r>
      <w:r>
        <w:t>18</w:t>
      </w:r>
      <w:r w:rsidRPr="00815E2F">
        <w:t xml:space="preserve">) </w:t>
      </w:r>
      <w:proofErr w:type="gramStart"/>
      <w:r w:rsidRPr="00815E2F">
        <w:t>Would</w:t>
      </w:r>
      <w:proofErr w:type="gramEnd"/>
      <w:r w:rsidRPr="00815E2F">
        <w:t xml:space="preserve"> it be feasible to establish SDCUs in rural and remote locations? How can SDCUs </w:t>
      </w:r>
      <w:r>
        <w:t xml:space="preserve">(or alternative initiatives) </w:t>
      </w:r>
      <w:r w:rsidRPr="00815E2F">
        <w:t>best support people with very severe BPSD living in rural and remote areas?</w:t>
      </w:r>
    </w:p>
    <w:p w:rsidR="00CA4FF1" w:rsidRDefault="00CA4FF1" w:rsidP="00CA4FF1">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jc w:val="both"/>
      </w:pPr>
    </w:p>
    <w:p w:rsidR="00CA4FF1" w:rsidRDefault="00CA4FF1" w:rsidP="00CA4FF1">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jc w:val="both"/>
      </w:pPr>
      <w:r>
        <w:t>Q19</w:t>
      </w:r>
      <w:r w:rsidRPr="00B8730E">
        <w:t xml:space="preserve">) </w:t>
      </w:r>
      <w:proofErr w:type="gramStart"/>
      <w:r w:rsidRPr="00B8730E">
        <w:t>What</w:t>
      </w:r>
      <w:proofErr w:type="gramEnd"/>
      <w:r w:rsidRPr="00B8730E">
        <w:t xml:space="preserve"> specific costs would contribute to the ‘top up’ amount</w:t>
      </w:r>
      <w:r>
        <w:t>?</w:t>
      </w:r>
    </w:p>
    <w:p w:rsidR="00CA4FF1" w:rsidRDefault="00CA4FF1" w:rsidP="00CA4FF1">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jc w:val="both"/>
      </w:pPr>
    </w:p>
    <w:p w:rsidR="00CA4FF1" w:rsidRDefault="00CA4FF1" w:rsidP="00CA4FF1">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jc w:val="both"/>
      </w:pPr>
      <w:r>
        <w:t xml:space="preserve">Q20) </w:t>
      </w:r>
      <w:proofErr w:type="gramStart"/>
      <w:r w:rsidRPr="00B8730E">
        <w:t>To</w:t>
      </w:r>
      <w:proofErr w:type="gramEnd"/>
      <w:r w:rsidRPr="00B8730E">
        <w:t xml:space="preserve"> what extent </w:t>
      </w:r>
      <w:r>
        <w:t xml:space="preserve">might these costs </w:t>
      </w:r>
      <w:r w:rsidRPr="00B8730E">
        <w:t xml:space="preserve">vary across SDCUs, for example in response to geographic location or local mix of people with BPSD? </w:t>
      </w:r>
    </w:p>
    <w:p w:rsidR="00CA4FF1" w:rsidRPr="00B8730E" w:rsidRDefault="00CA4FF1" w:rsidP="00CA4FF1">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jc w:val="both"/>
      </w:pPr>
    </w:p>
    <w:p w:rsidR="00CA4FF1" w:rsidRDefault="00CA4FF1" w:rsidP="00CA4FF1">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jc w:val="both"/>
      </w:pPr>
      <w:r w:rsidRPr="00B8730E">
        <w:t>Q2</w:t>
      </w:r>
      <w:r>
        <w:t>1</w:t>
      </w:r>
      <w:r w:rsidRPr="00B8730E">
        <w:t xml:space="preserve">) </w:t>
      </w:r>
      <w:proofErr w:type="gramStart"/>
      <w:r w:rsidRPr="00B8730E">
        <w:t>Which</w:t>
      </w:r>
      <w:proofErr w:type="gramEnd"/>
      <w:r w:rsidRPr="00B8730E">
        <w:t xml:space="preserve"> ‘top up’ funding option do you prefer? Why?</w:t>
      </w:r>
    </w:p>
    <w:p w:rsidR="00CA4FF1" w:rsidRPr="00B8730E" w:rsidRDefault="00CA4FF1" w:rsidP="00CA4FF1">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jc w:val="both"/>
      </w:pPr>
    </w:p>
    <w:p w:rsidR="00CA4FF1" w:rsidRDefault="00CA4FF1" w:rsidP="00CA4FF1">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jc w:val="both"/>
      </w:pPr>
      <w:proofErr w:type="gramStart"/>
      <w:r w:rsidRPr="00B8730E">
        <w:t>Q2</w:t>
      </w:r>
      <w:r>
        <w:t>2</w:t>
      </w:r>
      <w:r w:rsidRPr="00B8730E">
        <w:t xml:space="preserve">) Are there other funding mechanisms </w:t>
      </w:r>
      <w:r>
        <w:t xml:space="preserve">that </w:t>
      </w:r>
      <w:r w:rsidRPr="00B8730E">
        <w:t>should be considered?</w:t>
      </w:r>
      <w:proofErr w:type="gramEnd"/>
    </w:p>
    <w:p w:rsidR="00CA4FF1" w:rsidRPr="00B8730E" w:rsidRDefault="00CA4FF1" w:rsidP="00CA4FF1">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jc w:val="both"/>
      </w:pPr>
    </w:p>
    <w:p w:rsidR="00CA4FF1" w:rsidRDefault="00CA4FF1" w:rsidP="00CA4FF1">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jc w:val="both"/>
      </w:pPr>
      <w:r w:rsidRPr="00B8730E">
        <w:t>Q2</w:t>
      </w:r>
      <w:r>
        <w:t>3</w:t>
      </w:r>
      <w:r w:rsidRPr="00B8730E">
        <w:t xml:space="preserve">) </w:t>
      </w:r>
      <w:proofErr w:type="gramStart"/>
      <w:r w:rsidRPr="00B8730E">
        <w:t>Is</w:t>
      </w:r>
      <w:proofErr w:type="gramEnd"/>
      <w:r w:rsidRPr="00B8730E">
        <w:t xml:space="preserve"> block funding, occupancy-based funding or a combination of both most appropriate for SDCUs? Why? </w:t>
      </w:r>
    </w:p>
    <w:p w:rsidR="00CA4FF1" w:rsidRPr="00B8730E" w:rsidRDefault="00CA4FF1" w:rsidP="00CA4FF1">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jc w:val="both"/>
      </w:pPr>
    </w:p>
    <w:p w:rsidR="00CA4FF1" w:rsidRDefault="00CA4FF1" w:rsidP="00CA4FF1">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jc w:val="both"/>
      </w:pPr>
      <w:r w:rsidRPr="00B8730E">
        <w:t>Q2</w:t>
      </w:r>
      <w:r>
        <w:t>4</w:t>
      </w:r>
      <w:r w:rsidRPr="00B8730E">
        <w:t>) Are the</w:t>
      </w:r>
      <w:r>
        <w:t xml:space="preserve"> proposed uses of </w:t>
      </w:r>
      <w:r w:rsidRPr="00B8730E">
        <w:t>‘top up’ funding</w:t>
      </w:r>
      <w:r>
        <w:t xml:space="preserve"> appropriate or should there be other costs included or excluded?</w:t>
      </w:r>
    </w:p>
    <w:p w:rsidR="00CA4FF1" w:rsidRPr="00B8730E" w:rsidRDefault="00CA4FF1" w:rsidP="00CA4FF1">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jc w:val="both"/>
      </w:pPr>
    </w:p>
    <w:p w:rsidR="00CA4FF1" w:rsidRDefault="00CA4FF1" w:rsidP="00CA4FF1">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jc w:val="both"/>
      </w:pPr>
      <w:r w:rsidRPr="00B8730E">
        <w:t>Q</w:t>
      </w:r>
      <w:r>
        <w:t>25</w:t>
      </w:r>
      <w:r w:rsidRPr="00B8730E">
        <w:t xml:space="preserve">) With </w:t>
      </w:r>
      <w:r>
        <w:t xml:space="preserve">no </w:t>
      </w:r>
      <w:r w:rsidRPr="00B8730E">
        <w:t xml:space="preserve">specific capital funding for SDCUs proposed – is there a minimum funding </w:t>
      </w:r>
      <w:proofErr w:type="gramStart"/>
      <w:r>
        <w:t xml:space="preserve">period </w:t>
      </w:r>
      <w:r w:rsidRPr="00B8730E">
        <w:t xml:space="preserve"> to</w:t>
      </w:r>
      <w:proofErr w:type="gramEnd"/>
      <w:r w:rsidRPr="00B8730E">
        <w:t xml:space="preserve"> justify an operator investing to </w:t>
      </w:r>
      <w:r>
        <w:t xml:space="preserve">establish </w:t>
      </w:r>
      <w:r w:rsidRPr="00B8730E">
        <w:t>a SDCU?</w:t>
      </w:r>
    </w:p>
    <w:p w:rsidR="00CA4FF1" w:rsidRPr="00B8730E" w:rsidRDefault="00CA4FF1" w:rsidP="00CA4FF1">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jc w:val="both"/>
      </w:pPr>
    </w:p>
    <w:p w:rsidR="00CA4FF1" w:rsidRDefault="00CA4FF1" w:rsidP="00CA4FF1">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jc w:val="both"/>
      </w:pPr>
      <w:r>
        <w:t>Q26</w:t>
      </w:r>
      <w:r w:rsidRPr="00B8730E">
        <w:t>) Do the proposed provider funding arrangements pose any financial sustainability risks</w:t>
      </w:r>
      <w:r>
        <w:t>?</w:t>
      </w:r>
    </w:p>
    <w:p w:rsidR="00CA4FF1" w:rsidRPr="00B8730E" w:rsidRDefault="00CA4FF1" w:rsidP="00CA4FF1">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jc w:val="both"/>
      </w:pPr>
    </w:p>
    <w:p w:rsidR="00CA4FF1" w:rsidRDefault="00CA4FF1" w:rsidP="00CA4FF1">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jc w:val="both"/>
      </w:pPr>
      <w:r>
        <w:t>Q27</w:t>
      </w:r>
      <w:r w:rsidRPr="00B8730E">
        <w:t xml:space="preserve">) </w:t>
      </w:r>
      <w:proofErr w:type="gramStart"/>
      <w:r w:rsidRPr="00B8730E">
        <w:t>Should</w:t>
      </w:r>
      <w:proofErr w:type="gramEnd"/>
      <w:r w:rsidRPr="00B8730E">
        <w:t xml:space="preserve"> any special resident fees and payments arrangements apply to people receiving care in a SDCU? </w:t>
      </w:r>
    </w:p>
    <w:p w:rsidR="00CA4FF1" w:rsidRPr="00B8730E" w:rsidRDefault="00CA4FF1" w:rsidP="00CA4FF1">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jc w:val="both"/>
      </w:pPr>
    </w:p>
    <w:p w:rsidR="00CA4FF1" w:rsidRDefault="00CA4FF1" w:rsidP="00CA4FF1">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jc w:val="both"/>
      </w:pPr>
      <w:r>
        <w:t>Q28</w:t>
      </w:r>
      <w:r w:rsidRPr="00B8730E">
        <w:t xml:space="preserve">) </w:t>
      </w:r>
      <w:r>
        <w:t xml:space="preserve">Are the proposed provider </w:t>
      </w:r>
      <w:r w:rsidRPr="00B8730E">
        <w:t xml:space="preserve">selection criteria </w:t>
      </w:r>
      <w:r>
        <w:t>appropriate?</w:t>
      </w:r>
      <w:r w:rsidRPr="00B8730E">
        <w:t xml:space="preserve"> Do you consider some selection criteria mandatory?</w:t>
      </w:r>
    </w:p>
    <w:p w:rsidR="00CA4FF1" w:rsidRPr="00B8730E" w:rsidRDefault="00CA4FF1" w:rsidP="00CA4FF1">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jc w:val="both"/>
      </w:pPr>
    </w:p>
    <w:p w:rsidR="00CA4FF1" w:rsidRDefault="00CA4FF1" w:rsidP="00CA4FF1">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jc w:val="both"/>
      </w:pPr>
      <w:r w:rsidRPr="00B8730E">
        <w:t>Q</w:t>
      </w:r>
      <w:r>
        <w:t>29</w:t>
      </w:r>
      <w:r w:rsidRPr="00B8730E">
        <w:t xml:space="preserve">) </w:t>
      </w:r>
      <w:proofErr w:type="gramStart"/>
      <w:r w:rsidRPr="00B8730E">
        <w:t>Which</w:t>
      </w:r>
      <w:proofErr w:type="gramEnd"/>
      <w:r w:rsidRPr="00B8730E">
        <w:t xml:space="preserve"> factors should be prioritised in determining the regional rollout schedule and why?</w:t>
      </w:r>
    </w:p>
    <w:p w:rsidR="00CA4FF1" w:rsidRPr="00B8730E" w:rsidRDefault="00CA4FF1" w:rsidP="00CA4FF1">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jc w:val="both"/>
      </w:pPr>
    </w:p>
    <w:p w:rsidR="00CA4FF1" w:rsidRPr="00EB1180" w:rsidRDefault="00CA4FF1" w:rsidP="00CA4FF1">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jc w:val="both"/>
      </w:pPr>
      <w:r w:rsidRPr="00B8730E">
        <w:t>Q3</w:t>
      </w:r>
      <w:r>
        <w:t>0</w:t>
      </w:r>
      <w:r w:rsidRPr="00B8730E">
        <w:t xml:space="preserve">) </w:t>
      </w:r>
      <w:proofErr w:type="gramStart"/>
      <w:r w:rsidRPr="00B8730E">
        <w:t>What</w:t>
      </w:r>
      <w:proofErr w:type="gramEnd"/>
      <w:r w:rsidRPr="00B8730E">
        <w:t xml:space="preserve"> factors should be considered in evaluating the SDCU program?</w:t>
      </w:r>
    </w:p>
    <w:p w:rsidR="00CA4FF1" w:rsidRDefault="00CA4FF1" w:rsidP="00CA4FF1">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jc w:val="both"/>
      </w:pPr>
    </w:p>
    <w:p w:rsidR="00CA4FF1" w:rsidRDefault="00CA4FF1" w:rsidP="00CA4FF1">
      <w:pPr>
        <w:jc w:val="both"/>
        <w:rPr>
          <w:highlight w:val="lightGray"/>
        </w:rPr>
      </w:pPr>
      <w:r>
        <w:rPr>
          <w:highlight w:val="lightGray"/>
        </w:rPr>
        <w:br w:type="page"/>
      </w:r>
    </w:p>
    <w:p w:rsidR="00CA4FF1" w:rsidRPr="00D32E9B" w:rsidRDefault="00CA4FF1" w:rsidP="00CA4FF1">
      <w:pPr>
        <w:pStyle w:val="Heading1"/>
        <w:numPr>
          <w:ilvl w:val="0"/>
          <w:numId w:val="5"/>
        </w:numPr>
        <w:spacing w:after="120"/>
        <w:jc w:val="both"/>
      </w:pPr>
      <w:bookmarkStart w:id="4" w:name="_Introduction"/>
      <w:bookmarkStart w:id="5" w:name="_Toc499538716"/>
      <w:bookmarkEnd w:id="4"/>
      <w:r w:rsidRPr="00D32E9B">
        <w:lastRenderedPageBreak/>
        <w:t>I</w:t>
      </w:r>
      <w:r>
        <w:t>ntroduction</w:t>
      </w:r>
      <w:bookmarkEnd w:id="5"/>
    </w:p>
    <w:p w:rsidR="00CA4FF1" w:rsidRPr="00CE5AB9" w:rsidRDefault="00CA4FF1" w:rsidP="00CA4FF1">
      <w:pPr>
        <w:pStyle w:val="Heading2"/>
        <w:numPr>
          <w:ilvl w:val="1"/>
          <w:numId w:val="1"/>
        </w:numPr>
        <w:spacing w:after="120"/>
        <w:jc w:val="both"/>
      </w:pPr>
      <w:bookmarkStart w:id="6" w:name="_Toc499538717"/>
      <w:r>
        <w:t>Purpose of this paper</w:t>
      </w:r>
      <w:bookmarkEnd w:id="6"/>
      <w:r w:rsidRPr="00FD4D01">
        <w:t xml:space="preserve"> </w:t>
      </w:r>
    </w:p>
    <w:p w:rsidR="00CA4FF1" w:rsidRDefault="00CA4FF1" w:rsidP="00CA4FF1">
      <w:pPr>
        <w:jc w:val="both"/>
      </w:pPr>
      <w:r w:rsidRPr="000E41E2">
        <w:t>This paper seeks stakeholder views on the policy des</w:t>
      </w:r>
      <w:r>
        <w:t xml:space="preserve">ign and implementation </w:t>
      </w:r>
      <w:r w:rsidRPr="000E41E2">
        <w:t xml:space="preserve">of </w:t>
      </w:r>
      <w:r>
        <w:t xml:space="preserve">the Australian Government’s </w:t>
      </w:r>
      <w:r w:rsidRPr="000E41E2">
        <w:t>Specialist Dementia Care Units (SDCUs)</w:t>
      </w:r>
      <w:r>
        <w:t xml:space="preserve"> initiative.</w:t>
      </w:r>
      <w:r w:rsidRPr="000E41E2">
        <w:t xml:space="preserve"> </w:t>
      </w:r>
    </w:p>
    <w:p w:rsidR="00CA4FF1" w:rsidRPr="0083396D" w:rsidRDefault="00CA4FF1" w:rsidP="00CA4FF1">
      <w:pPr>
        <w:jc w:val="both"/>
      </w:pPr>
    </w:p>
    <w:p w:rsidR="00CA4FF1" w:rsidRPr="000E41E2" w:rsidRDefault="00CA4FF1" w:rsidP="00CA4FF1">
      <w:pPr>
        <w:pStyle w:val="Default"/>
        <w:jc w:val="both"/>
        <w:rPr>
          <w:rFonts w:asciiTheme="minorHAnsi" w:hAnsiTheme="minorHAnsi" w:cs="Times New Roman"/>
          <w:color w:val="auto"/>
          <w:lang w:eastAsia="en-US"/>
        </w:rPr>
      </w:pPr>
      <w:r w:rsidRPr="000E41E2">
        <w:rPr>
          <w:rFonts w:asciiTheme="minorHAnsi" w:hAnsiTheme="minorHAnsi" w:cs="Times New Roman"/>
          <w:color w:val="auto"/>
          <w:lang w:eastAsia="en-US"/>
        </w:rPr>
        <w:t xml:space="preserve">The paper particularly seeks to: </w:t>
      </w:r>
    </w:p>
    <w:p w:rsidR="00CA4FF1" w:rsidRPr="000E41E2" w:rsidRDefault="00CA4FF1" w:rsidP="00CA4FF1">
      <w:pPr>
        <w:pStyle w:val="ListParagraph"/>
        <w:numPr>
          <w:ilvl w:val="0"/>
          <w:numId w:val="6"/>
        </w:numPr>
        <w:jc w:val="both"/>
      </w:pPr>
      <w:r w:rsidRPr="000E41E2">
        <w:t xml:space="preserve">outline the rationale for establishing SDCUs </w:t>
      </w:r>
    </w:p>
    <w:p w:rsidR="00CA4FF1" w:rsidRDefault="00CA4FF1" w:rsidP="00CA4FF1">
      <w:pPr>
        <w:pStyle w:val="ListParagraph"/>
        <w:numPr>
          <w:ilvl w:val="0"/>
          <w:numId w:val="6"/>
        </w:numPr>
        <w:jc w:val="both"/>
      </w:pPr>
      <w:r w:rsidRPr="000E41E2">
        <w:t>summarise the current service environment in which SDCUs will operate</w:t>
      </w:r>
      <w:r>
        <w:t>,</w:t>
      </w:r>
      <w:r w:rsidRPr="000E41E2">
        <w:t xml:space="preserve"> including current Australian Government and </w:t>
      </w:r>
      <w:r>
        <w:t>s</w:t>
      </w:r>
      <w:r w:rsidRPr="000E41E2">
        <w:t xml:space="preserve">tate and </w:t>
      </w:r>
      <w:r>
        <w:t>t</w:t>
      </w:r>
      <w:r w:rsidRPr="000E41E2">
        <w:t xml:space="preserve">erritory </w:t>
      </w:r>
      <w:r>
        <w:t>g</w:t>
      </w:r>
      <w:r w:rsidRPr="000E41E2">
        <w:t xml:space="preserve">overnment supports for </w:t>
      </w:r>
      <w:r w:rsidRPr="0083396D">
        <w:t xml:space="preserve">people with </w:t>
      </w:r>
      <w:r>
        <w:t>dementia</w:t>
      </w:r>
    </w:p>
    <w:p w:rsidR="00CA4FF1" w:rsidRPr="000E41E2" w:rsidRDefault="00CA4FF1" w:rsidP="00CA4FF1">
      <w:pPr>
        <w:pStyle w:val="ListParagraph"/>
        <w:numPr>
          <w:ilvl w:val="0"/>
          <w:numId w:val="6"/>
        </w:numPr>
        <w:jc w:val="both"/>
      </w:pPr>
      <w:r w:rsidRPr="000E41E2">
        <w:t xml:space="preserve">elicit feedback on the proposed SDCU </w:t>
      </w:r>
      <w:r>
        <w:t xml:space="preserve">high-level </w:t>
      </w:r>
      <w:r w:rsidRPr="000E41E2">
        <w:t>model of care and funding and administrative option</w:t>
      </w:r>
      <w:r>
        <w:t>s</w:t>
      </w:r>
    </w:p>
    <w:p w:rsidR="00CA4FF1" w:rsidRDefault="00CA4FF1" w:rsidP="00CA4FF1">
      <w:pPr>
        <w:pStyle w:val="ListParagraph"/>
        <w:numPr>
          <w:ilvl w:val="0"/>
          <w:numId w:val="6"/>
        </w:numPr>
        <w:jc w:val="both"/>
      </w:pPr>
      <w:proofErr w:type="gramStart"/>
      <w:r w:rsidRPr="000E41E2">
        <w:t>provide</w:t>
      </w:r>
      <w:proofErr w:type="gramEnd"/>
      <w:r w:rsidRPr="000E41E2">
        <w:t xml:space="preserve"> an overview of next steps and timeframes in </w:t>
      </w:r>
      <w:r>
        <w:t xml:space="preserve">implementing the </w:t>
      </w:r>
      <w:r w:rsidRPr="000E41E2">
        <w:t xml:space="preserve">SDCU </w:t>
      </w:r>
      <w:r>
        <w:t>initiative.</w:t>
      </w:r>
    </w:p>
    <w:p w:rsidR="00CA4FF1" w:rsidRDefault="00CA4FF1" w:rsidP="00CA4FF1">
      <w:pPr>
        <w:jc w:val="both"/>
        <w:rPr>
          <w:sz w:val="22"/>
          <w:szCs w:val="22"/>
        </w:rPr>
      </w:pPr>
    </w:p>
    <w:p w:rsidR="00CA4FF1" w:rsidRDefault="00CA4FF1" w:rsidP="00CA4FF1">
      <w:pPr>
        <w:jc w:val="both"/>
      </w:pPr>
      <w:r>
        <w:t xml:space="preserve">We would like to thank all those who assisted with the development of this consultation paper, especially the SDCU Expert Advisory Group members – Dr Anthony Hobbs, Professor Henry </w:t>
      </w:r>
      <w:proofErr w:type="spellStart"/>
      <w:r>
        <w:t>Brodaty</w:t>
      </w:r>
      <w:proofErr w:type="spellEnd"/>
      <w:r>
        <w:t xml:space="preserve">, Professor Joseph Ibrahim, Professor Susan </w:t>
      </w:r>
      <w:proofErr w:type="spellStart"/>
      <w:r>
        <w:t>Kurrle</w:t>
      </w:r>
      <w:proofErr w:type="spellEnd"/>
      <w:r>
        <w:t xml:space="preserve">, Ms Susan McCarthy, Professor Dimity Pond, Ms Angela </w:t>
      </w:r>
      <w:proofErr w:type="spellStart"/>
      <w:r>
        <w:t>Raguz</w:t>
      </w:r>
      <w:proofErr w:type="spellEnd"/>
      <w:r>
        <w:t xml:space="preserve">, Dr Edward </w:t>
      </w:r>
      <w:proofErr w:type="spellStart"/>
      <w:r>
        <w:t>Strivens</w:t>
      </w:r>
      <w:proofErr w:type="spellEnd"/>
      <w:r>
        <w:t xml:space="preserve">, Ms Kate </w:t>
      </w:r>
      <w:proofErr w:type="spellStart"/>
      <w:r>
        <w:t>Swaffer</w:t>
      </w:r>
      <w:proofErr w:type="spellEnd"/>
      <w:r>
        <w:t xml:space="preserve"> and Ms Debra </w:t>
      </w:r>
      <w:proofErr w:type="spellStart"/>
      <w:r>
        <w:t>Thoms</w:t>
      </w:r>
      <w:proofErr w:type="spellEnd"/>
      <w:r>
        <w:t xml:space="preserve"> – for generously giving up their time to provide expertise and advice to inform the SDCU proposed model of care.</w:t>
      </w:r>
    </w:p>
    <w:p w:rsidR="00CA4FF1" w:rsidRDefault="00CA4FF1" w:rsidP="00CA4FF1">
      <w:pPr>
        <w:jc w:val="both"/>
      </w:pPr>
    </w:p>
    <w:p w:rsidR="00CA4FF1" w:rsidRPr="00BA324B" w:rsidRDefault="00CA4FF1" w:rsidP="00CA4FF1">
      <w:pPr>
        <w:jc w:val="both"/>
        <w:rPr>
          <w:b/>
        </w:rPr>
      </w:pPr>
      <w:r>
        <w:t xml:space="preserve">Feedback can be provided using the Department of Health Consultation Hub at consultations.health.gov.au. Submissions should be </w:t>
      </w:r>
      <w:r w:rsidRPr="00593AA5">
        <w:t xml:space="preserve">provided by </w:t>
      </w:r>
      <w:r w:rsidR="00BA324B" w:rsidRPr="00BA324B">
        <w:rPr>
          <w:b/>
        </w:rPr>
        <w:t>21 January 2018</w:t>
      </w:r>
      <w:r w:rsidR="00BA324B">
        <w:rPr>
          <w:b/>
        </w:rPr>
        <w:t>.</w:t>
      </w:r>
    </w:p>
    <w:p w:rsidR="00CA4FF1" w:rsidRPr="00CE5AB9" w:rsidRDefault="00CA4FF1" w:rsidP="00CA4FF1">
      <w:pPr>
        <w:pStyle w:val="Heading2"/>
        <w:numPr>
          <w:ilvl w:val="1"/>
          <w:numId w:val="1"/>
        </w:numPr>
        <w:spacing w:after="120"/>
        <w:jc w:val="both"/>
      </w:pPr>
      <w:bookmarkStart w:id="7" w:name="_Toc499538718"/>
      <w:r w:rsidRPr="00933C89">
        <w:t>Scope of consultation</w:t>
      </w:r>
      <w:bookmarkEnd w:id="7"/>
    </w:p>
    <w:p w:rsidR="00CA4FF1" w:rsidRDefault="00CA4FF1" w:rsidP="00CA4FF1">
      <w:pPr>
        <w:jc w:val="both"/>
      </w:pPr>
      <w:r w:rsidRPr="00416C7F">
        <w:t>This consultation seeks views on the proposed high-level model of care and funding and administrative options</w:t>
      </w:r>
      <w:r>
        <w:t xml:space="preserve"> for </w:t>
      </w:r>
      <w:r w:rsidRPr="00416C7F">
        <w:t>SDCU</w:t>
      </w:r>
      <w:r>
        <w:t>s</w:t>
      </w:r>
      <w:r w:rsidRPr="00416C7F">
        <w:t>.</w:t>
      </w:r>
      <w:r>
        <w:t xml:space="preserve"> The proposed arrangements in this paper have not been agreed by the Australian Government and may change, including in response to consultation feedback. </w:t>
      </w:r>
    </w:p>
    <w:p w:rsidR="00CA4FF1" w:rsidRDefault="00CA4FF1" w:rsidP="00CA4FF1">
      <w:pPr>
        <w:jc w:val="both"/>
      </w:pPr>
    </w:p>
    <w:p w:rsidR="00CA4FF1" w:rsidRDefault="00CA4FF1" w:rsidP="00CA4FF1">
      <w:pPr>
        <w:jc w:val="both"/>
      </w:pPr>
      <w:r>
        <w:t xml:space="preserve">The paper does not provide the detailed information that would be outlined in SDCU program guidelines, manuals or performance and evaluation frameworks. This information will be shaped by the outcome of the current consultation and progressively developed over the next twelve months. </w:t>
      </w:r>
    </w:p>
    <w:p w:rsidR="00CA4FF1" w:rsidRDefault="00CA4FF1" w:rsidP="00CA4FF1">
      <w:pPr>
        <w:pStyle w:val="ListParagraph"/>
        <w:ind w:left="360"/>
        <w:jc w:val="both"/>
      </w:pPr>
    </w:p>
    <w:p w:rsidR="00CA4FF1" w:rsidRDefault="00CA4FF1" w:rsidP="00CA4FF1">
      <w:pPr>
        <w:jc w:val="both"/>
      </w:pPr>
      <w:r>
        <w:t xml:space="preserve">Consultation on the SDCU initiative is being undertaken in parallel with a number of other significant aged care and health system reforms and review processes. This paper predominantly focuses on SDCUs, but encourages stakeholders to consider the SDCU initiative in the context of these broader reforms, and whether alternative approaches may deliver better outcomes for people experiencing very severe and extreme behavioural and psychological symptoms of dementia (BPSD). </w:t>
      </w:r>
    </w:p>
    <w:p w:rsidR="00CA4FF1" w:rsidRDefault="00CA4FF1" w:rsidP="00CA4FF1">
      <w:pPr>
        <w:pStyle w:val="Heading1"/>
        <w:numPr>
          <w:ilvl w:val="0"/>
          <w:numId w:val="5"/>
        </w:numPr>
        <w:spacing w:after="120"/>
        <w:jc w:val="both"/>
      </w:pPr>
      <w:bookmarkStart w:id="8" w:name="_Toc499044319"/>
      <w:bookmarkStart w:id="9" w:name="_Background"/>
      <w:bookmarkStart w:id="10" w:name="_Toc499538719"/>
      <w:bookmarkEnd w:id="8"/>
      <w:bookmarkEnd w:id="9"/>
      <w:r>
        <w:lastRenderedPageBreak/>
        <w:t>Background</w:t>
      </w:r>
      <w:bookmarkEnd w:id="10"/>
    </w:p>
    <w:p w:rsidR="00CA4FF1" w:rsidRDefault="00CA4FF1" w:rsidP="00CA4FF1">
      <w:pPr>
        <w:pStyle w:val="Heading2"/>
        <w:numPr>
          <w:ilvl w:val="1"/>
          <w:numId w:val="2"/>
        </w:numPr>
        <w:spacing w:after="120"/>
        <w:jc w:val="both"/>
      </w:pPr>
      <w:bookmarkStart w:id="11" w:name="_Toc499538720"/>
      <w:r>
        <w:t>B</w:t>
      </w:r>
      <w:r w:rsidRPr="00933C89">
        <w:t xml:space="preserve">ehavioural and </w:t>
      </w:r>
      <w:r>
        <w:t>p</w:t>
      </w:r>
      <w:r w:rsidRPr="00933C89">
        <w:t xml:space="preserve">sychological </w:t>
      </w:r>
      <w:r>
        <w:t>s</w:t>
      </w:r>
      <w:r w:rsidRPr="00933C89">
        <w:t xml:space="preserve">ymptoms of </w:t>
      </w:r>
      <w:r>
        <w:t>d</w:t>
      </w:r>
      <w:r w:rsidRPr="00933C89">
        <w:t>ementia</w:t>
      </w:r>
      <w:bookmarkEnd w:id="11"/>
    </w:p>
    <w:p w:rsidR="00CA4FF1" w:rsidRDefault="00CA4FF1" w:rsidP="00CA4FF1">
      <w:pPr>
        <w:jc w:val="both"/>
      </w:pPr>
      <w:r w:rsidRPr="00CE5AB9">
        <w:t>A</w:t>
      </w:r>
      <w:r>
        <w:t>ccording to the Australian Institute of Health and Welfare (AIHW), there were an estimated 354,000 people with dementia in Australia in 2016.</w:t>
      </w:r>
      <w:r>
        <w:rPr>
          <w:rStyle w:val="EndnoteReference"/>
        </w:rPr>
        <w:endnoteReference w:id="1"/>
      </w:r>
      <w:r>
        <w:t xml:space="preserve"> The number of people with dementia is projected </w:t>
      </w:r>
      <w:r w:rsidRPr="00CE5AB9">
        <w:t>to rise to about 900,000 people by 2050.</w:t>
      </w:r>
      <w:r w:rsidRPr="00CE5AB9">
        <w:rPr>
          <w:vertAlign w:val="superscript"/>
        </w:rPr>
        <w:endnoteReference w:id="2"/>
      </w:r>
      <w:r w:rsidRPr="00CE5AB9">
        <w:t xml:space="preserve"> </w:t>
      </w:r>
    </w:p>
    <w:p w:rsidR="00CA4FF1" w:rsidRDefault="00CA4FF1" w:rsidP="00CA4FF1">
      <w:pPr>
        <w:jc w:val="both"/>
      </w:pPr>
    </w:p>
    <w:p w:rsidR="00CA4FF1" w:rsidRDefault="00CA4FF1" w:rsidP="00CA4FF1">
      <w:pPr>
        <w:jc w:val="both"/>
      </w:pPr>
      <w:r w:rsidRPr="00CC798F">
        <w:t>Most people with dementia experience some</w:t>
      </w:r>
      <w:r>
        <w:t xml:space="preserve"> level of BPSD </w:t>
      </w:r>
      <w:r w:rsidRPr="00CC798F">
        <w:t xml:space="preserve">during the course of their illness. </w:t>
      </w:r>
      <w:r>
        <w:t xml:space="preserve">This may range from </w:t>
      </w:r>
      <w:r w:rsidRPr="00CC798F">
        <w:t>mild symptoms of BPSD, such as apathy and repetitive questioning, or moderate symptoms such as calling out, disturbed sleep, socially inappropriate behaviour, hall</w:t>
      </w:r>
      <w:r>
        <w:t>ucinations and delusions through to m</w:t>
      </w:r>
      <w:r w:rsidRPr="00CC798F">
        <w:t xml:space="preserve">arked agitation and aggression. A small minority of people have very severe acute psychiatric disturbance and may be dangerously aggressive. The cause </w:t>
      </w:r>
      <w:r>
        <w:t xml:space="preserve">of BPSD </w:t>
      </w:r>
      <w:r w:rsidRPr="00CC798F">
        <w:t xml:space="preserve">can be varied, with most </w:t>
      </w:r>
      <w:proofErr w:type="gramStart"/>
      <w:r w:rsidRPr="00CC798F">
        <w:t>behaviours</w:t>
      </w:r>
      <w:proofErr w:type="gramEnd"/>
      <w:r w:rsidRPr="00CC798F">
        <w:t xml:space="preserve"> transient in nature, although some behaviours, including agitation, can persist.</w:t>
      </w:r>
      <w:r>
        <w:rPr>
          <w:rStyle w:val="EndnoteReference"/>
        </w:rPr>
        <w:endnoteReference w:id="3"/>
      </w:r>
    </w:p>
    <w:p w:rsidR="00CA4FF1" w:rsidRDefault="00CA4FF1" w:rsidP="00CA4FF1">
      <w:pPr>
        <w:jc w:val="both"/>
      </w:pPr>
    </w:p>
    <w:p w:rsidR="0044646E" w:rsidRDefault="00CA4FF1" w:rsidP="00CA4FF1">
      <w:pPr>
        <w:jc w:val="both"/>
      </w:pPr>
      <w:r>
        <w:t>There is</w:t>
      </w:r>
      <w:r w:rsidR="0044646E">
        <w:t xml:space="preserve"> a view amongst some stakeholders</w:t>
      </w:r>
      <w:r>
        <w:t xml:space="preserve">, including consumers, that BPSD is not necessarily due to the pathology of dementia, but largely </w:t>
      </w:r>
      <w:r w:rsidR="0044646E">
        <w:t>an expression of emotion or unmet need that the person with dementia cannot otherwise express (for example pain, frustration, loneliness, confusion or fear).</w:t>
      </w:r>
    </w:p>
    <w:p w:rsidR="0044646E" w:rsidRDefault="0044646E" w:rsidP="00CA4FF1">
      <w:pPr>
        <w:jc w:val="both"/>
      </w:pPr>
    </w:p>
    <w:p w:rsidR="00CA4FF1" w:rsidRPr="00CE5AB9" w:rsidRDefault="00CA4FF1" w:rsidP="00CA4FF1">
      <w:pPr>
        <w:jc w:val="both"/>
      </w:pPr>
      <w:proofErr w:type="spellStart"/>
      <w:r w:rsidRPr="00CE5AB9">
        <w:t>Brodaty</w:t>
      </w:r>
      <w:proofErr w:type="spellEnd"/>
      <w:r>
        <w:t>, Draper and Low (</w:t>
      </w:r>
      <w:proofErr w:type="spellStart"/>
      <w:r>
        <w:t>Brodaty</w:t>
      </w:r>
      <w:proofErr w:type="spellEnd"/>
      <w:r>
        <w:t xml:space="preserve"> et al.) </w:t>
      </w:r>
      <w:r w:rsidRPr="00CE5AB9">
        <w:t xml:space="preserve">have described a seven-tiered classification of BPSD </w:t>
      </w:r>
      <w:r>
        <w:t xml:space="preserve">which includes the estimated </w:t>
      </w:r>
      <w:r w:rsidRPr="00CE5AB9">
        <w:t xml:space="preserve">prevalence and the services required to respond to these </w:t>
      </w:r>
      <w:r>
        <w:t xml:space="preserve">different </w:t>
      </w:r>
      <w:r w:rsidRPr="00CE5AB9">
        <w:t xml:space="preserve">levels of behavioural disturbance (Figure 1). </w:t>
      </w:r>
    </w:p>
    <w:p w:rsidR="00CA4FF1" w:rsidRDefault="00CA4FF1" w:rsidP="00CA4FF1">
      <w:pPr>
        <w:jc w:val="both"/>
      </w:pPr>
    </w:p>
    <w:p w:rsidR="00CA4FF1" w:rsidRPr="00BC047B" w:rsidRDefault="00CA4FF1" w:rsidP="00CA4FF1">
      <w:pPr>
        <w:jc w:val="both"/>
        <w:rPr>
          <w:b/>
          <w:sz w:val="22"/>
        </w:rPr>
      </w:pPr>
      <w:r w:rsidRPr="00D74ADB">
        <w:rPr>
          <w:rStyle w:val="Emphasis"/>
        </w:rPr>
        <w:t xml:space="preserve">Figure 1: </w:t>
      </w:r>
      <w:proofErr w:type="spellStart"/>
      <w:r w:rsidRPr="00D74ADB">
        <w:rPr>
          <w:rStyle w:val="Emphasis"/>
        </w:rPr>
        <w:t>Brodaty</w:t>
      </w:r>
      <w:proofErr w:type="spellEnd"/>
      <w:r w:rsidRPr="00D74ADB">
        <w:rPr>
          <w:rStyle w:val="Emphasis"/>
        </w:rPr>
        <w:t>, Draper and Low seven-tiered model</w:t>
      </w:r>
      <w:r>
        <w:rPr>
          <w:rStyle w:val="EndnoteReference"/>
          <w:b/>
          <w:sz w:val="22"/>
        </w:rPr>
        <w:endnoteReference w:id="4"/>
      </w:r>
    </w:p>
    <w:p w:rsidR="00CA4FF1" w:rsidRDefault="00CA4FF1" w:rsidP="00CA4FF1">
      <w:pPr>
        <w:jc w:val="both"/>
      </w:pPr>
      <w:r>
        <w:rPr>
          <w:noProof/>
          <w:lang w:eastAsia="en-AU"/>
        </w:rPr>
        <w:drawing>
          <wp:inline distT="0" distB="0" distL="0" distR="0" wp14:anchorId="17A32E38" wp14:editId="6A30DC81">
            <wp:extent cx="5274310" cy="3807533"/>
            <wp:effectExtent l="0" t="0" r="2540" b="2540"/>
            <wp:docPr id="1" name="Picture 1" descr="Triangle diagram showing seven tiers of behavioural and psychological symptoms of dementia (BPSD), ranging from 'no dementia' up to 'dementia with extreme B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74310" cy="3807533"/>
                    </a:xfrm>
                    <a:prstGeom prst="rect">
                      <a:avLst/>
                    </a:prstGeom>
                  </pic:spPr>
                </pic:pic>
              </a:graphicData>
            </a:graphic>
          </wp:inline>
        </w:drawing>
      </w:r>
    </w:p>
    <w:p w:rsidR="00CA4FF1" w:rsidRPr="00CE5AB9" w:rsidRDefault="00CA4FF1" w:rsidP="00CA4FF1">
      <w:pPr>
        <w:jc w:val="both"/>
      </w:pPr>
      <w:r w:rsidRPr="00CE5AB9">
        <w:lastRenderedPageBreak/>
        <w:t>Very severe BPSD</w:t>
      </w:r>
      <w:r>
        <w:t xml:space="preserve"> (tier 6)</w:t>
      </w:r>
      <w:r w:rsidRPr="00CE5AB9">
        <w:t>, to which SDCUs aim to respond, includes but is not limited to</w:t>
      </w:r>
      <w:r>
        <w:t>:</w:t>
      </w:r>
      <w:r w:rsidRPr="00CE5AB9">
        <w:t xml:space="preserve"> unpredictable aggression, sexual disinhibition and noisy outbursts (behaviours) and suicidal ideation and severe depression (psychological symptoms). </w:t>
      </w:r>
      <w:r>
        <w:t xml:space="preserve">Without the </w:t>
      </w:r>
      <w:r w:rsidRPr="00CE5AB9">
        <w:t>appropriate care, people with very severe BPSD</w:t>
      </w:r>
      <w:r>
        <w:t xml:space="preserve"> have </w:t>
      </w:r>
      <w:r w:rsidRPr="00CE5AB9">
        <w:t xml:space="preserve">reduced quality of life and </w:t>
      </w:r>
      <w:r>
        <w:t xml:space="preserve">pose </w:t>
      </w:r>
      <w:r w:rsidRPr="00CE5AB9">
        <w:t>risk to themselves and others</w:t>
      </w:r>
      <w:r>
        <w:t>.</w:t>
      </w:r>
    </w:p>
    <w:p w:rsidR="00CA4FF1" w:rsidRPr="00CE5AB9" w:rsidRDefault="00CA4FF1" w:rsidP="00CA4FF1">
      <w:pPr>
        <w:tabs>
          <w:tab w:val="left" w:pos="4920"/>
        </w:tabs>
        <w:jc w:val="both"/>
      </w:pPr>
      <w:r>
        <w:tab/>
      </w:r>
    </w:p>
    <w:p w:rsidR="00CA4FF1" w:rsidRPr="00CE5AB9" w:rsidRDefault="00CA4FF1" w:rsidP="00CA4FF1">
      <w:pPr>
        <w:jc w:val="both"/>
      </w:pPr>
      <w:r w:rsidRPr="00CE5AB9">
        <w:t xml:space="preserve">Management of BPSD </w:t>
      </w:r>
      <w:r>
        <w:t>should usually use non-pharmacological approaches in the first instance</w:t>
      </w:r>
      <w:r>
        <w:rPr>
          <w:rStyle w:val="EndnoteReference"/>
        </w:rPr>
        <w:endnoteReference w:id="5"/>
      </w:r>
      <w:r>
        <w:t xml:space="preserve"> with a </w:t>
      </w:r>
      <w:r w:rsidRPr="00CE5AB9">
        <w:t>focus on reducing or eliminating unhelpful stimuli or ‘triggers’</w:t>
      </w:r>
      <w:r>
        <w:t>.</w:t>
      </w:r>
      <w:r w:rsidRPr="00CE5AB9">
        <w:t xml:space="preserve"> Techniques such as distraction, redirection, reassurance and reorientation form the core of behavioural interventions applicable in a residential aged care setting.</w:t>
      </w:r>
      <w:r w:rsidRPr="00CE5AB9">
        <w:rPr>
          <w:vertAlign w:val="superscript"/>
        </w:rPr>
        <w:endnoteReference w:id="6"/>
      </w:r>
    </w:p>
    <w:p w:rsidR="00CA4FF1" w:rsidRPr="00666D14" w:rsidRDefault="00CA4FF1" w:rsidP="00CA4FF1">
      <w:pPr>
        <w:pStyle w:val="Heading2"/>
        <w:numPr>
          <w:ilvl w:val="1"/>
          <w:numId w:val="2"/>
        </w:numPr>
        <w:spacing w:after="120"/>
        <w:jc w:val="both"/>
      </w:pPr>
      <w:bookmarkStart w:id="12" w:name="_Toc497300921"/>
      <w:bookmarkStart w:id="13" w:name="_Toc499538721"/>
      <w:bookmarkEnd w:id="12"/>
      <w:r>
        <w:t>Existing g</w:t>
      </w:r>
      <w:r w:rsidRPr="00666D14">
        <w:t xml:space="preserve">overnment support for people with dementia </w:t>
      </w:r>
      <w:r>
        <w:t>and BPSD</w:t>
      </w:r>
      <w:bookmarkEnd w:id="13"/>
    </w:p>
    <w:p w:rsidR="00CA4FF1" w:rsidRPr="00933C89" w:rsidRDefault="00CA4FF1" w:rsidP="00CA4FF1">
      <w:pPr>
        <w:pStyle w:val="Heading3"/>
        <w:numPr>
          <w:ilvl w:val="2"/>
          <w:numId w:val="2"/>
        </w:numPr>
        <w:spacing w:after="120"/>
        <w:jc w:val="both"/>
      </w:pPr>
      <w:bookmarkStart w:id="14" w:name="_Toc499538722"/>
      <w:r w:rsidRPr="00C44246">
        <w:t>Australian Government dementia specific supports</w:t>
      </w:r>
      <w:bookmarkEnd w:id="14"/>
    </w:p>
    <w:p w:rsidR="00CA4FF1" w:rsidRPr="00CE5AB9" w:rsidRDefault="00CA4FF1" w:rsidP="00CA4FF1">
      <w:pPr>
        <w:jc w:val="both"/>
      </w:pPr>
      <w:r w:rsidRPr="00CE5AB9">
        <w:t xml:space="preserve">In addition to </w:t>
      </w:r>
      <w:r>
        <w:t xml:space="preserve">wide-ranging funding for various </w:t>
      </w:r>
      <w:r w:rsidRPr="00CE5AB9">
        <w:t xml:space="preserve">health and aged care services, </w:t>
      </w:r>
      <w:r>
        <w:t xml:space="preserve">including residential aged care funding and grants for dementia research, </w:t>
      </w:r>
      <w:r w:rsidRPr="00CE5AB9">
        <w:t xml:space="preserve">the Australian </w:t>
      </w:r>
      <w:r>
        <w:t>G</w:t>
      </w:r>
      <w:r w:rsidRPr="00CE5AB9">
        <w:t xml:space="preserve">overnment provides </w:t>
      </w:r>
      <w:r>
        <w:t xml:space="preserve">specific </w:t>
      </w:r>
      <w:r w:rsidRPr="00CE5AB9">
        <w:t>support to people living with dementia, their families and carers</w:t>
      </w:r>
      <w:r>
        <w:t>.</w:t>
      </w:r>
      <w:r>
        <w:rPr>
          <w:rStyle w:val="EndnoteReference"/>
        </w:rPr>
        <w:endnoteReference w:id="7"/>
      </w:r>
      <w:r>
        <w:t xml:space="preserve"> Support is delivered </w:t>
      </w:r>
      <w:r w:rsidRPr="00CE5AB9">
        <w:t>th</w:t>
      </w:r>
      <w:r>
        <w:t xml:space="preserve">rough </w:t>
      </w:r>
      <w:r w:rsidRPr="00CE5AB9">
        <w:t xml:space="preserve">a range of dementia specific programs and initiatives (Table 1). </w:t>
      </w:r>
      <w:r>
        <w:t>Supports for</w:t>
      </w:r>
      <w:r w:rsidRPr="00CE5AB9">
        <w:t xml:space="preserve"> consumer</w:t>
      </w:r>
      <w:r>
        <w:t xml:space="preserve">s </w:t>
      </w:r>
      <w:r w:rsidRPr="00CE5AB9">
        <w:t xml:space="preserve">are primarily delivered through the </w:t>
      </w:r>
      <w:r w:rsidRPr="00A610DD">
        <w:t>National Dementia Support Program</w:t>
      </w:r>
      <w:r>
        <w:t>.</w:t>
      </w:r>
      <w:r>
        <w:rPr>
          <w:rStyle w:val="EndnoteReference"/>
        </w:rPr>
        <w:endnoteReference w:id="8"/>
      </w:r>
      <w:r>
        <w:t xml:space="preserve"> </w:t>
      </w:r>
      <w:r w:rsidRPr="00CE5AB9">
        <w:t xml:space="preserve">The Department of Health recently consulted </w:t>
      </w:r>
      <w:r>
        <w:t xml:space="preserve">on the proposed redesign of the </w:t>
      </w:r>
      <w:r w:rsidRPr="00CE5AB9">
        <w:t>program.</w:t>
      </w:r>
      <w:r w:rsidRPr="00CE5AB9">
        <w:rPr>
          <w:vertAlign w:val="superscript"/>
        </w:rPr>
        <w:endnoteReference w:id="9"/>
      </w:r>
    </w:p>
    <w:p w:rsidR="00CA4FF1" w:rsidRPr="00CE5AB9" w:rsidRDefault="00CA4FF1" w:rsidP="00CA4FF1">
      <w:pPr>
        <w:jc w:val="both"/>
      </w:pPr>
    </w:p>
    <w:p w:rsidR="00CA4FF1" w:rsidRDefault="00CA4FF1" w:rsidP="00CA4FF1">
      <w:pPr>
        <w:jc w:val="both"/>
      </w:pPr>
      <w:r w:rsidRPr="00CE5AB9">
        <w:t xml:space="preserve">Complementing the National Dementia Support Program, the </w:t>
      </w:r>
      <w:r w:rsidRPr="00A610DD">
        <w:t>Dementia Training Program</w:t>
      </w:r>
      <w:r w:rsidRPr="00440C7B">
        <w:t xml:space="preserve"> </w:t>
      </w:r>
      <w:r>
        <w:t xml:space="preserve">delivered by Dementia Training Australia </w:t>
      </w:r>
      <w:r w:rsidRPr="00CE5AB9">
        <w:t>provides education, upskilling, and professional development for the dementia care workforce in primary, acute and aged care.</w:t>
      </w:r>
      <w:r>
        <w:t xml:space="preserve"> </w:t>
      </w:r>
      <w:r w:rsidRPr="00CE5AB9">
        <w:t xml:space="preserve">A single national provider has delivered the program since 2016. As part of this, residential aged care providers can have a dementia </w:t>
      </w:r>
      <w:r>
        <w:t xml:space="preserve">skills and environment </w:t>
      </w:r>
      <w:r w:rsidRPr="00CE5AB9">
        <w:t xml:space="preserve">audit undertaken on their service, which can identify </w:t>
      </w:r>
      <w:r>
        <w:t xml:space="preserve">facility </w:t>
      </w:r>
      <w:r w:rsidRPr="00CE5AB9">
        <w:t xml:space="preserve">design </w:t>
      </w:r>
      <w:r>
        <w:t xml:space="preserve">issues </w:t>
      </w:r>
      <w:r w:rsidRPr="00CE5AB9">
        <w:t>and gaps in staff training.</w:t>
      </w:r>
    </w:p>
    <w:p w:rsidR="00CA4FF1" w:rsidRPr="006B5219" w:rsidRDefault="00CA4FF1" w:rsidP="00CA4FF1">
      <w:pPr>
        <w:pStyle w:val="Heading4"/>
        <w:numPr>
          <w:ilvl w:val="3"/>
          <w:numId w:val="2"/>
        </w:numPr>
        <w:spacing w:after="120"/>
        <w:jc w:val="both"/>
        <w:rPr>
          <w:sz w:val="24"/>
        </w:rPr>
      </w:pPr>
      <w:r w:rsidRPr="006B5219">
        <w:rPr>
          <w:sz w:val="24"/>
        </w:rPr>
        <w:t>Specialist behavioural advisory services</w:t>
      </w:r>
    </w:p>
    <w:p w:rsidR="00CA4FF1" w:rsidRDefault="00CA4FF1" w:rsidP="00CA4FF1">
      <w:pPr>
        <w:jc w:val="both"/>
      </w:pPr>
      <w:r>
        <w:t xml:space="preserve">The Australian Government additionally funds specialist advisory services to assist people living with BPSD. </w:t>
      </w:r>
    </w:p>
    <w:p w:rsidR="00CA4FF1" w:rsidRDefault="00CA4FF1" w:rsidP="00CA4FF1">
      <w:pPr>
        <w:pStyle w:val="ListParagraph"/>
        <w:ind w:left="360"/>
        <w:jc w:val="both"/>
      </w:pPr>
    </w:p>
    <w:p w:rsidR="00CA4FF1" w:rsidRDefault="00CA4FF1" w:rsidP="00CA4FF1">
      <w:pPr>
        <w:jc w:val="both"/>
      </w:pPr>
      <w:r w:rsidRPr="00AA29D7">
        <w:t xml:space="preserve">The </w:t>
      </w:r>
      <w:r w:rsidRPr="00A610DD">
        <w:t>Dementia Behaviour Management Advisory Service</w:t>
      </w:r>
      <w:r w:rsidRPr="00440C7B">
        <w:t xml:space="preserve"> (</w:t>
      </w:r>
      <w:r>
        <w:t>DBMAS) is t</w:t>
      </w:r>
      <w:r w:rsidRPr="00AA29D7">
        <w:t xml:space="preserve">he first line response for aged care workers, health professionals and family carers who need help caring for someone experiencing </w:t>
      </w:r>
      <w:r>
        <w:t>BPSD</w:t>
      </w:r>
      <w:r w:rsidRPr="00AA29D7">
        <w:t xml:space="preserve">. </w:t>
      </w:r>
    </w:p>
    <w:p w:rsidR="00CA4FF1" w:rsidRPr="00AA29D7" w:rsidRDefault="00CA4FF1" w:rsidP="00CA4FF1">
      <w:pPr>
        <w:pStyle w:val="ListParagraph"/>
        <w:ind w:left="360"/>
        <w:jc w:val="both"/>
      </w:pPr>
    </w:p>
    <w:p w:rsidR="00CA4FF1" w:rsidRDefault="00CA4FF1" w:rsidP="00CA4FF1">
      <w:pPr>
        <w:jc w:val="both"/>
      </w:pPr>
      <w:r w:rsidRPr="00A610DD">
        <w:t>Severe Behaviour Response Teams</w:t>
      </w:r>
      <w:r>
        <w:t xml:space="preserve"> (SBRTs) are t</w:t>
      </w:r>
      <w:r w:rsidRPr="00AA29D7">
        <w:t xml:space="preserve">he second </w:t>
      </w:r>
      <w:r>
        <w:t xml:space="preserve">level </w:t>
      </w:r>
      <w:r w:rsidRPr="00AA29D7">
        <w:t xml:space="preserve">of behaviour management support </w:t>
      </w:r>
      <w:r>
        <w:t>specifically for people in Australian Government-</w:t>
      </w:r>
      <w:r w:rsidRPr="00AA29D7">
        <w:t xml:space="preserve">funded residential aged care </w:t>
      </w:r>
      <w:r>
        <w:t xml:space="preserve">with </w:t>
      </w:r>
      <w:r w:rsidRPr="00AA29D7">
        <w:t xml:space="preserve">severe </w:t>
      </w:r>
      <w:r>
        <w:t>BPSD. In 2016, the Australian Government appointed a single national provider for both the DMAS and SBRTs.</w:t>
      </w:r>
    </w:p>
    <w:p w:rsidR="00CA4FF1" w:rsidRDefault="00CA4FF1" w:rsidP="00CA4FF1">
      <w:pPr>
        <w:jc w:val="both"/>
        <w:rPr>
          <w:b/>
          <w:bCs/>
        </w:rPr>
      </w:pPr>
    </w:p>
    <w:p w:rsidR="00CA4FF1" w:rsidRPr="003E6B24" w:rsidRDefault="00CA4FF1" w:rsidP="00CA4FF1">
      <w:pPr>
        <w:jc w:val="both"/>
      </w:pPr>
      <w:r>
        <w:t xml:space="preserve">SDCUs </w:t>
      </w:r>
      <w:r w:rsidRPr="003E6B24">
        <w:t xml:space="preserve">will </w:t>
      </w:r>
      <w:r>
        <w:t xml:space="preserve">provide a </w:t>
      </w:r>
      <w:r w:rsidRPr="003E6B24">
        <w:t xml:space="preserve"> third</w:t>
      </w:r>
      <w:r>
        <w:t xml:space="preserve"> level</w:t>
      </w:r>
      <w:r w:rsidRPr="003E6B24">
        <w:t xml:space="preserve"> of Australian Government </w:t>
      </w:r>
      <w:r>
        <w:t xml:space="preserve">funded </w:t>
      </w:r>
      <w:r w:rsidRPr="003E6B24">
        <w:t>specialist support</w:t>
      </w:r>
      <w:r w:rsidR="00AE3B8A">
        <w:t xml:space="preserve"> (as depicted in Figure 2)</w:t>
      </w:r>
      <w:r w:rsidRPr="003E6B24">
        <w:t xml:space="preserve">, assisting people with very severe </w:t>
      </w:r>
      <w:r>
        <w:t xml:space="preserve">(tier 6) </w:t>
      </w:r>
      <w:r w:rsidRPr="003E6B24">
        <w:t xml:space="preserve">BPSD currently unable to be effectively cared for by mainstream aged care services due to the risk </w:t>
      </w:r>
      <w:r>
        <w:t xml:space="preserve">of harm </w:t>
      </w:r>
      <w:r w:rsidRPr="003E6B24">
        <w:t xml:space="preserve">they present to themselves or others. </w:t>
      </w:r>
    </w:p>
    <w:p w:rsidR="00CA4FF1" w:rsidRPr="00D74ADB" w:rsidRDefault="00CA4FF1" w:rsidP="00CA4FF1">
      <w:pPr>
        <w:jc w:val="both"/>
        <w:rPr>
          <w:rStyle w:val="Emphasis"/>
          <w:rFonts w:eastAsia="Calibri"/>
        </w:rPr>
      </w:pPr>
    </w:p>
    <w:p w:rsidR="00CA4FF1" w:rsidRPr="00D74ADB" w:rsidRDefault="00CA4FF1" w:rsidP="00CA4FF1">
      <w:pPr>
        <w:jc w:val="both"/>
        <w:rPr>
          <w:rStyle w:val="Emphasis"/>
          <w:rFonts w:eastAsia="Calibri"/>
        </w:rPr>
      </w:pPr>
      <w:r w:rsidRPr="00D74ADB">
        <w:rPr>
          <w:rStyle w:val="Emphasis"/>
          <w:rFonts w:eastAsia="Calibri"/>
        </w:rPr>
        <w:t>Table 1: Australian Government dementia specific supports</w:t>
      </w:r>
    </w:p>
    <w:p w:rsidR="00CA4FF1" w:rsidRPr="00BC047B" w:rsidRDefault="00CA4FF1" w:rsidP="00CA4FF1">
      <w:pPr>
        <w:jc w:val="both"/>
        <w:rPr>
          <w:rFonts w:ascii="Calibri" w:eastAsia="Calibri" w:hAnsi="Calibri"/>
          <w:b/>
          <w:color w:val="1F497D"/>
          <w:sz w:val="22"/>
          <w:szCs w:val="22"/>
        </w:rPr>
      </w:pPr>
    </w:p>
    <w:tbl>
      <w:tblPr>
        <w:tblStyle w:val="MediumGrid3-Accent1"/>
        <w:tblW w:w="5469" w:type="pct"/>
        <w:tblLayout w:type="fixed"/>
        <w:tblLook w:val="04A0" w:firstRow="1" w:lastRow="0" w:firstColumn="1" w:lastColumn="0" w:noHBand="0" w:noVBand="1"/>
        <w:tblCaption w:val="Australian Government dementia specific supports"/>
        <w:tblDescription w:val="Table describing Australian Government-funded programs and services (including specialist behavioural advisory services) to support people with dementia, and the workforce caring for people with dementia"/>
      </w:tblPr>
      <w:tblGrid>
        <w:gridCol w:w="1445"/>
        <w:gridCol w:w="2207"/>
        <w:gridCol w:w="1985"/>
        <w:gridCol w:w="1417"/>
        <w:gridCol w:w="1126"/>
        <w:gridCol w:w="1141"/>
      </w:tblGrid>
      <w:tr w:rsidR="00CA4FF1" w:rsidRPr="007F7891" w:rsidTr="00872536">
        <w:trPr>
          <w:cnfStyle w:val="100000000000" w:firstRow="1" w:lastRow="0" w:firstColumn="0" w:lastColumn="0" w:oddVBand="0" w:evenVBand="0" w:oddHBand="0" w:evenHBand="0" w:firstRowFirstColumn="0" w:firstRowLastColumn="0" w:lastRowFirstColumn="0" w:lastRowLastColumn="0"/>
          <w:trHeight w:val="264"/>
          <w:tblHeader/>
        </w:trPr>
        <w:tc>
          <w:tcPr>
            <w:cnfStyle w:val="001000000000" w:firstRow="0" w:lastRow="0" w:firstColumn="1" w:lastColumn="0" w:oddVBand="0" w:evenVBand="0" w:oddHBand="0" w:evenHBand="0" w:firstRowFirstColumn="0" w:firstRowLastColumn="0" w:lastRowFirstColumn="0" w:lastRowLastColumn="0"/>
            <w:tcW w:w="775" w:type="pct"/>
            <w:shd w:val="clear" w:color="auto" w:fill="F2F2F2" w:themeFill="background1" w:themeFillShade="F2"/>
          </w:tcPr>
          <w:p w:rsidR="00CA4FF1" w:rsidRPr="007F7891" w:rsidRDefault="00CA4FF1" w:rsidP="00CA4FF1">
            <w:pPr>
              <w:rPr>
                <w:rFonts w:ascii="Calibri" w:eastAsia="Calibri" w:hAnsi="Calibri"/>
                <w:bCs w:val="0"/>
                <w:color w:val="1F497D" w:themeColor="text2"/>
                <w:sz w:val="22"/>
                <w:szCs w:val="22"/>
                <w:lang w:eastAsia="en-AU"/>
              </w:rPr>
            </w:pPr>
            <w:r w:rsidRPr="007F7891">
              <w:rPr>
                <w:rFonts w:ascii="Calibri" w:eastAsia="Calibri" w:hAnsi="Calibri"/>
                <w:bCs w:val="0"/>
                <w:color w:val="1F497D" w:themeColor="text2"/>
                <w:sz w:val="22"/>
                <w:szCs w:val="22"/>
                <w:lang w:eastAsia="en-AU"/>
              </w:rPr>
              <w:t>Program name</w:t>
            </w:r>
          </w:p>
        </w:tc>
        <w:tc>
          <w:tcPr>
            <w:tcW w:w="1184" w:type="pct"/>
            <w:shd w:val="clear" w:color="auto" w:fill="F2F2F2" w:themeFill="background1" w:themeFillShade="F2"/>
          </w:tcPr>
          <w:p w:rsidR="00CA4FF1" w:rsidRPr="007F7891" w:rsidRDefault="00CA4FF1" w:rsidP="00CA4FF1">
            <w:pPr>
              <w:cnfStyle w:val="100000000000" w:firstRow="1" w:lastRow="0" w:firstColumn="0" w:lastColumn="0" w:oddVBand="0" w:evenVBand="0" w:oddHBand="0" w:evenHBand="0" w:firstRowFirstColumn="0" w:firstRowLastColumn="0" w:lastRowFirstColumn="0" w:lastRowLastColumn="0"/>
              <w:rPr>
                <w:rFonts w:ascii="Calibri" w:eastAsia="Calibri" w:hAnsi="Calibri"/>
                <w:color w:val="1F497D" w:themeColor="text2"/>
                <w:sz w:val="22"/>
                <w:szCs w:val="22"/>
                <w:lang w:eastAsia="en-AU"/>
              </w:rPr>
            </w:pPr>
            <w:r w:rsidRPr="007F7891">
              <w:rPr>
                <w:rFonts w:ascii="Calibri" w:eastAsia="Calibri" w:hAnsi="Calibri"/>
                <w:color w:val="1F497D" w:themeColor="text2"/>
                <w:sz w:val="22"/>
                <w:szCs w:val="22"/>
                <w:lang w:eastAsia="en-AU"/>
              </w:rPr>
              <w:t>Program focus</w:t>
            </w:r>
          </w:p>
        </w:tc>
        <w:tc>
          <w:tcPr>
            <w:tcW w:w="1065" w:type="pct"/>
            <w:shd w:val="clear" w:color="auto" w:fill="F2F2F2" w:themeFill="background1" w:themeFillShade="F2"/>
          </w:tcPr>
          <w:p w:rsidR="00CA4FF1" w:rsidRPr="007F7891" w:rsidRDefault="00CA4FF1" w:rsidP="00CA4FF1">
            <w:pPr>
              <w:cnfStyle w:val="100000000000" w:firstRow="1" w:lastRow="0" w:firstColumn="0" w:lastColumn="0" w:oddVBand="0" w:evenVBand="0" w:oddHBand="0" w:evenHBand="0" w:firstRowFirstColumn="0" w:firstRowLastColumn="0" w:lastRowFirstColumn="0" w:lastRowLastColumn="0"/>
              <w:rPr>
                <w:rFonts w:ascii="Calibri" w:eastAsia="Calibri" w:hAnsi="Calibri"/>
                <w:color w:val="1F497D" w:themeColor="text2"/>
                <w:sz w:val="22"/>
                <w:szCs w:val="22"/>
                <w:lang w:eastAsia="en-AU"/>
              </w:rPr>
            </w:pPr>
            <w:r w:rsidRPr="007F7891">
              <w:rPr>
                <w:rFonts w:ascii="Calibri" w:eastAsia="Calibri" w:hAnsi="Calibri"/>
                <w:bCs w:val="0"/>
                <w:color w:val="1F497D" w:themeColor="text2"/>
                <w:sz w:val="22"/>
                <w:szCs w:val="22"/>
                <w:lang w:eastAsia="en-AU"/>
              </w:rPr>
              <w:t>Target group</w:t>
            </w:r>
          </w:p>
        </w:tc>
        <w:tc>
          <w:tcPr>
            <w:tcW w:w="760" w:type="pct"/>
            <w:shd w:val="clear" w:color="auto" w:fill="F2F2F2" w:themeFill="background1" w:themeFillShade="F2"/>
          </w:tcPr>
          <w:p w:rsidR="00CA4FF1" w:rsidRPr="007F7891" w:rsidRDefault="00CA4FF1" w:rsidP="00CA4FF1">
            <w:pPr>
              <w:cnfStyle w:val="100000000000" w:firstRow="1" w:lastRow="0" w:firstColumn="0" w:lastColumn="0" w:oddVBand="0" w:evenVBand="0" w:oddHBand="0" w:evenHBand="0" w:firstRowFirstColumn="0" w:firstRowLastColumn="0" w:lastRowFirstColumn="0" w:lastRowLastColumn="0"/>
              <w:rPr>
                <w:rFonts w:ascii="Calibri" w:eastAsia="Calibri" w:hAnsi="Calibri"/>
                <w:bCs w:val="0"/>
                <w:color w:val="1F497D" w:themeColor="text2"/>
                <w:sz w:val="22"/>
                <w:szCs w:val="22"/>
                <w:lang w:eastAsia="en-AU"/>
              </w:rPr>
            </w:pPr>
            <w:r w:rsidRPr="007F7891">
              <w:rPr>
                <w:rFonts w:ascii="Calibri" w:eastAsia="Calibri" w:hAnsi="Calibri"/>
                <w:bCs w:val="0"/>
                <w:color w:val="1F497D" w:themeColor="text2"/>
                <w:sz w:val="22"/>
                <w:szCs w:val="22"/>
                <w:lang w:eastAsia="en-AU"/>
              </w:rPr>
              <w:t>Delivery setting</w:t>
            </w:r>
          </w:p>
        </w:tc>
        <w:tc>
          <w:tcPr>
            <w:tcW w:w="604" w:type="pct"/>
            <w:shd w:val="clear" w:color="auto" w:fill="F2F2F2" w:themeFill="background1" w:themeFillShade="F2"/>
          </w:tcPr>
          <w:p w:rsidR="00CA4FF1" w:rsidRPr="007F7891" w:rsidRDefault="00CA4FF1" w:rsidP="00CA4FF1">
            <w:pPr>
              <w:cnfStyle w:val="100000000000" w:firstRow="1" w:lastRow="0" w:firstColumn="0" w:lastColumn="0" w:oddVBand="0" w:evenVBand="0" w:oddHBand="0" w:evenHBand="0" w:firstRowFirstColumn="0" w:firstRowLastColumn="0" w:lastRowFirstColumn="0" w:lastRowLastColumn="0"/>
              <w:rPr>
                <w:rFonts w:ascii="Calibri" w:eastAsia="Calibri" w:hAnsi="Calibri"/>
                <w:bCs w:val="0"/>
                <w:color w:val="1F497D" w:themeColor="text2"/>
                <w:sz w:val="22"/>
                <w:szCs w:val="22"/>
                <w:lang w:eastAsia="en-AU"/>
              </w:rPr>
            </w:pPr>
            <w:r w:rsidRPr="007F7891">
              <w:rPr>
                <w:rFonts w:ascii="Calibri" w:eastAsia="Calibri" w:hAnsi="Calibri"/>
                <w:bCs w:val="0"/>
                <w:color w:val="1F497D" w:themeColor="text2"/>
                <w:sz w:val="22"/>
                <w:szCs w:val="22"/>
                <w:lang w:eastAsia="en-AU"/>
              </w:rPr>
              <w:t>Level of funding</w:t>
            </w:r>
          </w:p>
        </w:tc>
        <w:tc>
          <w:tcPr>
            <w:tcW w:w="612" w:type="pct"/>
            <w:shd w:val="clear" w:color="auto" w:fill="F2F2F2" w:themeFill="background1" w:themeFillShade="F2"/>
          </w:tcPr>
          <w:p w:rsidR="00CA4FF1" w:rsidRPr="007F7891" w:rsidRDefault="00CA4FF1" w:rsidP="00CA4FF1">
            <w:pPr>
              <w:cnfStyle w:val="100000000000" w:firstRow="1" w:lastRow="0" w:firstColumn="0" w:lastColumn="0" w:oddVBand="0" w:evenVBand="0" w:oddHBand="0" w:evenHBand="0" w:firstRowFirstColumn="0" w:firstRowLastColumn="0" w:lastRowFirstColumn="0" w:lastRowLastColumn="0"/>
              <w:rPr>
                <w:rFonts w:ascii="Calibri" w:eastAsia="Calibri" w:hAnsi="Calibri"/>
                <w:bCs w:val="0"/>
                <w:color w:val="1F497D" w:themeColor="text2"/>
                <w:sz w:val="22"/>
                <w:szCs w:val="22"/>
                <w:lang w:eastAsia="en-AU"/>
              </w:rPr>
            </w:pPr>
            <w:r w:rsidRPr="007F7891">
              <w:rPr>
                <w:rFonts w:ascii="Calibri" w:eastAsia="Calibri" w:hAnsi="Calibri"/>
                <w:bCs w:val="0"/>
                <w:color w:val="1F497D" w:themeColor="text2"/>
                <w:sz w:val="22"/>
                <w:szCs w:val="22"/>
                <w:lang w:eastAsia="en-AU"/>
              </w:rPr>
              <w:t>Target service episodes</w:t>
            </w:r>
          </w:p>
        </w:tc>
      </w:tr>
      <w:tr w:rsidR="00CA4FF1" w:rsidRPr="007F7891" w:rsidTr="00872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pct"/>
            <w:shd w:val="clear" w:color="auto" w:fill="DAEEF3" w:themeFill="accent5" w:themeFillTint="33"/>
            <w:hideMark/>
          </w:tcPr>
          <w:p w:rsidR="00CA4FF1" w:rsidRPr="007F7891" w:rsidRDefault="00CA4FF1" w:rsidP="00CA4FF1">
            <w:pPr>
              <w:rPr>
                <w:rFonts w:ascii="Calibri" w:eastAsia="Calibri" w:hAnsi="Calibri"/>
                <w:bCs w:val="0"/>
                <w:color w:val="auto"/>
                <w:sz w:val="22"/>
                <w:szCs w:val="22"/>
                <w:lang w:eastAsia="en-AU"/>
              </w:rPr>
            </w:pPr>
            <w:r w:rsidRPr="007F7891">
              <w:rPr>
                <w:rFonts w:ascii="Calibri" w:eastAsia="Calibri" w:hAnsi="Calibri"/>
                <w:bCs w:val="0"/>
                <w:color w:val="auto"/>
                <w:sz w:val="22"/>
                <w:szCs w:val="22"/>
                <w:lang w:eastAsia="en-AU"/>
              </w:rPr>
              <w:t xml:space="preserve">National Dementia Support Program </w:t>
            </w:r>
          </w:p>
        </w:tc>
        <w:tc>
          <w:tcPr>
            <w:tcW w:w="1184" w:type="pct"/>
            <w:shd w:val="clear" w:color="auto" w:fill="DAEEF3" w:themeFill="accent5" w:themeFillTint="33"/>
            <w:hideMark/>
          </w:tcPr>
          <w:p w:rsidR="00CA4FF1" w:rsidRPr="007F7891" w:rsidRDefault="00CA4FF1" w:rsidP="00CA4FF1">
            <w:pPr>
              <w:cnfStyle w:val="000000100000" w:firstRow="0" w:lastRow="0" w:firstColumn="0" w:lastColumn="0" w:oddVBand="0" w:evenVBand="0" w:oddHBand="1" w:evenHBand="0" w:firstRowFirstColumn="0" w:firstRowLastColumn="0" w:lastRowFirstColumn="0" w:lastRowLastColumn="0"/>
              <w:rPr>
                <w:rFonts w:ascii="Calibri" w:eastAsia="Calibri" w:hAnsi="Calibri"/>
                <w:sz w:val="22"/>
                <w:szCs w:val="22"/>
                <w:lang w:eastAsia="en-AU"/>
              </w:rPr>
            </w:pPr>
            <w:r w:rsidRPr="007F7891">
              <w:rPr>
                <w:rFonts w:ascii="Calibri" w:eastAsia="Calibri" w:hAnsi="Calibri"/>
                <w:sz w:val="22"/>
                <w:szCs w:val="22"/>
                <w:lang w:eastAsia="en-AU"/>
              </w:rPr>
              <w:t>National Dementia Helpline and Advisory Service, awareness raising, information and training, education courses, counselling, and carer support groups</w:t>
            </w:r>
          </w:p>
        </w:tc>
        <w:tc>
          <w:tcPr>
            <w:tcW w:w="1065" w:type="pct"/>
            <w:shd w:val="clear" w:color="auto" w:fill="DAEEF3" w:themeFill="accent5" w:themeFillTint="33"/>
            <w:hideMark/>
          </w:tcPr>
          <w:p w:rsidR="00CA4FF1" w:rsidRPr="007F7891" w:rsidRDefault="00CA4FF1" w:rsidP="00CA4FF1">
            <w:pPr>
              <w:cnfStyle w:val="000000100000" w:firstRow="0" w:lastRow="0" w:firstColumn="0" w:lastColumn="0" w:oddVBand="0" w:evenVBand="0" w:oddHBand="1" w:evenHBand="0" w:firstRowFirstColumn="0" w:firstRowLastColumn="0" w:lastRowFirstColumn="0" w:lastRowLastColumn="0"/>
              <w:rPr>
                <w:rFonts w:ascii="Calibri" w:eastAsia="Calibri" w:hAnsi="Calibri"/>
                <w:sz w:val="22"/>
                <w:szCs w:val="22"/>
                <w:lang w:eastAsia="en-AU"/>
              </w:rPr>
            </w:pPr>
            <w:r w:rsidRPr="007F7891">
              <w:rPr>
                <w:rFonts w:ascii="Calibri" w:eastAsia="Calibri" w:hAnsi="Calibri"/>
                <w:sz w:val="22"/>
                <w:szCs w:val="22"/>
                <w:lang w:eastAsia="en-AU"/>
              </w:rPr>
              <w:t>People with dementia, carers, families and friends, health professionals, volunteers, community contacts</w:t>
            </w:r>
          </w:p>
        </w:tc>
        <w:tc>
          <w:tcPr>
            <w:tcW w:w="760" w:type="pct"/>
            <w:shd w:val="clear" w:color="auto" w:fill="DAEEF3" w:themeFill="accent5" w:themeFillTint="33"/>
            <w:hideMark/>
          </w:tcPr>
          <w:p w:rsidR="00CA4FF1" w:rsidRPr="007F7891" w:rsidRDefault="00CA4FF1" w:rsidP="00CA4FF1">
            <w:pPr>
              <w:cnfStyle w:val="000000100000" w:firstRow="0" w:lastRow="0" w:firstColumn="0" w:lastColumn="0" w:oddVBand="0" w:evenVBand="0" w:oddHBand="1" w:evenHBand="0" w:firstRowFirstColumn="0" w:firstRowLastColumn="0" w:lastRowFirstColumn="0" w:lastRowLastColumn="0"/>
              <w:rPr>
                <w:rFonts w:ascii="Calibri" w:eastAsia="Calibri" w:hAnsi="Calibri"/>
                <w:sz w:val="22"/>
                <w:szCs w:val="22"/>
                <w:lang w:eastAsia="en-AU"/>
              </w:rPr>
            </w:pPr>
            <w:r w:rsidRPr="007F7891">
              <w:rPr>
                <w:rFonts w:ascii="Calibri" w:eastAsia="Calibri" w:hAnsi="Calibri"/>
                <w:sz w:val="22"/>
                <w:szCs w:val="22"/>
                <w:lang w:val="en" w:eastAsia="en-AU"/>
              </w:rPr>
              <w:t>General community</w:t>
            </w:r>
          </w:p>
        </w:tc>
        <w:tc>
          <w:tcPr>
            <w:tcW w:w="604" w:type="pct"/>
            <w:shd w:val="clear" w:color="auto" w:fill="DAEEF3" w:themeFill="accent5" w:themeFillTint="33"/>
            <w:hideMark/>
          </w:tcPr>
          <w:p w:rsidR="00CA4FF1" w:rsidRPr="007F7891" w:rsidRDefault="00CA4FF1" w:rsidP="00CA4FF1">
            <w:pPr>
              <w:cnfStyle w:val="000000100000" w:firstRow="0" w:lastRow="0" w:firstColumn="0" w:lastColumn="0" w:oddVBand="0" w:evenVBand="0" w:oddHBand="1" w:evenHBand="0" w:firstRowFirstColumn="0" w:firstRowLastColumn="0" w:lastRowFirstColumn="0" w:lastRowLastColumn="0"/>
              <w:rPr>
                <w:rFonts w:ascii="Calibri" w:eastAsia="Calibri" w:hAnsi="Calibri"/>
                <w:sz w:val="22"/>
                <w:szCs w:val="22"/>
                <w:lang w:eastAsia="en-AU"/>
              </w:rPr>
            </w:pPr>
            <w:r w:rsidRPr="007F7891">
              <w:rPr>
                <w:rFonts w:ascii="Calibri" w:eastAsia="Calibri" w:hAnsi="Calibri"/>
                <w:sz w:val="22"/>
                <w:szCs w:val="22"/>
                <w:lang w:eastAsia="en-AU"/>
              </w:rPr>
              <w:t>$12 million (2017-18)</w:t>
            </w:r>
          </w:p>
        </w:tc>
        <w:tc>
          <w:tcPr>
            <w:tcW w:w="612" w:type="pct"/>
            <w:shd w:val="clear" w:color="auto" w:fill="DAEEF3" w:themeFill="accent5" w:themeFillTint="33"/>
            <w:hideMark/>
          </w:tcPr>
          <w:p w:rsidR="00CA4FF1" w:rsidRPr="007F7891" w:rsidRDefault="00CA4FF1" w:rsidP="00CA4FF1">
            <w:pPr>
              <w:cnfStyle w:val="000000100000" w:firstRow="0" w:lastRow="0" w:firstColumn="0" w:lastColumn="0" w:oddVBand="0" w:evenVBand="0" w:oddHBand="1" w:evenHBand="0" w:firstRowFirstColumn="0" w:firstRowLastColumn="0" w:lastRowFirstColumn="0" w:lastRowLastColumn="0"/>
              <w:rPr>
                <w:rFonts w:ascii="Calibri" w:eastAsia="Calibri" w:hAnsi="Calibri"/>
                <w:sz w:val="22"/>
                <w:szCs w:val="22"/>
                <w:lang w:eastAsia="en-AU"/>
              </w:rPr>
            </w:pPr>
            <w:r w:rsidRPr="007F7891">
              <w:rPr>
                <w:rFonts w:ascii="Calibri" w:eastAsia="Calibri" w:hAnsi="Calibri"/>
                <w:sz w:val="22"/>
                <w:szCs w:val="22"/>
                <w:lang w:eastAsia="en-AU"/>
              </w:rPr>
              <w:t>n/a</w:t>
            </w:r>
          </w:p>
        </w:tc>
      </w:tr>
      <w:tr w:rsidR="00CA4FF1" w:rsidRPr="007F7891" w:rsidTr="00872536">
        <w:tc>
          <w:tcPr>
            <w:cnfStyle w:val="001000000000" w:firstRow="0" w:lastRow="0" w:firstColumn="1" w:lastColumn="0" w:oddVBand="0" w:evenVBand="0" w:oddHBand="0" w:evenHBand="0" w:firstRowFirstColumn="0" w:firstRowLastColumn="0" w:lastRowFirstColumn="0" w:lastRowLastColumn="0"/>
            <w:tcW w:w="775" w:type="pct"/>
            <w:shd w:val="clear" w:color="auto" w:fill="B6DDE8" w:themeFill="accent5" w:themeFillTint="66"/>
            <w:hideMark/>
          </w:tcPr>
          <w:p w:rsidR="00CA4FF1" w:rsidRPr="007F7891" w:rsidRDefault="00CA4FF1" w:rsidP="00CA4FF1">
            <w:pPr>
              <w:rPr>
                <w:rFonts w:ascii="Calibri" w:eastAsia="Calibri" w:hAnsi="Calibri"/>
                <w:bCs w:val="0"/>
                <w:color w:val="auto"/>
                <w:sz w:val="22"/>
                <w:szCs w:val="22"/>
                <w:lang w:eastAsia="en-AU"/>
              </w:rPr>
            </w:pPr>
            <w:r w:rsidRPr="007F7891">
              <w:rPr>
                <w:rFonts w:ascii="Calibri" w:eastAsia="Calibri" w:hAnsi="Calibri"/>
                <w:bCs w:val="0"/>
                <w:color w:val="auto"/>
                <w:sz w:val="22"/>
                <w:szCs w:val="22"/>
                <w:lang w:eastAsia="en-AU"/>
              </w:rPr>
              <w:t>Dementia Training Program</w:t>
            </w:r>
          </w:p>
        </w:tc>
        <w:tc>
          <w:tcPr>
            <w:tcW w:w="1184" w:type="pct"/>
            <w:shd w:val="clear" w:color="auto" w:fill="B6DDE8" w:themeFill="accent5" w:themeFillTint="66"/>
            <w:hideMark/>
          </w:tcPr>
          <w:p w:rsidR="00CA4FF1" w:rsidRPr="007F7891" w:rsidRDefault="00CA4FF1" w:rsidP="00CA4FF1">
            <w:pPr>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lang w:eastAsia="en-AU"/>
              </w:rPr>
            </w:pPr>
            <w:r w:rsidRPr="007F7891">
              <w:rPr>
                <w:rFonts w:ascii="Calibri" w:eastAsia="Calibri" w:hAnsi="Calibri"/>
                <w:sz w:val="22"/>
                <w:szCs w:val="22"/>
                <w:lang w:eastAsia="en-AU"/>
              </w:rPr>
              <w:t>Accredited education, upskilling, and professional development</w:t>
            </w:r>
          </w:p>
        </w:tc>
        <w:tc>
          <w:tcPr>
            <w:tcW w:w="1065" w:type="pct"/>
            <w:shd w:val="clear" w:color="auto" w:fill="B6DDE8" w:themeFill="accent5" w:themeFillTint="66"/>
            <w:hideMark/>
          </w:tcPr>
          <w:p w:rsidR="00CA4FF1" w:rsidRPr="007F7891" w:rsidRDefault="00CA4FF1" w:rsidP="00CA4FF1">
            <w:pPr>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lang w:eastAsia="en-AU"/>
              </w:rPr>
            </w:pPr>
            <w:r w:rsidRPr="007F7891">
              <w:rPr>
                <w:rFonts w:ascii="Calibri" w:eastAsia="Calibri" w:hAnsi="Calibri"/>
                <w:sz w:val="22"/>
                <w:szCs w:val="22"/>
                <w:lang w:eastAsia="en-AU"/>
              </w:rPr>
              <w:t>Workforce caring for people with dementia</w:t>
            </w:r>
          </w:p>
        </w:tc>
        <w:tc>
          <w:tcPr>
            <w:tcW w:w="760" w:type="pct"/>
            <w:shd w:val="clear" w:color="auto" w:fill="B6DDE8" w:themeFill="accent5" w:themeFillTint="66"/>
            <w:hideMark/>
          </w:tcPr>
          <w:p w:rsidR="00CA4FF1" w:rsidRPr="007F7891" w:rsidRDefault="00CA4FF1" w:rsidP="00CA4FF1">
            <w:pPr>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lang w:eastAsia="en-AU"/>
              </w:rPr>
            </w:pPr>
            <w:r w:rsidRPr="007F7891">
              <w:rPr>
                <w:rFonts w:ascii="Calibri" w:eastAsia="Calibri" w:hAnsi="Calibri"/>
                <w:sz w:val="22"/>
                <w:szCs w:val="22"/>
                <w:lang w:val="en" w:eastAsia="en-AU"/>
              </w:rPr>
              <w:t>Community and residential aged care, acute and primary care</w:t>
            </w:r>
          </w:p>
        </w:tc>
        <w:tc>
          <w:tcPr>
            <w:tcW w:w="604" w:type="pct"/>
            <w:shd w:val="clear" w:color="auto" w:fill="B6DDE8" w:themeFill="accent5" w:themeFillTint="66"/>
            <w:hideMark/>
          </w:tcPr>
          <w:p w:rsidR="00CA4FF1" w:rsidRPr="007F7891" w:rsidRDefault="00CA4FF1" w:rsidP="00CA4FF1">
            <w:pPr>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lang w:eastAsia="en-AU"/>
              </w:rPr>
            </w:pPr>
            <w:r w:rsidRPr="007F7891">
              <w:rPr>
                <w:rFonts w:ascii="Calibri" w:eastAsia="Calibri" w:hAnsi="Calibri"/>
                <w:sz w:val="22"/>
                <w:szCs w:val="22"/>
                <w:lang w:eastAsia="en-AU"/>
              </w:rPr>
              <w:t>$9.3 million (2017-18)</w:t>
            </w:r>
          </w:p>
        </w:tc>
        <w:tc>
          <w:tcPr>
            <w:tcW w:w="612" w:type="pct"/>
            <w:shd w:val="clear" w:color="auto" w:fill="B6DDE8" w:themeFill="accent5" w:themeFillTint="66"/>
            <w:hideMark/>
          </w:tcPr>
          <w:p w:rsidR="00CA4FF1" w:rsidRPr="007F7891" w:rsidRDefault="00CA4FF1" w:rsidP="00CA4FF1">
            <w:pPr>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lang w:eastAsia="en-AU"/>
              </w:rPr>
            </w:pPr>
            <w:r w:rsidRPr="007F7891">
              <w:rPr>
                <w:rFonts w:ascii="Calibri" w:eastAsia="Calibri" w:hAnsi="Calibri"/>
                <w:sz w:val="22"/>
                <w:szCs w:val="22"/>
                <w:lang w:eastAsia="en-AU"/>
              </w:rPr>
              <w:t>n/a</w:t>
            </w:r>
          </w:p>
        </w:tc>
      </w:tr>
      <w:tr w:rsidR="00CA4FF1" w:rsidRPr="007F7891" w:rsidTr="00872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pct"/>
            <w:shd w:val="clear" w:color="auto" w:fill="92CDDC" w:themeFill="accent5" w:themeFillTint="99"/>
            <w:hideMark/>
          </w:tcPr>
          <w:p w:rsidR="00CA4FF1" w:rsidRPr="007F7891" w:rsidRDefault="00CA4FF1" w:rsidP="00CA4FF1">
            <w:pPr>
              <w:rPr>
                <w:rFonts w:ascii="Calibri" w:eastAsia="Calibri" w:hAnsi="Calibri"/>
                <w:bCs w:val="0"/>
                <w:color w:val="auto"/>
                <w:sz w:val="22"/>
                <w:szCs w:val="22"/>
                <w:lang w:eastAsia="en-AU"/>
              </w:rPr>
            </w:pPr>
            <w:r w:rsidRPr="007F7891">
              <w:rPr>
                <w:rFonts w:ascii="Calibri" w:eastAsia="Calibri" w:hAnsi="Calibri"/>
                <w:bCs w:val="0"/>
                <w:color w:val="auto"/>
                <w:sz w:val="22"/>
                <w:szCs w:val="22"/>
                <w:lang w:eastAsia="en-AU"/>
              </w:rPr>
              <w:t>Dementia Behaviour Management Advisory Service (DBMAS)</w:t>
            </w:r>
          </w:p>
        </w:tc>
        <w:tc>
          <w:tcPr>
            <w:tcW w:w="1184" w:type="pct"/>
            <w:shd w:val="clear" w:color="auto" w:fill="92CDDC" w:themeFill="accent5" w:themeFillTint="99"/>
            <w:hideMark/>
          </w:tcPr>
          <w:p w:rsidR="00CA4FF1" w:rsidRPr="007F7891" w:rsidRDefault="00CA4FF1" w:rsidP="00CA4FF1">
            <w:pPr>
              <w:cnfStyle w:val="000000100000" w:firstRow="0" w:lastRow="0" w:firstColumn="0" w:lastColumn="0" w:oddVBand="0" w:evenVBand="0" w:oddHBand="1" w:evenHBand="0" w:firstRowFirstColumn="0" w:firstRowLastColumn="0" w:lastRowFirstColumn="0" w:lastRowLastColumn="0"/>
              <w:rPr>
                <w:rFonts w:ascii="Calibri" w:eastAsia="Calibri" w:hAnsi="Calibri"/>
                <w:sz w:val="22"/>
                <w:szCs w:val="22"/>
                <w:lang w:eastAsia="en-AU"/>
              </w:rPr>
            </w:pPr>
            <w:r w:rsidRPr="007F7891">
              <w:rPr>
                <w:rFonts w:ascii="Calibri" w:eastAsia="Calibri" w:hAnsi="Calibri"/>
                <w:sz w:val="22"/>
                <w:szCs w:val="22"/>
                <w:lang w:eastAsia="en-AU"/>
              </w:rPr>
              <w:t>First line response to provide information, advice, assessment and short-term case management interventions for people with BPSD</w:t>
            </w:r>
          </w:p>
        </w:tc>
        <w:tc>
          <w:tcPr>
            <w:tcW w:w="1065" w:type="pct"/>
            <w:shd w:val="clear" w:color="auto" w:fill="92CDDC" w:themeFill="accent5" w:themeFillTint="99"/>
            <w:hideMark/>
          </w:tcPr>
          <w:p w:rsidR="00CA4FF1" w:rsidRPr="007F7891" w:rsidRDefault="00CA4FF1" w:rsidP="00CA4FF1">
            <w:pPr>
              <w:cnfStyle w:val="000000100000" w:firstRow="0" w:lastRow="0" w:firstColumn="0" w:lastColumn="0" w:oddVBand="0" w:evenVBand="0" w:oddHBand="1" w:evenHBand="0" w:firstRowFirstColumn="0" w:firstRowLastColumn="0" w:lastRowFirstColumn="0" w:lastRowLastColumn="0"/>
              <w:rPr>
                <w:rFonts w:ascii="Calibri" w:eastAsia="Calibri" w:hAnsi="Calibri"/>
                <w:sz w:val="22"/>
                <w:szCs w:val="22"/>
                <w:lang w:eastAsia="en-AU"/>
              </w:rPr>
            </w:pPr>
            <w:r w:rsidRPr="007F7891">
              <w:rPr>
                <w:rFonts w:ascii="Calibri" w:eastAsia="Calibri" w:hAnsi="Calibri"/>
                <w:sz w:val="22"/>
                <w:szCs w:val="22"/>
                <w:lang w:eastAsia="en-AU"/>
              </w:rPr>
              <w:t>Workforce in aged care, health professionals, and family members caring for people with BPSD</w:t>
            </w:r>
          </w:p>
        </w:tc>
        <w:tc>
          <w:tcPr>
            <w:tcW w:w="760" w:type="pct"/>
            <w:shd w:val="clear" w:color="auto" w:fill="92CDDC" w:themeFill="accent5" w:themeFillTint="99"/>
            <w:hideMark/>
          </w:tcPr>
          <w:p w:rsidR="00CA4FF1" w:rsidRPr="007F7891" w:rsidRDefault="00CA4FF1" w:rsidP="00CA4FF1">
            <w:pPr>
              <w:cnfStyle w:val="000000100000" w:firstRow="0" w:lastRow="0" w:firstColumn="0" w:lastColumn="0" w:oddVBand="0" w:evenVBand="0" w:oddHBand="1" w:evenHBand="0" w:firstRowFirstColumn="0" w:firstRowLastColumn="0" w:lastRowFirstColumn="0" w:lastRowLastColumn="0"/>
              <w:rPr>
                <w:rFonts w:ascii="Calibri" w:eastAsia="Calibri" w:hAnsi="Calibri"/>
                <w:sz w:val="22"/>
                <w:szCs w:val="22"/>
                <w:lang w:eastAsia="en-AU"/>
              </w:rPr>
            </w:pPr>
            <w:r w:rsidRPr="007F7891">
              <w:rPr>
                <w:rFonts w:ascii="Calibri" w:eastAsia="Calibri" w:hAnsi="Calibri"/>
                <w:sz w:val="22"/>
                <w:szCs w:val="22"/>
                <w:lang w:val="en" w:eastAsia="en-AU"/>
              </w:rPr>
              <w:t>Community and residential aged care, acute and primary care</w:t>
            </w:r>
          </w:p>
        </w:tc>
        <w:tc>
          <w:tcPr>
            <w:tcW w:w="604" w:type="pct"/>
            <w:shd w:val="clear" w:color="auto" w:fill="92CDDC" w:themeFill="accent5" w:themeFillTint="99"/>
            <w:hideMark/>
          </w:tcPr>
          <w:p w:rsidR="00CA4FF1" w:rsidRPr="007F7891" w:rsidRDefault="00CA4FF1" w:rsidP="00CA4FF1">
            <w:pPr>
              <w:cnfStyle w:val="000000100000" w:firstRow="0" w:lastRow="0" w:firstColumn="0" w:lastColumn="0" w:oddVBand="0" w:evenVBand="0" w:oddHBand="1" w:evenHBand="0" w:firstRowFirstColumn="0" w:firstRowLastColumn="0" w:lastRowFirstColumn="0" w:lastRowLastColumn="0"/>
              <w:rPr>
                <w:rFonts w:ascii="Calibri" w:eastAsia="Calibri" w:hAnsi="Calibri"/>
                <w:sz w:val="22"/>
                <w:szCs w:val="22"/>
                <w:lang w:eastAsia="en-AU"/>
              </w:rPr>
            </w:pPr>
            <w:r w:rsidRPr="007F7891">
              <w:rPr>
                <w:rFonts w:ascii="Calibri" w:eastAsia="Calibri" w:hAnsi="Calibri"/>
                <w:sz w:val="22"/>
                <w:szCs w:val="22"/>
                <w:lang w:eastAsia="en-AU"/>
              </w:rPr>
              <w:t>$13.9 million (2017-18)</w:t>
            </w:r>
          </w:p>
        </w:tc>
        <w:tc>
          <w:tcPr>
            <w:tcW w:w="612" w:type="pct"/>
            <w:shd w:val="clear" w:color="auto" w:fill="92CDDC" w:themeFill="accent5" w:themeFillTint="99"/>
            <w:hideMark/>
          </w:tcPr>
          <w:p w:rsidR="00CA4FF1" w:rsidRPr="007F7891" w:rsidRDefault="00CA4FF1" w:rsidP="00CA4FF1">
            <w:pPr>
              <w:cnfStyle w:val="000000100000" w:firstRow="0" w:lastRow="0" w:firstColumn="0" w:lastColumn="0" w:oddVBand="0" w:evenVBand="0" w:oddHBand="1" w:evenHBand="0" w:firstRowFirstColumn="0" w:firstRowLastColumn="0" w:lastRowFirstColumn="0" w:lastRowLastColumn="0"/>
              <w:rPr>
                <w:rFonts w:ascii="Calibri" w:eastAsia="Calibri" w:hAnsi="Calibri"/>
                <w:sz w:val="22"/>
                <w:szCs w:val="22"/>
                <w:lang w:eastAsia="en-AU"/>
              </w:rPr>
            </w:pPr>
            <w:r w:rsidRPr="007F7891">
              <w:rPr>
                <w:rFonts w:ascii="Calibri" w:eastAsia="Calibri" w:hAnsi="Calibri"/>
                <w:sz w:val="22"/>
                <w:szCs w:val="22"/>
                <w:lang w:eastAsia="en-AU"/>
              </w:rPr>
              <w:t>7,500</w:t>
            </w:r>
          </w:p>
          <w:p w:rsidR="00CA4FF1" w:rsidRPr="007F7891" w:rsidRDefault="00CA4FF1" w:rsidP="00CA4FF1">
            <w:pPr>
              <w:cnfStyle w:val="000000100000" w:firstRow="0" w:lastRow="0" w:firstColumn="0" w:lastColumn="0" w:oddVBand="0" w:evenVBand="0" w:oddHBand="1" w:evenHBand="0" w:firstRowFirstColumn="0" w:firstRowLastColumn="0" w:lastRowFirstColumn="0" w:lastRowLastColumn="0"/>
              <w:rPr>
                <w:rFonts w:ascii="Calibri" w:eastAsia="Calibri" w:hAnsi="Calibri"/>
                <w:sz w:val="22"/>
                <w:szCs w:val="22"/>
                <w:lang w:eastAsia="en-AU"/>
              </w:rPr>
            </w:pPr>
            <w:r w:rsidRPr="007F7891">
              <w:rPr>
                <w:rFonts w:ascii="Calibri" w:eastAsia="Calibri" w:hAnsi="Calibri"/>
                <w:sz w:val="22"/>
                <w:szCs w:val="22"/>
                <w:lang w:eastAsia="en-AU"/>
              </w:rPr>
              <w:t>(2017-18)</w:t>
            </w:r>
          </w:p>
        </w:tc>
      </w:tr>
      <w:tr w:rsidR="00CA4FF1" w:rsidRPr="007F7891" w:rsidTr="00872536">
        <w:tc>
          <w:tcPr>
            <w:cnfStyle w:val="001000000000" w:firstRow="0" w:lastRow="0" w:firstColumn="1" w:lastColumn="0" w:oddVBand="0" w:evenVBand="0" w:oddHBand="0" w:evenHBand="0" w:firstRowFirstColumn="0" w:firstRowLastColumn="0" w:lastRowFirstColumn="0" w:lastRowLastColumn="0"/>
            <w:tcW w:w="775" w:type="pct"/>
            <w:shd w:val="clear" w:color="auto" w:fill="92CDDC" w:themeFill="accent5" w:themeFillTint="99"/>
            <w:hideMark/>
          </w:tcPr>
          <w:p w:rsidR="00CA4FF1" w:rsidRPr="007F7891" w:rsidRDefault="00CA4FF1" w:rsidP="00CA4FF1">
            <w:pPr>
              <w:rPr>
                <w:rFonts w:ascii="Calibri" w:eastAsia="Calibri" w:hAnsi="Calibri"/>
                <w:bCs w:val="0"/>
                <w:color w:val="auto"/>
                <w:sz w:val="22"/>
                <w:szCs w:val="22"/>
                <w:lang w:eastAsia="en-AU"/>
              </w:rPr>
            </w:pPr>
            <w:r w:rsidRPr="007F7891">
              <w:rPr>
                <w:rFonts w:ascii="Calibri" w:eastAsia="Calibri" w:hAnsi="Calibri"/>
                <w:bCs w:val="0"/>
                <w:color w:val="auto"/>
                <w:sz w:val="22"/>
                <w:szCs w:val="22"/>
                <w:lang w:eastAsia="en-AU"/>
              </w:rPr>
              <w:t>Severe Behaviour Response Teams (SBRTs)</w:t>
            </w:r>
          </w:p>
        </w:tc>
        <w:tc>
          <w:tcPr>
            <w:tcW w:w="1184" w:type="pct"/>
            <w:shd w:val="clear" w:color="auto" w:fill="92CDDC" w:themeFill="accent5" w:themeFillTint="99"/>
            <w:hideMark/>
          </w:tcPr>
          <w:p w:rsidR="00CA4FF1" w:rsidRPr="007F7891" w:rsidRDefault="00CA4FF1" w:rsidP="00CA4FF1">
            <w:pPr>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lang w:eastAsia="en-AU"/>
              </w:rPr>
            </w:pPr>
            <w:r w:rsidRPr="007F7891">
              <w:rPr>
                <w:rFonts w:ascii="Calibri" w:eastAsia="Calibri" w:hAnsi="Calibri"/>
                <w:sz w:val="22"/>
                <w:szCs w:val="22"/>
                <w:lang w:eastAsia="en-AU"/>
              </w:rPr>
              <w:t>Behaviour management support specifically for people in Australian Government- funded residential aged care with severe BPSD</w:t>
            </w:r>
          </w:p>
        </w:tc>
        <w:tc>
          <w:tcPr>
            <w:tcW w:w="1065" w:type="pct"/>
            <w:shd w:val="clear" w:color="auto" w:fill="92CDDC" w:themeFill="accent5" w:themeFillTint="99"/>
            <w:hideMark/>
          </w:tcPr>
          <w:p w:rsidR="00CA4FF1" w:rsidRPr="007F7891" w:rsidRDefault="00CA4FF1" w:rsidP="00CA4FF1">
            <w:pPr>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lang w:eastAsia="en-AU"/>
              </w:rPr>
            </w:pPr>
            <w:r w:rsidRPr="007F7891">
              <w:rPr>
                <w:rFonts w:ascii="Calibri" w:eastAsia="Calibri" w:hAnsi="Calibri"/>
                <w:sz w:val="22"/>
                <w:szCs w:val="22"/>
                <w:lang w:eastAsia="en-AU"/>
              </w:rPr>
              <w:t>Workforce in residential facilities caring for people with severe BPSD</w:t>
            </w:r>
          </w:p>
        </w:tc>
        <w:tc>
          <w:tcPr>
            <w:tcW w:w="760" w:type="pct"/>
            <w:shd w:val="clear" w:color="auto" w:fill="92CDDC" w:themeFill="accent5" w:themeFillTint="99"/>
            <w:hideMark/>
          </w:tcPr>
          <w:p w:rsidR="00CA4FF1" w:rsidRPr="007F7891" w:rsidRDefault="00CA4FF1" w:rsidP="00CA4FF1">
            <w:pPr>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lang w:eastAsia="en-AU"/>
              </w:rPr>
            </w:pPr>
            <w:r w:rsidRPr="007F7891">
              <w:rPr>
                <w:rFonts w:ascii="Calibri" w:eastAsia="Calibri" w:hAnsi="Calibri"/>
                <w:sz w:val="22"/>
                <w:szCs w:val="22"/>
                <w:lang w:eastAsia="en-AU"/>
              </w:rPr>
              <w:t>Residential aged care</w:t>
            </w:r>
          </w:p>
        </w:tc>
        <w:tc>
          <w:tcPr>
            <w:tcW w:w="604" w:type="pct"/>
            <w:shd w:val="clear" w:color="auto" w:fill="92CDDC" w:themeFill="accent5" w:themeFillTint="99"/>
            <w:hideMark/>
          </w:tcPr>
          <w:p w:rsidR="00CA4FF1" w:rsidRPr="007F7891" w:rsidRDefault="00CA4FF1" w:rsidP="00CA4FF1">
            <w:pPr>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lang w:eastAsia="en-AU"/>
              </w:rPr>
            </w:pPr>
            <w:r w:rsidRPr="007F7891">
              <w:rPr>
                <w:rFonts w:ascii="Calibri" w:eastAsia="Calibri" w:hAnsi="Calibri"/>
                <w:sz w:val="22"/>
                <w:szCs w:val="22"/>
                <w:lang w:eastAsia="en-AU"/>
              </w:rPr>
              <w:t>$13.4 million (2017-18)</w:t>
            </w:r>
          </w:p>
        </w:tc>
        <w:tc>
          <w:tcPr>
            <w:tcW w:w="612" w:type="pct"/>
            <w:shd w:val="clear" w:color="auto" w:fill="92CDDC" w:themeFill="accent5" w:themeFillTint="99"/>
            <w:hideMark/>
          </w:tcPr>
          <w:p w:rsidR="00CA4FF1" w:rsidRPr="007F7891" w:rsidRDefault="00CA4FF1" w:rsidP="00CA4FF1">
            <w:pPr>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lang w:eastAsia="en-AU"/>
              </w:rPr>
            </w:pPr>
            <w:r w:rsidRPr="007F7891">
              <w:rPr>
                <w:rFonts w:ascii="Calibri" w:eastAsia="Calibri" w:hAnsi="Calibri"/>
                <w:sz w:val="22"/>
                <w:szCs w:val="22"/>
                <w:lang w:eastAsia="en-AU"/>
              </w:rPr>
              <w:t>640</w:t>
            </w:r>
            <w:r w:rsidRPr="007F7891">
              <w:rPr>
                <w:rFonts w:ascii="Calibri" w:eastAsia="Calibri" w:hAnsi="Calibri"/>
                <w:sz w:val="22"/>
                <w:szCs w:val="22"/>
                <w:lang w:eastAsia="en-AU"/>
              </w:rPr>
              <w:br/>
              <w:t>(2017-18)</w:t>
            </w:r>
          </w:p>
        </w:tc>
      </w:tr>
      <w:tr w:rsidR="00CA4FF1" w:rsidRPr="007F7891" w:rsidTr="00872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pct"/>
            <w:shd w:val="clear" w:color="auto" w:fill="92CDDC" w:themeFill="accent5" w:themeFillTint="99"/>
            <w:hideMark/>
          </w:tcPr>
          <w:p w:rsidR="00CA4FF1" w:rsidRPr="007F7891" w:rsidRDefault="00CA4FF1" w:rsidP="00CA4FF1">
            <w:pPr>
              <w:rPr>
                <w:rFonts w:ascii="Calibri" w:eastAsia="Calibri" w:hAnsi="Calibri"/>
                <w:bCs w:val="0"/>
                <w:color w:val="auto"/>
                <w:sz w:val="22"/>
                <w:szCs w:val="22"/>
                <w:lang w:eastAsia="en-AU"/>
              </w:rPr>
            </w:pPr>
            <w:r w:rsidRPr="007F7891">
              <w:rPr>
                <w:rFonts w:ascii="Calibri" w:eastAsia="Calibri" w:hAnsi="Calibri"/>
                <w:bCs w:val="0"/>
                <w:color w:val="auto"/>
                <w:sz w:val="22"/>
                <w:szCs w:val="22"/>
                <w:lang w:eastAsia="en-AU"/>
              </w:rPr>
              <w:t>Specialist Dementia Care Units (SDCUs)</w:t>
            </w:r>
          </w:p>
        </w:tc>
        <w:tc>
          <w:tcPr>
            <w:tcW w:w="1184" w:type="pct"/>
            <w:shd w:val="clear" w:color="auto" w:fill="92CDDC" w:themeFill="accent5" w:themeFillTint="99"/>
            <w:hideMark/>
          </w:tcPr>
          <w:p w:rsidR="00CA4FF1" w:rsidRPr="007F7891" w:rsidRDefault="00CA4FF1" w:rsidP="00CA4FF1">
            <w:pPr>
              <w:cnfStyle w:val="000000100000" w:firstRow="0" w:lastRow="0" w:firstColumn="0" w:lastColumn="0" w:oddVBand="0" w:evenVBand="0" w:oddHBand="1" w:evenHBand="0" w:firstRowFirstColumn="0" w:firstRowLastColumn="0" w:lastRowFirstColumn="0" w:lastRowLastColumn="0"/>
              <w:rPr>
                <w:rFonts w:ascii="Calibri" w:eastAsia="Calibri" w:hAnsi="Calibri"/>
                <w:sz w:val="22"/>
                <w:szCs w:val="22"/>
                <w:lang w:eastAsia="en-AU"/>
              </w:rPr>
            </w:pPr>
            <w:r w:rsidRPr="007F7891">
              <w:rPr>
                <w:rFonts w:ascii="Calibri" w:eastAsia="Calibri" w:hAnsi="Calibri"/>
                <w:sz w:val="22"/>
                <w:szCs w:val="22"/>
                <w:lang w:eastAsia="en-AU"/>
              </w:rPr>
              <w:t>Transitional support with a focus on reducing or stabilising symptoms, for people with very severe BPSD who cannot be effectively cared for in mainstream aged care services</w:t>
            </w:r>
          </w:p>
        </w:tc>
        <w:tc>
          <w:tcPr>
            <w:tcW w:w="1065" w:type="pct"/>
            <w:shd w:val="clear" w:color="auto" w:fill="92CDDC" w:themeFill="accent5" w:themeFillTint="99"/>
            <w:hideMark/>
          </w:tcPr>
          <w:p w:rsidR="00CA4FF1" w:rsidRPr="007F7891" w:rsidRDefault="00CA4FF1" w:rsidP="00CA4FF1">
            <w:pPr>
              <w:cnfStyle w:val="000000100000" w:firstRow="0" w:lastRow="0" w:firstColumn="0" w:lastColumn="0" w:oddVBand="0" w:evenVBand="0" w:oddHBand="1" w:evenHBand="0" w:firstRowFirstColumn="0" w:firstRowLastColumn="0" w:lastRowFirstColumn="0" w:lastRowLastColumn="0"/>
              <w:rPr>
                <w:rFonts w:ascii="Calibri" w:eastAsia="Calibri" w:hAnsi="Calibri"/>
                <w:sz w:val="22"/>
                <w:szCs w:val="22"/>
                <w:lang w:eastAsia="en-AU"/>
              </w:rPr>
            </w:pPr>
            <w:r w:rsidRPr="007F7891">
              <w:rPr>
                <w:rFonts w:ascii="Calibri" w:eastAsia="Calibri" w:hAnsi="Calibri"/>
                <w:sz w:val="22"/>
                <w:szCs w:val="22"/>
                <w:lang w:eastAsia="en-AU"/>
              </w:rPr>
              <w:t>People with very severe BPSD (&lt;1% of people living with dementia)</w:t>
            </w:r>
          </w:p>
        </w:tc>
        <w:tc>
          <w:tcPr>
            <w:tcW w:w="760" w:type="pct"/>
            <w:shd w:val="clear" w:color="auto" w:fill="92CDDC" w:themeFill="accent5" w:themeFillTint="99"/>
            <w:hideMark/>
          </w:tcPr>
          <w:p w:rsidR="00CA4FF1" w:rsidRPr="007F7891" w:rsidRDefault="00CA4FF1" w:rsidP="00CA4FF1">
            <w:pPr>
              <w:cnfStyle w:val="000000100000" w:firstRow="0" w:lastRow="0" w:firstColumn="0" w:lastColumn="0" w:oddVBand="0" w:evenVBand="0" w:oddHBand="1" w:evenHBand="0" w:firstRowFirstColumn="0" w:firstRowLastColumn="0" w:lastRowFirstColumn="0" w:lastRowLastColumn="0"/>
              <w:rPr>
                <w:rFonts w:ascii="Calibri" w:eastAsia="Calibri" w:hAnsi="Calibri"/>
                <w:sz w:val="22"/>
                <w:szCs w:val="22"/>
                <w:lang w:eastAsia="en-AU"/>
              </w:rPr>
            </w:pPr>
            <w:r w:rsidRPr="007F7891">
              <w:rPr>
                <w:rFonts w:ascii="Calibri" w:eastAsia="Calibri" w:hAnsi="Calibri"/>
                <w:sz w:val="22"/>
                <w:szCs w:val="22"/>
                <w:lang w:eastAsia="en-AU"/>
              </w:rPr>
              <w:t>Residential aged care</w:t>
            </w:r>
          </w:p>
        </w:tc>
        <w:tc>
          <w:tcPr>
            <w:tcW w:w="604" w:type="pct"/>
            <w:shd w:val="clear" w:color="auto" w:fill="92CDDC" w:themeFill="accent5" w:themeFillTint="99"/>
            <w:hideMark/>
          </w:tcPr>
          <w:p w:rsidR="00CA4FF1" w:rsidRPr="007F7891" w:rsidRDefault="00CA4FF1" w:rsidP="00CA4FF1">
            <w:pPr>
              <w:cnfStyle w:val="000000100000" w:firstRow="0" w:lastRow="0" w:firstColumn="0" w:lastColumn="0" w:oddVBand="0" w:evenVBand="0" w:oddHBand="1" w:evenHBand="0" w:firstRowFirstColumn="0" w:firstRowLastColumn="0" w:lastRowFirstColumn="0" w:lastRowLastColumn="0"/>
              <w:rPr>
                <w:rFonts w:ascii="Calibri" w:eastAsia="Calibri" w:hAnsi="Calibri"/>
                <w:sz w:val="22"/>
                <w:szCs w:val="22"/>
                <w:lang w:eastAsia="en-AU"/>
              </w:rPr>
            </w:pPr>
            <w:r w:rsidRPr="007F7891">
              <w:rPr>
                <w:rFonts w:ascii="Calibri" w:eastAsia="Calibri" w:hAnsi="Calibri"/>
                <w:sz w:val="22"/>
                <w:szCs w:val="22"/>
                <w:lang w:eastAsia="en-AU"/>
              </w:rPr>
              <w:t>$72 million expected at full roll out (2023-24)</w:t>
            </w:r>
          </w:p>
        </w:tc>
        <w:tc>
          <w:tcPr>
            <w:tcW w:w="612" w:type="pct"/>
            <w:shd w:val="clear" w:color="auto" w:fill="92CDDC" w:themeFill="accent5" w:themeFillTint="99"/>
            <w:hideMark/>
          </w:tcPr>
          <w:p w:rsidR="00CA4FF1" w:rsidRPr="007F7891" w:rsidRDefault="00CA4FF1" w:rsidP="00CA4FF1">
            <w:pPr>
              <w:cnfStyle w:val="000000100000" w:firstRow="0" w:lastRow="0" w:firstColumn="0" w:lastColumn="0" w:oddVBand="0" w:evenVBand="0" w:oddHBand="1" w:evenHBand="0" w:firstRowFirstColumn="0" w:firstRowLastColumn="0" w:lastRowFirstColumn="0" w:lastRowLastColumn="0"/>
              <w:rPr>
                <w:rFonts w:ascii="Calibri" w:eastAsia="Calibri" w:hAnsi="Calibri"/>
                <w:sz w:val="22"/>
                <w:szCs w:val="22"/>
                <w:lang w:eastAsia="en-AU"/>
              </w:rPr>
            </w:pPr>
            <w:r w:rsidRPr="007F7891">
              <w:rPr>
                <w:rFonts w:ascii="Calibri" w:eastAsia="Calibri" w:hAnsi="Calibri"/>
                <w:sz w:val="22"/>
                <w:szCs w:val="22"/>
                <w:lang w:eastAsia="en-AU"/>
              </w:rPr>
              <w:t xml:space="preserve">372 supported places at full roll out </w:t>
            </w:r>
          </w:p>
        </w:tc>
      </w:tr>
    </w:tbl>
    <w:p w:rsidR="00CA4FF1" w:rsidRPr="00D67FD5" w:rsidRDefault="00CA4FF1" w:rsidP="00CA4FF1">
      <w:pPr>
        <w:jc w:val="both"/>
        <w:rPr>
          <w:rFonts w:ascii="Calibri" w:eastAsia="Calibri" w:hAnsi="Calibri"/>
          <w:color w:val="1F497D"/>
          <w:sz w:val="22"/>
          <w:szCs w:val="22"/>
        </w:rPr>
      </w:pPr>
    </w:p>
    <w:p w:rsidR="00CA4FF1" w:rsidRDefault="00CA4FF1" w:rsidP="00CA4FF1">
      <w:pPr>
        <w:jc w:val="both"/>
      </w:pPr>
    </w:p>
    <w:p w:rsidR="00CA4FF1" w:rsidRPr="00D67FD5" w:rsidRDefault="00CA4FF1" w:rsidP="00CA4FF1">
      <w:pPr>
        <w:jc w:val="both"/>
        <w:rPr>
          <w:lang w:eastAsia="en-AU"/>
        </w:rPr>
      </w:pPr>
    </w:p>
    <w:p w:rsidR="00872536" w:rsidRDefault="00872536">
      <w:pPr>
        <w:rPr>
          <w:rStyle w:val="Emphasis"/>
        </w:rPr>
      </w:pPr>
      <w:r>
        <w:rPr>
          <w:rStyle w:val="Emphasis"/>
        </w:rPr>
        <w:br w:type="page"/>
      </w:r>
    </w:p>
    <w:p w:rsidR="00CA4FF1" w:rsidRPr="00D74ADB" w:rsidRDefault="00CA4FF1" w:rsidP="00CA4FF1">
      <w:pPr>
        <w:jc w:val="both"/>
        <w:rPr>
          <w:rStyle w:val="Emphasis"/>
        </w:rPr>
      </w:pPr>
      <w:r w:rsidRPr="00D74ADB">
        <w:rPr>
          <w:rStyle w:val="Emphasis"/>
        </w:rPr>
        <w:lastRenderedPageBreak/>
        <w:t>Figure 2: Australian Government services to support people with BPSD</w:t>
      </w:r>
    </w:p>
    <w:p w:rsidR="00CA4FF1" w:rsidRPr="00D67FD5" w:rsidRDefault="00CA4FF1" w:rsidP="00CA4FF1">
      <w:pPr>
        <w:jc w:val="both"/>
        <w:rPr>
          <w:b/>
          <w:lang w:eastAsia="en-AU"/>
        </w:rPr>
      </w:pPr>
    </w:p>
    <w:p w:rsidR="00CA4FF1" w:rsidRPr="00D67FD5" w:rsidRDefault="00CA4FF1" w:rsidP="00CA4FF1">
      <w:pPr>
        <w:jc w:val="both"/>
        <w:rPr>
          <w:lang w:eastAsia="en-AU"/>
        </w:rPr>
      </w:pPr>
      <w:r w:rsidRPr="00C7692F">
        <w:rPr>
          <w:noProof/>
          <w:lang w:eastAsia="en-AU"/>
        </w:rPr>
        <mc:AlternateContent>
          <mc:Choice Requires="wpg">
            <w:drawing>
              <wp:inline distT="0" distB="0" distL="0" distR="0" wp14:anchorId="5552E576" wp14:editId="6839D19B">
                <wp:extent cx="4711700" cy="3401060"/>
                <wp:effectExtent l="0" t="0" r="0" b="0"/>
                <wp:docPr id="21" name="Group 12" descr="Diagram showing levels of support- Dementia Behaviour Management Advisory service as level 1, Severe Behaviour Response Teams as level 2, and Specialist Dementia Care Units as level 3. Arrow illustrates severity of BPSD increasing from level 1 to 3. All levels are supported by the Dementia Training Program. "/>
                <wp:cNvGraphicFramePr/>
                <a:graphic xmlns:a="http://schemas.openxmlformats.org/drawingml/2006/main">
                  <a:graphicData uri="http://schemas.microsoft.com/office/word/2010/wordprocessingGroup">
                    <wpg:wgp>
                      <wpg:cNvGrpSpPr/>
                      <wpg:grpSpPr>
                        <a:xfrm>
                          <a:off x="0" y="0"/>
                          <a:ext cx="4711700" cy="3401060"/>
                          <a:chOff x="0" y="133985"/>
                          <a:chExt cx="4711700" cy="3401060"/>
                        </a:xfrm>
                      </wpg:grpSpPr>
                      <wpg:grpSp>
                        <wpg:cNvPr id="22" name="Group 22"/>
                        <wpg:cNvGrpSpPr/>
                        <wpg:grpSpPr>
                          <a:xfrm>
                            <a:off x="735916" y="133985"/>
                            <a:ext cx="3239865" cy="3133089"/>
                            <a:chOff x="735916" y="133985"/>
                            <a:chExt cx="3239865" cy="3133089"/>
                          </a:xfrm>
                        </wpg:grpSpPr>
                        <wps:wsp>
                          <wps:cNvPr id="23" name="Freeform 23"/>
                          <wps:cNvSpPr/>
                          <wps:spPr>
                            <a:xfrm>
                              <a:off x="1556982" y="133985"/>
                              <a:ext cx="1597733" cy="666853"/>
                            </a:xfrm>
                            <a:custGeom>
                              <a:avLst/>
                              <a:gdLst>
                                <a:gd name="connsiteX0" fmla="*/ 111144 w 1597733"/>
                                <a:gd name="connsiteY0" fmla="*/ 0 h 666853"/>
                                <a:gd name="connsiteX1" fmla="*/ 1597733 w 1597733"/>
                                <a:gd name="connsiteY1" fmla="*/ 0 h 666853"/>
                                <a:gd name="connsiteX2" fmla="*/ 1597733 w 1597733"/>
                                <a:gd name="connsiteY2" fmla="*/ 0 h 666853"/>
                                <a:gd name="connsiteX3" fmla="*/ 1597733 w 1597733"/>
                                <a:gd name="connsiteY3" fmla="*/ 555709 h 666853"/>
                                <a:gd name="connsiteX4" fmla="*/ 1486589 w 1597733"/>
                                <a:gd name="connsiteY4" fmla="*/ 666853 h 666853"/>
                                <a:gd name="connsiteX5" fmla="*/ 0 w 1597733"/>
                                <a:gd name="connsiteY5" fmla="*/ 666853 h 666853"/>
                                <a:gd name="connsiteX6" fmla="*/ 0 w 1597733"/>
                                <a:gd name="connsiteY6" fmla="*/ 666853 h 666853"/>
                                <a:gd name="connsiteX7" fmla="*/ 0 w 1597733"/>
                                <a:gd name="connsiteY7" fmla="*/ 111144 h 666853"/>
                                <a:gd name="connsiteX8" fmla="*/ 111144 w 1597733"/>
                                <a:gd name="connsiteY8" fmla="*/ 0 h 6668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597733" h="666853">
                                  <a:moveTo>
                                    <a:pt x="111144" y="0"/>
                                  </a:moveTo>
                                  <a:lnTo>
                                    <a:pt x="1597733" y="0"/>
                                  </a:lnTo>
                                  <a:lnTo>
                                    <a:pt x="1597733" y="0"/>
                                  </a:lnTo>
                                  <a:lnTo>
                                    <a:pt x="1597733" y="555709"/>
                                  </a:lnTo>
                                  <a:cubicBezTo>
                                    <a:pt x="1597733" y="617092"/>
                                    <a:pt x="1547972" y="666853"/>
                                    <a:pt x="1486589" y="666853"/>
                                  </a:cubicBezTo>
                                  <a:lnTo>
                                    <a:pt x="0" y="666853"/>
                                  </a:lnTo>
                                  <a:lnTo>
                                    <a:pt x="0" y="666853"/>
                                  </a:lnTo>
                                  <a:lnTo>
                                    <a:pt x="0" y="111144"/>
                                  </a:lnTo>
                                  <a:cubicBezTo>
                                    <a:pt x="0" y="49761"/>
                                    <a:pt x="49761" y="0"/>
                                    <a:pt x="111144" y="0"/>
                                  </a:cubicBezTo>
                                  <a:close/>
                                </a:path>
                              </a:pathLst>
                            </a:cu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wps:spPr>
                          <wps:style>
                            <a:lnRef idx="2">
                              <a:scrgbClr r="0" g="0" b="0"/>
                            </a:lnRef>
                            <a:fillRef idx="1">
                              <a:scrgbClr r="0" g="0" b="0"/>
                            </a:fillRef>
                            <a:effectRef idx="0">
                              <a:scrgbClr r="0" g="0" b="0"/>
                            </a:effectRef>
                            <a:fontRef idx="minor">
                              <a:schemeClr val="lt1"/>
                            </a:fontRef>
                          </wps:style>
                          <wps:txbx>
                            <w:txbxContent>
                              <w:p w:rsidR="00AE3B8A" w:rsidRDefault="00AE3B8A" w:rsidP="00CA4FF1">
                                <w:pPr>
                                  <w:pStyle w:val="NormalWeb"/>
                                  <w:spacing w:before="0" w:beforeAutospacing="0" w:after="109" w:afterAutospacing="0" w:line="216" w:lineRule="auto"/>
                                  <w:jc w:val="center"/>
                                </w:pPr>
                                <w:r>
                                  <w:rPr>
                                    <w:rFonts w:ascii="Calibri" w:hAnsi="Calibri" w:cstheme="minorBidi"/>
                                    <w:color w:val="FFFFFF"/>
                                    <w:kern w:val="24"/>
                                    <w:sz w:val="26"/>
                                    <w:szCs w:val="26"/>
                                  </w:rPr>
                                  <w:t>Specialist Dementia Care Units (SDCUs)</w:t>
                                </w:r>
                              </w:p>
                            </w:txbxContent>
                          </wps:txbx>
                          <wps:bodyPr spcFirstLastPara="0" vert="horz" wrap="square" lIns="16510" tIns="16510" rIns="16510" bIns="16510" numCol="1" spcCol="1270" anchor="ctr" anchorCtr="0">
                            <a:noAutofit/>
                          </wps:bodyPr>
                        </wps:wsp>
                        <wps:wsp>
                          <wps:cNvPr id="24" name="Freeform 24"/>
                          <wps:cNvSpPr/>
                          <wps:spPr>
                            <a:xfrm>
                              <a:off x="1339793" y="800838"/>
                              <a:ext cx="2032111" cy="731171"/>
                            </a:xfrm>
                            <a:custGeom>
                              <a:avLst/>
                              <a:gdLst>
                                <a:gd name="connsiteX0" fmla="*/ 121864 w 2032111"/>
                                <a:gd name="connsiteY0" fmla="*/ 0 h 731171"/>
                                <a:gd name="connsiteX1" fmla="*/ 2032111 w 2032111"/>
                                <a:gd name="connsiteY1" fmla="*/ 0 h 731171"/>
                                <a:gd name="connsiteX2" fmla="*/ 2032111 w 2032111"/>
                                <a:gd name="connsiteY2" fmla="*/ 0 h 731171"/>
                                <a:gd name="connsiteX3" fmla="*/ 2032111 w 2032111"/>
                                <a:gd name="connsiteY3" fmla="*/ 609307 h 731171"/>
                                <a:gd name="connsiteX4" fmla="*/ 1910247 w 2032111"/>
                                <a:gd name="connsiteY4" fmla="*/ 731171 h 731171"/>
                                <a:gd name="connsiteX5" fmla="*/ 0 w 2032111"/>
                                <a:gd name="connsiteY5" fmla="*/ 731171 h 731171"/>
                                <a:gd name="connsiteX6" fmla="*/ 0 w 2032111"/>
                                <a:gd name="connsiteY6" fmla="*/ 731171 h 731171"/>
                                <a:gd name="connsiteX7" fmla="*/ 0 w 2032111"/>
                                <a:gd name="connsiteY7" fmla="*/ 121864 h 731171"/>
                                <a:gd name="connsiteX8" fmla="*/ 121864 w 2032111"/>
                                <a:gd name="connsiteY8" fmla="*/ 0 h 7311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032111" h="731171">
                                  <a:moveTo>
                                    <a:pt x="121864" y="0"/>
                                  </a:moveTo>
                                  <a:lnTo>
                                    <a:pt x="2032111" y="0"/>
                                  </a:lnTo>
                                  <a:lnTo>
                                    <a:pt x="2032111" y="0"/>
                                  </a:lnTo>
                                  <a:lnTo>
                                    <a:pt x="2032111" y="609307"/>
                                  </a:lnTo>
                                  <a:cubicBezTo>
                                    <a:pt x="2032111" y="676611"/>
                                    <a:pt x="1977551" y="731171"/>
                                    <a:pt x="1910247" y="731171"/>
                                  </a:cubicBezTo>
                                  <a:lnTo>
                                    <a:pt x="0" y="731171"/>
                                  </a:lnTo>
                                  <a:lnTo>
                                    <a:pt x="0" y="731171"/>
                                  </a:lnTo>
                                  <a:lnTo>
                                    <a:pt x="0" y="121864"/>
                                  </a:lnTo>
                                  <a:cubicBezTo>
                                    <a:pt x="0" y="54560"/>
                                    <a:pt x="54560" y="0"/>
                                    <a:pt x="121864" y="0"/>
                                  </a:cubicBezTo>
                                  <a:close/>
                                </a:path>
                              </a:pathLst>
                            </a:custGeom>
                            <a:solidFill>
                              <a:srgbClr val="8064A2">
                                <a:hueOff val="-1488257"/>
                                <a:satOff val="8966"/>
                                <a:lumOff val="719"/>
                                <a:alphaOff val="0"/>
                              </a:srgbClr>
                            </a:solidFill>
                            <a:ln w="25400" cap="flat" cmpd="sng" algn="ctr">
                              <a:solidFill>
                                <a:sysClr val="window" lastClr="FFFFFF">
                                  <a:hueOff val="0"/>
                                  <a:satOff val="0"/>
                                  <a:lumOff val="0"/>
                                  <a:alphaOff val="0"/>
                                </a:sysClr>
                              </a:solidFill>
                              <a:prstDash val="solid"/>
                            </a:ln>
                            <a:effectLst/>
                          </wps:spPr>
                          <wps:style>
                            <a:lnRef idx="2">
                              <a:scrgbClr r="0" g="0" b="0"/>
                            </a:lnRef>
                            <a:fillRef idx="1">
                              <a:scrgbClr r="0" g="0" b="0"/>
                            </a:fillRef>
                            <a:effectRef idx="0">
                              <a:scrgbClr r="0" g="0" b="0"/>
                            </a:effectRef>
                            <a:fontRef idx="minor">
                              <a:schemeClr val="lt1"/>
                            </a:fontRef>
                          </wps:style>
                          <wps:txbx>
                            <w:txbxContent>
                              <w:p w:rsidR="00AE3B8A" w:rsidRDefault="00AE3B8A" w:rsidP="00CA4FF1">
                                <w:pPr>
                                  <w:pStyle w:val="NormalWeb"/>
                                  <w:spacing w:before="0" w:beforeAutospacing="0" w:after="109" w:afterAutospacing="0" w:line="216" w:lineRule="auto"/>
                                  <w:jc w:val="center"/>
                                </w:pPr>
                                <w:r>
                                  <w:rPr>
                                    <w:rFonts w:ascii="Calibri" w:hAnsi="Calibri" w:cstheme="minorBidi"/>
                                    <w:color w:val="FFFFFF"/>
                                    <w:kern w:val="24"/>
                                    <w:sz w:val="26"/>
                                    <w:szCs w:val="26"/>
                                  </w:rPr>
                                  <w:t>Severe Behaviour Response Teams (SBRTs)</w:t>
                                </w:r>
                              </w:p>
                            </w:txbxContent>
                          </wps:txbx>
                          <wps:bodyPr spcFirstLastPara="0" vert="horz" wrap="square" lIns="407823" tIns="52203" rIns="407822" bIns="52203" numCol="1" spcCol="1270" anchor="ctr" anchorCtr="0">
                            <a:noAutofit/>
                          </wps:bodyPr>
                        </wps:wsp>
                        <wps:wsp>
                          <wps:cNvPr id="25" name="Freeform 25"/>
                          <wps:cNvSpPr/>
                          <wps:spPr>
                            <a:xfrm>
                              <a:off x="992942" y="1532009"/>
                              <a:ext cx="2725814" cy="781185"/>
                            </a:xfrm>
                            <a:custGeom>
                              <a:avLst/>
                              <a:gdLst>
                                <a:gd name="connsiteX0" fmla="*/ 130200 w 2725814"/>
                                <a:gd name="connsiteY0" fmla="*/ 0 h 781185"/>
                                <a:gd name="connsiteX1" fmla="*/ 2725814 w 2725814"/>
                                <a:gd name="connsiteY1" fmla="*/ 0 h 781185"/>
                                <a:gd name="connsiteX2" fmla="*/ 2725814 w 2725814"/>
                                <a:gd name="connsiteY2" fmla="*/ 0 h 781185"/>
                                <a:gd name="connsiteX3" fmla="*/ 2725814 w 2725814"/>
                                <a:gd name="connsiteY3" fmla="*/ 650985 h 781185"/>
                                <a:gd name="connsiteX4" fmla="*/ 2595614 w 2725814"/>
                                <a:gd name="connsiteY4" fmla="*/ 781185 h 781185"/>
                                <a:gd name="connsiteX5" fmla="*/ 0 w 2725814"/>
                                <a:gd name="connsiteY5" fmla="*/ 781185 h 781185"/>
                                <a:gd name="connsiteX6" fmla="*/ 0 w 2725814"/>
                                <a:gd name="connsiteY6" fmla="*/ 781185 h 781185"/>
                                <a:gd name="connsiteX7" fmla="*/ 0 w 2725814"/>
                                <a:gd name="connsiteY7" fmla="*/ 130200 h 781185"/>
                                <a:gd name="connsiteX8" fmla="*/ 130200 w 2725814"/>
                                <a:gd name="connsiteY8" fmla="*/ 0 h 7811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725814" h="781185">
                                  <a:moveTo>
                                    <a:pt x="130200" y="0"/>
                                  </a:moveTo>
                                  <a:lnTo>
                                    <a:pt x="2725814" y="0"/>
                                  </a:lnTo>
                                  <a:lnTo>
                                    <a:pt x="2725814" y="0"/>
                                  </a:lnTo>
                                  <a:lnTo>
                                    <a:pt x="2725814" y="650985"/>
                                  </a:lnTo>
                                  <a:cubicBezTo>
                                    <a:pt x="2725814" y="722892"/>
                                    <a:pt x="2667521" y="781185"/>
                                    <a:pt x="2595614" y="781185"/>
                                  </a:cubicBezTo>
                                  <a:lnTo>
                                    <a:pt x="0" y="781185"/>
                                  </a:lnTo>
                                  <a:lnTo>
                                    <a:pt x="0" y="781185"/>
                                  </a:lnTo>
                                  <a:lnTo>
                                    <a:pt x="0" y="130200"/>
                                  </a:lnTo>
                                  <a:cubicBezTo>
                                    <a:pt x="0" y="58293"/>
                                    <a:pt x="58293" y="0"/>
                                    <a:pt x="130200" y="0"/>
                                  </a:cubicBezTo>
                                  <a:close/>
                                </a:path>
                              </a:pathLst>
                            </a:custGeom>
                            <a:solidFill>
                              <a:srgbClr val="4BACC6"/>
                            </a:solidFill>
                            <a:ln w="25400" cap="flat" cmpd="sng" algn="ctr">
                              <a:solidFill>
                                <a:sysClr val="window" lastClr="FFFFFF">
                                  <a:hueOff val="0"/>
                                  <a:satOff val="0"/>
                                  <a:lumOff val="0"/>
                                  <a:alphaOff val="0"/>
                                </a:sysClr>
                              </a:solidFill>
                              <a:prstDash val="solid"/>
                            </a:ln>
                            <a:effectLst/>
                          </wps:spPr>
                          <wps:style>
                            <a:lnRef idx="2">
                              <a:scrgbClr r="0" g="0" b="0"/>
                            </a:lnRef>
                            <a:fillRef idx="1">
                              <a:scrgbClr r="0" g="0" b="0"/>
                            </a:fillRef>
                            <a:effectRef idx="0">
                              <a:scrgbClr r="0" g="0" b="0"/>
                            </a:effectRef>
                            <a:fontRef idx="minor">
                              <a:schemeClr val="lt1"/>
                            </a:fontRef>
                          </wps:style>
                          <wps:txbx>
                            <w:txbxContent>
                              <w:p w:rsidR="00AE3B8A" w:rsidRDefault="00AE3B8A" w:rsidP="00CA4FF1">
                                <w:pPr>
                                  <w:pStyle w:val="NormalWeb"/>
                                  <w:spacing w:before="0" w:beforeAutospacing="0" w:after="109" w:afterAutospacing="0" w:line="216" w:lineRule="auto"/>
                                  <w:jc w:val="center"/>
                                </w:pPr>
                                <w:r>
                                  <w:rPr>
                                    <w:rFonts w:ascii="Calibri" w:hAnsi="Calibri" w:cstheme="minorBidi"/>
                                    <w:color w:val="FFFFFF"/>
                                    <w:kern w:val="24"/>
                                    <w:sz w:val="26"/>
                                    <w:szCs w:val="26"/>
                                  </w:rPr>
                                  <w:t>Dementia Behaviour Management Advisory Service (DBMAS)</w:t>
                                </w:r>
                              </w:p>
                            </w:txbxContent>
                          </wps:txbx>
                          <wps:bodyPr spcFirstLastPara="0" vert="horz" wrap="square" lIns="493527" tIns="16510" rIns="493528" bIns="16510" numCol="1" spcCol="1270" anchor="ctr" anchorCtr="0">
                            <a:noAutofit/>
                          </wps:bodyPr>
                        </wps:wsp>
                        <wps:wsp>
                          <wps:cNvPr id="300" name="Freeform 300"/>
                          <wps:cNvSpPr/>
                          <wps:spPr>
                            <a:xfrm>
                              <a:off x="735916" y="2313195"/>
                              <a:ext cx="3239865" cy="953879"/>
                            </a:xfrm>
                            <a:custGeom>
                              <a:avLst/>
                              <a:gdLst>
                                <a:gd name="connsiteX0" fmla="*/ 158983 w 3239865"/>
                                <a:gd name="connsiteY0" fmla="*/ 0 h 953879"/>
                                <a:gd name="connsiteX1" fmla="*/ 3080882 w 3239865"/>
                                <a:gd name="connsiteY1" fmla="*/ 0 h 953879"/>
                                <a:gd name="connsiteX2" fmla="*/ 3239865 w 3239865"/>
                                <a:gd name="connsiteY2" fmla="*/ 158983 h 953879"/>
                                <a:gd name="connsiteX3" fmla="*/ 3239865 w 3239865"/>
                                <a:gd name="connsiteY3" fmla="*/ 953879 h 953879"/>
                                <a:gd name="connsiteX4" fmla="*/ 3239865 w 3239865"/>
                                <a:gd name="connsiteY4" fmla="*/ 953879 h 953879"/>
                                <a:gd name="connsiteX5" fmla="*/ 0 w 3239865"/>
                                <a:gd name="connsiteY5" fmla="*/ 953879 h 953879"/>
                                <a:gd name="connsiteX6" fmla="*/ 0 w 3239865"/>
                                <a:gd name="connsiteY6" fmla="*/ 953879 h 953879"/>
                                <a:gd name="connsiteX7" fmla="*/ 0 w 3239865"/>
                                <a:gd name="connsiteY7" fmla="*/ 158983 h 953879"/>
                                <a:gd name="connsiteX8" fmla="*/ 158983 w 3239865"/>
                                <a:gd name="connsiteY8" fmla="*/ 0 h 9538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239865" h="953879">
                                  <a:moveTo>
                                    <a:pt x="158983" y="0"/>
                                  </a:moveTo>
                                  <a:lnTo>
                                    <a:pt x="3080882" y="0"/>
                                  </a:lnTo>
                                  <a:cubicBezTo>
                                    <a:pt x="3168686" y="0"/>
                                    <a:pt x="3239865" y="71179"/>
                                    <a:pt x="3239865" y="158983"/>
                                  </a:cubicBezTo>
                                  <a:lnTo>
                                    <a:pt x="3239865" y="953879"/>
                                  </a:lnTo>
                                  <a:lnTo>
                                    <a:pt x="3239865" y="953879"/>
                                  </a:lnTo>
                                  <a:lnTo>
                                    <a:pt x="0" y="953879"/>
                                  </a:lnTo>
                                  <a:lnTo>
                                    <a:pt x="0" y="953879"/>
                                  </a:lnTo>
                                  <a:lnTo>
                                    <a:pt x="0" y="158983"/>
                                  </a:lnTo>
                                  <a:cubicBezTo>
                                    <a:pt x="0" y="71179"/>
                                    <a:pt x="71179" y="0"/>
                                    <a:pt x="158983" y="0"/>
                                  </a:cubicBezTo>
                                  <a:close/>
                                </a:path>
                              </a:pathLst>
                            </a:custGeom>
                            <a:solidFill>
                              <a:sysClr val="window" lastClr="FFFFFF">
                                <a:lumMod val="95000"/>
                              </a:sysClr>
                            </a:solidFill>
                            <a:ln w="25400" cap="flat" cmpd="sng" algn="ctr">
                              <a:solidFill>
                                <a:sysClr val="window" lastClr="FFFFFF">
                                  <a:hueOff val="0"/>
                                  <a:satOff val="0"/>
                                  <a:lumOff val="0"/>
                                  <a:alphaOff val="0"/>
                                </a:sysClr>
                              </a:solidFill>
                              <a:prstDash val="solid"/>
                            </a:ln>
                            <a:effectLst/>
                          </wps:spPr>
                          <wps:style>
                            <a:lnRef idx="2">
                              <a:scrgbClr r="0" g="0" b="0"/>
                            </a:lnRef>
                            <a:fillRef idx="1">
                              <a:scrgbClr r="0" g="0" b="0"/>
                            </a:fillRef>
                            <a:effectRef idx="0">
                              <a:scrgbClr r="0" g="0" b="0"/>
                            </a:effectRef>
                            <a:fontRef idx="minor">
                              <a:schemeClr val="lt1"/>
                            </a:fontRef>
                          </wps:style>
                          <wps:txbx>
                            <w:txbxContent>
                              <w:p w:rsidR="00AE3B8A" w:rsidRDefault="00AE3B8A" w:rsidP="00CA4FF1">
                                <w:pPr>
                                  <w:pStyle w:val="NormalWeb"/>
                                  <w:spacing w:before="0" w:beforeAutospacing="0" w:after="109" w:afterAutospacing="0" w:line="216" w:lineRule="auto"/>
                                  <w:jc w:val="center"/>
                                </w:pPr>
                                <w:r>
                                  <w:rPr>
                                    <w:rFonts w:ascii="Calibri" w:hAnsi="Calibri" w:cstheme="minorBidi"/>
                                    <w:color w:val="7F7F7F"/>
                                    <w:kern w:val="24"/>
                                    <w:sz w:val="26"/>
                                    <w:szCs w:val="26"/>
                                    <w14:textFill>
                                      <w14:solidFill>
                                        <w14:srgbClr w14:val="7F7F7F">
                                          <w14:lumMod w14:val="50000"/>
                                        </w14:srgbClr>
                                      </w14:solidFill>
                                    </w14:textFill>
                                  </w:rPr>
                                  <w:t>Dementia Training Program</w:t>
                                </w:r>
                              </w:p>
                            </w:txbxContent>
                          </wps:txbx>
                          <wps:bodyPr spcFirstLastPara="0" vert="horz" wrap="square" lIns="583487" tIns="16510" rIns="583486" bIns="16510" numCol="1" spcCol="1270" anchor="ctr" anchorCtr="0">
                            <a:noAutofit/>
                          </wps:bodyPr>
                        </wps:wsp>
                      </wpg:grpSp>
                      <wps:wsp>
                        <wps:cNvPr id="301" name="Text Box 2"/>
                        <wps:cNvSpPr txBox="1">
                          <a:spLocks noChangeArrowheads="1"/>
                        </wps:cNvSpPr>
                        <wps:spPr bwMode="auto">
                          <a:xfrm>
                            <a:off x="0" y="133985"/>
                            <a:ext cx="2408555" cy="3401060"/>
                          </a:xfrm>
                          <a:prstGeom prst="rect">
                            <a:avLst/>
                          </a:prstGeom>
                          <a:noFill/>
                          <a:ln w="9525">
                            <a:noFill/>
                            <a:miter lim="800000"/>
                            <a:headEnd/>
                            <a:tailEnd/>
                          </a:ln>
                        </wps:spPr>
                        <wps:txbx>
                          <w:txbxContent>
                            <w:p w:rsidR="00AE3B8A" w:rsidRDefault="00AE3B8A" w:rsidP="00872536">
                              <w:pPr>
                                <w:pStyle w:val="NormalWeb"/>
                                <w:spacing w:before="240" w:beforeAutospacing="0" w:after="840" w:afterAutospacing="0"/>
                              </w:pPr>
                              <w:r>
                                <w:rPr>
                                  <w:rFonts w:ascii="Calibri" w:eastAsia="Times New Roman" w:hAnsi="Calibri"/>
                                  <w:b/>
                                  <w:bCs/>
                                  <w:color w:val="808080"/>
                                  <w:kern w:val="24"/>
                                </w:rPr>
                                <w:t>Level 3</w:t>
                              </w:r>
                            </w:p>
                            <w:p w:rsidR="00AE3B8A" w:rsidRDefault="00AE3B8A" w:rsidP="00CA4FF1">
                              <w:pPr>
                                <w:pStyle w:val="NormalWeb"/>
                                <w:spacing w:before="0" w:beforeAutospacing="0" w:after="1080" w:afterAutospacing="0"/>
                              </w:pPr>
                              <w:r>
                                <w:rPr>
                                  <w:rFonts w:ascii="Calibri" w:eastAsia="Times New Roman" w:hAnsi="Calibri"/>
                                  <w:b/>
                                  <w:bCs/>
                                  <w:color w:val="808080"/>
                                  <w:kern w:val="24"/>
                                </w:rPr>
                                <w:t>Level 2</w:t>
                              </w:r>
                            </w:p>
                            <w:p w:rsidR="00AE3B8A" w:rsidRDefault="00AE3B8A" w:rsidP="00CA4FF1">
                              <w:pPr>
                                <w:pStyle w:val="NormalWeb"/>
                                <w:spacing w:before="0" w:beforeAutospacing="0" w:after="1080" w:afterAutospacing="0"/>
                              </w:pPr>
                              <w:r>
                                <w:rPr>
                                  <w:rFonts w:ascii="Calibri" w:eastAsia="Times New Roman" w:hAnsi="Calibri"/>
                                  <w:b/>
                                  <w:bCs/>
                                  <w:color w:val="808080"/>
                                  <w:kern w:val="24"/>
                                </w:rPr>
                                <w:t>Level 1</w:t>
                              </w:r>
                            </w:p>
                          </w:txbxContent>
                        </wps:txbx>
                        <wps:bodyPr rot="0" vert="horz" wrap="square" lIns="91440" tIns="45720" rIns="91440" bIns="45720" anchor="t" anchorCtr="0">
                          <a:noAutofit/>
                        </wps:bodyPr>
                      </wps:wsp>
                      <wps:wsp>
                        <wps:cNvPr id="302" name="Up Arrow 302"/>
                        <wps:cNvSpPr/>
                        <wps:spPr>
                          <a:xfrm>
                            <a:off x="4190365" y="295275"/>
                            <a:ext cx="278765" cy="2040255"/>
                          </a:xfrm>
                          <a:prstGeom prst="upArrow">
                            <a:avLst/>
                          </a:prstGeom>
                          <a:solidFill>
                            <a:srgbClr val="4F81BD">
                              <a:lumMod val="20000"/>
                              <a:lumOff val="80000"/>
                            </a:srgbClr>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03" name="Text Box 2"/>
                        <wps:cNvSpPr txBox="1">
                          <a:spLocks noChangeArrowheads="1"/>
                        </wps:cNvSpPr>
                        <wps:spPr bwMode="auto">
                          <a:xfrm>
                            <a:off x="3942715" y="1009650"/>
                            <a:ext cx="768985" cy="479425"/>
                          </a:xfrm>
                          <a:prstGeom prst="rect">
                            <a:avLst/>
                          </a:prstGeom>
                          <a:solidFill>
                            <a:sysClr val="window" lastClr="FFFFFF"/>
                          </a:solidFill>
                          <a:ln w="9525">
                            <a:noFill/>
                            <a:miter lim="800000"/>
                            <a:headEnd/>
                            <a:tailEnd/>
                          </a:ln>
                        </wps:spPr>
                        <wps:txbx>
                          <w:txbxContent>
                            <w:p w:rsidR="00AE3B8A" w:rsidRDefault="00AE3B8A" w:rsidP="00CA4FF1">
                              <w:pPr>
                                <w:pStyle w:val="NormalWeb"/>
                                <w:spacing w:before="0" w:beforeAutospacing="0" w:after="0" w:afterAutospacing="0"/>
                                <w:jc w:val="center"/>
                              </w:pPr>
                              <w:proofErr w:type="gramStart"/>
                              <w:r>
                                <w:rPr>
                                  <w:rFonts w:ascii="Calibri" w:eastAsia="Times New Roman" w:hAnsi="Calibri"/>
                                  <w:color w:val="95B3D7"/>
                                  <w:kern w:val="24"/>
                                </w:rPr>
                                <w:t>severity</w:t>
                              </w:r>
                              <w:proofErr w:type="gramEnd"/>
                              <w:r>
                                <w:rPr>
                                  <w:rFonts w:ascii="Calibri" w:eastAsia="Times New Roman" w:hAnsi="Calibri"/>
                                  <w:color w:val="95B3D7"/>
                                  <w:kern w:val="24"/>
                                </w:rPr>
                                <w:t xml:space="preserve"> of BPSD</w:t>
                              </w:r>
                            </w:p>
                          </w:txbxContent>
                        </wps:txbx>
                        <wps:bodyPr rot="0" vert="horz" wrap="square" lIns="91440" tIns="45720" rIns="91440" bIns="45720" anchor="t" anchorCtr="0">
                          <a:noAutofit/>
                        </wps:bodyPr>
                      </wps:wsp>
                    </wpg:wgp>
                  </a:graphicData>
                </a:graphic>
              </wp:inline>
            </w:drawing>
          </mc:Choice>
          <mc:Fallback>
            <w:pict>
              <v:group id="Group 12" o:spid="_x0000_s1026" alt="Diagram showing levels of support- Dementia Behaviour Management Advisory service as level 1, Severe Behaviour Response Teams as level 2, and Specialist Dementia Care Units as level 3. Arrow illustrates severity of BPSD increasing from level 1 to 3. All levels are supported by the Dementia Training Program. " style="width:371pt;height:267.8pt;mso-position-horizontal-relative:char;mso-position-vertical-relative:line" coordorigin=",1339" coordsize="47117,3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">
                <v:group id="Group 22" o:spid="_x0000_s1027" style="position:absolute;left:7359;top:1339;width:32398;height:31331" coordorigin="7359,1339" coordsize="32398,31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3" o:spid="_x0000_s1028" style="position:absolute;left:15569;top:1339;width:15978;height:6669;visibility:visible;mso-wrap-style:square;v-text-anchor:middle" coordsize="1597733,6668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Jw8cQA&#10;AADbAAAADwAAAGRycy9kb3ducmV2LnhtbESPQWvCQBSE7wX/w/KE3urGCMVEV9FCwIMgpkU9PrLP&#10;JJp9m2a3mv57Vyj0OMzMN8x82ZtG3KhztWUF41EEgriwuuZSwddn9jYF4TyyxsYyKfglB8vF4GWO&#10;qbZ33tMt96UIEHYpKqi8b1MpXVGRQTeyLXHwzrYz6IPsSqk7vAe4aWQcRe/SYM1hocKWPioqrvmP&#10;UfA9NW6fHC86zg/bItutT0mSWaVeh/1qBsJT7//Df+2NVhBP4Pk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CcPHEAAAA2wAAAA8AAAAAAAAAAAAAAAAAmAIAAGRycy9k&#10;b3ducmV2LnhtbFBLBQYAAAAABAAEAPUAAACJAwAAAAA=&#10;" adj="-11796480,,5400" path="m111144,l1597733,r,l1597733,555709v,61383,-49761,111144,-111144,111144l,666853r,l,111144c,49761,49761,,111144,xe" fillcolor="#8064a2" strokecolor="white" strokeweight="2pt">
                    <v:stroke joinstyle="miter"/>
                    <v:formulas/>
                    <v:path arrowok="t" o:connecttype="custom" o:connectlocs="111144,0;1597733,0;1597733,0;1597733,555709;1486589,666853;0,666853;0,666853;0,111144;111144,0" o:connectangles="0,0,0,0,0,0,0,0,0" textboxrect="0,0,1597733,666853"/>
                    <v:textbox inset="1.3pt,1.3pt,1.3pt,1.3pt">
                      <w:txbxContent>
                        <w:p w:rsidR="00AE3B8A" w:rsidRDefault="00AE3B8A" w:rsidP="00CA4FF1">
                          <w:pPr>
                            <w:pStyle w:val="NormalWeb"/>
                            <w:spacing w:before="0" w:beforeAutospacing="0" w:after="109" w:afterAutospacing="0" w:line="216" w:lineRule="auto"/>
                            <w:jc w:val="center"/>
                          </w:pPr>
                          <w:r>
                            <w:rPr>
                              <w:rFonts w:ascii="Calibri" w:hAnsi="Calibri" w:cstheme="minorBidi"/>
                              <w:color w:val="FFFFFF"/>
                              <w:kern w:val="24"/>
                              <w:sz w:val="26"/>
                              <w:szCs w:val="26"/>
                            </w:rPr>
                            <w:t>Specialist Dementia Care Units (SDCUs)</w:t>
                          </w:r>
                        </w:p>
                      </w:txbxContent>
                    </v:textbox>
                  </v:shape>
                  <v:shape id="Freeform 24" o:spid="_x0000_s1029" style="position:absolute;left:13397;top:8008;width:20322;height:7312;visibility:visible;mso-wrap-style:square;v-text-anchor:middle" coordsize="2032111,7311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cKPcEA&#10;AADbAAAADwAAAGRycy9kb3ducmV2LnhtbESP3YrCMBSE7xd8h3AE79ZU0VWqUURQ9Mr15wEOzbEp&#10;bU5KE7W+vREEL4eZ+YaZL1tbiTs1vnCsYNBPQBBnThecK7icN79TED4ga6wck4IneVguOj9zTLV7&#10;8JHup5CLCGGfogITQp1K6TNDFn3f1cTRu7rGYoiyyaVu8BHhtpLDJPmTFguOCwZrWhvKytPNKhht&#10;bi2W0//BpTzsxwVtV5WZ5Er1uu1qBiJQG77hT3unFQxH8P4Sf4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6XCj3BAAAA2wAAAA8AAAAAAAAAAAAAAAAAmAIAAGRycy9kb3du&#10;cmV2LnhtbFBLBQYAAAAABAAEAPUAAACGAwAAAAA=&#10;" adj="-11796480,,5400" path="m121864,l2032111,r,l2032111,609307v,67304,-54560,121864,-121864,121864l,731171r,l,121864c,54560,54560,,121864,xe" fillcolor="#5f5bae" strokecolor="white" strokeweight="2pt">
                    <v:stroke joinstyle="miter"/>
                    <v:formulas/>
                    <v:path arrowok="t" o:connecttype="custom" o:connectlocs="121864,0;2032111,0;2032111,0;2032111,609307;1910247,731171;0,731171;0,731171;0,121864;121864,0" o:connectangles="0,0,0,0,0,0,0,0,0" textboxrect="0,0,2032111,731171"/>
                    <v:textbox inset="11.3284mm,1.45008mm,11.3284mm,1.45008mm">
                      <w:txbxContent>
                        <w:p w:rsidR="00AE3B8A" w:rsidRDefault="00AE3B8A" w:rsidP="00CA4FF1">
                          <w:pPr>
                            <w:pStyle w:val="NormalWeb"/>
                            <w:spacing w:before="0" w:beforeAutospacing="0" w:after="109" w:afterAutospacing="0" w:line="216" w:lineRule="auto"/>
                            <w:jc w:val="center"/>
                          </w:pPr>
                          <w:r>
                            <w:rPr>
                              <w:rFonts w:ascii="Calibri" w:hAnsi="Calibri" w:cstheme="minorBidi"/>
                              <w:color w:val="FFFFFF"/>
                              <w:kern w:val="24"/>
                              <w:sz w:val="26"/>
                              <w:szCs w:val="26"/>
                            </w:rPr>
                            <w:t>Severe Behaviour Response Teams (SBRTs)</w:t>
                          </w:r>
                        </w:p>
                      </w:txbxContent>
                    </v:textbox>
                  </v:shape>
                  <v:shape id="Freeform 25" o:spid="_x0000_s1030" style="position:absolute;left:9929;top:15320;width:27258;height:7811;visibility:visible;mso-wrap-style:square;v-text-anchor:middle" coordsize="2725814,7811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GIS8MA&#10;AADbAAAADwAAAGRycy9kb3ducmV2LnhtbESP0YrCMBRE34X9h3AXfJE1XUGRapRlV8U3td0PuDTX&#10;NtrclCZq/XsjCD4OM3OGmS87W4srtd44VvA9TEAQF04bLhX85+uvKQgfkDXWjknBnTwsFx+9Oaba&#10;3fhA1yyUIkLYp6igCqFJpfRFRRb90DXE0Tu61mKIsi2lbvEW4baWoySZSIuG40KFDf1WVJyzi1Ww&#10;ynfn00RuyrXZuL99dmwG5jJWqv/Z/cxABOrCO/xqb7WC0RieX+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GIS8MAAADbAAAADwAAAAAAAAAAAAAAAACYAgAAZHJzL2Rv&#10;d25yZXYueG1sUEsFBgAAAAAEAAQA9QAAAIgDAAAAAA==&#10;" adj="-11796480,,5400" path="m130200,l2725814,r,l2725814,650985v,71907,-58293,130200,-130200,130200l,781185r,l,130200c,58293,58293,,130200,xe" fillcolor="#4bacc6" strokecolor="white" strokeweight="2pt">
                    <v:stroke joinstyle="miter"/>
                    <v:formulas/>
                    <v:path arrowok="t" o:connecttype="custom" o:connectlocs="130200,0;2725814,0;2725814,0;2725814,650985;2595614,781185;0,781185;0,781185;0,130200;130200,0" o:connectangles="0,0,0,0,0,0,0,0,0" textboxrect="0,0,2725814,781185"/>
                    <v:textbox inset="13.7091mm,1.3pt,13.7091mm,1.3pt">
                      <w:txbxContent>
                        <w:p w:rsidR="00AE3B8A" w:rsidRDefault="00AE3B8A" w:rsidP="00CA4FF1">
                          <w:pPr>
                            <w:pStyle w:val="NormalWeb"/>
                            <w:spacing w:before="0" w:beforeAutospacing="0" w:after="109" w:afterAutospacing="0" w:line="216" w:lineRule="auto"/>
                            <w:jc w:val="center"/>
                          </w:pPr>
                          <w:r>
                            <w:rPr>
                              <w:rFonts w:ascii="Calibri" w:hAnsi="Calibri" w:cstheme="minorBidi"/>
                              <w:color w:val="FFFFFF"/>
                              <w:kern w:val="24"/>
                              <w:sz w:val="26"/>
                              <w:szCs w:val="26"/>
                            </w:rPr>
                            <w:t>Dementia Behaviour Management Advisory Service (DBMAS)</w:t>
                          </w:r>
                        </w:p>
                      </w:txbxContent>
                    </v:textbox>
                  </v:shape>
                  <v:shape id="Freeform 300" o:spid="_x0000_s1031" style="position:absolute;left:7359;top:23131;width:32398;height:9539;visibility:visible;mso-wrap-style:square;v-text-anchor:middle" coordsize="3239865,9538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b+7cIA&#10;AADcAAAADwAAAGRycy9kb3ducmV2LnhtbERPW2vCMBR+H/gfwhH2NlMdjFmN4oXBkMLwguLboTmm&#10;1eakNlG7f788DHz8+O7jaWsrcafGl44V9HsJCOLc6ZKNgt326+0ThA/IGivHpOCXPEwnnZcxpto9&#10;eE33TTAihrBPUUERQp1K6fOCLPqeq4kjd3KNxRBhY6Ru8BHDbSUHSfIhLZYcGwqsaVFQftncrIIs&#10;y+fn/bL9sdnVHLE2Q3lYBaVeu+1sBCJQG57if/e3VvCexPnxTDwCcv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Vv7twgAAANwAAAAPAAAAAAAAAAAAAAAAAJgCAABkcnMvZG93&#10;bnJldi54bWxQSwUGAAAAAAQABAD1AAAAhwMAAAAA&#10;" adj="-11796480,,5400" path="m158983,l3080882,v87804,,158983,71179,158983,158983l3239865,953879r,l,953879r,l,158983c,71179,71179,,158983,xe" fillcolor="#f2f2f2" strokecolor="white" strokeweight="2pt">
                    <v:stroke joinstyle="miter"/>
                    <v:formulas/>
                    <v:path arrowok="t" o:connecttype="custom" o:connectlocs="158983,0;3080882,0;3239865,158983;3239865,953879;3239865,953879;0,953879;0,953879;0,158983;158983,0" o:connectangles="0,0,0,0,0,0,0,0,0" textboxrect="0,0,3239865,953879"/>
                    <v:textbox inset="16.20797mm,1.3pt,16.20794mm,1.3pt">
                      <w:txbxContent>
                        <w:p w:rsidR="00AE3B8A" w:rsidRDefault="00AE3B8A" w:rsidP="00CA4FF1">
                          <w:pPr>
                            <w:pStyle w:val="NormalWeb"/>
                            <w:spacing w:before="0" w:beforeAutospacing="0" w:after="109" w:afterAutospacing="0" w:line="216" w:lineRule="auto"/>
                            <w:jc w:val="center"/>
                          </w:pPr>
                          <w:r>
                            <w:rPr>
                              <w:rFonts w:ascii="Calibri" w:hAnsi="Calibri" w:cstheme="minorBidi"/>
                              <w:color w:val="7F7F7F"/>
                              <w:kern w:val="24"/>
                              <w:sz w:val="26"/>
                              <w:szCs w:val="26"/>
                              <w14:textFill>
                                <w14:solidFill>
                                  <w14:srgbClr w14:val="7F7F7F">
                                    <w14:lumMod w14:val="50000"/>
                                  </w14:srgbClr>
                                </w14:solidFill>
                              </w14:textFill>
                            </w:rPr>
                            <w:t>Dementia Training Program</w:t>
                          </w:r>
                        </w:p>
                      </w:txbxContent>
                    </v:textbox>
                  </v:shape>
                </v:group>
                <v:shapetype id="_x0000_t202" coordsize="21600,21600" o:spt="202" path="m,l,21600r21600,l21600,xe">
                  <v:stroke joinstyle="miter"/>
                  <v:path gradientshapeok="t" o:connecttype="rect"/>
                </v:shapetype>
                <v:shape id="Text Box 2" o:spid="_x0000_s1032" type="#_x0000_t202" style="position:absolute;top:1339;width:24085;height:34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jUmsMA&#10;AADcAAAADwAAAGRycy9kb3ducmV2LnhtbESPW4vCMBSE3xf2P4Sz4NuaeFnRrlFEEXxy8Qq+HZpj&#10;W7Y5KU209d8bYWEfh5n5hpnOW1uKO9W+cKyh11UgiFNnCs40HA/rzzEIH5ANlo5Jw4M8zGfvb1NM&#10;jGt4R/d9yESEsE9QQx5ClUjp05ws+q6riKN3dbXFEGWdSVNjE+G2lH2lRtJiwXEhx4qWOaW/+5vV&#10;cNpeL+eh+slW9qtqXKsk24nUuvPRLr5BBGrDf/ivvTEaBqoHrzPxCM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jUmsMAAADcAAAADwAAAAAAAAAAAAAAAACYAgAAZHJzL2Rv&#10;d25yZXYueG1sUEsFBgAAAAAEAAQA9QAAAIgDAAAAAA==&#10;" filled="f" stroked="f">
                  <v:textbox>
                    <w:txbxContent>
                      <w:p w:rsidR="00AE3B8A" w:rsidRDefault="00AE3B8A" w:rsidP="00872536">
                        <w:pPr>
                          <w:pStyle w:val="NormalWeb"/>
                          <w:spacing w:before="240" w:beforeAutospacing="0" w:after="840" w:afterAutospacing="0"/>
                        </w:pPr>
                        <w:r>
                          <w:rPr>
                            <w:rFonts w:ascii="Calibri" w:eastAsia="Times New Roman" w:hAnsi="Calibri"/>
                            <w:b/>
                            <w:bCs/>
                            <w:color w:val="808080"/>
                            <w:kern w:val="24"/>
                          </w:rPr>
                          <w:t>Level 3</w:t>
                        </w:r>
                      </w:p>
                      <w:p w:rsidR="00AE3B8A" w:rsidRDefault="00AE3B8A" w:rsidP="00CA4FF1">
                        <w:pPr>
                          <w:pStyle w:val="NormalWeb"/>
                          <w:spacing w:before="0" w:beforeAutospacing="0" w:after="1080" w:afterAutospacing="0"/>
                        </w:pPr>
                        <w:r>
                          <w:rPr>
                            <w:rFonts w:ascii="Calibri" w:eastAsia="Times New Roman" w:hAnsi="Calibri"/>
                            <w:b/>
                            <w:bCs/>
                            <w:color w:val="808080"/>
                            <w:kern w:val="24"/>
                          </w:rPr>
                          <w:t>Level 2</w:t>
                        </w:r>
                      </w:p>
                      <w:p w:rsidR="00AE3B8A" w:rsidRDefault="00AE3B8A" w:rsidP="00CA4FF1">
                        <w:pPr>
                          <w:pStyle w:val="NormalWeb"/>
                          <w:spacing w:before="0" w:beforeAutospacing="0" w:after="1080" w:afterAutospacing="0"/>
                        </w:pPr>
                        <w:r>
                          <w:rPr>
                            <w:rFonts w:ascii="Calibri" w:eastAsia="Times New Roman" w:hAnsi="Calibri"/>
                            <w:b/>
                            <w:bCs/>
                            <w:color w:val="808080"/>
                            <w:kern w:val="24"/>
                          </w:rPr>
                          <w:t>Level 1</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302" o:spid="_x0000_s1033" type="#_x0000_t68" style="position:absolute;left:41903;top:2952;width:2788;height:204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2gc8QA&#10;AADcAAAADwAAAGRycy9kb3ducmV2LnhtbESPQWvCQBSE7wX/w/IEb3Vj0opNXYMVhB481Cg9v2af&#10;STD7dsluY/z33UKhx2FmvmHWxWg6MVDvW8sKFvMEBHFldcu1gvNp/7gC4QOyxs4yKbiTh2IzeVhj&#10;ru2NjzSUoRYRwj5HBU0ILpfSVw0Z9HPriKN3sb3BEGVfS93jLcJNJ9MkWUqDLceFBh3tGqqu5bdR&#10;8DEcDl/nqvPPKRFm7Yv7fHpzSs2m4/YVRKAx/If/2u9aQZak8HsmH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toHPEAAAA3AAAAA8AAAAAAAAAAAAAAAAAmAIAAGRycy9k&#10;b3ducmV2LnhtbFBLBQYAAAAABAAEAPUAAACJAwAAAAA=&#10;" adj="1476" fillcolor="#dce6f2" stroked="f" strokeweight="2pt"/>
                <v:shape id="Text Box 2" o:spid="_x0000_s1034" type="#_x0000_t202" style="position:absolute;left:39427;top:10096;width:7690;height:4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QRfsUA&#10;AADcAAAADwAAAGRycy9kb3ducmV2LnhtbESPQUsDMRSE70L/Q3gFL2JftCC6bVpEEaweSrceenxs&#10;npvFzcuySbfbf98IgsdhZr5hluvRt2rgPjZBDNzNNCiWKthGagNf+7fbR1AxkVhqg7CBM0dYryZX&#10;SypsOMmOhzLVKkMkFmTApdQViLFy7CnOQseSve/Qe0pZ9jXank4Z7lu81/oBPTWSFxx1/OK4+imP&#10;3sAr3YyldpvDrvp8+sDhiHvcbI25no7PC1CJx/Qf/mu/WwNzPYffM/kI4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RBF+xQAAANwAAAAPAAAAAAAAAAAAAAAAAJgCAABkcnMv&#10;ZG93bnJldi54bWxQSwUGAAAAAAQABAD1AAAAigMAAAAA&#10;" fillcolor="window" stroked="f">
                  <v:textbox>
                    <w:txbxContent>
                      <w:p w:rsidR="00AE3B8A" w:rsidRDefault="00AE3B8A" w:rsidP="00CA4FF1">
                        <w:pPr>
                          <w:pStyle w:val="NormalWeb"/>
                          <w:spacing w:before="0" w:beforeAutospacing="0" w:after="0" w:afterAutospacing="0"/>
                          <w:jc w:val="center"/>
                        </w:pPr>
                        <w:proofErr w:type="gramStart"/>
                        <w:r>
                          <w:rPr>
                            <w:rFonts w:ascii="Calibri" w:eastAsia="Times New Roman" w:hAnsi="Calibri"/>
                            <w:color w:val="95B3D7"/>
                            <w:kern w:val="24"/>
                          </w:rPr>
                          <w:t>severity</w:t>
                        </w:r>
                        <w:proofErr w:type="gramEnd"/>
                        <w:r>
                          <w:rPr>
                            <w:rFonts w:ascii="Calibri" w:eastAsia="Times New Roman" w:hAnsi="Calibri"/>
                            <w:color w:val="95B3D7"/>
                            <w:kern w:val="24"/>
                          </w:rPr>
                          <w:t xml:space="preserve"> of BPSD</w:t>
                        </w:r>
                      </w:p>
                    </w:txbxContent>
                  </v:textbox>
                </v:shape>
                <w10:anchorlock/>
              </v:group>
            </w:pict>
          </mc:Fallback>
        </mc:AlternateContent>
      </w:r>
    </w:p>
    <w:p w:rsidR="00CA4FF1" w:rsidRPr="00D67FD5" w:rsidRDefault="00CA4FF1" w:rsidP="00CA4FF1">
      <w:pPr>
        <w:jc w:val="both"/>
        <w:rPr>
          <w:color w:val="808080" w:themeColor="background1" w:themeShade="80"/>
          <w:sz w:val="22"/>
          <w:lang w:eastAsia="en-AU"/>
        </w:rPr>
      </w:pPr>
    </w:p>
    <w:p w:rsidR="00CA4FF1" w:rsidRPr="00933C89" w:rsidRDefault="00CA4FF1" w:rsidP="00CA4FF1">
      <w:pPr>
        <w:pStyle w:val="Heading3"/>
        <w:numPr>
          <w:ilvl w:val="2"/>
          <w:numId w:val="2"/>
        </w:numPr>
        <w:spacing w:after="120"/>
        <w:jc w:val="both"/>
      </w:pPr>
      <w:bookmarkStart w:id="15" w:name="_Toc499538723"/>
      <w:r w:rsidRPr="00666D14">
        <w:t xml:space="preserve">State and territory government supports </w:t>
      </w:r>
      <w:r>
        <w:t>for people with dementia</w:t>
      </w:r>
      <w:bookmarkEnd w:id="15"/>
    </w:p>
    <w:p w:rsidR="00CA4FF1" w:rsidRPr="00CE5AB9" w:rsidRDefault="00CA4FF1" w:rsidP="00CA4FF1">
      <w:pPr>
        <w:jc w:val="both"/>
      </w:pPr>
      <w:r w:rsidRPr="00CE5AB9">
        <w:t>In addition to support through Australian Government-funded initiatives, residential aged care providers may also receive support from the states and territories to assist in caring for residents with dementia</w:t>
      </w:r>
      <w:r>
        <w:t>,</w:t>
      </w:r>
      <w:r w:rsidRPr="00CE5AB9">
        <w:t xml:space="preserve"> including </w:t>
      </w:r>
      <w:r>
        <w:t xml:space="preserve">those with </w:t>
      </w:r>
      <w:r w:rsidRPr="00CE5AB9">
        <w:t xml:space="preserve">very severe or extreme BPSD. </w:t>
      </w:r>
    </w:p>
    <w:p w:rsidR="00CA4FF1" w:rsidRPr="00CE5AB9" w:rsidRDefault="00CA4FF1" w:rsidP="00CA4FF1">
      <w:pPr>
        <w:jc w:val="both"/>
      </w:pPr>
    </w:p>
    <w:p w:rsidR="00CA4FF1" w:rsidRPr="00CE5AB9" w:rsidRDefault="00CA4FF1" w:rsidP="00CA4FF1">
      <w:pPr>
        <w:jc w:val="both"/>
      </w:pPr>
      <w:r w:rsidRPr="00CE5AB9">
        <w:t xml:space="preserve">Most state and territory health services provide both regular and ad hoc specialist dementia care services to residential aged care facilities, either on a state-wide basis or within specific local </w:t>
      </w:r>
      <w:r>
        <w:t>hospital networks</w:t>
      </w:r>
      <w:r w:rsidRPr="00CE5AB9">
        <w:t>. Support can include advice, training</w:t>
      </w:r>
      <w:r>
        <w:t>,</w:t>
      </w:r>
      <w:r w:rsidRPr="00CE5AB9">
        <w:t xml:space="preserve"> and, at times, temporary health staff placements or </w:t>
      </w:r>
      <w:r>
        <w:t>reimbursing aged care providers for temporarily providing addition</w:t>
      </w:r>
      <w:r w:rsidR="00AE3B8A">
        <w:t>al</w:t>
      </w:r>
      <w:r>
        <w:t xml:space="preserve"> staff to </w:t>
      </w:r>
      <w:r w:rsidRPr="00CE5AB9">
        <w:t>accommodate people transitioning out of long-stay health care</w:t>
      </w:r>
      <w:r>
        <w:t>, under ‘charge back’ arrangements</w:t>
      </w:r>
      <w:r w:rsidRPr="00CE5AB9">
        <w:t>.</w:t>
      </w:r>
    </w:p>
    <w:p w:rsidR="00CA4FF1" w:rsidRPr="00CE5AB9" w:rsidRDefault="00CA4FF1" w:rsidP="00CA4FF1">
      <w:pPr>
        <w:jc w:val="both"/>
      </w:pPr>
    </w:p>
    <w:p w:rsidR="00CA4FF1" w:rsidRPr="00CE5AB9" w:rsidRDefault="00CA4FF1" w:rsidP="00CA4FF1">
      <w:pPr>
        <w:jc w:val="both"/>
      </w:pPr>
      <w:r w:rsidRPr="00CE5AB9">
        <w:t>Further, through their health services, the New South Wales, Queensland, Vi</w:t>
      </w:r>
      <w:r>
        <w:t xml:space="preserve">ctorian and Western Australian </w:t>
      </w:r>
      <w:r w:rsidRPr="00CE5AB9">
        <w:t>governments currently provide residential aged care facilities with ‘top up’ funding</w:t>
      </w:r>
      <w:r>
        <w:t xml:space="preserve"> </w:t>
      </w:r>
      <w:r w:rsidRPr="00CE5AB9">
        <w:t>and guaranteed access to state-employed specialists (for example, psychogeriatricians) to support care options for</w:t>
      </w:r>
      <w:r>
        <w:t xml:space="preserve"> </w:t>
      </w:r>
      <w:r w:rsidRPr="00CE5AB9">
        <w:t>people with very severe BPSD and/or mental health behaviours</w:t>
      </w:r>
      <w:r>
        <w:t>.</w:t>
      </w:r>
      <w:r w:rsidRPr="00CE5AB9">
        <w:rPr>
          <w:vertAlign w:val="superscript"/>
        </w:rPr>
        <w:endnoteReference w:id="10"/>
      </w:r>
      <w:r>
        <w:t xml:space="preserve"> This is </w:t>
      </w:r>
      <w:r w:rsidRPr="00CE5AB9">
        <w:t>in addition to Australian Government funding provided through the Aged Care Funding Instrument (ACFI)</w:t>
      </w:r>
      <w:r>
        <w:t>.</w:t>
      </w:r>
      <w:r w:rsidRPr="00CE5AB9">
        <w:t xml:space="preserve"> Over 1,000 residential aged care beds across more than 40 facilities </w:t>
      </w:r>
      <w:r>
        <w:t>Australia wi</w:t>
      </w:r>
      <w:r w:rsidR="00AE3B8A">
        <w:t>d</w:t>
      </w:r>
      <w:r>
        <w:t xml:space="preserve">e are estimated to </w:t>
      </w:r>
      <w:r w:rsidRPr="00CE5AB9">
        <w:t>currently receive such support</w:t>
      </w:r>
      <w:r>
        <w:t>.</w:t>
      </w:r>
      <w:r w:rsidRPr="00CE5AB9">
        <w:rPr>
          <w:vertAlign w:val="superscript"/>
        </w:rPr>
        <w:endnoteReference w:id="11"/>
      </w:r>
      <w:r w:rsidRPr="00CE5AB9">
        <w:t xml:space="preserve"> </w:t>
      </w:r>
    </w:p>
    <w:p w:rsidR="00CA4FF1" w:rsidRPr="00CE5AB9" w:rsidRDefault="00CA4FF1" w:rsidP="00CA4FF1">
      <w:pPr>
        <w:jc w:val="both"/>
      </w:pPr>
    </w:p>
    <w:p w:rsidR="00CA4FF1" w:rsidRPr="00CE5AB9" w:rsidRDefault="00CA4FF1" w:rsidP="00CA4FF1">
      <w:pPr>
        <w:jc w:val="both"/>
      </w:pPr>
      <w:r>
        <w:t>These facilities referred to as ‘SDCU-like’</w:t>
      </w:r>
      <w:r w:rsidRPr="00CE5AB9">
        <w:t xml:space="preserve"> facilities </w:t>
      </w:r>
      <w:r>
        <w:t>within this paper, are funded by state governments</w:t>
      </w:r>
      <w:r w:rsidRPr="00CE5AB9">
        <w:t xml:space="preserve"> </w:t>
      </w:r>
      <w:r>
        <w:t xml:space="preserve">and </w:t>
      </w:r>
      <w:r w:rsidRPr="00CE5AB9">
        <w:t>tend to operate using additional care workers  experience</w:t>
      </w:r>
      <w:r>
        <w:t>d</w:t>
      </w:r>
      <w:r w:rsidRPr="00CE5AB9">
        <w:t xml:space="preserve"> in behaviour management</w:t>
      </w:r>
      <w:r>
        <w:t>,</w:t>
      </w:r>
      <w:r w:rsidRPr="00CE5AB9">
        <w:t xml:space="preserve"> and employ a person-centred, psychosocial model of </w:t>
      </w:r>
      <w:r w:rsidRPr="00CE5AB9">
        <w:lastRenderedPageBreak/>
        <w:t>care. Some may also feature dementia-specific physical design. A mix of state</w:t>
      </w:r>
      <w:r w:rsidRPr="00CE5AB9">
        <w:noBreakHyphen/>
        <w:t>operated and non-government operated services receive</w:t>
      </w:r>
      <w:r>
        <w:t xml:space="preserve"> state and territory </w:t>
      </w:r>
      <w:r w:rsidRPr="00CE5AB9">
        <w:t>‘top up’ funding.</w:t>
      </w:r>
    </w:p>
    <w:p w:rsidR="00CA4FF1" w:rsidRPr="00CE5AB9" w:rsidRDefault="00CA4FF1" w:rsidP="00CA4FF1">
      <w:pPr>
        <w:jc w:val="both"/>
      </w:pPr>
    </w:p>
    <w:p w:rsidR="00CA4FF1" w:rsidRPr="00CE5AB9" w:rsidRDefault="00CA4FF1" w:rsidP="00CA4FF1">
      <w:pPr>
        <w:jc w:val="both"/>
      </w:pPr>
      <w:r w:rsidRPr="00CE5AB9">
        <w:t>The New South Wales and Tasmanian governments additionally operate over 100 beds in somewhat similar non</w:t>
      </w:r>
      <w:r w:rsidRPr="00CE5AB9">
        <w:noBreakHyphen/>
        <w:t>acute community-based units as part of their older persons’ mental health systems.</w:t>
      </w:r>
      <w:r w:rsidRPr="00CE5AB9">
        <w:rPr>
          <w:vertAlign w:val="superscript"/>
        </w:rPr>
        <w:endnoteReference w:id="12"/>
      </w:r>
    </w:p>
    <w:p w:rsidR="00CA4FF1" w:rsidRPr="00CE5AB9" w:rsidRDefault="00CA4FF1" w:rsidP="00CA4FF1">
      <w:pPr>
        <w:jc w:val="both"/>
      </w:pPr>
    </w:p>
    <w:p w:rsidR="00CA4FF1" w:rsidRPr="00CE5AB9" w:rsidRDefault="00CA4FF1" w:rsidP="00CA4FF1">
      <w:pPr>
        <w:jc w:val="both"/>
      </w:pPr>
      <w:r w:rsidRPr="00CE5AB9">
        <w:t>Significant state government support for non-acute community based facilities to accommodate people with very severe BPSD and/or mental health behaviours commenced in the 1980s in the context of deinstitutionalisation, particularly the closure of large psychiatric hospitals. Deinstitutionalisation continues to be an important policy driver.</w:t>
      </w:r>
      <w:r w:rsidRPr="00CE5AB9">
        <w:rPr>
          <w:vertAlign w:val="superscript"/>
        </w:rPr>
        <w:endnoteReference w:id="13"/>
      </w:r>
      <w:r w:rsidRPr="00CE5AB9">
        <w:t xml:space="preserve"> An equally important driver, particularly for provision of outreach and temporary support, is reducing unplanned and/or avoidable presentations and admissions to emergency departments or specialist acute medical units</w:t>
      </w:r>
      <w:r>
        <w:t>,</w:t>
      </w:r>
      <w:r w:rsidRPr="00CE5AB9">
        <w:t xml:space="preserve"> originating from the community or from residential aged care facilities.</w:t>
      </w:r>
      <w:r w:rsidRPr="00CE5AB9">
        <w:rPr>
          <w:vertAlign w:val="superscript"/>
        </w:rPr>
        <w:endnoteReference w:id="14"/>
      </w:r>
    </w:p>
    <w:p w:rsidR="00CA4FF1" w:rsidRPr="00CE5AB9" w:rsidRDefault="00CA4FF1" w:rsidP="00CA4FF1">
      <w:pPr>
        <w:jc w:val="both"/>
      </w:pPr>
    </w:p>
    <w:p w:rsidR="00CA4FF1" w:rsidRPr="00CE5AB9" w:rsidRDefault="00CA4FF1" w:rsidP="00CA4FF1">
      <w:pPr>
        <w:jc w:val="both"/>
      </w:pPr>
      <w:r w:rsidRPr="00CE5AB9">
        <w:t xml:space="preserve">State and territory support to residential aged care providers to better manage the care needs of people with BPSD continues to be an important part of long-term health agendas, with most states and territories planning to expand such support in the period to 2025. </w:t>
      </w:r>
    </w:p>
    <w:p w:rsidR="00CA4FF1" w:rsidRPr="00A47944" w:rsidRDefault="00CA4FF1" w:rsidP="00CA4FF1">
      <w:pPr>
        <w:pStyle w:val="Heading3"/>
        <w:numPr>
          <w:ilvl w:val="2"/>
          <w:numId w:val="2"/>
        </w:numPr>
        <w:spacing w:after="120"/>
        <w:jc w:val="both"/>
      </w:pPr>
      <w:bookmarkStart w:id="16" w:name="_Toc499538724"/>
      <w:r w:rsidRPr="00933C89">
        <w:t xml:space="preserve">Supports available through the </w:t>
      </w:r>
      <w:r>
        <w:t>NDIS</w:t>
      </w:r>
      <w:r w:rsidRPr="00933C89">
        <w:t xml:space="preserve"> and </w:t>
      </w:r>
      <w:r>
        <w:t>C</w:t>
      </w:r>
      <w:r w:rsidRPr="00933C89">
        <w:t xml:space="preserve">ontinuity of </w:t>
      </w:r>
      <w:r>
        <w:t>S</w:t>
      </w:r>
      <w:r w:rsidRPr="00933C89">
        <w:t xml:space="preserve">upport </w:t>
      </w:r>
      <w:r>
        <w:t>P</w:t>
      </w:r>
      <w:r w:rsidRPr="00933C89">
        <w:t>rogram</w:t>
      </w:r>
      <w:r>
        <w:t>me</w:t>
      </w:r>
      <w:bookmarkEnd w:id="16"/>
    </w:p>
    <w:p w:rsidR="00CA4FF1" w:rsidRPr="00A47944" w:rsidRDefault="00CA4FF1" w:rsidP="00CA4FF1">
      <w:pPr>
        <w:jc w:val="both"/>
      </w:pPr>
      <w:r w:rsidRPr="00A47944">
        <w:t xml:space="preserve">People with dementia who are under the age of 65, typically those with younger onset dementia, are eligible to apply for support under the </w:t>
      </w:r>
      <w:r>
        <w:t>National Disability Insurance Scheme (</w:t>
      </w:r>
      <w:r w:rsidRPr="00A47944">
        <w:t>NDIS</w:t>
      </w:r>
      <w:r>
        <w:t>)</w:t>
      </w:r>
      <w:r w:rsidRPr="00A47944">
        <w:t>. The NDIS is being progressively rolled out, with data from regions where the NDIS has been i</w:t>
      </w:r>
      <w:r>
        <w:t>mplemented indicating that 97.5 per cent</w:t>
      </w:r>
      <w:r w:rsidRPr="00A47944">
        <w:t xml:space="preserve"> of people with younger onset dementia have been assessed as eligible and are receiving supports.</w:t>
      </w:r>
      <w:r w:rsidR="00973EF0">
        <w:rPr>
          <w:rStyle w:val="EndnoteReference"/>
        </w:rPr>
        <w:endnoteReference w:id="15"/>
      </w:r>
      <w:r w:rsidRPr="00A47944">
        <w:t xml:space="preserve"> Continuity of support strategies are being developed for those people with younger onset dementia who are assessed as ineligible for the NDIS.</w:t>
      </w:r>
    </w:p>
    <w:p w:rsidR="00CA4FF1" w:rsidRPr="00A47944" w:rsidRDefault="00CA4FF1" w:rsidP="00CA4FF1">
      <w:pPr>
        <w:jc w:val="both"/>
      </w:pPr>
    </w:p>
    <w:p w:rsidR="00CA4FF1" w:rsidRDefault="00CA4FF1" w:rsidP="00CA4FF1">
      <w:pPr>
        <w:jc w:val="both"/>
      </w:pPr>
      <w:r w:rsidRPr="00A47944">
        <w:t>The Commonwealth Younger Onset Dementia Key Worker Program (YODKWP) acts as a primary point of contact for people with younger onset dementia, their families and carers. The key worker provides in</w:t>
      </w:r>
      <w:r>
        <w:t>formation, support, counselling</w:t>
      </w:r>
      <w:r w:rsidRPr="00A47944">
        <w:t xml:space="preserve"> </w:t>
      </w:r>
      <w:r>
        <w:t xml:space="preserve">and </w:t>
      </w:r>
      <w:r w:rsidRPr="00A47944">
        <w:t>advice</w:t>
      </w:r>
      <w:r>
        <w:t>,</w:t>
      </w:r>
      <w:r w:rsidRPr="00A47944">
        <w:t xml:space="preserve"> and helps consumers effectively engage with services appropriate to their individual needs. This program ensures that the needs of people with younger onset dementia are being met in the community by increasing awareness and education, building capacity in the disability, aged care, community and residential care sectors and improving coordination of services across agencies. Key </w:t>
      </w:r>
      <w:r>
        <w:t>w</w:t>
      </w:r>
      <w:r w:rsidRPr="00A47944">
        <w:t xml:space="preserve">orkers identify and address gaps in services and build capacity through consultation, networking and collaboration with service providers and consumers. Funding for the YODKWP is transitioning to the NDIS as it progressively rolls out across the country. </w:t>
      </w:r>
    </w:p>
    <w:p w:rsidR="00CA4FF1" w:rsidRDefault="00CA4FF1" w:rsidP="00CA4FF1">
      <w:pPr>
        <w:jc w:val="both"/>
      </w:pPr>
      <w:r>
        <w:br w:type="page"/>
      </w:r>
    </w:p>
    <w:p w:rsidR="00CA4FF1" w:rsidRPr="000C5484" w:rsidRDefault="00CA4FF1" w:rsidP="00CA4FF1">
      <w:pPr>
        <w:pStyle w:val="Heading2"/>
        <w:numPr>
          <w:ilvl w:val="1"/>
          <w:numId w:val="2"/>
        </w:numPr>
        <w:spacing w:after="120"/>
        <w:jc w:val="both"/>
      </w:pPr>
      <w:bookmarkStart w:id="17" w:name="_Toc499044326"/>
      <w:bookmarkStart w:id="18" w:name="_Toc499538725"/>
      <w:bookmarkEnd w:id="17"/>
      <w:r w:rsidRPr="000C5484">
        <w:lastRenderedPageBreak/>
        <w:t>Why are SDCU</w:t>
      </w:r>
      <w:r>
        <w:t>s</w:t>
      </w:r>
      <w:r w:rsidRPr="000C5484">
        <w:t xml:space="preserve"> being established</w:t>
      </w:r>
      <w:r>
        <w:t>?</w:t>
      </w:r>
      <w:bookmarkEnd w:id="18"/>
    </w:p>
    <w:p w:rsidR="00CA4FF1" w:rsidRDefault="00CA4FF1" w:rsidP="00CA4FF1">
      <w:pPr>
        <w:jc w:val="both"/>
      </w:pPr>
    </w:p>
    <w:p w:rsidR="00CA4FF1" w:rsidRPr="00CE5AB9" w:rsidRDefault="00770F6F" w:rsidP="00CA4FF1">
      <w:pPr>
        <w:jc w:val="both"/>
      </w:pPr>
      <w:r>
        <w:t>Whilst there has been considerable investment in supports to assist providers and carers respond to BPSD</w:t>
      </w:r>
      <w:r w:rsidR="00CA4FF1" w:rsidRPr="00CE5AB9">
        <w:t xml:space="preserve">, stakeholders have consistently identified a gap in the ability of the aged care and </w:t>
      </w:r>
      <w:r w:rsidR="00CA4FF1">
        <w:t xml:space="preserve">the </w:t>
      </w:r>
      <w:r w:rsidR="00CA4FF1" w:rsidRPr="00CE5AB9">
        <w:t xml:space="preserve">broader health system to provide the right care at the right time for people with very severe BPSD. </w:t>
      </w:r>
    </w:p>
    <w:p w:rsidR="00CA4FF1" w:rsidRPr="00CE5AB9" w:rsidRDefault="00CA4FF1" w:rsidP="00CA4FF1">
      <w:pPr>
        <w:jc w:val="both"/>
      </w:pPr>
    </w:p>
    <w:p w:rsidR="00CA4FF1" w:rsidRPr="00CE5AB9" w:rsidRDefault="00CA4FF1" w:rsidP="00CA4FF1">
      <w:pPr>
        <w:jc w:val="both"/>
      </w:pPr>
      <w:r w:rsidRPr="00CE5AB9">
        <w:t xml:space="preserve">Establishment of Australian Government-funded specialist residential aged care units for people with very severe BPSD was recommended in a report to the then Minister for Ageing in 2008, </w:t>
      </w:r>
      <w:r>
        <w:t>and subsequently</w:t>
      </w:r>
      <w:r w:rsidRPr="00CE5AB9">
        <w:t xml:space="preserve"> in further reports to the relevant Minister and in the Aged Care Sector Committee’s </w:t>
      </w:r>
      <w:r w:rsidRPr="00A610DD">
        <w:t>Aged Care Roadmap</w:t>
      </w:r>
      <w:r w:rsidRPr="005400E6">
        <w:t>.</w:t>
      </w:r>
    </w:p>
    <w:p w:rsidR="00CA4FF1" w:rsidRDefault="00CA4FF1" w:rsidP="00CA4FF1">
      <w:pPr>
        <w:pStyle w:val="Heading3"/>
        <w:numPr>
          <w:ilvl w:val="2"/>
          <w:numId w:val="2"/>
        </w:numPr>
        <w:spacing w:after="120"/>
        <w:jc w:val="both"/>
      </w:pPr>
      <w:bookmarkStart w:id="19" w:name="_Toc499538726"/>
      <w:r w:rsidRPr="00843C71">
        <w:t xml:space="preserve">Aged </w:t>
      </w:r>
      <w:r>
        <w:t>c</w:t>
      </w:r>
      <w:r w:rsidRPr="00843C71">
        <w:t xml:space="preserve">are </w:t>
      </w:r>
      <w:r>
        <w:t>s</w:t>
      </w:r>
      <w:r w:rsidRPr="00843C71">
        <w:t xml:space="preserve">ector </w:t>
      </w:r>
      <w:r>
        <w:t>c</w:t>
      </w:r>
      <w:r w:rsidRPr="00843C71">
        <w:t>apability</w:t>
      </w:r>
      <w:bookmarkEnd w:id="19"/>
    </w:p>
    <w:p w:rsidR="00CA4FF1" w:rsidRPr="00CE5AB9" w:rsidRDefault="00CA4FF1" w:rsidP="00CA4FF1">
      <w:pPr>
        <w:jc w:val="both"/>
      </w:pPr>
      <w:r w:rsidRPr="00CE5AB9">
        <w:t>Caring for people with dementia is increasingly standard practice for residential aged care providers, with more than 50 per</w:t>
      </w:r>
      <w:r>
        <w:t xml:space="preserve"> </w:t>
      </w:r>
      <w:r w:rsidRPr="00CE5AB9">
        <w:t>cent of permanent res</w:t>
      </w:r>
      <w:r>
        <w:t>idents of Australian Government-</w:t>
      </w:r>
      <w:r w:rsidRPr="00CE5AB9">
        <w:t>subsidised residential aged care facilities estimated to have dementia.</w:t>
      </w:r>
      <w:r w:rsidRPr="00CE5AB9">
        <w:rPr>
          <w:vertAlign w:val="superscript"/>
        </w:rPr>
        <w:endnoteReference w:id="16"/>
      </w:r>
    </w:p>
    <w:p w:rsidR="00CA4FF1" w:rsidRPr="00CE5AB9" w:rsidRDefault="00CA4FF1" w:rsidP="00CA4FF1">
      <w:pPr>
        <w:jc w:val="both"/>
      </w:pPr>
    </w:p>
    <w:p w:rsidR="00CA4FF1" w:rsidRPr="00CE5AB9" w:rsidRDefault="00CA4FF1" w:rsidP="00CA4FF1">
      <w:pPr>
        <w:jc w:val="both"/>
      </w:pPr>
      <w:r w:rsidRPr="00CE5AB9">
        <w:t>However, capability to appropriately meet the needs of people with very severe BPSD remains limited outside a small number of specialised facilities, many of which receive</w:t>
      </w:r>
      <w:r>
        <w:t xml:space="preserve"> ‘top up’ </w:t>
      </w:r>
      <w:r w:rsidRPr="00CE5AB9">
        <w:t xml:space="preserve">state and territory government support described above. </w:t>
      </w:r>
    </w:p>
    <w:p w:rsidR="00CA4FF1" w:rsidRPr="00CE5AB9" w:rsidRDefault="00CA4FF1" w:rsidP="00CA4FF1">
      <w:pPr>
        <w:jc w:val="both"/>
      </w:pPr>
    </w:p>
    <w:p w:rsidR="00CA4FF1" w:rsidRPr="00CE5AB9" w:rsidRDefault="00CA4FF1" w:rsidP="00CA4FF1">
      <w:pPr>
        <w:jc w:val="both"/>
      </w:pPr>
      <w:r w:rsidRPr="00CE5AB9">
        <w:t>Early results from SBRT activities indicate that much of the behaviour referred to the teams for advice c</w:t>
      </w:r>
      <w:r>
        <w:t xml:space="preserve">ould </w:t>
      </w:r>
      <w:r w:rsidRPr="00CE5AB9">
        <w:t xml:space="preserve">be resolved within the resident’s current facility by addressing unmet need, in particular undiagnosed pain. </w:t>
      </w:r>
    </w:p>
    <w:p w:rsidR="00CA4FF1" w:rsidRPr="00CE5AB9" w:rsidRDefault="00CA4FF1" w:rsidP="00CA4FF1">
      <w:pPr>
        <w:jc w:val="both"/>
      </w:pPr>
    </w:p>
    <w:p w:rsidR="00CA4FF1" w:rsidRPr="00CE5AB9" w:rsidRDefault="00CA4FF1" w:rsidP="00CA4FF1">
      <w:pPr>
        <w:jc w:val="both"/>
      </w:pPr>
      <w:r w:rsidRPr="00CE5AB9">
        <w:t>Nonetheless, even following SBRT intervention, 17 per</w:t>
      </w:r>
      <w:r>
        <w:t xml:space="preserve"> </w:t>
      </w:r>
      <w:r w:rsidRPr="00CE5AB9">
        <w:t>cent of clients assisted by SBRTs required more intensive support and ultimately transfer</w:t>
      </w:r>
      <w:r>
        <w:t>red</w:t>
      </w:r>
      <w:r w:rsidRPr="00CE5AB9">
        <w:t xml:space="preserve"> to an acute care setting, including acute mental health facilities.</w:t>
      </w:r>
      <w:r w:rsidRPr="00CE5AB9">
        <w:rPr>
          <w:vertAlign w:val="superscript"/>
        </w:rPr>
        <w:endnoteReference w:id="17"/>
      </w:r>
    </w:p>
    <w:p w:rsidR="00CA4FF1" w:rsidRPr="00CE5AB9" w:rsidRDefault="00CA4FF1" w:rsidP="00CA4FF1">
      <w:pPr>
        <w:jc w:val="both"/>
      </w:pPr>
    </w:p>
    <w:p w:rsidR="00CA4FF1" w:rsidRDefault="00CA4FF1" w:rsidP="00CA4FF1">
      <w:pPr>
        <w:autoSpaceDE w:val="0"/>
        <w:autoSpaceDN w:val="0"/>
        <w:adjustRightInd w:val="0"/>
        <w:jc w:val="both"/>
      </w:pPr>
      <w:r w:rsidRPr="00CE5AB9">
        <w:rPr>
          <w:rFonts w:cs="Calibri"/>
          <w:color w:val="000000"/>
          <w:lang w:eastAsia="en-AU"/>
        </w:rPr>
        <w:t xml:space="preserve">Moreover, recent high profile investigations have </w:t>
      </w:r>
      <w:r>
        <w:rPr>
          <w:rFonts w:cs="Calibri"/>
          <w:color w:val="000000"/>
          <w:lang w:eastAsia="en-AU"/>
        </w:rPr>
        <w:t xml:space="preserve">found that a number of facilities providing care for </w:t>
      </w:r>
      <w:r w:rsidRPr="00CE5AB9">
        <w:rPr>
          <w:rFonts w:cs="Calibri"/>
          <w:color w:val="000000"/>
          <w:lang w:eastAsia="en-AU"/>
        </w:rPr>
        <w:t xml:space="preserve">people with very severe </w:t>
      </w:r>
      <w:r>
        <w:rPr>
          <w:rFonts w:cs="Calibri"/>
          <w:color w:val="000000"/>
          <w:lang w:eastAsia="en-AU"/>
        </w:rPr>
        <w:t>BPSD have not provided adequate care or physical environments.</w:t>
      </w:r>
      <w:r>
        <w:rPr>
          <w:rStyle w:val="EndnoteReference"/>
          <w:rFonts w:cs="Calibri"/>
          <w:color w:val="000000"/>
          <w:lang w:eastAsia="en-AU"/>
        </w:rPr>
        <w:endnoteReference w:id="18"/>
      </w:r>
      <w:r w:rsidRPr="00CE5AB9">
        <w:rPr>
          <w:rFonts w:cs="Calibri"/>
          <w:color w:val="000000"/>
          <w:lang w:eastAsia="en-AU"/>
        </w:rPr>
        <w:t xml:space="preserve"> In response to identified issues, the Australian Government commissioned an independent </w:t>
      </w:r>
      <w:r>
        <w:rPr>
          <w:rFonts w:cs="Calibri"/>
          <w:color w:val="000000"/>
          <w:lang w:eastAsia="en-AU"/>
        </w:rPr>
        <w:t>r</w:t>
      </w:r>
      <w:r w:rsidRPr="00A610DD">
        <w:rPr>
          <w:color w:val="000000"/>
        </w:rPr>
        <w:t>eview of national aged care quality regulatory processes</w:t>
      </w:r>
      <w:r w:rsidRPr="00CE5AB9">
        <w:rPr>
          <w:rFonts w:cs="Calibri"/>
          <w:color w:val="000000"/>
          <w:lang w:eastAsia="en-AU"/>
        </w:rPr>
        <w:t>,</w:t>
      </w:r>
      <w:r w:rsidRPr="00CE5AB9">
        <w:rPr>
          <w:rFonts w:cs="Calibri"/>
          <w:color w:val="000000"/>
          <w:vertAlign w:val="superscript"/>
          <w:lang w:eastAsia="en-AU"/>
        </w:rPr>
        <w:endnoteReference w:id="19"/>
      </w:r>
      <w:r w:rsidRPr="00CE5AB9">
        <w:rPr>
          <w:rFonts w:cs="Calibri"/>
          <w:color w:val="000000"/>
          <w:lang w:eastAsia="en-AU"/>
        </w:rPr>
        <w:t xml:space="preserve"> the response to which will apply to care delivered through SDCUs.</w:t>
      </w:r>
    </w:p>
    <w:p w:rsidR="00CA4FF1" w:rsidRDefault="00CA4FF1" w:rsidP="00CA4FF1">
      <w:pPr>
        <w:pStyle w:val="Heading3"/>
        <w:numPr>
          <w:ilvl w:val="2"/>
          <w:numId w:val="2"/>
        </w:numPr>
        <w:spacing w:after="120"/>
        <w:jc w:val="both"/>
      </w:pPr>
      <w:bookmarkStart w:id="20" w:name="_Toc499538727"/>
      <w:r w:rsidRPr="00843C71">
        <w:t>Access to appropriate services</w:t>
      </w:r>
      <w:r>
        <w:t xml:space="preserve"> and complex existing client pathways</w:t>
      </w:r>
      <w:bookmarkEnd w:id="20"/>
      <w:r>
        <w:t xml:space="preserve"> </w:t>
      </w:r>
    </w:p>
    <w:p w:rsidR="00CA4FF1" w:rsidRPr="00CE5AB9" w:rsidRDefault="00CA4FF1" w:rsidP="00CA4FF1">
      <w:pPr>
        <w:jc w:val="both"/>
      </w:pPr>
      <w:r w:rsidRPr="00CE5AB9">
        <w:t xml:space="preserve">As discussed above, it is estimated that more than 1,000 community-based beds </w:t>
      </w:r>
      <w:r>
        <w:t xml:space="preserve">in residential aged care or mental health facilities </w:t>
      </w:r>
      <w:r w:rsidRPr="00CE5AB9">
        <w:t xml:space="preserve">already receive state government </w:t>
      </w:r>
      <w:r>
        <w:t xml:space="preserve">‘top up’ funds </w:t>
      </w:r>
      <w:r w:rsidRPr="00CE5AB9">
        <w:t>to offer something like the proposed SDCU model of support. The distribution of beds, however, does not reflect consistent demographic or geographic planning principles,</w:t>
      </w:r>
      <w:r>
        <w:t xml:space="preserve"> and</w:t>
      </w:r>
      <w:r w:rsidR="00D7226B">
        <w:t xml:space="preserve"> beds</w:t>
      </w:r>
      <w:r>
        <w:t xml:space="preserve"> are</w:t>
      </w:r>
      <w:r w:rsidRPr="00CE5AB9">
        <w:t xml:space="preserve"> unevenly distributed across regions, with shortages more likely in regional, rural and remote areas.</w:t>
      </w:r>
    </w:p>
    <w:p w:rsidR="00CA4FF1" w:rsidRPr="00CE5AB9" w:rsidRDefault="00CA4FF1" w:rsidP="00CA4FF1">
      <w:pPr>
        <w:jc w:val="both"/>
      </w:pPr>
    </w:p>
    <w:p w:rsidR="00CA4FF1" w:rsidRPr="00CE5AB9" w:rsidRDefault="00CA4FF1" w:rsidP="00CA4FF1">
      <w:pPr>
        <w:jc w:val="both"/>
      </w:pPr>
      <w:r w:rsidRPr="00CE5AB9">
        <w:t xml:space="preserve">Existing pathways into specialist residential care for people with very severe BPSD vary within and across states and territories and are generally not well developed or broadly communicated. </w:t>
      </w:r>
      <w:r w:rsidRPr="002902E7">
        <w:t>To the best of our knowledge,</w:t>
      </w:r>
      <w:r w:rsidRPr="00CE5AB9">
        <w:t xml:space="preserve"> pathways into the beds are </w:t>
      </w:r>
      <w:r w:rsidRPr="00CE5AB9">
        <w:lastRenderedPageBreak/>
        <w:t>mainly ‘step down’ from the acute sector, meaning that people have generally presented and been admitted to hospital,</w:t>
      </w:r>
      <w:r>
        <w:t xml:space="preserve"> an</w:t>
      </w:r>
      <w:r w:rsidRPr="00CE5AB9">
        <w:t xml:space="preserve"> older persons mental health unit</w:t>
      </w:r>
      <w:r>
        <w:t>,</w:t>
      </w:r>
      <w:r w:rsidRPr="00CE5AB9">
        <w:t xml:space="preserve"> or general geriatric medicine unit</w:t>
      </w:r>
      <w:r>
        <w:t xml:space="preserve"> before transferring to an SDCU</w:t>
      </w:r>
      <w:r w:rsidRPr="00CE5AB9">
        <w:t>-like unit.</w:t>
      </w:r>
      <w:r w:rsidRPr="00CE5AB9">
        <w:rPr>
          <w:vertAlign w:val="superscript"/>
        </w:rPr>
        <w:endnoteReference w:id="20"/>
      </w:r>
    </w:p>
    <w:p w:rsidR="00CA4FF1" w:rsidRPr="00CE5AB9" w:rsidRDefault="00CA4FF1" w:rsidP="00CA4FF1">
      <w:pPr>
        <w:jc w:val="both"/>
      </w:pPr>
    </w:p>
    <w:p w:rsidR="00CA4FF1" w:rsidRPr="00CE5AB9" w:rsidRDefault="00CA4FF1" w:rsidP="00CA4FF1">
      <w:pPr>
        <w:jc w:val="both"/>
      </w:pPr>
      <w:r w:rsidRPr="00CE5AB9">
        <w:t>‘Step up’ pathways into SDCU-like facilities, either directly from residential aged care or from a person’s home, are less common and less well developed. Australian Government investment in SDCUs provides an opportunity to enhance this pathway and avoid the cost and negative client impacts associated with potentially avoidable acute admissions.</w:t>
      </w:r>
    </w:p>
    <w:p w:rsidR="00CA4FF1" w:rsidRPr="00CE5AB9" w:rsidRDefault="00CA4FF1" w:rsidP="00CA4FF1">
      <w:pPr>
        <w:jc w:val="both"/>
      </w:pPr>
    </w:p>
    <w:p w:rsidR="00CA4FF1" w:rsidRDefault="00CA4FF1" w:rsidP="00CA4FF1">
      <w:pPr>
        <w:jc w:val="both"/>
      </w:pPr>
      <w:r w:rsidRPr="00CE5AB9">
        <w:t xml:space="preserve">This concept of step up and step down client pathways is depicted in </w:t>
      </w:r>
      <w:r>
        <w:t>Figures 3 and 4.</w:t>
      </w:r>
    </w:p>
    <w:p w:rsidR="00CA4FF1" w:rsidRDefault="00CA4FF1" w:rsidP="00CA4FF1">
      <w:pPr>
        <w:jc w:val="both"/>
      </w:pPr>
      <w:r>
        <w:t xml:space="preserve"> </w:t>
      </w:r>
    </w:p>
    <w:p w:rsidR="00CA4FF1" w:rsidRPr="00D74ADB" w:rsidRDefault="00CA4FF1" w:rsidP="00CA4FF1">
      <w:pPr>
        <w:autoSpaceDE w:val="0"/>
        <w:autoSpaceDN w:val="0"/>
        <w:adjustRightInd w:val="0"/>
        <w:spacing w:line="288" w:lineRule="auto"/>
        <w:jc w:val="both"/>
        <w:rPr>
          <w:rStyle w:val="Emphasis"/>
        </w:rPr>
      </w:pPr>
      <w:r w:rsidRPr="00D74ADB">
        <w:rPr>
          <w:rStyle w:val="Emphasis"/>
        </w:rPr>
        <w:t>Figure 3: Typical existing ‘step down’ client pathway for people with BPSD</w:t>
      </w:r>
    </w:p>
    <w:p w:rsidR="00CA4FF1" w:rsidRPr="00145055" w:rsidRDefault="00AE3B8A" w:rsidP="00CA4FF1">
      <w:pPr>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low chart showing typical pathway from community or residential aged care into 'SDCU-like' residential units, via the acute system" style="width:403.45pt;height:319.25pt">
            <v:imagedata r:id="rId11" o:title=""/>
          </v:shape>
        </w:pict>
      </w:r>
    </w:p>
    <w:p w:rsidR="00CA4FF1" w:rsidRPr="00843C71" w:rsidRDefault="00CA4FF1" w:rsidP="00CA4FF1">
      <w:pPr>
        <w:pStyle w:val="Default"/>
        <w:jc w:val="both"/>
        <w:rPr>
          <w:rFonts w:asciiTheme="minorHAnsi" w:hAnsiTheme="minorHAnsi"/>
          <w:b/>
        </w:rPr>
      </w:pPr>
    </w:p>
    <w:p w:rsidR="00CA4FF1" w:rsidRDefault="00CA4FF1" w:rsidP="00CA4FF1">
      <w:pPr>
        <w:rPr>
          <w:rStyle w:val="Emphasis"/>
        </w:rPr>
      </w:pPr>
      <w:r>
        <w:rPr>
          <w:rStyle w:val="Emphasis"/>
        </w:rPr>
        <w:br w:type="page"/>
      </w:r>
    </w:p>
    <w:p w:rsidR="00CA4FF1" w:rsidRPr="00D74ADB" w:rsidRDefault="00CA4FF1" w:rsidP="00CA4FF1">
      <w:pPr>
        <w:jc w:val="both"/>
        <w:rPr>
          <w:rStyle w:val="Emphasis"/>
        </w:rPr>
      </w:pPr>
      <w:r w:rsidRPr="00D74ADB">
        <w:rPr>
          <w:rStyle w:val="Emphasis"/>
        </w:rPr>
        <w:lastRenderedPageBreak/>
        <w:t>Figure 4: Proposed ‘step up’ client pathway into SDCUs</w:t>
      </w:r>
    </w:p>
    <w:p w:rsidR="00CA4FF1" w:rsidRDefault="00CA4FF1" w:rsidP="00CA4FF1">
      <w:pPr>
        <w:jc w:val="both"/>
        <w:rPr>
          <w:b/>
          <w:sz w:val="22"/>
        </w:rPr>
      </w:pPr>
    </w:p>
    <w:p w:rsidR="00CA4FF1" w:rsidRDefault="00AE3B8A" w:rsidP="00CA4FF1">
      <w:pPr>
        <w:jc w:val="both"/>
      </w:pPr>
      <w:r>
        <w:pict>
          <v:shape id="_x0000_i1026" type="#_x0000_t75" alt="Diagram showing proposed client pathway as 'step up' from community or residential aged care into SDCUs" style="width:198.35pt;height:205.8pt">
            <v:imagedata r:id="rId12" o:title=""/>
          </v:shape>
        </w:pict>
      </w:r>
    </w:p>
    <w:p w:rsidR="00CA4FF1" w:rsidRDefault="00CA4FF1" w:rsidP="00CA4FF1">
      <w:pPr>
        <w:jc w:val="both"/>
      </w:pPr>
    </w:p>
    <w:p w:rsidR="00CA4FF1" w:rsidRPr="00C44246" w:rsidRDefault="00CA4FF1" w:rsidP="00CA4FF1">
      <w:pPr>
        <w:pStyle w:val="Heading2"/>
        <w:numPr>
          <w:ilvl w:val="1"/>
          <w:numId w:val="2"/>
        </w:numPr>
        <w:spacing w:after="120"/>
        <w:jc w:val="both"/>
      </w:pPr>
      <w:bookmarkStart w:id="21" w:name="_Toc499538728"/>
      <w:r w:rsidRPr="00C44246">
        <w:t xml:space="preserve">What are </w:t>
      </w:r>
      <w:r>
        <w:t>the impacts of the current sy</w:t>
      </w:r>
      <w:r w:rsidRPr="00C44246">
        <w:t>stem issues?</w:t>
      </w:r>
      <w:bookmarkEnd w:id="21"/>
    </w:p>
    <w:p w:rsidR="00CA4FF1" w:rsidRDefault="00CA4FF1" w:rsidP="00CA4FF1">
      <w:pPr>
        <w:pStyle w:val="Default"/>
        <w:jc w:val="both"/>
        <w:rPr>
          <w:rFonts w:asciiTheme="minorHAnsi" w:hAnsiTheme="minorHAnsi"/>
        </w:rPr>
      </w:pPr>
      <w:r>
        <w:rPr>
          <w:rFonts w:asciiTheme="minorHAnsi" w:hAnsiTheme="minorHAnsi"/>
        </w:rPr>
        <w:t xml:space="preserve">Stakeholder consultation to date suggests </w:t>
      </w:r>
      <w:r w:rsidRPr="00C44246">
        <w:rPr>
          <w:rFonts w:asciiTheme="minorHAnsi" w:hAnsiTheme="minorHAnsi"/>
        </w:rPr>
        <w:t xml:space="preserve">the current </w:t>
      </w:r>
      <w:r>
        <w:rPr>
          <w:rFonts w:asciiTheme="minorHAnsi" w:hAnsiTheme="minorHAnsi"/>
        </w:rPr>
        <w:t>shortage of evenly distributed SDCU</w:t>
      </w:r>
      <w:r w:rsidR="00D7226B">
        <w:rPr>
          <w:rFonts w:asciiTheme="minorHAnsi" w:hAnsiTheme="minorHAnsi"/>
        </w:rPr>
        <w:t>-</w:t>
      </w:r>
      <w:r>
        <w:rPr>
          <w:rFonts w:asciiTheme="minorHAnsi" w:hAnsiTheme="minorHAnsi"/>
        </w:rPr>
        <w:t xml:space="preserve">like </w:t>
      </w:r>
      <w:r w:rsidRPr="00C44246">
        <w:rPr>
          <w:rFonts w:asciiTheme="minorHAnsi" w:hAnsiTheme="minorHAnsi"/>
        </w:rPr>
        <w:t xml:space="preserve">facilities for people with very severe BPSD </w:t>
      </w:r>
      <w:r>
        <w:rPr>
          <w:rFonts w:asciiTheme="minorHAnsi" w:hAnsiTheme="minorHAnsi"/>
        </w:rPr>
        <w:t xml:space="preserve">has impacts </w:t>
      </w:r>
      <w:r w:rsidRPr="00C44246">
        <w:rPr>
          <w:rFonts w:asciiTheme="minorHAnsi" w:hAnsiTheme="minorHAnsi"/>
        </w:rPr>
        <w:t xml:space="preserve">at both the individual and system level. </w:t>
      </w:r>
    </w:p>
    <w:p w:rsidR="00CA4FF1" w:rsidRPr="00C44246" w:rsidRDefault="00CA4FF1" w:rsidP="00CA4FF1">
      <w:pPr>
        <w:pStyle w:val="Default"/>
        <w:jc w:val="both"/>
        <w:rPr>
          <w:rFonts w:asciiTheme="minorHAnsi" w:hAnsiTheme="minorHAnsi"/>
        </w:rPr>
      </w:pPr>
    </w:p>
    <w:p w:rsidR="00CA4FF1" w:rsidRPr="00C44246" w:rsidRDefault="00CA4FF1" w:rsidP="00CA4FF1">
      <w:pPr>
        <w:pStyle w:val="Default"/>
        <w:jc w:val="both"/>
        <w:rPr>
          <w:rFonts w:asciiTheme="minorHAnsi" w:hAnsiTheme="minorHAnsi"/>
        </w:rPr>
      </w:pPr>
      <w:r>
        <w:rPr>
          <w:rFonts w:asciiTheme="minorHAnsi" w:hAnsiTheme="minorHAnsi"/>
        </w:rPr>
        <w:t>At the individual level</w:t>
      </w:r>
      <w:r w:rsidRPr="00C44246">
        <w:rPr>
          <w:rFonts w:asciiTheme="minorHAnsi" w:hAnsiTheme="minorHAnsi"/>
        </w:rPr>
        <w:t xml:space="preserve">, </w:t>
      </w:r>
      <w:r>
        <w:rPr>
          <w:rFonts w:asciiTheme="minorHAnsi" w:hAnsiTheme="minorHAnsi"/>
        </w:rPr>
        <w:t>impacts may include:</w:t>
      </w:r>
      <w:r w:rsidRPr="00C44246">
        <w:rPr>
          <w:rFonts w:asciiTheme="minorHAnsi" w:hAnsiTheme="minorHAnsi"/>
        </w:rPr>
        <w:t xml:space="preserve"> </w:t>
      </w:r>
    </w:p>
    <w:p w:rsidR="00CA4FF1" w:rsidRDefault="00CA4FF1" w:rsidP="00CA4FF1">
      <w:pPr>
        <w:pStyle w:val="Default"/>
        <w:numPr>
          <w:ilvl w:val="0"/>
          <w:numId w:val="7"/>
        </w:numPr>
        <w:jc w:val="both"/>
        <w:rPr>
          <w:rFonts w:asciiTheme="minorHAnsi" w:hAnsiTheme="minorHAnsi"/>
        </w:rPr>
      </w:pPr>
      <w:r w:rsidRPr="00C44246">
        <w:rPr>
          <w:rFonts w:asciiTheme="minorHAnsi" w:hAnsiTheme="minorHAnsi"/>
        </w:rPr>
        <w:t>prolonged residence in a setting unsuitable to the person’s needs, whether their own home, mainstream residential aged care, or an acute health facility, with attendant poor quality o</w:t>
      </w:r>
      <w:r>
        <w:rPr>
          <w:rFonts w:asciiTheme="minorHAnsi" w:hAnsiTheme="minorHAnsi"/>
        </w:rPr>
        <w:t xml:space="preserve">f life and ongoing risk of </w:t>
      </w:r>
      <w:r w:rsidRPr="00C44246">
        <w:rPr>
          <w:rFonts w:asciiTheme="minorHAnsi" w:hAnsiTheme="minorHAnsi"/>
        </w:rPr>
        <w:t>harm</w:t>
      </w:r>
    </w:p>
    <w:p w:rsidR="00CA4FF1" w:rsidRPr="00C44246" w:rsidRDefault="00CA4FF1" w:rsidP="00CA4FF1">
      <w:pPr>
        <w:pStyle w:val="Default"/>
        <w:numPr>
          <w:ilvl w:val="0"/>
          <w:numId w:val="7"/>
        </w:numPr>
        <w:jc w:val="both"/>
        <w:rPr>
          <w:rFonts w:asciiTheme="minorHAnsi" w:hAnsiTheme="minorHAnsi"/>
        </w:rPr>
      </w:pPr>
      <w:r w:rsidRPr="00C44246">
        <w:rPr>
          <w:rFonts w:asciiTheme="minorHAnsi" w:hAnsiTheme="minorHAnsi"/>
        </w:rPr>
        <w:t xml:space="preserve">exposure to an inappropriately ‘clinical’ model of care that may worsen behaviours and include futile, invasive and costly procedures </w:t>
      </w:r>
    </w:p>
    <w:p w:rsidR="00CA4FF1" w:rsidRPr="00C44246" w:rsidRDefault="00CA4FF1" w:rsidP="00CA4FF1">
      <w:pPr>
        <w:pStyle w:val="Default"/>
        <w:numPr>
          <w:ilvl w:val="0"/>
          <w:numId w:val="7"/>
        </w:numPr>
        <w:jc w:val="both"/>
        <w:rPr>
          <w:rFonts w:asciiTheme="minorHAnsi" w:hAnsiTheme="minorHAnsi"/>
        </w:rPr>
      </w:pPr>
      <w:r w:rsidRPr="00C44246">
        <w:rPr>
          <w:rFonts w:asciiTheme="minorHAnsi" w:hAnsiTheme="minorHAnsi"/>
        </w:rPr>
        <w:t>heightened risk of physical and/or chemical restraint and social isolation as the primary behav</w:t>
      </w:r>
      <w:r>
        <w:rPr>
          <w:rFonts w:asciiTheme="minorHAnsi" w:hAnsiTheme="minorHAnsi"/>
        </w:rPr>
        <w:t>ioural management strategy</w:t>
      </w:r>
    </w:p>
    <w:p w:rsidR="00CA4FF1" w:rsidRDefault="00CA4FF1" w:rsidP="00CA4FF1">
      <w:pPr>
        <w:pStyle w:val="Default"/>
        <w:numPr>
          <w:ilvl w:val="0"/>
          <w:numId w:val="7"/>
        </w:numPr>
        <w:jc w:val="both"/>
        <w:rPr>
          <w:rFonts w:asciiTheme="minorHAnsi" w:hAnsiTheme="minorHAnsi"/>
        </w:rPr>
      </w:pPr>
      <w:r w:rsidRPr="00E41796">
        <w:rPr>
          <w:rFonts w:asciiTheme="minorHAnsi" w:hAnsiTheme="minorHAnsi"/>
        </w:rPr>
        <w:t xml:space="preserve">ongoing risk of harm or disturbance to </w:t>
      </w:r>
      <w:r>
        <w:rPr>
          <w:rFonts w:asciiTheme="minorHAnsi" w:hAnsiTheme="minorHAnsi"/>
        </w:rPr>
        <w:t xml:space="preserve">themselves and </w:t>
      </w:r>
      <w:r w:rsidRPr="00E41796">
        <w:rPr>
          <w:rFonts w:asciiTheme="minorHAnsi" w:hAnsiTheme="minorHAnsi"/>
        </w:rPr>
        <w:t xml:space="preserve">others </w:t>
      </w:r>
      <w:r>
        <w:rPr>
          <w:rFonts w:asciiTheme="minorHAnsi" w:hAnsiTheme="minorHAnsi"/>
        </w:rPr>
        <w:t xml:space="preserve">including carers, aged care staff and </w:t>
      </w:r>
      <w:r w:rsidRPr="00E41796">
        <w:rPr>
          <w:rFonts w:asciiTheme="minorHAnsi" w:hAnsiTheme="minorHAnsi"/>
        </w:rPr>
        <w:t>other residents</w:t>
      </w:r>
    </w:p>
    <w:p w:rsidR="00CA4FF1" w:rsidRDefault="00CA4FF1" w:rsidP="00CA4FF1">
      <w:pPr>
        <w:pStyle w:val="Default"/>
        <w:numPr>
          <w:ilvl w:val="0"/>
          <w:numId w:val="7"/>
        </w:numPr>
        <w:jc w:val="both"/>
        <w:rPr>
          <w:rFonts w:asciiTheme="minorHAnsi" w:hAnsiTheme="minorHAnsi"/>
        </w:rPr>
      </w:pPr>
      <w:r w:rsidRPr="00E41796">
        <w:rPr>
          <w:rFonts w:asciiTheme="minorHAnsi" w:hAnsiTheme="minorHAnsi"/>
        </w:rPr>
        <w:t>being required to physically move away from family and other local supports to access appropriate  long-term care, especially for people living in regional</w:t>
      </w:r>
      <w:r>
        <w:rPr>
          <w:rFonts w:asciiTheme="minorHAnsi" w:hAnsiTheme="minorHAnsi"/>
        </w:rPr>
        <w:t xml:space="preserve">, </w:t>
      </w:r>
      <w:r w:rsidRPr="00E41796">
        <w:rPr>
          <w:rFonts w:asciiTheme="minorHAnsi" w:hAnsiTheme="minorHAnsi"/>
        </w:rPr>
        <w:t>rural, and remote areas</w:t>
      </w:r>
    </w:p>
    <w:p w:rsidR="00CA4FF1" w:rsidRDefault="00CA4FF1" w:rsidP="00CA4FF1">
      <w:pPr>
        <w:pStyle w:val="Default"/>
        <w:numPr>
          <w:ilvl w:val="0"/>
          <w:numId w:val="7"/>
        </w:numPr>
        <w:jc w:val="both"/>
        <w:rPr>
          <w:rFonts w:asciiTheme="minorHAnsi" w:hAnsiTheme="minorHAnsi"/>
        </w:rPr>
      </w:pPr>
      <w:r w:rsidRPr="00E41796">
        <w:rPr>
          <w:rFonts w:asciiTheme="minorHAnsi" w:hAnsiTheme="minorHAnsi"/>
        </w:rPr>
        <w:t>being ‘bounced’ between the aged care and health sectors, with distress from multiple transfers between settings and frequent disruption to care routines</w:t>
      </w:r>
    </w:p>
    <w:p w:rsidR="00CA4FF1" w:rsidRPr="00805183" w:rsidRDefault="00CA4FF1" w:rsidP="00CA4FF1">
      <w:pPr>
        <w:pStyle w:val="Default"/>
        <w:numPr>
          <w:ilvl w:val="0"/>
          <w:numId w:val="7"/>
        </w:numPr>
        <w:jc w:val="both"/>
        <w:rPr>
          <w:rFonts w:asciiTheme="minorHAnsi" w:hAnsiTheme="minorHAnsi"/>
        </w:rPr>
      </w:pPr>
      <w:proofErr w:type="gramStart"/>
      <w:r>
        <w:rPr>
          <w:rFonts w:asciiTheme="minorHAnsi" w:hAnsiTheme="minorHAnsi"/>
        </w:rPr>
        <w:t>lack</w:t>
      </w:r>
      <w:proofErr w:type="gramEnd"/>
      <w:r>
        <w:rPr>
          <w:rFonts w:asciiTheme="minorHAnsi" w:hAnsiTheme="minorHAnsi"/>
        </w:rPr>
        <w:t xml:space="preserve"> of culturally appropriate services.</w:t>
      </w:r>
    </w:p>
    <w:p w:rsidR="00CA4FF1" w:rsidRPr="00C44246" w:rsidRDefault="00CA4FF1" w:rsidP="00CA4FF1">
      <w:pPr>
        <w:pStyle w:val="Default"/>
        <w:jc w:val="both"/>
        <w:rPr>
          <w:rFonts w:asciiTheme="minorHAnsi" w:hAnsiTheme="minorHAnsi"/>
        </w:rPr>
      </w:pPr>
    </w:p>
    <w:p w:rsidR="00CA4FF1" w:rsidRPr="00C44246" w:rsidRDefault="00CA4FF1" w:rsidP="00CA4FF1">
      <w:pPr>
        <w:pStyle w:val="Default"/>
        <w:jc w:val="both"/>
        <w:rPr>
          <w:rFonts w:asciiTheme="minorHAnsi" w:hAnsiTheme="minorHAnsi"/>
        </w:rPr>
      </w:pPr>
      <w:r w:rsidRPr="00C44246">
        <w:rPr>
          <w:rFonts w:asciiTheme="minorHAnsi" w:hAnsiTheme="minorHAnsi"/>
        </w:rPr>
        <w:t>The impacts for the aged care and health systems</w:t>
      </w:r>
      <w:r>
        <w:rPr>
          <w:rFonts w:asciiTheme="minorHAnsi" w:hAnsiTheme="minorHAnsi"/>
        </w:rPr>
        <w:t xml:space="preserve"> may include:</w:t>
      </w:r>
      <w:r w:rsidRPr="00C44246">
        <w:rPr>
          <w:rFonts w:asciiTheme="minorHAnsi" w:hAnsiTheme="minorHAnsi"/>
        </w:rPr>
        <w:t xml:space="preserve"> </w:t>
      </w:r>
    </w:p>
    <w:p w:rsidR="00CA4FF1" w:rsidRPr="00C44246" w:rsidRDefault="00CA4FF1" w:rsidP="00CA4FF1">
      <w:pPr>
        <w:pStyle w:val="Default"/>
        <w:numPr>
          <w:ilvl w:val="0"/>
          <w:numId w:val="7"/>
        </w:numPr>
        <w:jc w:val="both"/>
        <w:rPr>
          <w:rFonts w:asciiTheme="minorHAnsi" w:hAnsiTheme="minorHAnsi"/>
        </w:rPr>
      </w:pPr>
      <w:r w:rsidRPr="00C44246">
        <w:rPr>
          <w:rFonts w:asciiTheme="minorHAnsi" w:hAnsiTheme="minorHAnsi"/>
        </w:rPr>
        <w:t xml:space="preserve">poor targeting of resources and unnecessary costs through potentially avoidable, costly short-term hospitalisations and/or long-term residence in acute mental health facilities </w:t>
      </w:r>
    </w:p>
    <w:p w:rsidR="00CA4FF1" w:rsidRDefault="00CA4FF1" w:rsidP="00CA4FF1">
      <w:pPr>
        <w:pStyle w:val="Default"/>
        <w:numPr>
          <w:ilvl w:val="0"/>
          <w:numId w:val="7"/>
        </w:numPr>
        <w:jc w:val="both"/>
        <w:rPr>
          <w:rFonts w:asciiTheme="minorHAnsi" w:hAnsiTheme="minorHAnsi"/>
        </w:rPr>
      </w:pPr>
      <w:r>
        <w:rPr>
          <w:rFonts w:asciiTheme="minorHAnsi" w:hAnsiTheme="minorHAnsi"/>
        </w:rPr>
        <w:t xml:space="preserve">pressure on </w:t>
      </w:r>
      <w:r w:rsidRPr="00C44246">
        <w:rPr>
          <w:rFonts w:asciiTheme="minorHAnsi" w:hAnsiTheme="minorHAnsi"/>
        </w:rPr>
        <w:t xml:space="preserve">sub-acute facilities to </w:t>
      </w:r>
      <w:r>
        <w:rPr>
          <w:rFonts w:asciiTheme="minorHAnsi" w:hAnsiTheme="minorHAnsi"/>
        </w:rPr>
        <w:t>transition</w:t>
      </w:r>
      <w:r w:rsidRPr="00C44246">
        <w:rPr>
          <w:rFonts w:asciiTheme="minorHAnsi" w:hAnsiTheme="minorHAnsi"/>
        </w:rPr>
        <w:t xml:space="preserve"> residents into mainstream aged </w:t>
      </w:r>
      <w:r>
        <w:rPr>
          <w:rFonts w:asciiTheme="minorHAnsi" w:hAnsiTheme="minorHAnsi"/>
        </w:rPr>
        <w:t>care earlier than might be appropriate to manage service demand</w:t>
      </w:r>
      <w:r w:rsidRPr="00C44246">
        <w:rPr>
          <w:rFonts w:asciiTheme="minorHAnsi" w:hAnsiTheme="minorHAnsi"/>
        </w:rPr>
        <w:t xml:space="preserve"> </w:t>
      </w:r>
    </w:p>
    <w:p w:rsidR="00CA4FF1" w:rsidRDefault="00CA4FF1" w:rsidP="00CA4FF1">
      <w:pPr>
        <w:pStyle w:val="Default"/>
        <w:numPr>
          <w:ilvl w:val="0"/>
          <w:numId w:val="7"/>
        </w:numPr>
        <w:jc w:val="both"/>
        <w:rPr>
          <w:rFonts w:asciiTheme="minorHAnsi" w:hAnsiTheme="minorHAnsi"/>
        </w:rPr>
      </w:pPr>
      <w:r>
        <w:rPr>
          <w:rFonts w:asciiTheme="minorHAnsi" w:hAnsiTheme="minorHAnsi"/>
        </w:rPr>
        <w:lastRenderedPageBreak/>
        <w:t>high turnover and burnout of staff in mainstream residential aged care and health services as a result of staff feeling poorly equipped to appropriately manage people with very severe BPSD</w:t>
      </w:r>
    </w:p>
    <w:p w:rsidR="00CA4FF1" w:rsidRDefault="00CA4FF1" w:rsidP="00CA4FF1">
      <w:pPr>
        <w:pStyle w:val="Default"/>
        <w:numPr>
          <w:ilvl w:val="0"/>
          <w:numId w:val="7"/>
        </w:numPr>
        <w:jc w:val="both"/>
        <w:rPr>
          <w:rFonts w:asciiTheme="minorHAnsi" w:hAnsiTheme="minorHAnsi"/>
        </w:rPr>
      </w:pPr>
      <w:proofErr w:type="gramStart"/>
      <w:r w:rsidRPr="00C44246">
        <w:rPr>
          <w:rFonts w:asciiTheme="minorHAnsi" w:hAnsiTheme="minorHAnsi"/>
        </w:rPr>
        <w:t>difficulties</w:t>
      </w:r>
      <w:proofErr w:type="gramEnd"/>
      <w:r w:rsidRPr="00C44246">
        <w:rPr>
          <w:rFonts w:asciiTheme="minorHAnsi" w:hAnsiTheme="minorHAnsi"/>
        </w:rPr>
        <w:t xml:space="preserve"> in accessing mainstream residential aged </w:t>
      </w:r>
      <w:r>
        <w:rPr>
          <w:rFonts w:asciiTheme="minorHAnsi" w:hAnsiTheme="minorHAnsi"/>
        </w:rPr>
        <w:t xml:space="preserve">care </w:t>
      </w:r>
      <w:r w:rsidRPr="00C44246">
        <w:rPr>
          <w:rFonts w:asciiTheme="minorHAnsi" w:hAnsiTheme="minorHAnsi"/>
        </w:rPr>
        <w:t xml:space="preserve">for people with </w:t>
      </w:r>
      <w:r>
        <w:rPr>
          <w:rFonts w:asciiTheme="minorHAnsi" w:hAnsiTheme="minorHAnsi"/>
        </w:rPr>
        <w:t xml:space="preserve">earlier stage dementia due to </w:t>
      </w:r>
      <w:r w:rsidRPr="00C44246">
        <w:rPr>
          <w:rFonts w:asciiTheme="minorHAnsi" w:hAnsiTheme="minorHAnsi"/>
        </w:rPr>
        <w:t xml:space="preserve">provider </w:t>
      </w:r>
      <w:r>
        <w:rPr>
          <w:rFonts w:asciiTheme="minorHAnsi" w:hAnsiTheme="minorHAnsi"/>
        </w:rPr>
        <w:t xml:space="preserve">concern about the potential future </w:t>
      </w:r>
      <w:r w:rsidRPr="00C44246">
        <w:rPr>
          <w:rFonts w:asciiTheme="minorHAnsi" w:hAnsiTheme="minorHAnsi"/>
        </w:rPr>
        <w:t>risk</w:t>
      </w:r>
      <w:r>
        <w:rPr>
          <w:rFonts w:asciiTheme="minorHAnsi" w:hAnsiTheme="minorHAnsi"/>
        </w:rPr>
        <w:t>s associated with disease progression.</w:t>
      </w:r>
    </w:p>
    <w:p w:rsidR="00CA4FF1" w:rsidRDefault="00CA4FF1" w:rsidP="00CA4FF1">
      <w:pPr>
        <w:pStyle w:val="Heading2"/>
        <w:numPr>
          <w:ilvl w:val="1"/>
          <w:numId w:val="2"/>
        </w:numPr>
        <w:spacing w:after="120"/>
        <w:jc w:val="both"/>
      </w:pPr>
      <w:bookmarkStart w:id="22" w:name="_Toc499538729"/>
      <w:r w:rsidRPr="005A0258">
        <w:t xml:space="preserve">The </w:t>
      </w:r>
      <w:r>
        <w:t xml:space="preserve">Australian </w:t>
      </w:r>
      <w:r w:rsidRPr="00933C89">
        <w:t xml:space="preserve">Government’s </w:t>
      </w:r>
      <w:r>
        <w:t>c</w:t>
      </w:r>
      <w:r w:rsidRPr="00933C89">
        <w:t>ommitment to establish SDCUs</w:t>
      </w:r>
      <w:bookmarkEnd w:id="22"/>
    </w:p>
    <w:p w:rsidR="00CA4FF1" w:rsidRDefault="00CA4FF1" w:rsidP="00CA4FF1">
      <w:pPr>
        <w:jc w:val="both"/>
      </w:pPr>
      <w:r w:rsidRPr="00CE5AB9">
        <w:t>In December 2016</w:t>
      </w:r>
      <w:r>
        <w:t>,</w:t>
      </w:r>
      <w:r w:rsidRPr="00CE5AB9">
        <w:t xml:space="preserve"> the Australian Government committed to establish at least one SDCU in each of the 31 Primary Health Network (PHN) regions as depicted </w:t>
      </w:r>
      <w:r>
        <w:t>on the next page.</w:t>
      </w:r>
    </w:p>
    <w:p w:rsidR="00F24B50" w:rsidRDefault="00F24B50" w:rsidP="00CA4FF1">
      <w:pPr>
        <w:jc w:val="both"/>
        <w:sectPr w:rsidR="00F24B50" w:rsidSect="00F24B50">
          <w:headerReference w:type="even" r:id="rId13"/>
          <w:headerReference w:type="default" r:id="rId14"/>
          <w:footerReference w:type="even" r:id="rId15"/>
          <w:footerReference w:type="default" r:id="rId16"/>
          <w:headerReference w:type="first" r:id="rId17"/>
          <w:footerReference w:type="first" r:id="rId18"/>
          <w:endnotePr>
            <w:numFmt w:val="decimal"/>
          </w:endnotePr>
          <w:pgSz w:w="11906" w:h="16838"/>
          <w:pgMar w:top="1440" w:right="1800" w:bottom="1440" w:left="1800" w:header="708" w:footer="708" w:gutter="0"/>
          <w:cols w:space="708"/>
          <w:titlePg/>
          <w:docGrid w:linePitch="360"/>
        </w:sectPr>
      </w:pPr>
    </w:p>
    <w:p w:rsidR="00CA4FF1" w:rsidRPr="00D74ADB" w:rsidRDefault="00CA4FF1" w:rsidP="00CA4FF1">
      <w:pPr>
        <w:jc w:val="both"/>
        <w:rPr>
          <w:rStyle w:val="Emphasis"/>
        </w:rPr>
      </w:pPr>
      <w:r w:rsidRPr="00D74ADB">
        <w:rPr>
          <w:rStyle w:val="Emphasis"/>
        </w:rPr>
        <w:lastRenderedPageBreak/>
        <w:t>Figure 5: Map of PHN boundaries</w:t>
      </w:r>
    </w:p>
    <w:p w:rsidR="00CA4FF1" w:rsidRDefault="00CA4FF1" w:rsidP="00CA4FF1">
      <w:pPr>
        <w:jc w:val="both"/>
      </w:pPr>
      <w:r>
        <w:rPr>
          <w:noProof/>
          <w:lang w:eastAsia="en-AU"/>
        </w:rPr>
        <w:drawing>
          <wp:inline distT="0" distB="0" distL="0" distR="0" wp14:anchorId="558F769E" wp14:editId="7BC65C2B">
            <wp:extent cx="7185546" cy="5085043"/>
            <wp:effectExtent l="0" t="0" r="0" b="0"/>
            <wp:docPr id="9" name="Picture 9" descr="Coloured map of Australia showing Primary Health Network boundaries (31 in to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N_A4_Labelled_Oct2017.em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185546" cy="5085043"/>
                    </a:xfrm>
                    <a:prstGeom prst="rect">
                      <a:avLst/>
                    </a:prstGeom>
                  </pic:spPr>
                </pic:pic>
              </a:graphicData>
            </a:graphic>
          </wp:inline>
        </w:drawing>
      </w:r>
    </w:p>
    <w:p w:rsidR="00CA4FF1" w:rsidRDefault="00CA4FF1" w:rsidP="00CA4FF1">
      <w:pPr>
        <w:jc w:val="both"/>
        <w:sectPr w:rsidR="00CA4FF1" w:rsidSect="00F24B50">
          <w:endnotePr>
            <w:numFmt w:val="decimal"/>
          </w:endnotePr>
          <w:pgSz w:w="16838" w:h="11906" w:orient="landscape"/>
          <w:pgMar w:top="1800" w:right="1440" w:bottom="1800" w:left="1440" w:header="708" w:footer="708" w:gutter="0"/>
          <w:cols w:space="708"/>
          <w:titlePg/>
          <w:docGrid w:linePitch="360"/>
        </w:sectPr>
      </w:pPr>
    </w:p>
    <w:p w:rsidR="00CA4FF1" w:rsidRDefault="00CA4FF1" w:rsidP="00CA4FF1">
      <w:pPr>
        <w:jc w:val="both"/>
      </w:pPr>
    </w:p>
    <w:p w:rsidR="00CA4FF1" w:rsidRPr="00CE5AB9" w:rsidRDefault="00CA4FF1" w:rsidP="00CA4FF1">
      <w:pPr>
        <w:jc w:val="both"/>
      </w:pPr>
      <w:r w:rsidRPr="00CE5AB9">
        <w:t>SDCUs are being established to:</w:t>
      </w:r>
    </w:p>
    <w:p w:rsidR="00CA4FF1" w:rsidRPr="00CE5AB9" w:rsidRDefault="00CA4FF1" w:rsidP="00CA4FF1">
      <w:pPr>
        <w:numPr>
          <w:ilvl w:val="0"/>
          <w:numId w:val="8"/>
        </w:numPr>
        <w:autoSpaceDE w:val="0"/>
        <w:autoSpaceDN w:val="0"/>
        <w:adjustRightInd w:val="0"/>
        <w:ind w:left="357" w:hanging="357"/>
        <w:contextualSpacing/>
        <w:jc w:val="both"/>
      </w:pPr>
      <w:r w:rsidRPr="00CE5AB9">
        <w:t xml:space="preserve">provide care for people with very severe BPSD who are unable to be effectively cared for by mainstream aged care services due to the risk of harm they present to themselves or others </w:t>
      </w:r>
    </w:p>
    <w:p w:rsidR="00CA4FF1" w:rsidRPr="00CE5AB9" w:rsidRDefault="00CA4FF1" w:rsidP="00CA4FF1">
      <w:pPr>
        <w:numPr>
          <w:ilvl w:val="0"/>
          <w:numId w:val="8"/>
        </w:numPr>
        <w:contextualSpacing/>
        <w:jc w:val="both"/>
      </w:pPr>
      <w:r w:rsidRPr="00CE5AB9">
        <w:t>deliver care within a dedicated 8</w:t>
      </w:r>
      <w:r>
        <w:t>–</w:t>
      </w:r>
      <w:r w:rsidRPr="00CE5AB9">
        <w:t xml:space="preserve">12 bed unit with a residential aged care setting </w:t>
      </w:r>
    </w:p>
    <w:p w:rsidR="00CA4FF1" w:rsidRPr="00CE5AB9" w:rsidRDefault="00CA4FF1" w:rsidP="00CA4FF1">
      <w:pPr>
        <w:numPr>
          <w:ilvl w:val="0"/>
          <w:numId w:val="8"/>
        </w:numPr>
        <w:autoSpaceDE w:val="0"/>
        <w:autoSpaceDN w:val="0"/>
        <w:adjustRightInd w:val="0"/>
        <w:spacing w:before="100" w:beforeAutospacing="1" w:after="100" w:afterAutospacing="1"/>
        <w:contextualSpacing/>
        <w:jc w:val="both"/>
        <w:rPr>
          <w:rFonts w:ascii="Arial" w:eastAsiaTheme="minorHAnsi" w:hAnsi="Arial" w:cs="Arial"/>
          <w:iCs/>
          <w:sz w:val="22"/>
          <w:szCs w:val="22"/>
        </w:rPr>
      </w:pPr>
      <w:r w:rsidRPr="00CE5AB9">
        <w:t>offer transitional support with a focus on reducing or stabilising symptoms</w:t>
      </w:r>
      <w:r>
        <w:t>,</w:t>
      </w:r>
      <w:r w:rsidRPr="00CE5AB9">
        <w:t xml:space="preserve"> with the aim of enabling the person to transition to a less intensive care setting</w:t>
      </w:r>
    </w:p>
    <w:p w:rsidR="00770F6F" w:rsidRPr="006B5219" w:rsidRDefault="00CA4FF1" w:rsidP="00CA4FF1">
      <w:pPr>
        <w:numPr>
          <w:ilvl w:val="0"/>
          <w:numId w:val="8"/>
        </w:numPr>
        <w:autoSpaceDE w:val="0"/>
        <w:autoSpaceDN w:val="0"/>
        <w:adjustRightInd w:val="0"/>
        <w:spacing w:before="100" w:beforeAutospacing="1" w:after="100" w:afterAutospacing="1"/>
        <w:contextualSpacing/>
        <w:jc w:val="both"/>
        <w:rPr>
          <w:rFonts w:ascii="Arial" w:eastAsiaTheme="minorHAnsi" w:hAnsi="Arial" w:cs="Arial"/>
          <w:iCs/>
          <w:sz w:val="22"/>
          <w:szCs w:val="22"/>
        </w:rPr>
      </w:pPr>
      <w:r w:rsidRPr="00CE5AB9">
        <w:t xml:space="preserve">operate as the ‘third level’ of Australian Government programs to assist </w:t>
      </w:r>
      <w:r>
        <w:t xml:space="preserve">people with </w:t>
      </w:r>
      <w:r w:rsidRPr="00CE5AB9">
        <w:t>dementia, complementing the existing Dementia Behaviour Management Advisory Service and the Severe Behaviour Response Teams</w:t>
      </w:r>
    </w:p>
    <w:p w:rsidR="00CA4FF1" w:rsidRPr="00770F6F" w:rsidRDefault="00770F6F" w:rsidP="00770F6F">
      <w:pPr>
        <w:numPr>
          <w:ilvl w:val="0"/>
          <w:numId w:val="8"/>
        </w:numPr>
        <w:autoSpaceDE w:val="0"/>
        <w:autoSpaceDN w:val="0"/>
        <w:adjustRightInd w:val="0"/>
        <w:spacing w:before="100" w:beforeAutospacing="1" w:after="100" w:afterAutospacing="1"/>
        <w:contextualSpacing/>
        <w:jc w:val="both"/>
        <w:rPr>
          <w:rFonts w:ascii="Arial" w:eastAsiaTheme="minorHAnsi" w:hAnsi="Arial" w:cs="Arial"/>
          <w:iCs/>
          <w:sz w:val="22"/>
          <w:szCs w:val="22"/>
        </w:rPr>
      </w:pPr>
      <w:r>
        <w:rPr>
          <w:rFonts w:ascii="Arial" w:eastAsiaTheme="minorHAnsi" w:hAnsi="Arial" w:cs="Arial"/>
          <w:iCs/>
          <w:sz w:val="22"/>
          <w:szCs w:val="22"/>
        </w:rPr>
        <w:t xml:space="preserve">enhance the </w:t>
      </w:r>
      <w:r>
        <w:t xml:space="preserve"> existing health and aged care service systems for people with very severe BPSD, including complementing state and </w:t>
      </w:r>
      <w:r>
        <w:rPr>
          <w:rFonts w:ascii="Arial" w:eastAsiaTheme="minorHAnsi" w:hAnsi="Arial" w:cs="Arial"/>
          <w:iCs/>
          <w:sz w:val="22"/>
          <w:szCs w:val="22"/>
        </w:rPr>
        <w:t>territory government funded services and supports for people with BPSD.</w:t>
      </w:r>
      <w:r w:rsidR="00CA4FF1" w:rsidRPr="00CE5AB9">
        <w:t xml:space="preserve"> </w:t>
      </w:r>
    </w:p>
    <w:p w:rsidR="00CA4FF1" w:rsidRDefault="00CA4FF1" w:rsidP="00CA4FF1">
      <w:pPr>
        <w:jc w:val="both"/>
      </w:pPr>
    </w:p>
    <w:p w:rsidR="00CA4FF1" w:rsidRPr="00CE5AB9" w:rsidRDefault="00CA4FF1" w:rsidP="00CA4FF1">
      <w:pPr>
        <w:jc w:val="both"/>
      </w:pPr>
      <w:r w:rsidRPr="00CE5AB9">
        <w:t>Funding for the SDCU initiative is expected to be $72</w:t>
      </w:r>
      <w:r>
        <w:t xml:space="preserve"> </w:t>
      </w:r>
      <w:r w:rsidRPr="00CE5AB9">
        <w:t>million per annum from</w:t>
      </w:r>
      <w:r>
        <w:t xml:space="preserve"> </w:t>
      </w:r>
      <w:r w:rsidRPr="00CE5AB9">
        <w:t xml:space="preserve">2023-24 once all 372 places are operational. </w:t>
      </w:r>
    </w:p>
    <w:p w:rsidR="00CA4FF1" w:rsidRPr="00CE5AB9" w:rsidRDefault="00CA4FF1" w:rsidP="00CA4FF1">
      <w:pPr>
        <w:jc w:val="both"/>
      </w:pPr>
    </w:p>
    <w:p w:rsidR="00CA4FF1" w:rsidRDefault="00CA4FF1" w:rsidP="00CA4FF1">
      <w:pPr>
        <w:jc w:val="both"/>
      </w:pPr>
      <w:r w:rsidRPr="00CE5AB9">
        <w:t>A core feature of the Government’s commitment is that people living with dementia in rural and remote locations will have access to support, particularly in areas which currently cannot access specialist support services.</w:t>
      </w:r>
    </w:p>
    <w:p w:rsidR="00CA4FF1" w:rsidRDefault="00CA4FF1" w:rsidP="00CA4FF1">
      <w:pPr>
        <w:jc w:val="both"/>
      </w:pPr>
    </w:p>
    <w:p w:rsidR="00CA4FF1" w:rsidRPr="006C4A82" w:rsidRDefault="00CA4FF1" w:rsidP="00CA4FF1">
      <w:pPr>
        <w:pStyle w:val="Heading1"/>
        <w:numPr>
          <w:ilvl w:val="0"/>
          <w:numId w:val="5"/>
        </w:numPr>
        <w:spacing w:after="120"/>
        <w:jc w:val="both"/>
        <w:rPr>
          <w:rFonts w:eastAsiaTheme="minorHAnsi"/>
        </w:rPr>
      </w:pPr>
      <w:bookmarkStart w:id="23" w:name="_Development_of_the"/>
      <w:bookmarkStart w:id="24" w:name="_Toc499538730"/>
      <w:bookmarkEnd w:id="23"/>
      <w:r w:rsidRPr="006C4A82">
        <w:rPr>
          <w:rFonts w:eastAsiaTheme="minorHAnsi"/>
        </w:rPr>
        <w:t>Development of the SDCU service model</w:t>
      </w:r>
      <w:bookmarkEnd w:id="24"/>
      <w:r>
        <w:rPr>
          <w:rFonts w:eastAsiaTheme="minorHAnsi"/>
        </w:rPr>
        <w:t xml:space="preserve"> </w:t>
      </w:r>
    </w:p>
    <w:p w:rsidR="00CA4FF1" w:rsidRPr="00642117" w:rsidRDefault="00CA4FF1" w:rsidP="00CA4FF1">
      <w:pPr>
        <w:pStyle w:val="Heading2"/>
        <w:numPr>
          <w:ilvl w:val="1"/>
          <w:numId w:val="3"/>
        </w:numPr>
        <w:spacing w:after="120"/>
        <w:jc w:val="both"/>
      </w:pPr>
      <w:bookmarkStart w:id="25" w:name="_Toc499538731"/>
      <w:r w:rsidRPr="00642117">
        <w:t>Inputs that have informed the proposed SDCU arrangements</w:t>
      </w:r>
      <w:bookmarkEnd w:id="25"/>
    </w:p>
    <w:p w:rsidR="00CA4FF1" w:rsidRPr="00CE5AB9" w:rsidRDefault="00CA4FF1" w:rsidP="00CA4FF1">
      <w:pPr>
        <w:jc w:val="both"/>
      </w:pPr>
      <w:r w:rsidRPr="00CE5AB9">
        <w:t>The proposed SDCU arrangements outlined in this paper have been informed by targeted consultation</w:t>
      </w:r>
      <w:r>
        <w:t>,</w:t>
      </w:r>
      <w:r w:rsidRPr="00CE5AB9">
        <w:t xml:space="preserve"> </w:t>
      </w:r>
      <w:r>
        <w:t>c</w:t>
      </w:r>
      <w:r w:rsidRPr="00CE5AB9">
        <w:t>onsideration of existing operating models</w:t>
      </w:r>
      <w:r>
        <w:t>,</w:t>
      </w:r>
      <w:r w:rsidRPr="00CE5AB9">
        <w:t xml:space="preserve"> and analysis of best practice evidence. More specifically this has included:</w:t>
      </w:r>
    </w:p>
    <w:p w:rsidR="00CA4FF1" w:rsidRPr="00CE5AB9" w:rsidRDefault="00CA4FF1" w:rsidP="00CA4FF1">
      <w:pPr>
        <w:numPr>
          <w:ilvl w:val="0"/>
          <w:numId w:val="9"/>
        </w:numPr>
        <w:contextualSpacing/>
        <w:jc w:val="both"/>
      </w:pPr>
      <w:r w:rsidRPr="00CE5AB9">
        <w:t xml:space="preserve">an SDCU Design Workshop with key aged care sector representatives and clinicians held in March 2017 </w:t>
      </w:r>
    </w:p>
    <w:p w:rsidR="00CA4FF1" w:rsidRPr="00CE5AB9" w:rsidRDefault="00CA4FF1" w:rsidP="00CA4FF1">
      <w:pPr>
        <w:numPr>
          <w:ilvl w:val="0"/>
          <w:numId w:val="9"/>
        </w:numPr>
        <w:contextualSpacing/>
        <w:jc w:val="both"/>
      </w:pPr>
      <w:r w:rsidRPr="00CE5AB9">
        <w:t>interviews and discussions with state and territory government officials in all jurisdictions</w:t>
      </w:r>
      <w:r>
        <w:t>,</w:t>
      </w:r>
      <w:r w:rsidRPr="00CE5AB9">
        <w:t xml:space="preserve"> to understand current service systems for older people with mental health-related very severe behaviours and/or very severe BPSD </w:t>
      </w:r>
    </w:p>
    <w:p w:rsidR="00CA4FF1" w:rsidRPr="00CE5AB9" w:rsidRDefault="00CA4FF1" w:rsidP="00CA4FF1">
      <w:pPr>
        <w:numPr>
          <w:ilvl w:val="0"/>
          <w:numId w:val="9"/>
        </w:numPr>
        <w:contextualSpacing/>
        <w:jc w:val="both"/>
      </w:pPr>
      <w:r w:rsidRPr="00CE5AB9">
        <w:t>rapid review of the domestic and international literature on SDCU-like facilities</w:t>
      </w:r>
      <w:r>
        <w:t xml:space="preserve"> or similar,</w:t>
      </w:r>
      <w:r w:rsidRPr="00CE5AB9">
        <w:t xml:space="preserve"> conducted by the University of Wollongong</w:t>
      </w:r>
    </w:p>
    <w:p w:rsidR="00CA4FF1" w:rsidRPr="00CE5AB9" w:rsidRDefault="00CA4FF1" w:rsidP="00CA4FF1">
      <w:pPr>
        <w:numPr>
          <w:ilvl w:val="0"/>
          <w:numId w:val="9"/>
        </w:numPr>
        <w:contextualSpacing/>
        <w:jc w:val="both"/>
      </w:pPr>
      <w:r w:rsidRPr="00CE5AB9">
        <w:t>consultation with clinical experts</w:t>
      </w:r>
      <w:r>
        <w:t>, people with dementia and organisations representing people with dementia</w:t>
      </w:r>
      <w:r w:rsidRPr="00CE5AB9">
        <w:t xml:space="preserve"> through the SDCU Expert Advisory Group, which was convened to provide advice on the proposed model of care</w:t>
      </w:r>
    </w:p>
    <w:p w:rsidR="00CA4FF1" w:rsidRPr="00CE5AB9" w:rsidRDefault="00CA4FF1" w:rsidP="00CA4FF1">
      <w:pPr>
        <w:numPr>
          <w:ilvl w:val="0"/>
          <w:numId w:val="9"/>
        </w:numPr>
        <w:contextualSpacing/>
        <w:jc w:val="both"/>
      </w:pPr>
      <w:proofErr w:type="gramStart"/>
      <w:r w:rsidRPr="00CE5AB9">
        <w:t>facilitated</w:t>
      </w:r>
      <w:proofErr w:type="gramEnd"/>
      <w:r w:rsidRPr="00CE5AB9">
        <w:t xml:space="preserve"> internal workshops to scope legal, funding and administrative options.</w:t>
      </w:r>
    </w:p>
    <w:p w:rsidR="00CA4FF1" w:rsidRDefault="00CA4FF1" w:rsidP="00CA4FF1">
      <w:pPr>
        <w:pStyle w:val="Heading2"/>
        <w:numPr>
          <w:ilvl w:val="1"/>
          <w:numId w:val="3"/>
        </w:numPr>
        <w:spacing w:after="120"/>
        <w:jc w:val="both"/>
      </w:pPr>
      <w:bookmarkStart w:id="26" w:name="_Toc499538732"/>
      <w:r>
        <w:t>Broader policy context in which SDCUs will operate</w:t>
      </w:r>
      <w:bookmarkEnd w:id="26"/>
    </w:p>
    <w:p w:rsidR="00CA4FF1" w:rsidRDefault="00CA4FF1" w:rsidP="00CA4FF1">
      <w:pPr>
        <w:autoSpaceDE w:val="0"/>
        <w:autoSpaceDN w:val="0"/>
        <w:adjustRightInd w:val="0"/>
        <w:jc w:val="both"/>
        <w:rPr>
          <w:rFonts w:ascii="Calibri" w:hAnsi="Calibri" w:cs="Calibri"/>
          <w:color w:val="000000"/>
          <w:szCs w:val="22"/>
          <w:lang w:eastAsia="en-AU"/>
        </w:rPr>
      </w:pPr>
      <w:r w:rsidRPr="00727D15">
        <w:rPr>
          <w:rFonts w:ascii="Calibri" w:hAnsi="Calibri" w:cs="Calibri"/>
          <w:color w:val="000000"/>
          <w:szCs w:val="22"/>
          <w:lang w:eastAsia="en-AU"/>
        </w:rPr>
        <w:t>SDCUs are being designed and implemented within a broader policy context that is complex and evolving. This will require extensive consultation across the Health and Social Services portfolios and particularly with state and territory governments.</w:t>
      </w:r>
      <w:r>
        <w:rPr>
          <w:rFonts w:ascii="Calibri" w:hAnsi="Calibri" w:cs="Calibri"/>
          <w:color w:val="000000"/>
          <w:szCs w:val="22"/>
          <w:lang w:eastAsia="en-AU"/>
        </w:rPr>
        <w:t xml:space="preserve"> </w:t>
      </w:r>
    </w:p>
    <w:p w:rsidR="00CA4FF1" w:rsidRDefault="00CA4FF1" w:rsidP="00CA4FF1">
      <w:pPr>
        <w:autoSpaceDE w:val="0"/>
        <w:autoSpaceDN w:val="0"/>
        <w:adjustRightInd w:val="0"/>
        <w:jc w:val="both"/>
        <w:rPr>
          <w:rFonts w:ascii="Calibri" w:hAnsi="Calibri" w:cs="Calibri"/>
          <w:color w:val="000000"/>
          <w:szCs w:val="22"/>
          <w:lang w:eastAsia="en-AU"/>
        </w:rPr>
      </w:pPr>
    </w:p>
    <w:p w:rsidR="008B4376" w:rsidRDefault="008B4376">
      <w:pPr>
        <w:rPr>
          <w:rFonts w:ascii="Calibri" w:hAnsi="Calibri" w:cs="Calibri"/>
          <w:color w:val="000000"/>
          <w:szCs w:val="22"/>
          <w:lang w:eastAsia="en-AU"/>
        </w:rPr>
      </w:pPr>
      <w:r>
        <w:rPr>
          <w:rFonts w:ascii="Calibri" w:hAnsi="Calibri" w:cs="Calibri"/>
          <w:color w:val="000000"/>
          <w:szCs w:val="22"/>
          <w:lang w:eastAsia="en-AU"/>
        </w:rPr>
        <w:br w:type="page"/>
      </w:r>
    </w:p>
    <w:p w:rsidR="00CA4FF1" w:rsidRPr="00727D15" w:rsidRDefault="00CA4FF1" w:rsidP="00CA4FF1">
      <w:pPr>
        <w:autoSpaceDE w:val="0"/>
        <w:autoSpaceDN w:val="0"/>
        <w:adjustRightInd w:val="0"/>
        <w:jc w:val="both"/>
        <w:rPr>
          <w:rFonts w:ascii="Calibri" w:hAnsi="Calibri" w:cs="Calibri"/>
          <w:color w:val="000000"/>
          <w:sz w:val="22"/>
          <w:szCs w:val="22"/>
          <w:lang w:eastAsia="en-AU"/>
        </w:rPr>
      </w:pPr>
      <w:r w:rsidRPr="00727D15">
        <w:rPr>
          <w:rFonts w:ascii="Calibri" w:hAnsi="Calibri" w:cs="Calibri"/>
          <w:color w:val="000000"/>
          <w:szCs w:val="22"/>
          <w:lang w:eastAsia="en-AU"/>
        </w:rPr>
        <w:lastRenderedPageBreak/>
        <w:t xml:space="preserve">Relevant policy agendas and processes include: </w:t>
      </w:r>
    </w:p>
    <w:p w:rsidR="00CA4FF1" w:rsidRDefault="00CA4FF1" w:rsidP="00CA4FF1">
      <w:pPr>
        <w:numPr>
          <w:ilvl w:val="0"/>
          <w:numId w:val="11"/>
        </w:numPr>
        <w:contextualSpacing/>
        <w:jc w:val="both"/>
      </w:pPr>
      <w:r>
        <w:t>operation of existing and planned expansion of state and territory supported SDCU</w:t>
      </w:r>
      <w:r w:rsidR="008B4376">
        <w:t>-</w:t>
      </w:r>
      <w:r>
        <w:t>like facilities in most jurisdictions (see 2.2.2)</w:t>
      </w:r>
    </w:p>
    <w:p w:rsidR="00CA4FF1" w:rsidRPr="00727D15" w:rsidRDefault="00CA4FF1" w:rsidP="00CA4FF1">
      <w:pPr>
        <w:numPr>
          <w:ilvl w:val="0"/>
          <w:numId w:val="11"/>
        </w:numPr>
        <w:contextualSpacing/>
        <w:jc w:val="both"/>
      </w:pPr>
      <w:r>
        <w:t xml:space="preserve">completed and ongoing </w:t>
      </w:r>
      <w:r w:rsidRPr="00727D15">
        <w:t xml:space="preserve">age care reforms and future sector expectations expressed in the Aged Care Roadmap </w:t>
      </w:r>
    </w:p>
    <w:p w:rsidR="00CA4FF1" w:rsidRPr="00182437" w:rsidRDefault="00CA4FF1" w:rsidP="00CA4FF1">
      <w:pPr>
        <w:numPr>
          <w:ilvl w:val="0"/>
          <w:numId w:val="11"/>
        </w:numPr>
        <w:contextualSpacing/>
        <w:jc w:val="both"/>
        <w:rPr>
          <w:i/>
        </w:rPr>
      </w:pPr>
      <w:r>
        <w:t xml:space="preserve">any changes to aged care regulatory process in response to the recommendations of the </w:t>
      </w:r>
      <w:r w:rsidRPr="00A610DD">
        <w:t>Review of National Aged Care Quality Regulatory Processes</w:t>
      </w:r>
      <w:r w:rsidRPr="00733491">
        <w:t xml:space="preserve"> </w:t>
      </w:r>
      <w:r>
        <w:t>(released October</w:t>
      </w:r>
      <w:r w:rsidRPr="00A610DD">
        <w:t xml:space="preserve"> 2017</w:t>
      </w:r>
      <w:r>
        <w:t>)</w:t>
      </w:r>
    </w:p>
    <w:p w:rsidR="00CA4FF1" w:rsidRPr="00727D15" w:rsidRDefault="00CA4FF1" w:rsidP="00CA4FF1">
      <w:pPr>
        <w:numPr>
          <w:ilvl w:val="0"/>
          <w:numId w:val="11"/>
        </w:numPr>
        <w:contextualSpacing/>
        <w:jc w:val="both"/>
      </w:pPr>
      <w:r w:rsidRPr="00727D15">
        <w:t xml:space="preserve">joint Australian Government and state/territory responsibility under the National Healthcare Agreement to develop care options for older people with dementia and mental health issues, and relevant provisions in any bilateral agreements between the Australian Government and state or territory governments </w:t>
      </w:r>
    </w:p>
    <w:p w:rsidR="00CA4FF1" w:rsidRDefault="00CA4FF1" w:rsidP="00CA4FF1">
      <w:pPr>
        <w:numPr>
          <w:ilvl w:val="0"/>
          <w:numId w:val="11"/>
        </w:numPr>
        <w:contextualSpacing/>
        <w:jc w:val="both"/>
      </w:pPr>
      <w:r w:rsidRPr="00727D15">
        <w:t xml:space="preserve">national targets for care of people with severe BPSD </w:t>
      </w:r>
      <w:r>
        <w:t xml:space="preserve">at the PHN region level as established in the </w:t>
      </w:r>
      <w:r w:rsidRPr="00A610DD">
        <w:t>National Mental Health Service Planning Framework</w:t>
      </w:r>
    </w:p>
    <w:p w:rsidR="00CA4FF1" w:rsidRDefault="00CA4FF1" w:rsidP="00CA4FF1">
      <w:pPr>
        <w:pStyle w:val="ListParagraph"/>
        <w:numPr>
          <w:ilvl w:val="0"/>
          <w:numId w:val="11"/>
        </w:numPr>
        <w:jc w:val="both"/>
      </w:pPr>
      <w:r>
        <w:t>the upcoming strategy being developed by the Aged Care Workforce Strategy Taskforce</w:t>
      </w:r>
    </w:p>
    <w:p w:rsidR="00CA4FF1" w:rsidRDefault="00CA4FF1" w:rsidP="00CA4FF1">
      <w:pPr>
        <w:pStyle w:val="ListParagraph"/>
        <w:numPr>
          <w:ilvl w:val="0"/>
          <w:numId w:val="11"/>
        </w:numPr>
        <w:jc w:val="both"/>
      </w:pPr>
      <w:r>
        <w:t>outcomes from the recent Department of Health consultation on t</w:t>
      </w:r>
      <w:r w:rsidRPr="00E815CF">
        <w:t>he redesign of dementia consumer supports</w:t>
      </w:r>
    </w:p>
    <w:p w:rsidR="00CA4FF1" w:rsidRPr="00727D15" w:rsidRDefault="00CA4FF1" w:rsidP="00CA4FF1">
      <w:pPr>
        <w:pStyle w:val="ListParagraph"/>
        <w:numPr>
          <w:ilvl w:val="0"/>
          <w:numId w:val="11"/>
        </w:numPr>
        <w:jc w:val="both"/>
      </w:pPr>
      <w:r w:rsidRPr="00727D15">
        <w:t>the National Framework for Action on Dementia 2015</w:t>
      </w:r>
      <w:r>
        <w:t>–</w:t>
      </w:r>
      <w:r w:rsidRPr="00727D15">
        <w:t xml:space="preserve">2019 </w:t>
      </w:r>
    </w:p>
    <w:p w:rsidR="00CA4FF1" w:rsidRPr="00727D15" w:rsidRDefault="00CA4FF1" w:rsidP="00CA4FF1">
      <w:pPr>
        <w:numPr>
          <w:ilvl w:val="0"/>
          <w:numId w:val="11"/>
        </w:numPr>
        <w:contextualSpacing/>
        <w:jc w:val="both"/>
      </w:pPr>
      <w:proofErr w:type="gramStart"/>
      <w:r w:rsidRPr="00727D15">
        <w:t>disability</w:t>
      </w:r>
      <w:proofErr w:type="gramEnd"/>
      <w:r w:rsidRPr="00727D15">
        <w:t xml:space="preserve"> reform, including NDIS rollout and, in particular, the development of any new residential options for people with younger onset dementia. </w:t>
      </w:r>
    </w:p>
    <w:p w:rsidR="00CA4FF1" w:rsidRPr="00727D15" w:rsidRDefault="00CA4FF1" w:rsidP="00CA4FF1">
      <w:pPr>
        <w:contextualSpacing/>
        <w:jc w:val="both"/>
      </w:pPr>
    </w:p>
    <w:p w:rsidR="00CA4FF1" w:rsidRDefault="00CA4FF1" w:rsidP="00CA4FF1">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jc w:val="both"/>
      </w:pPr>
      <w:r>
        <w:t xml:space="preserve">Q1) </w:t>
      </w:r>
      <w:r w:rsidRPr="00727D15">
        <w:t>Are there are other</w:t>
      </w:r>
      <w:r>
        <w:t xml:space="preserve"> </w:t>
      </w:r>
      <w:r w:rsidRPr="00727D15">
        <w:t xml:space="preserve">system reforms </w:t>
      </w:r>
      <w:r>
        <w:t xml:space="preserve">that </w:t>
      </w:r>
      <w:r w:rsidRPr="00727D15">
        <w:t xml:space="preserve">would </w:t>
      </w:r>
      <w:r>
        <w:t>impact on, or be impacted by, the establishment of Australian Government-funded SDCUs?</w:t>
      </w:r>
    </w:p>
    <w:p w:rsidR="00CA4FF1" w:rsidRDefault="00CA4FF1" w:rsidP="00CA4FF1">
      <w:pPr>
        <w:pStyle w:val="Heading2"/>
        <w:numPr>
          <w:ilvl w:val="1"/>
          <w:numId w:val="3"/>
        </w:numPr>
        <w:spacing w:after="120"/>
        <w:jc w:val="both"/>
      </w:pPr>
      <w:bookmarkStart w:id="27" w:name="_Toc499538733"/>
      <w:r>
        <w:t>Consultation feedback to date</w:t>
      </w:r>
      <w:bookmarkEnd w:id="27"/>
    </w:p>
    <w:p w:rsidR="00CA4FF1" w:rsidRPr="00CE5AB9" w:rsidRDefault="00CA4FF1" w:rsidP="00CA4FF1">
      <w:pPr>
        <w:jc w:val="both"/>
      </w:pPr>
      <w:r w:rsidRPr="00CE5AB9">
        <w:t xml:space="preserve">Stakeholders consulted to date </w:t>
      </w:r>
      <w:r>
        <w:t xml:space="preserve">(see 3.1) </w:t>
      </w:r>
      <w:r w:rsidRPr="00CE5AB9">
        <w:t xml:space="preserve">have </w:t>
      </w:r>
      <w:r>
        <w:t xml:space="preserve">generally </w:t>
      </w:r>
      <w:r w:rsidRPr="00CE5AB9">
        <w:t>been supportive of the SDCU concept and the need to improve the system response for people with very severe BPSD. Key areas of feedback have included:</w:t>
      </w:r>
    </w:p>
    <w:p w:rsidR="00CA4FF1" w:rsidRPr="00CE5AB9" w:rsidRDefault="00CA4FF1" w:rsidP="00CA4FF1">
      <w:pPr>
        <w:jc w:val="both"/>
      </w:pPr>
      <w:r w:rsidRPr="00CE5AB9">
        <w:t xml:space="preserve"> </w:t>
      </w:r>
    </w:p>
    <w:p w:rsidR="00CA4FF1" w:rsidRPr="00CE5AB9" w:rsidRDefault="00CA4FF1" w:rsidP="00CA4FF1">
      <w:pPr>
        <w:numPr>
          <w:ilvl w:val="0"/>
          <w:numId w:val="11"/>
        </w:numPr>
        <w:contextualSpacing/>
        <w:jc w:val="both"/>
      </w:pPr>
      <w:r w:rsidRPr="00CE5AB9">
        <w:t>Strong need for Australian Government investment to complement, rather than duplicate or substitute for, existing and planned state and territory support for non</w:t>
      </w:r>
      <w:r w:rsidRPr="00CE5AB9">
        <w:noBreakHyphen/>
        <w:t xml:space="preserve">acute community based accommodation for people with very severe BPSD. </w:t>
      </w:r>
    </w:p>
    <w:p w:rsidR="00CA4FF1" w:rsidRPr="00CE5AB9" w:rsidRDefault="00CA4FF1" w:rsidP="00CA4FF1">
      <w:pPr>
        <w:jc w:val="both"/>
        <w:rPr>
          <w:i/>
        </w:rPr>
      </w:pPr>
    </w:p>
    <w:p w:rsidR="00CA4FF1" w:rsidRPr="00CE5AB9" w:rsidRDefault="00CA4FF1" w:rsidP="00CA4FF1">
      <w:pPr>
        <w:numPr>
          <w:ilvl w:val="0"/>
          <w:numId w:val="11"/>
        </w:numPr>
        <w:contextualSpacing/>
        <w:jc w:val="both"/>
      </w:pPr>
      <w:r w:rsidRPr="00CE5AB9">
        <w:t>Acknowledgment that the evidence to inform a detailed SDCU operating model is currently limited</w:t>
      </w:r>
      <w:r>
        <w:t>,</w:t>
      </w:r>
      <w:r w:rsidRPr="00CE5AB9">
        <w:t xml:space="preserve"> and that approaches to delivering care for this cohort are still in development in Australia and internationally. Robust evaluation of the SDCU initiative </w:t>
      </w:r>
      <w:r>
        <w:t xml:space="preserve">should </w:t>
      </w:r>
      <w:r w:rsidRPr="00CE5AB9">
        <w:t>contribute to the international evidence base, assist in refining the SDCU model over time</w:t>
      </w:r>
      <w:r>
        <w:t>,</w:t>
      </w:r>
      <w:r w:rsidRPr="00CE5AB9">
        <w:t xml:space="preserve"> and also generate evidence on best practice dementia care that all residential aged care providers could adopt. </w:t>
      </w:r>
    </w:p>
    <w:p w:rsidR="00CA4FF1" w:rsidRPr="00CE5AB9" w:rsidRDefault="00CA4FF1" w:rsidP="00CA4FF1">
      <w:pPr>
        <w:jc w:val="both"/>
      </w:pPr>
    </w:p>
    <w:p w:rsidR="00CA4FF1" w:rsidRPr="00CE5AB9" w:rsidRDefault="00CA4FF1" w:rsidP="00CA4FF1">
      <w:pPr>
        <w:numPr>
          <w:ilvl w:val="0"/>
          <w:numId w:val="11"/>
        </w:numPr>
        <w:contextualSpacing/>
        <w:jc w:val="both"/>
      </w:pPr>
      <w:r w:rsidRPr="00CE5AB9">
        <w:t xml:space="preserve">The risk </w:t>
      </w:r>
      <w:r>
        <w:t xml:space="preserve">that </w:t>
      </w:r>
      <w:r w:rsidRPr="00CE5AB9">
        <w:t xml:space="preserve">mainstream residential aged care providers </w:t>
      </w:r>
      <w:r>
        <w:t>assume that</w:t>
      </w:r>
      <w:r w:rsidRPr="00CE5AB9">
        <w:t xml:space="preserve"> SDCUs will </w:t>
      </w:r>
      <w:r>
        <w:t xml:space="preserve">provide care for the majority of residents with </w:t>
      </w:r>
      <w:r w:rsidRPr="00CE5AB9">
        <w:t>BPSD</w:t>
      </w:r>
      <w:r>
        <w:t xml:space="preserve">, and consequently reduce their focus on developing skills in </w:t>
      </w:r>
      <w:r w:rsidRPr="00CE5AB9">
        <w:t>identifying and addressing causes of dementia-related behaviours and become less willing to accept residents with BPSD</w:t>
      </w:r>
      <w:r>
        <w:t>.</w:t>
      </w:r>
    </w:p>
    <w:p w:rsidR="00CA4FF1" w:rsidRPr="00CE5AB9" w:rsidRDefault="00CA4FF1" w:rsidP="00CA4FF1">
      <w:pPr>
        <w:jc w:val="both"/>
      </w:pPr>
    </w:p>
    <w:p w:rsidR="00CA4FF1" w:rsidRPr="00CE5AB9" w:rsidRDefault="00CA4FF1" w:rsidP="00CA4FF1">
      <w:pPr>
        <w:numPr>
          <w:ilvl w:val="0"/>
          <w:numId w:val="11"/>
        </w:numPr>
        <w:contextualSpacing/>
        <w:jc w:val="both"/>
      </w:pPr>
      <w:r w:rsidRPr="00CE5AB9">
        <w:lastRenderedPageBreak/>
        <w:t>The need for flexibility in implementing the SDCU initiative in rural and remote areas where there are particular barriers to establishing such beds</w:t>
      </w:r>
      <w:r>
        <w:t>. These barriers include</w:t>
      </w:r>
      <w:r w:rsidRPr="00CE5AB9">
        <w:t xml:space="preserve"> longer travel distances particularly for</w:t>
      </w:r>
      <w:r>
        <w:t xml:space="preserve"> families and</w:t>
      </w:r>
      <w:r w:rsidRPr="00CE5AB9">
        <w:t xml:space="preserve"> carers, workforce limitations</w:t>
      </w:r>
      <w:r>
        <w:t>,</w:t>
      </w:r>
      <w:r w:rsidRPr="00CE5AB9">
        <w:t xml:space="preserve"> lack of access to specialists</w:t>
      </w:r>
      <w:r>
        <w:t>, and capital infrastructure investment.</w:t>
      </w:r>
    </w:p>
    <w:p w:rsidR="00CA4FF1" w:rsidRPr="00CE5AB9" w:rsidRDefault="00CA4FF1" w:rsidP="00CA4FF1">
      <w:pPr>
        <w:ind w:left="720"/>
        <w:contextualSpacing/>
        <w:jc w:val="both"/>
      </w:pPr>
    </w:p>
    <w:p w:rsidR="00CA4FF1" w:rsidRPr="00CE5AB9" w:rsidRDefault="00CA4FF1" w:rsidP="00CA4FF1">
      <w:pPr>
        <w:numPr>
          <w:ilvl w:val="0"/>
          <w:numId w:val="11"/>
        </w:numPr>
        <w:contextualSpacing/>
        <w:jc w:val="both"/>
      </w:pPr>
      <w:r>
        <w:t>The requirement for s</w:t>
      </w:r>
      <w:r w:rsidRPr="00CE5AB9">
        <w:t xml:space="preserve">pecial </w:t>
      </w:r>
      <w:r>
        <w:t>consideration</w:t>
      </w:r>
      <w:r w:rsidRPr="00CE5AB9">
        <w:t xml:space="preserve"> for particular client groups, including people from Aboriginal and Torres Strait Islander communities and </w:t>
      </w:r>
      <w:r>
        <w:t>c</w:t>
      </w:r>
      <w:r w:rsidRPr="00CE5AB9">
        <w:t xml:space="preserve">ulturally and </w:t>
      </w:r>
      <w:r>
        <w:t>l</w:t>
      </w:r>
      <w:r w:rsidRPr="00CE5AB9">
        <w:t xml:space="preserve">inguistically </w:t>
      </w:r>
      <w:r>
        <w:t>d</w:t>
      </w:r>
      <w:r w:rsidRPr="00CE5AB9">
        <w:t>iverse (CALD) backgrounds.</w:t>
      </w:r>
    </w:p>
    <w:p w:rsidR="00CA4FF1" w:rsidRPr="00CE5AB9" w:rsidRDefault="00CA4FF1" w:rsidP="00CA4FF1">
      <w:pPr>
        <w:jc w:val="both"/>
      </w:pPr>
    </w:p>
    <w:p w:rsidR="00CA4FF1" w:rsidRPr="00CE5AB9" w:rsidRDefault="00CA4FF1" w:rsidP="00CA4FF1">
      <w:pPr>
        <w:numPr>
          <w:ilvl w:val="0"/>
          <w:numId w:val="10"/>
        </w:numPr>
        <w:contextualSpacing/>
        <w:jc w:val="both"/>
      </w:pPr>
      <w:r w:rsidRPr="00CE5AB9">
        <w:t>Potential perception by people with dementia</w:t>
      </w:r>
      <w:r>
        <w:t>, families</w:t>
      </w:r>
      <w:r w:rsidRPr="00CE5AB9">
        <w:t xml:space="preserve"> and carers of a</w:t>
      </w:r>
      <w:r w:rsidR="008B4376">
        <w:br/>
      </w:r>
      <w:r w:rsidRPr="00CE5AB9">
        <w:t>‘re-institutionalisation’ approach to providing care for people with BPSD.</w:t>
      </w:r>
    </w:p>
    <w:p w:rsidR="00CA4FF1" w:rsidRPr="006B2D6D" w:rsidRDefault="00CA4FF1" w:rsidP="00CA4FF1">
      <w:pPr>
        <w:jc w:val="both"/>
        <w:rPr>
          <w:sz w:val="12"/>
          <w:szCs w:val="12"/>
        </w:rPr>
      </w:pPr>
    </w:p>
    <w:p w:rsidR="00CA4FF1" w:rsidRPr="00CE5AB9" w:rsidRDefault="00CA4FF1" w:rsidP="00CA4FF1">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jc w:val="both"/>
      </w:pPr>
      <w:r>
        <w:t>Q2)</w:t>
      </w:r>
      <w:r w:rsidRPr="00CE5AB9">
        <w:t xml:space="preserve"> </w:t>
      </w:r>
      <w:proofErr w:type="gramStart"/>
      <w:r w:rsidRPr="00CE5AB9">
        <w:t>What</w:t>
      </w:r>
      <w:proofErr w:type="gramEnd"/>
      <w:r w:rsidRPr="00CE5AB9">
        <w:t xml:space="preserve"> other </w:t>
      </w:r>
      <w:r>
        <w:t xml:space="preserve">risks and </w:t>
      </w:r>
      <w:r w:rsidRPr="00CE5AB9">
        <w:t xml:space="preserve">issues need to be considered in introducing SDCUs into the existing service systems for people with very severe </w:t>
      </w:r>
      <w:r>
        <w:t xml:space="preserve">(tier 6) </w:t>
      </w:r>
      <w:r w:rsidRPr="00CE5AB9">
        <w:t>BPSD?</w:t>
      </w:r>
    </w:p>
    <w:p w:rsidR="00CA4FF1" w:rsidRDefault="00CA4FF1" w:rsidP="00CA4FF1">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jc w:val="both"/>
      </w:pPr>
      <w:r>
        <w:t>Q3)</w:t>
      </w:r>
      <w:r w:rsidRPr="00CE5AB9">
        <w:t xml:space="preserve"> Are there alternat</w:t>
      </w:r>
      <w:r>
        <w:t xml:space="preserve">ives to the </w:t>
      </w:r>
      <w:r w:rsidRPr="00CE5AB9">
        <w:t>establishment of SDCU</w:t>
      </w:r>
      <w:r>
        <w:t>s</w:t>
      </w:r>
      <w:r w:rsidRPr="00CE5AB9">
        <w:t xml:space="preserve"> that </w:t>
      </w:r>
      <w:r>
        <w:t xml:space="preserve">would better address the current system </w:t>
      </w:r>
      <w:r w:rsidRPr="00CE5AB9">
        <w:t>issues</w:t>
      </w:r>
      <w:r>
        <w:t>, which should be considered by Government?</w:t>
      </w:r>
    </w:p>
    <w:p w:rsidR="00CA4FF1" w:rsidRDefault="00CA4FF1" w:rsidP="00CA4FF1">
      <w:pPr>
        <w:pStyle w:val="Heading2"/>
        <w:numPr>
          <w:ilvl w:val="1"/>
          <w:numId w:val="3"/>
        </w:numPr>
        <w:spacing w:after="120"/>
        <w:jc w:val="both"/>
      </w:pPr>
      <w:bookmarkStart w:id="28" w:name="_Toc499538734"/>
      <w:r>
        <w:t>The service planning framework for people with BPSD</w:t>
      </w:r>
      <w:bookmarkEnd w:id="28"/>
    </w:p>
    <w:p w:rsidR="00CA4FF1" w:rsidRDefault="00CA4FF1" w:rsidP="00CA4FF1">
      <w:pPr>
        <w:pStyle w:val="Heading3"/>
        <w:numPr>
          <w:ilvl w:val="2"/>
          <w:numId w:val="3"/>
        </w:numPr>
        <w:spacing w:after="120"/>
        <w:jc w:val="both"/>
      </w:pPr>
      <w:bookmarkStart w:id="29" w:name="_Toc499538735"/>
      <w:r>
        <w:t>The prevalence of people with very severe BPSD</w:t>
      </w:r>
      <w:bookmarkEnd w:id="29"/>
    </w:p>
    <w:p w:rsidR="008B4376" w:rsidRDefault="00CA4FF1" w:rsidP="00CA4FF1">
      <w:pPr>
        <w:jc w:val="both"/>
        <w:sectPr w:rsidR="008B4376" w:rsidSect="00F24B50">
          <w:endnotePr>
            <w:numFmt w:val="decimal"/>
          </w:endnotePr>
          <w:pgSz w:w="11906" w:h="16838"/>
          <w:pgMar w:top="1440" w:right="1800" w:bottom="1440" w:left="1800" w:header="708" w:footer="708" w:gutter="0"/>
          <w:cols w:space="709"/>
          <w:docGrid w:linePitch="360"/>
        </w:sectPr>
      </w:pPr>
      <w:r w:rsidRPr="00D41D42">
        <w:t xml:space="preserve">The </w:t>
      </w:r>
      <w:proofErr w:type="spellStart"/>
      <w:r w:rsidRPr="00D41D42">
        <w:t>Brodaty</w:t>
      </w:r>
      <w:proofErr w:type="spellEnd"/>
      <w:r w:rsidRPr="00D41D42">
        <w:t xml:space="preserve"> et al. model remains the most widely accepted service planning framework for people with BPSD, both in Australia and internationally, with Australia’s </w:t>
      </w:r>
      <w:r w:rsidRPr="00A610DD">
        <w:t>National Mental Health Service Planning Framework</w:t>
      </w:r>
      <w:r w:rsidRPr="00D41D42">
        <w:t xml:space="preserve"> drawing heavily on the model as the basis for service planning for old</w:t>
      </w:r>
      <w:r w:rsidR="008B4376">
        <w:t>er people.</w:t>
      </w:r>
      <w:r w:rsidR="008B4376">
        <w:rPr>
          <w:rStyle w:val="EndnoteReference"/>
        </w:rPr>
        <w:endnoteReference w:id="21"/>
      </w:r>
    </w:p>
    <w:p w:rsidR="00CA4FF1" w:rsidRDefault="00CA4FF1" w:rsidP="00CA4FF1">
      <w:pPr>
        <w:jc w:val="both"/>
      </w:pPr>
    </w:p>
    <w:p w:rsidR="00CA4FF1" w:rsidRPr="00D41D42" w:rsidRDefault="00CA4FF1" w:rsidP="00CA4FF1">
      <w:pPr>
        <w:jc w:val="both"/>
      </w:pPr>
      <w:r w:rsidRPr="00D41D42">
        <w:t>This model estimates the prevalence of very severe BPSD at up to 1 per</w:t>
      </w:r>
      <w:r>
        <w:t xml:space="preserve"> </w:t>
      </w:r>
      <w:r w:rsidRPr="00D41D42">
        <w:t xml:space="preserve">cent of all people with dementia. This would equate to around 3,550 people in 2017 and 4,100 in 2022 using </w:t>
      </w:r>
      <w:r>
        <w:t>AIHW</w:t>
      </w:r>
      <w:r w:rsidRPr="00D41D42">
        <w:t xml:space="preserve"> dementia data. </w:t>
      </w:r>
    </w:p>
    <w:p w:rsidR="00CA4FF1" w:rsidRDefault="00CA4FF1" w:rsidP="00CA4FF1">
      <w:pPr>
        <w:pStyle w:val="Heading3"/>
        <w:numPr>
          <w:ilvl w:val="2"/>
          <w:numId w:val="3"/>
        </w:numPr>
        <w:spacing w:after="120"/>
        <w:jc w:val="both"/>
      </w:pPr>
      <w:bookmarkStart w:id="30" w:name="_Toc499538736"/>
      <w:r w:rsidRPr="008273C3">
        <w:t>Demand for SDCU services</w:t>
      </w:r>
      <w:bookmarkEnd w:id="30"/>
    </w:p>
    <w:p w:rsidR="00CA4FF1" w:rsidRPr="00727D15" w:rsidRDefault="00CA4FF1" w:rsidP="00CA4FF1">
      <w:pPr>
        <w:jc w:val="both"/>
      </w:pPr>
      <w:r w:rsidRPr="00727D15">
        <w:t xml:space="preserve">SDCUs are intended to provide care primarily for people with very severe BPSD (tier 6 in the </w:t>
      </w:r>
      <w:proofErr w:type="spellStart"/>
      <w:r w:rsidRPr="00727D15">
        <w:t>Brodaty</w:t>
      </w:r>
      <w:proofErr w:type="spellEnd"/>
      <w:r w:rsidRPr="00727D15">
        <w:t xml:space="preserve"> et al. model) who are unable to be appropriately cared for by mainstream aged care services</w:t>
      </w:r>
      <w:r>
        <w:t xml:space="preserve">, </w:t>
      </w:r>
      <w:r w:rsidRPr="00727D15">
        <w:t>due to the risk of harm they present to themselves or others but who do not require acute, sub-acute or primarily psychiatric care more appropriately delivered in a health setting.</w:t>
      </w:r>
    </w:p>
    <w:p w:rsidR="00CA4FF1" w:rsidRPr="00727D15" w:rsidRDefault="00CA4FF1" w:rsidP="00CA4FF1">
      <w:pPr>
        <w:jc w:val="both"/>
      </w:pPr>
    </w:p>
    <w:p w:rsidR="00CA4FF1" w:rsidRPr="00727D15" w:rsidRDefault="00CA4FF1" w:rsidP="00CA4FF1">
      <w:pPr>
        <w:jc w:val="both"/>
      </w:pPr>
      <w:r>
        <w:t>However</w:t>
      </w:r>
      <w:r w:rsidR="008B4376">
        <w:t>,</w:t>
      </w:r>
      <w:r>
        <w:t xml:space="preserve"> not all people with very severe BPSD will benefit from care within a SDCU</w:t>
      </w:r>
      <w:r w:rsidR="008B4376">
        <w:t>.</w:t>
      </w:r>
      <w:r>
        <w:t xml:space="preserve"> A</w:t>
      </w:r>
      <w:r w:rsidRPr="00727D15">
        <w:t xml:space="preserve"> cohort of</w:t>
      </w:r>
      <w:r>
        <w:t xml:space="preserve"> </w:t>
      </w:r>
      <w:r w:rsidRPr="00727D15">
        <w:t xml:space="preserve">people exhibiting tier 6 BPSD </w:t>
      </w:r>
      <w:r>
        <w:t>will be able to be appropriate</w:t>
      </w:r>
      <w:r w:rsidR="008B4376">
        <w:t>ly</w:t>
      </w:r>
      <w:r>
        <w:t xml:space="preserve"> care</w:t>
      </w:r>
      <w:r w:rsidR="008B4376">
        <w:t>d</w:t>
      </w:r>
      <w:r>
        <w:t xml:space="preserve"> for within mainstream aged care services, while others will have health needs </w:t>
      </w:r>
      <w:r w:rsidRPr="00727D15">
        <w:t>(for example, treatment for delirium or severe depression with suicidality)</w:t>
      </w:r>
      <w:r>
        <w:t xml:space="preserve"> that are more appropriately managed in an </w:t>
      </w:r>
      <w:r w:rsidRPr="00727D15">
        <w:t>acute setting</w:t>
      </w:r>
      <w:r>
        <w:t>.</w:t>
      </w:r>
      <w:r>
        <w:rPr>
          <w:rStyle w:val="EndnoteReference"/>
        </w:rPr>
        <w:endnoteReference w:id="22"/>
      </w:r>
    </w:p>
    <w:p w:rsidR="00CA4FF1" w:rsidRPr="00727D15" w:rsidRDefault="00CA4FF1" w:rsidP="00CA4FF1">
      <w:pPr>
        <w:jc w:val="both"/>
      </w:pPr>
    </w:p>
    <w:p w:rsidR="00CA4FF1" w:rsidRPr="00727D15" w:rsidRDefault="00CA4FF1" w:rsidP="00CA4FF1">
      <w:pPr>
        <w:jc w:val="both"/>
      </w:pPr>
      <w:r>
        <w:t>SA</w:t>
      </w:r>
      <w:r w:rsidRPr="00727D15">
        <w:t xml:space="preserve"> Health has recently estimated that around 25</w:t>
      </w:r>
      <w:r>
        <w:t>–</w:t>
      </w:r>
      <w:r w:rsidRPr="00727D15">
        <w:t>40 per</w:t>
      </w:r>
      <w:r>
        <w:t xml:space="preserve"> </w:t>
      </w:r>
      <w:r w:rsidRPr="00727D15">
        <w:t>cent of people with tier 6 BPSD would be likely to benefit from an SDCU-like service.</w:t>
      </w:r>
      <w:r>
        <w:rPr>
          <w:rStyle w:val="EndnoteReference"/>
        </w:rPr>
        <w:endnoteReference w:id="23"/>
      </w:r>
      <w:r w:rsidRPr="00727D15">
        <w:t xml:space="preserve"> Other state and territory health services have not published population-based targets for supply of similar </w:t>
      </w:r>
      <w:r w:rsidRPr="00727D15">
        <w:lastRenderedPageBreak/>
        <w:t xml:space="preserve">beds, nor does the </w:t>
      </w:r>
      <w:r w:rsidRPr="00A610DD">
        <w:t>National Mental Health Service Planning Framework</w:t>
      </w:r>
      <w:r w:rsidRPr="00727D15">
        <w:t xml:space="preserve"> provide specific guidance.</w:t>
      </w:r>
    </w:p>
    <w:p w:rsidR="00CA4FF1" w:rsidRPr="00727D15" w:rsidRDefault="00CA4FF1" w:rsidP="00CA4FF1">
      <w:pPr>
        <w:jc w:val="both"/>
      </w:pPr>
    </w:p>
    <w:p w:rsidR="00CA4FF1" w:rsidRDefault="00CA4FF1" w:rsidP="00CA4FF1">
      <w:pPr>
        <w:jc w:val="both"/>
      </w:pPr>
      <w:r w:rsidRPr="00727D15">
        <w:t xml:space="preserve">Based on the South Australian methodology, nationally it is estimated that </w:t>
      </w:r>
      <w:r>
        <w:t xml:space="preserve">up to </w:t>
      </w:r>
      <w:r w:rsidRPr="00727D15">
        <w:t>around 1,450 SDCU</w:t>
      </w:r>
      <w:r>
        <w:t>-</w:t>
      </w:r>
      <w:r w:rsidRPr="00727D15">
        <w:t xml:space="preserve">like beds would be needed </w:t>
      </w:r>
      <w:r>
        <w:t xml:space="preserve">to </w:t>
      </w:r>
      <w:r w:rsidRPr="00727D15">
        <w:t xml:space="preserve">meet the </w:t>
      </w:r>
      <w:r>
        <w:t xml:space="preserve">current </w:t>
      </w:r>
      <w:r w:rsidRPr="00727D15">
        <w:t>needs of people with very severe BPSD.</w:t>
      </w:r>
      <w:r>
        <w:rPr>
          <w:rStyle w:val="EndnoteReference"/>
        </w:rPr>
        <w:endnoteReference w:id="24"/>
      </w:r>
      <w:r w:rsidRPr="00727D15">
        <w:t xml:space="preserve"> </w:t>
      </w:r>
    </w:p>
    <w:p w:rsidR="00CA4FF1" w:rsidRPr="006B5219" w:rsidRDefault="00CA4FF1" w:rsidP="006B5219">
      <w:pPr>
        <w:pStyle w:val="Heading4"/>
        <w:numPr>
          <w:ilvl w:val="3"/>
          <w:numId w:val="3"/>
        </w:numPr>
        <w:spacing w:after="120"/>
        <w:jc w:val="both"/>
        <w:rPr>
          <w:sz w:val="24"/>
        </w:rPr>
      </w:pPr>
      <w:r w:rsidRPr="006B5219">
        <w:rPr>
          <w:sz w:val="24"/>
        </w:rPr>
        <w:t>Number of people to be supported by SDCUs</w:t>
      </w:r>
    </w:p>
    <w:p w:rsidR="00CA4FF1" w:rsidRPr="008273C3" w:rsidRDefault="00CA4FF1" w:rsidP="00CA4FF1">
      <w:pPr>
        <w:jc w:val="both"/>
      </w:pPr>
      <w:r w:rsidRPr="008273C3">
        <w:t xml:space="preserve">The SDCU program is not intended to meet a specific population-based target number </w:t>
      </w:r>
      <w:r>
        <w:t xml:space="preserve">of </w:t>
      </w:r>
      <w:r w:rsidRPr="008273C3">
        <w:t>beds for people with very severe BPSD. The program instead is expected to contribute to addressing existing gaps in service coverage by nominally delivering 12 beds for each of the 31 PHN regions</w:t>
      </w:r>
      <w:r w:rsidRPr="00241D4B">
        <w:t>,</w:t>
      </w:r>
      <w:r w:rsidRPr="008273C3">
        <w:t xml:space="preserve"> or a total of 372 beds across Australia</w:t>
      </w:r>
      <w:r w:rsidRPr="00241D4B">
        <w:t>, with each bed generally expected to be occupied for up to 12 months at a time.</w:t>
      </w:r>
      <w:r w:rsidRPr="008273C3">
        <w:t xml:space="preserve"> Ongoing collaboration between the Australian</w:t>
      </w:r>
      <w:r>
        <w:t xml:space="preserve"> Government</w:t>
      </w:r>
      <w:r w:rsidRPr="008273C3">
        <w:t xml:space="preserve"> and </w:t>
      </w:r>
      <w:r w:rsidRPr="00241D4B">
        <w:t>s</w:t>
      </w:r>
      <w:r w:rsidRPr="008273C3">
        <w:t xml:space="preserve">tate and </w:t>
      </w:r>
      <w:r w:rsidRPr="00241D4B">
        <w:t>t</w:t>
      </w:r>
      <w:r>
        <w:t>erritory g</w:t>
      </w:r>
      <w:r w:rsidRPr="008273C3">
        <w:t>overnments will be essential to ensure that the SDCU initiative expands existing service system capacity.</w:t>
      </w:r>
    </w:p>
    <w:p w:rsidR="00CA4FF1" w:rsidRPr="008273C3" w:rsidRDefault="00CA4FF1" w:rsidP="00CA4FF1">
      <w:pPr>
        <w:jc w:val="both"/>
      </w:pPr>
    </w:p>
    <w:p w:rsidR="00CA4FF1" w:rsidRPr="008273C3" w:rsidRDefault="00CA4FF1" w:rsidP="00CA4FF1">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jc w:val="both"/>
      </w:pPr>
      <w:r w:rsidRPr="008273C3">
        <w:t>Q</w:t>
      </w:r>
      <w:r>
        <w:t>4)</w:t>
      </w:r>
      <w:r w:rsidRPr="008273C3">
        <w:t xml:space="preserve"> </w:t>
      </w:r>
      <w:r>
        <w:t>Do you consider 1,450 to be a reasonable estimate of the national demand for SDCU</w:t>
      </w:r>
      <w:r w:rsidR="008B4376">
        <w:t>-</w:t>
      </w:r>
      <w:r>
        <w:t>like beds for people with very severe BPSD? If not, what other factors and/or methodologies should be considered?</w:t>
      </w:r>
      <w:r w:rsidRPr="008273C3" w:rsidDel="000C3B6C">
        <w:t xml:space="preserve"> </w:t>
      </w:r>
    </w:p>
    <w:p w:rsidR="00CA4FF1" w:rsidRDefault="00CA4FF1" w:rsidP="00CA4FF1">
      <w:pPr>
        <w:pStyle w:val="Heading1"/>
        <w:numPr>
          <w:ilvl w:val="0"/>
          <w:numId w:val="5"/>
        </w:numPr>
        <w:spacing w:after="120"/>
        <w:jc w:val="both"/>
      </w:pPr>
      <w:bookmarkStart w:id="31" w:name="_Toc497300938"/>
      <w:bookmarkStart w:id="32" w:name="_SDCU_proposed_service"/>
      <w:bookmarkStart w:id="33" w:name="_Toc499538737"/>
      <w:bookmarkEnd w:id="31"/>
      <w:bookmarkEnd w:id="32"/>
      <w:r w:rsidRPr="009C6C80">
        <w:t>SDCU proposed service model</w:t>
      </w:r>
      <w:bookmarkEnd w:id="33"/>
    </w:p>
    <w:p w:rsidR="00CA4FF1" w:rsidRPr="009C6C80" w:rsidRDefault="00CA4FF1" w:rsidP="00CA4FF1">
      <w:pPr>
        <w:jc w:val="both"/>
      </w:pPr>
      <w:r w:rsidRPr="009C6C80">
        <w:t>This section outlines proposed high</w:t>
      </w:r>
      <w:r>
        <w:t>-</w:t>
      </w:r>
      <w:r w:rsidRPr="009C6C80">
        <w:t xml:space="preserve">level elements of the SDCU service delivery model. </w:t>
      </w:r>
      <w:r>
        <w:t xml:space="preserve">This model has not been agreed by the Australian Government and </w:t>
      </w:r>
      <w:proofErr w:type="spellStart"/>
      <w:r>
        <w:t>and</w:t>
      </w:r>
      <w:proofErr w:type="spellEnd"/>
      <w:r>
        <w:t xml:space="preserve"> may change</w:t>
      </w:r>
      <w:r w:rsidR="008B4376">
        <w:t>,</w:t>
      </w:r>
      <w:r>
        <w:t xml:space="preserve"> including in response to consultation feedback. </w:t>
      </w:r>
      <w:r w:rsidRPr="009C6C80">
        <w:t xml:space="preserve">It reflects stakeholder feedback and analysis of best practice evidence to date. We welcome your views on other ways in which we might equally or better improve care delivery and outcomes for people with very severe BPSD. </w:t>
      </w:r>
    </w:p>
    <w:p w:rsidR="00CA4FF1" w:rsidRDefault="00CA4FF1" w:rsidP="00CA4FF1">
      <w:pPr>
        <w:pStyle w:val="Heading2"/>
        <w:numPr>
          <w:ilvl w:val="1"/>
          <w:numId w:val="4"/>
        </w:numPr>
        <w:spacing w:after="120"/>
        <w:jc w:val="both"/>
      </w:pPr>
      <w:bookmarkStart w:id="34" w:name="_Toc499538738"/>
      <w:r w:rsidRPr="009C6C80">
        <w:t>SDCU overview</w:t>
      </w:r>
      <w:bookmarkEnd w:id="34"/>
    </w:p>
    <w:p w:rsidR="00CA4FF1" w:rsidRPr="009C6C80" w:rsidRDefault="00CA4FF1" w:rsidP="00CA4FF1">
      <w:pPr>
        <w:pStyle w:val="Default"/>
        <w:jc w:val="both"/>
        <w:rPr>
          <w:rFonts w:asciiTheme="minorHAnsi" w:hAnsiTheme="minorHAnsi" w:cs="Times New Roman"/>
          <w:color w:val="auto"/>
          <w:lang w:eastAsia="en-US"/>
        </w:rPr>
      </w:pPr>
      <w:r w:rsidRPr="009C6C80">
        <w:rPr>
          <w:rFonts w:asciiTheme="minorHAnsi" w:hAnsiTheme="minorHAnsi" w:cs="Times New Roman"/>
          <w:color w:val="auto"/>
          <w:lang w:eastAsia="en-US"/>
        </w:rPr>
        <w:t xml:space="preserve">SDCUs will </w:t>
      </w:r>
      <w:r>
        <w:rPr>
          <w:rFonts w:asciiTheme="minorHAnsi" w:hAnsiTheme="minorHAnsi" w:cs="Times New Roman"/>
          <w:color w:val="auto"/>
          <w:lang w:eastAsia="en-US"/>
        </w:rPr>
        <w:t xml:space="preserve">operate as small units </w:t>
      </w:r>
      <w:r w:rsidRPr="00312DB4">
        <w:rPr>
          <w:rFonts w:asciiTheme="minorHAnsi" w:hAnsiTheme="minorHAnsi" w:cs="Times New Roman"/>
          <w:color w:val="auto"/>
          <w:lang w:eastAsia="en-US"/>
        </w:rPr>
        <w:t>within larger re</w:t>
      </w:r>
      <w:r>
        <w:rPr>
          <w:rFonts w:asciiTheme="minorHAnsi" w:hAnsiTheme="minorHAnsi" w:cs="Times New Roman"/>
          <w:color w:val="auto"/>
          <w:lang w:eastAsia="en-US"/>
        </w:rPr>
        <w:t xml:space="preserve">sidential aged care facilities. </w:t>
      </w:r>
      <w:r w:rsidRPr="009C6C80">
        <w:rPr>
          <w:rFonts w:asciiTheme="minorHAnsi" w:hAnsiTheme="minorHAnsi" w:cs="Times New Roman"/>
          <w:color w:val="auto"/>
          <w:lang w:eastAsia="en-US"/>
        </w:rPr>
        <w:t xml:space="preserve">SDCUs will provide a person-centred, goal-oriented and multidisciplinary approach to care for people with very severe BPSD who are unable to be appropriately cared for by mainstream aged care services. </w:t>
      </w:r>
    </w:p>
    <w:p w:rsidR="00CA4FF1" w:rsidRPr="009C6C80" w:rsidRDefault="00CA4FF1" w:rsidP="00CA4FF1">
      <w:pPr>
        <w:pStyle w:val="Default"/>
        <w:ind w:left="360"/>
        <w:jc w:val="both"/>
        <w:rPr>
          <w:rFonts w:asciiTheme="minorHAnsi" w:hAnsiTheme="minorHAnsi" w:cs="Times New Roman"/>
          <w:color w:val="auto"/>
          <w:lang w:eastAsia="en-US"/>
        </w:rPr>
      </w:pPr>
    </w:p>
    <w:p w:rsidR="00CA4FF1" w:rsidRPr="009C6C80" w:rsidRDefault="00CA4FF1" w:rsidP="00CA4FF1">
      <w:pPr>
        <w:pStyle w:val="Default"/>
        <w:jc w:val="both"/>
        <w:rPr>
          <w:rFonts w:asciiTheme="minorHAnsi" w:hAnsiTheme="minorHAnsi" w:cs="Times New Roman"/>
          <w:color w:val="auto"/>
          <w:lang w:eastAsia="en-US"/>
        </w:rPr>
      </w:pPr>
      <w:r w:rsidRPr="009C6C80">
        <w:rPr>
          <w:rFonts w:asciiTheme="minorHAnsi" w:hAnsiTheme="minorHAnsi" w:cs="Times New Roman"/>
          <w:color w:val="auto"/>
          <w:lang w:eastAsia="en-US"/>
        </w:rPr>
        <w:t xml:space="preserve">The units will offer </w:t>
      </w:r>
      <w:r>
        <w:rPr>
          <w:rFonts w:asciiTheme="minorHAnsi" w:hAnsiTheme="minorHAnsi" w:cs="Times New Roman"/>
          <w:color w:val="auto"/>
          <w:lang w:eastAsia="en-US"/>
        </w:rPr>
        <w:t>transitional</w:t>
      </w:r>
      <w:r w:rsidRPr="009C6C80">
        <w:rPr>
          <w:rFonts w:asciiTheme="minorHAnsi" w:hAnsiTheme="minorHAnsi" w:cs="Times New Roman"/>
          <w:color w:val="auto"/>
          <w:lang w:eastAsia="en-US"/>
        </w:rPr>
        <w:t>, intensive specialist residential support with a focus</w:t>
      </w:r>
      <w:r>
        <w:rPr>
          <w:rFonts w:asciiTheme="minorHAnsi" w:hAnsiTheme="minorHAnsi" w:cs="Times New Roman"/>
          <w:color w:val="auto"/>
          <w:lang w:eastAsia="en-US"/>
        </w:rPr>
        <w:t xml:space="preserve"> on</w:t>
      </w:r>
      <w:r w:rsidRPr="009C6C80">
        <w:rPr>
          <w:rFonts w:asciiTheme="minorHAnsi" w:hAnsiTheme="minorHAnsi" w:cs="Times New Roman"/>
          <w:color w:val="auto"/>
          <w:lang w:eastAsia="en-US"/>
        </w:rPr>
        <w:t xml:space="preserve"> </w:t>
      </w:r>
      <w:r>
        <w:rPr>
          <w:rFonts w:asciiTheme="minorHAnsi" w:hAnsiTheme="minorHAnsi" w:cs="Times New Roman"/>
          <w:color w:val="auto"/>
          <w:lang w:eastAsia="en-US"/>
        </w:rPr>
        <w:t>reducing or</w:t>
      </w:r>
      <w:r w:rsidRPr="009C6C80">
        <w:rPr>
          <w:rFonts w:asciiTheme="minorHAnsi" w:hAnsiTheme="minorHAnsi" w:cs="Times New Roman"/>
          <w:color w:val="auto"/>
          <w:lang w:eastAsia="en-US"/>
        </w:rPr>
        <w:t xml:space="preserve"> stabilising symptoms over time</w:t>
      </w:r>
      <w:r>
        <w:rPr>
          <w:rFonts w:asciiTheme="minorHAnsi" w:hAnsiTheme="minorHAnsi" w:cs="Times New Roman"/>
          <w:color w:val="auto"/>
          <w:lang w:eastAsia="en-US"/>
        </w:rPr>
        <w:t>,</w:t>
      </w:r>
      <w:r w:rsidRPr="009C6C80">
        <w:rPr>
          <w:rFonts w:asciiTheme="minorHAnsi" w:hAnsiTheme="minorHAnsi" w:cs="Times New Roman"/>
          <w:color w:val="auto"/>
          <w:lang w:eastAsia="en-US"/>
        </w:rPr>
        <w:t xml:space="preserve"> with the aim of enabling the person to transition to a less intensive care setting. </w:t>
      </w:r>
    </w:p>
    <w:p w:rsidR="00CA4FF1" w:rsidRDefault="00CA4FF1" w:rsidP="00CA4FF1">
      <w:pPr>
        <w:pStyle w:val="Heading2"/>
        <w:numPr>
          <w:ilvl w:val="1"/>
          <w:numId w:val="4"/>
        </w:numPr>
        <w:spacing w:after="120"/>
        <w:jc w:val="both"/>
      </w:pPr>
      <w:bookmarkStart w:id="35" w:name="_Toc499538739"/>
      <w:r w:rsidRPr="009C6C80">
        <w:t>SDCU aims and objectives</w:t>
      </w:r>
      <w:bookmarkEnd w:id="35"/>
    </w:p>
    <w:p w:rsidR="00CA4FF1" w:rsidRPr="00727D15" w:rsidRDefault="00CA4FF1" w:rsidP="00CA4FF1">
      <w:pPr>
        <w:autoSpaceDE w:val="0"/>
        <w:autoSpaceDN w:val="0"/>
        <w:adjustRightInd w:val="0"/>
        <w:jc w:val="both"/>
        <w:rPr>
          <w:rFonts w:cs="Calibri"/>
          <w:color w:val="000000"/>
          <w:lang w:eastAsia="en-AU"/>
        </w:rPr>
      </w:pPr>
      <w:r w:rsidRPr="00727D15">
        <w:rPr>
          <w:rFonts w:cs="Calibri"/>
          <w:color w:val="000000"/>
          <w:lang w:eastAsia="en-AU"/>
        </w:rPr>
        <w:t xml:space="preserve">The ultimate aim of the SDCU </w:t>
      </w:r>
      <w:r>
        <w:rPr>
          <w:rFonts w:cs="Calibri"/>
          <w:color w:val="000000"/>
          <w:lang w:eastAsia="en-AU"/>
        </w:rPr>
        <w:t>p</w:t>
      </w:r>
      <w:r w:rsidRPr="00727D15">
        <w:rPr>
          <w:rFonts w:cs="Calibri"/>
          <w:color w:val="000000"/>
          <w:lang w:eastAsia="en-AU"/>
        </w:rPr>
        <w:t>rogram is to improve the aged care system response to, and individual-level outcomes for, people with very severe BPSD. This will be achieved by increasing the target group’s access to sustainable, high quality, and specialised residential aged care services that deliver care in accordance with the following service principles</w:t>
      </w:r>
      <w:r>
        <w:rPr>
          <w:rFonts w:cs="Calibri"/>
          <w:color w:val="000000"/>
          <w:lang w:eastAsia="en-AU"/>
        </w:rPr>
        <w:t>:</w:t>
      </w:r>
    </w:p>
    <w:p w:rsidR="00CA4FF1" w:rsidRPr="00727D15" w:rsidRDefault="00CA4FF1" w:rsidP="00CA4FF1">
      <w:pPr>
        <w:autoSpaceDE w:val="0"/>
        <w:autoSpaceDN w:val="0"/>
        <w:adjustRightInd w:val="0"/>
        <w:jc w:val="both"/>
        <w:rPr>
          <w:rFonts w:cs="Calibri"/>
          <w:color w:val="000000"/>
          <w:lang w:eastAsia="en-AU"/>
        </w:rPr>
      </w:pPr>
    </w:p>
    <w:p w:rsidR="00CA4FF1" w:rsidRPr="00727D15" w:rsidRDefault="00CA4FF1" w:rsidP="00CA4FF1">
      <w:pPr>
        <w:numPr>
          <w:ilvl w:val="0"/>
          <w:numId w:val="12"/>
        </w:numPr>
        <w:autoSpaceDE w:val="0"/>
        <w:autoSpaceDN w:val="0"/>
        <w:adjustRightInd w:val="0"/>
        <w:spacing w:after="120"/>
        <w:ind w:left="436" w:hanging="357"/>
        <w:jc w:val="both"/>
        <w:rPr>
          <w:rFonts w:cs="Calibri"/>
          <w:color w:val="000000"/>
          <w:lang w:eastAsia="en-AU"/>
        </w:rPr>
      </w:pPr>
      <w:r w:rsidRPr="00727D15">
        <w:rPr>
          <w:rFonts w:cs="Calibri"/>
          <w:color w:val="000000"/>
          <w:lang w:eastAsia="en-AU"/>
        </w:rPr>
        <w:lastRenderedPageBreak/>
        <w:t xml:space="preserve">SDCUs adopt an inclusive, person-centred and goal-oriented philosophy and approach to care that builds on the strengths and capacity of individuals. </w:t>
      </w:r>
    </w:p>
    <w:p w:rsidR="00CA4FF1" w:rsidRPr="00727D15" w:rsidRDefault="00CA4FF1" w:rsidP="00CA4FF1">
      <w:pPr>
        <w:numPr>
          <w:ilvl w:val="0"/>
          <w:numId w:val="12"/>
        </w:numPr>
        <w:autoSpaceDE w:val="0"/>
        <w:autoSpaceDN w:val="0"/>
        <w:adjustRightInd w:val="0"/>
        <w:spacing w:after="120"/>
        <w:ind w:left="436" w:hanging="357"/>
        <w:jc w:val="both"/>
        <w:rPr>
          <w:rFonts w:cs="Calibri"/>
          <w:color w:val="000000"/>
          <w:lang w:eastAsia="en-AU"/>
        </w:rPr>
      </w:pPr>
      <w:r w:rsidRPr="00727D15">
        <w:rPr>
          <w:rFonts w:cs="Calibri"/>
          <w:color w:val="000000"/>
          <w:lang w:eastAsia="en-AU"/>
        </w:rPr>
        <w:t>SDCUs aim to stabilise symptoms, improve wellbeing and quality of life through provision of optimal care, with a strong focus on ongoing assessment</w:t>
      </w:r>
      <w:r>
        <w:rPr>
          <w:rFonts w:cs="Calibri"/>
          <w:color w:val="000000"/>
          <w:lang w:eastAsia="en-AU"/>
        </w:rPr>
        <w:t xml:space="preserve">, </w:t>
      </w:r>
      <w:r w:rsidRPr="00727D15">
        <w:rPr>
          <w:rFonts w:cs="Calibri"/>
          <w:color w:val="000000"/>
          <w:lang w:eastAsia="en-AU"/>
        </w:rPr>
        <w:t>care planning and access to therapeutic and meaningful activities.</w:t>
      </w:r>
    </w:p>
    <w:p w:rsidR="00CA4FF1" w:rsidRPr="00727D15" w:rsidRDefault="00CA4FF1" w:rsidP="00CA4FF1">
      <w:pPr>
        <w:numPr>
          <w:ilvl w:val="0"/>
          <w:numId w:val="12"/>
        </w:numPr>
        <w:autoSpaceDE w:val="0"/>
        <w:autoSpaceDN w:val="0"/>
        <w:adjustRightInd w:val="0"/>
        <w:spacing w:after="120"/>
        <w:ind w:left="436" w:hanging="357"/>
        <w:jc w:val="both"/>
        <w:rPr>
          <w:rFonts w:cs="Calibri"/>
          <w:color w:val="000000"/>
          <w:lang w:eastAsia="en-AU"/>
        </w:rPr>
      </w:pPr>
      <w:r w:rsidRPr="00727D15">
        <w:rPr>
          <w:rFonts w:cs="Calibri"/>
          <w:color w:val="000000"/>
          <w:lang w:eastAsia="en-AU"/>
        </w:rPr>
        <w:t>SDCUs deliver services tailored to the unique circumstances, background and preferences of each client, their family and carers, including using supported decision-making rather than substitute decision-making wherever possible and by valuing and supporting carers and the caring relationship.</w:t>
      </w:r>
    </w:p>
    <w:p w:rsidR="00CA4FF1" w:rsidRPr="00727D15" w:rsidRDefault="00CA4FF1" w:rsidP="00CA4FF1">
      <w:pPr>
        <w:numPr>
          <w:ilvl w:val="0"/>
          <w:numId w:val="12"/>
        </w:numPr>
        <w:autoSpaceDE w:val="0"/>
        <w:autoSpaceDN w:val="0"/>
        <w:adjustRightInd w:val="0"/>
        <w:spacing w:after="120"/>
        <w:ind w:left="436" w:hanging="357"/>
        <w:jc w:val="both"/>
        <w:rPr>
          <w:rFonts w:cs="Calibri"/>
          <w:color w:val="000000"/>
          <w:lang w:eastAsia="en-AU"/>
        </w:rPr>
      </w:pPr>
      <w:r w:rsidRPr="00727D15">
        <w:rPr>
          <w:rFonts w:cs="Calibri"/>
          <w:color w:val="000000"/>
          <w:lang w:eastAsia="en-AU"/>
        </w:rPr>
        <w:t xml:space="preserve">SDCUs use a multidisciplinary approach with formalised arrangements for access to specialist services and clinicians to support the provision of optimal care and clinical governance. </w:t>
      </w:r>
    </w:p>
    <w:p w:rsidR="00CA4FF1" w:rsidRPr="00727D15" w:rsidRDefault="00CA4FF1" w:rsidP="00CA4FF1">
      <w:pPr>
        <w:numPr>
          <w:ilvl w:val="0"/>
          <w:numId w:val="12"/>
        </w:numPr>
        <w:autoSpaceDE w:val="0"/>
        <w:autoSpaceDN w:val="0"/>
        <w:adjustRightInd w:val="0"/>
        <w:spacing w:after="120"/>
        <w:ind w:left="436" w:hanging="357"/>
        <w:jc w:val="both"/>
        <w:rPr>
          <w:rFonts w:cs="Calibri"/>
          <w:color w:val="000000"/>
          <w:lang w:eastAsia="en-AU"/>
        </w:rPr>
      </w:pPr>
      <w:r w:rsidRPr="00727D15">
        <w:rPr>
          <w:rFonts w:cs="Calibri"/>
          <w:color w:val="000000"/>
          <w:lang w:eastAsia="en-AU"/>
        </w:rPr>
        <w:t>SDCUs deliver care in a safe, stable and enabling environment that reflects dementia friendly /dementia enabling design principles</w:t>
      </w:r>
      <w:r>
        <w:rPr>
          <w:rFonts w:cs="Calibri"/>
          <w:color w:val="000000"/>
          <w:lang w:eastAsia="en-AU"/>
        </w:rPr>
        <w:t>.</w:t>
      </w:r>
    </w:p>
    <w:p w:rsidR="00CA4FF1" w:rsidRPr="00727D15" w:rsidRDefault="00CA4FF1" w:rsidP="00CA4FF1">
      <w:pPr>
        <w:numPr>
          <w:ilvl w:val="0"/>
          <w:numId w:val="12"/>
        </w:numPr>
        <w:autoSpaceDE w:val="0"/>
        <w:autoSpaceDN w:val="0"/>
        <w:adjustRightInd w:val="0"/>
        <w:spacing w:after="120"/>
        <w:ind w:left="436" w:hanging="357"/>
        <w:jc w:val="both"/>
        <w:rPr>
          <w:rFonts w:cs="Calibri"/>
          <w:color w:val="000000"/>
          <w:lang w:eastAsia="en-AU"/>
        </w:rPr>
      </w:pPr>
      <w:r w:rsidRPr="00727D15">
        <w:rPr>
          <w:rFonts w:cs="Calibri"/>
          <w:color w:val="000000"/>
          <w:lang w:eastAsia="en-AU"/>
        </w:rPr>
        <w:t xml:space="preserve">SDCUs employ adequate numbers of appropriately skilled and trained staff with the capability, commitment and confidence to work with people with very severe BPSD. </w:t>
      </w:r>
    </w:p>
    <w:p w:rsidR="00CA4FF1" w:rsidRPr="00727D15" w:rsidRDefault="00CA4FF1" w:rsidP="00CA4FF1">
      <w:pPr>
        <w:numPr>
          <w:ilvl w:val="0"/>
          <w:numId w:val="12"/>
        </w:numPr>
        <w:autoSpaceDE w:val="0"/>
        <w:autoSpaceDN w:val="0"/>
        <w:adjustRightInd w:val="0"/>
        <w:spacing w:after="120"/>
        <w:ind w:left="436" w:hanging="357"/>
        <w:jc w:val="both"/>
        <w:rPr>
          <w:rFonts w:cs="Calibri"/>
          <w:color w:val="000000"/>
          <w:lang w:eastAsia="en-AU"/>
        </w:rPr>
      </w:pPr>
      <w:r w:rsidRPr="00727D15">
        <w:rPr>
          <w:rFonts w:cs="Calibri"/>
          <w:color w:val="000000"/>
          <w:lang w:eastAsia="en-AU"/>
        </w:rPr>
        <w:t xml:space="preserve">SDCUs adopt least restrictive practices and promote human rights for people with dementia, including </w:t>
      </w:r>
      <w:r>
        <w:rPr>
          <w:rFonts w:cs="Calibri"/>
          <w:color w:val="000000"/>
          <w:lang w:eastAsia="en-AU"/>
        </w:rPr>
        <w:t xml:space="preserve">through </w:t>
      </w:r>
      <w:r w:rsidRPr="00727D15">
        <w:rPr>
          <w:rFonts w:cs="Calibri"/>
          <w:color w:val="000000"/>
          <w:lang w:eastAsia="en-AU"/>
        </w:rPr>
        <w:t>supporting the transition of people to less intensive care settings</w:t>
      </w:r>
      <w:r>
        <w:rPr>
          <w:rFonts w:cs="Calibri"/>
          <w:color w:val="000000"/>
          <w:lang w:eastAsia="en-AU"/>
        </w:rPr>
        <w:t>.</w:t>
      </w:r>
      <w:r w:rsidRPr="00727D15">
        <w:rPr>
          <w:rFonts w:cs="Calibri"/>
          <w:color w:val="000000"/>
          <w:lang w:eastAsia="en-AU"/>
        </w:rPr>
        <w:t xml:space="preserve"> </w:t>
      </w:r>
    </w:p>
    <w:p w:rsidR="00CA4FF1" w:rsidRPr="00727D15" w:rsidRDefault="00CA4FF1" w:rsidP="00CA4FF1">
      <w:pPr>
        <w:numPr>
          <w:ilvl w:val="0"/>
          <w:numId w:val="12"/>
        </w:numPr>
        <w:autoSpaceDE w:val="0"/>
        <w:autoSpaceDN w:val="0"/>
        <w:adjustRightInd w:val="0"/>
        <w:spacing w:after="120"/>
        <w:ind w:left="436" w:hanging="357"/>
        <w:jc w:val="both"/>
        <w:rPr>
          <w:rFonts w:cs="Calibri"/>
          <w:color w:val="000000"/>
          <w:lang w:eastAsia="en-AU"/>
        </w:rPr>
      </w:pPr>
      <w:r w:rsidRPr="00727D15">
        <w:rPr>
          <w:rFonts w:cs="Calibri"/>
          <w:color w:val="000000"/>
          <w:lang w:eastAsia="en-AU"/>
        </w:rPr>
        <w:t xml:space="preserve">SDCUs build and maintain collaboration and partnerships with </w:t>
      </w:r>
      <w:r w:rsidRPr="00982C36">
        <w:rPr>
          <w:rFonts w:cs="Calibri"/>
          <w:color w:val="000000"/>
          <w:lang w:eastAsia="en-AU"/>
        </w:rPr>
        <w:t>local hospital networks</w:t>
      </w:r>
      <w:r w:rsidRPr="00727D15">
        <w:rPr>
          <w:rFonts w:cs="Calibri"/>
          <w:color w:val="000000"/>
          <w:lang w:eastAsia="en-AU"/>
        </w:rPr>
        <w:t xml:space="preserve">, acute and subacute services, mainstream aged care providers and primary care professionals at the regional level to facilitate access and smooth transition to appropriate services for the target group. </w:t>
      </w:r>
    </w:p>
    <w:p w:rsidR="00CA4FF1" w:rsidRPr="00727D15" w:rsidRDefault="00CA4FF1" w:rsidP="00CA4FF1">
      <w:pPr>
        <w:numPr>
          <w:ilvl w:val="0"/>
          <w:numId w:val="12"/>
        </w:numPr>
        <w:autoSpaceDE w:val="0"/>
        <w:autoSpaceDN w:val="0"/>
        <w:adjustRightInd w:val="0"/>
        <w:spacing w:after="120"/>
        <w:ind w:left="436" w:hanging="357"/>
        <w:jc w:val="both"/>
        <w:rPr>
          <w:rFonts w:cs="Calibri"/>
          <w:color w:val="000000"/>
          <w:lang w:eastAsia="en-AU"/>
        </w:rPr>
      </w:pPr>
      <w:r w:rsidRPr="00727D15">
        <w:rPr>
          <w:rFonts w:cs="Calibri"/>
          <w:color w:val="000000"/>
          <w:lang w:eastAsia="en-AU"/>
        </w:rPr>
        <w:t>SDCUs actively participate in evaluation, continuous improvement and sharing of information to inform best practice and new models of care for people with very severe BPSD.</w:t>
      </w:r>
    </w:p>
    <w:p w:rsidR="00CA4FF1" w:rsidRPr="00727D15" w:rsidRDefault="00CA4FF1" w:rsidP="00CA4FF1">
      <w:pPr>
        <w:numPr>
          <w:ilvl w:val="0"/>
          <w:numId w:val="12"/>
        </w:numPr>
        <w:autoSpaceDE w:val="0"/>
        <w:autoSpaceDN w:val="0"/>
        <w:adjustRightInd w:val="0"/>
        <w:spacing w:after="120"/>
        <w:ind w:left="436" w:hanging="357"/>
        <w:jc w:val="both"/>
        <w:rPr>
          <w:rFonts w:cs="Calibri"/>
          <w:color w:val="000000"/>
          <w:lang w:eastAsia="en-AU"/>
        </w:rPr>
      </w:pPr>
      <w:r w:rsidRPr="00727D15">
        <w:rPr>
          <w:rFonts w:cs="Calibri"/>
          <w:color w:val="000000"/>
          <w:lang w:eastAsia="en-AU"/>
        </w:rPr>
        <w:t xml:space="preserve">SDCUs </w:t>
      </w:r>
      <w:r>
        <w:rPr>
          <w:rFonts w:cs="Calibri"/>
          <w:color w:val="000000"/>
          <w:lang w:eastAsia="en-AU"/>
        </w:rPr>
        <w:t xml:space="preserve">are </w:t>
      </w:r>
      <w:r w:rsidRPr="00727D15">
        <w:rPr>
          <w:rFonts w:cs="Calibri"/>
          <w:color w:val="000000"/>
          <w:lang w:eastAsia="en-AU"/>
        </w:rPr>
        <w:t xml:space="preserve">underpinned by collaboration between </w:t>
      </w:r>
      <w:r>
        <w:rPr>
          <w:rFonts w:cs="Calibri"/>
          <w:color w:val="000000"/>
          <w:lang w:eastAsia="en-AU"/>
        </w:rPr>
        <w:t xml:space="preserve">the </w:t>
      </w:r>
      <w:r w:rsidRPr="00727D15">
        <w:rPr>
          <w:rFonts w:cs="Calibri"/>
          <w:color w:val="000000"/>
          <w:lang w:eastAsia="en-AU"/>
        </w:rPr>
        <w:t xml:space="preserve">Australian </w:t>
      </w:r>
      <w:r>
        <w:rPr>
          <w:rFonts w:cs="Calibri"/>
          <w:color w:val="000000"/>
          <w:lang w:eastAsia="en-AU"/>
        </w:rPr>
        <w:t xml:space="preserve">Government </w:t>
      </w:r>
      <w:r w:rsidRPr="00727D15">
        <w:rPr>
          <w:rFonts w:cs="Calibri"/>
          <w:color w:val="000000"/>
          <w:lang w:eastAsia="en-AU"/>
        </w:rPr>
        <w:t xml:space="preserve">and state and territory </w:t>
      </w:r>
      <w:proofErr w:type="gramStart"/>
      <w:r w:rsidRPr="00727D15">
        <w:rPr>
          <w:rFonts w:cs="Calibri"/>
          <w:color w:val="000000"/>
          <w:lang w:eastAsia="en-AU"/>
        </w:rPr>
        <w:t>governments</w:t>
      </w:r>
      <w:r>
        <w:rPr>
          <w:rFonts w:cs="Calibri"/>
          <w:color w:val="000000"/>
          <w:lang w:eastAsia="en-AU"/>
        </w:rPr>
        <w:t>,</w:t>
      </w:r>
      <w:r w:rsidRPr="00727D15">
        <w:rPr>
          <w:rFonts w:cs="Calibri"/>
          <w:color w:val="000000"/>
          <w:lang w:eastAsia="en-AU"/>
        </w:rPr>
        <w:t xml:space="preserve"> that enhances</w:t>
      </w:r>
      <w:proofErr w:type="gramEnd"/>
      <w:r w:rsidRPr="00727D15">
        <w:rPr>
          <w:rFonts w:cs="Calibri"/>
          <w:color w:val="000000"/>
          <w:lang w:eastAsia="en-AU"/>
        </w:rPr>
        <w:t xml:space="preserve"> access to services and facilitates smooth transitions between service systems for the target group. </w:t>
      </w:r>
    </w:p>
    <w:p w:rsidR="00CA4FF1" w:rsidRPr="00727D15" w:rsidRDefault="00CA4FF1" w:rsidP="00CA4FF1">
      <w:pPr>
        <w:jc w:val="both"/>
      </w:pPr>
    </w:p>
    <w:p w:rsidR="00CA4FF1" w:rsidRDefault="00CA4FF1" w:rsidP="00CA4FF1">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contextualSpacing/>
        <w:jc w:val="both"/>
      </w:pPr>
      <w:r>
        <w:t xml:space="preserve">Q5) Are the proposed </w:t>
      </w:r>
      <w:r w:rsidRPr="00727D15">
        <w:t xml:space="preserve">SDCU </w:t>
      </w:r>
      <w:r>
        <w:t xml:space="preserve">service </w:t>
      </w:r>
      <w:r w:rsidRPr="00727D15">
        <w:t xml:space="preserve">principles </w:t>
      </w:r>
      <w:r>
        <w:t>appropriate? If not, how should they be amended?</w:t>
      </w:r>
    </w:p>
    <w:p w:rsidR="00CA4FF1" w:rsidRPr="006B5219" w:rsidRDefault="00CA4FF1" w:rsidP="00CA4FF1">
      <w:pPr>
        <w:pStyle w:val="Heading2"/>
        <w:numPr>
          <w:ilvl w:val="1"/>
          <w:numId w:val="4"/>
        </w:numPr>
        <w:spacing w:after="120"/>
        <w:jc w:val="both"/>
      </w:pPr>
      <w:bookmarkStart w:id="36" w:name="_Toc499538740"/>
      <w:r w:rsidRPr="006B5219">
        <w:t>SDCU intended benefits</w:t>
      </w:r>
      <w:bookmarkEnd w:id="36"/>
    </w:p>
    <w:p w:rsidR="00CA4FF1" w:rsidRPr="00727D15" w:rsidRDefault="00CA4FF1" w:rsidP="00CA4FF1">
      <w:pPr>
        <w:jc w:val="both"/>
      </w:pPr>
      <w:r w:rsidRPr="00727D15">
        <w:t xml:space="preserve">The implementation of SDCUs is intended to produce </w:t>
      </w:r>
      <w:r>
        <w:t>benefits</w:t>
      </w:r>
      <w:r w:rsidRPr="00727D15">
        <w:t xml:space="preserve"> at the individual level, the service level and the system level. Examples of potential </w:t>
      </w:r>
      <w:r>
        <w:t xml:space="preserve">benefits </w:t>
      </w:r>
      <w:r w:rsidRPr="00727D15">
        <w:t>that could inform the SDCU program evaluation framework are outlined below.</w:t>
      </w:r>
    </w:p>
    <w:p w:rsidR="00CA4FF1" w:rsidRPr="00727D15" w:rsidRDefault="00CA4FF1" w:rsidP="00CA4FF1">
      <w:pPr>
        <w:jc w:val="both"/>
      </w:pPr>
    </w:p>
    <w:p w:rsidR="00CA4FF1" w:rsidRPr="00D74ADB" w:rsidRDefault="00CA4FF1" w:rsidP="00CA4FF1">
      <w:pPr>
        <w:jc w:val="both"/>
        <w:rPr>
          <w:rStyle w:val="Emphasis"/>
        </w:rPr>
      </w:pPr>
      <w:r w:rsidRPr="00D74ADB">
        <w:rPr>
          <w:rStyle w:val="Emphasis"/>
        </w:rPr>
        <w:t>SDCU client level benefits</w:t>
      </w:r>
    </w:p>
    <w:p w:rsidR="00CA4FF1" w:rsidRPr="00727D15" w:rsidRDefault="00CA4FF1" w:rsidP="00CA4FF1">
      <w:pPr>
        <w:jc w:val="both"/>
      </w:pPr>
      <w:r w:rsidRPr="00727D15">
        <w:t xml:space="preserve">The client level </w:t>
      </w:r>
      <w:r>
        <w:t xml:space="preserve">benefits </w:t>
      </w:r>
      <w:r w:rsidRPr="00727D15">
        <w:t xml:space="preserve">would consider the impact of the program for clients, </w:t>
      </w:r>
      <w:r>
        <w:t xml:space="preserve">families and </w:t>
      </w:r>
      <w:r w:rsidRPr="00727D15">
        <w:t>carers, and could include:</w:t>
      </w:r>
    </w:p>
    <w:p w:rsidR="00CA4FF1" w:rsidRPr="00727D15" w:rsidRDefault="00CA4FF1" w:rsidP="00CA4FF1">
      <w:pPr>
        <w:numPr>
          <w:ilvl w:val="0"/>
          <w:numId w:val="13"/>
        </w:numPr>
        <w:ind w:left="357" w:hanging="357"/>
        <w:contextualSpacing/>
        <w:jc w:val="both"/>
      </w:pPr>
      <w:r>
        <w:t>c</w:t>
      </w:r>
      <w:r w:rsidRPr="00727D15">
        <w:t>lients</w:t>
      </w:r>
      <w:r>
        <w:t>’</w:t>
      </w:r>
      <w:r w:rsidRPr="00727D15">
        <w:t xml:space="preserve"> symptoms stabilised</w:t>
      </w:r>
    </w:p>
    <w:p w:rsidR="00CA4FF1" w:rsidRPr="00727D15" w:rsidRDefault="00CA4FF1" w:rsidP="00CA4FF1">
      <w:pPr>
        <w:numPr>
          <w:ilvl w:val="0"/>
          <w:numId w:val="13"/>
        </w:numPr>
        <w:ind w:left="357" w:hanging="357"/>
        <w:contextualSpacing/>
        <w:jc w:val="both"/>
      </w:pPr>
      <w:r>
        <w:lastRenderedPageBreak/>
        <w:t>c</w:t>
      </w:r>
      <w:r w:rsidRPr="00727D15">
        <w:t>lients are supported with dignity and provided with optimal care in a safe, stable and enabling environment</w:t>
      </w:r>
    </w:p>
    <w:p w:rsidR="00CA4FF1" w:rsidRPr="00727D15" w:rsidRDefault="00CA4FF1" w:rsidP="00CA4FF1">
      <w:pPr>
        <w:numPr>
          <w:ilvl w:val="0"/>
          <w:numId w:val="13"/>
        </w:numPr>
        <w:ind w:left="357" w:hanging="357"/>
        <w:contextualSpacing/>
        <w:jc w:val="both"/>
      </w:pPr>
      <w:r>
        <w:t>clients experience improved well</w:t>
      </w:r>
      <w:r w:rsidRPr="00727D15">
        <w:t>being and quality of life</w:t>
      </w:r>
    </w:p>
    <w:p w:rsidR="00CA4FF1" w:rsidRPr="00727D15" w:rsidRDefault="00CA4FF1" w:rsidP="00CA4FF1">
      <w:pPr>
        <w:numPr>
          <w:ilvl w:val="0"/>
          <w:numId w:val="13"/>
        </w:numPr>
        <w:ind w:left="357" w:hanging="357"/>
        <w:contextualSpacing/>
        <w:jc w:val="both"/>
      </w:pPr>
      <w:r>
        <w:t>c</w:t>
      </w:r>
      <w:r w:rsidRPr="00727D15">
        <w:t>lients successfully transition to less intensive care settings when this is appropriate</w:t>
      </w:r>
    </w:p>
    <w:p w:rsidR="00CA4FF1" w:rsidRPr="00727D15" w:rsidRDefault="00CA4FF1" w:rsidP="00CA4FF1">
      <w:pPr>
        <w:numPr>
          <w:ilvl w:val="0"/>
          <w:numId w:val="13"/>
        </w:numPr>
        <w:ind w:left="357" w:hanging="357"/>
        <w:contextualSpacing/>
        <w:jc w:val="both"/>
      </w:pPr>
      <w:proofErr w:type="gramStart"/>
      <w:r>
        <w:t>families</w:t>
      </w:r>
      <w:proofErr w:type="gramEnd"/>
      <w:r>
        <w:t xml:space="preserve"> and c</w:t>
      </w:r>
      <w:r w:rsidRPr="00727D15">
        <w:t>arers of people with very severe BPSD feel valued and supported in their caring role</w:t>
      </w:r>
      <w:r>
        <w:t xml:space="preserve"> and experience reduced carer-related stress</w:t>
      </w:r>
      <w:r w:rsidRPr="00727D15">
        <w:t>.</w:t>
      </w:r>
    </w:p>
    <w:p w:rsidR="00CA4FF1" w:rsidRPr="00727D15" w:rsidRDefault="00CA4FF1" w:rsidP="00CA4FF1">
      <w:pPr>
        <w:jc w:val="both"/>
        <w:rPr>
          <w:i/>
        </w:rPr>
      </w:pPr>
    </w:p>
    <w:p w:rsidR="00CA4FF1" w:rsidRPr="00D74ADB" w:rsidRDefault="00CA4FF1" w:rsidP="00CA4FF1">
      <w:pPr>
        <w:jc w:val="both"/>
        <w:rPr>
          <w:rStyle w:val="Emphasis"/>
        </w:rPr>
      </w:pPr>
      <w:r w:rsidRPr="00D74ADB">
        <w:rPr>
          <w:rStyle w:val="Emphasis"/>
        </w:rPr>
        <w:t>SDCU service level benefits</w:t>
      </w:r>
    </w:p>
    <w:p w:rsidR="00CA4FF1" w:rsidRPr="00727D15" w:rsidRDefault="00CA4FF1" w:rsidP="00CA4FF1">
      <w:pPr>
        <w:jc w:val="both"/>
      </w:pPr>
      <w:r w:rsidRPr="00727D15">
        <w:t xml:space="preserve">The service level </w:t>
      </w:r>
      <w:r>
        <w:t xml:space="preserve">benefits </w:t>
      </w:r>
      <w:r w:rsidRPr="00727D15">
        <w:t xml:space="preserve">would focus on how the SDCU program has been rolled out in individual </w:t>
      </w:r>
      <w:r>
        <w:t>residential aged care facilities</w:t>
      </w:r>
      <w:r w:rsidRPr="00727D15">
        <w:t>, and the particular actions and changes that have been implemented to provide care to the target group, which could include:</w:t>
      </w:r>
    </w:p>
    <w:p w:rsidR="00CA4FF1" w:rsidRPr="00727D15" w:rsidRDefault="00CA4FF1" w:rsidP="00CA4FF1">
      <w:pPr>
        <w:numPr>
          <w:ilvl w:val="0"/>
          <w:numId w:val="13"/>
        </w:numPr>
        <w:ind w:left="357" w:hanging="357"/>
        <w:contextualSpacing/>
        <w:jc w:val="both"/>
      </w:pPr>
      <w:r>
        <w:t>s</w:t>
      </w:r>
      <w:r w:rsidRPr="00727D15">
        <w:t>ervices develop and retain experienced, skilled, empowered staff with low turnover</w:t>
      </w:r>
    </w:p>
    <w:p w:rsidR="00CA4FF1" w:rsidRPr="00727D15" w:rsidRDefault="00CA4FF1" w:rsidP="00CA4FF1">
      <w:pPr>
        <w:numPr>
          <w:ilvl w:val="0"/>
          <w:numId w:val="13"/>
        </w:numPr>
        <w:ind w:left="357" w:hanging="357"/>
        <w:contextualSpacing/>
        <w:jc w:val="both"/>
      </w:pPr>
      <w:r>
        <w:t>s</w:t>
      </w:r>
      <w:r w:rsidRPr="00727D15">
        <w:t>ervices develop enhanced capacity to care for people with</w:t>
      </w:r>
      <w:r>
        <w:t xml:space="preserve"> very</w:t>
      </w:r>
      <w:r w:rsidRPr="00727D15">
        <w:t xml:space="preserve"> severe BPSD</w:t>
      </w:r>
    </w:p>
    <w:p w:rsidR="00CA4FF1" w:rsidRPr="00727D15" w:rsidRDefault="00CA4FF1" w:rsidP="00CA4FF1">
      <w:pPr>
        <w:numPr>
          <w:ilvl w:val="0"/>
          <w:numId w:val="13"/>
        </w:numPr>
        <w:ind w:left="357" w:hanging="357"/>
        <w:contextualSpacing/>
        <w:jc w:val="both"/>
      </w:pPr>
      <w:r>
        <w:t>s</w:t>
      </w:r>
      <w:r w:rsidRPr="00727D15">
        <w:t>ervices are delivered within dementia friendly/enabling environments</w:t>
      </w:r>
    </w:p>
    <w:p w:rsidR="00CA4FF1" w:rsidRPr="00727D15" w:rsidRDefault="00CA4FF1" w:rsidP="00CA4FF1">
      <w:pPr>
        <w:numPr>
          <w:ilvl w:val="0"/>
          <w:numId w:val="13"/>
        </w:numPr>
        <w:ind w:left="357" w:hanging="357"/>
        <w:contextualSpacing/>
        <w:jc w:val="both"/>
      </w:pPr>
      <w:proofErr w:type="gramStart"/>
      <w:r>
        <w:t>s</w:t>
      </w:r>
      <w:r w:rsidRPr="00727D15">
        <w:t>ervices</w:t>
      </w:r>
      <w:proofErr w:type="gramEnd"/>
      <w:r w:rsidRPr="00727D15">
        <w:t xml:space="preserve"> deliver a multidisciplinary approach to care and strong partnerships with local services and stakeholders</w:t>
      </w:r>
      <w:r>
        <w:t>.</w:t>
      </w:r>
    </w:p>
    <w:p w:rsidR="00CA4FF1" w:rsidRPr="00727D15" w:rsidRDefault="00CA4FF1" w:rsidP="00CA4FF1">
      <w:pPr>
        <w:jc w:val="both"/>
        <w:rPr>
          <w:i/>
        </w:rPr>
      </w:pPr>
    </w:p>
    <w:p w:rsidR="00CA4FF1" w:rsidRPr="00D74ADB" w:rsidRDefault="00CA4FF1" w:rsidP="00CA4FF1">
      <w:pPr>
        <w:jc w:val="both"/>
        <w:rPr>
          <w:rStyle w:val="Emphasis"/>
        </w:rPr>
      </w:pPr>
      <w:r w:rsidRPr="00D74ADB">
        <w:rPr>
          <w:rStyle w:val="Emphasis"/>
        </w:rPr>
        <w:t>Aged care and health system level benefits</w:t>
      </w:r>
    </w:p>
    <w:p w:rsidR="00CA4FF1" w:rsidRPr="00727D15" w:rsidRDefault="00CA4FF1" w:rsidP="00CA4FF1">
      <w:pPr>
        <w:jc w:val="both"/>
      </w:pPr>
      <w:r w:rsidRPr="00727D15">
        <w:t xml:space="preserve">The system </w:t>
      </w:r>
      <w:r>
        <w:t>benefits</w:t>
      </w:r>
      <w:r w:rsidRPr="00727D15">
        <w:t xml:space="preserve"> would </w:t>
      </w:r>
      <w:r>
        <w:t xml:space="preserve">consider </w:t>
      </w:r>
      <w:r w:rsidRPr="00727D15">
        <w:t xml:space="preserve">how the program has contributed to providing care for people with very severe BPSD, as well as the integration and interface of the program with the mainstream aged care system </w:t>
      </w:r>
      <w:r>
        <w:t xml:space="preserve">and </w:t>
      </w:r>
      <w:r w:rsidRPr="00727D15">
        <w:t xml:space="preserve">the health system, with potential </w:t>
      </w:r>
      <w:r>
        <w:t>benefits</w:t>
      </w:r>
      <w:r w:rsidRPr="00727D15">
        <w:t xml:space="preserve"> including: </w:t>
      </w:r>
    </w:p>
    <w:p w:rsidR="00CA4FF1" w:rsidRPr="00727D15" w:rsidRDefault="00CA4FF1" w:rsidP="00CA4FF1">
      <w:pPr>
        <w:numPr>
          <w:ilvl w:val="0"/>
          <w:numId w:val="13"/>
        </w:numPr>
        <w:contextualSpacing/>
        <w:jc w:val="both"/>
      </w:pPr>
      <w:r>
        <w:t>e</w:t>
      </w:r>
      <w:r w:rsidRPr="00727D15">
        <w:t xml:space="preserve">nhanced capability of the aged care system to support people living with dementia as SDCUs </w:t>
      </w:r>
      <w:r>
        <w:t xml:space="preserve">provide centres of excellence for management of very severe BPSD and </w:t>
      </w:r>
      <w:r w:rsidRPr="00727D15">
        <w:t>complement existing initiatives such as the Dementia Training Program</w:t>
      </w:r>
      <w:r>
        <w:t xml:space="preserve"> delivered by Dementia Training Australia and the DBMAS</w:t>
      </w:r>
      <w:r w:rsidRPr="00727D15">
        <w:t xml:space="preserve"> and S</w:t>
      </w:r>
      <w:r>
        <w:t>BRT delivered by Dementia Support Australia</w:t>
      </w:r>
    </w:p>
    <w:p w:rsidR="00CA4FF1" w:rsidRPr="00727D15" w:rsidRDefault="00CA4FF1" w:rsidP="00CA4FF1">
      <w:pPr>
        <w:numPr>
          <w:ilvl w:val="0"/>
          <w:numId w:val="13"/>
        </w:numPr>
        <w:contextualSpacing/>
        <w:jc w:val="both"/>
      </w:pPr>
      <w:r>
        <w:t>i</w:t>
      </w:r>
      <w:r w:rsidRPr="00727D15">
        <w:t xml:space="preserve">mproved access to targeted </w:t>
      </w:r>
      <w:r>
        <w:t>and appropriate</w:t>
      </w:r>
      <w:r w:rsidRPr="00727D15">
        <w:t xml:space="preserve"> support for people with very severe BPSD, enabling existing services and programs to operate more effectively, within a lower risk environment, and leading to flow-on benefits for all people within mainstream aged care services</w:t>
      </w:r>
    </w:p>
    <w:p w:rsidR="00CA4FF1" w:rsidRPr="00727D15" w:rsidRDefault="00CA4FF1" w:rsidP="00CA4FF1">
      <w:pPr>
        <w:numPr>
          <w:ilvl w:val="0"/>
          <w:numId w:val="13"/>
        </w:numPr>
        <w:contextualSpacing/>
        <w:jc w:val="both"/>
      </w:pPr>
      <w:r>
        <w:t>r</w:t>
      </w:r>
      <w:r w:rsidRPr="00727D15">
        <w:t>eduction in futile medical interventions and associated avoidable admissions and prolonged stays in hospital or acute mental health services for people with very severe BPSD, as a result of strong service provider partnerships at the local level and enhanced aged care system capability</w:t>
      </w:r>
    </w:p>
    <w:p w:rsidR="00CA4FF1" w:rsidRPr="00727D15" w:rsidRDefault="00CA4FF1" w:rsidP="00CA4FF1">
      <w:pPr>
        <w:numPr>
          <w:ilvl w:val="0"/>
          <w:numId w:val="13"/>
        </w:numPr>
        <w:contextualSpacing/>
        <w:jc w:val="both"/>
      </w:pPr>
      <w:r>
        <w:t>a</w:t>
      </w:r>
      <w:r w:rsidRPr="00727D15">
        <w:t xml:space="preserve">greed roles and responsibilities for </w:t>
      </w:r>
      <w:r>
        <w:t>the Australian Government</w:t>
      </w:r>
      <w:r w:rsidRPr="00727D15">
        <w:t>, states and territories, residential aged care and health providers</w:t>
      </w:r>
      <w:r>
        <w:t>,</w:t>
      </w:r>
      <w:r w:rsidRPr="00727D15">
        <w:t xml:space="preserve"> that support well-managed transitions between the aged care and health care systems for the SDCU target group</w:t>
      </w:r>
    </w:p>
    <w:p w:rsidR="00CA4FF1" w:rsidRPr="00727D15" w:rsidRDefault="00CA4FF1" w:rsidP="00CA4FF1">
      <w:pPr>
        <w:numPr>
          <w:ilvl w:val="0"/>
          <w:numId w:val="13"/>
        </w:numPr>
        <w:contextualSpacing/>
        <w:jc w:val="both"/>
      </w:pPr>
      <w:proofErr w:type="gramStart"/>
      <w:r>
        <w:t>s</w:t>
      </w:r>
      <w:r w:rsidRPr="00727D15">
        <w:t>trengthened</w:t>
      </w:r>
      <w:proofErr w:type="gramEnd"/>
      <w:r w:rsidRPr="00727D15">
        <w:t xml:space="preserve"> evidence base to inform best practice</w:t>
      </w:r>
      <w:r>
        <w:t xml:space="preserve">, </w:t>
      </w:r>
      <w:r w:rsidRPr="00727D15">
        <w:t xml:space="preserve">new models of care </w:t>
      </w:r>
      <w:r>
        <w:t xml:space="preserve">and training content on care for </w:t>
      </w:r>
      <w:r w:rsidRPr="00727D15">
        <w:t>people with very severe BPSD.</w:t>
      </w:r>
    </w:p>
    <w:p w:rsidR="00CA4FF1" w:rsidRPr="00727D15" w:rsidRDefault="00CA4FF1" w:rsidP="00CA4FF1">
      <w:pPr>
        <w:jc w:val="both"/>
      </w:pPr>
    </w:p>
    <w:p w:rsidR="00CA4FF1" w:rsidRPr="00727D15" w:rsidRDefault="00CA4FF1" w:rsidP="00CA4FF1">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contextualSpacing/>
        <w:jc w:val="both"/>
        <w:rPr>
          <w:b/>
        </w:rPr>
      </w:pPr>
      <w:r>
        <w:t xml:space="preserve">Q6) </w:t>
      </w:r>
      <w:r w:rsidRPr="00727D15">
        <w:t xml:space="preserve">Are the above </w:t>
      </w:r>
      <w:r>
        <w:t>benefits</w:t>
      </w:r>
      <w:r w:rsidRPr="00727D15">
        <w:t xml:space="preserve"> what SDCUs should be aiming to deliver? If not</w:t>
      </w:r>
      <w:r>
        <w:t>,</w:t>
      </w:r>
      <w:r w:rsidRPr="00727D15">
        <w:t xml:space="preserve"> why? </w:t>
      </w:r>
    </w:p>
    <w:p w:rsidR="00CA4FF1" w:rsidRPr="00727D15" w:rsidRDefault="00CA4FF1" w:rsidP="00CA4FF1">
      <w:pPr>
        <w:pStyle w:val="Heading2"/>
        <w:numPr>
          <w:ilvl w:val="1"/>
          <w:numId w:val="4"/>
        </w:numPr>
        <w:spacing w:after="120"/>
        <w:jc w:val="both"/>
      </w:pPr>
      <w:bookmarkStart w:id="37" w:name="_Toc499538741"/>
      <w:r w:rsidRPr="009C6C80">
        <w:lastRenderedPageBreak/>
        <w:t>The SDCU model of care</w:t>
      </w:r>
      <w:bookmarkEnd w:id="37"/>
    </w:p>
    <w:p w:rsidR="00CA4FF1" w:rsidRDefault="00CA4FF1" w:rsidP="00CA4FF1">
      <w:pPr>
        <w:jc w:val="both"/>
      </w:pPr>
      <w:r w:rsidRPr="009C6C80">
        <w:t xml:space="preserve">The SDCU client pathway will involve three major steps – pre-entry, </w:t>
      </w:r>
      <w:r>
        <w:t>service delivery</w:t>
      </w:r>
      <w:r w:rsidRPr="009C6C80">
        <w:t xml:space="preserve"> and supported transition out. Enabling elements will support each step in the journey. Together these form the ‘four pillars’ of the </w:t>
      </w:r>
      <w:r>
        <w:t xml:space="preserve">proposed </w:t>
      </w:r>
      <w:r w:rsidRPr="009C6C80">
        <w:t>SDCU model of care.</w:t>
      </w:r>
      <w:r w:rsidR="006B4F5A">
        <w:t xml:space="preserve"> This is illustrated in Figure 6 below.</w:t>
      </w:r>
    </w:p>
    <w:p w:rsidR="006B4F5A" w:rsidRDefault="006B4F5A" w:rsidP="00CA4FF1">
      <w:pPr>
        <w:jc w:val="both"/>
      </w:pPr>
    </w:p>
    <w:p w:rsidR="00CA4FF1" w:rsidRPr="006B4F5A" w:rsidRDefault="006B4F5A" w:rsidP="00CA4FF1">
      <w:pPr>
        <w:jc w:val="both"/>
        <w:rPr>
          <w:rStyle w:val="Emphasis"/>
        </w:rPr>
      </w:pPr>
      <w:r>
        <w:rPr>
          <w:rStyle w:val="Emphasis"/>
        </w:rPr>
        <w:t>Figure 6: SDCU model of care</w:t>
      </w:r>
    </w:p>
    <w:p w:rsidR="00CA4FF1" w:rsidRDefault="00CA4FF1" w:rsidP="00CA4FF1">
      <w:pPr>
        <w:pBdr>
          <w:top w:val="single" w:sz="4" w:space="1" w:color="auto"/>
          <w:left w:val="single" w:sz="4" w:space="4" w:color="auto"/>
          <w:bottom w:val="single" w:sz="4" w:space="1" w:color="auto"/>
          <w:right w:val="single" w:sz="4" w:space="4" w:color="auto"/>
        </w:pBdr>
        <w:shd w:val="clear" w:color="auto" w:fill="E5DFEC" w:themeFill="accent4" w:themeFillTint="33"/>
        <w:spacing w:after="120"/>
        <w:jc w:val="center"/>
        <w:rPr>
          <w:b/>
        </w:rPr>
        <w:sectPr w:rsidR="00CA4FF1" w:rsidSect="008B4376">
          <w:endnotePr>
            <w:numFmt w:val="decimal"/>
          </w:endnotePr>
          <w:type w:val="continuous"/>
          <w:pgSz w:w="11906" w:h="16838"/>
          <w:pgMar w:top="1440" w:right="1800" w:bottom="1440" w:left="1800" w:header="708" w:footer="708" w:gutter="0"/>
          <w:cols w:space="709"/>
          <w:docGrid w:linePitch="360"/>
        </w:sectPr>
      </w:pPr>
      <w:r>
        <w:rPr>
          <w:b/>
        </w:rPr>
        <w:t>Client pathway</w:t>
      </w:r>
    </w:p>
    <w:p w:rsidR="00CA4FF1" w:rsidRDefault="00CA4FF1" w:rsidP="00CA4FF1">
      <w:pPr>
        <w:pBdr>
          <w:top w:val="single" w:sz="4" w:space="1" w:color="auto"/>
          <w:left w:val="single" w:sz="4" w:space="4" w:color="auto"/>
          <w:bottom w:val="single" w:sz="4" w:space="1" w:color="auto"/>
          <w:right w:val="single" w:sz="4" w:space="4" w:color="auto"/>
        </w:pBdr>
        <w:spacing w:after="120"/>
        <w:jc w:val="center"/>
        <w:rPr>
          <w:b/>
        </w:rPr>
      </w:pPr>
      <w:r>
        <w:rPr>
          <w:b/>
        </w:rPr>
        <w:lastRenderedPageBreak/>
        <w:t>Pre-entry</w:t>
      </w:r>
    </w:p>
    <w:p w:rsidR="00CA4FF1" w:rsidRDefault="00CA4FF1" w:rsidP="00CA4FF1">
      <w:pPr>
        <w:pStyle w:val="Default"/>
        <w:pBdr>
          <w:top w:val="single" w:sz="4" w:space="1" w:color="auto"/>
          <w:left w:val="single" w:sz="4" w:space="4" w:color="auto"/>
          <w:bottom w:val="single" w:sz="4" w:space="1" w:color="auto"/>
          <w:right w:val="single" w:sz="4" w:space="4" w:color="auto"/>
        </w:pBdr>
        <w:spacing w:after="120"/>
        <w:jc w:val="center"/>
        <w:rPr>
          <w:rFonts w:asciiTheme="minorHAnsi" w:hAnsiTheme="minorHAnsi"/>
        </w:rPr>
      </w:pPr>
      <w:r>
        <w:rPr>
          <w:rFonts w:asciiTheme="minorHAnsi" w:hAnsiTheme="minorHAnsi"/>
        </w:rPr>
        <w:t>Target group</w:t>
      </w:r>
    </w:p>
    <w:p w:rsidR="00CA4FF1" w:rsidRDefault="00CA4FF1" w:rsidP="00CA4FF1">
      <w:pPr>
        <w:pStyle w:val="Default"/>
        <w:pBdr>
          <w:top w:val="single" w:sz="4" w:space="1" w:color="auto"/>
          <w:left w:val="single" w:sz="4" w:space="4" w:color="auto"/>
          <w:bottom w:val="single" w:sz="4" w:space="1" w:color="auto"/>
          <w:right w:val="single" w:sz="4" w:space="4" w:color="auto"/>
        </w:pBdr>
        <w:spacing w:after="120"/>
        <w:jc w:val="center"/>
        <w:rPr>
          <w:rFonts w:asciiTheme="minorHAnsi" w:hAnsiTheme="minorHAnsi"/>
        </w:rPr>
      </w:pPr>
      <w:r>
        <w:rPr>
          <w:rFonts w:asciiTheme="minorHAnsi" w:hAnsiTheme="minorHAnsi"/>
        </w:rPr>
        <w:t>Referral pathways</w:t>
      </w:r>
    </w:p>
    <w:p w:rsidR="00CA4FF1" w:rsidRDefault="00CA4FF1" w:rsidP="00CA4FF1">
      <w:pPr>
        <w:pStyle w:val="Default"/>
        <w:pBdr>
          <w:top w:val="single" w:sz="4" w:space="1" w:color="auto"/>
          <w:left w:val="single" w:sz="4" w:space="4" w:color="auto"/>
          <w:bottom w:val="single" w:sz="4" w:space="1" w:color="auto"/>
          <w:right w:val="single" w:sz="4" w:space="4" w:color="auto"/>
        </w:pBdr>
        <w:spacing w:after="120"/>
        <w:jc w:val="center"/>
        <w:rPr>
          <w:rFonts w:asciiTheme="minorHAnsi" w:hAnsiTheme="minorHAnsi"/>
        </w:rPr>
      </w:pPr>
      <w:r>
        <w:rPr>
          <w:rFonts w:asciiTheme="minorHAnsi" w:hAnsiTheme="minorHAnsi"/>
        </w:rPr>
        <w:t>Eligibility</w:t>
      </w:r>
    </w:p>
    <w:p w:rsidR="00CA4FF1" w:rsidRDefault="00CA4FF1" w:rsidP="00CA4FF1">
      <w:pPr>
        <w:pStyle w:val="Default"/>
        <w:pBdr>
          <w:top w:val="single" w:sz="4" w:space="1" w:color="auto"/>
          <w:left w:val="single" w:sz="4" w:space="4" w:color="auto"/>
          <w:bottom w:val="single" w:sz="4" w:space="1" w:color="auto"/>
          <w:right w:val="single" w:sz="4" w:space="4" w:color="auto"/>
        </w:pBdr>
        <w:spacing w:after="120"/>
        <w:jc w:val="center"/>
        <w:rPr>
          <w:rFonts w:asciiTheme="minorHAnsi" w:hAnsiTheme="minorHAnsi"/>
        </w:rPr>
      </w:pPr>
      <w:r>
        <w:rPr>
          <w:rFonts w:asciiTheme="minorHAnsi" w:hAnsiTheme="minorHAnsi"/>
        </w:rPr>
        <w:t>Assessment</w:t>
      </w:r>
    </w:p>
    <w:p w:rsidR="00CA4FF1" w:rsidRDefault="00CA4FF1" w:rsidP="00CA4FF1">
      <w:pPr>
        <w:pStyle w:val="Default"/>
        <w:pBdr>
          <w:top w:val="single" w:sz="4" w:space="1" w:color="auto"/>
          <w:left w:val="single" w:sz="4" w:space="4" w:color="auto"/>
          <w:bottom w:val="single" w:sz="4" w:space="1" w:color="auto"/>
          <w:right w:val="single" w:sz="4" w:space="4" w:color="auto"/>
        </w:pBdr>
        <w:spacing w:after="120"/>
        <w:jc w:val="center"/>
        <w:rPr>
          <w:b/>
          <w:bCs/>
        </w:rPr>
      </w:pPr>
      <w:r>
        <w:rPr>
          <w:b/>
          <w:bCs/>
        </w:rPr>
        <w:br w:type="column"/>
      </w:r>
      <w:r>
        <w:rPr>
          <w:b/>
          <w:bCs/>
        </w:rPr>
        <w:lastRenderedPageBreak/>
        <w:t>Service delivery</w:t>
      </w:r>
    </w:p>
    <w:p w:rsidR="00CA4FF1" w:rsidRPr="009C6C80" w:rsidRDefault="00CA4FF1" w:rsidP="00CA4FF1">
      <w:pPr>
        <w:pStyle w:val="Default"/>
        <w:pBdr>
          <w:top w:val="single" w:sz="4" w:space="1" w:color="auto"/>
          <w:left w:val="single" w:sz="4" w:space="4" w:color="auto"/>
          <w:bottom w:val="single" w:sz="4" w:space="1" w:color="auto"/>
          <w:right w:val="single" w:sz="4" w:space="4" w:color="auto"/>
        </w:pBdr>
        <w:spacing w:after="120"/>
        <w:jc w:val="center"/>
        <w:rPr>
          <w:rFonts w:asciiTheme="minorHAnsi" w:hAnsiTheme="minorHAnsi"/>
        </w:rPr>
      </w:pPr>
      <w:r>
        <w:rPr>
          <w:rFonts w:asciiTheme="minorHAnsi" w:hAnsiTheme="minorHAnsi"/>
        </w:rPr>
        <w:t>C</w:t>
      </w:r>
      <w:r w:rsidRPr="009C6C80">
        <w:rPr>
          <w:rFonts w:asciiTheme="minorHAnsi" w:hAnsiTheme="minorHAnsi"/>
        </w:rPr>
        <w:t>are setting</w:t>
      </w:r>
    </w:p>
    <w:p w:rsidR="00CA4FF1" w:rsidRPr="009C6C80" w:rsidRDefault="00CA4FF1" w:rsidP="00CA4FF1">
      <w:pPr>
        <w:pStyle w:val="Default"/>
        <w:pBdr>
          <w:top w:val="single" w:sz="4" w:space="1" w:color="auto"/>
          <w:left w:val="single" w:sz="4" w:space="4" w:color="auto"/>
          <w:bottom w:val="single" w:sz="4" w:space="1" w:color="auto"/>
          <w:right w:val="single" w:sz="4" w:space="4" w:color="auto"/>
        </w:pBdr>
        <w:spacing w:after="120"/>
        <w:jc w:val="center"/>
        <w:rPr>
          <w:rFonts w:asciiTheme="minorHAnsi" w:hAnsiTheme="minorHAnsi"/>
        </w:rPr>
      </w:pPr>
      <w:r w:rsidRPr="009C6C80">
        <w:rPr>
          <w:rFonts w:asciiTheme="minorHAnsi" w:hAnsiTheme="minorHAnsi"/>
        </w:rPr>
        <w:t>Philosophy and care approach</w:t>
      </w:r>
    </w:p>
    <w:p w:rsidR="00CA4FF1" w:rsidRPr="009C6C80" w:rsidRDefault="00CA4FF1" w:rsidP="00CA4FF1">
      <w:pPr>
        <w:pStyle w:val="Default"/>
        <w:pBdr>
          <w:top w:val="single" w:sz="4" w:space="1" w:color="auto"/>
          <w:left w:val="single" w:sz="4" w:space="4" w:color="auto"/>
          <w:bottom w:val="single" w:sz="4" w:space="1" w:color="auto"/>
          <w:right w:val="single" w:sz="4" w:space="4" w:color="auto"/>
        </w:pBdr>
        <w:spacing w:after="120"/>
        <w:jc w:val="center"/>
        <w:rPr>
          <w:rFonts w:asciiTheme="minorHAnsi" w:hAnsiTheme="minorHAnsi"/>
        </w:rPr>
      </w:pPr>
      <w:r w:rsidRPr="009C6C80">
        <w:rPr>
          <w:rFonts w:asciiTheme="minorHAnsi" w:hAnsiTheme="minorHAnsi"/>
        </w:rPr>
        <w:t>Care planning</w:t>
      </w:r>
    </w:p>
    <w:p w:rsidR="00CA4FF1" w:rsidRPr="009C6C80" w:rsidRDefault="00CA4FF1" w:rsidP="00CA4FF1">
      <w:pPr>
        <w:pStyle w:val="Default"/>
        <w:pBdr>
          <w:top w:val="single" w:sz="4" w:space="1" w:color="auto"/>
          <w:left w:val="single" w:sz="4" w:space="4" w:color="auto"/>
          <w:bottom w:val="single" w:sz="4" w:space="1" w:color="auto"/>
          <w:right w:val="single" w:sz="4" w:space="4" w:color="auto"/>
        </w:pBdr>
        <w:spacing w:after="120"/>
        <w:jc w:val="center"/>
        <w:rPr>
          <w:rFonts w:asciiTheme="minorHAnsi" w:hAnsiTheme="minorHAnsi"/>
        </w:rPr>
      </w:pPr>
      <w:r w:rsidRPr="009C6C80">
        <w:rPr>
          <w:rFonts w:asciiTheme="minorHAnsi" w:hAnsiTheme="minorHAnsi"/>
        </w:rPr>
        <w:t>Care and services provided</w:t>
      </w:r>
    </w:p>
    <w:p w:rsidR="00CA4FF1" w:rsidRDefault="00CA4FF1" w:rsidP="00CA4FF1">
      <w:pPr>
        <w:pStyle w:val="Default"/>
        <w:pBdr>
          <w:top w:val="single" w:sz="4" w:space="1" w:color="auto"/>
          <w:left w:val="single" w:sz="4" w:space="4" w:color="auto"/>
          <w:bottom w:val="single" w:sz="4" w:space="1" w:color="auto"/>
          <w:right w:val="single" w:sz="4" w:space="4" w:color="auto"/>
        </w:pBdr>
        <w:spacing w:after="120"/>
        <w:jc w:val="center"/>
        <w:rPr>
          <w:rFonts w:asciiTheme="minorHAnsi" w:hAnsiTheme="minorHAnsi"/>
        </w:rPr>
      </w:pPr>
      <w:r w:rsidRPr="009C6C80">
        <w:rPr>
          <w:rFonts w:asciiTheme="minorHAnsi" w:hAnsiTheme="minorHAnsi"/>
        </w:rPr>
        <w:t>Leave from care</w:t>
      </w:r>
    </w:p>
    <w:p w:rsidR="00CA4FF1" w:rsidRPr="009C6C80" w:rsidRDefault="00CA4FF1" w:rsidP="00CA4FF1">
      <w:pPr>
        <w:pStyle w:val="Default"/>
        <w:pBdr>
          <w:top w:val="single" w:sz="4" w:space="1" w:color="auto"/>
          <w:left w:val="single" w:sz="4" w:space="4" w:color="auto"/>
          <w:bottom w:val="single" w:sz="4" w:space="1" w:color="auto"/>
          <w:right w:val="single" w:sz="4" w:space="4" w:color="auto"/>
        </w:pBdr>
        <w:spacing w:after="120"/>
        <w:jc w:val="center"/>
        <w:rPr>
          <w:rFonts w:asciiTheme="minorHAnsi" w:hAnsiTheme="minorHAnsi"/>
        </w:rPr>
      </w:pPr>
      <w:r>
        <w:rPr>
          <w:rFonts w:asciiTheme="minorHAnsi" w:hAnsiTheme="minorHAnsi"/>
        </w:rPr>
        <w:t>Minimising use of restrictive practices</w:t>
      </w:r>
    </w:p>
    <w:p w:rsidR="00CA4FF1" w:rsidRDefault="00CA4FF1" w:rsidP="00CA4FF1">
      <w:pPr>
        <w:pBdr>
          <w:top w:val="single" w:sz="4" w:space="1" w:color="auto"/>
          <w:left w:val="single" w:sz="4" w:space="4" w:color="auto"/>
          <w:bottom w:val="single" w:sz="4" w:space="1" w:color="auto"/>
          <w:right w:val="single" w:sz="4" w:space="4" w:color="auto"/>
        </w:pBdr>
        <w:spacing w:after="120"/>
        <w:jc w:val="center"/>
        <w:rPr>
          <w:b/>
        </w:rPr>
      </w:pPr>
      <w:r>
        <w:rPr>
          <w:b/>
        </w:rPr>
        <w:br w:type="column"/>
      </w:r>
      <w:r>
        <w:rPr>
          <w:b/>
        </w:rPr>
        <w:lastRenderedPageBreak/>
        <w:t>Supported transition out</w:t>
      </w:r>
    </w:p>
    <w:p w:rsidR="00CA4FF1" w:rsidRPr="009C6C80" w:rsidRDefault="00CA4FF1" w:rsidP="00CA4FF1">
      <w:pPr>
        <w:pStyle w:val="Default"/>
        <w:pBdr>
          <w:top w:val="single" w:sz="4" w:space="1" w:color="auto"/>
          <w:left w:val="single" w:sz="4" w:space="4" w:color="auto"/>
          <w:bottom w:val="single" w:sz="4" w:space="1" w:color="auto"/>
          <w:right w:val="single" w:sz="4" w:space="4" w:color="auto"/>
        </w:pBdr>
        <w:spacing w:after="120"/>
        <w:jc w:val="center"/>
        <w:rPr>
          <w:rFonts w:asciiTheme="minorHAnsi" w:hAnsiTheme="minorHAnsi"/>
        </w:rPr>
      </w:pPr>
      <w:r w:rsidRPr="009C6C80">
        <w:rPr>
          <w:rFonts w:asciiTheme="minorHAnsi" w:hAnsiTheme="minorHAnsi"/>
        </w:rPr>
        <w:t>Duration of stay</w:t>
      </w:r>
    </w:p>
    <w:p w:rsidR="00CA4FF1" w:rsidRPr="009C6C80" w:rsidRDefault="00CA4FF1" w:rsidP="00CA4FF1">
      <w:pPr>
        <w:pStyle w:val="Default"/>
        <w:pBdr>
          <w:top w:val="single" w:sz="4" w:space="1" w:color="auto"/>
          <w:left w:val="single" w:sz="4" w:space="4" w:color="auto"/>
          <w:bottom w:val="single" w:sz="4" w:space="1" w:color="auto"/>
          <w:right w:val="single" w:sz="4" w:space="4" w:color="auto"/>
        </w:pBdr>
        <w:spacing w:after="120"/>
        <w:jc w:val="center"/>
        <w:rPr>
          <w:rFonts w:asciiTheme="minorHAnsi" w:hAnsiTheme="minorHAnsi"/>
        </w:rPr>
      </w:pPr>
      <w:r w:rsidRPr="009C6C80">
        <w:rPr>
          <w:rFonts w:asciiTheme="minorHAnsi" w:hAnsiTheme="minorHAnsi"/>
        </w:rPr>
        <w:t>Monitoring and review</w:t>
      </w:r>
    </w:p>
    <w:p w:rsidR="00CA4FF1" w:rsidRPr="009C6C80" w:rsidRDefault="00CA4FF1" w:rsidP="00CA4FF1">
      <w:pPr>
        <w:pStyle w:val="Default"/>
        <w:pBdr>
          <w:top w:val="single" w:sz="4" w:space="1" w:color="auto"/>
          <w:left w:val="single" w:sz="4" w:space="4" w:color="auto"/>
          <w:bottom w:val="single" w:sz="4" w:space="1" w:color="auto"/>
          <w:right w:val="single" w:sz="4" w:space="4" w:color="auto"/>
        </w:pBdr>
        <w:spacing w:after="120"/>
        <w:jc w:val="center"/>
        <w:rPr>
          <w:rFonts w:asciiTheme="minorHAnsi" w:hAnsiTheme="minorHAnsi"/>
        </w:rPr>
      </w:pPr>
      <w:r w:rsidRPr="009C6C80">
        <w:rPr>
          <w:rFonts w:asciiTheme="minorHAnsi" w:hAnsiTheme="minorHAnsi"/>
        </w:rPr>
        <w:t>Transition out process</w:t>
      </w:r>
    </w:p>
    <w:p w:rsidR="00CA4FF1" w:rsidRPr="009C6C80" w:rsidRDefault="00CA4FF1" w:rsidP="00CA4FF1">
      <w:pPr>
        <w:pStyle w:val="Default"/>
        <w:pBdr>
          <w:top w:val="single" w:sz="4" w:space="1" w:color="auto"/>
          <w:left w:val="single" w:sz="4" w:space="4" w:color="auto"/>
          <w:bottom w:val="single" w:sz="4" w:space="1" w:color="auto"/>
          <w:right w:val="single" w:sz="4" w:space="4" w:color="auto"/>
        </w:pBdr>
        <w:spacing w:after="120"/>
        <w:jc w:val="center"/>
        <w:rPr>
          <w:rFonts w:asciiTheme="minorHAnsi" w:hAnsiTheme="minorHAnsi"/>
        </w:rPr>
      </w:pPr>
      <w:r w:rsidRPr="009C6C80">
        <w:rPr>
          <w:rFonts w:asciiTheme="minorHAnsi" w:hAnsiTheme="minorHAnsi"/>
        </w:rPr>
        <w:t>Transition out support</w:t>
      </w:r>
    </w:p>
    <w:p w:rsidR="00CA4FF1" w:rsidRPr="009C6C80" w:rsidRDefault="00CA4FF1" w:rsidP="00CA4FF1">
      <w:pPr>
        <w:pStyle w:val="Default"/>
        <w:pBdr>
          <w:top w:val="single" w:sz="4" w:space="1" w:color="auto"/>
          <w:left w:val="single" w:sz="4" w:space="4" w:color="auto"/>
          <w:bottom w:val="single" w:sz="4" w:space="1" w:color="auto"/>
          <w:right w:val="single" w:sz="4" w:space="4" w:color="auto"/>
        </w:pBdr>
        <w:spacing w:after="120"/>
        <w:jc w:val="center"/>
        <w:rPr>
          <w:rFonts w:asciiTheme="minorHAnsi" w:hAnsiTheme="minorHAnsi"/>
        </w:rPr>
      </w:pPr>
      <w:r w:rsidRPr="009C6C80">
        <w:rPr>
          <w:rFonts w:asciiTheme="minorHAnsi" w:hAnsiTheme="minorHAnsi"/>
        </w:rPr>
        <w:t>Security of tenure</w:t>
      </w:r>
    </w:p>
    <w:p w:rsidR="00CA4FF1" w:rsidRDefault="00CA4FF1" w:rsidP="00CA4FF1">
      <w:pPr>
        <w:pStyle w:val="Default"/>
        <w:pBdr>
          <w:top w:val="single" w:sz="4" w:space="1" w:color="auto"/>
          <w:left w:val="single" w:sz="4" w:space="4" w:color="auto"/>
          <w:bottom w:val="single" w:sz="4" w:space="1" w:color="auto"/>
          <w:right w:val="single" w:sz="4" w:space="4" w:color="auto"/>
        </w:pBdr>
        <w:spacing w:after="120"/>
        <w:jc w:val="center"/>
        <w:rPr>
          <w:rFonts w:asciiTheme="minorHAnsi" w:hAnsiTheme="minorHAnsi"/>
        </w:rPr>
        <w:sectPr w:rsidR="00CA4FF1" w:rsidSect="00F24B50">
          <w:type w:val="continuous"/>
          <w:pgSz w:w="11906" w:h="16838"/>
          <w:pgMar w:top="1440" w:right="1800" w:bottom="1440" w:left="1800" w:header="708" w:footer="708" w:gutter="0"/>
          <w:cols w:num="3" w:space="352"/>
          <w:docGrid w:linePitch="360"/>
        </w:sectPr>
      </w:pPr>
      <w:r w:rsidRPr="009C6C80">
        <w:rPr>
          <w:rFonts w:asciiTheme="minorHAnsi" w:hAnsiTheme="minorHAnsi"/>
        </w:rPr>
        <w:t xml:space="preserve">Re-entry </w:t>
      </w:r>
    </w:p>
    <w:p w:rsidR="00CA4FF1" w:rsidRDefault="00CA4FF1" w:rsidP="00CA4FF1">
      <w:pPr>
        <w:pStyle w:val="Default"/>
        <w:pBdr>
          <w:top w:val="single" w:sz="4" w:space="1" w:color="auto"/>
          <w:left w:val="single" w:sz="4" w:space="4" w:color="auto"/>
          <w:bottom w:val="single" w:sz="4" w:space="1" w:color="auto"/>
          <w:right w:val="single" w:sz="4" w:space="4" w:color="auto"/>
        </w:pBdr>
        <w:shd w:val="clear" w:color="auto" w:fill="DAEEF3" w:themeFill="accent5" w:themeFillTint="33"/>
        <w:spacing w:after="120"/>
        <w:jc w:val="center"/>
        <w:rPr>
          <w:b/>
          <w:bCs/>
        </w:rPr>
        <w:sectPr w:rsidR="00CA4FF1" w:rsidSect="00F24B50">
          <w:type w:val="continuous"/>
          <w:pgSz w:w="11906" w:h="16838"/>
          <w:pgMar w:top="1440" w:right="1800" w:bottom="1440" w:left="1800" w:header="708" w:footer="708" w:gutter="0"/>
          <w:cols w:space="352"/>
          <w:docGrid w:linePitch="360"/>
        </w:sectPr>
      </w:pPr>
      <w:r w:rsidRPr="00403597">
        <w:rPr>
          <w:b/>
          <w:bCs/>
        </w:rPr>
        <w:lastRenderedPageBreak/>
        <w:t>Enabling elements</w:t>
      </w:r>
    </w:p>
    <w:p w:rsidR="00CA4FF1" w:rsidRPr="009C6C80" w:rsidRDefault="00CA4FF1" w:rsidP="00CA4FF1">
      <w:pPr>
        <w:pStyle w:val="Default"/>
        <w:pBdr>
          <w:top w:val="single" w:sz="4" w:space="1" w:color="auto"/>
          <w:left w:val="single" w:sz="4" w:space="4" w:color="auto"/>
          <w:bottom w:val="single" w:sz="4" w:space="1" w:color="auto"/>
          <w:right w:val="single" w:sz="4" w:space="4" w:color="auto"/>
        </w:pBdr>
        <w:spacing w:after="120"/>
        <w:jc w:val="center"/>
        <w:rPr>
          <w:rFonts w:asciiTheme="minorHAnsi" w:hAnsiTheme="minorHAnsi"/>
        </w:rPr>
      </w:pPr>
      <w:r w:rsidRPr="009C6C80">
        <w:rPr>
          <w:rFonts w:asciiTheme="minorHAnsi" w:hAnsiTheme="minorHAnsi"/>
        </w:rPr>
        <w:lastRenderedPageBreak/>
        <w:t>Staffing profile, education</w:t>
      </w:r>
      <w:r>
        <w:rPr>
          <w:rFonts w:asciiTheme="minorHAnsi" w:hAnsiTheme="minorHAnsi"/>
        </w:rPr>
        <w:t xml:space="preserve">, </w:t>
      </w:r>
      <w:r w:rsidRPr="009C6C80">
        <w:rPr>
          <w:rFonts w:asciiTheme="minorHAnsi" w:hAnsiTheme="minorHAnsi"/>
        </w:rPr>
        <w:t>training and culture</w:t>
      </w:r>
    </w:p>
    <w:p w:rsidR="00CA4FF1" w:rsidRPr="009C6C80" w:rsidRDefault="00CA4FF1" w:rsidP="00CA4FF1">
      <w:pPr>
        <w:pStyle w:val="Default"/>
        <w:pBdr>
          <w:top w:val="single" w:sz="4" w:space="1" w:color="auto"/>
          <w:left w:val="single" w:sz="4" w:space="4" w:color="auto"/>
          <w:bottom w:val="single" w:sz="4" w:space="1" w:color="auto"/>
          <w:right w:val="single" w:sz="4" w:space="4" w:color="auto"/>
        </w:pBdr>
        <w:spacing w:after="120"/>
        <w:jc w:val="center"/>
        <w:rPr>
          <w:rFonts w:asciiTheme="minorHAnsi" w:hAnsiTheme="minorHAnsi"/>
        </w:rPr>
      </w:pPr>
      <w:r w:rsidRPr="009C6C80">
        <w:rPr>
          <w:rFonts w:asciiTheme="minorHAnsi" w:hAnsiTheme="minorHAnsi"/>
        </w:rPr>
        <w:t>Physical environment</w:t>
      </w:r>
    </w:p>
    <w:p w:rsidR="00CA4FF1" w:rsidRPr="009C6C80" w:rsidRDefault="00CA4FF1" w:rsidP="00CA4FF1">
      <w:pPr>
        <w:pStyle w:val="Default"/>
        <w:pBdr>
          <w:top w:val="single" w:sz="4" w:space="1" w:color="auto"/>
          <w:left w:val="single" w:sz="4" w:space="4" w:color="auto"/>
          <w:bottom w:val="single" w:sz="4" w:space="1" w:color="auto"/>
          <w:right w:val="single" w:sz="4" w:space="4" w:color="auto"/>
        </w:pBdr>
        <w:spacing w:after="120"/>
        <w:jc w:val="center"/>
        <w:rPr>
          <w:rFonts w:asciiTheme="minorHAnsi" w:hAnsiTheme="minorHAnsi"/>
        </w:rPr>
      </w:pPr>
      <w:r w:rsidRPr="009C6C80">
        <w:rPr>
          <w:rFonts w:asciiTheme="minorHAnsi" w:hAnsiTheme="minorHAnsi"/>
        </w:rPr>
        <w:t>Clinical governance and partnerships</w:t>
      </w:r>
    </w:p>
    <w:p w:rsidR="00CA4FF1" w:rsidRPr="009C6C80" w:rsidRDefault="00CA4FF1" w:rsidP="00CA4FF1">
      <w:pPr>
        <w:pStyle w:val="Default"/>
        <w:pBdr>
          <w:top w:val="single" w:sz="4" w:space="1" w:color="auto"/>
          <w:left w:val="single" w:sz="4" w:space="4" w:color="auto"/>
          <w:bottom w:val="single" w:sz="4" w:space="1" w:color="auto"/>
          <w:right w:val="single" w:sz="4" w:space="4" w:color="auto"/>
        </w:pBdr>
        <w:spacing w:after="120"/>
        <w:jc w:val="center"/>
        <w:rPr>
          <w:rFonts w:asciiTheme="minorHAnsi" w:hAnsiTheme="minorHAnsi"/>
        </w:rPr>
      </w:pPr>
      <w:r w:rsidRPr="009C6C80">
        <w:rPr>
          <w:rFonts w:asciiTheme="minorHAnsi" w:hAnsiTheme="minorHAnsi"/>
        </w:rPr>
        <w:t>Involvement of families and carers</w:t>
      </w:r>
    </w:p>
    <w:p w:rsidR="00CA4FF1" w:rsidRPr="009C6C80" w:rsidRDefault="00CA4FF1" w:rsidP="00CA4FF1">
      <w:pPr>
        <w:pStyle w:val="Default"/>
        <w:pBdr>
          <w:top w:val="single" w:sz="4" w:space="1" w:color="auto"/>
          <w:left w:val="single" w:sz="4" w:space="4" w:color="auto"/>
          <w:bottom w:val="single" w:sz="4" w:space="1" w:color="auto"/>
          <w:right w:val="single" w:sz="4" w:space="4" w:color="auto"/>
        </w:pBdr>
        <w:spacing w:after="120"/>
        <w:jc w:val="center"/>
        <w:rPr>
          <w:rFonts w:asciiTheme="minorHAnsi" w:hAnsiTheme="minorHAnsi"/>
        </w:rPr>
      </w:pPr>
      <w:r w:rsidRPr="009C6C80">
        <w:rPr>
          <w:rFonts w:asciiTheme="minorHAnsi" w:hAnsiTheme="minorHAnsi"/>
        </w:rPr>
        <w:t>Commitment to continuous improvement</w:t>
      </w:r>
    </w:p>
    <w:p w:rsidR="00CA4FF1" w:rsidRDefault="00CA4FF1" w:rsidP="00CA4FF1">
      <w:pPr>
        <w:pBdr>
          <w:top w:val="single" w:sz="4" w:space="1" w:color="auto"/>
          <w:left w:val="single" w:sz="4" w:space="4" w:color="auto"/>
          <w:bottom w:val="single" w:sz="4" w:space="1" w:color="auto"/>
          <w:right w:val="single" w:sz="4" w:space="4" w:color="auto"/>
        </w:pBdr>
        <w:jc w:val="center"/>
      </w:pPr>
      <w:r w:rsidRPr="009C6C80">
        <w:t>Quality and safeguards</w:t>
      </w:r>
    </w:p>
    <w:p w:rsidR="00CA4FF1" w:rsidRDefault="00CA4FF1" w:rsidP="00CA4FF1">
      <w:pPr>
        <w:jc w:val="center"/>
      </w:pPr>
    </w:p>
    <w:p w:rsidR="00CA4FF1" w:rsidRDefault="00CA4FF1" w:rsidP="00CA4FF1">
      <w:pPr>
        <w:jc w:val="center"/>
        <w:sectPr w:rsidR="00CA4FF1" w:rsidSect="00F24B50">
          <w:type w:val="continuous"/>
          <w:pgSz w:w="11906" w:h="16838"/>
          <w:pgMar w:top="1440" w:right="1800" w:bottom="1440" w:left="1800" w:header="708" w:footer="708" w:gutter="0"/>
          <w:cols w:space="352"/>
          <w:docGrid w:linePitch="360"/>
        </w:sectPr>
      </w:pPr>
    </w:p>
    <w:p w:rsidR="00CA4FF1" w:rsidRDefault="00CA4FF1" w:rsidP="00CA4FF1">
      <w:pPr>
        <w:pStyle w:val="Heading3"/>
        <w:numPr>
          <w:ilvl w:val="2"/>
          <w:numId w:val="4"/>
        </w:numPr>
        <w:spacing w:after="120"/>
        <w:jc w:val="both"/>
      </w:pPr>
      <w:bookmarkStart w:id="38" w:name="_Toc499044344"/>
      <w:bookmarkStart w:id="39" w:name="_Toc499044345"/>
      <w:bookmarkStart w:id="40" w:name="_Toc499538742"/>
      <w:bookmarkEnd w:id="38"/>
      <w:bookmarkEnd w:id="39"/>
      <w:r>
        <w:lastRenderedPageBreak/>
        <w:t xml:space="preserve">Pillar 1 - </w:t>
      </w:r>
      <w:r w:rsidRPr="00757D7C">
        <w:t>Pre-entry</w:t>
      </w:r>
      <w:bookmarkEnd w:id="40"/>
    </w:p>
    <w:p w:rsidR="00CA4FF1" w:rsidRDefault="00CA4FF1" w:rsidP="00CA4FF1">
      <w:pPr>
        <w:jc w:val="both"/>
      </w:pPr>
      <w:r w:rsidRPr="009C6C80">
        <w:t>The pre-entry step will c</w:t>
      </w:r>
      <w:r>
        <w:t xml:space="preserve">onfirm </w:t>
      </w:r>
      <w:r w:rsidRPr="009C6C80">
        <w:t>eli</w:t>
      </w:r>
      <w:r>
        <w:t xml:space="preserve">gibility and determine whether a SDCU placement is the most </w:t>
      </w:r>
      <w:r w:rsidRPr="009C6C80">
        <w:t xml:space="preserve">appropriate </w:t>
      </w:r>
      <w:r>
        <w:t>care option.</w:t>
      </w:r>
    </w:p>
    <w:p w:rsidR="00CA4FF1" w:rsidRDefault="00CA4FF1" w:rsidP="00CA4FF1">
      <w:pPr>
        <w:pStyle w:val="Heading3"/>
        <w:numPr>
          <w:ilvl w:val="3"/>
          <w:numId w:val="4"/>
        </w:numPr>
        <w:spacing w:after="120"/>
        <w:jc w:val="both"/>
      </w:pPr>
      <w:bookmarkStart w:id="41" w:name="_Toc499538743"/>
      <w:r w:rsidRPr="00E272A9">
        <w:t xml:space="preserve">SDCU </w:t>
      </w:r>
      <w:r>
        <w:t>t</w:t>
      </w:r>
      <w:r w:rsidRPr="00E272A9">
        <w:t>arget group</w:t>
      </w:r>
      <w:bookmarkEnd w:id="41"/>
    </w:p>
    <w:p w:rsidR="00CA4FF1" w:rsidRDefault="00CA4FF1" w:rsidP="00CA4FF1">
      <w:pPr>
        <w:jc w:val="both"/>
      </w:pPr>
      <w:r>
        <w:t xml:space="preserve">SDCUs are intended to provide care for people with very severe BPSD (tier 6 in the </w:t>
      </w:r>
      <w:proofErr w:type="spellStart"/>
      <w:r>
        <w:t>Brodaty</w:t>
      </w:r>
      <w:proofErr w:type="spellEnd"/>
      <w:r>
        <w:t xml:space="preserve"> et al. model) who are </w:t>
      </w:r>
      <w:r w:rsidRPr="00AC3D55">
        <w:t xml:space="preserve">unable to be appropriately cared for by mainstream aged care services due to the risk </w:t>
      </w:r>
      <w:r>
        <w:t xml:space="preserve">of harm </w:t>
      </w:r>
      <w:r w:rsidRPr="00AC3D55">
        <w:t>they p</w:t>
      </w:r>
      <w:r>
        <w:t xml:space="preserve">resent to themselves or others, </w:t>
      </w:r>
      <w:r w:rsidRPr="00AC3D55">
        <w:t xml:space="preserve">but who do not require </w:t>
      </w:r>
      <w:r>
        <w:t xml:space="preserve">care </w:t>
      </w:r>
      <w:r w:rsidRPr="00AC3D55">
        <w:t xml:space="preserve">more appropriately delivered in </w:t>
      </w:r>
      <w:r>
        <w:t xml:space="preserve">other </w:t>
      </w:r>
      <w:r w:rsidRPr="00AC3D55">
        <w:t>setting</w:t>
      </w:r>
      <w:r>
        <w:t>s</w:t>
      </w:r>
      <w:r w:rsidRPr="00AC3D55">
        <w:t>.</w:t>
      </w:r>
    </w:p>
    <w:p w:rsidR="00CA4FF1" w:rsidRDefault="00CA4FF1" w:rsidP="00CA4FF1">
      <w:pPr>
        <w:pStyle w:val="ListParagraph"/>
        <w:ind w:left="360"/>
        <w:jc w:val="both"/>
      </w:pPr>
    </w:p>
    <w:p w:rsidR="00CA4FF1" w:rsidRDefault="00CA4FF1" w:rsidP="00CA4FF1">
      <w:pPr>
        <w:jc w:val="both"/>
      </w:pPr>
      <w:r>
        <w:t xml:space="preserve">Given that the </w:t>
      </w:r>
      <w:proofErr w:type="spellStart"/>
      <w:r>
        <w:t>Brodaty</w:t>
      </w:r>
      <w:proofErr w:type="spellEnd"/>
      <w:r>
        <w:t xml:space="preserve"> et al. model is a classification scale for service planning rather than a validated diagnostic</w:t>
      </w:r>
      <w:r w:rsidRPr="00AC3D55">
        <w:t xml:space="preserve"> </w:t>
      </w:r>
      <w:r>
        <w:t xml:space="preserve">tool for individuals, in practice people with </w:t>
      </w:r>
      <w:r w:rsidRPr="00AC3D55">
        <w:t xml:space="preserve">severe </w:t>
      </w:r>
      <w:r>
        <w:t xml:space="preserve">(tier 5) </w:t>
      </w:r>
      <w:r>
        <w:lastRenderedPageBreak/>
        <w:t xml:space="preserve">or extreme (tier 7) </w:t>
      </w:r>
      <w:r w:rsidRPr="00AC3D55">
        <w:t>BPSD</w:t>
      </w:r>
      <w:r>
        <w:t xml:space="preserve"> are expected to access SDCUs on occasion, subject to assessment outcomes (see 4.4).</w:t>
      </w:r>
    </w:p>
    <w:p w:rsidR="00CA4FF1" w:rsidRDefault="00CA4FF1" w:rsidP="00CA4FF1">
      <w:pPr>
        <w:jc w:val="both"/>
      </w:pPr>
    </w:p>
    <w:p w:rsidR="00CA4FF1" w:rsidRDefault="00CA4FF1" w:rsidP="00CA4FF1">
      <w:pPr>
        <w:jc w:val="both"/>
      </w:pPr>
      <w:r>
        <w:t>Compared to the average population with dementia, people with very severe or extreme BPSD are more likely to be male, younger (under 70), medically fit, and have a non-Alzheimer’s form of dementia.</w:t>
      </w:r>
      <w:r>
        <w:rPr>
          <w:rStyle w:val="EndnoteReference"/>
        </w:rPr>
        <w:endnoteReference w:id="25"/>
      </w:r>
    </w:p>
    <w:p w:rsidR="00CA4FF1" w:rsidRPr="00727D15" w:rsidRDefault="00CA4FF1" w:rsidP="00CA4FF1">
      <w:pPr>
        <w:pStyle w:val="Heading3"/>
        <w:numPr>
          <w:ilvl w:val="3"/>
          <w:numId w:val="4"/>
        </w:numPr>
        <w:spacing w:after="120"/>
        <w:jc w:val="both"/>
      </w:pPr>
      <w:bookmarkStart w:id="42" w:name="_Toc499044385"/>
      <w:bookmarkStart w:id="43" w:name="_Toc499538744"/>
      <w:bookmarkEnd w:id="42"/>
      <w:r>
        <w:t>Referral pathway</w:t>
      </w:r>
      <w:bookmarkEnd w:id="43"/>
    </w:p>
    <w:p w:rsidR="00CA4FF1" w:rsidRPr="00891080" w:rsidRDefault="00CA4FF1" w:rsidP="00CA4FF1">
      <w:pPr>
        <w:tabs>
          <w:tab w:val="left" w:pos="993"/>
        </w:tabs>
        <w:spacing w:after="60"/>
        <w:jc w:val="both"/>
      </w:pPr>
      <w:r w:rsidRPr="00891080">
        <w:t>Referrals for an SDCU assessment will be able to be made for people in:</w:t>
      </w:r>
    </w:p>
    <w:p w:rsidR="00CA4FF1" w:rsidRPr="00891080" w:rsidRDefault="00CA4FF1" w:rsidP="00CA4FF1">
      <w:pPr>
        <w:pStyle w:val="ListParagraph"/>
        <w:numPr>
          <w:ilvl w:val="0"/>
          <w:numId w:val="14"/>
        </w:numPr>
        <w:tabs>
          <w:tab w:val="left" w:pos="993"/>
        </w:tabs>
        <w:spacing w:after="60"/>
        <w:jc w:val="both"/>
      </w:pPr>
      <w:r w:rsidRPr="00891080">
        <w:t>residential aged care facilities</w:t>
      </w:r>
    </w:p>
    <w:p w:rsidR="00CA4FF1" w:rsidRPr="00891080" w:rsidRDefault="00CA4FF1" w:rsidP="00CA4FF1">
      <w:pPr>
        <w:pStyle w:val="ListParagraph"/>
        <w:numPr>
          <w:ilvl w:val="0"/>
          <w:numId w:val="14"/>
        </w:numPr>
        <w:tabs>
          <w:tab w:val="left" w:pos="993"/>
        </w:tabs>
        <w:spacing w:after="60"/>
        <w:jc w:val="both"/>
      </w:pPr>
      <w:r w:rsidRPr="00891080">
        <w:t xml:space="preserve">the community (who may or may not be receiving </w:t>
      </w:r>
      <w:r>
        <w:t xml:space="preserve">Australian Government-subsidised </w:t>
      </w:r>
      <w:r w:rsidRPr="00891080">
        <w:t xml:space="preserve">aged care support) </w:t>
      </w:r>
    </w:p>
    <w:p w:rsidR="00CA4FF1" w:rsidRPr="00891080" w:rsidRDefault="00CA4FF1" w:rsidP="00CA4FF1">
      <w:pPr>
        <w:pStyle w:val="ListParagraph"/>
        <w:numPr>
          <w:ilvl w:val="0"/>
          <w:numId w:val="14"/>
        </w:numPr>
        <w:tabs>
          <w:tab w:val="left" w:pos="993"/>
        </w:tabs>
        <w:spacing w:after="60"/>
        <w:jc w:val="both"/>
      </w:pPr>
      <w:proofErr w:type="gramStart"/>
      <w:r w:rsidRPr="00891080">
        <w:t>acute</w:t>
      </w:r>
      <w:proofErr w:type="gramEnd"/>
      <w:r w:rsidRPr="00891080">
        <w:t xml:space="preserve"> care </w:t>
      </w:r>
      <w:r>
        <w:t xml:space="preserve">including hospital </w:t>
      </w:r>
      <w:r w:rsidRPr="00891080">
        <w:t xml:space="preserve">settings. </w:t>
      </w:r>
    </w:p>
    <w:p w:rsidR="00CA4FF1" w:rsidRDefault="00CA4FF1" w:rsidP="00CA4FF1">
      <w:pPr>
        <w:tabs>
          <w:tab w:val="left" w:pos="993"/>
        </w:tabs>
        <w:spacing w:after="60"/>
        <w:jc w:val="both"/>
      </w:pPr>
    </w:p>
    <w:p w:rsidR="00CA4FF1" w:rsidRDefault="00CA4FF1" w:rsidP="00CA4FF1">
      <w:pPr>
        <w:tabs>
          <w:tab w:val="left" w:pos="993"/>
        </w:tabs>
        <w:spacing w:after="60"/>
        <w:jc w:val="both"/>
      </w:pPr>
      <w:r w:rsidRPr="00891080">
        <w:t xml:space="preserve">Referrals for an SDCU assessment will be able to be made by a range of groups including: specialists, general practitioners, </w:t>
      </w:r>
      <w:r>
        <w:t>nurse practitioners, residential aged care</w:t>
      </w:r>
      <w:r w:rsidRPr="00891080">
        <w:t xml:space="preserve"> </w:t>
      </w:r>
      <w:r>
        <w:t>staff</w:t>
      </w:r>
      <w:r w:rsidRPr="00891080">
        <w:t>, S</w:t>
      </w:r>
      <w:r>
        <w:t>BRTs, people with dementia, their c</w:t>
      </w:r>
      <w:r w:rsidRPr="00891080">
        <w:t>arers</w:t>
      </w:r>
      <w:r>
        <w:t xml:space="preserve"> or </w:t>
      </w:r>
      <w:r w:rsidRPr="00891080">
        <w:t xml:space="preserve">family members, and </w:t>
      </w:r>
      <w:r>
        <w:t xml:space="preserve">Aged Care Assessment Team (ACAT) </w:t>
      </w:r>
      <w:r w:rsidRPr="00891080">
        <w:t xml:space="preserve">assessors. Referrals will need to be </w:t>
      </w:r>
      <w:r w:rsidRPr="00727D15">
        <w:t>supported by input from</w:t>
      </w:r>
      <w:r w:rsidRPr="00891080">
        <w:t xml:space="preserve"> the treating specialist or </w:t>
      </w:r>
      <w:r>
        <w:t>GP.</w:t>
      </w:r>
    </w:p>
    <w:p w:rsidR="00CA4FF1" w:rsidRDefault="00CA4FF1" w:rsidP="00CA4FF1">
      <w:pPr>
        <w:tabs>
          <w:tab w:val="left" w:pos="993"/>
        </w:tabs>
        <w:spacing w:after="60"/>
        <w:jc w:val="both"/>
      </w:pPr>
    </w:p>
    <w:p w:rsidR="00CA4FF1" w:rsidRDefault="00CA4FF1" w:rsidP="00CA4FF1">
      <w:pPr>
        <w:tabs>
          <w:tab w:val="left" w:pos="993"/>
        </w:tabs>
        <w:spacing w:after="60"/>
        <w:jc w:val="both"/>
      </w:pPr>
      <w:r w:rsidRPr="00891080">
        <w:t>Due to the specialised referral an</w:t>
      </w:r>
      <w:r>
        <w:t>d assessment needs of the target</w:t>
      </w:r>
      <w:r w:rsidR="008B4376">
        <w:t xml:space="preserve"> group</w:t>
      </w:r>
      <w:r>
        <w:t>, referral for assessment is expected to sit outside My Aged Care. However, My Aged Care staff will be able to assist individuals or their representatives to make contact with the national assessment service.</w:t>
      </w:r>
    </w:p>
    <w:p w:rsidR="00CA4FF1" w:rsidRDefault="00CA4FF1" w:rsidP="00CA4FF1">
      <w:pPr>
        <w:pStyle w:val="Heading3"/>
        <w:numPr>
          <w:ilvl w:val="3"/>
          <w:numId w:val="4"/>
        </w:numPr>
        <w:spacing w:after="120"/>
        <w:jc w:val="both"/>
      </w:pPr>
      <w:bookmarkStart w:id="44" w:name="_Toc499538745"/>
      <w:r w:rsidRPr="00F7281D">
        <w:t>Centralised intake and assessment</w:t>
      </w:r>
      <w:bookmarkEnd w:id="44"/>
    </w:p>
    <w:p w:rsidR="00CA4FF1" w:rsidRPr="00727D15" w:rsidRDefault="00CA4FF1" w:rsidP="00CA4FF1">
      <w:pPr>
        <w:tabs>
          <w:tab w:val="left" w:pos="993"/>
        </w:tabs>
        <w:spacing w:after="60"/>
        <w:jc w:val="both"/>
      </w:pPr>
      <w:r w:rsidRPr="00727D15">
        <w:t>There will be single central entry point for accepting SDCU referrals</w:t>
      </w:r>
      <w:r>
        <w:t xml:space="preserve">, </w:t>
      </w:r>
      <w:r w:rsidRPr="00727D15">
        <w:t xml:space="preserve">undertaking </w:t>
      </w:r>
      <w:r>
        <w:t xml:space="preserve">preliminary </w:t>
      </w:r>
      <w:r w:rsidRPr="00727D15">
        <w:t xml:space="preserve">screening, </w:t>
      </w:r>
      <w:r>
        <w:t xml:space="preserve">eligibility </w:t>
      </w:r>
      <w:r w:rsidRPr="00727D15">
        <w:t>assessments for SDCU suitability and having a coordination role. This</w:t>
      </w:r>
      <w:r w:rsidRPr="00A610DD">
        <w:t xml:space="preserve"> SDCU assessment service</w:t>
      </w:r>
      <w:r w:rsidRPr="00E41310">
        <w:t xml:space="preserve"> </w:t>
      </w:r>
      <w:r w:rsidRPr="00727D15">
        <w:t>will assist in the process being streamlined, easy to navigate and integrated with existing elements of the dementia care and aged care system. The entry point, and subsequent screening for eligibility and SDCU assessments</w:t>
      </w:r>
      <w:r>
        <w:t>,</w:t>
      </w:r>
      <w:r w:rsidRPr="00727D15">
        <w:t xml:space="preserve"> will be conducted independent</w:t>
      </w:r>
      <w:r>
        <w:t>ly</w:t>
      </w:r>
      <w:r w:rsidRPr="00727D15">
        <w:t xml:space="preserve"> from SDCU providers.</w:t>
      </w:r>
    </w:p>
    <w:p w:rsidR="00CA4FF1" w:rsidRPr="00727D15" w:rsidRDefault="00CA4FF1" w:rsidP="00CA4FF1">
      <w:pPr>
        <w:tabs>
          <w:tab w:val="left" w:pos="993"/>
        </w:tabs>
        <w:spacing w:after="60"/>
        <w:jc w:val="both"/>
      </w:pPr>
    </w:p>
    <w:p w:rsidR="00CA4FF1" w:rsidRDefault="00CA4FF1" w:rsidP="00CA4FF1">
      <w:pPr>
        <w:tabs>
          <w:tab w:val="left" w:pos="993"/>
        </w:tabs>
        <w:spacing w:after="60"/>
        <w:jc w:val="both"/>
      </w:pPr>
      <w:r w:rsidRPr="00727D15">
        <w:t>Stakeholders have suggested that the existing</w:t>
      </w:r>
      <w:r>
        <w:t xml:space="preserve"> Severe Behaviour Response Teams</w:t>
      </w:r>
      <w:r w:rsidRPr="00727D15">
        <w:t xml:space="preserve"> </w:t>
      </w:r>
      <w:r>
        <w:t>(</w:t>
      </w:r>
      <w:r w:rsidRPr="00727D15">
        <w:t>SBRT</w:t>
      </w:r>
      <w:r w:rsidR="008B4376">
        <w:t>s</w:t>
      </w:r>
      <w:r>
        <w:t>)</w:t>
      </w:r>
      <w:r w:rsidRPr="00727D15">
        <w:t xml:space="preserve"> could perform this role,</w:t>
      </w:r>
      <w:r>
        <w:t xml:space="preserve"> </w:t>
      </w:r>
      <w:r w:rsidRPr="00727D15">
        <w:t>drawing on appropriate professional expertise in other organisations as required.</w:t>
      </w:r>
      <w:r>
        <w:t xml:space="preserve"> </w:t>
      </w:r>
      <w:r w:rsidRPr="00727D15">
        <w:t xml:space="preserve">This would potentially create a continuum of care for people with BPSD from DBMAS, to SBRT to SDCUs and ensure national coverage. </w:t>
      </w:r>
    </w:p>
    <w:p w:rsidR="00CA4FF1" w:rsidRPr="00727D15" w:rsidRDefault="00CA4FF1" w:rsidP="00CA4FF1">
      <w:pPr>
        <w:tabs>
          <w:tab w:val="left" w:pos="993"/>
        </w:tabs>
        <w:spacing w:after="60"/>
        <w:jc w:val="both"/>
      </w:pPr>
    </w:p>
    <w:p w:rsidR="00CA4FF1" w:rsidRDefault="00CA4FF1" w:rsidP="00CA4FF1">
      <w:pPr>
        <w:jc w:val="both"/>
      </w:pPr>
      <w:r w:rsidRPr="00727D15">
        <w:t xml:space="preserve">Assessment will </w:t>
      </w:r>
      <w:r>
        <w:t xml:space="preserve">be conducted within agreed timeframes and will </w:t>
      </w:r>
      <w:r w:rsidRPr="00727D15">
        <w:t>be expected to be carried out face</w:t>
      </w:r>
      <w:r>
        <w:t>-</w:t>
      </w:r>
      <w:r w:rsidRPr="00727D15">
        <w:t>to</w:t>
      </w:r>
      <w:r>
        <w:t>-</w:t>
      </w:r>
      <w:r w:rsidRPr="00727D15">
        <w:t>face at the eligible person’s current accommodation, unless exceptional circumstances apply</w:t>
      </w:r>
      <w:r>
        <w:t>.</w:t>
      </w:r>
    </w:p>
    <w:p w:rsidR="00CA4FF1" w:rsidRDefault="00CA4FF1" w:rsidP="00CA4FF1">
      <w:pPr>
        <w:jc w:val="both"/>
      </w:pPr>
    </w:p>
    <w:p w:rsidR="00CA4FF1" w:rsidRPr="008C066B" w:rsidRDefault="00CA4FF1" w:rsidP="00CA4FF1">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contextualSpacing/>
        <w:jc w:val="both"/>
      </w:pPr>
      <w:r>
        <w:t xml:space="preserve">Q7) </w:t>
      </w:r>
      <w:proofErr w:type="gramStart"/>
      <w:r>
        <w:t>What</w:t>
      </w:r>
      <w:proofErr w:type="gramEnd"/>
      <w:r>
        <w:t xml:space="preserve"> are the pros and cons of the </w:t>
      </w:r>
      <w:r w:rsidRPr="00727D15">
        <w:t xml:space="preserve">SBRT </w:t>
      </w:r>
      <w:r>
        <w:t xml:space="preserve">performing the SDCU </w:t>
      </w:r>
      <w:r w:rsidRPr="00727D15">
        <w:t>assessment service role?</w:t>
      </w:r>
      <w:r>
        <w:t xml:space="preserve"> </w:t>
      </w:r>
      <w:r w:rsidRPr="00727D15">
        <w:t>What other body (or bodies) might appropriately carry out th</w:t>
      </w:r>
      <w:r>
        <w:t>is role</w:t>
      </w:r>
      <w:r w:rsidRPr="00727D15">
        <w:t>?</w:t>
      </w:r>
    </w:p>
    <w:p w:rsidR="00CA4FF1" w:rsidRPr="00F95F13" w:rsidRDefault="00CA4FF1" w:rsidP="00CA4FF1">
      <w:pPr>
        <w:pStyle w:val="Heading3"/>
        <w:numPr>
          <w:ilvl w:val="3"/>
          <w:numId w:val="4"/>
        </w:numPr>
        <w:spacing w:after="120"/>
        <w:jc w:val="both"/>
        <w:rPr>
          <w:rFonts w:eastAsiaTheme="minorHAnsi"/>
        </w:rPr>
      </w:pPr>
      <w:bookmarkStart w:id="45" w:name="_Toc499538746"/>
      <w:r>
        <w:lastRenderedPageBreak/>
        <w:t>SDCU a</w:t>
      </w:r>
      <w:r w:rsidRPr="00537248">
        <w:t>ssessment</w:t>
      </w:r>
      <w:r>
        <w:t xml:space="preserve"> elements</w:t>
      </w:r>
      <w:bookmarkEnd w:id="45"/>
    </w:p>
    <w:p w:rsidR="00CA4FF1" w:rsidRPr="00891080" w:rsidRDefault="00CA4FF1" w:rsidP="00CA4FF1">
      <w:pPr>
        <w:tabs>
          <w:tab w:val="left" w:pos="993"/>
        </w:tabs>
        <w:spacing w:after="60"/>
        <w:jc w:val="both"/>
      </w:pPr>
      <w:r w:rsidRPr="00891080">
        <w:t xml:space="preserve">Once a referral is made to the </w:t>
      </w:r>
      <w:r>
        <w:t>national SDCU assessment service, a three stage assessment process will be undertaken, comprising:</w:t>
      </w:r>
    </w:p>
    <w:p w:rsidR="00CA4FF1" w:rsidRPr="00891080" w:rsidRDefault="00CA4FF1" w:rsidP="00CA4FF1">
      <w:pPr>
        <w:pStyle w:val="ListParagraph"/>
        <w:numPr>
          <w:ilvl w:val="0"/>
          <w:numId w:val="15"/>
        </w:numPr>
        <w:tabs>
          <w:tab w:val="left" w:pos="993"/>
        </w:tabs>
        <w:spacing w:after="60"/>
        <w:jc w:val="both"/>
      </w:pPr>
      <w:r>
        <w:t xml:space="preserve">SDCU preliminary screening </w:t>
      </w:r>
    </w:p>
    <w:p w:rsidR="00CA4FF1" w:rsidRPr="00891080" w:rsidRDefault="00CA4FF1" w:rsidP="00CA4FF1">
      <w:pPr>
        <w:pStyle w:val="ListParagraph"/>
        <w:numPr>
          <w:ilvl w:val="0"/>
          <w:numId w:val="15"/>
        </w:numPr>
        <w:tabs>
          <w:tab w:val="left" w:pos="993"/>
        </w:tabs>
        <w:spacing w:after="60"/>
        <w:jc w:val="both"/>
      </w:pPr>
      <w:r>
        <w:t xml:space="preserve">needs based </w:t>
      </w:r>
      <w:r w:rsidRPr="00891080">
        <w:t>assessment to determi</w:t>
      </w:r>
      <w:r>
        <w:t>ne a person’s suitability for a</w:t>
      </w:r>
      <w:r w:rsidRPr="00891080">
        <w:t xml:space="preserve"> SDCU placement</w:t>
      </w:r>
    </w:p>
    <w:p w:rsidR="00CA4FF1" w:rsidRDefault="00CA4FF1" w:rsidP="00CA4FF1">
      <w:pPr>
        <w:pStyle w:val="ListParagraph"/>
        <w:numPr>
          <w:ilvl w:val="0"/>
          <w:numId w:val="15"/>
        </w:numPr>
        <w:tabs>
          <w:tab w:val="left" w:pos="993"/>
        </w:tabs>
        <w:spacing w:after="60"/>
        <w:jc w:val="both"/>
      </w:pPr>
      <w:proofErr w:type="gramStart"/>
      <w:r>
        <w:t>a</w:t>
      </w:r>
      <w:proofErr w:type="gramEnd"/>
      <w:r w:rsidRPr="00891080">
        <w:t xml:space="preserve"> </w:t>
      </w:r>
      <w:r>
        <w:t xml:space="preserve">local SDCU </w:t>
      </w:r>
      <w:r w:rsidRPr="00891080">
        <w:t>placement assessment.</w:t>
      </w:r>
    </w:p>
    <w:p w:rsidR="00CA4FF1" w:rsidRDefault="00CA4FF1" w:rsidP="00CA4FF1">
      <w:pPr>
        <w:pStyle w:val="ListParagraph"/>
        <w:tabs>
          <w:tab w:val="left" w:pos="993"/>
        </w:tabs>
        <w:spacing w:after="60"/>
        <w:jc w:val="both"/>
      </w:pPr>
    </w:p>
    <w:p w:rsidR="00CA4FF1" w:rsidRDefault="00CA4FF1" w:rsidP="00CA4FF1">
      <w:pPr>
        <w:tabs>
          <w:tab w:val="left" w:pos="993"/>
        </w:tabs>
        <w:spacing w:after="60"/>
        <w:jc w:val="both"/>
      </w:pPr>
      <w:r w:rsidRPr="0033157A">
        <w:t xml:space="preserve">Figure </w:t>
      </w:r>
      <w:r w:rsidR="006B4F5A">
        <w:t>7</w:t>
      </w:r>
      <w:r w:rsidRPr="0033157A">
        <w:t xml:space="preserve"> provides an overview of these distinct assessment elements</w:t>
      </w:r>
      <w:r>
        <w:t>.</w:t>
      </w:r>
    </w:p>
    <w:p w:rsidR="00CA4FF1" w:rsidRDefault="00CA4FF1" w:rsidP="00CA4FF1">
      <w:pPr>
        <w:jc w:val="both"/>
      </w:pPr>
      <w:r>
        <w:br w:type="page"/>
      </w:r>
    </w:p>
    <w:p w:rsidR="00CA4FF1" w:rsidRDefault="006B4F5A" w:rsidP="00CA4FF1">
      <w:pPr>
        <w:tabs>
          <w:tab w:val="left" w:pos="993"/>
        </w:tabs>
        <w:spacing w:after="60"/>
        <w:jc w:val="both"/>
      </w:pPr>
      <w:r>
        <w:rPr>
          <w:rStyle w:val="Emphasis"/>
        </w:rPr>
        <w:lastRenderedPageBreak/>
        <w:t>Figure 7</w:t>
      </w:r>
      <w:r w:rsidR="00CA4FF1" w:rsidRPr="00121D57">
        <w:rPr>
          <w:rStyle w:val="Emphasis"/>
        </w:rPr>
        <w:t>: SDCU proposed assessment elements</w:t>
      </w:r>
    </w:p>
    <w:p w:rsidR="00CA4FF1" w:rsidRDefault="00CA4FF1" w:rsidP="00CA4FF1">
      <w:pPr>
        <w:tabs>
          <w:tab w:val="left" w:pos="993"/>
        </w:tabs>
        <w:spacing w:after="60"/>
        <w:jc w:val="both"/>
      </w:pPr>
      <w:r w:rsidRPr="00D74ADB">
        <w:rPr>
          <w:rStyle w:val="Emphasis"/>
          <w:noProof/>
          <w:lang w:eastAsia="en-AU"/>
        </w:rPr>
        <mc:AlternateContent>
          <mc:Choice Requires="wpg">
            <w:drawing>
              <wp:inline distT="0" distB="0" distL="0" distR="0" wp14:anchorId="15C38D32" wp14:editId="0A0C8551">
                <wp:extent cx="6092190" cy="8116570"/>
                <wp:effectExtent l="0" t="0" r="0" b="0"/>
                <wp:docPr id="26" name="Group 26" descr="Flow chart diagram providing an overview of the proposed features of SDCU assessment processes. Step 1 is prelimary screening, step 2 is needs based assessment, and step 3 is placement assessment."/>
                <wp:cNvGraphicFramePr/>
                <a:graphic xmlns:a="http://schemas.openxmlformats.org/drawingml/2006/main">
                  <a:graphicData uri="http://schemas.microsoft.com/office/word/2010/wordprocessingGroup">
                    <wpg:wgp>
                      <wpg:cNvGrpSpPr/>
                      <wpg:grpSpPr>
                        <a:xfrm>
                          <a:off x="0" y="0"/>
                          <a:ext cx="6092190" cy="8116570"/>
                          <a:chOff x="61634" y="-1"/>
                          <a:chExt cx="7255027" cy="8451943"/>
                        </a:xfrm>
                      </wpg:grpSpPr>
                      <wpg:grpSp>
                        <wpg:cNvPr id="27" name="Group 27"/>
                        <wpg:cNvGrpSpPr/>
                        <wpg:grpSpPr>
                          <a:xfrm>
                            <a:off x="133815" y="2732047"/>
                            <a:ext cx="7091045" cy="3010355"/>
                            <a:chOff x="0" y="-1"/>
                            <a:chExt cx="7091045" cy="3010355"/>
                          </a:xfrm>
                        </wpg:grpSpPr>
                        <wps:wsp>
                          <wps:cNvPr id="28" name="Rectangle 28"/>
                          <wps:cNvSpPr/>
                          <wps:spPr>
                            <a:xfrm>
                              <a:off x="0" y="100360"/>
                              <a:ext cx="6757034" cy="2909994"/>
                            </a:xfrm>
                            <a:prstGeom prst="rect">
                              <a:avLst/>
                            </a:prstGeom>
                            <a:solidFill>
                              <a:srgbClr val="4BACC6">
                                <a:lumMod val="20000"/>
                                <a:lumOff val="8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ounded Rectangle 29"/>
                          <wps:cNvSpPr/>
                          <wps:spPr>
                            <a:xfrm>
                              <a:off x="3657601" y="-1"/>
                              <a:ext cx="3433444" cy="2935691"/>
                            </a:xfrm>
                            <a:prstGeom prst="roundRect">
                              <a:avLst/>
                            </a:prstGeom>
                            <a:solidFill>
                              <a:srgbClr val="4BACC6">
                                <a:lumMod val="60000"/>
                                <a:lumOff val="4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0" name="Group 30"/>
                        <wpg:cNvGrpSpPr/>
                        <wpg:grpSpPr>
                          <a:xfrm>
                            <a:off x="61634" y="5853940"/>
                            <a:ext cx="7040423" cy="2598002"/>
                            <a:chOff x="61634" y="-223474"/>
                            <a:chExt cx="7040423" cy="2598002"/>
                          </a:xfrm>
                        </wpg:grpSpPr>
                        <wps:wsp>
                          <wps:cNvPr id="31" name="Rectangle 31"/>
                          <wps:cNvSpPr/>
                          <wps:spPr>
                            <a:xfrm>
                              <a:off x="61634" y="-179443"/>
                              <a:ext cx="6829217" cy="2553971"/>
                            </a:xfrm>
                            <a:prstGeom prst="rect">
                              <a:avLst/>
                            </a:prstGeom>
                            <a:solidFill>
                              <a:srgbClr val="4BACC6">
                                <a:lumMod val="20000"/>
                                <a:lumOff val="8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Rounded Rectangle 288"/>
                          <wps:cNvSpPr/>
                          <wps:spPr>
                            <a:xfrm>
                              <a:off x="3790734" y="-223474"/>
                              <a:ext cx="3311323" cy="2490479"/>
                            </a:xfrm>
                            <a:prstGeom prst="roundRect">
                              <a:avLst/>
                            </a:prstGeom>
                            <a:solidFill>
                              <a:srgbClr val="4BACC6">
                                <a:lumMod val="60000"/>
                                <a:lumOff val="4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89" name="Text Box 2"/>
                        <wps:cNvSpPr txBox="1">
                          <a:spLocks noChangeArrowheads="1"/>
                        </wps:cNvSpPr>
                        <wps:spPr bwMode="auto">
                          <a:xfrm>
                            <a:off x="245327" y="2966222"/>
                            <a:ext cx="3423285" cy="2701516"/>
                          </a:xfrm>
                          <a:prstGeom prst="rect">
                            <a:avLst/>
                          </a:prstGeom>
                          <a:noFill/>
                          <a:ln w="9525">
                            <a:noFill/>
                            <a:miter lim="800000"/>
                            <a:headEnd/>
                            <a:tailEnd/>
                          </a:ln>
                        </wps:spPr>
                        <wps:txbx>
                          <w:txbxContent>
                            <w:p w:rsidR="00AE3B8A" w:rsidRDefault="00AE3B8A" w:rsidP="00CA4FF1">
                              <w:pPr>
                                <w:pStyle w:val="ListParagraph"/>
                                <w:numPr>
                                  <w:ilvl w:val="0"/>
                                  <w:numId w:val="30"/>
                                </w:numPr>
                                <w:rPr>
                                  <w:sz w:val="22"/>
                                </w:rPr>
                              </w:pPr>
                              <w:r w:rsidRPr="0089196F">
                                <w:rPr>
                                  <w:sz w:val="22"/>
                                </w:rPr>
                                <w:t>Conducted by</w:t>
                              </w:r>
                              <w:r>
                                <w:rPr>
                                  <w:sz w:val="22"/>
                                </w:rPr>
                                <w:t xml:space="preserve"> the</w:t>
                              </w:r>
                              <w:r w:rsidRPr="0089196F">
                                <w:rPr>
                                  <w:sz w:val="22"/>
                                </w:rPr>
                                <w:t xml:space="preserve"> SDCU assessment service </w:t>
                              </w:r>
                            </w:p>
                            <w:p w:rsidR="00AE3B8A" w:rsidRPr="0089196F" w:rsidRDefault="00AE3B8A" w:rsidP="00CA4FF1">
                              <w:pPr>
                                <w:pStyle w:val="ListParagraph"/>
                                <w:numPr>
                                  <w:ilvl w:val="0"/>
                                  <w:numId w:val="30"/>
                                </w:numPr>
                                <w:rPr>
                                  <w:sz w:val="22"/>
                                </w:rPr>
                              </w:pPr>
                              <w:r w:rsidRPr="0089196F">
                                <w:rPr>
                                  <w:sz w:val="22"/>
                                </w:rPr>
                                <w:t xml:space="preserve">Comprehensive and multidisciplinary </w:t>
                              </w:r>
                            </w:p>
                            <w:p w:rsidR="00AE3B8A" w:rsidRPr="00AA10EC" w:rsidRDefault="00AE3B8A" w:rsidP="00CA4FF1">
                              <w:pPr>
                                <w:pStyle w:val="ListParagraph"/>
                                <w:numPr>
                                  <w:ilvl w:val="0"/>
                                  <w:numId w:val="30"/>
                                </w:numPr>
                                <w:rPr>
                                  <w:sz w:val="22"/>
                                </w:rPr>
                              </w:pPr>
                              <w:r w:rsidRPr="00AA10EC">
                                <w:rPr>
                                  <w:sz w:val="22"/>
                                </w:rPr>
                                <w:t xml:space="preserve">Appropriately qualified </w:t>
                              </w:r>
                              <w:r>
                                <w:rPr>
                                  <w:sz w:val="22"/>
                                </w:rPr>
                                <w:t xml:space="preserve">and experienced </w:t>
                              </w:r>
                              <w:r w:rsidRPr="00AA10EC">
                                <w:rPr>
                                  <w:sz w:val="22"/>
                                </w:rPr>
                                <w:t>assessors using a range of validated tool/s</w:t>
                              </w:r>
                            </w:p>
                            <w:p w:rsidR="00AE3B8A" w:rsidRDefault="00AE3B8A" w:rsidP="00CA4FF1">
                              <w:pPr>
                                <w:pStyle w:val="ListParagraph"/>
                                <w:numPr>
                                  <w:ilvl w:val="0"/>
                                  <w:numId w:val="30"/>
                                </w:numPr>
                                <w:rPr>
                                  <w:sz w:val="22"/>
                                </w:rPr>
                              </w:pPr>
                              <w:r>
                                <w:rPr>
                                  <w:sz w:val="22"/>
                                </w:rPr>
                                <w:t>C</w:t>
                              </w:r>
                              <w:r w:rsidRPr="00AA10EC">
                                <w:rPr>
                                  <w:sz w:val="22"/>
                                </w:rPr>
                                <w:t>onduc</w:t>
                              </w:r>
                              <w:r>
                                <w:rPr>
                                  <w:sz w:val="22"/>
                                </w:rPr>
                                <w:t>t</w:t>
                              </w:r>
                              <w:r w:rsidRPr="00AA10EC">
                                <w:rPr>
                                  <w:sz w:val="22"/>
                                </w:rPr>
                                <w:t>ed face-to-face</w:t>
                              </w:r>
                            </w:p>
                            <w:p w:rsidR="00AE3B8A" w:rsidRPr="00D801CD" w:rsidRDefault="00AE3B8A" w:rsidP="00CA4FF1">
                              <w:pPr>
                                <w:pStyle w:val="ListParagraph"/>
                                <w:numPr>
                                  <w:ilvl w:val="0"/>
                                  <w:numId w:val="30"/>
                                </w:numPr>
                                <w:rPr>
                                  <w:sz w:val="22"/>
                                </w:rPr>
                              </w:pPr>
                              <w:r w:rsidRPr="00D801CD">
                                <w:rPr>
                                  <w:sz w:val="22"/>
                                </w:rPr>
                                <w:t>Involves carers and families</w:t>
                              </w:r>
                            </w:p>
                            <w:p w:rsidR="00AE3B8A" w:rsidRPr="00AA10EC" w:rsidRDefault="00AE3B8A" w:rsidP="00CA4FF1">
                              <w:pPr>
                                <w:pStyle w:val="ListParagraph"/>
                                <w:numPr>
                                  <w:ilvl w:val="0"/>
                                  <w:numId w:val="31"/>
                                </w:numPr>
                                <w:rPr>
                                  <w:b/>
                                  <w:i/>
                                  <w:sz w:val="22"/>
                                </w:rPr>
                              </w:pPr>
                              <w:r w:rsidRPr="00AA10EC">
                                <w:rPr>
                                  <w:b/>
                                  <w:i/>
                                  <w:sz w:val="22"/>
                                </w:rPr>
                                <w:t>Recommended for SDCU placement and continues to SDCU placement assessment OR</w:t>
                              </w:r>
                            </w:p>
                            <w:p w:rsidR="00AE3B8A" w:rsidRPr="00AA10EC" w:rsidRDefault="00AE3B8A" w:rsidP="00CA4FF1">
                              <w:pPr>
                                <w:pStyle w:val="ListParagraph"/>
                                <w:numPr>
                                  <w:ilvl w:val="0"/>
                                  <w:numId w:val="31"/>
                                </w:numPr>
                                <w:rPr>
                                  <w:sz w:val="22"/>
                                </w:rPr>
                              </w:pPr>
                              <w:r w:rsidRPr="00AA10EC">
                                <w:rPr>
                                  <w:b/>
                                  <w:i/>
                                  <w:sz w:val="22"/>
                                </w:rPr>
                                <w:t xml:space="preserve">Is referred to alternate services </w:t>
                              </w:r>
                              <w:r>
                                <w:rPr>
                                  <w:b/>
                                  <w:i/>
                                  <w:sz w:val="22"/>
                                </w:rPr>
                                <w:t>and/</w:t>
                              </w:r>
                              <w:r w:rsidRPr="00AA10EC">
                                <w:rPr>
                                  <w:b/>
                                  <w:i/>
                                  <w:sz w:val="22"/>
                                </w:rPr>
                                <w:t xml:space="preserve">or provided with additional supports within their existing care setting </w:t>
                              </w:r>
                              <w:r w:rsidRPr="00AA10EC">
                                <w:rPr>
                                  <w:b/>
                                  <w:i/>
                                  <w:sz w:val="22"/>
                                  <w:u w:val="single"/>
                                </w:rPr>
                                <w:t>if not recommended for SDCU placement</w:t>
                              </w:r>
                            </w:p>
                            <w:p w:rsidR="00AE3B8A" w:rsidRPr="00AA10EC" w:rsidRDefault="00AE3B8A" w:rsidP="00CA4FF1">
                              <w:pPr>
                                <w:pStyle w:val="ListParagraph"/>
                                <w:rPr>
                                  <w:sz w:val="22"/>
                                </w:rPr>
                              </w:pPr>
                            </w:p>
                            <w:p w:rsidR="00AE3B8A" w:rsidRPr="00AA10EC" w:rsidRDefault="00AE3B8A" w:rsidP="00CA4FF1">
                              <w:pPr>
                                <w:pStyle w:val="ListParagraph"/>
                                <w:rPr>
                                  <w:sz w:val="22"/>
                                </w:rPr>
                              </w:pPr>
                            </w:p>
                          </w:txbxContent>
                        </wps:txbx>
                        <wps:bodyPr rot="0" vert="horz" wrap="square" lIns="91440" tIns="45720" rIns="91440" bIns="45720" anchor="t" anchorCtr="0">
                          <a:noAutofit/>
                        </wps:bodyPr>
                      </wps:wsp>
                      <wps:wsp>
                        <wps:cNvPr id="290" name="Text Box 2"/>
                        <wps:cNvSpPr txBox="1">
                          <a:spLocks noChangeArrowheads="1"/>
                        </wps:cNvSpPr>
                        <wps:spPr bwMode="auto">
                          <a:xfrm>
                            <a:off x="197732" y="6108668"/>
                            <a:ext cx="3578860" cy="2207260"/>
                          </a:xfrm>
                          <a:prstGeom prst="rect">
                            <a:avLst/>
                          </a:prstGeom>
                          <a:noFill/>
                          <a:ln w="9525">
                            <a:noFill/>
                            <a:miter lim="800000"/>
                            <a:headEnd/>
                            <a:tailEnd/>
                          </a:ln>
                        </wps:spPr>
                        <wps:txbx>
                          <w:txbxContent>
                            <w:p w:rsidR="00AE3B8A" w:rsidRPr="000B23F5" w:rsidRDefault="00AE3B8A" w:rsidP="00CA4FF1">
                              <w:pPr>
                                <w:pStyle w:val="ListParagraph"/>
                                <w:numPr>
                                  <w:ilvl w:val="0"/>
                                  <w:numId w:val="30"/>
                                </w:numPr>
                                <w:rPr>
                                  <w:sz w:val="22"/>
                                </w:rPr>
                              </w:pPr>
                              <w:r w:rsidRPr="000B23F5">
                                <w:rPr>
                                  <w:sz w:val="22"/>
                                </w:rPr>
                                <w:t xml:space="preserve">Conducted by SDCU-specific clinical advisory local level assessment to </w:t>
                              </w:r>
                              <w:r>
                                <w:rPr>
                                  <w:sz w:val="22"/>
                                </w:rPr>
                                <w:t xml:space="preserve">consider </w:t>
                              </w:r>
                              <w:r w:rsidRPr="000B23F5">
                                <w:rPr>
                                  <w:sz w:val="22"/>
                                </w:rPr>
                                <w:t>‘best fit’, safety and other external factors</w:t>
                              </w:r>
                            </w:p>
                            <w:p w:rsidR="00AE3B8A" w:rsidRPr="00D801CD" w:rsidRDefault="00AE3B8A" w:rsidP="00CA4FF1">
                              <w:pPr>
                                <w:pStyle w:val="ListParagraph"/>
                                <w:numPr>
                                  <w:ilvl w:val="0"/>
                                  <w:numId w:val="30"/>
                                </w:numPr>
                                <w:rPr>
                                  <w:sz w:val="22"/>
                                </w:rPr>
                              </w:pPr>
                              <w:r w:rsidRPr="00D801CD">
                                <w:rPr>
                                  <w:sz w:val="22"/>
                                </w:rPr>
                                <w:t>Consultation with the SDCU assessment service</w:t>
                              </w:r>
                            </w:p>
                            <w:p w:rsidR="00AE3B8A" w:rsidRPr="00AA10EC" w:rsidRDefault="00AE3B8A" w:rsidP="00CA4FF1">
                              <w:pPr>
                                <w:pStyle w:val="ListParagraph"/>
                                <w:numPr>
                                  <w:ilvl w:val="0"/>
                                  <w:numId w:val="31"/>
                                </w:numPr>
                                <w:rPr>
                                  <w:b/>
                                  <w:i/>
                                  <w:sz w:val="22"/>
                                </w:rPr>
                              </w:pPr>
                              <w:r w:rsidRPr="00AA10EC">
                                <w:rPr>
                                  <w:b/>
                                  <w:i/>
                                  <w:sz w:val="22"/>
                                </w:rPr>
                                <w:t>Client is accepted by the SDCU provider OR</w:t>
                              </w:r>
                            </w:p>
                            <w:p w:rsidR="00AE3B8A" w:rsidRPr="00AA10EC" w:rsidRDefault="00AE3B8A" w:rsidP="00CA4FF1">
                              <w:pPr>
                                <w:pStyle w:val="ListParagraph"/>
                                <w:numPr>
                                  <w:ilvl w:val="0"/>
                                  <w:numId w:val="31"/>
                                </w:numPr>
                                <w:rPr>
                                  <w:b/>
                                  <w:i/>
                                  <w:sz w:val="22"/>
                                </w:rPr>
                              </w:pPr>
                              <w:r w:rsidRPr="00AA10EC">
                                <w:rPr>
                                  <w:b/>
                                  <w:i/>
                                  <w:sz w:val="22"/>
                                </w:rPr>
                                <w:t xml:space="preserve">Is referred to alternate SDCU provider, acute system or mainstream residential facility (with additional supports) </w:t>
                              </w:r>
                            </w:p>
                          </w:txbxContent>
                        </wps:txbx>
                        <wps:bodyPr rot="0" vert="horz" wrap="square" lIns="91440" tIns="45720" rIns="91440" bIns="45720" anchor="t" anchorCtr="0">
                          <a:noAutofit/>
                        </wps:bodyPr>
                      </wps:wsp>
                      <wps:wsp>
                        <wps:cNvPr id="291" name="Text Box 2"/>
                        <wps:cNvSpPr txBox="1">
                          <a:spLocks noChangeArrowheads="1"/>
                        </wps:cNvSpPr>
                        <wps:spPr bwMode="auto">
                          <a:xfrm>
                            <a:off x="3815907" y="2865863"/>
                            <a:ext cx="3500754" cy="2988078"/>
                          </a:xfrm>
                          <a:prstGeom prst="rect">
                            <a:avLst/>
                          </a:prstGeom>
                          <a:noFill/>
                          <a:ln w="9525">
                            <a:noFill/>
                            <a:miter lim="800000"/>
                            <a:headEnd/>
                            <a:tailEnd/>
                          </a:ln>
                        </wps:spPr>
                        <wps:txbx>
                          <w:txbxContent>
                            <w:p w:rsidR="00AE3B8A" w:rsidRPr="00AA10EC" w:rsidRDefault="00AE3B8A" w:rsidP="00CA4FF1">
                              <w:pPr>
                                <w:spacing w:after="120"/>
                                <w:rPr>
                                  <w:b/>
                                  <w:i/>
                                  <w:sz w:val="22"/>
                                </w:rPr>
                              </w:pPr>
                              <w:r w:rsidRPr="00AA10EC">
                                <w:rPr>
                                  <w:b/>
                                  <w:color w:val="FFFFFF" w:themeColor="background1"/>
                                  <w:sz w:val="28"/>
                                </w:rPr>
                                <w:t>SDCU NEEDS BASED ASSESSMENT</w:t>
                              </w:r>
                            </w:p>
                            <w:p w:rsidR="00AE3B8A" w:rsidRPr="008B16B2" w:rsidRDefault="00AE3B8A" w:rsidP="00CA4FF1">
                              <w:pPr>
                                <w:rPr>
                                  <w:b/>
                                  <w:i/>
                                  <w:sz w:val="22"/>
                                </w:rPr>
                              </w:pPr>
                              <w:r w:rsidRPr="00AA10EC">
                                <w:rPr>
                                  <w:b/>
                                  <w:i/>
                                  <w:sz w:val="22"/>
                                </w:rPr>
                                <w:t>Assessment of need for SDCU placement including consideration of whether:</w:t>
                              </w:r>
                            </w:p>
                            <w:p w:rsidR="00AE3B8A" w:rsidRPr="00AA10EC" w:rsidRDefault="00AE3B8A" w:rsidP="00CA4FF1">
                              <w:pPr>
                                <w:pStyle w:val="ListParagraph"/>
                                <w:numPr>
                                  <w:ilvl w:val="0"/>
                                  <w:numId w:val="29"/>
                                </w:numPr>
                                <w:spacing w:after="120"/>
                                <w:rPr>
                                  <w:color w:val="000000" w:themeColor="text1"/>
                                  <w:sz w:val="22"/>
                                </w:rPr>
                              </w:pPr>
                              <w:r w:rsidRPr="00AA10EC">
                                <w:rPr>
                                  <w:color w:val="000000" w:themeColor="text1"/>
                                  <w:sz w:val="22"/>
                                </w:rPr>
                                <w:t xml:space="preserve">Severe behaviours present a risk of harm to themselves and/or others? </w:t>
                              </w:r>
                            </w:p>
                            <w:p w:rsidR="00AE3B8A" w:rsidRPr="00AA10EC" w:rsidRDefault="00AE3B8A" w:rsidP="00CA4FF1">
                              <w:pPr>
                                <w:pStyle w:val="ListParagraph"/>
                                <w:numPr>
                                  <w:ilvl w:val="0"/>
                                  <w:numId w:val="29"/>
                                </w:numPr>
                                <w:spacing w:after="120"/>
                                <w:rPr>
                                  <w:color w:val="000000" w:themeColor="text1"/>
                                  <w:sz w:val="22"/>
                                </w:rPr>
                              </w:pPr>
                              <w:r w:rsidRPr="00AA10EC">
                                <w:rPr>
                                  <w:color w:val="000000" w:themeColor="text1"/>
                                  <w:sz w:val="22"/>
                                </w:rPr>
                                <w:t xml:space="preserve">Behaviours and risks persist despite </w:t>
                              </w:r>
                              <w:r>
                                <w:rPr>
                                  <w:color w:val="000000" w:themeColor="text1"/>
                                  <w:sz w:val="22"/>
                                </w:rPr>
                                <w:t xml:space="preserve">evidence of </w:t>
                              </w:r>
                              <w:r w:rsidRPr="00AA10EC">
                                <w:rPr>
                                  <w:color w:val="000000" w:themeColor="text1"/>
                                  <w:sz w:val="22"/>
                                </w:rPr>
                                <w:t xml:space="preserve">management strategies being implemented </w:t>
                              </w:r>
                            </w:p>
                            <w:p w:rsidR="00AE3B8A" w:rsidRPr="00AA10EC" w:rsidRDefault="00AE3B8A" w:rsidP="00CA4FF1">
                              <w:pPr>
                                <w:pStyle w:val="ListParagraph"/>
                                <w:numPr>
                                  <w:ilvl w:val="0"/>
                                  <w:numId w:val="29"/>
                                </w:numPr>
                                <w:spacing w:after="120"/>
                                <w:rPr>
                                  <w:color w:val="000000" w:themeColor="text1"/>
                                  <w:sz w:val="22"/>
                                </w:rPr>
                              </w:pPr>
                              <w:r w:rsidRPr="00AA10EC">
                                <w:rPr>
                                  <w:color w:val="000000" w:themeColor="text1"/>
                                  <w:sz w:val="22"/>
                                </w:rPr>
                                <w:t>Likelihood of benefiting from SDCU placement and transition to mainstream care</w:t>
                              </w:r>
                            </w:p>
                            <w:p w:rsidR="00AE3B8A" w:rsidRPr="00AA10EC" w:rsidRDefault="00AE3B8A" w:rsidP="00CA4FF1">
                              <w:pPr>
                                <w:pStyle w:val="ListParagraph"/>
                                <w:numPr>
                                  <w:ilvl w:val="0"/>
                                  <w:numId w:val="29"/>
                                </w:numPr>
                                <w:spacing w:after="120"/>
                                <w:rPr>
                                  <w:color w:val="000000" w:themeColor="text1"/>
                                  <w:sz w:val="22"/>
                                </w:rPr>
                              </w:pPr>
                              <w:r w:rsidRPr="00AA10EC">
                                <w:rPr>
                                  <w:color w:val="000000" w:themeColor="text1"/>
                                  <w:sz w:val="22"/>
                                </w:rPr>
                                <w:t xml:space="preserve">Medical treatment is </w:t>
                              </w:r>
                              <w:r>
                                <w:rPr>
                                  <w:color w:val="000000" w:themeColor="text1"/>
                                  <w:sz w:val="22"/>
                                </w:rPr>
                                <w:t xml:space="preserve">not </w:t>
                              </w:r>
                              <w:r w:rsidRPr="00AA10EC">
                                <w:rPr>
                                  <w:color w:val="000000" w:themeColor="text1"/>
                                  <w:sz w:val="22"/>
                                </w:rPr>
                                <w:t xml:space="preserve">required that </w:t>
                              </w:r>
                              <w:r>
                                <w:rPr>
                                  <w:color w:val="000000" w:themeColor="text1"/>
                                  <w:sz w:val="22"/>
                                </w:rPr>
                                <w:t>is</w:t>
                              </w:r>
                              <w:r w:rsidRPr="00AA10EC">
                                <w:rPr>
                                  <w:color w:val="000000" w:themeColor="text1"/>
                                  <w:sz w:val="22"/>
                                </w:rPr>
                                <w:t xml:space="preserve"> delivered in an acute or other health setting?</w:t>
                              </w:r>
                            </w:p>
                          </w:txbxContent>
                        </wps:txbx>
                        <wps:bodyPr rot="0" vert="horz" wrap="square" lIns="91440" tIns="45720" rIns="91440" bIns="45720" anchor="t" anchorCtr="0">
                          <a:noAutofit/>
                        </wps:bodyPr>
                      </wps:wsp>
                      <wps:wsp>
                        <wps:cNvPr id="292" name="Text Box 2"/>
                        <wps:cNvSpPr txBox="1">
                          <a:spLocks noChangeArrowheads="1"/>
                        </wps:cNvSpPr>
                        <wps:spPr bwMode="auto">
                          <a:xfrm>
                            <a:off x="3815905" y="6091986"/>
                            <a:ext cx="3214219" cy="2153629"/>
                          </a:xfrm>
                          <a:prstGeom prst="rect">
                            <a:avLst/>
                          </a:prstGeom>
                          <a:noFill/>
                          <a:ln w="9525">
                            <a:noFill/>
                            <a:miter lim="800000"/>
                            <a:headEnd/>
                            <a:tailEnd/>
                          </a:ln>
                        </wps:spPr>
                        <wps:txbx>
                          <w:txbxContent>
                            <w:p w:rsidR="00AE3B8A" w:rsidRPr="00AA10EC" w:rsidRDefault="00AE3B8A" w:rsidP="00CA4FF1">
                              <w:pPr>
                                <w:spacing w:after="120"/>
                                <w:rPr>
                                  <w:b/>
                                  <w:i/>
                                  <w:sz w:val="22"/>
                                </w:rPr>
                              </w:pPr>
                              <w:r w:rsidRPr="00AA10EC">
                                <w:rPr>
                                  <w:b/>
                                  <w:color w:val="FFFFFF" w:themeColor="background1"/>
                                  <w:sz w:val="28"/>
                                </w:rPr>
                                <w:t>SDCU PLACEMENT ASSESSMENT</w:t>
                              </w:r>
                            </w:p>
                            <w:p w:rsidR="00AE3B8A" w:rsidRPr="00AA10EC" w:rsidRDefault="00AE3B8A" w:rsidP="00CA4FF1">
                              <w:pPr>
                                <w:rPr>
                                  <w:b/>
                                  <w:i/>
                                  <w:sz w:val="22"/>
                                </w:rPr>
                              </w:pPr>
                              <w:r w:rsidRPr="00AA10EC">
                                <w:rPr>
                                  <w:b/>
                                  <w:i/>
                                  <w:sz w:val="22"/>
                                </w:rPr>
                                <w:t xml:space="preserve">Service specific assessment to consider: </w:t>
                              </w:r>
                            </w:p>
                            <w:p w:rsidR="00AE3B8A" w:rsidRPr="00AA10EC" w:rsidRDefault="00AE3B8A" w:rsidP="00CA4FF1">
                              <w:pPr>
                                <w:pStyle w:val="ListParagraph"/>
                                <w:numPr>
                                  <w:ilvl w:val="0"/>
                                  <w:numId w:val="29"/>
                                </w:numPr>
                                <w:spacing w:after="120"/>
                                <w:rPr>
                                  <w:sz w:val="22"/>
                                </w:rPr>
                              </w:pPr>
                              <w:r w:rsidRPr="00AA10EC">
                                <w:rPr>
                                  <w:sz w:val="22"/>
                                </w:rPr>
                                <w:t>Is the person a ‘good fit’ for the particular SDCU service and current client mix?</w:t>
                              </w:r>
                            </w:p>
                            <w:p w:rsidR="00AE3B8A" w:rsidRPr="00AA10EC" w:rsidRDefault="00AE3B8A" w:rsidP="00CA4FF1">
                              <w:pPr>
                                <w:pStyle w:val="ListParagraph"/>
                                <w:numPr>
                                  <w:ilvl w:val="0"/>
                                  <w:numId w:val="29"/>
                                </w:numPr>
                                <w:rPr>
                                  <w:sz w:val="22"/>
                                </w:rPr>
                              </w:pPr>
                              <w:r w:rsidRPr="00AA10EC">
                                <w:rPr>
                                  <w:sz w:val="22"/>
                                </w:rPr>
                                <w:t>Is the SDCU provider confident that care needs and risks can be appropriately managed?</w:t>
                              </w:r>
                            </w:p>
                          </w:txbxContent>
                        </wps:txbx>
                        <wps:bodyPr rot="0" vert="horz" wrap="square" lIns="91440" tIns="45720" rIns="91440" bIns="45720" anchor="t" anchorCtr="0">
                          <a:noAutofit/>
                        </wps:bodyPr>
                      </wps:wsp>
                      <wpg:grpSp>
                        <wpg:cNvPr id="293" name="Group 293"/>
                        <wpg:cNvGrpSpPr/>
                        <wpg:grpSpPr>
                          <a:xfrm>
                            <a:off x="133815" y="-1"/>
                            <a:ext cx="7035165" cy="2905536"/>
                            <a:chOff x="0" y="-1"/>
                            <a:chExt cx="7035165" cy="2905536"/>
                          </a:xfrm>
                        </wpg:grpSpPr>
                        <wpg:grpSp>
                          <wpg:cNvPr id="294" name="Group 294"/>
                          <wpg:cNvGrpSpPr/>
                          <wpg:grpSpPr>
                            <a:xfrm>
                              <a:off x="0" y="-1"/>
                              <a:ext cx="7035165" cy="2665404"/>
                              <a:chOff x="0" y="-1"/>
                              <a:chExt cx="7035165" cy="2665404"/>
                            </a:xfrm>
                          </wpg:grpSpPr>
                          <wps:wsp>
                            <wps:cNvPr id="295" name="Rectangle 295"/>
                            <wps:cNvSpPr/>
                            <wps:spPr>
                              <a:xfrm>
                                <a:off x="0" y="89209"/>
                                <a:ext cx="6757035" cy="2576194"/>
                              </a:xfrm>
                              <a:prstGeom prst="rect">
                                <a:avLst/>
                              </a:prstGeom>
                              <a:solidFill>
                                <a:srgbClr val="4BACC6">
                                  <a:lumMod val="20000"/>
                                  <a:lumOff val="8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Rounded Rectangle 296"/>
                            <wps:cNvSpPr/>
                            <wps:spPr>
                              <a:xfrm>
                                <a:off x="3657600" y="-1"/>
                                <a:ext cx="3377565" cy="2532967"/>
                              </a:xfrm>
                              <a:prstGeom prst="roundRect">
                                <a:avLst/>
                              </a:prstGeom>
                              <a:solidFill>
                                <a:srgbClr val="4BACC6">
                                  <a:lumMod val="60000"/>
                                  <a:lumOff val="40000"/>
                                </a:srgbClr>
                              </a:solidFill>
                              <a:ln w="25400" cap="flat" cmpd="sng" algn="ctr">
                                <a:noFill/>
                                <a:prstDash val="solid"/>
                              </a:ln>
                              <a:effectLst/>
                            </wps:spPr>
                            <wps:txbx>
                              <w:txbxContent>
                                <w:p w:rsidR="00AE3B8A" w:rsidRPr="00AA10EC" w:rsidRDefault="00AE3B8A" w:rsidP="00CA4FF1">
                                  <w:pPr>
                                    <w:spacing w:after="120"/>
                                    <w:rPr>
                                      <w:b/>
                                      <w:sz w:val="22"/>
                                    </w:rPr>
                                  </w:pPr>
                                  <w:r w:rsidRPr="00A610DD">
                                    <w:rPr>
                                      <w:b/>
                                      <w:color w:val="FFFFFF" w:themeColor="background1"/>
                                      <w:sz w:val="28"/>
                                    </w:rPr>
                                    <w:t>SDCU PRELIMINARY SCREENING</w:t>
                                  </w:r>
                                </w:p>
                                <w:p w:rsidR="00AE3B8A" w:rsidRPr="008B16B2" w:rsidRDefault="00AE3B8A" w:rsidP="00CA4FF1">
                                  <w:pPr>
                                    <w:rPr>
                                      <w:b/>
                                      <w:i/>
                                      <w:color w:val="000000" w:themeColor="text1"/>
                                      <w:sz w:val="22"/>
                                    </w:rPr>
                                  </w:pPr>
                                  <w:r w:rsidRPr="00AA10EC">
                                    <w:rPr>
                                      <w:b/>
                                      <w:i/>
                                      <w:color w:val="000000" w:themeColor="text1"/>
                                      <w:sz w:val="22"/>
                                    </w:rPr>
                                    <w:t>Screening to determine whether the person proceeds to needs based assessment</w:t>
                                  </w:r>
                                </w:p>
                                <w:p w:rsidR="00AE3B8A" w:rsidRPr="00AA10EC" w:rsidRDefault="00AE3B8A" w:rsidP="00CA4FF1">
                                  <w:pPr>
                                    <w:pStyle w:val="ListParagraph"/>
                                    <w:numPr>
                                      <w:ilvl w:val="0"/>
                                      <w:numId w:val="29"/>
                                    </w:numPr>
                                    <w:spacing w:after="120"/>
                                    <w:rPr>
                                      <w:color w:val="000000" w:themeColor="text1"/>
                                      <w:sz w:val="22"/>
                                    </w:rPr>
                                  </w:pPr>
                                  <w:r w:rsidRPr="00AA10EC">
                                    <w:rPr>
                                      <w:color w:val="000000" w:themeColor="text1"/>
                                      <w:sz w:val="22"/>
                                    </w:rPr>
                                    <w:t>ACAT assessment and eligible for</w:t>
                                  </w:r>
                                  <w:r>
                                    <w:rPr>
                                      <w:color w:val="000000" w:themeColor="text1"/>
                                      <w:sz w:val="22"/>
                                    </w:rPr>
                                    <w:t xml:space="preserve"> residential aged care</w:t>
                                  </w:r>
                                </w:p>
                                <w:p w:rsidR="00AE3B8A" w:rsidRPr="00AA10EC" w:rsidRDefault="00AE3B8A" w:rsidP="00CA4FF1">
                                  <w:pPr>
                                    <w:pStyle w:val="ListParagraph"/>
                                    <w:numPr>
                                      <w:ilvl w:val="0"/>
                                      <w:numId w:val="29"/>
                                    </w:numPr>
                                    <w:rPr>
                                      <w:color w:val="000000" w:themeColor="text1"/>
                                      <w:sz w:val="22"/>
                                    </w:rPr>
                                  </w:pPr>
                                  <w:r w:rsidRPr="00AA10EC">
                                    <w:rPr>
                                      <w:color w:val="000000" w:themeColor="text1"/>
                                      <w:sz w:val="22"/>
                                    </w:rPr>
                                    <w:t>Evidence of primary dementia diagnosis</w:t>
                                  </w:r>
                                </w:p>
                                <w:p w:rsidR="00AE3B8A" w:rsidRPr="00AA10EC" w:rsidRDefault="00AE3B8A" w:rsidP="00CA4FF1">
                                  <w:pPr>
                                    <w:pStyle w:val="ListParagraph"/>
                                    <w:numPr>
                                      <w:ilvl w:val="0"/>
                                      <w:numId w:val="29"/>
                                    </w:numPr>
                                    <w:rPr>
                                      <w:color w:val="000000" w:themeColor="text1"/>
                                      <w:sz w:val="22"/>
                                    </w:rPr>
                                  </w:pPr>
                                  <w:r w:rsidRPr="00AA10EC">
                                    <w:rPr>
                                      <w:color w:val="000000" w:themeColor="text1"/>
                                      <w:sz w:val="22"/>
                                    </w:rPr>
                                    <w:t xml:space="preserve">Not under a state or territory </w:t>
                                  </w:r>
                                  <w:r>
                                    <w:rPr>
                                      <w:color w:val="000000" w:themeColor="text1"/>
                                      <w:sz w:val="22"/>
                                    </w:rPr>
                                    <w:t xml:space="preserve">mental health </w:t>
                                  </w:r>
                                  <w:r w:rsidRPr="00AA10EC">
                                    <w:rPr>
                                      <w:color w:val="000000" w:themeColor="text1"/>
                                      <w:sz w:val="22"/>
                                    </w:rPr>
                                    <w:t>detention order</w:t>
                                  </w:r>
                                </w:p>
                                <w:p w:rsidR="00AE3B8A" w:rsidRPr="00AA10EC" w:rsidRDefault="00AE3B8A" w:rsidP="00CA4FF1">
                                  <w:pPr>
                                    <w:pStyle w:val="ListParagraph"/>
                                    <w:numPr>
                                      <w:ilvl w:val="0"/>
                                      <w:numId w:val="29"/>
                                    </w:numPr>
                                    <w:rPr>
                                      <w:color w:val="000000" w:themeColor="text1"/>
                                      <w:sz w:val="22"/>
                                    </w:rPr>
                                  </w:pPr>
                                  <w:r w:rsidRPr="00AA10EC">
                                    <w:rPr>
                                      <w:color w:val="000000" w:themeColor="text1"/>
                                      <w:sz w:val="22"/>
                                    </w:rPr>
                                    <w:t>Client and carer consent</w:t>
                                  </w:r>
                                </w:p>
                                <w:p w:rsidR="00AE3B8A" w:rsidRPr="00AA10EC" w:rsidRDefault="00AE3B8A" w:rsidP="00CA4FF1">
                                  <w:pPr>
                                    <w:jc w:val="center"/>
                                    <w:rPr>
                                      <w:sz w:val="22"/>
                                    </w:rPr>
                                  </w:pPr>
                                </w:p>
                                <w:p w:rsidR="00AE3B8A" w:rsidRPr="00AA10EC" w:rsidRDefault="00AE3B8A" w:rsidP="00CA4FF1">
                                  <w:pPr>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7" name="Text Box 2"/>
                          <wps:cNvSpPr txBox="1">
                            <a:spLocks noChangeArrowheads="1"/>
                          </wps:cNvSpPr>
                          <wps:spPr bwMode="auto">
                            <a:xfrm>
                              <a:off x="111512" y="173485"/>
                              <a:ext cx="3088639" cy="2732050"/>
                            </a:xfrm>
                            <a:prstGeom prst="rect">
                              <a:avLst/>
                            </a:prstGeom>
                            <a:noFill/>
                            <a:ln w="9525">
                              <a:noFill/>
                              <a:miter lim="800000"/>
                              <a:headEnd/>
                              <a:tailEnd/>
                            </a:ln>
                          </wps:spPr>
                          <wps:txbx>
                            <w:txbxContent>
                              <w:p w:rsidR="00AE3B8A" w:rsidRPr="00AA10EC" w:rsidRDefault="00AE3B8A" w:rsidP="00CA4FF1">
                                <w:pPr>
                                  <w:pStyle w:val="ListParagraph"/>
                                  <w:numPr>
                                    <w:ilvl w:val="0"/>
                                    <w:numId w:val="28"/>
                                  </w:numPr>
                                  <w:ind w:left="360"/>
                                  <w:rPr>
                                    <w:sz w:val="22"/>
                                  </w:rPr>
                                </w:pPr>
                                <w:r w:rsidRPr="00AF2805">
                                  <w:rPr>
                                    <w:sz w:val="22"/>
                                  </w:rPr>
                                  <w:t xml:space="preserve">Conducted by </w:t>
                                </w:r>
                                <w:r>
                                  <w:rPr>
                                    <w:sz w:val="22"/>
                                  </w:rPr>
                                  <w:t xml:space="preserve">the </w:t>
                                </w:r>
                                <w:r w:rsidRPr="00AF2805">
                                  <w:rPr>
                                    <w:sz w:val="22"/>
                                  </w:rPr>
                                  <w:t>SDCU assessment service</w:t>
                                </w:r>
                                <w:r>
                                  <w:rPr>
                                    <w:sz w:val="22"/>
                                  </w:rPr>
                                  <w:t xml:space="preserve"> </w:t>
                                </w:r>
                              </w:p>
                              <w:p w:rsidR="00AE3B8A" w:rsidRDefault="00AE3B8A" w:rsidP="00CA4FF1">
                                <w:pPr>
                                  <w:pStyle w:val="ListParagraph"/>
                                  <w:numPr>
                                    <w:ilvl w:val="0"/>
                                    <w:numId w:val="28"/>
                                  </w:numPr>
                                  <w:ind w:left="360"/>
                                  <w:rPr>
                                    <w:sz w:val="22"/>
                                  </w:rPr>
                                </w:pPr>
                                <w:r w:rsidRPr="0089196F">
                                  <w:rPr>
                                    <w:sz w:val="22"/>
                                  </w:rPr>
                                  <w:t xml:space="preserve">Referrals from aged care providers, </w:t>
                                </w:r>
                                <w:r>
                                  <w:rPr>
                                    <w:sz w:val="22"/>
                                  </w:rPr>
                                  <w:t xml:space="preserve">medical professionals, acute </w:t>
                                </w:r>
                                <w:r w:rsidRPr="0089196F">
                                  <w:rPr>
                                    <w:sz w:val="22"/>
                                  </w:rPr>
                                  <w:t>services, ACAT assessors, people with dementia, carers and family members</w:t>
                                </w:r>
                              </w:p>
                              <w:p w:rsidR="00AE3B8A" w:rsidRPr="00D801CD" w:rsidRDefault="00AE3B8A" w:rsidP="00CA4FF1">
                                <w:pPr>
                                  <w:pStyle w:val="ListParagraph"/>
                                  <w:numPr>
                                    <w:ilvl w:val="0"/>
                                    <w:numId w:val="28"/>
                                  </w:numPr>
                                  <w:ind w:left="360"/>
                                  <w:rPr>
                                    <w:sz w:val="22"/>
                                  </w:rPr>
                                </w:pPr>
                                <w:r w:rsidRPr="00D801CD">
                                  <w:rPr>
                                    <w:sz w:val="22"/>
                                  </w:rPr>
                                  <w:t>General practitioners will have a key role in the referral process</w:t>
                                </w:r>
                              </w:p>
                              <w:p w:rsidR="00AE3B8A" w:rsidRPr="00AA10EC" w:rsidRDefault="00AE3B8A" w:rsidP="00CA4FF1">
                                <w:pPr>
                                  <w:pStyle w:val="ListParagraph"/>
                                  <w:numPr>
                                    <w:ilvl w:val="0"/>
                                    <w:numId w:val="31"/>
                                  </w:numPr>
                                  <w:rPr>
                                    <w:b/>
                                    <w:i/>
                                    <w:sz w:val="22"/>
                                  </w:rPr>
                                </w:pPr>
                                <w:r w:rsidRPr="00AA10EC">
                                  <w:rPr>
                                    <w:b/>
                                    <w:i/>
                                    <w:sz w:val="22"/>
                                  </w:rPr>
                                  <w:t>Continues to SDCU needs based assessment OR</w:t>
                                </w:r>
                              </w:p>
                              <w:p w:rsidR="00AE3B8A" w:rsidRPr="00AA10EC" w:rsidRDefault="00AE3B8A" w:rsidP="00CA4FF1">
                                <w:pPr>
                                  <w:pStyle w:val="ListParagraph"/>
                                  <w:numPr>
                                    <w:ilvl w:val="0"/>
                                    <w:numId w:val="31"/>
                                  </w:numPr>
                                  <w:rPr>
                                    <w:b/>
                                    <w:i/>
                                    <w:sz w:val="22"/>
                                  </w:rPr>
                                </w:pPr>
                                <w:r w:rsidRPr="00AA10EC">
                                  <w:rPr>
                                    <w:b/>
                                    <w:i/>
                                    <w:sz w:val="22"/>
                                  </w:rPr>
                                  <w:t xml:space="preserve">Is referred to alternate services </w:t>
                                </w:r>
                                <w:r w:rsidRPr="00AA10EC">
                                  <w:rPr>
                                    <w:b/>
                                    <w:i/>
                                    <w:sz w:val="22"/>
                                    <w:u w:val="single"/>
                                  </w:rPr>
                                  <w:t>if screening requirements are not meet</w:t>
                                </w:r>
                              </w:p>
                              <w:p w:rsidR="00AE3B8A" w:rsidRPr="00AA10EC" w:rsidRDefault="00AE3B8A" w:rsidP="00CA4FF1">
                                <w:pPr>
                                  <w:pStyle w:val="ListParagraph"/>
                                  <w:ind w:left="360"/>
                                  <w:rPr>
                                    <w:sz w:val="22"/>
                                  </w:rPr>
                                </w:pPr>
                              </w:p>
                            </w:txbxContent>
                          </wps:txbx>
                          <wps:bodyPr rot="0" vert="horz" wrap="square" lIns="91440" tIns="45720" rIns="91440" bIns="45720" anchor="t" anchorCtr="0">
                            <a:noAutofit/>
                          </wps:bodyPr>
                        </wps:wsp>
                        <wps:wsp>
                          <wps:cNvPr id="298" name="Straight Arrow Connector 298"/>
                          <wps:cNvCnPr/>
                          <wps:spPr>
                            <a:xfrm>
                              <a:off x="5163014" y="2375209"/>
                              <a:ext cx="0" cy="290195"/>
                            </a:xfrm>
                            <a:prstGeom prst="straightConnector1">
                              <a:avLst/>
                            </a:prstGeom>
                            <a:noFill/>
                            <a:ln w="38100" cap="flat" cmpd="sng" algn="ctr">
                              <a:solidFill>
                                <a:srgbClr val="4F81BD">
                                  <a:shade val="95000"/>
                                  <a:satMod val="105000"/>
                                </a:srgbClr>
                              </a:solidFill>
                              <a:prstDash val="solid"/>
                              <a:tailEnd type="arrow"/>
                            </a:ln>
                            <a:effectLst/>
                          </wps:spPr>
                          <wps:bodyPr/>
                        </wps:wsp>
                      </wpg:grpSp>
                      <wps:wsp>
                        <wps:cNvPr id="299" name="Straight Arrow Connector 299"/>
                        <wps:cNvCnPr/>
                        <wps:spPr>
                          <a:xfrm>
                            <a:off x="5296829" y="5542156"/>
                            <a:ext cx="0" cy="311785"/>
                          </a:xfrm>
                          <a:prstGeom prst="straightConnector1">
                            <a:avLst/>
                          </a:prstGeom>
                          <a:noFill/>
                          <a:ln w="38100" cap="flat" cmpd="sng" algn="ctr">
                            <a:solidFill>
                              <a:srgbClr val="4F81BD">
                                <a:shade val="95000"/>
                                <a:satMod val="105000"/>
                              </a:srgbClr>
                            </a:solidFill>
                            <a:prstDash val="solid"/>
                            <a:tailEnd type="arrow"/>
                          </a:ln>
                          <a:effectLst/>
                        </wps:spPr>
                        <wps:bodyPr/>
                      </wps:wsp>
                    </wpg:wgp>
                  </a:graphicData>
                </a:graphic>
              </wp:inline>
            </w:drawing>
          </mc:Choice>
          <mc:Fallback>
            <w:pict>
              <v:group id="Group 26" o:spid="_x0000_s1035" alt="Flow chart diagram providing an overview of the proposed features of SDCU assessment processes. Step 1 is prelimary screening, step 2 is needs based assessment, and step 3 is placement assessment." style="width:479.7pt;height:639.1pt;mso-position-horizontal-relative:char;mso-position-vertical-relative:line" coordorigin="616" coordsize="72550,84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">
                <v:group id="Group 27" o:spid="_x0000_s1036" style="position:absolute;left:1338;top:27320;width:70910;height:30104" coordorigin="" coordsize="70910,301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ect id="Rectangle 28" o:spid="_x0000_s1037" style="position:absolute;top:1003;width:67570;height:29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vMG74A&#10;AADbAAAADwAAAGRycy9kb3ducmV2LnhtbERPy2oCMRTdC/2HcAtuRDNOQdqpUfpAcNux3V8m18nU&#10;yU1Iosa/N4tCl4fzXm+zHcWFQhwcK1guKhDEndMD9wq+D7v5M4iYkDWOjknBjSJsNw+TNTbaXfmL&#10;Lm3qRQnh2KACk5JvpIydIYtx4Txx4Y4uWEwFhl7qgNcSbkdZV9VKWhy4NBj09GGoO7Vnq8DXLT2d&#10;Pu3P+/jiQ/4NZjebZaWmj/ntFUSinP7Ff+69VlCXseVL+QFyc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L7zBu+AAAA2wAAAA8AAAAAAAAAAAAAAAAAmAIAAGRycy9kb3ducmV2&#10;LnhtbFBLBQYAAAAABAAEAPUAAACDAwAAAAA=&#10;" fillcolor="#dbeef4" stroked="f" strokeweight="2pt"/>
                  <v:roundrect id="Rounded Rectangle 29" o:spid="_x0000_s1038" style="position:absolute;left:36576;width:34334;height:293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XJ8cA&#10;AADbAAAADwAAAGRycy9kb3ducmV2LnhtbESPzWsCMRTE7wX/h/AKXopm9eDH1igiCq1IqV8Hb6+b&#10;193FzcuapO72v28KhR6HmfkNM1u0phJ3cr60rGDQT0AQZ1aXnCs4HTe9CQgfkDVWlknBN3lYzDsP&#10;M0y1bXhP90PIRYSwT1FBEUKdSumzggz6vq2Jo/dpncEQpculdthEuKnkMElG0mDJcaHAmlYFZdfD&#10;l1Gw3b251/zjNhmf3zfTpqyy9dPFK9V9bJfPIAK14T/8137RCoZT+P0Sf4C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vgVyfHAAAA2wAAAA8AAAAAAAAAAAAAAAAAmAIAAGRy&#10;cy9kb3ducmV2LnhtbFBLBQYAAAAABAAEAPUAAACMAwAAAAA=&#10;" fillcolor="#93cddd" stroked="f" strokeweight="2pt"/>
                </v:group>
                <v:group id="Group 30" o:spid="_x0000_s1039" style="position:absolute;left:616;top:58539;width:70404;height:25980" coordorigin="616,-2234" coordsize="70404,25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ect id="Rectangle 31" o:spid="_x0000_s1040" style="position:absolute;left:616;top:-1794;width:68292;height:255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jzW8EA&#10;AADbAAAADwAAAGRycy9kb3ducmV2LnhtbESPQWsCMRSE74X+h/CEXkSzKpS6GqVVhF7dtvfH5rlZ&#10;3byEJNX03zeFgsdhZr5h1ttsB3GlEHvHCmbTCgRx63TPnYLPj8PkBURMyBoHx6TghyJsN48Pa6y1&#10;u/GRrk3qRIFwrFGBScnXUsbWkMU4dZ64eCcXLKYiQyd1wFuB20HOq+pZWuy5LBj0tDPUXppvq8DP&#10;G1pc9vbrbVj6kM/BHMbjrNTTKL+uQCTK6R7+b79rBYsZ/H0p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Y81vBAAAA2wAAAA8AAAAAAAAAAAAAAAAAmAIAAGRycy9kb3du&#10;cmV2LnhtbFBLBQYAAAAABAAEAPUAAACGAwAAAAA=&#10;" fillcolor="#dbeef4" stroked="f" strokeweight="2pt"/>
                  <v:roundrect id="Rounded Rectangle 288" o:spid="_x0000_s1041" style="position:absolute;left:37907;top:-2234;width:33113;height:249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mg8UA&#10;AADcAAAADwAAAGRycy9kb3ducmV2LnhtbERPy2rCQBTdF/yH4QrdlDrRhU2jo4goaCnFVxfdXTPX&#10;JJi5k86MJv37zqLQ5eG8p/PO1OJOzleWFQwHCQji3OqKCwWn4/o5BeEDssbaMin4IQ/zWe9hipm2&#10;Le/pfgiFiCHsM1RQhtBkUvq8JIN+YBviyF2sMxgidIXUDtsYbmo5SpKxNFhxbCixoWVJ+fVwMwre&#10;3j/ctjh/py+fu/VrW9X56unLK/XY7xYTEIG68C/+c2+0glEa18Yz8QjI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2OaDxQAAANwAAAAPAAAAAAAAAAAAAAAAAJgCAABkcnMv&#10;ZG93bnJldi54bWxQSwUGAAAAAAQABAD1AAAAigMAAAAA&#10;" fillcolor="#93cddd" stroked="f" strokeweight="2pt"/>
                </v:group>
                <v:shape id="Text Box 2" o:spid="_x0000_s1042" type="#_x0000_t202" style="position:absolute;left:2453;top:29662;width:34233;height:270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zUW8MA&#10;AADcAAAADwAAAGRycy9kb3ducmV2LnhtbESPQYvCMBSE7wv+h/AEb2uiuItWo4gieFpZVwVvj+bZ&#10;FpuX0kRb/70RhD0OM/MNM1u0thR3qn3hWMOgr0AQp84UnGk4/G0+xyB8QDZYOiYND/KwmHc+ZpgY&#10;1/Av3fchExHCPkENeQhVIqVPc7Lo+64ijt7F1RZDlHUmTY1NhNtSDpX6lhYLjgs5VrTKKb3ub1bD&#10;8edyPo3ULlvbr6pxrZJsJ1LrXrddTkEEasN/+N3eGg3D8QReZ+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zUW8MAAADcAAAADwAAAAAAAAAAAAAAAACYAgAAZHJzL2Rv&#10;d25yZXYueG1sUEsFBgAAAAAEAAQA9QAAAIgDAAAAAA==&#10;" filled="f" stroked="f">
                  <v:textbox>
                    <w:txbxContent>
                      <w:p w:rsidR="00AE3B8A" w:rsidRDefault="00AE3B8A" w:rsidP="00CA4FF1">
                        <w:pPr>
                          <w:pStyle w:val="ListParagraph"/>
                          <w:numPr>
                            <w:ilvl w:val="0"/>
                            <w:numId w:val="30"/>
                          </w:numPr>
                          <w:rPr>
                            <w:sz w:val="22"/>
                          </w:rPr>
                        </w:pPr>
                        <w:r w:rsidRPr="0089196F">
                          <w:rPr>
                            <w:sz w:val="22"/>
                          </w:rPr>
                          <w:t>Conducted by</w:t>
                        </w:r>
                        <w:r>
                          <w:rPr>
                            <w:sz w:val="22"/>
                          </w:rPr>
                          <w:t xml:space="preserve"> the</w:t>
                        </w:r>
                        <w:r w:rsidRPr="0089196F">
                          <w:rPr>
                            <w:sz w:val="22"/>
                          </w:rPr>
                          <w:t xml:space="preserve"> SDCU assessment service </w:t>
                        </w:r>
                      </w:p>
                      <w:p w:rsidR="00AE3B8A" w:rsidRPr="0089196F" w:rsidRDefault="00AE3B8A" w:rsidP="00CA4FF1">
                        <w:pPr>
                          <w:pStyle w:val="ListParagraph"/>
                          <w:numPr>
                            <w:ilvl w:val="0"/>
                            <w:numId w:val="30"/>
                          </w:numPr>
                          <w:rPr>
                            <w:sz w:val="22"/>
                          </w:rPr>
                        </w:pPr>
                        <w:r w:rsidRPr="0089196F">
                          <w:rPr>
                            <w:sz w:val="22"/>
                          </w:rPr>
                          <w:t xml:space="preserve">Comprehensive and multidisciplinary </w:t>
                        </w:r>
                      </w:p>
                      <w:p w:rsidR="00AE3B8A" w:rsidRPr="00AA10EC" w:rsidRDefault="00AE3B8A" w:rsidP="00CA4FF1">
                        <w:pPr>
                          <w:pStyle w:val="ListParagraph"/>
                          <w:numPr>
                            <w:ilvl w:val="0"/>
                            <w:numId w:val="30"/>
                          </w:numPr>
                          <w:rPr>
                            <w:sz w:val="22"/>
                          </w:rPr>
                        </w:pPr>
                        <w:r w:rsidRPr="00AA10EC">
                          <w:rPr>
                            <w:sz w:val="22"/>
                          </w:rPr>
                          <w:t xml:space="preserve">Appropriately qualified </w:t>
                        </w:r>
                        <w:r>
                          <w:rPr>
                            <w:sz w:val="22"/>
                          </w:rPr>
                          <w:t xml:space="preserve">and experienced </w:t>
                        </w:r>
                        <w:r w:rsidRPr="00AA10EC">
                          <w:rPr>
                            <w:sz w:val="22"/>
                          </w:rPr>
                          <w:t>assessors using a range of validated tool/s</w:t>
                        </w:r>
                      </w:p>
                      <w:p w:rsidR="00AE3B8A" w:rsidRDefault="00AE3B8A" w:rsidP="00CA4FF1">
                        <w:pPr>
                          <w:pStyle w:val="ListParagraph"/>
                          <w:numPr>
                            <w:ilvl w:val="0"/>
                            <w:numId w:val="30"/>
                          </w:numPr>
                          <w:rPr>
                            <w:sz w:val="22"/>
                          </w:rPr>
                        </w:pPr>
                        <w:r>
                          <w:rPr>
                            <w:sz w:val="22"/>
                          </w:rPr>
                          <w:t>C</w:t>
                        </w:r>
                        <w:r w:rsidRPr="00AA10EC">
                          <w:rPr>
                            <w:sz w:val="22"/>
                          </w:rPr>
                          <w:t>onduc</w:t>
                        </w:r>
                        <w:r>
                          <w:rPr>
                            <w:sz w:val="22"/>
                          </w:rPr>
                          <w:t>t</w:t>
                        </w:r>
                        <w:r w:rsidRPr="00AA10EC">
                          <w:rPr>
                            <w:sz w:val="22"/>
                          </w:rPr>
                          <w:t>ed face-to-face</w:t>
                        </w:r>
                      </w:p>
                      <w:p w:rsidR="00AE3B8A" w:rsidRPr="00D801CD" w:rsidRDefault="00AE3B8A" w:rsidP="00CA4FF1">
                        <w:pPr>
                          <w:pStyle w:val="ListParagraph"/>
                          <w:numPr>
                            <w:ilvl w:val="0"/>
                            <w:numId w:val="30"/>
                          </w:numPr>
                          <w:rPr>
                            <w:sz w:val="22"/>
                          </w:rPr>
                        </w:pPr>
                        <w:r w:rsidRPr="00D801CD">
                          <w:rPr>
                            <w:sz w:val="22"/>
                          </w:rPr>
                          <w:t>Involves carers and families</w:t>
                        </w:r>
                      </w:p>
                      <w:p w:rsidR="00AE3B8A" w:rsidRPr="00AA10EC" w:rsidRDefault="00AE3B8A" w:rsidP="00CA4FF1">
                        <w:pPr>
                          <w:pStyle w:val="ListParagraph"/>
                          <w:numPr>
                            <w:ilvl w:val="0"/>
                            <w:numId w:val="31"/>
                          </w:numPr>
                          <w:rPr>
                            <w:b/>
                            <w:i/>
                            <w:sz w:val="22"/>
                          </w:rPr>
                        </w:pPr>
                        <w:r w:rsidRPr="00AA10EC">
                          <w:rPr>
                            <w:b/>
                            <w:i/>
                            <w:sz w:val="22"/>
                          </w:rPr>
                          <w:t>Recommended for SDCU placement and continues to SDCU placement assessment OR</w:t>
                        </w:r>
                      </w:p>
                      <w:p w:rsidR="00AE3B8A" w:rsidRPr="00AA10EC" w:rsidRDefault="00AE3B8A" w:rsidP="00CA4FF1">
                        <w:pPr>
                          <w:pStyle w:val="ListParagraph"/>
                          <w:numPr>
                            <w:ilvl w:val="0"/>
                            <w:numId w:val="31"/>
                          </w:numPr>
                          <w:rPr>
                            <w:sz w:val="22"/>
                          </w:rPr>
                        </w:pPr>
                        <w:r w:rsidRPr="00AA10EC">
                          <w:rPr>
                            <w:b/>
                            <w:i/>
                            <w:sz w:val="22"/>
                          </w:rPr>
                          <w:t xml:space="preserve">Is referred to alternate services </w:t>
                        </w:r>
                        <w:r>
                          <w:rPr>
                            <w:b/>
                            <w:i/>
                            <w:sz w:val="22"/>
                          </w:rPr>
                          <w:t>and/</w:t>
                        </w:r>
                        <w:r w:rsidRPr="00AA10EC">
                          <w:rPr>
                            <w:b/>
                            <w:i/>
                            <w:sz w:val="22"/>
                          </w:rPr>
                          <w:t xml:space="preserve">or provided with additional supports within their existing care setting </w:t>
                        </w:r>
                        <w:r w:rsidRPr="00AA10EC">
                          <w:rPr>
                            <w:b/>
                            <w:i/>
                            <w:sz w:val="22"/>
                            <w:u w:val="single"/>
                          </w:rPr>
                          <w:t>if not recommended for SDCU placement</w:t>
                        </w:r>
                      </w:p>
                      <w:p w:rsidR="00AE3B8A" w:rsidRPr="00AA10EC" w:rsidRDefault="00AE3B8A" w:rsidP="00CA4FF1">
                        <w:pPr>
                          <w:pStyle w:val="ListParagraph"/>
                          <w:rPr>
                            <w:sz w:val="22"/>
                          </w:rPr>
                        </w:pPr>
                      </w:p>
                      <w:p w:rsidR="00AE3B8A" w:rsidRPr="00AA10EC" w:rsidRDefault="00AE3B8A" w:rsidP="00CA4FF1">
                        <w:pPr>
                          <w:pStyle w:val="ListParagraph"/>
                          <w:rPr>
                            <w:sz w:val="22"/>
                          </w:rPr>
                        </w:pPr>
                      </w:p>
                    </w:txbxContent>
                  </v:textbox>
                </v:shape>
                <v:shape id="Text Box 2" o:spid="_x0000_s1043" type="#_x0000_t202" style="position:absolute;left:1977;top:61086;width:35788;height:22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rG8IA&#10;AADcAAAADwAAAGRycy9kb3ducmV2LnhtbERPz2vCMBS+C/sfwht4s8nEie1My1AGnibWbbDbo3m2&#10;Zc1LaTJb/3tzGOz48f3eFpPtxJUG3zrW8JQoEMSVMy3XGj7Ob4sNCB+QDXaOScONPBT5w2yLmXEj&#10;n+hahlrEEPYZamhC6DMpfdWQRZ+4njhyFzdYDBEOtTQDjjHcdnKp1FpabDk2NNjTrqHqp/y1Gj7f&#10;L99fK3Ws9/a5H92kJNtUaj1/nF5fQASawr/4z30wGpZpnB/PxCMg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sbwgAAANwAAAAPAAAAAAAAAAAAAAAAAJgCAABkcnMvZG93&#10;bnJldi54bWxQSwUGAAAAAAQABAD1AAAAhwMAAAAA&#10;" filled="f" stroked="f">
                  <v:textbox>
                    <w:txbxContent>
                      <w:p w:rsidR="00AE3B8A" w:rsidRPr="000B23F5" w:rsidRDefault="00AE3B8A" w:rsidP="00CA4FF1">
                        <w:pPr>
                          <w:pStyle w:val="ListParagraph"/>
                          <w:numPr>
                            <w:ilvl w:val="0"/>
                            <w:numId w:val="30"/>
                          </w:numPr>
                          <w:rPr>
                            <w:sz w:val="22"/>
                          </w:rPr>
                        </w:pPr>
                        <w:r w:rsidRPr="000B23F5">
                          <w:rPr>
                            <w:sz w:val="22"/>
                          </w:rPr>
                          <w:t xml:space="preserve">Conducted by SDCU-specific clinical advisory local level assessment to </w:t>
                        </w:r>
                        <w:r>
                          <w:rPr>
                            <w:sz w:val="22"/>
                          </w:rPr>
                          <w:t xml:space="preserve">consider </w:t>
                        </w:r>
                        <w:r w:rsidRPr="000B23F5">
                          <w:rPr>
                            <w:sz w:val="22"/>
                          </w:rPr>
                          <w:t>‘best fit’, safety and other external factors</w:t>
                        </w:r>
                      </w:p>
                      <w:p w:rsidR="00AE3B8A" w:rsidRPr="00D801CD" w:rsidRDefault="00AE3B8A" w:rsidP="00CA4FF1">
                        <w:pPr>
                          <w:pStyle w:val="ListParagraph"/>
                          <w:numPr>
                            <w:ilvl w:val="0"/>
                            <w:numId w:val="30"/>
                          </w:numPr>
                          <w:rPr>
                            <w:sz w:val="22"/>
                          </w:rPr>
                        </w:pPr>
                        <w:r w:rsidRPr="00D801CD">
                          <w:rPr>
                            <w:sz w:val="22"/>
                          </w:rPr>
                          <w:t>Consultation with the SDCU assessment service</w:t>
                        </w:r>
                      </w:p>
                      <w:p w:rsidR="00AE3B8A" w:rsidRPr="00AA10EC" w:rsidRDefault="00AE3B8A" w:rsidP="00CA4FF1">
                        <w:pPr>
                          <w:pStyle w:val="ListParagraph"/>
                          <w:numPr>
                            <w:ilvl w:val="0"/>
                            <w:numId w:val="31"/>
                          </w:numPr>
                          <w:rPr>
                            <w:b/>
                            <w:i/>
                            <w:sz w:val="22"/>
                          </w:rPr>
                        </w:pPr>
                        <w:r w:rsidRPr="00AA10EC">
                          <w:rPr>
                            <w:b/>
                            <w:i/>
                            <w:sz w:val="22"/>
                          </w:rPr>
                          <w:t>Client is accepted by the SDCU provider OR</w:t>
                        </w:r>
                      </w:p>
                      <w:p w:rsidR="00AE3B8A" w:rsidRPr="00AA10EC" w:rsidRDefault="00AE3B8A" w:rsidP="00CA4FF1">
                        <w:pPr>
                          <w:pStyle w:val="ListParagraph"/>
                          <w:numPr>
                            <w:ilvl w:val="0"/>
                            <w:numId w:val="31"/>
                          </w:numPr>
                          <w:rPr>
                            <w:b/>
                            <w:i/>
                            <w:sz w:val="22"/>
                          </w:rPr>
                        </w:pPr>
                        <w:r w:rsidRPr="00AA10EC">
                          <w:rPr>
                            <w:b/>
                            <w:i/>
                            <w:sz w:val="22"/>
                          </w:rPr>
                          <w:t xml:space="preserve">Is referred to alternate SDCU provider, acute system or mainstream residential facility (with additional supports) </w:t>
                        </w:r>
                      </w:p>
                    </w:txbxContent>
                  </v:textbox>
                </v:shape>
                <v:shape id="Text Box 2" o:spid="_x0000_s1044" type="#_x0000_t202" style="position:absolute;left:38159;top:28658;width:35007;height:298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NOgMMA&#10;AADcAAAADwAAAGRycy9kb3ducmV2LnhtbESPQYvCMBSE78L+h/AWvGmiqKzVKIsieFLU3QVvj+bZ&#10;lm1eShNt/fdGEDwOM/MNM1+2thQ3qn3hWMOgr0AQp84UnGn4OW16XyB8QDZYOiYNd/KwXHx05pgY&#10;1/CBbseQiQhhn6CGPIQqkdKnOVn0fVcRR+/iaoshyjqTpsYmwm0ph0pNpMWC40KOFa1ySv+PV6vh&#10;d3c5/43UPlvbcdW4Vkm2U6l197P9noEI1IZ3+NXeGg3D6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NOgMMAAADcAAAADwAAAAAAAAAAAAAAAACYAgAAZHJzL2Rv&#10;d25yZXYueG1sUEsFBgAAAAAEAAQA9QAAAIgDAAAAAA==&#10;" filled="f" stroked="f">
                  <v:textbox>
                    <w:txbxContent>
                      <w:p w:rsidR="00AE3B8A" w:rsidRPr="00AA10EC" w:rsidRDefault="00AE3B8A" w:rsidP="00CA4FF1">
                        <w:pPr>
                          <w:spacing w:after="120"/>
                          <w:rPr>
                            <w:b/>
                            <w:i/>
                            <w:sz w:val="22"/>
                          </w:rPr>
                        </w:pPr>
                        <w:r w:rsidRPr="00AA10EC">
                          <w:rPr>
                            <w:b/>
                            <w:color w:val="FFFFFF" w:themeColor="background1"/>
                            <w:sz w:val="28"/>
                          </w:rPr>
                          <w:t>SDCU NEEDS BASED ASSESSMENT</w:t>
                        </w:r>
                      </w:p>
                      <w:p w:rsidR="00AE3B8A" w:rsidRPr="008B16B2" w:rsidRDefault="00AE3B8A" w:rsidP="00CA4FF1">
                        <w:pPr>
                          <w:rPr>
                            <w:b/>
                            <w:i/>
                            <w:sz w:val="22"/>
                          </w:rPr>
                        </w:pPr>
                        <w:r w:rsidRPr="00AA10EC">
                          <w:rPr>
                            <w:b/>
                            <w:i/>
                            <w:sz w:val="22"/>
                          </w:rPr>
                          <w:t>Assessment of need for SDCU placement including consideration of whether:</w:t>
                        </w:r>
                      </w:p>
                      <w:p w:rsidR="00AE3B8A" w:rsidRPr="00AA10EC" w:rsidRDefault="00AE3B8A" w:rsidP="00CA4FF1">
                        <w:pPr>
                          <w:pStyle w:val="ListParagraph"/>
                          <w:numPr>
                            <w:ilvl w:val="0"/>
                            <w:numId w:val="29"/>
                          </w:numPr>
                          <w:spacing w:after="120"/>
                          <w:rPr>
                            <w:color w:val="000000" w:themeColor="text1"/>
                            <w:sz w:val="22"/>
                          </w:rPr>
                        </w:pPr>
                        <w:r w:rsidRPr="00AA10EC">
                          <w:rPr>
                            <w:color w:val="000000" w:themeColor="text1"/>
                            <w:sz w:val="22"/>
                          </w:rPr>
                          <w:t xml:space="preserve">Severe behaviours present a risk of harm to themselves and/or others? </w:t>
                        </w:r>
                      </w:p>
                      <w:p w:rsidR="00AE3B8A" w:rsidRPr="00AA10EC" w:rsidRDefault="00AE3B8A" w:rsidP="00CA4FF1">
                        <w:pPr>
                          <w:pStyle w:val="ListParagraph"/>
                          <w:numPr>
                            <w:ilvl w:val="0"/>
                            <w:numId w:val="29"/>
                          </w:numPr>
                          <w:spacing w:after="120"/>
                          <w:rPr>
                            <w:color w:val="000000" w:themeColor="text1"/>
                            <w:sz w:val="22"/>
                          </w:rPr>
                        </w:pPr>
                        <w:r w:rsidRPr="00AA10EC">
                          <w:rPr>
                            <w:color w:val="000000" w:themeColor="text1"/>
                            <w:sz w:val="22"/>
                          </w:rPr>
                          <w:t xml:space="preserve">Behaviours and risks persist despite </w:t>
                        </w:r>
                        <w:r>
                          <w:rPr>
                            <w:color w:val="000000" w:themeColor="text1"/>
                            <w:sz w:val="22"/>
                          </w:rPr>
                          <w:t xml:space="preserve">evidence of </w:t>
                        </w:r>
                        <w:r w:rsidRPr="00AA10EC">
                          <w:rPr>
                            <w:color w:val="000000" w:themeColor="text1"/>
                            <w:sz w:val="22"/>
                          </w:rPr>
                          <w:t xml:space="preserve">management strategies being implemented </w:t>
                        </w:r>
                      </w:p>
                      <w:p w:rsidR="00AE3B8A" w:rsidRPr="00AA10EC" w:rsidRDefault="00AE3B8A" w:rsidP="00CA4FF1">
                        <w:pPr>
                          <w:pStyle w:val="ListParagraph"/>
                          <w:numPr>
                            <w:ilvl w:val="0"/>
                            <w:numId w:val="29"/>
                          </w:numPr>
                          <w:spacing w:after="120"/>
                          <w:rPr>
                            <w:color w:val="000000" w:themeColor="text1"/>
                            <w:sz w:val="22"/>
                          </w:rPr>
                        </w:pPr>
                        <w:r w:rsidRPr="00AA10EC">
                          <w:rPr>
                            <w:color w:val="000000" w:themeColor="text1"/>
                            <w:sz w:val="22"/>
                          </w:rPr>
                          <w:t>Likelihood of benefiting from SDCU placement and transition to mainstream care</w:t>
                        </w:r>
                      </w:p>
                      <w:p w:rsidR="00AE3B8A" w:rsidRPr="00AA10EC" w:rsidRDefault="00AE3B8A" w:rsidP="00CA4FF1">
                        <w:pPr>
                          <w:pStyle w:val="ListParagraph"/>
                          <w:numPr>
                            <w:ilvl w:val="0"/>
                            <w:numId w:val="29"/>
                          </w:numPr>
                          <w:spacing w:after="120"/>
                          <w:rPr>
                            <w:color w:val="000000" w:themeColor="text1"/>
                            <w:sz w:val="22"/>
                          </w:rPr>
                        </w:pPr>
                        <w:r w:rsidRPr="00AA10EC">
                          <w:rPr>
                            <w:color w:val="000000" w:themeColor="text1"/>
                            <w:sz w:val="22"/>
                          </w:rPr>
                          <w:t xml:space="preserve">Medical treatment is </w:t>
                        </w:r>
                        <w:r>
                          <w:rPr>
                            <w:color w:val="000000" w:themeColor="text1"/>
                            <w:sz w:val="22"/>
                          </w:rPr>
                          <w:t xml:space="preserve">not </w:t>
                        </w:r>
                        <w:r w:rsidRPr="00AA10EC">
                          <w:rPr>
                            <w:color w:val="000000" w:themeColor="text1"/>
                            <w:sz w:val="22"/>
                          </w:rPr>
                          <w:t xml:space="preserve">required that </w:t>
                        </w:r>
                        <w:r>
                          <w:rPr>
                            <w:color w:val="000000" w:themeColor="text1"/>
                            <w:sz w:val="22"/>
                          </w:rPr>
                          <w:t>is</w:t>
                        </w:r>
                        <w:r w:rsidRPr="00AA10EC">
                          <w:rPr>
                            <w:color w:val="000000" w:themeColor="text1"/>
                            <w:sz w:val="22"/>
                          </w:rPr>
                          <w:t xml:space="preserve"> delivered in an acute or other health setting?</w:t>
                        </w:r>
                      </w:p>
                    </w:txbxContent>
                  </v:textbox>
                </v:shape>
                <v:shape id="Text Box 2" o:spid="_x0000_s1045" type="#_x0000_t202" style="position:absolute;left:38159;top:60919;width:32142;height:21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HQ98QA&#10;AADcAAAADwAAAGRycy9kb3ducmV2LnhtbESPT2vCQBTE7wW/w/KE3ppdQy0a3Yi0CJ4s1bbQ2yP7&#10;8gezb0N2NfHbdwsFj8PM/IZZb0bbiiv1vnGsYZYoEMSFMw1XGj5Pu6cFCB+QDbaOScONPGzyycMa&#10;M+MG/qDrMVQiQthnqKEOocuk9EVNFn3iOuLola63GKLsK2l6HCLctjJV6kVabDgu1NjRa03F+Xix&#10;Gr4O5c/3s3qv3uy8G9yoJNul1PpxOm5XIAKN4R7+b++NhnSZwt+Ze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h0PfEAAAA3AAAAA8AAAAAAAAAAAAAAAAAmAIAAGRycy9k&#10;b3ducmV2LnhtbFBLBQYAAAAABAAEAPUAAACJAwAAAAA=&#10;" filled="f" stroked="f">
                  <v:textbox>
                    <w:txbxContent>
                      <w:p w:rsidR="00AE3B8A" w:rsidRPr="00AA10EC" w:rsidRDefault="00AE3B8A" w:rsidP="00CA4FF1">
                        <w:pPr>
                          <w:spacing w:after="120"/>
                          <w:rPr>
                            <w:b/>
                            <w:i/>
                            <w:sz w:val="22"/>
                          </w:rPr>
                        </w:pPr>
                        <w:r w:rsidRPr="00AA10EC">
                          <w:rPr>
                            <w:b/>
                            <w:color w:val="FFFFFF" w:themeColor="background1"/>
                            <w:sz w:val="28"/>
                          </w:rPr>
                          <w:t>SDCU PLACEMENT ASSESSMENT</w:t>
                        </w:r>
                      </w:p>
                      <w:p w:rsidR="00AE3B8A" w:rsidRPr="00AA10EC" w:rsidRDefault="00AE3B8A" w:rsidP="00CA4FF1">
                        <w:pPr>
                          <w:rPr>
                            <w:b/>
                            <w:i/>
                            <w:sz w:val="22"/>
                          </w:rPr>
                        </w:pPr>
                        <w:r w:rsidRPr="00AA10EC">
                          <w:rPr>
                            <w:b/>
                            <w:i/>
                            <w:sz w:val="22"/>
                          </w:rPr>
                          <w:t xml:space="preserve">Service specific assessment to consider: </w:t>
                        </w:r>
                      </w:p>
                      <w:p w:rsidR="00AE3B8A" w:rsidRPr="00AA10EC" w:rsidRDefault="00AE3B8A" w:rsidP="00CA4FF1">
                        <w:pPr>
                          <w:pStyle w:val="ListParagraph"/>
                          <w:numPr>
                            <w:ilvl w:val="0"/>
                            <w:numId w:val="29"/>
                          </w:numPr>
                          <w:spacing w:after="120"/>
                          <w:rPr>
                            <w:sz w:val="22"/>
                          </w:rPr>
                        </w:pPr>
                        <w:r w:rsidRPr="00AA10EC">
                          <w:rPr>
                            <w:sz w:val="22"/>
                          </w:rPr>
                          <w:t>Is the person a ‘good fit’ for the particular SDCU service and current client mix?</w:t>
                        </w:r>
                      </w:p>
                      <w:p w:rsidR="00AE3B8A" w:rsidRPr="00AA10EC" w:rsidRDefault="00AE3B8A" w:rsidP="00CA4FF1">
                        <w:pPr>
                          <w:pStyle w:val="ListParagraph"/>
                          <w:numPr>
                            <w:ilvl w:val="0"/>
                            <w:numId w:val="29"/>
                          </w:numPr>
                          <w:rPr>
                            <w:sz w:val="22"/>
                          </w:rPr>
                        </w:pPr>
                        <w:r w:rsidRPr="00AA10EC">
                          <w:rPr>
                            <w:sz w:val="22"/>
                          </w:rPr>
                          <w:t>Is the SDCU provider confident that care needs and risks can be appropriately managed?</w:t>
                        </w:r>
                      </w:p>
                    </w:txbxContent>
                  </v:textbox>
                </v:shape>
                <v:group id="Group 293" o:spid="_x0000_s1046" style="position:absolute;left:1338;width:70351;height:29055" coordorigin="" coordsize="70351,290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group id="Group 294" o:spid="_x0000_s1047" style="position:absolute;width:70351;height:26654" coordorigin="" coordsize="70351,266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rect id="Rectangle 295" o:spid="_x0000_s1048" style="position:absolute;top:892;width:67570;height:25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vCD8IA&#10;AADcAAAADwAAAGRycy9kb3ducmV2LnhtbESPQUsDMRSE74L/ITzBS2mz3aK026bFKgWvrnp/bF43&#10;azcvIYlt/PemIHgcZuYbZrPLdhRnCnFwrGA+q0AQd04P3Cv4eD9MlyBiQtY4OiYFPxRht7292WCj&#10;3YXf6NymXhQIxwYVmJR8I2XsDFmMM+eJi3d0wWIqMvRSB7wUuB1lXVWP0uLAZcGgp2dD3an9tgp8&#10;3dLi9GI/9+PKh/wVzGEyyUrd3+WnNYhEOf2H/9qvWkG9eoDrmXIE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q8IPwgAAANwAAAAPAAAAAAAAAAAAAAAAAJgCAABkcnMvZG93&#10;bnJldi54bWxQSwUGAAAAAAQABAD1AAAAhwMAAAAA&#10;" fillcolor="#dbeef4" stroked="f" strokeweight="2pt"/>
                    <v:roundrect id="Rounded Rectangle 296" o:spid="_x0000_s1049" style="position:absolute;left:36576;width:33775;height:253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JBt8gA&#10;AADcAAAADwAAAGRycy9kb3ducmV2LnhtbESPT2sCMRTE74LfITyhF9FsPVhdjSKlQpUi1j8Hb6+b&#10;193Fzcs2Sd3tt28KQo/DzPyGmS9bU4kbOV9aVvA4TEAQZ1aXnCs4HdeDCQgfkDVWlknBD3lYLrqd&#10;OabaNvxOt0PIRYSwT1FBEUKdSumzggz6oa2Jo/dpncEQpculdthEuKnkKEnG0mDJcaHAmp4Lyq6H&#10;b6Ng+7Zzm/zja/J03q+nTVllL/2LV+qh165mIAK14T98b79qBaPpGP7OxCM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0kG3yAAAANwAAAAPAAAAAAAAAAAAAAAAAJgCAABk&#10;cnMvZG93bnJldi54bWxQSwUGAAAAAAQABAD1AAAAjQMAAAAA&#10;" fillcolor="#93cddd" stroked="f" strokeweight="2pt">
                      <v:textbox>
                        <w:txbxContent>
                          <w:p w:rsidR="00AE3B8A" w:rsidRPr="00AA10EC" w:rsidRDefault="00AE3B8A" w:rsidP="00CA4FF1">
                            <w:pPr>
                              <w:spacing w:after="120"/>
                              <w:rPr>
                                <w:b/>
                                <w:sz w:val="22"/>
                              </w:rPr>
                            </w:pPr>
                            <w:r w:rsidRPr="00A610DD">
                              <w:rPr>
                                <w:b/>
                                <w:color w:val="FFFFFF" w:themeColor="background1"/>
                                <w:sz w:val="28"/>
                              </w:rPr>
                              <w:t>SDCU PRELIMINARY SCREENING</w:t>
                            </w:r>
                          </w:p>
                          <w:p w:rsidR="00AE3B8A" w:rsidRPr="008B16B2" w:rsidRDefault="00AE3B8A" w:rsidP="00CA4FF1">
                            <w:pPr>
                              <w:rPr>
                                <w:b/>
                                <w:i/>
                                <w:color w:val="000000" w:themeColor="text1"/>
                                <w:sz w:val="22"/>
                              </w:rPr>
                            </w:pPr>
                            <w:r w:rsidRPr="00AA10EC">
                              <w:rPr>
                                <w:b/>
                                <w:i/>
                                <w:color w:val="000000" w:themeColor="text1"/>
                                <w:sz w:val="22"/>
                              </w:rPr>
                              <w:t>Screening to determine whether the person proceeds to needs based assessment</w:t>
                            </w:r>
                          </w:p>
                          <w:p w:rsidR="00AE3B8A" w:rsidRPr="00AA10EC" w:rsidRDefault="00AE3B8A" w:rsidP="00CA4FF1">
                            <w:pPr>
                              <w:pStyle w:val="ListParagraph"/>
                              <w:numPr>
                                <w:ilvl w:val="0"/>
                                <w:numId w:val="29"/>
                              </w:numPr>
                              <w:spacing w:after="120"/>
                              <w:rPr>
                                <w:color w:val="000000" w:themeColor="text1"/>
                                <w:sz w:val="22"/>
                              </w:rPr>
                            </w:pPr>
                            <w:r w:rsidRPr="00AA10EC">
                              <w:rPr>
                                <w:color w:val="000000" w:themeColor="text1"/>
                                <w:sz w:val="22"/>
                              </w:rPr>
                              <w:t>ACAT assessment and eligible for</w:t>
                            </w:r>
                            <w:r>
                              <w:rPr>
                                <w:color w:val="000000" w:themeColor="text1"/>
                                <w:sz w:val="22"/>
                              </w:rPr>
                              <w:t xml:space="preserve"> residential aged care</w:t>
                            </w:r>
                          </w:p>
                          <w:p w:rsidR="00AE3B8A" w:rsidRPr="00AA10EC" w:rsidRDefault="00AE3B8A" w:rsidP="00CA4FF1">
                            <w:pPr>
                              <w:pStyle w:val="ListParagraph"/>
                              <w:numPr>
                                <w:ilvl w:val="0"/>
                                <w:numId w:val="29"/>
                              </w:numPr>
                              <w:rPr>
                                <w:color w:val="000000" w:themeColor="text1"/>
                                <w:sz w:val="22"/>
                              </w:rPr>
                            </w:pPr>
                            <w:r w:rsidRPr="00AA10EC">
                              <w:rPr>
                                <w:color w:val="000000" w:themeColor="text1"/>
                                <w:sz w:val="22"/>
                              </w:rPr>
                              <w:t>Evidence of primary dementia diagnosis</w:t>
                            </w:r>
                          </w:p>
                          <w:p w:rsidR="00AE3B8A" w:rsidRPr="00AA10EC" w:rsidRDefault="00AE3B8A" w:rsidP="00CA4FF1">
                            <w:pPr>
                              <w:pStyle w:val="ListParagraph"/>
                              <w:numPr>
                                <w:ilvl w:val="0"/>
                                <w:numId w:val="29"/>
                              </w:numPr>
                              <w:rPr>
                                <w:color w:val="000000" w:themeColor="text1"/>
                                <w:sz w:val="22"/>
                              </w:rPr>
                            </w:pPr>
                            <w:r w:rsidRPr="00AA10EC">
                              <w:rPr>
                                <w:color w:val="000000" w:themeColor="text1"/>
                                <w:sz w:val="22"/>
                              </w:rPr>
                              <w:t xml:space="preserve">Not under a state or territory </w:t>
                            </w:r>
                            <w:r>
                              <w:rPr>
                                <w:color w:val="000000" w:themeColor="text1"/>
                                <w:sz w:val="22"/>
                              </w:rPr>
                              <w:t xml:space="preserve">mental health </w:t>
                            </w:r>
                            <w:r w:rsidRPr="00AA10EC">
                              <w:rPr>
                                <w:color w:val="000000" w:themeColor="text1"/>
                                <w:sz w:val="22"/>
                              </w:rPr>
                              <w:t>detention order</w:t>
                            </w:r>
                          </w:p>
                          <w:p w:rsidR="00AE3B8A" w:rsidRPr="00AA10EC" w:rsidRDefault="00AE3B8A" w:rsidP="00CA4FF1">
                            <w:pPr>
                              <w:pStyle w:val="ListParagraph"/>
                              <w:numPr>
                                <w:ilvl w:val="0"/>
                                <w:numId w:val="29"/>
                              </w:numPr>
                              <w:rPr>
                                <w:color w:val="000000" w:themeColor="text1"/>
                                <w:sz w:val="22"/>
                              </w:rPr>
                            </w:pPr>
                            <w:r w:rsidRPr="00AA10EC">
                              <w:rPr>
                                <w:color w:val="000000" w:themeColor="text1"/>
                                <w:sz w:val="22"/>
                              </w:rPr>
                              <w:t>Client and carer consent</w:t>
                            </w:r>
                          </w:p>
                          <w:p w:rsidR="00AE3B8A" w:rsidRPr="00AA10EC" w:rsidRDefault="00AE3B8A" w:rsidP="00CA4FF1">
                            <w:pPr>
                              <w:jc w:val="center"/>
                              <w:rPr>
                                <w:sz w:val="22"/>
                              </w:rPr>
                            </w:pPr>
                          </w:p>
                          <w:p w:rsidR="00AE3B8A" w:rsidRPr="00AA10EC" w:rsidRDefault="00AE3B8A" w:rsidP="00CA4FF1">
                            <w:pPr>
                              <w:rPr>
                                <w:sz w:val="22"/>
                              </w:rPr>
                            </w:pPr>
                          </w:p>
                        </w:txbxContent>
                      </v:textbox>
                    </v:roundrect>
                  </v:group>
                  <v:shape id="Text Box 2" o:spid="_x0000_s1050" type="#_x0000_t202" style="position:absolute;left:1115;top:1734;width:30886;height:27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Zzb8MA&#10;AADcAAAADwAAAGRycy9kb3ducmV2LnhtbESPQWsCMRSE7wX/Q3iCt5ooWnU1irQInizaKnh7bJ67&#10;i5uXZRPd9d8bodDjMDPfMItVa0txp9oXjjUM+goEcepMwZmG35/N+xSED8gGS8ek4UEeVsvO2wIT&#10;4xre0/0QMhEh7BPUkIdQJVL6NCeLvu8q4uhdXG0xRFln0tTYRLgt5VCpD2mx4LiQY0WfOaXXw81q&#10;OO4u59NIfWdfdlw1rlWS7Uxq3eu26zmIQG34D/+1t0bDcDaB1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Zzb8MAAADcAAAADwAAAAAAAAAAAAAAAACYAgAAZHJzL2Rv&#10;d25yZXYueG1sUEsFBgAAAAAEAAQA9QAAAIgDAAAAAA==&#10;" filled="f" stroked="f">
                    <v:textbox>
                      <w:txbxContent>
                        <w:p w:rsidR="00AE3B8A" w:rsidRPr="00AA10EC" w:rsidRDefault="00AE3B8A" w:rsidP="00CA4FF1">
                          <w:pPr>
                            <w:pStyle w:val="ListParagraph"/>
                            <w:numPr>
                              <w:ilvl w:val="0"/>
                              <w:numId w:val="28"/>
                            </w:numPr>
                            <w:ind w:left="360"/>
                            <w:rPr>
                              <w:sz w:val="22"/>
                            </w:rPr>
                          </w:pPr>
                          <w:r w:rsidRPr="00AF2805">
                            <w:rPr>
                              <w:sz w:val="22"/>
                            </w:rPr>
                            <w:t xml:space="preserve">Conducted by </w:t>
                          </w:r>
                          <w:r>
                            <w:rPr>
                              <w:sz w:val="22"/>
                            </w:rPr>
                            <w:t xml:space="preserve">the </w:t>
                          </w:r>
                          <w:r w:rsidRPr="00AF2805">
                            <w:rPr>
                              <w:sz w:val="22"/>
                            </w:rPr>
                            <w:t>SDCU assessment service</w:t>
                          </w:r>
                          <w:r>
                            <w:rPr>
                              <w:sz w:val="22"/>
                            </w:rPr>
                            <w:t xml:space="preserve"> </w:t>
                          </w:r>
                        </w:p>
                        <w:p w:rsidR="00AE3B8A" w:rsidRDefault="00AE3B8A" w:rsidP="00CA4FF1">
                          <w:pPr>
                            <w:pStyle w:val="ListParagraph"/>
                            <w:numPr>
                              <w:ilvl w:val="0"/>
                              <w:numId w:val="28"/>
                            </w:numPr>
                            <w:ind w:left="360"/>
                            <w:rPr>
                              <w:sz w:val="22"/>
                            </w:rPr>
                          </w:pPr>
                          <w:r w:rsidRPr="0089196F">
                            <w:rPr>
                              <w:sz w:val="22"/>
                            </w:rPr>
                            <w:t xml:space="preserve">Referrals from aged care providers, </w:t>
                          </w:r>
                          <w:r>
                            <w:rPr>
                              <w:sz w:val="22"/>
                            </w:rPr>
                            <w:t xml:space="preserve">medical professionals, acute </w:t>
                          </w:r>
                          <w:r w:rsidRPr="0089196F">
                            <w:rPr>
                              <w:sz w:val="22"/>
                            </w:rPr>
                            <w:t>services, ACAT assessors, people with dementia, carers and family members</w:t>
                          </w:r>
                        </w:p>
                        <w:p w:rsidR="00AE3B8A" w:rsidRPr="00D801CD" w:rsidRDefault="00AE3B8A" w:rsidP="00CA4FF1">
                          <w:pPr>
                            <w:pStyle w:val="ListParagraph"/>
                            <w:numPr>
                              <w:ilvl w:val="0"/>
                              <w:numId w:val="28"/>
                            </w:numPr>
                            <w:ind w:left="360"/>
                            <w:rPr>
                              <w:sz w:val="22"/>
                            </w:rPr>
                          </w:pPr>
                          <w:r w:rsidRPr="00D801CD">
                            <w:rPr>
                              <w:sz w:val="22"/>
                            </w:rPr>
                            <w:t>General practitioners will have a key role in the referral process</w:t>
                          </w:r>
                        </w:p>
                        <w:p w:rsidR="00AE3B8A" w:rsidRPr="00AA10EC" w:rsidRDefault="00AE3B8A" w:rsidP="00CA4FF1">
                          <w:pPr>
                            <w:pStyle w:val="ListParagraph"/>
                            <w:numPr>
                              <w:ilvl w:val="0"/>
                              <w:numId w:val="31"/>
                            </w:numPr>
                            <w:rPr>
                              <w:b/>
                              <w:i/>
                              <w:sz w:val="22"/>
                            </w:rPr>
                          </w:pPr>
                          <w:r w:rsidRPr="00AA10EC">
                            <w:rPr>
                              <w:b/>
                              <w:i/>
                              <w:sz w:val="22"/>
                            </w:rPr>
                            <w:t>Continues to SDCU needs based assessment OR</w:t>
                          </w:r>
                        </w:p>
                        <w:p w:rsidR="00AE3B8A" w:rsidRPr="00AA10EC" w:rsidRDefault="00AE3B8A" w:rsidP="00CA4FF1">
                          <w:pPr>
                            <w:pStyle w:val="ListParagraph"/>
                            <w:numPr>
                              <w:ilvl w:val="0"/>
                              <w:numId w:val="31"/>
                            </w:numPr>
                            <w:rPr>
                              <w:b/>
                              <w:i/>
                              <w:sz w:val="22"/>
                            </w:rPr>
                          </w:pPr>
                          <w:r w:rsidRPr="00AA10EC">
                            <w:rPr>
                              <w:b/>
                              <w:i/>
                              <w:sz w:val="22"/>
                            </w:rPr>
                            <w:t xml:space="preserve">Is referred to alternate services </w:t>
                          </w:r>
                          <w:r w:rsidRPr="00AA10EC">
                            <w:rPr>
                              <w:b/>
                              <w:i/>
                              <w:sz w:val="22"/>
                              <w:u w:val="single"/>
                            </w:rPr>
                            <w:t>if screening requirements are not meet</w:t>
                          </w:r>
                        </w:p>
                        <w:p w:rsidR="00AE3B8A" w:rsidRPr="00AA10EC" w:rsidRDefault="00AE3B8A" w:rsidP="00CA4FF1">
                          <w:pPr>
                            <w:pStyle w:val="ListParagraph"/>
                            <w:ind w:left="360"/>
                            <w:rPr>
                              <w:sz w:val="22"/>
                            </w:rPr>
                          </w:pPr>
                        </w:p>
                      </w:txbxContent>
                    </v:textbox>
                  </v:shape>
                  <v:shapetype id="_x0000_t32" coordsize="21600,21600" o:spt="32" o:oned="t" path="m,l21600,21600e" filled="f">
                    <v:path arrowok="t" fillok="f" o:connecttype="none"/>
                    <o:lock v:ext="edit" shapetype="t"/>
                  </v:shapetype>
                  <v:shape id="Straight Arrow Connector 298" o:spid="_x0000_s1051" type="#_x0000_t32" style="position:absolute;left:51630;top:23752;width:0;height:29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ptY8IAAADcAAAADwAAAGRycy9kb3ducmV2LnhtbERPS2vCQBC+F/wPywi9FN2Yijapq4gg&#10;FHrycfE2zU6TYGY2ZteY/vvuodDjx/debQZuVE+dr50YmE0TUCSFs7WUBs6n/eQNlA8oFhsnZOCH&#10;PGzWo6cV5tY95ED9MZQqhojP0UAVQptr7YuKGP3UtSSR+3YdY4iwK7Xt8BHDudFpkiw0Yy2xocKW&#10;dhUV1+OdDSyzbc/sP3n/tcte+PU2Ty9nZ8zzeNi+gwo0hH/xn/vDGkizuDaeiUdAr3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IptY8IAAADcAAAADwAAAAAAAAAAAAAA&#10;AAChAgAAZHJzL2Rvd25yZXYueG1sUEsFBgAAAAAEAAQA+QAAAJADAAAAAA==&#10;" strokecolor="#4a7ebb" strokeweight="3pt">
                    <v:stroke endarrow="open"/>
                  </v:shape>
                </v:group>
                <v:shape id="Straight Arrow Connector 299" o:spid="_x0000_s1052" type="#_x0000_t32" style="position:absolute;left:52968;top:55421;width:0;height:31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bI+MUAAADcAAAADwAAAGRycy9kb3ducmV2LnhtbESPT2vCQBTE74LfYXmFXqRumkrbpK4i&#10;glDw5J9Lb6/Z1yQ0723MbmP67V1B8DjMzG+Y+XLgRvXU+dqJgedpAoqkcLaW0sDxsHl6B+UDisXG&#10;CRn4Jw/LxXg0x9y6s+yo34dSRYj4HA1UIbS51r6oiNFPXUsSvR/XMYYou1LbDs8Rzo1Ok+RVM9YS&#10;FypsaV1R8bv/YwNv2apn9lvefK+zCb+cZunX0Rnz+DCsPkAFGsI9fGt/WgNplsH1TDwCenE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8bI+MUAAADcAAAADwAAAAAAAAAA&#10;AAAAAAChAgAAZHJzL2Rvd25yZXYueG1sUEsFBgAAAAAEAAQA+QAAAJMDAAAAAA==&#10;" strokecolor="#4a7ebb" strokeweight="3pt">
                  <v:stroke endarrow="open"/>
                </v:shape>
                <w10:anchorlock/>
              </v:group>
            </w:pict>
          </mc:Fallback>
        </mc:AlternateContent>
      </w:r>
    </w:p>
    <w:p w:rsidR="00CA4FF1" w:rsidRDefault="00CA4FF1" w:rsidP="00CA4FF1">
      <w:pPr>
        <w:tabs>
          <w:tab w:val="left" w:pos="993"/>
        </w:tabs>
        <w:spacing w:after="60"/>
        <w:jc w:val="both"/>
      </w:pPr>
    </w:p>
    <w:p w:rsidR="00CA4FF1" w:rsidRDefault="00CA4FF1" w:rsidP="00CA4FF1">
      <w:pPr>
        <w:jc w:val="both"/>
      </w:pPr>
    </w:p>
    <w:p w:rsidR="00CA4FF1" w:rsidRPr="006B5219" w:rsidRDefault="00CA4FF1" w:rsidP="00CA4FF1">
      <w:pPr>
        <w:pStyle w:val="Heading4"/>
        <w:ind w:left="1080" w:hanging="1080"/>
        <w:jc w:val="both"/>
        <w:rPr>
          <w:sz w:val="24"/>
        </w:rPr>
      </w:pPr>
      <w:r w:rsidRPr="006B5219">
        <w:rPr>
          <w:sz w:val="24"/>
        </w:rPr>
        <w:lastRenderedPageBreak/>
        <w:t>a) SDCU preliminary screening</w:t>
      </w:r>
    </w:p>
    <w:p w:rsidR="00CA4FF1" w:rsidRPr="00B1248D" w:rsidRDefault="00CA4FF1" w:rsidP="00CA4FF1">
      <w:pPr>
        <w:tabs>
          <w:tab w:val="left" w:pos="993"/>
        </w:tabs>
        <w:spacing w:after="60"/>
        <w:jc w:val="both"/>
      </w:pPr>
      <w:r w:rsidRPr="00B1248D">
        <w:t xml:space="preserve">The following criteria </w:t>
      </w:r>
      <w:r>
        <w:t xml:space="preserve">are proposed </w:t>
      </w:r>
      <w:r w:rsidRPr="00B1248D">
        <w:t xml:space="preserve">to determine whether a person </w:t>
      </w:r>
      <w:r>
        <w:t xml:space="preserve">proceeds to </w:t>
      </w:r>
      <w:r w:rsidRPr="00B1248D">
        <w:t>an SDCU assessment:</w:t>
      </w:r>
    </w:p>
    <w:p w:rsidR="00CA4FF1" w:rsidRPr="00B1248D" w:rsidRDefault="00CA4FF1" w:rsidP="00CA4FF1">
      <w:pPr>
        <w:numPr>
          <w:ilvl w:val="0"/>
          <w:numId w:val="17"/>
        </w:numPr>
        <w:tabs>
          <w:tab w:val="left" w:pos="993"/>
        </w:tabs>
        <w:spacing w:after="60"/>
        <w:contextualSpacing/>
        <w:jc w:val="both"/>
      </w:pPr>
      <w:r>
        <w:t>t</w:t>
      </w:r>
      <w:r w:rsidRPr="00B1248D">
        <w:t>he person has had an ACAT assessment and is eligible to receive residential aged care</w:t>
      </w:r>
    </w:p>
    <w:p w:rsidR="00CA4FF1" w:rsidRPr="0033157A" w:rsidRDefault="00CA4FF1" w:rsidP="00CA4FF1">
      <w:pPr>
        <w:numPr>
          <w:ilvl w:val="0"/>
          <w:numId w:val="17"/>
        </w:numPr>
        <w:tabs>
          <w:tab w:val="left" w:pos="993"/>
        </w:tabs>
        <w:spacing w:after="60"/>
        <w:contextualSpacing/>
        <w:jc w:val="both"/>
        <w:rPr>
          <w:i/>
        </w:rPr>
      </w:pPr>
      <w:proofErr w:type="gramStart"/>
      <w:r>
        <w:t>t</w:t>
      </w:r>
      <w:r w:rsidRPr="00B1248D">
        <w:t>he</w:t>
      </w:r>
      <w:proofErr w:type="gramEnd"/>
      <w:r w:rsidRPr="00B1248D">
        <w:t xml:space="preserve"> person has a primary dementia diagnosis. This would generally require written confirmation by a medical practitioner (either the treating specialist</w:t>
      </w:r>
      <w:r>
        <w:t xml:space="preserve"> or GP)</w:t>
      </w:r>
    </w:p>
    <w:p w:rsidR="00CA4FF1" w:rsidRPr="00B1248D" w:rsidRDefault="00CA4FF1" w:rsidP="00CA4FF1">
      <w:pPr>
        <w:numPr>
          <w:ilvl w:val="0"/>
          <w:numId w:val="17"/>
        </w:numPr>
        <w:tabs>
          <w:tab w:val="left" w:pos="993"/>
        </w:tabs>
        <w:spacing w:after="60"/>
        <w:contextualSpacing/>
        <w:jc w:val="both"/>
        <w:rPr>
          <w:i/>
        </w:rPr>
      </w:pPr>
      <w:r>
        <w:t>the person is not under a state or territory mental health detention order</w:t>
      </w:r>
    </w:p>
    <w:p w:rsidR="00CA4FF1" w:rsidRPr="00B1248D" w:rsidRDefault="00CA4FF1" w:rsidP="00CA4FF1">
      <w:pPr>
        <w:numPr>
          <w:ilvl w:val="0"/>
          <w:numId w:val="17"/>
        </w:numPr>
        <w:tabs>
          <w:tab w:val="left" w:pos="993"/>
        </w:tabs>
        <w:spacing w:after="60"/>
        <w:contextualSpacing/>
        <w:jc w:val="both"/>
      </w:pPr>
      <w:proofErr w:type="gramStart"/>
      <w:r>
        <w:t>t</w:t>
      </w:r>
      <w:r w:rsidRPr="00B1248D">
        <w:t>he</w:t>
      </w:r>
      <w:proofErr w:type="gramEnd"/>
      <w:r w:rsidRPr="00B1248D">
        <w:t xml:space="preserve"> person and/or their nominated representative consent to the SDCU assessment process.</w:t>
      </w:r>
    </w:p>
    <w:p w:rsidR="00CA4FF1" w:rsidRDefault="00CA4FF1" w:rsidP="00CA4FF1">
      <w:pPr>
        <w:autoSpaceDE w:val="0"/>
        <w:autoSpaceDN w:val="0"/>
        <w:adjustRightInd w:val="0"/>
        <w:jc w:val="both"/>
        <w:rPr>
          <w:rFonts w:cs="Calibri"/>
          <w:color w:val="000000"/>
          <w:lang w:eastAsia="en-AU"/>
        </w:rPr>
      </w:pPr>
    </w:p>
    <w:p w:rsidR="00CA4FF1" w:rsidRPr="00B1248D" w:rsidRDefault="00CA4FF1" w:rsidP="00CA4FF1">
      <w:pPr>
        <w:autoSpaceDE w:val="0"/>
        <w:autoSpaceDN w:val="0"/>
        <w:adjustRightInd w:val="0"/>
        <w:jc w:val="both"/>
        <w:rPr>
          <w:rFonts w:cs="Calibri"/>
          <w:color w:val="000000"/>
          <w:lang w:eastAsia="en-AU"/>
        </w:rPr>
      </w:pPr>
      <w:r w:rsidRPr="00B1248D">
        <w:rPr>
          <w:rFonts w:cs="Calibri"/>
          <w:color w:val="000000"/>
          <w:lang w:eastAsia="en-AU"/>
        </w:rPr>
        <w:t xml:space="preserve">Consent will be sought by the referrer and verified by </w:t>
      </w:r>
      <w:r>
        <w:rPr>
          <w:rFonts w:cs="Calibri"/>
          <w:color w:val="000000"/>
          <w:lang w:eastAsia="en-AU"/>
        </w:rPr>
        <w:t>SDCU assessment services</w:t>
      </w:r>
      <w:r w:rsidRPr="00B1248D">
        <w:rPr>
          <w:rFonts w:cs="Calibri"/>
          <w:color w:val="000000"/>
          <w:lang w:eastAsia="en-AU"/>
        </w:rPr>
        <w:t xml:space="preserve"> in accordance with state and territory rules, similar to access to other aged care programs.</w:t>
      </w:r>
    </w:p>
    <w:p w:rsidR="00CA4FF1" w:rsidRPr="00B1248D" w:rsidRDefault="00CA4FF1" w:rsidP="00CA4FF1">
      <w:pPr>
        <w:jc w:val="both"/>
        <w:rPr>
          <w:b/>
        </w:rPr>
      </w:pPr>
    </w:p>
    <w:p w:rsidR="00CA4FF1" w:rsidRPr="00B1248D" w:rsidRDefault="00CA4FF1" w:rsidP="00CA4FF1">
      <w:pPr>
        <w:jc w:val="both"/>
      </w:pPr>
      <w:r w:rsidRPr="00B1248D">
        <w:t xml:space="preserve">Consistent with other forms of residential aged care, there will be no definitive age-based criteria. People with younger onset dementia will be eligible for SDCU support should they be unable to access </w:t>
      </w:r>
      <w:r>
        <w:t xml:space="preserve">the </w:t>
      </w:r>
      <w:r w:rsidRPr="00B1248D">
        <w:t>required support in more age-appropriate settings.</w:t>
      </w:r>
    </w:p>
    <w:p w:rsidR="00CA4FF1" w:rsidRPr="00B1248D" w:rsidRDefault="00CA4FF1" w:rsidP="00CA4FF1">
      <w:pPr>
        <w:jc w:val="both"/>
      </w:pPr>
    </w:p>
    <w:p w:rsidR="00CA4FF1" w:rsidRPr="00B1248D" w:rsidRDefault="00CA4FF1" w:rsidP="00CA4FF1">
      <w:pPr>
        <w:autoSpaceDE w:val="0"/>
        <w:autoSpaceDN w:val="0"/>
        <w:adjustRightInd w:val="0"/>
        <w:jc w:val="both"/>
        <w:rPr>
          <w:rFonts w:cs="Calibri"/>
          <w:color w:val="000000"/>
          <w:lang w:eastAsia="en-AU"/>
        </w:rPr>
      </w:pPr>
      <w:r w:rsidRPr="00B1248D">
        <w:rPr>
          <w:rFonts w:cs="Calibri"/>
          <w:color w:val="000000"/>
          <w:lang w:eastAsia="en-AU"/>
        </w:rPr>
        <w:t xml:space="preserve">People with pre-existing mental health conditions in addition to a primary dementia diagnosis would be able to access SDCU </w:t>
      </w:r>
      <w:proofErr w:type="gramStart"/>
      <w:r>
        <w:rPr>
          <w:rFonts w:cs="Calibri"/>
          <w:color w:val="000000"/>
          <w:lang w:eastAsia="en-AU"/>
        </w:rPr>
        <w:t xml:space="preserve">support </w:t>
      </w:r>
      <w:r w:rsidRPr="00B1248D">
        <w:rPr>
          <w:rFonts w:cs="Calibri"/>
          <w:color w:val="000000"/>
          <w:lang w:eastAsia="en-AU"/>
        </w:rPr>
        <w:t xml:space="preserve"> subject</w:t>
      </w:r>
      <w:proofErr w:type="gramEnd"/>
      <w:r w:rsidRPr="00B1248D">
        <w:rPr>
          <w:rFonts w:cs="Calibri"/>
          <w:color w:val="000000"/>
          <w:lang w:eastAsia="en-AU"/>
        </w:rPr>
        <w:t xml:space="preserve"> to the outcomes of the three stage assessment process.</w:t>
      </w:r>
    </w:p>
    <w:p w:rsidR="00CA4FF1" w:rsidRDefault="00CA4FF1" w:rsidP="00CA4FF1">
      <w:pPr>
        <w:tabs>
          <w:tab w:val="left" w:pos="993"/>
        </w:tabs>
        <w:spacing w:after="60"/>
        <w:jc w:val="both"/>
      </w:pPr>
    </w:p>
    <w:p w:rsidR="00CA4FF1" w:rsidRPr="00B1248D" w:rsidRDefault="00CA4FF1" w:rsidP="00CA4FF1">
      <w:pPr>
        <w:tabs>
          <w:tab w:val="left" w:pos="993"/>
        </w:tabs>
        <w:spacing w:after="60"/>
        <w:jc w:val="both"/>
      </w:pPr>
      <w:r w:rsidRPr="00B1248D">
        <w:t xml:space="preserve">People who are assessed as not meeting the </w:t>
      </w:r>
      <w:r>
        <w:t xml:space="preserve">preliminary </w:t>
      </w:r>
      <w:r w:rsidRPr="00B1248D">
        <w:t>screening criteria would not proce</w:t>
      </w:r>
      <w:r>
        <w:t>ed</w:t>
      </w:r>
      <w:r w:rsidRPr="00B1248D">
        <w:t xml:space="preserve"> to </w:t>
      </w:r>
      <w:r>
        <w:t xml:space="preserve">the </w:t>
      </w:r>
      <w:r w:rsidRPr="00B1248D">
        <w:t xml:space="preserve">SDCU </w:t>
      </w:r>
      <w:r>
        <w:t>needs based assessment and would be referred to alternate services as appropriate.</w:t>
      </w:r>
    </w:p>
    <w:p w:rsidR="00CA4FF1" w:rsidRPr="00B1248D" w:rsidRDefault="00CA4FF1" w:rsidP="00CA4FF1">
      <w:pPr>
        <w:tabs>
          <w:tab w:val="left" w:pos="993"/>
        </w:tabs>
        <w:spacing w:after="60"/>
        <w:jc w:val="both"/>
        <w:rPr>
          <w:sz w:val="12"/>
          <w:szCs w:val="12"/>
        </w:rPr>
      </w:pPr>
    </w:p>
    <w:p w:rsidR="00CA4FF1" w:rsidRPr="00B1248D" w:rsidRDefault="00CA4FF1" w:rsidP="00CA4FF1">
      <w:pPr>
        <w:pBdr>
          <w:top w:val="single" w:sz="4" w:space="1" w:color="auto" w:shadow="1"/>
          <w:left w:val="single" w:sz="4" w:space="4" w:color="auto" w:shadow="1"/>
          <w:bottom w:val="single" w:sz="4" w:space="0" w:color="auto" w:shadow="1"/>
          <w:right w:val="single" w:sz="4" w:space="4" w:color="auto" w:shadow="1"/>
        </w:pBdr>
        <w:shd w:val="clear" w:color="auto" w:fill="EEECE1" w:themeFill="background2"/>
        <w:contextualSpacing/>
        <w:jc w:val="both"/>
      </w:pPr>
      <w:r>
        <w:t xml:space="preserve">Q8) </w:t>
      </w:r>
      <w:r w:rsidRPr="00B1248D">
        <w:t xml:space="preserve">Might the requirement for evidence of a primary dementia diagnosis </w:t>
      </w:r>
      <w:r>
        <w:t xml:space="preserve">(as described above) </w:t>
      </w:r>
      <w:r w:rsidRPr="00B1248D">
        <w:t xml:space="preserve">impact on timely access to SDCU services for some </w:t>
      </w:r>
      <w:r>
        <w:t>people with BPSD?</w:t>
      </w:r>
    </w:p>
    <w:p w:rsidR="00CA4FF1" w:rsidRPr="006B5219" w:rsidRDefault="00CA4FF1" w:rsidP="00CA4FF1">
      <w:pPr>
        <w:pStyle w:val="Heading4"/>
        <w:jc w:val="both"/>
        <w:rPr>
          <w:sz w:val="24"/>
        </w:rPr>
      </w:pPr>
      <w:r w:rsidRPr="006B5219">
        <w:rPr>
          <w:sz w:val="24"/>
        </w:rPr>
        <w:t>b) SDCU needs based assessment</w:t>
      </w:r>
    </w:p>
    <w:p w:rsidR="00CA4FF1" w:rsidRPr="00B1248D" w:rsidRDefault="00CA4FF1" w:rsidP="00CA4FF1">
      <w:pPr>
        <w:tabs>
          <w:tab w:val="left" w:pos="993"/>
        </w:tabs>
        <w:spacing w:after="60"/>
        <w:jc w:val="both"/>
      </w:pPr>
      <w:r w:rsidRPr="00B1248D">
        <w:t xml:space="preserve">The SDCU assessment process will need to appropriately target care to eligible </w:t>
      </w:r>
      <w:r>
        <w:t>people</w:t>
      </w:r>
      <w:r w:rsidRPr="00B1248D">
        <w:t xml:space="preserve"> most in need and likely to benefit from a SDCU placement. </w:t>
      </w:r>
    </w:p>
    <w:p w:rsidR="00CA4FF1" w:rsidRPr="00B1248D" w:rsidRDefault="00CA4FF1" w:rsidP="00CA4FF1">
      <w:pPr>
        <w:tabs>
          <w:tab w:val="left" w:pos="993"/>
        </w:tabs>
        <w:spacing w:after="60"/>
        <w:jc w:val="both"/>
      </w:pPr>
      <w:r w:rsidRPr="00B1248D">
        <w:t xml:space="preserve">While there is no universally accepted single tool to assess a person’s </w:t>
      </w:r>
      <w:r>
        <w:t>need and/or suitability for a</w:t>
      </w:r>
      <w:r w:rsidRPr="00B1248D">
        <w:t xml:space="preserve"> SDCU placement, assessments will need to be comprehensive, </w:t>
      </w:r>
      <w:r>
        <w:t xml:space="preserve">and </w:t>
      </w:r>
      <w:r w:rsidRPr="00B1248D">
        <w:t>conducted by an appropriately qualifie</w:t>
      </w:r>
      <w:r>
        <w:t xml:space="preserve">d and experienced </w:t>
      </w:r>
      <w:r w:rsidRPr="00B1248D">
        <w:t>assessment workforce that utilises a range of validated assessment tools as appropriate. Assessments will also need to be timely, inclusive of families and carers, culturally appropriate and generally conducted face</w:t>
      </w:r>
      <w:r>
        <w:t>-</w:t>
      </w:r>
      <w:r w:rsidRPr="00B1248D">
        <w:t>to</w:t>
      </w:r>
      <w:r>
        <w:t>-</w:t>
      </w:r>
      <w:r w:rsidRPr="00B1248D">
        <w:t>face in the person’s usual care setting.</w:t>
      </w:r>
    </w:p>
    <w:p w:rsidR="00CA4FF1" w:rsidRPr="00B1248D" w:rsidRDefault="00CA4FF1" w:rsidP="00CA4FF1">
      <w:pPr>
        <w:tabs>
          <w:tab w:val="left" w:pos="993"/>
        </w:tabs>
        <w:spacing w:after="60"/>
        <w:jc w:val="both"/>
      </w:pPr>
    </w:p>
    <w:p w:rsidR="00CA4FF1" w:rsidRPr="00B1248D" w:rsidRDefault="00CA4FF1" w:rsidP="00CA4FF1">
      <w:pPr>
        <w:tabs>
          <w:tab w:val="left" w:pos="993"/>
        </w:tabs>
        <w:spacing w:after="60"/>
        <w:jc w:val="both"/>
      </w:pPr>
      <w:r w:rsidRPr="00B1248D">
        <w:t xml:space="preserve">It is expected that the following factors would be considered as part of the SDCU </w:t>
      </w:r>
      <w:r>
        <w:t xml:space="preserve">needs based assessment: </w:t>
      </w:r>
    </w:p>
    <w:p w:rsidR="00CA4FF1" w:rsidRPr="00B1248D" w:rsidRDefault="00CA4FF1" w:rsidP="00CA4FF1">
      <w:pPr>
        <w:numPr>
          <w:ilvl w:val="0"/>
          <w:numId w:val="16"/>
        </w:numPr>
        <w:contextualSpacing/>
        <w:jc w:val="both"/>
      </w:pPr>
      <w:r w:rsidRPr="00B1248D">
        <w:lastRenderedPageBreak/>
        <w:t>the extent to which the person exhibits behaviours consistent with very severe BPSD</w:t>
      </w:r>
    </w:p>
    <w:p w:rsidR="00CA4FF1" w:rsidRPr="00B1248D" w:rsidRDefault="00CA4FF1" w:rsidP="00CA4FF1">
      <w:pPr>
        <w:numPr>
          <w:ilvl w:val="0"/>
          <w:numId w:val="16"/>
        </w:numPr>
        <w:contextualSpacing/>
        <w:jc w:val="both"/>
      </w:pPr>
      <w:r w:rsidRPr="00B1248D">
        <w:t>the risk that the person presents to themselves and others within their current environment</w:t>
      </w:r>
    </w:p>
    <w:p w:rsidR="00CA4FF1" w:rsidRPr="00B1248D" w:rsidRDefault="00CA4FF1" w:rsidP="00CA4FF1">
      <w:pPr>
        <w:numPr>
          <w:ilvl w:val="0"/>
          <w:numId w:val="16"/>
        </w:numPr>
        <w:contextualSpacing/>
        <w:jc w:val="both"/>
      </w:pPr>
      <w:r w:rsidRPr="00B1248D">
        <w:t xml:space="preserve">the extent to which prior behaviour management strategies have been implemented </w:t>
      </w:r>
      <w:r>
        <w:t xml:space="preserve">within their current care setting </w:t>
      </w:r>
      <w:r w:rsidRPr="00B1248D">
        <w:t>and their outcomes</w:t>
      </w:r>
    </w:p>
    <w:p w:rsidR="00CA4FF1" w:rsidRDefault="00CA4FF1" w:rsidP="00CA4FF1">
      <w:pPr>
        <w:numPr>
          <w:ilvl w:val="0"/>
          <w:numId w:val="16"/>
        </w:numPr>
        <w:contextualSpacing/>
        <w:jc w:val="both"/>
      </w:pPr>
      <w:r w:rsidRPr="00B1248D">
        <w:t>the likelihood that the person would benefit from care in a SDCU and be able to transition back to a mainstream care setting within 6</w:t>
      </w:r>
      <w:r>
        <w:t>–</w:t>
      </w:r>
      <w:r w:rsidRPr="00B1248D">
        <w:t>12 months</w:t>
      </w:r>
    </w:p>
    <w:p w:rsidR="00CA4FF1" w:rsidRPr="00B1248D" w:rsidRDefault="00CA4FF1" w:rsidP="00CA4FF1">
      <w:pPr>
        <w:numPr>
          <w:ilvl w:val="0"/>
          <w:numId w:val="16"/>
        </w:numPr>
        <w:contextualSpacing/>
        <w:jc w:val="both"/>
      </w:pPr>
      <w:proofErr w:type="gramStart"/>
      <w:r>
        <w:t>whether</w:t>
      </w:r>
      <w:proofErr w:type="gramEnd"/>
      <w:r>
        <w:t xml:space="preserve"> the person is medically stable and is not requiring treatment that would be more appropriately delivered in an acute care or other health care setting (for example treatment for delirium or terminal agitation).</w:t>
      </w:r>
    </w:p>
    <w:p w:rsidR="00CA4FF1" w:rsidRPr="00B1248D" w:rsidRDefault="00CA4FF1" w:rsidP="00CA4FF1">
      <w:pPr>
        <w:ind w:left="360"/>
        <w:contextualSpacing/>
        <w:jc w:val="both"/>
      </w:pPr>
    </w:p>
    <w:p w:rsidR="00CA4FF1" w:rsidRDefault="00CA4FF1" w:rsidP="00CA4FF1">
      <w:pPr>
        <w:jc w:val="both"/>
      </w:pPr>
      <w:r w:rsidRPr="00B1248D">
        <w:t xml:space="preserve">The outcome of the </w:t>
      </w:r>
      <w:r>
        <w:t xml:space="preserve">needs based </w:t>
      </w:r>
      <w:r w:rsidRPr="00B1248D">
        <w:t xml:space="preserve">assessment will be </w:t>
      </w:r>
      <w:r>
        <w:t>either:</w:t>
      </w:r>
    </w:p>
    <w:p w:rsidR="00CA4FF1" w:rsidRDefault="00CA4FF1" w:rsidP="00CA4FF1">
      <w:pPr>
        <w:numPr>
          <w:ilvl w:val="0"/>
          <w:numId w:val="34"/>
        </w:numPr>
        <w:tabs>
          <w:tab w:val="left" w:pos="993"/>
        </w:tabs>
        <w:spacing w:after="60"/>
        <w:contextualSpacing/>
        <w:jc w:val="both"/>
      </w:pPr>
      <w:proofErr w:type="gramStart"/>
      <w:r>
        <w:t>a</w:t>
      </w:r>
      <w:proofErr w:type="gramEnd"/>
      <w:r>
        <w:t xml:space="preserve"> recommendation from the SDCU assessment service that the person should be considered for SDCU placement. In this case, with client and carer consent, the person’s information will be provided to the local SDCU provider for the final SDCU placement assessment; OR</w:t>
      </w:r>
    </w:p>
    <w:p w:rsidR="00CA4FF1" w:rsidRDefault="00CA4FF1" w:rsidP="00CA4FF1">
      <w:pPr>
        <w:numPr>
          <w:ilvl w:val="0"/>
          <w:numId w:val="34"/>
        </w:numPr>
        <w:tabs>
          <w:tab w:val="left" w:pos="993"/>
        </w:tabs>
        <w:spacing w:after="60"/>
        <w:contextualSpacing/>
        <w:jc w:val="both"/>
      </w:pPr>
      <w:proofErr w:type="gramStart"/>
      <w:r>
        <w:t>a</w:t>
      </w:r>
      <w:proofErr w:type="gramEnd"/>
      <w:r>
        <w:t xml:space="preserve"> decision by the SDCU assessment service that the person not be considered for SDCU placement at this time. In this case, the person, carer and referring body (and any other parties nominated by the person) will be notified of the decision. Advice will be also </w:t>
      </w:r>
      <w:proofErr w:type="gramStart"/>
      <w:r>
        <w:t>be</w:t>
      </w:r>
      <w:proofErr w:type="gramEnd"/>
      <w:r>
        <w:t xml:space="preserve"> provided </w:t>
      </w:r>
      <w:r w:rsidRPr="00B1248D">
        <w:t>on alternative, non-SDCU care options</w:t>
      </w:r>
      <w:r>
        <w:t xml:space="preserve">. These may </w:t>
      </w:r>
      <w:r w:rsidRPr="00B1248D">
        <w:t>include being assisted to find an alternate mainstream aged care provider, referral to an acute service; or remain</w:t>
      </w:r>
      <w:r>
        <w:t>ing</w:t>
      </w:r>
      <w:r w:rsidRPr="00B1248D">
        <w:t xml:space="preserve"> within their existing care environment but with additional advice provided to the mainstream provider by the D</w:t>
      </w:r>
      <w:r>
        <w:t>B</w:t>
      </w:r>
      <w:r w:rsidRPr="00B1248D">
        <w:t>MAS or SBRT.</w:t>
      </w:r>
    </w:p>
    <w:p w:rsidR="00CA4FF1" w:rsidRPr="00A610DD" w:rsidRDefault="00CA4FF1" w:rsidP="00CA4FF1">
      <w:pPr>
        <w:jc w:val="both"/>
        <w:rPr>
          <w:sz w:val="12"/>
        </w:rPr>
      </w:pPr>
    </w:p>
    <w:p w:rsidR="00CA4FF1" w:rsidRPr="00B1248D" w:rsidRDefault="00CA4FF1" w:rsidP="00CA4FF1">
      <w:pPr>
        <w:jc w:val="both"/>
      </w:pPr>
      <w:r w:rsidRPr="00B1248D">
        <w:t xml:space="preserve">The assessment service will generally refer </w:t>
      </w:r>
      <w:r>
        <w:t xml:space="preserve">recommended </w:t>
      </w:r>
      <w:r w:rsidRPr="00B1248D">
        <w:t xml:space="preserve">individuals to the SDCU provider in the PHN region where the person lives. However, it may also provide referrals to SDCUs in one or more other PHN regions after discussion with the </w:t>
      </w:r>
      <w:r>
        <w:t xml:space="preserve">person </w:t>
      </w:r>
      <w:r w:rsidRPr="00B1248D">
        <w:t>and their representative.</w:t>
      </w:r>
    </w:p>
    <w:p w:rsidR="00CA4FF1" w:rsidRPr="00B1248D" w:rsidRDefault="00CA4FF1" w:rsidP="00CA4FF1">
      <w:pPr>
        <w:jc w:val="both"/>
      </w:pPr>
    </w:p>
    <w:p w:rsidR="00CA4FF1" w:rsidRPr="00B1248D" w:rsidRDefault="00CA4FF1" w:rsidP="00CA4FF1">
      <w:pPr>
        <w:jc w:val="both"/>
      </w:pPr>
      <w:r w:rsidRPr="00B1248D">
        <w:t>The assessment service will also be expected to maintain close, productive relationships with local ‘gatekeepers’ managing access to similar state or territory government</w:t>
      </w:r>
      <w:r w:rsidR="00BF3C98">
        <w:t>-</w:t>
      </w:r>
      <w:r w:rsidRPr="00B1248D">
        <w:t>supported facilities in each PHN region.</w:t>
      </w:r>
      <w:r w:rsidRPr="00B1248D">
        <w:rPr>
          <w:vertAlign w:val="superscript"/>
        </w:rPr>
        <w:endnoteReference w:id="26"/>
      </w:r>
    </w:p>
    <w:p w:rsidR="00CA4FF1" w:rsidRPr="006B5219" w:rsidRDefault="00CA4FF1" w:rsidP="00CA4FF1">
      <w:pPr>
        <w:pStyle w:val="Heading4"/>
        <w:jc w:val="both"/>
        <w:rPr>
          <w:sz w:val="24"/>
        </w:rPr>
      </w:pPr>
      <w:r w:rsidRPr="006B5219">
        <w:rPr>
          <w:sz w:val="24"/>
        </w:rPr>
        <w:t>c) SDCU placement assessment</w:t>
      </w:r>
    </w:p>
    <w:p w:rsidR="00CA4FF1" w:rsidRPr="00B1248D" w:rsidRDefault="00CA4FF1" w:rsidP="00CA4FF1">
      <w:pPr>
        <w:spacing w:after="120"/>
        <w:jc w:val="both"/>
      </w:pPr>
      <w:r>
        <w:t>Once a</w:t>
      </w:r>
      <w:r w:rsidRPr="00B1248D">
        <w:t xml:space="preserve"> SDCU placement is recommended by the SDCU assessment service, a local SDCU service</w:t>
      </w:r>
      <w:r>
        <w:t>-</w:t>
      </w:r>
      <w:r w:rsidRPr="00B1248D">
        <w:t xml:space="preserve">specific assessment will be undertaken. These will be done by the local SDCU unit, through its clinical </w:t>
      </w:r>
      <w:r>
        <w:t xml:space="preserve">advisory </w:t>
      </w:r>
      <w:r w:rsidRPr="00B1248D">
        <w:t>committee.</w:t>
      </w:r>
    </w:p>
    <w:p w:rsidR="00CA4FF1" w:rsidRPr="00B1248D" w:rsidRDefault="00CA4FF1" w:rsidP="00CA4FF1">
      <w:pPr>
        <w:tabs>
          <w:tab w:val="left" w:pos="993"/>
        </w:tabs>
        <w:spacing w:after="60"/>
        <w:jc w:val="both"/>
      </w:pPr>
      <w:r w:rsidRPr="00B1248D">
        <w:t>These local placement assessments would be similar to those undertaken by the clinical advisory committees t</w:t>
      </w:r>
      <w:r>
        <w:t>hat are in place for most state-</w:t>
      </w:r>
      <w:r w:rsidRPr="00B1248D">
        <w:t xml:space="preserve">supported </w:t>
      </w:r>
      <w:r>
        <w:t xml:space="preserve">existing </w:t>
      </w:r>
      <w:r w:rsidRPr="00B1248D">
        <w:t>SDCU</w:t>
      </w:r>
      <w:r>
        <w:t>-</w:t>
      </w:r>
      <w:r w:rsidRPr="00B1248D">
        <w:t>like services. This placement assessment would consider issues such as whether:</w:t>
      </w:r>
    </w:p>
    <w:p w:rsidR="00CA4FF1" w:rsidRPr="00B1248D" w:rsidRDefault="00CA4FF1" w:rsidP="00CA4FF1">
      <w:pPr>
        <w:numPr>
          <w:ilvl w:val="0"/>
          <w:numId w:val="16"/>
        </w:numPr>
        <w:contextualSpacing/>
        <w:jc w:val="both"/>
      </w:pPr>
      <w:r w:rsidRPr="00B1248D">
        <w:t>the person is a ‘good fit’ for the particular SDCU given its current mix of residents and staffing</w:t>
      </w:r>
      <w:r>
        <w:t xml:space="preserve"> </w:t>
      </w:r>
      <w:r w:rsidRPr="00B1248D">
        <w:t>profile</w:t>
      </w:r>
    </w:p>
    <w:p w:rsidR="00CA4FF1" w:rsidRPr="00B1248D" w:rsidRDefault="00CA4FF1" w:rsidP="00CA4FF1">
      <w:pPr>
        <w:numPr>
          <w:ilvl w:val="0"/>
          <w:numId w:val="16"/>
        </w:numPr>
        <w:contextualSpacing/>
        <w:jc w:val="both"/>
      </w:pPr>
      <w:r w:rsidRPr="00B1248D">
        <w:t xml:space="preserve">the person presents particular safety risks </w:t>
      </w:r>
    </w:p>
    <w:p w:rsidR="00CA4FF1" w:rsidRPr="00B1248D" w:rsidRDefault="00CA4FF1" w:rsidP="00CA4FF1">
      <w:pPr>
        <w:numPr>
          <w:ilvl w:val="0"/>
          <w:numId w:val="16"/>
        </w:numPr>
        <w:contextualSpacing/>
        <w:jc w:val="both"/>
      </w:pPr>
      <w:r w:rsidRPr="00B1248D">
        <w:lastRenderedPageBreak/>
        <w:t xml:space="preserve">there are complexities in the </w:t>
      </w:r>
      <w:r>
        <w:t xml:space="preserve">family and </w:t>
      </w:r>
      <w:r w:rsidRPr="00B1248D">
        <w:t xml:space="preserve">carer dynamics that need to be understood </w:t>
      </w:r>
    </w:p>
    <w:p w:rsidR="00CA4FF1" w:rsidRPr="00B1248D" w:rsidRDefault="00CA4FF1" w:rsidP="00CA4FF1">
      <w:pPr>
        <w:numPr>
          <w:ilvl w:val="0"/>
          <w:numId w:val="16"/>
        </w:numPr>
        <w:contextualSpacing/>
        <w:jc w:val="both"/>
      </w:pPr>
      <w:proofErr w:type="gramStart"/>
      <w:r w:rsidRPr="00B1248D">
        <w:t>there</w:t>
      </w:r>
      <w:proofErr w:type="gramEnd"/>
      <w:r w:rsidRPr="00B1248D">
        <w:t xml:space="preserve"> are other relevant external factors that might affect the SDCU placement</w:t>
      </w:r>
      <w:r>
        <w:t>.</w:t>
      </w:r>
    </w:p>
    <w:p w:rsidR="00CA4FF1" w:rsidRPr="00B1248D" w:rsidRDefault="00CA4FF1" w:rsidP="00CA4FF1">
      <w:pPr>
        <w:tabs>
          <w:tab w:val="left" w:pos="993"/>
        </w:tabs>
        <w:spacing w:after="60"/>
        <w:jc w:val="both"/>
      </w:pPr>
    </w:p>
    <w:p w:rsidR="00CA4FF1" w:rsidRPr="00B1248D" w:rsidRDefault="00CA4FF1" w:rsidP="00CA4FF1">
      <w:pPr>
        <w:spacing w:after="120"/>
        <w:jc w:val="both"/>
      </w:pPr>
      <w:r w:rsidRPr="00B1248D">
        <w:t xml:space="preserve">It is expected that the majority of people would be accepted into care following the placement assessment. However, where this is not the case, people may be referred (by the assessment service) to an alternate SDCU provider, a mainstream provider or the acute system, as appropriate and with the agreement of all parties. </w:t>
      </w:r>
    </w:p>
    <w:p w:rsidR="00CA4FF1" w:rsidRPr="00B1248D" w:rsidRDefault="00CA4FF1" w:rsidP="00CA4FF1">
      <w:pPr>
        <w:jc w:val="both"/>
      </w:pPr>
      <w:r w:rsidRPr="00B1248D">
        <w:t xml:space="preserve">The SDCU provider will be the final decision maker on accepting a person into the SDCU, after having regard to the </w:t>
      </w:r>
      <w:r w:rsidRPr="005E2CC2">
        <w:t>advice of its clinical advisory committee. The SDCU</w:t>
      </w:r>
      <w:r w:rsidRPr="00B1248D">
        <w:t xml:space="preserve"> provider may also directly negotiate transitional ‘take back’ arrangements with a newly accepted resident’s existing accommodation provider</w:t>
      </w:r>
      <w:r>
        <w:t xml:space="preserve">, in the </w:t>
      </w:r>
      <w:r w:rsidRPr="00B1248D">
        <w:t xml:space="preserve">event the </w:t>
      </w:r>
      <w:r>
        <w:t xml:space="preserve">person’s </w:t>
      </w:r>
      <w:r w:rsidRPr="00B1248D">
        <w:t>behaviours prove either not sufficiently severe or too severe for care to be appropriately provided in the SDCU.</w:t>
      </w:r>
    </w:p>
    <w:p w:rsidR="00CA4FF1" w:rsidRPr="00B1248D" w:rsidRDefault="00CA4FF1" w:rsidP="00CA4FF1">
      <w:pPr>
        <w:jc w:val="both"/>
      </w:pPr>
    </w:p>
    <w:p w:rsidR="00CA4FF1" w:rsidRDefault="00CA4FF1" w:rsidP="00CA4FF1">
      <w:pPr>
        <w:jc w:val="both"/>
      </w:pPr>
      <w:r w:rsidRPr="00B1248D">
        <w:t>Each SDCU provider will manage a local wait list should this be necessary. SDCU providers will be required to report on client acceptance rates and the profile of clients and source of referrals.</w:t>
      </w:r>
      <w:r>
        <w:t xml:space="preserve"> </w:t>
      </w:r>
    </w:p>
    <w:p w:rsidR="00CA4FF1" w:rsidRDefault="00CA4FF1" w:rsidP="00CA4FF1">
      <w:pPr>
        <w:jc w:val="both"/>
      </w:pPr>
    </w:p>
    <w:p w:rsidR="00CA4FF1" w:rsidRDefault="00CA4FF1" w:rsidP="00CA4FF1">
      <w:pPr>
        <w:spacing w:after="120"/>
        <w:jc w:val="both"/>
      </w:pPr>
      <w:r>
        <w:t>A process will be developed for</w:t>
      </w:r>
      <w:r>
        <w:rPr>
          <w:i/>
          <w:iCs/>
        </w:rPr>
        <w:t xml:space="preserve"> </w:t>
      </w:r>
      <w:r>
        <w:t>people to raise their concerns about the assessment process and outcomes.</w:t>
      </w:r>
    </w:p>
    <w:p w:rsidR="00CA4FF1" w:rsidRPr="00B1248D" w:rsidRDefault="00CA4FF1" w:rsidP="00CA4FF1">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contextualSpacing/>
        <w:jc w:val="both"/>
      </w:pPr>
      <w:r>
        <w:t xml:space="preserve">Q9) </w:t>
      </w:r>
      <w:r w:rsidRPr="00B1248D">
        <w:t>Are the</w:t>
      </w:r>
      <w:r>
        <w:t xml:space="preserve"> proposed assessment arrangements </w:t>
      </w:r>
      <w:r w:rsidRPr="00B1248D">
        <w:t>appropriate?</w:t>
      </w:r>
      <w:r>
        <w:t xml:space="preserve"> If not</w:t>
      </w:r>
      <w:r w:rsidR="00405D51">
        <w:t>,</w:t>
      </w:r>
      <w:r>
        <w:t xml:space="preserve"> why not?</w:t>
      </w:r>
    </w:p>
    <w:p w:rsidR="00CA4FF1" w:rsidRDefault="00CA4FF1" w:rsidP="00CA4FF1">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contextualSpacing/>
        <w:jc w:val="both"/>
      </w:pPr>
      <w:r>
        <w:t xml:space="preserve">Q10) </w:t>
      </w:r>
      <w:proofErr w:type="gramStart"/>
      <w:r>
        <w:t>What</w:t>
      </w:r>
      <w:proofErr w:type="gramEnd"/>
      <w:r>
        <w:t xml:space="preserve"> other factors s</w:t>
      </w:r>
      <w:r w:rsidRPr="00B1248D">
        <w:t xml:space="preserve">hould the </w:t>
      </w:r>
      <w:r>
        <w:t xml:space="preserve">SDCU </w:t>
      </w:r>
      <w:r w:rsidRPr="00B1248D">
        <w:t xml:space="preserve">assessment service consider in deciding whether to recommend </w:t>
      </w:r>
      <w:r>
        <w:t xml:space="preserve">a </w:t>
      </w:r>
      <w:r w:rsidRPr="00B1248D">
        <w:t xml:space="preserve">person for </w:t>
      </w:r>
      <w:r>
        <w:t>a SDCU placement</w:t>
      </w:r>
      <w:r w:rsidRPr="00B1248D">
        <w:t>?</w:t>
      </w:r>
    </w:p>
    <w:p w:rsidR="00CA4FF1" w:rsidRPr="000929AE" w:rsidRDefault="00CA4FF1" w:rsidP="00CA4FF1">
      <w:pPr>
        <w:pStyle w:val="Heading3"/>
        <w:numPr>
          <w:ilvl w:val="3"/>
          <w:numId w:val="4"/>
        </w:numPr>
        <w:spacing w:after="120"/>
        <w:jc w:val="both"/>
      </w:pPr>
      <w:bookmarkStart w:id="46" w:name="_Toc499538747"/>
      <w:r>
        <w:t>SDCU hypothetical case studies</w:t>
      </w:r>
      <w:bookmarkEnd w:id="46"/>
      <w:r>
        <w:t xml:space="preserve"> </w:t>
      </w:r>
    </w:p>
    <w:p w:rsidR="00CA4FF1" w:rsidRPr="000929AE" w:rsidRDefault="00CA4FF1" w:rsidP="00CA4FF1">
      <w:pPr>
        <w:jc w:val="both"/>
      </w:pPr>
      <w:r w:rsidRPr="000929AE">
        <w:t xml:space="preserve">The following </w:t>
      </w:r>
      <w:r>
        <w:t xml:space="preserve">hypothetical case </w:t>
      </w:r>
      <w:r w:rsidRPr="000929AE">
        <w:t>studies are provided to illustrate how particular clients might move through the SDCU client journey</w:t>
      </w:r>
      <w:r>
        <w:t>.</w:t>
      </w:r>
    </w:p>
    <w:p w:rsidR="00CA4FF1" w:rsidRPr="000929AE" w:rsidRDefault="00CA4FF1" w:rsidP="00CA4FF1">
      <w:pPr>
        <w:jc w:val="both"/>
        <w:rPr>
          <w:highlight w:val="yellow"/>
        </w:rPr>
      </w:pPr>
    </w:p>
    <w:p w:rsidR="00CA4FF1" w:rsidRPr="000929AE" w:rsidRDefault="00CA4FF1" w:rsidP="00CA4FF1">
      <w:pPr>
        <w:shd w:val="clear" w:color="auto" w:fill="DBE5F1" w:themeFill="accent1" w:themeFillTint="33"/>
        <w:jc w:val="both"/>
      </w:pPr>
      <w:r w:rsidRPr="000929AE">
        <w:rPr>
          <w:b/>
        </w:rPr>
        <w:t>Gloria</w:t>
      </w:r>
      <w:r>
        <w:t xml:space="preserve"> is 79, and has been in an aged care home</w:t>
      </w:r>
      <w:r w:rsidRPr="000929AE">
        <w:t xml:space="preserve"> in a capital city for the last five years. Her family </w:t>
      </w:r>
      <w:r w:rsidR="00405D51">
        <w:t xml:space="preserve">is </w:t>
      </w:r>
      <w:r w:rsidRPr="000929AE">
        <w:t xml:space="preserve">supportive and include three daughters and a son. Gloria has vascular dementia and over the last few months has demonstrated severe agitation </w:t>
      </w:r>
      <w:r>
        <w:t xml:space="preserve">and </w:t>
      </w:r>
      <w:r w:rsidRPr="000929AE">
        <w:t xml:space="preserve">aggression (verbal and physical) towards staff and other residents. Despite ongoing SBRT review </w:t>
      </w:r>
      <w:r>
        <w:t>and</w:t>
      </w:r>
      <w:r w:rsidRPr="000929AE">
        <w:t xml:space="preserve"> implementation of the</w:t>
      </w:r>
      <w:r>
        <w:t xml:space="preserve"> various strategies, </w:t>
      </w:r>
      <w:r w:rsidRPr="000929AE">
        <w:t>these behaviours continue to escalate. Gloria’s family is very distressed by her behaviour and want to know about further options to assist her.</w:t>
      </w:r>
    </w:p>
    <w:p w:rsidR="00CA4FF1" w:rsidRPr="000929AE" w:rsidRDefault="00CA4FF1" w:rsidP="00CA4FF1">
      <w:pPr>
        <w:shd w:val="clear" w:color="auto" w:fill="DBE5F1" w:themeFill="accent1" w:themeFillTint="33"/>
        <w:jc w:val="both"/>
      </w:pPr>
    </w:p>
    <w:p w:rsidR="00CA4FF1" w:rsidRDefault="00CA4FF1" w:rsidP="00CA4FF1">
      <w:pPr>
        <w:shd w:val="clear" w:color="auto" w:fill="DBE5F1" w:themeFill="accent1" w:themeFillTint="33"/>
        <w:jc w:val="both"/>
      </w:pPr>
      <w:r w:rsidRPr="000929AE">
        <w:t xml:space="preserve">Gloria’s </w:t>
      </w:r>
      <w:r>
        <w:t>GP</w:t>
      </w:r>
      <w:r w:rsidRPr="000929AE">
        <w:t xml:space="preserve"> has suggested to the </w:t>
      </w:r>
      <w:r>
        <w:t xml:space="preserve">aged care home </w:t>
      </w:r>
      <w:r w:rsidRPr="000929AE">
        <w:t xml:space="preserve">and Gloria’s family that Gloria might benefit from a SDCU placement, and a referral for an SDCU assessment is made. </w:t>
      </w:r>
    </w:p>
    <w:p w:rsidR="00CA4FF1" w:rsidRPr="000929AE" w:rsidRDefault="00CA4FF1" w:rsidP="00CA4FF1">
      <w:pPr>
        <w:shd w:val="clear" w:color="auto" w:fill="DBE5F1" w:themeFill="accent1" w:themeFillTint="33"/>
        <w:jc w:val="both"/>
      </w:pPr>
    </w:p>
    <w:p w:rsidR="00CA4FF1" w:rsidRPr="000929AE" w:rsidRDefault="00CA4FF1" w:rsidP="00CA4FF1">
      <w:pPr>
        <w:shd w:val="clear" w:color="auto" w:fill="DBE5F1" w:themeFill="accent1" w:themeFillTint="33"/>
        <w:jc w:val="both"/>
      </w:pPr>
      <w:r w:rsidRPr="000929AE">
        <w:t>The SDCU assessment builds on the previous SBRT assessment, and recommends that Gloria be transferred to the SDCU in her PHN, which</w:t>
      </w:r>
      <w:r>
        <w:t xml:space="preserve"> reviews her information and confirms she can be accepted into care. The SDCU </w:t>
      </w:r>
      <w:r w:rsidRPr="000929AE">
        <w:t xml:space="preserve">is in another part of the city, and further away from her family. However, Gloria’s family </w:t>
      </w:r>
      <w:r>
        <w:t>is</w:t>
      </w:r>
      <w:r w:rsidRPr="000929AE">
        <w:t xml:space="preserve"> supportive of the move to another location, so she can receive more specialised care. </w:t>
      </w:r>
    </w:p>
    <w:p w:rsidR="00CA4FF1" w:rsidRPr="000929AE" w:rsidRDefault="00CA4FF1" w:rsidP="00CA4FF1">
      <w:pPr>
        <w:shd w:val="clear" w:color="auto" w:fill="DBE5F1" w:themeFill="accent1" w:themeFillTint="33"/>
        <w:jc w:val="both"/>
      </w:pPr>
      <w:r w:rsidRPr="000929AE">
        <w:lastRenderedPageBreak/>
        <w:t xml:space="preserve">Gloria’s symptoms improve in the first few months whilst in the SDCU, and her </w:t>
      </w:r>
      <w:r>
        <w:t xml:space="preserve">transition to the aged care home adjacent to the SDCU </w:t>
      </w:r>
      <w:r w:rsidRPr="000929AE">
        <w:t xml:space="preserve">is planned after six months.  However, during this time Gloria’s health and mobility start to deteriorate as her dementia progresses, and with the agreement of all parties she transfers back to a place in her previous </w:t>
      </w:r>
      <w:r>
        <w:t xml:space="preserve">aged care home </w:t>
      </w:r>
      <w:r w:rsidRPr="000929AE">
        <w:t>which is closer to her family.</w:t>
      </w:r>
    </w:p>
    <w:p w:rsidR="00CA4FF1" w:rsidRPr="000929AE" w:rsidRDefault="00CA4FF1" w:rsidP="00CA4FF1">
      <w:pPr>
        <w:shd w:val="clear" w:color="auto" w:fill="DBE5F1" w:themeFill="accent1" w:themeFillTint="33"/>
        <w:jc w:val="both"/>
      </w:pPr>
    </w:p>
    <w:p w:rsidR="00CA4FF1" w:rsidRPr="000929AE" w:rsidRDefault="00CA4FF1" w:rsidP="00CA4FF1">
      <w:pPr>
        <w:shd w:val="clear" w:color="auto" w:fill="DBE5F1" w:themeFill="accent1" w:themeFillTint="33"/>
        <w:jc w:val="both"/>
      </w:pPr>
      <w:r w:rsidRPr="000929AE">
        <w:rPr>
          <w:b/>
        </w:rPr>
        <w:t>Harry</w:t>
      </w:r>
      <w:r w:rsidRPr="000929AE">
        <w:t xml:space="preserve"> is 68 and has been in a</w:t>
      </w:r>
      <w:r>
        <w:t>n aged care home</w:t>
      </w:r>
      <w:r w:rsidRPr="000929AE">
        <w:t xml:space="preserve"> in a regional city for six months. He has alcoholic dementia and a number of other chronic health conditions</w:t>
      </w:r>
      <w:r>
        <w:t>,</w:t>
      </w:r>
      <w:r w:rsidRPr="000929AE">
        <w:t xml:space="preserve"> although he is physically very active and strong. He played many sports in his youth including football and boxing. </w:t>
      </w:r>
    </w:p>
    <w:p w:rsidR="00CA4FF1" w:rsidRPr="000929AE" w:rsidRDefault="00CA4FF1" w:rsidP="00CA4FF1">
      <w:pPr>
        <w:shd w:val="clear" w:color="auto" w:fill="DBE5F1" w:themeFill="accent1" w:themeFillTint="33"/>
        <w:jc w:val="both"/>
      </w:pPr>
    </w:p>
    <w:p w:rsidR="00CA4FF1" w:rsidRPr="000929AE" w:rsidRDefault="00CA4FF1" w:rsidP="00CA4FF1">
      <w:pPr>
        <w:shd w:val="clear" w:color="auto" w:fill="DBE5F1" w:themeFill="accent1" w:themeFillTint="33"/>
        <w:jc w:val="both"/>
      </w:pPr>
      <w:r w:rsidRPr="000929AE">
        <w:t xml:space="preserve">Harry has had BPSD for some time, and prior to his admission to the </w:t>
      </w:r>
      <w:r>
        <w:t>aged care home</w:t>
      </w:r>
      <w:r w:rsidRPr="000929AE">
        <w:t xml:space="preserve">, was supported by DBMAS in his home. He gets very agitated and aggressive, has </w:t>
      </w:r>
      <w:r w:rsidR="00405D51">
        <w:t>p</w:t>
      </w:r>
      <w:r w:rsidR="00405D51">
        <w:t>hysically</w:t>
      </w:r>
      <w:r w:rsidR="00405D51">
        <w:t xml:space="preserve"> </w:t>
      </w:r>
      <w:r>
        <w:t xml:space="preserve">threatened </w:t>
      </w:r>
      <w:r w:rsidRPr="000929AE">
        <w:t xml:space="preserve">other residents and staff, and is prone to loud yelling and screaming.  These behaviours are worsening despite SBRT intervention and follow through of recommendations. </w:t>
      </w:r>
    </w:p>
    <w:p w:rsidR="00CA4FF1" w:rsidRPr="000929AE" w:rsidRDefault="00CA4FF1" w:rsidP="00CA4FF1">
      <w:pPr>
        <w:shd w:val="clear" w:color="auto" w:fill="DBE5F1" w:themeFill="accent1" w:themeFillTint="33"/>
        <w:jc w:val="both"/>
      </w:pPr>
    </w:p>
    <w:p w:rsidR="00CA4FF1" w:rsidRPr="000929AE" w:rsidRDefault="00CA4FF1" w:rsidP="00CA4FF1">
      <w:pPr>
        <w:shd w:val="clear" w:color="auto" w:fill="DBE5F1" w:themeFill="accent1" w:themeFillTint="33"/>
        <w:jc w:val="both"/>
      </w:pPr>
      <w:r w:rsidRPr="000929AE">
        <w:t xml:space="preserve">The </w:t>
      </w:r>
      <w:r>
        <w:t>aged care home</w:t>
      </w:r>
      <w:r w:rsidRPr="000929AE">
        <w:t xml:space="preserve"> reluctantly transfers Harry to the local hospital (after he assaulted another resident and they felt they could no longer care for Harry and the other residents safely)</w:t>
      </w:r>
      <w:r w:rsidR="00405D51">
        <w:t>.</w:t>
      </w:r>
      <w:r w:rsidRPr="000929AE">
        <w:t xml:space="preserve"> Harry is reviewed by a geriatrician, who recommends a referral for SDCU assessment </w:t>
      </w:r>
    </w:p>
    <w:p w:rsidR="00CA4FF1" w:rsidRPr="000929AE" w:rsidRDefault="00CA4FF1" w:rsidP="00CA4FF1">
      <w:pPr>
        <w:shd w:val="clear" w:color="auto" w:fill="DBE5F1" w:themeFill="accent1" w:themeFillTint="33"/>
        <w:jc w:val="both"/>
      </w:pPr>
    </w:p>
    <w:p w:rsidR="00CA4FF1" w:rsidRPr="00B1248D" w:rsidRDefault="00CA4FF1" w:rsidP="00CA4FF1">
      <w:pPr>
        <w:shd w:val="clear" w:color="auto" w:fill="DBE5F1" w:themeFill="accent1" w:themeFillTint="33"/>
        <w:jc w:val="both"/>
      </w:pPr>
      <w:r w:rsidRPr="000929AE">
        <w:t xml:space="preserve">Harry is recommended for a SDCU </w:t>
      </w:r>
      <w:r w:rsidRPr="00EA0E2C">
        <w:t xml:space="preserve">placement following a needs based assessment.  The local SDCU clinical </w:t>
      </w:r>
      <w:r>
        <w:t xml:space="preserve">advisory </w:t>
      </w:r>
      <w:r w:rsidRPr="00EA0E2C">
        <w:t>committee considers how Harry would fit with the existing unit residents which are m</w:t>
      </w:r>
      <w:r w:rsidRPr="000929AE">
        <w:t xml:space="preserve">ainly older women, and recommends that Harry </w:t>
      </w:r>
      <w:r>
        <w:t xml:space="preserve">be provided care in </w:t>
      </w:r>
      <w:r w:rsidRPr="000929AE">
        <w:t>the SDCU in the neighbouring PHN which has a higher number of males</w:t>
      </w:r>
      <w:r>
        <w:t xml:space="preserve"> and </w:t>
      </w:r>
      <w:r w:rsidRPr="000929AE">
        <w:t xml:space="preserve">would be a better fit for him. This SDCU has an easily accessible large outdoor area which Harry uses a lot for walking, </w:t>
      </w:r>
      <w:r>
        <w:t xml:space="preserve">which </w:t>
      </w:r>
      <w:r w:rsidRPr="000929AE">
        <w:t xml:space="preserve">seems to be a factor in his improvement. Harry’s symptoms have gradually subsided over the 12 month placement and he transitions to a ‘step-down’ </w:t>
      </w:r>
      <w:r>
        <w:t>bed</w:t>
      </w:r>
      <w:r w:rsidRPr="000929AE">
        <w:t xml:space="preserve"> in the same facility.</w:t>
      </w:r>
    </w:p>
    <w:p w:rsidR="00CA4FF1" w:rsidRPr="000929AE" w:rsidRDefault="00CA4FF1" w:rsidP="00CA4FF1">
      <w:pPr>
        <w:shd w:val="clear" w:color="auto" w:fill="DBE5F1" w:themeFill="accent1" w:themeFillTint="33"/>
        <w:jc w:val="both"/>
      </w:pPr>
    </w:p>
    <w:p w:rsidR="00CA4FF1" w:rsidRPr="000929AE" w:rsidRDefault="00CA4FF1" w:rsidP="00CA4FF1">
      <w:pPr>
        <w:shd w:val="clear" w:color="auto" w:fill="DBE5F1" w:themeFill="accent1" w:themeFillTint="33"/>
        <w:tabs>
          <w:tab w:val="num" w:pos="720"/>
        </w:tabs>
        <w:jc w:val="both"/>
      </w:pPr>
      <w:r w:rsidRPr="000929AE">
        <w:rPr>
          <w:b/>
        </w:rPr>
        <w:t>George</w:t>
      </w:r>
      <w:r w:rsidRPr="000929AE">
        <w:t xml:space="preserve"> </w:t>
      </w:r>
      <w:r>
        <w:t xml:space="preserve">is 76, has dementia and is in an aged care home. </w:t>
      </w:r>
      <w:r w:rsidRPr="000929AE">
        <w:t xml:space="preserve">He immigrated to Australia many years ago and has limited English language skills. He has been yelling out and is very disruptive in the facility, and other residents’ families have been complaining to management. The care team refer George for an SDCU assessment as they think he meets the screening requirements. In undertaking the SDCU needs based assessment, in consultation with George’s </w:t>
      </w:r>
      <w:r>
        <w:t>GP</w:t>
      </w:r>
      <w:r w:rsidRPr="000929AE">
        <w:t xml:space="preserve">, care staff and family, it is determined that his symptoms are related to pain due to dental problems. </w:t>
      </w:r>
      <w:proofErr w:type="gramStart"/>
      <w:r>
        <w:t>Staff at the aged care home</w:t>
      </w:r>
      <w:r w:rsidRPr="000929AE">
        <w:t xml:space="preserve"> w</w:t>
      </w:r>
      <w:r>
        <w:t>ere</w:t>
      </w:r>
      <w:proofErr w:type="gramEnd"/>
      <w:r>
        <w:t xml:space="preserve"> also </w:t>
      </w:r>
      <w:r w:rsidRPr="000929AE">
        <w:t xml:space="preserve">not aware of the supports available through DBMAS or SBRT, with the latter coming to the facility to meet George, his family and care staff. They also help the care </w:t>
      </w:r>
      <w:proofErr w:type="gramStart"/>
      <w:r w:rsidRPr="000929AE">
        <w:t>staff get</w:t>
      </w:r>
      <w:proofErr w:type="gramEnd"/>
      <w:r w:rsidRPr="000929AE">
        <w:t xml:space="preserve"> in touch with the state Partners in Culturall</w:t>
      </w:r>
      <w:r>
        <w:t xml:space="preserve">y Appropriate Care organisation, which </w:t>
      </w:r>
      <w:r w:rsidRPr="000929AE">
        <w:t>suggest</w:t>
      </w:r>
      <w:r w:rsidR="00405D51">
        <w:t>s</w:t>
      </w:r>
      <w:r w:rsidRPr="000929AE">
        <w:t xml:space="preserve"> some strategies to assist in delivering culturally appropriate care to George. </w:t>
      </w:r>
    </w:p>
    <w:p w:rsidR="00CA4FF1" w:rsidRPr="000929AE" w:rsidRDefault="00CA4FF1" w:rsidP="00CA4FF1">
      <w:pPr>
        <w:shd w:val="clear" w:color="auto" w:fill="DBE5F1" w:themeFill="accent1" w:themeFillTint="33"/>
        <w:tabs>
          <w:tab w:val="num" w:pos="720"/>
        </w:tabs>
        <w:jc w:val="both"/>
        <w:rPr>
          <w:color w:val="222222"/>
          <w:lang w:val="en" w:eastAsia="en-AU"/>
        </w:rPr>
      </w:pPr>
    </w:p>
    <w:p w:rsidR="00CA4FF1" w:rsidRPr="000929AE" w:rsidRDefault="00CA4FF1" w:rsidP="00CA4FF1">
      <w:pPr>
        <w:shd w:val="clear" w:color="auto" w:fill="DBE5F1" w:themeFill="accent1" w:themeFillTint="33"/>
        <w:jc w:val="both"/>
      </w:pPr>
      <w:r w:rsidRPr="000929AE">
        <w:t>George</w:t>
      </w:r>
      <w:r w:rsidR="00405D51">
        <w:t xml:space="preserve"> i</w:t>
      </w:r>
      <w:r w:rsidRPr="000929AE">
        <w:t xml:space="preserve">s seen by the dentist who successfully </w:t>
      </w:r>
      <w:r w:rsidR="00405D51" w:rsidRPr="000929AE">
        <w:t>treat</w:t>
      </w:r>
      <w:r w:rsidR="00405D51">
        <w:t>s</w:t>
      </w:r>
      <w:r w:rsidR="00405D51" w:rsidRPr="000929AE">
        <w:t xml:space="preserve"> </w:t>
      </w:r>
      <w:r w:rsidRPr="000929AE">
        <w:t>George’s dental problems</w:t>
      </w:r>
      <w:r w:rsidR="00405D51">
        <w:t>,</w:t>
      </w:r>
      <w:r w:rsidRPr="000929AE">
        <w:t xml:space="preserve"> and George’s behaviours quickly settle.</w:t>
      </w:r>
    </w:p>
    <w:p w:rsidR="00CA4FF1" w:rsidRPr="000929AE" w:rsidRDefault="00CA4FF1" w:rsidP="00CA4FF1">
      <w:pPr>
        <w:shd w:val="clear" w:color="auto" w:fill="DBE5F1" w:themeFill="accent1" w:themeFillTint="33"/>
        <w:tabs>
          <w:tab w:val="num" w:pos="720"/>
        </w:tabs>
        <w:jc w:val="both"/>
      </w:pPr>
      <w:r w:rsidRPr="000929AE">
        <w:rPr>
          <w:b/>
        </w:rPr>
        <w:lastRenderedPageBreak/>
        <w:t>Margaret</w:t>
      </w:r>
      <w:r w:rsidRPr="000929AE">
        <w:t xml:space="preserve"> is 74 years old and lives at home with her husband Jack. She receives assistance with activities of daily living through a Level 2 home care package. She has a primary diagnosis of bipolar disorder, and a secondary diagnosis of mild vascular dementia. </w:t>
      </w:r>
    </w:p>
    <w:p w:rsidR="00CA4FF1" w:rsidRPr="000929AE" w:rsidRDefault="00CA4FF1" w:rsidP="00CA4FF1">
      <w:pPr>
        <w:shd w:val="clear" w:color="auto" w:fill="DBE5F1" w:themeFill="accent1" w:themeFillTint="33"/>
        <w:tabs>
          <w:tab w:val="num" w:pos="720"/>
        </w:tabs>
        <w:jc w:val="both"/>
      </w:pPr>
    </w:p>
    <w:p w:rsidR="00CA4FF1" w:rsidRPr="000929AE" w:rsidRDefault="00CA4FF1" w:rsidP="00CA4FF1">
      <w:pPr>
        <w:shd w:val="clear" w:color="auto" w:fill="DBE5F1" w:themeFill="accent1" w:themeFillTint="33"/>
        <w:tabs>
          <w:tab w:val="num" w:pos="720"/>
        </w:tabs>
        <w:jc w:val="both"/>
      </w:pPr>
      <w:r w:rsidRPr="000929AE">
        <w:t>Jack contacts Margaret’s GP due to concerns about her symptoms getting worse. Margaret is becoming increasingly distressed and experiencing delusions. At times she gets very agitated, crying for long periods and yelling out. At other times she is very withdrawn. Margaret’s GP refers her to hospital.</w:t>
      </w:r>
    </w:p>
    <w:p w:rsidR="00CA4FF1" w:rsidRPr="000929AE" w:rsidRDefault="00CA4FF1" w:rsidP="00CA4FF1">
      <w:pPr>
        <w:shd w:val="clear" w:color="auto" w:fill="DBE5F1" w:themeFill="accent1" w:themeFillTint="33"/>
        <w:tabs>
          <w:tab w:val="num" w:pos="720"/>
        </w:tabs>
        <w:jc w:val="both"/>
      </w:pPr>
    </w:p>
    <w:p w:rsidR="00CA4FF1" w:rsidRPr="000929AE" w:rsidRDefault="00CA4FF1" w:rsidP="00CA4FF1">
      <w:pPr>
        <w:shd w:val="clear" w:color="auto" w:fill="DBE5F1" w:themeFill="accent1" w:themeFillTint="33"/>
        <w:tabs>
          <w:tab w:val="num" w:pos="720"/>
        </w:tabs>
        <w:jc w:val="both"/>
      </w:pPr>
      <w:r w:rsidRPr="000929AE">
        <w:t xml:space="preserve">Hospital </w:t>
      </w:r>
      <w:proofErr w:type="gramStart"/>
      <w:r w:rsidRPr="000929AE">
        <w:t>staff suggest</w:t>
      </w:r>
      <w:proofErr w:type="gramEnd"/>
      <w:r w:rsidRPr="000929AE">
        <w:t xml:space="preserve"> that Margaret should be referred for an SDCU assessment. The SDCU assessment service accepts the referral and conducts a preliminary screening</w:t>
      </w:r>
      <w:r>
        <w:t>,</w:t>
      </w:r>
      <w:r w:rsidRPr="000929AE">
        <w:t xml:space="preserve"> and then continues with a needs-based assessment. The SDCU assessment service, in conjunction with Margaret’s </w:t>
      </w:r>
      <w:r>
        <w:t>GP</w:t>
      </w:r>
      <w:r w:rsidRPr="000929AE">
        <w:t xml:space="preserve"> and </w:t>
      </w:r>
      <w:proofErr w:type="spellStart"/>
      <w:r w:rsidRPr="000929AE">
        <w:t>psychogeriatrician</w:t>
      </w:r>
      <w:proofErr w:type="spellEnd"/>
      <w:r w:rsidRPr="000929AE">
        <w:t>, determine that Margaret’s symptoms likely relate to her primary diagnosis of bipolar disorder (rather than dementia). She is more appropriately referred to a state government older persons’ mental health unit for treatment.</w:t>
      </w:r>
    </w:p>
    <w:p w:rsidR="00CA4FF1" w:rsidRDefault="00CA4FF1" w:rsidP="00CA4FF1">
      <w:pPr>
        <w:pStyle w:val="Heading3"/>
        <w:numPr>
          <w:ilvl w:val="2"/>
          <w:numId w:val="4"/>
        </w:numPr>
        <w:spacing w:after="120"/>
        <w:jc w:val="both"/>
      </w:pPr>
      <w:bookmarkStart w:id="47" w:name="_Toc499538748"/>
      <w:r>
        <w:t>Pillar 2 – SDCU delivery</w:t>
      </w:r>
      <w:bookmarkEnd w:id="47"/>
    </w:p>
    <w:p w:rsidR="00CA4FF1" w:rsidRPr="009C6C80" w:rsidRDefault="00CA4FF1" w:rsidP="00CA4FF1">
      <w:pPr>
        <w:jc w:val="both"/>
      </w:pPr>
      <w:r w:rsidRPr="009C6C80">
        <w:t xml:space="preserve">The service </w:t>
      </w:r>
      <w:r>
        <w:t xml:space="preserve">delivery </w:t>
      </w:r>
      <w:r w:rsidRPr="009C6C80">
        <w:t xml:space="preserve">step will offer intensive, psychosocial-based specialist residential support with a focus on stabilising </w:t>
      </w:r>
      <w:r>
        <w:t>symptoms for</w:t>
      </w:r>
      <w:r w:rsidRPr="009C6C80">
        <w:t xml:space="preserve"> </w:t>
      </w:r>
      <w:r>
        <w:t xml:space="preserve">individuals </w:t>
      </w:r>
      <w:r w:rsidRPr="009C6C80">
        <w:t xml:space="preserve">to transition to a less intensive care setting. </w:t>
      </w:r>
    </w:p>
    <w:p w:rsidR="00CA4FF1" w:rsidRDefault="00CA4FF1" w:rsidP="00CA4FF1">
      <w:pPr>
        <w:pStyle w:val="Heading3"/>
        <w:numPr>
          <w:ilvl w:val="3"/>
          <w:numId w:val="4"/>
        </w:numPr>
        <w:spacing w:after="120"/>
        <w:jc w:val="both"/>
      </w:pPr>
      <w:bookmarkStart w:id="48" w:name="_Toc499538749"/>
      <w:r>
        <w:t>Care setting</w:t>
      </w:r>
      <w:bookmarkEnd w:id="48"/>
    </w:p>
    <w:p w:rsidR="00CA4FF1" w:rsidRDefault="00CA4FF1" w:rsidP="00CA4FF1">
      <w:pPr>
        <w:jc w:val="both"/>
      </w:pPr>
      <w:r w:rsidRPr="00B1248D">
        <w:t>Care will generally be delivered in a dedicated 8</w:t>
      </w:r>
      <w:r>
        <w:t>–</w:t>
      </w:r>
      <w:r w:rsidRPr="00B1248D">
        <w:t>12 bed</w:t>
      </w:r>
      <w:r>
        <w:rPr>
          <w:rStyle w:val="EndnoteReference"/>
        </w:rPr>
        <w:endnoteReference w:id="27"/>
      </w:r>
      <w:r w:rsidRPr="00B1248D">
        <w:t xml:space="preserve"> residential aged care unit, located within a larger residential aged care facility</w:t>
      </w:r>
      <w:r w:rsidR="00405D51">
        <w:t>.</w:t>
      </w:r>
      <w:r>
        <w:rPr>
          <w:rStyle w:val="EndnoteReference"/>
        </w:rPr>
        <w:endnoteReference w:id="28"/>
      </w:r>
      <w:r>
        <w:t xml:space="preserve"> This will facilitate </w:t>
      </w:r>
      <w:r w:rsidRPr="00B1248D">
        <w:t>opportunities for ‘step down’ into a mainstream bed</w:t>
      </w:r>
      <w:r>
        <w:t xml:space="preserve"> within the same broader facility.</w:t>
      </w:r>
    </w:p>
    <w:p w:rsidR="00CA4FF1" w:rsidRDefault="00CA4FF1" w:rsidP="00CA4FF1">
      <w:pPr>
        <w:jc w:val="both"/>
      </w:pPr>
    </w:p>
    <w:p w:rsidR="00CA4FF1" w:rsidRDefault="00CA4FF1" w:rsidP="00CA4FF1">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jc w:val="both"/>
      </w:pPr>
      <w:r>
        <w:t xml:space="preserve">Q11) </w:t>
      </w:r>
      <w:r w:rsidRPr="009C6C80">
        <w:t>Is</w:t>
      </w:r>
      <w:r>
        <w:t xml:space="preserve"> an</w:t>
      </w:r>
      <w:r w:rsidRPr="009C6C80">
        <w:t xml:space="preserve"> 8</w:t>
      </w:r>
      <w:r>
        <w:t>–</w:t>
      </w:r>
      <w:r w:rsidRPr="009C6C80">
        <w:t>12 bed</w:t>
      </w:r>
      <w:r>
        <w:t xml:space="preserve"> unit </w:t>
      </w:r>
      <w:r w:rsidRPr="009C6C80">
        <w:t xml:space="preserve">(within a larger </w:t>
      </w:r>
      <w:r>
        <w:t xml:space="preserve">residential aged care </w:t>
      </w:r>
      <w:r w:rsidRPr="009C6C80">
        <w:t xml:space="preserve">facility) </w:t>
      </w:r>
      <w:r>
        <w:t>the appropriate care setting for S</w:t>
      </w:r>
      <w:r w:rsidRPr="009C6C80">
        <w:t>DCU</w:t>
      </w:r>
      <w:r>
        <w:t>s</w:t>
      </w:r>
      <w:r w:rsidRPr="009C6C80">
        <w:t>?</w:t>
      </w:r>
      <w:r>
        <w:t xml:space="preserve"> Are there circumstances in which larger or smaller units would be more appropriate?</w:t>
      </w:r>
    </w:p>
    <w:p w:rsidR="00CA4FF1" w:rsidRDefault="00CA4FF1" w:rsidP="00CA4FF1">
      <w:pPr>
        <w:pStyle w:val="Heading3"/>
        <w:numPr>
          <w:ilvl w:val="3"/>
          <w:numId w:val="4"/>
        </w:numPr>
        <w:spacing w:after="120"/>
        <w:jc w:val="both"/>
      </w:pPr>
      <w:bookmarkStart w:id="49" w:name="_Toc499538750"/>
      <w:r>
        <w:t>Philosophy of care and care approach</w:t>
      </w:r>
      <w:bookmarkEnd w:id="49"/>
    </w:p>
    <w:p w:rsidR="00CA4FF1" w:rsidRDefault="00CA4FF1" w:rsidP="00CA4FF1">
      <w:pPr>
        <w:jc w:val="both"/>
      </w:pPr>
    </w:p>
    <w:p w:rsidR="00CA4FF1" w:rsidRPr="009C6C80" w:rsidRDefault="00CA4FF1" w:rsidP="00CA4FF1">
      <w:pPr>
        <w:jc w:val="both"/>
      </w:pPr>
      <w:r w:rsidRPr="009C6C80">
        <w:t xml:space="preserve">A psychosocial, person-centred and goal-oriented philosophy </w:t>
      </w:r>
      <w:r>
        <w:t xml:space="preserve">and approach </w:t>
      </w:r>
      <w:proofErr w:type="gramStart"/>
      <w:r>
        <w:t xml:space="preserve">to </w:t>
      </w:r>
      <w:r w:rsidRPr="009C6C80">
        <w:t xml:space="preserve"> care</w:t>
      </w:r>
      <w:proofErr w:type="gramEnd"/>
      <w:r w:rsidRPr="009C6C80">
        <w:t xml:space="preserve"> will be employed that build</w:t>
      </w:r>
      <w:r>
        <w:t>s</w:t>
      </w:r>
      <w:r w:rsidRPr="009C6C80">
        <w:t xml:space="preserve"> on or maintain</w:t>
      </w:r>
      <w:r>
        <w:t>s</w:t>
      </w:r>
      <w:r w:rsidRPr="009C6C80">
        <w:t xml:space="preserve"> the </w:t>
      </w:r>
      <w:r>
        <w:t xml:space="preserve">strengths and </w:t>
      </w:r>
      <w:r w:rsidRPr="009C6C80">
        <w:t xml:space="preserve">capacity of individuals. </w:t>
      </w:r>
      <w:r>
        <w:t>A person-centred approach (care that is consistent with the 10 Principles of Dignity in Care) will be used to minimise the impact of BPSD.</w:t>
      </w:r>
      <w:r>
        <w:rPr>
          <w:rStyle w:val="EndnoteReference"/>
        </w:rPr>
        <w:endnoteReference w:id="29"/>
      </w:r>
      <w:r>
        <w:t xml:space="preserve"> </w:t>
      </w:r>
      <w:r w:rsidRPr="009C6C80">
        <w:t>A strong program of activities that reflects individual interests and strengths will be provided</w:t>
      </w:r>
      <w:r>
        <w:t>.</w:t>
      </w:r>
      <w:r w:rsidRPr="009C6C80">
        <w:t xml:space="preserve"> </w:t>
      </w:r>
      <w:r>
        <w:t>In providing care to people in the SDCU, staff, in partnership with families and carers, will identify, monitor and address environmental, physical health and psychosocial factors such as unmet needs and stress thresholds, to ensure improved outcomes for clients.</w:t>
      </w:r>
      <w:r>
        <w:rPr>
          <w:rStyle w:val="EndnoteReference"/>
        </w:rPr>
        <w:endnoteReference w:id="30"/>
      </w:r>
    </w:p>
    <w:p w:rsidR="00CA4FF1" w:rsidRDefault="00CA4FF1" w:rsidP="00CA4FF1">
      <w:pPr>
        <w:pStyle w:val="Heading3"/>
        <w:numPr>
          <w:ilvl w:val="3"/>
          <w:numId w:val="4"/>
        </w:numPr>
        <w:spacing w:after="120"/>
        <w:jc w:val="both"/>
      </w:pPr>
      <w:bookmarkStart w:id="50" w:name="_Toc499538751"/>
      <w:r>
        <w:lastRenderedPageBreak/>
        <w:t>Care planning</w:t>
      </w:r>
      <w:bookmarkEnd w:id="50"/>
    </w:p>
    <w:p w:rsidR="00CA4FF1" w:rsidRPr="00891080" w:rsidRDefault="00CA4FF1" w:rsidP="00CA4FF1">
      <w:pPr>
        <w:pStyle w:val="Default"/>
        <w:jc w:val="both"/>
        <w:rPr>
          <w:rFonts w:asciiTheme="minorHAnsi" w:hAnsiTheme="minorHAnsi"/>
          <w:color w:val="auto"/>
        </w:rPr>
      </w:pPr>
      <w:r w:rsidRPr="00891080">
        <w:rPr>
          <w:rFonts w:asciiTheme="minorHAnsi" w:hAnsiTheme="minorHAnsi"/>
          <w:color w:val="auto"/>
        </w:rPr>
        <w:t xml:space="preserve">Care planning will take a person-centred approach, which is a way of organising and providing services that places the person (and their </w:t>
      </w:r>
      <w:r>
        <w:rPr>
          <w:rFonts w:asciiTheme="minorHAnsi" w:hAnsiTheme="minorHAnsi"/>
          <w:color w:val="auto"/>
        </w:rPr>
        <w:t xml:space="preserve">family, friends and </w:t>
      </w:r>
      <w:r w:rsidRPr="00891080">
        <w:rPr>
          <w:rFonts w:asciiTheme="minorHAnsi" w:hAnsiTheme="minorHAnsi"/>
          <w:color w:val="auto"/>
        </w:rPr>
        <w:t>carers) at the centre of planning and decision-making,</w:t>
      </w:r>
      <w:r w:rsidR="00405D51">
        <w:rPr>
          <w:rFonts w:asciiTheme="minorHAnsi" w:hAnsiTheme="minorHAnsi"/>
          <w:color w:val="auto"/>
        </w:rPr>
        <w:t xml:space="preserve"> and</w:t>
      </w:r>
      <w:r w:rsidRPr="00891080">
        <w:rPr>
          <w:rFonts w:asciiTheme="minorHAnsi" w:hAnsiTheme="minorHAnsi"/>
          <w:color w:val="auto"/>
        </w:rPr>
        <w:t xml:space="preserve"> is respectful of, and responsive to, individual beliefs, preferences, needs and values of clients and those who care for them. A person</w:t>
      </w:r>
      <w:r>
        <w:rPr>
          <w:rFonts w:asciiTheme="minorHAnsi" w:hAnsiTheme="minorHAnsi"/>
          <w:color w:val="auto"/>
        </w:rPr>
        <w:t>-</w:t>
      </w:r>
      <w:r w:rsidRPr="00891080">
        <w:rPr>
          <w:rFonts w:asciiTheme="minorHAnsi" w:hAnsiTheme="minorHAnsi"/>
          <w:color w:val="auto"/>
        </w:rPr>
        <w:t>centred approach is based on valuing and understanding people’s life context, experience, relationships and environment, and what is important to them</w:t>
      </w:r>
      <w:r>
        <w:rPr>
          <w:rFonts w:asciiTheme="minorHAnsi" w:hAnsiTheme="minorHAnsi"/>
          <w:color w:val="auto"/>
        </w:rPr>
        <w:t>. It is also enabled by empowerment and a culture of continuous improvement.</w:t>
      </w:r>
      <w:r>
        <w:rPr>
          <w:rStyle w:val="EndnoteReference"/>
          <w:rFonts w:asciiTheme="minorHAnsi" w:hAnsiTheme="minorHAnsi"/>
          <w:color w:val="auto"/>
        </w:rPr>
        <w:endnoteReference w:id="31"/>
      </w:r>
    </w:p>
    <w:p w:rsidR="00CA4FF1" w:rsidRPr="00891080" w:rsidRDefault="00CA4FF1" w:rsidP="00CA4FF1">
      <w:pPr>
        <w:pStyle w:val="Default"/>
        <w:jc w:val="both"/>
        <w:rPr>
          <w:rFonts w:asciiTheme="minorHAnsi" w:hAnsiTheme="minorHAnsi"/>
          <w:color w:val="auto"/>
        </w:rPr>
      </w:pPr>
    </w:p>
    <w:p w:rsidR="00CA4FF1" w:rsidRPr="00891080" w:rsidRDefault="00CA4FF1" w:rsidP="00CA4FF1">
      <w:pPr>
        <w:pStyle w:val="Default"/>
        <w:jc w:val="both"/>
        <w:rPr>
          <w:rFonts w:asciiTheme="minorHAnsi" w:hAnsiTheme="minorHAnsi"/>
          <w:color w:val="auto"/>
        </w:rPr>
      </w:pPr>
      <w:r w:rsidRPr="00891080">
        <w:rPr>
          <w:rFonts w:asciiTheme="minorHAnsi" w:hAnsiTheme="minorHAnsi"/>
          <w:color w:val="auto"/>
        </w:rPr>
        <w:t>Care planning will include the following key elements:</w:t>
      </w:r>
    </w:p>
    <w:p w:rsidR="00CA4FF1" w:rsidRPr="00220C14" w:rsidRDefault="00CA4FF1" w:rsidP="00CA4FF1">
      <w:pPr>
        <w:pStyle w:val="Default"/>
        <w:numPr>
          <w:ilvl w:val="0"/>
          <w:numId w:val="18"/>
        </w:numPr>
        <w:jc w:val="both"/>
        <w:rPr>
          <w:rFonts w:asciiTheme="minorHAnsi" w:hAnsiTheme="minorHAnsi"/>
        </w:rPr>
      </w:pPr>
      <w:r w:rsidRPr="00220C14">
        <w:rPr>
          <w:rFonts w:asciiTheme="minorHAnsi" w:hAnsiTheme="minorHAnsi"/>
        </w:rPr>
        <w:t>a multi</w:t>
      </w:r>
      <w:r>
        <w:rPr>
          <w:rFonts w:asciiTheme="minorHAnsi" w:hAnsiTheme="minorHAnsi"/>
        </w:rPr>
        <w:t xml:space="preserve">disciplinary clinical advisory </w:t>
      </w:r>
      <w:r w:rsidRPr="00220C14">
        <w:rPr>
          <w:rFonts w:asciiTheme="minorHAnsi" w:hAnsiTheme="minorHAnsi"/>
        </w:rPr>
        <w:t>committee that oversees and regularly reviews individual care plans and approves entry to and transition out of the unit</w:t>
      </w:r>
    </w:p>
    <w:p w:rsidR="00CA4FF1" w:rsidRDefault="00CA4FF1" w:rsidP="00CA4FF1">
      <w:pPr>
        <w:pStyle w:val="Default"/>
        <w:numPr>
          <w:ilvl w:val="0"/>
          <w:numId w:val="18"/>
        </w:numPr>
        <w:jc w:val="both"/>
        <w:rPr>
          <w:rFonts w:asciiTheme="minorHAnsi" w:hAnsiTheme="minorHAnsi"/>
        </w:rPr>
      </w:pPr>
      <w:r>
        <w:rPr>
          <w:rFonts w:asciiTheme="minorHAnsi" w:hAnsiTheme="minorHAnsi"/>
        </w:rPr>
        <w:t>development of an individual care plan (in partnership with the person with dementia’s family and carer</w:t>
      </w:r>
      <w:r w:rsidR="00405D51">
        <w:rPr>
          <w:rFonts w:asciiTheme="minorHAnsi" w:hAnsiTheme="minorHAnsi"/>
        </w:rPr>
        <w:t>/</w:t>
      </w:r>
      <w:r>
        <w:rPr>
          <w:rFonts w:asciiTheme="minorHAnsi" w:hAnsiTheme="minorHAnsi"/>
        </w:rPr>
        <w:t>s) that provides  clear strategies to anticipate, manage and de</w:t>
      </w:r>
      <w:r w:rsidR="00405D51">
        <w:rPr>
          <w:rFonts w:asciiTheme="minorHAnsi" w:hAnsiTheme="minorHAnsi"/>
        </w:rPr>
        <w:t>-</w:t>
      </w:r>
      <w:r>
        <w:rPr>
          <w:rFonts w:asciiTheme="minorHAnsi" w:hAnsiTheme="minorHAnsi"/>
        </w:rPr>
        <w:t>escalate BPSD</w:t>
      </w:r>
      <w:r>
        <w:rPr>
          <w:rStyle w:val="EndnoteReference"/>
          <w:rFonts w:asciiTheme="minorHAnsi" w:hAnsiTheme="minorHAnsi"/>
        </w:rPr>
        <w:endnoteReference w:id="32"/>
      </w:r>
    </w:p>
    <w:p w:rsidR="00CA4FF1" w:rsidRPr="00891080" w:rsidRDefault="00CA4FF1" w:rsidP="00CA4FF1">
      <w:pPr>
        <w:pStyle w:val="Default"/>
        <w:numPr>
          <w:ilvl w:val="0"/>
          <w:numId w:val="18"/>
        </w:numPr>
        <w:jc w:val="both"/>
        <w:rPr>
          <w:rFonts w:asciiTheme="minorHAnsi" w:hAnsiTheme="minorHAnsi"/>
        </w:rPr>
      </w:pPr>
      <w:r>
        <w:rPr>
          <w:rFonts w:asciiTheme="minorHAnsi" w:hAnsiTheme="minorHAnsi"/>
        </w:rPr>
        <w:t xml:space="preserve">involvement of clients, family </w:t>
      </w:r>
      <w:r w:rsidRPr="00891080">
        <w:rPr>
          <w:rFonts w:asciiTheme="minorHAnsi" w:hAnsiTheme="minorHAnsi"/>
        </w:rPr>
        <w:t>and carers in care planning and goal setting discussion</w:t>
      </w:r>
      <w:r>
        <w:rPr>
          <w:rFonts w:asciiTheme="minorHAnsi" w:hAnsiTheme="minorHAnsi"/>
        </w:rPr>
        <w:t>s</w:t>
      </w:r>
    </w:p>
    <w:p w:rsidR="00CA4FF1" w:rsidRPr="00891080" w:rsidRDefault="00CA4FF1" w:rsidP="00CA4FF1">
      <w:pPr>
        <w:pStyle w:val="Default"/>
        <w:numPr>
          <w:ilvl w:val="0"/>
          <w:numId w:val="18"/>
        </w:numPr>
        <w:jc w:val="both"/>
        <w:rPr>
          <w:rFonts w:asciiTheme="minorHAnsi" w:hAnsiTheme="minorHAnsi"/>
        </w:rPr>
      </w:pPr>
      <w:r>
        <w:rPr>
          <w:rFonts w:asciiTheme="minorHAnsi" w:hAnsiTheme="minorHAnsi"/>
        </w:rPr>
        <w:t>e</w:t>
      </w:r>
      <w:r w:rsidRPr="00891080">
        <w:rPr>
          <w:rFonts w:asciiTheme="minorHAnsi" w:hAnsiTheme="minorHAnsi"/>
        </w:rPr>
        <w:t xml:space="preserve">xplicit consideration of </w:t>
      </w:r>
      <w:r>
        <w:rPr>
          <w:rFonts w:asciiTheme="minorHAnsi" w:hAnsiTheme="minorHAnsi"/>
        </w:rPr>
        <w:t xml:space="preserve">person-centred and </w:t>
      </w:r>
      <w:r w:rsidRPr="00891080">
        <w:rPr>
          <w:rFonts w:asciiTheme="minorHAnsi" w:hAnsiTheme="minorHAnsi"/>
        </w:rPr>
        <w:t>culturally appropriate care</w:t>
      </w:r>
    </w:p>
    <w:p w:rsidR="00CA4FF1" w:rsidRPr="00891080" w:rsidRDefault="00CA4FF1" w:rsidP="00CA4FF1">
      <w:pPr>
        <w:pStyle w:val="Default"/>
        <w:numPr>
          <w:ilvl w:val="0"/>
          <w:numId w:val="18"/>
        </w:numPr>
        <w:jc w:val="both"/>
        <w:rPr>
          <w:rFonts w:asciiTheme="minorHAnsi" w:hAnsiTheme="minorHAnsi"/>
        </w:rPr>
      </w:pPr>
      <w:r>
        <w:rPr>
          <w:rFonts w:asciiTheme="minorHAnsi" w:hAnsiTheme="minorHAnsi"/>
        </w:rPr>
        <w:t>consideration of the person’s preferences and previous interests</w:t>
      </w:r>
    </w:p>
    <w:p w:rsidR="00CA4FF1" w:rsidRPr="00DA066D" w:rsidRDefault="00CA4FF1" w:rsidP="00CA4FF1">
      <w:pPr>
        <w:pStyle w:val="Default"/>
        <w:numPr>
          <w:ilvl w:val="0"/>
          <w:numId w:val="18"/>
        </w:numPr>
        <w:jc w:val="both"/>
        <w:rPr>
          <w:rFonts w:asciiTheme="minorHAnsi" w:hAnsiTheme="minorHAnsi"/>
          <w:color w:val="auto"/>
        </w:rPr>
      </w:pPr>
      <w:r w:rsidRPr="00371DCC">
        <w:rPr>
          <w:rFonts w:asciiTheme="minorHAnsi" w:hAnsiTheme="minorHAnsi"/>
        </w:rPr>
        <w:t>maximum opportunities for independent performance of activities of daily living</w:t>
      </w:r>
    </w:p>
    <w:p w:rsidR="00CA4FF1" w:rsidRPr="00470E0E" w:rsidRDefault="00CA4FF1" w:rsidP="00CA4FF1">
      <w:pPr>
        <w:pStyle w:val="Default"/>
        <w:numPr>
          <w:ilvl w:val="0"/>
          <w:numId w:val="18"/>
        </w:numPr>
        <w:jc w:val="both"/>
        <w:rPr>
          <w:rFonts w:asciiTheme="minorHAnsi" w:hAnsiTheme="minorHAnsi"/>
          <w:color w:val="auto"/>
        </w:rPr>
      </w:pPr>
      <w:proofErr w:type="gramStart"/>
      <w:r>
        <w:rPr>
          <w:rFonts w:asciiTheme="minorHAnsi" w:hAnsiTheme="minorHAnsi"/>
        </w:rPr>
        <w:t>planning</w:t>
      </w:r>
      <w:proofErr w:type="gramEnd"/>
      <w:r>
        <w:rPr>
          <w:rFonts w:asciiTheme="minorHAnsi" w:hAnsiTheme="minorHAnsi"/>
        </w:rPr>
        <w:t xml:space="preserve"> for step down care and advanced care planning where relevant. </w:t>
      </w:r>
    </w:p>
    <w:p w:rsidR="00CA4FF1" w:rsidRPr="00371DCC" w:rsidRDefault="00CA4FF1" w:rsidP="00CA4FF1">
      <w:pPr>
        <w:pStyle w:val="Default"/>
        <w:jc w:val="both"/>
        <w:rPr>
          <w:rFonts w:asciiTheme="minorHAnsi" w:hAnsiTheme="minorHAnsi"/>
          <w:color w:val="auto"/>
        </w:rPr>
      </w:pPr>
    </w:p>
    <w:p w:rsidR="00CA4FF1" w:rsidRPr="00891080" w:rsidRDefault="00CA4FF1" w:rsidP="00CA4FF1">
      <w:pPr>
        <w:pStyle w:val="Default"/>
        <w:jc w:val="both"/>
        <w:rPr>
          <w:rFonts w:asciiTheme="minorHAnsi" w:hAnsiTheme="minorHAnsi"/>
          <w:color w:val="auto"/>
        </w:rPr>
      </w:pPr>
      <w:r w:rsidRPr="00891080">
        <w:rPr>
          <w:rFonts w:asciiTheme="minorHAnsi" w:hAnsiTheme="minorHAnsi"/>
          <w:color w:val="auto"/>
        </w:rPr>
        <w:t xml:space="preserve">Development of the care plan will include multidisciplinary input from the treating </w:t>
      </w:r>
      <w:r>
        <w:rPr>
          <w:rFonts w:asciiTheme="minorHAnsi" w:hAnsiTheme="minorHAnsi"/>
          <w:color w:val="auto"/>
        </w:rPr>
        <w:t>GP,</w:t>
      </w:r>
      <w:r w:rsidRPr="00891080">
        <w:rPr>
          <w:rFonts w:asciiTheme="minorHAnsi" w:hAnsiTheme="minorHAnsi"/>
          <w:color w:val="auto"/>
        </w:rPr>
        <w:t xml:space="preserve"> specialist</w:t>
      </w:r>
      <w:r>
        <w:rPr>
          <w:rFonts w:asciiTheme="minorHAnsi" w:hAnsiTheme="minorHAnsi"/>
          <w:color w:val="auto"/>
        </w:rPr>
        <w:t xml:space="preserve"> (where applicable)</w:t>
      </w:r>
      <w:r w:rsidRPr="00891080">
        <w:rPr>
          <w:rFonts w:asciiTheme="minorHAnsi" w:hAnsiTheme="minorHAnsi"/>
          <w:color w:val="auto"/>
        </w:rPr>
        <w:t>, nursing staff, ca</w:t>
      </w:r>
      <w:r>
        <w:rPr>
          <w:rFonts w:asciiTheme="minorHAnsi" w:hAnsiTheme="minorHAnsi"/>
          <w:color w:val="auto"/>
        </w:rPr>
        <w:t xml:space="preserve">re staff, allied health staff, pharmacist, clients, family and </w:t>
      </w:r>
      <w:r w:rsidRPr="00891080">
        <w:rPr>
          <w:rFonts w:asciiTheme="minorHAnsi" w:hAnsiTheme="minorHAnsi"/>
          <w:color w:val="auto"/>
        </w:rPr>
        <w:t>carers</w:t>
      </w:r>
      <w:r>
        <w:rPr>
          <w:rFonts w:asciiTheme="minorHAnsi" w:hAnsiTheme="minorHAnsi"/>
          <w:color w:val="auto"/>
        </w:rPr>
        <w:t>. C</w:t>
      </w:r>
      <w:r w:rsidRPr="00891080">
        <w:rPr>
          <w:rFonts w:asciiTheme="minorHAnsi" w:hAnsiTheme="minorHAnsi"/>
          <w:color w:val="auto"/>
        </w:rPr>
        <w:t>are plan</w:t>
      </w:r>
      <w:r>
        <w:rPr>
          <w:rFonts w:asciiTheme="minorHAnsi" w:hAnsiTheme="minorHAnsi"/>
          <w:color w:val="auto"/>
        </w:rPr>
        <w:t>s</w:t>
      </w:r>
      <w:r w:rsidRPr="00891080">
        <w:rPr>
          <w:rFonts w:asciiTheme="minorHAnsi" w:hAnsiTheme="minorHAnsi"/>
          <w:color w:val="auto"/>
        </w:rPr>
        <w:t xml:space="preserve"> will be reviewed on an ongoing basis with </w:t>
      </w:r>
      <w:r w:rsidRPr="009A7438">
        <w:rPr>
          <w:rFonts w:asciiTheme="minorHAnsi" w:hAnsiTheme="minorHAnsi"/>
          <w:color w:val="auto"/>
        </w:rPr>
        <w:t>regular formal reviews as guided by the treating specialist and clinical governance</w:t>
      </w:r>
      <w:r w:rsidRPr="00891080">
        <w:rPr>
          <w:rFonts w:asciiTheme="minorHAnsi" w:hAnsiTheme="minorHAnsi"/>
          <w:color w:val="auto"/>
        </w:rPr>
        <w:t xml:space="preserve"> committee.</w:t>
      </w:r>
    </w:p>
    <w:p w:rsidR="00CA4FF1" w:rsidRPr="00891080" w:rsidRDefault="00CA4FF1" w:rsidP="00CA4FF1">
      <w:pPr>
        <w:pStyle w:val="Default"/>
        <w:jc w:val="both"/>
        <w:rPr>
          <w:rFonts w:asciiTheme="minorHAnsi" w:hAnsiTheme="minorHAnsi"/>
        </w:rPr>
      </w:pPr>
    </w:p>
    <w:p w:rsidR="00CA4FF1" w:rsidRDefault="00CA4FF1" w:rsidP="00CA4FF1">
      <w:pPr>
        <w:pStyle w:val="Default"/>
        <w:jc w:val="both"/>
        <w:rPr>
          <w:rFonts w:asciiTheme="minorHAnsi" w:hAnsiTheme="minorHAnsi"/>
          <w:color w:val="auto"/>
        </w:rPr>
      </w:pPr>
      <w:r w:rsidRPr="00891080">
        <w:rPr>
          <w:rFonts w:asciiTheme="minorHAnsi" w:hAnsiTheme="minorHAnsi"/>
          <w:color w:val="auto"/>
        </w:rPr>
        <w:t xml:space="preserve">Within a client’s SDCU placement there will be ongoing </w:t>
      </w:r>
      <w:r>
        <w:rPr>
          <w:rFonts w:asciiTheme="minorHAnsi" w:hAnsiTheme="minorHAnsi"/>
          <w:color w:val="auto"/>
        </w:rPr>
        <w:t xml:space="preserve">assessment, </w:t>
      </w:r>
      <w:r w:rsidRPr="00891080">
        <w:rPr>
          <w:rFonts w:asciiTheme="minorHAnsi" w:hAnsiTheme="minorHAnsi"/>
          <w:color w:val="auto"/>
        </w:rPr>
        <w:t>monitoring and review</w:t>
      </w:r>
      <w:r>
        <w:rPr>
          <w:rFonts w:asciiTheme="minorHAnsi" w:hAnsiTheme="minorHAnsi"/>
          <w:color w:val="auto"/>
        </w:rPr>
        <w:t xml:space="preserve">. This will include </w:t>
      </w:r>
      <w:r w:rsidRPr="00891080">
        <w:rPr>
          <w:rFonts w:asciiTheme="minorHAnsi" w:hAnsiTheme="minorHAnsi"/>
          <w:color w:val="auto"/>
        </w:rPr>
        <w:t>formal reviews at regular intervals to determine whether it would be appropriate for the person to transition (with appropriate supports) to a less intensive care setting. These assessment</w:t>
      </w:r>
      <w:r>
        <w:rPr>
          <w:rFonts w:asciiTheme="minorHAnsi" w:hAnsiTheme="minorHAnsi"/>
          <w:color w:val="auto"/>
        </w:rPr>
        <w:t>s</w:t>
      </w:r>
      <w:r w:rsidRPr="00891080">
        <w:rPr>
          <w:rFonts w:asciiTheme="minorHAnsi" w:hAnsiTheme="minorHAnsi"/>
          <w:color w:val="auto"/>
        </w:rPr>
        <w:t xml:space="preserve"> will inform any necessary changes to the client’s care plan.</w:t>
      </w:r>
    </w:p>
    <w:p w:rsidR="00CA4FF1" w:rsidRDefault="00CA4FF1" w:rsidP="00CA4FF1">
      <w:pPr>
        <w:pStyle w:val="Heading3"/>
        <w:numPr>
          <w:ilvl w:val="3"/>
          <w:numId w:val="4"/>
        </w:numPr>
        <w:spacing w:after="120"/>
        <w:jc w:val="both"/>
      </w:pPr>
      <w:bookmarkStart w:id="51" w:name="_Toc499538752"/>
      <w:r>
        <w:t>Care and services to be provided</w:t>
      </w:r>
      <w:bookmarkEnd w:id="51"/>
    </w:p>
    <w:p w:rsidR="00CA4FF1" w:rsidRPr="004A61E5" w:rsidRDefault="00CA4FF1" w:rsidP="00CA4FF1">
      <w:pPr>
        <w:jc w:val="both"/>
      </w:pPr>
      <w:r w:rsidRPr="004A61E5">
        <w:t>The same care and services that must be provided to any residential aged care recipient will be required to be provided to SDCU clients, including ensuring access to required specialist services and that care planning is personalised.</w:t>
      </w:r>
      <w:r w:rsidRPr="004A61E5">
        <w:rPr>
          <w:vertAlign w:val="superscript"/>
        </w:rPr>
        <w:endnoteReference w:id="33"/>
      </w:r>
      <w:r w:rsidRPr="004A61E5">
        <w:t xml:space="preserve"> </w:t>
      </w:r>
    </w:p>
    <w:p w:rsidR="00CA4FF1" w:rsidRPr="004A61E5" w:rsidRDefault="00CA4FF1" w:rsidP="00CA4FF1">
      <w:pPr>
        <w:jc w:val="both"/>
      </w:pPr>
    </w:p>
    <w:p w:rsidR="00CA4FF1" w:rsidRPr="004A61E5" w:rsidRDefault="00CA4FF1" w:rsidP="00CA4FF1">
      <w:pPr>
        <w:autoSpaceDE w:val="0"/>
        <w:autoSpaceDN w:val="0"/>
        <w:adjustRightInd w:val="0"/>
        <w:jc w:val="both"/>
        <w:rPr>
          <w:rFonts w:cs="Calibri"/>
          <w:color w:val="000000"/>
          <w:lang w:eastAsia="en-AU"/>
        </w:rPr>
      </w:pPr>
      <w:r>
        <w:rPr>
          <w:rFonts w:cs="Calibri"/>
          <w:color w:val="000000"/>
          <w:lang w:eastAsia="en-AU"/>
        </w:rPr>
        <w:t>S</w:t>
      </w:r>
      <w:r w:rsidRPr="004A61E5">
        <w:rPr>
          <w:rFonts w:cs="Calibri"/>
          <w:color w:val="000000"/>
          <w:lang w:eastAsia="en-AU"/>
        </w:rPr>
        <w:t>pecified care and service</w:t>
      </w:r>
      <w:r>
        <w:rPr>
          <w:rFonts w:cs="Calibri"/>
          <w:color w:val="000000"/>
          <w:lang w:eastAsia="en-AU"/>
        </w:rPr>
        <w:t>s</w:t>
      </w:r>
      <w:r w:rsidRPr="004A61E5">
        <w:rPr>
          <w:rFonts w:cs="Calibri"/>
          <w:color w:val="000000"/>
          <w:lang w:eastAsia="en-AU"/>
        </w:rPr>
        <w:t xml:space="preserve"> must be del</w:t>
      </w:r>
      <w:r>
        <w:rPr>
          <w:rFonts w:cs="Calibri"/>
          <w:color w:val="000000"/>
          <w:lang w:eastAsia="en-AU"/>
        </w:rPr>
        <w:t xml:space="preserve">ivered in a way that meets the </w:t>
      </w:r>
      <w:r w:rsidRPr="004A61E5">
        <w:rPr>
          <w:rFonts w:cs="Calibri"/>
          <w:color w:val="000000"/>
          <w:lang w:eastAsia="en-AU"/>
        </w:rPr>
        <w:t>Accreditation Standards (Schedule 2 to the Qu</w:t>
      </w:r>
      <w:r>
        <w:rPr>
          <w:rFonts w:cs="Calibri"/>
          <w:color w:val="000000"/>
          <w:lang w:eastAsia="en-AU"/>
        </w:rPr>
        <w:t xml:space="preserve">ality of Care Principles 2014) </w:t>
      </w:r>
      <w:r w:rsidRPr="004A61E5">
        <w:rPr>
          <w:rFonts w:cs="Calibri"/>
          <w:color w:val="000000"/>
          <w:lang w:eastAsia="en-AU"/>
        </w:rPr>
        <w:t>and the Charter of Residents’ Rights and Responsibilities (Schedule 1 to the User Rights Principles 2014).</w:t>
      </w:r>
    </w:p>
    <w:p w:rsidR="00CA4FF1" w:rsidRPr="004A61E5" w:rsidRDefault="00CA4FF1" w:rsidP="00CA4FF1">
      <w:pPr>
        <w:autoSpaceDE w:val="0"/>
        <w:autoSpaceDN w:val="0"/>
        <w:adjustRightInd w:val="0"/>
        <w:jc w:val="both"/>
        <w:rPr>
          <w:rFonts w:cs="Calibri"/>
          <w:color w:val="000000"/>
          <w:lang w:eastAsia="en-AU"/>
        </w:rPr>
      </w:pPr>
    </w:p>
    <w:p w:rsidR="00CA4FF1" w:rsidRPr="004A61E5" w:rsidRDefault="00CA4FF1" w:rsidP="00CA4FF1">
      <w:pPr>
        <w:jc w:val="both"/>
        <w:rPr>
          <w:highlight w:val="green"/>
        </w:rPr>
      </w:pPr>
      <w:r w:rsidRPr="004A61E5">
        <w:t xml:space="preserve">Care and supports delivered by SDCUs should reflect that undiagnosed pain is a leading trigger of behaviours among people with dementia in residential aged care </w:t>
      </w:r>
      <w:r w:rsidRPr="004A61E5">
        <w:lastRenderedPageBreak/>
        <w:t xml:space="preserve">facilities. A palliative approach focused on detecting, analysing, treating, and evaluating resident pain </w:t>
      </w:r>
      <w:r>
        <w:t xml:space="preserve">should be </w:t>
      </w:r>
      <w:r w:rsidRPr="004A61E5">
        <w:t>central to care planning and service delivery.</w:t>
      </w:r>
    </w:p>
    <w:p w:rsidR="00CA4FF1" w:rsidRDefault="00CA4FF1" w:rsidP="00CA4FF1">
      <w:pPr>
        <w:pStyle w:val="Heading3"/>
        <w:numPr>
          <w:ilvl w:val="3"/>
          <w:numId w:val="4"/>
        </w:numPr>
        <w:spacing w:after="120"/>
        <w:jc w:val="both"/>
      </w:pPr>
      <w:bookmarkStart w:id="52" w:name="_Toc499538753"/>
      <w:r>
        <w:t>Therapeutic and meaningful activity</w:t>
      </w:r>
      <w:bookmarkEnd w:id="52"/>
    </w:p>
    <w:p w:rsidR="00CA4FF1" w:rsidRPr="004A61E5" w:rsidRDefault="00CA4FF1" w:rsidP="00CA4FF1">
      <w:pPr>
        <w:autoSpaceDE w:val="0"/>
        <w:autoSpaceDN w:val="0"/>
        <w:adjustRightInd w:val="0"/>
        <w:jc w:val="both"/>
        <w:rPr>
          <w:rFonts w:cs="Calibri"/>
          <w:color w:val="000000"/>
          <w:lang w:eastAsia="en-AU"/>
        </w:rPr>
      </w:pPr>
      <w:r w:rsidRPr="004A61E5">
        <w:rPr>
          <w:rFonts w:cs="Calibri"/>
          <w:color w:val="000000"/>
          <w:lang w:eastAsia="en-AU"/>
        </w:rPr>
        <w:t>A</w:t>
      </w:r>
      <w:r>
        <w:rPr>
          <w:rFonts w:cs="Calibri"/>
          <w:color w:val="000000"/>
          <w:lang w:eastAsia="en-AU"/>
        </w:rPr>
        <w:t xml:space="preserve"> strong program of activities will be</w:t>
      </w:r>
      <w:r w:rsidRPr="004A61E5">
        <w:rPr>
          <w:rFonts w:cs="Calibri"/>
          <w:color w:val="000000"/>
          <w:lang w:eastAsia="en-AU"/>
        </w:rPr>
        <w:t xml:space="preserve"> provided that reflects individual interests and strengths. </w:t>
      </w:r>
      <w:r>
        <w:rPr>
          <w:rFonts w:cs="Calibri"/>
          <w:color w:val="000000"/>
          <w:lang w:eastAsia="en-AU"/>
        </w:rPr>
        <w:t>These activities and interventions should be tailored to the person’s preferences, skills and abilities, with the person’s response monitored and the care plan adapted accordingly. Multicomponent activities that are enjoyable for the person plus individualised support should be provided.</w:t>
      </w:r>
      <w:r>
        <w:rPr>
          <w:rStyle w:val="EndnoteReference"/>
          <w:rFonts w:cs="Calibri"/>
          <w:color w:val="000000"/>
          <w:lang w:eastAsia="en-AU"/>
        </w:rPr>
        <w:endnoteReference w:id="34"/>
      </w:r>
      <w:r>
        <w:rPr>
          <w:rFonts w:cs="Calibri"/>
          <w:color w:val="000000"/>
          <w:lang w:eastAsia="en-AU"/>
        </w:rPr>
        <w:t xml:space="preserve"> The program of activities and other interventions should aim to address any unmet social, psychological, physical and emotional needs.</w:t>
      </w:r>
      <w:r>
        <w:rPr>
          <w:rStyle w:val="EndnoteReference"/>
          <w:rFonts w:cs="Calibri"/>
          <w:color w:val="000000"/>
          <w:lang w:eastAsia="en-AU"/>
        </w:rPr>
        <w:endnoteReference w:id="35"/>
      </w:r>
    </w:p>
    <w:p w:rsidR="00CA4FF1" w:rsidRPr="004A61E5" w:rsidRDefault="00CA4FF1" w:rsidP="00CA4FF1">
      <w:pPr>
        <w:pStyle w:val="Heading3"/>
        <w:numPr>
          <w:ilvl w:val="3"/>
          <w:numId w:val="4"/>
        </w:numPr>
        <w:spacing w:after="120"/>
        <w:jc w:val="both"/>
      </w:pPr>
      <w:bookmarkStart w:id="53" w:name="_Toc499538754"/>
      <w:r>
        <w:t>Leave from care</w:t>
      </w:r>
      <w:bookmarkEnd w:id="53"/>
    </w:p>
    <w:p w:rsidR="00CA4FF1" w:rsidRDefault="00CA4FF1" w:rsidP="00CA4FF1">
      <w:pPr>
        <w:jc w:val="both"/>
      </w:pPr>
      <w:r w:rsidRPr="009C6C80">
        <w:t xml:space="preserve">SDCUs will operate as additionally resourced areas within larger residential aged care facilities. Standard residential aged care provisions for hospital </w:t>
      </w:r>
      <w:r>
        <w:t xml:space="preserve">and social leave provisions are expected to </w:t>
      </w:r>
      <w:r w:rsidRPr="009C6C80">
        <w:t>apply.</w:t>
      </w:r>
    </w:p>
    <w:p w:rsidR="00CA4FF1" w:rsidRDefault="00CA4FF1" w:rsidP="00CA4FF1">
      <w:pPr>
        <w:pStyle w:val="Heading3"/>
        <w:numPr>
          <w:ilvl w:val="3"/>
          <w:numId w:val="4"/>
        </w:numPr>
        <w:spacing w:after="120"/>
        <w:jc w:val="both"/>
      </w:pPr>
      <w:bookmarkStart w:id="54" w:name="_Toc499538755"/>
      <w:r>
        <w:t>Minimal use of restraint</w:t>
      </w:r>
      <w:bookmarkEnd w:id="54"/>
    </w:p>
    <w:p w:rsidR="00CA4FF1" w:rsidRPr="004A61E5" w:rsidRDefault="00CA4FF1" w:rsidP="00CA4FF1">
      <w:pPr>
        <w:jc w:val="both"/>
      </w:pPr>
      <w:r w:rsidRPr="004A61E5">
        <w:t xml:space="preserve">A restraint-free way of thinking will underpin unit-level policies and procedures. Any form of restraint will be used as a last resort in response to an adverse event to temporarily protect the </w:t>
      </w:r>
      <w:r>
        <w:t>client</w:t>
      </w:r>
      <w:r w:rsidRPr="004A61E5">
        <w:t xml:space="preserve"> and others while restraint-free care strategies are rapidly revised. Any use of restraint will fully comply with relevant legislation.</w:t>
      </w:r>
    </w:p>
    <w:p w:rsidR="00CA4FF1" w:rsidRDefault="00CA4FF1" w:rsidP="00CA4FF1">
      <w:pPr>
        <w:pStyle w:val="Heading3"/>
        <w:numPr>
          <w:ilvl w:val="2"/>
          <w:numId w:val="4"/>
        </w:numPr>
        <w:spacing w:after="120"/>
        <w:jc w:val="both"/>
      </w:pPr>
      <w:bookmarkStart w:id="55" w:name="_Toc499538756"/>
      <w:r>
        <w:t>Pillar 3 – Supported transition out</w:t>
      </w:r>
      <w:bookmarkEnd w:id="55"/>
    </w:p>
    <w:p w:rsidR="00CA4FF1" w:rsidRPr="009C6C80" w:rsidRDefault="00CA4FF1" w:rsidP="00CA4FF1">
      <w:pPr>
        <w:jc w:val="both"/>
      </w:pPr>
      <w:r w:rsidRPr="009C6C80">
        <w:t>Th</w:t>
      </w:r>
      <w:r>
        <w:t xml:space="preserve">is step will see </w:t>
      </w:r>
      <w:r w:rsidRPr="009C6C80">
        <w:t xml:space="preserve">residents of SDCUs </w:t>
      </w:r>
      <w:r>
        <w:t xml:space="preserve">supported to transition </w:t>
      </w:r>
      <w:r w:rsidRPr="009C6C80">
        <w:t xml:space="preserve">to ‘mainstream’ accommodation, whether within residential aged care or to their own homes. </w:t>
      </w:r>
    </w:p>
    <w:p w:rsidR="00CA4FF1" w:rsidRDefault="00CA4FF1" w:rsidP="00CA4FF1">
      <w:pPr>
        <w:pStyle w:val="Heading3"/>
        <w:numPr>
          <w:ilvl w:val="3"/>
          <w:numId w:val="4"/>
        </w:numPr>
        <w:spacing w:after="120"/>
        <w:jc w:val="both"/>
      </w:pPr>
      <w:bookmarkStart w:id="56" w:name="_Toc499538757"/>
      <w:r>
        <w:t>Duration of stay</w:t>
      </w:r>
      <w:bookmarkEnd w:id="56"/>
    </w:p>
    <w:p w:rsidR="00CA4FF1" w:rsidRPr="004A61E5" w:rsidRDefault="00CA4FF1" w:rsidP="00CA4FF1">
      <w:pPr>
        <w:jc w:val="both"/>
      </w:pPr>
      <w:r w:rsidRPr="004A61E5">
        <w:t xml:space="preserve">The focus of SDCUs is to stabilise and reduce symptoms with the guiding aim of enabling clients to transition to a less intensive care setting. </w:t>
      </w:r>
    </w:p>
    <w:p w:rsidR="00CA4FF1" w:rsidRPr="004A61E5" w:rsidRDefault="00CA4FF1" w:rsidP="00CA4FF1">
      <w:pPr>
        <w:jc w:val="both"/>
      </w:pPr>
    </w:p>
    <w:p w:rsidR="00CA4FF1" w:rsidRDefault="00CA4FF1" w:rsidP="00CA4FF1">
      <w:pPr>
        <w:jc w:val="both"/>
      </w:pPr>
      <w:r w:rsidRPr="004A61E5">
        <w:t>Based on reported experience of operators of existing similar units, it is expected most residents will be able to transition out within 6-12 months, due to stabilisation of symptoms or disease progression such that a SDCU placement i</w:t>
      </w:r>
      <w:r w:rsidR="00405D51">
        <w:t>s</w:t>
      </w:r>
      <w:r w:rsidRPr="004A61E5">
        <w:t xml:space="preserve"> no longer necessary.</w:t>
      </w:r>
    </w:p>
    <w:p w:rsidR="00405D51" w:rsidRPr="004A61E5" w:rsidRDefault="00405D51" w:rsidP="00CA4FF1">
      <w:pPr>
        <w:jc w:val="both"/>
      </w:pPr>
    </w:p>
    <w:p w:rsidR="00CA4FF1" w:rsidRPr="004A61E5" w:rsidRDefault="00CA4FF1" w:rsidP="00CA4FF1">
      <w:pPr>
        <w:jc w:val="both"/>
      </w:pPr>
      <w:r w:rsidRPr="004A61E5">
        <w:t xml:space="preserve">Some people may ultimately require care in a SDCU for longer than 12 months. In these circumstances the SDCU provider will be </w:t>
      </w:r>
      <w:r>
        <w:t>expected</w:t>
      </w:r>
      <w:r w:rsidRPr="004A61E5">
        <w:t xml:space="preserve"> </w:t>
      </w:r>
      <w:r>
        <w:t xml:space="preserve">to </w:t>
      </w:r>
      <w:r w:rsidRPr="004A61E5">
        <w:t>justify the need for ongoing SDCU care and demonstrate efforts to enable supported transition out to mainstream accommodation.</w:t>
      </w:r>
    </w:p>
    <w:p w:rsidR="00CA4FF1" w:rsidRPr="004A61E5" w:rsidRDefault="00CA4FF1" w:rsidP="00CA4FF1">
      <w:pPr>
        <w:jc w:val="both"/>
      </w:pPr>
    </w:p>
    <w:p w:rsidR="00CA4FF1" w:rsidRPr="00593AA5" w:rsidRDefault="00CA4FF1" w:rsidP="00CA4FF1">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contextualSpacing/>
        <w:jc w:val="both"/>
      </w:pPr>
      <w:r>
        <w:t xml:space="preserve">Q12) </w:t>
      </w:r>
      <w:proofErr w:type="gramStart"/>
      <w:r w:rsidRPr="004A61E5">
        <w:t>Should</w:t>
      </w:r>
      <w:proofErr w:type="gramEnd"/>
      <w:r w:rsidRPr="004A61E5">
        <w:t xml:space="preserve"> there be a maximum limit on</w:t>
      </w:r>
      <w:r>
        <w:t xml:space="preserve"> the duration of an individual’s residence within a SDCU</w:t>
      </w:r>
      <w:r w:rsidRPr="004A61E5">
        <w:t xml:space="preserve">? If not, why not? </w:t>
      </w:r>
      <w:proofErr w:type="gramStart"/>
      <w:r w:rsidRPr="004A61E5">
        <w:t>If so, how long?</w:t>
      </w:r>
      <w:proofErr w:type="gramEnd"/>
      <w:r w:rsidRPr="004A61E5">
        <w:t xml:space="preserve"> </w:t>
      </w:r>
    </w:p>
    <w:p w:rsidR="00CA4FF1" w:rsidRDefault="00CA4FF1" w:rsidP="00CA4FF1">
      <w:pPr>
        <w:rPr>
          <w:rFonts w:ascii="Arial" w:hAnsi="Arial" w:cs="Arial"/>
          <w:bCs/>
          <w:szCs w:val="26"/>
        </w:rPr>
      </w:pPr>
      <w:r>
        <w:br w:type="page"/>
      </w:r>
    </w:p>
    <w:p w:rsidR="00CA4FF1" w:rsidRDefault="00CA4FF1" w:rsidP="00CA4FF1">
      <w:pPr>
        <w:pStyle w:val="Heading3"/>
        <w:numPr>
          <w:ilvl w:val="3"/>
          <w:numId w:val="4"/>
        </w:numPr>
        <w:spacing w:after="120"/>
        <w:jc w:val="both"/>
      </w:pPr>
      <w:bookmarkStart w:id="57" w:name="_Toc499538758"/>
      <w:r>
        <w:lastRenderedPageBreak/>
        <w:t>Monitoring, review and transition out processes</w:t>
      </w:r>
      <w:bookmarkEnd w:id="57"/>
    </w:p>
    <w:p w:rsidR="00CA4FF1" w:rsidRPr="004A61E5" w:rsidRDefault="00CA4FF1" w:rsidP="00CA4FF1">
      <w:pPr>
        <w:jc w:val="both"/>
      </w:pPr>
    </w:p>
    <w:p w:rsidR="00CA4FF1" w:rsidRDefault="00CA4FF1" w:rsidP="00CA4FF1">
      <w:pPr>
        <w:jc w:val="both"/>
      </w:pPr>
      <w:r>
        <w:t xml:space="preserve">Planning for a person’s transition out of the SDCU to a less intensive care setting will be expected to commence early in their placement. All phases of care planning will consider not only current needs but also readiness for transition out. </w:t>
      </w:r>
    </w:p>
    <w:p w:rsidR="00CA4FF1" w:rsidRDefault="00CA4FF1" w:rsidP="00CA4FF1">
      <w:pPr>
        <w:jc w:val="both"/>
      </w:pPr>
    </w:p>
    <w:p w:rsidR="00CA4FF1" w:rsidRDefault="00CA4FF1" w:rsidP="00CA4FF1">
      <w:pPr>
        <w:jc w:val="both"/>
      </w:pPr>
      <w:r>
        <w:t xml:space="preserve">Transition out processes will ultimately involve the unit’s clinical advisory committee recommending to management that a person is ready to leave the unit, followed by formal transition from the SDCU to new accommodation. </w:t>
      </w:r>
    </w:p>
    <w:p w:rsidR="00CA4FF1" w:rsidRDefault="00CA4FF1" w:rsidP="00CA4FF1">
      <w:pPr>
        <w:jc w:val="both"/>
      </w:pPr>
    </w:p>
    <w:p w:rsidR="00CA4FF1" w:rsidRDefault="00CA4FF1" w:rsidP="00CA4FF1">
      <w:pPr>
        <w:jc w:val="both"/>
      </w:pPr>
      <w:r>
        <w:t xml:space="preserve">To ease transition out of the SDCU, providers will be encouraged to use step down units within their mainstream facility, subject to the consent of the client and representative. SDCU providers will also be expected to maintain relationships with other mainstream providers in their PHN region to facilitate appropriate care options for people exiting a SDCU. </w:t>
      </w:r>
    </w:p>
    <w:p w:rsidR="00CA4FF1" w:rsidRDefault="00CA4FF1" w:rsidP="00CA4FF1">
      <w:pPr>
        <w:pStyle w:val="Heading3"/>
        <w:numPr>
          <w:ilvl w:val="3"/>
          <w:numId w:val="4"/>
        </w:numPr>
        <w:spacing w:after="120"/>
        <w:jc w:val="both"/>
      </w:pPr>
      <w:bookmarkStart w:id="58" w:name="_Toc499538759"/>
      <w:r>
        <w:t>Post-discharge transitional support</w:t>
      </w:r>
      <w:bookmarkEnd w:id="58"/>
    </w:p>
    <w:p w:rsidR="00CA4FF1" w:rsidRPr="004A61E5" w:rsidRDefault="00CA4FF1" w:rsidP="00CA4FF1">
      <w:pPr>
        <w:autoSpaceDE w:val="0"/>
        <w:autoSpaceDN w:val="0"/>
        <w:adjustRightInd w:val="0"/>
        <w:jc w:val="both"/>
        <w:rPr>
          <w:rFonts w:cs="Calibri"/>
          <w:color w:val="000000"/>
          <w:lang w:eastAsia="en-AU"/>
        </w:rPr>
      </w:pPr>
      <w:r w:rsidRPr="004A61E5">
        <w:rPr>
          <w:rFonts w:cs="Calibri"/>
          <w:color w:val="000000"/>
          <w:lang w:eastAsia="en-AU"/>
        </w:rPr>
        <w:t>Post</w:t>
      </w:r>
      <w:r>
        <w:rPr>
          <w:rFonts w:cs="Calibri"/>
          <w:color w:val="000000"/>
          <w:lang w:eastAsia="en-AU"/>
        </w:rPr>
        <w:t>-</w:t>
      </w:r>
      <w:r w:rsidRPr="004A61E5">
        <w:rPr>
          <w:rFonts w:cs="Calibri"/>
          <w:color w:val="000000"/>
          <w:lang w:eastAsia="en-AU"/>
        </w:rPr>
        <w:t>discharge transition</w:t>
      </w:r>
      <w:r w:rsidR="00AC2001">
        <w:rPr>
          <w:rFonts w:cs="Calibri"/>
          <w:color w:val="000000"/>
          <w:lang w:eastAsia="en-AU"/>
        </w:rPr>
        <w:t>al</w:t>
      </w:r>
      <w:r w:rsidRPr="004A61E5">
        <w:rPr>
          <w:rFonts w:cs="Calibri"/>
          <w:color w:val="000000"/>
          <w:lang w:eastAsia="en-AU"/>
        </w:rPr>
        <w:t xml:space="preserve"> support will be critical to the success of the SDCU initiative and will need to be carefully managed to ensure that outcomes achieved in the SDCU are sustained. </w:t>
      </w:r>
    </w:p>
    <w:p w:rsidR="00CA4FF1" w:rsidRPr="004A61E5" w:rsidRDefault="00CA4FF1" w:rsidP="00CA4FF1">
      <w:pPr>
        <w:autoSpaceDE w:val="0"/>
        <w:autoSpaceDN w:val="0"/>
        <w:adjustRightInd w:val="0"/>
        <w:jc w:val="both"/>
        <w:rPr>
          <w:rFonts w:cs="Calibri"/>
          <w:color w:val="000000"/>
          <w:lang w:eastAsia="en-AU"/>
        </w:rPr>
      </w:pPr>
    </w:p>
    <w:p w:rsidR="00CA4FF1" w:rsidRPr="004A61E5" w:rsidRDefault="00CA4FF1" w:rsidP="00CA4FF1">
      <w:pPr>
        <w:autoSpaceDE w:val="0"/>
        <w:autoSpaceDN w:val="0"/>
        <w:adjustRightInd w:val="0"/>
        <w:jc w:val="both"/>
        <w:rPr>
          <w:rFonts w:cs="Calibri"/>
          <w:color w:val="000000"/>
          <w:lang w:eastAsia="en-AU"/>
        </w:rPr>
      </w:pPr>
      <w:r w:rsidRPr="004A61E5">
        <w:rPr>
          <w:rFonts w:cs="Calibri"/>
          <w:color w:val="000000"/>
          <w:lang w:eastAsia="en-AU"/>
        </w:rPr>
        <w:t xml:space="preserve">The SDCU provider will generally provide outreach support </w:t>
      </w:r>
      <w:r>
        <w:rPr>
          <w:rFonts w:cs="Calibri"/>
          <w:color w:val="000000"/>
          <w:lang w:eastAsia="en-AU"/>
        </w:rPr>
        <w:t xml:space="preserve">to </w:t>
      </w:r>
      <w:r w:rsidRPr="004A61E5">
        <w:rPr>
          <w:rFonts w:cs="Calibri"/>
          <w:color w:val="000000"/>
          <w:lang w:eastAsia="en-AU"/>
        </w:rPr>
        <w:t xml:space="preserve">the receiving mainstream provider to ensure a successful transition. This may include the following actions: </w:t>
      </w:r>
    </w:p>
    <w:p w:rsidR="00CA4FF1" w:rsidRPr="004A61E5" w:rsidRDefault="00CA4FF1" w:rsidP="00CA4FF1">
      <w:pPr>
        <w:numPr>
          <w:ilvl w:val="0"/>
          <w:numId w:val="20"/>
        </w:numPr>
        <w:autoSpaceDE w:val="0"/>
        <w:autoSpaceDN w:val="0"/>
        <w:adjustRightInd w:val="0"/>
        <w:jc w:val="both"/>
        <w:rPr>
          <w:rFonts w:cs="Calibri"/>
          <w:color w:val="000000"/>
          <w:lang w:eastAsia="en-AU"/>
        </w:rPr>
      </w:pPr>
      <w:r w:rsidRPr="004A61E5">
        <w:rPr>
          <w:rFonts w:cs="Calibri"/>
          <w:color w:val="000000"/>
          <w:lang w:eastAsia="en-AU"/>
        </w:rPr>
        <w:t>formalised arrangements between the SDCU and receiving mainstream aged care provider</w:t>
      </w:r>
      <w:r>
        <w:rPr>
          <w:rFonts w:cs="Calibri"/>
          <w:color w:val="000000"/>
          <w:lang w:eastAsia="en-AU"/>
        </w:rPr>
        <w:t>, pharmacist and GP</w:t>
      </w:r>
    </w:p>
    <w:p w:rsidR="00CA4FF1" w:rsidRPr="004A61E5" w:rsidRDefault="00CA4FF1" w:rsidP="00CA4FF1">
      <w:pPr>
        <w:numPr>
          <w:ilvl w:val="0"/>
          <w:numId w:val="20"/>
        </w:numPr>
        <w:autoSpaceDE w:val="0"/>
        <w:autoSpaceDN w:val="0"/>
        <w:adjustRightInd w:val="0"/>
        <w:jc w:val="both"/>
        <w:rPr>
          <w:rFonts w:cs="Calibri"/>
          <w:color w:val="000000"/>
          <w:lang w:eastAsia="en-AU"/>
        </w:rPr>
      </w:pPr>
      <w:r w:rsidRPr="004A61E5">
        <w:rPr>
          <w:rFonts w:cs="Calibri"/>
          <w:color w:val="000000"/>
          <w:lang w:eastAsia="en-AU"/>
        </w:rPr>
        <w:t xml:space="preserve">support underpinned by a formal transition plan for </w:t>
      </w:r>
      <w:r w:rsidR="00AC2001">
        <w:rPr>
          <w:rFonts w:cs="Calibri"/>
          <w:color w:val="000000"/>
          <w:lang w:eastAsia="en-AU"/>
        </w:rPr>
        <w:t xml:space="preserve">a </w:t>
      </w:r>
      <w:r w:rsidRPr="004A61E5">
        <w:rPr>
          <w:rFonts w:cs="Calibri"/>
          <w:color w:val="000000"/>
          <w:lang w:eastAsia="en-AU"/>
        </w:rPr>
        <w:t>defined period</w:t>
      </w:r>
      <w:r>
        <w:rPr>
          <w:rFonts w:cs="Calibri"/>
          <w:color w:val="000000"/>
          <w:lang w:eastAsia="en-AU"/>
        </w:rPr>
        <w:t xml:space="preserve"> </w:t>
      </w:r>
    </w:p>
    <w:p w:rsidR="00CA4FF1" w:rsidRPr="004A61E5" w:rsidRDefault="00CA4FF1" w:rsidP="00CA4FF1">
      <w:pPr>
        <w:numPr>
          <w:ilvl w:val="0"/>
          <w:numId w:val="20"/>
        </w:numPr>
        <w:autoSpaceDE w:val="0"/>
        <w:autoSpaceDN w:val="0"/>
        <w:adjustRightInd w:val="0"/>
        <w:jc w:val="both"/>
        <w:rPr>
          <w:rFonts w:cs="Calibri"/>
          <w:color w:val="000000"/>
          <w:lang w:eastAsia="en-AU"/>
        </w:rPr>
      </w:pPr>
      <w:r w:rsidRPr="004A61E5">
        <w:rPr>
          <w:rFonts w:cs="Calibri"/>
          <w:color w:val="000000"/>
          <w:lang w:eastAsia="en-AU"/>
        </w:rPr>
        <w:t xml:space="preserve">a focus on information sharing, avoiding behaviour triggers, and generalised BPSD management skills transfer where necessary </w:t>
      </w:r>
    </w:p>
    <w:p w:rsidR="00CA4FF1" w:rsidRPr="004A61E5" w:rsidRDefault="00CA4FF1" w:rsidP="00CA4FF1">
      <w:pPr>
        <w:numPr>
          <w:ilvl w:val="0"/>
          <w:numId w:val="20"/>
        </w:numPr>
        <w:autoSpaceDE w:val="0"/>
        <w:autoSpaceDN w:val="0"/>
        <w:adjustRightInd w:val="0"/>
        <w:jc w:val="both"/>
        <w:rPr>
          <w:rFonts w:cs="Calibri"/>
          <w:color w:val="000000"/>
          <w:lang w:eastAsia="en-AU"/>
        </w:rPr>
      </w:pPr>
      <w:proofErr w:type="gramStart"/>
      <w:r w:rsidRPr="004A61E5">
        <w:rPr>
          <w:rFonts w:cs="Calibri"/>
          <w:color w:val="000000"/>
          <w:lang w:eastAsia="en-AU"/>
        </w:rPr>
        <w:t>possible</w:t>
      </w:r>
      <w:proofErr w:type="gramEnd"/>
      <w:r w:rsidRPr="004A61E5">
        <w:rPr>
          <w:rFonts w:cs="Calibri"/>
          <w:color w:val="000000"/>
          <w:lang w:eastAsia="en-AU"/>
        </w:rPr>
        <w:t xml:space="preserve"> in-reach from a mainstream facility to the SDCU. The SBRT may also have a role in supporting transition particularly beyond the defined transition period or where there is significant distance between the SDCU and mainstream provider.</w:t>
      </w:r>
    </w:p>
    <w:p w:rsidR="00CA4FF1" w:rsidRPr="004A61E5" w:rsidRDefault="00CA4FF1" w:rsidP="00CA4FF1">
      <w:pPr>
        <w:autoSpaceDE w:val="0"/>
        <w:autoSpaceDN w:val="0"/>
        <w:adjustRightInd w:val="0"/>
        <w:jc w:val="both"/>
        <w:rPr>
          <w:rFonts w:cs="Calibri"/>
          <w:color w:val="000000"/>
          <w:lang w:eastAsia="en-AU"/>
        </w:rPr>
      </w:pPr>
    </w:p>
    <w:p w:rsidR="00CA4FF1" w:rsidRPr="004A61E5" w:rsidRDefault="00CA4FF1" w:rsidP="00CA4FF1">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contextualSpacing/>
        <w:jc w:val="both"/>
      </w:pPr>
      <w:r>
        <w:t xml:space="preserve">Q13) </w:t>
      </w:r>
      <w:proofErr w:type="gramStart"/>
      <w:r w:rsidRPr="004A61E5">
        <w:t>What</w:t>
      </w:r>
      <w:proofErr w:type="gramEnd"/>
      <w:r w:rsidRPr="004A61E5">
        <w:t xml:space="preserve"> is a reasonable period for transitional support from a SDCU to the new accommodation provider? </w:t>
      </w:r>
    </w:p>
    <w:p w:rsidR="00CA4FF1" w:rsidRDefault="00CA4FF1" w:rsidP="00CA4FF1">
      <w:pPr>
        <w:pStyle w:val="Heading3"/>
        <w:numPr>
          <w:ilvl w:val="3"/>
          <w:numId w:val="4"/>
        </w:numPr>
        <w:spacing w:after="120"/>
        <w:jc w:val="both"/>
      </w:pPr>
      <w:bookmarkStart w:id="59" w:name="_Toc499538760"/>
      <w:r>
        <w:t>Security of tenure</w:t>
      </w:r>
      <w:bookmarkEnd w:id="59"/>
    </w:p>
    <w:p w:rsidR="00CA4FF1" w:rsidRPr="004A61E5" w:rsidRDefault="00CA4FF1" w:rsidP="00CA4FF1">
      <w:pPr>
        <w:jc w:val="both"/>
      </w:pPr>
      <w:r w:rsidRPr="004A61E5">
        <w:t xml:space="preserve">SDCUs will be additionally resourced areas within residential aged care facilities, with residents occupying Australian </w:t>
      </w:r>
      <w:r>
        <w:t>Government-</w:t>
      </w:r>
      <w:r w:rsidRPr="004A61E5">
        <w:t xml:space="preserve">subsidised places operating under the provisions of the </w:t>
      </w:r>
      <w:r w:rsidRPr="004A61E5">
        <w:rPr>
          <w:i/>
        </w:rPr>
        <w:t>Aged Care Act 1997</w:t>
      </w:r>
      <w:r w:rsidRPr="004A61E5">
        <w:t>. As such, without specific legislative amendment</w:t>
      </w:r>
      <w:r>
        <w:t>,</w:t>
      </w:r>
      <w:r w:rsidRPr="004A61E5">
        <w:t xml:space="preserve"> ordinary security of tenure arrangements will apply during placement in and exit from a SDCU</w:t>
      </w:r>
      <w:r>
        <w:t>.</w:t>
      </w:r>
      <w:r>
        <w:rPr>
          <w:rStyle w:val="EndnoteReference"/>
        </w:rPr>
        <w:endnoteReference w:id="36"/>
      </w:r>
      <w:r w:rsidRPr="004A61E5">
        <w:t xml:space="preserve"> </w:t>
      </w:r>
    </w:p>
    <w:p w:rsidR="00CA4FF1" w:rsidRPr="004A61E5" w:rsidRDefault="00CA4FF1" w:rsidP="00CA4FF1">
      <w:pPr>
        <w:jc w:val="both"/>
      </w:pPr>
    </w:p>
    <w:p w:rsidR="00CA4FF1" w:rsidRPr="004A61E5" w:rsidRDefault="00CA4FF1" w:rsidP="00CA4FF1">
      <w:pPr>
        <w:jc w:val="both"/>
      </w:pPr>
      <w:r w:rsidRPr="004A61E5">
        <w:t xml:space="preserve">During consultation to date, some stakeholders have identified security of tenure as a potential barrier to </w:t>
      </w:r>
      <w:r>
        <w:t xml:space="preserve">providing transitional support and achieving client </w:t>
      </w:r>
      <w:r w:rsidRPr="004A61E5">
        <w:lastRenderedPageBreak/>
        <w:t>throughput.</w:t>
      </w:r>
      <w:r w:rsidRPr="004A61E5">
        <w:rPr>
          <w:vertAlign w:val="superscript"/>
        </w:rPr>
        <w:endnoteReference w:id="37"/>
      </w:r>
      <w:r w:rsidRPr="004A61E5">
        <w:t xml:space="preserve"> However, </w:t>
      </w:r>
      <w:r>
        <w:t>it is</w:t>
      </w:r>
      <w:r w:rsidRPr="004A61E5">
        <w:t xml:space="preserve"> not clear whether security of tenure is affecting the operation of existing similar units located within residential aged care facilities. </w:t>
      </w:r>
      <w:r>
        <w:t xml:space="preserve"> </w:t>
      </w:r>
      <w:r w:rsidRPr="004A61E5">
        <w:t>Operators of existing SDCU-like</w:t>
      </w:r>
      <w:r>
        <w:t xml:space="preserve"> </w:t>
      </w:r>
      <w:r w:rsidRPr="004A61E5">
        <w:t xml:space="preserve">facilities consulted to date have reported few problems with resident transition, provided active planning and open communication with residents and their representatives occurs from the beginning of the </w:t>
      </w:r>
      <w:r>
        <w:t xml:space="preserve">client’s </w:t>
      </w:r>
      <w:r w:rsidRPr="004A61E5">
        <w:t>stay.</w:t>
      </w:r>
    </w:p>
    <w:p w:rsidR="00CA4FF1" w:rsidRPr="004A61E5" w:rsidRDefault="00CA4FF1" w:rsidP="00CA4FF1">
      <w:pPr>
        <w:jc w:val="both"/>
        <w:rPr>
          <w:sz w:val="12"/>
          <w:szCs w:val="12"/>
        </w:rPr>
      </w:pPr>
    </w:p>
    <w:p w:rsidR="00CA4FF1" w:rsidRPr="004A61E5" w:rsidRDefault="00CA4FF1" w:rsidP="00CA4FF1">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contextualSpacing/>
        <w:jc w:val="both"/>
      </w:pPr>
      <w:r>
        <w:t xml:space="preserve">Q14) </w:t>
      </w:r>
      <w:r w:rsidRPr="004A61E5">
        <w:t xml:space="preserve">Might </w:t>
      </w:r>
      <w:r>
        <w:t xml:space="preserve">existing </w:t>
      </w:r>
      <w:r w:rsidRPr="004A61E5">
        <w:t xml:space="preserve">security of tenure arrangements pose a significant issue for the ‘transitional’ operation of SDCUs? </w:t>
      </w:r>
      <w:proofErr w:type="gramStart"/>
      <w:r>
        <w:t>If so, how?</w:t>
      </w:r>
      <w:proofErr w:type="gramEnd"/>
    </w:p>
    <w:p w:rsidR="00CA4FF1" w:rsidRPr="004A61E5" w:rsidRDefault="00CA4FF1" w:rsidP="00CA4FF1">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contextualSpacing/>
        <w:jc w:val="both"/>
      </w:pPr>
      <w:r>
        <w:t xml:space="preserve">Q15) </w:t>
      </w:r>
      <w:proofErr w:type="gramStart"/>
      <w:r w:rsidRPr="004A61E5">
        <w:t>What</w:t>
      </w:r>
      <w:proofErr w:type="gramEnd"/>
      <w:r w:rsidRPr="004A61E5">
        <w:t xml:space="preserve"> </w:t>
      </w:r>
      <w:r>
        <w:t xml:space="preserve">strategies could be used to facilitate </w:t>
      </w:r>
      <w:r w:rsidRPr="004A61E5">
        <w:t>SDCU ‘throughput’ within existing security of tenure provisions?</w:t>
      </w:r>
    </w:p>
    <w:p w:rsidR="00CA4FF1" w:rsidRDefault="00CA4FF1" w:rsidP="00CA4FF1">
      <w:pPr>
        <w:pStyle w:val="Heading3"/>
        <w:numPr>
          <w:ilvl w:val="3"/>
          <w:numId w:val="4"/>
        </w:numPr>
        <w:spacing w:after="120"/>
        <w:jc w:val="both"/>
      </w:pPr>
      <w:bookmarkStart w:id="60" w:name="_Toc499538761"/>
      <w:r>
        <w:t>SDCU re-admission</w:t>
      </w:r>
      <w:bookmarkEnd w:id="60"/>
    </w:p>
    <w:p w:rsidR="00CA4FF1" w:rsidRPr="004A61E5" w:rsidRDefault="00CA4FF1" w:rsidP="00CA4FF1">
      <w:pPr>
        <w:jc w:val="both"/>
      </w:pPr>
      <w:r w:rsidRPr="004A61E5">
        <w:t>There will be no restriction</w:t>
      </w:r>
      <w:r>
        <w:t xml:space="preserve"> on a person’s readmission to a</w:t>
      </w:r>
      <w:r w:rsidRPr="004A61E5">
        <w:t xml:space="preserve"> SDCU if clinically indicated. SDCU providers should generally reserve some capacity to accept readmitted clients. </w:t>
      </w:r>
    </w:p>
    <w:p w:rsidR="00CA4FF1" w:rsidRDefault="00CA4FF1" w:rsidP="00CA4FF1">
      <w:pPr>
        <w:pStyle w:val="Heading3"/>
        <w:numPr>
          <w:ilvl w:val="2"/>
          <w:numId w:val="4"/>
        </w:numPr>
        <w:spacing w:after="120"/>
        <w:jc w:val="both"/>
      </w:pPr>
      <w:bookmarkStart w:id="61" w:name="_Toc499538762"/>
      <w:r>
        <w:t>Pillar 4 – Enabling elements</w:t>
      </w:r>
      <w:bookmarkEnd w:id="61"/>
    </w:p>
    <w:p w:rsidR="00CA4FF1" w:rsidRPr="004A61E5" w:rsidRDefault="00CA4FF1" w:rsidP="00CA4FF1">
      <w:pPr>
        <w:jc w:val="both"/>
        <w:rPr>
          <w:i/>
          <w:u w:val="single"/>
        </w:rPr>
      </w:pPr>
      <w:r w:rsidRPr="004A61E5">
        <w:t>The following elements are expected to underpin and enable the delivery of high quality care by SDCU providers.</w:t>
      </w:r>
      <w:r w:rsidRPr="004A61E5">
        <w:rPr>
          <w:i/>
          <w:u w:val="single"/>
        </w:rPr>
        <w:t xml:space="preserve"> </w:t>
      </w:r>
    </w:p>
    <w:p w:rsidR="00CA4FF1" w:rsidRDefault="00CA4FF1" w:rsidP="00CA4FF1">
      <w:pPr>
        <w:pStyle w:val="Heading3"/>
        <w:numPr>
          <w:ilvl w:val="3"/>
          <w:numId w:val="4"/>
        </w:numPr>
        <w:spacing w:after="120"/>
        <w:jc w:val="both"/>
      </w:pPr>
      <w:bookmarkStart w:id="62" w:name="_Toc499538763"/>
      <w:r>
        <w:t>Staffing, education, training and culture</w:t>
      </w:r>
      <w:bookmarkEnd w:id="62"/>
    </w:p>
    <w:p w:rsidR="00CA4FF1" w:rsidRPr="004A61E5" w:rsidRDefault="00CA4FF1" w:rsidP="00CA4FF1">
      <w:pPr>
        <w:jc w:val="both"/>
      </w:pPr>
      <w:r w:rsidRPr="004A61E5">
        <w:t>Numbers and specific care competencies of unit staff will reflect the higher levels of need of SDCU residents and the higher level of Australian Government funding provided. SDCU providers will need to identify both proposed staffing and care planning approaches when applying to operate a unit. Providers will generally be expected to demonstrate the following:</w:t>
      </w:r>
    </w:p>
    <w:p w:rsidR="00CA4FF1" w:rsidRPr="004A61E5" w:rsidRDefault="00CA4FF1" w:rsidP="00CA4FF1">
      <w:pPr>
        <w:numPr>
          <w:ilvl w:val="0"/>
          <w:numId w:val="21"/>
        </w:numPr>
        <w:autoSpaceDE w:val="0"/>
        <w:autoSpaceDN w:val="0"/>
        <w:adjustRightInd w:val="0"/>
        <w:jc w:val="both"/>
        <w:rPr>
          <w:rFonts w:cs="Calibri"/>
          <w:color w:val="000000"/>
          <w:lang w:eastAsia="en-AU"/>
        </w:rPr>
      </w:pPr>
      <w:r w:rsidRPr="004A61E5">
        <w:rPr>
          <w:rFonts w:cs="Calibri"/>
          <w:color w:val="000000"/>
          <w:lang w:eastAsia="en-AU"/>
        </w:rPr>
        <w:t>senior management commitment to the care of people with very severe BPSD</w:t>
      </w:r>
    </w:p>
    <w:p w:rsidR="00CA4FF1" w:rsidRPr="004A61E5" w:rsidRDefault="00CA4FF1" w:rsidP="00CA4FF1">
      <w:pPr>
        <w:numPr>
          <w:ilvl w:val="0"/>
          <w:numId w:val="21"/>
        </w:numPr>
        <w:autoSpaceDE w:val="0"/>
        <w:autoSpaceDN w:val="0"/>
        <w:adjustRightInd w:val="0"/>
        <w:jc w:val="both"/>
        <w:rPr>
          <w:rFonts w:cs="Calibri"/>
          <w:color w:val="000000"/>
          <w:lang w:eastAsia="en-AU"/>
        </w:rPr>
      </w:pPr>
      <w:r w:rsidRPr="004A61E5">
        <w:rPr>
          <w:rFonts w:cs="Calibri"/>
          <w:color w:val="000000"/>
          <w:lang w:eastAsia="en-AU"/>
        </w:rPr>
        <w:t>higher levels of appropriately trained staff (whether care workers or nurses) than typically seen in mainstream facilities</w:t>
      </w:r>
    </w:p>
    <w:p w:rsidR="00CA4FF1" w:rsidRPr="004A61E5" w:rsidRDefault="00CA4FF1" w:rsidP="00CA4FF1">
      <w:pPr>
        <w:numPr>
          <w:ilvl w:val="0"/>
          <w:numId w:val="21"/>
        </w:numPr>
        <w:autoSpaceDE w:val="0"/>
        <w:autoSpaceDN w:val="0"/>
        <w:adjustRightInd w:val="0"/>
        <w:jc w:val="both"/>
        <w:rPr>
          <w:rFonts w:cs="Calibri"/>
          <w:color w:val="000000"/>
          <w:lang w:eastAsia="en-AU"/>
        </w:rPr>
      </w:pPr>
      <w:r w:rsidRPr="004A61E5">
        <w:rPr>
          <w:rFonts w:cs="Calibri"/>
          <w:color w:val="000000"/>
          <w:lang w:eastAsia="en-AU"/>
        </w:rPr>
        <w:t>thorough and tailored staff selection and ongoing staff training and education in, but not limited to:</w:t>
      </w:r>
    </w:p>
    <w:p w:rsidR="00CA4FF1" w:rsidRPr="004A61E5" w:rsidRDefault="00CA4FF1" w:rsidP="00CA4FF1">
      <w:pPr>
        <w:numPr>
          <w:ilvl w:val="0"/>
          <w:numId w:val="32"/>
        </w:numPr>
        <w:autoSpaceDE w:val="0"/>
        <w:autoSpaceDN w:val="0"/>
        <w:adjustRightInd w:val="0"/>
        <w:jc w:val="both"/>
        <w:rPr>
          <w:rFonts w:cs="Calibri"/>
          <w:color w:val="000000"/>
          <w:lang w:eastAsia="en-AU"/>
        </w:rPr>
      </w:pPr>
      <w:r w:rsidRPr="004A61E5">
        <w:rPr>
          <w:rFonts w:cs="Calibri"/>
          <w:color w:val="000000"/>
          <w:lang w:eastAsia="en-AU"/>
        </w:rPr>
        <w:t>care of people with BPSD and advanced dementia</w:t>
      </w:r>
    </w:p>
    <w:p w:rsidR="00CA4FF1" w:rsidRPr="004A61E5" w:rsidRDefault="00CA4FF1" w:rsidP="00CA4FF1">
      <w:pPr>
        <w:numPr>
          <w:ilvl w:val="0"/>
          <w:numId w:val="32"/>
        </w:numPr>
        <w:autoSpaceDE w:val="0"/>
        <w:autoSpaceDN w:val="0"/>
        <w:adjustRightInd w:val="0"/>
        <w:jc w:val="both"/>
        <w:rPr>
          <w:rFonts w:cs="Calibri"/>
          <w:color w:val="000000"/>
          <w:lang w:eastAsia="en-AU"/>
        </w:rPr>
      </w:pPr>
      <w:r w:rsidRPr="004A61E5">
        <w:rPr>
          <w:rFonts w:cs="Calibri"/>
          <w:color w:val="000000"/>
          <w:lang w:eastAsia="en-AU"/>
        </w:rPr>
        <w:t>management of BPSD without recourse to physical or pharmacological restraint</w:t>
      </w:r>
    </w:p>
    <w:p w:rsidR="00CA4FF1" w:rsidRPr="004A61E5" w:rsidRDefault="00CA4FF1" w:rsidP="00CA4FF1">
      <w:pPr>
        <w:numPr>
          <w:ilvl w:val="0"/>
          <w:numId w:val="32"/>
        </w:numPr>
        <w:autoSpaceDE w:val="0"/>
        <w:autoSpaceDN w:val="0"/>
        <w:adjustRightInd w:val="0"/>
        <w:jc w:val="both"/>
        <w:rPr>
          <w:rFonts w:cs="Calibri"/>
          <w:color w:val="000000"/>
          <w:lang w:eastAsia="en-AU"/>
        </w:rPr>
      </w:pPr>
      <w:r w:rsidRPr="004A61E5">
        <w:rPr>
          <w:rFonts w:cs="Calibri"/>
          <w:color w:val="000000"/>
          <w:lang w:eastAsia="en-AU"/>
        </w:rPr>
        <w:t>empowerment of staff to provide appropriate and individualised care</w:t>
      </w:r>
    </w:p>
    <w:p w:rsidR="00CA4FF1" w:rsidRPr="004A61E5" w:rsidRDefault="00CA4FF1" w:rsidP="00CA4FF1">
      <w:pPr>
        <w:numPr>
          <w:ilvl w:val="0"/>
          <w:numId w:val="32"/>
        </w:numPr>
        <w:autoSpaceDE w:val="0"/>
        <w:autoSpaceDN w:val="0"/>
        <w:adjustRightInd w:val="0"/>
        <w:jc w:val="both"/>
        <w:rPr>
          <w:rFonts w:cs="Calibri"/>
          <w:color w:val="000000"/>
          <w:lang w:eastAsia="en-AU"/>
        </w:rPr>
      </w:pPr>
      <w:r w:rsidRPr="004A61E5">
        <w:rPr>
          <w:rFonts w:cs="Calibri"/>
          <w:color w:val="000000"/>
          <w:lang w:eastAsia="en-AU"/>
        </w:rPr>
        <w:t>delivery of culturally appropriate care</w:t>
      </w:r>
    </w:p>
    <w:p w:rsidR="00CA4FF1" w:rsidRPr="004A61E5" w:rsidRDefault="00CA4FF1" w:rsidP="00CA4FF1">
      <w:pPr>
        <w:numPr>
          <w:ilvl w:val="0"/>
          <w:numId w:val="32"/>
        </w:numPr>
        <w:autoSpaceDE w:val="0"/>
        <w:autoSpaceDN w:val="0"/>
        <w:adjustRightInd w:val="0"/>
        <w:jc w:val="both"/>
        <w:rPr>
          <w:rFonts w:cs="Calibri"/>
          <w:color w:val="000000"/>
          <w:lang w:eastAsia="en-AU"/>
        </w:rPr>
      </w:pPr>
      <w:r w:rsidRPr="004A61E5">
        <w:rPr>
          <w:rFonts w:cs="Calibri"/>
          <w:color w:val="000000"/>
          <w:lang w:eastAsia="en-AU"/>
        </w:rPr>
        <w:t xml:space="preserve">therapeutical and meaningful activities and environment modification </w:t>
      </w:r>
    </w:p>
    <w:p w:rsidR="00CA4FF1" w:rsidRPr="004A61E5" w:rsidRDefault="00CA4FF1" w:rsidP="00CA4FF1">
      <w:pPr>
        <w:numPr>
          <w:ilvl w:val="0"/>
          <w:numId w:val="32"/>
        </w:numPr>
        <w:autoSpaceDE w:val="0"/>
        <w:autoSpaceDN w:val="0"/>
        <w:adjustRightInd w:val="0"/>
        <w:jc w:val="both"/>
        <w:rPr>
          <w:rFonts w:cs="Calibri"/>
          <w:color w:val="000000"/>
          <w:lang w:eastAsia="en-AU"/>
        </w:rPr>
      </w:pPr>
      <w:r w:rsidRPr="004A61E5">
        <w:rPr>
          <w:rFonts w:cs="Calibri"/>
          <w:color w:val="000000"/>
          <w:lang w:eastAsia="en-AU"/>
        </w:rPr>
        <w:t xml:space="preserve">de-escalating aggressive incidents </w:t>
      </w:r>
    </w:p>
    <w:p w:rsidR="00CA4FF1" w:rsidRPr="004A61E5" w:rsidRDefault="00CA4FF1" w:rsidP="00CA4FF1">
      <w:pPr>
        <w:numPr>
          <w:ilvl w:val="0"/>
          <w:numId w:val="32"/>
        </w:numPr>
        <w:autoSpaceDE w:val="0"/>
        <w:autoSpaceDN w:val="0"/>
        <w:adjustRightInd w:val="0"/>
        <w:jc w:val="both"/>
        <w:rPr>
          <w:rFonts w:cs="Calibri"/>
          <w:color w:val="000000"/>
          <w:lang w:eastAsia="en-AU"/>
        </w:rPr>
      </w:pPr>
      <w:r w:rsidRPr="004A61E5">
        <w:rPr>
          <w:rFonts w:cs="Calibri"/>
          <w:color w:val="000000"/>
          <w:lang w:eastAsia="en-AU"/>
        </w:rPr>
        <w:t>recognition of delirium and dementia, and the different management approaches</w:t>
      </w:r>
    </w:p>
    <w:p w:rsidR="00CA4FF1" w:rsidRPr="003250E9" w:rsidRDefault="00CA4FF1" w:rsidP="00CA4FF1">
      <w:pPr>
        <w:numPr>
          <w:ilvl w:val="0"/>
          <w:numId w:val="21"/>
        </w:numPr>
        <w:autoSpaceDE w:val="0"/>
        <w:autoSpaceDN w:val="0"/>
        <w:adjustRightInd w:val="0"/>
        <w:jc w:val="both"/>
        <w:rPr>
          <w:rFonts w:cs="Calibri"/>
          <w:color w:val="000000"/>
          <w:lang w:eastAsia="en-AU"/>
        </w:rPr>
      </w:pPr>
      <w:proofErr w:type="gramStart"/>
      <w:r w:rsidRPr="004A61E5">
        <w:rPr>
          <w:rFonts w:cs="Calibri"/>
          <w:color w:val="000000"/>
          <w:lang w:eastAsia="en-AU"/>
        </w:rPr>
        <w:t>support</w:t>
      </w:r>
      <w:proofErr w:type="gramEnd"/>
      <w:r w:rsidRPr="004A61E5">
        <w:rPr>
          <w:rFonts w:cs="Calibri"/>
          <w:color w:val="000000"/>
          <w:lang w:eastAsia="en-AU"/>
        </w:rPr>
        <w:t xml:space="preserve"> provided to staff to assist them in managing their wellbeing.</w:t>
      </w:r>
    </w:p>
    <w:p w:rsidR="00CA4FF1" w:rsidRDefault="00CA4FF1" w:rsidP="00CA4FF1">
      <w:pPr>
        <w:pStyle w:val="Heading3"/>
        <w:numPr>
          <w:ilvl w:val="3"/>
          <w:numId w:val="4"/>
        </w:numPr>
        <w:spacing w:after="120"/>
        <w:jc w:val="both"/>
      </w:pPr>
      <w:bookmarkStart w:id="63" w:name="_Toc499538764"/>
      <w:r>
        <w:t>Physical environment</w:t>
      </w:r>
      <w:bookmarkEnd w:id="63"/>
    </w:p>
    <w:p w:rsidR="00CA4FF1" w:rsidRPr="004A61E5" w:rsidRDefault="00CA4FF1" w:rsidP="00CA4FF1">
      <w:pPr>
        <w:jc w:val="both"/>
      </w:pPr>
      <w:r w:rsidRPr="004A61E5">
        <w:t>SDCU</w:t>
      </w:r>
      <w:r>
        <w:t xml:space="preserve"> providers will be required to </w:t>
      </w:r>
      <w:r w:rsidRPr="004A61E5">
        <w:t>deliver</w:t>
      </w:r>
      <w:r>
        <w:t xml:space="preserve"> care in </w:t>
      </w:r>
      <w:r w:rsidRPr="004A61E5">
        <w:t xml:space="preserve"> physical environments that reflect </w:t>
      </w:r>
      <w:r>
        <w:t>dementia friendly / dementia enabling design principles, such as</w:t>
      </w:r>
      <w:r w:rsidRPr="004A61E5">
        <w:t xml:space="preserve"> the ten </w:t>
      </w:r>
      <w:r w:rsidRPr="00A610DD">
        <w:t xml:space="preserve">Dementia </w:t>
      </w:r>
      <w:r w:rsidRPr="00A610DD">
        <w:lastRenderedPageBreak/>
        <w:t>Enabling Environment Principles</w:t>
      </w:r>
      <w:r>
        <w:t>.</w:t>
      </w:r>
      <w:r w:rsidRPr="004A61E5">
        <w:rPr>
          <w:sz w:val="22"/>
          <w:szCs w:val="22"/>
          <w:vertAlign w:val="superscript"/>
        </w:rPr>
        <w:endnoteReference w:id="38"/>
      </w:r>
      <w:r>
        <w:t xml:space="preserve"> </w:t>
      </w:r>
      <w:r w:rsidRPr="004A61E5">
        <w:t xml:space="preserve">Providers will have access to specialist advice and expertise on dementia friendly design through the Dementia Training Program. </w:t>
      </w:r>
    </w:p>
    <w:p w:rsidR="00CA4FF1" w:rsidRDefault="00CA4FF1" w:rsidP="00CA4FF1">
      <w:pPr>
        <w:pStyle w:val="Heading3"/>
        <w:numPr>
          <w:ilvl w:val="3"/>
          <w:numId w:val="4"/>
        </w:numPr>
        <w:spacing w:after="120"/>
        <w:jc w:val="both"/>
      </w:pPr>
      <w:bookmarkStart w:id="64" w:name="_Toc499538765"/>
      <w:r>
        <w:t>Clinical governance and partnerships</w:t>
      </w:r>
      <w:bookmarkEnd w:id="64"/>
    </w:p>
    <w:p w:rsidR="00CA4FF1" w:rsidRPr="004A61E5" w:rsidRDefault="00CA4FF1" w:rsidP="00CA4FF1">
      <w:pPr>
        <w:jc w:val="both"/>
      </w:pPr>
      <w:r w:rsidRPr="004A61E5">
        <w:t xml:space="preserve">SDCUs will be expected to have formalised relationships with </w:t>
      </w:r>
      <w:r>
        <w:t>Local Hospital Networks (LHNs) within their local region.</w:t>
      </w:r>
      <w:r>
        <w:rPr>
          <w:rStyle w:val="EndnoteReference"/>
        </w:rPr>
        <w:endnoteReference w:id="39"/>
      </w:r>
      <w:r>
        <w:t xml:space="preserve"> LHN </w:t>
      </w:r>
      <w:r w:rsidRPr="004A61E5">
        <w:t>representatives or relevant state specialist services (for example, Older Persons</w:t>
      </w:r>
      <w:r>
        <w:t>’</w:t>
      </w:r>
      <w:r w:rsidRPr="004A61E5">
        <w:t xml:space="preserve"> Mental Health Services) will be encouraged to participate in SDCU clinical </w:t>
      </w:r>
      <w:r>
        <w:t>advisory committees</w:t>
      </w:r>
      <w:r w:rsidRPr="004A61E5">
        <w:t xml:space="preserve">, subject to local agreement between the parties. </w:t>
      </w:r>
    </w:p>
    <w:p w:rsidR="00CA4FF1" w:rsidRPr="004A61E5" w:rsidRDefault="00CA4FF1" w:rsidP="00CA4FF1">
      <w:pPr>
        <w:jc w:val="both"/>
      </w:pPr>
    </w:p>
    <w:p w:rsidR="00CA4FF1" w:rsidRPr="004A61E5" w:rsidRDefault="00CA4FF1" w:rsidP="00CA4FF1">
      <w:pPr>
        <w:jc w:val="both"/>
      </w:pPr>
      <w:r w:rsidRPr="004A61E5">
        <w:t>The role of SDCU clinical advisory committees may include, for example:</w:t>
      </w:r>
    </w:p>
    <w:p w:rsidR="00CA4FF1" w:rsidRPr="004A61E5" w:rsidRDefault="00CA4FF1" w:rsidP="00CA4FF1">
      <w:pPr>
        <w:numPr>
          <w:ilvl w:val="0"/>
          <w:numId w:val="20"/>
        </w:numPr>
        <w:autoSpaceDE w:val="0"/>
        <w:autoSpaceDN w:val="0"/>
        <w:adjustRightInd w:val="0"/>
        <w:jc w:val="both"/>
        <w:rPr>
          <w:rFonts w:cs="Calibri"/>
          <w:color w:val="000000"/>
          <w:lang w:eastAsia="en-AU"/>
        </w:rPr>
      </w:pPr>
      <w:r w:rsidRPr="004A61E5">
        <w:rPr>
          <w:rFonts w:cs="Calibri"/>
          <w:color w:val="000000"/>
          <w:lang w:eastAsia="en-AU"/>
        </w:rPr>
        <w:t>advice on the placement and admission of people to the SDCU</w:t>
      </w:r>
    </w:p>
    <w:p w:rsidR="00CA4FF1" w:rsidRPr="004A61E5" w:rsidRDefault="00CA4FF1" w:rsidP="00CA4FF1">
      <w:pPr>
        <w:numPr>
          <w:ilvl w:val="0"/>
          <w:numId w:val="20"/>
        </w:numPr>
        <w:autoSpaceDE w:val="0"/>
        <w:autoSpaceDN w:val="0"/>
        <w:adjustRightInd w:val="0"/>
        <w:jc w:val="both"/>
        <w:rPr>
          <w:rFonts w:cs="Calibri"/>
          <w:color w:val="000000"/>
          <w:lang w:eastAsia="en-AU"/>
        </w:rPr>
      </w:pPr>
      <w:r w:rsidRPr="004A61E5">
        <w:rPr>
          <w:rFonts w:cs="Calibri"/>
          <w:color w:val="000000"/>
          <w:lang w:eastAsia="en-AU"/>
        </w:rPr>
        <w:t xml:space="preserve">expert clinical advice on individual SDCU clients, including regular clinical review process </w:t>
      </w:r>
    </w:p>
    <w:p w:rsidR="00CA4FF1" w:rsidRPr="004A61E5" w:rsidRDefault="00CA4FF1" w:rsidP="00CA4FF1">
      <w:pPr>
        <w:numPr>
          <w:ilvl w:val="0"/>
          <w:numId w:val="20"/>
        </w:numPr>
        <w:autoSpaceDE w:val="0"/>
        <w:autoSpaceDN w:val="0"/>
        <w:adjustRightInd w:val="0"/>
        <w:jc w:val="both"/>
        <w:rPr>
          <w:rFonts w:cs="Calibri"/>
          <w:color w:val="000000"/>
          <w:lang w:eastAsia="en-AU"/>
        </w:rPr>
      </w:pPr>
      <w:r w:rsidRPr="004A61E5">
        <w:rPr>
          <w:rFonts w:cs="Calibri"/>
          <w:color w:val="000000"/>
          <w:lang w:eastAsia="en-AU"/>
        </w:rPr>
        <w:t xml:space="preserve">advice, planning and support for client transitions out of the SDCU following stabilisation </w:t>
      </w:r>
    </w:p>
    <w:p w:rsidR="00CA4FF1" w:rsidRPr="004A61E5" w:rsidRDefault="00CA4FF1" w:rsidP="00CA4FF1">
      <w:pPr>
        <w:numPr>
          <w:ilvl w:val="0"/>
          <w:numId w:val="20"/>
        </w:numPr>
        <w:autoSpaceDE w:val="0"/>
        <w:autoSpaceDN w:val="0"/>
        <w:adjustRightInd w:val="0"/>
        <w:jc w:val="both"/>
        <w:rPr>
          <w:rFonts w:cs="Calibri"/>
          <w:color w:val="000000"/>
          <w:lang w:eastAsia="en-AU"/>
        </w:rPr>
      </w:pPr>
      <w:r w:rsidRPr="004A61E5">
        <w:rPr>
          <w:rFonts w:cs="Calibri"/>
          <w:color w:val="000000"/>
          <w:lang w:eastAsia="en-AU"/>
        </w:rPr>
        <w:t xml:space="preserve">monitoring and advice on clinical practices and activities of the SDCU </w:t>
      </w:r>
    </w:p>
    <w:p w:rsidR="00CA4FF1" w:rsidRPr="004A61E5" w:rsidRDefault="00CA4FF1" w:rsidP="00CA4FF1">
      <w:pPr>
        <w:numPr>
          <w:ilvl w:val="0"/>
          <w:numId w:val="20"/>
        </w:numPr>
        <w:autoSpaceDE w:val="0"/>
        <w:autoSpaceDN w:val="0"/>
        <w:adjustRightInd w:val="0"/>
        <w:jc w:val="both"/>
        <w:rPr>
          <w:rFonts w:cs="Calibri"/>
          <w:color w:val="000000"/>
          <w:lang w:eastAsia="en-AU"/>
        </w:rPr>
      </w:pPr>
      <w:proofErr w:type="gramStart"/>
      <w:r w:rsidRPr="004A61E5">
        <w:rPr>
          <w:rFonts w:cs="Calibri"/>
          <w:color w:val="000000"/>
          <w:lang w:eastAsia="en-AU"/>
        </w:rPr>
        <w:t>input</w:t>
      </w:r>
      <w:proofErr w:type="gramEnd"/>
      <w:r w:rsidRPr="004A61E5">
        <w:rPr>
          <w:rFonts w:cs="Calibri"/>
          <w:color w:val="000000"/>
          <w:lang w:eastAsia="en-AU"/>
        </w:rPr>
        <w:t xml:space="preserve"> to independent SDCU evaluation</w:t>
      </w:r>
      <w:r>
        <w:rPr>
          <w:rFonts w:cs="Calibri"/>
          <w:color w:val="000000"/>
          <w:lang w:eastAsia="en-AU"/>
        </w:rPr>
        <w:t>.</w:t>
      </w:r>
    </w:p>
    <w:p w:rsidR="00CA4FF1" w:rsidRPr="004A61E5" w:rsidRDefault="00CA4FF1" w:rsidP="00CA4FF1">
      <w:pPr>
        <w:jc w:val="both"/>
      </w:pPr>
    </w:p>
    <w:p w:rsidR="00CA4FF1" w:rsidRDefault="00CA4FF1" w:rsidP="00CA4FF1">
      <w:pPr>
        <w:autoSpaceDE w:val="0"/>
        <w:autoSpaceDN w:val="0"/>
        <w:adjustRightInd w:val="0"/>
        <w:jc w:val="both"/>
        <w:rPr>
          <w:rFonts w:cs="Calibri"/>
          <w:color w:val="000000"/>
          <w:lang w:eastAsia="en-AU"/>
        </w:rPr>
      </w:pPr>
      <w:r w:rsidRPr="004A61E5">
        <w:rPr>
          <w:rFonts w:cs="Calibri"/>
          <w:color w:val="000000"/>
          <w:lang w:eastAsia="en-AU"/>
        </w:rPr>
        <w:t xml:space="preserve">This partnership approach is expected to facilitate access to specialist advice, </w:t>
      </w:r>
      <w:r>
        <w:rPr>
          <w:rFonts w:cs="Calibri"/>
          <w:color w:val="000000"/>
          <w:lang w:eastAsia="en-AU"/>
        </w:rPr>
        <w:t xml:space="preserve">particularly </w:t>
      </w:r>
      <w:proofErr w:type="spellStart"/>
      <w:r>
        <w:rPr>
          <w:rFonts w:cs="Calibri"/>
          <w:color w:val="000000"/>
          <w:lang w:eastAsia="en-AU"/>
        </w:rPr>
        <w:t>pyschogeriatricians</w:t>
      </w:r>
      <w:proofErr w:type="spellEnd"/>
      <w:r>
        <w:rPr>
          <w:rFonts w:cs="Calibri"/>
          <w:color w:val="000000"/>
          <w:lang w:eastAsia="en-AU"/>
        </w:rPr>
        <w:t xml:space="preserve"> and geriatricians</w:t>
      </w:r>
      <w:r w:rsidR="00AC2001">
        <w:rPr>
          <w:rFonts w:cs="Calibri"/>
          <w:color w:val="000000"/>
          <w:lang w:eastAsia="en-AU"/>
        </w:rPr>
        <w:t>,</w:t>
      </w:r>
      <w:r>
        <w:rPr>
          <w:rFonts w:cs="Calibri"/>
          <w:color w:val="000000"/>
          <w:lang w:eastAsia="en-AU"/>
        </w:rPr>
        <w:t xml:space="preserve"> </w:t>
      </w:r>
      <w:r w:rsidRPr="004A61E5">
        <w:rPr>
          <w:rFonts w:cs="Calibri"/>
          <w:color w:val="000000"/>
          <w:lang w:eastAsia="en-AU"/>
        </w:rPr>
        <w:t xml:space="preserve">to </w:t>
      </w:r>
      <w:r>
        <w:rPr>
          <w:rFonts w:cs="Calibri"/>
          <w:color w:val="000000"/>
          <w:lang w:eastAsia="en-AU"/>
        </w:rPr>
        <w:t xml:space="preserve">assist in minimising avoidable </w:t>
      </w:r>
      <w:r w:rsidRPr="004A61E5">
        <w:rPr>
          <w:rFonts w:cs="Calibri"/>
          <w:color w:val="000000"/>
          <w:lang w:eastAsia="en-AU"/>
        </w:rPr>
        <w:t>hospital</w:t>
      </w:r>
      <w:r>
        <w:rPr>
          <w:rFonts w:cs="Calibri"/>
          <w:color w:val="000000"/>
          <w:lang w:eastAsia="en-AU"/>
        </w:rPr>
        <w:t xml:space="preserve"> admissions and streamlining</w:t>
      </w:r>
      <w:r w:rsidRPr="004A61E5">
        <w:rPr>
          <w:rFonts w:cs="Calibri"/>
          <w:color w:val="000000"/>
          <w:lang w:eastAsia="en-AU"/>
        </w:rPr>
        <w:t xml:space="preserve"> admission arrangements when </w:t>
      </w:r>
      <w:r>
        <w:rPr>
          <w:rFonts w:cs="Calibri"/>
          <w:color w:val="000000"/>
          <w:lang w:eastAsia="en-AU"/>
        </w:rPr>
        <w:t xml:space="preserve">an acute admission is necessary. </w:t>
      </w:r>
    </w:p>
    <w:p w:rsidR="00CA4FF1" w:rsidRDefault="00CA4FF1" w:rsidP="00CA4FF1">
      <w:pPr>
        <w:autoSpaceDE w:val="0"/>
        <w:autoSpaceDN w:val="0"/>
        <w:adjustRightInd w:val="0"/>
        <w:jc w:val="both"/>
        <w:rPr>
          <w:rFonts w:cs="Calibri"/>
          <w:color w:val="000000"/>
          <w:lang w:eastAsia="en-AU"/>
        </w:rPr>
      </w:pPr>
    </w:p>
    <w:p w:rsidR="00CA4FF1" w:rsidRDefault="00CA4FF1" w:rsidP="00CA4FF1">
      <w:pPr>
        <w:jc w:val="both"/>
      </w:pPr>
      <w:r w:rsidRPr="0077088B">
        <w:t>GPs will also be key partners in the SDCU model of care and will be able to access ongoing support and training though Dementia Training Australia to assist them in this role.</w:t>
      </w:r>
    </w:p>
    <w:p w:rsidR="00CA4FF1" w:rsidRPr="004A61E5" w:rsidRDefault="00CA4FF1" w:rsidP="00CA4FF1">
      <w:pPr>
        <w:jc w:val="both"/>
      </w:pPr>
      <w:r w:rsidRPr="004A61E5">
        <w:t xml:space="preserve"> </w:t>
      </w:r>
    </w:p>
    <w:p w:rsidR="00CA4FF1" w:rsidRPr="004A61E5" w:rsidRDefault="00CA4FF1" w:rsidP="00CA4FF1">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contextualSpacing/>
        <w:jc w:val="both"/>
      </w:pPr>
      <w:r>
        <w:t xml:space="preserve">Q16) </w:t>
      </w:r>
      <w:proofErr w:type="gramStart"/>
      <w:r w:rsidRPr="004A61E5">
        <w:t>What</w:t>
      </w:r>
      <w:proofErr w:type="gramEnd"/>
      <w:r w:rsidRPr="004A61E5">
        <w:t xml:space="preserve"> mechanisms should be used to support partnerships between SDCUs and acute services?</w:t>
      </w:r>
    </w:p>
    <w:p w:rsidR="00CA4FF1" w:rsidRDefault="00CA4FF1" w:rsidP="00CA4FF1">
      <w:pPr>
        <w:pStyle w:val="Heading3"/>
        <w:numPr>
          <w:ilvl w:val="3"/>
          <w:numId w:val="4"/>
        </w:numPr>
        <w:spacing w:after="120"/>
        <w:jc w:val="both"/>
      </w:pPr>
      <w:bookmarkStart w:id="65" w:name="_Toc499538766"/>
      <w:r>
        <w:t>Involvement of families and carers</w:t>
      </w:r>
      <w:bookmarkEnd w:id="65"/>
    </w:p>
    <w:p w:rsidR="00CA4FF1" w:rsidRDefault="00CA4FF1" w:rsidP="00CA4FF1">
      <w:pPr>
        <w:jc w:val="both"/>
      </w:pPr>
      <w:r>
        <w:t>SDCU providers will p</w:t>
      </w:r>
      <w:r w:rsidRPr="00FE74BC">
        <w:t>roactive</w:t>
      </w:r>
      <w:r>
        <w:t>ly engage</w:t>
      </w:r>
      <w:r w:rsidRPr="00FE74BC">
        <w:t xml:space="preserve"> with family and carers</w:t>
      </w:r>
      <w:r>
        <w:t xml:space="preserve"> to ensure</w:t>
      </w:r>
      <w:r w:rsidRPr="00FE74BC">
        <w:t xml:space="preserve"> involvement </w:t>
      </w:r>
      <w:r>
        <w:t>in care planning and delivery. Activities may include</w:t>
      </w:r>
      <w:r w:rsidRPr="00FE74BC">
        <w:t xml:space="preserve"> </w:t>
      </w:r>
      <w:r>
        <w:t xml:space="preserve">educating family and carers about dementia and likely disease progression, </w:t>
      </w:r>
      <w:r w:rsidRPr="00FE74BC">
        <w:t>carer support</w:t>
      </w:r>
      <w:r>
        <w:t>, and encouraging and supporting families and carers to embrace the use of supported rather than substitute decision</w:t>
      </w:r>
      <w:r>
        <w:noBreakHyphen/>
        <w:t>making whenever possible.</w:t>
      </w:r>
    </w:p>
    <w:p w:rsidR="00CA4FF1" w:rsidRDefault="00CA4FF1" w:rsidP="00CA4FF1">
      <w:pPr>
        <w:pStyle w:val="Heading3"/>
        <w:numPr>
          <w:ilvl w:val="3"/>
          <w:numId w:val="4"/>
        </w:numPr>
        <w:spacing w:after="120"/>
        <w:jc w:val="both"/>
      </w:pPr>
      <w:bookmarkStart w:id="66" w:name="_Toc499538767"/>
      <w:r>
        <w:t>Commitment to continuous improvement</w:t>
      </w:r>
      <w:bookmarkEnd w:id="66"/>
    </w:p>
    <w:p w:rsidR="00CA4FF1" w:rsidRPr="006F47F8" w:rsidRDefault="00CA4FF1" w:rsidP="00CA4FF1">
      <w:pPr>
        <w:jc w:val="both"/>
      </w:pPr>
      <w:r w:rsidRPr="006F47F8">
        <w:t>As a condition of funding</w:t>
      </w:r>
      <w:r>
        <w:t xml:space="preserve">, </w:t>
      </w:r>
      <w:r w:rsidRPr="006F47F8">
        <w:t>SDCU providers will be required to:</w:t>
      </w:r>
    </w:p>
    <w:p w:rsidR="00CA4FF1" w:rsidRPr="006F47F8" w:rsidRDefault="00CA4FF1" w:rsidP="00CA4FF1">
      <w:pPr>
        <w:pStyle w:val="ListParagraph"/>
        <w:numPr>
          <w:ilvl w:val="0"/>
          <w:numId w:val="19"/>
        </w:numPr>
        <w:jc w:val="both"/>
      </w:pPr>
      <w:r>
        <w:t xml:space="preserve">participate in performance monitoring and evaluation processes, including through the provision of activity and </w:t>
      </w:r>
      <w:r w:rsidRPr="006F47F8">
        <w:t>outcomes data that allows benchmarking</w:t>
      </w:r>
    </w:p>
    <w:p w:rsidR="00CA4FF1" w:rsidRPr="006F47F8" w:rsidRDefault="00CA4FF1" w:rsidP="00CA4FF1">
      <w:pPr>
        <w:pStyle w:val="ListParagraph"/>
        <w:numPr>
          <w:ilvl w:val="0"/>
          <w:numId w:val="19"/>
        </w:numPr>
        <w:jc w:val="both"/>
      </w:pPr>
      <w:r>
        <w:t>participate</w:t>
      </w:r>
      <w:r w:rsidRPr="006F47F8">
        <w:t xml:space="preserve"> in formal SDCU </w:t>
      </w:r>
      <w:r>
        <w:t xml:space="preserve">program </w:t>
      </w:r>
      <w:r w:rsidRPr="006F47F8">
        <w:t>evaluations</w:t>
      </w:r>
    </w:p>
    <w:p w:rsidR="00CA4FF1" w:rsidRPr="006F47F8" w:rsidRDefault="00CA4FF1" w:rsidP="00CA4FF1">
      <w:pPr>
        <w:pStyle w:val="ListParagraph"/>
        <w:numPr>
          <w:ilvl w:val="0"/>
          <w:numId w:val="19"/>
        </w:numPr>
        <w:jc w:val="both"/>
      </w:pPr>
      <w:proofErr w:type="gramStart"/>
      <w:r>
        <w:t>collaborate</w:t>
      </w:r>
      <w:proofErr w:type="gramEnd"/>
      <w:r>
        <w:t xml:space="preserve"> and </w:t>
      </w:r>
      <w:r w:rsidRPr="006F47F8">
        <w:t xml:space="preserve">share best practice to inform other SDCUs and the aged care sector more broadly on care for people with </w:t>
      </w:r>
      <w:r>
        <w:t xml:space="preserve">very severe </w:t>
      </w:r>
      <w:r w:rsidRPr="006F47F8">
        <w:t>BPSD</w:t>
      </w:r>
      <w:r>
        <w:t>.</w:t>
      </w:r>
    </w:p>
    <w:p w:rsidR="00CA4FF1" w:rsidRDefault="00CA4FF1" w:rsidP="00CA4FF1">
      <w:pPr>
        <w:jc w:val="both"/>
      </w:pPr>
    </w:p>
    <w:p w:rsidR="00CA4FF1" w:rsidRDefault="00CA4FF1" w:rsidP="00CA4FF1">
      <w:pPr>
        <w:jc w:val="both"/>
      </w:pPr>
      <w:r>
        <w:lastRenderedPageBreak/>
        <w:t>As an element of sharing best practice, it is proposed that SDCU providers participate in state-based and national ‘communities of practice’. This could involve face</w:t>
      </w:r>
      <w:r>
        <w:noBreakHyphen/>
        <w:t>to</w:t>
      </w:r>
      <w:r>
        <w:noBreakHyphen/>
        <w:t>face activities such as periodic group forums and facility-to-facility peer reviews.</w:t>
      </w:r>
    </w:p>
    <w:p w:rsidR="00CA4FF1" w:rsidRDefault="00CA4FF1" w:rsidP="00CA4FF1">
      <w:pPr>
        <w:pStyle w:val="Heading3"/>
        <w:numPr>
          <w:ilvl w:val="3"/>
          <w:numId w:val="4"/>
        </w:numPr>
        <w:spacing w:after="120"/>
        <w:jc w:val="both"/>
      </w:pPr>
      <w:bookmarkStart w:id="67" w:name="_Toc499538768"/>
      <w:r w:rsidRPr="00BF7123">
        <w:t xml:space="preserve">Quality and </w:t>
      </w:r>
      <w:r>
        <w:t>safeguards</w:t>
      </w:r>
      <w:bookmarkEnd w:id="67"/>
    </w:p>
    <w:p w:rsidR="00CA4FF1" w:rsidRPr="00BF7123" w:rsidRDefault="00CA4FF1" w:rsidP="00CA4FF1">
      <w:pPr>
        <w:jc w:val="both"/>
      </w:pPr>
      <w:r w:rsidRPr="00BF7123">
        <w:t>SDCU providers will be required to comply with the Aged Care Single Quality Framework due to be implemented from 1 July 2018.</w:t>
      </w:r>
      <w:r>
        <w:rPr>
          <w:rStyle w:val="EndnoteReference"/>
        </w:rPr>
        <w:endnoteReference w:id="40"/>
      </w:r>
      <w:r w:rsidRPr="00BF7123">
        <w:t xml:space="preserve"> A proportionate approach to application of the Framework would be applied, reflecting the higher level of staff skills and greater intensity of care required to appropriately meet the needs </w:t>
      </w:r>
      <w:proofErr w:type="gramStart"/>
      <w:r w:rsidRPr="00BF7123">
        <w:t>of  SDCU</w:t>
      </w:r>
      <w:proofErr w:type="gramEnd"/>
      <w:r>
        <w:t xml:space="preserve"> client</w:t>
      </w:r>
      <w:r w:rsidRPr="00BF7123">
        <w:t>s.</w:t>
      </w:r>
    </w:p>
    <w:p w:rsidR="00CA4FF1" w:rsidRPr="00BF7123" w:rsidRDefault="00CA4FF1" w:rsidP="00CA4FF1">
      <w:pPr>
        <w:jc w:val="both"/>
      </w:pPr>
    </w:p>
    <w:p w:rsidR="00CA4FF1" w:rsidRPr="00BF7123" w:rsidRDefault="00CA4FF1" w:rsidP="00CA4FF1">
      <w:pPr>
        <w:jc w:val="both"/>
      </w:pPr>
      <w:r w:rsidRPr="00BF7123">
        <w:t>All provisions relating to the Australian Aged Care Quality Agency</w:t>
      </w:r>
      <w:r>
        <w:t xml:space="preserve"> (Quality Agency)</w:t>
      </w:r>
      <w:r w:rsidRPr="00BF7123">
        <w:t>, the Aged Care Complaints Commissioner</w:t>
      </w:r>
      <w:r>
        <w:t xml:space="preserve">, mandatory reporting </w:t>
      </w:r>
      <w:r w:rsidRPr="00BF7123">
        <w:t xml:space="preserve">and non-compliance (sanctions) would apply to the operation of a SDCU as for any other part of a residential aged care service. </w:t>
      </w:r>
      <w:r>
        <w:t>The Department of Health</w:t>
      </w:r>
      <w:r w:rsidRPr="00BF7123">
        <w:t xml:space="preserve"> will clearly inform the Quality Agency and other relevant bodies which residential aged care facilities are operating SDCUs.</w:t>
      </w:r>
    </w:p>
    <w:p w:rsidR="00CA4FF1" w:rsidRPr="00BF7123" w:rsidRDefault="00CA4FF1" w:rsidP="00CA4FF1">
      <w:pPr>
        <w:jc w:val="both"/>
        <w:rPr>
          <w:sz w:val="20"/>
          <w:szCs w:val="20"/>
        </w:rPr>
      </w:pPr>
    </w:p>
    <w:p w:rsidR="00CA4FF1" w:rsidRPr="00BF7123" w:rsidRDefault="00CA4FF1" w:rsidP="00CA4FF1">
      <w:pPr>
        <w:jc w:val="both"/>
      </w:pPr>
      <w:r w:rsidRPr="00BF7123">
        <w:t>SDCU quality and safeguarding arrangements will incorporate as appropriate findings of the independent Review of National Aged Care Quality Regulatory Processes published in October 2017 in response to the closure of the Oakden Older Persons Mental Health Service, whose residents included people in the SDCU target group.</w:t>
      </w:r>
    </w:p>
    <w:p w:rsidR="00CA4FF1" w:rsidRDefault="00CA4FF1" w:rsidP="00CA4FF1">
      <w:pPr>
        <w:pStyle w:val="Heading2"/>
        <w:numPr>
          <w:ilvl w:val="1"/>
          <w:numId w:val="4"/>
        </w:numPr>
        <w:spacing w:after="120"/>
        <w:jc w:val="both"/>
      </w:pPr>
      <w:bookmarkStart w:id="68" w:name="_Toc499538769"/>
      <w:r>
        <w:t xml:space="preserve">How </w:t>
      </w:r>
      <w:r w:rsidRPr="00BF7123">
        <w:t>will SDCUs complement existing health and age</w:t>
      </w:r>
      <w:r>
        <w:t>d</w:t>
      </w:r>
      <w:r w:rsidRPr="00BF7123">
        <w:t xml:space="preserve"> care service</w:t>
      </w:r>
      <w:r>
        <w:t>s</w:t>
      </w:r>
      <w:r w:rsidRPr="00BF7123">
        <w:t xml:space="preserve"> for people with very severe BPSD?</w:t>
      </w:r>
      <w:bookmarkEnd w:id="68"/>
    </w:p>
    <w:p w:rsidR="00CA4FF1" w:rsidRDefault="00CA4FF1" w:rsidP="00CA4FF1">
      <w:pPr>
        <w:jc w:val="both"/>
      </w:pPr>
      <w:r>
        <w:t xml:space="preserve">SDCUs are intended to </w:t>
      </w:r>
      <w:r w:rsidRPr="009C6C80">
        <w:t xml:space="preserve">complement </w:t>
      </w:r>
      <w:r>
        <w:t xml:space="preserve">rather than replace similar </w:t>
      </w:r>
      <w:r w:rsidRPr="009C6C80">
        <w:t xml:space="preserve">existing and planned state and territory </w:t>
      </w:r>
      <w:r>
        <w:t xml:space="preserve">government </w:t>
      </w:r>
      <w:r w:rsidRPr="009C6C80">
        <w:t xml:space="preserve">investments </w:t>
      </w:r>
      <w:r>
        <w:t xml:space="preserve">in this area. </w:t>
      </w:r>
      <w:r w:rsidRPr="009C6C80">
        <w:t>SDCUs will predominantly, though not exclusively, provide a ‘step up’ pathway into specialist residential care for people already receiving ‘mainstream’ aged care who are no longer able to be reasonably supported in that environment. State and territory initiatives are anticipated to continue to focus primarily on complementary ‘step down’ pathways for appropriate peop</w:t>
      </w:r>
      <w:r>
        <w:t>le already in the health system, as depicted in Figures 3 and 4.</w:t>
      </w:r>
    </w:p>
    <w:p w:rsidR="00CA4FF1" w:rsidRPr="009C6C80" w:rsidRDefault="00CA4FF1" w:rsidP="00CA4FF1">
      <w:pPr>
        <w:jc w:val="both"/>
      </w:pPr>
    </w:p>
    <w:p w:rsidR="00CA4FF1" w:rsidRPr="009C6C80" w:rsidRDefault="00CA4FF1" w:rsidP="00CA4FF1">
      <w:pPr>
        <w:jc w:val="both"/>
      </w:pPr>
      <w:r w:rsidRPr="009C6C80">
        <w:t>In funding SDCUs, the Australian Government will seek to build on existing relationships with states and territories to better coordinate the effectiveness of these complementary investment approaches.</w:t>
      </w:r>
    </w:p>
    <w:p w:rsidR="00CA4FF1" w:rsidRPr="009C6C80" w:rsidRDefault="00CA4FF1" w:rsidP="00CA4FF1">
      <w:pPr>
        <w:pStyle w:val="ListParagraph"/>
        <w:ind w:left="360"/>
        <w:jc w:val="both"/>
      </w:pPr>
    </w:p>
    <w:p w:rsidR="00CA4FF1" w:rsidRPr="00BF7123" w:rsidRDefault="00CA4FF1" w:rsidP="00CA4FF1">
      <w:pPr>
        <w:jc w:val="both"/>
      </w:pPr>
      <w:r w:rsidRPr="009C6C80">
        <w:t xml:space="preserve">For people with very severe BPSD related to younger onset dementia, the Australian Government will also take into account broader policies about interaction between the aged care system and the </w:t>
      </w:r>
      <w:r>
        <w:t>NDIS</w:t>
      </w:r>
      <w:r w:rsidRPr="009C6C80">
        <w:t>.</w:t>
      </w:r>
    </w:p>
    <w:p w:rsidR="00CA4FF1" w:rsidRDefault="00CA4FF1" w:rsidP="00CA4FF1">
      <w:pPr>
        <w:pStyle w:val="Heading2"/>
        <w:numPr>
          <w:ilvl w:val="1"/>
          <w:numId w:val="4"/>
        </w:numPr>
        <w:spacing w:after="120"/>
        <w:jc w:val="both"/>
      </w:pPr>
      <w:bookmarkStart w:id="69" w:name="_Toc499538770"/>
      <w:r>
        <w:t xml:space="preserve">Providing appropriate care for </w:t>
      </w:r>
      <w:r w:rsidRPr="00BF7123">
        <w:t xml:space="preserve">people with diverse </w:t>
      </w:r>
      <w:r>
        <w:t>backgrounds</w:t>
      </w:r>
      <w:bookmarkEnd w:id="69"/>
      <w:r w:rsidRPr="00BF7123">
        <w:t xml:space="preserve"> </w:t>
      </w:r>
    </w:p>
    <w:p w:rsidR="00CA4FF1" w:rsidRDefault="00CA4FF1" w:rsidP="00CA4FF1">
      <w:pPr>
        <w:pStyle w:val="Heading3"/>
        <w:numPr>
          <w:ilvl w:val="2"/>
          <w:numId w:val="4"/>
        </w:numPr>
        <w:spacing w:after="120"/>
        <w:jc w:val="both"/>
      </w:pPr>
      <w:bookmarkStart w:id="70" w:name="_Toc499538771"/>
      <w:r>
        <w:t>Aboriginal and Torres Strait Islander peoples</w:t>
      </w:r>
      <w:bookmarkEnd w:id="70"/>
    </w:p>
    <w:p w:rsidR="00CA4FF1" w:rsidRDefault="00CA4FF1" w:rsidP="00CA4FF1">
      <w:pPr>
        <w:jc w:val="both"/>
      </w:pPr>
      <w:r w:rsidRPr="00BF7123">
        <w:t xml:space="preserve">Ensuring the SDCU model of care is appropriate for </w:t>
      </w:r>
      <w:r>
        <w:t xml:space="preserve">all </w:t>
      </w:r>
      <w:r w:rsidRPr="00BF7123">
        <w:t xml:space="preserve">people with diverse </w:t>
      </w:r>
      <w:r>
        <w:t>backgrounds</w:t>
      </w:r>
      <w:r w:rsidRPr="00BF7123">
        <w:t xml:space="preserve"> including Aboriginal and Torres Strait Islander people and people from CALD backgrounds is a priority.</w:t>
      </w:r>
    </w:p>
    <w:p w:rsidR="00CA4FF1" w:rsidRDefault="00CA4FF1" w:rsidP="00CA4FF1">
      <w:pPr>
        <w:jc w:val="both"/>
      </w:pPr>
    </w:p>
    <w:p w:rsidR="00CA4FF1" w:rsidRPr="00BF7123" w:rsidRDefault="00CA4FF1" w:rsidP="00CA4FF1">
      <w:pPr>
        <w:jc w:val="both"/>
      </w:pPr>
      <w:r w:rsidRPr="00BF7123">
        <w:t>Prevalence of dementia is estimated to be up to three to four times greater in Aboriginal and Torres Strait Islander communities than in the general population, and on average onset occurs at an earlier age.</w:t>
      </w:r>
      <w:r w:rsidRPr="00BF7123">
        <w:rPr>
          <w:vertAlign w:val="superscript"/>
        </w:rPr>
        <w:endnoteReference w:id="41"/>
      </w:r>
      <w:r w:rsidRPr="00BF7123">
        <w:t xml:space="preserve"> In remote communities in particular, however, dementia may not be diagnosed, or may be diagnosed much later in the dementia trajectory, delaying uptake of social and health supports.</w:t>
      </w:r>
      <w:r w:rsidRPr="00BF7123">
        <w:rPr>
          <w:vertAlign w:val="superscript"/>
        </w:rPr>
        <w:endnoteReference w:id="42"/>
      </w:r>
    </w:p>
    <w:p w:rsidR="00CA4FF1" w:rsidRDefault="00CA4FF1" w:rsidP="00CA4FF1">
      <w:pPr>
        <w:pStyle w:val="Heading3"/>
        <w:numPr>
          <w:ilvl w:val="2"/>
          <w:numId w:val="4"/>
        </w:numPr>
        <w:spacing w:after="120"/>
        <w:jc w:val="both"/>
      </w:pPr>
      <w:bookmarkStart w:id="71" w:name="_Toc499538772"/>
      <w:r>
        <w:t>People from culturally and linguistically diverse backgrounds</w:t>
      </w:r>
      <w:bookmarkEnd w:id="71"/>
    </w:p>
    <w:p w:rsidR="00CA4FF1" w:rsidRDefault="00CA4FF1" w:rsidP="00CA4FF1">
      <w:pPr>
        <w:jc w:val="both"/>
      </w:pPr>
      <w:r w:rsidRPr="00BF7123">
        <w:t>For people from</w:t>
      </w:r>
      <w:r>
        <w:t xml:space="preserve"> culturally and linguistically diverse</w:t>
      </w:r>
      <w:r w:rsidRPr="00BF7123">
        <w:t xml:space="preserve"> </w:t>
      </w:r>
      <w:r>
        <w:t>(</w:t>
      </w:r>
      <w:r w:rsidRPr="00BF7123">
        <w:t>CALD</w:t>
      </w:r>
      <w:r>
        <w:t>)</w:t>
      </w:r>
      <w:r w:rsidRPr="00BF7123">
        <w:t xml:space="preserve"> backgrounds in residential aged care who are unable to communicate in their preferred language there is potentially a great</w:t>
      </w:r>
      <w:r>
        <w:t>er</w:t>
      </w:r>
      <w:r w:rsidRPr="00BF7123">
        <w:t xml:space="preserve"> risk of social isolation and development of perceived disruptive behaviours. Residential care facilities may also trigger memories of pre-migration trauma.</w:t>
      </w:r>
      <w:r w:rsidRPr="00BF7123">
        <w:rPr>
          <w:vertAlign w:val="superscript"/>
        </w:rPr>
        <w:endnoteReference w:id="43"/>
      </w:r>
    </w:p>
    <w:p w:rsidR="00CA4FF1" w:rsidRDefault="00CA4FF1" w:rsidP="00CA4FF1">
      <w:pPr>
        <w:jc w:val="both"/>
      </w:pPr>
    </w:p>
    <w:p w:rsidR="00CA4FF1" w:rsidRDefault="00CA4FF1" w:rsidP="00CA4FF1">
      <w:pPr>
        <w:jc w:val="both"/>
      </w:pPr>
      <w:r>
        <w:t xml:space="preserve">All SDCU providers will be expected to provide person-centred and culturally appropriate care. This will include staff or care consultants, as appropriate, having appropriate skills and experience to recognise when behaviour may relate to a person’s cultural background, rather than to BPSD. </w:t>
      </w:r>
    </w:p>
    <w:p w:rsidR="00CA4FF1" w:rsidRDefault="00CA4FF1" w:rsidP="00CA4FF1">
      <w:pPr>
        <w:jc w:val="both"/>
      </w:pPr>
    </w:p>
    <w:p w:rsidR="00CA4FF1" w:rsidRDefault="00CA4FF1" w:rsidP="00CA4FF1">
      <w:pPr>
        <w:jc w:val="both"/>
      </w:pPr>
      <w:r>
        <w:t>Providers will also be expected, where appropriate, to tailor physical design of units to the cultural background of the expected local resident population.</w:t>
      </w:r>
    </w:p>
    <w:p w:rsidR="00CA4FF1" w:rsidRDefault="00CA4FF1" w:rsidP="00CA4FF1">
      <w:pPr>
        <w:pStyle w:val="Heading3"/>
        <w:numPr>
          <w:ilvl w:val="2"/>
          <w:numId w:val="4"/>
        </w:numPr>
        <w:spacing w:after="120"/>
        <w:jc w:val="both"/>
      </w:pPr>
      <w:bookmarkStart w:id="72" w:name="_Toc499538773"/>
      <w:r>
        <w:t>Aged Care Diversity Framework</w:t>
      </w:r>
      <w:bookmarkEnd w:id="72"/>
    </w:p>
    <w:p w:rsidR="00CA4FF1" w:rsidRPr="009C6C80" w:rsidRDefault="00CA4FF1" w:rsidP="00CA4FF1">
      <w:pPr>
        <w:jc w:val="both"/>
      </w:pPr>
      <w:r w:rsidRPr="009C6C80">
        <w:t xml:space="preserve">The Hon Ken Wyatt </w:t>
      </w:r>
      <w:proofErr w:type="gramStart"/>
      <w:r w:rsidRPr="009C6C80">
        <w:t>AM</w:t>
      </w:r>
      <w:proofErr w:type="gramEnd"/>
      <w:r w:rsidRPr="009C6C80">
        <w:t xml:space="preserve"> MP, Minister for Aged Care, has established an Aged Care Sector Committee Diversity Sub-Group to advise the Government on the development of an </w:t>
      </w:r>
      <w:r w:rsidRPr="00A610DD">
        <w:t>Aged Care Diversity Framework</w:t>
      </w:r>
      <w:r>
        <w:t xml:space="preserve"> by December 2017</w:t>
      </w:r>
      <w:r w:rsidRPr="002D1A52">
        <w:t>.</w:t>
      </w:r>
      <w:r w:rsidRPr="009C6C80">
        <w:t xml:space="preserve"> </w:t>
      </w:r>
    </w:p>
    <w:p w:rsidR="00CA4FF1" w:rsidRPr="009C6C80" w:rsidRDefault="00CA4FF1" w:rsidP="00CA4FF1">
      <w:pPr>
        <w:jc w:val="both"/>
      </w:pPr>
    </w:p>
    <w:p w:rsidR="00CA4FF1" w:rsidRPr="009C6C80" w:rsidRDefault="00CA4FF1" w:rsidP="00CA4FF1">
      <w:pPr>
        <w:jc w:val="both"/>
      </w:pPr>
      <w:r w:rsidRPr="009C6C80">
        <w:t>The framework is intended to comprise a set of overarching shared principles with action plans to drive change across the sector</w:t>
      </w:r>
      <w:r>
        <w:t>,</w:t>
      </w:r>
      <w:r w:rsidRPr="009C6C80">
        <w:t xml:space="preserve"> to improve outcomes for </w:t>
      </w:r>
      <w:r>
        <w:t>all older people</w:t>
      </w:r>
      <w:r w:rsidRPr="009C6C80">
        <w:t xml:space="preserve"> </w:t>
      </w:r>
      <w:r>
        <w:t xml:space="preserve">with </w:t>
      </w:r>
      <w:r w:rsidRPr="009C6C80">
        <w:t xml:space="preserve">diverse </w:t>
      </w:r>
      <w:r>
        <w:t xml:space="preserve">characteristics and life experiences. </w:t>
      </w:r>
      <w:r w:rsidRPr="009C6C80">
        <w:t xml:space="preserve">As with other aged care providers, SDCU </w:t>
      </w:r>
      <w:r>
        <w:t>providers will</w:t>
      </w:r>
      <w:r w:rsidRPr="009C6C80">
        <w:t xml:space="preserve"> be encouraged to use the framework to inform their policies and procedures in the design and delivery of aged care services.</w:t>
      </w:r>
      <w:r w:rsidRPr="009C6C80">
        <w:rPr>
          <w:rStyle w:val="EndnoteReference"/>
        </w:rPr>
        <w:endnoteReference w:id="44"/>
      </w:r>
    </w:p>
    <w:p w:rsidR="00CA4FF1" w:rsidRDefault="00CA4FF1" w:rsidP="00CA4FF1">
      <w:pPr>
        <w:pStyle w:val="Heading3"/>
        <w:numPr>
          <w:ilvl w:val="2"/>
          <w:numId w:val="4"/>
        </w:numPr>
        <w:spacing w:after="120"/>
        <w:jc w:val="both"/>
      </w:pPr>
      <w:bookmarkStart w:id="73" w:name="_Toc499538774"/>
      <w:r w:rsidRPr="00BF7123">
        <w:t>How will SDCUs ensure access for people in rural and remote areas?</w:t>
      </w:r>
      <w:bookmarkEnd w:id="73"/>
    </w:p>
    <w:p w:rsidR="00CA4FF1" w:rsidRDefault="00CA4FF1" w:rsidP="00CA4FF1">
      <w:pPr>
        <w:jc w:val="both"/>
      </w:pPr>
      <w:r>
        <w:t xml:space="preserve">There are particular barriers </w:t>
      </w:r>
      <w:r w:rsidRPr="009C6C80">
        <w:t xml:space="preserve">to establishing </w:t>
      </w:r>
      <w:r>
        <w:t>SDCUs i</w:t>
      </w:r>
      <w:r w:rsidRPr="009C6C80">
        <w:t>n</w:t>
      </w:r>
      <w:r>
        <w:t xml:space="preserve"> non-metropolitan </w:t>
      </w:r>
      <w:r w:rsidRPr="009C6C80">
        <w:t>areas, including higher costs, longer travel distances</w:t>
      </w:r>
      <w:r>
        <w:t xml:space="preserve"> particularly for families and carers</w:t>
      </w:r>
      <w:r w:rsidRPr="009C6C80">
        <w:t>, workforce limitations</w:t>
      </w:r>
      <w:r>
        <w:t>,</w:t>
      </w:r>
      <w:r w:rsidRPr="009C6C80">
        <w:t xml:space="preserve"> </w:t>
      </w:r>
      <w:r>
        <w:t>lack of access to specialists and capital infrastructure investment.</w:t>
      </w:r>
    </w:p>
    <w:p w:rsidR="00CA4FF1" w:rsidRPr="009C6C80" w:rsidRDefault="00CA4FF1" w:rsidP="00CA4FF1">
      <w:pPr>
        <w:jc w:val="both"/>
      </w:pPr>
    </w:p>
    <w:p w:rsidR="00CA4FF1" w:rsidRDefault="00CA4FF1" w:rsidP="00CA4FF1">
      <w:pPr>
        <w:jc w:val="both"/>
      </w:pPr>
      <w:r>
        <w:t xml:space="preserve">Decisions about where SDCUs are specifically located will need to balance the </w:t>
      </w:r>
      <w:r>
        <w:rPr>
          <w:i/>
        </w:rPr>
        <w:t xml:space="preserve">specialist </w:t>
      </w:r>
      <w:r>
        <w:t xml:space="preserve">nature of the units – and consequently the availability of an appropriately-qualified workforce and support services – with ease of access for people in rural or remote areas. Given the significant challenges for service delivery across all areas of health and aged care in rural and remote areas, it is possible that locating distinct SDCUs in these locations will not be the most effective and efficient way to support people with very severe BPSD. </w:t>
      </w:r>
    </w:p>
    <w:p w:rsidR="00CA4FF1" w:rsidRDefault="00CA4FF1" w:rsidP="00CA4FF1">
      <w:pPr>
        <w:jc w:val="both"/>
      </w:pPr>
    </w:p>
    <w:p w:rsidR="00CA4FF1" w:rsidRDefault="00CA4FF1" w:rsidP="00CA4FF1">
      <w:pPr>
        <w:jc w:val="both"/>
      </w:pPr>
      <w:r w:rsidRPr="009C6C80">
        <w:lastRenderedPageBreak/>
        <w:t xml:space="preserve">Different approaches </w:t>
      </w:r>
      <w:r>
        <w:t xml:space="preserve">could </w:t>
      </w:r>
      <w:r w:rsidRPr="009C6C80">
        <w:t xml:space="preserve">include ‘hub and spoke’ arrangements to share expertise between metropolitan and rural SDCUs, or a ‘wrap around’ approach centred on a </w:t>
      </w:r>
      <w:r>
        <w:t>p</w:t>
      </w:r>
      <w:r w:rsidRPr="009C6C80">
        <w:t>erson rather than a fixed location</w:t>
      </w:r>
      <w:r>
        <w:t>,</w:t>
      </w:r>
      <w:r w:rsidRPr="009C6C80">
        <w:t xml:space="preserve"> </w:t>
      </w:r>
      <w:r>
        <w:t>as currently being considered in South Australia.</w:t>
      </w:r>
      <w:r>
        <w:rPr>
          <w:rStyle w:val="EndnoteReference"/>
        </w:rPr>
        <w:endnoteReference w:id="45"/>
      </w:r>
    </w:p>
    <w:p w:rsidR="00CA4FF1" w:rsidRDefault="00CA4FF1" w:rsidP="00CA4FF1">
      <w:pPr>
        <w:jc w:val="both"/>
      </w:pPr>
    </w:p>
    <w:p w:rsidR="00CA4FF1" w:rsidRPr="009C6C80" w:rsidRDefault="00CA4FF1" w:rsidP="00CA4FF1">
      <w:pPr>
        <w:jc w:val="both"/>
      </w:pPr>
      <w:r>
        <w:t xml:space="preserve">SDCUs could </w:t>
      </w:r>
      <w:r w:rsidRPr="009C6C80">
        <w:t xml:space="preserve">also </w:t>
      </w:r>
      <w:r>
        <w:t xml:space="preserve">establish </w:t>
      </w:r>
      <w:r w:rsidRPr="009C6C80">
        <w:t>outreach or in-reach arrangements with rural and remote services other than mainstream residential aged care facilities, such as multipurpose services or rural and remote residential services funded under the National Aboriginal and Torres Strait Islander Flexible Aged Care Program</w:t>
      </w:r>
      <w:r>
        <w:t xml:space="preserve"> and other non-government funded organisations as appropriate within their PHN.</w:t>
      </w:r>
    </w:p>
    <w:p w:rsidR="00CA4FF1" w:rsidRDefault="00CA4FF1" w:rsidP="00CA4FF1">
      <w:pPr>
        <w:jc w:val="both"/>
      </w:pPr>
    </w:p>
    <w:p w:rsidR="00CA4FF1" w:rsidRDefault="00CA4FF1" w:rsidP="00CA4FF1">
      <w:pPr>
        <w:jc w:val="both"/>
      </w:pPr>
      <w:r>
        <w:t>We recognise that there will be specific considerations for these groups and other people with diverse backgrounds, at all stages from referral and assessment to supported transition out of a SDCU. We welcome your views on how SDCUs can best support people with diverse backgrounds experiencing very severe BPSD (and their families and carers).</w:t>
      </w:r>
    </w:p>
    <w:p w:rsidR="00CA4FF1" w:rsidRPr="00BF7123" w:rsidRDefault="00CA4FF1" w:rsidP="00CA4FF1">
      <w:pPr>
        <w:jc w:val="both"/>
      </w:pPr>
    </w:p>
    <w:p w:rsidR="00CA4FF1" w:rsidRDefault="00CA4FF1" w:rsidP="00CA4FF1">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jc w:val="both"/>
      </w:pPr>
      <w:r>
        <w:t xml:space="preserve">Q17) </w:t>
      </w:r>
      <w:r w:rsidRPr="00832CC4">
        <w:t>Should there be any additional requirements for SDCU providers caring for people from Aboriginal and Torres Strait Islander, CALD or other diverse backgrounds?</w:t>
      </w:r>
    </w:p>
    <w:p w:rsidR="00CA4FF1" w:rsidRPr="003231EA" w:rsidRDefault="00CA4FF1" w:rsidP="00CA4FF1">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jc w:val="both"/>
      </w:pPr>
      <w:r w:rsidRPr="00815E2F">
        <w:t>Q</w:t>
      </w:r>
      <w:r>
        <w:t>18</w:t>
      </w:r>
      <w:r w:rsidRPr="00815E2F">
        <w:t xml:space="preserve">) </w:t>
      </w:r>
      <w:proofErr w:type="gramStart"/>
      <w:r w:rsidRPr="00815E2F">
        <w:t>Would</w:t>
      </w:r>
      <w:proofErr w:type="gramEnd"/>
      <w:r w:rsidRPr="00815E2F">
        <w:t xml:space="preserve"> it be feasible to establish SDCUs in rural and remote locations? How can SDCUs </w:t>
      </w:r>
      <w:r>
        <w:t>(or alternat</w:t>
      </w:r>
      <w:r w:rsidR="00AC2001">
        <w:t>iv</w:t>
      </w:r>
      <w:r>
        <w:t xml:space="preserve">e initiatives) </w:t>
      </w:r>
      <w:r w:rsidRPr="00815E2F">
        <w:t>best support people with very severe BPSD living in rural and remote areas?</w:t>
      </w:r>
    </w:p>
    <w:p w:rsidR="00CA4FF1" w:rsidRDefault="00CA4FF1" w:rsidP="00CA4FF1">
      <w:pPr>
        <w:pStyle w:val="Heading1"/>
        <w:numPr>
          <w:ilvl w:val="0"/>
          <w:numId w:val="5"/>
        </w:numPr>
        <w:spacing w:after="120"/>
        <w:jc w:val="both"/>
      </w:pPr>
      <w:bookmarkStart w:id="74" w:name="_SDCU_proposed_funding"/>
      <w:bookmarkStart w:id="75" w:name="_Toc499538775"/>
      <w:bookmarkEnd w:id="74"/>
      <w:r>
        <w:t>SDCU proposed funding and administration</w:t>
      </w:r>
      <w:bookmarkEnd w:id="75"/>
    </w:p>
    <w:p w:rsidR="00CA4FF1" w:rsidRDefault="00CA4FF1" w:rsidP="00CA4FF1">
      <w:pPr>
        <w:pStyle w:val="Heading2"/>
        <w:numPr>
          <w:ilvl w:val="1"/>
          <w:numId w:val="23"/>
        </w:numPr>
        <w:spacing w:after="120"/>
        <w:jc w:val="both"/>
      </w:pPr>
      <w:bookmarkStart w:id="76" w:name="_Toc499538776"/>
      <w:r>
        <w:t>Funding approach and amount</w:t>
      </w:r>
      <w:bookmarkEnd w:id="76"/>
    </w:p>
    <w:p w:rsidR="00CA4FF1" w:rsidRDefault="00CA4FF1" w:rsidP="00CA4FF1">
      <w:pPr>
        <w:jc w:val="both"/>
      </w:pPr>
      <w:r w:rsidRPr="00B91EBF">
        <w:t>T</w:t>
      </w:r>
      <w:r>
        <w:t>he core t</w:t>
      </w:r>
      <w:r w:rsidRPr="00B91EBF">
        <w:t xml:space="preserve">echniques </w:t>
      </w:r>
      <w:r>
        <w:t xml:space="preserve">for management of BPSD – </w:t>
      </w:r>
      <w:r w:rsidRPr="00B91EBF">
        <w:t xml:space="preserve">such as </w:t>
      </w:r>
      <w:r>
        <w:t xml:space="preserve">providing an enabling physical environment, providing flexible person-centred care and, wherever possible, using </w:t>
      </w:r>
      <w:r w:rsidRPr="00B91EBF">
        <w:t>distraction, redirection, reassurance and reorientation</w:t>
      </w:r>
      <w:r>
        <w:t xml:space="preserve"> in place of pharmaceutical interventions – can be applied in any setting and often at no greater cost than providing more traditional, ‘task-oriented’ care. This is demonstrated by these techniques being used to address BPSD in a small but growing number of residential aged care facilities receiving standard residential aged care funding.</w:t>
      </w:r>
      <w:r>
        <w:rPr>
          <w:rStyle w:val="EndnoteReference"/>
        </w:rPr>
        <w:endnoteReference w:id="46"/>
      </w:r>
    </w:p>
    <w:p w:rsidR="00CA4FF1" w:rsidRDefault="00CA4FF1" w:rsidP="00CA4FF1">
      <w:pPr>
        <w:jc w:val="both"/>
      </w:pPr>
    </w:p>
    <w:p w:rsidR="00CA4FF1" w:rsidRDefault="00CA4FF1" w:rsidP="00CA4FF1">
      <w:pPr>
        <w:jc w:val="both"/>
      </w:pPr>
      <w:r>
        <w:t>Nonetheless, i</w:t>
      </w:r>
      <w:r w:rsidRPr="00832CC4">
        <w:t xml:space="preserve">t is acknowledged that </w:t>
      </w:r>
      <w:r>
        <w:t xml:space="preserve">delivering appropriate care exclusively to the proposed SDCU target group in a small, specialist unit </w:t>
      </w:r>
      <w:r w:rsidRPr="00832CC4">
        <w:t xml:space="preserve">will cost more </w:t>
      </w:r>
      <w:r>
        <w:t xml:space="preserve">to deliver than other care models. </w:t>
      </w:r>
    </w:p>
    <w:p w:rsidR="00CA4FF1" w:rsidRDefault="00CA4FF1" w:rsidP="00CA4FF1">
      <w:pPr>
        <w:jc w:val="both"/>
      </w:pPr>
    </w:p>
    <w:p w:rsidR="00CA4FF1" w:rsidRPr="00832CC4" w:rsidRDefault="00CA4FF1" w:rsidP="00CA4FF1">
      <w:pPr>
        <w:jc w:val="both"/>
      </w:pPr>
      <w:r w:rsidRPr="00832CC4">
        <w:t xml:space="preserve">There are a number of ways </w:t>
      </w:r>
      <w:r>
        <w:t xml:space="preserve">Australian </w:t>
      </w:r>
      <w:r w:rsidRPr="00832CC4">
        <w:t xml:space="preserve">Government funding for SDCUs could be provided, including though establishment of a new form of flexible care under the </w:t>
      </w:r>
      <w:r w:rsidRPr="00832CC4">
        <w:rPr>
          <w:i/>
        </w:rPr>
        <w:t>Aged Care Act 1997</w:t>
      </w:r>
      <w:r w:rsidRPr="00832CC4">
        <w:t xml:space="preserve">. However, it is proposed that SDCUs are funded by providing additional or ‘top up’ </w:t>
      </w:r>
      <w:r>
        <w:t xml:space="preserve">Australian Government </w:t>
      </w:r>
      <w:r w:rsidRPr="00832CC4">
        <w:t>funding above standard aged care funding streams applying to residential aged care places. This approach has the following advantages:</w:t>
      </w:r>
    </w:p>
    <w:p w:rsidR="00CA4FF1" w:rsidRPr="00832CC4" w:rsidRDefault="00CA4FF1" w:rsidP="00CA4FF1">
      <w:pPr>
        <w:numPr>
          <w:ilvl w:val="0"/>
          <w:numId w:val="24"/>
        </w:numPr>
        <w:contextualSpacing/>
        <w:jc w:val="both"/>
      </w:pPr>
      <w:r w:rsidRPr="00832CC4">
        <w:t xml:space="preserve">minimises legislative and supporting systems changes </w:t>
      </w:r>
    </w:p>
    <w:p w:rsidR="00CA4FF1" w:rsidRPr="00832CC4" w:rsidRDefault="00CA4FF1" w:rsidP="00CA4FF1">
      <w:pPr>
        <w:numPr>
          <w:ilvl w:val="0"/>
          <w:numId w:val="24"/>
        </w:numPr>
        <w:contextualSpacing/>
        <w:jc w:val="both"/>
      </w:pPr>
      <w:r w:rsidRPr="00832CC4">
        <w:lastRenderedPageBreak/>
        <w:t>relies on the residential care model (ensuring the underlying protections relating to quality and compliance apply)</w:t>
      </w:r>
    </w:p>
    <w:p w:rsidR="00CA4FF1" w:rsidRPr="00832CC4" w:rsidRDefault="00CA4FF1" w:rsidP="00CA4FF1">
      <w:pPr>
        <w:numPr>
          <w:ilvl w:val="0"/>
          <w:numId w:val="24"/>
        </w:numPr>
        <w:contextualSpacing/>
        <w:jc w:val="both"/>
      </w:pPr>
      <w:r w:rsidRPr="00832CC4">
        <w:t xml:space="preserve">limits the need for providers and clients to seek multiple care </w:t>
      </w:r>
      <w:r>
        <w:t xml:space="preserve">type </w:t>
      </w:r>
      <w:r w:rsidRPr="00832CC4">
        <w:t>approvals</w:t>
      </w:r>
    </w:p>
    <w:p w:rsidR="00CA4FF1" w:rsidRPr="00832CC4" w:rsidRDefault="00CA4FF1" w:rsidP="00CA4FF1">
      <w:pPr>
        <w:numPr>
          <w:ilvl w:val="0"/>
          <w:numId w:val="24"/>
        </w:numPr>
        <w:contextualSpacing/>
        <w:jc w:val="both"/>
      </w:pPr>
      <w:r w:rsidRPr="00832CC4">
        <w:t xml:space="preserve">is consistent with widespread existing </w:t>
      </w:r>
      <w:r>
        <w:t xml:space="preserve">practice of </w:t>
      </w:r>
      <w:r w:rsidRPr="00832CC4">
        <w:t>state government</w:t>
      </w:r>
      <w:r>
        <w:t>s</w:t>
      </w:r>
      <w:r w:rsidRPr="00832CC4">
        <w:t xml:space="preserve"> providing </w:t>
      </w:r>
      <w:r>
        <w:t xml:space="preserve">‘top up’ funding </w:t>
      </w:r>
      <w:r w:rsidRPr="00832CC4">
        <w:t>to residential aged care operators delivering SDCU</w:t>
      </w:r>
      <w:r>
        <w:t>-</w:t>
      </w:r>
      <w:r w:rsidRPr="00832CC4">
        <w:t>like care</w:t>
      </w:r>
    </w:p>
    <w:p w:rsidR="00CA4FF1" w:rsidRPr="00832CC4" w:rsidRDefault="00CA4FF1" w:rsidP="00CA4FF1">
      <w:pPr>
        <w:numPr>
          <w:ilvl w:val="0"/>
          <w:numId w:val="24"/>
        </w:numPr>
        <w:contextualSpacing/>
        <w:jc w:val="both"/>
      </w:pPr>
      <w:r w:rsidRPr="00832CC4">
        <w:t xml:space="preserve">would allow any future changes to residential aged care funding arrangements to flow to places involved in delivering the SDCU program </w:t>
      </w:r>
    </w:p>
    <w:p w:rsidR="00CA4FF1" w:rsidRPr="00832CC4" w:rsidRDefault="00CA4FF1" w:rsidP="00CA4FF1">
      <w:pPr>
        <w:numPr>
          <w:ilvl w:val="0"/>
          <w:numId w:val="24"/>
        </w:numPr>
        <w:contextualSpacing/>
        <w:jc w:val="both"/>
      </w:pPr>
      <w:proofErr w:type="gramStart"/>
      <w:r w:rsidRPr="00832CC4">
        <w:t>supports</w:t>
      </w:r>
      <w:proofErr w:type="gramEnd"/>
      <w:r w:rsidRPr="00832CC4">
        <w:t xml:space="preserve"> continued access to residential aged care funding should </w:t>
      </w:r>
      <w:r>
        <w:t>the provider cease to operate a</w:t>
      </w:r>
      <w:r w:rsidRPr="00832CC4">
        <w:t xml:space="preserve"> SDCU at a particular facility at any time.</w:t>
      </w:r>
    </w:p>
    <w:p w:rsidR="00CA4FF1" w:rsidRPr="00832CC4" w:rsidRDefault="00CA4FF1" w:rsidP="00CA4FF1">
      <w:pPr>
        <w:jc w:val="both"/>
      </w:pPr>
    </w:p>
    <w:p w:rsidR="00CA4FF1" w:rsidRPr="00832CC4" w:rsidRDefault="00CA4FF1" w:rsidP="00CA4FF1">
      <w:pPr>
        <w:jc w:val="both"/>
      </w:pPr>
      <w:r w:rsidRPr="00832CC4">
        <w:t xml:space="preserve">The funding available above ordinary residential aged care funding is currently expected to be in the range of $150-300 per bed per day. While some provider capital and/or equipment expenditure is likely to be required in setting up a SDCU, a distinct </w:t>
      </w:r>
      <w:r>
        <w:t xml:space="preserve">SDCU </w:t>
      </w:r>
      <w:r w:rsidRPr="00832CC4">
        <w:t>capital funding stream is not proposed.</w:t>
      </w:r>
      <w:r>
        <w:t xml:space="preserve"> Providers may however be eligible to apply for capital funds though existing funding streams.</w:t>
      </w:r>
    </w:p>
    <w:p w:rsidR="00CA4FF1" w:rsidRPr="00832CC4" w:rsidRDefault="00CA4FF1" w:rsidP="00CA4FF1">
      <w:pPr>
        <w:jc w:val="both"/>
        <w:rPr>
          <w:sz w:val="12"/>
          <w:szCs w:val="12"/>
        </w:rPr>
      </w:pPr>
    </w:p>
    <w:p w:rsidR="00CA4FF1" w:rsidRDefault="00CA4FF1" w:rsidP="00CA4FF1">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contextualSpacing/>
        <w:jc w:val="both"/>
      </w:pPr>
      <w:r>
        <w:t xml:space="preserve">Q19) </w:t>
      </w:r>
      <w:proofErr w:type="gramStart"/>
      <w:r w:rsidRPr="00832CC4">
        <w:t>What</w:t>
      </w:r>
      <w:proofErr w:type="gramEnd"/>
      <w:r w:rsidRPr="00832CC4">
        <w:t xml:space="preserve"> specific costs would contribute to th</w:t>
      </w:r>
      <w:r>
        <w:t>e ‘top up’</w:t>
      </w:r>
      <w:r w:rsidRPr="00832CC4">
        <w:t xml:space="preserve"> amount</w:t>
      </w:r>
      <w:r>
        <w:t>?</w:t>
      </w:r>
    </w:p>
    <w:p w:rsidR="00CA4FF1" w:rsidRPr="00E02283" w:rsidRDefault="00CA4FF1" w:rsidP="00CA4FF1">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contextualSpacing/>
        <w:jc w:val="both"/>
      </w:pPr>
      <w:r>
        <w:t>Q20</w:t>
      </w:r>
      <w:r w:rsidR="00AC2001">
        <w:t>)</w:t>
      </w:r>
      <w:r>
        <w:t xml:space="preserve"> </w:t>
      </w:r>
      <w:proofErr w:type="gramStart"/>
      <w:r w:rsidRPr="00832CC4">
        <w:t>To</w:t>
      </w:r>
      <w:proofErr w:type="gramEnd"/>
      <w:r w:rsidRPr="00832CC4">
        <w:t xml:space="preserve"> what extent </w:t>
      </w:r>
      <w:r>
        <w:t xml:space="preserve">might these </w:t>
      </w:r>
      <w:r w:rsidRPr="00832CC4">
        <w:t>cost</w:t>
      </w:r>
      <w:r>
        <w:t>s</w:t>
      </w:r>
      <w:r w:rsidRPr="00832CC4">
        <w:t xml:space="preserve"> vary across SDCUs, for example in response to geographic location or local mix</w:t>
      </w:r>
      <w:r>
        <w:t xml:space="preserve"> of people with BPSD</w:t>
      </w:r>
      <w:r w:rsidRPr="00832CC4">
        <w:t xml:space="preserve">? </w:t>
      </w:r>
    </w:p>
    <w:p w:rsidR="00CA4FF1" w:rsidRDefault="00CA4FF1" w:rsidP="00CA4FF1">
      <w:pPr>
        <w:pStyle w:val="Heading2"/>
        <w:numPr>
          <w:ilvl w:val="1"/>
          <w:numId w:val="23"/>
        </w:numPr>
        <w:spacing w:after="120"/>
        <w:jc w:val="both"/>
      </w:pPr>
      <w:bookmarkStart w:id="77" w:name="_Toc499538777"/>
      <w:r>
        <w:t>Administrative options for providing ‘top up’ funding for SDCUs</w:t>
      </w:r>
      <w:bookmarkEnd w:id="77"/>
    </w:p>
    <w:p w:rsidR="00CA4FF1" w:rsidRPr="00832CC4" w:rsidRDefault="00CA4FF1" w:rsidP="00CA4FF1">
      <w:pPr>
        <w:jc w:val="both"/>
      </w:pPr>
      <w:r w:rsidRPr="00832CC4">
        <w:t xml:space="preserve">Two administrative options to provide </w:t>
      </w:r>
      <w:r>
        <w:t xml:space="preserve">Australian Government </w:t>
      </w:r>
      <w:r w:rsidRPr="00832CC4">
        <w:t xml:space="preserve">‘top up’ funding are under current consideration. </w:t>
      </w:r>
    </w:p>
    <w:p w:rsidR="00CA4FF1" w:rsidRDefault="00CA4FF1" w:rsidP="00CA4FF1">
      <w:pPr>
        <w:pStyle w:val="Heading3"/>
        <w:numPr>
          <w:ilvl w:val="2"/>
          <w:numId w:val="23"/>
        </w:numPr>
        <w:spacing w:after="120"/>
        <w:jc w:val="both"/>
      </w:pPr>
      <w:bookmarkStart w:id="78" w:name="_Toc499538778"/>
      <w:r>
        <w:t>Option one: basic aged care funding plus ‘top up’ funding via a targeted supplement</w:t>
      </w:r>
      <w:bookmarkEnd w:id="78"/>
    </w:p>
    <w:p w:rsidR="00CA4FF1" w:rsidRPr="00832CC4" w:rsidRDefault="00CA4FF1" w:rsidP="00CA4FF1">
      <w:pPr>
        <w:jc w:val="both"/>
      </w:pPr>
      <w:r w:rsidRPr="00832CC4">
        <w:t>Under this option, the places that form a SDCU will attract all ordinary residential aged care funding, ACFI subsidies and supplements, resident fees and charges</w:t>
      </w:r>
      <w:r>
        <w:t xml:space="preserve">. The SDCU provider will also receive additional ‘top up’ funding through a </w:t>
      </w:r>
      <w:r w:rsidRPr="00832CC4">
        <w:t>targeted supplement. Only residential aged care services that had been approved through the SDCU selection process would be eligible to claim the SDCU supplement. The list of approved services would periodically be defined through Ministerial Determination, and the requirements of the SDCU provider to ensure ongoing access to the supplement would be clearly defined in legislation.</w:t>
      </w:r>
    </w:p>
    <w:p w:rsidR="00CA4FF1" w:rsidRPr="00832CC4" w:rsidRDefault="00CA4FF1" w:rsidP="00CA4FF1">
      <w:pPr>
        <w:jc w:val="both"/>
        <w:rPr>
          <w:rFonts w:ascii="Times New Roman" w:hAnsi="Times New Roman"/>
        </w:rPr>
      </w:pPr>
    </w:p>
    <w:p w:rsidR="00CA4FF1" w:rsidRPr="00832CC4" w:rsidRDefault="00CA4FF1" w:rsidP="00CA4FF1">
      <w:pPr>
        <w:jc w:val="both"/>
      </w:pPr>
      <w:r w:rsidRPr="00832CC4">
        <w:t>If adopted, details of the claiming mechanism will be determined in conjunction with the Department of Human Services as operator of the aged care payment system.</w:t>
      </w:r>
    </w:p>
    <w:p w:rsidR="00CA4FF1" w:rsidRDefault="00CA4FF1" w:rsidP="00CA4FF1">
      <w:pPr>
        <w:pStyle w:val="Heading3"/>
        <w:numPr>
          <w:ilvl w:val="2"/>
          <w:numId w:val="23"/>
        </w:numPr>
        <w:spacing w:after="120"/>
        <w:jc w:val="both"/>
      </w:pPr>
      <w:bookmarkStart w:id="79" w:name="_Toc499538779"/>
      <w:r>
        <w:t>Option two: basic aged care funding plus ‘top up’ funding via a grant</w:t>
      </w:r>
      <w:bookmarkEnd w:id="79"/>
    </w:p>
    <w:p w:rsidR="00CA4FF1" w:rsidRPr="00832CC4" w:rsidRDefault="00CA4FF1" w:rsidP="00CA4FF1">
      <w:pPr>
        <w:jc w:val="both"/>
      </w:pPr>
      <w:r w:rsidRPr="00832CC4">
        <w:t>Under this option, places that form a SDCU at a facility will attract all ordinary residential aged care funding</w:t>
      </w:r>
      <w:r>
        <w:t>,</w:t>
      </w:r>
      <w:r w:rsidRPr="00832CC4">
        <w:t xml:space="preserve"> ACFI subsidies and supplements</w:t>
      </w:r>
      <w:r>
        <w:t>, and</w:t>
      </w:r>
      <w:r w:rsidRPr="00832CC4">
        <w:t xml:space="preserve"> resident fees and charges. The SDCU provider will also enter into a fixed term funding agreement for the ‘top up’ funding with the Department of Health.</w:t>
      </w:r>
    </w:p>
    <w:p w:rsidR="00CA4FF1" w:rsidRPr="00832CC4" w:rsidRDefault="00CA4FF1" w:rsidP="00CA4FF1">
      <w:pPr>
        <w:jc w:val="both"/>
      </w:pPr>
    </w:p>
    <w:p w:rsidR="00CA4FF1" w:rsidRPr="00832CC4" w:rsidRDefault="00CA4FF1" w:rsidP="00CA4FF1">
      <w:pPr>
        <w:jc w:val="both"/>
      </w:pPr>
      <w:r w:rsidRPr="00832CC4">
        <w:t xml:space="preserve">If adopted, ordinary </w:t>
      </w:r>
      <w:r>
        <w:t>Australian Government</w:t>
      </w:r>
      <w:r w:rsidRPr="00832CC4">
        <w:t xml:space="preserve"> grants payments mechanisms are expected to apply.</w:t>
      </w:r>
    </w:p>
    <w:p w:rsidR="00CA4FF1" w:rsidRPr="00832CC4" w:rsidRDefault="00CA4FF1" w:rsidP="00CA4FF1">
      <w:pPr>
        <w:jc w:val="both"/>
        <w:rPr>
          <w:sz w:val="12"/>
          <w:szCs w:val="12"/>
        </w:rPr>
      </w:pPr>
    </w:p>
    <w:p w:rsidR="00CA4FF1" w:rsidRPr="00832CC4" w:rsidRDefault="00CA4FF1" w:rsidP="00CA4FF1">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contextualSpacing/>
        <w:jc w:val="both"/>
      </w:pPr>
      <w:r>
        <w:t xml:space="preserve">Q21) </w:t>
      </w:r>
      <w:r w:rsidRPr="00832CC4">
        <w:t>Which ‘top up’ funding option do you prefer? Why?</w:t>
      </w:r>
    </w:p>
    <w:p w:rsidR="00CA4FF1" w:rsidRPr="00832CC4" w:rsidRDefault="00CA4FF1" w:rsidP="00CA4FF1">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contextualSpacing/>
        <w:jc w:val="both"/>
      </w:pPr>
      <w:r>
        <w:t xml:space="preserve">Q22) Are there other </w:t>
      </w:r>
      <w:r w:rsidRPr="00832CC4">
        <w:t xml:space="preserve">funding mechanisms </w:t>
      </w:r>
      <w:r>
        <w:t xml:space="preserve">that </w:t>
      </w:r>
      <w:r w:rsidRPr="00832CC4">
        <w:t>should be considered?</w:t>
      </w:r>
    </w:p>
    <w:p w:rsidR="00CA4FF1" w:rsidRDefault="00CA4FF1" w:rsidP="00CA4FF1">
      <w:pPr>
        <w:pStyle w:val="Heading2"/>
        <w:numPr>
          <w:ilvl w:val="1"/>
          <w:numId w:val="23"/>
        </w:numPr>
        <w:spacing w:after="120"/>
        <w:jc w:val="both"/>
      </w:pPr>
      <w:bookmarkStart w:id="80" w:name="_Toc499538780"/>
      <w:r>
        <w:t>Block funding versus occupancy-based funding</w:t>
      </w:r>
      <w:bookmarkEnd w:id="80"/>
    </w:p>
    <w:p w:rsidR="00CA4FF1" w:rsidRPr="00832CC4" w:rsidRDefault="00CA4FF1" w:rsidP="00CA4FF1">
      <w:pPr>
        <w:jc w:val="both"/>
      </w:pPr>
      <w:r w:rsidRPr="00832CC4">
        <w:t>Under either option</w:t>
      </w:r>
      <w:r>
        <w:t>,</w:t>
      </w:r>
      <w:r w:rsidRPr="00832CC4">
        <w:t xml:space="preserve"> funding could potentially be delivered as block funding (that is, regardless of whether the beds in a unit are occupied at a given point), be based on actual occupancy, or be a combination of both approaches. </w:t>
      </w:r>
    </w:p>
    <w:p w:rsidR="00CA4FF1" w:rsidRPr="00832CC4" w:rsidRDefault="00CA4FF1" w:rsidP="00CA4FF1">
      <w:pPr>
        <w:jc w:val="both"/>
        <w:rPr>
          <w:sz w:val="12"/>
          <w:szCs w:val="12"/>
        </w:rPr>
      </w:pPr>
    </w:p>
    <w:p w:rsidR="00CA4FF1" w:rsidRPr="00832CC4" w:rsidRDefault="00CA4FF1" w:rsidP="00CA4FF1">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contextualSpacing/>
        <w:jc w:val="both"/>
      </w:pPr>
      <w:r>
        <w:t xml:space="preserve">Q23) </w:t>
      </w:r>
      <w:r w:rsidRPr="00832CC4">
        <w:t xml:space="preserve">Is block funding, occupancy-based funding or a combination of both most appropriate for SDCUs? Why? </w:t>
      </w:r>
    </w:p>
    <w:p w:rsidR="00CA4FF1" w:rsidRDefault="00CA4FF1" w:rsidP="00CA4FF1">
      <w:pPr>
        <w:pStyle w:val="Heading2"/>
        <w:numPr>
          <w:ilvl w:val="1"/>
          <w:numId w:val="23"/>
        </w:numPr>
        <w:spacing w:after="120"/>
        <w:jc w:val="both"/>
      </w:pPr>
      <w:bookmarkStart w:id="81" w:name="_Toc499538781"/>
      <w:r>
        <w:t>Use of top up funding</w:t>
      </w:r>
      <w:bookmarkEnd w:id="81"/>
    </w:p>
    <w:p w:rsidR="00CA4FF1" w:rsidRPr="00832CC4" w:rsidRDefault="00CA4FF1" w:rsidP="00CA4FF1">
      <w:pPr>
        <w:jc w:val="both"/>
      </w:pPr>
      <w:r w:rsidRPr="00832CC4">
        <w:t xml:space="preserve">The use of ‘top up’ funding is intended to meet both current care costs and contribute over time to the capital costs of providing that care in a specialist unit. Top up funding may be used to: </w:t>
      </w:r>
    </w:p>
    <w:p w:rsidR="00CA4FF1" w:rsidRPr="00832CC4" w:rsidRDefault="00CA4FF1" w:rsidP="00CA4FF1">
      <w:pPr>
        <w:numPr>
          <w:ilvl w:val="0"/>
          <w:numId w:val="25"/>
        </w:numPr>
        <w:contextualSpacing/>
        <w:jc w:val="both"/>
      </w:pPr>
      <w:r w:rsidRPr="00832CC4">
        <w:t xml:space="preserve">provide additional, unit-specific staff </w:t>
      </w:r>
    </w:p>
    <w:p w:rsidR="00CA4FF1" w:rsidRPr="00832CC4" w:rsidRDefault="00CA4FF1" w:rsidP="00CA4FF1">
      <w:pPr>
        <w:numPr>
          <w:ilvl w:val="0"/>
          <w:numId w:val="25"/>
        </w:numPr>
        <w:contextualSpacing/>
        <w:jc w:val="both"/>
      </w:pPr>
      <w:r w:rsidRPr="00832CC4">
        <w:t>enable</w:t>
      </w:r>
      <w:r>
        <w:t xml:space="preserve"> </w:t>
      </w:r>
      <w:r w:rsidRPr="00832CC4">
        <w:t xml:space="preserve">maintenance and minor facility upgrades to deliver a physical environment that meets dementia </w:t>
      </w:r>
      <w:r>
        <w:t xml:space="preserve">enabling </w:t>
      </w:r>
      <w:r w:rsidRPr="00832CC4">
        <w:t>design principles</w:t>
      </w:r>
    </w:p>
    <w:p w:rsidR="00CA4FF1" w:rsidRPr="00832CC4" w:rsidRDefault="00CA4FF1" w:rsidP="00CA4FF1">
      <w:pPr>
        <w:numPr>
          <w:ilvl w:val="0"/>
          <w:numId w:val="25"/>
        </w:numPr>
        <w:contextualSpacing/>
        <w:jc w:val="both"/>
      </w:pPr>
      <w:r w:rsidRPr="00832CC4">
        <w:t>purchase or lease</w:t>
      </w:r>
      <w:r>
        <w:t xml:space="preserve"> non-</w:t>
      </w:r>
      <w:r w:rsidRPr="00832CC4">
        <w:t>capital equipment and access expertise to support delivery of therapeutic and meaningful activities</w:t>
      </w:r>
    </w:p>
    <w:p w:rsidR="00CA4FF1" w:rsidRPr="00832CC4" w:rsidRDefault="00CA4FF1" w:rsidP="00CA4FF1">
      <w:pPr>
        <w:numPr>
          <w:ilvl w:val="0"/>
          <w:numId w:val="25"/>
        </w:numPr>
        <w:contextualSpacing/>
        <w:jc w:val="both"/>
      </w:pPr>
      <w:r>
        <w:t>support</w:t>
      </w:r>
      <w:r w:rsidRPr="00832CC4">
        <w:t xml:space="preserve"> ongoing specialised training for staff (not available through other Australian Government funding programs) </w:t>
      </w:r>
    </w:p>
    <w:p w:rsidR="00CA4FF1" w:rsidRPr="00832CC4" w:rsidRDefault="00CA4FF1" w:rsidP="00CA4FF1">
      <w:pPr>
        <w:numPr>
          <w:ilvl w:val="0"/>
          <w:numId w:val="25"/>
        </w:numPr>
        <w:contextualSpacing/>
        <w:jc w:val="both"/>
      </w:pPr>
      <w:r w:rsidRPr="00832CC4">
        <w:t>enable data collection and participation in continuous improvement and evaluation activity</w:t>
      </w:r>
    </w:p>
    <w:p w:rsidR="00CA4FF1" w:rsidRPr="00832CC4" w:rsidRDefault="00CA4FF1" w:rsidP="00CA4FF1">
      <w:pPr>
        <w:numPr>
          <w:ilvl w:val="0"/>
          <w:numId w:val="25"/>
        </w:numPr>
        <w:contextualSpacing/>
        <w:jc w:val="both"/>
      </w:pPr>
      <w:r w:rsidRPr="00832CC4">
        <w:t>provide outreach support to mainstream facilities that accept clients transferring out of the SDCU.</w:t>
      </w:r>
    </w:p>
    <w:p w:rsidR="00CA4FF1" w:rsidRPr="00832CC4" w:rsidRDefault="00CA4FF1" w:rsidP="00CA4FF1">
      <w:pPr>
        <w:jc w:val="both"/>
      </w:pPr>
    </w:p>
    <w:p w:rsidR="00CA4FF1" w:rsidRPr="00832CC4" w:rsidRDefault="00CA4FF1" w:rsidP="00CA4FF1">
      <w:pPr>
        <w:jc w:val="both"/>
      </w:pPr>
      <w:r w:rsidRPr="00832CC4">
        <w:t xml:space="preserve">It is not proposed that ‘top up’ funding be used for major capital upgrades, or to </w:t>
      </w:r>
      <w:r>
        <w:t xml:space="preserve">pay for </w:t>
      </w:r>
      <w:r w:rsidRPr="00832CC4">
        <w:t xml:space="preserve">medical and/or other allied health </w:t>
      </w:r>
      <w:r>
        <w:t xml:space="preserve">services </w:t>
      </w:r>
      <w:r w:rsidRPr="00832CC4">
        <w:t>on a fee for service basis.</w:t>
      </w:r>
    </w:p>
    <w:p w:rsidR="00CA4FF1" w:rsidRPr="00832CC4" w:rsidRDefault="00CA4FF1" w:rsidP="00CA4FF1">
      <w:pPr>
        <w:jc w:val="both"/>
      </w:pPr>
    </w:p>
    <w:p w:rsidR="00CA4FF1" w:rsidRDefault="00CA4FF1" w:rsidP="00CA4FF1">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contextualSpacing/>
        <w:jc w:val="both"/>
      </w:pPr>
      <w:r>
        <w:t xml:space="preserve">Q24) Are the proposed uses of </w:t>
      </w:r>
      <w:r w:rsidRPr="00832CC4">
        <w:t xml:space="preserve">‘top up’ funding </w:t>
      </w:r>
      <w:r>
        <w:t xml:space="preserve">appropriate or should there be other costs included or excluded? </w:t>
      </w:r>
    </w:p>
    <w:p w:rsidR="00CA4FF1" w:rsidRPr="00832CC4" w:rsidRDefault="00CA4FF1" w:rsidP="00CA4FF1">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contextualSpacing/>
        <w:jc w:val="both"/>
      </w:pPr>
      <w:r>
        <w:t>Q25) With no s</w:t>
      </w:r>
      <w:r w:rsidRPr="00832CC4">
        <w:t xml:space="preserve">pecific capital funding </w:t>
      </w:r>
      <w:r>
        <w:t xml:space="preserve">for SDCUs </w:t>
      </w:r>
      <w:r w:rsidRPr="00832CC4">
        <w:t xml:space="preserve">proposed – </w:t>
      </w:r>
      <w:r>
        <w:t>is there a</w:t>
      </w:r>
      <w:r w:rsidRPr="00832CC4">
        <w:t xml:space="preserve"> funding </w:t>
      </w:r>
      <w:r>
        <w:t xml:space="preserve">period </w:t>
      </w:r>
      <w:r w:rsidRPr="00832CC4">
        <w:t xml:space="preserve">to justify an operator investing to </w:t>
      </w:r>
      <w:r>
        <w:t>establish a</w:t>
      </w:r>
      <w:r w:rsidRPr="00832CC4">
        <w:t xml:space="preserve"> SDCU?</w:t>
      </w:r>
    </w:p>
    <w:p w:rsidR="00CA4FF1" w:rsidRPr="00832CC4" w:rsidRDefault="00CA4FF1" w:rsidP="00CA4FF1">
      <w:pPr>
        <w:pStyle w:val="Heading2"/>
        <w:numPr>
          <w:ilvl w:val="1"/>
          <w:numId w:val="23"/>
        </w:numPr>
        <w:spacing w:after="120"/>
        <w:jc w:val="both"/>
      </w:pPr>
      <w:bookmarkStart w:id="82" w:name="_Toc499538782"/>
      <w:r w:rsidRPr="00832CC4">
        <w:t>Client fees and payments</w:t>
      </w:r>
      <w:bookmarkEnd w:id="82"/>
    </w:p>
    <w:p w:rsidR="00CA4FF1" w:rsidRPr="009C6C80" w:rsidRDefault="00CA4FF1" w:rsidP="00CA4FF1">
      <w:pPr>
        <w:jc w:val="both"/>
      </w:pPr>
      <w:r w:rsidRPr="009C6C80">
        <w:t>SDCUs are expected to operate within larger r</w:t>
      </w:r>
      <w:r>
        <w:t xml:space="preserve">esidential aged care facilities. </w:t>
      </w:r>
      <w:r w:rsidRPr="009C6C80">
        <w:t xml:space="preserve">Reflecting this, </w:t>
      </w:r>
      <w:r>
        <w:t xml:space="preserve">current </w:t>
      </w:r>
      <w:r w:rsidRPr="009C6C80">
        <w:t>residential aged care fees and payment</w:t>
      </w:r>
      <w:r>
        <w:t xml:space="preserve"> arrangements </w:t>
      </w:r>
      <w:r w:rsidRPr="009C6C80">
        <w:t xml:space="preserve">will apply to people receiving care in a SDCU, ensuring no additional financial considerations influence the decision to enter or leave a SDCU. </w:t>
      </w:r>
    </w:p>
    <w:p w:rsidR="00CA4FF1" w:rsidRPr="009C6C80" w:rsidRDefault="00CA4FF1" w:rsidP="00CA4FF1">
      <w:pPr>
        <w:jc w:val="both"/>
      </w:pPr>
    </w:p>
    <w:p w:rsidR="00CA4FF1" w:rsidRPr="003C335A" w:rsidRDefault="00CA4FF1" w:rsidP="00CA4FF1">
      <w:pPr>
        <w:jc w:val="both"/>
      </w:pPr>
      <w:r>
        <w:t xml:space="preserve">In this way, ‘top up’ funding would not </w:t>
      </w:r>
      <w:r w:rsidRPr="00627157">
        <w:t>impact the fees paid by the care recipie</w:t>
      </w:r>
      <w:r>
        <w:t>nt. A person transitioning to a</w:t>
      </w:r>
      <w:r w:rsidRPr="00627157">
        <w:t xml:space="preserve"> SDCU would be liable to pay an accommodation payment or contribution in accordance with normal arrangements</w:t>
      </w:r>
      <w:r>
        <w:t>.</w:t>
      </w:r>
      <w:r>
        <w:rPr>
          <w:rStyle w:val="EndnoteReference"/>
        </w:rPr>
        <w:endnoteReference w:id="47"/>
      </w:r>
      <w:r w:rsidRPr="00627157">
        <w:t xml:space="preserve"> </w:t>
      </w:r>
    </w:p>
    <w:p w:rsidR="00CA4FF1" w:rsidRPr="009C6C80" w:rsidRDefault="00CA4FF1" w:rsidP="00CA4FF1">
      <w:pPr>
        <w:spacing w:line="360" w:lineRule="auto"/>
        <w:jc w:val="both"/>
      </w:pPr>
    </w:p>
    <w:p w:rsidR="00CA4FF1" w:rsidRPr="009C6C80" w:rsidRDefault="00CA4FF1" w:rsidP="00CA4FF1">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jc w:val="both"/>
      </w:pPr>
      <w:r>
        <w:lastRenderedPageBreak/>
        <w:t xml:space="preserve">Q26) </w:t>
      </w:r>
      <w:r w:rsidRPr="009C6C80">
        <w:t>Do the proposed provider funding arrangements pose any financial sustainability risks</w:t>
      </w:r>
      <w:r>
        <w:t xml:space="preserve">? </w:t>
      </w:r>
    </w:p>
    <w:p w:rsidR="00CA4FF1" w:rsidRPr="009C6C80" w:rsidRDefault="00CA4FF1" w:rsidP="00CA4FF1">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jc w:val="both"/>
      </w:pPr>
      <w:r>
        <w:t xml:space="preserve">Q27) </w:t>
      </w:r>
      <w:r w:rsidRPr="009C6C80">
        <w:t xml:space="preserve">Should any special resident fees and payments arrangements apply to people receiving care in a SDCU? </w:t>
      </w:r>
    </w:p>
    <w:p w:rsidR="00CA4FF1" w:rsidRDefault="00CA4FF1" w:rsidP="00CA4FF1">
      <w:pPr>
        <w:pStyle w:val="Heading2"/>
        <w:numPr>
          <w:ilvl w:val="1"/>
          <w:numId w:val="23"/>
        </w:numPr>
        <w:spacing w:after="120"/>
        <w:jc w:val="both"/>
      </w:pPr>
      <w:bookmarkStart w:id="83" w:name="_Toc499538783"/>
      <w:r>
        <w:t>Reporting and related requirements</w:t>
      </w:r>
      <w:bookmarkEnd w:id="83"/>
    </w:p>
    <w:p w:rsidR="00CA4FF1" w:rsidRPr="00832CC4" w:rsidRDefault="00CA4FF1" w:rsidP="00CA4FF1">
      <w:pPr>
        <w:jc w:val="both"/>
      </w:pPr>
      <w:r w:rsidRPr="00832CC4">
        <w:t>Under either option</w:t>
      </w:r>
      <w:r>
        <w:t>,</w:t>
      </w:r>
      <w:r w:rsidRPr="00832CC4">
        <w:t xml:space="preserve"> providers will be required to meet all existing requirements relating to residential care under the </w:t>
      </w:r>
      <w:r w:rsidRPr="00832CC4">
        <w:rPr>
          <w:i/>
        </w:rPr>
        <w:t>Aged Care Act 1997</w:t>
      </w:r>
      <w:r w:rsidRPr="00832CC4">
        <w:t xml:space="preserve"> and would also have additional SDCU program-specific reporting requirements. These requirements are likely to include commitments to:</w:t>
      </w:r>
    </w:p>
    <w:p w:rsidR="00CA4FF1" w:rsidRPr="00832CC4" w:rsidRDefault="00CA4FF1" w:rsidP="00CA4FF1">
      <w:pPr>
        <w:numPr>
          <w:ilvl w:val="0"/>
          <w:numId w:val="26"/>
        </w:numPr>
        <w:contextualSpacing/>
        <w:jc w:val="both"/>
      </w:pPr>
      <w:r w:rsidRPr="00832CC4">
        <w:t>only use SDCU places to provide care to people recommended by the national assessment service</w:t>
      </w:r>
    </w:p>
    <w:p w:rsidR="00CA4FF1" w:rsidRPr="00832CC4" w:rsidRDefault="00CA4FF1" w:rsidP="00CA4FF1">
      <w:pPr>
        <w:numPr>
          <w:ilvl w:val="0"/>
          <w:numId w:val="26"/>
        </w:numPr>
        <w:contextualSpacing/>
        <w:jc w:val="both"/>
      </w:pPr>
      <w:r w:rsidRPr="00832CC4">
        <w:t xml:space="preserve">operate the SDCU using the principles-based model of care, including entering into partnerships with relevant health providers and providing post-transition support to facilities receiving exiting residents </w:t>
      </w:r>
    </w:p>
    <w:p w:rsidR="00CA4FF1" w:rsidRPr="00832CC4" w:rsidRDefault="00CA4FF1" w:rsidP="00CA4FF1">
      <w:pPr>
        <w:numPr>
          <w:ilvl w:val="0"/>
          <w:numId w:val="26"/>
        </w:numPr>
        <w:contextualSpacing/>
        <w:jc w:val="both"/>
      </w:pPr>
      <w:r w:rsidRPr="00832CC4">
        <w:t>report data and support evaluation and continuous improvement initiatives.</w:t>
      </w:r>
    </w:p>
    <w:p w:rsidR="00CA4FF1" w:rsidRPr="00832CC4" w:rsidRDefault="00CA4FF1" w:rsidP="00CA4FF1">
      <w:pPr>
        <w:jc w:val="both"/>
      </w:pPr>
    </w:p>
    <w:p w:rsidR="00CA4FF1" w:rsidRPr="00832CC4" w:rsidRDefault="00CA4FF1" w:rsidP="00CA4FF1">
      <w:pPr>
        <w:jc w:val="both"/>
      </w:pPr>
      <w:r>
        <w:t>These SDCU-</w:t>
      </w:r>
      <w:r w:rsidRPr="00832CC4">
        <w:t xml:space="preserve">specific requirements would be defined either within relevant sections with the </w:t>
      </w:r>
      <w:r w:rsidRPr="00832CC4">
        <w:rPr>
          <w:i/>
        </w:rPr>
        <w:t>Aged Care Act 1997</w:t>
      </w:r>
      <w:r w:rsidRPr="00832CC4">
        <w:t xml:space="preserve"> or by the standard funding agreement. </w:t>
      </w:r>
    </w:p>
    <w:p w:rsidR="00CA4FF1" w:rsidRDefault="00CA4FF1" w:rsidP="00CA4FF1">
      <w:pPr>
        <w:pStyle w:val="Heading2"/>
        <w:numPr>
          <w:ilvl w:val="1"/>
          <w:numId w:val="23"/>
        </w:numPr>
        <w:spacing w:after="120"/>
        <w:jc w:val="both"/>
      </w:pPr>
      <w:bookmarkStart w:id="84" w:name="_Toc499044426"/>
      <w:bookmarkStart w:id="85" w:name="_Toc499538784"/>
      <w:bookmarkEnd w:id="84"/>
      <w:r>
        <w:t>Provider eligibility and selection</w:t>
      </w:r>
      <w:bookmarkEnd w:id="85"/>
    </w:p>
    <w:p w:rsidR="00CA4FF1" w:rsidRPr="00832CC4" w:rsidRDefault="00CA4FF1" w:rsidP="00CA4FF1">
      <w:pPr>
        <w:jc w:val="both"/>
      </w:pPr>
      <w:r w:rsidRPr="00832CC4">
        <w:t>SDCU providers will be selected through a number of competitive selection rounds, with applicants required to respond to specific criteria. These selection rounds are anticipated to be held separately from other aged care processes, for example the Aged Care Approvals Round (ACAR) and to include opportunities for key stakeholders to contribute to the selection process.</w:t>
      </w:r>
    </w:p>
    <w:p w:rsidR="00CA4FF1" w:rsidRPr="00832CC4" w:rsidRDefault="00CA4FF1" w:rsidP="00CA4FF1">
      <w:pPr>
        <w:jc w:val="both"/>
      </w:pPr>
    </w:p>
    <w:p w:rsidR="00CA4FF1" w:rsidRPr="00832CC4" w:rsidRDefault="00CA4FF1" w:rsidP="00CA4FF1">
      <w:pPr>
        <w:jc w:val="both"/>
      </w:pPr>
      <w:r w:rsidRPr="00832CC4">
        <w:t xml:space="preserve">SDCU providers will be existing approved providers of residential aged care and will need to have, or to demonstrate ability to acquire from other providers, existing residential aged care places  for SDCU purposes. </w:t>
      </w:r>
    </w:p>
    <w:p w:rsidR="00CA4FF1" w:rsidRPr="00832CC4" w:rsidRDefault="00CA4FF1" w:rsidP="00CA4FF1">
      <w:pPr>
        <w:jc w:val="both"/>
      </w:pPr>
    </w:p>
    <w:p w:rsidR="00CA4FF1" w:rsidRPr="00832CC4" w:rsidRDefault="00CA4FF1" w:rsidP="00CA4FF1">
      <w:pPr>
        <w:jc w:val="both"/>
      </w:pPr>
      <w:r w:rsidRPr="00832CC4">
        <w:t>Providers already delivering</w:t>
      </w:r>
      <w:r>
        <w:t xml:space="preserve"> </w:t>
      </w:r>
      <w:r w:rsidRPr="00832CC4">
        <w:t>SDCU-like services including under existing ‘top up’ funding arrangements with state governments or health services will be eligible to apply</w:t>
      </w:r>
      <w:r>
        <w:t>. However,</w:t>
      </w:r>
      <w:r w:rsidRPr="00832CC4">
        <w:t xml:space="preserve"> selection criteria will prioritise creation of additional specialist beds for people with very severe BPSD.</w:t>
      </w:r>
    </w:p>
    <w:p w:rsidR="00CA4FF1" w:rsidRPr="00832CC4" w:rsidRDefault="00CA4FF1" w:rsidP="00CA4FF1">
      <w:pPr>
        <w:jc w:val="both"/>
      </w:pPr>
    </w:p>
    <w:p w:rsidR="00CA4FF1" w:rsidRPr="00832CC4" w:rsidRDefault="00CA4FF1" w:rsidP="00CA4FF1">
      <w:pPr>
        <w:jc w:val="both"/>
      </w:pPr>
      <w:r w:rsidRPr="00832CC4">
        <w:t xml:space="preserve">It is expected that most applicants will need to undertake some capital works to </w:t>
      </w:r>
      <w:r>
        <w:t xml:space="preserve">establish and </w:t>
      </w:r>
      <w:r w:rsidRPr="00832CC4">
        <w:t xml:space="preserve"> maintain an appropriate physical environmen</w:t>
      </w:r>
      <w:r>
        <w:t xml:space="preserve">t for operation of a SDCU (see </w:t>
      </w:r>
      <w:r w:rsidRPr="00832CC4">
        <w:t xml:space="preserve">5.4). However, it is not anticipated that new builds will generally be required, and selection criteria will prioritise ability to rapidly operationalise </w:t>
      </w:r>
      <w:r>
        <w:t>SDCU beds</w:t>
      </w:r>
      <w:r w:rsidRPr="00832CC4">
        <w:t>.</w:t>
      </w:r>
    </w:p>
    <w:p w:rsidR="00CA4FF1" w:rsidRPr="00832CC4" w:rsidRDefault="00CA4FF1" w:rsidP="00CA4FF1">
      <w:pPr>
        <w:jc w:val="both"/>
      </w:pPr>
    </w:p>
    <w:p w:rsidR="00CA4FF1" w:rsidRPr="00832CC4" w:rsidRDefault="00CA4FF1" w:rsidP="00CA4FF1">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contextualSpacing/>
        <w:jc w:val="both"/>
      </w:pPr>
      <w:r>
        <w:t xml:space="preserve">Q28) Are the proposed provider </w:t>
      </w:r>
      <w:r w:rsidRPr="00832CC4">
        <w:t xml:space="preserve">selection criteria </w:t>
      </w:r>
      <w:r>
        <w:t xml:space="preserve">appropriate? </w:t>
      </w:r>
      <w:r w:rsidRPr="00832CC4">
        <w:t xml:space="preserve">Do you consider some selection </w:t>
      </w:r>
      <w:r w:rsidRPr="00050090">
        <w:t>criteria mandatory?</w:t>
      </w:r>
    </w:p>
    <w:p w:rsidR="00CA4FF1" w:rsidRDefault="00CA4FF1" w:rsidP="00CA4FF1">
      <w:pPr>
        <w:pStyle w:val="Heading2"/>
        <w:numPr>
          <w:ilvl w:val="1"/>
          <w:numId w:val="23"/>
        </w:numPr>
        <w:spacing w:after="120"/>
        <w:jc w:val="both"/>
      </w:pPr>
      <w:bookmarkStart w:id="86" w:name="_Toc499538785"/>
      <w:r w:rsidRPr="00832CC4">
        <w:lastRenderedPageBreak/>
        <w:t>How will SDCUs be rolled out across regions?</w:t>
      </w:r>
      <w:bookmarkEnd w:id="86"/>
    </w:p>
    <w:p w:rsidR="00CA4FF1" w:rsidRPr="00832CC4" w:rsidRDefault="00CA4FF1" w:rsidP="00CA4FF1">
      <w:pPr>
        <w:jc w:val="both"/>
      </w:pPr>
      <w:r w:rsidRPr="00832CC4">
        <w:t xml:space="preserve">Subject to final </w:t>
      </w:r>
      <w:r>
        <w:t xml:space="preserve">Australian </w:t>
      </w:r>
      <w:r w:rsidRPr="00832CC4">
        <w:t>Government decision</w:t>
      </w:r>
      <w:r>
        <w:t>s</w:t>
      </w:r>
      <w:r w:rsidRPr="00832CC4">
        <w:t xml:space="preserve">, it is expected that all 372 SDCU places will be allocated over a three year period commencing in 2018-19. </w:t>
      </w:r>
    </w:p>
    <w:p w:rsidR="00CA4FF1" w:rsidRPr="00832CC4" w:rsidRDefault="00CA4FF1" w:rsidP="00CA4FF1">
      <w:pPr>
        <w:jc w:val="both"/>
      </w:pPr>
    </w:p>
    <w:p w:rsidR="00CA4FF1" w:rsidRPr="00832CC4" w:rsidRDefault="00CA4FF1" w:rsidP="00CA4FF1">
      <w:pPr>
        <w:jc w:val="both"/>
      </w:pPr>
      <w:r w:rsidRPr="00832CC4">
        <w:t>The order in which SDCUs are rolled out to the 31 PHN regions through competitive selection rounds and the exact number of beds funded will be influenced by a number of factors, including:</w:t>
      </w:r>
    </w:p>
    <w:p w:rsidR="00CA4FF1" w:rsidRPr="00832CC4" w:rsidRDefault="00CA4FF1" w:rsidP="00CA4FF1">
      <w:pPr>
        <w:numPr>
          <w:ilvl w:val="0"/>
          <w:numId w:val="22"/>
        </w:numPr>
        <w:contextualSpacing/>
        <w:jc w:val="both"/>
      </w:pPr>
      <w:r w:rsidRPr="00832CC4">
        <w:t>unmet demand for services</w:t>
      </w:r>
    </w:p>
    <w:p w:rsidR="00CA4FF1" w:rsidRPr="00832CC4" w:rsidRDefault="00CA4FF1" w:rsidP="00CA4FF1">
      <w:pPr>
        <w:numPr>
          <w:ilvl w:val="0"/>
          <w:numId w:val="22"/>
        </w:numPr>
        <w:contextualSpacing/>
        <w:jc w:val="both"/>
      </w:pPr>
      <w:r w:rsidRPr="00832CC4">
        <w:t>availability of potential providers and specific expertise to support the model</w:t>
      </w:r>
    </w:p>
    <w:p w:rsidR="00CA4FF1" w:rsidRPr="00832CC4" w:rsidRDefault="00CA4FF1" w:rsidP="00CA4FF1">
      <w:pPr>
        <w:numPr>
          <w:ilvl w:val="0"/>
          <w:numId w:val="22"/>
        </w:numPr>
        <w:contextualSpacing/>
        <w:jc w:val="both"/>
      </w:pPr>
      <w:r w:rsidRPr="00832CC4">
        <w:t xml:space="preserve">engagement and willingness of local partners, including PHN networks, local </w:t>
      </w:r>
      <w:r>
        <w:t xml:space="preserve">hospital </w:t>
      </w:r>
      <w:r w:rsidRPr="00832CC4">
        <w:t>networks, and state and territory governments, to support the service delivery model.</w:t>
      </w:r>
    </w:p>
    <w:p w:rsidR="00CA4FF1" w:rsidRPr="00832CC4" w:rsidRDefault="00CA4FF1" w:rsidP="00CA4FF1">
      <w:pPr>
        <w:jc w:val="both"/>
      </w:pPr>
    </w:p>
    <w:p w:rsidR="00CA4FF1" w:rsidRDefault="00CA4FF1" w:rsidP="00CA4FF1">
      <w:pPr>
        <w:jc w:val="both"/>
      </w:pPr>
      <w:r w:rsidRPr="00832CC4">
        <w:t xml:space="preserve">State and territory governments, </w:t>
      </w:r>
      <w:r>
        <w:t xml:space="preserve">PHNs, </w:t>
      </w:r>
      <w:r w:rsidRPr="00832CC4">
        <w:t xml:space="preserve">aged care sector bodies and consumer organisations will be consulted on the regional rollout schedule after announcement of the </w:t>
      </w:r>
      <w:r>
        <w:t>final progr</w:t>
      </w:r>
      <w:r w:rsidR="00DF3271">
        <w:t>am design agreed by Government.</w:t>
      </w:r>
    </w:p>
    <w:p w:rsidR="00CA4FF1" w:rsidRPr="00832CC4" w:rsidRDefault="00CA4FF1" w:rsidP="00CA4FF1">
      <w:pPr>
        <w:jc w:val="both"/>
      </w:pPr>
    </w:p>
    <w:p w:rsidR="00CA4FF1" w:rsidRPr="00E02283" w:rsidRDefault="00CA4FF1" w:rsidP="00CA4FF1">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contextualSpacing/>
        <w:jc w:val="both"/>
        <w:rPr>
          <w:highlight w:val="yellow"/>
        </w:rPr>
      </w:pPr>
      <w:r>
        <w:t xml:space="preserve">Q29) </w:t>
      </w:r>
      <w:r w:rsidRPr="00832CC4">
        <w:t>Which factors should be prioritised in determining the regional rollout schedule and why?</w:t>
      </w:r>
    </w:p>
    <w:p w:rsidR="00CA4FF1" w:rsidRDefault="00CA4FF1" w:rsidP="00CA4FF1">
      <w:pPr>
        <w:pStyle w:val="Heading1"/>
        <w:numPr>
          <w:ilvl w:val="0"/>
          <w:numId w:val="5"/>
        </w:numPr>
        <w:spacing w:after="120"/>
        <w:jc w:val="both"/>
      </w:pPr>
      <w:bookmarkStart w:id="87" w:name="_SDCU_program_evaluation"/>
      <w:bookmarkStart w:id="88" w:name="_Toc499538786"/>
      <w:bookmarkEnd w:id="87"/>
      <w:r>
        <w:t>SDCU program evaluation</w:t>
      </w:r>
      <w:bookmarkEnd w:id="88"/>
    </w:p>
    <w:p w:rsidR="00CA4FF1" w:rsidRPr="00832CC4" w:rsidRDefault="00CA4FF1" w:rsidP="00CA4FF1">
      <w:pPr>
        <w:jc w:val="both"/>
      </w:pPr>
      <w:r>
        <w:t>While SDCU-</w:t>
      </w:r>
      <w:r w:rsidRPr="00832CC4">
        <w:t>like services for people with very severe BPSD have operated in Australia and elsewhere since at least the 1980s, a recently commissioned literature search and analysis identified a lack of robust Australian and international evidence in relation to such initiatives, reflecting generally poor or limited evaluation design and execution.</w:t>
      </w:r>
      <w:r w:rsidRPr="00832CC4">
        <w:rPr>
          <w:vertAlign w:val="superscript"/>
        </w:rPr>
        <w:endnoteReference w:id="48"/>
      </w:r>
    </w:p>
    <w:p w:rsidR="00CA4FF1" w:rsidRPr="00832CC4" w:rsidRDefault="00CA4FF1" w:rsidP="00CA4FF1">
      <w:pPr>
        <w:jc w:val="both"/>
      </w:pPr>
      <w:r w:rsidRPr="00832CC4">
        <w:t xml:space="preserve"> </w:t>
      </w:r>
    </w:p>
    <w:p w:rsidR="00CA4FF1" w:rsidRPr="00832CC4" w:rsidRDefault="00CA4FF1" w:rsidP="00CA4FF1">
      <w:pPr>
        <w:jc w:val="both"/>
      </w:pPr>
      <w:r w:rsidRPr="00832CC4">
        <w:t>The rollout of SCDUs as a national network of regionally distributed services</w:t>
      </w:r>
      <w:r>
        <w:t xml:space="preserve"> </w:t>
      </w:r>
      <w:r w:rsidRPr="00832CC4">
        <w:t xml:space="preserve">provides an opportunity to generate and share new evidence about this type of service. Opportunities for co-design </w:t>
      </w:r>
      <w:r>
        <w:t xml:space="preserve">and developmental/formative </w:t>
      </w:r>
      <w:r w:rsidRPr="00832CC4">
        <w:t>approaches to evaluation will be explored and findings will be shared with stakeholders.</w:t>
      </w:r>
    </w:p>
    <w:p w:rsidR="00CA4FF1" w:rsidRPr="00832CC4" w:rsidRDefault="00CA4FF1" w:rsidP="00CA4FF1">
      <w:pPr>
        <w:jc w:val="both"/>
      </w:pPr>
    </w:p>
    <w:p w:rsidR="00CA4FF1" w:rsidRPr="00832CC4" w:rsidRDefault="00CA4FF1" w:rsidP="00CA4FF1">
      <w:pPr>
        <w:jc w:val="both"/>
      </w:pPr>
      <w:r w:rsidRPr="00832CC4">
        <w:t>Evaluation elements could include:</w:t>
      </w:r>
    </w:p>
    <w:p w:rsidR="00CA4FF1" w:rsidRPr="00832CC4" w:rsidRDefault="00CA4FF1" w:rsidP="00CA4FF1">
      <w:pPr>
        <w:numPr>
          <w:ilvl w:val="0"/>
          <w:numId w:val="27"/>
        </w:numPr>
        <w:contextualSpacing/>
        <w:jc w:val="both"/>
      </w:pPr>
      <w:r w:rsidRPr="00832CC4">
        <w:t>outcomes evaluation for participating clients, their families and/or carers, for staff and facilities, and for the aged care and health systems (for example, care access, quality and compliance outcomes, and provider- and system-level financial outcomes)</w:t>
      </w:r>
    </w:p>
    <w:p w:rsidR="00CA4FF1" w:rsidRPr="00832CC4" w:rsidRDefault="00CA4FF1" w:rsidP="00CA4FF1">
      <w:pPr>
        <w:numPr>
          <w:ilvl w:val="0"/>
          <w:numId w:val="27"/>
        </w:numPr>
        <w:contextualSpacing/>
        <w:jc w:val="both"/>
      </w:pPr>
      <w:r w:rsidRPr="00832CC4">
        <w:t xml:space="preserve">process evaluation with a focus on the challenges and enablers of designing and implementing the model as intended, how well the SCDU principles and objectives are operationalised in practice, and the effectiveness of the model in addressing the needs of people affected by </w:t>
      </w:r>
      <w:r>
        <w:t xml:space="preserve">very </w:t>
      </w:r>
      <w:r w:rsidRPr="00832CC4">
        <w:t>severe  BPSD.</w:t>
      </w:r>
    </w:p>
    <w:p w:rsidR="00CA4FF1" w:rsidRPr="00832CC4" w:rsidRDefault="00CA4FF1" w:rsidP="00CA4FF1">
      <w:pPr>
        <w:jc w:val="both"/>
      </w:pPr>
    </w:p>
    <w:p w:rsidR="00CA4FF1" w:rsidRPr="00832CC4" w:rsidRDefault="00CA4FF1" w:rsidP="00CA4FF1">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spacing w:line="360" w:lineRule="auto"/>
        <w:contextualSpacing/>
        <w:jc w:val="both"/>
      </w:pPr>
      <w:r>
        <w:t xml:space="preserve">Q30) </w:t>
      </w:r>
      <w:r w:rsidRPr="00832CC4">
        <w:t>What factors should be considered in evaluating the SDCU program?</w:t>
      </w:r>
    </w:p>
    <w:p w:rsidR="00CA4FF1" w:rsidRDefault="00CA4FF1" w:rsidP="00CA4FF1">
      <w:pPr>
        <w:pStyle w:val="Heading1"/>
        <w:numPr>
          <w:ilvl w:val="0"/>
          <w:numId w:val="5"/>
        </w:numPr>
        <w:spacing w:after="120"/>
        <w:jc w:val="both"/>
      </w:pPr>
      <w:bookmarkStart w:id="89" w:name="_SDCU_implementation_timeframes"/>
      <w:bookmarkStart w:id="90" w:name="_Toc499538787"/>
      <w:bookmarkEnd w:id="89"/>
      <w:r>
        <w:lastRenderedPageBreak/>
        <w:t>SDCU implementation timeframes</w:t>
      </w:r>
      <w:bookmarkEnd w:id="90"/>
    </w:p>
    <w:p w:rsidR="00CA4FF1" w:rsidRPr="003773E9" w:rsidRDefault="00CA4FF1" w:rsidP="00CA4FF1">
      <w:pPr>
        <w:jc w:val="both"/>
      </w:pPr>
      <w:r w:rsidRPr="003773E9">
        <w:t>SDCUs are expected to be implemented in line with the following broad timeframes</w:t>
      </w:r>
      <w:r w:rsidR="00AC2001">
        <w:t xml:space="preserve"> (Table 2)</w:t>
      </w:r>
      <w:r w:rsidRPr="003773E9">
        <w:t xml:space="preserve">. Subject to final </w:t>
      </w:r>
      <w:r>
        <w:t xml:space="preserve">Australian </w:t>
      </w:r>
      <w:r w:rsidRPr="003773E9">
        <w:t xml:space="preserve">Government agreement, the first SDCU allocation process will commence in late 2018 with the first units expected to be operational by 1 January 2020. </w:t>
      </w:r>
    </w:p>
    <w:p w:rsidR="00CA4FF1" w:rsidRPr="003773E9" w:rsidRDefault="00CA4FF1" w:rsidP="00CA4FF1">
      <w:pPr>
        <w:jc w:val="both"/>
      </w:pPr>
    </w:p>
    <w:p w:rsidR="00CA4FF1" w:rsidRPr="003773E9" w:rsidRDefault="00CA4FF1" w:rsidP="00CA4FF1">
      <w:pPr>
        <w:jc w:val="both"/>
      </w:pPr>
      <w:r w:rsidRPr="003773E9">
        <w:t>Subsequent allocation processes will be held in 2019 and 2020 with all units expected to be fully allocated by 2021-22 and fully operational by 2023-24.</w:t>
      </w:r>
    </w:p>
    <w:p w:rsidR="00CA4FF1" w:rsidRDefault="00CA4FF1" w:rsidP="00CA4FF1">
      <w:pPr>
        <w:jc w:val="both"/>
        <w:rPr>
          <w:b/>
          <w:sz w:val="22"/>
        </w:rPr>
      </w:pPr>
    </w:p>
    <w:p w:rsidR="00CA4FF1" w:rsidRDefault="00CA4FF1" w:rsidP="00CA4FF1">
      <w:pPr>
        <w:jc w:val="both"/>
      </w:pPr>
      <w:r w:rsidRPr="00D74ADB">
        <w:rPr>
          <w:rStyle w:val="Emphasis"/>
        </w:rPr>
        <w:t>Table 2: SDCU high-level timeframes</w:t>
      </w:r>
    </w:p>
    <w:tbl>
      <w:tblPr>
        <w:tblStyle w:val="LightList-Accent1"/>
        <w:tblW w:w="5000" w:type="pct"/>
        <w:tblLook w:val="04A0" w:firstRow="1" w:lastRow="0" w:firstColumn="1" w:lastColumn="0" w:noHBand="0" w:noVBand="1"/>
        <w:tblDescription w:val="Table showing five phases of implementation from 2017 to 2020 (scope, design, implement, select, operationalise), and key milestones"/>
      </w:tblPr>
      <w:tblGrid>
        <w:gridCol w:w="5495"/>
        <w:gridCol w:w="3027"/>
      </w:tblGrid>
      <w:tr w:rsidR="00CA4FF1" w:rsidRPr="009C6C80" w:rsidTr="00F24B5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24" w:type="pct"/>
            <w:tcBorders>
              <w:top w:val="single" w:sz="4" w:space="0" w:color="auto"/>
              <w:left w:val="single" w:sz="4" w:space="0" w:color="auto"/>
              <w:bottom w:val="single" w:sz="4" w:space="0" w:color="auto"/>
            </w:tcBorders>
            <w:hideMark/>
          </w:tcPr>
          <w:p w:rsidR="00CA4FF1" w:rsidRPr="009C6C80" w:rsidRDefault="00CA4FF1" w:rsidP="00F24B50">
            <w:pPr>
              <w:jc w:val="both"/>
              <w:rPr>
                <w:rFonts w:eastAsia="Calibri"/>
                <w:b w:val="0"/>
                <w:bCs w:val="0"/>
              </w:rPr>
            </w:pPr>
            <w:r w:rsidRPr="009C6C80">
              <w:rPr>
                <w:rFonts w:eastAsia="Calibri"/>
              </w:rPr>
              <w:t>Milestones</w:t>
            </w:r>
          </w:p>
        </w:tc>
        <w:tc>
          <w:tcPr>
            <w:tcW w:w="1776" w:type="pct"/>
            <w:tcBorders>
              <w:top w:val="single" w:sz="4" w:space="0" w:color="auto"/>
              <w:bottom w:val="single" w:sz="4" w:space="0" w:color="auto"/>
              <w:right w:val="single" w:sz="4" w:space="0" w:color="auto"/>
            </w:tcBorders>
            <w:hideMark/>
          </w:tcPr>
          <w:p w:rsidR="00CA4FF1" w:rsidRPr="009C6C80" w:rsidRDefault="00CA4FF1" w:rsidP="00F24B50">
            <w:pPr>
              <w:jc w:val="both"/>
              <w:cnfStyle w:val="100000000000" w:firstRow="1" w:lastRow="0" w:firstColumn="0" w:lastColumn="0" w:oddVBand="0" w:evenVBand="0" w:oddHBand="0" w:evenHBand="0" w:firstRowFirstColumn="0" w:firstRowLastColumn="0" w:lastRowFirstColumn="0" w:lastRowLastColumn="0"/>
              <w:rPr>
                <w:rFonts w:eastAsia="Calibri"/>
                <w:b w:val="0"/>
                <w:bCs w:val="0"/>
              </w:rPr>
            </w:pPr>
            <w:r w:rsidRPr="009C6C80">
              <w:rPr>
                <w:rFonts w:eastAsia="Calibri"/>
              </w:rPr>
              <w:t>Indicative timing</w:t>
            </w:r>
            <w:r>
              <w:rPr>
                <w:rFonts w:eastAsia="Calibri"/>
              </w:rPr>
              <w:t xml:space="preserve"> </w:t>
            </w:r>
          </w:p>
        </w:tc>
      </w:tr>
      <w:tr w:rsidR="00CA4FF1" w:rsidRPr="009C6C80" w:rsidTr="00F24B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4" w:type="pct"/>
            <w:tcBorders>
              <w:top w:val="single" w:sz="4" w:space="0" w:color="auto"/>
              <w:left w:val="single" w:sz="4" w:space="0" w:color="auto"/>
              <w:bottom w:val="single" w:sz="4" w:space="0" w:color="auto"/>
              <w:right w:val="nil"/>
            </w:tcBorders>
            <w:hideMark/>
          </w:tcPr>
          <w:p w:rsidR="00CA4FF1" w:rsidRPr="009C6C80" w:rsidRDefault="00CA4FF1" w:rsidP="00F24B50">
            <w:pPr>
              <w:jc w:val="both"/>
              <w:rPr>
                <w:rFonts w:eastAsia="Calibri"/>
              </w:rPr>
            </w:pPr>
            <w:r w:rsidRPr="009C6C80">
              <w:rPr>
                <w:rFonts w:eastAsia="Calibri"/>
              </w:rPr>
              <w:t xml:space="preserve">Phase 1: </w:t>
            </w:r>
            <w:r>
              <w:rPr>
                <w:rFonts w:eastAsia="Calibri"/>
              </w:rPr>
              <w:t>Scope</w:t>
            </w:r>
          </w:p>
        </w:tc>
        <w:tc>
          <w:tcPr>
            <w:tcW w:w="1776" w:type="pct"/>
            <w:tcBorders>
              <w:top w:val="single" w:sz="4" w:space="0" w:color="auto"/>
              <w:left w:val="nil"/>
              <w:bottom w:val="single" w:sz="4" w:space="0" w:color="auto"/>
              <w:right w:val="single" w:sz="4" w:space="0" w:color="auto"/>
            </w:tcBorders>
            <w:hideMark/>
          </w:tcPr>
          <w:p w:rsidR="00CA4FF1" w:rsidRPr="009C6C80" w:rsidRDefault="00BA324B" w:rsidP="00BA324B">
            <w:pPr>
              <w:jc w:val="both"/>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Early 2017</w:t>
            </w:r>
            <w:r w:rsidR="00CA4FF1" w:rsidRPr="009C6C80">
              <w:rPr>
                <w:rFonts w:eastAsia="Calibri"/>
              </w:rPr>
              <w:t xml:space="preserve"> – </w:t>
            </w:r>
            <w:r>
              <w:rPr>
                <w:rFonts w:eastAsia="Calibri"/>
              </w:rPr>
              <w:t>Late</w:t>
            </w:r>
            <w:r w:rsidR="00CA4FF1" w:rsidRPr="009C6C80">
              <w:rPr>
                <w:rFonts w:eastAsia="Calibri"/>
              </w:rPr>
              <w:t xml:space="preserve"> 2017</w:t>
            </w:r>
          </w:p>
        </w:tc>
      </w:tr>
      <w:tr w:rsidR="00CA4FF1" w:rsidRPr="009C6C80" w:rsidTr="00F24B50">
        <w:tc>
          <w:tcPr>
            <w:cnfStyle w:val="001000000000" w:firstRow="0" w:lastRow="0" w:firstColumn="1" w:lastColumn="0" w:oddVBand="0" w:evenVBand="0" w:oddHBand="0" w:evenHBand="0" w:firstRowFirstColumn="0" w:firstRowLastColumn="0" w:lastRowFirstColumn="0" w:lastRowLastColumn="0"/>
            <w:tcW w:w="3224" w:type="pct"/>
            <w:tcBorders>
              <w:top w:val="single" w:sz="4" w:space="0" w:color="auto"/>
              <w:left w:val="single" w:sz="4" w:space="0" w:color="auto"/>
              <w:bottom w:val="nil"/>
            </w:tcBorders>
          </w:tcPr>
          <w:p w:rsidR="00CA4FF1" w:rsidRPr="009C6C80" w:rsidRDefault="00CA4FF1" w:rsidP="00F24B50">
            <w:pPr>
              <w:jc w:val="both"/>
              <w:rPr>
                <w:rFonts w:eastAsia="Calibri"/>
                <w:b w:val="0"/>
                <w:bCs w:val="0"/>
              </w:rPr>
            </w:pPr>
            <w:r w:rsidRPr="00D92D57">
              <w:rPr>
                <w:rFonts w:eastAsia="Calibri"/>
                <w:b w:val="0"/>
              </w:rPr>
              <w:t>Current provision of SDCU-like services mapped</w:t>
            </w:r>
          </w:p>
        </w:tc>
        <w:tc>
          <w:tcPr>
            <w:tcW w:w="1776" w:type="pct"/>
            <w:tcBorders>
              <w:top w:val="single" w:sz="4" w:space="0" w:color="auto"/>
              <w:bottom w:val="nil"/>
              <w:right w:val="single" w:sz="4" w:space="0" w:color="auto"/>
            </w:tcBorders>
          </w:tcPr>
          <w:p w:rsidR="00CA4FF1" w:rsidRPr="009C6C80" w:rsidRDefault="00CA4FF1" w:rsidP="00F24B50">
            <w:pPr>
              <w:jc w:val="both"/>
              <w:cnfStyle w:val="000000000000" w:firstRow="0" w:lastRow="0" w:firstColumn="0" w:lastColumn="0" w:oddVBand="0" w:evenVBand="0" w:oddHBand="0" w:evenHBand="0" w:firstRowFirstColumn="0" w:firstRowLastColumn="0" w:lastRowFirstColumn="0" w:lastRowLastColumn="0"/>
              <w:rPr>
                <w:rFonts w:eastAsia="Calibri"/>
              </w:rPr>
            </w:pPr>
          </w:p>
        </w:tc>
      </w:tr>
      <w:tr w:rsidR="00CA4FF1" w:rsidRPr="009C6C80" w:rsidTr="00F24B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4" w:type="pct"/>
            <w:tcBorders>
              <w:top w:val="nil"/>
              <w:left w:val="single" w:sz="4" w:space="0" w:color="auto"/>
              <w:bottom w:val="nil"/>
            </w:tcBorders>
          </w:tcPr>
          <w:p w:rsidR="00CA4FF1" w:rsidRPr="00D92D57" w:rsidRDefault="00CA4FF1" w:rsidP="00F24B50">
            <w:pPr>
              <w:jc w:val="both"/>
              <w:rPr>
                <w:rFonts w:eastAsia="Calibri"/>
                <w:b w:val="0"/>
              </w:rPr>
            </w:pPr>
            <w:r w:rsidRPr="00D92D57">
              <w:rPr>
                <w:rFonts w:eastAsia="Calibri"/>
                <w:b w:val="0"/>
              </w:rPr>
              <w:t>Model of care evidence reviewed</w:t>
            </w:r>
          </w:p>
        </w:tc>
        <w:tc>
          <w:tcPr>
            <w:tcW w:w="1776" w:type="pct"/>
            <w:tcBorders>
              <w:top w:val="nil"/>
              <w:bottom w:val="nil"/>
              <w:right w:val="single" w:sz="4" w:space="0" w:color="auto"/>
            </w:tcBorders>
          </w:tcPr>
          <w:p w:rsidR="00CA4FF1" w:rsidRPr="009C6C80" w:rsidRDefault="00CA4FF1" w:rsidP="00F24B50">
            <w:pPr>
              <w:jc w:val="both"/>
              <w:cnfStyle w:val="000000100000" w:firstRow="0" w:lastRow="0" w:firstColumn="0" w:lastColumn="0" w:oddVBand="0" w:evenVBand="0" w:oddHBand="1" w:evenHBand="0" w:firstRowFirstColumn="0" w:firstRowLastColumn="0" w:lastRowFirstColumn="0" w:lastRowLastColumn="0"/>
              <w:rPr>
                <w:rFonts w:eastAsia="Calibri"/>
              </w:rPr>
            </w:pPr>
          </w:p>
        </w:tc>
      </w:tr>
      <w:tr w:rsidR="00CA4FF1" w:rsidRPr="009C6C80" w:rsidTr="00F24B50">
        <w:tc>
          <w:tcPr>
            <w:cnfStyle w:val="001000000000" w:firstRow="0" w:lastRow="0" w:firstColumn="1" w:lastColumn="0" w:oddVBand="0" w:evenVBand="0" w:oddHBand="0" w:evenHBand="0" w:firstRowFirstColumn="0" w:firstRowLastColumn="0" w:lastRowFirstColumn="0" w:lastRowLastColumn="0"/>
            <w:tcW w:w="3224" w:type="pct"/>
            <w:tcBorders>
              <w:top w:val="nil"/>
              <w:left w:val="single" w:sz="4" w:space="0" w:color="auto"/>
              <w:bottom w:val="nil"/>
            </w:tcBorders>
          </w:tcPr>
          <w:p w:rsidR="00CA4FF1" w:rsidRPr="00D92D57" w:rsidRDefault="00CA4FF1" w:rsidP="00F24B50">
            <w:pPr>
              <w:jc w:val="both"/>
              <w:rPr>
                <w:rFonts w:eastAsia="Calibri"/>
                <w:b w:val="0"/>
              </w:rPr>
            </w:pPr>
            <w:r w:rsidRPr="00D92D57">
              <w:rPr>
                <w:rFonts w:eastAsia="Calibri"/>
                <w:b w:val="0"/>
              </w:rPr>
              <w:t>Targeted stakeholder engagement</w:t>
            </w:r>
          </w:p>
        </w:tc>
        <w:tc>
          <w:tcPr>
            <w:tcW w:w="1776" w:type="pct"/>
            <w:tcBorders>
              <w:top w:val="nil"/>
              <w:bottom w:val="nil"/>
              <w:right w:val="single" w:sz="4" w:space="0" w:color="auto"/>
            </w:tcBorders>
          </w:tcPr>
          <w:p w:rsidR="00CA4FF1" w:rsidRPr="009C6C80" w:rsidRDefault="00CA4FF1" w:rsidP="00F24B50">
            <w:pPr>
              <w:jc w:val="both"/>
              <w:cnfStyle w:val="000000000000" w:firstRow="0" w:lastRow="0" w:firstColumn="0" w:lastColumn="0" w:oddVBand="0" w:evenVBand="0" w:oddHBand="0" w:evenHBand="0" w:firstRowFirstColumn="0" w:firstRowLastColumn="0" w:lastRowFirstColumn="0" w:lastRowLastColumn="0"/>
              <w:rPr>
                <w:rFonts w:eastAsia="Calibri"/>
              </w:rPr>
            </w:pPr>
          </w:p>
        </w:tc>
      </w:tr>
      <w:tr w:rsidR="00CA4FF1" w:rsidRPr="009C6C80" w:rsidTr="00F24B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4" w:type="pct"/>
            <w:tcBorders>
              <w:top w:val="nil"/>
              <w:left w:val="single" w:sz="4" w:space="0" w:color="auto"/>
              <w:bottom w:val="single" w:sz="4" w:space="0" w:color="auto"/>
            </w:tcBorders>
          </w:tcPr>
          <w:p w:rsidR="00CA4FF1" w:rsidRPr="00D92D57" w:rsidRDefault="00CA4FF1" w:rsidP="00F24B50">
            <w:pPr>
              <w:jc w:val="both"/>
              <w:rPr>
                <w:rFonts w:eastAsia="Calibri"/>
                <w:b w:val="0"/>
              </w:rPr>
            </w:pPr>
            <w:r w:rsidRPr="00D92D57">
              <w:rPr>
                <w:rFonts w:eastAsia="Calibri"/>
                <w:b w:val="0"/>
              </w:rPr>
              <w:t>Technical experts consulted</w:t>
            </w:r>
          </w:p>
        </w:tc>
        <w:tc>
          <w:tcPr>
            <w:tcW w:w="1776" w:type="pct"/>
            <w:tcBorders>
              <w:top w:val="nil"/>
              <w:bottom w:val="single" w:sz="4" w:space="0" w:color="auto"/>
              <w:right w:val="single" w:sz="4" w:space="0" w:color="auto"/>
            </w:tcBorders>
          </w:tcPr>
          <w:p w:rsidR="00CA4FF1" w:rsidRPr="009C6C80" w:rsidRDefault="00CA4FF1" w:rsidP="00F24B50">
            <w:pPr>
              <w:jc w:val="both"/>
              <w:cnfStyle w:val="000000100000" w:firstRow="0" w:lastRow="0" w:firstColumn="0" w:lastColumn="0" w:oddVBand="0" w:evenVBand="0" w:oddHBand="1" w:evenHBand="0" w:firstRowFirstColumn="0" w:firstRowLastColumn="0" w:lastRowFirstColumn="0" w:lastRowLastColumn="0"/>
              <w:rPr>
                <w:rFonts w:eastAsia="Calibri"/>
              </w:rPr>
            </w:pPr>
          </w:p>
        </w:tc>
      </w:tr>
      <w:tr w:rsidR="00CA4FF1" w:rsidRPr="009C6C80" w:rsidTr="00F24B50">
        <w:tc>
          <w:tcPr>
            <w:cnfStyle w:val="001000000000" w:firstRow="0" w:lastRow="0" w:firstColumn="1" w:lastColumn="0" w:oddVBand="0" w:evenVBand="0" w:oddHBand="0" w:evenHBand="0" w:firstRowFirstColumn="0" w:firstRowLastColumn="0" w:lastRowFirstColumn="0" w:lastRowLastColumn="0"/>
            <w:tcW w:w="3224" w:type="pct"/>
            <w:tcBorders>
              <w:top w:val="single" w:sz="4" w:space="0" w:color="auto"/>
              <w:left w:val="single" w:sz="4" w:space="0" w:color="auto"/>
              <w:bottom w:val="single" w:sz="4" w:space="0" w:color="auto"/>
              <w:right w:val="nil"/>
            </w:tcBorders>
            <w:hideMark/>
          </w:tcPr>
          <w:p w:rsidR="00CA4FF1" w:rsidRPr="009C6C80" w:rsidRDefault="00CA4FF1" w:rsidP="00F24B50">
            <w:pPr>
              <w:jc w:val="both"/>
              <w:rPr>
                <w:rFonts w:eastAsia="Calibri"/>
              </w:rPr>
            </w:pPr>
            <w:r w:rsidRPr="009C6C80">
              <w:rPr>
                <w:rFonts w:eastAsia="Calibri"/>
              </w:rPr>
              <w:t>Phase 2: Design</w:t>
            </w:r>
          </w:p>
        </w:tc>
        <w:tc>
          <w:tcPr>
            <w:tcW w:w="1776" w:type="pct"/>
            <w:tcBorders>
              <w:top w:val="single" w:sz="4" w:space="0" w:color="auto"/>
              <w:left w:val="nil"/>
              <w:bottom w:val="single" w:sz="4" w:space="0" w:color="auto"/>
              <w:right w:val="single" w:sz="4" w:space="0" w:color="auto"/>
            </w:tcBorders>
            <w:hideMark/>
          </w:tcPr>
          <w:p w:rsidR="00CA4FF1" w:rsidRPr="009C6C80" w:rsidRDefault="00BA324B" w:rsidP="00BA324B">
            <w:pPr>
              <w:jc w:val="both"/>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 xml:space="preserve">Late </w:t>
            </w:r>
            <w:r w:rsidR="00CA4FF1">
              <w:rPr>
                <w:rFonts w:eastAsia="Calibri"/>
              </w:rPr>
              <w:t>2017</w:t>
            </w:r>
            <w:r w:rsidR="00CA4FF1" w:rsidRPr="009C6C80">
              <w:rPr>
                <w:rFonts w:eastAsia="Calibri"/>
              </w:rPr>
              <w:t xml:space="preserve">– </w:t>
            </w:r>
            <w:r>
              <w:rPr>
                <w:rFonts w:eastAsia="Calibri"/>
              </w:rPr>
              <w:t xml:space="preserve">Mid </w:t>
            </w:r>
            <w:r w:rsidR="00CA4FF1" w:rsidRPr="009C6C80">
              <w:rPr>
                <w:rFonts w:eastAsia="Calibri"/>
              </w:rPr>
              <w:t>2018</w:t>
            </w:r>
          </w:p>
        </w:tc>
      </w:tr>
      <w:tr w:rsidR="00CA4FF1" w:rsidRPr="009C6C80" w:rsidTr="00F24B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4" w:type="pct"/>
            <w:tcBorders>
              <w:top w:val="single" w:sz="4" w:space="0" w:color="auto"/>
              <w:left w:val="single" w:sz="4" w:space="0" w:color="auto"/>
              <w:bottom w:val="nil"/>
              <w:right w:val="nil"/>
            </w:tcBorders>
          </w:tcPr>
          <w:p w:rsidR="00CA4FF1" w:rsidRPr="009C6C80" w:rsidRDefault="00CA4FF1" w:rsidP="00F24B50">
            <w:pPr>
              <w:jc w:val="both"/>
              <w:rPr>
                <w:rFonts w:eastAsia="Calibri"/>
                <w:b w:val="0"/>
                <w:bCs w:val="0"/>
              </w:rPr>
            </w:pPr>
            <w:r w:rsidRPr="00D92D57">
              <w:rPr>
                <w:rFonts w:eastAsia="Calibri"/>
                <w:b w:val="0"/>
              </w:rPr>
              <w:t>Public consultation paper released</w:t>
            </w:r>
          </w:p>
        </w:tc>
        <w:tc>
          <w:tcPr>
            <w:tcW w:w="1776" w:type="pct"/>
            <w:tcBorders>
              <w:top w:val="single" w:sz="4" w:space="0" w:color="auto"/>
              <w:left w:val="nil"/>
              <w:bottom w:val="nil"/>
              <w:right w:val="single" w:sz="4" w:space="0" w:color="auto"/>
            </w:tcBorders>
          </w:tcPr>
          <w:p w:rsidR="00CA4FF1" w:rsidRPr="009C6C80" w:rsidRDefault="00CA4FF1" w:rsidP="00F24B50">
            <w:pPr>
              <w:jc w:val="both"/>
              <w:cnfStyle w:val="000000100000" w:firstRow="0" w:lastRow="0" w:firstColumn="0" w:lastColumn="0" w:oddVBand="0" w:evenVBand="0" w:oddHBand="1" w:evenHBand="0" w:firstRowFirstColumn="0" w:firstRowLastColumn="0" w:lastRowFirstColumn="0" w:lastRowLastColumn="0"/>
              <w:rPr>
                <w:rFonts w:eastAsia="Calibri"/>
              </w:rPr>
            </w:pPr>
          </w:p>
        </w:tc>
      </w:tr>
      <w:tr w:rsidR="00CA4FF1" w:rsidRPr="009C6C80" w:rsidTr="00F24B50">
        <w:tc>
          <w:tcPr>
            <w:cnfStyle w:val="001000000000" w:firstRow="0" w:lastRow="0" w:firstColumn="1" w:lastColumn="0" w:oddVBand="0" w:evenVBand="0" w:oddHBand="0" w:evenHBand="0" w:firstRowFirstColumn="0" w:firstRowLastColumn="0" w:lastRowFirstColumn="0" w:lastRowLastColumn="0"/>
            <w:tcW w:w="3224" w:type="pct"/>
            <w:tcBorders>
              <w:top w:val="nil"/>
              <w:left w:val="single" w:sz="4" w:space="0" w:color="auto"/>
              <w:bottom w:val="nil"/>
              <w:right w:val="nil"/>
            </w:tcBorders>
          </w:tcPr>
          <w:p w:rsidR="00CA4FF1" w:rsidRPr="00D92D57" w:rsidRDefault="00CA4FF1" w:rsidP="00F24B50">
            <w:pPr>
              <w:jc w:val="both"/>
              <w:rPr>
                <w:rFonts w:eastAsia="Calibri"/>
                <w:b w:val="0"/>
              </w:rPr>
            </w:pPr>
            <w:r w:rsidRPr="00D92D57">
              <w:rPr>
                <w:rFonts w:eastAsia="Calibri"/>
                <w:b w:val="0"/>
              </w:rPr>
              <w:t>Submissions received</w:t>
            </w:r>
          </w:p>
        </w:tc>
        <w:tc>
          <w:tcPr>
            <w:tcW w:w="1776" w:type="pct"/>
            <w:tcBorders>
              <w:top w:val="nil"/>
              <w:left w:val="nil"/>
              <w:bottom w:val="nil"/>
              <w:right w:val="single" w:sz="4" w:space="0" w:color="auto"/>
            </w:tcBorders>
          </w:tcPr>
          <w:p w:rsidR="00CA4FF1" w:rsidRPr="009C6C80" w:rsidRDefault="00CA4FF1" w:rsidP="00F24B50">
            <w:pPr>
              <w:jc w:val="both"/>
              <w:cnfStyle w:val="000000000000" w:firstRow="0" w:lastRow="0" w:firstColumn="0" w:lastColumn="0" w:oddVBand="0" w:evenVBand="0" w:oddHBand="0" w:evenHBand="0" w:firstRowFirstColumn="0" w:firstRowLastColumn="0" w:lastRowFirstColumn="0" w:lastRowLastColumn="0"/>
              <w:rPr>
                <w:rFonts w:eastAsia="Calibri"/>
              </w:rPr>
            </w:pPr>
          </w:p>
        </w:tc>
      </w:tr>
      <w:tr w:rsidR="00CA4FF1" w:rsidRPr="009C6C80" w:rsidTr="00F24B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4" w:type="pct"/>
            <w:tcBorders>
              <w:top w:val="nil"/>
              <w:left w:val="single" w:sz="4" w:space="0" w:color="auto"/>
              <w:bottom w:val="nil"/>
              <w:right w:val="nil"/>
            </w:tcBorders>
          </w:tcPr>
          <w:p w:rsidR="00CA4FF1" w:rsidRPr="00D92D57" w:rsidRDefault="00CA4FF1" w:rsidP="00F24B50">
            <w:pPr>
              <w:jc w:val="both"/>
              <w:rPr>
                <w:rFonts w:eastAsia="Calibri"/>
                <w:b w:val="0"/>
              </w:rPr>
            </w:pPr>
            <w:r w:rsidRPr="00D92D57">
              <w:rPr>
                <w:rFonts w:eastAsia="Calibri"/>
                <w:b w:val="0"/>
              </w:rPr>
              <w:t>Submissions analysed</w:t>
            </w:r>
          </w:p>
        </w:tc>
        <w:tc>
          <w:tcPr>
            <w:tcW w:w="1776" w:type="pct"/>
            <w:tcBorders>
              <w:top w:val="nil"/>
              <w:left w:val="nil"/>
              <w:bottom w:val="nil"/>
              <w:right w:val="single" w:sz="4" w:space="0" w:color="auto"/>
            </w:tcBorders>
          </w:tcPr>
          <w:p w:rsidR="00CA4FF1" w:rsidRPr="009C6C80" w:rsidRDefault="00CA4FF1" w:rsidP="00F24B50">
            <w:pPr>
              <w:jc w:val="both"/>
              <w:cnfStyle w:val="000000100000" w:firstRow="0" w:lastRow="0" w:firstColumn="0" w:lastColumn="0" w:oddVBand="0" w:evenVBand="0" w:oddHBand="1" w:evenHBand="0" w:firstRowFirstColumn="0" w:firstRowLastColumn="0" w:lastRowFirstColumn="0" w:lastRowLastColumn="0"/>
              <w:rPr>
                <w:rFonts w:eastAsia="Calibri"/>
              </w:rPr>
            </w:pPr>
          </w:p>
        </w:tc>
      </w:tr>
      <w:tr w:rsidR="00CA4FF1" w:rsidRPr="009C6C80" w:rsidTr="00F24B50">
        <w:tc>
          <w:tcPr>
            <w:cnfStyle w:val="001000000000" w:firstRow="0" w:lastRow="0" w:firstColumn="1" w:lastColumn="0" w:oddVBand="0" w:evenVBand="0" w:oddHBand="0" w:evenHBand="0" w:firstRowFirstColumn="0" w:firstRowLastColumn="0" w:lastRowFirstColumn="0" w:lastRowLastColumn="0"/>
            <w:tcW w:w="3224" w:type="pct"/>
            <w:tcBorders>
              <w:top w:val="nil"/>
              <w:left w:val="single" w:sz="4" w:space="0" w:color="auto"/>
              <w:bottom w:val="nil"/>
              <w:right w:val="nil"/>
            </w:tcBorders>
          </w:tcPr>
          <w:p w:rsidR="00CA4FF1" w:rsidRPr="00D92D57" w:rsidRDefault="00CA4FF1" w:rsidP="00F24B50">
            <w:pPr>
              <w:jc w:val="both"/>
              <w:rPr>
                <w:rFonts w:eastAsia="Calibri"/>
                <w:b w:val="0"/>
              </w:rPr>
            </w:pPr>
            <w:r w:rsidRPr="00D92D57">
              <w:rPr>
                <w:rFonts w:eastAsia="Calibri"/>
                <w:b w:val="0"/>
              </w:rPr>
              <w:t>Advice to Government</w:t>
            </w:r>
          </w:p>
        </w:tc>
        <w:tc>
          <w:tcPr>
            <w:tcW w:w="1776" w:type="pct"/>
            <w:tcBorders>
              <w:top w:val="nil"/>
              <w:left w:val="nil"/>
              <w:bottom w:val="nil"/>
              <w:right w:val="single" w:sz="4" w:space="0" w:color="auto"/>
            </w:tcBorders>
          </w:tcPr>
          <w:p w:rsidR="00CA4FF1" w:rsidRPr="009C6C80" w:rsidRDefault="00CA4FF1" w:rsidP="00F24B50">
            <w:pPr>
              <w:jc w:val="both"/>
              <w:cnfStyle w:val="000000000000" w:firstRow="0" w:lastRow="0" w:firstColumn="0" w:lastColumn="0" w:oddVBand="0" w:evenVBand="0" w:oddHBand="0" w:evenHBand="0" w:firstRowFirstColumn="0" w:firstRowLastColumn="0" w:lastRowFirstColumn="0" w:lastRowLastColumn="0"/>
              <w:rPr>
                <w:rFonts w:eastAsia="Calibri"/>
              </w:rPr>
            </w:pPr>
          </w:p>
        </w:tc>
      </w:tr>
      <w:tr w:rsidR="00CA4FF1" w:rsidRPr="009C6C80" w:rsidTr="00F24B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4" w:type="pct"/>
            <w:tcBorders>
              <w:top w:val="nil"/>
              <w:left w:val="single" w:sz="4" w:space="0" w:color="auto"/>
              <w:bottom w:val="single" w:sz="4" w:space="0" w:color="auto"/>
              <w:right w:val="nil"/>
            </w:tcBorders>
          </w:tcPr>
          <w:p w:rsidR="00CA4FF1" w:rsidRPr="00D92D57" w:rsidRDefault="00CA4FF1" w:rsidP="00F24B50">
            <w:pPr>
              <w:jc w:val="both"/>
              <w:rPr>
                <w:rFonts w:eastAsia="Calibri"/>
                <w:b w:val="0"/>
              </w:rPr>
            </w:pPr>
            <w:r w:rsidRPr="00D92D57">
              <w:rPr>
                <w:rFonts w:eastAsia="Calibri"/>
                <w:b w:val="0"/>
              </w:rPr>
              <w:t>Final policy position announced</w:t>
            </w:r>
          </w:p>
        </w:tc>
        <w:tc>
          <w:tcPr>
            <w:tcW w:w="1776" w:type="pct"/>
            <w:tcBorders>
              <w:top w:val="nil"/>
              <w:left w:val="nil"/>
              <w:bottom w:val="single" w:sz="4" w:space="0" w:color="auto"/>
              <w:right w:val="single" w:sz="4" w:space="0" w:color="auto"/>
            </w:tcBorders>
          </w:tcPr>
          <w:p w:rsidR="00CA4FF1" w:rsidRPr="009C6C80" w:rsidRDefault="00CA4FF1" w:rsidP="00F24B50">
            <w:pPr>
              <w:jc w:val="both"/>
              <w:cnfStyle w:val="000000100000" w:firstRow="0" w:lastRow="0" w:firstColumn="0" w:lastColumn="0" w:oddVBand="0" w:evenVBand="0" w:oddHBand="1" w:evenHBand="0" w:firstRowFirstColumn="0" w:firstRowLastColumn="0" w:lastRowFirstColumn="0" w:lastRowLastColumn="0"/>
              <w:rPr>
                <w:rFonts w:eastAsia="Calibri"/>
              </w:rPr>
            </w:pPr>
          </w:p>
        </w:tc>
      </w:tr>
      <w:tr w:rsidR="00CA4FF1" w:rsidRPr="009C6C80" w:rsidTr="00F24B50">
        <w:tc>
          <w:tcPr>
            <w:cnfStyle w:val="001000000000" w:firstRow="0" w:lastRow="0" w:firstColumn="1" w:lastColumn="0" w:oddVBand="0" w:evenVBand="0" w:oddHBand="0" w:evenHBand="0" w:firstRowFirstColumn="0" w:firstRowLastColumn="0" w:lastRowFirstColumn="0" w:lastRowLastColumn="0"/>
            <w:tcW w:w="3224" w:type="pct"/>
            <w:tcBorders>
              <w:top w:val="single" w:sz="4" w:space="0" w:color="auto"/>
              <w:left w:val="single" w:sz="4" w:space="0" w:color="auto"/>
              <w:bottom w:val="single" w:sz="4" w:space="0" w:color="auto"/>
              <w:right w:val="nil"/>
            </w:tcBorders>
            <w:hideMark/>
          </w:tcPr>
          <w:p w:rsidR="00CA4FF1" w:rsidRPr="009C6C80" w:rsidRDefault="00CA4FF1" w:rsidP="00F24B50">
            <w:pPr>
              <w:jc w:val="both"/>
              <w:rPr>
                <w:rFonts w:eastAsia="Calibri"/>
              </w:rPr>
            </w:pPr>
            <w:r w:rsidRPr="009C6C80">
              <w:rPr>
                <w:rFonts w:eastAsia="Calibri"/>
              </w:rPr>
              <w:t>Phase 3: Implement</w:t>
            </w:r>
          </w:p>
        </w:tc>
        <w:tc>
          <w:tcPr>
            <w:tcW w:w="1776" w:type="pct"/>
            <w:tcBorders>
              <w:top w:val="single" w:sz="4" w:space="0" w:color="auto"/>
              <w:left w:val="nil"/>
              <w:bottom w:val="single" w:sz="4" w:space="0" w:color="auto"/>
              <w:right w:val="single" w:sz="4" w:space="0" w:color="auto"/>
            </w:tcBorders>
            <w:hideMark/>
          </w:tcPr>
          <w:p w:rsidR="00CA4FF1" w:rsidRPr="009C6C80" w:rsidRDefault="00BA324B" w:rsidP="00BA324B">
            <w:pPr>
              <w:jc w:val="both"/>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 xml:space="preserve">Mid </w:t>
            </w:r>
            <w:r w:rsidR="00CA4FF1" w:rsidRPr="009C6C80">
              <w:rPr>
                <w:rFonts w:eastAsia="Calibri"/>
              </w:rPr>
              <w:t xml:space="preserve">2018 – </w:t>
            </w:r>
            <w:r>
              <w:rPr>
                <w:rFonts w:eastAsia="Calibri"/>
              </w:rPr>
              <w:t xml:space="preserve">Early </w:t>
            </w:r>
            <w:r w:rsidR="00CA4FF1" w:rsidRPr="009C6C80">
              <w:rPr>
                <w:rFonts w:eastAsia="Calibri"/>
              </w:rPr>
              <w:t>2019</w:t>
            </w:r>
          </w:p>
        </w:tc>
      </w:tr>
      <w:tr w:rsidR="00CA4FF1" w:rsidRPr="009C6C80" w:rsidTr="00F24B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4" w:type="pct"/>
            <w:tcBorders>
              <w:top w:val="single" w:sz="4" w:space="0" w:color="auto"/>
              <w:left w:val="single" w:sz="4" w:space="0" w:color="auto"/>
              <w:bottom w:val="nil"/>
              <w:right w:val="nil"/>
            </w:tcBorders>
          </w:tcPr>
          <w:p w:rsidR="00CA4FF1" w:rsidRPr="00D92D57" w:rsidRDefault="00CA4FF1" w:rsidP="00F24B50">
            <w:pPr>
              <w:jc w:val="both"/>
              <w:rPr>
                <w:rFonts w:eastAsia="Calibri"/>
                <w:b w:val="0"/>
              </w:rPr>
            </w:pPr>
            <w:r w:rsidRPr="00D92D57">
              <w:rPr>
                <w:rFonts w:eastAsia="Calibri"/>
                <w:b w:val="0"/>
              </w:rPr>
              <w:t>Legislative amendments (if required)</w:t>
            </w:r>
          </w:p>
        </w:tc>
        <w:tc>
          <w:tcPr>
            <w:tcW w:w="1776" w:type="pct"/>
            <w:tcBorders>
              <w:top w:val="single" w:sz="4" w:space="0" w:color="auto"/>
              <w:left w:val="nil"/>
              <w:bottom w:val="nil"/>
              <w:right w:val="single" w:sz="4" w:space="0" w:color="auto"/>
            </w:tcBorders>
          </w:tcPr>
          <w:p w:rsidR="00CA4FF1" w:rsidRPr="009C6C80" w:rsidRDefault="00CA4FF1" w:rsidP="00F24B50">
            <w:pPr>
              <w:jc w:val="both"/>
              <w:cnfStyle w:val="000000100000" w:firstRow="0" w:lastRow="0" w:firstColumn="0" w:lastColumn="0" w:oddVBand="0" w:evenVBand="0" w:oddHBand="1" w:evenHBand="0" w:firstRowFirstColumn="0" w:firstRowLastColumn="0" w:lastRowFirstColumn="0" w:lastRowLastColumn="0"/>
              <w:rPr>
                <w:rFonts w:eastAsia="Calibri"/>
              </w:rPr>
            </w:pPr>
          </w:p>
        </w:tc>
      </w:tr>
      <w:tr w:rsidR="00CA4FF1" w:rsidRPr="009C6C80" w:rsidTr="00F24B50">
        <w:tc>
          <w:tcPr>
            <w:cnfStyle w:val="001000000000" w:firstRow="0" w:lastRow="0" w:firstColumn="1" w:lastColumn="0" w:oddVBand="0" w:evenVBand="0" w:oddHBand="0" w:evenHBand="0" w:firstRowFirstColumn="0" w:firstRowLastColumn="0" w:lastRowFirstColumn="0" w:lastRowLastColumn="0"/>
            <w:tcW w:w="3224" w:type="pct"/>
            <w:tcBorders>
              <w:top w:val="nil"/>
              <w:left w:val="single" w:sz="4" w:space="0" w:color="auto"/>
              <w:bottom w:val="nil"/>
              <w:right w:val="nil"/>
            </w:tcBorders>
          </w:tcPr>
          <w:p w:rsidR="00CA4FF1" w:rsidRPr="00D92D57" w:rsidRDefault="00CA4FF1" w:rsidP="00F24B50">
            <w:pPr>
              <w:jc w:val="both"/>
              <w:rPr>
                <w:rFonts w:eastAsia="Calibri"/>
                <w:b w:val="0"/>
              </w:rPr>
            </w:pPr>
            <w:r w:rsidRPr="00D92D57">
              <w:rPr>
                <w:rFonts w:eastAsia="Calibri"/>
                <w:b w:val="0"/>
              </w:rPr>
              <w:t>Program documentation approved</w:t>
            </w:r>
          </w:p>
        </w:tc>
        <w:tc>
          <w:tcPr>
            <w:tcW w:w="1776" w:type="pct"/>
            <w:tcBorders>
              <w:top w:val="nil"/>
              <w:left w:val="nil"/>
              <w:bottom w:val="nil"/>
              <w:right w:val="single" w:sz="4" w:space="0" w:color="auto"/>
            </w:tcBorders>
          </w:tcPr>
          <w:p w:rsidR="00CA4FF1" w:rsidRPr="009C6C80" w:rsidRDefault="00CA4FF1" w:rsidP="00F24B50">
            <w:pPr>
              <w:jc w:val="both"/>
              <w:cnfStyle w:val="000000000000" w:firstRow="0" w:lastRow="0" w:firstColumn="0" w:lastColumn="0" w:oddVBand="0" w:evenVBand="0" w:oddHBand="0" w:evenHBand="0" w:firstRowFirstColumn="0" w:firstRowLastColumn="0" w:lastRowFirstColumn="0" w:lastRowLastColumn="0"/>
              <w:rPr>
                <w:rFonts w:eastAsia="Calibri"/>
              </w:rPr>
            </w:pPr>
          </w:p>
        </w:tc>
      </w:tr>
      <w:tr w:rsidR="00CA4FF1" w:rsidRPr="009C6C80" w:rsidTr="00F24B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4" w:type="pct"/>
            <w:tcBorders>
              <w:top w:val="nil"/>
              <w:left w:val="single" w:sz="4" w:space="0" w:color="auto"/>
              <w:bottom w:val="nil"/>
              <w:right w:val="nil"/>
            </w:tcBorders>
          </w:tcPr>
          <w:p w:rsidR="00CA4FF1" w:rsidRPr="00D92D57" w:rsidRDefault="00CA4FF1" w:rsidP="00F24B50">
            <w:pPr>
              <w:jc w:val="both"/>
              <w:rPr>
                <w:rFonts w:eastAsia="Calibri"/>
                <w:b w:val="0"/>
              </w:rPr>
            </w:pPr>
            <w:r w:rsidRPr="00D92D57">
              <w:rPr>
                <w:rFonts w:eastAsia="Calibri"/>
                <w:b w:val="0"/>
              </w:rPr>
              <w:t>Regional rollout finalised</w:t>
            </w:r>
          </w:p>
        </w:tc>
        <w:tc>
          <w:tcPr>
            <w:tcW w:w="1776" w:type="pct"/>
            <w:tcBorders>
              <w:top w:val="nil"/>
              <w:left w:val="nil"/>
              <w:bottom w:val="nil"/>
              <w:right w:val="single" w:sz="4" w:space="0" w:color="auto"/>
            </w:tcBorders>
          </w:tcPr>
          <w:p w:rsidR="00CA4FF1" w:rsidRPr="009C6C80" w:rsidRDefault="00CA4FF1" w:rsidP="00F24B50">
            <w:pPr>
              <w:jc w:val="both"/>
              <w:cnfStyle w:val="000000100000" w:firstRow="0" w:lastRow="0" w:firstColumn="0" w:lastColumn="0" w:oddVBand="0" w:evenVBand="0" w:oddHBand="1" w:evenHBand="0" w:firstRowFirstColumn="0" w:firstRowLastColumn="0" w:lastRowFirstColumn="0" w:lastRowLastColumn="0"/>
              <w:rPr>
                <w:rFonts w:eastAsia="Calibri"/>
              </w:rPr>
            </w:pPr>
          </w:p>
        </w:tc>
      </w:tr>
      <w:tr w:rsidR="00CA4FF1" w:rsidRPr="009C6C80" w:rsidTr="00F24B50">
        <w:tc>
          <w:tcPr>
            <w:cnfStyle w:val="001000000000" w:firstRow="0" w:lastRow="0" w:firstColumn="1" w:lastColumn="0" w:oddVBand="0" w:evenVBand="0" w:oddHBand="0" w:evenHBand="0" w:firstRowFirstColumn="0" w:firstRowLastColumn="0" w:lastRowFirstColumn="0" w:lastRowLastColumn="0"/>
            <w:tcW w:w="3224" w:type="pct"/>
            <w:tcBorders>
              <w:top w:val="nil"/>
              <w:left w:val="single" w:sz="4" w:space="0" w:color="auto"/>
              <w:bottom w:val="single" w:sz="4" w:space="0" w:color="auto"/>
              <w:right w:val="nil"/>
            </w:tcBorders>
          </w:tcPr>
          <w:p w:rsidR="00CA4FF1" w:rsidRPr="00D92D57" w:rsidRDefault="00CA4FF1" w:rsidP="00F24B50">
            <w:pPr>
              <w:jc w:val="both"/>
              <w:rPr>
                <w:rFonts w:eastAsia="Calibri"/>
                <w:b w:val="0"/>
              </w:rPr>
            </w:pPr>
            <w:r w:rsidRPr="00D92D57">
              <w:rPr>
                <w:rFonts w:eastAsia="Calibri"/>
                <w:b w:val="0"/>
              </w:rPr>
              <w:t>Supporting ICT built / tested / released</w:t>
            </w:r>
          </w:p>
        </w:tc>
        <w:tc>
          <w:tcPr>
            <w:tcW w:w="1776" w:type="pct"/>
            <w:tcBorders>
              <w:top w:val="nil"/>
              <w:left w:val="nil"/>
              <w:bottom w:val="single" w:sz="4" w:space="0" w:color="auto"/>
              <w:right w:val="single" w:sz="4" w:space="0" w:color="auto"/>
            </w:tcBorders>
          </w:tcPr>
          <w:p w:rsidR="00CA4FF1" w:rsidRPr="009C6C80" w:rsidRDefault="00CA4FF1" w:rsidP="00F24B50">
            <w:pPr>
              <w:jc w:val="both"/>
              <w:cnfStyle w:val="000000000000" w:firstRow="0" w:lastRow="0" w:firstColumn="0" w:lastColumn="0" w:oddVBand="0" w:evenVBand="0" w:oddHBand="0" w:evenHBand="0" w:firstRowFirstColumn="0" w:firstRowLastColumn="0" w:lastRowFirstColumn="0" w:lastRowLastColumn="0"/>
              <w:rPr>
                <w:rFonts w:eastAsia="Calibri"/>
              </w:rPr>
            </w:pPr>
          </w:p>
        </w:tc>
      </w:tr>
      <w:tr w:rsidR="00CA4FF1" w:rsidRPr="009C6C80" w:rsidTr="00F24B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4" w:type="pct"/>
            <w:tcBorders>
              <w:top w:val="single" w:sz="4" w:space="0" w:color="auto"/>
              <w:left w:val="single" w:sz="4" w:space="0" w:color="auto"/>
              <w:bottom w:val="single" w:sz="4" w:space="0" w:color="auto"/>
              <w:right w:val="nil"/>
            </w:tcBorders>
            <w:hideMark/>
          </w:tcPr>
          <w:p w:rsidR="00CA4FF1" w:rsidRPr="009C6C80" w:rsidRDefault="00CA4FF1" w:rsidP="00F24B50">
            <w:pPr>
              <w:jc w:val="both"/>
              <w:rPr>
                <w:rFonts w:eastAsia="Calibri"/>
              </w:rPr>
            </w:pPr>
            <w:r w:rsidRPr="009C6C80">
              <w:rPr>
                <w:rFonts w:eastAsia="Calibri"/>
              </w:rPr>
              <w:t xml:space="preserve">Phase 4: </w:t>
            </w:r>
            <w:r>
              <w:rPr>
                <w:rFonts w:eastAsia="Calibri"/>
              </w:rPr>
              <w:t>Select</w:t>
            </w:r>
          </w:p>
        </w:tc>
        <w:tc>
          <w:tcPr>
            <w:tcW w:w="1776" w:type="pct"/>
            <w:tcBorders>
              <w:top w:val="single" w:sz="4" w:space="0" w:color="auto"/>
              <w:left w:val="nil"/>
              <w:bottom w:val="single" w:sz="4" w:space="0" w:color="auto"/>
              <w:right w:val="single" w:sz="4" w:space="0" w:color="auto"/>
            </w:tcBorders>
            <w:hideMark/>
          </w:tcPr>
          <w:p w:rsidR="00CA4FF1" w:rsidRPr="009C6C80" w:rsidRDefault="00BA324B" w:rsidP="00BA324B">
            <w:pPr>
              <w:jc w:val="both"/>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Early 2019</w:t>
            </w:r>
            <w:r w:rsidR="00CA4FF1" w:rsidRPr="009C6C80">
              <w:rPr>
                <w:rFonts w:eastAsia="Calibri"/>
              </w:rPr>
              <w:t xml:space="preserve"> – </w:t>
            </w:r>
            <w:r>
              <w:rPr>
                <w:rFonts w:eastAsia="Calibri"/>
              </w:rPr>
              <w:t xml:space="preserve">Mid </w:t>
            </w:r>
            <w:r w:rsidR="00CA4FF1" w:rsidRPr="009C6C80">
              <w:rPr>
                <w:rFonts w:eastAsia="Calibri"/>
              </w:rPr>
              <w:t>2019</w:t>
            </w:r>
          </w:p>
        </w:tc>
      </w:tr>
      <w:tr w:rsidR="00CA4FF1" w:rsidRPr="009C6C80" w:rsidTr="00F24B50">
        <w:tc>
          <w:tcPr>
            <w:cnfStyle w:val="001000000000" w:firstRow="0" w:lastRow="0" w:firstColumn="1" w:lastColumn="0" w:oddVBand="0" w:evenVBand="0" w:oddHBand="0" w:evenHBand="0" w:firstRowFirstColumn="0" w:firstRowLastColumn="0" w:lastRowFirstColumn="0" w:lastRowLastColumn="0"/>
            <w:tcW w:w="3224" w:type="pct"/>
            <w:tcBorders>
              <w:top w:val="single" w:sz="4" w:space="0" w:color="auto"/>
              <w:left w:val="single" w:sz="4" w:space="0" w:color="auto"/>
              <w:bottom w:val="nil"/>
              <w:right w:val="nil"/>
            </w:tcBorders>
          </w:tcPr>
          <w:p w:rsidR="00CA4FF1" w:rsidRPr="009C6C80" w:rsidRDefault="00CA4FF1" w:rsidP="00F24B50">
            <w:pPr>
              <w:jc w:val="both"/>
              <w:rPr>
                <w:rFonts w:eastAsia="Calibri"/>
                <w:b w:val="0"/>
                <w:bCs w:val="0"/>
              </w:rPr>
            </w:pPr>
            <w:r w:rsidRPr="00D92D57">
              <w:rPr>
                <w:rFonts w:eastAsia="Calibri"/>
                <w:b w:val="0"/>
              </w:rPr>
              <w:t>First allocation process advertised</w:t>
            </w:r>
          </w:p>
        </w:tc>
        <w:tc>
          <w:tcPr>
            <w:tcW w:w="1776" w:type="pct"/>
            <w:tcBorders>
              <w:top w:val="single" w:sz="4" w:space="0" w:color="auto"/>
              <w:left w:val="nil"/>
              <w:bottom w:val="nil"/>
              <w:right w:val="single" w:sz="4" w:space="0" w:color="auto"/>
            </w:tcBorders>
          </w:tcPr>
          <w:p w:rsidR="00CA4FF1" w:rsidRPr="009C6C80" w:rsidRDefault="00CA4FF1" w:rsidP="00F24B50">
            <w:pPr>
              <w:jc w:val="both"/>
              <w:cnfStyle w:val="000000000000" w:firstRow="0" w:lastRow="0" w:firstColumn="0" w:lastColumn="0" w:oddVBand="0" w:evenVBand="0" w:oddHBand="0" w:evenHBand="0" w:firstRowFirstColumn="0" w:firstRowLastColumn="0" w:lastRowFirstColumn="0" w:lastRowLastColumn="0"/>
              <w:rPr>
                <w:rFonts w:eastAsia="Calibri"/>
              </w:rPr>
            </w:pPr>
          </w:p>
        </w:tc>
      </w:tr>
      <w:tr w:rsidR="00CA4FF1" w:rsidRPr="009C6C80" w:rsidTr="00F24B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4" w:type="pct"/>
            <w:tcBorders>
              <w:top w:val="nil"/>
              <w:left w:val="single" w:sz="4" w:space="0" w:color="auto"/>
              <w:bottom w:val="nil"/>
              <w:right w:val="nil"/>
            </w:tcBorders>
          </w:tcPr>
          <w:p w:rsidR="00CA4FF1" w:rsidRPr="00D92D57" w:rsidRDefault="00CA4FF1" w:rsidP="00F24B50">
            <w:pPr>
              <w:jc w:val="both"/>
              <w:rPr>
                <w:rFonts w:eastAsia="Calibri"/>
                <w:b w:val="0"/>
              </w:rPr>
            </w:pPr>
            <w:r w:rsidRPr="00D92D57">
              <w:rPr>
                <w:rFonts w:eastAsia="Calibri"/>
                <w:b w:val="0"/>
              </w:rPr>
              <w:t>Applications received</w:t>
            </w:r>
          </w:p>
        </w:tc>
        <w:tc>
          <w:tcPr>
            <w:tcW w:w="1776" w:type="pct"/>
            <w:tcBorders>
              <w:top w:val="nil"/>
              <w:left w:val="nil"/>
              <w:bottom w:val="nil"/>
              <w:right w:val="single" w:sz="4" w:space="0" w:color="auto"/>
            </w:tcBorders>
          </w:tcPr>
          <w:p w:rsidR="00CA4FF1" w:rsidRPr="009C6C80" w:rsidRDefault="00CA4FF1" w:rsidP="00F24B50">
            <w:pPr>
              <w:jc w:val="both"/>
              <w:cnfStyle w:val="000000100000" w:firstRow="0" w:lastRow="0" w:firstColumn="0" w:lastColumn="0" w:oddVBand="0" w:evenVBand="0" w:oddHBand="1" w:evenHBand="0" w:firstRowFirstColumn="0" w:firstRowLastColumn="0" w:lastRowFirstColumn="0" w:lastRowLastColumn="0"/>
              <w:rPr>
                <w:rFonts w:eastAsia="Calibri"/>
              </w:rPr>
            </w:pPr>
          </w:p>
        </w:tc>
      </w:tr>
      <w:tr w:rsidR="00CA4FF1" w:rsidRPr="009C6C80" w:rsidTr="00F24B50">
        <w:tc>
          <w:tcPr>
            <w:cnfStyle w:val="001000000000" w:firstRow="0" w:lastRow="0" w:firstColumn="1" w:lastColumn="0" w:oddVBand="0" w:evenVBand="0" w:oddHBand="0" w:evenHBand="0" w:firstRowFirstColumn="0" w:firstRowLastColumn="0" w:lastRowFirstColumn="0" w:lastRowLastColumn="0"/>
            <w:tcW w:w="3224" w:type="pct"/>
            <w:tcBorders>
              <w:top w:val="nil"/>
              <w:left w:val="single" w:sz="4" w:space="0" w:color="auto"/>
              <w:bottom w:val="nil"/>
              <w:right w:val="nil"/>
            </w:tcBorders>
          </w:tcPr>
          <w:p w:rsidR="00CA4FF1" w:rsidRPr="00D92D57" w:rsidRDefault="00CA4FF1" w:rsidP="00F24B50">
            <w:pPr>
              <w:jc w:val="both"/>
              <w:rPr>
                <w:rFonts w:eastAsia="Calibri"/>
                <w:b w:val="0"/>
              </w:rPr>
            </w:pPr>
            <w:r w:rsidRPr="00D92D57">
              <w:rPr>
                <w:rFonts w:eastAsia="Calibri"/>
                <w:b w:val="0"/>
              </w:rPr>
              <w:t>Applications assessed</w:t>
            </w:r>
          </w:p>
        </w:tc>
        <w:tc>
          <w:tcPr>
            <w:tcW w:w="1776" w:type="pct"/>
            <w:tcBorders>
              <w:top w:val="nil"/>
              <w:left w:val="nil"/>
              <w:bottom w:val="nil"/>
              <w:right w:val="single" w:sz="4" w:space="0" w:color="auto"/>
            </w:tcBorders>
          </w:tcPr>
          <w:p w:rsidR="00CA4FF1" w:rsidRPr="009C6C80" w:rsidRDefault="00CA4FF1" w:rsidP="00F24B50">
            <w:pPr>
              <w:jc w:val="both"/>
              <w:cnfStyle w:val="000000000000" w:firstRow="0" w:lastRow="0" w:firstColumn="0" w:lastColumn="0" w:oddVBand="0" w:evenVBand="0" w:oddHBand="0" w:evenHBand="0" w:firstRowFirstColumn="0" w:firstRowLastColumn="0" w:lastRowFirstColumn="0" w:lastRowLastColumn="0"/>
              <w:rPr>
                <w:rFonts w:eastAsia="Calibri"/>
              </w:rPr>
            </w:pPr>
          </w:p>
        </w:tc>
      </w:tr>
      <w:tr w:rsidR="00CA4FF1" w:rsidRPr="009C6C80" w:rsidTr="00F24B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4" w:type="pct"/>
            <w:tcBorders>
              <w:top w:val="nil"/>
              <w:left w:val="single" w:sz="4" w:space="0" w:color="auto"/>
              <w:bottom w:val="single" w:sz="4" w:space="0" w:color="auto"/>
              <w:right w:val="nil"/>
            </w:tcBorders>
          </w:tcPr>
          <w:p w:rsidR="00CA4FF1" w:rsidRPr="00D92D57" w:rsidRDefault="00CA4FF1" w:rsidP="00F24B50">
            <w:pPr>
              <w:jc w:val="both"/>
              <w:rPr>
                <w:rFonts w:eastAsia="Calibri"/>
                <w:b w:val="0"/>
              </w:rPr>
            </w:pPr>
            <w:r w:rsidRPr="00D92D57">
              <w:rPr>
                <w:rFonts w:eastAsia="Calibri"/>
                <w:b w:val="0"/>
              </w:rPr>
              <w:t>Successful providers announced</w:t>
            </w:r>
          </w:p>
        </w:tc>
        <w:tc>
          <w:tcPr>
            <w:tcW w:w="1776" w:type="pct"/>
            <w:tcBorders>
              <w:top w:val="nil"/>
              <w:left w:val="nil"/>
              <w:bottom w:val="single" w:sz="4" w:space="0" w:color="auto"/>
              <w:right w:val="single" w:sz="4" w:space="0" w:color="auto"/>
            </w:tcBorders>
          </w:tcPr>
          <w:p w:rsidR="00CA4FF1" w:rsidRPr="009C6C80" w:rsidRDefault="00CA4FF1" w:rsidP="00F24B50">
            <w:pPr>
              <w:jc w:val="both"/>
              <w:cnfStyle w:val="000000100000" w:firstRow="0" w:lastRow="0" w:firstColumn="0" w:lastColumn="0" w:oddVBand="0" w:evenVBand="0" w:oddHBand="1" w:evenHBand="0" w:firstRowFirstColumn="0" w:firstRowLastColumn="0" w:lastRowFirstColumn="0" w:lastRowLastColumn="0"/>
              <w:rPr>
                <w:rFonts w:eastAsia="Calibri"/>
              </w:rPr>
            </w:pPr>
          </w:p>
        </w:tc>
      </w:tr>
      <w:tr w:rsidR="00CA4FF1" w:rsidRPr="009C6C80" w:rsidTr="00F24B50">
        <w:tc>
          <w:tcPr>
            <w:cnfStyle w:val="001000000000" w:firstRow="0" w:lastRow="0" w:firstColumn="1" w:lastColumn="0" w:oddVBand="0" w:evenVBand="0" w:oddHBand="0" w:evenHBand="0" w:firstRowFirstColumn="0" w:firstRowLastColumn="0" w:lastRowFirstColumn="0" w:lastRowLastColumn="0"/>
            <w:tcW w:w="3224" w:type="pct"/>
            <w:tcBorders>
              <w:top w:val="single" w:sz="4" w:space="0" w:color="auto"/>
              <w:left w:val="single" w:sz="4" w:space="0" w:color="auto"/>
              <w:bottom w:val="single" w:sz="4" w:space="0" w:color="auto"/>
              <w:right w:val="nil"/>
            </w:tcBorders>
            <w:hideMark/>
          </w:tcPr>
          <w:p w:rsidR="00CA4FF1" w:rsidRPr="009C6C80" w:rsidRDefault="00CA4FF1" w:rsidP="00F24B50">
            <w:pPr>
              <w:jc w:val="both"/>
              <w:rPr>
                <w:rFonts w:eastAsia="Calibri"/>
              </w:rPr>
            </w:pPr>
            <w:r w:rsidRPr="009C6C80">
              <w:rPr>
                <w:rFonts w:eastAsia="Calibri"/>
              </w:rPr>
              <w:t>Phase 5: Operationalise</w:t>
            </w:r>
          </w:p>
        </w:tc>
        <w:tc>
          <w:tcPr>
            <w:tcW w:w="1776" w:type="pct"/>
            <w:tcBorders>
              <w:top w:val="single" w:sz="4" w:space="0" w:color="auto"/>
              <w:left w:val="nil"/>
              <w:bottom w:val="single" w:sz="4" w:space="0" w:color="auto"/>
              <w:right w:val="single" w:sz="4" w:space="0" w:color="auto"/>
            </w:tcBorders>
            <w:hideMark/>
          </w:tcPr>
          <w:p w:rsidR="00CA4FF1" w:rsidRPr="009C6C80" w:rsidRDefault="00CA4FF1" w:rsidP="00BA324B">
            <w:pPr>
              <w:jc w:val="both"/>
              <w:cnfStyle w:val="000000000000" w:firstRow="0" w:lastRow="0" w:firstColumn="0" w:lastColumn="0" w:oddVBand="0" w:evenVBand="0" w:oddHBand="0" w:evenHBand="0" w:firstRowFirstColumn="0" w:firstRowLastColumn="0" w:lastRowFirstColumn="0" w:lastRowLastColumn="0"/>
              <w:rPr>
                <w:rFonts w:eastAsia="Calibri"/>
              </w:rPr>
            </w:pPr>
            <w:r w:rsidRPr="009C6C80">
              <w:rPr>
                <w:rFonts w:eastAsia="Calibri"/>
              </w:rPr>
              <w:t xml:space="preserve">Early 2019 – </w:t>
            </w:r>
            <w:r w:rsidR="00BA324B">
              <w:rPr>
                <w:rFonts w:eastAsia="Calibri"/>
              </w:rPr>
              <w:t xml:space="preserve">Mid </w:t>
            </w:r>
            <w:r w:rsidRPr="009C6C80">
              <w:rPr>
                <w:rFonts w:eastAsia="Calibri"/>
              </w:rPr>
              <w:t>2020</w:t>
            </w:r>
          </w:p>
        </w:tc>
      </w:tr>
      <w:tr w:rsidR="00CA4FF1" w:rsidRPr="009C6C80" w:rsidTr="00F24B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4" w:type="pct"/>
            <w:tcBorders>
              <w:top w:val="single" w:sz="4" w:space="0" w:color="auto"/>
              <w:left w:val="single" w:sz="4" w:space="0" w:color="auto"/>
              <w:bottom w:val="nil"/>
              <w:right w:val="nil"/>
            </w:tcBorders>
          </w:tcPr>
          <w:p w:rsidR="00CA4FF1" w:rsidRPr="00D92D57" w:rsidRDefault="00CA4FF1" w:rsidP="00F24B50">
            <w:pPr>
              <w:jc w:val="both"/>
              <w:rPr>
                <w:rFonts w:eastAsia="Calibri"/>
                <w:b w:val="0"/>
              </w:rPr>
            </w:pPr>
            <w:r w:rsidRPr="00D92D57">
              <w:rPr>
                <w:rFonts w:eastAsia="Calibri"/>
                <w:b w:val="0"/>
              </w:rPr>
              <w:t>Evaluation framework agreed</w:t>
            </w:r>
          </w:p>
        </w:tc>
        <w:tc>
          <w:tcPr>
            <w:tcW w:w="1776" w:type="pct"/>
            <w:tcBorders>
              <w:top w:val="single" w:sz="4" w:space="0" w:color="auto"/>
              <w:left w:val="nil"/>
              <w:bottom w:val="nil"/>
              <w:right w:val="single" w:sz="4" w:space="0" w:color="auto"/>
            </w:tcBorders>
          </w:tcPr>
          <w:p w:rsidR="00CA4FF1" w:rsidRPr="009C6C80" w:rsidRDefault="00CA4FF1" w:rsidP="00F24B50">
            <w:pPr>
              <w:jc w:val="both"/>
              <w:cnfStyle w:val="000000100000" w:firstRow="0" w:lastRow="0" w:firstColumn="0" w:lastColumn="0" w:oddVBand="0" w:evenVBand="0" w:oddHBand="1" w:evenHBand="0" w:firstRowFirstColumn="0" w:firstRowLastColumn="0" w:lastRowFirstColumn="0" w:lastRowLastColumn="0"/>
              <w:rPr>
                <w:rFonts w:eastAsia="Calibri"/>
              </w:rPr>
            </w:pPr>
          </w:p>
        </w:tc>
      </w:tr>
      <w:tr w:rsidR="00CA4FF1" w:rsidRPr="009C6C80" w:rsidTr="00F24B50">
        <w:tc>
          <w:tcPr>
            <w:cnfStyle w:val="001000000000" w:firstRow="0" w:lastRow="0" w:firstColumn="1" w:lastColumn="0" w:oddVBand="0" w:evenVBand="0" w:oddHBand="0" w:evenHBand="0" w:firstRowFirstColumn="0" w:firstRowLastColumn="0" w:lastRowFirstColumn="0" w:lastRowLastColumn="0"/>
            <w:tcW w:w="3224" w:type="pct"/>
            <w:tcBorders>
              <w:top w:val="nil"/>
              <w:left w:val="single" w:sz="4" w:space="0" w:color="auto"/>
              <w:bottom w:val="nil"/>
              <w:right w:val="nil"/>
            </w:tcBorders>
          </w:tcPr>
          <w:p w:rsidR="00CA4FF1" w:rsidRPr="00D92D57" w:rsidRDefault="00CA4FF1" w:rsidP="00F24B50">
            <w:pPr>
              <w:jc w:val="both"/>
              <w:rPr>
                <w:rFonts w:eastAsia="Calibri"/>
                <w:b w:val="0"/>
              </w:rPr>
            </w:pPr>
            <w:r w:rsidRPr="00D92D57">
              <w:rPr>
                <w:rFonts w:eastAsia="Calibri"/>
                <w:b w:val="0"/>
              </w:rPr>
              <w:t xml:space="preserve">Assessment workforce contracted and trained </w:t>
            </w:r>
          </w:p>
        </w:tc>
        <w:tc>
          <w:tcPr>
            <w:tcW w:w="1776" w:type="pct"/>
            <w:tcBorders>
              <w:top w:val="nil"/>
              <w:left w:val="nil"/>
              <w:bottom w:val="nil"/>
              <w:right w:val="single" w:sz="4" w:space="0" w:color="auto"/>
            </w:tcBorders>
          </w:tcPr>
          <w:p w:rsidR="00CA4FF1" w:rsidRPr="009C6C80" w:rsidRDefault="00CA4FF1" w:rsidP="00F24B50">
            <w:pPr>
              <w:jc w:val="both"/>
              <w:cnfStyle w:val="000000000000" w:firstRow="0" w:lastRow="0" w:firstColumn="0" w:lastColumn="0" w:oddVBand="0" w:evenVBand="0" w:oddHBand="0" w:evenHBand="0" w:firstRowFirstColumn="0" w:firstRowLastColumn="0" w:lastRowFirstColumn="0" w:lastRowLastColumn="0"/>
              <w:rPr>
                <w:rFonts w:eastAsia="Calibri"/>
              </w:rPr>
            </w:pPr>
          </w:p>
        </w:tc>
      </w:tr>
      <w:tr w:rsidR="00CA4FF1" w:rsidRPr="009C6C80" w:rsidTr="00F24B50">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3224" w:type="pct"/>
            <w:tcBorders>
              <w:top w:val="nil"/>
              <w:left w:val="single" w:sz="4" w:space="0" w:color="auto"/>
              <w:bottom w:val="nil"/>
              <w:right w:val="nil"/>
            </w:tcBorders>
          </w:tcPr>
          <w:p w:rsidR="00CA4FF1" w:rsidRPr="00D92D57" w:rsidRDefault="00CA4FF1" w:rsidP="00F24B50">
            <w:pPr>
              <w:jc w:val="both"/>
              <w:rPr>
                <w:rFonts w:eastAsia="Calibri"/>
                <w:b w:val="0"/>
              </w:rPr>
            </w:pPr>
            <w:r w:rsidRPr="00D92D57">
              <w:rPr>
                <w:rFonts w:eastAsia="Calibri"/>
                <w:b w:val="0"/>
              </w:rPr>
              <w:t xml:space="preserve">Data standards and collection system operational </w:t>
            </w:r>
            <w:r w:rsidRPr="00D92D57">
              <w:rPr>
                <w:rFonts w:eastAsia="Calibri"/>
                <w:b w:val="0"/>
              </w:rPr>
              <w:tab/>
            </w:r>
          </w:p>
        </w:tc>
        <w:tc>
          <w:tcPr>
            <w:tcW w:w="1776" w:type="pct"/>
            <w:tcBorders>
              <w:top w:val="nil"/>
              <w:left w:val="nil"/>
              <w:bottom w:val="nil"/>
              <w:right w:val="single" w:sz="4" w:space="0" w:color="auto"/>
            </w:tcBorders>
          </w:tcPr>
          <w:p w:rsidR="00CA4FF1" w:rsidRPr="009C6C80" w:rsidRDefault="00CA4FF1" w:rsidP="00F24B50">
            <w:pPr>
              <w:jc w:val="both"/>
              <w:cnfStyle w:val="000000100000" w:firstRow="0" w:lastRow="0" w:firstColumn="0" w:lastColumn="0" w:oddVBand="0" w:evenVBand="0" w:oddHBand="1" w:evenHBand="0" w:firstRowFirstColumn="0" w:firstRowLastColumn="0" w:lastRowFirstColumn="0" w:lastRowLastColumn="0"/>
              <w:rPr>
                <w:rFonts w:eastAsia="Calibri"/>
              </w:rPr>
            </w:pPr>
          </w:p>
        </w:tc>
      </w:tr>
      <w:tr w:rsidR="00CA4FF1" w:rsidRPr="009C6C80" w:rsidTr="00F24B50">
        <w:tc>
          <w:tcPr>
            <w:cnfStyle w:val="001000000000" w:firstRow="0" w:lastRow="0" w:firstColumn="1" w:lastColumn="0" w:oddVBand="0" w:evenVBand="0" w:oddHBand="0" w:evenHBand="0" w:firstRowFirstColumn="0" w:firstRowLastColumn="0" w:lastRowFirstColumn="0" w:lastRowLastColumn="0"/>
            <w:tcW w:w="3224" w:type="pct"/>
            <w:tcBorders>
              <w:top w:val="nil"/>
              <w:left w:val="single" w:sz="4" w:space="0" w:color="auto"/>
              <w:bottom w:val="single" w:sz="4" w:space="0" w:color="auto"/>
              <w:right w:val="nil"/>
            </w:tcBorders>
          </w:tcPr>
          <w:p w:rsidR="00CA4FF1" w:rsidRPr="00D92D57" w:rsidRDefault="00CA4FF1" w:rsidP="00F24B50">
            <w:pPr>
              <w:jc w:val="both"/>
              <w:rPr>
                <w:rFonts w:eastAsia="Calibri"/>
                <w:b w:val="0"/>
              </w:rPr>
            </w:pPr>
            <w:r w:rsidRPr="00D92D57">
              <w:rPr>
                <w:rFonts w:eastAsia="Calibri"/>
                <w:b w:val="0"/>
              </w:rPr>
              <w:t>First SDCUs operational</w:t>
            </w:r>
          </w:p>
        </w:tc>
        <w:tc>
          <w:tcPr>
            <w:tcW w:w="1776" w:type="pct"/>
            <w:tcBorders>
              <w:top w:val="nil"/>
              <w:left w:val="nil"/>
              <w:bottom w:val="single" w:sz="4" w:space="0" w:color="auto"/>
              <w:right w:val="single" w:sz="4" w:space="0" w:color="auto"/>
            </w:tcBorders>
          </w:tcPr>
          <w:p w:rsidR="00CA4FF1" w:rsidRPr="009C6C80" w:rsidRDefault="00CA4FF1" w:rsidP="00F24B50">
            <w:pPr>
              <w:jc w:val="both"/>
              <w:cnfStyle w:val="000000000000" w:firstRow="0" w:lastRow="0" w:firstColumn="0" w:lastColumn="0" w:oddVBand="0" w:evenVBand="0" w:oddHBand="0" w:evenHBand="0" w:firstRowFirstColumn="0" w:firstRowLastColumn="0" w:lastRowFirstColumn="0" w:lastRowLastColumn="0"/>
              <w:rPr>
                <w:rFonts w:eastAsia="Calibri"/>
              </w:rPr>
            </w:pPr>
          </w:p>
        </w:tc>
      </w:tr>
    </w:tbl>
    <w:p w:rsidR="00CA4FF1" w:rsidRPr="00305758" w:rsidRDefault="00CA4FF1" w:rsidP="00CA4FF1">
      <w:pPr>
        <w:jc w:val="both"/>
        <w:rPr>
          <w:b/>
          <w:sz w:val="22"/>
        </w:rPr>
      </w:pPr>
    </w:p>
    <w:p w:rsidR="00CA4FF1" w:rsidRPr="00F7281D" w:rsidRDefault="00CA4FF1" w:rsidP="00CA4FF1">
      <w:pPr>
        <w:pStyle w:val="Heading1"/>
        <w:numPr>
          <w:ilvl w:val="0"/>
          <w:numId w:val="5"/>
        </w:numPr>
        <w:spacing w:after="120"/>
        <w:jc w:val="both"/>
      </w:pPr>
      <w:bookmarkStart w:id="91" w:name="_Toc499538788"/>
      <w:r>
        <w:t>Next steps and further information</w:t>
      </w:r>
      <w:bookmarkEnd w:id="91"/>
    </w:p>
    <w:p w:rsidR="00CA4FF1" w:rsidRPr="003773E9" w:rsidRDefault="00CA4FF1" w:rsidP="00CA4FF1">
      <w:pPr>
        <w:jc w:val="both"/>
      </w:pPr>
      <w:r w:rsidRPr="003773E9">
        <w:t xml:space="preserve">Your feedback will inform advice to </w:t>
      </w:r>
      <w:r w:rsidR="0063319E">
        <w:t>G</w:t>
      </w:r>
      <w:r w:rsidRPr="003773E9">
        <w:t xml:space="preserve">overnment on the final shape of the SDCU initiative. Your submission should be made via the </w:t>
      </w:r>
      <w:r>
        <w:t xml:space="preserve">Department of </w:t>
      </w:r>
      <w:r w:rsidRPr="003773E9">
        <w:t xml:space="preserve">Health Consultation Hub at consultations.health.gov.au. Submissions should be provided by </w:t>
      </w:r>
      <w:r>
        <w:rPr>
          <w:b/>
        </w:rPr>
        <w:t>2</w:t>
      </w:r>
      <w:r w:rsidR="00BA324B">
        <w:rPr>
          <w:b/>
        </w:rPr>
        <w:t xml:space="preserve">1 January </w:t>
      </w:r>
      <w:r w:rsidRPr="003773E9">
        <w:rPr>
          <w:b/>
        </w:rPr>
        <w:t>201</w:t>
      </w:r>
      <w:r w:rsidR="00B824B7">
        <w:rPr>
          <w:b/>
        </w:rPr>
        <w:t>8</w:t>
      </w:r>
      <w:r w:rsidRPr="003773E9">
        <w:t>. Submissions received after this date may not be considered.</w:t>
      </w:r>
    </w:p>
    <w:p w:rsidR="00CA4FF1" w:rsidRPr="003773E9" w:rsidRDefault="00CA4FF1" w:rsidP="00CA4FF1">
      <w:pPr>
        <w:jc w:val="both"/>
      </w:pPr>
    </w:p>
    <w:p w:rsidR="00CA4FF1" w:rsidRPr="003773E9" w:rsidRDefault="00CA4FF1" w:rsidP="00CA4FF1">
      <w:pPr>
        <w:jc w:val="both"/>
      </w:pPr>
      <w:r w:rsidRPr="003773E9">
        <w:lastRenderedPageBreak/>
        <w:t xml:space="preserve">Once the preferred model of care and administrative arrangements are decided by </w:t>
      </w:r>
      <w:r w:rsidR="0063319E">
        <w:t>G</w:t>
      </w:r>
      <w:r w:rsidRPr="003773E9">
        <w:t>overnment, targeted consultation with stakeholders on detailed implementation and transition issues will be undertaken.</w:t>
      </w:r>
    </w:p>
    <w:p w:rsidR="00CA4FF1" w:rsidRPr="003773E9" w:rsidRDefault="00CA4FF1" w:rsidP="00CA4FF1">
      <w:pPr>
        <w:jc w:val="both"/>
        <w:rPr>
          <w:u w:val="single"/>
        </w:rPr>
      </w:pPr>
    </w:p>
    <w:p w:rsidR="00CA4FF1" w:rsidRPr="003773E9" w:rsidRDefault="00CA4FF1" w:rsidP="00CA4FF1">
      <w:pPr>
        <w:jc w:val="both"/>
      </w:pPr>
      <w:r w:rsidRPr="003773E9">
        <w:t xml:space="preserve">Future updates on the SDCU program will be published on the </w:t>
      </w:r>
      <w:r>
        <w:t xml:space="preserve">Department of </w:t>
      </w:r>
      <w:r w:rsidRPr="003773E9">
        <w:t>Health website and communicate</w:t>
      </w:r>
      <w:r>
        <w:t>d to the aged care sector via e</w:t>
      </w:r>
      <w:r w:rsidRPr="003773E9">
        <w:t>mail. Please visit the Health website to subscribe to announcements and the Aged Care Providers eNewsletter to keep up to date.</w:t>
      </w:r>
    </w:p>
    <w:p w:rsidR="00CA4FF1" w:rsidRPr="003773E9" w:rsidRDefault="00CA4FF1" w:rsidP="00CA4FF1">
      <w:pPr>
        <w:jc w:val="center"/>
      </w:pPr>
    </w:p>
    <w:p w:rsidR="00CA4FF1" w:rsidRPr="003773E9" w:rsidRDefault="00CA4FF1" w:rsidP="00CA4FF1">
      <w:pPr>
        <w:jc w:val="center"/>
        <w:rPr>
          <w:b/>
        </w:rPr>
      </w:pPr>
      <w:r w:rsidRPr="003773E9">
        <w:rPr>
          <w:b/>
        </w:rPr>
        <w:t>Thank you for participating</w:t>
      </w:r>
      <w:r>
        <w:rPr>
          <w:b/>
        </w:rPr>
        <w:t>.</w:t>
      </w:r>
    </w:p>
    <w:p w:rsidR="00CA4FF1" w:rsidRPr="003773E9" w:rsidRDefault="00CA4FF1" w:rsidP="00CA4FF1">
      <w:pPr>
        <w:jc w:val="both"/>
        <w:rPr>
          <w:b/>
        </w:rPr>
      </w:pPr>
    </w:p>
    <w:p w:rsidR="00CA4FF1" w:rsidRDefault="00CA4FF1" w:rsidP="00CA4FF1">
      <w:pPr>
        <w:jc w:val="both"/>
      </w:pPr>
      <w:r>
        <w:br w:type="page"/>
      </w:r>
    </w:p>
    <w:p w:rsidR="00CA4FF1" w:rsidRPr="00F7281D" w:rsidRDefault="00CA4FF1" w:rsidP="00CA4FF1">
      <w:pPr>
        <w:pStyle w:val="Heading1"/>
        <w:jc w:val="both"/>
      </w:pPr>
      <w:bookmarkStart w:id="92" w:name="_Toc499538789"/>
      <w:r>
        <w:lastRenderedPageBreak/>
        <w:t>Endnotes</w:t>
      </w:r>
      <w:bookmarkEnd w:id="92"/>
    </w:p>
    <w:sectPr w:rsidR="00CA4FF1" w:rsidRPr="00F7281D" w:rsidSect="00F24B50">
      <w:footerReference w:type="default" r:id="rId20"/>
      <w:headerReference w:type="first" r:id="rId21"/>
      <w:endnotePr>
        <w:numFmt w:val="decimal"/>
      </w:endnotePr>
      <w:type w:val="continuous"/>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B8A" w:rsidRDefault="00AE3B8A" w:rsidP="00CA4FF1">
      <w:r>
        <w:separator/>
      </w:r>
    </w:p>
  </w:endnote>
  <w:endnote w:type="continuationSeparator" w:id="0">
    <w:p w:rsidR="00AE3B8A" w:rsidRDefault="00AE3B8A" w:rsidP="00CA4FF1">
      <w:r>
        <w:continuationSeparator/>
      </w:r>
    </w:p>
  </w:endnote>
  <w:endnote w:id="1">
    <w:p w:rsidR="00AE3B8A" w:rsidRPr="00E25CF0" w:rsidRDefault="00AE3B8A" w:rsidP="00CA4FF1">
      <w:pPr>
        <w:pStyle w:val="EndnoteText"/>
      </w:pPr>
      <w:r>
        <w:rPr>
          <w:rStyle w:val="EndnoteReference"/>
        </w:rPr>
        <w:endnoteRef/>
      </w:r>
      <w:r>
        <w:t xml:space="preserve"> </w:t>
      </w:r>
      <w:proofErr w:type="gramStart"/>
      <w:r w:rsidRPr="00730210">
        <w:t>Australian Institute of Health and Welfare</w:t>
      </w:r>
      <w:r>
        <w:t xml:space="preserve"> (AIHW)</w:t>
      </w:r>
      <w:r w:rsidRPr="00730210">
        <w:t>,</w:t>
      </w:r>
      <w:r>
        <w:t xml:space="preserve"> </w:t>
      </w:r>
      <w:hyperlink r:id="rId1" w:history="1">
        <w:r>
          <w:rPr>
            <w:rStyle w:val="Hyperlink"/>
            <w:i/>
          </w:rPr>
          <w:t>Australia’s h</w:t>
        </w:r>
        <w:r w:rsidRPr="00EF7A9C">
          <w:rPr>
            <w:rStyle w:val="Hyperlink"/>
            <w:i/>
          </w:rPr>
          <w:t>ealth 2016</w:t>
        </w:r>
      </w:hyperlink>
      <w:r>
        <w:rPr>
          <w:i/>
        </w:rPr>
        <w:t xml:space="preserve">, </w:t>
      </w:r>
      <w:r>
        <w:t>AIHW, Canberra, 2016, p. 108.</w:t>
      </w:r>
      <w:proofErr w:type="gramEnd"/>
    </w:p>
  </w:endnote>
  <w:endnote w:id="2">
    <w:p w:rsidR="00AE3B8A" w:rsidRPr="00970A24" w:rsidRDefault="00AE3B8A" w:rsidP="00CA4FF1">
      <w:pPr>
        <w:pStyle w:val="EndnoteText"/>
      </w:pPr>
      <w:r w:rsidRPr="00730210">
        <w:rPr>
          <w:rStyle w:val="EndnoteReference"/>
        </w:rPr>
        <w:endnoteRef/>
      </w:r>
      <w:r w:rsidRPr="00730210">
        <w:t xml:space="preserve"> </w:t>
      </w:r>
      <w:r>
        <w:t>AIHW</w:t>
      </w:r>
      <w:r w:rsidRPr="00730210">
        <w:t xml:space="preserve">, </w:t>
      </w:r>
      <w:hyperlink r:id="rId2" w:history="1">
        <w:r w:rsidRPr="001F6440">
          <w:rPr>
            <w:rStyle w:val="Hyperlink"/>
            <w:i/>
          </w:rPr>
          <w:t>Dementia in Australia</w:t>
        </w:r>
      </w:hyperlink>
      <w:r>
        <w:t>, AIHW, Canberra, 2012, p. 11.</w:t>
      </w:r>
    </w:p>
  </w:endnote>
  <w:endnote w:id="3">
    <w:p w:rsidR="00AE3B8A" w:rsidRDefault="00AE3B8A" w:rsidP="00CA4FF1">
      <w:pPr>
        <w:pStyle w:val="EndnoteText"/>
      </w:pPr>
      <w:r>
        <w:rPr>
          <w:rStyle w:val="EndnoteReference"/>
        </w:rPr>
        <w:endnoteRef/>
      </w:r>
      <w:r>
        <w:t xml:space="preserve"> K Carnell and R Paterson, </w:t>
      </w:r>
      <w:hyperlink r:id="rId3" w:history="1">
        <w:r w:rsidRPr="00E82A82">
          <w:rPr>
            <w:rStyle w:val="Hyperlink"/>
            <w:i/>
          </w:rPr>
          <w:t>Review of national aged care quality regulatory processes</w:t>
        </w:r>
      </w:hyperlink>
      <w:r>
        <w:rPr>
          <w:i/>
        </w:rPr>
        <w:t xml:space="preserve">, </w:t>
      </w:r>
      <w:r>
        <w:t>October 2017, pp. 114-115.</w:t>
      </w:r>
      <w:r>
        <w:rPr>
          <w:i/>
        </w:rPr>
        <w:t xml:space="preserve"> </w:t>
      </w:r>
    </w:p>
  </w:endnote>
  <w:endnote w:id="4">
    <w:p w:rsidR="00AE3B8A" w:rsidRDefault="00AE3B8A" w:rsidP="00CA4FF1">
      <w:pPr>
        <w:pStyle w:val="EndnoteText"/>
      </w:pPr>
      <w:r>
        <w:rPr>
          <w:rStyle w:val="EndnoteReference"/>
        </w:rPr>
        <w:endnoteRef/>
      </w:r>
      <w:r>
        <w:t xml:space="preserve"> H </w:t>
      </w:r>
      <w:proofErr w:type="spellStart"/>
      <w:r>
        <w:t>Brodaty</w:t>
      </w:r>
      <w:proofErr w:type="spellEnd"/>
      <w:r>
        <w:t>, B Draper and L Low, ‘</w:t>
      </w:r>
      <w:hyperlink r:id="rId4" w:history="1">
        <w:r w:rsidRPr="001F6440">
          <w:rPr>
            <w:rStyle w:val="Hyperlink"/>
          </w:rPr>
          <w:t>Behavioural and psychological symptoms of dementia: a seven-tiered model of service delivery’</w:t>
        </w:r>
      </w:hyperlink>
      <w:r>
        <w:t xml:space="preserve">, </w:t>
      </w:r>
      <w:r>
        <w:rPr>
          <w:i/>
        </w:rPr>
        <w:t xml:space="preserve">Medical Journal of Australia, </w:t>
      </w:r>
      <w:r>
        <w:t xml:space="preserve">178(5), March 2003, </w:t>
      </w:r>
      <w:r>
        <w:rPr>
          <w:rFonts w:ascii="Calibri" w:hAnsi="Calibri"/>
        </w:rPr>
        <w:t>p. 233.</w:t>
      </w:r>
    </w:p>
  </w:endnote>
  <w:endnote w:id="5">
    <w:p w:rsidR="00AE3B8A" w:rsidRDefault="00AE3B8A" w:rsidP="00CA4FF1">
      <w:pPr>
        <w:pStyle w:val="EndnoteText"/>
      </w:pPr>
      <w:r>
        <w:rPr>
          <w:rStyle w:val="EndnoteReference"/>
        </w:rPr>
        <w:endnoteRef/>
      </w:r>
      <w:r>
        <w:t xml:space="preserve"> Guideline Adaptation Committee, </w:t>
      </w:r>
      <w:hyperlink r:id="rId5" w:history="1">
        <w:r>
          <w:rPr>
            <w:rStyle w:val="Hyperlink"/>
            <w:i/>
          </w:rPr>
          <w:t>Clinical p</w:t>
        </w:r>
        <w:r w:rsidRPr="003C0ED5">
          <w:rPr>
            <w:rStyle w:val="Hyperlink"/>
            <w:i/>
          </w:rPr>
          <w:t>ractice</w:t>
        </w:r>
        <w:r>
          <w:rPr>
            <w:rStyle w:val="Hyperlink"/>
            <w:i/>
          </w:rPr>
          <w:t xml:space="preserve"> g</w:t>
        </w:r>
        <w:r w:rsidRPr="003C0ED5">
          <w:rPr>
            <w:rStyle w:val="Hyperlink"/>
            <w:i/>
          </w:rPr>
          <w:t>uidel</w:t>
        </w:r>
        <w:r>
          <w:rPr>
            <w:rStyle w:val="Hyperlink"/>
            <w:i/>
          </w:rPr>
          <w:t>ines and p</w:t>
        </w:r>
        <w:r w:rsidRPr="003C0ED5">
          <w:rPr>
            <w:rStyle w:val="Hyperlink"/>
            <w:i/>
          </w:rPr>
          <w:t>rinc</w:t>
        </w:r>
        <w:r>
          <w:rPr>
            <w:rStyle w:val="Hyperlink"/>
            <w:i/>
          </w:rPr>
          <w:t>iples of care for people with d</w:t>
        </w:r>
        <w:r w:rsidRPr="003C0ED5">
          <w:rPr>
            <w:rStyle w:val="Hyperlink"/>
            <w:i/>
          </w:rPr>
          <w:t>ementi</w:t>
        </w:r>
        <w:r>
          <w:rPr>
            <w:rStyle w:val="Hyperlink"/>
            <w:i/>
          </w:rPr>
          <w:t>a: Recommendations</w:t>
        </w:r>
      </w:hyperlink>
      <w:r>
        <w:t>, NHRMC Cognitive Decline Partnership Centre, Sydney, 2016.</w:t>
      </w:r>
    </w:p>
  </w:endnote>
  <w:endnote w:id="6">
    <w:p w:rsidR="00AE3B8A" w:rsidRPr="00AE553C" w:rsidRDefault="00AE3B8A" w:rsidP="00CA4FF1">
      <w:pPr>
        <w:pStyle w:val="EndnoteText"/>
      </w:pPr>
      <w:r w:rsidRPr="00AE553C">
        <w:rPr>
          <w:rStyle w:val="EndnoteReference"/>
        </w:rPr>
        <w:endnoteRef/>
      </w:r>
      <w:r w:rsidRPr="00AE553C">
        <w:t xml:space="preserve"> </w:t>
      </w:r>
      <w:proofErr w:type="gramStart"/>
      <w:r w:rsidRPr="00AE553C">
        <w:t xml:space="preserve">See </w:t>
      </w:r>
      <w:r>
        <w:t xml:space="preserve">S </w:t>
      </w:r>
      <w:r w:rsidRPr="00AE553C">
        <w:t>Macfarlane and</w:t>
      </w:r>
      <w:r>
        <w:t xml:space="preserve"> D</w:t>
      </w:r>
      <w:r w:rsidRPr="00AE553C">
        <w:t xml:space="preserve"> O’Connor</w:t>
      </w:r>
      <w:r>
        <w:t>,</w:t>
      </w:r>
      <w:r w:rsidRPr="00AE553C">
        <w:t xml:space="preserve"> </w:t>
      </w:r>
      <w:r>
        <w:t>‘</w:t>
      </w:r>
      <w:hyperlink r:id="rId6" w:history="1">
        <w:r w:rsidRPr="001F6440">
          <w:rPr>
            <w:rStyle w:val="Hyperlink"/>
          </w:rPr>
          <w:t>Managing behavioural and psychological symptoms in dementia</w:t>
        </w:r>
      </w:hyperlink>
      <w:r>
        <w:t>’,</w:t>
      </w:r>
      <w:r w:rsidRPr="00AE553C">
        <w:t xml:space="preserve"> </w:t>
      </w:r>
      <w:r w:rsidRPr="00AE553C">
        <w:rPr>
          <w:i/>
        </w:rPr>
        <w:t>Australian Prescriber</w:t>
      </w:r>
      <w:r>
        <w:t xml:space="preserve">, </w:t>
      </w:r>
      <w:r w:rsidRPr="00AE553C">
        <w:t>39</w:t>
      </w:r>
      <w:r>
        <w:t xml:space="preserve">(4), August 2016, pp. </w:t>
      </w:r>
      <w:r w:rsidRPr="00AE553C">
        <w:t>123-125</w:t>
      </w:r>
      <w:r>
        <w:t>.</w:t>
      </w:r>
      <w:proofErr w:type="gramEnd"/>
      <w:r>
        <w:t xml:space="preserve"> </w:t>
      </w:r>
    </w:p>
  </w:endnote>
  <w:endnote w:id="7">
    <w:p w:rsidR="00AE3B8A" w:rsidRDefault="00AE3B8A" w:rsidP="00CA4FF1">
      <w:pPr>
        <w:pStyle w:val="EndnoteText"/>
      </w:pPr>
      <w:r>
        <w:rPr>
          <w:rStyle w:val="EndnoteReference"/>
        </w:rPr>
        <w:endnoteRef/>
      </w:r>
      <w:r>
        <w:t xml:space="preserve"> Some consumers use the term ‘care partner’ instead of ‘carer’. In Australia, the term carer is used, as outlined </w:t>
      </w:r>
      <w:r w:rsidRPr="003E01F6">
        <w:t xml:space="preserve">in the </w:t>
      </w:r>
      <w:r w:rsidRPr="00A47944">
        <w:rPr>
          <w:i/>
          <w:iCs/>
        </w:rPr>
        <w:t>Carer Recognition Act 2010.</w:t>
      </w:r>
    </w:p>
  </w:endnote>
  <w:endnote w:id="8">
    <w:p w:rsidR="00AE3B8A" w:rsidRDefault="00AE3B8A" w:rsidP="00CA4FF1">
      <w:pPr>
        <w:pStyle w:val="EndnoteText"/>
      </w:pPr>
      <w:r>
        <w:rPr>
          <w:rStyle w:val="EndnoteReference"/>
        </w:rPr>
        <w:endnoteRef/>
      </w:r>
      <w:r>
        <w:t xml:space="preserve"> The </w:t>
      </w:r>
      <w:r w:rsidRPr="00A610DD">
        <w:t>National Dementia Support Program</w:t>
      </w:r>
      <w:r>
        <w:t xml:space="preserve"> includes </w:t>
      </w:r>
      <w:r w:rsidRPr="00CE5AB9">
        <w:t xml:space="preserve">the National Dementia Helpline and Advisory Service, </w:t>
      </w:r>
      <w:r>
        <w:t xml:space="preserve">as well as </w:t>
      </w:r>
      <w:r w:rsidRPr="00CE5AB9">
        <w:t xml:space="preserve">provision of information and training, early intervention </w:t>
      </w:r>
      <w:r>
        <w:t xml:space="preserve">and </w:t>
      </w:r>
      <w:r w:rsidRPr="00CE5AB9">
        <w:t>education courses, individual and group counselling, and carer support groups</w:t>
      </w:r>
      <w:r>
        <w:t>.</w:t>
      </w:r>
    </w:p>
  </w:endnote>
  <w:endnote w:id="9">
    <w:p w:rsidR="00AE3B8A" w:rsidRPr="005C371E" w:rsidRDefault="00AE3B8A" w:rsidP="00CA4FF1">
      <w:pPr>
        <w:pStyle w:val="EndnoteText"/>
      </w:pPr>
      <w:r w:rsidRPr="005C371E">
        <w:rPr>
          <w:rStyle w:val="EndnoteReference"/>
        </w:rPr>
        <w:endnoteRef/>
      </w:r>
      <w:r w:rsidRPr="005C371E">
        <w:t xml:space="preserve"> </w:t>
      </w:r>
      <w:proofErr w:type="gramStart"/>
      <w:r>
        <w:t>Department of Health, ‘</w:t>
      </w:r>
      <w:hyperlink r:id="rId7" w:history="1">
        <w:r w:rsidRPr="00EC251A">
          <w:rPr>
            <w:rStyle w:val="Hyperlink"/>
          </w:rPr>
          <w:t>Redesign of dementia consumer supports</w:t>
        </w:r>
      </w:hyperlink>
      <w:r>
        <w:t>’, Consultation Hub website, accessed 19 October 2017.</w:t>
      </w:r>
      <w:proofErr w:type="gramEnd"/>
    </w:p>
  </w:endnote>
  <w:endnote w:id="10">
    <w:p w:rsidR="00AE3B8A" w:rsidRPr="003073AC" w:rsidRDefault="00AE3B8A" w:rsidP="00CA4FF1">
      <w:pPr>
        <w:pStyle w:val="EndnoteText"/>
      </w:pPr>
      <w:r w:rsidRPr="009039E9">
        <w:rPr>
          <w:rStyle w:val="EndnoteReference"/>
        </w:rPr>
        <w:endnoteRef/>
      </w:r>
      <w:r w:rsidRPr="009039E9">
        <w:t xml:space="preserve"> </w:t>
      </w:r>
      <w:r>
        <w:t>Department of Health</w:t>
      </w:r>
      <w:r w:rsidRPr="009039E9">
        <w:t xml:space="preserve"> interviews with stat</w:t>
      </w:r>
      <w:r>
        <w:t>e and territory officials, June-</w:t>
      </w:r>
      <w:r w:rsidRPr="009039E9">
        <w:t>October 2017.</w:t>
      </w:r>
      <w:r>
        <w:t xml:space="preserve"> For an overview of historical arrangements dating back to the late 1980s see NSW Department of Health, </w:t>
      </w:r>
      <w:hyperlink r:id="rId8" w:history="1">
        <w:r w:rsidRPr="00EC251A">
          <w:rPr>
            <w:rStyle w:val="Hyperlink"/>
            <w:i/>
          </w:rPr>
          <w:t>The management and accommodation of older people with severely and persistently challenging behaviours</w:t>
        </w:r>
      </w:hyperlink>
      <w:r>
        <w:t>, summary report, NSW Health, Sydney, 2006.</w:t>
      </w:r>
    </w:p>
  </w:endnote>
  <w:endnote w:id="11">
    <w:p w:rsidR="00AE3B8A" w:rsidRDefault="00AE3B8A" w:rsidP="00CA4FF1">
      <w:pPr>
        <w:pStyle w:val="EndnoteText"/>
      </w:pPr>
      <w:r w:rsidRPr="009039E9">
        <w:rPr>
          <w:rStyle w:val="EndnoteReference"/>
        </w:rPr>
        <w:endnoteRef/>
      </w:r>
      <w:r>
        <w:t xml:space="preserve"> Department of Health </w:t>
      </w:r>
      <w:r w:rsidRPr="009039E9">
        <w:t>interviews with state and territory officials, June-October 2017</w:t>
      </w:r>
      <w:r>
        <w:t>,</w:t>
      </w:r>
      <w:r w:rsidRPr="009039E9">
        <w:t xml:space="preserve"> and review of publicly available information, reports and program evaluations on relevant initiatives.</w:t>
      </w:r>
    </w:p>
  </w:endnote>
  <w:endnote w:id="12">
    <w:p w:rsidR="00AE3B8A" w:rsidRPr="00CC4910" w:rsidRDefault="00AE3B8A" w:rsidP="00CA4FF1">
      <w:pPr>
        <w:pStyle w:val="EndnoteText"/>
      </w:pPr>
      <w:r w:rsidRPr="00CC4910">
        <w:rPr>
          <w:rStyle w:val="EndnoteReference"/>
        </w:rPr>
        <w:endnoteRef/>
      </w:r>
      <w:r w:rsidRPr="00CC4910">
        <w:t xml:space="preserve"> </w:t>
      </w:r>
      <w:r>
        <w:t xml:space="preserve">See </w:t>
      </w:r>
      <w:r w:rsidRPr="00CC4910">
        <w:t>Transitional Behavioural</w:t>
      </w:r>
      <w:r>
        <w:t xml:space="preserve"> Assessment and</w:t>
      </w:r>
      <w:r w:rsidRPr="00CC4910">
        <w:t xml:space="preserve"> Intervention Service (T-</w:t>
      </w:r>
      <w:r>
        <w:t>BASIS) units in New South Wales and</w:t>
      </w:r>
      <w:r w:rsidRPr="00CC4910">
        <w:t xml:space="preserve"> the Roy Fagan Centre in Tasmania.</w:t>
      </w:r>
    </w:p>
  </w:endnote>
  <w:endnote w:id="13">
    <w:p w:rsidR="00AE3B8A" w:rsidRPr="0059227A" w:rsidRDefault="00AE3B8A" w:rsidP="00CA4FF1">
      <w:pPr>
        <w:pStyle w:val="EndnoteText"/>
      </w:pPr>
      <w:r w:rsidRPr="0059227A">
        <w:rPr>
          <w:rStyle w:val="EndnoteReference"/>
        </w:rPr>
        <w:endnoteRef/>
      </w:r>
      <w:r w:rsidRPr="0059227A">
        <w:t xml:space="preserve"> For example, see NSW Health</w:t>
      </w:r>
      <w:r>
        <w:t>,</w:t>
      </w:r>
      <w:r w:rsidRPr="0059227A">
        <w:t xml:space="preserve"> </w:t>
      </w:r>
      <w:r>
        <w:t>‘</w:t>
      </w:r>
      <w:hyperlink r:id="rId9" w:history="1">
        <w:r w:rsidRPr="003C0ED5">
          <w:rPr>
            <w:rStyle w:val="Hyperlink"/>
          </w:rPr>
          <w:t>Pathways to Community Living Initiative</w:t>
        </w:r>
      </w:hyperlink>
      <w:r>
        <w:t>’, NSW Health website, last updated 6 November 2017.</w:t>
      </w:r>
    </w:p>
  </w:endnote>
  <w:endnote w:id="14">
    <w:p w:rsidR="00AE3B8A" w:rsidRPr="0059227A" w:rsidRDefault="00AE3B8A" w:rsidP="00CA4FF1">
      <w:pPr>
        <w:pStyle w:val="EndnoteText"/>
      </w:pPr>
      <w:r w:rsidRPr="0059227A">
        <w:rPr>
          <w:rStyle w:val="EndnoteReference"/>
        </w:rPr>
        <w:endnoteRef/>
      </w:r>
      <w:r w:rsidRPr="0059227A">
        <w:t xml:space="preserve"> For example, see </w:t>
      </w:r>
      <w:r w:rsidRPr="00B86311">
        <w:t xml:space="preserve">SA Health, </w:t>
      </w:r>
      <w:hyperlink r:id="rId10" w:history="1">
        <w:r>
          <w:rPr>
            <w:rStyle w:val="Hyperlink"/>
            <w:i/>
          </w:rPr>
          <w:t xml:space="preserve">The </w:t>
        </w:r>
        <w:proofErr w:type="spellStart"/>
        <w:r>
          <w:rPr>
            <w:rStyle w:val="Hyperlink"/>
            <w:i/>
          </w:rPr>
          <w:t>Oakden</w:t>
        </w:r>
        <w:proofErr w:type="spellEnd"/>
        <w:r>
          <w:rPr>
            <w:rStyle w:val="Hyperlink"/>
            <w:i/>
          </w:rPr>
          <w:t xml:space="preserve"> response models of care p</w:t>
        </w:r>
        <w:r w:rsidRPr="003C0ED5">
          <w:rPr>
            <w:rStyle w:val="Hyperlink"/>
            <w:i/>
          </w:rPr>
          <w:t xml:space="preserve">roject: </w:t>
        </w:r>
        <w:r w:rsidRPr="000658AC">
          <w:rPr>
            <w:rStyle w:val="Hyperlink"/>
            <w:i/>
          </w:rPr>
          <w:t>Services for behavioural &amp; psychological symptoms of dementia; Residential services for older people with severe &amp; enduring mental illness</w:t>
        </w:r>
      </w:hyperlink>
      <w:r w:rsidRPr="00B86311">
        <w:t>, cons</w:t>
      </w:r>
      <w:r>
        <w:t>ultation document, SA Health, Adelaide, October 2017,</w:t>
      </w:r>
      <w:r w:rsidRPr="0059227A">
        <w:t xml:space="preserve"> p.</w:t>
      </w:r>
      <w:r>
        <w:t xml:space="preserve"> </w:t>
      </w:r>
      <w:r w:rsidRPr="0059227A">
        <w:t>2</w:t>
      </w:r>
      <w:r>
        <w:t>.</w:t>
      </w:r>
    </w:p>
  </w:endnote>
  <w:endnote w:id="15">
    <w:p w:rsidR="00AE3B8A" w:rsidRDefault="00AE3B8A">
      <w:pPr>
        <w:pStyle w:val="EndnoteText"/>
      </w:pPr>
      <w:r>
        <w:rPr>
          <w:rStyle w:val="EndnoteReference"/>
        </w:rPr>
        <w:endnoteRef/>
      </w:r>
      <w:r>
        <w:t xml:space="preserve"> </w:t>
      </w:r>
      <w:proofErr w:type="gramStart"/>
      <w:r w:rsidRPr="00973EF0">
        <w:rPr>
          <w:iCs/>
        </w:rPr>
        <w:t>Based on N</w:t>
      </w:r>
      <w:r>
        <w:rPr>
          <w:iCs/>
        </w:rPr>
        <w:t>ational Disability Insurance Agency</w:t>
      </w:r>
      <w:r w:rsidRPr="00973EF0">
        <w:rPr>
          <w:iCs/>
        </w:rPr>
        <w:t xml:space="preserve"> data as at 15 September 2017</w:t>
      </w:r>
      <w:r w:rsidRPr="00973EF0">
        <w:t>.</w:t>
      </w:r>
      <w:proofErr w:type="gramEnd"/>
    </w:p>
  </w:endnote>
  <w:endnote w:id="16">
    <w:p w:rsidR="00AE3B8A" w:rsidRPr="006E300A" w:rsidRDefault="00AE3B8A" w:rsidP="00CA4FF1">
      <w:pPr>
        <w:pStyle w:val="EndnoteText"/>
      </w:pPr>
      <w:r w:rsidRPr="000A2825">
        <w:rPr>
          <w:rStyle w:val="EndnoteReference"/>
        </w:rPr>
        <w:endnoteRef/>
      </w:r>
      <w:r w:rsidRPr="000A2825">
        <w:t xml:space="preserve"> </w:t>
      </w:r>
      <w:proofErr w:type="gramStart"/>
      <w:r w:rsidRPr="000A2825">
        <w:t xml:space="preserve">AIHW, </w:t>
      </w:r>
      <w:hyperlink r:id="rId11" w:history="1">
        <w:r w:rsidRPr="003C0ED5">
          <w:rPr>
            <w:rStyle w:val="Hyperlink"/>
          </w:rPr>
          <w:t>GEN aged care data</w:t>
        </w:r>
        <w:r w:rsidRPr="000A2825">
          <w:rPr>
            <w:rStyle w:val="Hyperlink"/>
          </w:rPr>
          <w:t xml:space="preserve"> website</w:t>
        </w:r>
      </w:hyperlink>
      <w:r w:rsidRPr="000A2825">
        <w:t>, 2017.</w:t>
      </w:r>
      <w:proofErr w:type="gramEnd"/>
    </w:p>
  </w:endnote>
  <w:endnote w:id="17">
    <w:p w:rsidR="00AE3B8A" w:rsidRPr="008E4B6E" w:rsidRDefault="00AE3B8A" w:rsidP="00CA4FF1">
      <w:pPr>
        <w:pStyle w:val="EndnoteText"/>
      </w:pPr>
      <w:r w:rsidRPr="008E4B6E">
        <w:rPr>
          <w:rStyle w:val="EndnoteReference"/>
        </w:rPr>
        <w:endnoteRef/>
      </w:r>
      <w:r w:rsidRPr="008E4B6E">
        <w:t xml:space="preserve"> Dementia Support Australia</w:t>
      </w:r>
      <w:r>
        <w:t xml:space="preserve">, </w:t>
      </w:r>
      <w:r>
        <w:rPr>
          <w:i/>
        </w:rPr>
        <w:t>Additional data r</w:t>
      </w:r>
      <w:r w:rsidRPr="008E4B6E">
        <w:rPr>
          <w:i/>
        </w:rPr>
        <w:t>eport</w:t>
      </w:r>
      <w:r>
        <w:t xml:space="preserve"> for</w:t>
      </w:r>
      <w:r w:rsidRPr="008E4B6E">
        <w:t xml:space="preserve"> the Department of Health</w:t>
      </w:r>
      <w:r>
        <w:t>, 2017. In the period to 30 June 2017, around 35 per cent of Dementia Behaviour Management Advisory Services and 65 per cent of Severe Behaviour Response Teams consultations involved unidentified or existing pain as a contributing factor for behaviours.</w:t>
      </w:r>
    </w:p>
  </w:endnote>
  <w:endnote w:id="18">
    <w:p w:rsidR="00AE3B8A" w:rsidRDefault="00AE3B8A" w:rsidP="00CA4FF1">
      <w:pPr>
        <w:pStyle w:val="EndnoteText"/>
      </w:pPr>
      <w:r>
        <w:rPr>
          <w:rStyle w:val="EndnoteReference"/>
        </w:rPr>
        <w:endnoteRef/>
      </w:r>
      <w:r>
        <w:t xml:space="preserve"> </w:t>
      </w:r>
      <w:r w:rsidRPr="00372485">
        <w:t xml:space="preserve">See </w:t>
      </w:r>
      <w:proofErr w:type="gramStart"/>
      <w:r>
        <w:t>A</w:t>
      </w:r>
      <w:proofErr w:type="gramEnd"/>
      <w:r>
        <w:t xml:space="preserve"> Groves, D Thomson, D McKellar and N Procter,</w:t>
      </w:r>
      <w:r w:rsidRPr="00372485">
        <w:t xml:space="preserve"> </w:t>
      </w:r>
      <w:hyperlink r:id="rId12" w:history="1">
        <w:r w:rsidRPr="00EC251A">
          <w:rPr>
            <w:rStyle w:val="Hyperlink"/>
            <w:i/>
          </w:rPr>
          <w:t>T</w:t>
        </w:r>
        <w:r>
          <w:rPr>
            <w:rStyle w:val="Hyperlink"/>
            <w:i/>
          </w:rPr>
          <w:t xml:space="preserve">he </w:t>
        </w:r>
        <w:proofErr w:type="spellStart"/>
        <w:r>
          <w:rPr>
            <w:rStyle w:val="Hyperlink"/>
            <w:i/>
          </w:rPr>
          <w:t>Oakden</w:t>
        </w:r>
        <w:proofErr w:type="spellEnd"/>
        <w:r>
          <w:rPr>
            <w:rStyle w:val="Hyperlink"/>
            <w:i/>
          </w:rPr>
          <w:t xml:space="preserve"> r</w:t>
        </w:r>
        <w:r w:rsidRPr="00EC251A">
          <w:rPr>
            <w:rStyle w:val="Hyperlink"/>
            <w:i/>
          </w:rPr>
          <w:t>eport</w:t>
        </w:r>
      </w:hyperlink>
      <w:r>
        <w:rPr>
          <w:i/>
        </w:rPr>
        <w:t xml:space="preserve">, </w:t>
      </w:r>
      <w:r>
        <w:t>SA Health, Adelaide, April 2017.</w:t>
      </w:r>
    </w:p>
  </w:endnote>
  <w:endnote w:id="19">
    <w:p w:rsidR="00AE3B8A" w:rsidRPr="00372485" w:rsidRDefault="00AE3B8A" w:rsidP="00CA4FF1">
      <w:pPr>
        <w:pStyle w:val="EndnoteText"/>
      </w:pPr>
      <w:r w:rsidRPr="00372485">
        <w:rPr>
          <w:rStyle w:val="EndnoteReference"/>
        </w:rPr>
        <w:endnoteRef/>
      </w:r>
      <w:r w:rsidRPr="00372485">
        <w:t xml:space="preserve"> See </w:t>
      </w:r>
      <w:r>
        <w:t xml:space="preserve">K Carnell and R Paterson, </w:t>
      </w:r>
      <w:hyperlink r:id="rId13" w:history="1">
        <w:r w:rsidRPr="00E82A82">
          <w:rPr>
            <w:rStyle w:val="Hyperlink"/>
            <w:i/>
          </w:rPr>
          <w:t>Review of national aged care quality regulatory processes</w:t>
        </w:r>
      </w:hyperlink>
      <w:r>
        <w:rPr>
          <w:i/>
        </w:rPr>
        <w:t xml:space="preserve">, </w:t>
      </w:r>
      <w:r>
        <w:t>October 2017.</w:t>
      </w:r>
      <w:r>
        <w:rPr>
          <w:i/>
        </w:rPr>
        <w:t xml:space="preserve"> </w:t>
      </w:r>
    </w:p>
  </w:endnote>
  <w:endnote w:id="20">
    <w:p w:rsidR="00AE3B8A" w:rsidRPr="00372485" w:rsidRDefault="00AE3B8A" w:rsidP="00CA4FF1">
      <w:pPr>
        <w:pStyle w:val="EndnoteText"/>
      </w:pPr>
      <w:r w:rsidRPr="00372485">
        <w:rPr>
          <w:rStyle w:val="EndnoteReference"/>
        </w:rPr>
        <w:endnoteRef/>
      </w:r>
      <w:r w:rsidRPr="00372485">
        <w:t xml:space="preserve"> </w:t>
      </w:r>
      <w:r>
        <w:t xml:space="preserve">For instance, state government support to </w:t>
      </w:r>
      <w:r w:rsidRPr="00372485">
        <w:t xml:space="preserve">residential aged care </w:t>
      </w:r>
      <w:r>
        <w:t xml:space="preserve">providers to operate specialist units under </w:t>
      </w:r>
      <w:r w:rsidRPr="00372485">
        <w:t xml:space="preserve">the </w:t>
      </w:r>
      <w:r w:rsidRPr="003C0ED5">
        <w:t>NSW Mental Health Aged Care Partnership Initiative</w:t>
      </w:r>
      <w:r>
        <w:t xml:space="preserve"> aims to accommodate people who have spent </w:t>
      </w:r>
      <w:r w:rsidRPr="00372485">
        <w:t>365 days or more in a state mental health unit</w:t>
      </w:r>
      <w:r>
        <w:t xml:space="preserve"> immediately prior to entry</w:t>
      </w:r>
      <w:r w:rsidRPr="00372485">
        <w:t>.</w:t>
      </w:r>
    </w:p>
  </w:endnote>
  <w:endnote w:id="21">
    <w:p w:rsidR="008B4376" w:rsidRDefault="008B4376" w:rsidP="008B4376">
      <w:pPr>
        <w:pStyle w:val="EndnoteText"/>
      </w:pPr>
      <w:r>
        <w:rPr>
          <w:rStyle w:val="EndnoteReference"/>
        </w:rPr>
        <w:endnoteRef/>
      </w:r>
      <w:r>
        <w:t xml:space="preserve"> </w:t>
      </w:r>
      <w:r>
        <w:rPr>
          <w:rFonts w:ascii="Calibri" w:hAnsi="Calibri"/>
        </w:rPr>
        <w:t xml:space="preserve">The </w:t>
      </w:r>
      <w:hyperlink r:id="rId14" w:history="1">
        <w:r w:rsidRPr="003C0ED5">
          <w:rPr>
            <w:rStyle w:val="Hyperlink"/>
          </w:rPr>
          <w:t>National Mental Health Service Planning Framework</w:t>
        </w:r>
      </w:hyperlink>
      <w:r>
        <w:rPr>
          <w:rStyle w:val="Hyperlink"/>
        </w:rPr>
        <w:t xml:space="preserve"> </w:t>
      </w:r>
      <w:r>
        <w:rPr>
          <w:rFonts w:ascii="Calibri" w:hAnsi="Calibri"/>
        </w:rPr>
        <w:t>is a planning tool used by the Australian Government and state and territory governments that allows estimates of need and expected demand for mental health care (including BPSD) and the level and mix of services required for a given population.</w:t>
      </w:r>
    </w:p>
  </w:endnote>
  <w:endnote w:id="22">
    <w:p w:rsidR="00AE3B8A" w:rsidRDefault="00AE3B8A" w:rsidP="00CA4FF1">
      <w:pPr>
        <w:pStyle w:val="EndnoteText"/>
      </w:pPr>
      <w:r>
        <w:rPr>
          <w:rStyle w:val="EndnoteReference"/>
        </w:rPr>
        <w:endnoteRef/>
      </w:r>
      <w:r>
        <w:t xml:space="preserve"> </w:t>
      </w:r>
      <w:proofErr w:type="spellStart"/>
      <w:r>
        <w:t>Brodaty</w:t>
      </w:r>
      <w:proofErr w:type="spellEnd"/>
      <w:r>
        <w:t xml:space="preserve"> et al., op. cit., </w:t>
      </w:r>
      <w:r>
        <w:rPr>
          <w:rFonts w:ascii="Calibri" w:hAnsi="Calibri"/>
        </w:rPr>
        <w:t>p. 233.</w:t>
      </w:r>
    </w:p>
  </w:endnote>
  <w:endnote w:id="23">
    <w:p w:rsidR="00AE3B8A" w:rsidRDefault="00AE3B8A" w:rsidP="00CA4FF1">
      <w:pPr>
        <w:pStyle w:val="EndnoteText"/>
      </w:pPr>
      <w:r>
        <w:rPr>
          <w:rStyle w:val="EndnoteReference"/>
        </w:rPr>
        <w:endnoteRef/>
      </w:r>
      <w:r w:rsidRPr="00A610DD">
        <w:t xml:space="preserve"> </w:t>
      </w:r>
      <w:r>
        <w:rPr>
          <w:rFonts w:ascii="Calibri" w:hAnsi="Calibri"/>
        </w:rPr>
        <w:t xml:space="preserve">SA Health, </w:t>
      </w:r>
      <w:r>
        <w:rPr>
          <w:rFonts w:ascii="Calibri" w:hAnsi="Calibri"/>
          <w:i/>
          <w:iCs/>
        </w:rPr>
        <w:t xml:space="preserve">The </w:t>
      </w:r>
      <w:proofErr w:type="spellStart"/>
      <w:r>
        <w:rPr>
          <w:rFonts w:ascii="Calibri" w:hAnsi="Calibri"/>
          <w:i/>
          <w:iCs/>
        </w:rPr>
        <w:t>Oakden</w:t>
      </w:r>
      <w:proofErr w:type="spellEnd"/>
      <w:r>
        <w:rPr>
          <w:rFonts w:ascii="Calibri" w:hAnsi="Calibri"/>
          <w:i/>
          <w:iCs/>
        </w:rPr>
        <w:t xml:space="preserve"> response models of care project, </w:t>
      </w:r>
      <w:r>
        <w:rPr>
          <w:rFonts w:ascii="Calibri" w:hAnsi="Calibri"/>
        </w:rPr>
        <w:t>op. cit., p. 33.</w:t>
      </w:r>
    </w:p>
  </w:endnote>
  <w:endnote w:id="24">
    <w:p w:rsidR="00AE3B8A" w:rsidRPr="000F4EE2" w:rsidRDefault="00AE3B8A" w:rsidP="00CA4FF1">
      <w:pPr>
        <w:pStyle w:val="EndnoteText"/>
        <w:rPr>
          <w:rFonts w:ascii="Calibri" w:hAnsi="Calibri"/>
        </w:rPr>
      </w:pPr>
      <w:r>
        <w:rPr>
          <w:rStyle w:val="EndnoteReference"/>
        </w:rPr>
        <w:endnoteRef/>
      </w:r>
      <w:r w:rsidRPr="00A610DD">
        <w:t xml:space="preserve"> </w:t>
      </w:r>
      <w:r>
        <w:rPr>
          <w:rFonts w:ascii="Calibri" w:hAnsi="Calibri"/>
        </w:rPr>
        <w:t xml:space="preserve">Department of Health estimates using data in AIHW, </w:t>
      </w:r>
      <w:r>
        <w:rPr>
          <w:rFonts w:ascii="Calibri" w:hAnsi="Calibri"/>
          <w:i/>
          <w:iCs/>
        </w:rPr>
        <w:t>Dementia in Australia</w:t>
      </w:r>
      <w:r>
        <w:rPr>
          <w:rFonts w:ascii="Calibri" w:hAnsi="Calibri"/>
          <w:iCs/>
        </w:rPr>
        <w:t>, op. cit.</w:t>
      </w:r>
    </w:p>
  </w:endnote>
  <w:endnote w:id="25">
    <w:p w:rsidR="00AE3B8A" w:rsidRPr="00730210" w:rsidRDefault="00AE3B8A" w:rsidP="00CA4FF1">
      <w:pPr>
        <w:pStyle w:val="EndnoteText"/>
      </w:pPr>
      <w:r w:rsidRPr="00730210">
        <w:rPr>
          <w:rStyle w:val="EndnoteReference"/>
        </w:rPr>
        <w:endnoteRef/>
      </w:r>
      <w:r>
        <w:t xml:space="preserve"> </w:t>
      </w:r>
      <w:proofErr w:type="spellStart"/>
      <w:r>
        <w:t>Brodaty</w:t>
      </w:r>
      <w:proofErr w:type="spellEnd"/>
      <w:r>
        <w:t xml:space="preserve"> et al., op. cit. </w:t>
      </w:r>
      <w:r w:rsidRPr="00730210">
        <w:t>pp.233-234</w:t>
      </w:r>
      <w:r>
        <w:t>.</w:t>
      </w:r>
    </w:p>
  </w:endnote>
  <w:endnote w:id="26">
    <w:p w:rsidR="00AE3B8A" w:rsidRPr="00F965D7" w:rsidRDefault="00AE3B8A" w:rsidP="00CA4FF1">
      <w:pPr>
        <w:pStyle w:val="EndnoteText"/>
      </w:pPr>
      <w:r w:rsidRPr="00F965D7">
        <w:rPr>
          <w:rStyle w:val="EndnoteReference"/>
        </w:rPr>
        <w:endnoteRef/>
      </w:r>
      <w:r w:rsidRPr="00F965D7">
        <w:t xml:space="preserve"> For example, </w:t>
      </w:r>
      <w:r>
        <w:t xml:space="preserve">SA Health is considering establishing a Rapid Access Service to, among other </w:t>
      </w:r>
      <w:proofErr w:type="gramStart"/>
      <w:r>
        <w:t>tasks,</w:t>
      </w:r>
      <w:proofErr w:type="gramEnd"/>
      <w:r>
        <w:t xml:space="preserve"> act as the assessment service for state-funded specialist beds for people with very severe BPSD and extreme BPSD. SA Health, </w:t>
      </w:r>
      <w:r>
        <w:rPr>
          <w:i/>
        </w:rPr>
        <w:t xml:space="preserve">The </w:t>
      </w:r>
      <w:proofErr w:type="spellStart"/>
      <w:r>
        <w:rPr>
          <w:i/>
        </w:rPr>
        <w:t>Oakden</w:t>
      </w:r>
      <w:proofErr w:type="spellEnd"/>
      <w:r>
        <w:rPr>
          <w:i/>
        </w:rPr>
        <w:t xml:space="preserve"> response models of care p</w:t>
      </w:r>
      <w:r w:rsidRPr="00F965D7">
        <w:rPr>
          <w:i/>
        </w:rPr>
        <w:t>roject</w:t>
      </w:r>
      <w:r>
        <w:rPr>
          <w:i/>
        </w:rPr>
        <w:t xml:space="preserve">, </w:t>
      </w:r>
      <w:r>
        <w:t xml:space="preserve">op. cit., </w:t>
      </w:r>
      <w:r w:rsidRPr="00F965D7">
        <w:t>pp.</w:t>
      </w:r>
      <w:r>
        <w:t xml:space="preserve"> </w:t>
      </w:r>
      <w:r w:rsidRPr="00F965D7">
        <w:t>34-35.</w:t>
      </w:r>
    </w:p>
  </w:endnote>
  <w:endnote w:id="27">
    <w:p w:rsidR="00AE3B8A" w:rsidRPr="001C79A0" w:rsidRDefault="00AE3B8A" w:rsidP="00CA4FF1">
      <w:pPr>
        <w:pStyle w:val="EndnoteText"/>
      </w:pPr>
      <w:r>
        <w:rPr>
          <w:rStyle w:val="EndnoteReference"/>
        </w:rPr>
        <w:endnoteRef/>
      </w:r>
      <w:r>
        <w:t xml:space="preserve"> The proposed size of the units reflects currently dominant Australian practice in delivering specialist residential care for people with very severe BPSD; evaluation activities (see section 6) will examine </w:t>
      </w:r>
      <w:r w:rsidRPr="001C79A0">
        <w:t>whether this size is optimal for achieving the program’s objectives.</w:t>
      </w:r>
    </w:p>
  </w:endnote>
  <w:endnote w:id="28">
    <w:p w:rsidR="00AE3B8A" w:rsidRDefault="00AE3B8A" w:rsidP="00CA4FF1">
      <w:pPr>
        <w:pStyle w:val="EndnoteText"/>
      </w:pPr>
      <w:r w:rsidRPr="00E65675">
        <w:rPr>
          <w:rStyle w:val="EndnoteReference"/>
        </w:rPr>
        <w:endnoteRef/>
      </w:r>
      <w:r w:rsidRPr="0092402F">
        <w:t xml:space="preserve"> </w:t>
      </w:r>
      <w:r w:rsidRPr="00932851">
        <w:t>New South Wales defines a larger residential aged care facility as one that has at least 60 beds, as</w:t>
      </w:r>
      <w:r w:rsidRPr="000E79C4">
        <w:t xml:space="preserve"> per the NSW Government’s Mental Health-Aged Care Partnership Initiative transition unit service model. NSW Health, </w:t>
      </w:r>
      <w:r w:rsidRPr="000E79C4">
        <w:rPr>
          <w:i/>
        </w:rPr>
        <w:t>Tendering conditions and statement of requirements, version 1: HAC15/33A</w:t>
      </w:r>
      <w:r w:rsidRPr="000E79C4">
        <w:t>, NSW Health, Sydney, tender issue date 11 December 2015.</w:t>
      </w:r>
    </w:p>
  </w:endnote>
  <w:endnote w:id="29">
    <w:p w:rsidR="00AE3B8A" w:rsidRPr="001C79A0" w:rsidRDefault="00AE3B8A" w:rsidP="00CA4FF1">
      <w:pPr>
        <w:pStyle w:val="EndnoteText"/>
      </w:pPr>
      <w:r w:rsidRPr="001C79A0">
        <w:rPr>
          <w:rStyle w:val="EndnoteReference"/>
        </w:rPr>
        <w:endnoteRef/>
      </w:r>
      <w:r w:rsidRPr="001C79A0">
        <w:t xml:space="preserve"> </w:t>
      </w:r>
      <w:proofErr w:type="gramStart"/>
      <w:r w:rsidRPr="001C79A0">
        <w:t xml:space="preserve">Guideline Adaptation Committee, </w:t>
      </w:r>
      <w:r w:rsidRPr="001C79A0">
        <w:rPr>
          <w:i/>
        </w:rPr>
        <w:t>Clinical Practice Guidelines and Principles of Care</w:t>
      </w:r>
      <w:r>
        <w:t xml:space="preserve">, </w:t>
      </w:r>
      <w:r w:rsidRPr="001C79A0">
        <w:t>op. cit.</w:t>
      </w:r>
      <w:proofErr w:type="gramEnd"/>
      <w:r>
        <w:t xml:space="preserve"> See also SA Health, </w:t>
      </w:r>
      <w:hyperlink r:id="rId15" w:history="1">
        <w:r w:rsidRPr="00612519">
          <w:rPr>
            <w:rStyle w:val="Hyperlink"/>
          </w:rPr>
          <w:t>Dignity in care website</w:t>
        </w:r>
      </w:hyperlink>
      <w:r>
        <w:t>.</w:t>
      </w:r>
    </w:p>
  </w:endnote>
  <w:endnote w:id="30">
    <w:p w:rsidR="00AE3B8A" w:rsidRDefault="00AE3B8A" w:rsidP="00CA4FF1">
      <w:pPr>
        <w:pStyle w:val="EndnoteText"/>
      </w:pPr>
      <w:r w:rsidRPr="001C79A0">
        <w:rPr>
          <w:rStyle w:val="EndnoteReference"/>
        </w:rPr>
        <w:endnoteRef/>
      </w:r>
      <w:r w:rsidRPr="001C79A0">
        <w:t xml:space="preserve"> Ibid.</w:t>
      </w:r>
    </w:p>
  </w:endnote>
  <w:endnote w:id="31">
    <w:p w:rsidR="00AE3B8A" w:rsidRDefault="00AE3B8A" w:rsidP="00CA4FF1">
      <w:pPr>
        <w:pStyle w:val="EndnoteText"/>
      </w:pPr>
      <w:r>
        <w:rPr>
          <w:rStyle w:val="EndnoteReference"/>
        </w:rPr>
        <w:endnoteRef/>
      </w:r>
      <w:r>
        <w:t xml:space="preserve"> J Dewing and B McCormack, ‘</w:t>
      </w:r>
      <w:hyperlink r:id="rId16" w:history="1">
        <w:r w:rsidRPr="00B571E4">
          <w:rPr>
            <w:rStyle w:val="Hyperlink"/>
          </w:rPr>
          <w:t xml:space="preserve">Editorial: Tell me, how </w:t>
        </w:r>
        <w:proofErr w:type="gramStart"/>
        <w:r w:rsidRPr="00B571E4">
          <w:rPr>
            <w:rStyle w:val="Hyperlink"/>
          </w:rPr>
          <w:t>do you</w:t>
        </w:r>
        <w:proofErr w:type="gramEnd"/>
        <w:r w:rsidRPr="00B571E4">
          <w:rPr>
            <w:rStyle w:val="Hyperlink"/>
          </w:rPr>
          <w:t xml:space="preserve"> define person-centeredness?</w:t>
        </w:r>
      </w:hyperlink>
      <w:r>
        <w:t xml:space="preserve">’, </w:t>
      </w:r>
      <w:r>
        <w:rPr>
          <w:i/>
        </w:rPr>
        <w:t xml:space="preserve">Journal of Clinical Nursing, </w:t>
      </w:r>
      <w:r>
        <w:t>26(17-18), September 2017, pp. 2509-2510.</w:t>
      </w:r>
    </w:p>
  </w:endnote>
  <w:endnote w:id="32">
    <w:p w:rsidR="00AE3B8A" w:rsidRDefault="00AE3B8A" w:rsidP="00CA4FF1">
      <w:pPr>
        <w:pStyle w:val="EndnoteText"/>
      </w:pPr>
      <w:r>
        <w:rPr>
          <w:rStyle w:val="EndnoteReference"/>
        </w:rPr>
        <w:endnoteRef/>
      </w:r>
      <w:r>
        <w:t xml:space="preserve"> </w:t>
      </w:r>
      <w:proofErr w:type="gramStart"/>
      <w:r w:rsidRPr="001C79A0">
        <w:t xml:space="preserve">Guideline Adaptation Committee, </w:t>
      </w:r>
      <w:r w:rsidRPr="001C79A0">
        <w:rPr>
          <w:i/>
        </w:rPr>
        <w:t>Clinical Practice Guidelines and Principles of Care</w:t>
      </w:r>
      <w:r>
        <w:t xml:space="preserve">, </w:t>
      </w:r>
      <w:r w:rsidRPr="001C79A0">
        <w:t>op. cit.</w:t>
      </w:r>
      <w:proofErr w:type="gramEnd"/>
    </w:p>
  </w:endnote>
  <w:endnote w:id="33">
    <w:p w:rsidR="00AE3B8A" w:rsidRPr="0066565A" w:rsidRDefault="00AE3B8A" w:rsidP="00CA4FF1">
      <w:pPr>
        <w:pStyle w:val="EndnoteText"/>
      </w:pPr>
      <w:r w:rsidRPr="0066565A">
        <w:rPr>
          <w:rStyle w:val="EndnoteReference"/>
        </w:rPr>
        <w:endnoteRef/>
      </w:r>
      <w:r w:rsidRPr="0066565A">
        <w:t xml:space="preserve"> Relevant legislation includes, but is not limited to, the </w:t>
      </w:r>
      <w:r w:rsidRPr="00A610DD">
        <w:rPr>
          <w:i/>
        </w:rPr>
        <w:t>Aged Care Act 1997</w:t>
      </w:r>
      <w:r w:rsidRPr="0066565A">
        <w:t xml:space="preserve"> and the associated Quality of Care Principles 2014 and User Rights Principles 2014.</w:t>
      </w:r>
    </w:p>
  </w:endnote>
  <w:endnote w:id="34">
    <w:p w:rsidR="00AE3B8A" w:rsidRPr="00612519" w:rsidRDefault="00AE3B8A" w:rsidP="00CA4FF1">
      <w:pPr>
        <w:pStyle w:val="EndnoteText"/>
      </w:pPr>
      <w:r w:rsidRPr="00612519">
        <w:rPr>
          <w:rStyle w:val="EndnoteReference"/>
        </w:rPr>
        <w:endnoteRef/>
      </w:r>
      <w:r w:rsidRPr="00612519">
        <w:t xml:space="preserve"> Guideline Adaptation Committee, </w:t>
      </w:r>
      <w:r w:rsidRPr="00612519">
        <w:rPr>
          <w:i/>
        </w:rPr>
        <w:t>Clinical Practice Guidelines and Principles of Care</w:t>
      </w:r>
      <w:r w:rsidRPr="00612519">
        <w:t>, op. cit.</w:t>
      </w:r>
      <w:r>
        <w:t>,</w:t>
      </w:r>
      <w:r w:rsidRPr="00612519">
        <w:t xml:space="preserve"> p. 16.</w:t>
      </w:r>
    </w:p>
  </w:endnote>
  <w:endnote w:id="35">
    <w:p w:rsidR="00AE3B8A" w:rsidRDefault="00AE3B8A" w:rsidP="00CA4FF1">
      <w:pPr>
        <w:pStyle w:val="EndnoteText"/>
      </w:pPr>
      <w:r w:rsidRPr="00612519">
        <w:rPr>
          <w:rStyle w:val="EndnoteReference"/>
        </w:rPr>
        <w:endnoteRef/>
      </w:r>
      <w:r w:rsidRPr="00612519">
        <w:t xml:space="preserve"> Alberta Health</w:t>
      </w:r>
      <w:r>
        <w:t xml:space="preserve"> Services, </w:t>
      </w:r>
      <w:hyperlink r:id="rId17" w:history="1">
        <w:r w:rsidRPr="00B571E4">
          <w:rPr>
            <w:rStyle w:val="Hyperlink"/>
            <w:i/>
          </w:rPr>
          <w:t>Meeting the needs of people living with dementia in Alberta’s residential living options: Ensuring person-centred care</w:t>
        </w:r>
      </w:hyperlink>
      <w:r>
        <w:t>, Alberta Health Services, Edmonton, September 2014.</w:t>
      </w:r>
    </w:p>
  </w:endnote>
  <w:endnote w:id="36">
    <w:p w:rsidR="00AE3B8A" w:rsidRPr="00CB5D64" w:rsidRDefault="00AE3B8A" w:rsidP="00CA4FF1">
      <w:pPr>
        <w:rPr>
          <w:color w:val="1F497D"/>
          <w:sz w:val="20"/>
          <w:szCs w:val="20"/>
        </w:rPr>
      </w:pPr>
      <w:r>
        <w:rPr>
          <w:rStyle w:val="EndnoteReference"/>
        </w:rPr>
        <w:endnoteRef/>
      </w:r>
      <w:r>
        <w:t xml:space="preserve"> </w:t>
      </w:r>
      <w:r>
        <w:rPr>
          <w:sz w:val="20"/>
          <w:szCs w:val="20"/>
        </w:rPr>
        <w:t xml:space="preserve">Approved providers of residential aged care, home care and flexible care have a responsibility to provide security of tenure for a care recipient’s place in the service as specified in the User Rights Principles 2014 and the </w:t>
      </w:r>
      <w:hyperlink r:id="rId18" w:history="1">
        <w:r>
          <w:rPr>
            <w:rStyle w:val="Hyperlink"/>
            <w:i/>
            <w:iCs/>
            <w:sz w:val="20"/>
            <w:szCs w:val="20"/>
          </w:rPr>
          <w:t>Aged Care Act 1997</w:t>
        </w:r>
      </w:hyperlink>
      <w:r>
        <w:rPr>
          <w:i/>
          <w:iCs/>
          <w:color w:val="1F497D"/>
          <w:sz w:val="20"/>
          <w:szCs w:val="20"/>
        </w:rPr>
        <w:t>.</w:t>
      </w:r>
      <w:r>
        <w:rPr>
          <w:color w:val="1F497D"/>
          <w:sz w:val="20"/>
          <w:szCs w:val="20"/>
        </w:rPr>
        <w:t xml:space="preserve"> </w:t>
      </w:r>
    </w:p>
  </w:endnote>
  <w:endnote w:id="37">
    <w:p w:rsidR="00AE3B8A" w:rsidRPr="00B571E4" w:rsidRDefault="00AE3B8A" w:rsidP="00CA4FF1">
      <w:pPr>
        <w:pStyle w:val="EndnoteText"/>
      </w:pPr>
      <w:r w:rsidRPr="008A3A21">
        <w:rPr>
          <w:rStyle w:val="EndnoteReference"/>
        </w:rPr>
        <w:endnoteRef/>
      </w:r>
      <w:r>
        <w:t xml:space="preserve"> KPMG, </w:t>
      </w:r>
      <w:r w:rsidRPr="008A3A21">
        <w:rPr>
          <w:i/>
        </w:rPr>
        <w:t>Specialist Dement</w:t>
      </w:r>
      <w:r>
        <w:rPr>
          <w:i/>
        </w:rPr>
        <w:t>ia Care Units: Design workshop final r</w:t>
      </w:r>
      <w:r w:rsidRPr="008A3A21">
        <w:rPr>
          <w:i/>
        </w:rPr>
        <w:t>eport</w:t>
      </w:r>
      <w:r>
        <w:t>, report for the Department of Health, April 2017.</w:t>
      </w:r>
    </w:p>
  </w:endnote>
  <w:endnote w:id="38">
    <w:p w:rsidR="00AE3B8A" w:rsidRPr="00660E75" w:rsidRDefault="00AE3B8A" w:rsidP="00CA4FF1">
      <w:pPr>
        <w:pStyle w:val="EndnoteText"/>
        <w:rPr>
          <w:rStyle w:val="EndnoteReference"/>
          <w:rFonts w:cstheme="minorHAnsi"/>
          <w:vertAlign w:val="baseline"/>
        </w:rPr>
      </w:pPr>
      <w:r w:rsidRPr="00660E75">
        <w:rPr>
          <w:rStyle w:val="EndnoteReference"/>
          <w:rFonts w:cstheme="minorHAnsi"/>
        </w:rPr>
        <w:endnoteRef/>
      </w:r>
      <w:r w:rsidRPr="00660E75">
        <w:rPr>
          <w:rStyle w:val="EndnoteReference"/>
          <w:rFonts w:cstheme="minorHAnsi"/>
          <w:vertAlign w:val="baseline"/>
        </w:rPr>
        <w:t xml:space="preserve"> </w:t>
      </w:r>
      <w:r>
        <w:rPr>
          <w:rStyle w:val="EndnoteReference"/>
          <w:rFonts w:cstheme="minorHAnsi"/>
          <w:vertAlign w:val="baseline"/>
        </w:rPr>
        <w:t>R Fleming and K Bennett, ‘</w:t>
      </w:r>
      <w:hyperlink r:id="rId19" w:history="1">
        <w:r w:rsidRPr="00084A15">
          <w:rPr>
            <w:rStyle w:val="Hyperlink"/>
            <w:rFonts w:cstheme="minorHAnsi"/>
          </w:rPr>
          <w:t>Dementia Enabling Environment Principles</w:t>
        </w:r>
      </w:hyperlink>
      <w:r>
        <w:rPr>
          <w:rStyle w:val="EndnoteReference"/>
          <w:rFonts w:cstheme="minorHAnsi"/>
          <w:vertAlign w:val="baseline"/>
        </w:rPr>
        <w:t>’</w:t>
      </w:r>
      <w:r>
        <w:rPr>
          <w:rStyle w:val="EndnoteReference"/>
          <w:rFonts w:cstheme="minorHAnsi"/>
          <w:i/>
          <w:vertAlign w:val="baseline"/>
        </w:rPr>
        <w:t xml:space="preserve">, </w:t>
      </w:r>
      <w:r>
        <w:rPr>
          <w:rFonts w:cstheme="minorHAnsi"/>
        </w:rPr>
        <w:t xml:space="preserve">via </w:t>
      </w:r>
      <w:r>
        <w:rPr>
          <w:rStyle w:val="EndnoteReference"/>
          <w:rFonts w:cstheme="minorHAnsi"/>
          <w:vertAlign w:val="baseline"/>
        </w:rPr>
        <w:t>Dementia Enabling Environments website.</w:t>
      </w:r>
      <w:r w:rsidRPr="00660E75">
        <w:rPr>
          <w:rStyle w:val="EndnoteReference"/>
          <w:rFonts w:cstheme="minorHAnsi"/>
          <w:vertAlign w:val="baseline"/>
        </w:rPr>
        <w:t xml:space="preserve"> </w:t>
      </w:r>
    </w:p>
  </w:endnote>
  <w:endnote w:id="39">
    <w:p w:rsidR="00AE3B8A" w:rsidRDefault="00AE3B8A" w:rsidP="00CA4FF1">
      <w:pPr>
        <w:pStyle w:val="EndnoteText"/>
      </w:pPr>
      <w:r>
        <w:rPr>
          <w:rStyle w:val="EndnoteReference"/>
        </w:rPr>
        <w:endnoteRef/>
      </w:r>
      <w:r>
        <w:t xml:space="preserve"> Local Hospital Networks in each state and territory directly manage single or small groups of public hospital services. Some jurisdictions have local names for the areas and administrative units known nationally as LHNs, such as ‘Local Health Districts’ in New South Wales, ‘Hospital and Health Services’ in Queensland, and ‘Local Health Networks’ in South Australia. </w:t>
      </w:r>
      <w:proofErr w:type="gramStart"/>
      <w:r>
        <w:t>AIHW, ‘</w:t>
      </w:r>
      <w:hyperlink r:id="rId20" w:history="1">
        <w:r w:rsidRPr="00B335E0">
          <w:rPr>
            <w:rStyle w:val="Hyperlink"/>
          </w:rPr>
          <w:t>Local Hospital Network’</w:t>
        </w:r>
      </w:hyperlink>
      <w:r>
        <w:t xml:space="preserve">, </w:t>
      </w:r>
      <w:proofErr w:type="spellStart"/>
      <w:r>
        <w:t>METeOR</w:t>
      </w:r>
      <w:proofErr w:type="spellEnd"/>
      <w:r>
        <w:t xml:space="preserve"> metadata online registry.</w:t>
      </w:r>
      <w:proofErr w:type="gramEnd"/>
    </w:p>
  </w:endnote>
  <w:endnote w:id="40">
    <w:p w:rsidR="00AE3B8A" w:rsidRDefault="00AE3B8A" w:rsidP="00CA4FF1">
      <w:pPr>
        <w:pStyle w:val="EndnoteText"/>
      </w:pPr>
      <w:r>
        <w:rPr>
          <w:rStyle w:val="EndnoteReference"/>
        </w:rPr>
        <w:endnoteRef/>
      </w:r>
      <w:r>
        <w:t xml:space="preserve"> Department of Health, ‘</w:t>
      </w:r>
      <w:hyperlink r:id="rId21" w:history="1">
        <w:r w:rsidRPr="00084A15">
          <w:rPr>
            <w:rStyle w:val="Hyperlink"/>
          </w:rPr>
          <w:t>Single quality framework: focus on consumers</w:t>
        </w:r>
      </w:hyperlink>
      <w:r>
        <w:t>’, Department of Health website, last updated 26 April 2017.</w:t>
      </w:r>
    </w:p>
  </w:endnote>
  <w:endnote w:id="41">
    <w:p w:rsidR="00AE3B8A" w:rsidRPr="00835B3C" w:rsidRDefault="00AE3B8A" w:rsidP="00CA4FF1">
      <w:pPr>
        <w:pStyle w:val="EndnoteText"/>
      </w:pPr>
      <w:r w:rsidRPr="00835B3C">
        <w:rPr>
          <w:rStyle w:val="EndnoteReference"/>
        </w:rPr>
        <w:endnoteRef/>
      </w:r>
      <w:r w:rsidRPr="00835B3C">
        <w:t xml:space="preserve"> </w:t>
      </w:r>
      <w:r w:rsidRPr="00687142">
        <w:t xml:space="preserve">D </w:t>
      </w:r>
      <w:proofErr w:type="spellStart"/>
      <w:r w:rsidRPr="00687142">
        <w:t>LoGiudice</w:t>
      </w:r>
      <w:proofErr w:type="spellEnd"/>
      <w:r w:rsidRPr="00687142">
        <w:t>, ‘</w:t>
      </w:r>
      <w:hyperlink r:id="rId22" w:history="1">
        <w:r w:rsidRPr="00687142">
          <w:rPr>
            <w:rStyle w:val="Hyperlink"/>
          </w:rPr>
          <w:t>The health of older Aboriginal and Torres Strait Islander peoples</w:t>
        </w:r>
      </w:hyperlink>
      <w:r w:rsidRPr="00687142">
        <w:t xml:space="preserve">’, </w:t>
      </w:r>
      <w:r w:rsidRPr="00687142">
        <w:rPr>
          <w:i/>
          <w:iCs/>
        </w:rPr>
        <w:t xml:space="preserve">Australasian Journal on Ageing, </w:t>
      </w:r>
      <w:r w:rsidRPr="00687142">
        <w:t>35</w:t>
      </w:r>
      <w:r>
        <w:t>(2)</w:t>
      </w:r>
      <w:r w:rsidRPr="00687142">
        <w:t>, June 2016, pp. 82-85.</w:t>
      </w:r>
    </w:p>
  </w:endnote>
  <w:endnote w:id="42">
    <w:p w:rsidR="00AE3B8A" w:rsidRPr="00835B3C" w:rsidRDefault="00AE3B8A" w:rsidP="00CA4FF1">
      <w:pPr>
        <w:pStyle w:val="EndnoteText"/>
      </w:pPr>
      <w:r w:rsidRPr="00835B3C">
        <w:rPr>
          <w:rStyle w:val="EndnoteReference"/>
        </w:rPr>
        <w:endnoteRef/>
      </w:r>
      <w:r w:rsidRPr="00835B3C">
        <w:t xml:space="preserve"> </w:t>
      </w:r>
      <w:r>
        <w:t xml:space="preserve">Senate Community Affairs References Committee, </w:t>
      </w:r>
      <w:hyperlink r:id="rId23" w:history="1">
        <w:r w:rsidRPr="000658AC">
          <w:rPr>
            <w:rStyle w:val="Hyperlink"/>
            <w:i/>
          </w:rPr>
          <w:t>Report on the Inquiry into the care and management of younger and older Australians living with dementia and behavioural and psychiatric symptoms of dementia (BPSD)</w:t>
        </w:r>
      </w:hyperlink>
      <w:r>
        <w:rPr>
          <w:i/>
        </w:rPr>
        <w:t xml:space="preserve">, </w:t>
      </w:r>
      <w:r>
        <w:t>March 2014, p</w:t>
      </w:r>
      <w:r w:rsidRPr="00072554">
        <w:t>.</w:t>
      </w:r>
      <w:r>
        <w:t xml:space="preserve"> 12.</w:t>
      </w:r>
    </w:p>
  </w:endnote>
  <w:endnote w:id="43">
    <w:p w:rsidR="00AE3B8A" w:rsidRPr="004F2E2D" w:rsidRDefault="00AE3B8A" w:rsidP="00CA4FF1">
      <w:pPr>
        <w:pStyle w:val="EndnoteText"/>
      </w:pPr>
      <w:r w:rsidRPr="004F2E2D">
        <w:rPr>
          <w:rStyle w:val="EndnoteReference"/>
        </w:rPr>
        <w:endnoteRef/>
      </w:r>
      <w:r w:rsidRPr="004F2E2D">
        <w:t xml:space="preserve"> </w:t>
      </w:r>
      <w:r w:rsidRPr="00072554">
        <w:rPr>
          <w:bCs/>
          <w:iCs/>
        </w:rPr>
        <w:t>F</w:t>
      </w:r>
      <w:r>
        <w:rPr>
          <w:bCs/>
          <w:iCs/>
        </w:rPr>
        <w:t>ederation of Ethnic Communities’ Councils of Australia (FECCA)</w:t>
      </w:r>
      <w:r w:rsidRPr="00072554">
        <w:rPr>
          <w:bCs/>
          <w:iCs/>
        </w:rPr>
        <w:t xml:space="preserve">, </w:t>
      </w:r>
      <w:hyperlink r:id="rId24" w:history="1">
        <w:r w:rsidRPr="00072554">
          <w:rPr>
            <w:rStyle w:val="Hyperlink"/>
            <w:bCs/>
            <w:i/>
            <w:iCs/>
          </w:rPr>
          <w:t>Review of Australian Research on Older People from Culturally and Linguistically Diverse Backgrounds</w:t>
        </w:r>
      </w:hyperlink>
      <w:r w:rsidRPr="00072554">
        <w:rPr>
          <w:bCs/>
          <w:i/>
          <w:iCs/>
        </w:rPr>
        <w:t xml:space="preserve">, </w:t>
      </w:r>
      <w:r>
        <w:rPr>
          <w:bCs/>
          <w:iCs/>
        </w:rPr>
        <w:t xml:space="preserve">FECCA, Curtin, </w:t>
      </w:r>
      <w:proofErr w:type="gramStart"/>
      <w:r w:rsidRPr="00072554">
        <w:rPr>
          <w:bCs/>
          <w:iCs/>
        </w:rPr>
        <w:t>March</w:t>
      </w:r>
      <w:proofErr w:type="gramEnd"/>
      <w:r w:rsidRPr="00072554">
        <w:rPr>
          <w:bCs/>
          <w:iCs/>
        </w:rPr>
        <w:t xml:space="preserve"> 2015</w:t>
      </w:r>
      <w:r w:rsidRPr="00F51CF3">
        <w:rPr>
          <w:bCs/>
          <w:iCs/>
        </w:rPr>
        <w:t>.</w:t>
      </w:r>
    </w:p>
  </w:endnote>
  <w:endnote w:id="44">
    <w:p w:rsidR="00AE3B8A" w:rsidRPr="00C659A4" w:rsidRDefault="00AE3B8A" w:rsidP="00CA4FF1">
      <w:pPr>
        <w:pStyle w:val="EndnoteText"/>
      </w:pPr>
      <w:r w:rsidRPr="00C659A4">
        <w:rPr>
          <w:rStyle w:val="EndnoteReference"/>
        </w:rPr>
        <w:endnoteRef/>
      </w:r>
      <w:r w:rsidRPr="00C659A4">
        <w:t xml:space="preserve"> </w:t>
      </w:r>
      <w:r>
        <w:t xml:space="preserve">See D Tune, </w:t>
      </w:r>
      <w:hyperlink r:id="rId25" w:history="1">
        <w:r w:rsidRPr="00687142">
          <w:rPr>
            <w:rStyle w:val="Hyperlink"/>
            <w:i/>
          </w:rPr>
          <w:t>Legislated Review of Aged Care 2017</w:t>
        </w:r>
      </w:hyperlink>
      <w:r w:rsidRPr="00C659A4">
        <w:t>,</w:t>
      </w:r>
      <w:r>
        <w:t xml:space="preserve"> report for the Department of Health,</w:t>
      </w:r>
      <w:r w:rsidRPr="00C659A4">
        <w:t xml:space="preserve"> p.</w:t>
      </w:r>
      <w:r>
        <w:t xml:space="preserve"> </w:t>
      </w:r>
      <w:r w:rsidRPr="00C659A4">
        <w:t>169</w:t>
      </w:r>
      <w:r>
        <w:t>.</w:t>
      </w:r>
    </w:p>
  </w:endnote>
  <w:endnote w:id="45">
    <w:p w:rsidR="00AE3B8A" w:rsidRDefault="00AE3B8A" w:rsidP="00CA4FF1">
      <w:pPr>
        <w:pStyle w:val="EndnoteText"/>
      </w:pPr>
      <w:r w:rsidRPr="0033157A">
        <w:rPr>
          <w:rStyle w:val="EndnoteReference"/>
        </w:rPr>
        <w:endnoteRef/>
      </w:r>
      <w:r w:rsidRPr="0033157A">
        <w:t xml:space="preserve"> </w:t>
      </w:r>
      <w:r>
        <w:t xml:space="preserve">SA Health, </w:t>
      </w:r>
      <w:r>
        <w:rPr>
          <w:i/>
        </w:rPr>
        <w:t xml:space="preserve">The </w:t>
      </w:r>
      <w:proofErr w:type="spellStart"/>
      <w:r>
        <w:rPr>
          <w:i/>
        </w:rPr>
        <w:t>Oakden</w:t>
      </w:r>
      <w:proofErr w:type="spellEnd"/>
      <w:r>
        <w:rPr>
          <w:i/>
        </w:rPr>
        <w:t xml:space="preserve"> response models of care p</w:t>
      </w:r>
      <w:r w:rsidRPr="00F965D7">
        <w:rPr>
          <w:i/>
        </w:rPr>
        <w:t>roject</w:t>
      </w:r>
      <w:r>
        <w:rPr>
          <w:i/>
        </w:rPr>
        <w:t xml:space="preserve">, </w:t>
      </w:r>
      <w:r>
        <w:t>op. cit.</w:t>
      </w:r>
    </w:p>
  </w:endnote>
  <w:endnote w:id="46">
    <w:p w:rsidR="00AE3B8A" w:rsidRDefault="00AE3B8A" w:rsidP="00CA4FF1">
      <w:pPr>
        <w:pStyle w:val="EndnoteText"/>
      </w:pPr>
      <w:r>
        <w:rPr>
          <w:rStyle w:val="EndnoteReference"/>
        </w:rPr>
        <w:endnoteRef/>
      </w:r>
      <w:r>
        <w:t xml:space="preserve"> See, for example, L Martin, ‘</w:t>
      </w:r>
      <w:hyperlink r:id="rId26" w:history="1">
        <w:r w:rsidRPr="00B36926">
          <w:rPr>
            <w:rStyle w:val="Hyperlink"/>
          </w:rPr>
          <w:t>Making every moment matter at Aged Care Plus centres</w:t>
        </w:r>
      </w:hyperlink>
      <w:r>
        <w:t xml:space="preserve">’, </w:t>
      </w:r>
      <w:r>
        <w:rPr>
          <w:i/>
        </w:rPr>
        <w:t xml:space="preserve">others </w:t>
      </w:r>
      <w:r>
        <w:t>(Salvation Army magazine), 23 March 2017; Aged Care Guide, ‘</w:t>
      </w:r>
      <w:hyperlink r:id="rId27" w:history="1">
        <w:r w:rsidRPr="00B36926">
          <w:rPr>
            <w:rStyle w:val="Hyperlink"/>
          </w:rPr>
          <w:t>Residents feel ‘at home’ with new aged care approach</w:t>
        </w:r>
      </w:hyperlink>
      <w:r>
        <w:t xml:space="preserve">’, Aged Care Guide website, October 2017. </w:t>
      </w:r>
    </w:p>
  </w:endnote>
  <w:endnote w:id="47">
    <w:p w:rsidR="00AE3B8A" w:rsidRPr="00B521C2" w:rsidRDefault="00AE3B8A" w:rsidP="00CA4FF1">
      <w:pPr>
        <w:pStyle w:val="EndnoteText"/>
      </w:pPr>
      <w:r w:rsidRPr="00B521C2">
        <w:rPr>
          <w:rStyle w:val="EndnoteReference"/>
        </w:rPr>
        <w:endnoteRef/>
      </w:r>
      <w:r w:rsidRPr="00B521C2">
        <w:t xml:space="preserve"> See</w:t>
      </w:r>
      <w:r>
        <w:t xml:space="preserve"> Department of Health, ‘</w:t>
      </w:r>
      <w:hyperlink r:id="rId28" w:history="1">
        <w:r w:rsidRPr="00B36926">
          <w:rPr>
            <w:rStyle w:val="Hyperlink"/>
          </w:rPr>
          <w:t>Aged care fees, charges and payments</w:t>
        </w:r>
      </w:hyperlink>
      <w:r>
        <w:t>’, Department of Health website, last updated 18 September 2017.</w:t>
      </w:r>
    </w:p>
  </w:endnote>
  <w:endnote w:id="48">
    <w:p w:rsidR="00AE3B8A" w:rsidRDefault="00AE3B8A" w:rsidP="00CA4FF1">
      <w:pPr>
        <w:pStyle w:val="EndnoteText"/>
      </w:pPr>
      <w:r>
        <w:rPr>
          <w:rStyle w:val="EndnoteReference"/>
        </w:rPr>
        <w:endnoteRef/>
      </w:r>
      <w:r>
        <w:t xml:space="preserve"> </w:t>
      </w:r>
      <w:r w:rsidRPr="00072554">
        <w:t xml:space="preserve">M </w:t>
      </w:r>
      <w:proofErr w:type="spellStart"/>
      <w:r w:rsidRPr="00072554">
        <w:t>Masso</w:t>
      </w:r>
      <w:proofErr w:type="spellEnd"/>
      <w:r w:rsidRPr="00072554">
        <w:t xml:space="preserve">, C Duncan, P </w:t>
      </w:r>
      <w:proofErr w:type="spellStart"/>
      <w:r w:rsidRPr="00072554">
        <w:t>Grootemaat</w:t>
      </w:r>
      <w:proofErr w:type="spellEnd"/>
      <w:r w:rsidRPr="00072554">
        <w:t xml:space="preserve">, L Phillipson, P </w:t>
      </w:r>
      <w:proofErr w:type="spellStart"/>
      <w:r w:rsidRPr="00072554">
        <w:t>Samsa</w:t>
      </w:r>
      <w:proofErr w:type="spellEnd"/>
      <w:r w:rsidRPr="00072554">
        <w:t xml:space="preserve">, D </w:t>
      </w:r>
      <w:proofErr w:type="spellStart"/>
      <w:r w:rsidRPr="00072554">
        <w:t>Fildes</w:t>
      </w:r>
      <w:proofErr w:type="spellEnd"/>
      <w:r w:rsidRPr="00072554">
        <w:t xml:space="preserve"> and R Gordon, </w:t>
      </w:r>
      <w:r w:rsidRPr="00072554">
        <w:rPr>
          <w:i/>
        </w:rPr>
        <w:t xml:space="preserve">Specialist dementia care units: an Evidence Check rapid review, </w:t>
      </w:r>
      <w:r w:rsidRPr="00072554">
        <w:t>report brokered by the Sax Institute for the Department of Health, September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B8A" w:rsidRDefault="00AE3B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750534"/>
      <w:docPartObj>
        <w:docPartGallery w:val="Page Numbers (Bottom of Page)"/>
        <w:docPartUnique/>
      </w:docPartObj>
    </w:sdtPr>
    <w:sdtEndPr>
      <w:rPr>
        <w:noProof/>
      </w:rPr>
    </w:sdtEndPr>
    <w:sdtContent>
      <w:p w:rsidR="00AE3B8A" w:rsidRDefault="00AE3B8A" w:rsidP="00F24B50">
        <w:pPr>
          <w:pStyle w:val="Footer"/>
        </w:pPr>
        <w:r>
          <w:rPr>
            <w:sz w:val="20"/>
          </w:rPr>
          <w:t>Specialist Dementia Care U</w:t>
        </w:r>
        <w:r w:rsidRPr="00BC047B">
          <w:rPr>
            <w:sz w:val="20"/>
          </w:rPr>
          <w:t xml:space="preserve">nits – consultation paper </w:t>
        </w:r>
        <w:r>
          <w:rPr>
            <w:sz w:val="20"/>
          </w:rPr>
          <w:tab/>
        </w:r>
        <w:r>
          <w:rPr>
            <w:sz w:val="20"/>
          </w:rPr>
          <w:tab/>
        </w:r>
        <w:r w:rsidRPr="00BC047B">
          <w:rPr>
            <w:sz w:val="20"/>
          </w:rPr>
          <w:fldChar w:fldCharType="begin"/>
        </w:r>
        <w:r w:rsidRPr="00BC047B">
          <w:rPr>
            <w:sz w:val="20"/>
          </w:rPr>
          <w:instrText xml:space="preserve"> PAGE   \* MERGEFORMAT </w:instrText>
        </w:r>
        <w:r w:rsidRPr="00BC047B">
          <w:rPr>
            <w:sz w:val="20"/>
          </w:rPr>
          <w:fldChar w:fldCharType="separate"/>
        </w:r>
        <w:r w:rsidR="00A82AA9">
          <w:rPr>
            <w:noProof/>
            <w:sz w:val="20"/>
          </w:rPr>
          <w:t>2</w:t>
        </w:r>
        <w:r w:rsidRPr="00BC047B">
          <w:rPr>
            <w:noProof/>
            <w:sz w:val="20"/>
          </w:rPr>
          <w:fldChar w:fldCharType="end"/>
        </w:r>
      </w:p>
    </w:sdtContent>
  </w:sdt>
  <w:p w:rsidR="00AE3B8A" w:rsidRDefault="00AE3B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B8A" w:rsidRDefault="00AE3B8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409733"/>
      <w:docPartObj>
        <w:docPartGallery w:val="Page Numbers (Bottom of Page)"/>
        <w:docPartUnique/>
      </w:docPartObj>
    </w:sdtPr>
    <w:sdtEndPr>
      <w:rPr>
        <w:noProof/>
      </w:rPr>
    </w:sdtEndPr>
    <w:sdtContent>
      <w:p w:rsidR="00AE3B8A" w:rsidRDefault="00AE3B8A" w:rsidP="00F24B50">
        <w:pPr>
          <w:pStyle w:val="Footer"/>
        </w:pPr>
        <w:r>
          <w:rPr>
            <w:sz w:val="20"/>
          </w:rPr>
          <w:t>Specialist Dementia Care U</w:t>
        </w:r>
        <w:r w:rsidRPr="00BC047B">
          <w:rPr>
            <w:sz w:val="20"/>
          </w:rPr>
          <w:t xml:space="preserve">nits – consultation paper </w:t>
        </w:r>
        <w:r>
          <w:rPr>
            <w:sz w:val="20"/>
          </w:rPr>
          <w:tab/>
        </w:r>
        <w:r>
          <w:rPr>
            <w:sz w:val="20"/>
          </w:rPr>
          <w:tab/>
        </w:r>
        <w:r w:rsidRPr="00BC047B">
          <w:rPr>
            <w:sz w:val="20"/>
          </w:rPr>
          <w:fldChar w:fldCharType="begin"/>
        </w:r>
        <w:r w:rsidRPr="00BC047B">
          <w:rPr>
            <w:sz w:val="20"/>
          </w:rPr>
          <w:instrText xml:space="preserve"> PAGE   \* MERGEFORMAT </w:instrText>
        </w:r>
        <w:r w:rsidRPr="00BC047B">
          <w:rPr>
            <w:sz w:val="20"/>
          </w:rPr>
          <w:fldChar w:fldCharType="separate"/>
        </w:r>
        <w:r w:rsidR="00A96923">
          <w:rPr>
            <w:noProof/>
            <w:sz w:val="20"/>
          </w:rPr>
          <w:t>50</w:t>
        </w:r>
        <w:r w:rsidRPr="00BC047B">
          <w:rPr>
            <w:noProof/>
            <w:sz w:val="20"/>
          </w:rPr>
          <w:fldChar w:fldCharType="end"/>
        </w:r>
      </w:p>
    </w:sdtContent>
  </w:sdt>
  <w:p w:rsidR="00AE3B8A" w:rsidRDefault="00AE3B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B8A" w:rsidRDefault="00AE3B8A" w:rsidP="00CA4FF1">
      <w:r>
        <w:separator/>
      </w:r>
    </w:p>
  </w:footnote>
  <w:footnote w:type="continuationSeparator" w:id="0">
    <w:p w:rsidR="00AE3B8A" w:rsidRDefault="00AE3B8A" w:rsidP="00CA4F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B8A" w:rsidRDefault="00AE3B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B8A" w:rsidRDefault="00AE3B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B8A" w:rsidRDefault="00AE3B8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B8A" w:rsidRDefault="00AE3B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2DD7"/>
    <w:multiLevelType w:val="hybridMultilevel"/>
    <w:tmpl w:val="DE2CD3B8"/>
    <w:lvl w:ilvl="0" w:tplc="0C090001">
      <w:start w:val="1"/>
      <w:numFmt w:val="bullet"/>
      <w:lvlText w:val=""/>
      <w:lvlJc w:val="left"/>
      <w:pPr>
        <w:ind w:left="360" w:hanging="360"/>
      </w:pPr>
      <w:rPr>
        <w:rFonts w:ascii="Symbol" w:hAnsi="Symbol" w:hint="default"/>
      </w:rPr>
    </w:lvl>
    <w:lvl w:ilvl="1" w:tplc="CF768F50">
      <w:numFmt w:val="bullet"/>
      <w:lvlText w:val="•"/>
      <w:lvlJc w:val="left"/>
      <w:pPr>
        <w:ind w:left="1440" w:hanging="720"/>
      </w:pPr>
      <w:rPr>
        <w:rFonts w:ascii="Calibri" w:eastAsia="Times New Roman" w:hAnsi="Calibri" w:cs="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9AF3D68"/>
    <w:multiLevelType w:val="hybridMultilevel"/>
    <w:tmpl w:val="C0D2DBFA"/>
    <w:lvl w:ilvl="0" w:tplc="0C09000F">
      <w:start w:val="1"/>
      <w:numFmt w:val="decimal"/>
      <w:lvlText w:val="%1."/>
      <w:lvlJc w:val="left"/>
      <w:pPr>
        <w:ind w:left="1644" w:hanging="360"/>
      </w:pPr>
    </w:lvl>
    <w:lvl w:ilvl="1" w:tplc="0C090019" w:tentative="1">
      <w:start w:val="1"/>
      <w:numFmt w:val="lowerLetter"/>
      <w:lvlText w:val="%2."/>
      <w:lvlJc w:val="left"/>
      <w:pPr>
        <w:ind w:left="2364" w:hanging="360"/>
      </w:pPr>
    </w:lvl>
    <w:lvl w:ilvl="2" w:tplc="0C09001B" w:tentative="1">
      <w:start w:val="1"/>
      <w:numFmt w:val="lowerRoman"/>
      <w:lvlText w:val="%3."/>
      <w:lvlJc w:val="right"/>
      <w:pPr>
        <w:ind w:left="3084" w:hanging="180"/>
      </w:pPr>
    </w:lvl>
    <w:lvl w:ilvl="3" w:tplc="0C09000F" w:tentative="1">
      <w:start w:val="1"/>
      <w:numFmt w:val="decimal"/>
      <w:lvlText w:val="%4."/>
      <w:lvlJc w:val="left"/>
      <w:pPr>
        <w:ind w:left="3804" w:hanging="360"/>
      </w:pPr>
    </w:lvl>
    <w:lvl w:ilvl="4" w:tplc="0C090019" w:tentative="1">
      <w:start w:val="1"/>
      <w:numFmt w:val="lowerLetter"/>
      <w:lvlText w:val="%5."/>
      <w:lvlJc w:val="left"/>
      <w:pPr>
        <w:ind w:left="4524" w:hanging="360"/>
      </w:pPr>
    </w:lvl>
    <w:lvl w:ilvl="5" w:tplc="0C09001B" w:tentative="1">
      <w:start w:val="1"/>
      <w:numFmt w:val="lowerRoman"/>
      <w:lvlText w:val="%6."/>
      <w:lvlJc w:val="right"/>
      <w:pPr>
        <w:ind w:left="5244" w:hanging="180"/>
      </w:pPr>
    </w:lvl>
    <w:lvl w:ilvl="6" w:tplc="0C09000F" w:tentative="1">
      <w:start w:val="1"/>
      <w:numFmt w:val="decimal"/>
      <w:lvlText w:val="%7."/>
      <w:lvlJc w:val="left"/>
      <w:pPr>
        <w:ind w:left="5964" w:hanging="360"/>
      </w:pPr>
    </w:lvl>
    <w:lvl w:ilvl="7" w:tplc="0C090019" w:tentative="1">
      <w:start w:val="1"/>
      <w:numFmt w:val="lowerLetter"/>
      <w:lvlText w:val="%8."/>
      <w:lvlJc w:val="left"/>
      <w:pPr>
        <w:ind w:left="6684" w:hanging="360"/>
      </w:pPr>
    </w:lvl>
    <w:lvl w:ilvl="8" w:tplc="0C09001B" w:tentative="1">
      <w:start w:val="1"/>
      <w:numFmt w:val="lowerRoman"/>
      <w:lvlText w:val="%9."/>
      <w:lvlJc w:val="right"/>
      <w:pPr>
        <w:ind w:left="7404" w:hanging="180"/>
      </w:pPr>
    </w:lvl>
  </w:abstractNum>
  <w:abstractNum w:abstractNumId="2">
    <w:nsid w:val="09EB2CB8"/>
    <w:multiLevelType w:val="hybridMultilevel"/>
    <w:tmpl w:val="976A2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B400DA"/>
    <w:multiLevelType w:val="multilevel"/>
    <w:tmpl w:val="CEA2AF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33348F0"/>
    <w:multiLevelType w:val="hybridMultilevel"/>
    <w:tmpl w:val="C7160C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3380A08"/>
    <w:multiLevelType w:val="hybridMultilevel"/>
    <w:tmpl w:val="2C58A6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5BE49EB"/>
    <w:multiLevelType w:val="hybridMultilevel"/>
    <w:tmpl w:val="A52AC8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2596EE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2E3226F"/>
    <w:multiLevelType w:val="hybridMultilevel"/>
    <w:tmpl w:val="C8561E1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3E83EF1"/>
    <w:multiLevelType w:val="multilevel"/>
    <w:tmpl w:val="CEA2AF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5B01BDE"/>
    <w:multiLevelType w:val="hybridMultilevel"/>
    <w:tmpl w:val="71A2D0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741737A"/>
    <w:multiLevelType w:val="hybridMultilevel"/>
    <w:tmpl w:val="DC8A34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B8B0B6D"/>
    <w:multiLevelType w:val="multilevel"/>
    <w:tmpl w:val="1A349F4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FF13A52"/>
    <w:multiLevelType w:val="hybridMultilevel"/>
    <w:tmpl w:val="2BB65D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40D607FD"/>
    <w:multiLevelType w:val="hybridMultilevel"/>
    <w:tmpl w:val="303856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44715A7F"/>
    <w:multiLevelType w:val="hybridMultilevel"/>
    <w:tmpl w:val="18E68B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458E1C5C"/>
    <w:multiLevelType w:val="hybridMultilevel"/>
    <w:tmpl w:val="4FCE22A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2A5034"/>
    <w:multiLevelType w:val="multilevel"/>
    <w:tmpl w:val="CEA2AF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B222167"/>
    <w:multiLevelType w:val="multilevel"/>
    <w:tmpl w:val="CEA2AF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DD527FC"/>
    <w:multiLevelType w:val="hybridMultilevel"/>
    <w:tmpl w:val="4976BD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55A61A26"/>
    <w:multiLevelType w:val="hybridMultilevel"/>
    <w:tmpl w:val="9A9A7ACC"/>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A4F5E9B"/>
    <w:multiLevelType w:val="hybridMultilevel"/>
    <w:tmpl w:val="59CEAF2A"/>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938" w:hanging="360"/>
      </w:pPr>
      <w:rPr>
        <w:rFonts w:ascii="Symbol" w:hAnsi="Symbol" w:hint="default"/>
      </w:rPr>
    </w:lvl>
    <w:lvl w:ilvl="2" w:tplc="0C090005" w:tentative="1">
      <w:start w:val="1"/>
      <w:numFmt w:val="bullet"/>
      <w:lvlText w:val=""/>
      <w:lvlJc w:val="left"/>
      <w:pPr>
        <w:ind w:left="1658" w:hanging="360"/>
      </w:pPr>
      <w:rPr>
        <w:rFonts w:ascii="Wingdings" w:hAnsi="Wingdings" w:hint="default"/>
      </w:rPr>
    </w:lvl>
    <w:lvl w:ilvl="3" w:tplc="0C090001" w:tentative="1">
      <w:start w:val="1"/>
      <w:numFmt w:val="bullet"/>
      <w:lvlText w:val=""/>
      <w:lvlJc w:val="left"/>
      <w:pPr>
        <w:ind w:left="2378" w:hanging="360"/>
      </w:pPr>
      <w:rPr>
        <w:rFonts w:ascii="Symbol" w:hAnsi="Symbol" w:hint="default"/>
      </w:rPr>
    </w:lvl>
    <w:lvl w:ilvl="4" w:tplc="0C090003" w:tentative="1">
      <w:start w:val="1"/>
      <w:numFmt w:val="bullet"/>
      <w:lvlText w:val="o"/>
      <w:lvlJc w:val="left"/>
      <w:pPr>
        <w:ind w:left="3098" w:hanging="360"/>
      </w:pPr>
      <w:rPr>
        <w:rFonts w:ascii="Courier New" w:hAnsi="Courier New" w:cs="Courier New" w:hint="default"/>
      </w:rPr>
    </w:lvl>
    <w:lvl w:ilvl="5" w:tplc="0C090005" w:tentative="1">
      <w:start w:val="1"/>
      <w:numFmt w:val="bullet"/>
      <w:lvlText w:val=""/>
      <w:lvlJc w:val="left"/>
      <w:pPr>
        <w:ind w:left="3818" w:hanging="360"/>
      </w:pPr>
      <w:rPr>
        <w:rFonts w:ascii="Wingdings" w:hAnsi="Wingdings" w:hint="default"/>
      </w:rPr>
    </w:lvl>
    <w:lvl w:ilvl="6" w:tplc="0C090001" w:tentative="1">
      <w:start w:val="1"/>
      <w:numFmt w:val="bullet"/>
      <w:lvlText w:val=""/>
      <w:lvlJc w:val="left"/>
      <w:pPr>
        <w:ind w:left="4538" w:hanging="360"/>
      </w:pPr>
      <w:rPr>
        <w:rFonts w:ascii="Symbol" w:hAnsi="Symbol" w:hint="default"/>
      </w:rPr>
    </w:lvl>
    <w:lvl w:ilvl="7" w:tplc="0C090003" w:tentative="1">
      <w:start w:val="1"/>
      <w:numFmt w:val="bullet"/>
      <w:lvlText w:val="o"/>
      <w:lvlJc w:val="left"/>
      <w:pPr>
        <w:ind w:left="5258" w:hanging="360"/>
      </w:pPr>
      <w:rPr>
        <w:rFonts w:ascii="Courier New" w:hAnsi="Courier New" w:cs="Courier New" w:hint="default"/>
      </w:rPr>
    </w:lvl>
    <w:lvl w:ilvl="8" w:tplc="0C090005" w:tentative="1">
      <w:start w:val="1"/>
      <w:numFmt w:val="bullet"/>
      <w:lvlText w:val=""/>
      <w:lvlJc w:val="left"/>
      <w:pPr>
        <w:ind w:left="5978" w:hanging="360"/>
      </w:pPr>
      <w:rPr>
        <w:rFonts w:ascii="Wingdings" w:hAnsi="Wingdings" w:hint="default"/>
      </w:rPr>
    </w:lvl>
  </w:abstractNum>
  <w:abstractNum w:abstractNumId="22">
    <w:nsid w:val="5B1153A1"/>
    <w:multiLevelType w:val="hybridMultilevel"/>
    <w:tmpl w:val="363ADB86"/>
    <w:lvl w:ilvl="0" w:tplc="7B0ABC54">
      <w:start w:val="1"/>
      <w:numFmt w:val="bullet"/>
      <w:lvlText w:val="-"/>
      <w:lvlJc w:val="left"/>
      <w:pPr>
        <w:ind w:left="1080" w:hanging="360"/>
      </w:pPr>
      <w:rPr>
        <w:rFonts w:ascii="Times New Roman" w:eastAsia="Times New Roman" w:hAnsi="Times New Roman" w:cs="Times New Roman" w:hint="default"/>
      </w:rPr>
    </w:lvl>
    <w:lvl w:ilvl="1" w:tplc="7B0ABC54">
      <w:start w:val="1"/>
      <w:numFmt w:val="bullet"/>
      <w:lvlText w:val="-"/>
      <w:lvlJc w:val="left"/>
      <w:pPr>
        <w:ind w:left="2018" w:hanging="360"/>
      </w:pPr>
      <w:rPr>
        <w:rFonts w:ascii="Times New Roman" w:eastAsia="Times New Roman" w:hAnsi="Times New Roman" w:cs="Times New Roman" w:hint="default"/>
      </w:rPr>
    </w:lvl>
    <w:lvl w:ilvl="2" w:tplc="0C090005" w:tentative="1">
      <w:start w:val="1"/>
      <w:numFmt w:val="bullet"/>
      <w:lvlText w:val=""/>
      <w:lvlJc w:val="left"/>
      <w:pPr>
        <w:ind w:left="2738" w:hanging="360"/>
      </w:pPr>
      <w:rPr>
        <w:rFonts w:ascii="Wingdings" w:hAnsi="Wingdings" w:hint="default"/>
      </w:rPr>
    </w:lvl>
    <w:lvl w:ilvl="3" w:tplc="0C090001" w:tentative="1">
      <w:start w:val="1"/>
      <w:numFmt w:val="bullet"/>
      <w:lvlText w:val=""/>
      <w:lvlJc w:val="left"/>
      <w:pPr>
        <w:ind w:left="3458" w:hanging="360"/>
      </w:pPr>
      <w:rPr>
        <w:rFonts w:ascii="Symbol" w:hAnsi="Symbol" w:hint="default"/>
      </w:rPr>
    </w:lvl>
    <w:lvl w:ilvl="4" w:tplc="0C090003" w:tentative="1">
      <w:start w:val="1"/>
      <w:numFmt w:val="bullet"/>
      <w:lvlText w:val="o"/>
      <w:lvlJc w:val="left"/>
      <w:pPr>
        <w:ind w:left="4178" w:hanging="360"/>
      </w:pPr>
      <w:rPr>
        <w:rFonts w:ascii="Courier New" w:hAnsi="Courier New" w:cs="Courier New" w:hint="default"/>
      </w:rPr>
    </w:lvl>
    <w:lvl w:ilvl="5" w:tplc="0C090005" w:tentative="1">
      <w:start w:val="1"/>
      <w:numFmt w:val="bullet"/>
      <w:lvlText w:val=""/>
      <w:lvlJc w:val="left"/>
      <w:pPr>
        <w:ind w:left="4898" w:hanging="360"/>
      </w:pPr>
      <w:rPr>
        <w:rFonts w:ascii="Wingdings" w:hAnsi="Wingdings" w:hint="default"/>
      </w:rPr>
    </w:lvl>
    <w:lvl w:ilvl="6" w:tplc="0C090001" w:tentative="1">
      <w:start w:val="1"/>
      <w:numFmt w:val="bullet"/>
      <w:lvlText w:val=""/>
      <w:lvlJc w:val="left"/>
      <w:pPr>
        <w:ind w:left="5618" w:hanging="360"/>
      </w:pPr>
      <w:rPr>
        <w:rFonts w:ascii="Symbol" w:hAnsi="Symbol" w:hint="default"/>
      </w:rPr>
    </w:lvl>
    <w:lvl w:ilvl="7" w:tplc="0C090003" w:tentative="1">
      <w:start w:val="1"/>
      <w:numFmt w:val="bullet"/>
      <w:lvlText w:val="o"/>
      <w:lvlJc w:val="left"/>
      <w:pPr>
        <w:ind w:left="6338" w:hanging="360"/>
      </w:pPr>
      <w:rPr>
        <w:rFonts w:ascii="Courier New" w:hAnsi="Courier New" w:cs="Courier New" w:hint="default"/>
      </w:rPr>
    </w:lvl>
    <w:lvl w:ilvl="8" w:tplc="0C090005" w:tentative="1">
      <w:start w:val="1"/>
      <w:numFmt w:val="bullet"/>
      <w:lvlText w:val=""/>
      <w:lvlJc w:val="left"/>
      <w:pPr>
        <w:ind w:left="7058" w:hanging="360"/>
      </w:pPr>
      <w:rPr>
        <w:rFonts w:ascii="Wingdings" w:hAnsi="Wingdings" w:hint="default"/>
      </w:rPr>
    </w:lvl>
  </w:abstractNum>
  <w:abstractNum w:abstractNumId="23">
    <w:nsid w:val="5EB92424"/>
    <w:multiLevelType w:val="hybridMultilevel"/>
    <w:tmpl w:val="EA4E52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66367140"/>
    <w:multiLevelType w:val="hybridMultilevel"/>
    <w:tmpl w:val="F0741C7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96934AD"/>
    <w:multiLevelType w:val="hybridMultilevel"/>
    <w:tmpl w:val="01128A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69B80424"/>
    <w:multiLevelType w:val="hybridMultilevel"/>
    <w:tmpl w:val="53EC1340"/>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6AE40D6F"/>
    <w:multiLevelType w:val="hybridMultilevel"/>
    <w:tmpl w:val="2F08D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EB44345"/>
    <w:multiLevelType w:val="hybridMultilevel"/>
    <w:tmpl w:val="563A4F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72CE1DB7"/>
    <w:multiLevelType w:val="hybridMultilevel"/>
    <w:tmpl w:val="723E1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3000C78"/>
    <w:multiLevelType w:val="hybridMultilevel"/>
    <w:tmpl w:val="F8B045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747D2A7D"/>
    <w:multiLevelType w:val="hybridMultilevel"/>
    <w:tmpl w:val="03763E12"/>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AC40805"/>
    <w:multiLevelType w:val="hybridMultilevel"/>
    <w:tmpl w:val="8C0C17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7ED20B07"/>
    <w:multiLevelType w:val="hybridMultilevel"/>
    <w:tmpl w:val="84F2C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8"/>
  </w:num>
  <w:num w:numId="4">
    <w:abstractNumId w:val="12"/>
  </w:num>
  <w:num w:numId="5">
    <w:abstractNumId w:val="7"/>
  </w:num>
  <w:num w:numId="6">
    <w:abstractNumId w:val="28"/>
  </w:num>
  <w:num w:numId="7">
    <w:abstractNumId w:val="32"/>
  </w:num>
  <w:num w:numId="8">
    <w:abstractNumId w:val="30"/>
  </w:num>
  <w:num w:numId="9">
    <w:abstractNumId w:val="0"/>
  </w:num>
  <w:num w:numId="10">
    <w:abstractNumId w:val="11"/>
  </w:num>
  <w:num w:numId="11">
    <w:abstractNumId w:val="6"/>
  </w:num>
  <w:num w:numId="12">
    <w:abstractNumId w:val="1"/>
  </w:num>
  <w:num w:numId="13">
    <w:abstractNumId w:val="10"/>
  </w:num>
  <w:num w:numId="14">
    <w:abstractNumId w:val="2"/>
  </w:num>
  <w:num w:numId="15">
    <w:abstractNumId w:val="16"/>
  </w:num>
  <w:num w:numId="16">
    <w:abstractNumId w:val="5"/>
  </w:num>
  <w:num w:numId="17">
    <w:abstractNumId w:val="8"/>
  </w:num>
  <w:num w:numId="18">
    <w:abstractNumId w:val="21"/>
  </w:num>
  <w:num w:numId="19">
    <w:abstractNumId w:val="19"/>
  </w:num>
  <w:num w:numId="20">
    <w:abstractNumId w:val="31"/>
  </w:num>
  <w:num w:numId="21">
    <w:abstractNumId w:val="15"/>
  </w:num>
  <w:num w:numId="22">
    <w:abstractNumId w:val="4"/>
  </w:num>
  <w:num w:numId="23">
    <w:abstractNumId w:val="17"/>
  </w:num>
  <w:num w:numId="24">
    <w:abstractNumId w:val="29"/>
  </w:num>
  <w:num w:numId="25">
    <w:abstractNumId w:val="25"/>
  </w:num>
  <w:num w:numId="26">
    <w:abstractNumId w:val="14"/>
  </w:num>
  <w:num w:numId="27">
    <w:abstractNumId w:val="23"/>
  </w:num>
  <w:num w:numId="28">
    <w:abstractNumId w:val="27"/>
  </w:num>
  <w:num w:numId="29">
    <w:abstractNumId w:val="26"/>
  </w:num>
  <w:num w:numId="30">
    <w:abstractNumId w:val="13"/>
  </w:num>
  <w:num w:numId="31">
    <w:abstractNumId w:val="20"/>
  </w:num>
  <w:num w:numId="32">
    <w:abstractNumId w:val="22"/>
  </w:num>
  <w:num w:numId="33">
    <w:abstractNumId w:val="33"/>
  </w:num>
  <w:num w:numId="34">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defaultTabStop w:val="720"/>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FF1"/>
    <w:rsid w:val="00003743"/>
    <w:rsid w:val="00032377"/>
    <w:rsid w:val="00057FAB"/>
    <w:rsid w:val="00067456"/>
    <w:rsid w:val="000B6D29"/>
    <w:rsid w:val="001B3443"/>
    <w:rsid w:val="001C03BC"/>
    <w:rsid w:val="002F3AE3"/>
    <w:rsid w:val="0030786C"/>
    <w:rsid w:val="003542B2"/>
    <w:rsid w:val="003D17F9"/>
    <w:rsid w:val="00405D51"/>
    <w:rsid w:val="0044646E"/>
    <w:rsid w:val="004867E2"/>
    <w:rsid w:val="00537B96"/>
    <w:rsid w:val="0063319E"/>
    <w:rsid w:val="006B4F5A"/>
    <w:rsid w:val="006B5219"/>
    <w:rsid w:val="006E4932"/>
    <w:rsid w:val="00770F6F"/>
    <w:rsid w:val="008264EB"/>
    <w:rsid w:val="00872536"/>
    <w:rsid w:val="0088000E"/>
    <w:rsid w:val="008B4376"/>
    <w:rsid w:val="008D5595"/>
    <w:rsid w:val="00973EF0"/>
    <w:rsid w:val="009C0CBF"/>
    <w:rsid w:val="00A4512D"/>
    <w:rsid w:val="00A705AF"/>
    <w:rsid w:val="00A82AA9"/>
    <w:rsid w:val="00A96923"/>
    <w:rsid w:val="00AC2001"/>
    <w:rsid w:val="00AE3B8A"/>
    <w:rsid w:val="00B42851"/>
    <w:rsid w:val="00B824B7"/>
    <w:rsid w:val="00BA324B"/>
    <w:rsid w:val="00BF3C98"/>
    <w:rsid w:val="00CA4FF1"/>
    <w:rsid w:val="00CB5B1A"/>
    <w:rsid w:val="00D7226B"/>
    <w:rsid w:val="00DF3271"/>
    <w:rsid w:val="00F24B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4FF1"/>
    <w:rPr>
      <w:rFonts w:asciiTheme="minorHAnsi" w:hAnsiTheme="minorHAnsi"/>
      <w:szCs w:val="24"/>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Bullet point,List Paragraph1,List Paragraph11,Recommendation,standard lewis"/>
    <w:basedOn w:val="Normal"/>
    <w:link w:val="ListParagraphChar"/>
    <w:uiPriority w:val="34"/>
    <w:qFormat/>
    <w:rsid w:val="00A4512D"/>
    <w:pPr>
      <w:ind w:left="720"/>
      <w:contextualSpacing/>
    </w:pPr>
  </w:style>
  <w:style w:type="paragraph" w:styleId="FootnoteText">
    <w:name w:val="footnote text"/>
    <w:basedOn w:val="Normal"/>
    <w:link w:val="FootnoteTextChar"/>
    <w:unhideWhenUsed/>
    <w:rsid w:val="00CA4FF1"/>
    <w:rPr>
      <w:sz w:val="20"/>
      <w:szCs w:val="20"/>
    </w:rPr>
  </w:style>
  <w:style w:type="character" w:customStyle="1" w:styleId="FootnoteTextChar">
    <w:name w:val="Footnote Text Char"/>
    <w:basedOn w:val="DefaultParagraphFont"/>
    <w:link w:val="FootnoteText"/>
    <w:rsid w:val="00CA4FF1"/>
    <w:rPr>
      <w:rFonts w:asciiTheme="minorHAnsi" w:hAnsiTheme="minorHAnsi"/>
      <w:sz w:val="20"/>
      <w:lang w:eastAsia="en-US"/>
    </w:rPr>
  </w:style>
  <w:style w:type="character" w:styleId="FootnoteReference">
    <w:name w:val="footnote reference"/>
    <w:basedOn w:val="DefaultParagraphFont"/>
    <w:unhideWhenUsed/>
    <w:rsid w:val="00CA4FF1"/>
    <w:rPr>
      <w:vertAlign w:val="superscript"/>
    </w:rPr>
  </w:style>
  <w:style w:type="character" w:styleId="CommentReference">
    <w:name w:val="annotation reference"/>
    <w:basedOn w:val="DefaultParagraphFont"/>
    <w:unhideWhenUsed/>
    <w:rsid w:val="00CA4FF1"/>
    <w:rPr>
      <w:sz w:val="16"/>
      <w:szCs w:val="16"/>
    </w:rPr>
  </w:style>
  <w:style w:type="paragraph" w:styleId="CommentText">
    <w:name w:val="annotation text"/>
    <w:basedOn w:val="Normal"/>
    <w:link w:val="CommentTextChar"/>
    <w:unhideWhenUsed/>
    <w:rsid w:val="00CA4FF1"/>
    <w:rPr>
      <w:sz w:val="20"/>
      <w:szCs w:val="20"/>
    </w:rPr>
  </w:style>
  <w:style w:type="character" w:customStyle="1" w:styleId="CommentTextChar">
    <w:name w:val="Comment Text Char"/>
    <w:basedOn w:val="DefaultParagraphFont"/>
    <w:link w:val="CommentText"/>
    <w:rsid w:val="00CA4FF1"/>
    <w:rPr>
      <w:rFonts w:asciiTheme="minorHAnsi" w:hAnsiTheme="minorHAnsi"/>
      <w:sz w:val="20"/>
      <w:lang w:eastAsia="en-US"/>
    </w:rPr>
  </w:style>
  <w:style w:type="paragraph" w:customStyle="1" w:styleId="Default">
    <w:name w:val="Default"/>
    <w:rsid w:val="00CA4FF1"/>
    <w:pPr>
      <w:autoSpaceDE w:val="0"/>
      <w:autoSpaceDN w:val="0"/>
      <w:adjustRightInd w:val="0"/>
    </w:pPr>
    <w:rPr>
      <w:rFonts w:cs="Calibri"/>
      <w:color w:val="000000"/>
      <w:szCs w:val="24"/>
    </w:rPr>
  </w:style>
  <w:style w:type="paragraph" w:styleId="BalloonText">
    <w:name w:val="Balloon Text"/>
    <w:basedOn w:val="Normal"/>
    <w:link w:val="BalloonTextChar"/>
    <w:rsid w:val="00CA4FF1"/>
    <w:rPr>
      <w:rFonts w:ascii="Tahoma" w:hAnsi="Tahoma" w:cs="Tahoma"/>
      <w:sz w:val="16"/>
      <w:szCs w:val="16"/>
    </w:rPr>
  </w:style>
  <w:style w:type="character" w:customStyle="1" w:styleId="BalloonTextChar">
    <w:name w:val="Balloon Text Char"/>
    <w:basedOn w:val="DefaultParagraphFont"/>
    <w:link w:val="BalloonText"/>
    <w:rsid w:val="00CA4FF1"/>
    <w:rPr>
      <w:rFonts w:ascii="Tahoma" w:hAnsi="Tahoma" w:cs="Tahoma"/>
      <w:sz w:val="16"/>
      <w:szCs w:val="16"/>
      <w:lang w:eastAsia="en-US"/>
    </w:rPr>
  </w:style>
  <w:style w:type="paragraph" w:styleId="Header">
    <w:name w:val="header"/>
    <w:basedOn w:val="Normal"/>
    <w:link w:val="HeaderChar"/>
    <w:rsid w:val="00CA4FF1"/>
    <w:pPr>
      <w:tabs>
        <w:tab w:val="center" w:pos="4513"/>
        <w:tab w:val="right" w:pos="9026"/>
      </w:tabs>
    </w:pPr>
  </w:style>
  <w:style w:type="character" w:customStyle="1" w:styleId="HeaderChar">
    <w:name w:val="Header Char"/>
    <w:basedOn w:val="DefaultParagraphFont"/>
    <w:link w:val="Header"/>
    <w:rsid w:val="00CA4FF1"/>
    <w:rPr>
      <w:rFonts w:asciiTheme="minorHAnsi" w:hAnsiTheme="minorHAnsi"/>
      <w:szCs w:val="24"/>
      <w:lang w:eastAsia="en-US"/>
    </w:rPr>
  </w:style>
  <w:style w:type="paragraph" w:styleId="Footer">
    <w:name w:val="footer"/>
    <w:basedOn w:val="Normal"/>
    <w:link w:val="FooterChar"/>
    <w:uiPriority w:val="99"/>
    <w:rsid w:val="00CA4FF1"/>
    <w:pPr>
      <w:tabs>
        <w:tab w:val="center" w:pos="4513"/>
        <w:tab w:val="right" w:pos="9026"/>
      </w:tabs>
    </w:pPr>
  </w:style>
  <w:style w:type="character" w:customStyle="1" w:styleId="FooterChar">
    <w:name w:val="Footer Char"/>
    <w:basedOn w:val="DefaultParagraphFont"/>
    <w:link w:val="Footer"/>
    <w:uiPriority w:val="99"/>
    <w:rsid w:val="00CA4FF1"/>
    <w:rPr>
      <w:rFonts w:asciiTheme="minorHAnsi" w:hAnsiTheme="minorHAnsi"/>
      <w:szCs w:val="24"/>
      <w:lang w:eastAsia="en-US"/>
    </w:rPr>
  </w:style>
  <w:style w:type="paragraph" w:styleId="CommentSubject">
    <w:name w:val="annotation subject"/>
    <w:basedOn w:val="CommentText"/>
    <w:next w:val="CommentText"/>
    <w:link w:val="CommentSubjectChar"/>
    <w:rsid w:val="00CA4FF1"/>
    <w:rPr>
      <w:b/>
      <w:bCs/>
    </w:rPr>
  </w:style>
  <w:style w:type="character" w:customStyle="1" w:styleId="CommentSubjectChar">
    <w:name w:val="Comment Subject Char"/>
    <w:basedOn w:val="CommentTextChar"/>
    <w:link w:val="CommentSubject"/>
    <w:rsid w:val="00CA4FF1"/>
    <w:rPr>
      <w:rFonts w:asciiTheme="minorHAnsi" w:hAnsiTheme="minorHAnsi"/>
      <w:b/>
      <w:bCs/>
      <w:sz w:val="20"/>
      <w:lang w:eastAsia="en-US"/>
    </w:rPr>
  </w:style>
  <w:style w:type="table" w:styleId="TableGrid">
    <w:name w:val="Table Grid"/>
    <w:basedOn w:val="TableNormal"/>
    <w:rsid w:val="00CA4FF1"/>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A4FF1"/>
    <w:rPr>
      <w:rFonts w:ascii="Times New Roman" w:hAnsi="Times New Roman"/>
      <w:szCs w:val="24"/>
      <w:lang w:eastAsia="en-US"/>
    </w:rPr>
  </w:style>
  <w:style w:type="paragraph" w:styleId="TOCHeading">
    <w:name w:val="TOC Heading"/>
    <w:basedOn w:val="Heading1"/>
    <w:next w:val="Normal"/>
    <w:uiPriority w:val="39"/>
    <w:semiHidden/>
    <w:unhideWhenUsed/>
    <w:qFormat/>
    <w:rsid w:val="00CA4FF1"/>
    <w:pPr>
      <w:keepLines/>
      <w:spacing w:before="480" w:after="0" w:line="276" w:lineRule="auto"/>
      <w:outlineLvl w:val="9"/>
    </w:pPr>
    <w:rPr>
      <w:rFonts w:asciiTheme="majorHAnsi" w:eastAsiaTheme="majorEastAsia" w:hAnsiTheme="majorHAnsi" w:cstheme="majorBidi"/>
      <w:color w:val="365F91" w:themeColor="accent1" w:themeShade="BF"/>
      <w:kern w:val="0"/>
      <w:szCs w:val="28"/>
      <w:lang w:val="en-US" w:eastAsia="ja-JP"/>
    </w:rPr>
  </w:style>
  <w:style w:type="paragraph" w:styleId="TOC1">
    <w:name w:val="toc 1"/>
    <w:basedOn w:val="Normal"/>
    <w:next w:val="Normal"/>
    <w:autoRedefine/>
    <w:uiPriority w:val="39"/>
    <w:rsid w:val="00CA4FF1"/>
    <w:pPr>
      <w:tabs>
        <w:tab w:val="right" w:leader="dot" w:pos="8296"/>
      </w:tabs>
      <w:spacing w:after="100"/>
    </w:pPr>
  </w:style>
  <w:style w:type="paragraph" w:styleId="TOC2">
    <w:name w:val="toc 2"/>
    <w:basedOn w:val="Normal"/>
    <w:next w:val="Normal"/>
    <w:autoRedefine/>
    <w:uiPriority w:val="39"/>
    <w:rsid w:val="00CA4FF1"/>
    <w:pPr>
      <w:tabs>
        <w:tab w:val="left" w:pos="880"/>
        <w:tab w:val="right" w:leader="dot" w:pos="8296"/>
      </w:tabs>
      <w:spacing w:after="100"/>
      <w:ind w:left="240"/>
    </w:pPr>
  </w:style>
  <w:style w:type="paragraph" w:styleId="TOC3">
    <w:name w:val="toc 3"/>
    <w:basedOn w:val="Normal"/>
    <w:next w:val="Normal"/>
    <w:autoRedefine/>
    <w:uiPriority w:val="39"/>
    <w:rsid w:val="00CA4FF1"/>
    <w:pPr>
      <w:spacing w:after="100"/>
      <w:ind w:left="480"/>
    </w:pPr>
  </w:style>
  <w:style w:type="character" w:styleId="Hyperlink">
    <w:name w:val="Hyperlink"/>
    <w:basedOn w:val="DefaultParagraphFont"/>
    <w:uiPriority w:val="99"/>
    <w:unhideWhenUsed/>
    <w:rsid w:val="00CA4FF1"/>
    <w:rPr>
      <w:color w:val="0000FF" w:themeColor="hyperlink"/>
      <w:u w:val="single"/>
    </w:rPr>
  </w:style>
  <w:style w:type="character" w:styleId="FollowedHyperlink">
    <w:name w:val="FollowedHyperlink"/>
    <w:basedOn w:val="DefaultParagraphFont"/>
    <w:rsid w:val="00CA4FF1"/>
    <w:rPr>
      <w:color w:val="800080" w:themeColor="followedHyperlink"/>
      <w:u w:val="single"/>
    </w:rPr>
  </w:style>
  <w:style w:type="paragraph" w:styleId="EndnoteText">
    <w:name w:val="endnote text"/>
    <w:basedOn w:val="Normal"/>
    <w:link w:val="EndnoteTextChar"/>
    <w:rsid w:val="00CA4FF1"/>
    <w:rPr>
      <w:sz w:val="20"/>
      <w:szCs w:val="20"/>
    </w:rPr>
  </w:style>
  <w:style w:type="character" w:customStyle="1" w:styleId="EndnoteTextChar">
    <w:name w:val="Endnote Text Char"/>
    <w:basedOn w:val="DefaultParagraphFont"/>
    <w:link w:val="EndnoteText"/>
    <w:rsid w:val="00CA4FF1"/>
    <w:rPr>
      <w:rFonts w:asciiTheme="minorHAnsi" w:hAnsiTheme="minorHAnsi"/>
      <w:sz w:val="20"/>
      <w:lang w:eastAsia="en-US"/>
    </w:rPr>
  </w:style>
  <w:style w:type="character" w:styleId="EndnoteReference">
    <w:name w:val="endnote reference"/>
    <w:basedOn w:val="DefaultParagraphFont"/>
    <w:rsid w:val="00CA4FF1"/>
    <w:rPr>
      <w:vertAlign w:val="superscript"/>
    </w:rPr>
  </w:style>
  <w:style w:type="character" w:customStyle="1" w:styleId="ListParagraphChar">
    <w:name w:val="List Paragraph Char"/>
    <w:aliases w:val="Bullet point Char,List Paragraph1 Char,List Paragraph11 Char,Recommendation Char,standard lewis Char"/>
    <w:basedOn w:val="DefaultParagraphFont"/>
    <w:link w:val="ListParagraph"/>
    <w:uiPriority w:val="34"/>
    <w:locked/>
    <w:rsid w:val="00CA4FF1"/>
  </w:style>
  <w:style w:type="paragraph" w:styleId="NormalWeb">
    <w:name w:val="Normal (Web)"/>
    <w:basedOn w:val="Normal"/>
    <w:uiPriority w:val="99"/>
    <w:unhideWhenUsed/>
    <w:rsid w:val="00CA4FF1"/>
    <w:pPr>
      <w:spacing w:before="100" w:beforeAutospacing="1" w:after="100" w:afterAutospacing="1"/>
    </w:pPr>
    <w:rPr>
      <w:rFonts w:ascii="Times New Roman" w:eastAsiaTheme="minorEastAsia" w:hAnsi="Times New Roman"/>
      <w:lang w:eastAsia="en-AU"/>
    </w:rPr>
  </w:style>
  <w:style w:type="table" w:styleId="LightList-Accent1">
    <w:name w:val="Light List Accent 1"/>
    <w:basedOn w:val="TableNormal"/>
    <w:uiPriority w:val="61"/>
    <w:rsid w:val="00CA4FF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3-Accent1">
    <w:name w:val="Medium Grid 3 Accent 1"/>
    <w:basedOn w:val="TableNormal"/>
    <w:uiPriority w:val="69"/>
    <w:rsid w:val="00CA4FF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4FF1"/>
    <w:rPr>
      <w:rFonts w:asciiTheme="minorHAnsi" w:hAnsiTheme="minorHAnsi"/>
      <w:szCs w:val="24"/>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Bullet point,List Paragraph1,List Paragraph11,Recommendation,standard lewis"/>
    <w:basedOn w:val="Normal"/>
    <w:link w:val="ListParagraphChar"/>
    <w:uiPriority w:val="34"/>
    <w:qFormat/>
    <w:rsid w:val="00A4512D"/>
    <w:pPr>
      <w:ind w:left="720"/>
      <w:contextualSpacing/>
    </w:pPr>
  </w:style>
  <w:style w:type="paragraph" w:styleId="FootnoteText">
    <w:name w:val="footnote text"/>
    <w:basedOn w:val="Normal"/>
    <w:link w:val="FootnoteTextChar"/>
    <w:unhideWhenUsed/>
    <w:rsid w:val="00CA4FF1"/>
    <w:rPr>
      <w:sz w:val="20"/>
      <w:szCs w:val="20"/>
    </w:rPr>
  </w:style>
  <w:style w:type="character" w:customStyle="1" w:styleId="FootnoteTextChar">
    <w:name w:val="Footnote Text Char"/>
    <w:basedOn w:val="DefaultParagraphFont"/>
    <w:link w:val="FootnoteText"/>
    <w:rsid w:val="00CA4FF1"/>
    <w:rPr>
      <w:rFonts w:asciiTheme="minorHAnsi" w:hAnsiTheme="minorHAnsi"/>
      <w:sz w:val="20"/>
      <w:lang w:eastAsia="en-US"/>
    </w:rPr>
  </w:style>
  <w:style w:type="character" w:styleId="FootnoteReference">
    <w:name w:val="footnote reference"/>
    <w:basedOn w:val="DefaultParagraphFont"/>
    <w:unhideWhenUsed/>
    <w:rsid w:val="00CA4FF1"/>
    <w:rPr>
      <w:vertAlign w:val="superscript"/>
    </w:rPr>
  </w:style>
  <w:style w:type="character" w:styleId="CommentReference">
    <w:name w:val="annotation reference"/>
    <w:basedOn w:val="DefaultParagraphFont"/>
    <w:unhideWhenUsed/>
    <w:rsid w:val="00CA4FF1"/>
    <w:rPr>
      <w:sz w:val="16"/>
      <w:szCs w:val="16"/>
    </w:rPr>
  </w:style>
  <w:style w:type="paragraph" w:styleId="CommentText">
    <w:name w:val="annotation text"/>
    <w:basedOn w:val="Normal"/>
    <w:link w:val="CommentTextChar"/>
    <w:unhideWhenUsed/>
    <w:rsid w:val="00CA4FF1"/>
    <w:rPr>
      <w:sz w:val="20"/>
      <w:szCs w:val="20"/>
    </w:rPr>
  </w:style>
  <w:style w:type="character" w:customStyle="1" w:styleId="CommentTextChar">
    <w:name w:val="Comment Text Char"/>
    <w:basedOn w:val="DefaultParagraphFont"/>
    <w:link w:val="CommentText"/>
    <w:rsid w:val="00CA4FF1"/>
    <w:rPr>
      <w:rFonts w:asciiTheme="minorHAnsi" w:hAnsiTheme="minorHAnsi"/>
      <w:sz w:val="20"/>
      <w:lang w:eastAsia="en-US"/>
    </w:rPr>
  </w:style>
  <w:style w:type="paragraph" w:customStyle="1" w:styleId="Default">
    <w:name w:val="Default"/>
    <w:rsid w:val="00CA4FF1"/>
    <w:pPr>
      <w:autoSpaceDE w:val="0"/>
      <w:autoSpaceDN w:val="0"/>
      <w:adjustRightInd w:val="0"/>
    </w:pPr>
    <w:rPr>
      <w:rFonts w:cs="Calibri"/>
      <w:color w:val="000000"/>
      <w:szCs w:val="24"/>
    </w:rPr>
  </w:style>
  <w:style w:type="paragraph" w:styleId="BalloonText">
    <w:name w:val="Balloon Text"/>
    <w:basedOn w:val="Normal"/>
    <w:link w:val="BalloonTextChar"/>
    <w:rsid w:val="00CA4FF1"/>
    <w:rPr>
      <w:rFonts w:ascii="Tahoma" w:hAnsi="Tahoma" w:cs="Tahoma"/>
      <w:sz w:val="16"/>
      <w:szCs w:val="16"/>
    </w:rPr>
  </w:style>
  <w:style w:type="character" w:customStyle="1" w:styleId="BalloonTextChar">
    <w:name w:val="Balloon Text Char"/>
    <w:basedOn w:val="DefaultParagraphFont"/>
    <w:link w:val="BalloonText"/>
    <w:rsid w:val="00CA4FF1"/>
    <w:rPr>
      <w:rFonts w:ascii="Tahoma" w:hAnsi="Tahoma" w:cs="Tahoma"/>
      <w:sz w:val="16"/>
      <w:szCs w:val="16"/>
      <w:lang w:eastAsia="en-US"/>
    </w:rPr>
  </w:style>
  <w:style w:type="paragraph" w:styleId="Header">
    <w:name w:val="header"/>
    <w:basedOn w:val="Normal"/>
    <w:link w:val="HeaderChar"/>
    <w:rsid w:val="00CA4FF1"/>
    <w:pPr>
      <w:tabs>
        <w:tab w:val="center" w:pos="4513"/>
        <w:tab w:val="right" w:pos="9026"/>
      </w:tabs>
    </w:pPr>
  </w:style>
  <w:style w:type="character" w:customStyle="1" w:styleId="HeaderChar">
    <w:name w:val="Header Char"/>
    <w:basedOn w:val="DefaultParagraphFont"/>
    <w:link w:val="Header"/>
    <w:rsid w:val="00CA4FF1"/>
    <w:rPr>
      <w:rFonts w:asciiTheme="minorHAnsi" w:hAnsiTheme="minorHAnsi"/>
      <w:szCs w:val="24"/>
      <w:lang w:eastAsia="en-US"/>
    </w:rPr>
  </w:style>
  <w:style w:type="paragraph" w:styleId="Footer">
    <w:name w:val="footer"/>
    <w:basedOn w:val="Normal"/>
    <w:link w:val="FooterChar"/>
    <w:uiPriority w:val="99"/>
    <w:rsid w:val="00CA4FF1"/>
    <w:pPr>
      <w:tabs>
        <w:tab w:val="center" w:pos="4513"/>
        <w:tab w:val="right" w:pos="9026"/>
      </w:tabs>
    </w:pPr>
  </w:style>
  <w:style w:type="character" w:customStyle="1" w:styleId="FooterChar">
    <w:name w:val="Footer Char"/>
    <w:basedOn w:val="DefaultParagraphFont"/>
    <w:link w:val="Footer"/>
    <w:uiPriority w:val="99"/>
    <w:rsid w:val="00CA4FF1"/>
    <w:rPr>
      <w:rFonts w:asciiTheme="minorHAnsi" w:hAnsiTheme="minorHAnsi"/>
      <w:szCs w:val="24"/>
      <w:lang w:eastAsia="en-US"/>
    </w:rPr>
  </w:style>
  <w:style w:type="paragraph" w:styleId="CommentSubject">
    <w:name w:val="annotation subject"/>
    <w:basedOn w:val="CommentText"/>
    <w:next w:val="CommentText"/>
    <w:link w:val="CommentSubjectChar"/>
    <w:rsid w:val="00CA4FF1"/>
    <w:rPr>
      <w:b/>
      <w:bCs/>
    </w:rPr>
  </w:style>
  <w:style w:type="character" w:customStyle="1" w:styleId="CommentSubjectChar">
    <w:name w:val="Comment Subject Char"/>
    <w:basedOn w:val="CommentTextChar"/>
    <w:link w:val="CommentSubject"/>
    <w:rsid w:val="00CA4FF1"/>
    <w:rPr>
      <w:rFonts w:asciiTheme="minorHAnsi" w:hAnsiTheme="minorHAnsi"/>
      <w:b/>
      <w:bCs/>
      <w:sz w:val="20"/>
      <w:lang w:eastAsia="en-US"/>
    </w:rPr>
  </w:style>
  <w:style w:type="table" w:styleId="TableGrid">
    <w:name w:val="Table Grid"/>
    <w:basedOn w:val="TableNormal"/>
    <w:rsid w:val="00CA4FF1"/>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A4FF1"/>
    <w:rPr>
      <w:rFonts w:ascii="Times New Roman" w:hAnsi="Times New Roman"/>
      <w:szCs w:val="24"/>
      <w:lang w:eastAsia="en-US"/>
    </w:rPr>
  </w:style>
  <w:style w:type="paragraph" w:styleId="TOCHeading">
    <w:name w:val="TOC Heading"/>
    <w:basedOn w:val="Heading1"/>
    <w:next w:val="Normal"/>
    <w:uiPriority w:val="39"/>
    <w:semiHidden/>
    <w:unhideWhenUsed/>
    <w:qFormat/>
    <w:rsid w:val="00CA4FF1"/>
    <w:pPr>
      <w:keepLines/>
      <w:spacing w:before="480" w:after="0" w:line="276" w:lineRule="auto"/>
      <w:outlineLvl w:val="9"/>
    </w:pPr>
    <w:rPr>
      <w:rFonts w:asciiTheme="majorHAnsi" w:eastAsiaTheme="majorEastAsia" w:hAnsiTheme="majorHAnsi" w:cstheme="majorBidi"/>
      <w:color w:val="365F91" w:themeColor="accent1" w:themeShade="BF"/>
      <w:kern w:val="0"/>
      <w:szCs w:val="28"/>
      <w:lang w:val="en-US" w:eastAsia="ja-JP"/>
    </w:rPr>
  </w:style>
  <w:style w:type="paragraph" w:styleId="TOC1">
    <w:name w:val="toc 1"/>
    <w:basedOn w:val="Normal"/>
    <w:next w:val="Normal"/>
    <w:autoRedefine/>
    <w:uiPriority w:val="39"/>
    <w:rsid w:val="00CA4FF1"/>
    <w:pPr>
      <w:tabs>
        <w:tab w:val="right" w:leader="dot" w:pos="8296"/>
      </w:tabs>
      <w:spacing w:after="100"/>
    </w:pPr>
  </w:style>
  <w:style w:type="paragraph" w:styleId="TOC2">
    <w:name w:val="toc 2"/>
    <w:basedOn w:val="Normal"/>
    <w:next w:val="Normal"/>
    <w:autoRedefine/>
    <w:uiPriority w:val="39"/>
    <w:rsid w:val="00CA4FF1"/>
    <w:pPr>
      <w:tabs>
        <w:tab w:val="left" w:pos="880"/>
        <w:tab w:val="right" w:leader="dot" w:pos="8296"/>
      </w:tabs>
      <w:spacing w:after="100"/>
      <w:ind w:left="240"/>
    </w:pPr>
  </w:style>
  <w:style w:type="paragraph" w:styleId="TOC3">
    <w:name w:val="toc 3"/>
    <w:basedOn w:val="Normal"/>
    <w:next w:val="Normal"/>
    <w:autoRedefine/>
    <w:uiPriority w:val="39"/>
    <w:rsid w:val="00CA4FF1"/>
    <w:pPr>
      <w:spacing w:after="100"/>
      <w:ind w:left="480"/>
    </w:pPr>
  </w:style>
  <w:style w:type="character" w:styleId="Hyperlink">
    <w:name w:val="Hyperlink"/>
    <w:basedOn w:val="DefaultParagraphFont"/>
    <w:uiPriority w:val="99"/>
    <w:unhideWhenUsed/>
    <w:rsid w:val="00CA4FF1"/>
    <w:rPr>
      <w:color w:val="0000FF" w:themeColor="hyperlink"/>
      <w:u w:val="single"/>
    </w:rPr>
  </w:style>
  <w:style w:type="character" w:styleId="FollowedHyperlink">
    <w:name w:val="FollowedHyperlink"/>
    <w:basedOn w:val="DefaultParagraphFont"/>
    <w:rsid w:val="00CA4FF1"/>
    <w:rPr>
      <w:color w:val="800080" w:themeColor="followedHyperlink"/>
      <w:u w:val="single"/>
    </w:rPr>
  </w:style>
  <w:style w:type="paragraph" w:styleId="EndnoteText">
    <w:name w:val="endnote text"/>
    <w:basedOn w:val="Normal"/>
    <w:link w:val="EndnoteTextChar"/>
    <w:rsid w:val="00CA4FF1"/>
    <w:rPr>
      <w:sz w:val="20"/>
      <w:szCs w:val="20"/>
    </w:rPr>
  </w:style>
  <w:style w:type="character" w:customStyle="1" w:styleId="EndnoteTextChar">
    <w:name w:val="Endnote Text Char"/>
    <w:basedOn w:val="DefaultParagraphFont"/>
    <w:link w:val="EndnoteText"/>
    <w:rsid w:val="00CA4FF1"/>
    <w:rPr>
      <w:rFonts w:asciiTheme="minorHAnsi" w:hAnsiTheme="minorHAnsi"/>
      <w:sz w:val="20"/>
      <w:lang w:eastAsia="en-US"/>
    </w:rPr>
  </w:style>
  <w:style w:type="character" w:styleId="EndnoteReference">
    <w:name w:val="endnote reference"/>
    <w:basedOn w:val="DefaultParagraphFont"/>
    <w:rsid w:val="00CA4FF1"/>
    <w:rPr>
      <w:vertAlign w:val="superscript"/>
    </w:rPr>
  </w:style>
  <w:style w:type="character" w:customStyle="1" w:styleId="ListParagraphChar">
    <w:name w:val="List Paragraph Char"/>
    <w:aliases w:val="Bullet point Char,List Paragraph1 Char,List Paragraph11 Char,Recommendation Char,standard lewis Char"/>
    <w:basedOn w:val="DefaultParagraphFont"/>
    <w:link w:val="ListParagraph"/>
    <w:uiPriority w:val="34"/>
    <w:locked/>
    <w:rsid w:val="00CA4FF1"/>
  </w:style>
  <w:style w:type="paragraph" w:styleId="NormalWeb">
    <w:name w:val="Normal (Web)"/>
    <w:basedOn w:val="Normal"/>
    <w:uiPriority w:val="99"/>
    <w:unhideWhenUsed/>
    <w:rsid w:val="00CA4FF1"/>
    <w:pPr>
      <w:spacing w:before="100" w:beforeAutospacing="1" w:after="100" w:afterAutospacing="1"/>
    </w:pPr>
    <w:rPr>
      <w:rFonts w:ascii="Times New Roman" w:eastAsiaTheme="minorEastAsia" w:hAnsi="Times New Roman"/>
      <w:lang w:eastAsia="en-AU"/>
    </w:rPr>
  </w:style>
  <w:style w:type="table" w:styleId="LightList-Accent1">
    <w:name w:val="Light List Accent 1"/>
    <w:basedOn w:val="TableNormal"/>
    <w:uiPriority w:val="61"/>
    <w:rsid w:val="00CA4FF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3-Accent1">
    <w:name w:val="Medium Grid 3 Accent 1"/>
    <w:basedOn w:val="TableNormal"/>
    <w:uiPriority w:val="69"/>
    <w:rsid w:val="00CA4FF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www.health.nsw.gov.au/mentalhealth/publications/Publications/SumReport-Mgmt-Accom-Oldrpeop-Severly-Pers.pdf" TargetMode="External"/><Relationship Id="rId13" Type="http://schemas.openxmlformats.org/officeDocument/2006/relationships/hyperlink" Target="https://agedcare.health.gov.au/quality/review-of-national-aged-care-quality-regulatory-processes-report" TargetMode="External"/><Relationship Id="rId18" Type="http://schemas.openxmlformats.org/officeDocument/2006/relationships/hyperlink" Target="https://www.legislation.gov.au/Series/C2004A05206" TargetMode="External"/><Relationship Id="rId26" Type="http://schemas.openxmlformats.org/officeDocument/2006/relationships/hyperlink" Target="https://salvos.org.au/others/news/2017/03/23/making-every-moment-matter-at-aged-care-plus-centres/" TargetMode="External"/><Relationship Id="rId3" Type="http://schemas.openxmlformats.org/officeDocument/2006/relationships/hyperlink" Target="https://agedcare.health.gov.au/quality/review-of-national-aged-care-quality-regulatory-processes-report" TargetMode="External"/><Relationship Id="rId21" Type="http://schemas.openxmlformats.org/officeDocument/2006/relationships/hyperlink" Target="https://agedcare.health.gov.au/quality/single-quality-framework-focus-on-consumers" TargetMode="External"/><Relationship Id="rId7" Type="http://schemas.openxmlformats.org/officeDocument/2006/relationships/hyperlink" Target="https://consultations.health.gov.au/ageing-and-aged-care/redesign-of-dementia-consumer-supports/" TargetMode="External"/><Relationship Id="rId12" Type="http://schemas.openxmlformats.org/officeDocument/2006/relationships/hyperlink" Target="http://www.sahealth.sa.gov.au/wps/wcm/connect/4ae57e8040d7d0d58d52af3ee9bece4b/Oakden+Report+Final+Email+Version.pdf?MOD=AJPERES&amp;CACHEID=4ae57e8040d7d0d58d52af3ee9bece4b" TargetMode="External"/><Relationship Id="rId17" Type="http://schemas.openxmlformats.org/officeDocument/2006/relationships/hyperlink" Target="http://brainxchange.ca/Public/Files/BSTU/Meeting-the-Needs-of-People-Living-with-Dementia-i-en.aspx" TargetMode="External"/><Relationship Id="rId25" Type="http://schemas.openxmlformats.org/officeDocument/2006/relationships/hyperlink" Target="https://agedcare.health.gov.au/legislated-review-of-aged-care-2017-report" TargetMode="External"/><Relationship Id="rId2" Type="http://schemas.openxmlformats.org/officeDocument/2006/relationships/hyperlink" Target="https://www.aihw.gov.au/reports/dementia/dementia-in-australia/contents/table-of-contents" TargetMode="External"/><Relationship Id="rId16" Type="http://schemas.openxmlformats.org/officeDocument/2006/relationships/hyperlink" Target="http://dx.doi.org/10.1111/jocn.13681" TargetMode="External"/><Relationship Id="rId20" Type="http://schemas.openxmlformats.org/officeDocument/2006/relationships/hyperlink" Target="http://meteor.aihw.gov.au/content/index.phtml/itemId/491016" TargetMode="External"/><Relationship Id="rId1" Type="http://schemas.openxmlformats.org/officeDocument/2006/relationships/hyperlink" Target="https://www.aihw.gov.au/reports/australias-health/australias-health-2016/contents/summary" TargetMode="External"/><Relationship Id="rId6" Type="http://schemas.openxmlformats.org/officeDocument/2006/relationships/hyperlink" Target="http://dx.doi.org/10.18773/austprescr.2016.052" TargetMode="External"/><Relationship Id="rId11" Type="http://schemas.openxmlformats.org/officeDocument/2006/relationships/hyperlink" Target="https://gen-agedcaredata.gov.au/" TargetMode="External"/><Relationship Id="rId24" Type="http://schemas.openxmlformats.org/officeDocument/2006/relationships/hyperlink" Target="http://fecca.org.au/wp-content/uploads/2015/06/Review-of-Australian-Research-on-Older-People-from-Culturally-and-Linguistically-Diverse-Backgrounds-March-20151.pdf" TargetMode="External"/><Relationship Id="rId5" Type="http://schemas.openxmlformats.org/officeDocument/2006/relationships/hyperlink" Target="http://sydney.edu.au/medicine/cdpc/resources/dementia-guidelines.php" TargetMode="External"/><Relationship Id="rId15" Type="http://schemas.openxmlformats.org/officeDocument/2006/relationships/hyperlink" Target="http://www.dignityincare.com.au/" TargetMode="External"/><Relationship Id="rId23" Type="http://schemas.openxmlformats.org/officeDocument/2006/relationships/hyperlink" Target="https://www.aph.gov.au/Parliamentary_Business/Committees/Senate/Community_Affairs/Dementia/Report/index" TargetMode="External"/><Relationship Id="rId28" Type="http://schemas.openxmlformats.org/officeDocument/2006/relationships/hyperlink" Target="https://agedcare.health.gov.au/aged-care-funding/aged-care-fees-and-charges" TargetMode="External"/><Relationship Id="rId10" Type="http://schemas.openxmlformats.org/officeDocument/2006/relationships/hyperlink" Target="http://www.sahealth.sa.gov.au/wps/wcm/connect/ef8eb18042db6096a71af78cd21c605e/OPMHS+Models+of+Care+Consultation+Document+V3.pdf?MOD=AJPERES&amp;CACHEID=ef8eb18042db6096a71af78cd21c605e" TargetMode="External"/><Relationship Id="rId19" Type="http://schemas.openxmlformats.org/officeDocument/2006/relationships/hyperlink" Target="http://www.enablingenvironments.com.au/dementia-enabling-environment-principles.html" TargetMode="External"/><Relationship Id="rId4" Type="http://schemas.openxmlformats.org/officeDocument/2006/relationships/hyperlink" Target="https://www.mja.com.au/journal/2003/178/5/behavioural-and-psychological-symptoms-dementia-seven-tiered-model-service" TargetMode="External"/><Relationship Id="rId9" Type="http://schemas.openxmlformats.org/officeDocument/2006/relationships/hyperlink" Target="http://www.health.nsw.gov.au/mentalhealth/pcli/Pages/default.aspx" TargetMode="External"/><Relationship Id="rId14" Type="http://schemas.openxmlformats.org/officeDocument/2006/relationships/hyperlink" Target="http://www.nmhspf.org.au/" TargetMode="External"/><Relationship Id="rId22" Type="http://schemas.openxmlformats.org/officeDocument/2006/relationships/hyperlink" Target="http://dx.doi.org/10.1111/ajag.12332" TargetMode="External"/><Relationship Id="rId27" Type="http://schemas.openxmlformats.org/officeDocument/2006/relationships/hyperlink" Target="https://www.agedcareguide.com.au/talking-aged-care/residents-feel-at-home-with-new-care-appro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1D15C-2996-4EE7-8ACF-3CAF0DD15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15348</Words>
  <Characters>87489</Characters>
  <Application>Microsoft Office Word</Application>
  <DocSecurity>8</DocSecurity>
  <Lines>729</Lines>
  <Paragraphs>205</Paragraphs>
  <ScaleCrop>false</ScaleCrop>
  <Company/>
  <LinksUpToDate>false</LinksUpToDate>
  <CharactersWithSpaces>102632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2017-11-26T22:36:00Z</dcterms:created>
  <dcterms:modified xsi:type="dcterms:W3CDTF">2017-11-26T22:37:00Z</dcterms:modified>
</cp:coreProperties>
</file>